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3B32A3" w:rsidRDefault="00115035" w:rsidP="003B32A3">
      <w:pPr>
        <w:jc w:val="center"/>
      </w:pPr>
    </w:p>
    <w:p w:rsidR="00E93FC7" w:rsidRPr="003B32A3" w:rsidRDefault="00E93FC7" w:rsidP="003B32A3">
      <w:pPr>
        <w:jc w:val="center"/>
        <w:rPr>
          <w:sz w:val="4"/>
          <w:szCs w:val="4"/>
        </w:rPr>
      </w:pPr>
    </w:p>
    <w:p w:rsidR="00E93FC7" w:rsidRPr="00161637" w:rsidRDefault="00F33C6E" w:rsidP="003B32A3">
      <w:pPr>
        <w:pStyle w:val="DecHTitle"/>
      </w:pPr>
      <w:r w:rsidRPr="00161637">
        <w:t>ПЕТО ОТДЕЛЕНИЕ</w:t>
      </w:r>
    </w:p>
    <w:p w:rsidR="00E93FC7" w:rsidRPr="006C4AAB" w:rsidRDefault="0043368D" w:rsidP="003B32A3">
      <w:pPr>
        <w:pStyle w:val="DecHTitle"/>
      </w:pPr>
      <w:r w:rsidRPr="006C4AAB">
        <w:t>РЕШЕНИЕ</w:t>
      </w:r>
    </w:p>
    <w:p w:rsidR="00EE3667" w:rsidRDefault="00F33C6E" w:rsidP="003B32A3">
      <w:pPr>
        <w:pStyle w:val="ECHRTitleCentre2"/>
      </w:pPr>
      <w:r w:rsidRPr="00290056">
        <w:t>Жалба № 61324/09</w:t>
      </w:r>
      <w:r w:rsidRPr="00290056">
        <w:br/>
        <w:t>„КЛИМАТ ИНКОМ В &amp; КО” ООД и други</w:t>
      </w:r>
      <w:r w:rsidRPr="00290056">
        <w:br/>
        <w:t>срещу България</w:t>
      </w:r>
    </w:p>
    <w:p w:rsidR="00E433B9" w:rsidRDefault="00E433B9" w:rsidP="00E433B9">
      <w:pPr>
        <w:pStyle w:val="ECHRPara"/>
      </w:pPr>
    </w:p>
    <w:p w:rsidR="00E433B9" w:rsidRDefault="00E433B9" w:rsidP="00E433B9">
      <w:pPr>
        <w:pStyle w:val="ECHRPara"/>
      </w:pPr>
    </w:p>
    <w:p w:rsidR="00E433B9" w:rsidRDefault="00E433B9" w:rsidP="00E433B9">
      <w:pPr>
        <w:pStyle w:val="ECHRPara"/>
      </w:pPr>
    </w:p>
    <w:p w:rsidR="00E433B9" w:rsidRPr="00E433B9" w:rsidRDefault="00E433B9" w:rsidP="00E433B9">
      <w:pPr>
        <w:pStyle w:val="ECHRPara"/>
      </w:pPr>
      <w:bookmarkStart w:id="0" w:name="_GoBack"/>
      <w:bookmarkEnd w:id="0"/>
    </w:p>
    <w:p w:rsidR="00F33C6E" w:rsidRPr="00290056" w:rsidRDefault="00F33C6E" w:rsidP="003B32A3">
      <w:pPr>
        <w:pStyle w:val="ECHRPara"/>
      </w:pPr>
      <w:r w:rsidRPr="00290056">
        <w:t>Европейският съд по правата на човека (Пето отделение), заседаващ на 12 декември 2017 г. в камара, състояща се от:</w:t>
      </w:r>
    </w:p>
    <w:p w:rsidR="00F33C6E" w:rsidRPr="00290056" w:rsidRDefault="00F33C6E" w:rsidP="003B32A3">
      <w:pPr>
        <w:pStyle w:val="ECHRDecisionBody"/>
      </w:pPr>
      <w:r w:rsidRPr="00290056">
        <w:tab/>
      </w:r>
      <w:proofErr w:type="spellStart"/>
      <w:r w:rsidRPr="00290056">
        <w:t>Ангелика</w:t>
      </w:r>
      <w:proofErr w:type="spellEnd"/>
      <w:r w:rsidRPr="00290056">
        <w:t xml:space="preserve"> </w:t>
      </w:r>
      <w:proofErr w:type="spellStart"/>
      <w:r w:rsidRPr="00290056">
        <w:t>Нусбергер</w:t>
      </w:r>
      <w:proofErr w:type="spellEnd"/>
      <w:r w:rsidRPr="00290056">
        <w:t xml:space="preserve"> (</w:t>
      </w:r>
      <w:proofErr w:type="spellStart"/>
      <w:r w:rsidRPr="00290056">
        <w:t>Angelika</w:t>
      </w:r>
      <w:proofErr w:type="spellEnd"/>
      <w:r w:rsidRPr="00290056">
        <w:t xml:space="preserve"> </w:t>
      </w:r>
      <w:proofErr w:type="spellStart"/>
      <w:r w:rsidRPr="00290056">
        <w:t>Nußberger</w:t>
      </w:r>
      <w:proofErr w:type="spellEnd"/>
      <w:r w:rsidRPr="00290056">
        <w:t xml:space="preserve">), </w:t>
      </w:r>
      <w:r w:rsidRPr="00290056">
        <w:rPr>
          <w:i/>
        </w:rPr>
        <w:t>председател</w:t>
      </w:r>
      <w:r w:rsidRPr="00290056">
        <w:t>,</w:t>
      </w:r>
      <w:r w:rsidRPr="00290056">
        <w:rPr>
          <w:i/>
        </w:rPr>
        <w:br/>
      </w:r>
      <w:r w:rsidRPr="00290056">
        <w:tab/>
        <w:t xml:space="preserve">Нона </w:t>
      </w:r>
      <w:proofErr w:type="spellStart"/>
      <w:r w:rsidRPr="00290056">
        <w:t>Цоцориа</w:t>
      </w:r>
      <w:proofErr w:type="spellEnd"/>
      <w:r w:rsidRPr="00290056">
        <w:t xml:space="preserve"> (</w:t>
      </w:r>
      <w:proofErr w:type="spellStart"/>
      <w:r w:rsidRPr="00290056">
        <w:t>Nona</w:t>
      </w:r>
      <w:proofErr w:type="spellEnd"/>
      <w:r w:rsidRPr="00290056">
        <w:t xml:space="preserve"> </w:t>
      </w:r>
      <w:proofErr w:type="spellStart"/>
      <w:r w:rsidRPr="00290056">
        <w:t>Tsotsoria</w:t>
      </w:r>
      <w:proofErr w:type="spellEnd"/>
      <w:r w:rsidRPr="00290056">
        <w:t>),</w:t>
      </w:r>
      <w:r w:rsidRPr="00290056">
        <w:rPr>
          <w:i/>
        </w:rPr>
        <w:br/>
      </w:r>
      <w:r w:rsidRPr="00290056">
        <w:tab/>
        <w:t xml:space="preserve">Андре </w:t>
      </w:r>
      <w:proofErr w:type="spellStart"/>
      <w:r w:rsidRPr="00290056">
        <w:t>Пото</w:t>
      </w:r>
      <w:r w:rsidR="00E841EF" w:rsidRPr="00290056">
        <w:t>ц</w:t>
      </w:r>
      <w:r w:rsidRPr="00290056">
        <w:t>ки</w:t>
      </w:r>
      <w:proofErr w:type="spellEnd"/>
      <w:r w:rsidRPr="00290056">
        <w:t xml:space="preserve"> (</w:t>
      </w:r>
      <w:proofErr w:type="spellStart"/>
      <w:r w:rsidRPr="00290056">
        <w:t>André</w:t>
      </w:r>
      <w:proofErr w:type="spellEnd"/>
      <w:r w:rsidRPr="00290056">
        <w:t xml:space="preserve"> </w:t>
      </w:r>
      <w:proofErr w:type="spellStart"/>
      <w:r w:rsidRPr="00290056">
        <w:t>Potocki</w:t>
      </w:r>
      <w:proofErr w:type="spellEnd"/>
      <w:r w:rsidRPr="00290056">
        <w:t>),</w:t>
      </w:r>
      <w:r w:rsidRPr="00290056">
        <w:rPr>
          <w:i/>
        </w:rPr>
        <w:br/>
      </w:r>
      <w:r w:rsidRPr="00290056">
        <w:tab/>
        <w:t>Йонко Грозев (</w:t>
      </w:r>
      <w:proofErr w:type="spellStart"/>
      <w:r w:rsidRPr="00290056">
        <w:t>Yonko</w:t>
      </w:r>
      <w:proofErr w:type="spellEnd"/>
      <w:r w:rsidRPr="00290056">
        <w:t xml:space="preserve"> </w:t>
      </w:r>
      <w:proofErr w:type="spellStart"/>
      <w:r w:rsidRPr="00290056">
        <w:t>Grozev</w:t>
      </w:r>
      <w:proofErr w:type="spellEnd"/>
      <w:r w:rsidRPr="00290056">
        <w:t>),</w:t>
      </w:r>
      <w:r w:rsidRPr="00290056">
        <w:rPr>
          <w:i/>
        </w:rPr>
        <w:br/>
      </w:r>
      <w:r w:rsidRPr="00290056">
        <w:tab/>
      </w:r>
      <w:proofErr w:type="spellStart"/>
      <w:r w:rsidRPr="00290056">
        <w:t>Мартинш</w:t>
      </w:r>
      <w:proofErr w:type="spellEnd"/>
      <w:r w:rsidRPr="00290056">
        <w:t xml:space="preserve"> </w:t>
      </w:r>
      <w:proofErr w:type="spellStart"/>
      <w:r w:rsidRPr="00290056">
        <w:t>Митс</w:t>
      </w:r>
      <w:proofErr w:type="spellEnd"/>
      <w:r w:rsidRPr="00290056">
        <w:t xml:space="preserve"> (</w:t>
      </w:r>
      <w:proofErr w:type="spellStart"/>
      <w:r w:rsidRPr="00290056">
        <w:t>Mārtiņš</w:t>
      </w:r>
      <w:proofErr w:type="spellEnd"/>
      <w:r w:rsidRPr="00290056">
        <w:t xml:space="preserve"> </w:t>
      </w:r>
      <w:proofErr w:type="spellStart"/>
      <w:r w:rsidRPr="00290056">
        <w:t>Mits</w:t>
      </w:r>
      <w:proofErr w:type="spellEnd"/>
      <w:r w:rsidRPr="00290056">
        <w:t>),</w:t>
      </w:r>
      <w:r w:rsidRPr="00290056">
        <w:rPr>
          <w:i/>
        </w:rPr>
        <w:br/>
      </w:r>
      <w:r w:rsidRPr="00290056">
        <w:tab/>
        <w:t xml:space="preserve">Габриеле </w:t>
      </w:r>
      <w:proofErr w:type="spellStart"/>
      <w:r w:rsidRPr="00290056">
        <w:t>Куцко-Щадлмайер</w:t>
      </w:r>
      <w:proofErr w:type="spellEnd"/>
      <w:r w:rsidRPr="00290056">
        <w:t xml:space="preserve"> (</w:t>
      </w:r>
      <w:proofErr w:type="spellStart"/>
      <w:r w:rsidRPr="00290056">
        <w:t>Gabriele</w:t>
      </w:r>
      <w:proofErr w:type="spellEnd"/>
      <w:r w:rsidRPr="00290056">
        <w:t xml:space="preserve"> </w:t>
      </w:r>
      <w:proofErr w:type="spellStart"/>
      <w:r w:rsidRPr="00290056">
        <w:t>Kucsko-Stadlmayer</w:t>
      </w:r>
      <w:proofErr w:type="spellEnd"/>
      <w:r w:rsidRPr="00290056">
        <w:t>),</w:t>
      </w:r>
      <w:r w:rsidRPr="00290056">
        <w:rPr>
          <w:i/>
        </w:rPr>
        <w:br/>
      </w:r>
      <w:r w:rsidRPr="00290056">
        <w:tab/>
        <w:t>Летиф Хюсеинов (</w:t>
      </w:r>
      <w:proofErr w:type="spellStart"/>
      <w:r w:rsidRPr="00290056">
        <w:t>Lәtif</w:t>
      </w:r>
      <w:proofErr w:type="spellEnd"/>
      <w:r w:rsidRPr="00290056">
        <w:t xml:space="preserve"> </w:t>
      </w:r>
      <w:proofErr w:type="spellStart"/>
      <w:r w:rsidRPr="00290056">
        <w:t>Hüseynov</w:t>
      </w:r>
      <w:proofErr w:type="spellEnd"/>
      <w:r w:rsidRPr="00290056">
        <w:t>),</w:t>
      </w:r>
      <w:r w:rsidRPr="00290056">
        <w:rPr>
          <w:i/>
        </w:rPr>
        <w:t xml:space="preserve"> съдии,</w:t>
      </w:r>
      <w:r w:rsidRPr="00290056">
        <w:rPr>
          <w:i/>
        </w:rPr>
        <w:br/>
      </w:r>
      <w:r w:rsidRPr="00290056">
        <w:t xml:space="preserve">и Милан </w:t>
      </w:r>
      <w:proofErr w:type="spellStart"/>
      <w:r w:rsidRPr="00290056">
        <w:t>Бла</w:t>
      </w:r>
      <w:r w:rsidR="00E841EF" w:rsidRPr="00290056">
        <w:t>с</w:t>
      </w:r>
      <w:r w:rsidRPr="00290056">
        <w:t>ко</w:t>
      </w:r>
      <w:proofErr w:type="spellEnd"/>
      <w:r w:rsidRPr="00290056">
        <w:t xml:space="preserve"> (</w:t>
      </w:r>
      <w:proofErr w:type="spellStart"/>
      <w:r w:rsidRPr="00290056">
        <w:t>Milan</w:t>
      </w:r>
      <w:proofErr w:type="spellEnd"/>
      <w:r w:rsidRPr="00290056">
        <w:t xml:space="preserve"> </w:t>
      </w:r>
      <w:proofErr w:type="spellStart"/>
      <w:r w:rsidRPr="00290056">
        <w:t>Blaško</w:t>
      </w:r>
      <w:proofErr w:type="spellEnd"/>
      <w:r w:rsidRPr="00290056">
        <w:t xml:space="preserve">), </w:t>
      </w:r>
      <w:r w:rsidRPr="00290056">
        <w:rPr>
          <w:i/>
        </w:rPr>
        <w:t>заместник-секретар на отделението,</w:t>
      </w:r>
    </w:p>
    <w:p w:rsidR="00F33C6E" w:rsidRPr="00290056" w:rsidRDefault="00F33C6E" w:rsidP="003B32A3">
      <w:pPr>
        <w:pStyle w:val="ECHRPara"/>
      </w:pPr>
      <w:r w:rsidRPr="00290056">
        <w:t>Като взе предвид горната жалба, подадена на 27 октомври 2009 г.,</w:t>
      </w:r>
    </w:p>
    <w:p w:rsidR="00F33C6E" w:rsidRPr="00290056" w:rsidRDefault="00F33C6E" w:rsidP="003B32A3">
      <w:pPr>
        <w:pStyle w:val="ECHRPara"/>
      </w:pPr>
      <w:r w:rsidRPr="00290056">
        <w:t xml:space="preserve">Като взе предвид </w:t>
      </w:r>
      <w:r w:rsidR="0066509A" w:rsidRPr="00290056">
        <w:t xml:space="preserve">становищата, </w:t>
      </w:r>
      <w:r w:rsidRPr="00290056">
        <w:t xml:space="preserve">представени </w:t>
      </w:r>
      <w:r w:rsidR="0066509A" w:rsidRPr="00290056">
        <w:t xml:space="preserve">от </w:t>
      </w:r>
      <w:r w:rsidRPr="00290056">
        <w:t>Правителство</w:t>
      </w:r>
      <w:r w:rsidR="0066509A" w:rsidRPr="00290056">
        <w:t>то ответник</w:t>
      </w:r>
      <w:r w:rsidRPr="00290056">
        <w:t xml:space="preserve"> и становищата, представени в отговор от жалбоподателите,</w:t>
      </w:r>
    </w:p>
    <w:p w:rsidR="00F33C6E" w:rsidRPr="00290056" w:rsidRDefault="00F33C6E" w:rsidP="003B32A3">
      <w:pPr>
        <w:pStyle w:val="ECHRPara"/>
      </w:pPr>
      <w:r w:rsidRPr="00290056">
        <w:t xml:space="preserve">След </w:t>
      </w:r>
      <w:r w:rsidR="0066509A" w:rsidRPr="00290056">
        <w:t xml:space="preserve">проведено </w:t>
      </w:r>
      <w:r w:rsidRPr="00290056">
        <w:t>заседание</w:t>
      </w:r>
      <w:r w:rsidR="0066509A" w:rsidRPr="00290056">
        <w:t>, постанови както следва</w:t>
      </w:r>
      <w:r w:rsidRPr="00290056">
        <w:t>:</w:t>
      </w:r>
    </w:p>
    <w:p w:rsidR="00F33C6E" w:rsidRPr="00290056" w:rsidRDefault="00F33C6E" w:rsidP="003B32A3">
      <w:pPr>
        <w:pStyle w:val="ECHRTitle1"/>
      </w:pPr>
      <w:r w:rsidRPr="00290056">
        <w:t>ФАКТИТЕ</w:t>
      </w:r>
    </w:p>
    <w:p w:rsidR="00F33C6E" w:rsidRPr="00290056" w:rsidRDefault="007432D2" w:rsidP="003B32A3">
      <w:pPr>
        <w:pStyle w:val="ECHRPara"/>
      </w:pPr>
      <w:r>
        <w:t xml:space="preserve">1.  Дружеството </w:t>
      </w:r>
      <w:r w:rsidR="00F33C6E" w:rsidRPr="00290056">
        <w:t xml:space="preserve">жалбоподател „Климат </w:t>
      </w:r>
      <w:proofErr w:type="spellStart"/>
      <w:r w:rsidR="00F33C6E" w:rsidRPr="00290056">
        <w:t>Инком</w:t>
      </w:r>
      <w:proofErr w:type="spellEnd"/>
      <w:r w:rsidR="00F33C6E" w:rsidRPr="00290056">
        <w:t xml:space="preserve"> В &amp; Ко” ООД </w:t>
      </w:r>
      <w:r w:rsidR="0066509A" w:rsidRPr="00290056">
        <w:t xml:space="preserve">е </w:t>
      </w:r>
      <w:r w:rsidR="00F33C6E" w:rsidRPr="00290056">
        <w:t xml:space="preserve">българско дружество с ограничена отговорност </w:t>
      </w:r>
      <w:r w:rsidR="0066509A" w:rsidRPr="00290056">
        <w:t xml:space="preserve">и </w:t>
      </w:r>
      <w:r w:rsidR="00F33C6E" w:rsidRPr="00290056">
        <w:t xml:space="preserve">седалище в София. То </w:t>
      </w:r>
      <w:r w:rsidR="0066509A" w:rsidRPr="00290056">
        <w:t>с</w:t>
      </w:r>
      <w:r w:rsidR="00F33C6E" w:rsidRPr="00290056">
        <w:t xml:space="preserve">е </w:t>
      </w:r>
      <w:r w:rsidR="0066509A" w:rsidRPr="00290056">
        <w:t xml:space="preserve">притежава </w:t>
      </w:r>
      <w:r w:rsidR="00F33C6E" w:rsidRPr="00290056">
        <w:t xml:space="preserve">изцяло </w:t>
      </w:r>
      <w:r w:rsidR="0066509A" w:rsidRPr="00290056">
        <w:t xml:space="preserve">от </w:t>
      </w:r>
      <w:r w:rsidR="00F33C6E" w:rsidRPr="00290056">
        <w:t>двамата жалбоподатели - г-н Данаил Кирилов Видолов и г-жа Вера Ганчева Видолова - български граждани, родени съответно през 1941</w:t>
      </w:r>
      <w:r w:rsidR="0066509A" w:rsidRPr="00290056">
        <w:t xml:space="preserve"> г.</w:t>
      </w:r>
      <w:r w:rsidR="00F33C6E" w:rsidRPr="00290056">
        <w:t xml:space="preserve"> и 1946 г. Г-н Данаил Кирилов Видолов живее в София.</w:t>
      </w:r>
    </w:p>
    <w:p w:rsidR="00F33C6E" w:rsidRPr="00290056" w:rsidRDefault="00F33C6E" w:rsidP="003B32A3">
      <w:pPr>
        <w:pStyle w:val="ECHRPara"/>
      </w:pPr>
      <w:r w:rsidRPr="00290056">
        <w:lastRenderedPageBreak/>
        <w:t>2.  Г-жа Вера Ганчева Видолова умира на 23 май 2014 г. В писмо от 14 декември 2016 г. нейните наследници - г-н Данаил Кирилов Видолов, г-н Кирил Данаилов Видолов и г-н Даниел Данаилов Кирилов - изразяват желание</w:t>
      </w:r>
      <w:r w:rsidR="0066509A" w:rsidRPr="00290056">
        <w:t>то си</w:t>
      </w:r>
      <w:r w:rsidRPr="00290056">
        <w:t xml:space="preserve"> да </w:t>
      </w:r>
      <w:r w:rsidR="0066509A" w:rsidRPr="00290056">
        <w:t xml:space="preserve">поддържат </w:t>
      </w:r>
      <w:r w:rsidRPr="00290056">
        <w:t>жалбата вместо нея.</w:t>
      </w:r>
    </w:p>
    <w:p w:rsidR="00F33C6E" w:rsidRPr="00290056" w:rsidRDefault="009F7FB1" w:rsidP="003B32A3">
      <w:pPr>
        <w:pStyle w:val="ECHRPara"/>
      </w:pPr>
      <w:r>
        <w:t xml:space="preserve">3.  Дружеството </w:t>
      </w:r>
      <w:r w:rsidR="00F33C6E" w:rsidRPr="00290056">
        <w:t xml:space="preserve">жалбоподател е </w:t>
      </w:r>
      <w:r w:rsidR="00301922">
        <w:t>прекратено</w:t>
      </w:r>
      <w:r w:rsidR="00301922" w:rsidRPr="00290056">
        <w:t xml:space="preserve"> </w:t>
      </w:r>
      <w:r w:rsidR="00F33C6E" w:rsidRPr="00290056">
        <w:t>през 2015 г.</w:t>
      </w:r>
    </w:p>
    <w:p w:rsidR="00F33C6E" w:rsidRPr="00290056" w:rsidRDefault="00F33C6E" w:rsidP="003B32A3">
      <w:pPr>
        <w:pStyle w:val="ECHRPara"/>
      </w:pPr>
      <w:r w:rsidRPr="00290056">
        <w:t xml:space="preserve">4.  Жалбоподателите и наследниците на г-жа Видолова се представляват от г-н М. </w:t>
      </w:r>
      <w:proofErr w:type="spellStart"/>
      <w:r w:rsidRPr="00290056">
        <w:t>Екимджиев</w:t>
      </w:r>
      <w:proofErr w:type="spellEnd"/>
      <w:r w:rsidRPr="00290056">
        <w:t xml:space="preserve"> и г-жа К. Бончева, адвокати, практикуващи в Пловдив.</w:t>
      </w:r>
    </w:p>
    <w:p w:rsidR="00F33C6E" w:rsidRPr="00290056" w:rsidRDefault="00F33C6E" w:rsidP="003B32A3">
      <w:pPr>
        <w:pStyle w:val="ECHRPara"/>
      </w:pPr>
      <w:r w:rsidRPr="00290056">
        <w:t>5.  Българското правителство („Правителството”) се представлява от правителствения агент г-жа М. Димитрова от Министерство на правосъдието.</w:t>
      </w:r>
    </w:p>
    <w:p w:rsidR="00F33C6E" w:rsidRPr="00290056" w:rsidRDefault="00F33C6E" w:rsidP="003B32A3">
      <w:pPr>
        <w:pStyle w:val="ECHRHeading2"/>
      </w:pPr>
      <w:r w:rsidRPr="00290056">
        <w:t>А.  Обстоятелства по делото</w:t>
      </w:r>
    </w:p>
    <w:p w:rsidR="00F33C6E" w:rsidRPr="00290056" w:rsidRDefault="00F33C6E" w:rsidP="003B32A3">
      <w:pPr>
        <w:pStyle w:val="ECHRPara"/>
      </w:pPr>
      <w:r w:rsidRPr="00290056">
        <w:t>6.  Фактите по делото, както са представени от страните, могат да бъдат обобщени по следния начин.</w:t>
      </w:r>
    </w:p>
    <w:p w:rsidR="00F33C6E" w:rsidRPr="00290056" w:rsidRDefault="00F33C6E" w:rsidP="003B32A3">
      <w:pPr>
        <w:pStyle w:val="ECHRHeading3"/>
      </w:pPr>
      <w:r w:rsidRPr="00290056">
        <w:t>1.  Предистория</w:t>
      </w:r>
    </w:p>
    <w:p w:rsidR="00F33C6E" w:rsidRPr="00290056" w:rsidRDefault="00F33C6E" w:rsidP="003B32A3">
      <w:pPr>
        <w:pStyle w:val="ECHRPara"/>
      </w:pPr>
      <w:r w:rsidRPr="00290056">
        <w:t>7.  </w:t>
      </w:r>
      <w:r w:rsidR="00534397">
        <w:t>Дружеството с държавно имущество</w:t>
      </w:r>
      <w:r w:rsidRPr="00290056">
        <w:t xml:space="preserve"> “</w:t>
      </w:r>
      <w:proofErr w:type="spellStart"/>
      <w:r w:rsidRPr="00290056">
        <w:t>Инкомс</w:t>
      </w:r>
      <w:proofErr w:type="spellEnd"/>
      <w:r w:rsidRPr="00290056">
        <w:t xml:space="preserve">” е създадено през 1989 г. като </w:t>
      </w:r>
      <w:r w:rsidR="00AB3DC0">
        <w:t>правоприемник</w:t>
      </w:r>
      <w:r w:rsidR="00AB3DC0" w:rsidRPr="00290056">
        <w:t xml:space="preserve"> </w:t>
      </w:r>
      <w:r w:rsidRPr="00290056">
        <w:t>на съществувало преди това държавно предприятие. През 1991 г. е регистрирано като акционерно дружество със седалище в София. По това време то е изцяло притежавано от държавата.</w:t>
      </w:r>
    </w:p>
    <w:p w:rsidR="00F33C6E" w:rsidRPr="00290056" w:rsidRDefault="00F33C6E" w:rsidP="003B32A3">
      <w:pPr>
        <w:pStyle w:val="ECHRPara"/>
      </w:pPr>
      <w:r w:rsidRPr="00290056">
        <w:t xml:space="preserve">8.  През 1992 г. Народното събрание приема Закона за преобразуване и приватизация на държавните и общинските предприятия (наричан по-долу “Законът за преобразуване и приватизация”). Съгласно чл. 17a от него (вж. параграф 20 по-долу) дружеството става собственик на имотите, които е </w:t>
      </w:r>
      <w:r w:rsidR="00AB3DC0">
        <w:t>стопанисвало</w:t>
      </w:r>
      <w:r w:rsidR="00075E38">
        <w:t xml:space="preserve"> </w:t>
      </w:r>
      <w:r w:rsidRPr="00290056">
        <w:t>и управлявало дотогава. През 1994 г. дружеството е преименувано на “Инкомс-Телеком Холдинг” ЕАД.</w:t>
      </w:r>
    </w:p>
    <w:p w:rsidR="00F33C6E" w:rsidRPr="00290056" w:rsidRDefault="00F33C6E" w:rsidP="003B32A3">
      <w:pPr>
        <w:pStyle w:val="ECHRPara"/>
      </w:pPr>
      <w:r w:rsidRPr="00290056">
        <w:t>9.  На неуточнена дата е взето решение за приватизация на “Инкомс</w:t>
      </w:r>
      <w:r w:rsidRPr="00290056">
        <w:noBreakHyphen/>
        <w:t>Телеком Холдинг” ЕАД.</w:t>
      </w:r>
    </w:p>
    <w:p w:rsidR="00F33C6E" w:rsidRPr="00290056" w:rsidRDefault="00F33C6E" w:rsidP="003B32A3">
      <w:pPr>
        <w:pStyle w:val="ECHRHeading3"/>
      </w:pPr>
      <w:r w:rsidRPr="00290056">
        <w:t>2.  Договорът от 1997 г.</w:t>
      </w:r>
    </w:p>
    <w:p w:rsidR="00F33C6E" w:rsidRPr="00290056" w:rsidRDefault="00075E38" w:rsidP="003B32A3">
      <w:pPr>
        <w:pStyle w:val="ECHRPara"/>
      </w:pPr>
      <w:r>
        <w:t xml:space="preserve">10.  В началото на 1996 г. </w:t>
      </w:r>
      <w:r w:rsidR="000476AA">
        <w:t>общото събрание</w:t>
      </w:r>
      <w:r w:rsidR="000476AA" w:rsidRPr="00290056">
        <w:t xml:space="preserve"> </w:t>
      </w:r>
      <w:r w:rsidR="00F33C6E" w:rsidRPr="00290056">
        <w:t>на дружеството взема решение да пусне за продажба част от имотите на дружеството, а именно две промишлени сгради в София, покриващи площи съответно от 530 и 1590 квадратни метра, както и парцела, на който се намират, с площ от 5152 квадратни метра (наричани по-долу “имотите”). След планирането на приватизацията на дружест</w:t>
      </w:r>
      <w:r>
        <w:t>вото, продажбата трябва да бъде о</w:t>
      </w:r>
      <w:r w:rsidR="00301922">
        <w:t>добрена</w:t>
      </w:r>
      <w:r w:rsidR="00301922" w:rsidRPr="00290056">
        <w:t xml:space="preserve"> </w:t>
      </w:r>
      <w:r w:rsidR="00F33C6E" w:rsidRPr="00290056">
        <w:t xml:space="preserve">от Министерския съвет (изискване по чл. 21, ал. 2 от Закона за преобразуване и приватизация - вж. параграф 23 по-долу). На 14 юни 1996 г. Министерският съвет разрешава продажбата с решение, в което освен това се </w:t>
      </w:r>
      <w:r w:rsidR="003A59BE" w:rsidRPr="00290056">
        <w:t>посочва</w:t>
      </w:r>
      <w:r w:rsidR="00F33C6E" w:rsidRPr="00290056">
        <w:t xml:space="preserve">, че продажбата ще бъде извършена в </w:t>
      </w:r>
      <w:r w:rsidR="00F33C6E" w:rsidRPr="00290056">
        <w:lastRenderedPageBreak/>
        <w:t>съответствие с чл. 18, ал. 2 от Правилника за реда за упражняване правата на държавата в предприятията от 1994 г. (наричан по -долу “Правилникът от 1994 г.”, вж. параграф 24 по-долу).</w:t>
      </w:r>
    </w:p>
    <w:p w:rsidR="00F33C6E" w:rsidRPr="00290056" w:rsidRDefault="00F33C6E" w:rsidP="003B32A3">
      <w:pPr>
        <w:pStyle w:val="ECHRPara"/>
      </w:pPr>
      <w:r w:rsidRPr="00290056">
        <w:t>11.  На 23 август 1996 г. “Инкомс-Телеком Холдинг” ЕАД и дружеството</w:t>
      </w:r>
      <w:r w:rsidR="006F3CA3">
        <w:t xml:space="preserve"> </w:t>
      </w:r>
      <w:r w:rsidRPr="00290056">
        <w:t>жалбоподател сключват предварителен договор за продажба на имотите. Окончателният договор е подписан на 5 февруари 1997 г. (наричан по-долу “Договорът от 1997 г.”). През юли 1997 г. дружеството</w:t>
      </w:r>
      <w:r w:rsidR="006F3CA3">
        <w:t xml:space="preserve"> </w:t>
      </w:r>
      <w:r w:rsidRPr="00290056">
        <w:t xml:space="preserve">жалбоподател изплаща в пълен размер договорената цена, която </w:t>
      </w:r>
      <w:r w:rsidR="00442A95" w:rsidRPr="00290056">
        <w:t xml:space="preserve">в </w:t>
      </w:r>
      <w:r w:rsidRPr="00290056">
        <w:t>онзи момент е равна на приблизително 22 000 евро.</w:t>
      </w:r>
    </w:p>
    <w:p w:rsidR="00F33C6E" w:rsidRPr="00290056" w:rsidRDefault="00F33C6E" w:rsidP="003B32A3">
      <w:pPr>
        <w:pStyle w:val="ECHRPara"/>
      </w:pPr>
      <w:r w:rsidRPr="00290056">
        <w:t>12.  През август 1997 г. дружеството</w:t>
      </w:r>
      <w:r w:rsidR="006F3CA3">
        <w:t xml:space="preserve"> </w:t>
      </w:r>
      <w:r w:rsidRPr="00290056">
        <w:t>жалбоподател влиза във владение на имотите и започва да ги използва. Сградите изглежда са били в лошо състояние и то прави значителни подобрения по тях. Според експертна оценка, представена от г-н Видолов и наследниците на г-жа Видолова, през декември 2016 г. стойността на имотите е 2 610 900 евро. Въпреки това, тъй като страните не предостав</w:t>
      </w:r>
      <w:r w:rsidR="00442A95" w:rsidRPr="00290056">
        <w:t>ят</w:t>
      </w:r>
      <w:r w:rsidRPr="00290056">
        <w:t xml:space="preserve"> на Съда оценка за стойността на подобренията, направени след 1997 г., не е ясно до каква степен увеличената стойност през 2016 г. е резултат от промените в цените на пазара на недвижими имоти и до каква степен - от подобренията, направени от дружеството жалбоподател.</w:t>
      </w:r>
    </w:p>
    <w:p w:rsidR="00F33C6E" w:rsidRPr="00290056" w:rsidRDefault="00F33C6E" w:rsidP="003B32A3">
      <w:pPr>
        <w:pStyle w:val="ECHRHeading3"/>
      </w:pPr>
      <w:r w:rsidRPr="00290056">
        <w:t xml:space="preserve">3.  Производство </w:t>
      </w:r>
      <w:proofErr w:type="spellStart"/>
      <w:r w:rsidRPr="00290056">
        <w:rPr>
          <w:i w:val="0"/>
        </w:rPr>
        <w:t>rei</w:t>
      </w:r>
      <w:proofErr w:type="spellEnd"/>
      <w:r w:rsidRPr="00290056">
        <w:rPr>
          <w:i w:val="0"/>
        </w:rPr>
        <w:t xml:space="preserve"> </w:t>
      </w:r>
      <w:proofErr w:type="spellStart"/>
      <w:r w:rsidRPr="00290056">
        <w:rPr>
          <w:i w:val="0"/>
        </w:rPr>
        <w:t>vindicatio</w:t>
      </w:r>
      <w:proofErr w:type="spellEnd"/>
    </w:p>
    <w:p w:rsidR="00F33C6E" w:rsidRPr="00290056" w:rsidRDefault="00F33C6E" w:rsidP="003B32A3">
      <w:pPr>
        <w:pStyle w:val="ECHRPara"/>
      </w:pPr>
      <w:r w:rsidRPr="00290056">
        <w:t>13.  “Инкомс-Телеком Холдинг” ЕАД е приватизирано през 2002 г., след което името му е променено на “Инкомс-Телеком Холдинг” АД.</w:t>
      </w:r>
    </w:p>
    <w:p w:rsidR="00F33C6E" w:rsidRPr="00290056" w:rsidRDefault="00F33C6E" w:rsidP="003B32A3">
      <w:pPr>
        <w:pStyle w:val="ECHRPara"/>
      </w:pPr>
      <w:r w:rsidRPr="00290056">
        <w:t>14.  Пре</w:t>
      </w:r>
      <w:r w:rsidR="00075E38">
        <w:t xml:space="preserve">з 2003 г. дружеството предявява </w:t>
      </w:r>
      <w:r w:rsidR="005D0ED9">
        <w:t>ревандикационен иск</w:t>
      </w:r>
      <w:r w:rsidRPr="00290056">
        <w:t xml:space="preserve"> срещу дружеството</w:t>
      </w:r>
      <w:r w:rsidR="006F3CA3">
        <w:t xml:space="preserve"> </w:t>
      </w:r>
      <w:r w:rsidRPr="00290056">
        <w:t xml:space="preserve">жалбоподател за </w:t>
      </w:r>
      <w:r w:rsidR="005D0ED9">
        <w:t>предаване владението</w:t>
      </w:r>
      <w:r w:rsidR="005D0ED9" w:rsidRPr="00290056">
        <w:t xml:space="preserve"> </w:t>
      </w:r>
      <w:r w:rsidRPr="00290056">
        <w:t>на имотите. То твърди, че договорът за продажба от 1997 г. е нищожен, тъй като не е сключен пред нотариус, как</w:t>
      </w:r>
      <w:r w:rsidR="005D0ED9">
        <w:t>вато е предписаната</w:t>
      </w:r>
      <w:r w:rsidRPr="00290056">
        <w:t xml:space="preserve"> </w:t>
      </w:r>
      <w:r w:rsidR="005D0ED9">
        <w:t>от</w:t>
      </w:r>
      <w:r w:rsidRPr="00290056">
        <w:t xml:space="preserve"> закона</w:t>
      </w:r>
      <w:r w:rsidR="005D0ED9">
        <w:t xml:space="preserve"> форма</w:t>
      </w:r>
      <w:r w:rsidRPr="00290056">
        <w:t>. Следователно дружеството жалбоподател не е придобило имотите по валиден начин.</w:t>
      </w:r>
    </w:p>
    <w:p w:rsidR="00F33C6E" w:rsidRPr="00290056" w:rsidRDefault="00F33C6E" w:rsidP="003B32A3">
      <w:pPr>
        <w:pStyle w:val="ECHRPara"/>
      </w:pPr>
      <w:r w:rsidRPr="00290056">
        <w:t xml:space="preserve">15.  Искът е </w:t>
      </w:r>
      <w:r w:rsidR="005D0ED9">
        <w:t>уважен</w:t>
      </w:r>
      <w:r w:rsidR="005D0ED9" w:rsidRPr="00290056">
        <w:t xml:space="preserve"> </w:t>
      </w:r>
      <w:r w:rsidRPr="00290056">
        <w:t xml:space="preserve">на 4 юни 2004 г. от Софийски районен съд. В самото начало той отбеляза, че продажбата би била валидна само ако е надлежно </w:t>
      </w:r>
      <w:r w:rsidR="001808E7" w:rsidRPr="00290056">
        <w:t xml:space="preserve">разрешена </w:t>
      </w:r>
      <w:r w:rsidRPr="00290056">
        <w:t xml:space="preserve">от Министерския съвет, както се изисква от закона. Разрешението, дадено на 14 юни 1996 г. (вж. параграф </w:t>
      </w:r>
      <w:r w:rsidR="006F3CA3">
        <w:t>10 по-горе)</w:t>
      </w:r>
      <w:r w:rsidRPr="00290056">
        <w:t xml:space="preserve"> обаче, е било твърде общо и в него не са посочени въпросните имоти.</w:t>
      </w:r>
    </w:p>
    <w:p w:rsidR="00F33C6E" w:rsidRPr="00290056" w:rsidRDefault="00F33C6E" w:rsidP="003B32A3">
      <w:pPr>
        <w:pStyle w:val="ECHRPara"/>
      </w:pPr>
      <w:r w:rsidRPr="00290056">
        <w:t xml:space="preserve">16.  Освен това Софийски районен съд отбелязва, че договорът от 1997 г. е нищожен, защото не е сключен пред нотариус. Няма причина да се заключи, че общото изискване на чл. 18 от Закона за задълженията и договорите (вж. параграф 26 по-долу) не </w:t>
      </w:r>
      <w:r w:rsidR="001808E7" w:rsidRPr="00290056">
        <w:t xml:space="preserve">е </w:t>
      </w:r>
      <w:r w:rsidRPr="00290056">
        <w:t>прил</w:t>
      </w:r>
      <w:r w:rsidR="00FA6E21">
        <w:t>ожимо към този договор</w:t>
      </w:r>
      <w:r w:rsidRPr="00290056">
        <w:t xml:space="preserve">, тъй като той не попада в никое от предвидените от закона изключения. По-конкретно, разглежданият договор не е приватизационен договор, тъй като не попада в приложното поле на Закона за преобразуване и приватизация, както е определено в чл. 1, ал. 3 (вж. параграф 21 по-долу), и неговият предмет не </w:t>
      </w:r>
      <w:r w:rsidR="00FA6E21">
        <w:t xml:space="preserve">са </w:t>
      </w:r>
      <w:r w:rsidRPr="00290056">
        <w:t xml:space="preserve">държавни имоти, тъй като разглежданите имоти вече са били частна собственост на </w:t>
      </w:r>
      <w:r w:rsidRPr="00290056">
        <w:lastRenderedPageBreak/>
        <w:t>дружеството “</w:t>
      </w:r>
      <w:proofErr w:type="spellStart"/>
      <w:r w:rsidRPr="00290056">
        <w:t>Инкомс</w:t>
      </w:r>
      <w:proofErr w:type="spellEnd"/>
      <w:r w:rsidRPr="00290056">
        <w:t>” по силата на чл. 17a от Закона за преобразуване и приватизация (вж. параграф 8 по-горе). Също така чл. 18, ал. 2 от Правилника от 1994 г. (вж. параграф 24 по-долу), на който дружеството жалбоподател се позова</w:t>
      </w:r>
      <w:r w:rsidR="001808E7" w:rsidRPr="00290056">
        <w:t>ва</w:t>
      </w:r>
      <w:r w:rsidRPr="00290056">
        <w:t xml:space="preserve">, не може да </w:t>
      </w:r>
      <w:r w:rsidR="009913F3">
        <w:t>послужи като</w:t>
      </w:r>
      <w:r w:rsidR="009913F3" w:rsidRPr="00290056">
        <w:t xml:space="preserve"> </w:t>
      </w:r>
      <w:r w:rsidRPr="00290056">
        <w:t xml:space="preserve">правно основание за заключението, че изискването, предвидено в чл. 18 от Закона за задълженията и договорите, е неприложимо. </w:t>
      </w:r>
      <w:r w:rsidR="009913F3">
        <w:t>Следователно,</w:t>
      </w:r>
      <w:r w:rsidRPr="00290056">
        <w:t xml:space="preserve"> договорът от 1997 г., който не е бил сключен пред нотариус, е </w:t>
      </w:r>
      <w:r w:rsidR="009913F3">
        <w:t>изнач</w:t>
      </w:r>
      <w:r w:rsidR="00F93D13">
        <w:t>ал</w:t>
      </w:r>
      <w:r w:rsidR="009913F3">
        <w:t>но нищожен.</w:t>
      </w:r>
    </w:p>
    <w:p w:rsidR="00F33C6E" w:rsidRPr="00290056" w:rsidRDefault="00F33C6E" w:rsidP="003B32A3">
      <w:pPr>
        <w:pStyle w:val="ECHRPara"/>
      </w:pPr>
      <w:r w:rsidRPr="00290056">
        <w:t>17.  Недействителността на договора означава, че дружеството</w:t>
      </w:r>
      <w:r w:rsidR="00DA7B8D">
        <w:t xml:space="preserve"> </w:t>
      </w:r>
      <w:r w:rsidRPr="00290056">
        <w:t xml:space="preserve">жалбоподател е </w:t>
      </w:r>
      <w:r w:rsidR="009913F3">
        <w:t>владяло</w:t>
      </w:r>
      <w:r w:rsidR="009913F3" w:rsidRPr="00290056">
        <w:t xml:space="preserve"> </w:t>
      </w:r>
      <w:r w:rsidRPr="00290056">
        <w:t xml:space="preserve">недобросъвестно имотите след август 1997 г. и може да придобие тези имоти </w:t>
      </w:r>
      <w:r w:rsidR="009913F3">
        <w:t>по</w:t>
      </w:r>
      <w:r w:rsidRPr="00290056">
        <w:t xml:space="preserve"> давност след изтичането на период от десет години. Тъй като ищецът </w:t>
      </w:r>
      <w:r w:rsidR="00A9604E" w:rsidRPr="00290056">
        <w:t xml:space="preserve">предявява </w:t>
      </w:r>
      <w:r w:rsidR="009913F3">
        <w:t>иск</w:t>
      </w:r>
      <w:r w:rsidR="009913F3" w:rsidRPr="00290056">
        <w:t xml:space="preserve"> </w:t>
      </w:r>
      <w:r w:rsidRPr="00290056">
        <w:t xml:space="preserve">през 2003 г., </w:t>
      </w:r>
      <w:proofErr w:type="spellStart"/>
      <w:r w:rsidR="006E5353">
        <w:t>давностният</w:t>
      </w:r>
      <w:proofErr w:type="spellEnd"/>
      <w:r w:rsidR="006E5353">
        <w:t xml:space="preserve"> срок към този момент</w:t>
      </w:r>
      <w:r w:rsidRPr="00290056">
        <w:t xml:space="preserve"> не е бил изтекъл. </w:t>
      </w:r>
      <w:r w:rsidR="00A9604E" w:rsidRPr="00290056">
        <w:t xml:space="preserve">Следователно </w:t>
      </w:r>
      <w:r w:rsidRPr="00290056">
        <w:t>дружеството</w:t>
      </w:r>
      <w:r w:rsidR="00075E38">
        <w:t xml:space="preserve"> </w:t>
      </w:r>
      <w:r w:rsidRPr="00290056">
        <w:t>жалбоподател не е било собственик на имотите и е трябвало да предаде владението на ищеца.</w:t>
      </w:r>
    </w:p>
    <w:p w:rsidR="00F33C6E" w:rsidRPr="00290056" w:rsidRDefault="00F33C6E" w:rsidP="003B32A3">
      <w:pPr>
        <w:pStyle w:val="ECHRPara"/>
      </w:pPr>
      <w:r w:rsidRPr="00290056">
        <w:t xml:space="preserve">18.  На 26 февруари 2007 г. и 27 април 2009 г. </w:t>
      </w:r>
      <w:r w:rsidR="00A9604E" w:rsidRPr="00290056">
        <w:t xml:space="preserve">съответно </w:t>
      </w:r>
      <w:r w:rsidRPr="00290056">
        <w:t>горепосочените заключения са потвърдени от Софийски градски съд и Върховния касационен съд. Дружеството жалбоподател предава владението през 2007 г.</w:t>
      </w:r>
    </w:p>
    <w:p w:rsidR="00F33C6E" w:rsidRPr="00290056" w:rsidRDefault="00F33C6E" w:rsidP="003B32A3">
      <w:pPr>
        <w:pStyle w:val="ECHRHeading3"/>
        <w:spacing w:line="276" w:lineRule="auto"/>
      </w:pPr>
      <w:r w:rsidRPr="00290056">
        <w:t>4.  </w:t>
      </w:r>
      <w:r w:rsidR="006E5353" w:rsidRPr="00290056">
        <w:t>Про</w:t>
      </w:r>
      <w:r w:rsidR="006E5353">
        <w:t>изводство</w:t>
      </w:r>
      <w:r w:rsidR="006E5353" w:rsidRPr="00290056">
        <w:t xml:space="preserve"> </w:t>
      </w:r>
      <w:r w:rsidRPr="00290056">
        <w:t xml:space="preserve">по несъстоятелност и </w:t>
      </w:r>
      <w:r w:rsidR="00F93D13">
        <w:t>прекратяване</w:t>
      </w:r>
      <w:r w:rsidR="00F93D13" w:rsidRPr="00290056">
        <w:t xml:space="preserve"> </w:t>
      </w:r>
      <w:r w:rsidRPr="00290056">
        <w:t>на дружеството</w:t>
      </w:r>
      <w:r w:rsidR="00DA7B8D">
        <w:t xml:space="preserve"> </w:t>
      </w:r>
      <w:r w:rsidRPr="00290056">
        <w:t>жалбоподател</w:t>
      </w:r>
    </w:p>
    <w:p w:rsidR="00F33C6E" w:rsidRPr="00290056" w:rsidRDefault="00F33C6E" w:rsidP="003B32A3">
      <w:pPr>
        <w:pStyle w:val="ECHRPara"/>
      </w:pPr>
      <w:r w:rsidRPr="00290056">
        <w:t>19.  </w:t>
      </w:r>
      <w:r w:rsidR="0057125F">
        <w:t>П</w:t>
      </w:r>
      <w:r w:rsidRPr="00290056">
        <w:t xml:space="preserve">рез 2007 г. “Инкомс-Телеком Холдинг” АД </w:t>
      </w:r>
      <w:r w:rsidR="0057125F">
        <w:t xml:space="preserve">отделно </w:t>
      </w:r>
      <w:r w:rsidR="007A1514">
        <w:t>подава молба за откриване на производство по несъстоятелност срещу</w:t>
      </w:r>
      <w:r w:rsidR="007A1514" w:rsidRPr="00290056">
        <w:t xml:space="preserve"> </w:t>
      </w:r>
      <w:r w:rsidRPr="00290056">
        <w:t>дружеството</w:t>
      </w:r>
      <w:r w:rsidR="007A1514">
        <w:t xml:space="preserve"> </w:t>
      </w:r>
      <w:r w:rsidRPr="00290056">
        <w:t>жалбоподател</w:t>
      </w:r>
      <w:r w:rsidR="0057125F">
        <w:t>. През април 2008 г. е назначен синдик</w:t>
      </w:r>
      <w:r w:rsidR="007A1514">
        <w:t xml:space="preserve">, </w:t>
      </w:r>
      <w:r w:rsidR="0057125F">
        <w:t>като молбата е уважена през 2011 г</w:t>
      </w:r>
      <w:r w:rsidR="007A1514">
        <w:t>.</w:t>
      </w:r>
      <w:r w:rsidRPr="00290056">
        <w:t xml:space="preserve"> След</w:t>
      </w:r>
      <w:r w:rsidR="0057125F">
        <w:t xml:space="preserve"> приключване на</w:t>
      </w:r>
      <w:r w:rsidRPr="00290056">
        <w:t xml:space="preserve"> </w:t>
      </w:r>
      <w:r w:rsidR="0057125F">
        <w:t>разпределението на имуществото, съдът</w:t>
      </w:r>
      <w:r w:rsidR="00075E38">
        <w:t>,</w:t>
      </w:r>
      <w:r w:rsidR="0057125F">
        <w:t xml:space="preserve"> с решение от 5 ноември 2015 г.</w:t>
      </w:r>
      <w:r w:rsidR="00075E38">
        <w:t>,</w:t>
      </w:r>
      <w:r w:rsidR="0057125F">
        <w:t xml:space="preserve"> прекратява производството по несъстоятелност и постановява заличаване на търговеца.</w:t>
      </w:r>
    </w:p>
    <w:p w:rsidR="00F33C6E" w:rsidRPr="00290056" w:rsidRDefault="00F33C6E" w:rsidP="003B32A3">
      <w:pPr>
        <w:pStyle w:val="ECHRHeading2"/>
      </w:pPr>
      <w:r w:rsidRPr="00290056">
        <w:t>Б. Приложимо вътрешно право и практика</w:t>
      </w:r>
    </w:p>
    <w:p w:rsidR="00F33C6E" w:rsidRPr="00290056" w:rsidRDefault="00F33C6E" w:rsidP="003B32A3">
      <w:pPr>
        <w:pStyle w:val="ECHRHeading3"/>
      </w:pPr>
      <w:r w:rsidRPr="00290056">
        <w:t>1.  Законът за преобразуване и приватизация и вторично законодателство, прието за неговото прилагане</w:t>
      </w:r>
    </w:p>
    <w:p w:rsidR="00F33C6E" w:rsidRPr="00290056" w:rsidRDefault="00F33C6E" w:rsidP="003B32A3">
      <w:pPr>
        <w:pStyle w:val="ECHRPara"/>
      </w:pPr>
      <w:r w:rsidRPr="00290056">
        <w:t xml:space="preserve">20.  След 1989 г. Народното събрание приема няколко законодателни акта, предвиждащи преобразуването на държавните предприятия в дружества и приватизацията на такива дружества. Законът за преобразуване и приватизация на държавни и общински предприятия е приет през 1992 г. Неговият чл. 17а </w:t>
      </w:r>
      <w:r w:rsidR="00C21F27" w:rsidRPr="00290056">
        <w:t xml:space="preserve">предвижда </w:t>
      </w:r>
      <w:r w:rsidRPr="00290056">
        <w:t>по-конкретно, че в процеса на преобразуване на държавно предприятие собствеността върху недвижимо имущество или други активи, които са използвани и управлявани от него, следва да се смята за преминаващо към дружеството, което е негов правоприемник.</w:t>
      </w:r>
    </w:p>
    <w:p w:rsidR="00F33C6E" w:rsidRPr="00290056" w:rsidRDefault="00F33C6E" w:rsidP="003B32A3">
      <w:pPr>
        <w:pStyle w:val="ECHRPara"/>
      </w:pPr>
      <w:r w:rsidRPr="00290056">
        <w:lastRenderedPageBreak/>
        <w:t>21.  Приватизацията е определена в чл. 1, ал. 3 от Закона за преобразуване и приватизация като</w:t>
      </w:r>
    </w:p>
    <w:p w:rsidR="00F33C6E" w:rsidRPr="00290056" w:rsidRDefault="00F33C6E" w:rsidP="003B32A3">
      <w:pPr>
        <w:pStyle w:val="ECHRParaQuote"/>
      </w:pPr>
      <w:r w:rsidRPr="00290056">
        <w:t>“прехвърляне на физически или юридически лица на</w:t>
      </w:r>
    </w:p>
    <w:p w:rsidR="00F33C6E" w:rsidRPr="00290056" w:rsidRDefault="00F33C6E" w:rsidP="003B32A3">
      <w:pPr>
        <w:pStyle w:val="ECHRParaQuote"/>
      </w:pPr>
      <w:r w:rsidRPr="00290056">
        <w:t>1.  дялове и акции, собственост на държавата и общините, от търговски дружества;</w:t>
      </w:r>
    </w:p>
    <w:p w:rsidR="00F33C6E" w:rsidRPr="00290056" w:rsidRDefault="00F33C6E" w:rsidP="003B32A3">
      <w:pPr>
        <w:pStyle w:val="ECHRParaQuote"/>
      </w:pPr>
      <w:r w:rsidRPr="00290056">
        <w:t>2.  собствеността на цели предприятия, обособени части и незавършени обекти на строителството;</w:t>
      </w:r>
    </w:p>
    <w:p w:rsidR="00F33C6E" w:rsidRPr="00290056" w:rsidRDefault="00F33C6E" w:rsidP="003B32A3">
      <w:pPr>
        <w:pStyle w:val="ECHRParaQuote"/>
      </w:pPr>
      <w:r w:rsidRPr="00290056">
        <w:t xml:space="preserve">3.  държавни или общински нежилищни имоти, </w:t>
      </w:r>
      <w:proofErr w:type="spellStart"/>
      <w:r w:rsidRPr="00290056">
        <w:t>невключени</w:t>
      </w:r>
      <w:proofErr w:type="spellEnd"/>
      <w:r w:rsidRPr="00290056">
        <w:t xml:space="preserve"> в състава на държавните или общински предприятия, които се използват за стопански цели (магазини, ателиета, складове, сервизи, цехове и други).”</w:t>
      </w:r>
    </w:p>
    <w:p w:rsidR="00F33C6E" w:rsidRPr="00290056" w:rsidRDefault="00F33C6E" w:rsidP="003B32A3">
      <w:pPr>
        <w:pStyle w:val="ECHRPara"/>
      </w:pPr>
      <w:r w:rsidRPr="00290056">
        <w:t>22.  Съгласно Закона за преобразуване и приватизация и вторичното законодателство, прието в хода на неговото изпълнение, етапите на приватизационната процедура са следните: изв</w:t>
      </w:r>
      <w:r w:rsidR="0043511F">
        <w:t xml:space="preserve">ършване на </w:t>
      </w:r>
      <w:r w:rsidRPr="00290056">
        <w:t>правен анализ на имуществото, което ще бъде приватизирано; въз основа на този анализ, компетентният орган взе</w:t>
      </w:r>
      <w:r w:rsidR="00335820" w:rsidRPr="00290056">
        <w:t>ма</w:t>
      </w:r>
      <w:r w:rsidRPr="00290056">
        <w:t xml:space="preserve"> решение </w:t>
      </w:r>
      <w:r w:rsidR="0043511F">
        <w:t>за</w:t>
      </w:r>
      <w:r w:rsidRPr="00290056">
        <w:t xml:space="preserve"> приватизира</w:t>
      </w:r>
      <w:r w:rsidR="0043511F">
        <w:t>не</w:t>
      </w:r>
      <w:r w:rsidRPr="00290056">
        <w:t xml:space="preserve"> и изб</w:t>
      </w:r>
      <w:r w:rsidR="00335820" w:rsidRPr="00290056">
        <w:t>и</w:t>
      </w:r>
      <w:r w:rsidRPr="00290056">
        <w:t xml:space="preserve">ра подходящия метод (търг, конкурс, преговори); това решение </w:t>
      </w:r>
      <w:r w:rsidR="00335820" w:rsidRPr="00290056">
        <w:t>с</w:t>
      </w:r>
      <w:r w:rsidRPr="00290056">
        <w:t>е публикува в Държавен вестник; извърш</w:t>
      </w:r>
      <w:r w:rsidR="00335820" w:rsidRPr="00290056">
        <w:t>ва</w:t>
      </w:r>
      <w:r w:rsidRPr="00290056">
        <w:t xml:space="preserve"> </w:t>
      </w:r>
      <w:r w:rsidR="00335820" w:rsidRPr="00290056">
        <w:t>с</w:t>
      </w:r>
      <w:r w:rsidRPr="00290056">
        <w:t>е независим анализ на дружеството или активи, които ще бъдат приватизирани, и с</w:t>
      </w:r>
      <w:r w:rsidR="00335820" w:rsidRPr="00290056">
        <w:t>е</w:t>
      </w:r>
      <w:r w:rsidRPr="00290056">
        <w:t xml:space="preserve"> обяв</w:t>
      </w:r>
      <w:r w:rsidR="00335820" w:rsidRPr="00290056">
        <w:t>яват</w:t>
      </w:r>
      <w:r w:rsidRPr="00290056">
        <w:t xml:space="preserve"> условията за участие в търга или конкурса; купувачите с</w:t>
      </w:r>
      <w:r w:rsidR="00335820" w:rsidRPr="00290056">
        <w:t>е</w:t>
      </w:r>
      <w:r w:rsidRPr="00290056">
        <w:t xml:space="preserve"> избрани и </w:t>
      </w:r>
      <w:r w:rsidR="00335820" w:rsidRPr="00290056">
        <w:t>с</w:t>
      </w:r>
      <w:r w:rsidRPr="00290056">
        <w:t>е сключ</w:t>
      </w:r>
      <w:r w:rsidR="00335820" w:rsidRPr="00290056">
        <w:t>ва</w:t>
      </w:r>
      <w:r w:rsidRPr="00290056">
        <w:t xml:space="preserve"> договор за приватизация; и накрая  специализиран орган </w:t>
      </w:r>
      <w:r w:rsidR="00335820" w:rsidRPr="00290056">
        <w:t>с</w:t>
      </w:r>
      <w:r w:rsidRPr="00290056">
        <w:t>е натовар</w:t>
      </w:r>
      <w:r w:rsidR="00335820" w:rsidRPr="00290056">
        <w:t>ва</w:t>
      </w:r>
      <w:r w:rsidRPr="00290056">
        <w:t xml:space="preserve"> с упражняване на следприватизационен надзор. Договорът за приватизация не </w:t>
      </w:r>
      <w:r w:rsidR="0043511F">
        <w:t>се</w:t>
      </w:r>
      <w:r w:rsidRPr="00290056">
        <w:t xml:space="preserve"> сключ</w:t>
      </w:r>
      <w:r w:rsidR="0043511F">
        <w:t>ва</w:t>
      </w:r>
      <w:r w:rsidRPr="00290056">
        <w:t xml:space="preserve"> пред нотариус. Такива договори често съдържат допълнителни задължения за купувача като запазване или създаване на работни места или въвеждане на мерки за опазване на околната среда</w:t>
      </w:r>
      <w:r w:rsidR="00DA7B8D" w:rsidRPr="00344CB9">
        <w:t>,</w:t>
      </w:r>
      <w:r w:rsidRPr="00290056">
        <w:t xml:space="preserve"> или за осигуряване на продължаване на дейността на приватизираното дружество.</w:t>
      </w:r>
    </w:p>
    <w:p w:rsidR="00F33C6E" w:rsidRPr="00290056" w:rsidRDefault="00F33C6E" w:rsidP="003B32A3">
      <w:pPr>
        <w:pStyle w:val="ECHRPara"/>
      </w:pPr>
      <w:r w:rsidRPr="00290056">
        <w:t>23.  След като е взето решение за приватизация на дружеството, което трябва да бъде приватизирано</w:t>
      </w:r>
      <w:r w:rsidR="00DA7B8D" w:rsidRPr="00344CB9">
        <w:t>,</w:t>
      </w:r>
      <w:r w:rsidRPr="00290056">
        <w:t xml:space="preserve"> </w:t>
      </w:r>
      <w:r w:rsidR="00205E41" w:rsidRPr="00290056">
        <w:t>с</w:t>
      </w:r>
      <w:r w:rsidRPr="00290056">
        <w:t>е забранява да продава или по друг начин да прехвърля дълготрайните си активи, освен ако не е упълномощено от органа, компетентен да извършва приватизацията (чл. 21, ал. 2 от Закона за преобразуване и приватизация).</w:t>
      </w:r>
    </w:p>
    <w:p w:rsidR="00F33C6E" w:rsidRPr="00290056" w:rsidRDefault="00F33C6E" w:rsidP="003B32A3">
      <w:pPr>
        <w:pStyle w:val="ECHRPara"/>
      </w:pPr>
      <w:r w:rsidRPr="00290056">
        <w:t xml:space="preserve">24.  Правилникът за реда за упражняване правата на собственост на държавата в предприятията (”Правилникът от 1994 г.”) е част от вторичното законодателство за прилагане на Закона за преобразуване и приватизация. Неговият чл. 18 гласи, че дълготрайните активи на държавните </w:t>
      </w:r>
      <w:r w:rsidR="00064921">
        <w:t>предприятия</w:t>
      </w:r>
      <w:r w:rsidRPr="00290056">
        <w:t xml:space="preserve"> могат да бъдат продавани или прехвърляни на частни лица само след търг или конкурс (ал. 1), освен ако компетентният държавен орган е разрешил преки преговори с потенциални купувачи (ал. 2).</w:t>
      </w:r>
    </w:p>
    <w:p w:rsidR="00F33C6E" w:rsidRPr="00290056" w:rsidRDefault="00F33C6E" w:rsidP="003B32A3">
      <w:pPr>
        <w:pStyle w:val="ECHRPara"/>
      </w:pPr>
      <w:r w:rsidRPr="00290056">
        <w:t xml:space="preserve">25.  През 2002 г. Законът за преобразуване и приватизация е заменен </w:t>
      </w:r>
      <w:r w:rsidR="002865A9">
        <w:t>с друг закон</w:t>
      </w:r>
      <w:r w:rsidRPr="00290056">
        <w:t>.</w:t>
      </w:r>
    </w:p>
    <w:p w:rsidR="00F33C6E" w:rsidRPr="00290056" w:rsidRDefault="00F33C6E" w:rsidP="003B32A3">
      <w:pPr>
        <w:pStyle w:val="ECHRHeading3"/>
      </w:pPr>
      <w:bookmarkStart w:id="1" w:name="p1557549"/>
      <w:bookmarkEnd w:id="1"/>
      <w:r w:rsidRPr="00290056">
        <w:lastRenderedPageBreak/>
        <w:t>2.  Законът за задълженията и договорите</w:t>
      </w:r>
    </w:p>
    <w:p w:rsidR="00F33C6E" w:rsidRPr="00290056" w:rsidRDefault="00F33C6E" w:rsidP="003B32A3">
      <w:pPr>
        <w:pStyle w:val="ECHRPara"/>
      </w:pPr>
      <w:r w:rsidRPr="00290056">
        <w:t>26.  Чл</w:t>
      </w:r>
      <w:r w:rsidR="00F93D13">
        <w:t>ен</w:t>
      </w:r>
      <w:r w:rsidRPr="00290056">
        <w:t xml:space="preserve"> 18 от Закона за задълженията и договорите изисква всички договори относно вещни права да бъдат сключени пред нотариус (”с нотариален акт”).</w:t>
      </w:r>
    </w:p>
    <w:p w:rsidR="00F33C6E" w:rsidRPr="00290056" w:rsidRDefault="00F33C6E" w:rsidP="003B32A3">
      <w:pPr>
        <w:pStyle w:val="ECHRPara"/>
      </w:pPr>
      <w:r w:rsidRPr="00290056">
        <w:t>27.  Чл. 26, ал. 2 от закона гласи, че ако не е спазена ”предписаната от закона форма”, договорът ще бъде нищожен. Съгласно чл. 34, когато даден договор е обявен за нищожен, всяка от страните има задължението да върне всичко, което е получила.</w:t>
      </w:r>
    </w:p>
    <w:p w:rsidR="00F33C6E" w:rsidRPr="00290056" w:rsidRDefault="00F33C6E" w:rsidP="003B32A3">
      <w:pPr>
        <w:pStyle w:val="ECHRPara"/>
      </w:pPr>
      <w:r w:rsidRPr="00290056">
        <w:t>28.  Съгласно чл. 110 от закона, освен ако не е предвидено друго, всички вземания се погасяват с изтичането на пет</w:t>
      </w:r>
      <w:r w:rsidR="000E114A">
        <w:t>годишен давностен срок</w:t>
      </w:r>
      <w:r w:rsidRPr="00290056">
        <w:t>. Когато вземането е за възстановяване на нещо, дадено по договор, който всъщност е нищожен, за начало на въпросния период се смя</w:t>
      </w:r>
      <w:r w:rsidR="007E7942" w:rsidRPr="00290056">
        <w:t>т</w:t>
      </w:r>
      <w:r w:rsidRPr="00290056">
        <w:t>а моментът на сключване на договора (</w:t>
      </w:r>
      <w:r w:rsidRPr="00290056">
        <w:rPr>
          <w:i/>
        </w:rPr>
        <w:t>Постановление № 1 от 28.V.1979 г. по гр. д. № 1/79 г., Пленум на ВС</w:t>
      </w:r>
      <w:r w:rsidRPr="00290056">
        <w:t xml:space="preserve">; </w:t>
      </w:r>
      <w:r w:rsidRPr="00290056">
        <w:rPr>
          <w:i/>
        </w:rPr>
        <w:t>Решение № 172 от 21.03.2011 г. на ВКС по гр. д. № 80/2010 г., IV г. о., ГК</w:t>
      </w:r>
      <w:r w:rsidRPr="00290056">
        <w:t xml:space="preserve">; </w:t>
      </w:r>
      <w:r w:rsidRPr="00290056">
        <w:rPr>
          <w:i/>
        </w:rPr>
        <w:t xml:space="preserve">Решение № 100 от 20.06.2011 г. на ВКС по т. д. № 194/2010 г., TК, II </w:t>
      </w:r>
      <w:proofErr w:type="spellStart"/>
      <w:r w:rsidRPr="00290056">
        <w:rPr>
          <w:i/>
        </w:rPr>
        <w:t>т.о</w:t>
      </w:r>
      <w:proofErr w:type="spellEnd"/>
      <w:r w:rsidRPr="00290056">
        <w:rPr>
          <w:i/>
        </w:rPr>
        <w:t>.</w:t>
      </w:r>
      <w:r w:rsidRPr="00290056">
        <w:t xml:space="preserve">). </w:t>
      </w:r>
      <w:proofErr w:type="spellStart"/>
      <w:r w:rsidRPr="00290056">
        <w:t>Давностните</w:t>
      </w:r>
      <w:proofErr w:type="spellEnd"/>
      <w:r w:rsidRPr="00290056">
        <w:t xml:space="preserve"> срокове не се прилагат от съдилищата служебно, а само когато заинтересованата страна е по</w:t>
      </w:r>
      <w:r w:rsidR="000E114A">
        <w:t>дала</w:t>
      </w:r>
      <w:r w:rsidRPr="00290056">
        <w:t xml:space="preserve"> възражение (чл. 120 от закона).</w:t>
      </w:r>
    </w:p>
    <w:p w:rsidR="00F33C6E" w:rsidRPr="00290056" w:rsidRDefault="00F33C6E" w:rsidP="003B32A3">
      <w:pPr>
        <w:pStyle w:val="ECHRHeading3"/>
        <w:spacing w:line="276" w:lineRule="auto"/>
      </w:pPr>
      <w:r w:rsidRPr="00290056">
        <w:t>3.  Законът за собствеността</w:t>
      </w:r>
    </w:p>
    <w:p w:rsidR="00F33C6E" w:rsidRPr="00290056" w:rsidRDefault="00F33C6E" w:rsidP="003B32A3">
      <w:pPr>
        <w:pStyle w:val="ECHRPara"/>
      </w:pPr>
      <w:r w:rsidRPr="00290056">
        <w:t xml:space="preserve">29.  Недвижими имоти могат да бъдат придобити чрез </w:t>
      </w:r>
      <w:proofErr w:type="spellStart"/>
      <w:r w:rsidRPr="00290056">
        <w:t>придобивна</w:t>
      </w:r>
      <w:proofErr w:type="spellEnd"/>
      <w:r w:rsidRPr="00290056">
        <w:t xml:space="preserve"> давност след пет или десет години владение в зависимост от това дали притежателят е действал добросъвестно или недобросъвестно (чл. 79 от Закона за собствеността). Владение, основано на нищожна сделка, винаги се смята за недобросъвестно (</w:t>
      </w:r>
      <w:r w:rsidRPr="00290056">
        <w:rPr>
          <w:i/>
        </w:rPr>
        <w:t>Постановление № 6 от 27.XII.1974 г. по гр. д. № 9/74 г., Пленум на ВС</w:t>
      </w:r>
      <w:r w:rsidRPr="00290056">
        <w:t xml:space="preserve">; </w:t>
      </w:r>
      <w:r w:rsidRPr="00290056">
        <w:rPr>
          <w:i/>
        </w:rPr>
        <w:t>Решение № 5268 от 9.07.2013 г. на СГС по гр. д. № 9074/2010 г.</w:t>
      </w:r>
      <w:r w:rsidRPr="00290056">
        <w:t>).</w:t>
      </w:r>
    </w:p>
    <w:p w:rsidR="00F33C6E" w:rsidRPr="00290056" w:rsidRDefault="00F33C6E" w:rsidP="003B32A3">
      <w:pPr>
        <w:pStyle w:val="ECHRPara"/>
      </w:pPr>
      <w:r w:rsidRPr="00290056">
        <w:t xml:space="preserve">30.  Недобросъвестен владелец, за когото е установено, че не е собственик на имот, може да поиска от собственика разходите, направени за поддръжката на имота (чл. 73, ал. 2 от </w:t>
      </w:r>
      <w:r w:rsidR="00AF73E0" w:rsidRPr="00290056">
        <w:t>З</w:t>
      </w:r>
      <w:r w:rsidRPr="00290056">
        <w:t xml:space="preserve">акона). Ако са направени подобрения в имота, той може да претендира за по-малката сума измежду сумата на направените разноски и сумата, с която се е увеличила стойността на имота вследствие на тези подобрения (чл. 74, ал. 1). Когато собственикът е наясно, че са направени подобрения в имота и не е възразил срещу </w:t>
      </w:r>
      <w:r w:rsidR="00AF73E0" w:rsidRPr="00290056">
        <w:t>тях</w:t>
      </w:r>
      <w:r w:rsidRPr="00290056">
        <w:t xml:space="preserve">, недобросъвестният владелец във всеки случай може да претендира, ако е по-висока, сумата, с която стойността на имота се е увеличила (чл. 74, ал. 2 във връзка с чл. 72, ал. 1). </w:t>
      </w:r>
      <w:proofErr w:type="spellStart"/>
      <w:r w:rsidRPr="00290056">
        <w:t>Давностни</w:t>
      </w:r>
      <w:r w:rsidR="000E114A">
        <w:t>ят</w:t>
      </w:r>
      <w:proofErr w:type="spellEnd"/>
      <w:r w:rsidRPr="00290056">
        <w:t xml:space="preserve"> срок за претен</w:t>
      </w:r>
      <w:r w:rsidR="00AF73E0" w:rsidRPr="00290056">
        <w:t>диране на</w:t>
      </w:r>
      <w:r w:rsidRPr="00290056">
        <w:t xml:space="preserve"> стойността на подобренията започва да тече, когато е подаден имуществен иск </w:t>
      </w:r>
      <w:r w:rsidR="00056CCE">
        <w:t>–</w:t>
      </w:r>
      <w:r w:rsidRPr="00290056">
        <w:t xml:space="preserve"> например</w:t>
      </w:r>
      <w:r w:rsidR="00056CCE">
        <w:t xml:space="preserve"> ревандикационен</w:t>
      </w:r>
      <w:r w:rsidRPr="00290056">
        <w:t xml:space="preserve"> иск</w:t>
      </w:r>
      <w:r w:rsidR="00056CCE">
        <w:t xml:space="preserve"> </w:t>
      </w:r>
      <w:r w:rsidRPr="00290056">
        <w:t>- или когато владението на въпросния имот е нарушено по друг начин (</w:t>
      </w:r>
      <w:r w:rsidRPr="00290056">
        <w:rPr>
          <w:i/>
        </w:rPr>
        <w:t>Постановление № 6 от 27.XII.1974 г. по гр. д. № 9/74 г., Пленум на ВС</w:t>
      </w:r>
      <w:r w:rsidRPr="00290056">
        <w:t>).</w:t>
      </w:r>
    </w:p>
    <w:p w:rsidR="00F33C6E" w:rsidRPr="00290056" w:rsidRDefault="00266971" w:rsidP="003B32A3">
      <w:pPr>
        <w:pStyle w:val="ECHRTitle1"/>
        <w:spacing w:line="276" w:lineRule="auto"/>
      </w:pPr>
      <w:r>
        <w:lastRenderedPageBreak/>
        <w:t>ОПЛАКВАНЕ</w:t>
      </w:r>
    </w:p>
    <w:p w:rsidR="00F33C6E" w:rsidRPr="00290056" w:rsidRDefault="00F33C6E" w:rsidP="003B32A3">
      <w:pPr>
        <w:pStyle w:val="ECHRPara"/>
      </w:pPr>
      <w:r w:rsidRPr="00290056">
        <w:t>31.  Жалбоподателите</w:t>
      </w:r>
      <w:r w:rsidR="000D1F3E">
        <w:t xml:space="preserve"> </w:t>
      </w:r>
      <w:r w:rsidR="00266971">
        <w:t>се оплакват</w:t>
      </w:r>
      <w:r w:rsidRPr="00290056">
        <w:t>, като се позовават на чл. 1 от Протокол № 1 и чл. 13 от Конвенцията, че дружеството</w:t>
      </w:r>
      <w:r w:rsidR="00906027">
        <w:t xml:space="preserve"> </w:t>
      </w:r>
      <w:r w:rsidRPr="00290056">
        <w:t xml:space="preserve">жалбоподател е несправедливо лишено от имуществото, което е придобило по силата на договора от 1997 г., по-конкретно защото към </w:t>
      </w:r>
      <w:r w:rsidR="00816268" w:rsidRPr="00290056">
        <w:t xml:space="preserve">онзи </w:t>
      </w:r>
      <w:r w:rsidRPr="00290056">
        <w:t xml:space="preserve">момент е платило в пълен размер договорената цена и впоследствие не е имало възможност да </w:t>
      </w:r>
      <w:r w:rsidR="00816268" w:rsidRPr="00290056">
        <w:t xml:space="preserve">си </w:t>
      </w:r>
      <w:r w:rsidRPr="00290056">
        <w:t>я възстанови.</w:t>
      </w:r>
    </w:p>
    <w:p w:rsidR="00F33C6E" w:rsidRPr="00290056" w:rsidRDefault="00816268" w:rsidP="003B32A3">
      <w:pPr>
        <w:pStyle w:val="ECHRTitle1"/>
      </w:pPr>
      <w:r w:rsidRPr="00290056">
        <w:t>ПРАВОТО</w:t>
      </w:r>
    </w:p>
    <w:p w:rsidR="00F33C6E" w:rsidRPr="00290056" w:rsidRDefault="00F33C6E" w:rsidP="003B32A3">
      <w:pPr>
        <w:pStyle w:val="ECHRPara"/>
      </w:pPr>
      <w:r w:rsidRPr="00290056">
        <w:t xml:space="preserve">32.  Съдът е на мнение, че </w:t>
      </w:r>
      <w:r w:rsidR="00266971">
        <w:t>оплакването</w:t>
      </w:r>
      <w:r w:rsidR="00056CCE" w:rsidRPr="00290056">
        <w:t xml:space="preserve"> </w:t>
      </w:r>
      <w:r w:rsidRPr="00290056">
        <w:t xml:space="preserve">трябва да </w:t>
      </w:r>
      <w:r w:rsidR="00816268" w:rsidRPr="00290056">
        <w:t xml:space="preserve">се </w:t>
      </w:r>
      <w:r w:rsidRPr="00290056">
        <w:t>разгле</w:t>
      </w:r>
      <w:r w:rsidR="00816268" w:rsidRPr="00290056">
        <w:t>ж</w:t>
      </w:r>
      <w:r w:rsidRPr="00290056">
        <w:t>да единствено по чл. 1 от Протокол № 1, който гласи:</w:t>
      </w:r>
    </w:p>
    <w:p w:rsidR="00F33C6E" w:rsidRPr="00290056" w:rsidRDefault="00F33C6E" w:rsidP="003B32A3">
      <w:pPr>
        <w:pStyle w:val="ECHRParaQuote"/>
      </w:pPr>
      <w:r w:rsidRPr="00290056">
        <w:t>"</w:t>
      </w:r>
      <w:proofErr w:type="spellStart"/>
      <w:r w:rsidRPr="00290056">
        <w:t>Βсяко</w:t>
      </w:r>
      <w:proofErr w:type="spellEnd"/>
      <w:r w:rsidRPr="00290056">
        <w:t xml:space="preserve">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F33C6E" w:rsidRPr="00290056" w:rsidRDefault="00F33C6E" w:rsidP="003B32A3">
      <w:pPr>
        <w:pStyle w:val="ECHRParaQuote"/>
      </w:pPr>
      <w:r w:rsidRPr="00290056"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F33C6E" w:rsidRPr="00290056" w:rsidRDefault="00F33C6E" w:rsidP="003B32A3">
      <w:pPr>
        <w:pStyle w:val="ECHRHeading2"/>
      </w:pPr>
      <w:r w:rsidRPr="00290056">
        <w:t>А. Аргументи на страните</w:t>
      </w:r>
    </w:p>
    <w:p w:rsidR="00F33C6E" w:rsidRPr="00290056" w:rsidRDefault="00F33C6E" w:rsidP="003B32A3">
      <w:pPr>
        <w:pStyle w:val="ECHRHeading3"/>
      </w:pPr>
      <w:r w:rsidRPr="00290056">
        <w:t>1.  Правителството</w:t>
      </w:r>
    </w:p>
    <w:p w:rsidR="00F33C6E" w:rsidRPr="00290056" w:rsidRDefault="00F33C6E" w:rsidP="003B32A3">
      <w:pPr>
        <w:pStyle w:val="ECHRPara"/>
      </w:pPr>
      <w:r w:rsidRPr="00290056">
        <w:t>33.  Правителството твърди на първо място, че двамата отделни жалбоподатели - макар и акционери в дружеството</w:t>
      </w:r>
      <w:r w:rsidR="00906027">
        <w:t xml:space="preserve"> </w:t>
      </w:r>
      <w:r w:rsidRPr="00290056">
        <w:t xml:space="preserve">жалбоподател - не са упълномощени да </w:t>
      </w:r>
      <w:r w:rsidR="00816268" w:rsidRPr="00290056">
        <w:t xml:space="preserve">предявят </w:t>
      </w:r>
      <w:r w:rsidRPr="00290056">
        <w:t xml:space="preserve">жалба </w:t>
      </w:r>
      <w:r w:rsidR="00816268" w:rsidRPr="00290056">
        <w:t xml:space="preserve">пред </w:t>
      </w:r>
      <w:r w:rsidRPr="00290056">
        <w:t xml:space="preserve">Съда от </w:t>
      </w:r>
      <w:r w:rsidR="00906027">
        <w:t>името на дружеството</w:t>
      </w:r>
      <w:r w:rsidRPr="00290056">
        <w:t xml:space="preserve">, тъй като към момента на </w:t>
      </w:r>
      <w:r w:rsidR="00816268" w:rsidRPr="00290056">
        <w:t xml:space="preserve">предявяване </w:t>
      </w:r>
      <w:r w:rsidRPr="00290056">
        <w:t>на жалбата съд</w:t>
      </w:r>
      <w:r w:rsidR="00906027">
        <w:t>а</w:t>
      </w:r>
      <w:r w:rsidRPr="00290056">
        <w:t xml:space="preserve"> по несъстоятелност вече </w:t>
      </w:r>
      <w:r w:rsidR="00906027">
        <w:t>е</w:t>
      </w:r>
      <w:r w:rsidRPr="00290056">
        <w:t xml:space="preserve"> назначил синдик (вж. параграф 19 по-горе).</w:t>
      </w:r>
    </w:p>
    <w:p w:rsidR="00F33C6E" w:rsidRPr="00290056" w:rsidRDefault="00F33C6E" w:rsidP="003B32A3">
      <w:pPr>
        <w:pStyle w:val="ECHRPara"/>
      </w:pPr>
      <w:r w:rsidRPr="00290056">
        <w:t>34.  Освен това Правителството твърди, че не е било налице нарушение на чл. 1 от Протокол № 1. То поддържа тезата, че дружеството</w:t>
      </w:r>
      <w:r w:rsidR="00906027">
        <w:t xml:space="preserve"> </w:t>
      </w:r>
      <w:r w:rsidRPr="00290056">
        <w:t xml:space="preserve">жалбоподател е трябвало да знае, че договорът от 1997 г. е нищожен, тъй като не е бил сключен съгласно законовите изисквания. Това не е приватизационен договор, както е видно от факта, че не попада в обхвата на чл. 1, ал. 3 от Закона за преобразуване и приватизация, не е сключен </w:t>
      </w:r>
      <w:r w:rsidR="00816268" w:rsidRPr="00290056">
        <w:t xml:space="preserve">съгласно </w:t>
      </w:r>
      <w:r w:rsidRPr="00290056">
        <w:t>сложната процедура за приватизация, предвидена в приватизационното законодателство, и не съдържа допълнителни задължения за дружеството</w:t>
      </w:r>
      <w:r w:rsidR="00906027">
        <w:t xml:space="preserve"> </w:t>
      </w:r>
      <w:r w:rsidRPr="00290056">
        <w:t xml:space="preserve">жалбоподател като тези, типични за приватизационните договори. </w:t>
      </w:r>
      <w:r w:rsidR="006B110F">
        <w:t>Тези</w:t>
      </w:r>
      <w:r w:rsidR="00906027">
        <w:t xml:space="preserve"> факти водят към извода,</w:t>
      </w:r>
      <w:r w:rsidRPr="00290056">
        <w:t xml:space="preserve">  че договорът е трябвало да бъде сключен пред нотариус</w:t>
      </w:r>
      <w:r w:rsidR="00906027">
        <w:t xml:space="preserve"> по общото </w:t>
      </w:r>
      <w:r w:rsidR="00906027">
        <w:lastRenderedPageBreak/>
        <w:t xml:space="preserve">правило на </w:t>
      </w:r>
      <w:r w:rsidRPr="00290056">
        <w:t xml:space="preserve"> чл. 18 от Закона за задълженията и договорите. </w:t>
      </w:r>
      <w:r w:rsidR="00906027">
        <w:t>При сключването на договора не е следван този ред</w:t>
      </w:r>
      <w:r w:rsidRPr="00290056">
        <w:t xml:space="preserve"> и дружеството</w:t>
      </w:r>
      <w:r w:rsidR="00906027">
        <w:t xml:space="preserve"> </w:t>
      </w:r>
      <w:r w:rsidRPr="00290056">
        <w:t>жалбоподател не е могло основателно да очаква да придобие собственост</w:t>
      </w:r>
      <w:r w:rsidR="005C4CCA">
        <w:t>та.</w:t>
      </w:r>
    </w:p>
    <w:p w:rsidR="00F33C6E" w:rsidRPr="00290056" w:rsidRDefault="00F33C6E" w:rsidP="003B32A3">
      <w:pPr>
        <w:pStyle w:val="ECHRPara"/>
      </w:pPr>
      <w:r w:rsidRPr="00290056">
        <w:t xml:space="preserve">35.  В подкрепа на позицията си Правителството представя извадка от юридически трактат (Георги Христозов, “Приватизационният договор”, 2000 г.), в който се прави разграничение между приватизационен договор, обикновено отнасящ се до цели предприятия или акции в тях, и договор за отделни имоти, принадлежащи на държавно или общинско </w:t>
      </w:r>
      <w:r w:rsidR="005C4CCA">
        <w:t>предприятие</w:t>
      </w:r>
      <w:r w:rsidRPr="00290056">
        <w:t>. Изводът е, че тъй като последният вид имоти се прехвърля от самото дружество, а не от държавата, съответният договор, ако се отнася до вещни права, трябва да бъде сключен пред нотариус (стр. 17).</w:t>
      </w:r>
    </w:p>
    <w:p w:rsidR="00F33C6E" w:rsidRPr="00290056" w:rsidRDefault="00F33C6E" w:rsidP="003B32A3">
      <w:pPr>
        <w:pStyle w:val="ECHRPara"/>
      </w:pPr>
      <w:r w:rsidRPr="00290056">
        <w:t xml:space="preserve">36.  Правителството представя освен това </w:t>
      </w:r>
      <w:r w:rsidR="002C6E5C">
        <w:t xml:space="preserve">правна </w:t>
      </w:r>
      <w:r w:rsidRPr="00290056">
        <w:t xml:space="preserve">статия, в която се обсъждат изискванията за валидност на договорите, сключени съгласно чл. 18 от Правилника от 1994 г. (Екатерина Стоянова-Матеева, “Форма за действителност на сделките на разпореждане на вещни права върху недвижими имоти на държавни предприятия – ЕТД по чл. 18 от ПРУПСДП”, сп. </w:t>
      </w:r>
      <w:r w:rsidRPr="00290056">
        <w:rPr>
          <w:i/>
        </w:rPr>
        <w:t>Собственост и право</w:t>
      </w:r>
      <w:r w:rsidRPr="00290056">
        <w:t xml:space="preserve">, </w:t>
      </w:r>
      <w:proofErr w:type="spellStart"/>
      <w:r w:rsidRPr="00290056">
        <w:t>кн</w:t>
      </w:r>
      <w:proofErr w:type="spellEnd"/>
      <w:r w:rsidRPr="00290056">
        <w:t>. 7/99). В статията се заключва по-конкретно (на стр. 13), че</w:t>
      </w:r>
    </w:p>
    <w:p w:rsidR="00F33C6E" w:rsidRPr="00290056" w:rsidRDefault="00F33C6E" w:rsidP="003B32A3">
      <w:pPr>
        <w:pStyle w:val="ECHRParaQuote"/>
      </w:pPr>
      <w:r w:rsidRPr="00290056">
        <w:t>“не може да има никакво съмнение, че всяко прехвърляне на имущество по чл. 18 от [Правилника от 1994 г.] е всъщност обикновена продажба или обмяна, позволяваща на държавно предприятие, [преобразувано в] държавно дружество, да извършва търговски сделки, а не е приватизационна продажба, за която се прилагат специалните правила [които не изискват сключен договор пред нотариус]”.</w:t>
      </w:r>
    </w:p>
    <w:p w:rsidR="00F33C6E" w:rsidRPr="00290056" w:rsidRDefault="00F33C6E" w:rsidP="003B32A3">
      <w:pPr>
        <w:pStyle w:val="ECHRPara"/>
      </w:pPr>
      <w:r w:rsidRPr="00290056">
        <w:t>В допълнение (стр. 14):</w:t>
      </w:r>
    </w:p>
    <w:p w:rsidR="00F33C6E" w:rsidRPr="00290056" w:rsidRDefault="00F33C6E" w:rsidP="003B32A3">
      <w:pPr>
        <w:pStyle w:val="ECHRParaQuote"/>
      </w:pPr>
      <w:r w:rsidRPr="00290056">
        <w:t>“В заключение, гореизложените съображения доказват, че всеки [договор, отнасящ се до] прехвърлянето на имущество по чл. 18 от [Правилника от 1994 г.], трябва да бъде сключен пред нотариус в съответствие с общото правило на чл. 18 от [Закона за задълженията и договорите], тъй като в противен случай съществува риск от обявяването му за недействителен.”</w:t>
      </w:r>
    </w:p>
    <w:p w:rsidR="00F33C6E" w:rsidRPr="00290056" w:rsidRDefault="00F33C6E" w:rsidP="003B32A3">
      <w:pPr>
        <w:pStyle w:val="ECHRPara"/>
      </w:pPr>
      <w:r w:rsidRPr="00290056">
        <w:t>37.  На последно място</w:t>
      </w:r>
      <w:r w:rsidR="00732AF9">
        <w:t>,</w:t>
      </w:r>
      <w:r w:rsidRPr="00290056">
        <w:t xml:space="preserve"> Правителството изразява становище, че след </w:t>
      </w:r>
      <w:r w:rsidR="00D17F97">
        <w:t>предявяването на ревандикационен иск</w:t>
      </w:r>
      <w:r w:rsidRPr="00290056">
        <w:t xml:space="preserve"> срещу </w:t>
      </w:r>
      <w:r w:rsidR="00C242F1">
        <w:t>дружеството</w:t>
      </w:r>
      <w:r w:rsidR="00C242F1" w:rsidRPr="00290056">
        <w:t xml:space="preserve"> </w:t>
      </w:r>
      <w:r w:rsidRPr="00290056">
        <w:t>от “Инкомс-Телеком Холдинг” АД, дружеството</w:t>
      </w:r>
      <w:r w:rsidR="00C242F1">
        <w:t xml:space="preserve"> </w:t>
      </w:r>
      <w:r w:rsidRPr="00290056">
        <w:t xml:space="preserve">жалбоподател </w:t>
      </w:r>
      <w:r w:rsidR="00432C67" w:rsidRPr="00290056">
        <w:t xml:space="preserve">е могло </w:t>
      </w:r>
      <w:r w:rsidRPr="00290056">
        <w:t xml:space="preserve">въпреки това да се опита да възстанови цената, която е платило </w:t>
      </w:r>
      <w:r w:rsidR="00C242F1">
        <w:t xml:space="preserve">по </w:t>
      </w:r>
      <w:r w:rsidRPr="00290056">
        <w:t xml:space="preserve">договора от 1997 г., </w:t>
      </w:r>
      <w:r w:rsidR="00732AF9">
        <w:t>макар</w:t>
      </w:r>
      <w:r w:rsidRPr="00290056">
        <w:t xml:space="preserve"> вероятността “Инкомс-Телеком Холдинг” АД да се позове на изтичането на съответния давностен срок.</w:t>
      </w:r>
    </w:p>
    <w:p w:rsidR="00F33C6E" w:rsidRPr="00290056" w:rsidRDefault="00F33C6E" w:rsidP="003B32A3">
      <w:pPr>
        <w:pStyle w:val="ECHRHeading3"/>
      </w:pPr>
      <w:r w:rsidRPr="00290056">
        <w:t>2.  Жалбоподателите</w:t>
      </w:r>
    </w:p>
    <w:p w:rsidR="00F33C6E" w:rsidRPr="00290056" w:rsidRDefault="00F33C6E" w:rsidP="003B32A3">
      <w:pPr>
        <w:pStyle w:val="ECHRPara"/>
      </w:pPr>
      <w:r w:rsidRPr="00290056">
        <w:t xml:space="preserve">38.  Г-н Видолов и наследниците на г-жа Видолова оспорват доводите на Правителството, че </w:t>
      </w:r>
      <w:r w:rsidR="00432C67" w:rsidRPr="00290056">
        <w:t xml:space="preserve">отделните </w:t>
      </w:r>
      <w:r w:rsidRPr="00290056">
        <w:t>жалбоподатели не са имали право да подават жалба от името на дружеството</w:t>
      </w:r>
      <w:r w:rsidR="00C242F1">
        <w:t xml:space="preserve"> </w:t>
      </w:r>
      <w:r w:rsidRPr="00290056">
        <w:t xml:space="preserve">жалбоподател. Те посочват, че синдикът, назначен в производството по несъстоятелност, </w:t>
      </w:r>
      <w:r w:rsidRPr="00290056">
        <w:lastRenderedPageBreak/>
        <w:t>е избран от кредиторите на дружеството, по-конкретно от “Инкомс-Телеком Холдинг” АД, и следователно не е могъл адекватно да представлява дружеството пред Съда.</w:t>
      </w:r>
    </w:p>
    <w:p w:rsidR="00F33C6E" w:rsidRPr="00290056" w:rsidRDefault="00F33C6E" w:rsidP="003B32A3">
      <w:pPr>
        <w:pStyle w:val="ECHRPara"/>
      </w:pPr>
      <w:r w:rsidRPr="00290056">
        <w:t xml:space="preserve">39.  Г-н Видолов и наследниците на г-жа Видолова настояват, че договорът, сключен </w:t>
      </w:r>
      <w:r w:rsidR="00C242F1">
        <w:t xml:space="preserve">през 1997 г. </w:t>
      </w:r>
      <w:r w:rsidR="00432C67" w:rsidRPr="00290056">
        <w:t xml:space="preserve">с </w:t>
      </w:r>
      <w:r w:rsidRPr="00290056">
        <w:t>дружеството</w:t>
      </w:r>
      <w:r w:rsidR="00C242F1">
        <w:t xml:space="preserve"> </w:t>
      </w:r>
      <w:r w:rsidRPr="00290056">
        <w:t xml:space="preserve">жалбоподател, е бил приватизационен договор и съответно е валиден, въпреки че не </w:t>
      </w:r>
      <w:r w:rsidR="00432C67" w:rsidRPr="00290056">
        <w:t xml:space="preserve">е </w:t>
      </w:r>
      <w:r w:rsidRPr="00290056">
        <w:t xml:space="preserve">сключен пред нотариус. Като се позовават на </w:t>
      </w:r>
      <w:r w:rsidR="00432C67" w:rsidRPr="00290056">
        <w:t xml:space="preserve">констатациите </w:t>
      </w:r>
      <w:r w:rsidRPr="00290056">
        <w:t xml:space="preserve">на Съда </w:t>
      </w:r>
      <w:r w:rsidR="00432C67" w:rsidRPr="00290056">
        <w:t xml:space="preserve">в </w:t>
      </w:r>
      <w:r w:rsidRPr="00290056">
        <w:t xml:space="preserve">делото </w:t>
      </w:r>
      <w:r w:rsidRPr="00290056">
        <w:rPr>
          <w:i/>
        </w:rPr>
        <w:t xml:space="preserve">Великови и други срещу България </w:t>
      </w:r>
      <w:r w:rsidRPr="00290056">
        <w:t>(№ 43278/98 и 8 други, 15 март 2007 г.), те твърдят, че държавата</w:t>
      </w:r>
      <w:r w:rsidR="00C242F1">
        <w:t xml:space="preserve"> </w:t>
      </w:r>
      <w:r w:rsidRPr="00290056">
        <w:t>ответник</w:t>
      </w:r>
      <w:r w:rsidR="00C242F1">
        <w:t>,</w:t>
      </w:r>
      <w:r w:rsidRPr="00290056">
        <w:t xml:space="preserve"> в качеството си на собственик на “Инкомс</w:t>
      </w:r>
      <w:r w:rsidRPr="00290056">
        <w:noBreakHyphen/>
        <w:t>Телеком Холдинг” ЕАД</w:t>
      </w:r>
      <w:r w:rsidR="00C242F1">
        <w:t>,</w:t>
      </w:r>
      <w:r w:rsidRPr="00290056">
        <w:t xml:space="preserve"> е била изцяло отговорна и е контролирала изготвянето на договора и че дружеството</w:t>
      </w:r>
      <w:r w:rsidR="00C242F1">
        <w:t xml:space="preserve"> </w:t>
      </w:r>
      <w:r w:rsidRPr="00290056">
        <w:t>жалбоподател е било пасивен участник в този процес, като просто</w:t>
      </w:r>
      <w:r w:rsidR="00C242F1">
        <w:t xml:space="preserve"> „</w:t>
      </w:r>
      <w:r w:rsidR="009161A4">
        <w:t>с</w:t>
      </w:r>
      <w:r w:rsidR="00C242F1">
        <w:t>е</w:t>
      </w:r>
      <w:r w:rsidR="006B110F">
        <w:t xml:space="preserve"> е </w:t>
      </w:r>
      <w:r w:rsidR="00C242F1">
        <w:t xml:space="preserve"> </w:t>
      </w:r>
      <w:r w:rsidR="009161A4">
        <w:t>принудило да приеме</w:t>
      </w:r>
      <w:r w:rsidR="00C242F1">
        <w:t xml:space="preserve"> </w:t>
      </w:r>
      <w:r w:rsidRPr="00290056">
        <w:t>процедурите, разрешенията и решенията, взети от държавните органи”. Те също твърдят, че държавата</w:t>
      </w:r>
      <w:r w:rsidR="009161A4">
        <w:t xml:space="preserve"> </w:t>
      </w:r>
      <w:r w:rsidRPr="00290056">
        <w:t>ответник не е приела законодателството, необходимо за защита на добросъвестните участници в приватизационния процес, и че приложимото законодателство относно приватизацията е било неясно, често се е променяло и е било непредвидимо.</w:t>
      </w:r>
    </w:p>
    <w:p w:rsidR="00F33C6E" w:rsidRPr="00290056" w:rsidRDefault="00F33C6E" w:rsidP="003B32A3">
      <w:pPr>
        <w:pStyle w:val="ECHRPara"/>
      </w:pPr>
      <w:r w:rsidRPr="00290056">
        <w:t>40.  На следващо място</w:t>
      </w:r>
      <w:r w:rsidR="00732AF9">
        <w:t>,</w:t>
      </w:r>
      <w:r w:rsidRPr="00290056">
        <w:t xml:space="preserve"> г-н Видолов и наследниците на г-жа Видолова смятат, че е несправедливо дружеството</w:t>
      </w:r>
      <w:r w:rsidR="009161A4">
        <w:t xml:space="preserve"> </w:t>
      </w:r>
      <w:r w:rsidRPr="00290056">
        <w:t xml:space="preserve">жалбоподател да не може вече да си възстанови цената, която е платило за имотите, поради изтичането на петгодишния период, докато “Инкомс-Телеком Холдинг” АД е могло да се </w:t>
      </w:r>
      <w:r w:rsidR="002E2D4F" w:rsidRPr="00290056">
        <w:t>потърси</w:t>
      </w:r>
      <w:r w:rsidRPr="00290056">
        <w:t xml:space="preserve"> възстанов</w:t>
      </w:r>
      <w:r w:rsidR="002E2D4F" w:rsidRPr="00290056">
        <w:t>яването на</w:t>
      </w:r>
      <w:r w:rsidRPr="00290056">
        <w:t xml:space="preserve"> тези имоти, дори </w:t>
      </w:r>
      <w:r w:rsidR="009161A4" w:rsidRPr="00075E38">
        <w:t>действайки</w:t>
      </w:r>
      <w:r w:rsidRPr="00290056">
        <w:t xml:space="preserve"> недобросъвестно. Те твърдят, че това е “неравенство, основаващо се на закон”, което не отчита конкретните обстоятелства или страната, нос</w:t>
      </w:r>
      <w:r w:rsidR="009161A4">
        <w:rPr>
          <w:lang w:val="en-US"/>
        </w:rPr>
        <w:t>e</w:t>
      </w:r>
      <w:r w:rsidR="009161A4">
        <w:t>ща</w:t>
      </w:r>
      <w:r w:rsidRPr="00290056">
        <w:t xml:space="preserve"> отговорност за нищожността на договора от 1997 г. Така възникналата ситуация следователно е в нарушение на чл. 1 от Протокол № 1.</w:t>
      </w:r>
    </w:p>
    <w:p w:rsidR="00F33C6E" w:rsidRPr="00290056" w:rsidRDefault="00F33C6E" w:rsidP="003B32A3">
      <w:pPr>
        <w:pStyle w:val="ECHRPara"/>
      </w:pPr>
      <w:r w:rsidRPr="00290056">
        <w:t>41.  На последно място</w:t>
      </w:r>
      <w:r w:rsidR="00C45E42">
        <w:t>,</w:t>
      </w:r>
      <w:r w:rsidRPr="00290056">
        <w:t xml:space="preserve"> г-н Видолов и наследниците на г-жа Видолова твърдят, че дружеството</w:t>
      </w:r>
      <w:r w:rsidR="00C45E42">
        <w:t xml:space="preserve"> </w:t>
      </w:r>
      <w:r w:rsidRPr="00290056">
        <w:t xml:space="preserve">жалбоподател не е </w:t>
      </w:r>
      <w:r w:rsidR="00C45E42">
        <w:t>могло</w:t>
      </w:r>
      <w:r w:rsidRPr="00290056">
        <w:t xml:space="preserve"> да търси обезщетение за подобренията, направени върху имотите. Те твърдят, че и в това отношение положението му е сходно с това на жалбоподателите във </w:t>
      </w:r>
      <w:r w:rsidRPr="00290056">
        <w:rPr>
          <w:i/>
        </w:rPr>
        <w:t>Великови и други</w:t>
      </w:r>
      <w:r w:rsidRPr="00290056">
        <w:t xml:space="preserve"> (цитирано по-горе).</w:t>
      </w:r>
    </w:p>
    <w:p w:rsidR="00F33C6E" w:rsidRPr="00290056" w:rsidRDefault="00F33C6E" w:rsidP="003B32A3">
      <w:pPr>
        <w:pStyle w:val="ECHRHeading2"/>
      </w:pPr>
      <w:r w:rsidRPr="00290056">
        <w:t>Б. Преценка</w:t>
      </w:r>
      <w:r w:rsidR="002E2D4F" w:rsidRPr="00290056">
        <w:t>та</w:t>
      </w:r>
      <w:r w:rsidRPr="00290056">
        <w:t xml:space="preserve"> на Съда</w:t>
      </w:r>
    </w:p>
    <w:p w:rsidR="00F33C6E" w:rsidRPr="00290056" w:rsidRDefault="00F33C6E" w:rsidP="003B32A3">
      <w:pPr>
        <w:pStyle w:val="ECHRPara"/>
      </w:pPr>
      <w:r w:rsidRPr="00290056">
        <w:t xml:space="preserve">42.  Съдът отбелязва възражението на Правителството, че двамата </w:t>
      </w:r>
      <w:r w:rsidR="000C0B99" w:rsidRPr="00290056">
        <w:t xml:space="preserve">отделни </w:t>
      </w:r>
      <w:r w:rsidRPr="00290056">
        <w:t>жалбоподатели не са имали пр</w:t>
      </w:r>
      <w:r w:rsidR="00A86465">
        <w:t>оцесуална легитимация</w:t>
      </w:r>
      <w:r w:rsidRPr="00290056">
        <w:t xml:space="preserve"> да </w:t>
      </w:r>
      <w:r w:rsidR="00A86465">
        <w:t>подадат</w:t>
      </w:r>
      <w:r w:rsidRPr="00290056">
        <w:t xml:space="preserve"> </w:t>
      </w:r>
      <w:r w:rsidR="00A86465">
        <w:t>жалба до</w:t>
      </w:r>
      <w:r w:rsidRPr="00290056">
        <w:t xml:space="preserve"> Съда от името на дружеството</w:t>
      </w:r>
      <w:r w:rsidR="00A86465" w:rsidRPr="00075E38">
        <w:t xml:space="preserve"> </w:t>
      </w:r>
      <w:r w:rsidRPr="00290056">
        <w:t>жалбоподател, тъй като в производството по несъстоятелност срещу него съдиите назнач</w:t>
      </w:r>
      <w:r w:rsidR="00DC5A0C" w:rsidRPr="00290056">
        <w:t>ават</w:t>
      </w:r>
      <w:r w:rsidRPr="00290056">
        <w:t xml:space="preserve"> синдик, който да го представлява (вж. параграф 33 по-горе)</w:t>
      </w:r>
      <w:r w:rsidR="00A86465">
        <w:t>.</w:t>
      </w:r>
      <w:r w:rsidRPr="00290056">
        <w:t xml:space="preserve"> </w:t>
      </w:r>
      <w:r w:rsidR="002C6E5C">
        <w:t>Г</w:t>
      </w:r>
      <w:r w:rsidRPr="00290056">
        <w:t>-н Видолов и наследниците на г-жа Видолова оспорват този аргумент (вж. параграф 38 по-горе).  Освен това Съдът отбелязва, че дружеството</w:t>
      </w:r>
      <w:r w:rsidR="00A86465">
        <w:t xml:space="preserve"> </w:t>
      </w:r>
      <w:r w:rsidRPr="00290056">
        <w:t>жалбоподател междувременно е прекратено (вж. параграф 3 по-горе).</w:t>
      </w:r>
    </w:p>
    <w:p w:rsidR="00F33C6E" w:rsidRPr="00290056" w:rsidRDefault="00F33C6E" w:rsidP="003B32A3">
      <w:pPr>
        <w:pStyle w:val="ECHRPara"/>
      </w:pPr>
      <w:r w:rsidRPr="00290056">
        <w:lastRenderedPageBreak/>
        <w:t xml:space="preserve">43.  Независимо от това Съдът </w:t>
      </w:r>
      <w:r w:rsidR="00DC5A0C" w:rsidRPr="00290056">
        <w:t>намира</w:t>
      </w:r>
      <w:r w:rsidRPr="00290056">
        <w:t>, че не трябва да решава</w:t>
      </w:r>
      <w:r w:rsidR="002C6E5C">
        <w:t xml:space="preserve"> въпроса</w:t>
      </w:r>
      <w:r w:rsidRPr="00290056">
        <w:t xml:space="preserve"> дали двамата </w:t>
      </w:r>
      <w:r w:rsidR="00DC5A0C" w:rsidRPr="00290056">
        <w:t xml:space="preserve">отделни </w:t>
      </w:r>
      <w:r w:rsidRPr="00290056">
        <w:t xml:space="preserve">жалбоподатели са имали </w:t>
      </w:r>
      <w:r w:rsidR="00A86465">
        <w:t>процесуална легитимация</w:t>
      </w:r>
      <w:r w:rsidR="00A86465" w:rsidRPr="00290056">
        <w:t xml:space="preserve"> </w:t>
      </w:r>
      <w:r w:rsidRPr="00290056">
        <w:t xml:space="preserve">да </w:t>
      </w:r>
      <w:r w:rsidR="00A40EA9" w:rsidRPr="00290056">
        <w:t xml:space="preserve">предявят </w:t>
      </w:r>
      <w:r w:rsidRPr="00290056">
        <w:t>жалба от името на дружеството, тъй като жалбата във всеки случай е недопустима поради посочените по-долу причини.</w:t>
      </w:r>
    </w:p>
    <w:p w:rsidR="00F33C6E" w:rsidRPr="00290056" w:rsidRDefault="00F33C6E" w:rsidP="003B32A3">
      <w:pPr>
        <w:pStyle w:val="ECHRPara"/>
      </w:pPr>
      <w:r w:rsidRPr="00290056">
        <w:t xml:space="preserve">44.  Както Съдът е посочвал в редица случаи, чл. 1 от Протокол № 1 съдържа три отделни правила: първото правило, посочено в първото изречение на първия параграф, е от общ характер и провъзгласява принципа на мирно ползване на притежанията; второто правило, съдържащо се във второто изречение от първия параграф, се отнася до лишаването от притежания и го подчинява на определени условия; третото правило, посочено във втория параграф, признава, че Високодоговарящите държави имат право, наред с други неща, да контролират ползването на притежанията в съответствие с общия интерес. Трите правила обаче не са “отделни” в смисъл, че не са свързани. Второто и третото правило се отнасят до конкретни случаи на намеса в правото на мирно ползване на притежания и следователно трябва да се тълкуват в светлината на общия принцип, изложен в първото правило (вж. наред с други </w:t>
      </w:r>
      <w:proofErr w:type="spellStart"/>
      <w:r w:rsidRPr="00290056">
        <w:rPr>
          <w:i/>
        </w:rPr>
        <w:t>Beyeler</w:t>
      </w:r>
      <w:proofErr w:type="spellEnd"/>
      <w:r w:rsidRPr="00290056">
        <w:rPr>
          <w:i/>
        </w:rPr>
        <w:t xml:space="preserve"> v. </w:t>
      </w:r>
      <w:proofErr w:type="spellStart"/>
      <w:r w:rsidRPr="00290056">
        <w:rPr>
          <w:i/>
        </w:rPr>
        <w:t>Italy</w:t>
      </w:r>
      <w:proofErr w:type="spellEnd"/>
      <w:r w:rsidRPr="00290056">
        <w:t xml:space="preserve"> [GC ], № 33202/96, § 98, ЕСПЧ 2000</w:t>
      </w:r>
      <w:r w:rsidRPr="00290056">
        <w:noBreakHyphen/>
        <w:t>I).</w:t>
      </w:r>
    </w:p>
    <w:p w:rsidR="00F33C6E" w:rsidRPr="00290056" w:rsidRDefault="00F33C6E" w:rsidP="003B32A3">
      <w:pPr>
        <w:pStyle w:val="ECHRPara"/>
      </w:pPr>
      <w:r w:rsidRPr="00290056">
        <w:t xml:space="preserve">45.  Съдът е на мнение, че вторият параграф от чл. 1 на Протокол № 1 </w:t>
      </w:r>
      <w:r w:rsidR="00A40EA9" w:rsidRPr="00290056">
        <w:t xml:space="preserve">е </w:t>
      </w:r>
      <w:r w:rsidRPr="00290056">
        <w:t>прил</w:t>
      </w:r>
      <w:r w:rsidR="00A40EA9" w:rsidRPr="00290056">
        <w:t>ожим в</w:t>
      </w:r>
      <w:r w:rsidRPr="00290056">
        <w:t xml:space="preserve"> настоящия случай. По отношение на това правило, с конкретното позоваване на “правото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...”, Съдът е постановявал, че трябва да има разумна връзка на пропорционалност между използваните средства и целта, която трябва да бъде постигната. Държавите се ползват с широка свобода на преценка както по отношение на избора на средства за изпълнение, така и по отношение на това дали последиците от изпълнението са оправдани от общия интерес с цел постигане на предмета на въпросния закон, в конкретния случай защитата на правната сигурност (</w:t>
      </w:r>
      <w:proofErr w:type="spellStart"/>
      <w:r w:rsidRPr="00290056">
        <w:t>вж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Pye</w:t>
      </w:r>
      <w:proofErr w:type="spellEnd"/>
      <w:r w:rsidRPr="00290056">
        <w:rPr>
          <w:i/>
        </w:rPr>
        <w:t xml:space="preserve"> (Oxford) </w:t>
      </w:r>
      <w:proofErr w:type="spellStart"/>
      <w:r w:rsidRPr="00290056">
        <w:rPr>
          <w:i/>
        </w:rPr>
        <w:t>Ltd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and</w:t>
      </w:r>
      <w:proofErr w:type="spellEnd"/>
      <w:r w:rsidRPr="00290056">
        <w:rPr>
          <w:i/>
        </w:rPr>
        <w:t xml:space="preserve"> J.A. </w:t>
      </w:r>
      <w:proofErr w:type="spellStart"/>
      <w:r w:rsidRPr="00290056">
        <w:rPr>
          <w:i/>
        </w:rPr>
        <w:t>Pye</w:t>
      </w:r>
      <w:proofErr w:type="spellEnd"/>
      <w:r w:rsidRPr="00290056">
        <w:rPr>
          <w:i/>
        </w:rPr>
        <w:t xml:space="preserve"> (Oxford) </w:t>
      </w:r>
      <w:proofErr w:type="spellStart"/>
      <w:r w:rsidRPr="00290056">
        <w:rPr>
          <w:i/>
        </w:rPr>
        <w:t>Land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Ltd</w:t>
      </w:r>
      <w:proofErr w:type="spellEnd"/>
      <w:r w:rsidRPr="00290056">
        <w:rPr>
          <w:i/>
        </w:rPr>
        <w:t xml:space="preserve"> v. </w:t>
      </w:r>
      <w:proofErr w:type="spellStart"/>
      <w:r w:rsidRPr="00290056">
        <w:rPr>
          <w:i/>
        </w:rPr>
        <w:t>the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United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Kingdom</w:t>
      </w:r>
      <w:proofErr w:type="spellEnd"/>
      <w:r w:rsidRPr="00290056">
        <w:t xml:space="preserve"> [GC], № 44302/02, §§ 55 и 68-70, ЕСПЧ 2007</w:t>
      </w:r>
      <w:r w:rsidRPr="00290056">
        <w:noBreakHyphen/>
        <w:t xml:space="preserve">III). Във всички случаи необходимият баланс няма да бъде постигнат, ако заинтересованото лице трябва да понесе индивидуална и прекомерна тежест (вж. наред с други решения </w:t>
      </w:r>
      <w:proofErr w:type="spellStart"/>
      <w:r w:rsidRPr="00290056">
        <w:rPr>
          <w:i/>
        </w:rPr>
        <w:t>Brosset</w:t>
      </w:r>
      <w:r w:rsidRPr="00290056">
        <w:noBreakHyphen/>
      </w:r>
      <w:r w:rsidRPr="00290056">
        <w:rPr>
          <w:i/>
        </w:rPr>
        <w:t>Triboulet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and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Others</w:t>
      </w:r>
      <w:proofErr w:type="spellEnd"/>
      <w:r w:rsidRPr="00290056">
        <w:rPr>
          <w:i/>
        </w:rPr>
        <w:t xml:space="preserve"> v. </w:t>
      </w:r>
      <w:proofErr w:type="spellStart"/>
      <w:r w:rsidRPr="00290056">
        <w:rPr>
          <w:i/>
        </w:rPr>
        <w:t>France</w:t>
      </w:r>
      <w:proofErr w:type="spellEnd"/>
      <w:r w:rsidRPr="00290056">
        <w:t xml:space="preserve"> [GC], № 34078/02, § 86, 29 март 2010 г., и </w:t>
      </w:r>
      <w:proofErr w:type="spellStart"/>
      <w:r w:rsidRPr="00290056">
        <w:rPr>
          <w:i/>
        </w:rPr>
        <w:t>Béláné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Nagy</w:t>
      </w:r>
      <w:proofErr w:type="spellEnd"/>
      <w:r w:rsidRPr="00290056">
        <w:rPr>
          <w:i/>
        </w:rPr>
        <w:t xml:space="preserve"> v. </w:t>
      </w:r>
      <w:proofErr w:type="spellStart"/>
      <w:r w:rsidRPr="00290056">
        <w:rPr>
          <w:i/>
        </w:rPr>
        <w:t>Hungary</w:t>
      </w:r>
      <w:proofErr w:type="spellEnd"/>
      <w:r w:rsidRPr="00290056">
        <w:rPr>
          <w:i/>
        </w:rPr>
        <w:t xml:space="preserve"> </w:t>
      </w:r>
      <w:r w:rsidRPr="00290056">
        <w:t>[GC], № 53080/13, § 115, ЕСПЧ 2016 г.).</w:t>
      </w:r>
    </w:p>
    <w:p w:rsidR="00F33C6E" w:rsidRPr="00290056" w:rsidRDefault="00F33C6E" w:rsidP="003B32A3">
      <w:pPr>
        <w:pStyle w:val="ECHRPara"/>
      </w:pPr>
      <w:r w:rsidRPr="00290056">
        <w:t xml:space="preserve">46.  Първоначално Съдът ще </w:t>
      </w:r>
      <w:r w:rsidR="0048745F" w:rsidRPr="00290056">
        <w:t>разгледа</w:t>
      </w:r>
      <w:r w:rsidRPr="00290056">
        <w:t xml:space="preserve"> оспорването от страна на жалбоподателите на вътрешното право, което предвижда петгодишен давностен срок по отношение на претенцията на дружеството</w:t>
      </w:r>
      <w:r w:rsidR="00D06505">
        <w:t xml:space="preserve"> </w:t>
      </w:r>
      <w:r w:rsidRPr="00290056">
        <w:t xml:space="preserve">жалбоподател да получи цената, платена по договора от 1997 г., докато </w:t>
      </w:r>
      <w:r w:rsidR="0048745F" w:rsidRPr="00290056">
        <w:t xml:space="preserve">ответната </w:t>
      </w:r>
      <w:r w:rsidRPr="00290056">
        <w:t xml:space="preserve">страна може да възстанови това, което е дала </w:t>
      </w:r>
      <w:r w:rsidR="0048745F" w:rsidRPr="00290056">
        <w:t>съгласно</w:t>
      </w:r>
      <w:r w:rsidRPr="00290056">
        <w:t xml:space="preserve"> същия </w:t>
      </w:r>
      <w:r w:rsidRPr="00290056">
        <w:lastRenderedPageBreak/>
        <w:t xml:space="preserve">договор, в много по-дълъг срок, а именно десет години. Жалбоподателите описват тази ситуация като “неравенство, основано на закон”. Това положение е резултат от прилагането на общите правила на вътрешното </w:t>
      </w:r>
      <w:r w:rsidR="0048745F" w:rsidRPr="00290056">
        <w:t>законодателство</w:t>
      </w:r>
      <w:r w:rsidRPr="00290056">
        <w:t xml:space="preserve">, както са тълкувани от националните съдилища. Правилата предвиждат, че всички вземания се погасяват след изтичането на пет години, а </w:t>
      </w:r>
      <w:proofErr w:type="spellStart"/>
      <w:r w:rsidRPr="00290056">
        <w:t>давностният</w:t>
      </w:r>
      <w:proofErr w:type="spellEnd"/>
      <w:r w:rsidRPr="00290056">
        <w:t xml:space="preserve"> срок за възстановяване на каквото и да било, </w:t>
      </w:r>
      <w:proofErr w:type="spellStart"/>
      <w:r w:rsidRPr="00290056">
        <w:t>пр</w:t>
      </w:r>
      <w:r w:rsidR="00D06505">
        <w:t>естирано</w:t>
      </w:r>
      <w:proofErr w:type="spellEnd"/>
      <w:r w:rsidRPr="00290056">
        <w:t xml:space="preserve"> по договор, който се смята за нищожен, започва да тече от момента на сключване на договора (вж. параграф 28 по-горе). В същото време владение, основано на договор, който е нищожен, винаги се смята за </w:t>
      </w:r>
      <w:r w:rsidR="00D06505">
        <w:t>установено</w:t>
      </w:r>
      <w:r w:rsidR="00D06505" w:rsidRPr="00290056">
        <w:t xml:space="preserve"> </w:t>
      </w:r>
      <w:r w:rsidRPr="00290056">
        <w:t xml:space="preserve">недобросъвестно, което означава, че срокът за придобиване на собственост чрез </w:t>
      </w:r>
      <w:proofErr w:type="spellStart"/>
      <w:r w:rsidRPr="00290056">
        <w:t>придобивна</w:t>
      </w:r>
      <w:proofErr w:type="spellEnd"/>
      <w:r w:rsidRPr="00290056">
        <w:t xml:space="preserve"> давност е десет години (вж. параграф 29 по-горе).</w:t>
      </w:r>
    </w:p>
    <w:p w:rsidR="00F33C6E" w:rsidRPr="00290056" w:rsidRDefault="00F33C6E" w:rsidP="003B32A3">
      <w:pPr>
        <w:pStyle w:val="ECHRPara"/>
      </w:pPr>
      <w:r w:rsidRPr="00290056">
        <w:t xml:space="preserve">47.  Съдът смята, че не е негова задача да определя </w:t>
      </w:r>
      <w:proofErr w:type="spellStart"/>
      <w:r w:rsidRPr="00290056">
        <w:rPr>
          <w:i/>
        </w:rPr>
        <w:t>in</w:t>
      </w:r>
      <w:proofErr w:type="spellEnd"/>
      <w:r w:rsidRPr="00290056">
        <w:rPr>
          <w:i/>
        </w:rPr>
        <w:t xml:space="preserve"> </w:t>
      </w:r>
      <w:proofErr w:type="spellStart"/>
      <w:r w:rsidRPr="00290056">
        <w:rPr>
          <w:i/>
        </w:rPr>
        <w:t>abstracto</w:t>
      </w:r>
      <w:proofErr w:type="spellEnd"/>
      <w:r w:rsidRPr="00290056">
        <w:t xml:space="preserve"> дали описаните по-горе вътрешноправни норми са разумни и необходими, за да гарантират правото на собственост и принципа на правната сигурност. Макар че при обстоятелствата по настоящото дело прилагането на горепосочените правила води до известно </w:t>
      </w:r>
      <w:r w:rsidR="00D30BF5">
        <w:t>неравенство в правните възможности</w:t>
      </w:r>
      <w:r w:rsidRPr="00290056">
        <w:t xml:space="preserve">  на двете заинтересовани страни, това не е достатъчно, за да накара Съда да приеме, че държавата</w:t>
      </w:r>
      <w:r w:rsidR="00D30BF5">
        <w:t xml:space="preserve"> </w:t>
      </w:r>
      <w:r w:rsidRPr="00290056">
        <w:t>ответник е превишила свободата си на преценка при прилагането на закони за контрол на използването на собственост. По-скоро Съдът ще трябва да разгледа всички относими аспекти на разглежданото дело и въз основа на такава цялостна оценка да реши дали дружеството</w:t>
      </w:r>
      <w:r w:rsidR="00D30BF5">
        <w:t xml:space="preserve"> </w:t>
      </w:r>
      <w:r w:rsidRPr="00290056">
        <w:t>жалбоподател е принудено да понесе изключителна и индивидуална тежест.</w:t>
      </w:r>
    </w:p>
    <w:p w:rsidR="00F33C6E" w:rsidRPr="00290056" w:rsidRDefault="00F33C6E" w:rsidP="003B32A3">
      <w:pPr>
        <w:pStyle w:val="ECHRPara"/>
      </w:pPr>
      <w:r w:rsidRPr="00290056">
        <w:t>48.  За договора от 1997 г., с който дружеството</w:t>
      </w:r>
      <w:r w:rsidR="00D30BF5">
        <w:t xml:space="preserve"> </w:t>
      </w:r>
      <w:r w:rsidRPr="00290056">
        <w:t xml:space="preserve">жалбоподател купува имотите от “Инкомс-Телеком Холдинг” АД, е установено от националните съдилища, че е нищожен поради две причини. На първо място, такъв договор изисква изрично разрешение от Министерския съвет, но разрешението, получено на 14 юни 1996 г. за гореспоменатата продажба, е от общ характер и не уточнява въпросните имоти (вж. параграф 15 по-горе). На второ място, спорният договор не е сключен пред нотариус, както се изисква </w:t>
      </w:r>
      <w:r w:rsidR="0048745F" w:rsidRPr="00290056">
        <w:t xml:space="preserve">от </w:t>
      </w:r>
      <w:r w:rsidRPr="00290056">
        <w:t>чл. 18 от Закона за задълженията и договорите (вж. параграф 26 по-горе), тъй като не се прилага нито едно от изключенията от това правило, по-конкретно това, което се отнася до договори за приватизация (вж. параграф 16 по-горе).</w:t>
      </w:r>
    </w:p>
    <w:p w:rsidR="00F33C6E" w:rsidRPr="00290056" w:rsidRDefault="00F33C6E" w:rsidP="003B32A3">
      <w:pPr>
        <w:pStyle w:val="ECHRPara"/>
      </w:pPr>
      <w:r w:rsidRPr="00290056">
        <w:t xml:space="preserve">49.  Съдът не намира нищо, което да противоречи на доводите на Правителството (вж. параграф 34 по-горе), че нищожността на договора трябва да е била достатъчно очевидна към момента на сключването му. Той отбелязва по-конкретно мотивите на националните съдилища, обобщени в предходния параграф. Договорът не попада в обхвата на чл. 1, ал. 3 от Закона за преобразуване и приватизация и не се отнася за държавна или общинска собственост, а за собственост на дружеството “Инкомс-Телеком Холдинг” АД. Освен това той не е сключен в съответствие със специалната процедура, предвидена в </w:t>
      </w:r>
      <w:r w:rsidRPr="00290056">
        <w:lastRenderedPageBreak/>
        <w:t xml:space="preserve">приватизационното законодателство, и не съдържа допълнителни задължения за купувача от вида, характерен за приватизационните договори. Като се има предвид липсата на съдебно решение, заемащо противоположната позиция, както и консенсусът от страна на юристи (вж. параграфи 35-36 по-горе), заключението, че разглежданият договор не е приватизационен договор и че следователно за него са приложими общите правила за прехвърляне на имущество, не може да </w:t>
      </w:r>
      <w:r w:rsidR="0048745F" w:rsidRPr="00290056">
        <w:t>се счита за</w:t>
      </w:r>
      <w:r w:rsidRPr="00290056">
        <w:t xml:space="preserve"> непредвидимо и със сигурност не е произволно.</w:t>
      </w:r>
    </w:p>
    <w:p w:rsidR="00F33C6E" w:rsidRPr="00290056" w:rsidRDefault="00F33C6E" w:rsidP="003B32A3">
      <w:pPr>
        <w:pStyle w:val="ECHRPara"/>
      </w:pPr>
      <w:r w:rsidRPr="00290056">
        <w:t xml:space="preserve">50.  Съответно Съдът </w:t>
      </w:r>
      <w:r w:rsidR="0048745F" w:rsidRPr="00290056">
        <w:t>счита</w:t>
      </w:r>
      <w:r w:rsidRPr="00290056">
        <w:t xml:space="preserve">, че </w:t>
      </w:r>
      <w:r w:rsidR="00D84B1E">
        <w:t>при сключването на</w:t>
      </w:r>
      <w:r w:rsidR="00D84B1E" w:rsidRPr="00290056">
        <w:t xml:space="preserve"> </w:t>
      </w:r>
      <w:r w:rsidRPr="00290056">
        <w:t>горепосочения договор през 1997 г., дружеството</w:t>
      </w:r>
      <w:r w:rsidR="00D84B1E">
        <w:t xml:space="preserve"> </w:t>
      </w:r>
      <w:r w:rsidRPr="00290056">
        <w:t>жалбоподател трябва да е</w:t>
      </w:r>
      <w:r w:rsidR="00F264B1" w:rsidRPr="00290056">
        <w:t xml:space="preserve"> било</w:t>
      </w:r>
      <w:r w:rsidRPr="00290056">
        <w:t xml:space="preserve"> наясно за възможността договорът да бъде обявен за нищожен с всички последици, които биха могли да възникнат от това - въз основа на добре установената практика на националните съдилища - като петгодишен давностен срок, започващ през 1997 г., за дружеството</w:t>
      </w:r>
      <w:r w:rsidR="00D84B1E">
        <w:t xml:space="preserve"> </w:t>
      </w:r>
      <w:r w:rsidRPr="00290056">
        <w:t xml:space="preserve">жалбоподател да иска възстановяване на платената от него цена, прилагането към него на десетгодишния срок на </w:t>
      </w:r>
      <w:proofErr w:type="spellStart"/>
      <w:r w:rsidRPr="00290056">
        <w:t>придобивна</w:t>
      </w:r>
      <w:proofErr w:type="spellEnd"/>
      <w:r w:rsidRPr="00290056">
        <w:t xml:space="preserve"> давност, както и възможността</w:t>
      </w:r>
      <w:r w:rsidR="00F264B1" w:rsidRPr="00290056">
        <w:t xml:space="preserve"> </w:t>
      </w:r>
      <w:r w:rsidRPr="00290056">
        <w:t xml:space="preserve">“Инкомс-Телеком Холдинг” АД успешно да </w:t>
      </w:r>
      <w:r w:rsidR="00F264B1" w:rsidRPr="00290056">
        <w:t>по</w:t>
      </w:r>
      <w:r w:rsidR="00D84B1E">
        <w:t>даде иск за</w:t>
      </w:r>
      <w:r w:rsidRPr="00290056">
        <w:t xml:space="preserve"> връщане на имотите преди изтичането на този срок. Поради това дружеството</w:t>
      </w:r>
      <w:r w:rsidR="00D84B1E">
        <w:t xml:space="preserve"> </w:t>
      </w:r>
      <w:r w:rsidRPr="00290056">
        <w:t>жалбоподател е поело риск, който в крайна сметка се материализира</w:t>
      </w:r>
      <w:r w:rsidR="00D84B1E">
        <w:t>.</w:t>
      </w:r>
    </w:p>
    <w:p w:rsidR="00F33C6E" w:rsidRPr="00290056" w:rsidRDefault="00F33C6E" w:rsidP="003B32A3">
      <w:pPr>
        <w:pStyle w:val="ECHRPara"/>
      </w:pPr>
      <w:r w:rsidRPr="00290056">
        <w:t xml:space="preserve">51.  Като твърдят, че в техния случай е нарушен чл. 1 от Протокол № 1, г-н Видолов и наследниците на г-жа Видолова се позовават и на констатациите на Съда </w:t>
      </w:r>
      <w:r w:rsidR="00D84B1E">
        <w:t>по</w:t>
      </w:r>
      <w:r w:rsidR="00F264B1" w:rsidRPr="00290056">
        <w:t xml:space="preserve"> </w:t>
      </w:r>
      <w:r w:rsidRPr="00290056">
        <w:t xml:space="preserve">делото </w:t>
      </w:r>
      <w:r w:rsidRPr="00290056">
        <w:rPr>
          <w:i/>
        </w:rPr>
        <w:t>Великови и други</w:t>
      </w:r>
      <w:r w:rsidRPr="00290056">
        <w:t xml:space="preserve"> (вж. параграф 39 по-горе). Това решение обаче </w:t>
      </w:r>
      <w:r w:rsidR="00F264B1" w:rsidRPr="00290056">
        <w:t>засяга</w:t>
      </w:r>
      <w:r w:rsidRPr="00290056">
        <w:t xml:space="preserve"> друг въпрос - а именно последиците от нарушения на закона, извършени в хода на продажба от страна на властите на апартаменти на частни лица. Съдът констатира нарушения на чл. 1 от Протокол № 1 само в случаите, когато жалбоподателите са били лишени от своите апартаменти поради незначителни нарушения на административната процедура по време на покупката, за които не са отговорни (като например това, че някои от </w:t>
      </w:r>
      <w:r w:rsidR="00F264B1" w:rsidRPr="00290056">
        <w:t xml:space="preserve">приложимите </w:t>
      </w:r>
      <w:r w:rsidRPr="00290056">
        <w:t xml:space="preserve">документи не са подписани от длъжностното лице, на което е възложено съответното правомощие, а от заместник), или когато националните съдилища са тълкували приложимото законодателство по твърде обширен начин (вж. §§ 217-28 и 236-49 от цитираното по-горе решение). За разлика от това настоящото </w:t>
      </w:r>
      <w:r w:rsidR="00266971">
        <w:t>оплакване</w:t>
      </w:r>
      <w:r w:rsidR="00266971" w:rsidRPr="00290056">
        <w:t xml:space="preserve"> </w:t>
      </w:r>
      <w:r w:rsidRPr="00290056">
        <w:t xml:space="preserve">е </w:t>
      </w:r>
      <w:r w:rsidR="00266971">
        <w:t>основано на</w:t>
      </w:r>
      <w:r w:rsidRPr="00290056">
        <w:t xml:space="preserve"> напълно различ</w:t>
      </w:r>
      <w:r w:rsidR="00266971">
        <w:t>на фактическа и правна обстановка</w:t>
      </w:r>
      <w:r w:rsidRPr="00290056">
        <w:t>. То не засяга продажбата на имущество от публичен орган на частни лица, а по-скоро продажбата на имущество от дружество, макар и публично, на друго дружество. То</w:t>
      </w:r>
      <w:r w:rsidR="00F264B1" w:rsidRPr="00290056">
        <w:t xml:space="preserve"> засяга</w:t>
      </w:r>
      <w:r w:rsidRPr="00290056">
        <w:t xml:space="preserve"> сделка от типа “между стопански субекти”, </w:t>
      </w:r>
      <w:r w:rsidR="006570BD">
        <w:t>за извършването на която</w:t>
      </w:r>
      <w:r w:rsidRPr="00290056">
        <w:t xml:space="preserve"> и от двете страни</w:t>
      </w:r>
      <w:r w:rsidR="006570BD">
        <w:t xml:space="preserve"> се дължи „грижата на добър търговец.“</w:t>
      </w:r>
      <w:r w:rsidRPr="00290056">
        <w:t>. Дружеството</w:t>
      </w:r>
      <w:r w:rsidR="006570BD">
        <w:t xml:space="preserve"> </w:t>
      </w:r>
      <w:r w:rsidRPr="00290056">
        <w:t xml:space="preserve">жалбоподател, което е трябвало да разполага с цялата </w:t>
      </w:r>
      <w:r w:rsidR="006570BD">
        <w:t>нужна</w:t>
      </w:r>
      <w:r w:rsidR="006570BD" w:rsidRPr="00290056">
        <w:t xml:space="preserve"> </w:t>
      </w:r>
      <w:r w:rsidRPr="00290056">
        <w:t>информация и ако е необх</w:t>
      </w:r>
      <w:r w:rsidR="006570BD">
        <w:t>одимо</w:t>
      </w:r>
      <w:r w:rsidRPr="00290056">
        <w:t xml:space="preserve">, е могло да получи подходяща правна консултация, е трябвало да оцени валидността на предложения договор и възможните му последици. Всъщност, особено що се отнася до изискването продажбата да бъде извършена пред нотариус, настоящият </w:t>
      </w:r>
      <w:r w:rsidRPr="00290056">
        <w:lastRenderedPageBreak/>
        <w:t xml:space="preserve">случай е по-сходен със случаите, разгледани във </w:t>
      </w:r>
      <w:r w:rsidRPr="00290056">
        <w:rPr>
          <w:i/>
        </w:rPr>
        <w:t>Великови и други</w:t>
      </w:r>
      <w:r w:rsidRPr="00290056">
        <w:t>, в които Съдът не е констатирал нарушения на чл. 1 от Протокол № 1, като е заключил, че приложимите правила са били нарушени по такъв очевиден начин, че жалбоподателите не може да не са били наясно с тези нарушения (вж. § 204-16 от решението).</w:t>
      </w:r>
    </w:p>
    <w:p w:rsidR="00F33C6E" w:rsidRPr="00290056" w:rsidRDefault="00F33C6E" w:rsidP="003B32A3">
      <w:pPr>
        <w:pStyle w:val="ECHRPara"/>
      </w:pPr>
      <w:r w:rsidRPr="00290056">
        <w:t>52.  Съдът също не е убеден, че дружеството</w:t>
      </w:r>
      <w:r w:rsidR="005F235D">
        <w:t xml:space="preserve"> </w:t>
      </w:r>
      <w:r w:rsidRPr="00290056">
        <w:t>жалбоподател е трябвало да понесе прекомерна индивидуална тежест поради липсата на средства за защита в отговор на твърдяната нищожност на договора за продажба. Въпреки голямата вероятност “Инкомс</w:t>
      </w:r>
      <w:r w:rsidRPr="00290056">
        <w:noBreakHyphen/>
        <w:t>Телеком Холдинг” АД да се позове на изтичането на съответния давностен срок, дружеството</w:t>
      </w:r>
      <w:r w:rsidR="005F235D">
        <w:t xml:space="preserve"> </w:t>
      </w:r>
      <w:r w:rsidRPr="00290056">
        <w:t xml:space="preserve">жалбоподател все пак е могло да се опита да възстанови цената, която </w:t>
      </w:r>
      <w:r w:rsidR="005F3EFB" w:rsidRPr="00290056">
        <w:t>плаща</w:t>
      </w:r>
      <w:r w:rsidRPr="00290056">
        <w:t xml:space="preserve"> през 1997 г., тъй като </w:t>
      </w:r>
      <w:proofErr w:type="spellStart"/>
      <w:r w:rsidRPr="00290056">
        <w:t>давностните</w:t>
      </w:r>
      <w:proofErr w:type="spellEnd"/>
      <w:r w:rsidRPr="00290056">
        <w:t xml:space="preserve"> сроковете не могат да бъдат прилагани служебно от съдилищата (вж. параграф 28 по-горе</w:t>
      </w:r>
      <w:r w:rsidR="005F3EFB" w:rsidRPr="00290056">
        <w:t xml:space="preserve"> в края</w:t>
      </w:r>
      <w:r w:rsidRPr="00290056">
        <w:t>).</w:t>
      </w:r>
      <w:r w:rsidRPr="00290056">
        <w:rPr>
          <w:rFonts w:ascii="Times New Roman" w:eastAsiaTheme="minorHAnsi" w:hAnsi="Times New Roman"/>
        </w:rPr>
        <w:t xml:space="preserve"> </w:t>
      </w:r>
      <w:r w:rsidRPr="00290056">
        <w:t>Във всеки случай цената, която дружеството</w:t>
      </w:r>
      <w:r w:rsidR="005F235D">
        <w:t xml:space="preserve"> </w:t>
      </w:r>
      <w:r w:rsidRPr="00290056">
        <w:t>жалбоподател пла</w:t>
      </w:r>
      <w:r w:rsidR="005F3EFB" w:rsidRPr="00290056">
        <w:t>ща</w:t>
      </w:r>
      <w:r w:rsidRPr="00290056">
        <w:t xml:space="preserve"> при покупката на имотите и която би било възпрепятствано да си възстанови, ако “Инкомс</w:t>
      </w:r>
      <w:r w:rsidRPr="00290056">
        <w:noBreakHyphen/>
        <w:t>Телеком Холдинг” АД е възразило, че вземането е отпаднало по давност, е сравнително малка. Цената, платена от дружеството</w:t>
      </w:r>
      <w:r w:rsidR="00C06B3C">
        <w:t xml:space="preserve"> </w:t>
      </w:r>
      <w:r w:rsidRPr="00290056">
        <w:t>жалбоподател през 1997 г., възлиза на 22 000 евро, докато стойността на имотите през декември 2016 г. според г-н Видолов и наследниците на г-жа Видолова възлиза на 2 610 900 евро (вж. параграфи 11-12 по-горе).</w:t>
      </w:r>
    </w:p>
    <w:p w:rsidR="00F33C6E" w:rsidRPr="00290056" w:rsidRDefault="00F33C6E" w:rsidP="003B32A3">
      <w:pPr>
        <w:pStyle w:val="ECHRPara"/>
      </w:pPr>
      <w:r w:rsidRPr="00290056">
        <w:t>53.  По-важното е, че дружеството</w:t>
      </w:r>
      <w:r w:rsidR="005F235D">
        <w:t xml:space="preserve"> </w:t>
      </w:r>
      <w:r w:rsidRPr="00290056">
        <w:t>жалбоподател е мо</w:t>
      </w:r>
      <w:r w:rsidR="005F3EFB" w:rsidRPr="00290056">
        <w:t>гло</w:t>
      </w:r>
      <w:r w:rsidRPr="00290056">
        <w:t xml:space="preserve"> да поиска от “Инкомс-Телеком Холдинг” АД обезщетение за подобренията, които </w:t>
      </w:r>
      <w:r w:rsidR="005F3EFB" w:rsidRPr="00290056">
        <w:t>прави</w:t>
      </w:r>
      <w:r w:rsidRPr="00290056">
        <w:t xml:space="preserve"> в имотите след закупуването им през 1997 г. Докато г-н Видолов и наследниците на г-жа Видолова не уточняват стойността на тези подобрения, значителната разлика между цената, платена от дружеството</w:t>
      </w:r>
      <w:r w:rsidR="007432D2">
        <w:t xml:space="preserve"> </w:t>
      </w:r>
      <w:r w:rsidRPr="00290056">
        <w:t>жалбоподател през 1997 г., и стойността на имотите през 2016 г., показва, че стойността на тези подобрения най-малкото не е пренебрежима. Г-н Видолов и наследниците на г-жа Видолова твърдят, че дружеството</w:t>
      </w:r>
      <w:r w:rsidR="005F235D">
        <w:t xml:space="preserve"> </w:t>
      </w:r>
      <w:r w:rsidRPr="00290056">
        <w:t xml:space="preserve">жалбоподател не разполага с правно средство за защита, чрез което да поиска обезщетение за подобренията (вж. параграф 41 по-горе). Противно на твърдяното от тях обаче, </w:t>
      </w:r>
      <w:r w:rsidR="002768EF" w:rsidRPr="00290056">
        <w:t>националното законодателство</w:t>
      </w:r>
      <w:r w:rsidRPr="00290056">
        <w:t xml:space="preserve"> разрешава на дружеството</w:t>
      </w:r>
      <w:r w:rsidR="00AA357D">
        <w:t xml:space="preserve"> </w:t>
      </w:r>
      <w:r w:rsidRPr="00290056">
        <w:t>жалбоподател да иска такова обезщетение и дори може да сравни положението му за тази цел с това на добросъвестен владелец, ако дружеството</w:t>
      </w:r>
      <w:r w:rsidR="00AA357D">
        <w:t xml:space="preserve"> </w:t>
      </w:r>
      <w:r w:rsidRPr="00290056">
        <w:t>жалбоподател може да докаже, че “Инкомс</w:t>
      </w:r>
      <w:r w:rsidRPr="00290056">
        <w:noBreakHyphen/>
        <w:t xml:space="preserve">Телеком Холдинг” АД е знаело и не е възразило срещу подобренията (вж. параграф 30 по-горе). Освен това </w:t>
      </w:r>
      <w:proofErr w:type="spellStart"/>
      <w:r w:rsidRPr="00290056">
        <w:t>давностният</w:t>
      </w:r>
      <w:proofErr w:type="spellEnd"/>
      <w:r w:rsidRPr="00290056">
        <w:t xml:space="preserve"> срок за предявяване на иск за обезщетение за подобренията трябва да е започнал да тече през 2003 г., когато срещу дружеството</w:t>
      </w:r>
      <w:r w:rsidR="00AA357D">
        <w:t xml:space="preserve"> </w:t>
      </w:r>
      <w:r w:rsidRPr="00290056">
        <w:t xml:space="preserve">жалбоподател е подаден </w:t>
      </w:r>
      <w:r w:rsidR="00AA357D">
        <w:t xml:space="preserve">ревандикационен </w:t>
      </w:r>
      <w:r w:rsidRPr="00290056">
        <w:t xml:space="preserve">иск (пак там). Съдът отбелязва в това отношение, че във </w:t>
      </w:r>
      <w:r w:rsidRPr="00290056">
        <w:rPr>
          <w:i/>
        </w:rPr>
        <w:t xml:space="preserve">Великови и други </w:t>
      </w:r>
      <w:r w:rsidRPr="00290056">
        <w:t>възможността жалбоподателите да искат такова обезщетение е възпрепятствана от задължително тълкувателно решение на Върховния съд (вж. § 141 от решението, цитирано по-горе) - пречка, която не присъства в случая на дружеството</w:t>
      </w:r>
      <w:r w:rsidR="00AA357D">
        <w:t xml:space="preserve"> </w:t>
      </w:r>
      <w:r w:rsidRPr="00290056">
        <w:lastRenderedPageBreak/>
        <w:t>жалбоподател. Не е доказано, че има друга причина дружеството</w:t>
      </w:r>
      <w:r w:rsidR="00AA357D">
        <w:t xml:space="preserve"> </w:t>
      </w:r>
      <w:r w:rsidRPr="00290056">
        <w:t>жалбоподател да не е в състояние да поиска обезщетение за подобренията, които е направило. То е можело да направи това скоро след като узна</w:t>
      </w:r>
      <w:r w:rsidR="00805A65" w:rsidRPr="00290056">
        <w:t>ва</w:t>
      </w:r>
      <w:r w:rsidRPr="00290056">
        <w:t xml:space="preserve"> за претенциите на “Инкомс</w:t>
      </w:r>
      <w:r w:rsidRPr="00290056">
        <w:noBreakHyphen/>
        <w:t>Телеком Холдинг” АД срещу себе си, без да се налага да изчаква резултата от последвалото производство.</w:t>
      </w:r>
    </w:p>
    <w:p w:rsidR="00F33C6E" w:rsidRPr="00290056" w:rsidRDefault="00F33C6E" w:rsidP="003B32A3">
      <w:pPr>
        <w:pStyle w:val="ECHRPara"/>
      </w:pPr>
      <w:r w:rsidRPr="00290056">
        <w:t>54.  Съдът</w:t>
      </w:r>
      <w:r w:rsidR="00805A65" w:rsidRPr="00290056">
        <w:t xml:space="preserve"> съответно</w:t>
      </w:r>
      <w:r w:rsidRPr="00290056">
        <w:t xml:space="preserve"> заключва, че нищожността на договора, сключен от дружеството</w:t>
      </w:r>
      <w:r w:rsidR="00AA357D">
        <w:t xml:space="preserve"> </w:t>
      </w:r>
      <w:r w:rsidRPr="00290056">
        <w:t xml:space="preserve">жалбоподател, се основава на правни разпоредби, които са били в сила много преди сключването му, и че тази нищожност и произтичащите от </w:t>
      </w:r>
      <w:r w:rsidR="00AA357D">
        <w:t>нея</w:t>
      </w:r>
      <w:r w:rsidR="00AA357D" w:rsidRPr="00290056">
        <w:t xml:space="preserve"> </w:t>
      </w:r>
      <w:r w:rsidRPr="00290056">
        <w:t>последици са</w:t>
      </w:r>
      <w:r w:rsidR="00AA357D">
        <w:t xml:space="preserve"> били</w:t>
      </w:r>
      <w:r w:rsidRPr="00290056">
        <w:t xml:space="preserve"> предвидими. Освен това, след като научава за твърденията на “Инкомс</w:t>
      </w:r>
      <w:r w:rsidRPr="00290056">
        <w:noBreakHyphen/>
        <w:t>Телеком Холдинг” АД срещу себе си, дружеството жалбоподател е мо</w:t>
      </w:r>
      <w:r w:rsidR="00805A65" w:rsidRPr="00290056">
        <w:t>г</w:t>
      </w:r>
      <w:r w:rsidRPr="00290056">
        <w:t xml:space="preserve">ло да поиска обезщетение за подобренията, които </w:t>
      </w:r>
      <w:r w:rsidR="00AA357D">
        <w:t>е направило</w:t>
      </w:r>
      <w:r w:rsidR="00AA357D" w:rsidRPr="00290056">
        <w:t xml:space="preserve"> </w:t>
      </w:r>
      <w:r w:rsidR="00805A65" w:rsidRPr="00290056">
        <w:t xml:space="preserve">и </w:t>
      </w:r>
      <w:r w:rsidRPr="00290056">
        <w:t>на които очевидно се дължи част от стойността на имотите. Ето защо, независимо от неблагоприятното положение на дружеството</w:t>
      </w:r>
      <w:r w:rsidR="00AA357D">
        <w:t xml:space="preserve"> </w:t>
      </w:r>
      <w:r w:rsidRPr="00290056">
        <w:t>жалбоподател, Съдът смята, че то не е принудено да понесе изключителна индивидуална тежест в противоречие с правата му по чл. 1 от Протокол № 1.</w:t>
      </w:r>
    </w:p>
    <w:p w:rsidR="00F33C6E" w:rsidRPr="00290056" w:rsidRDefault="00F33C6E" w:rsidP="003B32A3">
      <w:pPr>
        <w:pStyle w:val="ECHRPara"/>
      </w:pPr>
      <w:r w:rsidRPr="00290056">
        <w:t>55.  Поради тези причини Съдът достига до заключението, че жалбата е явно необоснована и трябва да бъде отхвърлена в съответствие с чл. 35 §§ 3 (а) и 4 от Конвенцията.</w:t>
      </w:r>
    </w:p>
    <w:p w:rsidR="00F33C6E" w:rsidRPr="00290056" w:rsidRDefault="00F33C6E" w:rsidP="003B32A3">
      <w:pPr>
        <w:pStyle w:val="JuParaLast"/>
      </w:pPr>
      <w:r w:rsidRPr="00290056">
        <w:t>По тези съображения съдът единодушно</w:t>
      </w:r>
    </w:p>
    <w:p w:rsidR="00F33C6E" w:rsidRPr="00290056" w:rsidRDefault="00F33C6E" w:rsidP="003B32A3">
      <w:pPr>
        <w:pStyle w:val="DecList"/>
      </w:pPr>
      <w:r w:rsidRPr="00290056">
        <w:rPr>
          <w:i/>
        </w:rPr>
        <w:t>Обявява</w:t>
      </w:r>
      <w:r w:rsidRPr="00290056">
        <w:t xml:space="preserve"> жалбата за недопустима.</w:t>
      </w:r>
    </w:p>
    <w:p w:rsidR="00E93FC7" w:rsidRPr="00290056" w:rsidRDefault="00E93FC7" w:rsidP="003B32A3">
      <w:pPr>
        <w:pStyle w:val="ECHRPara"/>
        <w:rPr>
          <w:sz w:val="2"/>
          <w:szCs w:val="2"/>
        </w:rPr>
      </w:pPr>
    </w:p>
    <w:p w:rsidR="009912DE" w:rsidRPr="00290056" w:rsidRDefault="00C75E0F" w:rsidP="003B32A3">
      <w:pPr>
        <w:pStyle w:val="DecList"/>
      </w:pPr>
      <w:r w:rsidRPr="00290056">
        <w:t>Изготвено на английски език и съобщено писмено на 18 януари 2018 г.</w:t>
      </w:r>
    </w:p>
    <w:p w:rsidR="002B6368" w:rsidRPr="003B32A3" w:rsidRDefault="002B6368" w:rsidP="003B32A3">
      <w:pPr>
        <w:pStyle w:val="JuSigned"/>
      </w:pPr>
      <w:r w:rsidRPr="00290056">
        <w:tab/>
        <w:t xml:space="preserve">Милан </w:t>
      </w:r>
      <w:proofErr w:type="spellStart"/>
      <w:r w:rsidRPr="00290056">
        <w:t>Бла</w:t>
      </w:r>
      <w:r w:rsidR="00805A65" w:rsidRPr="00290056">
        <w:t>с</w:t>
      </w:r>
      <w:r w:rsidRPr="00290056">
        <w:t>ко</w:t>
      </w:r>
      <w:proofErr w:type="spellEnd"/>
      <w:r w:rsidRPr="00290056">
        <w:tab/>
      </w:r>
      <w:proofErr w:type="spellStart"/>
      <w:r w:rsidRPr="00290056">
        <w:t>Ангелика</w:t>
      </w:r>
      <w:proofErr w:type="spellEnd"/>
      <w:r w:rsidRPr="00290056">
        <w:t xml:space="preserve"> </w:t>
      </w:r>
      <w:proofErr w:type="spellStart"/>
      <w:r w:rsidRPr="00290056">
        <w:t>Нусбергер</w:t>
      </w:r>
      <w:proofErr w:type="spellEnd"/>
      <w:r w:rsidRPr="00290056">
        <w:br/>
      </w:r>
      <w:r w:rsidR="00805A65" w:rsidRPr="00290056">
        <w:t>з</w:t>
      </w:r>
      <w:r w:rsidRPr="00290056">
        <w:t>аместник-секретар</w:t>
      </w:r>
      <w:r w:rsidRPr="00290056">
        <w:tab/>
      </w:r>
      <w:r w:rsidR="00805A65" w:rsidRPr="00290056">
        <w:t>п</w:t>
      </w:r>
      <w:r w:rsidRPr="00290056">
        <w:t>редседател</w:t>
      </w:r>
    </w:p>
    <w:sectPr w:rsidR="002B6368" w:rsidRPr="003B32A3" w:rsidSect="007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05" w:rsidRPr="00700638" w:rsidRDefault="00515205" w:rsidP="005C4C1E">
      <w:r w:rsidRPr="00700638">
        <w:separator/>
      </w:r>
    </w:p>
  </w:endnote>
  <w:endnote w:type="continuationSeparator" w:id="0">
    <w:p w:rsidR="00515205" w:rsidRPr="00700638" w:rsidRDefault="00515205" w:rsidP="005C4C1E">
      <w:r w:rsidRPr="007006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9" w:rsidRDefault="00E43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9" w:rsidRDefault="00E43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E" w:rsidRPr="00F33C6E" w:rsidRDefault="00F33C6E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5F97C91A" wp14:editId="5D0ACAE0">
          <wp:extent cx="771525" cy="619125"/>
          <wp:effectExtent l="0" t="0" r="9525" b="9525"/>
          <wp:docPr id="13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E433B9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05" w:rsidRPr="00700638" w:rsidRDefault="00515205" w:rsidP="005C4C1E">
      <w:r w:rsidRPr="00700638">
        <w:separator/>
      </w:r>
    </w:p>
  </w:footnote>
  <w:footnote w:type="continuationSeparator" w:id="0">
    <w:p w:rsidR="00515205" w:rsidRPr="00700638" w:rsidRDefault="00515205" w:rsidP="005C4C1E">
      <w:r w:rsidRPr="007006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F33C6E" w:rsidP="0076040F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33B9">
      <w:rPr>
        <w:rStyle w:val="PageNumber"/>
        <w:noProof/>
      </w:rPr>
      <w:t>14</w:t>
    </w:r>
    <w:r>
      <w:rPr>
        <w:rStyle w:val="PageNumber"/>
      </w:rPr>
      <w:fldChar w:fldCharType="end"/>
    </w:r>
    <w:r>
      <w:tab/>
      <w:t>ОПРЕДЕЛЕНИЕ „КЛИМАТ ИНКОМ В &amp; КО” ООД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C72A0D" w:rsidP="0076040F">
    <w:pPr>
      <w:pStyle w:val="ECHRHeader"/>
    </w:pPr>
    <w:r>
      <w:tab/>
      <w:t>ОПРЕДЕЛЕНИЕ „КЛИМАТ ИНКОМ В &amp; КО” ООД СРЕЩУ БЪЛГАРИЯ</w:t>
    </w:r>
    <w:r>
      <w:tab/>
    </w:r>
    <w:r w:rsidR="00F33C6E">
      <w:rPr>
        <w:rStyle w:val="PageNumber"/>
      </w:rPr>
      <w:fldChar w:fldCharType="begin"/>
    </w:r>
    <w:r w:rsidR="00F33C6E">
      <w:rPr>
        <w:rStyle w:val="PageNumber"/>
      </w:rPr>
      <w:instrText xml:space="preserve"> PAGE </w:instrText>
    </w:r>
    <w:r w:rsidR="00F33C6E">
      <w:rPr>
        <w:rStyle w:val="PageNumber"/>
      </w:rPr>
      <w:fldChar w:fldCharType="separate"/>
    </w:r>
    <w:r w:rsidR="00E433B9">
      <w:rPr>
        <w:rStyle w:val="PageNumber"/>
        <w:noProof/>
      </w:rPr>
      <w:t>13</w:t>
    </w:r>
    <w:r w:rsidR="00F33C6E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6E" w:rsidRPr="00A45145" w:rsidRDefault="00F33C6E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5ACCA92F" wp14:editId="78834916">
          <wp:extent cx="2962275" cy="1219200"/>
          <wp:effectExtent l="0" t="0" r="9525" b="0"/>
          <wp:docPr id="12" name="Picture 1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E433B9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F33C6E"/>
    <w:rsid w:val="00024CA4"/>
    <w:rsid w:val="000476AA"/>
    <w:rsid w:val="00056CCE"/>
    <w:rsid w:val="00064921"/>
    <w:rsid w:val="00075E38"/>
    <w:rsid w:val="000C0B99"/>
    <w:rsid w:val="000D1F3E"/>
    <w:rsid w:val="000D2AA5"/>
    <w:rsid w:val="000E114A"/>
    <w:rsid w:val="00115035"/>
    <w:rsid w:val="00123A58"/>
    <w:rsid w:val="00161637"/>
    <w:rsid w:val="001654C2"/>
    <w:rsid w:val="001808E7"/>
    <w:rsid w:val="001818B5"/>
    <w:rsid w:val="002034EB"/>
    <w:rsid w:val="00205E41"/>
    <w:rsid w:val="00206A52"/>
    <w:rsid w:val="00266971"/>
    <w:rsid w:val="002768EF"/>
    <w:rsid w:val="002865A9"/>
    <w:rsid w:val="00290056"/>
    <w:rsid w:val="0029715C"/>
    <w:rsid w:val="002B38F7"/>
    <w:rsid w:val="002B6368"/>
    <w:rsid w:val="002C6E5C"/>
    <w:rsid w:val="002E2D4F"/>
    <w:rsid w:val="00301922"/>
    <w:rsid w:val="00335820"/>
    <w:rsid w:val="00344CB9"/>
    <w:rsid w:val="003458D0"/>
    <w:rsid w:val="003A59BE"/>
    <w:rsid w:val="003B32A3"/>
    <w:rsid w:val="003D2893"/>
    <w:rsid w:val="003D4B42"/>
    <w:rsid w:val="003D5754"/>
    <w:rsid w:val="003F5BAF"/>
    <w:rsid w:val="00432C67"/>
    <w:rsid w:val="0043368D"/>
    <w:rsid w:val="0043511F"/>
    <w:rsid w:val="00442A95"/>
    <w:rsid w:val="0048745F"/>
    <w:rsid w:val="00515205"/>
    <w:rsid w:val="00534397"/>
    <w:rsid w:val="0057125F"/>
    <w:rsid w:val="0058542A"/>
    <w:rsid w:val="005C4C1E"/>
    <w:rsid w:val="005C4CCA"/>
    <w:rsid w:val="005D0ED9"/>
    <w:rsid w:val="005F235D"/>
    <w:rsid w:val="005F3EFB"/>
    <w:rsid w:val="00623174"/>
    <w:rsid w:val="00635391"/>
    <w:rsid w:val="006570BD"/>
    <w:rsid w:val="0066509A"/>
    <w:rsid w:val="006A75C4"/>
    <w:rsid w:val="006B110F"/>
    <w:rsid w:val="006C406F"/>
    <w:rsid w:val="006C4AAB"/>
    <w:rsid w:val="006E5353"/>
    <w:rsid w:val="006F3CA3"/>
    <w:rsid w:val="00700638"/>
    <w:rsid w:val="007113CB"/>
    <w:rsid w:val="00725776"/>
    <w:rsid w:val="00732AF9"/>
    <w:rsid w:val="007432D2"/>
    <w:rsid w:val="00750F4F"/>
    <w:rsid w:val="0076040F"/>
    <w:rsid w:val="007718BF"/>
    <w:rsid w:val="007A1514"/>
    <w:rsid w:val="007D0CA4"/>
    <w:rsid w:val="007D33CE"/>
    <w:rsid w:val="007E7942"/>
    <w:rsid w:val="00805A65"/>
    <w:rsid w:val="00816268"/>
    <w:rsid w:val="00870CEB"/>
    <w:rsid w:val="0087303F"/>
    <w:rsid w:val="00883450"/>
    <w:rsid w:val="00883BE1"/>
    <w:rsid w:val="008E1E4C"/>
    <w:rsid w:val="008F4BFC"/>
    <w:rsid w:val="00906027"/>
    <w:rsid w:val="009161A4"/>
    <w:rsid w:val="009305E3"/>
    <w:rsid w:val="009546E5"/>
    <w:rsid w:val="00965DB7"/>
    <w:rsid w:val="0098668A"/>
    <w:rsid w:val="00987A64"/>
    <w:rsid w:val="009912DE"/>
    <w:rsid w:val="009913F3"/>
    <w:rsid w:val="009A722F"/>
    <w:rsid w:val="009C1929"/>
    <w:rsid w:val="009E4DD0"/>
    <w:rsid w:val="009F7FB1"/>
    <w:rsid w:val="00A26346"/>
    <w:rsid w:val="00A40EA9"/>
    <w:rsid w:val="00A5439E"/>
    <w:rsid w:val="00A567CA"/>
    <w:rsid w:val="00A86465"/>
    <w:rsid w:val="00A92649"/>
    <w:rsid w:val="00A92D46"/>
    <w:rsid w:val="00A9604E"/>
    <w:rsid w:val="00AA357D"/>
    <w:rsid w:val="00AB3DC0"/>
    <w:rsid w:val="00AF73E0"/>
    <w:rsid w:val="00B16038"/>
    <w:rsid w:val="00B2397A"/>
    <w:rsid w:val="00B47040"/>
    <w:rsid w:val="00B67325"/>
    <w:rsid w:val="00B719CC"/>
    <w:rsid w:val="00B90EA9"/>
    <w:rsid w:val="00B92A65"/>
    <w:rsid w:val="00BA4987"/>
    <w:rsid w:val="00BA6B27"/>
    <w:rsid w:val="00C06B3C"/>
    <w:rsid w:val="00C138D4"/>
    <w:rsid w:val="00C14ADD"/>
    <w:rsid w:val="00C21F27"/>
    <w:rsid w:val="00C242F1"/>
    <w:rsid w:val="00C359EB"/>
    <w:rsid w:val="00C42AD4"/>
    <w:rsid w:val="00C45E42"/>
    <w:rsid w:val="00C53448"/>
    <w:rsid w:val="00C5530E"/>
    <w:rsid w:val="00C72A0D"/>
    <w:rsid w:val="00C75D1C"/>
    <w:rsid w:val="00C75E0F"/>
    <w:rsid w:val="00C841F3"/>
    <w:rsid w:val="00C9530B"/>
    <w:rsid w:val="00CA2232"/>
    <w:rsid w:val="00CC2448"/>
    <w:rsid w:val="00CE1529"/>
    <w:rsid w:val="00D06505"/>
    <w:rsid w:val="00D16E31"/>
    <w:rsid w:val="00D17F97"/>
    <w:rsid w:val="00D27DAA"/>
    <w:rsid w:val="00D30BF5"/>
    <w:rsid w:val="00D84B1E"/>
    <w:rsid w:val="00D96048"/>
    <w:rsid w:val="00DA7B8D"/>
    <w:rsid w:val="00DC5A0C"/>
    <w:rsid w:val="00DC6792"/>
    <w:rsid w:val="00DF27F6"/>
    <w:rsid w:val="00E433B9"/>
    <w:rsid w:val="00E50569"/>
    <w:rsid w:val="00E841EF"/>
    <w:rsid w:val="00E906BA"/>
    <w:rsid w:val="00E93FC7"/>
    <w:rsid w:val="00ED04C3"/>
    <w:rsid w:val="00EE3667"/>
    <w:rsid w:val="00EF6E65"/>
    <w:rsid w:val="00F24A83"/>
    <w:rsid w:val="00F264B1"/>
    <w:rsid w:val="00F33C6E"/>
    <w:rsid w:val="00F913F2"/>
    <w:rsid w:val="00F93D13"/>
    <w:rsid w:val="00FA6E21"/>
    <w:rsid w:val="00FE395D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FB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33C6E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33C6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33C6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33C6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33C6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F33C6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F33C6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33C6E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33C6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33C6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F33C6E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F33C6E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F33C6E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F33C6E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Title">
    <w:name w:val="Ju_Title"/>
    <w:basedOn w:val="Normal"/>
    <w:next w:val="ECHRPara"/>
    <w:uiPriority w:val="3"/>
    <w:qFormat/>
    <w:rsid w:val="00F33C6E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F33C6E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F33C6E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F33C6E"/>
    <w:rPr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F3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6E"/>
    <w:rPr>
      <w:rFonts w:ascii="Tahoma" w:eastAsiaTheme="minorEastAsia" w:hAnsi="Tahoma" w:cs="Tahoma"/>
      <w:sz w:val="16"/>
      <w:szCs w:val="16"/>
      <w:lang w:val="bg-BG"/>
    </w:rPr>
  </w:style>
  <w:style w:type="paragraph" w:customStyle="1" w:styleId="DummyStyle">
    <w:name w:val="Dummy_Style"/>
    <w:basedOn w:val="Normal"/>
    <w:semiHidden/>
    <w:qFormat/>
    <w:rsid w:val="00F33C6E"/>
    <w:rPr>
      <w:color w:val="00B050"/>
    </w:rPr>
  </w:style>
  <w:style w:type="paragraph" w:customStyle="1" w:styleId="JuAppQuestion">
    <w:name w:val="Ju_App_Question"/>
    <w:basedOn w:val="Normal"/>
    <w:uiPriority w:val="5"/>
    <w:qFormat/>
    <w:rsid w:val="00F33C6E"/>
    <w:pPr>
      <w:numPr>
        <w:numId w:val="18"/>
      </w:numPr>
      <w:jc w:val="left"/>
    </w:pPr>
    <w:rPr>
      <w:b/>
    </w:rPr>
  </w:style>
  <w:style w:type="paragraph" w:customStyle="1" w:styleId="ECHRParaQuote">
    <w:name w:val="ECHR_Para_Quote"/>
    <w:aliases w:val="Ju_Quot"/>
    <w:basedOn w:val="Normal"/>
    <w:uiPriority w:val="14"/>
    <w:qFormat/>
    <w:rsid w:val="00F33C6E"/>
    <w:pPr>
      <w:spacing w:before="120" w:after="120"/>
      <w:ind w:left="425" w:firstLine="142"/>
    </w:pPr>
    <w:rPr>
      <w:sz w:val="20"/>
    </w:rPr>
  </w:style>
  <w:style w:type="paragraph" w:customStyle="1" w:styleId="JuCase">
    <w:name w:val="Ju_Case"/>
    <w:basedOn w:val="Normal"/>
    <w:next w:val="ECHRPara"/>
    <w:uiPriority w:val="10"/>
    <w:semiHidden/>
    <w:rsid w:val="00F33C6E"/>
    <w:pPr>
      <w:ind w:firstLine="284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F33C6E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JuHeaderLandscape">
    <w:name w:val="Ju_Header_Landscape"/>
    <w:basedOn w:val="ECHRHeader"/>
    <w:uiPriority w:val="4"/>
    <w:qFormat/>
    <w:rsid w:val="00F33C6E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Initialled">
    <w:name w:val="Ju_Initialled"/>
    <w:basedOn w:val="Normal"/>
    <w:uiPriority w:val="31"/>
    <w:qFormat/>
    <w:rsid w:val="00F33C6E"/>
    <w:pPr>
      <w:tabs>
        <w:tab w:val="center" w:pos="6407"/>
      </w:tabs>
      <w:spacing w:before="720"/>
      <w:jc w:val="right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F33C6E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F33C6E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character" w:customStyle="1" w:styleId="JuITMark">
    <w:name w:val="Ju_ITMark"/>
    <w:basedOn w:val="DefaultParagraphFont"/>
    <w:uiPriority w:val="38"/>
    <w:semiHidden/>
    <w:qFormat/>
    <w:rsid w:val="00F33C6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F33C6E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List">
    <w:name w:val="Ju_List"/>
    <w:basedOn w:val="Normal"/>
    <w:uiPriority w:val="28"/>
    <w:qFormat/>
    <w:rsid w:val="00F33C6E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F33C6E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F33C6E"/>
    <w:pPr>
      <w:ind w:left="794"/>
    </w:pPr>
  </w:style>
  <w:style w:type="character" w:customStyle="1" w:styleId="JUNAMES">
    <w:name w:val="JU_NAMES"/>
    <w:uiPriority w:val="17"/>
    <w:qFormat/>
    <w:rsid w:val="00F33C6E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F33C6E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F33C6E"/>
    <w:pPr>
      <w:ind w:left="567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F33C6E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F33C6E"/>
    <w:rPr>
      <w:rFonts w:asciiTheme="majorHAnsi" w:eastAsiaTheme="majorEastAsia" w:hAnsiTheme="majorHAnsi" w:cstheme="majorBidi"/>
      <w:b/>
      <w:bCs/>
      <w:color w:val="333333"/>
      <w:sz w:val="28"/>
      <w:szCs w:val="28"/>
      <w:lang w:val="bg-BG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F33C6E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3C6E"/>
    <w:rPr>
      <w:rFonts w:asciiTheme="majorHAnsi" w:eastAsiaTheme="majorEastAsia" w:hAnsiTheme="majorHAnsi" w:cstheme="majorBidi"/>
      <w:b/>
      <w:bCs/>
      <w:color w:val="4D4D4D"/>
      <w:sz w:val="26"/>
      <w:szCs w:val="26"/>
      <w:lang w:val="bg-BG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F33C6E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3C6E"/>
    <w:rPr>
      <w:rFonts w:asciiTheme="majorHAnsi" w:eastAsiaTheme="majorEastAsia" w:hAnsiTheme="majorHAnsi" w:cstheme="majorBidi"/>
      <w:b/>
      <w:bCs/>
      <w:color w:val="5F5F5F"/>
      <w:sz w:val="24"/>
      <w:lang w:val="bg-BG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F33C6E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33C6E"/>
    <w:rPr>
      <w:rFonts w:asciiTheme="majorHAnsi" w:eastAsiaTheme="majorEastAsia" w:hAnsiTheme="majorHAnsi" w:cstheme="majorBidi"/>
      <w:b/>
      <w:bCs/>
      <w:i/>
      <w:iCs/>
      <w:color w:val="777777"/>
      <w:sz w:val="24"/>
      <w:lang w:val="bg-BG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F33C6E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3C6E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F33C6E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3C6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bg-BG" w:bidi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F33C6E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3C6E"/>
    <w:rPr>
      <w:rFonts w:asciiTheme="majorHAnsi" w:eastAsiaTheme="majorEastAsia" w:hAnsiTheme="majorHAnsi" w:cstheme="majorBidi"/>
      <w:i/>
      <w:iCs/>
      <w:lang w:bidi="bg-BG"/>
    </w:rPr>
  </w:style>
  <w:style w:type="paragraph" w:customStyle="1" w:styleId="JuParaLast">
    <w:name w:val="Ju_Para_Last"/>
    <w:basedOn w:val="Normal"/>
    <w:next w:val="ECHRPara"/>
    <w:uiPriority w:val="30"/>
    <w:qFormat/>
    <w:rsid w:val="00F33C6E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F33C6E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F33C6E"/>
    <w:pPr>
      <w:tabs>
        <w:tab w:val="left" w:pos="567"/>
        <w:tab w:val="left" w:pos="1134"/>
      </w:tabs>
      <w:jc w:val="left"/>
    </w:pPr>
  </w:style>
  <w:style w:type="paragraph" w:customStyle="1" w:styleId="OpiH1">
    <w:name w:val="Opi_H_1"/>
    <w:basedOn w:val="ECHRHeading2"/>
    <w:uiPriority w:val="42"/>
    <w:semiHidden/>
    <w:qFormat/>
    <w:rsid w:val="00F33C6E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semiHidden/>
    <w:qFormat/>
    <w:rsid w:val="00F33C6E"/>
    <w:pPr>
      <w:ind w:left="833" w:hanging="357"/>
      <w:outlineLvl w:val="3"/>
    </w:pPr>
    <w:rPr>
      <w:b/>
      <w:i w:val="0"/>
      <w:sz w:val="20"/>
    </w:rPr>
  </w:style>
  <w:style w:type="paragraph" w:customStyle="1" w:styleId="OpiHA0">
    <w:name w:val="Opi_H_A"/>
    <w:basedOn w:val="ECHRHeading1"/>
    <w:next w:val="OpiPara"/>
    <w:uiPriority w:val="41"/>
    <w:semiHidden/>
    <w:qFormat/>
    <w:rsid w:val="00F33C6E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semiHidden/>
    <w:qFormat/>
    <w:rsid w:val="00F33C6E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semiHidden/>
    <w:qFormat/>
    <w:rsid w:val="00F33C6E"/>
  </w:style>
  <w:style w:type="paragraph" w:customStyle="1" w:styleId="OpiParaSub">
    <w:name w:val="Opi_Para_Sub"/>
    <w:basedOn w:val="JuParaSub"/>
    <w:uiPriority w:val="47"/>
    <w:semiHidden/>
    <w:qFormat/>
    <w:rsid w:val="00F33C6E"/>
  </w:style>
  <w:style w:type="character" w:customStyle="1" w:styleId="Heading8Char">
    <w:name w:val="Heading 8 Char"/>
    <w:basedOn w:val="DefaultParagraphFont"/>
    <w:link w:val="Heading8"/>
    <w:uiPriority w:val="99"/>
    <w:semiHidden/>
    <w:rsid w:val="00F33C6E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33C6E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F33C6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F33C6E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F33C6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33C6E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character" w:styleId="Strong">
    <w:name w:val="Strong"/>
    <w:uiPriority w:val="99"/>
    <w:semiHidden/>
    <w:qFormat/>
    <w:rsid w:val="00F33C6E"/>
    <w:rPr>
      <w:b/>
      <w:bCs/>
    </w:rPr>
  </w:style>
  <w:style w:type="character" w:styleId="Emphasis">
    <w:name w:val="Emphasis"/>
    <w:uiPriority w:val="99"/>
    <w:semiHidden/>
    <w:qFormat/>
    <w:rsid w:val="00F33C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F33C6E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F33C6E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F33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F33C6E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33C6E"/>
    <w:rPr>
      <w:rFonts w:eastAsiaTheme="minorEastAsia"/>
      <w:i/>
      <w:iCs/>
      <w:lang w:bidi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F33C6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33C6E"/>
    <w:rPr>
      <w:rFonts w:eastAsiaTheme="minorEastAsia"/>
      <w:b/>
      <w:bCs/>
      <w:i/>
      <w:iCs/>
      <w:lang w:bidi="bg-BG"/>
    </w:rPr>
  </w:style>
  <w:style w:type="character" w:styleId="SubtleEmphasis">
    <w:name w:val="Subtle Emphasis"/>
    <w:uiPriority w:val="99"/>
    <w:semiHidden/>
    <w:qFormat/>
    <w:rsid w:val="00F33C6E"/>
    <w:rPr>
      <w:i/>
      <w:iCs/>
    </w:rPr>
  </w:style>
  <w:style w:type="character" w:styleId="IntenseEmphasis">
    <w:name w:val="Intense Emphasis"/>
    <w:uiPriority w:val="99"/>
    <w:semiHidden/>
    <w:qFormat/>
    <w:rsid w:val="00F33C6E"/>
    <w:rPr>
      <w:b/>
      <w:bCs/>
    </w:rPr>
  </w:style>
  <w:style w:type="character" w:styleId="SubtleReference">
    <w:name w:val="Subtle Reference"/>
    <w:uiPriority w:val="99"/>
    <w:semiHidden/>
    <w:qFormat/>
    <w:rsid w:val="00F33C6E"/>
    <w:rPr>
      <w:smallCaps/>
    </w:rPr>
  </w:style>
  <w:style w:type="character" w:styleId="IntenseReference">
    <w:name w:val="Intense Reference"/>
    <w:uiPriority w:val="99"/>
    <w:semiHidden/>
    <w:qFormat/>
    <w:rsid w:val="00F33C6E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F33C6E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F33C6E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F33C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33C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C6E"/>
    <w:rPr>
      <w:rFonts w:eastAsiaTheme="minorEastAsia"/>
      <w:sz w:val="20"/>
      <w:szCs w:val="20"/>
      <w:lang w:val="bg-BG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semiHidden/>
    <w:rsid w:val="00F33C6E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F33C6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F33C6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F33C6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F33C6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F33C6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F33C6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F33C6E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F33C6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F33C6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F33C6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F33C6E"/>
    <w:pPr>
      <w:jc w:val="left"/>
    </w:pPr>
    <w:rPr>
      <w:sz w:val="8"/>
    </w:rPr>
  </w:style>
  <w:style w:type="paragraph" w:customStyle="1" w:styleId="OpiQuot">
    <w:name w:val="Opi_Quot"/>
    <w:basedOn w:val="ECHRParaQuote"/>
    <w:uiPriority w:val="48"/>
    <w:semiHidden/>
    <w:qFormat/>
    <w:rsid w:val="00F33C6E"/>
  </w:style>
  <w:style w:type="paragraph" w:styleId="Footer">
    <w:name w:val="footer"/>
    <w:basedOn w:val="Normal"/>
    <w:link w:val="FooterChar"/>
    <w:uiPriority w:val="57"/>
    <w:semiHidden/>
    <w:rsid w:val="00F33C6E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F33C6E"/>
    <w:rPr>
      <w:sz w:val="24"/>
      <w:lang w:val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F33C6E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F33C6E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OpiQuotSub">
    <w:name w:val="Opi_Quot_Sub"/>
    <w:basedOn w:val="JuQuotSub"/>
    <w:uiPriority w:val="49"/>
    <w:semiHidden/>
    <w:qFormat/>
    <w:rsid w:val="00F33C6E"/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F33C6E"/>
    <w:pPr>
      <w:jc w:val="center"/>
      <w:outlineLvl w:val="0"/>
    </w:pPr>
    <w:rPr>
      <w:i/>
    </w:rPr>
  </w:style>
  <w:style w:type="table" w:customStyle="1" w:styleId="ECHRTable">
    <w:name w:val="ECHR_Table"/>
    <w:basedOn w:val="TableNormal"/>
    <w:rsid w:val="00F33C6E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F33C6E"/>
    <w:rPr>
      <w:rFonts w:ascii="Verdana" w:eastAsia="Times New Roman" w:hAnsi="Verdana" w:cs="Times New Roman"/>
      <w:sz w:val="20"/>
      <w:szCs w:val="20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table" w:customStyle="1" w:styleId="LtrTableAddress">
    <w:name w:val="Ltr_Table_Address"/>
    <w:basedOn w:val="TableNormal"/>
    <w:uiPriority w:val="99"/>
    <w:rsid w:val="00F33C6E"/>
    <w:tblPr>
      <w:tblInd w:w="5103" w:type="dxa"/>
    </w:tblPr>
  </w:style>
  <w:style w:type="table" w:customStyle="1" w:styleId="UGTable">
    <w:name w:val="UG_Table"/>
    <w:basedOn w:val="TableNormal"/>
    <w:uiPriority w:val="99"/>
    <w:rsid w:val="00F33C6E"/>
    <w:rPr>
      <w:rFonts w:eastAsiaTheme="minorEastAsia"/>
      <w:sz w:val="20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F33C6E"/>
    <w:rPr>
      <w:rFonts w:eastAsiaTheme="minorEastAsia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F33C6E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F33C6E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F33C6E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F33C6E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SimpleBox">
    <w:name w:val="ECHR_Table_Simple_Box"/>
    <w:basedOn w:val="TableNormal"/>
    <w:uiPriority w:val="99"/>
    <w:rsid w:val="00F33C6E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33C6E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F33C6E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HeaderTable">
    <w:name w:val="ECHR_Header_Table"/>
    <w:basedOn w:val="TableNormal"/>
    <w:uiPriority w:val="99"/>
    <w:rsid w:val="00F33C6E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F33C6E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F33C6E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CHRParaChar">
    <w:name w:val="ECHR_Para Char"/>
    <w:aliases w:val="Ju_Para Char"/>
    <w:link w:val="ECHRPara"/>
    <w:uiPriority w:val="12"/>
    <w:rsid w:val="00F33C6E"/>
    <w:rPr>
      <w:rFonts w:eastAsiaTheme="minorEastAsia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2018-07-17T08:12:00Z</dcterms:created>
  <dcterms:modified xsi:type="dcterms:W3CDTF">2018-07-17T08:13:00Z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