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14" w:rsidRPr="00BF4B14" w:rsidRDefault="00BF4B14">
      <w:pPr>
        <w:jc w:val="center"/>
      </w:pPr>
      <w:bookmarkStart w:id="0" w:name="_GoBack"/>
      <w:bookmarkEnd w:id="0"/>
    </w:p>
    <w:p w:rsidR="00BF4B14" w:rsidRPr="00BF4B14" w:rsidRDefault="00BF4B14">
      <w:pPr>
        <w:jc w:val="center"/>
      </w:pPr>
    </w:p>
    <w:p w:rsidR="00BF4B14" w:rsidRPr="00BF4B14" w:rsidRDefault="00BF4B14">
      <w:pPr>
        <w:tabs>
          <w:tab w:val="left" w:pos="5529"/>
        </w:tabs>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rPr>
          <w:b/>
        </w:rPr>
      </w:pPr>
      <w:r>
        <w:rPr>
          <w:b/>
        </w:rPr>
        <w:t xml:space="preserve">ДЕЛО </w:t>
      </w:r>
      <w:r w:rsidR="00390741" w:rsidRPr="00BF4B14">
        <w:rPr>
          <w:b/>
        </w:rPr>
        <w:t>ÖNERYILDIZ</w:t>
      </w:r>
      <w:r>
        <w:rPr>
          <w:b/>
        </w:rPr>
        <w:t xml:space="preserve"> </w:t>
      </w:r>
      <w:r w:rsidR="00390741">
        <w:rPr>
          <w:b/>
        </w:rPr>
        <w:t>срещу</w:t>
      </w:r>
      <w:r>
        <w:rPr>
          <w:b/>
        </w:rPr>
        <w:t xml:space="preserve"> ТУРЦИЯ</w:t>
      </w:r>
    </w:p>
    <w:p w:rsidR="00BF4B14" w:rsidRPr="00BF4B14" w:rsidRDefault="00BF4B14">
      <w:pPr>
        <w:jc w:val="center"/>
      </w:pPr>
    </w:p>
    <w:p w:rsidR="00BF4B14" w:rsidRPr="00BF4B14" w:rsidRDefault="00BF4B14">
      <w:pPr>
        <w:jc w:val="center"/>
        <w:rPr>
          <w:i/>
        </w:rPr>
      </w:pPr>
      <w:r>
        <w:rPr>
          <w:i/>
        </w:rPr>
        <w:t>(Жалба № 48939/99)</w:t>
      </w: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p>
    <w:p w:rsidR="00BF4B14" w:rsidRPr="00BF4B14" w:rsidRDefault="00BF4B14">
      <w:pPr>
        <w:jc w:val="center"/>
      </w:pPr>
      <w:r>
        <w:t>РЕШЕНИЕ</w:t>
      </w:r>
    </w:p>
    <w:p w:rsidR="00BF4B14" w:rsidRPr="00BF4B14" w:rsidRDefault="00BF4B14">
      <w:pPr>
        <w:jc w:val="center"/>
      </w:pPr>
    </w:p>
    <w:p w:rsidR="00BF4B14" w:rsidRPr="00BF4B14" w:rsidRDefault="00BF4B14">
      <w:pPr>
        <w:jc w:val="center"/>
      </w:pPr>
      <w:r>
        <w:t>СТРАСБУРГ</w:t>
      </w:r>
    </w:p>
    <w:p w:rsidR="00BF4B14" w:rsidRPr="00BF4B14" w:rsidRDefault="00BF4B14">
      <w:pPr>
        <w:jc w:val="center"/>
      </w:pPr>
    </w:p>
    <w:p w:rsidR="00BF4B14" w:rsidRPr="00BF4B14" w:rsidRDefault="00BF4B14">
      <w:pPr>
        <w:jc w:val="center"/>
      </w:pPr>
      <w:r>
        <w:t>30 ноември 2004 г.</w:t>
      </w:r>
    </w:p>
    <w:p w:rsidR="00BF4B14" w:rsidRPr="00BF4B14" w:rsidRDefault="00BF4B14">
      <w:pPr>
        <w:jc w:val="center"/>
      </w:pPr>
    </w:p>
    <w:p w:rsidR="00BF4B14" w:rsidRDefault="00BF4B14">
      <w:pPr>
        <w:jc w:val="center"/>
      </w:pPr>
    </w:p>
    <w:p w:rsidR="000F3873" w:rsidRDefault="000F3873">
      <w:pPr>
        <w:jc w:val="center"/>
      </w:pPr>
    </w:p>
    <w:p w:rsidR="000F3873" w:rsidRDefault="000F3873">
      <w:pPr>
        <w:jc w:val="center"/>
      </w:pPr>
    </w:p>
    <w:p w:rsidR="000F3873" w:rsidRDefault="000F3873">
      <w:pPr>
        <w:jc w:val="center"/>
      </w:pPr>
    </w:p>
    <w:p w:rsidR="000F3873" w:rsidRPr="00BF4B14" w:rsidRDefault="000F3873">
      <w:pPr>
        <w:jc w:val="center"/>
      </w:pPr>
    </w:p>
    <w:p w:rsidR="00BF4B14" w:rsidRPr="00BF4B14" w:rsidRDefault="00BF4B14">
      <w:pPr>
        <w:jc w:val="center"/>
      </w:pPr>
    </w:p>
    <w:p w:rsidR="00BF4B14" w:rsidRPr="00BF4B14" w:rsidRDefault="00BF4B14" w:rsidP="0019125E">
      <w:pPr>
        <w:jc w:val="center"/>
        <w:rPr>
          <w:i/>
        </w:rPr>
      </w:pPr>
    </w:p>
    <w:p w:rsidR="00BF4B14" w:rsidRPr="00BF4B14" w:rsidRDefault="00BF4B14">
      <w:pPr>
        <w:sectPr w:rsidR="00BF4B14" w:rsidRPr="00BF4B14" w:rsidSect="00D14F2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0F3873" w:rsidRPr="0059462F" w:rsidRDefault="000F3873" w:rsidP="006725B0">
      <w:pPr>
        <w:pStyle w:val="JuCase"/>
        <w:widowControl w:val="0"/>
      </w:pPr>
      <w:r>
        <w:lastRenderedPageBreak/>
        <w:t xml:space="preserve">По делото </w:t>
      </w:r>
      <w:proofErr w:type="spellStart"/>
      <w:r w:rsidR="00960DDF" w:rsidRPr="0059462F">
        <w:t>Öneryıldız</w:t>
      </w:r>
      <w:proofErr w:type="spellEnd"/>
      <w:r>
        <w:t xml:space="preserve"> срещу Турция</w:t>
      </w:r>
    </w:p>
    <w:p w:rsidR="000F3873" w:rsidRPr="0059462F" w:rsidRDefault="000F3873" w:rsidP="000F3873">
      <w:pPr>
        <w:pStyle w:val="JuPara"/>
      </w:pPr>
      <w:r>
        <w:t>Европейският съд по правата на човека (Голяма камара), заседаващ в състав:</w:t>
      </w:r>
    </w:p>
    <w:p w:rsidR="000F3873" w:rsidRPr="0059462F" w:rsidRDefault="000F3873" w:rsidP="000F3873">
      <w:pPr>
        <w:pStyle w:val="JuJudges"/>
      </w:pPr>
      <w:r>
        <w:tab/>
        <w:t>Г-н</w:t>
      </w:r>
      <w:r>
        <w:tab/>
      </w:r>
      <w:r>
        <w:rPr>
          <w:rStyle w:val="JuNames"/>
        </w:rPr>
        <w:t>Л.</w:t>
      </w:r>
      <w:r>
        <w:t xml:space="preserve"> </w:t>
      </w:r>
      <w:proofErr w:type="spellStart"/>
      <w:r>
        <w:rPr>
          <w:rStyle w:val="JuNames"/>
        </w:rPr>
        <w:t>Вилдхабер</w:t>
      </w:r>
      <w:proofErr w:type="spellEnd"/>
      <w:r>
        <w:rPr>
          <w:rStyle w:val="JuNames"/>
        </w:rPr>
        <w:t xml:space="preserve"> (L. </w:t>
      </w:r>
      <w:proofErr w:type="spellStart"/>
      <w:r>
        <w:rPr>
          <w:rStyle w:val="JuNames"/>
        </w:rPr>
        <w:t>Wildhaber</w:t>
      </w:r>
      <w:proofErr w:type="spellEnd"/>
      <w:r>
        <w:rPr>
          <w:rStyle w:val="JuNames"/>
        </w:rPr>
        <w:t>)</w:t>
      </w:r>
      <w:r>
        <w:t xml:space="preserve">, </w:t>
      </w:r>
      <w:r>
        <w:rPr>
          <w:i/>
        </w:rPr>
        <w:t>председател</w:t>
      </w:r>
      <w:r>
        <w:t>,</w:t>
      </w:r>
      <w:r>
        <w:br/>
      </w:r>
      <w:r>
        <w:tab/>
        <w:t>Г-н</w:t>
      </w:r>
      <w:r>
        <w:tab/>
      </w:r>
      <w:r>
        <w:rPr>
          <w:rStyle w:val="JuNames"/>
        </w:rPr>
        <w:t>К.Л.</w:t>
      </w:r>
      <w:r>
        <w:t xml:space="preserve"> </w:t>
      </w:r>
      <w:proofErr w:type="spellStart"/>
      <w:r>
        <w:rPr>
          <w:rStyle w:val="JuNames"/>
        </w:rPr>
        <w:t>Розакис</w:t>
      </w:r>
      <w:proofErr w:type="spellEnd"/>
      <w:r>
        <w:rPr>
          <w:rStyle w:val="JuNames"/>
        </w:rPr>
        <w:t xml:space="preserve"> (C.L. </w:t>
      </w:r>
      <w:proofErr w:type="spellStart"/>
      <w:r>
        <w:rPr>
          <w:rStyle w:val="JuNames"/>
        </w:rPr>
        <w:t>Rozakis</w:t>
      </w:r>
      <w:proofErr w:type="spellEnd"/>
      <w:r>
        <w:rPr>
          <w:rStyle w:val="JuNames"/>
        </w:rPr>
        <w:t>)</w:t>
      </w:r>
      <w:r>
        <w:t>,</w:t>
      </w:r>
      <w:r>
        <w:br/>
      </w:r>
      <w:r>
        <w:tab/>
        <w:t>Г-н</w:t>
      </w:r>
      <w:r>
        <w:tab/>
      </w:r>
      <w:proofErr w:type="spellStart"/>
      <w:r>
        <w:rPr>
          <w:rStyle w:val="JuNames"/>
        </w:rPr>
        <w:t>Дж</w:t>
      </w:r>
      <w:proofErr w:type="spellEnd"/>
      <w:r>
        <w:rPr>
          <w:rStyle w:val="JuNames"/>
        </w:rPr>
        <w:t>.</w:t>
      </w:r>
      <w:r w:rsidR="007A406C">
        <w:rPr>
          <w:rStyle w:val="JuNames"/>
        </w:rPr>
        <w:t>-</w:t>
      </w:r>
      <w:r>
        <w:rPr>
          <w:rStyle w:val="JuNames"/>
        </w:rPr>
        <w:t>П..</w:t>
      </w:r>
      <w:r>
        <w:t xml:space="preserve"> </w:t>
      </w:r>
      <w:r>
        <w:rPr>
          <w:rStyle w:val="JuNames"/>
        </w:rPr>
        <w:t xml:space="preserve">Коста (J.-P. </w:t>
      </w:r>
      <w:proofErr w:type="spellStart"/>
      <w:r>
        <w:rPr>
          <w:rStyle w:val="JuNames"/>
        </w:rPr>
        <w:t>Costa</w:t>
      </w:r>
      <w:proofErr w:type="spellEnd"/>
      <w:r>
        <w:rPr>
          <w:rStyle w:val="JuNames"/>
        </w:rPr>
        <w:t>)</w:t>
      </w:r>
      <w:r>
        <w:t>,</w:t>
      </w:r>
      <w:r>
        <w:br/>
      </w:r>
      <w:r>
        <w:tab/>
        <w:t>Г-н</w:t>
      </w:r>
      <w:r>
        <w:tab/>
      </w:r>
      <w:r>
        <w:rPr>
          <w:rStyle w:val="JuNames"/>
        </w:rPr>
        <w:t>Г.</w:t>
      </w:r>
      <w:r>
        <w:t xml:space="preserve"> </w:t>
      </w:r>
      <w:proofErr w:type="spellStart"/>
      <w:r>
        <w:rPr>
          <w:rStyle w:val="JuNames"/>
        </w:rPr>
        <w:t>Рес</w:t>
      </w:r>
      <w:proofErr w:type="spellEnd"/>
      <w:r>
        <w:rPr>
          <w:rStyle w:val="JuNames"/>
        </w:rPr>
        <w:t xml:space="preserve"> (G. </w:t>
      </w:r>
      <w:proofErr w:type="spellStart"/>
      <w:r>
        <w:rPr>
          <w:rStyle w:val="JuNames"/>
        </w:rPr>
        <w:t>Ress</w:t>
      </w:r>
      <w:proofErr w:type="spellEnd"/>
      <w:r>
        <w:rPr>
          <w:rStyle w:val="JuNames"/>
        </w:rPr>
        <w:t>)</w:t>
      </w:r>
      <w:r>
        <w:t>,</w:t>
      </w:r>
      <w:r>
        <w:br/>
      </w:r>
      <w:r>
        <w:tab/>
        <w:t>Сър</w:t>
      </w:r>
      <w:r>
        <w:tab/>
        <w:t xml:space="preserve">Никълъс </w:t>
      </w:r>
      <w:proofErr w:type="spellStart"/>
      <w:r>
        <w:rPr>
          <w:rStyle w:val="JuNames"/>
        </w:rPr>
        <w:t>Братца</w:t>
      </w:r>
      <w:proofErr w:type="spellEnd"/>
      <w:r>
        <w:rPr>
          <w:rStyle w:val="JuNames"/>
        </w:rPr>
        <w:t xml:space="preserve"> (</w:t>
      </w:r>
      <w:proofErr w:type="spellStart"/>
      <w:r>
        <w:rPr>
          <w:rStyle w:val="JuNames"/>
        </w:rPr>
        <w:t>Sir</w:t>
      </w:r>
      <w:proofErr w:type="spellEnd"/>
      <w:r>
        <w:rPr>
          <w:rStyle w:val="JuNames"/>
        </w:rPr>
        <w:t xml:space="preserve"> </w:t>
      </w:r>
      <w:proofErr w:type="spellStart"/>
      <w:r>
        <w:rPr>
          <w:rStyle w:val="JuNames"/>
        </w:rPr>
        <w:t>Nicolas</w:t>
      </w:r>
      <w:proofErr w:type="spellEnd"/>
      <w:r>
        <w:rPr>
          <w:rStyle w:val="JuNames"/>
        </w:rPr>
        <w:t xml:space="preserve"> </w:t>
      </w:r>
      <w:proofErr w:type="spellStart"/>
      <w:r>
        <w:rPr>
          <w:rStyle w:val="JuNames"/>
        </w:rPr>
        <w:t>Bratza</w:t>
      </w:r>
      <w:proofErr w:type="spellEnd"/>
      <w:r>
        <w:rPr>
          <w:rStyle w:val="JuNames"/>
        </w:rPr>
        <w:t>)</w:t>
      </w:r>
      <w:r>
        <w:t>,</w:t>
      </w:r>
      <w:r>
        <w:br/>
      </w:r>
      <w:r>
        <w:tab/>
        <w:t>Г-жа</w:t>
      </w:r>
      <w:r>
        <w:tab/>
      </w:r>
      <w:r>
        <w:rPr>
          <w:rStyle w:val="JuNames"/>
        </w:rPr>
        <w:t>Е.</w:t>
      </w:r>
      <w:r>
        <w:t xml:space="preserve"> </w:t>
      </w:r>
      <w:proofErr w:type="spellStart"/>
      <w:r>
        <w:rPr>
          <w:rStyle w:val="JuNames"/>
        </w:rPr>
        <w:t>Палм</w:t>
      </w:r>
      <w:proofErr w:type="spellEnd"/>
      <w:r>
        <w:rPr>
          <w:rStyle w:val="JuNames"/>
        </w:rPr>
        <w:t xml:space="preserve"> (E. </w:t>
      </w:r>
      <w:proofErr w:type="spellStart"/>
      <w:r>
        <w:rPr>
          <w:rStyle w:val="JuNames"/>
        </w:rPr>
        <w:t>Palm</w:t>
      </w:r>
      <w:proofErr w:type="spellEnd"/>
      <w:r>
        <w:rPr>
          <w:rStyle w:val="JuNames"/>
        </w:rPr>
        <w:t>),</w:t>
      </w:r>
      <w:r>
        <w:rPr>
          <w:rStyle w:val="JuNames"/>
        </w:rPr>
        <w:br/>
      </w:r>
      <w:r>
        <w:tab/>
        <w:t>Г-н</w:t>
      </w:r>
      <w:r>
        <w:tab/>
      </w:r>
      <w:r>
        <w:rPr>
          <w:rStyle w:val="JuNames"/>
        </w:rPr>
        <w:t>Л.</w:t>
      </w:r>
      <w:r>
        <w:t xml:space="preserve"> </w:t>
      </w:r>
      <w:proofErr w:type="spellStart"/>
      <w:r>
        <w:rPr>
          <w:rStyle w:val="JuNames"/>
        </w:rPr>
        <w:t>Лукаидес</w:t>
      </w:r>
      <w:proofErr w:type="spellEnd"/>
      <w:r>
        <w:rPr>
          <w:rStyle w:val="JuNames"/>
        </w:rPr>
        <w:t xml:space="preserve"> (L. </w:t>
      </w:r>
      <w:proofErr w:type="spellStart"/>
      <w:r>
        <w:rPr>
          <w:rStyle w:val="JuNames"/>
        </w:rPr>
        <w:t>Loucaides</w:t>
      </w:r>
      <w:proofErr w:type="spellEnd"/>
      <w:r>
        <w:rPr>
          <w:rStyle w:val="JuNames"/>
        </w:rPr>
        <w:t>),</w:t>
      </w:r>
      <w:r>
        <w:br/>
      </w:r>
      <w:r>
        <w:tab/>
        <w:t>Г-н</w:t>
      </w:r>
      <w:r>
        <w:tab/>
      </w:r>
      <w:r>
        <w:rPr>
          <w:rStyle w:val="JuNames"/>
        </w:rPr>
        <w:t>Р.</w:t>
      </w:r>
      <w:r>
        <w:t xml:space="preserve"> </w:t>
      </w:r>
      <w:proofErr w:type="spellStart"/>
      <w:r>
        <w:rPr>
          <w:rStyle w:val="JuNames"/>
        </w:rPr>
        <w:t>Тюрмен</w:t>
      </w:r>
      <w:proofErr w:type="spellEnd"/>
      <w:r>
        <w:rPr>
          <w:rStyle w:val="JuNames"/>
        </w:rPr>
        <w:t xml:space="preserve"> (R. </w:t>
      </w:r>
      <w:proofErr w:type="spellStart"/>
      <w:r>
        <w:rPr>
          <w:rStyle w:val="JuNames"/>
        </w:rPr>
        <w:t>Türmen</w:t>
      </w:r>
      <w:proofErr w:type="spellEnd"/>
      <w:r>
        <w:rPr>
          <w:rStyle w:val="JuNames"/>
        </w:rPr>
        <w:t>),</w:t>
      </w:r>
      <w:r>
        <w:rPr>
          <w:rStyle w:val="JuNames"/>
        </w:rPr>
        <w:br/>
      </w:r>
      <w:r>
        <w:tab/>
        <w:t>Г-жа</w:t>
      </w:r>
      <w:r>
        <w:tab/>
      </w:r>
      <w:r>
        <w:rPr>
          <w:rStyle w:val="JuNames"/>
        </w:rPr>
        <w:t>Ф.</w:t>
      </w:r>
      <w:r>
        <w:t xml:space="preserve"> </w:t>
      </w:r>
      <w:proofErr w:type="spellStart"/>
      <w:r>
        <w:rPr>
          <w:rStyle w:val="JuNames"/>
        </w:rPr>
        <w:t>Тюлкенс</w:t>
      </w:r>
      <w:proofErr w:type="spellEnd"/>
      <w:r>
        <w:rPr>
          <w:rStyle w:val="JuNames"/>
        </w:rPr>
        <w:t xml:space="preserve"> (F. </w:t>
      </w:r>
      <w:proofErr w:type="spellStart"/>
      <w:r>
        <w:rPr>
          <w:rStyle w:val="JuNames"/>
        </w:rPr>
        <w:t>Tulkens</w:t>
      </w:r>
      <w:proofErr w:type="spellEnd"/>
      <w:r>
        <w:rPr>
          <w:rStyle w:val="JuNames"/>
        </w:rPr>
        <w:t>),</w:t>
      </w:r>
      <w:r>
        <w:rPr>
          <w:rStyle w:val="JuNames"/>
        </w:rPr>
        <w:br/>
      </w:r>
      <w:r>
        <w:tab/>
        <w:t>Г-н</w:t>
      </w:r>
      <w:r>
        <w:tab/>
        <w:t xml:space="preserve">К. </w:t>
      </w:r>
      <w:proofErr w:type="spellStart"/>
      <w:r>
        <w:t>Ю</w:t>
      </w:r>
      <w:r>
        <w:rPr>
          <w:rStyle w:val="JuNames"/>
        </w:rPr>
        <w:t>нгвирт</w:t>
      </w:r>
      <w:proofErr w:type="spellEnd"/>
      <w:r>
        <w:rPr>
          <w:rStyle w:val="JuNames"/>
        </w:rPr>
        <w:t xml:space="preserve"> (K. </w:t>
      </w:r>
      <w:proofErr w:type="spellStart"/>
      <w:r>
        <w:rPr>
          <w:rStyle w:val="JuNames"/>
        </w:rPr>
        <w:t>Jungwiert</w:t>
      </w:r>
      <w:proofErr w:type="spellEnd"/>
      <w:r>
        <w:rPr>
          <w:rStyle w:val="JuNames"/>
        </w:rPr>
        <w:t>)</w:t>
      </w:r>
      <w:r>
        <w:t>,</w:t>
      </w:r>
      <w:r>
        <w:rPr>
          <w:rStyle w:val="JuNames"/>
        </w:rPr>
        <w:br/>
      </w:r>
      <w:r>
        <w:tab/>
        <w:t>Г-жа</w:t>
      </w:r>
      <w:r>
        <w:tab/>
      </w:r>
      <w:r>
        <w:rPr>
          <w:rStyle w:val="JuNames"/>
        </w:rPr>
        <w:t>М.</w:t>
      </w:r>
      <w:r>
        <w:t xml:space="preserve"> </w:t>
      </w:r>
      <w:r>
        <w:rPr>
          <w:rStyle w:val="JuNames"/>
        </w:rPr>
        <w:t>Цаца</w:t>
      </w:r>
      <w:r w:rsidR="00BF6644">
        <w:rPr>
          <w:rStyle w:val="JuNames"/>
        </w:rPr>
        <w:t>-</w:t>
      </w:r>
      <w:r>
        <w:rPr>
          <w:rStyle w:val="JuNames"/>
        </w:rPr>
        <w:t xml:space="preserve">Николовска (M. </w:t>
      </w:r>
      <w:proofErr w:type="spellStart"/>
      <w:r>
        <w:rPr>
          <w:rStyle w:val="JuNames"/>
        </w:rPr>
        <w:t>Tsatsa</w:t>
      </w:r>
      <w:proofErr w:type="spellEnd"/>
      <w:r>
        <w:rPr>
          <w:rStyle w:val="JuNames"/>
        </w:rPr>
        <w:t xml:space="preserve"> </w:t>
      </w:r>
      <w:r w:rsidR="00BF6644">
        <w:rPr>
          <w:rStyle w:val="JuNames"/>
        </w:rPr>
        <w:t>-</w:t>
      </w:r>
      <w:proofErr w:type="spellStart"/>
      <w:r>
        <w:rPr>
          <w:rStyle w:val="JuNames"/>
        </w:rPr>
        <w:t>Nikolovska</w:t>
      </w:r>
      <w:proofErr w:type="spellEnd"/>
      <w:r>
        <w:rPr>
          <w:rStyle w:val="JuNames"/>
        </w:rPr>
        <w:t>),</w:t>
      </w:r>
      <w:r>
        <w:rPr>
          <w:rStyle w:val="JuNames"/>
        </w:rPr>
        <w:br/>
      </w:r>
      <w:r>
        <w:tab/>
        <w:t>Г-жа</w:t>
      </w:r>
      <w:r>
        <w:tab/>
      </w:r>
      <w:r>
        <w:rPr>
          <w:rStyle w:val="JuNames"/>
        </w:rPr>
        <w:t>Х.С.</w:t>
      </w:r>
      <w:r>
        <w:t xml:space="preserve"> </w:t>
      </w:r>
      <w:proofErr w:type="spellStart"/>
      <w:r>
        <w:rPr>
          <w:rStyle w:val="JuNames"/>
        </w:rPr>
        <w:t>Грев</w:t>
      </w:r>
      <w:proofErr w:type="spellEnd"/>
      <w:r>
        <w:rPr>
          <w:rStyle w:val="JuNames"/>
        </w:rPr>
        <w:t xml:space="preserve"> (H.S. </w:t>
      </w:r>
      <w:proofErr w:type="spellStart"/>
      <w:r>
        <w:rPr>
          <w:rStyle w:val="JuNames"/>
        </w:rPr>
        <w:t>Greve</w:t>
      </w:r>
      <w:proofErr w:type="spellEnd"/>
      <w:r>
        <w:rPr>
          <w:rStyle w:val="JuNames"/>
        </w:rPr>
        <w:t>),</w:t>
      </w:r>
      <w:r>
        <w:rPr>
          <w:rStyle w:val="JuNames"/>
        </w:rPr>
        <w:br/>
      </w:r>
      <w:r>
        <w:tab/>
        <w:t>Г-н</w:t>
      </w:r>
      <w:r>
        <w:tab/>
      </w:r>
      <w:r>
        <w:rPr>
          <w:rStyle w:val="JuNames"/>
        </w:rPr>
        <w:t>А.Б.</w:t>
      </w:r>
      <w:r>
        <w:t xml:space="preserve"> </w:t>
      </w:r>
      <w:r>
        <w:rPr>
          <w:rStyle w:val="JuNames"/>
        </w:rPr>
        <w:t xml:space="preserve">Бака (A.B. </w:t>
      </w:r>
      <w:proofErr w:type="spellStart"/>
      <w:r>
        <w:rPr>
          <w:rStyle w:val="JuNames"/>
        </w:rPr>
        <w:t>Baka</w:t>
      </w:r>
      <w:proofErr w:type="spellEnd"/>
      <w:r>
        <w:rPr>
          <w:rStyle w:val="JuNames"/>
        </w:rPr>
        <w:t>),</w:t>
      </w:r>
      <w:r>
        <w:rPr>
          <w:rStyle w:val="JuNames"/>
        </w:rPr>
        <w:br/>
      </w:r>
      <w:r>
        <w:tab/>
        <w:t>Г-н</w:t>
      </w:r>
      <w:r>
        <w:tab/>
      </w:r>
      <w:r>
        <w:rPr>
          <w:rStyle w:val="JuNames"/>
        </w:rPr>
        <w:t>М.</w:t>
      </w:r>
      <w:r>
        <w:t xml:space="preserve"> </w:t>
      </w:r>
      <w:proofErr w:type="spellStart"/>
      <w:r>
        <w:rPr>
          <w:rStyle w:val="JuNames"/>
        </w:rPr>
        <w:t>Угрекелидзе</w:t>
      </w:r>
      <w:proofErr w:type="spellEnd"/>
      <w:r>
        <w:rPr>
          <w:rStyle w:val="JuNames"/>
        </w:rPr>
        <w:t xml:space="preserve"> (M. </w:t>
      </w:r>
      <w:proofErr w:type="spellStart"/>
      <w:r>
        <w:rPr>
          <w:rStyle w:val="JuNames"/>
        </w:rPr>
        <w:t>Ugrekhelidze</w:t>
      </w:r>
      <w:proofErr w:type="spellEnd"/>
      <w:r>
        <w:rPr>
          <w:rStyle w:val="JuNames"/>
        </w:rPr>
        <w:t>),</w:t>
      </w:r>
      <w:r>
        <w:rPr>
          <w:rStyle w:val="JuNames"/>
        </w:rPr>
        <w:br/>
      </w:r>
      <w:r>
        <w:tab/>
        <w:t>Г-н</w:t>
      </w:r>
      <w:r>
        <w:tab/>
      </w:r>
      <w:r>
        <w:rPr>
          <w:rStyle w:val="JuNames"/>
        </w:rPr>
        <w:t>А.</w:t>
      </w:r>
      <w:r>
        <w:t xml:space="preserve"> </w:t>
      </w:r>
      <w:proofErr w:type="spellStart"/>
      <w:r>
        <w:rPr>
          <w:rStyle w:val="JuNames"/>
        </w:rPr>
        <w:t>Ковлер</w:t>
      </w:r>
      <w:proofErr w:type="spellEnd"/>
      <w:r>
        <w:rPr>
          <w:rStyle w:val="JuNames"/>
        </w:rPr>
        <w:t xml:space="preserve"> (A. </w:t>
      </w:r>
      <w:proofErr w:type="spellStart"/>
      <w:r>
        <w:rPr>
          <w:rStyle w:val="JuNames"/>
        </w:rPr>
        <w:t>Kovler</w:t>
      </w:r>
      <w:proofErr w:type="spellEnd"/>
      <w:r>
        <w:rPr>
          <w:rStyle w:val="JuNames"/>
        </w:rPr>
        <w:t>),</w:t>
      </w:r>
      <w:r>
        <w:rPr>
          <w:rStyle w:val="JuNames"/>
        </w:rPr>
        <w:br/>
      </w:r>
      <w:r>
        <w:tab/>
        <w:t>Г-н</w:t>
      </w:r>
      <w:r>
        <w:tab/>
      </w:r>
      <w:r>
        <w:rPr>
          <w:rStyle w:val="JuNames"/>
        </w:rPr>
        <w:t>В.</w:t>
      </w:r>
      <w:r>
        <w:t xml:space="preserve"> </w:t>
      </w:r>
      <w:proofErr w:type="spellStart"/>
      <w:r>
        <w:rPr>
          <w:rStyle w:val="JuNames"/>
        </w:rPr>
        <w:t>Загребелски</w:t>
      </w:r>
      <w:proofErr w:type="spellEnd"/>
      <w:r>
        <w:rPr>
          <w:rStyle w:val="JuNames"/>
        </w:rPr>
        <w:t xml:space="preserve"> (V. </w:t>
      </w:r>
      <w:proofErr w:type="spellStart"/>
      <w:r>
        <w:rPr>
          <w:rStyle w:val="JuNames"/>
        </w:rPr>
        <w:t>Zagrebelsky</w:t>
      </w:r>
      <w:proofErr w:type="spellEnd"/>
      <w:r>
        <w:rPr>
          <w:rStyle w:val="JuNames"/>
        </w:rPr>
        <w:t>)</w:t>
      </w:r>
      <w:r>
        <w:t>,</w:t>
      </w:r>
      <w:r>
        <w:br/>
      </w:r>
      <w:r>
        <w:tab/>
        <w:t>Г-жа</w:t>
      </w:r>
      <w:r>
        <w:tab/>
      </w:r>
      <w:r>
        <w:rPr>
          <w:rStyle w:val="JuNames"/>
        </w:rPr>
        <w:t>А.</w:t>
      </w:r>
      <w:r>
        <w:t xml:space="preserve"> </w:t>
      </w:r>
      <w:proofErr w:type="spellStart"/>
      <w:r>
        <w:rPr>
          <w:rStyle w:val="JuNames"/>
        </w:rPr>
        <w:t>Муларони</w:t>
      </w:r>
      <w:proofErr w:type="spellEnd"/>
      <w:r>
        <w:rPr>
          <w:rStyle w:val="JuNames"/>
        </w:rPr>
        <w:t xml:space="preserve"> (A. </w:t>
      </w:r>
      <w:proofErr w:type="spellStart"/>
      <w:r>
        <w:rPr>
          <w:rStyle w:val="JuNames"/>
        </w:rPr>
        <w:t>Mularoni</w:t>
      </w:r>
      <w:proofErr w:type="spellEnd"/>
      <w:r>
        <w:rPr>
          <w:rStyle w:val="JuNames"/>
        </w:rPr>
        <w:t>)</w:t>
      </w:r>
      <w:r>
        <w:t xml:space="preserve">, </w:t>
      </w:r>
      <w:r>
        <w:rPr>
          <w:i/>
        </w:rPr>
        <w:t>съдии</w:t>
      </w:r>
      <w:r>
        <w:t>,</w:t>
      </w:r>
    </w:p>
    <w:p w:rsidR="000F3873" w:rsidRPr="0059462F" w:rsidRDefault="000F3873" w:rsidP="000F3873">
      <w:pPr>
        <w:pStyle w:val="JuJudges"/>
      </w:pPr>
      <w:r>
        <w:t xml:space="preserve">и Г-н </w:t>
      </w:r>
      <w:r>
        <w:rPr>
          <w:rStyle w:val="JuNames"/>
        </w:rPr>
        <w:t xml:space="preserve">П. </w:t>
      </w:r>
      <w:proofErr w:type="spellStart"/>
      <w:r>
        <w:rPr>
          <w:rStyle w:val="JuNames"/>
        </w:rPr>
        <w:t>Дж</w:t>
      </w:r>
      <w:proofErr w:type="spellEnd"/>
      <w:r>
        <w:rPr>
          <w:rStyle w:val="JuNames"/>
        </w:rPr>
        <w:t>.</w:t>
      </w:r>
      <w:r>
        <w:t xml:space="preserve"> </w:t>
      </w:r>
      <w:proofErr w:type="spellStart"/>
      <w:r>
        <w:rPr>
          <w:rStyle w:val="JuNames"/>
        </w:rPr>
        <w:t>Махони</w:t>
      </w:r>
      <w:proofErr w:type="spellEnd"/>
      <w:r>
        <w:rPr>
          <w:rStyle w:val="JuNames"/>
        </w:rPr>
        <w:t xml:space="preserve"> (P.J. </w:t>
      </w:r>
      <w:proofErr w:type="spellStart"/>
      <w:r>
        <w:rPr>
          <w:rStyle w:val="JuNames"/>
        </w:rPr>
        <w:t>Mahoney</w:t>
      </w:r>
      <w:proofErr w:type="spellEnd"/>
      <w:r>
        <w:rPr>
          <w:rStyle w:val="JuNames"/>
        </w:rPr>
        <w:t>)</w:t>
      </w:r>
      <w:r>
        <w:t xml:space="preserve">, </w:t>
      </w:r>
      <w:r>
        <w:rPr>
          <w:i/>
        </w:rPr>
        <w:t>секретар</w:t>
      </w:r>
      <w:r>
        <w:t>,</w:t>
      </w:r>
    </w:p>
    <w:p w:rsidR="000F3873" w:rsidRPr="0059462F" w:rsidRDefault="000F3873" w:rsidP="000F3873">
      <w:pPr>
        <w:pStyle w:val="JuPara"/>
      </w:pPr>
      <w:r>
        <w:t>След закрити заседания, проведени на 7 май 2003 г. и на 16 юни и 15 септември 2004 г.,</w:t>
      </w:r>
    </w:p>
    <w:p w:rsidR="000F3873" w:rsidRPr="0059462F" w:rsidRDefault="000F3873" w:rsidP="000F3873">
      <w:pPr>
        <w:pStyle w:val="JuPara"/>
      </w:pPr>
      <w:r>
        <w:t>Постанови следното решение, прието на последн</w:t>
      </w:r>
      <w:r w:rsidR="00BF6644">
        <w:t>ата</w:t>
      </w:r>
      <w:r>
        <w:t xml:space="preserve"> посочена дата:</w:t>
      </w:r>
    </w:p>
    <w:p w:rsidR="000F3873" w:rsidRPr="0059462F" w:rsidRDefault="000F3873" w:rsidP="006725B0">
      <w:pPr>
        <w:pStyle w:val="JuHHead"/>
        <w:widowControl w:val="0"/>
      </w:pPr>
      <w:r>
        <w:t>ПРОЦЕДУРА</w:t>
      </w:r>
    </w:p>
    <w:p w:rsidR="00D8632D" w:rsidRDefault="008E7633" w:rsidP="000F3873">
      <w:pPr>
        <w:pStyle w:val="JuPara"/>
      </w:pPr>
      <w:fldSimple w:instr=" SEQ level0 \*arabic ">
        <w:r w:rsidR="00A94344">
          <w:rPr>
            <w:noProof/>
          </w:rPr>
          <w:t>1</w:t>
        </w:r>
      </w:fldSimple>
      <w:r w:rsidR="000F3873">
        <w:t>.  Делото е образувано по жалба (№ 48939/99) срещу Република Турция, подадена в Съда на основание чл. 34 от Конвенцията за защита на правата на човека и основните свободи (</w:t>
      </w:r>
      <w:r w:rsidR="00BF6644">
        <w:t>„</w:t>
      </w:r>
      <w:r w:rsidR="000F3873">
        <w:t>Конвенцията</w:t>
      </w:r>
      <w:r w:rsidR="00BF6644">
        <w:t>“</w:t>
      </w:r>
      <w:r w:rsidR="000F3873">
        <w:t xml:space="preserve">) от двама турски граждани, г-н </w:t>
      </w:r>
      <w:proofErr w:type="spellStart"/>
      <w:r w:rsidR="000F3873">
        <w:t>Ahmet</w:t>
      </w:r>
      <w:proofErr w:type="spellEnd"/>
      <w:r w:rsidR="000F3873">
        <w:t xml:space="preserve"> </w:t>
      </w:r>
      <w:proofErr w:type="spellStart"/>
      <w:r w:rsidR="000F3873">
        <w:t>Nuri</w:t>
      </w:r>
      <w:proofErr w:type="spellEnd"/>
      <w:r w:rsidR="000F3873">
        <w:t xml:space="preserve"> </w:t>
      </w:r>
      <w:proofErr w:type="spellStart"/>
      <w:r w:rsidR="000F3873">
        <w:t>Çınar</w:t>
      </w:r>
      <w:proofErr w:type="spellEnd"/>
      <w:r w:rsidR="000F3873">
        <w:t xml:space="preserve"> и г-н </w:t>
      </w:r>
      <w:proofErr w:type="spellStart"/>
      <w:r w:rsidR="000F3873">
        <w:t>Maşallah</w:t>
      </w:r>
      <w:proofErr w:type="spellEnd"/>
      <w:r w:rsidR="000F3873">
        <w:t xml:space="preserve"> </w:t>
      </w:r>
      <w:proofErr w:type="spellStart"/>
      <w:r w:rsidR="000F3873">
        <w:t>Öneryıldız</w:t>
      </w:r>
      <w:proofErr w:type="spellEnd"/>
      <w:r w:rsidR="000F3873">
        <w:t>, на 18 януари 1999 г.</w:t>
      </w:r>
    </w:p>
    <w:p w:rsidR="000F3873" w:rsidRPr="0059462F" w:rsidRDefault="008E7633" w:rsidP="000F3873">
      <w:pPr>
        <w:pStyle w:val="JuPara"/>
      </w:pPr>
      <w:fldSimple w:instr=" SEQ level0 \*arabic ">
        <w:r w:rsidR="00A94344">
          <w:rPr>
            <w:noProof/>
          </w:rPr>
          <w:t>2</w:t>
        </w:r>
      </w:fldSimple>
      <w:r w:rsidR="000F3873">
        <w:t>.  </w:t>
      </w:r>
      <w:r w:rsidR="007D7180">
        <w:t>Като се п</w:t>
      </w:r>
      <w:r w:rsidR="000F3873">
        <w:t>озовава</w:t>
      </w:r>
      <w:r w:rsidR="003841DE">
        <w:t>т</w:t>
      </w:r>
      <w:r w:rsidR="000F3873">
        <w:t xml:space="preserve"> се на членове 2, 8 и 13 от Конвенцията и чл</w:t>
      </w:r>
      <w:r w:rsidR="003841DE">
        <w:t>.</w:t>
      </w:r>
      <w:r w:rsidR="000F3873">
        <w:t xml:space="preserve"> 1 от Протокол № 1, жалбоподателите се оплакват, че държавните органи са отговорни за смъртта на техни близки роднини и за разрушаването на тяхна собственост в резултат на взрив на метан на 28 април 1993 г.</w:t>
      </w:r>
      <w:r w:rsidR="003841DE">
        <w:t>,</w:t>
      </w:r>
      <w:r w:rsidR="000F3873">
        <w:t xml:space="preserve"> възникнал на общинското сметище в </w:t>
      </w:r>
      <w:proofErr w:type="spellStart"/>
      <w:r w:rsidR="000F3873">
        <w:t>Юмрание</w:t>
      </w:r>
      <w:proofErr w:type="spellEnd"/>
      <w:r w:rsidR="000F3873">
        <w:t xml:space="preserve"> (Истанбул). </w:t>
      </w:r>
      <w:r w:rsidR="00A61C1E">
        <w:t>Т</w:t>
      </w:r>
      <w:r w:rsidR="000F3873">
        <w:t xml:space="preserve">е </w:t>
      </w:r>
      <w:r w:rsidR="00A61C1E">
        <w:t xml:space="preserve">също така </w:t>
      </w:r>
      <w:r w:rsidR="000F3873">
        <w:t xml:space="preserve">се оплакват, че административните производства, проведени в техния случай, не са съобразени с изискванията за справедливост и своевременност, изложени в </w:t>
      </w:r>
      <w:r w:rsidR="00A61C1E">
        <w:t>чл.</w:t>
      </w:r>
      <w:r w:rsidR="000F3873">
        <w:t xml:space="preserve"> 6 § 1 на Конвенцията.</w:t>
      </w:r>
    </w:p>
    <w:p w:rsidR="000F3873" w:rsidRPr="0059462F" w:rsidRDefault="008E7633" w:rsidP="000F3873">
      <w:pPr>
        <w:pStyle w:val="JuPara"/>
        <w:rPr>
          <w:snapToGrid w:val="0"/>
        </w:rPr>
      </w:pPr>
      <w:fldSimple w:instr=" SEQ level0 \*arabic ">
        <w:r w:rsidR="00A94344">
          <w:rPr>
            <w:noProof/>
          </w:rPr>
          <w:t>3</w:t>
        </w:r>
      </w:fldSimple>
      <w:r w:rsidR="000F3873">
        <w:t xml:space="preserve">.  Жалбата е разпределена </w:t>
      </w:r>
      <w:r w:rsidR="00A61C1E">
        <w:t xml:space="preserve">на </w:t>
      </w:r>
      <w:r w:rsidR="000F3873">
        <w:t>Първо отделение на Съда (</w:t>
      </w:r>
      <w:r w:rsidR="00A61C1E">
        <w:t>правило</w:t>
      </w:r>
      <w:r w:rsidR="000F3873">
        <w:t xml:space="preserve"> 52 §1 от Правилника на Съда). В това отделение Съдът, заседаващ в състав: </w:t>
      </w:r>
      <w:r w:rsidR="000F3873">
        <w:lastRenderedPageBreak/>
        <w:t xml:space="preserve">г-жа </w:t>
      </w:r>
      <w:r w:rsidR="00A61C1E" w:rsidRPr="0059462F">
        <w:t xml:space="preserve">E. </w:t>
      </w:r>
      <w:proofErr w:type="spellStart"/>
      <w:r w:rsidR="00A61C1E" w:rsidRPr="0059462F">
        <w:t>Palm</w:t>
      </w:r>
      <w:proofErr w:type="spellEnd"/>
      <w:r w:rsidR="000F3873">
        <w:t xml:space="preserve">, председател, г-жа </w:t>
      </w:r>
      <w:r w:rsidR="00A61C1E" w:rsidRPr="0059462F">
        <w:t xml:space="preserve">W. </w:t>
      </w:r>
      <w:proofErr w:type="spellStart"/>
      <w:r w:rsidR="00A61C1E" w:rsidRPr="0059462F">
        <w:t>Thomassen</w:t>
      </w:r>
      <w:proofErr w:type="spellEnd"/>
      <w:r w:rsidR="000F3873">
        <w:t xml:space="preserve">, г-н </w:t>
      </w:r>
      <w:proofErr w:type="spellStart"/>
      <w:r w:rsidR="00A61C1E" w:rsidRPr="0059462F">
        <w:t>Gaukur</w:t>
      </w:r>
      <w:proofErr w:type="spellEnd"/>
      <w:r w:rsidR="00A61C1E" w:rsidRPr="0059462F">
        <w:t xml:space="preserve"> </w:t>
      </w:r>
      <w:proofErr w:type="spellStart"/>
      <w:r w:rsidR="00A61C1E" w:rsidRPr="0059462F">
        <w:t>Jörundsson</w:t>
      </w:r>
      <w:proofErr w:type="spellEnd"/>
      <w:r w:rsidR="000F3873">
        <w:t xml:space="preserve">, г-н </w:t>
      </w:r>
      <w:r w:rsidR="00A61C1E" w:rsidRPr="0059462F">
        <w:t xml:space="preserve">R. </w:t>
      </w:r>
      <w:proofErr w:type="spellStart"/>
      <w:r w:rsidR="00A61C1E" w:rsidRPr="0059462F">
        <w:t>Türmen</w:t>
      </w:r>
      <w:proofErr w:type="spellEnd"/>
      <w:r w:rsidR="000F3873">
        <w:t xml:space="preserve">, г-н </w:t>
      </w:r>
      <w:r w:rsidR="00B15E1D" w:rsidRPr="0059462F">
        <w:t xml:space="preserve">C. </w:t>
      </w:r>
      <w:proofErr w:type="spellStart"/>
      <w:r w:rsidR="00B15E1D" w:rsidRPr="0059462F">
        <w:t>Bîrsan</w:t>
      </w:r>
      <w:proofErr w:type="spellEnd"/>
      <w:r w:rsidR="000F3873">
        <w:t xml:space="preserve">, г-н </w:t>
      </w:r>
      <w:r w:rsidR="00B15E1D" w:rsidRPr="0059462F">
        <w:t xml:space="preserve">J. </w:t>
      </w:r>
      <w:proofErr w:type="spellStart"/>
      <w:r w:rsidR="00B15E1D" w:rsidRPr="0059462F">
        <w:t>Casadevall</w:t>
      </w:r>
      <w:proofErr w:type="spellEnd"/>
      <w:r w:rsidR="000F3873">
        <w:t xml:space="preserve">, г-н </w:t>
      </w:r>
      <w:r w:rsidR="00B15E1D" w:rsidRPr="0059462F">
        <w:t xml:space="preserve">R. </w:t>
      </w:r>
      <w:proofErr w:type="spellStart"/>
      <w:r w:rsidR="00B15E1D" w:rsidRPr="0059462F">
        <w:t>Maruste</w:t>
      </w:r>
      <w:proofErr w:type="spellEnd"/>
      <w:r w:rsidR="000F3873">
        <w:t xml:space="preserve">, съдии, и г-н </w:t>
      </w:r>
      <w:r w:rsidR="00B15E1D" w:rsidRPr="0059462F">
        <w:t xml:space="preserve">M. </w:t>
      </w:r>
      <w:proofErr w:type="spellStart"/>
      <w:r w:rsidR="00B15E1D" w:rsidRPr="0059462F">
        <w:t>O</w:t>
      </w:r>
      <w:r w:rsidR="00B15E1D">
        <w:t>’</w:t>
      </w:r>
      <w:r w:rsidR="00B15E1D" w:rsidRPr="0059462F">
        <w:t>Boyle</w:t>
      </w:r>
      <w:proofErr w:type="spellEnd"/>
      <w:r w:rsidR="000F3873">
        <w:t>, секретар на отделението, вз</w:t>
      </w:r>
      <w:r w:rsidR="00B15E1D">
        <w:t>има</w:t>
      </w:r>
      <w:r w:rsidR="000F3873">
        <w:t xml:space="preserve"> решение на 22 май 2001 г. да раздели жалбите на г-н </w:t>
      </w:r>
      <w:proofErr w:type="spellStart"/>
      <w:r w:rsidR="00B15E1D" w:rsidRPr="0059462F">
        <w:rPr>
          <w:snapToGrid w:val="0"/>
          <w:lang w:eastAsia="en-US"/>
        </w:rPr>
        <w:t>Çınar</w:t>
      </w:r>
      <w:proofErr w:type="spellEnd"/>
      <w:r w:rsidR="000F3873">
        <w:t xml:space="preserve"> и г-н </w:t>
      </w:r>
      <w:proofErr w:type="spellStart"/>
      <w:r w:rsidR="00B15E1D" w:rsidRPr="0059462F">
        <w:rPr>
          <w:snapToGrid w:val="0"/>
          <w:lang w:eastAsia="en-US"/>
        </w:rPr>
        <w:t>Öneryıldız</w:t>
      </w:r>
      <w:proofErr w:type="spellEnd"/>
      <w:r w:rsidR="000F3873">
        <w:t xml:space="preserve"> и обяв</w:t>
      </w:r>
      <w:r w:rsidR="00B15E1D">
        <w:t>ява</w:t>
      </w:r>
      <w:r w:rsidR="000F3873">
        <w:t xml:space="preserve">, че жалбата е допустима, доколкото се отнася до последния („жалбоподателят“), действащ от свое име, от името на тримата си останали живи сина </w:t>
      </w:r>
      <w:proofErr w:type="spellStart"/>
      <w:r w:rsidR="00B15E1D">
        <w:rPr>
          <w:snapToGrid w:val="0"/>
          <w:lang w:eastAsia="en-US"/>
        </w:rPr>
        <w:t>Hüsamettin</w:t>
      </w:r>
      <w:proofErr w:type="spellEnd"/>
      <w:r w:rsidR="000F3873">
        <w:t xml:space="preserve">, </w:t>
      </w:r>
      <w:proofErr w:type="spellStart"/>
      <w:r w:rsidR="00B15E1D">
        <w:rPr>
          <w:snapToGrid w:val="0"/>
          <w:lang w:eastAsia="en-US"/>
        </w:rPr>
        <w:t>Ayd</w:t>
      </w:r>
      <w:r w:rsidR="00B15E1D" w:rsidRPr="0059462F">
        <w:rPr>
          <w:snapToGrid w:val="0"/>
          <w:lang w:eastAsia="en-US"/>
        </w:rPr>
        <w:t>ın</w:t>
      </w:r>
      <w:proofErr w:type="spellEnd"/>
      <w:r w:rsidR="000F3873">
        <w:t xml:space="preserve"> и </w:t>
      </w:r>
      <w:proofErr w:type="spellStart"/>
      <w:r w:rsidR="00B15E1D" w:rsidRPr="0059462F">
        <w:rPr>
          <w:snapToGrid w:val="0"/>
          <w:lang w:eastAsia="en-US"/>
        </w:rPr>
        <w:t>Halef</w:t>
      </w:r>
      <w:proofErr w:type="spellEnd"/>
      <w:r w:rsidR="00B15E1D" w:rsidRPr="0059462F">
        <w:rPr>
          <w:snapToGrid w:val="0"/>
          <w:lang w:eastAsia="en-US"/>
        </w:rPr>
        <w:t xml:space="preserve"> </w:t>
      </w:r>
      <w:proofErr w:type="spellStart"/>
      <w:r w:rsidR="00B15E1D" w:rsidRPr="0059462F">
        <w:rPr>
          <w:snapToGrid w:val="0"/>
          <w:lang w:eastAsia="en-US"/>
        </w:rPr>
        <w:t>Öneryıldız</w:t>
      </w:r>
      <w:proofErr w:type="spellEnd"/>
      <w:r w:rsidR="000F3873">
        <w:t xml:space="preserve">, които по това време са непълнолетни, както и от името на своята съпруга </w:t>
      </w:r>
      <w:proofErr w:type="spellStart"/>
      <w:r w:rsidR="00B15E1D" w:rsidRPr="0059462F">
        <w:rPr>
          <w:snapToGrid w:val="0"/>
          <w:lang w:eastAsia="en-US"/>
        </w:rPr>
        <w:t>Gülnaz</w:t>
      </w:r>
      <w:proofErr w:type="spellEnd"/>
      <w:r w:rsidR="00B15E1D" w:rsidRPr="0059462F">
        <w:rPr>
          <w:snapToGrid w:val="0"/>
          <w:lang w:eastAsia="en-US"/>
        </w:rPr>
        <w:t xml:space="preserve"> </w:t>
      </w:r>
      <w:proofErr w:type="spellStart"/>
      <w:r w:rsidR="00B15E1D" w:rsidRPr="0059462F">
        <w:rPr>
          <w:snapToGrid w:val="0"/>
          <w:lang w:eastAsia="en-US"/>
        </w:rPr>
        <w:t>Öneryıldız</w:t>
      </w:r>
      <w:proofErr w:type="spellEnd"/>
      <w:r w:rsidR="000F3873">
        <w:t xml:space="preserve">, наложницата му </w:t>
      </w:r>
      <w:proofErr w:type="spellStart"/>
      <w:r w:rsidR="0079180B" w:rsidRPr="0059462F">
        <w:rPr>
          <w:snapToGrid w:val="0"/>
          <w:lang w:eastAsia="en-US"/>
        </w:rPr>
        <w:t>Sıdıka</w:t>
      </w:r>
      <w:proofErr w:type="spellEnd"/>
      <w:r w:rsidR="0079180B" w:rsidRPr="0059462F">
        <w:rPr>
          <w:snapToGrid w:val="0"/>
          <w:lang w:eastAsia="en-US"/>
        </w:rPr>
        <w:t xml:space="preserve"> </w:t>
      </w:r>
      <w:proofErr w:type="spellStart"/>
      <w:r w:rsidR="0079180B" w:rsidRPr="0059462F">
        <w:rPr>
          <w:snapToGrid w:val="0"/>
          <w:lang w:eastAsia="en-US"/>
        </w:rPr>
        <w:t>Zorlu</w:t>
      </w:r>
      <w:proofErr w:type="spellEnd"/>
      <w:r w:rsidR="0079180B">
        <w:t xml:space="preserve"> </w:t>
      </w:r>
      <w:r w:rsidR="000F3873">
        <w:t xml:space="preserve">и другите му деца, </w:t>
      </w:r>
      <w:proofErr w:type="spellStart"/>
      <w:r w:rsidR="0079180B" w:rsidRPr="0059462F">
        <w:rPr>
          <w:snapToGrid w:val="0"/>
          <w:lang w:eastAsia="en-US"/>
        </w:rPr>
        <w:t>Selahattin</w:t>
      </w:r>
      <w:proofErr w:type="spellEnd"/>
      <w:r w:rsidR="000F3873">
        <w:t xml:space="preserve">, </w:t>
      </w:r>
      <w:proofErr w:type="spellStart"/>
      <w:r w:rsidR="0079180B" w:rsidRPr="0059462F">
        <w:rPr>
          <w:snapToGrid w:val="0"/>
          <w:lang w:eastAsia="en-US"/>
        </w:rPr>
        <w:t>İdris</w:t>
      </w:r>
      <w:proofErr w:type="spellEnd"/>
      <w:r w:rsidR="000F3873">
        <w:t xml:space="preserve">, </w:t>
      </w:r>
      <w:proofErr w:type="spellStart"/>
      <w:r w:rsidR="0079180B" w:rsidRPr="0059462F">
        <w:rPr>
          <w:snapToGrid w:val="0"/>
          <w:lang w:eastAsia="en-US"/>
        </w:rPr>
        <w:t>Mesut</w:t>
      </w:r>
      <w:proofErr w:type="spellEnd"/>
      <w:r w:rsidR="000F3873">
        <w:t xml:space="preserve">, </w:t>
      </w:r>
      <w:proofErr w:type="spellStart"/>
      <w:r w:rsidR="0079180B" w:rsidRPr="0059462F">
        <w:rPr>
          <w:snapToGrid w:val="0"/>
          <w:lang w:eastAsia="en-US"/>
        </w:rPr>
        <w:t>Fatma</w:t>
      </w:r>
      <w:proofErr w:type="spellEnd"/>
      <w:r w:rsidR="000F3873">
        <w:t xml:space="preserve">, </w:t>
      </w:r>
      <w:proofErr w:type="spellStart"/>
      <w:r w:rsidR="0079180B" w:rsidRPr="0059462F">
        <w:rPr>
          <w:snapToGrid w:val="0"/>
          <w:lang w:eastAsia="en-US"/>
        </w:rPr>
        <w:t>Zeynep</w:t>
      </w:r>
      <w:proofErr w:type="spellEnd"/>
      <w:r w:rsidR="000F3873">
        <w:t xml:space="preserve">, </w:t>
      </w:r>
      <w:proofErr w:type="spellStart"/>
      <w:r w:rsidR="0079180B" w:rsidRPr="0059462F">
        <w:rPr>
          <w:snapToGrid w:val="0"/>
          <w:lang w:eastAsia="en-US"/>
        </w:rPr>
        <w:t>Remziye</w:t>
      </w:r>
      <w:proofErr w:type="spellEnd"/>
      <w:r w:rsidR="000F3873">
        <w:t xml:space="preserve"> и </w:t>
      </w:r>
      <w:proofErr w:type="spellStart"/>
      <w:r w:rsidR="0079180B" w:rsidRPr="0059462F">
        <w:rPr>
          <w:snapToGrid w:val="0"/>
          <w:lang w:eastAsia="en-US"/>
        </w:rPr>
        <w:t>Abdülkerim</w:t>
      </w:r>
      <w:proofErr w:type="spellEnd"/>
      <w:r w:rsidR="0079180B" w:rsidRPr="0059462F">
        <w:rPr>
          <w:snapToGrid w:val="0"/>
          <w:lang w:eastAsia="en-US"/>
        </w:rPr>
        <w:t xml:space="preserve"> </w:t>
      </w:r>
      <w:proofErr w:type="spellStart"/>
      <w:r w:rsidR="0079180B" w:rsidRPr="0059462F">
        <w:rPr>
          <w:snapToGrid w:val="0"/>
          <w:lang w:eastAsia="en-US"/>
        </w:rPr>
        <w:t>Öneryıldız</w:t>
      </w:r>
      <w:proofErr w:type="spellEnd"/>
      <w:r w:rsidR="000F3873">
        <w:t>.</w:t>
      </w:r>
    </w:p>
    <w:p w:rsidR="000F3873" w:rsidRPr="0059462F" w:rsidRDefault="000F3873" w:rsidP="000F3873">
      <w:pPr>
        <w:pStyle w:val="JuPara"/>
        <w:rPr>
          <w:snapToGrid w:val="0"/>
        </w:rPr>
      </w:pPr>
      <w:r w:rsidRPr="0059462F">
        <w:rPr>
          <w:snapToGrid w:val="0"/>
        </w:rPr>
        <w:fldChar w:fldCharType="begin"/>
      </w:r>
      <w:r w:rsidRPr="0059462F">
        <w:rPr>
          <w:snapToGrid w:val="0"/>
        </w:rPr>
        <w:instrText xml:space="preserve"> SEQ level0 \*arabic </w:instrText>
      </w:r>
      <w:r w:rsidRPr="0059462F">
        <w:rPr>
          <w:snapToGrid w:val="0"/>
        </w:rPr>
        <w:fldChar w:fldCharType="separate"/>
      </w:r>
      <w:r w:rsidR="00A94344">
        <w:rPr>
          <w:noProof/>
          <w:snapToGrid w:val="0"/>
        </w:rPr>
        <w:t>4</w:t>
      </w:r>
      <w:r w:rsidRPr="0059462F">
        <w:rPr>
          <w:snapToGrid w:val="0"/>
        </w:rPr>
        <w:fldChar w:fldCharType="end"/>
      </w:r>
      <w:r>
        <w:t>.  На 18 юни 2002 г., след изслушване, Съдът постанов</w:t>
      </w:r>
      <w:r w:rsidR="006766DC">
        <w:t>ява</w:t>
      </w:r>
      <w:r>
        <w:t xml:space="preserve"> решение,  с пет </w:t>
      </w:r>
      <w:r w:rsidR="006766DC">
        <w:t xml:space="preserve">на два </w:t>
      </w:r>
      <w:r>
        <w:t>гласа, с</w:t>
      </w:r>
      <w:r w:rsidR="006766DC">
        <w:t>поред</w:t>
      </w:r>
      <w:r>
        <w:t xml:space="preserve"> което се установява нарушение на чл</w:t>
      </w:r>
      <w:r w:rsidR="006766DC">
        <w:t>.</w:t>
      </w:r>
      <w:r>
        <w:t xml:space="preserve"> 2 от Конвенцията, като единодушно реш</w:t>
      </w:r>
      <w:r w:rsidR="006766DC">
        <w:t>ава</w:t>
      </w:r>
      <w:r>
        <w:t xml:space="preserve">, че </w:t>
      </w:r>
      <w:r w:rsidR="006766DC">
        <w:t>не е нео</w:t>
      </w:r>
      <w:r w:rsidR="00663A8D">
        <w:t>б</w:t>
      </w:r>
      <w:r w:rsidR="006766DC">
        <w:t>ходимо</w:t>
      </w:r>
      <w:r>
        <w:t xml:space="preserve"> </w:t>
      </w:r>
      <w:r w:rsidR="00663A8D">
        <w:t xml:space="preserve">отделно </w:t>
      </w:r>
      <w:r>
        <w:t xml:space="preserve">разглеждане на жалбите </w:t>
      </w:r>
      <w:r w:rsidR="00663A8D">
        <w:t xml:space="preserve">по </w:t>
      </w:r>
      <w:r>
        <w:t>чл</w:t>
      </w:r>
      <w:r w:rsidR="00663A8D">
        <w:t>.</w:t>
      </w:r>
      <w:r>
        <w:t xml:space="preserve"> 6 § 1 и членове 8 и 13 от </w:t>
      </w:r>
      <w:r w:rsidR="00663A8D">
        <w:t>К</w:t>
      </w:r>
      <w:r>
        <w:t xml:space="preserve">онвенцията, и </w:t>
      </w:r>
      <w:r w:rsidR="00663A8D">
        <w:t xml:space="preserve">с </w:t>
      </w:r>
      <w:r>
        <w:t xml:space="preserve">четири </w:t>
      </w:r>
      <w:r w:rsidR="00663A8D">
        <w:t xml:space="preserve">на три </w:t>
      </w:r>
      <w:r>
        <w:t>гласа</w:t>
      </w:r>
      <w:r w:rsidR="00464ADA">
        <w:t>,</w:t>
      </w:r>
      <w:r>
        <w:t xml:space="preserve"> </w:t>
      </w:r>
      <w:r w:rsidR="00464ADA">
        <w:t>че има</w:t>
      </w:r>
      <w:r>
        <w:t xml:space="preserve"> нарушение на чл. 1 от Протокол № 1 от Конвенцията. Частичните особени мнения на г-н </w:t>
      </w:r>
      <w:proofErr w:type="spellStart"/>
      <w:r w:rsidR="00464ADA" w:rsidRPr="0059462F">
        <w:rPr>
          <w:snapToGrid w:val="0"/>
          <w:lang w:eastAsia="en-US"/>
        </w:rPr>
        <w:t>Casadevall</w:t>
      </w:r>
      <w:proofErr w:type="spellEnd"/>
      <w:r>
        <w:t xml:space="preserve">, г-н </w:t>
      </w:r>
      <w:proofErr w:type="spellStart"/>
      <w:r w:rsidR="00464ADA" w:rsidRPr="0059462F">
        <w:rPr>
          <w:snapToGrid w:val="0"/>
          <w:lang w:eastAsia="en-US"/>
        </w:rPr>
        <w:t>Türmen</w:t>
      </w:r>
      <w:proofErr w:type="spellEnd"/>
      <w:r>
        <w:t xml:space="preserve"> и г-н </w:t>
      </w:r>
      <w:proofErr w:type="spellStart"/>
      <w:r w:rsidR="00464ADA" w:rsidRPr="0059462F">
        <w:rPr>
          <w:snapToGrid w:val="0"/>
          <w:lang w:eastAsia="en-US"/>
        </w:rPr>
        <w:t>Maruste</w:t>
      </w:r>
      <w:proofErr w:type="spellEnd"/>
      <w:r>
        <w:t xml:space="preserve"> са приложени към решението.</w:t>
      </w:r>
    </w:p>
    <w:p w:rsidR="000F3873" w:rsidRPr="0059462F" w:rsidRDefault="000F3873" w:rsidP="000F3873">
      <w:pPr>
        <w:pStyle w:val="JuPara"/>
        <w:rPr>
          <w:snapToGrid w:val="0"/>
        </w:rPr>
      </w:pPr>
      <w:r w:rsidRPr="0059462F">
        <w:rPr>
          <w:snapToGrid w:val="0"/>
        </w:rPr>
        <w:fldChar w:fldCharType="begin"/>
      </w:r>
      <w:r w:rsidRPr="0059462F">
        <w:rPr>
          <w:snapToGrid w:val="0"/>
        </w:rPr>
        <w:instrText xml:space="preserve"> SEQ level0 \*arabic </w:instrText>
      </w:r>
      <w:r w:rsidRPr="0059462F">
        <w:rPr>
          <w:snapToGrid w:val="0"/>
        </w:rPr>
        <w:fldChar w:fldCharType="separate"/>
      </w:r>
      <w:r w:rsidR="00A94344">
        <w:rPr>
          <w:noProof/>
          <w:snapToGrid w:val="0"/>
        </w:rPr>
        <w:t>5</w:t>
      </w:r>
      <w:r w:rsidRPr="0059462F">
        <w:rPr>
          <w:snapToGrid w:val="0"/>
        </w:rPr>
        <w:fldChar w:fldCharType="end"/>
      </w:r>
      <w:r>
        <w:t xml:space="preserve">.  На 12 септември 2002 г. </w:t>
      </w:r>
      <w:r w:rsidR="00464ADA">
        <w:t>п</w:t>
      </w:r>
      <w:r>
        <w:t>равителството на Турция („Правителството“) отправ</w:t>
      </w:r>
      <w:r w:rsidR="00464ADA">
        <w:t>я</w:t>
      </w:r>
      <w:r>
        <w:t xml:space="preserve"> молба, съгласно член 43 от Конвенцията и Правило 73</w:t>
      </w:r>
      <w:r w:rsidR="00464ADA">
        <w:t>,</w:t>
      </w:r>
      <w:r>
        <w:t xml:space="preserve"> делото да бъде отнесено до Голямата камара.</w:t>
      </w:r>
    </w:p>
    <w:p w:rsidR="000F3873" w:rsidRPr="0059462F" w:rsidRDefault="000F3873" w:rsidP="000F3873">
      <w:pPr>
        <w:pStyle w:val="JuPara"/>
      </w:pPr>
      <w:r>
        <w:t>На 6 ноември 2002 г. състав на Голямата камара реш</w:t>
      </w:r>
      <w:r w:rsidR="00464ADA">
        <w:t>ава</w:t>
      </w:r>
      <w:r>
        <w:t xml:space="preserve"> да </w:t>
      </w:r>
      <w:r w:rsidR="00EE54BE">
        <w:t xml:space="preserve">одобри </w:t>
      </w:r>
      <w:r>
        <w:t>молбата.</w:t>
      </w:r>
    </w:p>
    <w:p w:rsidR="000F3873" w:rsidRPr="0059462F" w:rsidRDefault="008E7633" w:rsidP="000F3873">
      <w:pPr>
        <w:pStyle w:val="JuPara"/>
      </w:pPr>
      <w:fldSimple w:instr=" SEQ level0 \*arabic ">
        <w:r w:rsidR="00A94344">
          <w:rPr>
            <w:noProof/>
          </w:rPr>
          <w:t>6</w:t>
        </w:r>
      </w:fldSimple>
      <w:r w:rsidR="000F3873">
        <w:t>.  Съставът на Голямата камара е определен съгласно разпоредбите на чл</w:t>
      </w:r>
      <w:r w:rsidR="00EE54BE">
        <w:t>.</w:t>
      </w:r>
      <w:r w:rsidR="000F3873">
        <w:t xml:space="preserve"> 27 §§ 2 и 3 на Конвенцията и </w:t>
      </w:r>
      <w:r w:rsidR="00EE54BE">
        <w:t>п</w:t>
      </w:r>
      <w:r w:rsidR="000F3873">
        <w:t>равило 24.</w:t>
      </w:r>
    </w:p>
    <w:p w:rsidR="000F3873" w:rsidRPr="0059462F" w:rsidRDefault="008E7633" w:rsidP="000F3873">
      <w:pPr>
        <w:pStyle w:val="JuPara"/>
      </w:pPr>
      <w:fldSimple w:instr=" SEQ level0 \*arabic ">
        <w:r w:rsidR="00A94344">
          <w:rPr>
            <w:noProof/>
          </w:rPr>
          <w:t>7</w:t>
        </w:r>
      </w:fldSimple>
      <w:r w:rsidR="000F3873">
        <w:t>.  Пред Голямата камара жалбоподателят, представляван от г-</w:t>
      </w:r>
      <w:r w:rsidR="003020E7">
        <w:t>жа</w:t>
      </w:r>
      <w:r w:rsidR="000F3873">
        <w:t xml:space="preserve"> </w:t>
      </w:r>
      <w:r w:rsidR="00EE54BE" w:rsidRPr="0059462F">
        <w:t>E</w:t>
      </w:r>
      <w:r w:rsidR="00EE54BE">
        <w:t>.</w:t>
      </w:r>
      <w:r w:rsidR="00EE54BE" w:rsidRPr="0059462F">
        <w:t xml:space="preserve"> </w:t>
      </w:r>
      <w:proofErr w:type="spellStart"/>
      <w:r w:rsidR="00EE54BE" w:rsidRPr="0059462F">
        <w:t>Deniz</w:t>
      </w:r>
      <w:proofErr w:type="spellEnd"/>
      <w:r w:rsidR="000F3873">
        <w:t xml:space="preserve"> от адвокатската колегия на Истанбул, и Правителството, представлявано от г-жа </w:t>
      </w:r>
      <w:r w:rsidR="00EE54BE" w:rsidRPr="0059462F">
        <w:t>D</w:t>
      </w:r>
      <w:r w:rsidR="00EE54BE">
        <w:t>.</w:t>
      </w:r>
      <w:r w:rsidR="00EE54BE" w:rsidRPr="0059462F">
        <w:t xml:space="preserve"> </w:t>
      </w:r>
      <w:proofErr w:type="spellStart"/>
      <w:r w:rsidR="00EE54BE" w:rsidRPr="0059462F">
        <w:t>Akçay</w:t>
      </w:r>
      <w:proofErr w:type="spellEnd"/>
      <w:r w:rsidR="000F3873">
        <w:t>, пода</w:t>
      </w:r>
      <w:r w:rsidR="00EE54BE">
        <w:t>ват</w:t>
      </w:r>
      <w:r w:rsidR="000F3873">
        <w:t xml:space="preserve"> изложенията си съответно на 7 и 10 март 2003 г. Впоследствие страните по делото изпра</w:t>
      </w:r>
      <w:r w:rsidR="005467E5">
        <w:t>щат</w:t>
      </w:r>
      <w:r w:rsidR="000F3873">
        <w:t xml:space="preserve"> до </w:t>
      </w:r>
      <w:r w:rsidR="005467E5">
        <w:t xml:space="preserve">Секретариата </w:t>
      </w:r>
      <w:r w:rsidR="000F3873">
        <w:t xml:space="preserve">допълнителни </w:t>
      </w:r>
      <w:r w:rsidR="005467E5">
        <w:t xml:space="preserve">становища </w:t>
      </w:r>
      <w:r w:rsidR="000F3873">
        <w:t>и документи в подкрепа на твърденията си.</w:t>
      </w:r>
    </w:p>
    <w:p w:rsidR="00D8632D" w:rsidRDefault="008E7633" w:rsidP="000F3873">
      <w:pPr>
        <w:pStyle w:val="JuPara"/>
      </w:pPr>
      <w:fldSimple w:instr=" SEQ level0 \*arabic ">
        <w:r w:rsidR="00A94344">
          <w:rPr>
            <w:noProof/>
          </w:rPr>
          <w:t>8</w:t>
        </w:r>
      </w:fldSimple>
      <w:r w:rsidR="000F3873">
        <w:t>.  </w:t>
      </w:r>
      <w:r w:rsidR="003020E7">
        <w:t>На 7 май 2003 г. в сградата на Съда по правата на човека в Страсбург се провежда публично з</w:t>
      </w:r>
      <w:r w:rsidR="000F3873">
        <w:t>аседание</w:t>
      </w:r>
      <w:r w:rsidR="003020E7">
        <w:t xml:space="preserve"> </w:t>
      </w:r>
      <w:r w:rsidR="000F3873">
        <w:t>(</w:t>
      </w:r>
      <w:r w:rsidR="005D43E9">
        <w:t>п</w:t>
      </w:r>
      <w:r w:rsidR="000F3873">
        <w:t>равило 59 § 3).</w:t>
      </w:r>
    </w:p>
    <w:p w:rsidR="000F3873" w:rsidRPr="0059462F" w:rsidRDefault="000F3873" w:rsidP="000F3873">
      <w:pPr>
        <w:pStyle w:val="JuPara"/>
      </w:pPr>
    </w:p>
    <w:p w:rsidR="000F3873" w:rsidRPr="0059462F" w:rsidRDefault="000F3873" w:rsidP="000F3873">
      <w:pPr>
        <w:pStyle w:val="JuPara"/>
      </w:pPr>
      <w:r>
        <w:t xml:space="preserve">Пред Съда се </w:t>
      </w:r>
      <w:r w:rsidR="003020E7">
        <w:t>явяват</w:t>
      </w:r>
      <w:r>
        <w:t>:</w:t>
      </w:r>
    </w:p>
    <w:p w:rsidR="000F3873" w:rsidRPr="0059462F" w:rsidRDefault="000F3873" w:rsidP="000F3873">
      <w:pPr>
        <w:pStyle w:val="JuCourt"/>
      </w:pPr>
      <w:r>
        <w:t>а)  </w:t>
      </w:r>
      <w:r>
        <w:rPr>
          <w:i/>
        </w:rPr>
        <w:t>за Правителството</w:t>
      </w:r>
      <w:r>
        <w:br/>
        <w:t>Г-жа</w:t>
      </w:r>
      <w:r>
        <w:tab/>
      </w:r>
      <w:r w:rsidR="003020E7" w:rsidRPr="0059462F">
        <w:rPr>
          <w:rStyle w:val="JuNames"/>
        </w:rPr>
        <w:t xml:space="preserve">D. </w:t>
      </w:r>
      <w:proofErr w:type="spellStart"/>
      <w:r w:rsidR="003020E7" w:rsidRPr="0059462F">
        <w:rPr>
          <w:rStyle w:val="JuNames"/>
        </w:rPr>
        <w:t>Akçay</w:t>
      </w:r>
      <w:proofErr w:type="spellEnd"/>
      <w:r>
        <w:t xml:space="preserve">, </w:t>
      </w:r>
      <w:r>
        <w:tab/>
      </w:r>
      <w:r>
        <w:rPr>
          <w:i/>
        </w:rPr>
        <w:t>упълномощен представител</w:t>
      </w:r>
      <w:r>
        <w:t>,</w:t>
      </w:r>
      <w:r>
        <w:br/>
        <w:t>Г-н</w:t>
      </w:r>
      <w:r>
        <w:tab/>
      </w:r>
      <w:r w:rsidR="003020E7" w:rsidRPr="0059462F">
        <w:t xml:space="preserve">Y. </w:t>
      </w:r>
      <w:proofErr w:type="spellStart"/>
      <w:r w:rsidR="003020E7" w:rsidRPr="0059462F">
        <w:rPr>
          <w:rStyle w:val="JuNames"/>
        </w:rPr>
        <w:t>Belet</w:t>
      </w:r>
      <w:proofErr w:type="spellEnd"/>
      <w:r>
        <w:t>,</w:t>
      </w:r>
      <w:r>
        <w:br/>
        <w:t>Г-</w:t>
      </w:r>
      <w:r w:rsidR="003020E7">
        <w:t>жа</w:t>
      </w:r>
      <w:r>
        <w:tab/>
      </w:r>
      <w:r w:rsidR="003020E7" w:rsidRPr="0059462F">
        <w:rPr>
          <w:rStyle w:val="JuNames"/>
        </w:rPr>
        <w:t xml:space="preserve">G. </w:t>
      </w:r>
      <w:proofErr w:type="spellStart"/>
      <w:r w:rsidR="003020E7" w:rsidRPr="0059462F">
        <w:rPr>
          <w:rStyle w:val="JuNames"/>
        </w:rPr>
        <w:t>Acar</w:t>
      </w:r>
      <w:proofErr w:type="spellEnd"/>
      <w:r>
        <w:t xml:space="preserve">, </w:t>
      </w:r>
      <w:r>
        <w:br/>
        <w:t>Г-</w:t>
      </w:r>
      <w:r w:rsidR="003020E7">
        <w:t>ж</w:t>
      </w:r>
      <w:r>
        <w:t>а</w:t>
      </w:r>
      <w:r>
        <w:tab/>
      </w:r>
      <w:r w:rsidR="003020E7" w:rsidRPr="0059462F">
        <w:t xml:space="preserve">V. </w:t>
      </w:r>
      <w:proofErr w:type="spellStart"/>
      <w:r w:rsidR="003020E7" w:rsidRPr="0059462F">
        <w:rPr>
          <w:rStyle w:val="JuNames"/>
        </w:rPr>
        <w:t>S</w:t>
      </w:r>
      <w:r w:rsidR="003020E7" w:rsidRPr="002B4961">
        <w:rPr>
          <w:rStyle w:val="JuNames"/>
          <w:sz w:val="18"/>
          <w:szCs w:val="18"/>
        </w:rPr>
        <w:t>İ</w:t>
      </w:r>
      <w:r w:rsidR="003020E7" w:rsidRPr="0059462F">
        <w:rPr>
          <w:rStyle w:val="JuNames"/>
        </w:rPr>
        <w:t>rmen</w:t>
      </w:r>
      <w:proofErr w:type="spellEnd"/>
      <w:r>
        <w:t>,</w:t>
      </w:r>
      <w:r>
        <w:br/>
        <w:t>Г-</w:t>
      </w:r>
      <w:r w:rsidR="003020E7">
        <w:t>ж</w:t>
      </w:r>
      <w:r>
        <w:t>а</w:t>
      </w:r>
      <w:r>
        <w:tab/>
      </w:r>
      <w:r w:rsidR="003020E7" w:rsidRPr="0059462F">
        <w:t xml:space="preserve">J. </w:t>
      </w:r>
      <w:proofErr w:type="spellStart"/>
      <w:r w:rsidR="003020E7" w:rsidRPr="0059462F">
        <w:rPr>
          <w:rStyle w:val="JuNames"/>
        </w:rPr>
        <w:t>Kalay</w:t>
      </w:r>
      <w:proofErr w:type="spellEnd"/>
      <w:r>
        <w:t>,</w:t>
      </w:r>
      <w:r>
        <w:tab/>
      </w:r>
      <w:r>
        <w:rPr>
          <w:i/>
        </w:rPr>
        <w:t>съветници</w:t>
      </w:r>
      <w:r>
        <w:t>;</w:t>
      </w:r>
    </w:p>
    <w:p w:rsidR="000F3873" w:rsidRPr="0059462F" w:rsidRDefault="000F3873" w:rsidP="000F3873">
      <w:pPr>
        <w:pStyle w:val="JuCourt"/>
      </w:pPr>
      <w:r>
        <w:lastRenderedPageBreak/>
        <w:t>б)  </w:t>
      </w:r>
      <w:r>
        <w:rPr>
          <w:i/>
        </w:rPr>
        <w:t>за жалбоподателя</w:t>
      </w:r>
      <w:r>
        <w:br/>
        <w:t>Г-ца</w:t>
      </w:r>
      <w:r>
        <w:tab/>
      </w:r>
      <w:r w:rsidR="00A81229" w:rsidRPr="0059462F">
        <w:rPr>
          <w:rStyle w:val="JuNames"/>
        </w:rPr>
        <w:t xml:space="preserve">E. </w:t>
      </w:r>
      <w:proofErr w:type="spellStart"/>
      <w:r w:rsidR="00A81229" w:rsidRPr="0059462F">
        <w:rPr>
          <w:rStyle w:val="JuNames"/>
        </w:rPr>
        <w:t>Den</w:t>
      </w:r>
      <w:r w:rsidR="00A81229" w:rsidRPr="002B4961">
        <w:rPr>
          <w:rStyle w:val="JuNames"/>
          <w:sz w:val="18"/>
          <w:szCs w:val="18"/>
        </w:rPr>
        <w:t>İ</w:t>
      </w:r>
      <w:r w:rsidR="00A81229" w:rsidRPr="0059462F">
        <w:rPr>
          <w:rStyle w:val="JuNames"/>
        </w:rPr>
        <w:t>z</w:t>
      </w:r>
      <w:proofErr w:type="spellEnd"/>
      <w:r>
        <w:t xml:space="preserve">, </w:t>
      </w:r>
      <w:r>
        <w:tab/>
      </w:r>
      <w:r w:rsidRPr="00833B88">
        <w:rPr>
          <w:i/>
        </w:rPr>
        <w:t>адвокат,</w:t>
      </w:r>
      <w:r>
        <w:br/>
        <w:t>Г-н</w:t>
      </w:r>
      <w:r>
        <w:tab/>
      </w:r>
      <w:r w:rsidR="00A81229" w:rsidRPr="0059462F">
        <w:t xml:space="preserve">Ş. </w:t>
      </w:r>
      <w:proofErr w:type="spellStart"/>
      <w:r w:rsidR="00A81229" w:rsidRPr="0059462F">
        <w:rPr>
          <w:rStyle w:val="JuNames"/>
        </w:rPr>
        <w:t>Özdem</w:t>
      </w:r>
      <w:r w:rsidR="00A81229" w:rsidRPr="002B4961">
        <w:rPr>
          <w:rStyle w:val="JuNames"/>
          <w:sz w:val="18"/>
          <w:szCs w:val="18"/>
        </w:rPr>
        <w:t>İ</w:t>
      </w:r>
      <w:r w:rsidR="00A81229" w:rsidRPr="0059462F">
        <w:rPr>
          <w:rStyle w:val="JuNames"/>
        </w:rPr>
        <w:t>r</w:t>
      </w:r>
      <w:proofErr w:type="spellEnd"/>
      <w:r>
        <w:t xml:space="preserve">, </w:t>
      </w:r>
      <w:r>
        <w:tab/>
      </w:r>
      <w:r>
        <w:rPr>
          <w:i/>
        </w:rPr>
        <w:t>съветник.</w:t>
      </w:r>
    </w:p>
    <w:p w:rsidR="000F3873" w:rsidRPr="0059462F" w:rsidRDefault="000F3873" w:rsidP="000F3873">
      <w:pPr>
        <w:pStyle w:val="JuPara"/>
      </w:pPr>
    </w:p>
    <w:p w:rsidR="000F3873" w:rsidRPr="0059462F" w:rsidRDefault="000F3873" w:rsidP="000F3873">
      <w:pPr>
        <w:pStyle w:val="JuPara"/>
      </w:pPr>
      <w:r>
        <w:t>Съдът изслуш</w:t>
      </w:r>
      <w:r w:rsidR="00A81229">
        <w:t>в</w:t>
      </w:r>
      <w:r>
        <w:t xml:space="preserve">а </w:t>
      </w:r>
      <w:r w:rsidR="00A81229">
        <w:t xml:space="preserve">встъпителните пледоарии </w:t>
      </w:r>
      <w:r>
        <w:t>на г-</w:t>
      </w:r>
      <w:r w:rsidR="00A81229">
        <w:t>ж</w:t>
      </w:r>
      <w:r>
        <w:t xml:space="preserve">а </w:t>
      </w:r>
      <w:proofErr w:type="spellStart"/>
      <w:r w:rsidR="00A81229" w:rsidRPr="0059462F">
        <w:t>Deniz</w:t>
      </w:r>
      <w:proofErr w:type="spellEnd"/>
      <w:r>
        <w:t xml:space="preserve"> и г-жа </w:t>
      </w:r>
      <w:proofErr w:type="spellStart"/>
      <w:r w:rsidR="00A81229" w:rsidRPr="0059462F">
        <w:t>Akçay</w:t>
      </w:r>
      <w:proofErr w:type="spellEnd"/>
      <w:r>
        <w:t>.</w:t>
      </w:r>
    </w:p>
    <w:p w:rsidR="000F3873" w:rsidRPr="0059462F" w:rsidRDefault="000F3873" w:rsidP="006725B0">
      <w:pPr>
        <w:pStyle w:val="JuHHead"/>
        <w:widowControl w:val="0"/>
      </w:pPr>
      <w:r>
        <w:t>ФАКТИТЕ</w:t>
      </w:r>
    </w:p>
    <w:p w:rsidR="000F3873" w:rsidRPr="00D57931" w:rsidRDefault="000F3873" w:rsidP="006725B0">
      <w:pPr>
        <w:pStyle w:val="JuHIRoman"/>
        <w:widowControl w:val="0"/>
      </w:pPr>
      <w:r>
        <w:t>I.</w:t>
      </w:r>
      <w:r>
        <w:tab/>
        <w:t>ОБСТОЯТЕЛСТВАТА ПО ДЕЛОТО</w:t>
      </w:r>
    </w:p>
    <w:p w:rsidR="000F3873" w:rsidRPr="0059462F" w:rsidRDefault="008E7633" w:rsidP="006725B0">
      <w:pPr>
        <w:pStyle w:val="JuPara"/>
        <w:widowControl w:val="0"/>
      </w:pPr>
      <w:fldSimple w:instr=" SEQ level0 \*arabic ">
        <w:r w:rsidR="00A94344">
          <w:rPr>
            <w:noProof/>
          </w:rPr>
          <w:t>9</w:t>
        </w:r>
      </w:fldSimple>
      <w:r w:rsidR="000F3873">
        <w:t xml:space="preserve">.  Жалбоподателят е роден през 1955 г. и в момента живее в окръг </w:t>
      </w:r>
      <w:proofErr w:type="spellStart"/>
      <w:r w:rsidR="000F3873">
        <w:t>Ширван</w:t>
      </w:r>
      <w:proofErr w:type="spellEnd"/>
      <w:r w:rsidR="000F3873">
        <w:t xml:space="preserve"> (провинция Сирт), районът, в ко</w:t>
      </w:r>
      <w:r w:rsidR="006C3A5F">
        <w:t>й</w:t>
      </w:r>
      <w:r w:rsidR="000F3873">
        <w:t xml:space="preserve">то е роден. </w:t>
      </w:r>
      <w:r w:rsidR="006C3A5F">
        <w:t>Към</w:t>
      </w:r>
      <w:r w:rsidR="000F3873">
        <w:t xml:space="preserve"> момент</w:t>
      </w:r>
      <w:r w:rsidR="006C3A5F">
        <w:t>а на настъпване на фактите</w:t>
      </w:r>
      <w:r w:rsidR="000F3873">
        <w:t xml:space="preserve"> той живее заедно с дванадесет близки роднини в </w:t>
      </w:r>
      <w:r w:rsidR="006C3A5F">
        <w:t xml:space="preserve">бедния </w:t>
      </w:r>
      <w:r w:rsidR="000F3873">
        <w:t>квартал (</w:t>
      </w:r>
      <w:proofErr w:type="spellStart"/>
      <w:r w:rsidR="000F3873">
        <w:rPr>
          <w:i/>
        </w:rPr>
        <w:t>gecekondu</w:t>
      </w:r>
      <w:proofErr w:type="spellEnd"/>
      <w:r w:rsidR="000F3873">
        <w:rPr>
          <w:i/>
        </w:rPr>
        <w:t xml:space="preserve"> </w:t>
      </w:r>
      <w:proofErr w:type="spellStart"/>
      <w:r w:rsidR="000F3873">
        <w:rPr>
          <w:i/>
        </w:rPr>
        <w:t>mahallesi</w:t>
      </w:r>
      <w:proofErr w:type="spellEnd"/>
      <w:r w:rsidR="000F3873">
        <w:t xml:space="preserve">) </w:t>
      </w:r>
      <w:proofErr w:type="spellStart"/>
      <w:r w:rsidR="000F3873">
        <w:t>Казим</w:t>
      </w:r>
      <w:proofErr w:type="spellEnd"/>
      <w:r w:rsidR="000F3873">
        <w:t xml:space="preserve"> </w:t>
      </w:r>
      <w:proofErr w:type="spellStart"/>
      <w:r w:rsidR="000F3873">
        <w:t>Карабекир</w:t>
      </w:r>
      <w:proofErr w:type="spellEnd"/>
      <w:r w:rsidR="000F3873">
        <w:t xml:space="preserve"> в </w:t>
      </w:r>
      <w:proofErr w:type="spellStart"/>
      <w:r w:rsidR="000F3873">
        <w:t>Юмрание</w:t>
      </w:r>
      <w:proofErr w:type="spellEnd"/>
      <w:r w:rsidR="000F3873">
        <w:t xml:space="preserve">, </w:t>
      </w:r>
      <w:r w:rsidR="00417ADA">
        <w:t xml:space="preserve">район в </w:t>
      </w:r>
      <w:r w:rsidR="000F3873">
        <w:t xml:space="preserve">Истанбул, където се е преместил след напускане на работата си като </w:t>
      </w:r>
      <w:r w:rsidR="00BD7ADC">
        <w:t>селски пазач</w:t>
      </w:r>
      <w:r w:rsidR="000F3873">
        <w:t xml:space="preserve"> в Югоизточна Турция.</w:t>
      </w:r>
    </w:p>
    <w:p w:rsidR="000F3873" w:rsidRPr="000F3873" w:rsidRDefault="000F3873" w:rsidP="006725B0">
      <w:pPr>
        <w:pStyle w:val="JuHA0"/>
        <w:widowControl w:val="0"/>
      </w:pPr>
      <w:r>
        <w:t>А.</w:t>
      </w:r>
      <w:r>
        <w:tab/>
        <w:t xml:space="preserve">Сметището за битови отпадъци в </w:t>
      </w:r>
      <w:proofErr w:type="spellStart"/>
      <w:r>
        <w:t>Юмрание</w:t>
      </w:r>
      <w:proofErr w:type="spellEnd"/>
      <w:r>
        <w:t xml:space="preserve"> и районът, в който жив</w:t>
      </w:r>
      <w:r w:rsidR="00BD7ADC">
        <w:t>ее</w:t>
      </w:r>
      <w:r>
        <w:t xml:space="preserve"> жалбоподателя</w:t>
      </w:r>
      <w:r w:rsidR="00BD7ADC">
        <w:t>т</w:t>
      </w:r>
    </w:p>
    <w:p w:rsidR="000F3873" w:rsidRPr="0059462F" w:rsidRDefault="008E7633" w:rsidP="000F3873">
      <w:pPr>
        <w:pStyle w:val="JuPara"/>
      </w:pPr>
      <w:fldSimple w:instr=" SEQ level0 \*arabic ">
        <w:r w:rsidR="00A94344">
          <w:rPr>
            <w:noProof/>
          </w:rPr>
          <w:t>10</w:t>
        </w:r>
      </w:fldSimple>
      <w:r w:rsidR="000F3873">
        <w:t xml:space="preserve">.  От началото на 1970 г. в района </w:t>
      </w:r>
      <w:proofErr w:type="spellStart"/>
      <w:r w:rsidR="000F3873">
        <w:t>Хакъмбашъ</w:t>
      </w:r>
      <w:proofErr w:type="spellEnd"/>
      <w:r w:rsidR="000F3873">
        <w:t xml:space="preserve">, </w:t>
      </w:r>
      <w:r w:rsidR="002653ED">
        <w:t>беден район</w:t>
      </w:r>
      <w:r w:rsidR="000F3873">
        <w:t xml:space="preserve">, </w:t>
      </w:r>
      <w:r w:rsidR="00BD7ADC">
        <w:t>граничещ с</w:t>
      </w:r>
      <w:r w:rsidR="000F3873">
        <w:t xml:space="preserve"> квартал </w:t>
      </w:r>
      <w:proofErr w:type="spellStart"/>
      <w:r w:rsidR="000F3873">
        <w:t>Казим</w:t>
      </w:r>
      <w:proofErr w:type="spellEnd"/>
      <w:r w:rsidR="000F3873">
        <w:t xml:space="preserve"> </w:t>
      </w:r>
      <w:proofErr w:type="spellStart"/>
      <w:r w:rsidR="000F3873">
        <w:t>Карабекир</w:t>
      </w:r>
      <w:proofErr w:type="spellEnd"/>
      <w:r w:rsidR="000F3873">
        <w:t>, е в експлоатация сметище за битови отпадъци. На 22 януари 1960 г. градският съвет на Истанбул („градският съвет“) получ</w:t>
      </w:r>
      <w:r w:rsidR="002653ED">
        <w:t>ава</w:t>
      </w:r>
      <w:r w:rsidR="000F3873">
        <w:t xml:space="preserve"> право на ползване на земята, която принадлежи на Комисията по горите (следователно на Министерството на финансите) за срок от деветдесет и девет години. Разположен на склон с изглед към долина, теренът </w:t>
      </w:r>
      <w:r w:rsidR="002653ED">
        <w:t xml:space="preserve">е с </w:t>
      </w:r>
      <w:r w:rsidR="000F3873">
        <w:t xml:space="preserve">площ около 35 хектара и от 1972 г. насам се използва като сметище от окръзите </w:t>
      </w:r>
      <w:proofErr w:type="spellStart"/>
      <w:r w:rsidR="000F3873">
        <w:t>Бейкоз</w:t>
      </w:r>
      <w:proofErr w:type="spellEnd"/>
      <w:r w:rsidR="000F3873">
        <w:t xml:space="preserve">, </w:t>
      </w:r>
      <w:proofErr w:type="spellStart"/>
      <w:r w:rsidR="000F3873">
        <w:t>Юскудар</w:t>
      </w:r>
      <w:proofErr w:type="spellEnd"/>
      <w:r w:rsidR="000F3873">
        <w:t xml:space="preserve">, </w:t>
      </w:r>
      <w:proofErr w:type="spellStart"/>
      <w:r w:rsidR="000F3873">
        <w:t>Кадъкьой</w:t>
      </w:r>
      <w:proofErr w:type="spellEnd"/>
      <w:r w:rsidR="000F3873">
        <w:t xml:space="preserve"> и </w:t>
      </w:r>
      <w:proofErr w:type="spellStart"/>
      <w:r w:rsidR="000F3873">
        <w:t>Юмрание</w:t>
      </w:r>
      <w:proofErr w:type="spellEnd"/>
      <w:r w:rsidR="000F3873">
        <w:t xml:space="preserve"> под управлението и отговорността на градския съвет и, </w:t>
      </w:r>
      <w:r w:rsidR="009C4328">
        <w:t>в крайна сметка</w:t>
      </w:r>
      <w:r w:rsidR="000F3873">
        <w:t xml:space="preserve">, </w:t>
      </w:r>
      <w:r w:rsidR="009C4328">
        <w:t>на м</w:t>
      </w:r>
      <w:r w:rsidR="000F3873">
        <w:t>инистерството.</w:t>
      </w:r>
    </w:p>
    <w:p w:rsidR="000F3873" w:rsidRPr="0059462F" w:rsidRDefault="000F3873" w:rsidP="000F3873">
      <w:pPr>
        <w:pStyle w:val="JuPara"/>
      </w:pPr>
      <w:r>
        <w:t>Когато сметището започва да се използва, районът е ненаселен и най-близката застроена зона отсто</w:t>
      </w:r>
      <w:r w:rsidR="009C4328">
        <w:t>и</w:t>
      </w:r>
      <w:r>
        <w:t xml:space="preserve"> на около 3,5 км. С годините обаче в района около сметището без разрешение са изградени примитивни жилища, които впоследствие се разширяват и се превръщат в </w:t>
      </w:r>
      <w:r w:rsidR="00D20DA2">
        <w:t xml:space="preserve">бедния </w:t>
      </w:r>
      <w:r>
        <w:t xml:space="preserve">квартал в </w:t>
      </w:r>
      <w:proofErr w:type="spellStart"/>
      <w:r>
        <w:t>Юмрание</w:t>
      </w:r>
      <w:proofErr w:type="spellEnd"/>
      <w:r>
        <w:t>.</w:t>
      </w:r>
    </w:p>
    <w:p w:rsidR="000F3873" w:rsidRPr="0059462F" w:rsidRDefault="000F3873" w:rsidP="000F3873">
      <w:pPr>
        <w:pStyle w:val="JuPara"/>
      </w:pPr>
      <w:r>
        <w:t>С</w:t>
      </w:r>
      <w:r w:rsidR="00D20DA2">
        <w:t>поред</w:t>
      </w:r>
      <w:r>
        <w:t xml:space="preserve"> официалната карта, която обхваща районите </w:t>
      </w:r>
      <w:proofErr w:type="spellStart"/>
      <w:r>
        <w:t>Хакъмбашъ</w:t>
      </w:r>
      <w:proofErr w:type="spellEnd"/>
      <w:r>
        <w:t xml:space="preserve"> и </w:t>
      </w:r>
      <w:proofErr w:type="spellStart"/>
      <w:r>
        <w:t>Казим</w:t>
      </w:r>
      <w:proofErr w:type="spellEnd"/>
      <w:r>
        <w:t xml:space="preserve"> </w:t>
      </w:r>
      <w:proofErr w:type="spellStart"/>
      <w:r>
        <w:t>Карабекир</w:t>
      </w:r>
      <w:proofErr w:type="spellEnd"/>
      <w:r>
        <w:t xml:space="preserve">, изработена от техническата служба на областния съвет на </w:t>
      </w:r>
      <w:proofErr w:type="spellStart"/>
      <w:r>
        <w:t>Юмрание</w:t>
      </w:r>
      <w:proofErr w:type="spellEnd"/>
      <w:r>
        <w:t xml:space="preserve">, къщата на жалбоподателя е изградена на ъгъла на улиците </w:t>
      </w:r>
      <w:proofErr w:type="spellStart"/>
      <w:r>
        <w:t>Деребойъ</w:t>
      </w:r>
      <w:proofErr w:type="spellEnd"/>
      <w:r>
        <w:t xml:space="preserve"> и </w:t>
      </w:r>
      <w:proofErr w:type="spellStart"/>
      <w:r>
        <w:t>Герзе</w:t>
      </w:r>
      <w:proofErr w:type="spellEnd"/>
      <w:r>
        <w:t>. Тази част от квартала е била прилежаща към общинското сметище и от 1978 г. е под ръководството на местния кмет, назначен от окръжния съвет.</w:t>
      </w:r>
    </w:p>
    <w:p w:rsidR="000F3873" w:rsidRPr="0059462F" w:rsidRDefault="000F3873" w:rsidP="000F3873">
      <w:pPr>
        <w:pStyle w:val="JuPara"/>
      </w:pPr>
      <w:r>
        <w:lastRenderedPageBreak/>
        <w:t xml:space="preserve">Сметището в </w:t>
      </w:r>
      <w:proofErr w:type="spellStart"/>
      <w:r>
        <w:t>Юмрание</w:t>
      </w:r>
      <w:proofErr w:type="spellEnd"/>
      <w:r>
        <w:t xml:space="preserve"> вече не съществува. Местния</w:t>
      </w:r>
      <w:r w:rsidR="00D20DA2">
        <w:t>т</w:t>
      </w:r>
      <w:r>
        <w:t xml:space="preserve"> съвет го е покрил с пръст и е поставил </w:t>
      </w:r>
      <w:proofErr w:type="spellStart"/>
      <w:r>
        <w:t>въздуховоди</w:t>
      </w:r>
      <w:proofErr w:type="spellEnd"/>
      <w:r>
        <w:t xml:space="preserve">. Освен това за районите </w:t>
      </w:r>
      <w:proofErr w:type="spellStart"/>
      <w:r>
        <w:t>Хакъмбашъ</w:t>
      </w:r>
      <w:proofErr w:type="spellEnd"/>
      <w:r>
        <w:t xml:space="preserve"> и </w:t>
      </w:r>
      <w:proofErr w:type="spellStart"/>
      <w:r>
        <w:t>Казим</w:t>
      </w:r>
      <w:proofErr w:type="spellEnd"/>
      <w:r>
        <w:t xml:space="preserve"> </w:t>
      </w:r>
      <w:proofErr w:type="spellStart"/>
      <w:r>
        <w:t>Карабекир</w:t>
      </w:r>
      <w:proofErr w:type="spellEnd"/>
      <w:r>
        <w:t xml:space="preserve"> </w:t>
      </w:r>
      <w:r w:rsidR="00E07C89">
        <w:t>в момента се изготвят</w:t>
      </w:r>
      <w:r>
        <w:t xml:space="preserve"> устройствени планове. Градският съвет е засадил дървета на голяма част от </w:t>
      </w:r>
      <w:r w:rsidR="00E07C89">
        <w:t xml:space="preserve">бившето </w:t>
      </w:r>
      <w:r>
        <w:t>сметище и са изградени спортни площадки.</w:t>
      </w:r>
    </w:p>
    <w:p w:rsidR="000F3873" w:rsidRPr="000F3873" w:rsidRDefault="000F3873" w:rsidP="006725B0">
      <w:pPr>
        <w:pStyle w:val="JuHA0"/>
        <w:widowControl w:val="0"/>
      </w:pPr>
      <w:r>
        <w:t>Б.</w:t>
      </w:r>
      <w:r>
        <w:tab/>
        <w:t xml:space="preserve">Мерки, предприети от окръжния съвет на </w:t>
      </w:r>
      <w:proofErr w:type="spellStart"/>
      <w:r>
        <w:t>Юмрание</w:t>
      </w:r>
      <w:proofErr w:type="spellEnd"/>
    </w:p>
    <w:p w:rsidR="000F3873" w:rsidRPr="000F3873" w:rsidRDefault="000F3873" w:rsidP="006725B0">
      <w:pPr>
        <w:pStyle w:val="JuH1"/>
        <w:widowControl w:val="0"/>
      </w:pPr>
      <w:r>
        <w:t>1.  През 1989 г.</w:t>
      </w:r>
    </w:p>
    <w:p w:rsidR="00D8632D" w:rsidRDefault="008E7633" w:rsidP="000F3873">
      <w:pPr>
        <w:pStyle w:val="JuPara"/>
      </w:pPr>
      <w:fldSimple w:instr=" SEQ level0 \*arabic ">
        <w:r w:rsidR="00A94344">
          <w:rPr>
            <w:noProof/>
          </w:rPr>
          <w:t>11</w:t>
        </w:r>
      </w:fldSimple>
      <w:r w:rsidR="000F3873">
        <w:t xml:space="preserve">.  След местните избори от 26 март 1989 г. окръжният съвет на </w:t>
      </w:r>
      <w:proofErr w:type="spellStart"/>
      <w:r w:rsidR="000F3873">
        <w:t>Юмрание</w:t>
      </w:r>
      <w:proofErr w:type="spellEnd"/>
      <w:r w:rsidR="000F3873">
        <w:t xml:space="preserve"> търси начин за изменение на градоустройствения план в мащаб 1:1,000. Властите, вземащи решения обаче отказ</w:t>
      </w:r>
      <w:r w:rsidR="00E07C89">
        <w:t>ват</w:t>
      </w:r>
      <w:r w:rsidR="000F3873">
        <w:t xml:space="preserve"> да приемат плана, тъй като в него</w:t>
      </w:r>
      <w:r w:rsidR="00E07C89">
        <w:t xml:space="preserve"> </w:t>
      </w:r>
      <w:r w:rsidR="000F3873">
        <w:t>е включен район, разположен твърде близо до общинското сметище.</w:t>
      </w:r>
    </w:p>
    <w:p w:rsidR="000F3873" w:rsidRPr="0059462F" w:rsidRDefault="000F3873" w:rsidP="000F3873">
      <w:pPr>
        <w:pStyle w:val="JuPara"/>
      </w:pPr>
      <w:r>
        <w:t xml:space="preserve">От 4 декември същата година, окръжният съвет на </w:t>
      </w:r>
      <w:proofErr w:type="spellStart"/>
      <w:r>
        <w:t>Юмрание</w:t>
      </w:r>
      <w:proofErr w:type="spellEnd"/>
      <w:r>
        <w:t xml:space="preserve"> започва да натрупва купчини пръст и отпадъци върху терена около </w:t>
      </w:r>
      <w:r w:rsidR="00E07C89">
        <w:t xml:space="preserve">бедните </w:t>
      </w:r>
      <w:r>
        <w:t xml:space="preserve">квартали в </w:t>
      </w:r>
      <w:proofErr w:type="spellStart"/>
      <w:r>
        <w:t>Юмрание</w:t>
      </w:r>
      <w:proofErr w:type="spellEnd"/>
      <w:r>
        <w:t xml:space="preserve"> с оглед реконструкция на терена на сметището.</w:t>
      </w:r>
    </w:p>
    <w:p w:rsidR="00D8632D" w:rsidRDefault="000F3873" w:rsidP="000F3873">
      <w:pPr>
        <w:pStyle w:val="JuPara"/>
      </w:pPr>
      <w:r>
        <w:t xml:space="preserve">На 15 декември 1989 г. обаче </w:t>
      </w:r>
      <w:r w:rsidR="000164A3">
        <w:t>M.C. и A.C</w:t>
      </w:r>
      <w:r>
        <w:t xml:space="preserve">., двама от обитателите на район </w:t>
      </w:r>
      <w:proofErr w:type="spellStart"/>
      <w:r>
        <w:t>Хакъмбашъ</w:t>
      </w:r>
      <w:proofErr w:type="spellEnd"/>
      <w:r>
        <w:t>, заве</w:t>
      </w:r>
      <w:r w:rsidR="000164A3">
        <w:t>ждат</w:t>
      </w:r>
      <w:r>
        <w:t xml:space="preserve"> дела срещу областния съвет в четвърто отделение на </w:t>
      </w:r>
      <w:r w:rsidR="000164A3">
        <w:t xml:space="preserve">районния </w:t>
      </w:r>
      <w:r>
        <w:t xml:space="preserve">съд на </w:t>
      </w:r>
      <w:proofErr w:type="spellStart"/>
      <w:r>
        <w:t>Юскудар</w:t>
      </w:r>
      <w:proofErr w:type="spellEnd"/>
      <w:r>
        <w:t xml:space="preserve"> за придобиване на собственост върху земя. Те се оплак</w:t>
      </w:r>
      <w:r w:rsidR="000164A3">
        <w:t>ват</w:t>
      </w:r>
      <w:r>
        <w:t xml:space="preserve"> от вреди, нанесени на насажденията им и </w:t>
      </w:r>
      <w:r w:rsidR="000164A3">
        <w:t>искат</w:t>
      </w:r>
      <w:r>
        <w:t xml:space="preserve"> спирането на работите. В подкрепа на жалбата си, </w:t>
      </w:r>
      <w:r w:rsidR="00E84DD2">
        <w:t>M.C. и A.C</w:t>
      </w:r>
      <w:r>
        <w:t>. представ</w:t>
      </w:r>
      <w:r w:rsidR="00E84DD2">
        <w:t>ят</w:t>
      </w:r>
      <w:r>
        <w:t xml:space="preserve"> документи, според които са </w:t>
      </w:r>
      <w:r w:rsidR="00E84DD2">
        <w:t xml:space="preserve">дължали </w:t>
      </w:r>
      <w:r>
        <w:t xml:space="preserve">общински данък и данък върху собствеността от 1977 г. под данъчен номер 168900. През 1983 г. властите са изискали от тях да попълнят стандартен формуляр за деклариране на незаконни </w:t>
      </w:r>
      <w:r w:rsidR="0053383E">
        <w:t>постройки</w:t>
      </w:r>
      <w:r>
        <w:t>, така че правото на собственост върху имотите и земята да бъде узаконено (вж</w:t>
      </w:r>
      <w:r w:rsidR="0053383E">
        <w:t>.</w:t>
      </w:r>
      <w:r>
        <w:t xml:space="preserve"> параграф 54 по-долу). На 21 август 1989 г., по тяхна молба, органът по водоснабдяването и канализацията към градския съвет разпорежда да се постави водомер в къщата им. Освен това копия от сметките за електричество показват, че </w:t>
      </w:r>
      <w:r w:rsidR="009126A6">
        <w:t>M.C. и A.C</w:t>
      </w:r>
      <w:r>
        <w:t xml:space="preserve">. в качеството им на потребители са заплащали редовно </w:t>
      </w:r>
      <w:r w:rsidR="009126A6">
        <w:t xml:space="preserve">ползваната </w:t>
      </w:r>
      <w:r>
        <w:t>електрическа енергия въз основа на показанията на електромер, поставен за тази цел.</w:t>
      </w:r>
      <w:r w:rsidR="009126A6">
        <w:t xml:space="preserve"> </w:t>
      </w:r>
    </w:p>
    <w:p w:rsidR="00D8632D" w:rsidRDefault="008E7633" w:rsidP="000F3873">
      <w:pPr>
        <w:pStyle w:val="JuPara"/>
      </w:pPr>
      <w:fldSimple w:instr=" SEQ level0 \*arabic ">
        <w:r w:rsidR="00A94344">
          <w:rPr>
            <w:noProof/>
          </w:rPr>
          <w:t>12</w:t>
        </w:r>
      </w:fldSimple>
      <w:r w:rsidR="000F3873">
        <w:t xml:space="preserve">.  В </w:t>
      </w:r>
      <w:r w:rsidR="009126A6">
        <w:t xml:space="preserve">районния </w:t>
      </w:r>
      <w:r w:rsidR="000F3873">
        <w:t>съд окръжния</w:t>
      </w:r>
      <w:r w:rsidR="009126A6">
        <w:t>т</w:t>
      </w:r>
      <w:r w:rsidR="000F3873">
        <w:t xml:space="preserve"> съвет основа</w:t>
      </w:r>
      <w:r w:rsidR="009126A6">
        <w:t>ва</w:t>
      </w:r>
      <w:r w:rsidR="000F3873">
        <w:t xml:space="preserve"> защитата си на обстоятелството, че земята, за която претендират </w:t>
      </w:r>
      <w:r w:rsidR="009126A6">
        <w:t>M.C. и A.C</w:t>
      </w:r>
      <w:r w:rsidR="000F3873">
        <w:t>.</w:t>
      </w:r>
      <w:r w:rsidR="009126A6">
        <w:t>,</w:t>
      </w:r>
      <w:r w:rsidR="000F3873">
        <w:t xml:space="preserve"> е разположена на място</w:t>
      </w:r>
      <w:r w:rsidR="00411F69">
        <w:t xml:space="preserve"> за</w:t>
      </w:r>
      <w:r w:rsidR="000F3873">
        <w:t xml:space="preserve"> събира</w:t>
      </w:r>
      <w:r w:rsidR="00411F69">
        <w:t>не на</w:t>
      </w:r>
      <w:r w:rsidR="000F3873">
        <w:t xml:space="preserve"> отпадъци; че живеенето там е в противоречие със здравните </w:t>
      </w:r>
      <w:r w:rsidR="00411F69">
        <w:t xml:space="preserve">разпоредби </w:t>
      </w:r>
      <w:r w:rsidR="000F3873">
        <w:t>и че молбата им за узаконяване на правото им на собственост не им дава никакви права.</w:t>
      </w:r>
    </w:p>
    <w:p w:rsidR="000F3873" w:rsidRPr="0059462F" w:rsidRDefault="00411F69" w:rsidP="000F3873">
      <w:pPr>
        <w:pStyle w:val="JuPara"/>
      </w:pPr>
      <w:r>
        <w:t>С</w:t>
      </w:r>
      <w:r w:rsidR="000F3873">
        <w:t xml:space="preserve"> решение от 2 май 1991 г. (дело № 1989/1088) </w:t>
      </w:r>
      <w:r w:rsidR="008431B7">
        <w:t xml:space="preserve">районният </w:t>
      </w:r>
      <w:r w:rsidR="000F3873">
        <w:t xml:space="preserve">съд установява, че е имало намеса в упражняването на правата на </w:t>
      </w:r>
      <w:r w:rsidR="008431B7">
        <w:t>M.C. и A.C</w:t>
      </w:r>
      <w:r w:rsidR="000F3873">
        <w:t>. върху въпросната земя</w:t>
      </w:r>
      <w:r w:rsidR="008431B7">
        <w:t xml:space="preserve"> и отсъжда в тяхна полза</w:t>
      </w:r>
      <w:r w:rsidR="000F3873">
        <w:t>.</w:t>
      </w:r>
    </w:p>
    <w:p w:rsidR="000F3873" w:rsidRDefault="000F3873" w:rsidP="000F3873">
      <w:pPr>
        <w:pStyle w:val="JuPara"/>
      </w:pPr>
      <w:r>
        <w:lastRenderedPageBreak/>
        <w:t>Въпреки това Касационният съд отмен</w:t>
      </w:r>
      <w:r w:rsidR="008431B7">
        <w:t>я</w:t>
      </w:r>
      <w:r>
        <w:t xml:space="preserve"> решението на 2 март 1992 г. На 22 октомври 1992 г. </w:t>
      </w:r>
      <w:r w:rsidR="008431B7">
        <w:t xml:space="preserve">районният </w:t>
      </w:r>
      <w:r>
        <w:t>съд се съобраз</w:t>
      </w:r>
      <w:r w:rsidR="008431B7">
        <w:t>ява</w:t>
      </w:r>
      <w:r>
        <w:t xml:space="preserve"> с решението на Касационния съд и отхвърл</w:t>
      </w:r>
      <w:r w:rsidR="008431B7">
        <w:t>я</w:t>
      </w:r>
      <w:r>
        <w:t xml:space="preserve"> </w:t>
      </w:r>
      <w:r w:rsidR="008431B7">
        <w:t xml:space="preserve">исковете </w:t>
      </w:r>
      <w:r>
        <w:t xml:space="preserve">на </w:t>
      </w:r>
      <w:r w:rsidR="008431B7">
        <w:t>M.C. и A.C</w:t>
      </w:r>
      <w:r>
        <w:t>.</w:t>
      </w:r>
    </w:p>
    <w:p w:rsidR="000F3873" w:rsidRPr="0059462F" w:rsidRDefault="009F66F3" w:rsidP="006725B0">
      <w:pPr>
        <w:pStyle w:val="JuH1"/>
        <w:widowControl w:val="0"/>
      </w:pPr>
      <w:r>
        <w:t>2.  През 1991 г.</w:t>
      </w:r>
    </w:p>
    <w:p w:rsidR="000F3873" w:rsidRPr="0059462F" w:rsidRDefault="008E7633" w:rsidP="000F3873">
      <w:pPr>
        <w:pStyle w:val="JuPara"/>
      </w:pPr>
      <w:fldSimple w:instr=" SEQ level0 \*arabic ">
        <w:r w:rsidR="00A94344">
          <w:rPr>
            <w:noProof/>
          </w:rPr>
          <w:t>13</w:t>
        </w:r>
      </w:fldSimple>
      <w:r w:rsidR="000F3873">
        <w:t xml:space="preserve">.  На 9 април 1991 г. окръжният съвет на </w:t>
      </w:r>
      <w:proofErr w:type="spellStart"/>
      <w:r w:rsidR="000F3873">
        <w:t>Юмрание</w:t>
      </w:r>
      <w:proofErr w:type="spellEnd"/>
      <w:r w:rsidR="000F3873">
        <w:t xml:space="preserve"> отправ</w:t>
      </w:r>
      <w:r w:rsidR="003D5161">
        <w:t>я</w:t>
      </w:r>
      <w:r w:rsidR="000F3873">
        <w:t xml:space="preserve"> </w:t>
      </w:r>
      <w:r w:rsidR="003D5161">
        <w:t xml:space="preserve">искане </w:t>
      </w:r>
      <w:r w:rsidR="000F3873">
        <w:t xml:space="preserve">до </w:t>
      </w:r>
      <w:r w:rsidR="003D5161">
        <w:t>районния съд</w:t>
      </w:r>
      <w:r w:rsidR="000F3873">
        <w:t xml:space="preserve"> на </w:t>
      </w:r>
      <w:proofErr w:type="spellStart"/>
      <w:r w:rsidR="000F3873">
        <w:t>Юскудар</w:t>
      </w:r>
      <w:proofErr w:type="spellEnd"/>
      <w:r w:rsidR="000F3873">
        <w:t xml:space="preserve"> за назначаване на експерти, които да определят дали сметището отговаря на съответните </w:t>
      </w:r>
      <w:r w:rsidR="00BB62A4">
        <w:t>разпоредби</w:t>
      </w:r>
      <w:r w:rsidR="000F3873">
        <w:t>, конкретно за контрол върху твърдите отпадъци от 14 март 1991 г. Окръжният съвет също така отправ</w:t>
      </w:r>
      <w:r w:rsidR="00BB62A4">
        <w:t>я</w:t>
      </w:r>
      <w:r w:rsidR="000F3873">
        <w:t xml:space="preserve"> </w:t>
      </w:r>
      <w:r w:rsidR="00BB62A4">
        <w:t>искане</w:t>
      </w:r>
      <w:r w:rsidR="000F3873">
        <w:t xml:space="preserve"> за оценка на нанесените щети, като доказателство в подкрепа на дел</w:t>
      </w:r>
      <w:r w:rsidR="00BB62A4">
        <w:t>о</w:t>
      </w:r>
      <w:r w:rsidR="000F3873">
        <w:t xml:space="preserve"> </w:t>
      </w:r>
      <w:r w:rsidR="00BB62A4">
        <w:t>за обезщетение</w:t>
      </w:r>
      <w:r w:rsidR="000F3873">
        <w:t>, ко</w:t>
      </w:r>
      <w:r w:rsidR="00BB62A4">
        <w:t>е</w:t>
      </w:r>
      <w:r w:rsidR="000F3873">
        <w:t>то смята да заведе срещу градския съвет и съветите на три други окръга, използва</w:t>
      </w:r>
      <w:r w:rsidR="00BB62A4">
        <w:t>щ</w:t>
      </w:r>
      <w:r w:rsidR="000F3873">
        <w:t>и сметището.</w:t>
      </w:r>
    </w:p>
    <w:p w:rsidR="000F3873" w:rsidRPr="0059462F" w:rsidRDefault="000F3873" w:rsidP="000F3873">
      <w:pPr>
        <w:pStyle w:val="JuPara"/>
      </w:pPr>
      <w:r>
        <w:t>Молбата за експер</w:t>
      </w:r>
      <w:r w:rsidR="00BB62A4">
        <w:t>тиза</w:t>
      </w:r>
      <w:r>
        <w:t xml:space="preserve"> е заведена като дело № 1991/76 и на 24 април 1991 г. за целта е създадена експертна комисия, съставена от професор по </w:t>
      </w:r>
      <w:r w:rsidR="00CA3C50">
        <w:t>инженерна екология</w:t>
      </w:r>
      <w:r>
        <w:t xml:space="preserve">, </w:t>
      </w:r>
      <w:r w:rsidR="00CA3C50">
        <w:t>служител</w:t>
      </w:r>
      <w:r>
        <w:t xml:space="preserve"> на поземления регистър и съдебен лекар.</w:t>
      </w:r>
    </w:p>
    <w:p w:rsidR="000F3873" w:rsidRPr="0059462F" w:rsidRDefault="000F3873" w:rsidP="000F3873">
      <w:pPr>
        <w:pStyle w:val="JuPara"/>
      </w:pPr>
      <w:r>
        <w:t xml:space="preserve">Съгласно </w:t>
      </w:r>
      <w:r w:rsidR="00890F3F">
        <w:t xml:space="preserve">доклада от </w:t>
      </w:r>
      <w:r>
        <w:t>експерт</w:t>
      </w:r>
      <w:r w:rsidR="00890F3F">
        <w:t>изата</w:t>
      </w:r>
      <w:r>
        <w:t>, изготвен на 7 май 1991 г., въпросното сметище не отговаря на определените технически изисквания в разпоредби 24</w:t>
      </w:r>
      <w:r w:rsidR="00890F3F">
        <w:t>-</w:t>
      </w:r>
      <w:r>
        <w:t xml:space="preserve">27, 30 и 38 </w:t>
      </w:r>
      <w:r w:rsidR="009917D3">
        <w:t>от</w:t>
      </w:r>
      <w:r>
        <w:t xml:space="preserve"> </w:t>
      </w:r>
      <w:r w:rsidR="00EB469D">
        <w:t xml:space="preserve">Наредбата </w:t>
      </w:r>
      <w:r>
        <w:t>от 14 март 1991 г. и съответно представ</w:t>
      </w:r>
      <w:r w:rsidR="00B1474C">
        <w:t>я</w:t>
      </w:r>
      <w:r>
        <w:t xml:space="preserve"> редица опасности, които могат да причинят съществен риск за здравето за жителите на долината и по-конкретно живеещи</w:t>
      </w:r>
      <w:r w:rsidR="00B1474C">
        <w:t>те</w:t>
      </w:r>
      <w:r>
        <w:t xml:space="preserve"> в </w:t>
      </w:r>
      <w:r w:rsidR="00B1474C">
        <w:t xml:space="preserve">бедните </w:t>
      </w:r>
      <w:r>
        <w:t xml:space="preserve">квартали: не са налични стени или огради, които да отделят сметището от жилищните постройки на петдесет метра от купчините отпадъци, сметището не е оборудвано със системи за събиране, </w:t>
      </w:r>
      <w:proofErr w:type="spellStart"/>
      <w:r>
        <w:t>компостиране</w:t>
      </w:r>
      <w:proofErr w:type="spellEnd"/>
      <w:r>
        <w:t xml:space="preserve">, рециклиране или изгаряне, както и няма изградени канализация или канализационни водопречиствателни системи. Заключението на експертите е, че сметището на </w:t>
      </w:r>
      <w:proofErr w:type="spellStart"/>
      <w:r>
        <w:t>Юмрание</w:t>
      </w:r>
      <w:proofErr w:type="spellEnd"/>
      <w:r>
        <w:t xml:space="preserve"> „излага на </w:t>
      </w:r>
      <w:r w:rsidR="007D5EBD">
        <w:t>всевъзможни опасности</w:t>
      </w:r>
      <w:r>
        <w:t xml:space="preserve"> хората, животните и околната среда“. В тази връзка докладът обръща на първо място внимание върху обстоятелството, че има вероятност от разпространението на около двадесет заразни заболявания, като изтъква следното:</w:t>
      </w:r>
    </w:p>
    <w:p w:rsidR="000F3873" w:rsidRPr="0059462F" w:rsidRDefault="000F3873" w:rsidP="000F3873">
      <w:pPr>
        <w:pStyle w:val="JuQuot"/>
      </w:pPr>
      <w:r>
        <w:t xml:space="preserve">„... На всяко място за събиране на отпадъци се образуват газове като метан, въглероден двуокис и сероводород. Тези вещества </w:t>
      </w:r>
      <w:r w:rsidR="00962033">
        <w:t xml:space="preserve">трябва </w:t>
      </w:r>
      <w:r>
        <w:t xml:space="preserve">да се събират и ... изгарят контролирано. Въпреки това обаче въпросното сметище не е оборудвано с подобна система. </w:t>
      </w:r>
      <w:r w:rsidR="00962033">
        <w:t>Ако м</w:t>
      </w:r>
      <w:r>
        <w:t>етанът се смес</w:t>
      </w:r>
      <w:r w:rsidR="00962033">
        <w:t>и</w:t>
      </w:r>
      <w:r>
        <w:t xml:space="preserve"> с въздуха в конкретно съотношение</w:t>
      </w:r>
      <w:r w:rsidR="00962033">
        <w:t>,</w:t>
      </w:r>
      <w:r>
        <w:t xml:space="preserve"> може да се взриви. Инсталацията в момента </w:t>
      </w:r>
      <w:r w:rsidR="00962033">
        <w:t>не разполага с</w:t>
      </w:r>
      <w:r w:rsidR="00F06CB5">
        <w:t>ъс средства з</w:t>
      </w:r>
      <w:r>
        <w:t>а предотврат</w:t>
      </w:r>
      <w:r w:rsidR="00F06CB5">
        <w:t>яване на метанов</w:t>
      </w:r>
      <w:r>
        <w:t xml:space="preserve"> взрив</w:t>
      </w:r>
      <w:r w:rsidR="00F06CB5">
        <w:t xml:space="preserve"> </w:t>
      </w:r>
      <w:r>
        <w:t>в резултат на разлагането [на отпадъците]. Бог ни пази, тъй като щетите биха могли да са особено големи предвид съседните жилищни постройки. ...“</w:t>
      </w:r>
    </w:p>
    <w:p w:rsidR="000F3873" w:rsidRPr="0059462F" w:rsidRDefault="000F3873" w:rsidP="000F3873">
      <w:pPr>
        <w:pStyle w:val="JuPara"/>
      </w:pPr>
      <w:r>
        <w:t>На 27 май 1991</w:t>
      </w:r>
      <w:r w:rsidR="00F06CB5">
        <w:t xml:space="preserve"> г.</w:t>
      </w:r>
      <w:r>
        <w:t xml:space="preserve"> докладът е доведен до </w:t>
      </w:r>
      <w:r w:rsidR="00421F37">
        <w:t xml:space="preserve">знанието </w:t>
      </w:r>
      <w:r>
        <w:t xml:space="preserve">на </w:t>
      </w:r>
      <w:r w:rsidR="00053993">
        <w:t xml:space="preserve">въпросните </w:t>
      </w:r>
      <w:r>
        <w:t xml:space="preserve">четири съвета, а на 7 юни </w:t>
      </w:r>
      <w:r w:rsidR="00053993">
        <w:t xml:space="preserve">областният управител </w:t>
      </w:r>
      <w:r>
        <w:t xml:space="preserve">е запознат с него и помолен да информира накратко Министерството на здравеопазването </w:t>
      </w:r>
      <w:r>
        <w:lastRenderedPageBreak/>
        <w:t xml:space="preserve">и службата по околна среда </w:t>
      </w:r>
      <w:r w:rsidR="0097774D">
        <w:t xml:space="preserve">към </w:t>
      </w:r>
      <w:r>
        <w:t>министър</w:t>
      </w:r>
      <w:r w:rsidR="0097774D">
        <w:t>-</w:t>
      </w:r>
      <w:r>
        <w:t>председателя („службата по околна среда“).</w:t>
      </w:r>
    </w:p>
    <w:p w:rsidR="000F3873" w:rsidRPr="0059462F" w:rsidRDefault="008E7633" w:rsidP="000F3873">
      <w:pPr>
        <w:pStyle w:val="JuPara"/>
      </w:pPr>
      <w:fldSimple w:instr=" SEQ level0 \*arabic ">
        <w:r w:rsidR="00A94344">
          <w:rPr>
            <w:noProof/>
          </w:rPr>
          <w:t>14</w:t>
        </w:r>
      </w:fldSimple>
      <w:r w:rsidR="000F3873">
        <w:t xml:space="preserve">.  Окръжните съвети на </w:t>
      </w:r>
      <w:proofErr w:type="spellStart"/>
      <w:r w:rsidR="000F3873">
        <w:t>Кадъкьой</w:t>
      </w:r>
      <w:proofErr w:type="spellEnd"/>
      <w:r w:rsidR="000F3873">
        <w:t xml:space="preserve"> и </w:t>
      </w:r>
      <w:proofErr w:type="spellStart"/>
      <w:r w:rsidR="000F3873">
        <w:t>Юскудар</w:t>
      </w:r>
      <w:proofErr w:type="spellEnd"/>
      <w:r w:rsidR="000F3873">
        <w:t>, както и градският съвет, отправ</w:t>
      </w:r>
      <w:r w:rsidR="0097774D">
        <w:t>ят</w:t>
      </w:r>
      <w:r w:rsidR="000F3873">
        <w:t xml:space="preserve"> иск</w:t>
      </w:r>
      <w:r w:rsidR="0097774D">
        <w:t>ания</w:t>
      </w:r>
      <w:r w:rsidR="000F3873">
        <w:t xml:space="preserve"> съответно на 3, 5 и 9 юни 1991 г. </w:t>
      </w:r>
      <w:r w:rsidR="0097774D">
        <w:t xml:space="preserve">докладът от </w:t>
      </w:r>
      <w:r w:rsidR="000F3873">
        <w:t>експерт</w:t>
      </w:r>
      <w:r w:rsidR="0097774D">
        <w:t>изата</w:t>
      </w:r>
      <w:r w:rsidR="000F3873">
        <w:t xml:space="preserve"> да бъде отхвърлен. В молбите си адвокатите на съветите </w:t>
      </w:r>
      <w:r w:rsidR="0079747B">
        <w:t xml:space="preserve">просто </w:t>
      </w:r>
      <w:r w:rsidR="000F3873">
        <w:t>посоч</w:t>
      </w:r>
      <w:r w:rsidR="0097774D">
        <w:t>ват</w:t>
      </w:r>
      <w:r w:rsidR="000F3873">
        <w:t>, че докладът, който е бил поръчан и изготвен без тяхното знание, противоречи на Гражданск</w:t>
      </w:r>
      <w:r w:rsidR="0079747B">
        <w:t>ия</w:t>
      </w:r>
      <w:r w:rsidR="000F3873">
        <w:t xml:space="preserve"> процесуалния кодекс. Тримата адвокати си запаз</w:t>
      </w:r>
      <w:r w:rsidR="0079747B">
        <w:t>ват</w:t>
      </w:r>
      <w:r w:rsidR="000F3873">
        <w:t xml:space="preserve"> правото да подадат допълнителни писмени </w:t>
      </w:r>
      <w:r w:rsidR="0079747B">
        <w:t xml:space="preserve">изложения </w:t>
      </w:r>
      <w:r w:rsidR="000F3873">
        <w:t>в подкрепа на възраженията си, след като са получили цялата необходима информация и документи от органите, които представляват.</w:t>
      </w:r>
      <w:r w:rsidR="0079747B">
        <w:t xml:space="preserve"> </w:t>
      </w:r>
    </w:p>
    <w:p w:rsidR="000F3873" w:rsidRPr="0059462F" w:rsidRDefault="000F3873" w:rsidP="000F3873">
      <w:pPr>
        <w:pStyle w:val="JuPara"/>
      </w:pPr>
      <w:r>
        <w:t>Тъй като никоя от страните не пода</w:t>
      </w:r>
      <w:r w:rsidR="004D3DA0">
        <w:t>ва</w:t>
      </w:r>
      <w:r>
        <w:t xml:space="preserve"> допълнителни писмени </w:t>
      </w:r>
      <w:r w:rsidR="004D3DA0">
        <w:t xml:space="preserve">изложения </w:t>
      </w:r>
      <w:r>
        <w:t xml:space="preserve">за целта, производствата </w:t>
      </w:r>
      <w:r w:rsidR="004D3DA0">
        <w:t xml:space="preserve">са </w:t>
      </w:r>
      <w:r>
        <w:t>прекратени.</w:t>
      </w:r>
    </w:p>
    <w:p w:rsidR="000F3873" w:rsidRPr="0059462F" w:rsidRDefault="008E7633" w:rsidP="000F3873">
      <w:pPr>
        <w:pStyle w:val="JuPara"/>
      </w:pPr>
      <w:fldSimple w:instr=" SEQ level0 \*arabic ">
        <w:r w:rsidR="00A94344">
          <w:rPr>
            <w:noProof/>
          </w:rPr>
          <w:t>15</w:t>
        </w:r>
      </w:fldSimple>
      <w:r w:rsidR="000F3873">
        <w:t>.  Въпреки това службата по околна среда, която е запозната с доклада на 18 юни 1991 г., изготв</w:t>
      </w:r>
      <w:r w:rsidR="004D3DA0">
        <w:t>я</w:t>
      </w:r>
      <w:r w:rsidR="000F3873">
        <w:t xml:space="preserve"> препоръка (№ 09513), с която призовава </w:t>
      </w:r>
      <w:r w:rsidR="004D3DA0">
        <w:t>областната управа</w:t>
      </w:r>
      <w:r w:rsidR="000F3873">
        <w:t xml:space="preserve"> на Истанбул, градския съвет и окръжния съвет на </w:t>
      </w:r>
      <w:proofErr w:type="spellStart"/>
      <w:r w:rsidR="000F3873">
        <w:t>Юмрание</w:t>
      </w:r>
      <w:proofErr w:type="spellEnd"/>
      <w:r w:rsidR="000F3873">
        <w:t xml:space="preserve"> да решат проблемите по настоящото дело:</w:t>
      </w:r>
    </w:p>
    <w:p w:rsidR="000F3873" w:rsidRPr="0059462F" w:rsidRDefault="000F3873" w:rsidP="000F3873">
      <w:pPr>
        <w:pStyle w:val="JuQuot"/>
      </w:pPr>
      <w:r>
        <w:t xml:space="preserve">„... Докладът, изготвен от експертната комисия посочва, че въпросната площадка за събиране на отпадъци е в нарушение на закона за околната среда и </w:t>
      </w:r>
      <w:r w:rsidR="00EB469D">
        <w:t xml:space="preserve">нормативните </w:t>
      </w:r>
      <w:r w:rsidR="006923E4">
        <w:t>актове</w:t>
      </w:r>
      <w:r>
        <w:t xml:space="preserve"> за контрол върху твърдите отпадъци и следователно представлява опасност за здравето на хората и животните. На площадката на сметището трябва да се изпълнят мерките, заложени в разпоредби 24, 25, 26, 27, 30 и 38 от </w:t>
      </w:r>
      <w:r w:rsidR="00EB469D">
        <w:t>Наредбата</w:t>
      </w:r>
      <w:r>
        <w:t xml:space="preserve"> за контрол върху твърдите отпадъци ... Въз основа на горното, моля за предприемане на необходимите мерки ... както и службата ни да бъде уведомена за резултата.“</w:t>
      </w:r>
    </w:p>
    <w:p w:rsidR="000F3873" w:rsidRPr="0059462F" w:rsidRDefault="008E7633" w:rsidP="000F3873">
      <w:pPr>
        <w:pStyle w:val="JuPara"/>
      </w:pPr>
      <w:fldSimple w:instr=" SEQ level0 \*arabic ">
        <w:r w:rsidR="00A94344">
          <w:rPr>
            <w:noProof/>
          </w:rPr>
          <w:t>16</w:t>
        </w:r>
      </w:fldSimple>
      <w:r w:rsidR="000F3873">
        <w:t xml:space="preserve">.  На 27 август 1992 г. </w:t>
      </w:r>
      <w:proofErr w:type="spellStart"/>
      <w:r w:rsidR="0041770D" w:rsidRPr="0059462F">
        <w:t>Şinasi</w:t>
      </w:r>
      <w:proofErr w:type="spellEnd"/>
      <w:r w:rsidR="0041770D" w:rsidRPr="0059462F">
        <w:t xml:space="preserve"> </w:t>
      </w:r>
      <w:proofErr w:type="spellStart"/>
      <w:r w:rsidR="0041770D" w:rsidRPr="0059462F">
        <w:t>Öktem</w:t>
      </w:r>
      <w:proofErr w:type="spellEnd"/>
      <w:r w:rsidR="000F3873">
        <w:t xml:space="preserve">, кмет на </w:t>
      </w:r>
      <w:proofErr w:type="spellStart"/>
      <w:r w:rsidR="000F3873">
        <w:t>Юмрание</w:t>
      </w:r>
      <w:proofErr w:type="spellEnd"/>
      <w:r w:rsidR="000F3873">
        <w:t>, пода</w:t>
      </w:r>
      <w:r w:rsidR="0041770D">
        <w:t>ва</w:t>
      </w:r>
      <w:r w:rsidR="000F3873">
        <w:t xml:space="preserve"> иск до първо отделение на </w:t>
      </w:r>
      <w:r w:rsidR="0041770D">
        <w:t xml:space="preserve">районния </w:t>
      </w:r>
      <w:r w:rsidR="000F3873">
        <w:t xml:space="preserve">съд на </w:t>
      </w:r>
      <w:proofErr w:type="spellStart"/>
      <w:r w:rsidR="000F3873">
        <w:t>Юскудар</w:t>
      </w:r>
      <w:proofErr w:type="spellEnd"/>
      <w:r w:rsidR="000F3873">
        <w:t xml:space="preserve"> за прилагането на временни мерки за забрана на използването на сметището от страна на съседните окръжни съвети. Конкретно той изиск</w:t>
      </w:r>
      <w:r w:rsidR="0016081E">
        <w:t>в</w:t>
      </w:r>
      <w:r w:rsidR="000F3873">
        <w:t>а да не се изхвърлят повече отпадъци, сметището да се затвори и да се изплатят обезщетения за вредите, които окръгът му е претърпял.</w:t>
      </w:r>
    </w:p>
    <w:p w:rsidR="000F3873" w:rsidRPr="0059462F" w:rsidRDefault="000F3873" w:rsidP="000F3873">
      <w:pPr>
        <w:pStyle w:val="JuPara"/>
      </w:pPr>
      <w:r>
        <w:t>На 3 ноември 1992 г. градският съвет на Истанбул оспор</w:t>
      </w:r>
      <w:r w:rsidR="0016081E">
        <w:t>ва</w:t>
      </w:r>
      <w:r>
        <w:t xml:space="preserve"> иска. Като изтък</w:t>
      </w:r>
      <w:r w:rsidR="0016081E">
        <w:t>в</w:t>
      </w:r>
      <w:r>
        <w:t>а усилията на съвета за поддръжка на пътищата, водещи до сметището и борбата с разпространението на болести, бездомни кучета и отделянето на миризма, представителят конкретно заяв</w:t>
      </w:r>
      <w:r w:rsidR="0016081E">
        <w:t>ява</w:t>
      </w:r>
      <w:r>
        <w:t>, че е обявена поръчка за изпълнението на план за реконструкция на площадката на сметището. Във връзка с иска за временно затваряне на сметището, представителят заяв</w:t>
      </w:r>
      <w:r w:rsidR="002200DF">
        <w:t>ява</w:t>
      </w:r>
      <w:r>
        <w:t xml:space="preserve">, че окръжният съвет на </w:t>
      </w:r>
      <w:proofErr w:type="spellStart"/>
      <w:r>
        <w:t>Юмрание</w:t>
      </w:r>
      <w:proofErr w:type="spellEnd"/>
      <w:r>
        <w:t xml:space="preserve"> е действал недобросъвестно, тъй като от създаването си през 1987 г. не е предприел никакви действия за обезопасяването на площадката.</w:t>
      </w:r>
    </w:p>
    <w:p w:rsidR="000F3873" w:rsidRPr="0059462F" w:rsidRDefault="00B97215" w:rsidP="000F3873">
      <w:pPr>
        <w:pStyle w:val="JuPara"/>
      </w:pPr>
      <w:r>
        <w:t xml:space="preserve">Градският съвет на Истанбул наистина е обявил покана за представяне на предложения за разработването на нови площадки, които да отговарят на съвременните стандарти. Първият планиран договор е сключен с американската фирма CVH2M Хил Интернешънъл </w:t>
      </w:r>
      <w:proofErr w:type="spellStart"/>
      <w:r>
        <w:lastRenderedPageBreak/>
        <w:t>Лтд</w:t>
      </w:r>
      <w:proofErr w:type="spellEnd"/>
      <w:r>
        <w:t>, а на 21 декември 1992 г. и на 17 февруари 1993 г. са проектирани нови площадки за европейската и анадолската част на Истанбул. Проектът трябва да бъде завършен през 1993 г.</w:t>
      </w:r>
    </w:p>
    <w:p w:rsidR="00D8632D" w:rsidRDefault="008E7633" w:rsidP="000F3873">
      <w:pPr>
        <w:pStyle w:val="JuPara"/>
      </w:pPr>
      <w:fldSimple w:instr=" SEQ level0 \*arabic ">
        <w:r w:rsidR="00A94344">
          <w:rPr>
            <w:noProof/>
          </w:rPr>
          <w:t>17</w:t>
        </w:r>
      </w:fldSimple>
      <w:r w:rsidR="000F3873">
        <w:t>.  Докато все още не</w:t>
      </w:r>
      <w:r w:rsidR="002200DF">
        <w:t xml:space="preserve"> </w:t>
      </w:r>
      <w:r w:rsidR="000F3873">
        <w:t xml:space="preserve">е даден ход на производството, окръжният съвет на </w:t>
      </w:r>
      <w:proofErr w:type="spellStart"/>
      <w:r w:rsidR="000F3873">
        <w:t>Юмрание</w:t>
      </w:r>
      <w:proofErr w:type="spellEnd"/>
      <w:r w:rsidR="000F3873">
        <w:t xml:space="preserve"> уведом</w:t>
      </w:r>
      <w:r w:rsidR="002200DF">
        <w:t>ява</w:t>
      </w:r>
      <w:r w:rsidR="000F3873">
        <w:t xml:space="preserve"> кмета на Истанбул, че от 15 май 1993 г. повече няма да се разрешава изхвърлянето на отпадъци.</w:t>
      </w:r>
    </w:p>
    <w:p w:rsidR="000F3873" w:rsidRPr="000F3873" w:rsidRDefault="000F3873" w:rsidP="006725B0">
      <w:pPr>
        <w:pStyle w:val="JuHA0"/>
        <w:widowControl w:val="0"/>
      </w:pPr>
      <w:r>
        <w:t>В.</w:t>
      </w:r>
      <w:r>
        <w:tab/>
        <w:t>Инцидентът</w:t>
      </w:r>
    </w:p>
    <w:p w:rsidR="000F3873" w:rsidRPr="0059462F" w:rsidRDefault="008E7633" w:rsidP="000F3873">
      <w:pPr>
        <w:pStyle w:val="JuPara"/>
      </w:pPr>
      <w:fldSimple w:instr=" SEQ level0 \*arabic ">
        <w:r w:rsidR="00A94344">
          <w:rPr>
            <w:noProof/>
          </w:rPr>
          <w:t>18</w:t>
        </w:r>
      </w:fldSimple>
      <w:r w:rsidR="000F3873">
        <w:t>.  На 28 април 1993 г. около 11 ч. сутринта на площадката избухва взрив. В резултат на свлачище, образувало се от нарастващото налягане, отпадъците експлодират, като взривът обхваща около десет жилищни постройки, разположени под площадката, една от които е тази на жалбоподателя. В инцидента загиват тридесет и девет души.</w:t>
      </w:r>
    </w:p>
    <w:p w:rsidR="000F3873" w:rsidRPr="000F3873" w:rsidRDefault="000F3873" w:rsidP="006725B0">
      <w:pPr>
        <w:pStyle w:val="JuHA0"/>
        <w:widowControl w:val="0"/>
      </w:pPr>
      <w:r>
        <w:t>Г.</w:t>
      </w:r>
      <w:r>
        <w:tab/>
        <w:t>Производство, образувано по случая</w:t>
      </w:r>
    </w:p>
    <w:p w:rsidR="000F3873" w:rsidRPr="0059462F" w:rsidRDefault="000F3873" w:rsidP="006725B0">
      <w:pPr>
        <w:pStyle w:val="JuH1"/>
        <w:widowControl w:val="0"/>
      </w:pPr>
      <w:r>
        <w:t>1.  Инициативата на Министерството на вътрешните работи</w:t>
      </w:r>
    </w:p>
    <w:p w:rsidR="000F3873" w:rsidRPr="0059462F" w:rsidRDefault="008E7633" w:rsidP="000F3873">
      <w:pPr>
        <w:pStyle w:val="JuPara"/>
      </w:pPr>
      <w:fldSimple w:instr=" SEQ level0 \*arabic ">
        <w:r w:rsidR="00A94344">
          <w:rPr>
            <w:noProof/>
          </w:rPr>
          <w:t>19</w:t>
        </w:r>
      </w:fldSimple>
      <w:r w:rsidR="000F3873">
        <w:t>.  Веднага след инцидента двама представители на общинска</w:t>
      </w:r>
      <w:r w:rsidR="00212D4F">
        <w:t>та</w:t>
      </w:r>
      <w:r w:rsidR="000F3873">
        <w:t xml:space="preserve"> полиция се зае</w:t>
      </w:r>
      <w:r w:rsidR="00212D4F">
        <w:t>мат</w:t>
      </w:r>
      <w:r w:rsidR="000F3873">
        <w:t xml:space="preserve"> с установяването на фактите. След снемане на показанията на пострадалите, включително </w:t>
      </w:r>
      <w:r w:rsidR="00212D4F">
        <w:t xml:space="preserve">на </w:t>
      </w:r>
      <w:r w:rsidR="000F3873">
        <w:t>жалбоподателя, който обясн</w:t>
      </w:r>
      <w:r w:rsidR="00212D4F">
        <w:t>ява</w:t>
      </w:r>
      <w:r w:rsidR="000F3873">
        <w:t>, че е построил къщата си през 1988 г., длъжностните лица докладва</w:t>
      </w:r>
      <w:r w:rsidR="0040177E">
        <w:t>т</w:t>
      </w:r>
      <w:r w:rsidR="000F3873">
        <w:t xml:space="preserve"> за унищожаването на тринадесет временни постройки.</w:t>
      </w:r>
    </w:p>
    <w:p w:rsidR="000F3873" w:rsidRPr="0059462F" w:rsidRDefault="000F3873" w:rsidP="000F3873">
      <w:pPr>
        <w:pStyle w:val="JuPara"/>
      </w:pPr>
      <w:r>
        <w:t xml:space="preserve">На същия ден площадката беше посетена от членове на кризисния екип, създаден от </w:t>
      </w:r>
      <w:r w:rsidR="0040177E">
        <w:t>областната управа</w:t>
      </w:r>
      <w:r>
        <w:t xml:space="preserve"> на Истанбул, които установ</w:t>
      </w:r>
      <w:r w:rsidR="0040177E">
        <w:t>яват</w:t>
      </w:r>
      <w:r>
        <w:t>, че свлачището наистина е предизвикано от взрив на метан.</w:t>
      </w:r>
    </w:p>
    <w:p w:rsidR="00D8632D" w:rsidRDefault="008E7633" w:rsidP="000F3873">
      <w:pPr>
        <w:pStyle w:val="JuPara"/>
      </w:pPr>
      <w:fldSimple w:instr=" SEQ level0 \*arabic ">
        <w:r w:rsidR="00A94344">
          <w:rPr>
            <w:noProof/>
          </w:rPr>
          <w:t>20</w:t>
        </w:r>
      </w:fldSimple>
      <w:r w:rsidR="000F3873">
        <w:t>.  На следващия ден, 29 април 1993 г.</w:t>
      </w:r>
      <w:r w:rsidR="0040177E">
        <w:t>,</w:t>
      </w:r>
      <w:r w:rsidR="000F3873">
        <w:t xml:space="preserve"> Министерството на вътрешните работи („Министерството“) наре</w:t>
      </w:r>
      <w:r w:rsidR="0040177E">
        <w:t>жда</w:t>
      </w:r>
      <w:r w:rsidR="000F3873">
        <w:t xml:space="preserve"> на административно</w:t>
      </w:r>
      <w:r w:rsidR="0040177E">
        <w:t>-</w:t>
      </w:r>
      <w:r w:rsidR="000F3873">
        <w:t xml:space="preserve">следствения отдел („следствения отдел“) да проучи обстоятелствата, при които се е случило нещастието с оглед определянето на възможността за образуване на производство срещу двамата кметове, г-н </w:t>
      </w:r>
      <w:proofErr w:type="spellStart"/>
      <w:r w:rsidR="0040177E" w:rsidRPr="0059462F">
        <w:t>Sözen</w:t>
      </w:r>
      <w:proofErr w:type="spellEnd"/>
      <w:r w:rsidR="000F3873">
        <w:t xml:space="preserve"> и г-н </w:t>
      </w:r>
      <w:proofErr w:type="spellStart"/>
      <w:r w:rsidR="0040177E" w:rsidRPr="0059462F">
        <w:t>Öktem</w:t>
      </w:r>
      <w:proofErr w:type="spellEnd"/>
      <w:r w:rsidR="000F3873">
        <w:t>.</w:t>
      </w:r>
    </w:p>
    <w:p w:rsidR="000F3873" w:rsidRPr="0059462F" w:rsidRDefault="000F3873" w:rsidP="006725B0">
      <w:pPr>
        <w:pStyle w:val="JuH1"/>
        <w:widowControl w:val="0"/>
      </w:pPr>
      <w:r>
        <w:t>2.  Наказателно</w:t>
      </w:r>
      <w:r w:rsidR="0040177E">
        <w:t>то</w:t>
      </w:r>
      <w:r>
        <w:t xml:space="preserve"> разследване</w:t>
      </w:r>
    </w:p>
    <w:p w:rsidR="00D8632D" w:rsidRDefault="008E7633" w:rsidP="000F3873">
      <w:pPr>
        <w:pStyle w:val="JuPara"/>
      </w:pPr>
      <w:fldSimple w:instr=" SEQ level0 \*arabic ">
        <w:r w:rsidR="00A94344">
          <w:rPr>
            <w:noProof/>
          </w:rPr>
          <w:t>21</w:t>
        </w:r>
      </w:fldSimple>
      <w:r w:rsidR="000F3873">
        <w:t xml:space="preserve">.  Докато </w:t>
      </w:r>
      <w:r w:rsidR="00E3159B">
        <w:t xml:space="preserve">текат </w:t>
      </w:r>
      <w:r w:rsidR="000F3873">
        <w:t xml:space="preserve">административните производства, на 30 април 1993 г. прокурорът на </w:t>
      </w:r>
      <w:proofErr w:type="spellStart"/>
      <w:r w:rsidR="000F3873">
        <w:t>Юскудар</w:t>
      </w:r>
      <w:proofErr w:type="spellEnd"/>
      <w:r w:rsidR="000F3873">
        <w:t xml:space="preserve"> („прокурорът“) посе</w:t>
      </w:r>
      <w:r w:rsidR="003576A6">
        <w:t>щава</w:t>
      </w:r>
      <w:r w:rsidR="000F3873">
        <w:t xml:space="preserve"> мястото на инцидента, придружен от експертна комисия, съставена от трима преподаватели по </w:t>
      </w:r>
      <w:r w:rsidR="003576A6">
        <w:t>строително</w:t>
      </w:r>
      <w:r w:rsidR="000F3873">
        <w:t xml:space="preserve"> инженер</w:t>
      </w:r>
      <w:r w:rsidR="003576A6">
        <w:t>ство</w:t>
      </w:r>
      <w:r w:rsidR="000F3873">
        <w:t xml:space="preserve"> от три различни университета. Предвид предварителните му наблюдения, той възл</w:t>
      </w:r>
      <w:r w:rsidR="003576A6">
        <w:t>ага</w:t>
      </w:r>
      <w:r w:rsidR="000F3873">
        <w:t xml:space="preserve"> на комисията да определи как отговорността за инцидента да бъде разпределена между гражданските власти и пострадалите.</w:t>
      </w:r>
    </w:p>
    <w:p w:rsidR="000F3873" w:rsidRPr="0059462F" w:rsidRDefault="008E7633" w:rsidP="000F3873">
      <w:pPr>
        <w:pStyle w:val="JuPara"/>
      </w:pPr>
      <w:fldSimple w:instr=" SEQ level0 \*arabic ">
        <w:r w:rsidR="00A94344">
          <w:rPr>
            <w:noProof/>
          </w:rPr>
          <w:t>22</w:t>
        </w:r>
      </w:fldSimple>
      <w:r w:rsidR="000F3873">
        <w:t>.  На 6 май 1993 г. жалбоподателят пода</w:t>
      </w:r>
      <w:r w:rsidR="003576A6">
        <w:t>ва</w:t>
      </w:r>
      <w:r w:rsidR="000F3873">
        <w:t xml:space="preserve"> </w:t>
      </w:r>
      <w:r w:rsidR="003576A6">
        <w:t>жалба</w:t>
      </w:r>
      <w:r w:rsidR="000F3873">
        <w:t xml:space="preserve"> в местното полицейско управление. Той заяв</w:t>
      </w:r>
      <w:r w:rsidR="003576A6">
        <w:t>ява</w:t>
      </w:r>
      <w:r w:rsidR="000F3873">
        <w:t xml:space="preserve">: „Ако властите, в резултат на </w:t>
      </w:r>
      <w:r w:rsidR="000F3873">
        <w:lastRenderedPageBreak/>
        <w:t>проявена небрежност, носят отговорност за разрушаването на къщата ми и смъртта на партньорите и децата ми, с настоящото подавам наказателен иск срещу съответния орган или органи.“ Искът на жалбоподателя е добавен към следствената преписка (№ 1993/6102), ко</w:t>
      </w:r>
      <w:r w:rsidR="002C0C43">
        <w:t>я</w:t>
      </w:r>
      <w:r w:rsidR="000F3873">
        <w:t xml:space="preserve">то вече </w:t>
      </w:r>
      <w:r w:rsidR="002C0C43">
        <w:t xml:space="preserve">е </w:t>
      </w:r>
      <w:r w:rsidR="000F3873">
        <w:t>открита от прокурора по негов</w:t>
      </w:r>
      <w:r w:rsidR="002C0C43">
        <w:t>о</w:t>
      </w:r>
      <w:r w:rsidR="000F3873">
        <w:t xml:space="preserve"> </w:t>
      </w:r>
      <w:r w:rsidR="002C0C43">
        <w:t>искане</w:t>
      </w:r>
      <w:r w:rsidR="000F3873">
        <w:t>.</w:t>
      </w:r>
    </w:p>
    <w:p w:rsidR="000F3873" w:rsidRPr="0059462F" w:rsidRDefault="008E7633" w:rsidP="000F3873">
      <w:pPr>
        <w:pStyle w:val="JuPara"/>
      </w:pPr>
      <w:fldSimple w:instr=" SEQ level0 \*arabic ">
        <w:r w:rsidR="00A94344">
          <w:rPr>
            <w:noProof/>
          </w:rPr>
          <w:t>23</w:t>
        </w:r>
      </w:fldSimple>
      <w:r w:rsidR="000F3873">
        <w:t>.  На 14 май 1993 г. прокурорът изслуш</w:t>
      </w:r>
      <w:r w:rsidR="002C0C43">
        <w:t>в</w:t>
      </w:r>
      <w:r w:rsidR="000F3873">
        <w:t xml:space="preserve">а показанията на редица свидетели и пострадали </w:t>
      </w:r>
      <w:r w:rsidR="002C0C43">
        <w:t xml:space="preserve">при </w:t>
      </w:r>
      <w:r w:rsidR="000F3873">
        <w:t>инцидента. На 18 май 1993 г. експертната комисия преда</w:t>
      </w:r>
      <w:r w:rsidR="002C0C43">
        <w:t>ва</w:t>
      </w:r>
      <w:r w:rsidR="000F3873">
        <w:t xml:space="preserve"> доклада, възложен от прокурора. В доклада комисията отбелязва на първо място, че няма устройствен план в мащаб от 1:5</w:t>
      </w:r>
      <w:r w:rsidR="002C0C43">
        <w:t xml:space="preserve"> </w:t>
      </w:r>
      <w:r w:rsidR="000F3873">
        <w:t>000 за региона, градоустройствения</w:t>
      </w:r>
      <w:r w:rsidR="002C0C43">
        <w:t>т</w:t>
      </w:r>
      <w:r w:rsidR="000F3873">
        <w:t xml:space="preserve"> план в мащаб 1:1</w:t>
      </w:r>
      <w:r w:rsidR="002C0C43">
        <w:t xml:space="preserve"> </w:t>
      </w:r>
      <w:r w:rsidR="000F3873">
        <w:t>000 не е бил одобрен и че повечето от засегнатите постройки всъщност са били извън района, обхванат от градоустройствения план, в далечния край на площадката на сметището. Експертите потвър</w:t>
      </w:r>
      <w:r w:rsidR="00440B2D">
        <w:t>ждават</w:t>
      </w:r>
      <w:r w:rsidR="000F3873">
        <w:t xml:space="preserve">, че свлачището — засегната земна площ, която вече е била неустойчива — може да бъде обяснено с нарастващото налягане на газа вътре в сметището и експлозията. Подчертавайки задълженията и отговорностите на гражданските власти по съответните </w:t>
      </w:r>
      <w:r w:rsidR="00EB469D">
        <w:t xml:space="preserve">нормативни </w:t>
      </w:r>
      <w:r w:rsidR="006923E4">
        <w:t>актове</w:t>
      </w:r>
      <w:r w:rsidR="000F3873">
        <w:t>, експертите стига</w:t>
      </w:r>
      <w:r w:rsidR="00440B2D">
        <w:t>т</w:t>
      </w:r>
      <w:r w:rsidR="000F3873">
        <w:t xml:space="preserve"> до заключението, че вината за инцидента може да бъде разпределена, както следва:</w:t>
      </w:r>
    </w:p>
    <w:p w:rsidR="000F3873" w:rsidRPr="0059462F" w:rsidRDefault="000F3873" w:rsidP="000F3873">
      <w:pPr>
        <w:pStyle w:val="JuQuot"/>
      </w:pPr>
      <w:r>
        <w:t xml:space="preserve">„(i)  2/8 за градския съвет на Истанбул за това, че не е предприел ранни действия за недопускане на техническите проблеми, които вече са били налице при създаването на сметището през 1970 г. и са продължили да се разрастват след това, и </w:t>
      </w:r>
      <w:r w:rsidR="00440B2D">
        <w:t>не е</w:t>
      </w:r>
      <w:r>
        <w:t xml:space="preserve"> посоч</w:t>
      </w:r>
      <w:r w:rsidR="00440B2D">
        <w:t>ил</w:t>
      </w:r>
      <w:r>
        <w:t xml:space="preserve"> на съответните окръжни съвети друга площадка за събиране на отпадъци, каквото е било задължението</w:t>
      </w:r>
      <w:r w:rsidR="00440B2D">
        <w:t xml:space="preserve"> му</w:t>
      </w:r>
      <w:r>
        <w:t xml:space="preserve"> по закон № 3030;</w:t>
      </w:r>
    </w:p>
    <w:p w:rsidR="000F3873" w:rsidRPr="0059462F" w:rsidRDefault="000F3873" w:rsidP="000F3873">
      <w:pPr>
        <w:pStyle w:val="JuQuot"/>
      </w:pPr>
      <w:r>
        <w:t xml:space="preserve">(ii)  2/8 за окръжния съвет на </w:t>
      </w:r>
      <w:proofErr w:type="spellStart"/>
      <w:r>
        <w:t>Юмрание</w:t>
      </w:r>
      <w:proofErr w:type="spellEnd"/>
      <w:r>
        <w:t xml:space="preserve"> за това, че при из</w:t>
      </w:r>
      <w:r w:rsidR="001F1C70">
        <w:t>пълнението</w:t>
      </w:r>
      <w:r>
        <w:t xml:space="preserve"> на устройствения план е пропуснал, в противоречие с </w:t>
      </w:r>
      <w:r w:rsidR="00EB469D">
        <w:t>Наредбата</w:t>
      </w:r>
      <w:r>
        <w:t xml:space="preserve"> за контрол върху твърдите отпадъци (№ 20814) да осигури буферна зона с ширина 1</w:t>
      </w:r>
      <w:r w:rsidR="001F1C70">
        <w:t xml:space="preserve"> </w:t>
      </w:r>
      <w:r>
        <w:t>000 м, която да бъде ненаселена, както и за допускане на незаконни постройки в района и за това, че не е предприел никакви действия за недопускане на пост</w:t>
      </w:r>
      <w:r w:rsidR="001F1C70">
        <w:t>р</w:t>
      </w:r>
      <w:r>
        <w:t>ояването им, въпреки експерт</w:t>
      </w:r>
      <w:r w:rsidR="001F1C70">
        <w:t>изата</w:t>
      </w:r>
      <w:r>
        <w:t xml:space="preserve"> от 7 май 1991 г.;</w:t>
      </w:r>
    </w:p>
    <w:p w:rsidR="000F3873" w:rsidRPr="0059462F" w:rsidRDefault="000F3873" w:rsidP="000F3873">
      <w:pPr>
        <w:pStyle w:val="JuQuot"/>
      </w:pPr>
      <w:r>
        <w:t xml:space="preserve">(iii)  2/8 за обитателите на бедния квартал за поставяне в опасност на членове на семействата им, разполагайки се близо до </w:t>
      </w:r>
      <w:r w:rsidR="001F1C70">
        <w:t xml:space="preserve">купища </w:t>
      </w:r>
      <w:r>
        <w:t>отпадъци;</w:t>
      </w:r>
    </w:p>
    <w:p w:rsidR="000F3873" w:rsidRPr="0059462F" w:rsidRDefault="000F3873" w:rsidP="000F3873">
      <w:pPr>
        <w:pStyle w:val="JuQuot"/>
      </w:pPr>
      <w:r>
        <w:t xml:space="preserve">(iv)  1/8 за Министерството на околната среда за това, че не е осъществило ефективно наблюдение на сметището съгласно </w:t>
      </w:r>
      <w:r w:rsidR="00EB469D">
        <w:t>Наредбата</w:t>
      </w:r>
      <w:r>
        <w:t xml:space="preserve"> за контрол върху твърдите отпадъци (№ 20814);</w:t>
      </w:r>
    </w:p>
    <w:p w:rsidR="000F3873" w:rsidRPr="0059462F" w:rsidRDefault="00154ADB" w:rsidP="000F3873">
      <w:pPr>
        <w:pStyle w:val="JuQuot"/>
      </w:pPr>
      <w:r>
        <w:t xml:space="preserve">(v)  1/8 за Правителството за насърчаване на подобен тип </w:t>
      </w:r>
      <w:r w:rsidR="00685027">
        <w:t>заселване</w:t>
      </w:r>
      <w:r>
        <w:t xml:space="preserve"> чрез обявяване на амнистия във връзка с незаконните постройки в редица случаи и даване право на собственост на обитателите им.“</w:t>
      </w:r>
    </w:p>
    <w:p w:rsidR="000F3873" w:rsidRPr="0059462F" w:rsidRDefault="008E7633" w:rsidP="000F3873">
      <w:pPr>
        <w:pStyle w:val="JuPara"/>
      </w:pPr>
      <w:fldSimple w:instr=" SEQ level0 \*arabic ">
        <w:r w:rsidR="00A94344">
          <w:rPr>
            <w:noProof/>
          </w:rPr>
          <w:t>24</w:t>
        </w:r>
      </w:fldSimple>
      <w:r w:rsidR="000F3873">
        <w:t>.  На 21 май 1993 г. прокурорът наре</w:t>
      </w:r>
      <w:r w:rsidR="00685027">
        <w:t>ж</w:t>
      </w:r>
      <w:r w:rsidR="000F3873">
        <w:t>д</w:t>
      </w:r>
      <w:r w:rsidR="00685027">
        <w:t>а</w:t>
      </w:r>
      <w:r w:rsidR="000F3873">
        <w:t xml:space="preserve"> </w:t>
      </w:r>
      <w:r w:rsidR="00E61939">
        <w:t>отказ от компетентност</w:t>
      </w:r>
      <w:r w:rsidR="000F3873">
        <w:t xml:space="preserve"> </w:t>
      </w:r>
      <w:proofErr w:type="spellStart"/>
      <w:r w:rsidR="00F15F5E" w:rsidRPr="0059462F">
        <w:rPr>
          <w:i/>
        </w:rPr>
        <w:t>ratione</w:t>
      </w:r>
      <w:proofErr w:type="spellEnd"/>
      <w:r w:rsidR="00F15F5E" w:rsidRPr="0059462F">
        <w:rPr>
          <w:i/>
        </w:rPr>
        <w:t xml:space="preserve"> </w:t>
      </w:r>
      <w:proofErr w:type="spellStart"/>
      <w:r w:rsidR="00F15F5E" w:rsidRPr="0059462F">
        <w:rPr>
          <w:i/>
        </w:rPr>
        <w:t>personae</w:t>
      </w:r>
      <w:proofErr w:type="spellEnd"/>
      <w:r w:rsidR="000F3873">
        <w:t xml:space="preserve"> във връзка с административните власти, които носят отговорността, а именно градския съвет на Истанбул, окръжния съвет на </w:t>
      </w:r>
      <w:proofErr w:type="spellStart"/>
      <w:r w:rsidR="000F3873">
        <w:t>Юмрание</w:t>
      </w:r>
      <w:proofErr w:type="spellEnd"/>
      <w:r w:rsidR="000F3873">
        <w:t>, Министерството на околната среда и правителствените ръководители в периода 1974 — 1993 г. Съответно той отн</w:t>
      </w:r>
      <w:r w:rsidR="00327CB6">
        <w:t>ася</w:t>
      </w:r>
      <w:r w:rsidR="000F3873">
        <w:t xml:space="preserve"> делото до </w:t>
      </w:r>
      <w:r w:rsidR="00327CB6">
        <w:t xml:space="preserve">областния управител </w:t>
      </w:r>
      <w:r w:rsidR="000F3873">
        <w:t>на Истанбул, като вз</w:t>
      </w:r>
      <w:r w:rsidR="00327CB6">
        <w:t>има</w:t>
      </w:r>
      <w:r w:rsidR="000F3873">
        <w:t xml:space="preserve"> решение, че то попада в обхвата на </w:t>
      </w:r>
      <w:r w:rsidR="00327CB6">
        <w:t>З</w:t>
      </w:r>
      <w:r w:rsidR="000F3873">
        <w:t>акона за разследване на държавните служители, прилагането на който завис</w:t>
      </w:r>
      <w:r w:rsidR="00505D59">
        <w:t>и</w:t>
      </w:r>
      <w:r w:rsidR="000F3873">
        <w:t xml:space="preserve"> от административния съвет на провинция </w:t>
      </w:r>
      <w:r w:rsidR="000F3873">
        <w:lastRenderedPageBreak/>
        <w:t>Истанбул („административния съвет“). Въпреки това обаче прокурорът заяв</w:t>
      </w:r>
      <w:r w:rsidR="00505D59">
        <w:t>ява</w:t>
      </w:r>
      <w:r w:rsidR="000F3873">
        <w:t xml:space="preserve"> в заповедта си, че приложимите разпоредби към въпросните органи са чл</w:t>
      </w:r>
      <w:r w:rsidR="00505D59">
        <w:t>.</w:t>
      </w:r>
      <w:r w:rsidR="000F3873">
        <w:t xml:space="preserve"> 230 и чл</w:t>
      </w:r>
      <w:r w:rsidR="00505D59">
        <w:t>.</w:t>
      </w:r>
      <w:r w:rsidR="000F3873">
        <w:t xml:space="preserve"> 455 § 2 от Наказателния кодекс, които се отнасят съответно за престъпления от небрежност при изпълнение на обществени задължения и убийство по непредпазливост.</w:t>
      </w:r>
    </w:p>
    <w:p w:rsidR="000F3873" w:rsidRPr="0059462F" w:rsidRDefault="000F3873" w:rsidP="000F3873">
      <w:pPr>
        <w:pStyle w:val="JuPara"/>
      </w:pPr>
      <w:r>
        <w:t xml:space="preserve">Доколкото делото засяга възможната вина на обитателите на бедния квартал — включително </w:t>
      </w:r>
      <w:r w:rsidR="00F60D49">
        <w:t xml:space="preserve">на </w:t>
      </w:r>
      <w:r>
        <w:t>жалбоподателя — които не само са пострадали, но са им повдигнати и обвинения по чл</w:t>
      </w:r>
      <w:r w:rsidR="00203580">
        <w:t>.</w:t>
      </w:r>
      <w:r>
        <w:t xml:space="preserve"> 455 § 2 от Наказателния кодекс, прокурорът израз</w:t>
      </w:r>
      <w:r w:rsidR="00203580">
        <w:t>ява</w:t>
      </w:r>
      <w:r>
        <w:t xml:space="preserve"> мнение, че по начина, по който е образувано делото, не е възможно отделянето на техните жалби, предвид членове 10 и 15 на посочения по-горе закон.</w:t>
      </w:r>
    </w:p>
    <w:p w:rsidR="00D8632D" w:rsidRDefault="000F3873" w:rsidP="000F3873">
      <w:pPr>
        <w:pStyle w:val="JuPara"/>
      </w:pPr>
      <w:r>
        <w:t>На 27 май 1993 г., след завършване на предварителното следствие от страна на следствения отдел, прокурорската преписка е предадена на Министерството.</w:t>
      </w:r>
    </w:p>
    <w:p w:rsidR="000F3873" w:rsidRPr="0059462F" w:rsidRDefault="000F3873" w:rsidP="006725B0">
      <w:pPr>
        <w:pStyle w:val="JuH1"/>
        <w:widowControl w:val="0"/>
      </w:pPr>
      <w:r>
        <w:t>3.  Резултат от административното разследване във връзка със съответните органи</w:t>
      </w:r>
    </w:p>
    <w:p w:rsidR="00D8632D" w:rsidRDefault="008E7633" w:rsidP="000F3873">
      <w:pPr>
        <w:pStyle w:val="JuPara"/>
      </w:pPr>
      <w:fldSimple w:instr=" SEQ level0 \*arabic ">
        <w:r w:rsidR="00A94344">
          <w:rPr>
            <w:noProof/>
          </w:rPr>
          <w:t>25</w:t>
        </w:r>
      </w:fldSimple>
      <w:r w:rsidR="000F3873">
        <w:t>.  На 27 май 1993 г., предвид заключенията от действията си по разследването, следственият отдел получ</w:t>
      </w:r>
      <w:r w:rsidR="00203580">
        <w:t>ава</w:t>
      </w:r>
      <w:r w:rsidR="000F3873">
        <w:t xml:space="preserve"> разрешение от Министерството за започване на наказателно разследване на двамата кметове, замесени по делото.</w:t>
      </w:r>
    </w:p>
    <w:p w:rsidR="000F3873" w:rsidRPr="0059462F" w:rsidRDefault="008E7633" w:rsidP="000F3873">
      <w:pPr>
        <w:pStyle w:val="JuPara"/>
      </w:pPr>
      <w:fldSimple w:instr=" SEQ level0 \*arabic ">
        <w:r w:rsidR="00A94344">
          <w:rPr>
            <w:noProof/>
          </w:rPr>
          <w:t>26</w:t>
        </w:r>
      </w:fldSimple>
      <w:r w:rsidR="000F3873">
        <w:t xml:space="preserve">.  В деня след отправяне на искането, окръжният съвет на </w:t>
      </w:r>
      <w:proofErr w:type="spellStart"/>
      <w:r w:rsidR="000F3873">
        <w:t>Юмрание</w:t>
      </w:r>
      <w:proofErr w:type="spellEnd"/>
      <w:r w:rsidR="000F3873">
        <w:t xml:space="preserve"> изл</w:t>
      </w:r>
      <w:r w:rsidR="006C3F8B">
        <w:t>и</w:t>
      </w:r>
      <w:r w:rsidR="000F3873">
        <w:t>з</w:t>
      </w:r>
      <w:r w:rsidR="006C3F8B">
        <w:t>а</w:t>
      </w:r>
      <w:r w:rsidR="000F3873">
        <w:t xml:space="preserve"> със следн</w:t>
      </w:r>
      <w:r w:rsidR="006C3F8B">
        <w:t>о</w:t>
      </w:r>
      <w:r w:rsidR="000F3873">
        <w:t>т</w:t>
      </w:r>
      <w:r w:rsidR="006C3F8B">
        <w:t>о</w:t>
      </w:r>
      <w:r w:rsidR="000F3873">
        <w:t xml:space="preserve"> изявление за печата:</w:t>
      </w:r>
    </w:p>
    <w:p w:rsidR="000F3873" w:rsidRPr="0059462F" w:rsidRDefault="000F3873" w:rsidP="000F3873">
      <w:pPr>
        <w:pStyle w:val="JuQuot"/>
      </w:pPr>
      <w:r>
        <w:t xml:space="preserve">„Единствената площадка за събиране на отпадъци от анадолска страна е в средата на нашия окръг </w:t>
      </w:r>
      <w:proofErr w:type="spellStart"/>
      <w:r>
        <w:t>Юмрание</w:t>
      </w:r>
      <w:proofErr w:type="spellEnd"/>
      <w:r>
        <w:t xml:space="preserve"> като обект на безмълвен ужас. Той наруши безмълвието си и причини смърт. Ние знаехме и очаквахме това. Като окръжен съвет, ние почукахме на всички възможни врати в продължение на четири години за премахването на площадката за събиране на отпадъци. Градският съвет на Истанбул се отнесе към проблема ни с безразличие. Дейностите по обез</w:t>
      </w:r>
      <w:r w:rsidR="006C3F8B">
        <w:t>заразя</w:t>
      </w:r>
      <w:r>
        <w:t xml:space="preserve">ване бяха спрени ... след две </w:t>
      </w:r>
      <w:r w:rsidR="006C3F8B">
        <w:t>лопати</w:t>
      </w:r>
      <w:r>
        <w:t xml:space="preserve"> бетон </w:t>
      </w:r>
      <w:r w:rsidR="006C3F8B">
        <w:t>на официалното откриване</w:t>
      </w:r>
      <w:r>
        <w:t>. Министерств</w:t>
      </w:r>
      <w:r w:rsidR="0086124C">
        <w:t>а</w:t>
      </w:r>
      <w:r>
        <w:t>т</w:t>
      </w:r>
      <w:r w:rsidR="0086124C">
        <w:t>а</w:t>
      </w:r>
      <w:r>
        <w:t xml:space="preserve"> и </w:t>
      </w:r>
      <w:r w:rsidR="0086124C">
        <w:t>п</w:t>
      </w:r>
      <w:r>
        <w:t xml:space="preserve">равителството бяха уведомени относно тези обстоятелства, но не им обърнаха много внимание. Отнесохме въпроса до съдилищата и те отсъдиха в наша полза, но съдебните механизми не можаха да бъдат задействани. ... Сега трябва да се изправим пред </w:t>
      </w:r>
      <w:r w:rsidR="0086124C">
        <w:t xml:space="preserve">отговорността </w:t>
      </w:r>
      <w:r>
        <w:t xml:space="preserve">си и </w:t>
      </w:r>
      <w:r w:rsidR="0086124C">
        <w:t xml:space="preserve">на </w:t>
      </w:r>
      <w:r>
        <w:t xml:space="preserve">всички да </w:t>
      </w:r>
      <w:r w:rsidR="0086124C">
        <w:t>ни се потърси сметка</w:t>
      </w:r>
      <w:r>
        <w:t xml:space="preserve"> за това пред жителите на </w:t>
      </w:r>
      <w:proofErr w:type="spellStart"/>
      <w:r>
        <w:t>Юмрание</w:t>
      </w:r>
      <w:proofErr w:type="spellEnd"/>
      <w:r>
        <w:t xml:space="preserve"> ...“</w:t>
      </w:r>
    </w:p>
    <w:p w:rsidR="000F3873" w:rsidRPr="0059462F" w:rsidRDefault="008E7633" w:rsidP="000F3873">
      <w:pPr>
        <w:pStyle w:val="JuPara"/>
      </w:pPr>
      <w:fldSimple w:instr=" SEQ level0 \*arabic ">
        <w:r w:rsidR="00A94344">
          <w:rPr>
            <w:noProof/>
          </w:rPr>
          <w:t>27</w:t>
        </w:r>
      </w:fldSimple>
      <w:r w:rsidR="000F3873">
        <w:t>.  Разрешението, поискано от следствения отдел, е издадено на 17 юни 1993 г., като делото е възложено на главен инспектор от Министерството („главния инспектор“).</w:t>
      </w:r>
    </w:p>
    <w:p w:rsidR="000F3873" w:rsidRPr="0059462F" w:rsidRDefault="000F3873" w:rsidP="000F3873">
      <w:pPr>
        <w:pStyle w:val="JuPara"/>
      </w:pPr>
      <w:r>
        <w:t>Предвид следствената преписка, образувана по случая, главният инспектор сне</w:t>
      </w:r>
      <w:r w:rsidR="0086124C">
        <w:t>ма</w:t>
      </w:r>
      <w:r>
        <w:t xml:space="preserve"> показанията на г-н </w:t>
      </w:r>
      <w:proofErr w:type="spellStart"/>
      <w:r w:rsidR="0086124C" w:rsidRPr="0059462F">
        <w:t>Sözen</w:t>
      </w:r>
      <w:proofErr w:type="spellEnd"/>
      <w:r>
        <w:t xml:space="preserve"> и г-н </w:t>
      </w:r>
      <w:proofErr w:type="spellStart"/>
      <w:r w:rsidR="0086124C" w:rsidRPr="0059462F">
        <w:t>Öktem</w:t>
      </w:r>
      <w:proofErr w:type="spellEnd"/>
      <w:r>
        <w:t>. Последният заяв</w:t>
      </w:r>
      <w:r w:rsidR="0086124C">
        <w:t>ява</w:t>
      </w:r>
      <w:r>
        <w:t>, наред с другото, че през декември 1989 г. неговият окръжен съвет е започнал дейности по обез</w:t>
      </w:r>
      <w:r w:rsidR="00764E17">
        <w:t>зараз</w:t>
      </w:r>
      <w:r>
        <w:t xml:space="preserve">яване в района на бедния квартал </w:t>
      </w:r>
      <w:proofErr w:type="spellStart"/>
      <w:r>
        <w:t>Хакъмбашъ</w:t>
      </w:r>
      <w:proofErr w:type="spellEnd"/>
      <w:r>
        <w:t>, но те са били спрени по искане на двама от обитателите на района (вж</w:t>
      </w:r>
      <w:r w:rsidR="00764E17">
        <w:t>.</w:t>
      </w:r>
      <w:r>
        <w:t xml:space="preserve"> параграф 11 по-горе).</w:t>
      </w:r>
    </w:p>
    <w:p w:rsidR="000F3873" w:rsidRPr="0059462F" w:rsidRDefault="008E7633" w:rsidP="000F3873">
      <w:pPr>
        <w:pStyle w:val="JuPara"/>
      </w:pPr>
      <w:fldSimple w:instr=" SEQ level0 \*arabic ">
        <w:r w:rsidR="00A94344">
          <w:rPr>
            <w:noProof/>
          </w:rPr>
          <w:t>28</w:t>
        </w:r>
      </w:fldSimple>
      <w:r w:rsidR="000F3873">
        <w:t>.  Главният инспектор завърш</w:t>
      </w:r>
      <w:r w:rsidR="00764E17">
        <w:t>ва</w:t>
      </w:r>
      <w:r w:rsidR="000F3873">
        <w:t xml:space="preserve"> доклада си на 9 юли 1993 г. </w:t>
      </w:r>
      <w:r w:rsidR="00764E17">
        <w:t>В него се</w:t>
      </w:r>
      <w:r w:rsidR="000F3873">
        <w:t xml:space="preserve"> стига до заключението на всички експерти, на които е била възлагана задачата до момента</w:t>
      </w:r>
      <w:r w:rsidR="00764E17">
        <w:t>,</w:t>
      </w:r>
      <w:r w:rsidR="000F3873">
        <w:t xml:space="preserve"> и </w:t>
      </w:r>
      <w:r w:rsidR="00764E17">
        <w:t xml:space="preserve">се </w:t>
      </w:r>
      <w:r w:rsidR="000F3873">
        <w:t>вз</w:t>
      </w:r>
      <w:r w:rsidR="00764E17">
        <w:t>имат</w:t>
      </w:r>
      <w:r w:rsidR="000F3873">
        <w:t xml:space="preserve"> предвид всички доказателства, събрани от прокурора. </w:t>
      </w:r>
      <w:r w:rsidR="00764E17">
        <w:t>С</w:t>
      </w:r>
      <w:r w:rsidR="000F3873">
        <w:t>помена</w:t>
      </w:r>
      <w:r w:rsidR="00764E17">
        <w:t>ват</w:t>
      </w:r>
      <w:r w:rsidR="000F3873">
        <w:t xml:space="preserve"> </w:t>
      </w:r>
      <w:r w:rsidR="00764E17">
        <w:t xml:space="preserve">се </w:t>
      </w:r>
      <w:r w:rsidR="000F3873">
        <w:t xml:space="preserve">също така други </w:t>
      </w:r>
      <w:r w:rsidR="00764E17">
        <w:t xml:space="preserve">две </w:t>
      </w:r>
      <w:r w:rsidR="000F3873">
        <w:t xml:space="preserve">научни становища, изпратени в </w:t>
      </w:r>
      <w:r w:rsidR="00764E17">
        <w:t>областната управа</w:t>
      </w:r>
      <w:r w:rsidR="000F3873">
        <w:t xml:space="preserve"> на Истанбул през май 1993 г. </w:t>
      </w:r>
      <w:r w:rsidR="00982925">
        <w:t xml:space="preserve">— </w:t>
      </w:r>
      <w:r w:rsidR="000F3873">
        <w:t>едното от Министерството на околната среда, а другото от пр</w:t>
      </w:r>
      <w:r w:rsidR="00982925">
        <w:t>еподавател</w:t>
      </w:r>
      <w:r w:rsidR="000F3873">
        <w:t xml:space="preserve"> по </w:t>
      </w:r>
      <w:r w:rsidR="00982925">
        <w:t xml:space="preserve">строително </w:t>
      </w:r>
      <w:r w:rsidR="000F3873">
        <w:t>инженер</w:t>
      </w:r>
      <w:r w:rsidR="00982925">
        <w:t>ство</w:t>
      </w:r>
      <w:r w:rsidR="000F3873">
        <w:t xml:space="preserve"> </w:t>
      </w:r>
      <w:r w:rsidR="00982925">
        <w:t xml:space="preserve">в </w:t>
      </w:r>
      <w:r w:rsidR="000F3873">
        <w:t xml:space="preserve">университета </w:t>
      </w:r>
      <w:r w:rsidR="00982925">
        <w:t>„</w:t>
      </w:r>
      <w:proofErr w:type="spellStart"/>
      <w:r w:rsidR="000F3873">
        <w:t>Боазичи</w:t>
      </w:r>
      <w:proofErr w:type="spellEnd"/>
      <w:r w:rsidR="00982925">
        <w:t>“</w:t>
      </w:r>
      <w:r w:rsidR="000F3873">
        <w:t>. Тези две становища потвър</w:t>
      </w:r>
      <w:r w:rsidR="00982925">
        <w:t>ждават</w:t>
      </w:r>
      <w:r w:rsidR="000F3873">
        <w:t xml:space="preserve">, че смъртоносното свлачище е причинено от взрив на метан. </w:t>
      </w:r>
      <w:r w:rsidR="00982925">
        <w:t>В д</w:t>
      </w:r>
      <w:r w:rsidR="000F3873">
        <w:t>оклад</w:t>
      </w:r>
      <w:r w:rsidR="00982925">
        <w:t>а се</w:t>
      </w:r>
      <w:r w:rsidR="000F3873">
        <w:t xml:space="preserve"> посоч</w:t>
      </w:r>
      <w:r w:rsidR="00982925">
        <w:t>ва</w:t>
      </w:r>
      <w:r w:rsidR="000F3873">
        <w:t xml:space="preserve"> също така, че на 4 май 1993 г. следственият отдел е изискал от градския съвет да изпра</w:t>
      </w:r>
      <w:r w:rsidR="00CC5924">
        <w:t>ти</w:t>
      </w:r>
      <w:r w:rsidR="000F3873">
        <w:t xml:space="preserve"> информация относно мерките, предприети в действителност съгласно </w:t>
      </w:r>
      <w:r w:rsidR="00CC5924">
        <w:t xml:space="preserve">доклада от </w:t>
      </w:r>
      <w:r w:rsidR="000F3873">
        <w:t>експерт</w:t>
      </w:r>
      <w:r w:rsidR="00CC5924">
        <w:t>изата</w:t>
      </w:r>
      <w:r w:rsidR="000F3873">
        <w:t xml:space="preserve"> от 7 май 1991 г.</w:t>
      </w:r>
      <w:r w:rsidR="00CC5924">
        <w:t>,</w:t>
      </w:r>
      <w:r w:rsidR="000F3873">
        <w:t xml:space="preserve"> и </w:t>
      </w:r>
      <w:r w:rsidR="00CC5924">
        <w:t xml:space="preserve">повтаря </w:t>
      </w:r>
      <w:r w:rsidR="000F3873">
        <w:t xml:space="preserve">отговора на г-н </w:t>
      </w:r>
      <w:proofErr w:type="spellStart"/>
      <w:r w:rsidR="00CC5924" w:rsidRPr="0059462F">
        <w:t>Sözen</w:t>
      </w:r>
      <w:proofErr w:type="spellEnd"/>
      <w:r w:rsidR="000F3873">
        <w:t>:</w:t>
      </w:r>
    </w:p>
    <w:p w:rsidR="000F3873" w:rsidRPr="0059462F" w:rsidRDefault="000F3873" w:rsidP="000F3873">
      <w:pPr>
        <w:pStyle w:val="JuQuot"/>
      </w:pPr>
      <w:r>
        <w:t>„Градският ни съвет е предприел мерките, необходими за гарантиране използването на старите площадки по най-безвредн</w:t>
      </w:r>
      <w:r w:rsidR="00CC5924">
        <w:t>ия</w:t>
      </w:r>
      <w:r>
        <w:t xml:space="preserve"> възможен начин до края на 1993 г. и е завършил подготовката на строителството на едно от най-големите и модерни съоръжения ... което някога е предприемано в страната. Подготвили сме също така и временна площадка за събиране на отпадъци, която отговаря на необходимите условия. Наред с това на мястото на предишните площадки текат дейности по обновяването [в края на експлоатационния период]. Накратко през последните три години градският ни съвет изследва проблема с отпадъците много задълбочено ... [и] понастоящем работата продължава ...“</w:t>
      </w:r>
    </w:p>
    <w:p w:rsidR="000F3873" w:rsidRPr="0059462F" w:rsidRDefault="008E7633" w:rsidP="000F3873">
      <w:pPr>
        <w:pStyle w:val="JuPara"/>
      </w:pPr>
      <w:fldSimple w:instr=" SEQ level0 \*arabic ">
        <w:r w:rsidR="00A94344">
          <w:rPr>
            <w:noProof/>
          </w:rPr>
          <w:t>29</w:t>
        </w:r>
      </w:fldSimple>
      <w:r w:rsidR="000F3873">
        <w:t xml:space="preserve">.  Главният инспектор стига до окончателното заключение, че смъртта на двадесет и шест души и нараняванията на единадесет други (цифрите са актуални </w:t>
      </w:r>
      <w:r w:rsidR="00B672EA">
        <w:t>към момента на настъпване</w:t>
      </w:r>
      <w:r w:rsidR="000F3873">
        <w:t xml:space="preserve"> на събитията) на 28 април 1993 г. са причинени от бездействието на двамата кметове да предприемат необходимите мерки в изпълнение на задълженията си, като така те трябва да носят отговорност за проявената небрежност по чл</w:t>
      </w:r>
      <w:r w:rsidR="00B672EA">
        <w:t>.</w:t>
      </w:r>
      <w:r w:rsidR="000F3873">
        <w:t xml:space="preserve"> 230 от Наказателния кодекс. Въпреки, наред с другото, експертния доклад и препоръката на службата по околна среда, те съзнателно са нарушили съответните си задължения: Г-н </w:t>
      </w:r>
      <w:proofErr w:type="spellStart"/>
      <w:r w:rsidR="00B672EA" w:rsidRPr="0059462F">
        <w:t>Öktem</w:t>
      </w:r>
      <w:proofErr w:type="spellEnd"/>
      <w:r w:rsidR="000F3873">
        <w:t xml:space="preserve"> заради това, че не е изпълнил задължението си да нареди разрушаването на незаконните временни постройки, разположени около сметището, за което е имал правомощия по чл</w:t>
      </w:r>
      <w:r w:rsidR="00B672EA">
        <w:t>.</w:t>
      </w:r>
      <w:r w:rsidR="000F3873">
        <w:t xml:space="preserve"> 18 </w:t>
      </w:r>
      <w:r w:rsidR="00B672EA">
        <w:t>от</w:t>
      </w:r>
      <w:r w:rsidR="000F3873">
        <w:t xml:space="preserve"> Закон № 775, и г-н </w:t>
      </w:r>
      <w:proofErr w:type="spellStart"/>
      <w:r w:rsidR="00B672EA" w:rsidRPr="0059462F">
        <w:t>Sözen</w:t>
      </w:r>
      <w:proofErr w:type="spellEnd"/>
      <w:r w:rsidR="000F3873">
        <w:t xml:space="preserve"> заради това, че е отказал да спази посочената по-горе препоръка, не е модернизирал сметището или наредил затварянето му и не е спазил разпоредбите на чл</w:t>
      </w:r>
      <w:r w:rsidR="009A0A1A">
        <w:t>.</w:t>
      </w:r>
      <w:r w:rsidR="000F3873">
        <w:t xml:space="preserve"> 10 от Закон № 3030, които изискват от него да разпореди разрушаването на въпросните постройки за бедни, ако се налага със собствени средства. Въпреки това в становището си главният инспектор не зас</w:t>
      </w:r>
      <w:r w:rsidR="009A0A1A">
        <w:t>яга</w:t>
      </w:r>
      <w:r w:rsidR="000F3873">
        <w:t xml:space="preserve"> въпроса дали по случая може да се приложи чл</w:t>
      </w:r>
      <w:r w:rsidR="009A0A1A">
        <w:t>.</w:t>
      </w:r>
      <w:r w:rsidR="000F3873">
        <w:t xml:space="preserve"> 455 § 2 от Наказателния кодекс.</w:t>
      </w:r>
    </w:p>
    <w:p w:rsidR="000F3873" w:rsidRPr="0059462F" w:rsidRDefault="000F3873" w:rsidP="006725B0">
      <w:pPr>
        <w:pStyle w:val="JuH1"/>
        <w:widowControl w:val="0"/>
      </w:pPr>
      <w:r>
        <w:t>4.  Предоставяне на субсидирано жилище на жалбоподателя</w:t>
      </w:r>
    </w:p>
    <w:p w:rsidR="000F3873" w:rsidRPr="0059462F" w:rsidRDefault="008E7633" w:rsidP="000F3873">
      <w:pPr>
        <w:pStyle w:val="JuPara"/>
      </w:pPr>
      <w:fldSimple w:instr=" SEQ level0 \*arabic ">
        <w:r w:rsidR="00A94344">
          <w:rPr>
            <w:noProof/>
          </w:rPr>
          <w:t>30</w:t>
        </w:r>
      </w:fldSimple>
      <w:r w:rsidR="000F3873">
        <w:t xml:space="preserve">.  Междувременно от отдела по жилищно настаняване и временни постройки </w:t>
      </w:r>
      <w:r w:rsidR="009A0A1A">
        <w:t>са пом</w:t>
      </w:r>
      <w:r w:rsidR="000F3873">
        <w:t>оли</w:t>
      </w:r>
      <w:r w:rsidR="009A0A1A">
        <w:t>ли</w:t>
      </w:r>
      <w:r w:rsidR="000F3873">
        <w:t xml:space="preserve"> жалбоподателя да се свърже с тях, като последният е уведомен, че със заповед (№ 1739) от 25 май 1993 г. градският съвет му е предоставил апартамент в субсидиран жилищен комплекс в </w:t>
      </w:r>
      <w:proofErr w:type="spellStart"/>
      <w:r w:rsidR="000F3873">
        <w:t>Чобанчешме</w:t>
      </w:r>
      <w:proofErr w:type="spellEnd"/>
      <w:r w:rsidR="000F3873">
        <w:t xml:space="preserve"> (</w:t>
      </w:r>
      <w:proofErr w:type="spellStart"/>
      <w:r w:rsidR="000F3873">
        <w:t>Еюп</w:t>
      </w:r>
      <w:proofErr w:type="spellEnd"/>
      <w:r w:rsidR="000F3873">
        <w:t xml:space="preserve">, </w:t>
      </w:r>
      <w:proofErr w:type="spellStart"/>
      <w:r w:rsidR="000F3873">
        <w:t>Алибейкьой</w:t>
      </w:r>
      <w:proofErr w:type="spellEnd"/>
      <w:r w:rsidR="000F3873">
        <w:t xml:space="preserve">). На 18 юни 1993 г. жалбоподателят </w:t>
      </w:r>
      <w:r w:rsidR="00443841">
        <w:t>п</w:t>
      </w:r>
      <w:r w:rsidR="000F3873">
        <w:t>одпис</w:t>
      </w:r>
      <w:r w:rsidR="00443841">
        <w:t>ва</w:t>
      </w:r>
      <w:r w:rsidR="000F3873">
        <w:t xml:space="preserve"> договор за влизане във владение на апартамент № 7 в блок C</w:t>
      </w:r>
      <w:r w:rsidR="000F3873">
        <w:noBreakHyphen/>
        <w:t>1 на комплекса. Сделката е сключена официално на 17 септември 1993 г. със заповед на градския съвет (№ 3927). На 13 ноември 1993 г. жалбоподателят подпис</w:t>
      </w:r>
      <w:r w:rsidR="00443841">
        <w:t>ва</w:t>
      </w:r>
      <w:r w:rsidR="000F3873">
        <w:t xml:space="preserve"> нотариално заверена декларация вместо договор, която гласи, че въпросният апартамент му е бил „продаден“ за 125 000 000 турски лири, една четвърт от които следва да се заплати незабавно, а остатък</w:t>
      </w:r>
      <w:r w:rsidR="00443841">
        <w:t>ът</w:t>
      </w:r>
      <w:r w:rsidR="000F3873">
        <w:t xml:space="preserve"> </w:t>
      </w:r>
      <w:r w:rsidR="00443841">
        <w:t xml:space="preserve">— </w:t>
      </w:r>
      <w:r w:rsidR="000F3873">
        <w:t>на месечни вноски в размер на 732 844 турски лири.</w:t>
      </w:r>
    </w:p>
    <w:p w:rsidR="00D8632D" w:rsidRDefault="000F3873" w:rsidP="000F3873">
      <w:pPr>
        <w:pStyle w:val="JuPara"/>
      </w:pPr>
      <w:r>
        <w:t xml:space="preserve">Изглежда първоначалното плащане е направено към </w:t>
      </w:r>
      <w:r w:rsidR="00443841">
        <w:t>областната управа</w:t>
      </w:r>
      <w:r>
        <w:t xml:space="preserve"> на Истанбул, откъдето е препратено към градския съвет. Жалбоподателят е заплатил първата месечна вноска на 9 ноември 1993 г. и е продължил да заплаща вноски до януари 1996 г. Междувременно, преди 23 февруари 1995 г.</w:t>
      </w:r>
      <w:r w:rsidR="00593B83">
        <w:t>,</w:t>
      </w:r>
      <w:r>
        <w:t xml:space="preserve"> той е отдал под наем апартамента си на лице с инициали H.Ö. </w:t>
      </w:r>
      <w:r w:rsidR="00593B83">
        <w:t>срещу</w:t>
      </w:r>
      <w:r>
        <w:t xml:space="preserve"> месечен наем в размер на 2 000 000 турски лири. Както е видно, от януари 1996 г. властите е следвало да се възползват от процедурите по принудително събиране на неизплатените вноски.</w:t>
      </w:r>
    </w:p>
    <w:p w:rsidR="000F3873" w:rsidRPr="0059462F" w:rsidRDefault="000F3873" w:rsidP="000F3873">
      <w:pPr>
        <w:pStyle w:val="JuPara"/>
      </w:pPr>
      <w:r>
        <w:t>На 24 март 1998 г. жалбоподателят, който по това време е изплатил дълга си към градския съвет, връч</w:t>
      </w:r>
      <w:r w:rsidR="00593B83">
        <w:t>ва</w:t>
      </w:r>
      <w:r>
        <w:t xml:space="preserve"> нотариално заверен документ за продажба на апартамента </w:t>
      </w:r>
      <w:r w:rsidR="00593B83">
        <w:t>си</w:t>
      </w:r>
      <w:r>
        <w:t xml:space="preserve"> на лице с инициали </w:t>
      </w:r>
      <w:r w:rsidR="00593B83" w:rsidRPr="0059462F">
        <w:t>E.B</w:t>
      </w:r>
      <w:r>
        <w:t xml:space="preserve">. </w:t>
      </w:r>
      <w:r w:rsidR="002A23C3">
        <w:t>срещу</w:t>
      </w:r>
      <w:r>
        <w:t xml:space="preserve"> първоначална вноска в размер на 20 000 германски марки.</w:t>
      </w:r>
    </w:p>
    <w:p w:rsidR="000F3873" w:rsidRPr="0059462F" w:rsidRDefault="000F3873" w:rsidP="006725B0">
      <w:pPr>
        <w:pStyle w:val="JuH1"/>
        <w:widowControl w:val="0"/>
      </w:pPr>
      <w:r>
        <w:t>5.  Наказателно</w:t>
      </w:r>
      <w:r w:rsidR="002A23C3">
        <w:t>то</w:t>
      </w:r>
      <w:r>
        <w:t xml:space="preserve"> производство срещу съответните власти</w:t>
      </w:r>
    </w:p>
    <w:p w:rsidR="000F3873" w:rsidRPr="0059462F" w:rsidRDefault="008E7633" w:rsidP="000F3873">
      <w:pPr>
        <w:pStyle w:val="JuPara"/>
      </w:pPr>
      <w:fldSimple w:instr=" SEQ level0 \*arabic ">
        <w:r w:rsidR="00A94344">
          <w:rPr>
            <w:noProof/>
          </w:rPr>
          <w:t>31</w:t>
        </w:r>
      </w:fldSimple>
      <w:r w:rsidR="000F3873">
        <w:t>.  Със заповед от 15 юли 1993 г. административният съвет реш</w:t>
      </w:r>
      <w:r w:rsidR="002A23C3">
        <w:t>ава</w:t>
      </w:r>
      <w:r w:rsidR="000F3873">
        <w:t xml:space="preserve"> с мнозинство, въз основа на доклада на главния инспектор, да образува производство срещу г-н </w:t>
      </w:r>
      <w:proofErr w:type="spellStart"/>
      <w:r w:rsidR="002A23C3" w:rsidRPr="0059462F">
        <w:t>Sözen</w:t>
      </w:r>
      <w:proofErr w:type="spellEnd"/>
      <w:r w:rsidR="000F3873">
        <w:t xml:space="preserve"> и г-н </w:t>
      </w:r>
      <w:proofErr w:type="spellStart"/>
      <w:r w:rsidR="002A23C3" w:rsidRPr="0059462F">
        <w:t>Öktem</w:t>
      </w:r>
      <w:proofErr w:type="spellEnd"/>
      <w:r w:rsidR="000F3873">
        <w:t xml:space="preserve"> за нарушение по чл</w:t>
      </w:r>
      <w:r w:rsidR="006D54BD">
        <w:t>.</w:t>
      </w:r>
      <w:r w:rsidR="000F3873">
        <w:t xml:space="preserve"> 230 от Наказателния кодекс.</w:t>
      </w:r>
    </w:p>
    <w:p w:rsidR="000F3873" w:rsidRPr="0059462F" w:rsidRDefault="000F3873" w:rsidP="000F3873">
      <w:pPr>
        <w:pStyle w:val="JuPara"/>
      </w:pPr>
      <w:r>
        <w:t xml:space="preserve">Г-н </w:t>
      </w:r>
      <w:proofErr w:type="spellStart"/>
      <w:r w:rsidR="006D54BD" w:rsidRPr="0059462F">
        <w:t>Sözen</w:t>
      </w:r>
      <w:proofErr w:type="spellEnd"/>
      <w:r>
        <w:t xml:space="preserve"> и г-н </w:t>
      </w:r>
      <w:proofErr w:type="spellStart"/>
      <w:r w:rsidR="006D54BD" w:rsidRPr="0059462F">
        <w:t>Öktem</w:t>
      </w:r>
      <w:proofErr w:type="spellEnd"/>
      <w:r>
        <w:t xml:space="preserve"> обжалва</w:t>
      </w:r>
      <w:r w:rsidR="006D54BD">
        <w:t>т</w:t>
      </w:r>
      <w:r>
        <w:t xml:space="preserve"> решението пред Върховния административен съд, който отхвърл</w:t>
      </w:r>
      <w:r w:rsidR="006D54BD">
        <w:t>я</w:t>
      </w:r>
      <w:r>
        <w:t xml:space="preserve"> жалбата им на 18 януари 1995 г. Впоследствие преписката е върната на прокурора, който на 30 март 1995 г. призова двамата кметове на съдебен процес в Пето отделение на Наказателния съд на Истанбул.</w:t>
      </w:r>
    </w:p>
    <w:p w:rsidR="000F3873" w:rsidRPr="0059462F" w:rsidRDefault="008E7633" w:rsidP="000F3873">
      <w:pPr>
        <w:pStyle w:val="JuPara"/>
      </w:pPr>
      <w:fldSimple w:instr=" SEQ level0 \*arabic ">
        <w:r w:rsidR="00A94344">
          <w:rPr>
            <w:noProof/>
          </w:rPr>
          <w:t>32</w:t>
        </w:r>
      </w:fldSimple>
      <w:r w:rsidR="000F3873">
        <w:t>.  Процесът пред отделението започ</w:t>
      </w:r>
      <w:r w:rsidR="006D54BD">
        <w:t>в</w:t>
      </w:r>
      <w:r w:rsidR="000F3873">
        <w:t xml:space="preserve">а на 25 май 1995 г. По време на заседанието г-н </w:t>
      </w:r>
      <w:proofErr w:type="spellStart"/>
      <w:r w:rsidR="006D54BD" w:rsidRPr="0059462F">
        <w:t>Sözen</w:t>
      </w:r>
      <w:proofErr w:type="spellEnd"/>
      <w:r w:rsidR="000F3873">
        <w:t xml:space="preserve"> заяв</w:t>
      </w:r>
      <w:r w:rsidR="006D54BD">
        <w:t>ява</w:t>
      </w:r>
      <w:r w:rsidR="000F3873">
        <w:t xml:space="preserve">, наред с другото, че не може да се очаква от него да изпълни задължения, които не са му били възложени или единствен да носи отговорност за положение, което датира от 1970 г. Освен това той няма как да бъде обвинен за това, че не е предприел модернизиране на сметището в </w:t>
      </w:r>
      <w:proofErr w:type="spellStart"/>
      <w:r w:rsidR="000F3873">
        <w:t>Юмрание</w:t>
      </w:r>
      <w:proofErr w:type="spellEnd"/>
      <w:r w:rsidR="000F3873">
        <w:t>, при условие че нито една от 2</w:t>
      </w:r>
      <w:r w:rsidR="006D54BD">
        <w:t xml:space="preserve"> </w:t>
      </w:r>
      <w:r w:rsidR="000F3873">
        <w:t xml:space="preserve">000-те площадки в Турция не е модернизирана; в тази връзка, </w:t>
      </w:r>
      <w:r w:rsidR="006D54BD">
        <w:t xml:space="preserve">като се </w:t>
      </w:r>
      <w:r w:rsidR="000F3873">
        <w:t xml:space="preserve">позовава на редица мерки, които въпреки всичко са били предприети от </w:t>
      </w:r>
      <w:r w:rsidR="000F3873">
        <w:lastRenderedPageBreak/>
        <w:t>градския съвет, той изл</w:t>
      </w:r>
      <w:r w:rsidR="006D54BD">
        <w:t>иза</w:t>
      </w:r>
      <w:r w:rsidR="000F3873">
        <w:t xml:space="preserve"> с аргумент, че </w:t>
      </w:r>
      <w:r w:rsidR="003B55B6">
        <w:t xml:space="preserve">не е било възможно </w:t>
      </w:r>
      <w:r w:rsidR="000F3873">
        <w:t xml:space="preserve">сметището </w:t>
      </w:r>
      <w:r w:rsidR="003B55B6">
        <w:t xml:space="preserve">да бъде </w:t>
      </w:r>
      <w:r w:rsidR="000F3873">
        <w:t>напълно реконструирано, докато на него е продължавало изхвърля</w:t>
      </w:r>
      <w:r w:rsidR="003B55B6">
        <w:t>нето на</w:t>
      </w:r>
      <w:r w:rsidR="000F3873">
        <w:t xml:space="preserve"> отпадъци. Накрая той заяв</w:t>
      </w:r>
      <w:r w:rsidR="003B55B6">
        <w:t>ява</w:t>
      </w:r>
      <w:r w:rsidR="000F3873">
        <w:t>: „Не могат да се изтъкнат елементите на обвинението в небрежност в изпълнението на задълженията ми, тъй като аз не съм действал с намерението да бъда небрежен [</w:t>
      </w:r>
      <w:proofErr w:type="spellStart"/>
      <w:r w:rsidR="000F3873">
        <w:rPr>
          <w:i/>
        </w:rPr>
        <w:t>sic</w:t>
      </w:r>
      <w:proofErr w:type="spellEnd"/>
      <w:r w:rsidR="000F3873">
        <w:t>] и поради това, че не може да се установи причинно-следствена връзка [между инцидента и небрежност от страна на кмета].“</w:t>
      </w:r>
    </w:p>
    <w:p w:rsidR="00D8632D" w:rsidRDefault="000F3873" w:rsidP="000F3873">
      <w:pPr>
        <w:pStyle w:val="JuPara"/>
      </w:pPr>
      <w:r>
        <w:t xml:space="preserve">Г-н </w:t>
      </w:r>
      <w:proofErr w:type="spellStart"/>
      <w:r w:rsidR="004F760E" w:rsidRPr="0059462F">
        <w:t>Öktem</w:t>
      </w:r>
      <w:proofErr w:type="spellEnd"/>
      <w:r>
        <w:t xml:space="preserve"> заяв</w:t>
      </w:r>
      <w:r w:rsidR="004F760E">
        <w:t>ява</w:t>
      </w:r>
      <w:r>
        <w:t xml:space="preserve">, че групите от постройки, които са били засегнати, са построени преди </w:t>
      </w:r>
      <w:r w:rsidR="004F760E">
        <w:t>той да бъде избран</w:t>
      </w:r>
      <w:r>
        <w:t xml:space="preserve"> за кмет на 26 март 1989 г. и че оттогава той не е позволил никога бедните райони да се разрастват. </w:t>
      </w:r>
      <w:r w:rsidR="004F760E">
        <w:t>Като о</w:t>
      </w:r>
      <w:r>
        <w:t xml:space="preserve">бвинява градския съвет на Истанбул и </w:t>
      </w:r>
      <w:r w:rsidR="004F760E">
        <w:t>областната управа</w:t>
      </w:r>
      <w:r>
        <w:t xml:space="preserve"> в безразличие към проблемите, г-н </w:t>
      </w:r>
      <w:proofErr w:type="spellStart"/>
      <w:r w:rsidR="007B50DE" w:rsidRPr="0059462F">
        <w:t>Öktem</w:t>
      </w:r>
      <w:proofErr w:type="spellEnd"/>
      <w:r>
        <w:t xml:space="preserve"> изтък</w:t>
      </w:r>
      <w:r w:rsidR="007B50DE">
        <w:t>в</w:t>
      </w:r>
      <w:r>
        <w:t>а, че отговорността за недопускането на изграждане на незаконни постройки се носи от ръководството на горското стопанство и че във всички случаи окръжният съвет, ръководен от него, не е имал необходимия персонал за разрушаването на подобни постройки.</w:t>
      </w:r>
    </w:p>
    <w:p w:rsidR="00D8632D" w:rsidRDefault="008E7633" w:rsidP="000F3873">
      <w:pPr>
        <w:pStyle w:val="JuPara"/>
      </w:pPr>
      <w:fldSimple w:instr=" SEQ level0 \*arabic ">
        <w:r w:rsidR="00A94344">
          <w:rPr>
            <w:noProof/>
          </w:rPr>
          <w:t>33</w:t>
        </w:r>
      </w:fldSimple>
      <w:r w:rsidR="000F3873">
        <w:t xml:space="preserve">.  С решение от 4 април 1996 г. </w:t>
      </w:r>
      <w:r w:rsidR="005061A6">
        <w:t>о</w:t>
      </w:r>
      <w:r w:rsidR="000F3873">
        <w:t>тделението призна</w:t>
      </w:r>
      <w:r w:rsidR="007B50DE">
        <w:t>ва</w:t>
      </w:r>
      <w:r w:rsidR="000F3873">
        <w:t xml:space="preserve"> двамата кметове за виновни по повдигнатите обвинения, като определ</w:t>
      </w:r>
      <w:r w:rsidR="007B50DE">
        <w:t>я</w:t>
      </w:r>
      <w:r w:rsidR="000F3873">
        <w:t xml:space="preserve"> защитата им като необоснована.</w:t>
      </w:r>
    </w:p>
    <w:p w:rsidR="000F3873" w:rsidRPr="0059462F" w:rsidRDefault="000F3873" w:rsidP="000F3873">
      <w:pPr>
        <w:pStyle w:val="JuPara"/>
      </w:pPr>
      <w:r>
        <w:t>Съдиите основа</w:t>
      </w:r>
      <w:r w:rsidR="007B50DE">
        <w:t>ват</w:t>
      </w:r>
      <w:r>
        <w:t xml:space="preserve"> своето заключение конкретно на доказателствата, събрани по време на мащабните наказателно</w:t>
      </w:r>
      <w:r w:rsidR="007B50DE">
        <w:t>-</w:t>
      </w:r>
      <w:r>
        <w:t>следствени действия, проведени в периода 29 април 1993 г. — 9 юли 1993 г. (вж</w:t>
      </w:r>
      <w:r w:rsidR="007B50DE">
        <w:t>.</w:t>
      </w:r>
      <w:r>
        <w:t xml:space="preserve"> параграфи 19 и 28 по-горе). От решението от 30 ноември 1995 г. е видно, че при </w:t>
      </w:r>
      <w:r w:rsidR="00770980">
        <w:t>раз</w:t>
      </w:r>
      <w:r>
        <w:t>пределяне</w:t>
      </w:r>
      <w:r w:rsidR="00770980">
        <w:t>то</w:t>
      </w:r>
      <w:r>
        <w:t xml:space="preserve"> на отговорността, която следва да се поеме от всеки от въпросните органи, съдиите без колебани</w:t>
      </w:r>
      <w:r w:rsidR="00770980">
        <w:t>е</w:t>
      </w:r>
      <w:r>
        <w:t xml:space="preserve"> одобр</w:t>
      </w:r>
      <w:r w:rsidR="00770980">
        <w:t>яват</w:t>
      </w:r>
      <w:r>
        <w:t xml:space="preserve"> констатациите на експерт</w:t>
      </w:r>
      <w:r w:rsidR="00770980">
        <w:t>изата</w:t>
      </w:r>
      <w:r>
        <w:t>, изготвен</w:t>
      </w:r>
      <w:r w:rsidR="00770980">
        <w:t>а</w:t>
      </w:r>
      <w:r>
        <w:t xml:space="preserve"> по този </w:t>
      </w:r>
      <w:r w:rsidR="00770980">
        <w:t xml:space="preserve">конкретен </w:t>
      </w:r>
      <w:r>
        <w:t>проблем по искане на прокурора и наличен от 18 май 1993 г. (вж</w:t>
      </w:r>
      <w:r w:rsidR="00770980">
        <w:t>.</w:t>
      </w:r>
      <w:r>
        <w:t xml:space="preserve"> параграф 23 по-горе).</w:t>
      </w:r>
    </w:p>
    <w:p w:rsidR="000F3873" w:rsidRPr="0059462F" w:rsidRDefault="000F3873" w:rsidP="000F3873">
      <w:pPr>
        <w:pStyle w:val="JuPara"/>
      </w:pPr>
      <w:r>
        <w:t xml:space="preserve">Съдиите </w:t>
      </w:r>
      <w:r w:rsidR="00770980">
        <w:t xml:space="preserve">също така </w:t>
      </w:r>
      <w:r>
        <w:t>отбеляз</w:t>
      </w:r>
      <w:r w:rsidR="00770980">
        <w:t>ват</w:t>
      </w:r>
      <w:r>
        <w:t>:</w:t>
      </w:r>
    </w:p>
    <w:p w:rsidR="000F3873" w:rsidRPr="0059462F" w:rsidRDefault="000F3873" w:rsidP="000F3873">
      <w:pPr>
        <w:pStyle w:val="JuQuot"/>
      </w:pPr>
      <w:r>
        <w:t>„... макар, че са били информирани за доклада</w:t>
      </w:r>
      <w:r w:rsidR="00770980">
        <w:t xml:space="preserve"> [от експертизата]</w:t>
      </w:r>
      <w:r>
        <w:t>, двамата обвиняеми не са взели съответните превантивни мерки. Както човек, който стреля в тълпата, знае, че ще загинат хора</w:t>
      </w:r>
      <w:r w:rsidR="00371DA7">
        <w:t xml:space="preserve"> и</w:t>
      </w:r>
      <w:r>
        <w:t xml:space="preserve"> не може после да твърди, че е действал без намерението да убива, така и обвиняемите не могат да твърдят по настоящото дело, че не са възнамерявали да пренебрегнат задълженията си. Все пак те не носят цялата отговорност. ... Както те, така и други са проявили небрежност. </w:t>
      </w:r>
      <w:r w:rsidR="00371DA7">
        <w:t xml:space="preserve">По </w:t>
      </w:r>
      <w:r>
        <w:t xml:space="preserve">настоящото дело основната грешка се състои в построяването на сгради под сметището на склона на хълм, като за това отговорност носят обитателите им. </w:t>
      </w:r>
      <w:r w:rsidR="00371DA7">
        <w:t>Трябвало е</w:t>
      </w:r>
      <w:r>
        <w:t xml:space="preserve"> да </w:t>
      </w:r>
      <w:r w:rsidR="00371DA7">
        <w:t>вземат</w:t>
      </w:r>
      <w:r>
        <w:t xml:space="preserve"> предвид риска, че </w:t>
      </w:r>
      <w:r w:rsidR="00371DA7">
        <w:t>купищата</w:t>
      </w:r>
      <w:r>
        <w:t xml:space="preserve"> отпадъци един ден ще се срут</w:t>
      </w:r>
      <w:r w:rsidR="00371DA7">
        <w:t>ят</w:t>
      </w:r>
      <w:r>
        <w:t xml:space="preserve"> върху тях и че ще им нанес</w:t>
      </w:r>
      <w:r w:rsidR="00371DA7">
        <w:t>ат</w:t>
      </w:r>
      <w:r>
        <w:t xml:space="preserve"> поражения. Не е трябвало да строят </w:t>
      </w:r>
      <w:r w:rsidR="00EB551B">
        <w:t>жилища</w:t>
      </w:r>
      <w:r>
        <w:t xml:space="preserve"> на петдесет метра от сметището. За т</w:t>
      </w:r>
      <w:r w:rsidR="00EB551B">
        <w:t>ова</w:t>
      </w:r>
      <w:r>
        <w:t xml:space="preserve"> си </w:t>
      </w:r>
      <w:r w:rsidR="00EB551B">
        <w:t>безразсъдство</w:t>
      </w:r>
      <w:r>
        <w:t xml:space="preserve"> те са заплатили с живота си ...“</w:t>
      </w:r>
      <w:r w:rsidR="00770980">
        <w:t xml:space="preserve"> </w:t>
      </w:r>
    </w:p>
    <w:p w:rsidR="000F3873" w:rsidRPr="0059462F" w:rsidRDefault="008E7633" w:rsidP="000F3873">
      <w:pPr>
        <w:pStyle w:val="JuPara"/>
      </w:pPr>
      <w:fldSimple w:instr=" SEQ level0 \*arabic ">
        <w:r w:rsidR="00A94344">
          <w:rPr>
            <w:noProof/>
          </w:rPr>
          <w:t>34</w:t>
        </w:r>
      </w:fldSimple>
      <w:r w:rsidR="000F3873">
        <w:t xml:space="preserve">.  Отделението на </w:t>
      </w:r>
      <w:r w:rsidR="000A1332">
        <w:t>с</w:t>
      </w:r>
      <w:r w:rsidR="000F3873">
        <w:t>ъда осъ</w:t>
      </w:r>
      <w:r w:rsidR="00EB551B">
        <w:t>жда</w:t>
      </w:r>
      <w:r w:rsidR="000F3873">
        <w:t xml:space="preserve"> г-н </w:t>
      </w:r>
      <w:proofErr w:type="spellStart"/>
      <w:r w:rsidR="00EB551B" w:rsidRPr="0059462F">
        <w:t>Sözen</w:t>
      </w:r>
      <w:proofErr w:type="spellEnd"/>
      <w:r w:rsidR="000F3873">
        <w:t xml:space="preserve"> и г-н </w:t>
      </w:r>
      <w:proofErr w:type="spellStart"/>
      <w:r w:rsidR="00EB551B" w:rsidRPr="0059462F">
        <w:t>Öktem</w:t>
      </w:r>
      <w:proofErr w:type="spellEnd"/>
      <w:r w:rsidR="000F3873">
        <w:t xml:space="preserve"> на минимален срок лишаване от свобода по чл</w:t>
      </w:r>
      <w:r w:rsidR="00EB551B">
        <w:t>.</w:t>
      </w:r>
      <w:r w:rsidR="000F3873">
        <w:t xml:space="preserve"> 230 от Наказателния кодекс, а именно три месеца, както и на глоба в размер на 160 000 турски лири. По чл</w:t>
      </w:r>
      <w:r w:rsidR="00EB551B">
        <w:t>.</w:t>
      </w:r>
      <w:r w:rsidR="000F3873">
        <w:t xml:space="preserve"> 4(1) от Закон № 647, отделението на </w:t>
      </w:r>
      <w:r w:rsidR="000A1332">
        <w:t>с</w:t>
      </w:r>
      <w:r w:rsidR="000F3873">
        <w:t>ъда зам</w:t>
      </w:r>
      <w:r w:rsidR="00EB551B">
        <w:t>еня</w:t>
      </w:r>
      <w:r w:rsidR="000F3873">
        <w:t xml:space="preserve"> присъдите лишаване от свобода с глоби, като окончателно размерът им е определен на 610 </w:t>
      </w:r>
      <w:r w:rsidR="000F3873">
        <w:lastRenderedPageBreak/>
        <w:t>000 турски лири. Като прецен</w:t>
      </w:r>
      <w:r w:rsidR="00EB551B">
        <w:t>ява</w:t>
      </w:r>
      <w:r w:rsidR="000F3873">
        <w:t xml:space="preserve">, че обвиняемите няма да извършат друго престъпление, </w:t>
      </w:r>
      <w:r w:rsidR="000A1332">
        <w:t>с</w:t>
      </w:r>
      <w:r w:rsidR="000F3873">
        <w:t>ъдът също така реш</w:t>
      </w:r>
      <w:r w:rsidR="00EB551B">
        <w:t>ава</w:t>
      </w:r>
      <w:r w:rsidR="000F3873">
        <w:t xml:space="preserve"> да преустанови изпълнението на наказанията във връзка с чл</w:t>
      </w:r>
      <w:r w:rsidR="00745982">
        <w:t>.</w:t>
      </w:r>
      <w:r w:rsidR="000F3873">
        <w:t xml:space="preserve"> 6 от същия закон.</w:t>
      </w:r>
    </w:p>
    <w:p w:rsidR="000F3873" w:rsidRPr="0059462F" w:rsidRDefault="008E7633" w:rsidP="000F3873">
      <w:pPr>
        <w:pStyle w:val="JuPara"/>
      </w:pPr>
      <w:fldSimple w:instr=" SEQ level0 \*arabic ">
        <w:r w:rsidR="00A94344">
          <w:rPr>
            <w:noProof/>
          </w:rPr>
          <w:t>35</w:t>
        </w:r>
      </w:fldSimple>
      <w:r w:rsidR="000F3873">
        <w:t>.  Двамата кметове обжалва</w:t>
      </w:r>
      <w:r w:rsidR="00A45F2B" w:rsidRPr="00833B88">
        <w:t>т</w:t>
      </w:r>
      <w:r w:rsidR="000F3873">
        <w:t xml:space="preserve"> решението </w:t>
      </w:r>
      <w:r w:rsidR="00A45F2B">
        <w:t>на правно основание</w:t>
      </w:r>
      <w:r w:rsidR="000F3873">
        <w:t xml:space="preserve">. </w:t>
      </w:r>
      <w:r w:rsidR="00124DBF">
        <w:t>Т</w:t>
      </w:r>
      <w:r w:rsidR="000F3873">
        <w:t>е заяв</w:t>
      </w:r>
      <w:r w:rsidR="006A6F02">
        <w:t>яв</w:t>
      </w:r>
      <w:r w:rsidR="000F3873">
        <w:t>а</w:t>
      </w:r>
      <w:r w:rsidR="006A6F02">
        <w:t>т</w:t>
      </w:r>
      <w:r w:rsidR="00124DBF">
        <w:t xml:space="preserve"> по-конкретно</w:t>
      </w:r>
      <w:r w:rsidR="000F3873">
        <w:t xml:space="preserve">, че </w:t>
      </w:r>
      <w:r w:rsidR="000A1332">
        <w:t>с</w:t>
      </w:r>
      <w:r w:rsidR="000F3873">
        <w:t>ъдът е излязъл извън обхвата на чл</w:t>
      </w:r>
      <w:r w:rsidR="006A6F02">
        <w:t>.</w:t>
      </w:r>
      <w:r w:rsidR="000F3873">
        <w:t xml:space="preserve"> 230 </w:t>
      </w:r>
      <w:r w:rsidR="006A6F02">
        <w:t xml:space="preserve">от </w:t>
      </w:r>
      <w:r w:rsidR="000F3873">
        <w:t xml:space="preserve">Наказателния кодекс в оценката си на обстоятелствата и се е отнесъл към делото като към непреднамерено </w:t>
      </w:r>
      <w:r w:rsidR="004915AF">
        <w:t>убийство</w:t>
      </w:r>
      <w:r w:rsidR="000F3873">
        <w:t xml:space="preserve"> по смисъла на чл</w:t>
      </w:r>
      <w:r w:rsidR="004915AF">
        <w:t>.</w:t>
      </w:r>
      <w:r w:rsidR="000F3873">
        <w:t xml:space="preserve"> 455 от Кодекса.</w:t>
      </w:r>
    </w:p>
    <w:p w:rsidR="00D8632D" w:rsidRDefault="000F3873" w:rsidP="000F3873">
      <w:pPr>
        <w:pStyle w:val="JuPara"/>
      </w:pPr>
      <w:r>
        <w:t>В решението си от 10 ноември 1997 г. Касационния</w:t>
      </w:r>
      <w:r w:rsidR="004915AF">
        <w:t>т</w:t>
      </w:r>
      <w:r>
        <w:t xml:space="preserve"> съд потвър</w:t>
      </w:r>
      <w:r w:rsidR="004915AF">
        <w:t>ждава</w:t>
      </w:r>
      <w:r>
        <w:t xml:space="preserve"> решението на </w:t>
      </w:r>
      <w:r w:rsidR="000A1332">
        <w:t>с</w:t>
      </w:r>
      <w:r>
        <w:t>ъда.</w:t>
      </w:r>
    </w:p>
    <w:p w:rsidR="00D8632D" w:rsidRDefault="008E7633" w:rsidP="000F3873">
      <w:pPr>
        <w:pStyle w:val="JuPara"/>
      </w:pPr>
      <w:fldSimple w:instr=" SEQ level0 \*arabic ">
        <w:r w:rsidR="00A94344">
          <w:rPr>
            <w:noProof/>
          </w:rPr>
          <w:t>36</w:t>
        </w:r>
      </w:fldSimple>
      <w:r w:rsidR="000F3873">
        <w:t xml:space="preserve">.  Жалбоподателят очевидно никога не е бил информиран относно тези производства и не е давал показания </w:t>
      </w:r>
      <w:r w:rsidR="004915AF">
        <w:t>пред</w:t>
      </w:r>
      <w:r w:rsidR="000F3873">
        <w:t xml:space="preserve"> нито един административен орган по разследването или </w:t>
      </w:r>
      <w:r w:rsidR="004915AF">
        <w:t xml:space="preserve">пред </w:t>
      </w:r>
      <w:r w:rsidR="000F3873">
        <w:t xml:space="preserve">наказателните съдилища; нито му е връчвано решение на </w:t>
      </w:r>
      <w:r w:rsidR="004915AF">
        <w:t>с</w:t>
      </w:r>
      <w:r w:rsidR="000F3873">
        <w:t>ъда.</w:t>
      </w:r>
    </w:p>
    <w:p w:rsidR="000F3873" w:rsidRPr="0059462F" w:rsidRDefault="000F3873" w:rsidP="006725B0">
      <w:pPr>
        <w:pStyle w:val="JuH1"/>
        <w:widowControl w:val="0"/>
      </w:pPr>
      <w:r>
        <w:t>6.  Административни</w:t>
      </w:r>
      <w:r w:rsidR="004915AF">
        <w:t>те</w:t>
      </w:r>
      <w:r>
        <w:t xml:space="preserve"> действия на жалбоподателя</w:t>
      </w:r>
    </w:p>
    <w:p w:rsidR="000F3873" w:rsidRPr="0059462F" w:rsidRDefault="008E7633" w:rsidP="000F3873">
      <w:pPr>
        <w:pStyle w:val="JuPara"/>
      </w:pPr>
      <w:fldSimple w:instr=" SEQ level0 \*arabic ">
        <w:r w:rsidR="00A94344">
          <w:rPr>
            <w:noProof/>
          </w:rPr>
          <w:t>37</w:t>
        </w:r>
      </w:fldSimple>
      <w:r w:rsidR="000F3873">
        <w:t>.  На 3 септември 1993 г. жалбоподателят пода</w:t>
      </w:r>
      <w:r w:rsidR="004915AF">
        <w:t>ва</w:t>
      </w:r>
      <w:r w:rsidR="000F3873">
        <w:t xml:space="preserve"> жалба пред окръжния съвет на </w:t>
      </w:r>
      <w:proofErr w:type="spellStart"/>
      <w:r w:rsidR="000F3873">
        <w:t>Юмрание</w:t>
      </w:r>
      <w:proofErr w:type="spellEnd"/>
      <w:r w:rsidR="000F3873">
        <w:t>, градския съвет на Истанбул и Министерствата на вътрешните работи и околната среда, като предяв</w:t>
      </w:r>
      <w:r w:rsidR="00BE79A2">
        <w:t>ява</w:t>
      </w:r>
      <w:r w:rsidR="000F3873">
        <w:t xml:space="preserve"> искове за обезщетение за имуществени и неимуществени вреди. Искът на жалбоподателя е разпределен, както следва: 150 000 000 турски лири за вреди, причинени от загубата на жилището му и домакински пособия; 2 550 000 000 турски лири, 10 000 000 турски лири, 15 000 000 турски лири и 20 000 000 турски лири обезщетение за пропуснати ползи за него и три</w:t>
      </w:r>
      <w:r w:rsidR="00BE79A2">
        <w:t>мата</w:t>
      </w:r>
      <w:r w:rsidR="000F3873">
        <w:t xml:space="preserve"> му оцелели син</w:t>
      </w:r>
      <w:r w:rsidR="00BE79A2">
        <w:t>ове</w:t>
      </w:r>
      <w:r w:rsidR="000F3873">
        <w:t xml:space="preserve"> </w:t>
      </w:r>
      <w:proofErr w:type="spellStart"/>
      <w:r w:rsidR="00BE79A2" w:rsidRPr="0059462F">
        <w:t>Hüsam</w:t>
      </w:r>
      <w:r w:rsidR="00BE79A2">
        <w:t>ettin</w:t>
      </w:r>
      <w:proofErr w:type="spellEnd"/>
      <w:r w:rsidR="000F3873">
        <w:t xml:space="preserve">, </w:t>
      </w:r>
      <w:proofErr w:type="spellStart"/>
      <w:r w:rsidR="00BE79A2">
        <w:t>Aydın</w:t>
      </w:r>
      <w:proofErr w:type="spellEnd"/>
      <w:r w:rsidR="000F3873">
        <w:t xml:space="preserve"> и </w:t>
      </w:r>
      <w:proofErr w:type="spellStart"/>
      <w:r w:rsidR="00BE79A2">
        <w:t>Halef</w:t>
      </w:r>
      <w:proofErr w:type="spellEnd"/>
      <w:r w:rsidR="000F3873">
        <w:t xml:space="preserve">; както и 900 000 000 турски лири за него и </w:t>
      </w:r>
      <w:r w:rsidR="00BE79A2">
        <w:t xml:space="preserve">по </w:t>
      </w:r>
      <w:r w:rsidR="000F3873">
        <w:t>300 000 000 турски лири за всеки от тримата му син</w:t>
      </w:r>
      <w:r w:rsidR="00BE79A2">
        <w:t>ове</w:t>
      </w:r>
      <w:r w:rsidR="000F3873">
        <w:t xml:space="preserve"> за неимуществени вреди в резултат на смъртта на близките им роднини.</w:t>
      </w:r>
    </w:p>
    <w:p w:rsidR="00D8632D" w:rsidRDefault="008E7633" w:rsidP="000F3873">
      <w:pPr>
        <w:pStyle w:val="JuPara"/>
      </w:pPr>
      <w:fldSimple w:instr=" SEQ level0 \*arabic ">
        <w:r w:rsidR="00A94344">
          <w:rPr>
            <w:noProof/>
          </w:rPr>
          <w:t>38</w:t>
        </w:r>
      </w:fldSimple>
      <w:r w:rsidR="000F3873">
        <w:t xml:space="preserve">.  С писма от 16 септември и 2 ноември 1993 г. кметът на </w:t>
      </w:r>
      <w:proofErr w:type="spellStart"/>
      <w:r w:rsidR="000F3873">
        <w:t>Юмрание</w:t>
      </w:r>
      <w:proofErr w:type="spellEnd"/>
      <w:r w:rsidR="000F3873">
        <w:t xml:space="preserve"> и министър</w:t>
      </w:r>
      <w:r w:rsidR="00841FD5">
        <w:t>ът</w:t>
      </w:r>
      <w:r w:rsidR="000F3873">
        <w:t xml:space="preserve"> на околната среда отхвърлят исковете на жалбоподателя. Останалите органи не изпращат отговори.</w:t>
      </w:r>
    </w:p>
    <w:p w:rsidR="00D8632D" w:rsidRDefault="008E7633" w:rsidP="000F3873">
      <w:pPr>
        <w:pStyle w:val="JuPara"/>
      </w:pPr>
      <w:fldSimple w:instr=" SEQ level0 \*arabic ">
        <w:r w:rsidR="00A94344">
          <w:rPr>
            <w:noProof/>
          </w:rPr>
          <w:t>39</w:t>
        </w:r>
      </w:fldSimple>
      <w:r w:rsidR="000F3873">
        <w:t xml:space="preserve">.  Тогава жалбоподателят завежда пред Административния съд на Истанбул </w:t>
      </w:r>
      <w:r w:rsidR="00841FD5">
        <w:t xml:space="preserve">(„съдът“) </w:t>
      </w:r>
      <w:r w:rsidR="000F3873">
        <w:t xml:space="preserve">съдебни дела </w:t>
      </w:r>
      <w:r w:rsidR="00841FD5">
        <w:t xml:space="preserve">за причинени щети от свое име и от името на трите му оцелели деца </w:t>
      </w:r>
      <w:r w:rsidR="000F3873">
        <w:t>срещу четирите органа на властта. В жалбата си той посочва, че пропуските им поради небрежност са довели до смъртта на роднините му и разрушаването на дома му и домакинските му пособия, като отново предяв</w:t>
      </w:r>
      <w:r w:rsidR="00841FD5">
        <w:t>ява</w:t>
      </w:r>
      <w:r w:rsidR="000F3873">
        <w:t xml:space="preserve"> иск за посочените по-горе суми.</w:t>
      </w:r>
    </w:p>
    <w:p w:rsidR="00D8632D" w:rsidRDefault="000F3873" w:rsidP="000F3873">
      <w:pPr>
        <w:pStyle w:val="JuPara"/>
      </w:pPr>
      <w:r>
        <w:t>На 4 януари 1994 г. жалбоподателят получ</w:t>
      </w:r>
      <w:r w:rsidR="00841FD5">
        <w:t>ава</w:t>
      </w:r>
      <w:r>
        <w:t xml:space="preserve"> правна помощ.</w:t>
      </w:r>
    </w:p>
    <w:p w:rsidR="000F3873" w:rsidRPr="0059462F" w:rsidRDefault="008E7633" w:rsidP="000F3873">
      <w:pPr>
        <w:pStyle w:val="JuPara"/>
      </w:pPr>
      <w:fldSimple w:instr=" SEQ level0 \*arabic ">
        <w:r w:rsidR="00A94344">
          <w:rPr>
            <w:noProof/>
          </w:rPr>
          <w:t>40</w:t>
        </w:r>
      </w:fldSimple>
      <w:r w:rsidR="000F3873">
        <w:t>.  Съдът постанов</w:t>
      </w:r>
      <w:r w:rsidR="00841FD5">
        <w:t>ява</w:t>
      </w:r>
      <w:r w:rsidR="000F3873">
        <w:t xml:space="preserve"> решение на 30 ноември 1995 г. </w:t>
      </w:r>
      <w:r w:rsidR="00841FD5">
        <w:t>Като о</w:t>
      </w:r>
      <w:r w:rsidR="000F3873">
        <w:t>сновава решението си на доклад</w:t>
      </w:r>
      <w:r w:rsidR="00F25ED6">
        <w:t>а от експертизата</w:t>
      </w:r>
      <w:r w:rsidR="000F3873">
        <w:t xml:space="preserve"> от 18 май 1993 г. (вж</w:t>
      </w:r>
      <w:r w:rsidR="00F25ED6">
        <w:t>.</w:t>
      </w:r>
      <w:r w:rsidR="000F3873">
        <w:t xml:space="preserve"> параграф 23 по-горе), съдът нам</w:t>
      </w:r>
      <w:r w:rsidR="00F25ED6">
        <w:t>ира</w:t>
      </w:r>
      <w:r w:rsidR="000F3873">
        <w:t xml:space="preserve"> пряка причинно</w:t>
      </w:r>
      <w:r w:rsidR="00F25ED6">
        <w:t>-</w:t>
      </w:r>
      <w:r w:rsidR="000F3873">
        <w:t xml:space="preserve">следствена връзка между инцидента от 28 април 1993 г. и </w:t>
      </w:r>
      <w:proofErr w:type="spellStart"/>
      <w:r w:rsidR="00F25ED6">
        <w:t>съпричиняващата</w:t>
      </w:r>
      <w:proofErr w:type="spellEnd"/>
      <w:r w:rsidR="00F25ED6">
        <w:t xml:space="preserve"> </w:t>
      </w:r>
      <w:r w:rsidR="000F3873">
        <w:t>небрежност, проявена от четирите въпросни органа на властта. Съо</w:t>
      </w:r>
      <w:r w:rsidR="00124DBF">
        <w:t>тветно</w:t>
      </w:r>
      <w:r w:rsidR="000F3873">
        <w:t xml:space="preserve"> съдът отсъ</w:t>
      </w:r>
      <w:r w:rsidR="00124DBF">
        <w:t>жда</w:t>
      </w:r>
      <w:r w:rsidR="000F3873">
        <w:t xml:space="preserve"> да </w:t>
      </w:r>
      <w:r w:rsidR="000F3873">
        <w:lastRenderedPageBreak/>
        <w:t>платят на жалбоподателя и децата му 100 000 000 турски лири за неимуществени и 10 000 000 турски лири за имуществени вреди (към момента на постановяване на решението тези суми се равняват съответно на 2</w:t>
      </w:r>
      <w:r w:rsidR="00124DBF">
        <w:t xml:space="preserve"> </w:t>
      </w:r>
      <w:r w:rsidR="000F3873">
        <w:t>077 и 208 евро).</w:t>
      </w:r>
    </w:p>
    <w:p w:rsidR="000F3873" w:rsidRPr="0059462F" w:rsidRDefault="000F3873" w:rsidP="000F3873">
      <w:pPr>
        <w:pStyle w:val="JuPara"/>
      </w:pPr>
      <w:r>
        <w:t>Последната сума, определена по справедливост, е ограничена до унищожените домакински пособия, като не включва домашните електроуреди, които жалбоподателят не би трябвало да притежава</w:t>
      </w:r>
      <w:r w:rsidR="00934C81">
        <w:t>.</w:t>
      </w:r>
      <w:r>
        <w:t xml:space="preserve"> </w:t>
      </w:r>
      <w:r w:rsidR="00934C81">
        <w:t>По този въпрос</w:t>
      </w:r>
      <w:r>
        <w:t xml:space="preserve"> съдът очевидно е приел аргумента на органите на властта, че „</w:t>
      </w:r>
      <w:r w:rsidR="00934C81">
        <w:t xml:space="preserve">в </w:t>
      </w:r>
      <w:r>
        <w:t xml:space="preserve">постройките не </w:t>
      </w:r>
      <w:r w:rsidR="00934C81">
        <w:t>е</w:t>
      </w:r>
      <w:r>
        <w:t xml:space="preserve"> имал</w:t>
      </w:r>
      <w:r w:rsidR="00934C81">
        <w:t>о</w:t>
      </w:r>
      <w:r>
        <w:t xml:space="preserve"> водоснабдяване и електричество“. Съдът отхвърл</w:t>
      </w:r>
      <w:r w:rsidR="00934C81">
        <w:t>я</w:t>
      </w:r>
      <w:r>
        <w:t xml:space="preserve"> останалата част от иска, като заяв</w:t>
      </w:r>
      <w:r w:rsidR="00934C81">
        <w:t>ява</w:t>
      </w:r>
      <w:r>
        <w:t>, че жалбоподателят не може да твърди, че е бил лишен от компенсация за пропуснати ползи, тъй като отчасти и той но</w:t>
      </w:r>
      <w:r w:rsidR="00934C81">
        <w:t>с</w:t>
      </w:r>
      <w:r>
        <w:t xml:space="preserve">и отговорност за причинените щети и </w:t>
      </w:r>
      <w:r w:rsidR="00934C81">
        <w:t>жертвите</w:t>
      </w:r>
      <w:r>
        <w:t xml:space="preserve"> са малки деца или домакини, които не са упражнявали трудова заетост срещу заплащане, така че да допринасят за семейния бюджет. Съдът също така постанов</w:t>
      </w:r>
      <w:r w:rsidR="003F7331">
        <w:t>ява</w:t>
      </w:r>
      <w:r>
        <w:t xml:space="preserve">, че жалбоподателят не е имал право да изисква обезщетение за разрушаването на жилището </w:t>
      </w:r>
      <w:r w:rsidR="003F7331">
        <w:t xml:space="preserve">си </w:t>
      </w:r>
      <w:r>
        <w:t>предвид факта, че след инцидента му е предоставен субсидиран апартамент и че, макар окръжния</w:t>
      </w:r>
      <w:r w:rsidR="003F7331">
        <w:t>т</w:t>
      </w:r>
      <w:r>
        <w:t xml:space="preserve"> съвет на </w:t>
      </w:r>
      <w:proofErr w:type="spellStart"/>
      <w:r>
        <w:t>Юмрание</w:t>
      </w:r>
      <w:proofErr w:type="spellEnd"/>
      <w:r>
        <w:t xml:space="preserve"> да не е упражнил правото си да разруши жилището, нищо не е възпрепятствало това да се случи по всяко време.</w:t>
      </w:r>
    </w:p>
    <w:p w:rsidR="000F3873" w:rsidRPr="0059462F" w:rsidRDefault="000F3873" w:rsidP="000F3873">
      <w:pPr>
        <w:pStyle w:val="JuPara"/>
      </w:pPr>
      <w:r>
        <w:t>Накрая съдът реш</w:t>
      </w:r>
      <w:r w:rsidR="003F7331">
        <w:t>ава</w:t>
      </w:r>
      <w:r>
        <w:t xml:space="preserve"> да не се начислява лихва </w:t>
      </w:r>
      <w:r w:rsidR="003F7331">
        <w:t xml:space="preserve">за забава </w:t>
      </w:r>
      <w:r>
        <w:t>върху сумата, присъдена като обезщетение за неимуществени вреди.</w:t>
      </w:r>
    </w:p>
    <w:p w:rsidR="000F3873" w:rsidRPr="0059462F" w:rsidRDefault="008E7633" w:rsidP="000F3873">
      <w:pPr>
        <w:pStyle w:val="JuPara"/>
      </w:pPr>
      <w:fldSimple w:instr=" SEQ level0 \*arabic ">
        <w:r w:rsidR="00A94344">
          <w:rPr>
            <w:noProof/>
          </w:rPr>
          <w:t>41</w:t>
        </w:r>
      </w:fldSimple>
      <w:r w:rsidR="000F3873">
        <w:t>.  Страните обжалва</w:t>
      </w:r>
      <w:r w:rsidR="003F7331">
        <w:t>т</w:t>
      </w:r>
      <w:r w:rsidR="000F3873">
        <w:t xml:space="preserve"> решението пред Върховния административен съд, който отхвърл</w:t>
      </w:r>
      <w:r w:rsidR="003F7331">
        <w:t>я</w:t>
      </w:r>
      <w:r w:rsidR="000F3873">
        <w:t xml:space="preserve"> жалбата им с решение от 21 април 1998 г.</w:t>
      </w:r>
    </w:p>
    <w:p w:rsidR="000F3873" w:rsidRPr="0059462F" w:rsidRDefault="000F3873" w:rsidP="000F3873">
      <w:pPr>
        <w:pStyle w:val="JuPara"/>
      </w:pPr>
      <w:r>
        <w:t>Неуспешн</w:t>
      </w:r>
      <w:r w:rsidR="003F7331">
        <w:t>о</w:t>
      </w:r>
      <w:r>
        <w:t xml:space="preserve"> е и иск</w:t>
      </w:r>
      <w:r w:rsidR="007360B5">
        <w:t>ането</w:t>
      </w:r>
      <w:r>
        <w:t xml:space="preserve"> за поправка на решението, предявен</w:t>
      </w:r>
      <w:r w:rsidR="007360B5">
        <w:t>о</w:t>
      </w:r>
      <w:r>
        <w:t xml:space="preserve"> от градския съвет на Истанбул, така че решението става окончателно и е връчено на жалбоподателя на 10 август 1998 г.</w:t>
      </w:r>
    </w:p>
    <w:p w:rsidR="000F3873" w:rsidRPr="0059462F" w:rsidRDefault="008E7633" w:rsidP="000F3873">
      <w:pPr>
        <w:pStyle w:val="JuPara"/>
      </w:pPr>
      <w:fldSimple w:instr=" SEQ level0 \*arabic ">
        <w:r w:rsidR="00A94344">
          <w:rPr>
            <w:noProof/>
          </w:rPr>
          <w:t>42</w:t>
        </w:r>
      </w:fldSimple>
      <w:r w:rsidR="000F3873">
        <w:t>.  Присъденото обезщетение все още не е изплатено.</w:t>
      </w:r>
    </w:p>
    <w:p w:rsidR="000F3873" w:rsidRPr="0059462F" w:rsidRDefault="000F3873" w:rsidP="006725B0">
      <w:pPr>
        <w:pStyle w:val="JuH1"/>
        <w:widowControl w:val="0"/>
      </w:pPr>
      <w:r>
        <w:t>7.  Резултат от наказателното производство срещу жителите на бедния квартал</w:t>
      </w:r>
    </w:p>
    <w:p w:rsidR="000F3873" w:rsidRPr="0059462F" w:rsidRDefault="008E7633" w:rsidP="000F3873">
      <w:pPr>
        <w:pStyle w:val="JuPara"/>
      </w:pPr>
      <w:fldSimple w:instr=" SEQ level0 \*arabic ">
        <w:r w:rsidR="00A94344">
          <w:rPr>
            <w:noProof/>
          </w:rPr>
          <w:t>43</w:t>
        </w:r>
      </w:fldSimple>
      <w:r w:rsidR="000F3873">
        <w:t>.  На 22 декември 2000 г. влиза в сила Закон № 4616 за прекратяване изпълнението на висящи съдебни мерки във връзка с конкретни престъпления</w:t>
      </w:r>
      <w:r w:rsidR="007360B5">
        <w:t>,</w:t>
      </w:r>
      <w:r w:rsidR="000F3873">
        <w:t xml:space="preserve"> извършени преди 23 април 1999 г.</w:t>
      </w:r>
    </w:p>
    <w:p w:rsidR="00D8632D" w:rsidRDefault="000F3873" w:rsidP="000F3873">
      <w:pPr>
        <w:pStyle w:val="JuPara"/>
      </w:pPr>
      <w:r>
        <w:t>На 22 април 2003 г. Министерството на правосъдието уведом</w:t>
      </w:r>
      <w:r w:rsidR="007360B5">
        <w:t>ява</w:t>
      </w:r>
      <w:r>
        <w:t xml:space="preserve"> прокуратурата на Истанбул, че е </w:t>
      </w:r>
      <w:r w:rsidR="007360B5">
        <w:t xml:space="preserve">било </w:t>
      </w:r>
      <w:r>
        <w:t xml:space="preserve">невъзможно да се приключи висящото наказателно разследване </w:t>
      </w:r>
      <w:r w:rsidR="007360B5">
        <w:t>по отношение на</w:t>
      </w:r>
      <w:r>
        <w:t xml:space="preserve"> обитателите на бедния квартал и че единственото решение в тази връзка е заповедта от 21 май 1993 г.</w:t>
      </w:r>
      <w:r w:rsidR="007360B5">
        <w:t xml:space="preserve"> </w:t>
      </w:r>
      <w:r>
        <w:t xml:space="preserve">за </w:t>
      </w:r>
      <w:r w:rsidR="007360B5">
        <w:t xml:space="preserve">отказ от компетентност </w:t>
      </w:r>
      <w:r>
        <w:t>и че обвинението срещу тях ще изтече поради давност на 28 април 2003 г.</w:t>
      </w:r>
    </w:p>
    <w:p w:rsidR="000F3873" w:rsidRDefault="000F3873" w:rsidP="000F3873">
      <w:pPr>
        <w:pStyle w:val="JuPara"/>
      </w:pPr>
      <w:r>
        <w:t>Впоследствие, на 24 април 2003 г.</w:t>
      </w:r>
      <w:r w:rsidR="00FF56AD">
        <w:t>,</w:t>
      </w:r>
      <w:r>
        <w:t xml:space="preserve"> прокурорът на Истанбул реш</w:t>
      </w:r>
      <w:r w:rsidR="00FF56AD">
        <w:t>ава</w:t>
      </w:r>
      <w:r>
        <w:t xml:space="preserve"> да прекрати започването на наказателно</w:t>
      </w:r>
      <w:r w:rsidR="00FF56AD">
        <w:t>-</w:t>
      </w:r>
      <w:r>
        <w:t xml:space="preserve">следствени действия срещу обитателите, включително </w:t>
      </w:r>
      <w:r w:rsidR="00FF56AD">
        <w:t xml:space="preserve">срещу </w:t>
      </w:r>
      <w:r>
        <w:t>жалбоподателя, като четири дни по-късно наказателните производства срещу тях са прекратени поради давност.</w:t>
      </w:r>
    </w:p>
    <w:p w:rsidR="00FF56AD" w:rsidRDefault="00FF56AD" w:rsidP="000F3873">
      <w:pPr>
        <w:pStyle w:val="JuPara"/>
      </w:pPr>
    </w:p>
    <w:p w:rsidR="00FF56AD" w:rsidRPr="0059462F" w:rsidRDefault="00FF56AD" w:rsidP="000F3873">
      <w:pPr>
        <w:pStyle w:val="JuPara"/>
      </w:pPr>
    </w:p>
    <w:p w:rsidR="000F3873" w:rsidRPr="0059462F" w:rsidRDefault="000F3873" w:rsidP="006725B0">
      <w:pPr>
        <w:pStyle w:val="JuHIRoman"/>
        <w:widowControl w:val="0"/>
      </w:pPr>
      <w:r>
        <w:t>II.  ПРИЛОЖИМО ВЪТРЕШНО ПРАВО И ПРАКТИКА</w:t>
      </w:r>
    </w:p>
    <w:p w:rsidR="000F3873" w:rsidRPr="000F3873" w:rsidRDefault="000F3873" w:rsidP="006725B0">
      <w:pPr>
        <w:pStyle w:val="JuHA0"/>
        <w:widowControl w:val="0"/>
      </w:pPr>
      <w:r>
        <w:t>А.</w:t>
      </w:r>
      <w:r>
        <w:tab/>
        <w:t>Наказателно право на Турция</w:t>
      </w:r>
    </w:p>
    <w:p w:rsidR="000F3873" w:rsidRPr="0059462F" w:rsidRDefault="008E7633" w:rsidP="006725B0">
      <w:pPr>
        <w:pStyle w:val="JuPara"/>
        <w:widowControl w:val="0"/>
      </w:pPr>
      <w:fldSimple w:instr=" SEQ level0 \*arabic ">
        <w:r w:rsidR="00A94344">
          <w:rPr>
            <w:noProof/>
          </w:rPr>
          <w:t>44</w:t>
        </w:r>
      </w:fldSimple>
      <w:r w:rsidR="000F3873">
        <w:t>.  </w:t>
      </w:r>
      <w:r w:rsidR="00FF56AD">
        <w:t xml:space="preserve">Приложимите </w:t>
      </w:r>
      <w:r w:rsidR="000F3873">
        <w:t>разпоредби на Наказателния кодекс гласят след</w:t>
      </w:r>
      <w:r w:rsidR="00FF56AD">
        <w:t>ното</w:t>
      </w:r>
      <w:r w:rsidR="000F3873">
        <w:t>:</w:t>
      </w:r>
    </w:p>
    <w:p w:rsidR="000F3873" w:rsidRPr="0059462F" w:rsidRDefault="000F3873" w:rsidP="006725B0">
      <w:pPr>
        <w:pStyle w:val="JuHArticle"/>
        <w:widowControl w:val="0"/>
      </w:pPr>
      <w:r>
        <w:t>Член 230 §§ 1 и 3</w:t>
      </w:r>
    </w:p>
    <w:p w:rsidR="005076FA" w:rsidRDefault="000F3873" w:rsidP="006725B0">
      <w:pPr>
        <w:pStyle w:val="JuQuot"/>
        <w:widowControl w:val="0"/>
      </w:pPr>
      <w:r>
        <w:t>„Всеки държавен служител, който при изпълнение на обществените си задължения, ... прояви небрежност и забави изпълнението или, без основателни причини, откаже да се съобрази със законови</w:t>
      </w:r>
      <w:r w:rsidR="00FF56AD">
        <w:t>те</w:t>
      </w:r>
      <w:r>
        <w:t xml:space="preserve"> разпоре</w:t>
      </w:r>
      <w:r w:rsidR="00875665">
        <w:t>ждания</w:t>
      </w:r>
      <w:r>
        <w:t xml:space="preserve"> ... на свои</w:t>
      </w:r>
      <w:r w:rsidR="00875665">
        <w:t>те</w:t>
      </w:r>
      <w:r>
        <w:t xml:space="preserve"> ръководители, се наказва с лишаване от свобода за срок от три месеца до една година и с глоба</w:t>
      </w:r>
      <w:r w:rsidR="00875665">
        <w:t xml:space="preserve"> в размер</w:t>
      </w:r>
      <w:r>
        <w:t xml:space="preserve"> от 6</w:t>
      </w:r>
      <w:r w:rsidR="00875665">
        <w:t xml:space="preserve"> </w:t>
      </w:r>
      <w:r>
        <w:t>000 до 30 000 турски лири.</w:t>
      </w:r>
    </w:p>
    <w:p w:rsidR="000F3873" w:rsidRPr="0059462F" w:rsidRDefault="000F3873" w:rsidP="000F3873">
      <w:pPr>
        <w:pStyle w:val="JuQuot"/>
      </w:pPr>
      <w:r>
        <w:t>...</w:t>
      </w:r>
    </w:p>
    <w:p w:rsidR="000F3873" w:rsidRPr="0059462F" w:rsidRDefault="000F3873" w:rsidP="000F3873">
      <w:pPr>
        <w:pStyle w:val="JuQuot"/>
      </w:pPr>
      <w:r>
        <w:t xml:space="preserve">Във всички ... случаи, ако трети страни са понесли </w:t>
      </w:r>
      <w:r w:rsidR="00875665">
        <w:t xml:space="preserve">вреди </w:t>
      </w:r>
      <w:r>
        <w:t xml:space="preserve">заради проявена небрежност или закъснение от страна на въпросния държавен служител, то последният </w:t>
      </w:r>
      <w:r w:rsidR="00875665">
        <w:t xml:space="preserve">също </w:t>
      </w:r>
      <w:r>
        <w:t>носи отговорност за обезщетение за подобни вреди.“</w:t>
      </w:r>
    </w:p>
    <w:p w:rsidR="000F3873" w:rsidRPr="0059462F" w:rsidRDefault="000F3873" w:rsidP="006725B0">
      <w:pPr>
        <w:pStyle w:val="JuHArticle"/>
        <w:widowControl w:val="0"/>
      </w:pPr>
      <w:r>
        <w:t>Член 455 §§ 1 и 2</w:t>
      </w:r>
    </w:p>
    <w:p w:rsidR="000F3873" w:rsidRPr="0059462F" w:rsidRDefault="000F3873" w:rsidP="000F3873">
      <w:pPr>
        <w:pStyle w:val="JuQuot"/>
      </w:pPr>
      <w:r>
        <w:t xml:space="preserve">„Всеки, който поради невнимание, небрежност или липса на опит в професията или занаята, които упражнява, или поради неспазване на законите, заповедите или инструкциите причини смъртта на друг, се наказва с лишаване от свобода за срок от две до пет години и с глоба </w:t>
      </w:r>
      <w:r w:rsidR="00875665">
        <w:t xml:space="preserve">в размер </w:t>
      </w:r>
      <w:r>
        <w:t>от 20 000 до 150 000 турски лири.</w:t>
      </w:r>
    </w:p>
    <w:p w:rsidR="000F3873" w:rsidRPr="0059462F" w:rsidRDefault="000F3873" w:rsidP="000F3873">
      <w:pPr>
        <w:pStyle w:val="JuQuot"/>
      </w:pPr>
      <w:r>
        <w:t>В случай че деянието е довело до смъртта на повече от едно лице или е причинило смъртта на едно лице и наранявания на едно или повече лица ..., извършителят се наказва с лишаване от свобода за срок от четири до десет години и глоба в особено голям размер от най-малко 60 000 турски лири.“</w:t>
      </w:r>
    </w:p>
    <w:p w:rsidR="000F3873" w:rsidRPr="0059462F" w:rsidRDefault="000F3873" w:rsidP="006725B0">
      <w:pPr>
        <w:pStyle w:val="JuHArticle"/>
        <w:widowControl w:val="0"/>
      </w:pPr>
      <w:r>
        <w:t>Член 29 § 8</w:t>
      </w:r>
    </w:p>
    <w:p w:rsidR="000F3873" w:rsidRPr="0059462F" w:rsidRDefault="000F3873" w:rsidP="000F3873">
      <w:pPr>
        <w:pStyle w:val="JuQuot"/>
      </w:pPr>
      <w:r>
        <w:t xml:space="preserve">„Съдът разполага с пълна свобода да определя основната присъда, която може да варира </w:t>
      </w:r>
      <w:r w:rsidR="00DE2E8E">
        <w:t xml:space="preserve">от </w:t>
      </w:r>
      <w:r>
        <w:t>минима</w:t>
      </w:r>
      <w:r w:rsidR="00DE2E8E">
        <w:t>лно до</w:t>
      </w:r>
      <w:r>
        <w:t xml:space="preserve"> максима</w:t>
      </w:r>
      <w:r w:rsidR="00DE2E8E">
        <w:t>лно наказание</w:t>
      </w:r>
      <w:r>
        <w:t xml:space="preserve">, като взема предвид фактори като например обстоятелствата, при които е извършено престъплението, </w:t>
      </w:r>
      <w:r w:rsidR="00DE2E8E">
        <w:t>средствата</w:t>
      </w:r>
      <w:r>
        <w:t xml:space="preserve">, </w:t>
      </w:r>
      <w:r w:rsidR="00DE2E8E">
        <w:t>чрез</w:t>
      </w:r>
      <w:r>
        <w:t xml:space="preserve"> които е извършено, важността и тежестта на престъплението, времето и мястото </w:t>
      </w:r>
      <w:r w:rsidR="00DE2E8E">
        <w:t>на</w:t>
      </w:r>
      <w:r>
        <w:t xml:space="preserve"> извърш</w:t>
      </w:r>
      <w:r w:rsidR="00DE2E8E">
        <w:t>ване</w:t>
      </w:r>
      <w:r>
        <w:t>, различните му елементи, тежестта на нанесените щети и [причинения] риск, степента на [</w:t>
      </w:r>
      <w:r w:rsidR="00DE2E8E">
        <w:t>престъпен</w:t>
      </w:r>
      <w:r>
        <w:t xml:space="preserve">] </w:t>
      </w:r>
      <w:r w:rsidR="00DE2E8E">
        <w:t>умисъл</w:t>
      </w:r>
      <w:r>
        <w:t xml:space="preserve"> ..., причините и мотивите за престъплението, целта, </w:t>
      </w:r>
      <w:r w:rsidR="00FF6255">
        <w:t>криминалното досие</w:t>
      </w:r>
      <w:r>
        <w:t xml:space="preserve">, личностния и социалния статус на извършителя и поведението му по време на [извършеното] деянието. Дори в случаите, когато е наложено минимално наказание, </w:t>
      </w:r>
      <w:r w:rsidR="00FF6255">
        <w:t xml:space="preserve">мотивите </w:t>
      </w:r>
      <w:r>
        <w:t>за присъдата трябва да се посочат в решението.“</w:t>
      </w:r>
    </w:p>
    <w:p w:rsidR="000F3873" w:rsidRPr="0059462F" w:rsidRDefault="000F3873" w:rsidP="006725B0">
      <w:pPr>
        <w:pStyle w:val="JuHArticle"/>
        <w:widowControl w:val="0"/>
      </w:pPr>
      <w:r>
        <w:t>Член 59</w:t>
      </w:r>
    </w:p>
    <w:p w:rsidR="000F3873" w:rsidRPr="0059462F" w:rsidRDefault="000F3873" w:rsidP="006725B0">
      <w:pPr>
        <w:pStyle w:val="JuQuot"/>
        <w:widowControl w:val="0"/>
      </w:pPr>
      <w:r>
        <w:t xml:space="preserve">„В случай че съдът реши, че освен задължителните смекчаващи вината обстоятелства, са налице други такива, които допринасят за намаляване на  наказанието </w:t>
      </w:r>
      <w:r w:rsidR="00616F92">
        <w:t xml:space="preserve">[наложено] </w:t>
      </w:r>
      <w:r>
        <w:t xml:space="preserve">на извършителя, </w:t>
      </w:r>
      <w:r w:rsidR="009A5A24">
        <w:t xml:space="preserve">смъртното </w:t>
      </w:r>
      <w:r>
        <w:t xml:space="preserve">наказание се </w:t>
      </w:r>
      <w:r w:rsidR="009A5A24">
        <w:t>заменя с</w:t>
      </w:r>
      <w:r>
        <w:t xml:space="preserve"> </w:t>
      </w:r>
      <w:r w:rsidR="0001553A">
        <w:lastRenderedPageBreak/>
        <w:t>доживотен затвор</w:t>
      </w:r>
      <w:r>
        <w:t xml:space="preserve"> и лишаване от свобода за срок от тридесет години.</w:t>
      </w:r>
    </w:p>
    <w:p w:rsidR="000F3873" w:rsidRPr="0059462F" w:rsidRDefault="000F3873" w:rsidP="006725B0">
      <w:pPr>
        <w:pStyle w:val="JuQuot"/>
        <w:widowControl w:val="0"/>
      </w:pPr>
      <w:r>
        <w:t>Други</w:t>
      </w:r>
      <w:r w:rsidR="0001553A">
        <w:t>те</w:t>
      </w:r>
      <w:r>
        <w:t xml:space="preserve"> наказания се намаляват максимум с една шеста.“</w:t>
      </w:r>
    </w:p>
    <w:p w:rsidR="000F3873" w:rsidRPr="0059462F" w:rsidRDefault="008E7633" w:rsidP="006725B0">
      <w:pPr>
        <w:pStyle w:val="JuPara"/>
        <w:widowControl w:val="0"/>
      </w:pPr>
      <w:fldSimple w:instr=" SEQ level0 \*arabic ">
        <w:r w:rsidR="00A94344">
          <w:rPr>
            <w:noProof/>
          </w:rPr>
          <w:t>45</w:t>
        </w:r>
      </w:fldSimple>
      <w:r w:rsidR="000F3873">
        <w:t>.  </w:t>
      </w:r>
      <w:r w:rsidR="0001553A">
        <w:t xml:space="preserve">Раздели </w:t>
      </w:r>
      <w:r w:rsidR="000F3873">
        <w:t xml:space="preserve">4(1) и 6(1) от Закона за изпълнение на </w:t>
      </w:r>
      <w:r w:rsidR="0001553A">
        <w:t xml:space="preserve">наказанията </w:t>
      </w:r>
      <w:r w:rsidR="000F3873">
        <w:t>(Закон № 647) глас</w:t>
      </w:r>
      <w:r w:rsidR="0001553A">
        <w:t>ят следното</w:t>
      </w:r>
      <w:r w:rsidR="000F3873">
        <w:t>:</w:t>
      </w:r>
    </w:p>
    <w:p w:rsidR="000F3873" w:rsidRPr="0059462F" w:rsidRDefault="0001553A" w:rsidP="006725B0">
      <w:pPr>
        <w:pStyle w:val="JuHArticle"/>
        <w:widowControl w:val="0"/>
      </w:pPr>
      <w:r>
        <w:t>Раздел</w:t>
      </w:r>
      <w:r w:rsidR="000F3873">
        <w:t xml:space="preserve"> 4(1)</w:t>
      </w:r>
    </w:p>
    <w:p w:rsidR="000F3873" w:rsidRPr="0059462F" w:rsidRDefault="000F3873" w:rsidP="006725B0">
      <w:pPr>
        <w:pStyle w:val="JuQuot"/>
        <w:widowControl w:val="0"/>
      </w:pPr>
      <w:r>
        <w:t xml:space="preserve">„Съдът може, като вземе предвид личността и положението на обвиняемия и обстоятелствата, при които е извършено престъплението, да постанови кратки </w:t>
      </w:r>
      <w:r w:rsidR="002F14F0">
        <w:t xml:space="preserve">наказания лишаване от свобода </w:t>
      </w:r>
      <w:r>
        <w:t>вместо дългосроч</w:t>
      </w:r>
      <w:r w:rsidR="002F14F0">
        <w:t>е</w:t>
      </w:r>
      <w:r>
        <w:t>н</w:t>
      </w:r>
      <w:r w:rsidR="002F14F0">
        <w:t xml:space="preserve"> затвор</w:t>
      </w:r>
      <w:r>
        <w:t>:</w:t>
      </w:r>
    </w:p>
    <w:p w:rsidR="00B34217" w:rsidRDefault="000F3873" w:rsidP="000F3873">
      <w:pPr>
        <w:pStyle w:val="JuQuot"/>
      </w:pPr>
      <w:r>
        <w:t>1.  глоба в особено големи размери ... между 5</w:t>
      </w:r>
      <w:r w:rsidR="002F14F0">
        <w:t xml:space="preserve"> </w:t>
      </w:r>
      <w:r>
        <w:t>000 и 10 000 турски лири на ден;</w:t>
      </w:r>
    </w:p>
    <w:p w:rsidR="000F3873" w:rsidRPr="0059462F" w:rsidRDefault="000F3873" w:rsidP="000F3873">
      <w:pPr>
        <w:pStyle w:val="JuQuot"/>
      </w:pPr>
      <w:r>
        <w:t>... “</w:t>
      </w:r>
    </w:p>
    <w:p w:rsidR="000F3873" w:rsidRPr="0059462F" w:rsidRDefault="0001553A" w:rsidP="006725B0">
      <w:pPr>
        <w:pStyle w:val="JuHArticle"/>
        <w:widowControl w:val="0"/>
      </w:pPr>
      <w:r>
        <w:t>Раздел</w:t>
      </w:r>
      <w:r w:rsidR="000F3873">
        <w:t xml:space="preserve"> 6(1)</w:t>
      </w:r>
    </w:p>
    <w:p w:rsidR="000F3873" w:rsidRPr="0059462F" w:rsidRDefault="000F3873" w:rsidP="000F3873">
      <w:pPr>
        <w:pStyle w:val="JuQuot"/>
      </w:pPr>
      <w:r>
        <w:t>„В случаите когато лице, което не е осъждано никога ... освен с наложена глоба, е осъдено на ... глоба ... и/или лишаване от свобода [до] една година, изпълнението на присъдата може да се преустанови, ако съдът прецени, че [обвиняемият], предвид склонността му към наруш</w:t>
      </w:r>
      <w:r w:rsidR="002F14F0">
        <w:t>аване</w:t>
      </w:r>
      <w:r>
        <w:t xml:space="preserve"> на закона, няма да извърши друго престъпление, ако изпълнението на присъдата </w:t>
      </w:r>
      <w:r w:rsidR="00A466BC">
        <w:t>с</w:t>
      </w:r>
      <w:r>
        <w:t>е преустанов</w:t>
      </w:r>
      <w:r w:rsidR="00A466BC">
        <w:t>и</w:t>
      </w:r>
      <w:r>
        <w:t xml:space="preserve"> по такъв начин ...“</w:t>
      </w:r>
    </w:p>
    <w:p w:rsidR="000F3873" w:rsidRPr="0059462F" w:rsidRDefault="008E7633" w:rsidP="000F3873">
      <w:pPr>
        <w:pStyle w:val="JuPara"/>
      </w:pPr>
      <w:fldSimple w:instr=" SEQ level0 \*arabic ">
        <w:r w:rsidR="00A94344">
          <w:rPr>
            <w:noProof/>
          </w:rPr>
          <w:t>46</w:t>
        </w:r>
      </w:fldSimple>
      <w:r w:rsidR="000F3873">
        <w:t>.  Съгласно Наказателно</w:t>
      </w:r>
      <w:r w:rsidR="00A466BC">
        <w:t>-</w:t>
      </w:r>
      <w:r w:rsidR="000F3873">
        <w:t>процесуалния кодекс прокурор, който по какъвто и да е начин е в течение на ситуация, която буди подозрения за извършено престъпление, трябва да разследва фактите с оглед вземането на решение дали да бъдат образувани наказателни производства (чл</w:t>
      </w:r>
      <w:r w:rsidR="00A466BC">
        <w:t>.</w:t>
      </w:r>
      <w:r w:rsidR="000F3873">
        <w:t xml:space="preserve"> 153). Въпреки това обаче, в случай че заподозреният извършител е държавен служител и престъплението е извършено в изпълнение на задълженията му, разследването на случая се води </w:t>
      </w:r>
      <w:r w:rsidR="00A466BC">
        <w:t xml:space="preserve">съгласно </w:t>
      </w:r>
      <w:r w:rsidR="000F3873">
        <w:t xml:space="preserve">Закона за разследването на държавни служители от 1914 г., който ограничава </w:t>
      </w:r>
      <w:r w:rsidR="00DC162B">
        <w:t xml:space="preserve">компетентността </w:t>
      </w:r>
      <w:r w:rsidR="000F3873">
        <w:t xml:space="preserve">на прокурора </w:t>
      </w:r>
      <w:proofErr w:type="spellStart"/>
      <w:r w:rsidR="00DC162B" w:rsidRPr="0059462F">
        <w:rPr>
          <w:i/>
        </w:rPr>
        <w:t>ratione</w:t>
      </w:r>
      <w:proofErr w:type="spellEnd"/>
      <w:r w:rsidR="00DC162B" w:rsidRPr="0059462F">
        <w:rPr>
          <w:i/>
        </w:rPr>
        <w:t xml:space="preserve"> </w:t>
      </w:r>
      <w:proofErr w:type="spellStart"/>
      <w:r w:rsidR="00DC162B" w:rsidRPr="0059462F">
        <w:rPr>
          <w:i/>
        </w:rPr>
        <w:t>personae</w:t>
      </w:r>
      <w:proofErr w:type="spellEnd"/>
      <w:r w:rsidR="000F3873">
        <w:t xml:space="preserve"> във връзка с този етап на производството. В такива случаи, съответният местен административен съвет (за окръга или провинцията, в зависимост от </w:t>
      </w:r>
      <w:r w:rsidR="00DC162B">
        <w:t>ранга</w:t>
      </w:r>
      <w:r w:rsidR="000F3873">
        <w:t xml:space="preserve"> на </w:t>
      </w:r>
      <w:r w:rsidR="00DC162B">
        <w:t>заподозрения</w:t>
      </w:r>
      <w:r w:rsidR="000F3873">
        <w:t>) извършва предварителното разследване и впоследствие взема решение дали да</w:t>
      </w:r>
      <w:r w:rsidR="00DC162B">
        <w:t xml:space="preserve"> </w:t>
      </w:r>
      <w:r w:rsidR="00BD3D0A">
        <w:t>повдига</w:t>
      </w:r>
      <w:r w:rsidR="00DC162B">
        <w:t xml:space="preserve"> </w:t>
      </w:r>
      <w:r w:rsidR="00BD3D0A">
        <w:t>съдебно преследване</w:t>
      </w:r>
      <w:r w:rsidR="000F3873">
        <w:t>.</w:t>
      </w:r>
    </w:p>
    <w:p w:rsidR="000F3873" w:rsidRPr="0059462F" w:rsidRDefault="000F3873" w:rsidP="000F3873">
      <w:pPr>
        <w:pStyle w:val="JuPara"/>
      </w:pPr>
      <w:r>
        <w:t xml:space="preserve">Решението на съвета може да се обжалва пред Върховния административен съд. В случай че се вземе решение </w:t>
      </w:r>
      <w:r w:rsidR="00BD3D0A">
        <w:t>да не се повдига съдебно преследване</w:t>
      </w:r>
      <w:r>
        <w:t xml:space="preserve">, </w:t>
      </w:r>
      <w:r w:rsidR="003A7345">
        <w:t>делото</w:t>
      </w:r>
      <w:r>
        <w:t xml:space="preserve"> автоматично се отнася до този съд.</w:t>
      </w:r>
    </w:p>
    <w:p w:rsidR="00D8632D" w:rsidRDefault="008E7633" w:rsidP="000F3873">
      <w:pPr>
        <w:pStyle w:val="JuPara"/>
      </w:pPr>
      <w:fldSimple w:instr=" SEQ level0 \*arabic ">
        <w:r w:rsidR="00A94344">
          <w:rPr>
            <w:noProof/>
          </w:rPr>
          <w:t>47</w:t>
        </w:r>
      </w:fldSimple>
      <w:r w:rsidR="000F3873">
        <w:t xml:space="preserve">.  Наказателното законодателство на Турция дава възможност на </w:t>
      </w:r>
      <w:r w:rsidR="00E505AE">
        <w:t>жалбоподателите</w:t>
      </w:r>
      <w:r w:rsidR="000F3873">
        <w:t xml:space="preserve"> да участват в наказателни производства. Чл</w:t>
      </w:r>
      <w:r w:rsidR="00074213">
        <w:t>.</w:t>
      </w:r>
      <w:r w:rsidR="000F3873">
        <w:t xml:space="preserve"> 365 от Наказателно</w:t>
      </w:r>
      <w:r w:rsidR="00074213">
        <w:t>-</w:t>
      </w:r>
      <w:r w:rsidR="000F3873">
        <w:t>процесуалния</w:t>
      </w:r>
      <w:r w:rsidR="00074213">
        <w:t>т</w:t>
      </w:r>
      <w:r w:rsidR="000F3873">
        <w:t xml:space="preserve"> кодекс съдържа разпоредба, която позволява на </w:t>
      </w:r>
      <w:r w:rsidR="006D47F8">
        <w:t>жалбоподателя</w:t>
      </w:r>
      <w:r w:rsidR="000F3873">
        <w:t xml:space="preserve"> и на всеки, който прецени, че е </w:t>
      </w:r>
      <w:r w:rsidR="00074213">
        <w:t>претърпял вреда</w:t>
      </w:r>
      <w:r w:rsidR="000F3873">
        <w:t xml:space="preserve"> в резултат на криминално престъпление, да подаде молба за присъединяване като „</w:t>
      </w:r>
      <w:r w:rsidR="003E13E4">
        <w:t xml:space="preserve">встъпила </w:t>
      </w:r>
      <w:r w:rsidR="000F3873">
        <w:t>страна“ в производството, което вече е образувано от прокурора</w:t>
      </w:r>
      <w:r w:rsidR="00402C14" w:rsidRPr="00833B88">
        <w:t>,</w:t>
      </w:r>
      <w:r w:rsidR="000F3873">
        <w:t xml:space="preserve"> и впоследствие да упражнява действия </w:t>
      </w:r>
      <w:r w:rsidR="00811378" w:rsidRPr="00833B88">
        <w:t>успоре</w:t>
      </w:r>
      <w:r w:rsidR="00811378">
        <w:t xml:space="preserve">дно </w:t>
      </w:r>
      <w:r w:rsidR="000F3873">
        <w:t xml:space="preserve">с </w:t>
      </w:r>
      <w:r w:rsidR="00811378">
        <w:t>прокуратурата</w:t>
      </w:r>
      <w:r w:rsidR="000F3873">
        <w:t>. След консултации с прокурора, съдът вз</w:t>
      </w:r>
      <w:r w:rsidR="00811378">
        <w:t>има</w:t>
      </w:r>
      <w:r w:rsidR="000F3873">
        <w:t xml:space="preserve"> </w:t>
      </w:r>
      <w:r w:rsidR="000F3873">
        <w:lastRenderedPageBreak/>
        <w:t xml:space="preserve">решение относно допустимостта на молбата за присъединяване към производството </w:t>
      </w:r>
      <w:r w:rsidR="00811378">
        <w:t>като</w:t>
      </w:r>
      <w:r w:rsidR="000F3873">
        <w:t xml:space="preserve"> </w:t>
      </w:r>
      <w:r w:rsidR="00811378">
        <w:t xml:space="preserve">встъпила </w:t>
      </w:r>
      <w:r w:rsidR="000F3873">
        <w:t>страна (чл</w:t>
      </w:r>
      <w:r w:rsidR="00811378">
        <w:t>.</w:t>
      </w:r>
      <w:r w:rsidR="000F3873">
        <w:t xml:space="preserve"> 366 от Наказателно</w:t>
      </w:r>
      <w:r w:rsidR="00811378">
        <w:t>-</w:t>
      </w:r>
      <w:r w:rsidR="000F3873">
        <w:t>процесуалния кодекс).</w:t>
      </w:r>
    </w:p>
    <w:p w:rsidR="000F3873" w:rsidRPr="0059462F" w:rsidRDefault="008E7633" w:rsidP="000F3873">
      <w:pPr>
        <w:pStyle w:val="JuPara"/>
      </w:pPr>
      <w:fldSimple w:instr=" SEQ level0 \*arabic ">
        <w:r w:rsidR="00A94344">
          <w:rPr>
            <w:noProof/>
          </w:rPr>
          <w:t>48</w:t>
        </w:r>
      </w:fldSimple>
      <w:r w:rsidR="000F3873">
        <w:t xml:space="preserve">.  В случай че молбата бъде уважена, </w:t>
      </w:r>
      <w:r w:rsidR="008E2918">
        <w:t xml:space="preserve">встъпилата </w:t>
      </w:r>
      <w:r w:rsidR="000F3873">
        <w:t>страна може, наред с другото, да отправи иск за обезщетение за вреди, причинени му в качеството на пряк</w:t>
      </w:r>
      <w:r w:rsidR="00C849E6">
        <w:t>а</w:t>
      </w:r>
      <w:r w:rsidR="000F3873">
        <w:t xml:space="preserve"> </w:t>
      </w:r>
      <w:r w:rsidR="00C849E6">
        <w:t>жертва</w:t>
      </w:r>
      <w:r w:rsidR="000F3873">
        <w:t xml:space="preserve"> в резултат на престъплението. Тази възможност, която е подобна на тези, които предлагат „</w:t>
      </w:r>
      <w:r w:rsidR="00CF5C8C">
        <w:t xml:space="preserve">жалбите с </w:t>
      </w:r>
      <w:r w:rsidR="000F3873">
        <w:t>гражданско</w:t>
      </w:r>
      <w:r w:rsidR="000F3873">
        <w:noBreakHyphen/>
        <w:t>прав</w:t>
      </w:r>
      <w:r w:rsidR="00CF5C8C">
        <w:t>е</w:t>
      </w:r>
      <w:r w:rsidR="000F3873">
        <w:t>н</w:t>
      </w:r>
      <w:r w:rsidR="00CF5C8C">
        <w:t xml:space="preserve"> характер“</w:t>
      </w:r>
      <w:r w:rsidR="000F3873">
        <w:t xml:space="preserve"> или „гражданските </w:t>
      </w:r>
      <w:r w:rsidR="00892160">
        <w:t>искове</w:t>
      </w:r>
      <w:r w:rsidR="000F3873">
        <w:t>“ в законодателствата на редица държави</w:t>
      </w:r>
      <w:r w:rsidR="00892160">
        <w:t>-</w:t>
      </w:r>
      <w:r w:rsidR="000F3873">
        <w:t xml:space="preserve">членки на Съвета на Европа, въпреки това </w:t>
      </w:r>
      <w:r w:rsidR="00892160">
        <w:t xml:space="preserve">е предмет на </w:t>
      </w:r>
      <w:r w:rsidR="000F3873">
        <w:t>определени точни правила. Съгласно съдебн</w:t>
      </w:r>
      <w:r w:rsidR="00A06B38">
        <w:t>а</w:t>
      </w:r>
      <w:r w:rsidR="000F3873">
        <w:t>т</w:t>
      </w:r>
      <w:r w:rsidR="00A06B38">
        <w:t>а</w:t>
      </w:r>
      <w:r w:rsidR="000F3873">
        <w:t xml:space="preserve"> практик</w:t>
      </w:r>
      <w:r w:rsidR="00A06B38">
        <w:t>а</w:t>
      </w:r>
      <w:r w:rsidR="000F3873">
        <w:t xml:space="preserve"> на Касационния съд, за да се вземе решение за присъждане на обезщетение за извършено престъпление, потърпевшият трябва не само да подаде </w:t>
      </w:r>
      <w:r w:rsidR="00A06B38">
        <w:t xml:space="preserve">искане </w:t>
      </w:r>
      <w:r w:rsidR="000F3873">
        <w:t xml:space="preserve">за участие в производството като </w:t>
      </w:r>
      <w:r w:rsidR="00A06B38">
        <w:t xml:space="preserve">встъпила </w:t>
      </w:r>
      <w:r w:rsidR="000F3873">
        <w:t>страна, но също така трябва изрично да предяви правото си на обезщетение. Съгласно законодателството на Турция, подобен иск не се счита за неделим</w:t>
      </w:r>
      <w:r w:rsidR="005057FF">
        <w:t>а</w:t>
      </w:r>
      <w:r w:rsidR="000F3873">
        <w:t xml:space="preserve"> част от </w:t>
      </w:r>
      <w:r w:rsidR="005057FF">
        <w:t>искането з</w:t>
      </w:r>
      <w:r w:rsidR="000F3873">
        <w:t xml:space="preserve">а </w:t>
      </w:r>
      <w:r w:rsidR="005057FF">
        <w:t>встъпила</w:t>
      </w:r>
      <w:r w:rsidR="000F3873">
        <w:t xml:space="preserve"> страна. Искът за обезщетение не трябва да се повдига непременно заедно с </w:t>
      </w:r>
      <w:r w:rsidR="006754DF">
        <w:t xml:space="preserve">искането </w:t>
      </w:r>
      <w:r w:rsidR="000F3873">
        <w:t xml:space="preserve">за присъединяване като </w:t>
      </w:r>
      <w:r w:rsidR="006754DF">
        <w:t xml:space="preserve">встъпила </w:t>
      </w:r>
      <w:r w:rsidR="000F3873">
        <w:t xml:space="preserve">страна; той може да бъде повдигнат на по-късен етап, при условие, че вече не са </w:t>
      </w:r>
      <w:r w:rsidR="006754DF">
        <w:t xml:space="preserve">заведени </w:t>
      </w:r>
      <w:r w:rsidR="000F3873">
        <w:t>искове за понесени щети пред гражданските или административните съдилища. Освен това всички искове за обезщетение по смисъла на чл</w:t>
      </w:r>
      <w:r w:rsidR="00261E4A">
        <w:t>.</w:t>
      </w:r>
      <w:r w:rsidR="000F3873">
        <w:t xml:space="preserve"> 358 (или чл</w:t>
      </w:r>
      <w:r w:rsidR="00261E4A">
        <w:t>.</w:t>
      </w:r>
      <w:r w:rsidR="000F3873">
        <w:t xml:space="preserve"> 365 § 2) от Наказателно</w:t>
      </w:r>
      <w:r w:rsidR="00261E4A">
        <w:t>-</w:t>
      </w:r>
      <w:r w:rsidR="000F3873">
        <w:t>процесуалния кодекс следва да бъдат конкретни и обосновани, тъй като при разглеждането им наказателните съдилища трябва да приложат съответните гражданско</w:t>
      </w:r>
      <w:r w:rsidR="00261E4A">
        <w:t>-</w:t>
      </w:r>
      <w:r w:rsidR="000F3873">
        <w:t>правни разпоредби, включително забраната за присъждане на сума, по-висока от тази на иска</w:t>
      </w:r>
      <w:r w:rsidR="00261E4A">
        <w:t>.</w:t>
      </w:r>
      <w:r w:rsidR="000F3873">
        <w:t xml:space="preserve"> За да бъде взето решение относно правото на обезщетение на </w:t>
      </w:r>
      <w:r w:rsidR="00261E4A">
        <w:t xml:space="preserve">встъпилата </w:t>
      </w:r>
      <w:r w:rsidR="000F3873">
        <w:t>страна, е необходимо да бъде повдигнато обвинение на обвиняемия.</w:t>
      </w:r>
    </w:p>
    <w:p w:rsidR="000F3873" w:rsidRPr="000F3873" w:rsidRDefault="000F3873" w:rsidP="006725B0">
      <w:pPr>
        <w:pStyle w:val="JuHA0"/>
        <w:widowControl w:val="0"/>
      </w:pPr>
      <w:r>
        <w:t>Б.</w:t>
      </w:r>
      <w:r>
        <w:tab/>
        <w:t>Административни и граждански средства срещу държавните служители</w:t>
      </w:r>
    </w:p>
    <w:p w:rsidR="000F3873" w:rsidRPr="0059462F" w:rsidRDefault="000F3873" w:rsidP="006725B0">
      <w:pPr>
        <w:pStyle w:val="JuH1"/>
        <w:widowControl w:val="0"/>
      </w:pPr>
      <w:r>
        <w:t>1.  Административни производства</w:t>
      </w:r>
    </w:p>
    <w:p w:rsidR="000F3873" w:rsidRPr="0059462F" w:rsidRDefault="008E7633" w:rsidP="000F3873">
      <w:pPr>
        <w:pStyle w:val="JuPara"/>
      </w:pPr>
      <w:fldSimple w:instr=" SEQ level0 \*arabic ">
        <w:r w:rsidR="00A94344">
          <w:rPr>
            <w:noProof/>
          </w:rPr>
          <w:t>49</w:t>
        </w:r>
      </w:fldSimple>
      <w:r w:rsidR="000F3873">
        <w:t>.  Във връзка с гражданската и административната отговорност, произтичаща от криминалните престъпления, чл</w:t>
      </w:r>
      <w:r w:rsidR="00F261F4">
        <w:t>.</w:t>
      </w:r>
      <w:r w:rsidR="000F3873">
        <w:t xml:space="preserve"> 13 </w:t>
      </w:r>
      <w:r w:rsidR="00F261F4">
        <w:t>от</w:t>
      </w:r>
      <w:r w:rsidR="000F3873">
        <w:t xml:space="preserve"> </w:t>
      </w:r>
      <w:r w:rsidR="00F261F4">
        <w:t>Административно-процесуалния кодекс</w:t>
      </w:r>
      <w:r w:rsidR="000F3873">
        <w:t xml:space="preserve"> (Закон № 2577) постановява, че всеки, претърпял щети в резултат на действие, извършено от административните органи, може да предяви иск за обезщетение към тях в рамките на една година от извършването. В случай, че искът се отхвърли изцяло или отчасти</w:t>
      </w:r>
      <w:r w:rsidR="004D5F09">
        <w:t xml:space="preserve"> </w:t>
      </w:r>
      <w:r w:rsidR="000F3873">
        <w:t>или в случай че не бъде получен отговор в рамките на шестдесет дни, пострадалият има право да заведе административно дело.</w:t>
      </w:r>
    </w:p>
    <w:p w:rsidR="000F3873" w:rsidRPr="0059462F" w:rsidRDefault="000F3873" w:rsidP="000F3873">
      <w:pPr>
        <w:pStyle w:val="JuPara"/>
      </w:pPr>
      <w:r>
        <w:lastRenderedPageBreak/>
        <w:t>Организацията на административните съдилища и статут</w:t>
      </w:r>
      <w:r w:rsidR="004D5F09">
        <w:t>ът</w:t>
      </w:r>
      <w:r>
        <w:t xml:space="preserve"> на съдиите им се ръководи от Закона за административните съдилища (правомощия и състав) (Закон № 2576) от 6 януари 1982 г. и Закона за Върховния административен съд (Закон № 2575).</w:t>
      </w:r>
    </w:p>
    <w:p w:rsidR="000F3873" w:rsidRPr="0059462F" w:rsidRDefault="000F3873" w:rsidP="006725B0">
      <w:pPr>
        <w:pStyle w:val="JuH1"/>
        <w:widowControl w:val="0"/>
      </w:pPr>
      <w:r>
        <w:t>2.  Граждански производства</w:t>
      </w:r>
    </w:p>
    <w:p w:rsidR="000F3873" w:rsidRPr="0059462F" w:rsidRDefault="008E7633" w:rsidP="000F3873">
      <w:pPr>
        <w:pStyle w:val="JuPara"/>
      </w:pPr>
      <w:fldSimple w:instr=" SEQ level0 \*arabic ">
        <w:r w:rsidR="00A94344">
          <w:rPr>
            <w:noProof/>
          </w:rPr>
          <w:t>50</w:t>
        </w:r>
      </w:fldSimple>
      <w:r w:rsidR="000F3873">
        <w:t>.  Съгласно Кодекса на задълженията, всеки, който е понесъл щети в резултат на закононаруш</w:t>
      </w:r>
      <w:r w:rsidR="002F5459">
        <w:t>ение</w:t>
      </w:r>
      <w:r w:rsidR="000F3873">
        <w:t xml:space="preserve"> или криминално деяние, може да заведе дело за имуществени (членове 41</w:t>
      </w:r>
      <w:r w:rsidR="002F5459">
        <w:t>-</w:t>
      </w:r>
      <w:r w:rsidR="000F3873">
        <w:t>46) и неимуществени загуби (</w:t>
      </w:r>
      <w:r w:rsidR="002F5459">
        <w:t>ч</w:t>
      </w:r>
      <w:r w:rsidR="000F3873">
        <w:t>л</w:t>
      </w:r>
      <w:r w:rsidR="002F5459">
        <w:t>.</w:t>
      </w:r>
      <w:r w:rsidR="000F3873">
        <w:t xml:space="preserve"> 47). Гражданските съдилища не са задължени да се съобразяват със заключенията или присъдите на наказателните </w:t>
      </w:r>
      <w:r w:rsidR="002F5459">
        <w:t xml:space="preserve">съдилища </w:t>
      </w:r>
      <w:r w:rsidR="000F3873">
        <w:t>по въпросите за вината на обвиняемия (чл</w:t>
      </w:r>
      <w:r w:rsidR="002F5459">
        <w:t>.</w:t>
      </w:r>
      <w:r w:rsidR="000F3873">
        <w:t xml:space="preserve"> 53).</w:t>
      </w:r>
    </w:p>
    <w:p w:rsidR="000F3873" w:rsidRPr="0059462F" w:rsidRDefault="000F3873" w:rsidP="000F3873">
      <w:pPr>
        <w:pStyle w:val="JuPara"/>
      </w:pPr>
      <w:r>
        <w:t xml:space="preserve">Въпреки това съгласно </w:t>
      </w:r>
      <w:r w:rsidR="002047A9">
        <w:t xml:space="preserve">раздел </w:t>
      </w:r>
      <w:r>
        <w:t xml:space="preserve">13 от Закона за държавните служители (Закон № 657), всеки, който е претърпял загуба в резултат на действие, извършено в изпълнение на </w:t>
      </w:r>
      <w:proofErr w:type="spellStart"/>
      <w:r w:rsidR="00670A2C">
        <w:t>публичноправни</w:t>
      </w:r>
      <w:proofErr w:type="spellEnd"/>
      <w:r w:rsidR="00670A2C">
        <w:t xml:space="preserve"> </w:t>
      </w:r>
      <w:r>
        <w:t xml:space="preserve">задължения може, на теория, да заведе дело само срещу публичния орган, където е работил съответния държавен служител, а не </w:t>
      </w:r>
      <w:r w:rsidR="00670A2C">
        <w:t xml:space="preserve">директно </w:t>
      </w:r>
      <w:r>
        <w:t xml:space="preserve">срещу </w:t>
      </w:r>
      <w:r w:rsidR="00670A2C">
        <w:t xml:space="preserve">последния </w:t>
      </w:r>
      <w:r>
        <w:t>(чл</w:t>
      </w:r>
      <w:r w:rsidR="00670A2C">
        <w:t>.</w:t>
      </w:r>
      <w:r>
        <w:t xml:space="preserve"> 129 § 5 от Конституцията и членове 55 и 100 от Кодекса на задълженията). Това </w:t>
      </w:r>
      <w:r w:rsidR="00B831DB">
        <w:t>обаче</w:t>
      </w:r>
      <w:r>
        <w:t xml:space="preserve"> не е абсолютно правило. Когато дадено деяние е в нарушение на закона или </w:t>
      </w:r>
      <w:r w:rsidR="00B831DB">
        <w:t xml:space="preserve">е </w:t>
      </w:r>
      <w:r>
        <w:t xml:space="preserve">криминално, като следователно не може повече да бъде „административно“ действие или </w:t>
      </w:r>
      <w:r w:rsidR="00B831DB">
        <w:t>деяние</w:t>
      </w:r>
      <w:r>
        <w:t>, гражданските съдилища могат да разрешат да се предяви иск за нанесени вреди срещу съответния служител, без да се засяга правото на пострадалия да заведе дело срещу съответния орган въз основа на съвместната отговорност като работодател на служителя (чл</w:t>
      </w:r>
      <w:r w:rsidR="00872645">
        <w:t>.</w:t>
      </w:r>
      <w:r>
        <w:t xml:space="preserve"> 50 от Кодекса на задълженията).</w:t>
      </w:r>
    </w:p>
    <w:p w:rsidR="000F3873" w:rsidRPr="000F3873" w:rsidRDefault="000F3873" w:rsidP="006725B0">
      <w:pPr>
        <w:pStyle w:val="JuHA0"/>
        <w:widowControl w:val="0"/>
      </w:pPr>
      <w:r>
        <w:t>В.</w:t>
      </w:r>
      <w:r>
        <w:tab/>
        <w:t>Изпълнение на решенията на съда от страна на властите</w:t>
      </w:r>
    </w:p>
    <w:p w:rsidR="000F3873" w:rsidRPr="0059462F" w:rsidRDefault="008E7633" w:rsidP="000F3873">
      <w:pPr>
        <w:pStyle w:val="JuPara"/>
      </w:pPr>
      <w:fldSimple w:instr=" SEQ level0 \*arabic ">
        <w:r w:rsidR="00A94344">
          <w:rPr>
            <w:noProof/>
          </w:rPr>
          <w:t>51</w:t>
        </w:r>
      </w:fldSimple>
      <w:r w:rsidR="000F3873">
        <w:t>.  Чл</w:t>
      </w:r>
      <w:r w:rsidR="00872645">
        <w:t>.</w:t>
      </w:r>
      <w:r w:rsidR="000F3873">
        <w:t xml:space="preserve"> 138 § 4 от Конституцията </w:t>
      </w:r>
      <w:r w:rsidR="005656B5">
        <w:t xml:space="preserve">от 1982 г. </w:t>
      </w:r>
      <w:r w:rsidR="000F3873">
        <w:t>гласи:</w:t>
      </w:r>
    </w:p>
    <w:p w:rsidR="000F3873" w:rsidRPr="0059462F" w:rsidRDefault="000F3873" w:rsidP="000F3873">
      <w:pPr>
        <w:pStyle w:val="JuQuot"/>
      </w:pPr>
      <w:r>
        <w:t>„Органите на изпълнителната и законодателната власт и властите трябва да изпълняват решенията на съда; те не могат при никакви обстоятелства да променят решенията на съда или да отлагат изпълнението им.“</w:t>
      </w:r>
    </w:p>
    <w:p w:rsidR="000F3873" w:rsidRPr="0059462F" w:rsidRDefault="000F3873" w:rsidP="000F3873">
      <w:pPr>
        <w:pStyle w:val="JuPara"/>
      </w:pPr>
      <w:r>
        <w:t>Чл</w:t>
      </w:r>
      <w:r w:rsidR="005656B5">
        <w:t>.</w:t>
      </w:r>
      <w:r>
        <w:t xml:space="preserve"> 28 § 2 от Наказателно</w:t>
      </w:r>
      <w:r w:rsidR="005656B5">
        <w:t>-</w:t>
      </w:r>
      <w:r>
        <w:t>процесуалния кодекс гласи:</w:t>
      </w:r>
    </w:p>
    <w:p w:rsidR="000F3873" w:rsidRPr="0059462F" w:rsidRDefault="005076FA" w:rsidP="000F3873">
      <w:pPr>
        <w:pStyle w:val="JuQuot"/>
      </w:pPr>
      <w:r>
        <w:t>„Решенията, определящи административно</w:t>
      </w:r>
      <w:r w:rsidR="005656B5">
        <w:t>-</w:t>
      </w:r>
      <w:r>
        <w:t xml:space="preserve">правните </w:t>
      </w:r>
      <w:r w:rsidR="005656B5">
        <w:t>искове за</w:t>
      </w:r>
      <w:r>
        <w:t xml:space="preserve"> конкретна сума се прилагат ... съгласно разпоредбите на об</w:t>
      </w:r>
      <w:r w:rsidR="00E12D18">
        <w:t>щия</w:t>
      </w:r>
      <w:r>
        <w:t xml:space="preserve"> прав</w:t>
      </w:r>
      <w:r w:rsidR="00E12D18">
        <w:t>ен ред</w:t>
      </w:r>
      <w:r>
        <w:t>.“</w:t>
      </w:r>
    </w:p>
    <w:p w:rsidR="000F3873" w:rsidRPr="0059462F" w:rsidRDefault="000F3873" w:rsidP="000F3873">
      <w:pPr>
        <w:pStyle w:val="JuPara"/>
      </w:pPr>
      <w:r>
        <w:t xml:space="preserve">Съгласно </w:t>
      </w:r>
      <w:r w:rsidR="00E12D18">
        <w:t>раздел</w:t>
      </w:r>
      <w:r>
        <w:t xml:space="preserve"> 82(1) от Закона за </w:t>
      </w:r>
      <w:r w:rsidR="00E12D18">
        <w:t xml:space="preserve">принудителното изпълнение </w:t>
      </w:r>
      <w:r>
        <w:t xml:space="preserve">и несъстоятелността (Закон № 2004) държавната собственост и собствеността, която не може да бъде отнемана съгласно съответното законодателство, не може да се конфискува. </w:t>
      </w:r>
      <w:r w:rsidR="00FA53E0">
        <w:t>Раздел</w:t>
      </w:r>
      <w:r>
        <w:t xml:space="preserve"> 19(7) </w:t>
      </w:r>
      <w:r w:rsidR="00FA53E0">
        <w:t>от</w:t>
      </w:r>
      <w:r>
        <w:t xml:space="preserve"> Закона за общините (Закон № 1580 от 3 април 1930 г.) постановява, че общинската собственост може да се конфискува</w:t>
      </w:r>
      <w:r w:rsidR="00FA53E0">
        <w:t>,</w:t>
      </w:r>
      <w:r>
        <w:t xml:space="preserve"> само ако не е предназначена за обществено ползване.</w:t>
      </w:r>
    </w:p>
    <w:p w:rsidR="000F3873" w:rsidRPr="0059462F" w:rsidRDefault="000F3873" w:rsidP="000F3873">
      <w:pPr>
        <w:pStyle w:val="JuPara"/>
      </w:pPr>
      <w:r>
        <w:lastRenderedPageBreak/>
        <w:t>Съгласно турската правна теория в тази сфера, от посочените по-горе разпоредби произтича, че ако властите сами не спазят окончателното и подлежащо на изпълнение решение на съда, постановяващо обезщетение, заинтересованата страна може да заведе изпълнително дело по об</w:t>
      </w:r>
      <w:r w:rsidR="00237FB0">
        <w:t>щия п</w:t>
      </w:r>
      <w:r>
        <w:t>рав</w:t>
      </w:r>
      <w:r w:rsidR="00237FB0">
        <w:t>ен ред</w:t>
      </w:r>
      <w:r>
        <w:t>. В такъ</w:t>
      </w:r>
      <w:r w:rsidR="00237FB0">
        <w:t>в</w:t>
      </w:r>
      <w:r>
        <w:t xml:space="preserve"> случай съответната институция има право да налага на властите мерките, определени в Закон № 2004, макар че конфискацията остава само в изключителни случаи.</w:t>
      </w:r>
    </w:p>
    <w:p w:rsidR="000F3873" w:rsidRPr="000F3873" w:rsidRDefault="000F3873" w:rsidP="00957CEB">
      <w:pPr>
        <w:pStyle w:val="JuHA0"/>
        <w:keepNext/>
      </w:pPr>
      <w:r>
        <w:t>Г.</w:t>
      </w:r>
      <w:r>
        <w:tab/>
      </w:r>
      <w:r w:rsidR="00237FB0">
        <w:t xml:space="preserve">Правила </w:t>
      </w:r>
      <w:r>
        <w:t>във връзка с незаконни постройки и сметища за битови отпадъци</w:t>
      </w:r>
    </w:p>
    <w:p w:rsidR="000F3873" w:rsidRPr="0059462F" w:rsidRDefault="000F3873" w:rsidP="006725B0">
      <w:pPr>
        <w:pStyle w:val="JuH1"/>
        <w:widowControl w:val="0"/>
      </w:pPr>
      <w:r>
        <w:t>1.  Конституцията</w:t>
      </w:r>
    </w:p>
    <w:p w:rsidR="000F3873" w:rsidRPr="0059462F" w:rsidRDefault="008E7633" w:rsidP="006725B0">
      <w:pPr>
        <w:pStyle w:val="JuPara"/>
        <w:widowControl w:val="0"/>
      </w:pPr>
      <w:fldSimple w:instr=" SEQ level0 \*arabic ">
        <w:r w:rsidR="00A94344">
          <w:rPr>
            <w:noProof/>
          </w:rPr>
          <w:t>52</w:t>
        </w:r>
      </w:fldSimple>
      <w:r w:rsidR="000F3873">
        <w:t>.  </w:t>
      </w:r>
      <w:r w:rsidR="00237FB0">
        <w:t>Приложимите</w:t>
      </w:r>
      <w:r w:rsidR="000F3873">
        <w:t xml:space="preserve"> разпоредби на Конституцията във връзка с околната среда и жилищната политика гласят </w:t>
      </w:r>
      <w:r w:rsidR="00237FB0">
        <w:t>следното</w:t>
      </w:r>
      <w:r w:rsidR="000F3873">
        <w:t>:</w:t>
      </w:r>
    </w:p>
    <w:p w:rsidR="000F3873" w:rsidRPr="0059462F" w:rsidRDefault="000F3873" w:rsidP="006725B0">
      <w:pPr>
        <w:pStyle w:val="JuHArticle"/>
        <w:widowControl w:val="0"/>
      </w:pPr>
      <w:r>
        <w:t>Член 56</w:t>
      </w:r>
    </w:p>
    <w:p w:rsidR="000F3873" w:rsidRPr="0059462F" w:rsidRDefault="000F3873" w:rsidP="006725B0">
      <w:pPr>
        <w:pStyle w:val="JuQuot"/>
        <w:widowControl w:val="0"/>
      </w:pPr>
      <w:r>
        <w:t>„Всеки има право да живее в здравословна и балансирана околна среда.</w:t>
      </w:r>
    </w:p>
    <w:p w:rsidR="000F3873" w:rsidRPr="0059462F" w:rsidRDefault="000F3873" w:rsidP="006725B0">
      <w:pPr>
        <w:pStyle w:val="JuQuot"/>
        <w:widowControl w:val="0"/>
      </w:pPr>
      <w:r>
        <w:t xml:space="preserve">Държавата и гражданите са длъжни да обогатяват и пазят околната среда и да не допускат замърсяването </w:t>
      </w:r>
      <w:r w:rsidR="00237FB0">
        <w:t>ѝ</w:t>
      </w:r>
      <w:r>
        <w:t>.</w:t>
      </w:r>
    </w:p>
    <w:p w:rsidR="000F3873" w:rsidRPr="0059462F" w:rsidRDefault="000F3873" w:rsidP="006725B0">
      <w:pPr>
        <w:pStyle w:val="JuQuot"/>
        <w:widowControl w:val="0"/>
      </w:pPr>
      <w:r>
        <w:t>За осигуряването на здравословна жизнена среда за всички във физически и психологич</w:t>
      </w:r>
      <w:r w:rsidR="0001730A">
        <w:t>еск</w:t>
      </w:r>
      <w:r>
        <w:t>и аспект, ... държавата създа</w:t>
      </w:r>
      <w:r w:rsidR="0001730A">
        <w:t>ва</w:t>
      </w:r>
      <w:r>
        <w:t xml:space="preserve"> здравни институции и регламентира услугите, които предоставят</w:t>
      </w:r>
      <w:r w:rsidR="0001730A">
        <w:t xml:space="preserve"> те</w:t>
      </w:r>
      <w:r>
        <w:t>.</w:t>
      </w:r>
    </w:p>
    <w:p w:rsidR="000F3873" w:rsidRPr="0059462F" w:rsidRDefault="000F3873" w:rsidP="006725B0">
      <w:pPr>
        <w:pStyle w:val="JuQuot"/>
        <w:widowControl w:val="0"/>
      </w:pPr>
      <w:r>
        <w:t>Държавата изпълнява тази задача чрез използване и надзор на здравните и социалните институции в обществения и частния сектор. ... “</w:t>
      </w:r>
    </w:p>
    <w:p w:rsidR="000F3873" w:rsidRPr="0059462F" w:rsidRDefault="000F3873" w:rsidP="006725B0">
      <w:pPr>
        <w:pStyle w:val="JuHArticle"/>
        <w:widowControl w:val="0"/>
      </w:pPr>
      <w:r>
        <w:t>Член 57</w:t>
      </w:r>
    </w:p>
    <w:p w:rsidR="000F3873" w:rsidRPr="0059462F" w:rsidRDefault="000F3873" w:rsidP="006725B0">
      <w:pPr>
        <w:pStyle w:val="JuQuot"/>
        <w:widowControl w:val="0"/>
      </w:pPr>
      <w:r>
        <w:t>„Държавата предприем</w:t>
      </w:r>
      <w:r w:rsidR="0001730A" w:rsidRPr="00833B88">
        <w:t xml:space="preserve">а </w:t>
      </w:r>
      <w:r>
        <w:t>съответните мерки за задоволяване на жилищните нужди посредством план, който отчита характеристиките на градовете и условията на околната среда; държавата също така подпомага общностните жилищни схеми.“</w:t>
      </w:r>
    </w:p>
    <w:p w:rsidR="000F3873" w:rsidRPr="0059462F" w:rsidRDefault="000F3873" w:rsidP="006725B0">
      <w:pPr>
        <w:pStyle w:val="JuHArticle"/>
        <w:widowControl w:val="0"/>
      </w:pPr>
      <w:r>
        <w:t>Член 65</w:t>
      </w:r>
    </w:p>
    <w:p w:rsidR="000F3873" w:rsidRPr="0059462F" w:rsidRDefault="000F3873" w:rsidP="006725B0">
      <w:pPr>
        <w:pStyle w:val="JuQuot"/>
        <w:widowControl w:val="0"/>
      </w:pPr>
      <w:r>
        <w:t xml:space="preserve">„Държавата изпълнява </w:t>
      </w:r>
      <w:r w:rsidR="00213C72">
        <w:t>възложените ѝ</w:t>
      </w:r>
      <w:r>
        <w:t xml:space="preserve"> </w:t>
      </w:r>
      <w:r w:rsidR="00213C72">
        <w:t xml:space="preserve">по Конституция </w:t>
      </w:r>
      <w:r>
        <w:t>задачи в социалн</w:t>
      </w:r>
      <w:r w:rsidR="002A51C5">
        <w:t xml:space="preserve">ата и </w:t>
      </w:r>
      <w:r>
        <w:t xml:space="preserve">икономическата сфера в рамките на финансовите си ресурси и </w:t>
      </w:r>
      <w:r w:rsidR="002A51C5">
        <w:t xml:space="preserve">при </w:t>
      </w:r>
      <w:r>
        <w:t>гарантиране поддържането на икономическа стабилност.“</w:t>
      </w:r>
    </w:p>
    <w:p w:rsidR="000F3873" w:rsidRPr="0059462F" w:rsidRDefault="000F3873" w:rsidP="006725B0">
      <w:pPr>
        <w:pStyle w:val="JuH1"/>
        <w:widowControl w:val="0"/>
      </w:pPr>
      <w:r>
        <w:t>2.  Кварталите за бедни и законодателството, което ги регулира</w:t>
      </w:r>
    </w:p>
    <w:p w:rsidR="000F3873" w:rsidRPr="0059462F" w:rsidRDefault="008E7633" w:rsidP="000F3873">
      <w:pPr>
        <w:pStyle w:val="JuPara"/>
      </w:pPr>
      <w:fldSimple w:instr=" SEQ level0 \*arabic ">
        <w:r w:rsidR="00A94344">
          <w:rPr>
            <w:noProof/>
          </w:rPr>
          <w:t>53</w:t>
        </w:r>
      </w:fldSimple>
      <w:r w:rsidR="000F3873">
        <w:t xml:space="preserve">.  Информацията и документите, </w:t>
      </w:r>
      <w:r w:rsidR="002A51C5">
        <w:t>с които разполага</w:t>
      </w:r>
      <w:r w:rsidR="000F3873">
        <w:t xml:space="preserve"> Съд</w:t>
      </w:r>
      <w:r w:rsidR="002A51C5">
        <w:t>ът,</w:t>
      </w:r>
      <w:r w:rsidR="000F3873">
        <w:t xml:space="preserve"> показват, че от 1960 г., когато обитателите на </w:t>
      </w:r>
      <w:proofErr w:type="spellStart"/>
      <w:r w:rsidR="000F3873">
        <w:t>необлагодетелстваните</w:t>
      </w:r>
      <w:proofErr w:type="spellEnd"/>
      <w:r w:rsidR="000F3873">
        <w:t xml:space="preserve"> райони </w:t>
      </w:r>
      <w:r w:rsidR="002A51C5">
        <w:t xml:space="preserve">започват масово да </w:t>
      </w:r>
      <w:r w:rsidR="000F3873">
        <w:t>се пре</w:t>
      </w:r>
      <w:r w:rsidR="002A51C5">
        <w:t>селват</w:t>
      </w:r>
      <w:r w:rsidR="000F3873">
        <w:t xml:space="preserve"> </w:t>
      </w:r>
      <w:r w:rsidR="002A51C5">
        <w:t>в</w:t>
      </w:r>
      <w:r w:rsidR="000F3873">
        <w:t xml:space="preserve"> по-богатите региони, Турция е изправена пред проблема с </w:t>
      </w:r>
      <w:r w:rsidR="008A40C2">
        <w:t xml:space="preserve">бедните </w:t>
      </w:r>
      <w:r w:rsidR="000F3873">
        <w:t xml:space="preserve">квартали, които в повечето случаи се състоят от </w:t>
      </w:r>
      <w:r w:rsidR="004C50EA">
        <w:t>постоянни конструкции</w:t>
      </w:r>
      <w:r w:rsidR="000F3873">
        <w:t xml:space="preserve">, върху които може да се надстрояват етажи. Изглежда, че понастоящем повече от една трета от населението живее в подобни жилища. Изследователите, които се </w:t>
      </w:r>
      <w:r w:rsidR="000F3873">
        <w:lastRenderedPageBreak/>
        <w:t xml:space="preserve">занимават с проблема, твърдят, че тези застроени райони не са се появили само в резултат на недостатъци в градоустройственото планиране или пропуски от страна на общинската полиция. Те посочват съществуването на повече от осемнадесет закона за амнистия, които са приети през годините за узаконяване на бедните райони и </w:t>
      </w:r>
      <w:r w:rsidR="004C50EA">
        <w:t>според тях за да се харесат на</w:t>
      </w:r>
      <w:r w:rsidR="000F3873">
        <w:t xml:space="preserve"> потенциалните гласоподаватели, които живеят в тези елементарни жилища.</w:t>
      </w:r>
    </w:p>
    <w:p w:rsidR="000F3873" w:rsidRPr="0059462F" w:rsidRDefault="008E7633" w:rsidP="000F3873">
      <w:pPr>
        <w:pStyle w:val="JuPara"/>
      </w:pPr>
      <w:fldSimple w:instr=" SEQ level0 \*arabic ">
        <w:r w:rsidR="00A94344">
          <w:rPr>
            <w:noProof/>
          </w:rPr>
          <w:t>54</w:t>
        </w:r>
      </w:fldSimple>
      <w:r w:rsidR="000F3873">
        <w:t>.  </w:t>
      </w:r>
      <w:r w:rsidR="00CC71E9">
        <w:t>По-долу са изброени о</w:t>
      </w:r>
      <w:r w:rsidR="000F3873">
        <w:t>сновните разпоредби в турското законодателство във връзка с предотвратяване разрастването на бедните райони.</w:t>
      </w:r>
    </w:p>
    <w:p w:rsidR="000F3873" w:rsidRPr="0059462F" w:rsidRDefault="00CC71E9" w:rsidP="000F3873">
      <w:pPr>
        <w:pStyle w:val="JuPara"/>
      </w:pPr>
      <w:r>
        <w:t>Раздел</w:t>
      </w:r>
      <w:r w:rsidR="006725B0">
        <w:t xml:space="preserve"> 15(2)(19) </w:t>
      </w:r>
      <w:r>
        <w:t>от</w:t>
      </w:r>
      <w:r w:rsidR="006725B0">
        <w:t xml:space="preserve"> Закона за общините (Закон № 1580 от 3 април 1930 г.) изисква местните съвети да не позволяват и </w:t>
      </w:r>
      <w:r>
        <w:t xml:space="preserve">да </w:t>
      </w:r>
      <w:r w:rsidR="006725B0">
        <w:t xml:space="preserve">забраняват </w:t>
      </w:r>
      <w:r>
        <w:t xml:space="preserve">изграждането на </w:t>
      </w:r>
      <w:r w:rsidR="006725B0">
        <w:t xml:space="preserve">постройки или инсталации, които са в нарушение на съответното законодателство и </w:t>
      </w:r>
      <w:r w:rsidR="00EB469D">
        <w:t>нормативна база</w:t>
      </w:r>
      <w:r w:rsidR="006725B0">
        <w:t xml:space="preserve">, </w:t>
      </w:r>
      <w:r>
        <w:t xml:space="preserve">тъй като </w:t>
      </w:r>
      <w:r w:rsidR="006725B0">
        <w:t>са издигнати без разрешение или представляват заплаха за общественото здраве, ред и спокойствие.</w:t>
      </w:r>
    </w:p>
    <w:p w:rsidR="000F3873" w:rsidRPr="0059462F" w:rsidRDefault="00CC71E9" w:rsidP="000F3873">
      <w:pPr>
        <w:pStyle w:val="JuPara"/>
      </w:pPr>
      <w:r>
        <w:t>Раздел</w:t>
      </w:r>
      <w:r w:rsidR="000F3873">
        <w:t xml:space="preserve"> 18 от Закон № 775 от 20 юли 1966 г. гласи, че след влизането в сила на </w:t>
      </w:r>
      <w:r>
        <w:t>з</w:t>
      </w:r>
      <w:r w:rsidR="000F3873">
        <w:t>акона, всички незаконни постройки, без значение дали са в процес на изграждане или са вече обитаеми, трябва незабавно да бъдат разрушени</w:t>
      </w:r>
      <w:r w:rsidR="00E41323">
        <w:t>,</w:t>
      </w:r>
      <w:r w:rsidR="000F3873">
        <w:t xml:space="preserve"> без за това да е необходимо предварително разрешение. Изпълнението на тези мерки е от</w:t>
      </w:r>
      <w:r w:rsidR="00E41323">
        <w:t>говорност</w:t>
      </w:r>
      <w:r w:rsidR="000F3873">
        <w:t xml:space="preserve"> на административните органи, които имат право да използват силите за сигурност или други средства, с които разполага държавата. По отношение на постройките, изградени преди влизането в сила на </w:t>
      </w:r>
      <w:r w:rsidR="00E41323">
        <w:t>з</w:t>
      </w:r>
      <w:r w:rsidR="000F3873">
        <w:t xml:space="preserve">акона, </w:t>
      </w:r>
      <w:r w:rsidR="00484994">
        <w:t>раздел</w:t>
      </w:r>
      <w:r w:rsidR="000F3873">
        <w:t xml:space="preserve"> 21 гласи, че при определени условия, обитателите на бедните райони могат да закупят земята, върху която са се настанили</w:t>
      </w:r>
      <w:r w:rsidR="00E41323">
        <w:t>,</w:t>
      </w:r>
      <w:r w:rsidR="000F3873">
        <w:t xml:space="preserve"> </w:t>
      </w:r>
      <w:r w:rsidR="00E41323">
        <w:t>чрез</w:t>
      </w:r>
      <w:r w:rsidR="000F3873">
        <w:t xml:space="preserve"> нисколихвени заеми за финансиране построяването на сгради, които отговарят на </w:t>
      </w:r>
      <w:r w:rsidR="00EB469D">
        <w:t xml:space="preserve">нормативните </w:t>
      </w:r>
      <w:r w:rsidR="006923E4">
        <w:t>актове</w:t>
      </w:r>
      <w:r w:rsidR="000F3873">
        <w:t xml:space="preserve"> и градоустройствените планове. Застроените площи, за които се прилагат разпоредбите на </w:t>
      </w:r>
      <w:r w:rsidR="00484994">
        <w:t>раздел</w:t>
      </w:r>
      <w:r w:rsidR="000F3873">
        <w:t xml:space="preserve"> 21</w:t>
      </w:r>
      <w:r w:rsidR="00E41323">
        <w:t>,</w:t>
      </w:r>
      <w:r w:rsidR="000F3873">
        <w:t xml:space="preserve"> са о</w:t>
      </w:r>
      <w:r w:rsidR="00707406">
        <w:t>бозначени</w:t>
      </w:r>
      <w:r w:rsidR="000F3873">
        <w:t xml:space="preserve"> като „</w:t>
      </w:r>
      <w:r w:rsidR="00732D12">
        <w:t>зони за благоустрояване и изселване</w:t>
      </w:r>
      <w:r w:rsidR="000F3873">
        <w:t>“ и се управляват съгласно план за действи</w:t>
      </w:r>
      <w:r w:rsidR="00707406">
        <w:t>е</w:t>
      </w:r>
      <w:r w:rsidR="000F3873">
        <w:t>.</w:t>
      </w:r>
    </w:p>
    <w:p w:rsidR="000F3873" w:rsidRPr="0059462F" w:rsidRDefault="000F3873" w:rsidP="000F3873">
      <w:pPr>
        <w:pStyle w:val="JuPara"/>
      </w:pPr>
      <w:r>
        <w:t xml:space="preserve">Според Закон № 1990 от 6 май 1976 г. за изменение на Закон № 775, незаконните постройки, изградени преди 1 ноември 1976 г. също влизат в обхвата на посочения по-горе </w:t>
      </w:r>
      <w:r w:rsidR="00484994">
        <w:t>раздел</w:t>
      </w:r>
      <w:r>
        <w:t xml:space="preserve"> 21. Закон № 2981 от 24 февруари 1984 г. за сградите, които не отговарят на законодателството по отношение на бедните квартали и градоустройств</w:t>
      </w:r>
      <w:r w:rsidR="00F730A1">
        <w:t>ото</w:t>
      </w:r>
      <w:r>
        <w:t xml:space="preserve">, също цитира мерки, които следва да се предприемат с цел опазване, узаконяване, </w:t>
      </w:r>
      <w:r w:rsidR="00F730A1">
        <w:t xml:space="preserve">благоустрояване </w:t>
      </w:r>
      <w:r>
        <w:t>и разрушаване на незаконните постройки, издигнати преди тази дата.</w:t>
      </w:r>
    </w:p>
    <w:p w:rsidR="000F3873" w:rsidRPr="0059462F" w:rsidRDefault="000F3873" w:rsidP="000F3873">
      <w:pPr>
        <w:pStyle w:val="JuPara"/>
      </w:pPr>
      <w:r>
        <w:t xml:space="preserve">По отношение на </w:t>
      </w:r>
      <w:r w:rsidR="00F730A1">
        <w:t xml:space="preserve">публичната </w:t>
      </w:r>
      <w:r>
        <w:t xml:space="preserve">собственост </w:t>
      </w:r>
      <w:r w:rsidR="00F730A1">
        <w:t>раздел</w:t>
      </w:r>
      <w:r>
        <w:t xml:space="preserve"> 18(2) от Закона за поземления регистър (Закон № 3402) от 21 юни 1987 г. гласи:</w:t>
      </w:r>
    </w:p>
    <w:p w:rsidR="000F3873" w:rsidRPr="0059462F" w:rsidRDefault="000F3873" w:rsidP="000F3873">
      <w:pPr>
        <w:pStyle w:val="JuQuot"/>
      </w:pPr>
      <w:r>
        <w:t>„Общото имущество, ... гори</w:t>
      </w:r>
      <w:r w:rsidR="00B012D0">
        <w:t>сти местности,</w:t>
      </w:r>
      <w:r>
        <w:t xml:space="preserve"> помещения на разположение на държавата, предназначени за обществено ползване, както и недвижимо имущество, </w:t>
      </w:r>
      <w:r w:rsidR="00B012D0">
        <w:t>собственост</w:t>
      </w:r>
      <w:r>
        <w:t xml:space="preserve"> на държавата съгласно съответното законодателство, не </w:t>
      </w:r>
      <w:r>
        <w:lastRenderedPageBreak/>
        <w:t xml:space="preserve">може да се </w:t>
      </w:r>
      <w:r w:rsidR="00103E2D">
        <w:t>придобива по давност</w:t>
      </w:r>
      <w:r>
        <w:t>, независимо от това дали тази собственост е вписа</w:t>
      </w:r>
      <w:r w:rsidR="00B012D0">
        <w:t>на</w:t>
      </w:r>
      <w:r>
        <w:t xml:space="preserve"> в поземления регистър.“</w:t>
      </w:r>
    </w:p>
    <w:p w:rsidR="000F3873" w:rsidRPr="0059462F" w:rsidRDefault="008E7633" w:rsidP="000F3873">
      <w:pPr>
        <w:pStyle w:val="JuPara"/>
      </w:pPr>
      <w:fldSimple w:instr=" SEQ level0 \*arabic ">
        <w:r w:rsidR="00A94344">
          <w:rPr>
            <w:noProof/>
          </w:rPr>
          <w:t>55</w:t>
        </w:r>
      </w:fldSimple>
      <w:r w:rsidR="000F3873">
        <w:t xml:space="preserve">.  Въпреки това обаче Закон № 4706 от 29 юни 2001 г. — който има за цел засилване на икономиката на Турция — изменен от Закон № 4916 от 3 юли 2003 г., разрешава недвижимо имущество, което принадлежи на държавната </w:t>
      </w:r>
      <w:r w:rsidR="00103E2D">
        <w:t>х</w:t>
      </w:r>
      <w:r w:rsidR="000F3873">
        <w:t xml:space="preserve">азна, да се продава на трети страни при определени условия. </w:t>
      </w:r>
      <w:r w:rsidR="00103E2D">
        <w:t>Раздели</w:t>
      </w:r>
      <w:r w:rsidR="000F3873">
        <w:t xml:space="preserve"> 4(6) и (7) от </w:t>
      </w:r>
      <w:r w:rsidR="00103E2D">
        <w:t>з</w:t>
      </w:r>
      <w:r w:rsidR="000F3873">
        <w:t xml:space="preserve">акона гласят, че земи, които са собственост на </w:t>
      </w:r>
      <w:r w:rsidR="0064697D">
        <w:t>х</w:t>
      </w:r>
      <w:r w:rsidR="000F3873">
        <w:t>азната, върху които са издигнати постройки преди 31 декември 2000 г.</w:t>
      </w:r>
      <w:r w:rsidR="0064697D">
        <w:t>,</w:t>
      </w:r>
      <w:r w:rsidR="000F3873">
        <w:t xml:space="preserve"> </w:t>
      </w:r>
      <w:r w:rsidR="0064697D">
        <w:t xml:space="preserve">трябва </w:t>
      </w:r>
      <w:r w:rsidR="000F3873">
        <w:t xml:space="preserve">да бъдат прехвърлени безвъзмездно на общината, в което са разположени за продажба при преференциални условия на собствениците на сградите или </w:t>
      </w:r>
      <w:r w:rsidR="0064697D">
        <w:t xml:space="preserve">на </w:t>
      </w:r>
      <w:r w:rsidR="000F3873">
        <w:t>техни</w:t>
      </w:r>
      <w:r w:rsidR="0064697D">
        <w:t>те</w:t>
      </w:r>
      <w:r w:rsidR="000F3873">
        <w:t xml:space="preserve"> наследници. Продажбите се извършват при авансово плащане в размер на една четвърт от пазарната стойност на земята, като месечните вноски могат да се изплащат в продължение на три години.</w:t>
      </w:r>
    </w:p>
    <w:p w:rsidR="000F3873" w:rsidRPr="0059462F" w:rsidRDefault="000F3873" w:rsidP="000F3873">
      <w:pPr>
        <w:pStyle w:val="JuPara"/>
      </w:pPr>
      <w:r>
        <w:t xml:space="preserve">Местните власти трябва да изготвят планове </w:t>
      </w:r>
      <w:r w:rsidR="0064697D">
        <w:t xml:space="preserve">за </w:t>
      </w:r>
      <w:proofErr w:type="spellStart"/>
      <w:r w:rsidR="0064697D">
        <w:t>земеползване</w:t>
      </w:r>
      <w:proofErr w:type="spellEnd"/>
      <w:r w:rsidR="0064697D">
        <w:t xml:space="preserve"> </w:t>
      </w:r>
      <w:r>
        <w:t xml:space="preserve">и планове за изпълнение по отношение на прехвърлената им собственост съгласно посочения по-горе </w:t>
      </w:r>
      <w:r w:rsidR="0064697D">
        <w:t>з</w:t>
      </w:r>
      <w:r>
        <w:t>акон.</w:t>
      </w:r>
    </w:p>
    <w:p w:rsidR="000F3873" w:rsidRPr="0059462F" w:rsidRDefault="000F3873" w:rsidP="006725B0">
      <w:pPr>
        <w:pStyle w:val="JuH1"/>
        <w:widowControl w:val="0"/>
      </w:pPr>
      <w:r>
        <w:t>3.  Сметища за битови отпадъци и нормативна база, която ги регулира</w:t>
      </w:r>
    </w:p>
    <w:p w:rsidR="00D8632D" w:rsidRDefault="008E7633" w:rsidP="000F3873">
      <w:pPr>
        <w:pStyle w:val="JuPara"/>
      </w:pPr>
      <w:fldSimple w:instr=" SEQ level0 \*arabic ">
        <w:r w:rsidR="00A94344">
          <w:rPr>
            <w:noProof/>
          </w:rPr>
          <w:t>56</w:t>
        </w:r>
      </w:fldSimple>
      <w:r w:rsidR="000F3873">
        <w:t>.  </w:t>
      </w:r>
      <w:r w:rsidR="00CD623B">
        <w:t>Раздел</w:t>
      </w:r>
      <w:r w:rsidR="000F3873">
        <w:t xml:space="preserve"> 15(2)(24) от посочения по-горе Закон № 1580 гласи, че окръжните съвети отговарят за редовното събиране на битовите отпадъци с подходящи средства и </w:t>
      </w:r>
      <w:r w:rsidR="00CD623B">
        <w:t xml:space="preserve">за </w:t>
      </w:r>
      <w:r w:rsidR="000F3873">
        <w:t xml:space="preserve">последващото им унищожаване. Съгласно </w:t>
      </w:r>
      <w:r w:rsidR="00CD623B">
        <w:t>раздел</w:t>
      </w:r>
      <w:r w:rsidR="000F3873">
        <w:t xml:space="preserve"> 6-Е, параграф (j) </w:t>
      </w:r>
      <w:r w:rsidR="00CD623B">
        <w:t>от</w:t>
      </w:r>
      <w:r w:rsidR="000F3873">
        <w:t xml:space="preserve"> Закона за градските съвети (Закон № 3030) и разпоредба 22 от </w:t>
      </w:r>
      <w:r w:rsidR="00CD623B">
        <w:t xml:space="preserve">Правилника </w:t>
      </w:r>
      <w:r w:rsidR="000F3873">
        <w:t xml:space="preserve">на публичната администрация </w:t>
      </w:r>
      <w:r w:rsidR="00CD623B">
        <w:t xml:space="preserve">за </w:t>
      </w:r>
      <w:r w:rsidR="000F3873">
        <w:t xml:space="preserve">прилагане на </w:t>
      </w:r>
      <w:r w:rsidR="00CD623B">
        <w:t>з</w:t>
      </w:r>
      <w:r w:rsidR="000F3873">
        <w:t>акона, градските съвети са длъжни да определят площадки за събиране на битови и промишлени отпадъци и да инсталират или вече да са инсталирали системи за обработка, рециклиране и унищожаване на отпадъците.</w:t>
      </w:r>
    </w:p>
    <w:p w:rsidR="000F3873" w:rsidRPr="0059462F" w:rsidRDefault="000F3873" w:rsidP="000F3873">
      <w:pPr>
        <w:pStyle w:val="JuPara"/>
      </w:pPr>
      <w:r>
        <w:t xml:space="preserve">Съгласно разпоредби 5 и 22 от </w:t>
      </w:r>
      <w:r w:rsidR="009D5A1C">
        <w:t xml:space="preserve">Наредбата </w:t>
      </w:r>
      <w:r>
        <w:t>за контрол върху твърдите отпадъци, публикуван</w:t>
      </w:r>
      <w:r w:rsidR="009D5A1C">
        <w:t>а</w:t>
      </w:r>
      <w:r>
        <w:t xml:space="preserve"> в </w:t>
      </w:r>
      <w:r w:rsidR="009D5A1C">
        <w:t xml:space="preserve">Държавен </w:t>
      </w:r>
      <w:r>
        <w:t>вестник на 14 март 1991 г., окръжните съвети отговарят за организирането на употребата на сметищата и за предприемането на всички необходими мерки за гарантиране, че дейностите им не нанасят вреди на околната среда и здравето на хората и животните. Разпоредба 31 дава право на градските съвети да издават разрешителни за функционирането на площадки за събиране на отпадъци на територията на окръжните съвети, които попадат под тяхно управление.</w:t>
      </w:r>
    </w:p>
    <w:p w:rsidR="000F3873" w:rsidRPr="0059462F" w:rsidRDefault="009D5A1C" w:rsidP="000F3873">
      <w:pPr>
        <w:pStyle w:val="JuPara"/>
      </w:pPr>
      <w:r>
        <w:t xml:space="preserve">Наредбата </w:t>
      </w:r>
      <w:r w:rsidR="000F3873">
        <w:t>постановява, че сметищ</w:t>
      </w:r>
      <w:r w:rsidR="001D7A10">
        <w:t>а</w:t>
      </w:r>
      <w:r w:rsidR="000F3873">
        <w:t xml:space="preserve"> не може да се изгражда</w:t>
      </w:r>
      <w:r w:rsidR="001D7A10">
        <w:t>т</w:t>
      </w:r>
      <w:r w:rsidR="000F3873">
        <w:t xml:space="preserve"> на по-малко от 1</w:t>
      </w:r>
      <w:r>
        <w:t xml:space="preserve"> </w:t>
      </w:r>
      <w:r w:rsidR="000F3873">
        <w:t xml:space="preserve">000 метра от жилищни сгради и че </w:t>
      </w:r>
      <w:r w:rsidR="001D7A10">
        <w:t xml:space="preserve">след </w:t>
      </w:r>
      <w:r w:rsidR="000F3873">
        <w:t>пус</w:t>
      </w:r>
      <w:r w:rsidR="001D7A10">
        <w:t>кането</w:t>
      </w:r>
      <w:r w:rsidR="000F3873">
        <w:t xml:space="preserve"> </w:t>
      </w:r>
      <w:r w:rsidR="001D7A10">
        <w:t xml:space="preserve">им </w:t>
      </w:r>
      <w:r w:rsidR="000F3873">
        <w:t xml:space="preserve">в експлоатация, не се разрешава жилищно строителство </w:t>
      </w:r>
      <w:r w:rsidR="001D7A10">
        <w:t>по периферията</w:t>
      </w:r>
      <w:r w:rsidR="000F3873">
        <w:t xml:space="preserve"> на площадката (разпоредба 24)</w:t>
      </w:r>
      <w:r w:rsidR="001D7A10">
        <w:t>,</w:t>
      </w:r>
      <w:r w:rsidR="000F3873">
        <w:t xml:space="preserve"> </w:t>
      </w:r>
      <w:r w:rsidR="001D7A10">
        <w:t>която</w:t>
      </w:r>
      <w:r w:rsidR="000F3873">
        <w:t xml:space="preserve"> трябва да бъде оградена (разпоредба 25). Във връзка с контрола на биогаза, разпоредба 27 гласи:</w:t>
      </w:r>
    </w:p>
    <w:p w:rsidR="00D8632D" w:rsidRDefault="000F3873" w:rsidP="000F3873">
      <w:pPr>
        <w:pStyle w:val="JuQuot"/>
      </w:pPr>
      <w:r>
        <w:lastRenderedPageBreak/>
        <w:t xml:space="preserve">„Смесите от азот, амоняк, сероводород, въглероден </w:t>
      </w:r>
      <w:r w:rsidR="001D7A10">
        <w:t xml:space="preserve">диоксид </w:t>
      </w:r>
      <w:r>
        <w:t xml:space="preserve">и по-специално метан, които се получават в резултат на микробиологичното разлагане на органичната материя, </w:t>
      </w:r>
      <w:r w:rsidR="008A6E09">
        <w:t xml:space="preserve">които се </w:t>
      </w:r>
      <w:r>
        <w:t>съдържа</w:t>
      </w:r>
      <w:r w:rsidR="008A6E09">
        <w:t>т</w:t>
      </w:r>
      <w:r>
        <w:t xml:space="preserve"> в масата на отпадъците ... и мо</w:t>
      </w:r>
      <w:r w:rsidR="008A6E09">
        <w:t>гат</w:t>
      </w:r>
      <w:r>
        <w:t xml:space="preserve"> да причинят експлозии и отравяне, следва да се събират посредством вертикални и хоризонтални системи за оттичане и да се освобождават в атмосферата контролирано или да се използват за производството на енергия.“</w:t>
      </w:r>
    </w:p>
    <w:p w:rsidR="000F3873" w:rsidRPr="0059462F" w:rsidRDefault="008E7633" w:rsidP="000F3873">
      <w:pPr>
        <w:pStyle w:val="JuPara"/>
      </w:pPr>
      <w:fldSimple w:instr=" SEQ level0 \*arabic ">
        <w:r w:rsidR="00A94344">
          <w:rPr>
            <w:noProof/>
          </w:rPr>
          <w:t>57</w:t>
        </w:r>
      </w:fldSimple>
      <w:r w:rsidR="000F3873">
        <w:t>.  Основната информация, която Съдът е имал възможност да получи относно риска от взрив на метан на подобни площадки</w:t>
      </w:r>
      <w:r w:rsidR="008A6E09">
        <w:t>,</w:t>
      </w:r>
      <w:r w:rsidR="000F3873">
        <w:t xml:space="preserve"> може да се обобщи </w:t>
      </w:r>
      <w:r w:rsidR="008A6E09">
        <w:t>по следния начин</w:t>
      </w:r>
      <w:r w:rsidR="000F3873">
        <w:t>. Метанът (CH</w:t>
      </w:r>
      <w:r w:rsidR="000F3873">
        <w:rPr>
          <w:vertAlign w:val="subscript"/>
        </w:rPr>
        <w:t>4</w:t>
      </w:r>
      <w:r w:rsidR="000F3873">
        <w:t xml:space="preserve">) и въглеродният </w:t>
      </w:r>
      <w:r w:rsidR="008A6E09">
        <w:t xml:space="preserve">диоксид </w:t>
      </w:r>
      <w:r w:rsidR="000F3873">
        <w:t>(CO</w:t>
      </w:r>
      <w:r w:rsidR="000F3873">
        <w:rPr>
          <w:vertAlign w:val="subscript"/>
        </w:rPr>
        <w:t>2</w:t>
      </w:r>
      <w:r w:rsidR="000F3873">
        <w:t xml:space="preserve">) са двата основни продукта, които се получават от </w:t>
      </w:r>
      <w:proofErr w:type="spellStart"/>
      <w:r w:rsidR="000F3873">
        <w:t>метаногенезата</w:t>
      </w:r>
      <w:proofErr w:type="spellEnd"/>
      <w:r w:rsidR="000F3873">
        <w:t>, която е крайната и най-дългата фаза от анаеробната ферментация (процес, който протича без наличието на въздух). Наред с другото тези вещества се получават от биологичното и химическото разлагане на отпадъка. Рисковете от взрив и пожар се дължат основно на голямото съдържание на метан в биогаза. Рискът от взрив възниква, когато нивото на CH</w:t>
      </w:r>
      <w:r w:rsidR="000F3873">
        <w:rPr>
          <w:vertAlign w:val="subscript"/>
        </w:rPr>
        <w:t>4</w:t>
      </w:r>
      <w:r w:rsidR="000F3873">
        <w:t xml:space="preserve"> във въздуха е между 5% и 15%. Ако нивото надвиши 15%, метанът се възпламенява, но не експлодира.</w:t>
      </w:r>
    </w:p>
    <w:p w:rsidR="00D8632D" w:rsidRDefault="008E7633" w:rsidP="000F3873">
      <w:pPr>
        <w:pStyle w:val="JuPara"/>
      </w:pPr>
      <w:fldSimple w:instr=" SEQ level0 \*arabic ">
        <w:r w:rsidR="00A94344">
          <w:rPr>
            <w:noProof/>
          </w:rPr>
          <w:t>58</w:t>
        </w:r>
      </w:fldSimple>
      <w:r w:rsidR="000F3873">
        <w:t xml:space="preserve">.  От разнообразните циркулярни писма и </w:t>
      </w:r>
      <w:r w:rsidR="00C24327">
        <w:t>нормативни разпоредби</w:t>
      </w:r>
      <w:r w:rsidR="000F3873">
        <w:t>, които са в сила в държавите</w:t>
      </w:r>
      <w:r w:rsidR="00C24327">
        <w:t>-</w:t>
      </w:r>
      <w:r w:rsidR="000F3873">
        <w:t>членки на Съвета на Европа по отношение на управлението на битовите отпадъци и функционирането на общинските сметища</w:t>
      </w:r>
      <w:r w:rsidR="00C24327">
        <w:t>,</w:t>
      </w:r>
      <w:r w:rsidR="000F3873">
        <w:t xml:space="preserve"> е видно, че основните приоритети на съответните власти и оператори включват: изол</w:t>
      </w:r>
      <w:r w:rsidR="00CC1FFB">
        <w:t>иране</w:t>
      </w:r>
      <w:r w:rsidR="000F3873">
        <w:t xml:space="preserve"> на площадките за изхвърляне на отпадъци </w:t>
      </w:r>
      <w:r w:rsidR="00CC1FFB">
        <w:t xml:space="preserve">като се </w:t>
      </w:r>
      <w:r w:rsidR="000F3873">
        <w:t xml:space="preserve">гарантира, че не са разположени </w:t>
      </w:r>
      <w:r w:rsidR="00CC1FFB">
        <w:t xml:space="preserve">прекалено </w:t>
      </w:r>
      <w:r w:rsidR="000F3873">
        <w:t>близо до жилищни сгради; предотвратяване на риска от свлачища чрез създаването на устойчиви насипи и диги и използване на техники за уплътняване; както и премахване на риска от пожар</w:t>
      </w:r>
      <w:r w:rsidR="00CC1FFB">
        <w:t>и</w:t>
      </w:r>
      <w:r w:rsidR="000F3873">
        <w:t xml:space="preserve"> или експлозии на биогаз.</w:t>
      </w:r>
    </w:p>
    <w:p w:rsidR="000F3873" w:rsidRPr="0059462F" w:rsidRDefault="000F3873" w:rsidP="000F3873">
      <w:pPr>
        <w:pStyle w:val="JuPara"/>
      </w:pPr>
      <w:r>
        <w:t>По отношение на последния приоритет препоръчителния</w:t>
      </w:r>
      <w:r w:rsidR="00B73A8A">
        <w:t>т</w:t>
      </w:r>
      <w:r>
        <w:t xml:space="preserve"> метод за </w:t>
      </w:r>
      <w:r w:rsidR="00B73A8A">
        <w:t xml:space="preserve">обеззаразяване </w:t>
      </w:r>
      <w:r>
        <w:t xml:space="preserve">на площадките е създаването на дренажна система за ферментационни газове, в която газовете се изпомпват и обработват с помощта на биологичен филтър, като площадката продължава да функционира. Система за извличане на газ от такъв вид, за която е в сила и разпоредба в </w:t>
      </w:r>
      <w:r w:rsidR="00B73A8A">
        <w:t xml:space="preserve">Наредбата </w:t>
      </w:r>
      <w:r>
        <w:t xml:space="preserve">от 14 март 1991 г. в Турция, основно се състои от перфорирани вертикални </w:t>
      </w:r>
      <w:proofErr w:type="spellStart"/>
      <w:r>
        <w:t>въздуховоди</w:t>
      </w:r>
      <w:proofErr w:type="spellEnd"/>
      <w:r>
        <w:t>, побити в отпадъците</w:t>
      </w:r>
      <w:r w:rsidR="00B73A8A">
        <w:t>,</w:t>
      </w:r>
      <w:r>
        <w:t xml:space="preserve"> или хоризонтални дренажи, заровени в купчината отпадъци, вентилационна система, биологичен филтър и мрежа от смукателни тръби.</w:t>
      </w:r>
    </w:p>
    <w:p w:rsidR="000F3873" w:rsidRPr="000F3873" w:rsidRDefault="00B34217" w:rsidP="00B34217">
      <w:pPr>
        <w:pStyle w:val="JuHIRoman"/>
      </w:pPr>
      <w:r>
        <w:t>III.  </w:t>
      </w:r>
      <w:r w:rsidR="00B73A8A">
        <w:t xml:space="preserve">ПРИЛОЖИМИ </w:t>
      </w:r>
      <w:r>
        <w:t>ИНСТРУМЕНТИ НА СЪВЕТА НА ЕВРОПА</w:t>
      </w:r>
    </w:p>
    <w:p w:rsidR="000F3873" w:rsidRPr="0059462F" w:rsidRDefault="008E7633" w:rsidP="000F3873">
      <w:pPr>
        <w:pStyle w:val="JuPara"/>
      </w:pPr>
      <w:fldSimple w:instr=" SEQ level0 \*arabic ">
        <w:r w:rsidR="00A94344">
          <w:rPr>
            <w:noProof/>
          </w:rPr>
          <w:t>59</w:t>
        </w:r>
      </w:fldSimple>
      <w:r w:rsidR="000F3873">
        <w:t>.  По отношение на различните текстове, приети от Съвета на Европа в областта на околната среда и промишлените дейности на обществените органи, в работата на Парламентарната асамблея</w:t>
      </w:r>
      <w:r w:rsidR="00944479">
        <w:t xml:space="preserve"> заслужава да се спомене</w:t>
      </w:r>
      <w:r w:rsidR="000F3873">
        <w:t xml:space="preserve"> Резолюция 587 (1975) относно проблемите във връзка с изхвърлянето на битови и промишлени отпадъци, Резолюция </w:t>
      </w:r>
      <w:r w:rsidR="000F3873">
        <w:lastRenderedPageBreak/>
        <w:t xml:space="preserve">1087 (1996) относно последиците от аварията в Чернобил и Препоръка 1225 (1993) за управлението, обработката, рециклирането и търгуването с отпадъци, както и, в работата на Комитета на министрите </w:t>
      </w:r>
      <w:r w:rsidR="00944479">
        <w:t xml:space="preserve">— </w:t>
      </w:r>
      <w:r w:rsidR="000F3873">
        <w:t>Препоръка № R (96) 12 относно разпределението на правомощия и отговорности между централните и местните и регионалните власти във връзка с околната среда.</w:t>
      </w:r>
    </w:p>
    <w:p w:rsidR="00D8632D" w:rsidRDefault="000F3873" w:rsidP="000F3873">
      <w:pPr>
        <w:pStyle w:val="JuPara"/>
      </w:pPr>
      <w:r>
        <w:t xml:space="preserve">Следва да се вземе под внимание и Конвенцията за гражданската отговорност за </w:t>
      </w:r>
      <w:r w:rsidR="00941AE9">
        <w:t>щети от</w:t>
      </w:r>
      <w:r>
        <w:t xml:space="preserve"> опасни за околната среда дейности (ETS № 150 – </w:t>
      </w:r>
      <w:proofErr w:type="spellStart"/>
      <w:r>
        <w:t>Лугано</w:t>
      </w:r>
      <w:proofErr w:type="spellEnd"/>
      <w:r>
        <w:t xml:space="preserve">, 21 юни 1993 г.) и </w:t>
      </w:r>
      <w:r w:rsidR="00941AE9">
        <w:t>К</w:t>
      </w:r>
      <w:r>
        <w:t xml:space="preserve">онвенцията за защита на околната среда </w:t>
      </w:r>
      <w:r w:rsidR="00941AE9">
        <w:t>чрез</w:t>
      </w:r>
      <w:r>
        <w:t xml:space="preserve"> наказателното право (ETS № 172 – Страсбург, 4 ноември 1998 г.), които до момента са подписани съответно от девет и тринадесет държави.</w:t>
      </w:r>
    </w:p>
    <w:p w:rsidR="000F3873" w:rsidRPr="0059462F" w:rsidRDefault="008E7633" w:rsidP="000F3873">
      <w:pPr>
        <w:pStyle w:val="JuPara"/>
      </w:pPr>
      <w:fldSimple w:instr=" SEQ level0 \*arabic ">
        <w:r w:rsidR="00A94344">
          <w:rPr>
            <w:noProof/>
          </w:rPr>
          <w:t>60</w:t>
        </w:r>
      </w:fldSimple>
      <w:r w:rsidR="000F3873">
        <w:t>.  От тези документи е видно, че основната отговорност за обработката на битовите отпадъци се носи от местните власти, на които правителствата са длъжни да осигуряват финансова и техническа помощ. Експлоатирането от страна на обществените органи на площадка за постоянно депо</w:t>
      </w:r>
      <w:r w:rsidR="00D76321">
        <w:t>н</w:t>
      </w:r>
      <w:r w:rsidR="000F3873">
        <w:t>иране на отпадъци се описва като „опасна дейност“, а „загуба на живот“ в резултат на депо</w:t>
      </w:r>
      <w:r w:rsidR="00D76321">
        <w:t>н</w:t>
      </w:r>
      <w:r w:rsidR="000F3873">
        <w:t>иране на отпадъци на подобна площадка се разглежда като „вреда“ по вина на обществените власти (вж</w:t>
      </w:r>
      <w:r w:rsidR="00D76321">
        <w:t>.</w:t>
      </w:r>
      <w:r w:rsidR="000F3873">
        <w:t xml:space="preserve">, </w:t>
      </w:r>
      <w:r w:rsidR="000F3873" w:rsidRPr="00833B88">
        <w:t>наред с другото</w:t>
      </w:r>
      <w:r w:rsidR="000F3873">
        <w:t xml:space="preserve">, Конвенцията от </w:t>
      </w:r>
      <w:proofErr w:type="spellStart"/>
      <w:r w:rsidR="000F3873">
        <w:t>Лугано</w:t>
      </w:r>
      <w:proofErr w:type="spellEnd"/>
      <w:r w:rsidR="000F3873">
        <w:t>, член</w:t>
      </w:r>
      <w:r w:rsidR="00D76321">
        <w:t>ове</w:t>
      </w:r>
      <w:r w:rsidR="000F3873">
        <w:t xml:space="preserve"> 2 §§ 1 (в)-(г) и 7 (а)-(б)).</w:t>
      </w:r>
    </w:p>
    <w:p w:rsidR="000F3873" w:rsidRPr="0059462F" w:rsidRDefault="008E7633" w:rsidP="000F3873">
      <w:pPr>
        <w:pStyle w:val="JuPara"/>
      </w:pPr>
      <w:fldSimple w:instr=" SEQ level0 \*arabic ">
        <w:r w:rsidR="00A94344">
          <w:rPr>
            <w:noProof/>
          </w:rPr>
          <w:t>61</w:t>
        </w:r>
      </w:fldSimple>
      <w:r w:rsidR="000F3873">
        <w:t xml:space="preserve">.  В тази връзка Конвенцията от Страсбург призовава </w:t>
      </w:r>
      <w:r w:rsidR="007E2F12">
        <w:t xml:space="preserve">страните </w:t>
      </w:r>
      <w:r w:rsidR="000F3873">
        <w:t xml:space="preserve">по нея да приемат мерки, които „са необходими за установяването на криминални престъпления“, </w:t>
      </w:r>
      <w:r w:rsidR="007E2F12">
        <w:t xml:space="preserve">деяния, </w:t>
      </w:r>
      <w:r w:rsidR="000F3873">
        <w:t>включващи  „изхвърлянето, обработването, съхраняването ... на опасни отпадъци, които причиняват или биха могли да причинят смърт или сериозно нараняване на хората ...“, и гласи, че подобни престъпления могат да бъдат извършени също така „поради небрежност“ (членове 2</w:t>
      </w:r>
      <w:r w:rsidR="007E2F12">
        <w:t>-</w:t>
      </w:r>
      <w:r w:rsidR="000F3873">
        <w:t xml:space="preserve">4). Макар </w:t>
      </w:r>
      <w:r w:rsidR="007E2F12">
        <w:t xml:space="preserve">все още да не е влязъл в сила, </w:t>
      </w:r>
      <w:r w:rsidR="000F3873">
        <w:t xml:space="preserve">този инструмент </w:t>
      </w:r>
      <w:r w:rsidR="007E2F12">
        <w:t xml:space="preserve">до голяма степен е </w:t>
      </w:r>
      <w:r w:rsidR="006229F6" w:rsidRPr="00833B88">
        <w:t>в съответствие с</w:t>
      </w:r>
      <w:r w:rsidR="000F3873">
        <w:t xml:space="preserve"> настоящата тенденция към налагане на </w:t>
      </w:r>
      <w:r w:rsidR="006229F6">
        <w:t>по-</w:t>
      </w:r>
      <w:r w:rsidR="000F3873">
        <w:t xml:space="preserve">сурови наказания за вреди, нанесени на околната среда </w:t>
      </w:r>
      <w:r w:rsidR="006229F6">
        <w:t xml:space="preserve">— </w:t>
      </w:r>
      <w:r w:rsidR="000F3873">
        <w:t>въпрос, който е неразривно свързан със застрашаването на човешкия живот (вж</w:t>
      </w:r>
      <w:r w:rsidR="006229F6">
        <w:t>.</w:t>
      </w:r>
      <w:r w:rsidR="000F3873">
        <w:t xml:space="preserve"> например Рамково решение № 2003/80 на Съвета на Европейския съюз от 27 януари 2003 г. и Предложение на Европейската комисия от 13 март 2001 г., изменено на 30 септември 2002 г., за директива за опазване на околната среда чрез наказателното право).</w:t>
      </w:r>
    </w:p>
    <w:p w:rsidR="000F3873" w:rsidRPr="0059462F" w:rsidRDefault="000F3873" w:rsidP="000F3873">
      <w:pPr>
        <w:pStyle w:val="JuPara"/>
      </w:pPr>
      <w:r>
        <w:t xml:space="preserve">Член 6 на Конвенцията от Страсбург изисква също така приемането на необходими мерки, които да налагат наказателни санкции за подобни престъпления, като вземат предвид сериозното естество на деянията; </w:t>
      </w:r>
      <w:r w:rsidR="006229F6">
        <w:t xml:space="preserve">те </w:t>
      </w:r>
      <w:r>
        <w:t>трябва да включва</w:t>
      </w:r>
      <w:r w:rsidR="006229F6">
        <w:t>т и</w:t>
      </w:r>
      <w:r>
        <w:t xml:space="preserve"> лишаване от свобода на извършителите.</w:t>
      </w:r>
    </w:p>
    <w:p w:rsidR="000F3873" w:rsidRPr="0059462F" w:rsidRDefault="008E7633" w:rsidP="00A64492">
      <w:pPr>
        <w:pStyle w:val="JuPara"/>
      </w:pPr>
      <w:fldSimple w:instr=" SEQ level0 \*arabic ">
        <w:r w:rsidR="00A94344">
          <w:rPr>
            <w:noProof/>
          </w:rPr>
          <w:t>62</w:t>
        </w:r>
      </w:fldSimple>
      <w:r w:rsidR="000F3873">
        <w:t xml:space="preserve">.  Когато се касае за подобни опасни дейности, публичният достъп до ясна и изчерпателна информация се разглежда като основно човешко право; например </w:t>
      </w:r>
      <w:r w:rsidR="00E43587">
        <w:t xml:space="preserve">от </w:t>
      </w:r>
      <w:r w:rsidR="000F3873">
        <w:t xml:space="preserve">посочената по-горе Резолюция 1087 (1996) става ясно, че това право не трябва да се ограничава само до съответните </w:t>
      </w:r>
      <w:r w:rsidR="000F3873">
        <w:lastRenderedPageBreak/>
        <w:t>рискове, свързани с използването на ядрена енергия в гражданския сектор.</w:t>
      </w:r>
    </w:p>
    <w:p w:rsidR="000F3873" w:rsidRPr="0059462F" w:rsidRDefault="00E43587" w:rsidP="006725B0">
      <w:pPr>
        <w:pStyle w:val="JuHHead"/>
        <w:widowControl w:val="0"/>
      </w:pPr>
      <w:r>
        <w:t>ПРАВОТО</w:t>
      </w:r>
    </w:p>
    <w:p w:rsidR="000F3873" w:rsidRPr="0059462F" w:rsidRDefault="000F3873" w:rsidP="006725B0">
      <w:pPr>
        <w:pStyle w:val="JuHIRoman"/>
        <w:widowControl w:val="0"/>
      </w:pPr>
      <w:r>
        <w:t>І. ТВЪРДЯНО НАРУШЕНИЕ НА ЧЛ. 2 ОТ КОНВЕНЦИЯТА</w:t>
      </w:r>
    </w:p>
    <w:p w:rsidR="00D8632D" w:rsidRDefault="008E7633" w:rsidP="000F3873">
      <w:pPr>
        <w:pStyle w:val="JuPara"/>
      </w:pPr>
      <w:fldSimple w:instr=" SEQ level0 \*arabic ">
        <w:r w:rsidR="00A94344">
          <w:rPr>
            <w:noProof/>
          </w:rPr>
          <w:t>63</w:t>
        </w:r>
      </w:fldSimple>
      <w:r w:rsidR="000F3873">
        <w:t xml:space="preserve">.  Жалбоподателят твърди, че смъртта на девет негови близки роднини </w:t>
      </w:r>
      <w:r w:rsidR="00E43587">
        <w:t>при</w:t>
      </w:r>
      <w:r w:rsidR="000F3873">
        <w:t xml:space="preserve"> инцидента на 28 април 1993 г. и пропуските в последвалото производство представляват нарушение на чл</w:t>
      </w:r>
      <w:r w:rsidR="00E43587">
        <w:t>.</w:t>
      </w:r>
      <w:r w:rsidR="000F3873">
        <w:t xml:space="preserve"> 2 </w:t>
      </w:r>
      <w:r w:rsidR="00E43587">
        <w:t>от</w:t>
      </w:r>
      <w:r w:rsidR="000F3873">
        <w:t xml:space="preserve"> </w:t>
      </w:r>
      <w:r w:rsidR="00E43587">
        <w:t>К</w:t>
      </w:r>
      <w:r w:rsidR="000F3873">
        <w:t xml:space="preserve">онвенцията, </w:t>
      </w:r>
      <w:r w:rsidR="00E43587">
        <w:t xml:space="preserve">приложимата </w:t>
      </w:r>
      <w:r w:rsidR="000F3873">
        <w:t>част от ко</w:t>
      </w:r>
      <w:r w:rsidR="00E43587">
        <w:t>й</w:t>
      </w:r>
      <w:r w:rsidR="000F3873">
        <w:t>то гласи:</w:t>
      </w:r>
    </w:p>
    <w:p w:rsidR="005076FA" w:rsidRDefault="000F3873" w:rsidP="000F3873">
      <w:pPr>
        <w:pStyle w:val="JuQuot"/>
      </w:pPr>
      <w:r>
        <w:t xml:space="preserve">„1.  Правото на живот </w:t>
      </w:r>
      <w:r w:rsidR="00E43587">
        <w:t xml:space="preserve">на всеки </w:t>
      </w:r>
      <w:r>
        <w:t xml:space="preserve">се </w:t>
      </w:r>
      <w:r w:rsidR="00E43587">
        <w:t>защитава</w:t>
      </w:r>
      <w:r>
        <w:t xml:space="preserve"> от закона. Нико</w:t>
      </w:r>
      <w:r w:rsidR="00E43587">
        <w:t>й</w:t>
      </w:r>
      <w:r>
        <w:t xml:space="preserve"> не може да бъде </w:t>
      </w:r>
      <w:r w:rsidR="00E43587">
        <w:t xml:space="preserve">умишлено </w:t>
      </w:r>
      <w:r>
        <w:t>лиш</w:t>
      </w:r>
      <w:r w:rsidR="00E43587">
        <w:t>е</w:t>
      </w:r>
      <w:r>
        <w:t xml:space="preserve">н от живот, освен </w:t>
      </w:r>
      <w:r w:rsidR="00E43587">
        <w:t>в</w:t>
      </w:r>
      <w:r>
        <w:t xml:space="preserve"> изпълнение на </w:t>
      </w:r>
      <w:r w:rsidR="00E43587">
        <w:t xml:space="preserve">съдебна </w:t>
      </w:r>
      <w:r>
        <w:t xml:space="preserve">присъда </w:t>
      </w:r>
      <w:r w:rsidR="00421A59">
        <w:t>за извършено</w:t>
      </w:r>
      <w:r>
        <w:t xml:space="preserve"> престъпление, за което такова наказание</w:t>
      </w:r>
      <w:r w:rsidR="00421A59">
        <w:t xml:space="preserve"> е предвидено в закона</w:t>
      </w:r>
      <w:r>
        <w:t>.</w:t>
      </w:r>
    </w:p>
    <w:p w:rsidR="000F3873" w:rsidRPr="0059462F" w:rsidRDefault="000F3873" w:rsidP="000F3873">
      <w:pPr>
        <w:pStyle w:val="JuQuot"/>
      </w:pPr>
      <w:r>
        <w:t xml:space="preserve"> ... “</w:t>
      </w:r>
    </w:p>
    <w:p w:rsidR="000F3873" w:rsidRPr="0059462F" w:rsidRDefault="008E7633" w:rsidP="000F3873">
      <w:pPr>
        <w:pStyle w:val="JuPara"/>
      </w:pPr>
      <w:fldSimple w:instr=" SEQ level0 \*arabic ">
        <w:r w:rsidR="00A94344">
          <w:rPr>
            <w:noProof/>
          </w:rPr>
          <w:t>64</w:t>
        </w:r>
      </w:fldSimple>
      <w:r w:rsidR="000F3873">
        <w:t xml:space="preserve">.  Както </w:t>
      </w:r>
      <w:r w:rsidR="00421A59">
        <w:t>и пред отделението</w:t>
      </w:r>
      <w:r w:rsidR="000F3873">
        <w:t>, Правителството оспор</w:t>
      </w:r>
      <w:r w:rsidR="00421A59">
        <w:t>ва</w:t>
      </w:r>
      <w:r w:rsidR="000F3873">
        <w:t xml:space="preserve"> това твърдение. </w:t>
      </w:r>
    </w:p>
    <w:p w:rsidR="000F3873" w:rsidRPr="000F3873" w:rsidRDefault="009F66F3" w:rsidP="006725B0">
      <w:pPr>
        <w:pStyle w:val="JuHA0"/>
        <w:widowControl w:val="0"/>
        <w:rPr>
          <w:b w:val="0"/>
          <w:bCs/>
          <w:i/>
          <w:iCs/>
        </w:rPr>
      </w:pPr>
      <w:r>
        <w:br w:type="page"/>
      </w:r>
      <w:r>
        <w:lastRenderedPageBreak/>
        <w:t>А.</w:t>
      </w:r>
      <w:r>
        <w:tab/>
        <w:t>Приложимост</w:t>
      </w:r>
    </w:p>
    <w:p w:rsidR="000F3873" w:rsidRPr="0059462F" w:rsidRDefault="000F3873" w:rsidP="006725B0">
      <w:pPr>
        <w:pStyle w:val="JuH1"/>
        <w:widowControl w:val="0"/>
      </w:pPr>
      <w:r>
        <w:t>1.  </w:t>
      </w:r>
      <w:r w:rsidR="00421A59">
        <w:t>Решението</w:t>
      </w:r>
      <w:r w:rsidR="009453EB">
        <w:t xml:space="preserve"> на</w:t>
      </w:r>
      <w:r>
        <w:t xml:space="preserve"> Съда</w:t>
      </w:r>
    </w:p>
    <w:p w:rsidR="00D8632D" w:rsidRDefault="008E7633" w:rsidP="000F3873">
      <w:pPr>
        <w:pStyle w:val="JuPara"/>
      </w:pPr>
      <w:fldSimple w:instr=" SEQ level0 \*arabic ">
        <w:r w:rsidR="00A94344">
          <w:rPr>
            <w:noProof/>
          </w:rPr>
          <w:t>65</w:t>
        </w:r>
      </w:fldSimple>
      <w:r w:rsidR="000F3873">
        <w:t>.  </w:t>
      </w:r>
      <w:r w:rsidR="00075247">
        <w:t>Като се п</w:t>
      </w:r>
      <w:r w:rsidR="000F3873">
        <w:t xml:space="preserve">озовава на примери от дела като </w:t>
      </w:r>
      <w:r w:rsidR="000F3873">
        <w:rPr>
          <w:i/>
        </w:rPr>
        <w:t xml:space="preserve">L.C.B. </w:t>
      </w:r>
      <w:r w:rsidR="00075247">
        <w:rPr>
          <w:i/>
        </w:rPr>
        <w:t>срещу</w:t>
      </w:r>
      <w:r w:rsidR="000F3873">
        <w:rPr>
          <w:i/>
        </w:rPr>
        <w:t xml:space="preserve"> </w:t>
      </w:r>
      <w:r w:rsidR="00075247">
        <w:rPr>
          <w:i/>
        </w:rPr>
        <w:t>Великобритания</w:t>
      </w:r>
      <w:r w:rsidR="000F3873">
        <w:t xml:space="preserve"> (решение от 9 юни 1998 г., </w:t>
      </w:r>
      <w:r w:rsidR="000F3873">
        <w:rPr>
          <w:i/>
        </w:rPr>
        <w:t>Доклади за решения и определени</w:t>
      </w:r>
      <w:r w:rsidR="000F3873">
        <w:t xml:space="preserve">я 1998-ІІІ), </w:t>
      </w:r>
      <w:proofErr w:type="spellStart"/>
      <w:r w:rsidR="000F3873">
        <w:rPr>
          <w:i/>
        </w:rPr>
        <w:t>Guerra</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075247">
        <w:rPr>
          <w:i/>
        </w:rPr>
        <w:t>срещу Италия</w:t>
      </w:r>
      <w:r w:rsidR="000F3873">
        <w:t xml:space="preserve"> (решение от 19 февруари 1998 г., </w:t>
      </w:r>
      <w:r w:rsidR="000F3873">
        <w:rPr>
          <w:i/>
        </w:rPr>
        <w:t>Доклади</w:t>
      </w:r>
      <w:r w:rsidR="000F3873">
        <w:t xml:space="preserve"> 1998-І), </w:t>
      </w:r>
      <w:proofErr w:type="spellStart"/>
      <w:r w:rsidR="000F3873">
        <w:rPr>
          <w:i/>
        </w:rPr>
        <w:t>Botta</w:t>
      </w:r>
      <w:proofErr w:type="spellEnd"/>
      <w:r w:rsidR="000F3873">
        <w:rPr>
          <w:i/>
        </w:rPr>
        <w:t xml:space="preserve"> </w:t>
      </w:r>
      <w:r w:rsidR="00075247">
        <w:rPr>
          <w:i/>
        </w:rPr>
        <w:t>срещу Италия</w:t>
      </w:r>
      <w:r w:rsidR="000F3873">
        <w:t xml:space="preserve"> (решение от 24 февруари 1998 г., </w:t>
      </w:r>
      <w:r w:rsidR="000F3873">
        <w:rPr>
          <w:i/>
        </w:rPr>
        <w:t>Доклади</w:t>
      </w:r>
      <w:r w:rsidR="000F3873">
        <w:t xml:space="preserve"> 1998-І) и </w:t>
      </w:r>
      <w:proofErr w:type="spellStart"/>
      <w:r w:rsidR="000F3873">
        <w:rPr>
          <w:i/>
        </w:rPr>
        <w:t>Calvelli</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Ciglio</w:t>
      </w:r>
      <w:proofErr w:type="spellEnd"/>
      <w:r w:rsidR="000F3873">
        <w:rPr>
          <w:i/>
        </w:rPr>
        <w:t xml:space="preserve"> </w:t>
      </w:r>
      <w:r w:rsidR="00075247">
        <w:rPr>
          <w:i/>
        </w:rPr>
        <w:t>срещу Италия</w:t>
      </w:r>
      <w:r w:rsidR="000F3873">
        <w:t xml:space="preserve"> ([</w:t>
      </w:r>
      <w:r w:rsidR="00075247">
        <w:t>ГО</w:t>
      </w:r>
      <w:r w:rsidR="000F3873">
        <w:t>], № 32967/96, ЕСПЧ 2002</w:t>
      </w:r>
      <w:r w:rsidR="000F3873">
        <w:noBreakHyphen/>
        <w:t>I) и на европейските стандарти в тази сфера, Съдът подчерта</w:t>
      </w:r>
      <w:r w:rsidR="00075247">
        <w:t>ва</w:t>
      </w:r>
      <w:r w:rsidR="000F3873">
        <w:t>, че защитата на правото на живот съгласно чл</w:t>
      </w:r>
      <w:r w:rsidR="00075247">
        <w:t>.</w:t>
      </w:r>
      <w:r w:rsidR="000F3873">
        <w:t xml:space="preserve"> 2 от Конвенцията може да се прилага във връзка с функционирането на площадки за събиране на отпадъци предвид потенциалните рискове, присъщи на подобна дейност. Съобразно с това прие</w:t>
      </w:r>
      <w:r w:rsidR="00E63431">
        <w:t>ма</w:t>
      </w:r>
      <w:r w:rsidR="000F3873">
        <w:t>, че в настоящия случай е приложимо позитивното задължение на държавите да предприемат необходимите мерки за опазване на живота на хората, живеещи под тяхната юрисдикция.</w:t>
      </w:r>
    </w:p>
    <w:p w:rsidR="000F3873" w:rsidRPr="0059462F" w:rsidRDefault="000F3873" w:rsidP="006725B0">
      <w:pPr>
        <w:pStyle w:val="JuH1"/>
        <w:widowControl w:val="0"/>
      </w:pPr>
      <w:r>
        <w:t>2.  Твърдения на изправените пред съда</w:t>
      </w:r>
    </w:p>
    <w:p w:rsidR="00D8632D" w:rsidRDefault="008E7633" w:rsidP="000F3873">
      <w:pPr>
        <w:pStyle w:val="JuPara"/>
      </w:pPr>
      <w:fldSimple w:instr=" SEQ level0 \*arabic ">
        <w:r w:rsidR="00A94344">
          <w:rPr>
            <w:noProof/>
          </w:rPr>
          <w:t>66</w:t>
        </w:r>
      </w:fldSimple>
      <w:r w:rsidR="000F3873">
        <w:t>.   Правителството изтък</w:t>
      </w:r>
      <w:r w:rsidR="00E63431">
        <w:t>в</w:t>
      </w:r>
      <w:r w:rsidR="000F3873">
        <w:t>а аргумента, че заключението на Съда, че „всички ситуации на не</w:t>
      </w:r>
      <w:r w:rsidR="00E63431">
        <w:t>умишл</w:t>
      </w:r>
      <w:r w:rsidR="000F3873">
        <w:t>ено причиняване на смърт“</w:t>
      </w:r>
      <w:r w:rsidR="00E63431">
        <w:t>, които</w:t>
      </w:r>
      <w:r w:rsidR="000F3873">
        <w:t xml:space="preserve"> попада</w:t>
      </w:r>
      <w:r w:rsidR="00E63431">
        <w:t>т</w:t>
      </w:r>
      <w:r w:rsidR="000F3873">
        <w:t xml:space="preserve"> в обхвата на чл</w:t>
      </w:r>
      <w:r w:rsidR="00E63431">
        <w:t>.</w:t>
      </w:r>
      <w:r w:rsidR="000F3873">
        <w:t xml:space="preserve"> 2</w:t>
      </w:r>
      <w:r w:rsidR="00E63431">
        <w:t>, са</w:t>
      </w:r>
      <w:r w:rsidR="000F3873">
        <w:t xml:space="preserve"> пор</w:t>
      </w:r>
      <w:r w:rsidR="00E63431">
        <w:t>одили</w:t>
      </w:r>
      <w:r w:rsidR="000F3873">
        <w:t xml:space="preserve"> безпрецедентно разширяване на позитивните задължения, присъщи на тази разпоредба. </w:t>
      </w:r>
      <w:r w:rsidR="009F753E">
        <w:t xml:space="preserve">Според </w:t>
      </w:r>
      <w:r w:rsidR="00B34F14">
        <w:t>изложението на</w:t>
      </w:r>
      <w:r w:rsidR="000F3873">
        <w:t xml:space="preserve"> </w:t>
      </w:r>
      <w:r w:rsidR="007F48C3">
        <w:t xml:space="preserve">Правителството мотивите на Съда </w:t>
      </w:r>
      <w:r w:rsidR="009F753E">
        <w:t xml:space="preserve">се отклоняват </w:t>
      </w:r>
      <w:r w:rsidR="000F3873">
        <w:t xml:space="preserve">от позицията, приета от него по скорошни дела на подобна тематика, като например </w:t>
      </w:r>
      <w:proofErr w:type="spellStart"/>
      <w:r w:rsidR="000F3873">
        <w:rPr>
          <w:i/>
        </w:rPr>
        <w:t>Mastromatteo</w:t>
      </w:r>
      <w:proofErr w:type="spellEnd"/>
      <w:r w:rsidR="000F3873">
        <w:rPr>
          <w:i/>
        </w:rPr>
        <w:t xml:space="preserve"> </w:t>
      </w:r>
      <w:r w:rsidR="007F48C3">
        <w:rPr>
          <w:i/>
        </w:rPr>
        <w:t>срещу</w:t>
      </w:r>
      <w:r w:rsidR="000F3873">
        <w:rPr>
          <w:i/>
        </w:rPr>
        <w:t xml:space="preserve"> </w:t>
      </w:r>
      <w:r w:rsidR="007F48C3">
        <w:rPr>
          <w:i/>
        </w:rPr>
        <w:t>Италия</w:t>
      </w:r>
      <w:r w:rsidR="007F48C3">
        <w:t xml:space="preserve"> </w:t>
      </w:r>
      <w:r w:rsidR="000F3873">
        <w:t>([</w:t>
      </w:r>
      <w:r w:rsidR="007F48C3">
        <w:t>ГО</w:t>
      </w:r>
      <w:r w:rsidR="000F3873">
        <w:t>], № 37703/99, ЕСПЧ 2002-VIII)</w:t>
      </w:r>
      <w:r w:rsidR="009F753E">
        <w:t>,</w:t>
      </w:r>
      <w:r w:rsidR="000F3873">
        <w:t xml:space="preserve"> и не са подкрепени от </w:t>
      </w:r>
      <w:r w:rsidR="009F753E">
        <w:t xml:space="preserve">цитираните </w:t>
      </w:r>
      <w:r w:rsidR="000F3873">
        <w:t>дела</w:t>
      </w:r>
      <w:r w:rsidR="009F753E">
        <w:t>,</w:t>
      </w:r>
      <w:r w:rsidR="000F3873">
        <w:t xml:space="preserve"> </w:t>
      </w:r>
      <w:r w:rsidR="009F753E">
        <w:t>по-</w:t>
      </w:r>
      <w:r w:rsidR="000F3873">
        <w:t xml:space="preserve">конкретно </w:t>
      </w:r>
      <w:proofErr w:type="spellStart"/>
      <w:r w:rsidR="000F3873">
        <w:rPr>
          <w:i/>
        </w:rPr>
        <w:t>Osman</w:t>
      </w:r>
      <w:proofErr w:type="spellEnd"/>
      <w:r w:rsidR="000F3873">
        <w:rPr>
          <w:i/>
        </w:rPr>
        <w:t xml:space="preserve"> </w:t>
      </w:r>
      <w:r w:rsidR="009F753E">
        <w:rPr>
          <w:i/>
        </w:rPr>
        <w:t>срещу Великобритания</w:t>
      </w:r>
      <w:r w:rsidR="000F3873">
        <w:t xml:space="preserve"> (решение от 28 октомври 1998 г., </w:t>
      </w:r>
      <w:r w:rsidR="000F3873">
        <w:rPr>
          <w:i/>
        </w:rPr>
        <w:t>Доклади</w:t>
      </w:r>
      <w:r w:rsidR="000F3873">
        <w:t xml:space="preserve"> 1998-VІІІ) и </w:t>
      </w:r>
      <w:proofErr w:type="spellStart"/>
      <w:r w:rsidR="000F3873">
        <w:rPr>
          <w:i/>
        </w:rPr>
        <w:t>Calvelli</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Ciglio</w:t>
      </w:r>
      <w:proofErr w:type="spellEnd"/>
      <w:r w:rsidR="000F3873">
        <w:t xml:space="preserve"> (цитирано по-горе), при които не е установено нарушение на чл</w:t>
      </w:r>
      <w:r w:rsidR="009F753E">
        <w:t>.</w:t>
      </w:r>
      <w:r w:rsidR="000F3873">
        <w:t xml:space="preserve"> 2.</w:t>
      </w:r>
    </w:p>
    <w:p w:rsidR="00D8632D" w:rsidRDefault="008E7633" w:rsidP="000F3873">
      <w:pPr>
        <w:pStyle w:val="JuPara"/>
      </w:pPr>
      <w:fldSimple w:instr=" SEQ level0 \*arabic ">
        <w:r w:rsidR="00A94344">
          <w:rPr>
            <w:noProof/>
          </w:rPr>
          <w:t>67</w:t>
        </w:r>
      </w:fldSimple>
      <w:r w:rsidR="000F3873">
        <w:t>.  По време на заседанието Правителството заяв</w:t>
      </w:r>
      <w:r w:rsidR="009F753E">
        <w:t>ява</w:t>
      </w:r>
      <w:r w:rsidR="000F3873">
        <w:t xml:space="preserve">, че отговорността на държавата за дейности, които не се отнасят пряко </w:t>
      </w:r>
      <w:r w:rsidR="009F753E">
        <w:t>до</w:t>
      </w:r>
      <w:r w:rsidR="000F3873">
        <w:t xml:space="preserve"> нейни служители, не може да покрива всички възникнали инциденти или нещастия и че при такива обстоятелства тълкуването на Съда относно приложимостта на чл</w:t>
      </w:r>
      <w:r w:rsidR="009F753E">
        <w:t>.</w:t>
      </w:r>
      <w:r w:rsidR="000F3873">
        <w:t xml:space="preserve"> 2 не </w:t>
      </w:r>
      <w:r w:rsidR="00F95EDA">
        <w:t>следва да е</w:t>
      </w:r>
      <w:r w:rsidR="000F3873">
        <w:t xml:space="preserve"> нито телеологично, нито широко, а по-скоро </w:t>
      </w:r>
      <w:r w:rsidR="00F95EDA">
        <w:t>следва да има</w:t>
      </w:r>
      <w:r w:rsidR="000F3873">
        <w:t xml:space="preserve"> рестриктивен характер. В противен случай може да се направи извод, че самият факт на близост до летище, атомна електроцентрала или фабрика за боеприпаси</w:t>
      </w:r>
      <w:r w:rsidR="00F95EDA">
        <w:t>,</w:t>
      </w:r>
      <w:r w:rsidR="000F3873">
        <w:t xml:space="preserve"> или просто излагането на химикали може да доведе до потенциално нарушение на чл</w:t>
      </w:r>
      <w:r w:rsidR="00F95EDA">
        <w:t>.</w:t>
      </w:r>
      <w:r w:rsidR="000F3873">
        <w:t xml:space="preserve"> 2.</w:t>
      </w:r>
    </w:p>
    <w:p w:rsidR="000F3873" w:rsidRPr="0059462F" w:rsidRDefault="008E7633" w:rsidP="000F3873">
      <w:pPr>
        <w:pStyle w:val="JuPara"/>
      </w:pPr>
      <w:fldSimple w:instr=" SEQ level0 \*arabic ">
        <w:r w:rsidR="00A94344">
          <w:rPr>
            <w:noProof/>
          </w:rPr>
          <w:t>68</w:t>
        </w:r>
      </w:fldSimple>
      <w:r w:rsidR="000F3873">
        <w:t>.  Жалбоподателят твърди, че пропуските поради проявена небрежност от страна на държавните власти несъмнено попадат в обхвата на чл</w:t>
      </w:r>
      <w:r w:rsidR="00F95EDA">
        <w:t>.</w:t>
      </w:r>
      <w:r w:rsidR="000F3873">
        <w:t xml:space="preserve"> 2 на Конвенцията предвид факта, че са довели до смъртта </w:t>
      </w:r>
      <w:r w:rsidR="000F3873">
        <w:lastRenderedPageBreak/>
        <w:t>на роднините му и че нищо в твърденията на Правителството не може да обори този извод.</w:t>
      </w:r>
    </w:p>
    <w:p w:rsidR="000F3873" w:rsidRPr="0059462F" w:rsidRDefault="000F3873" w:rsidP="006725B0">
      <w:pPr>
        <w:pStyle w:val="JuH1"/>
        <w:widowControl w:val="0"/>
      </w:pPr>
      <w:r>
        <w:t>3.  Преценката на Съда</w:t>
      </w:r>
    </w:p>
    <w:p w:rsidR="00D8632D" w:rsidRDefault="008E7633" w:rsidP="000F3873">
      <w:pPr>
        <w:pStyle w:val="JuPara"/>
      </w:pPr>
      <w:fldSimple w:instr=" SEQ level0 \*arabic ">
        <w:r w:rsidR="00A94344">
          <w:rPr>
            <w:noProof/>
          </w:rPr>
          <w:t>69</w:t>
        </w:r>
      </w:fldSimple>
      <w:r w:rsidR="000F3873">
        <w:t>.  </w:t>
      </w:r>
      <w:r w:rsidR="00F95EDA">
        <w:t xml:space="preserve">Като взима </w:t>
      </w:r>
      <w:r w:rsidR="000F3873">
        <w:t>предвид като цяло аргументите на страните, Съдът подчертава на първо място, че подходът му към тълкуването на чл</w:t>
      </w:r>
      <w:r w:rsidR="00F95EDA">
        <w:t>.</w:t>
      </w:r>
      <w:r w:rsidR="000F3873">
        <w:t xml:space="preserve"> 2 се обуславя от идеята, че предметът и целта на Конвенцията като инструмент за защита на индивидуалните човешки права изисква разпоредбите </w:t>
      </w:r>
      <w:r w:rsidR="005771AA">
        <w:t>ѝ</w:t>
      </w:r>
      <w:r w:rsidR="000F3873">
        <w:t xml:space="preserve"> да се тълкуват и прилагат по начин, който прави гаранциите </w:t>
      </w:r>
      <w:r w:rsidR="005771AA">
        <w:t xml:space="preserve">ѝ </w:t>
      </w:r>
      <w:r w:rsidR="000F3873">
        <w:t>практични и ефективни (вж</w:t>
      </w:r>
      <w:r w:rsidR="005771AA">
        <w:t>.</w:t>
      </w:r>
      <w:r w:rsidR="000F3873">
        <w:t xml:space="preserve"> например </w:t>
      </w:r>
      <w:proofErr w:type="spellStart"/>
      <w:r w:rsidR="000F3873">
        <w:rPr>
          <w:i/>
        </w:rPr>
        <w:t>Yaşa</w:t>
      </w:r>
      <w:proofErr w:type="spellEnd"/>
      <w:r w:rsidR="000F3873">
        <w:rPr>
          <w:i/>
        </w:rPr>
        <w:t xml:space="preserve"> </w:t>
      </w:r>
      <w:r w:rsidR="005771AA">
        <w:rPr>
          <w:i/>
        </w:rPr>
        <w:t>срещу Турция</w:t>
      </w:r>
      <w:r w:rsidR="000F3873">
        <w:t xml:space="preserve">, решение от 2 септември 1998 г., </w:t>
      </w:r>
      <w:r w:rsidR="000F3873">
        <w:rPr>
          <w:i/>
        </w:rPr>
        <w:t>Доклади</w:t>
      </w:r>
      <w:r w:rsidR="000F3873">
        <w:t xml:space="preserve"> 1998-VІ, стр. 2429, § 64).</w:t>
      </w:r>
    </w:p>
    <w:p w:rsidR="00D8632D" w:rsidRDefault="008E7633" w:rsidP="000F3873">
      <w:pPr>
        <w:pStyle w:val="JuPara"/>
      </w:pPr>
      <w:fldSimple w:instr=" SEQ level0 \*arabic ">
        <w:r w:rsidR="00A94344">
          <w:rPr>
            <w:noProof/>
          </w:rPr>
          <w:t>70</w:t>
        </w:r>
      </w:fldSimple>
      <w:r w:rsidR="000F3873">
        <w:t xml:space="preserve">.  В настоящия казус жалбата пред Съда касае факта, че националните власти не са извършили всичко, което се очаква от тях за предотвратяване на смъртта на близките роднини на жалбоподателя </w:t>
      </w:r>
      <w:r w:rsidR="00173DFE">
        <w:t>при</w:t>
      </w:r>
      <w:r w:rsidR="000F3873">
        <w:t xml:space="preserve"> инцидента от 28 април 1993 г. в общинското сметище на </w:t>
      </w:r>
      <w:proofErr w:type="spellStart"/>
      <w:r w:rsidR="000F3873">
        <w:t>Юмрание</w:t>
      </w:r>
      <w:proofErr w:type="spellEnd"/>
      <w:r w:rsidR="000F3873">
        <w:t>, което е функционирало под контрола на властите.</w:t>
      </w:r>
    </w:p>
    <w:p w:rsidR="00D8632D" w:rsidRDefault="008E7633" w:rsidP="000F3873">
      <w:pPr>
        <w:pStyle w:val="JuPara"/>
      </w:pPr>
      <w:fldSimple w:instr=" SEQ level0 \*arabic ">
        <w:r w:rsidR="00A94344">
          <w:rPr>
            <w:noProof/>
          </w:rPr>
          <w:t>71</w:t>
        </w:r>
      </w:fldSimple>
      <w:r w:rsidR="000F3873">
        <w:t>.  В тази връзка Съдът подчертава, че чл</w:t>
      </w:r>
      <w:r w:rsidR="00173DFE">
        <w:t>.</w:t>
      </w:r>
      <w:r w:rsidR="000F3873">
        <w:t xml:space="preserve"> 2 не засяга единствено смъртните случаи в резултат на използване на сила от страна на държавни служители, но също така, в първото изречение на първ</w:t>
      </w:r>
      <w:r w:rsidR="00173DFE">
        <w:t>ата алинея</w:t>
      </w:r>
      <w:r w:rsidR="000F3873">
        <w:t xml:space="preserve"> се посочва позитивното задължение на държавите да предприемат необходимите мерки за опазване на живота на хората, които живеят под тяхната юрисдикция (вж</w:t>
      </w:r>
      <w:r w:rsidR="00BA7E6D">
        <w:t>.</w:t>
      </w:r>
      <w:r w:rsidR="000F3873">
        <w:t xml:space="preserve"> например </w:t>
      </w:r>
      <w:r w:rsidR="000F3873">
        <w:rPr>
          <w:i/>
        </w:rPr>
        <w:t xml:space="preserve">L.C.B. </w:t>
      </w:r>
      <w:r w:rsidR="00BA7E6D">
        <w:rPr>
          <w:i/>
        </w:rPr>
        <w:t>срещу Великобритания</w:t>
      </w:r>
      <w:r w:rsidR="000F3873">
        <w:t xml:space="preserve">, цитирано по-горе, стр. 1403, § 36 и </w:t>
      </w:r>
      <w:proofErr w:type="spellStart"/>
      <w:r w:rsidR="000F3873">
        <w:rPr>
          <w:i/>
        </w:rPr>
        <w:t>Paul</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Audrey</w:t>
      </w:r>
      <w:proofErr w:type="spellEnd"/>
      <w:r w:rsidR="000F3873">
        <w:rPr>
          <w:i/>
        </w:rPr>
        <w:t xml:space="preserve"> </w:t>
      </w:r>
      <w:proofErr w:type="spellStart"/>
      <w:r w:rsidR="000F3873">
        <w:rPr>
          <w:i/>
        </w:rPr>
        <w:t>Edwards</w:t>
      </w:r>
      <w:proofErr w:type="spellEnd"/>
      <w:r w:rsidR="000F3873">
        <w:rPr>
          <w:i/>
        </w:rPr>
        <w:t xml:space="preserve"> </w:t>
      </w:r>
      <w:r w:rsidR="00BA7E6D">
        <w:rPr>
          <w:i/>
        </w:rPr>
        <w:t>срещу Великобритания</w:t>
      </w:r>
      <w:r w:rsidR="000F3873">
        <w:t>, № 46477/99, § 54, ЕСПЧ, 2002-ІІ).</w:t>
      </w:r>
    </w:p>
    <w:p w:rsidR="00D8632D" w:rsidRDefault="000F3873" w:rsidP="000F3873">
      <w:pPr>
        <w:pStyle w:val="JuPara"/>
      </w:pPr>
      <w:r>
        <w:t xml:space="preserve">Съдът счита, че това задължение трябва да се тълкува като приложимо в контекста на всяка една дейност, публична или не, която </w:t>
      </w:r>
      <w:r w:rsidR="00BA7E6D">
        <w:t>може да</w:t>
      </w:r>
      <w:r>
        <w:t xml:space="preserve"> касае правото на живот, и </w:t>
      </w:r>
      <w:r w:rsidRPr="00833B88">
        <w:t>още повече</w:t>
      </w:r>
      <w:r>
        <w:t xml:space="preserve">, в случай на промишлени дейности, които по своята същност  са опасни, като например експлоатацията на площадки за събиране на отпадъци („опасни дейности“ — </w:t>
      </w:r>
      <w:r w:rsidR="000C1936">
        <w:t>относно</w:t>
      </w:r>
      <w:r>
        <w:t xml:space="preserve"> </w:t>
      </w:r>
      <w:r w:rsidR="000C1936">
        <w:t xml:space="preserve">приложимите </w:t>
      </w:r>
      <w:r>
        <w:t>европейски стандарти вж</w:t>
      </w:r>
      <w:r w:rsidR="000C1936">
        <w:t>.</w:t>
      </w:r>
      <w:r>
        <w:t xml:space="preserve"> параграф</w:t>
      </w:r>
      <w:r w:rsidR="000C1936">
        <w:t>и</w:t>
      </w:r>
      <w:r>
        <w:t xml:space="preserve"> 59</w:t>
      </w:r>
      <w:r w:rsidR="000C1936">
        <w:t>-</w:t>
      </w:r>
      <w:r>
        <w:t>60 по-горе).</w:t>
      </w:r>
    </w:p>
    <w:p w:rsidR="000F3873" w:rsidRPr="0059462F" w:rsidRDefault="008E7633" w:rsidP="000F3873">
      <w:pPr>
        <w:pStyle w:val="JuPara"/>
      </w:pPr>
      <w:fldSimple w:instr=" SEQ level0 \*arabic ">
        <w:r w:rsidR="00A94344">
          <w:rPr>
            <w:noProof/>
          </w:rPr>
          <w:t>72</w:t>
        </w:r>
      </w:fldSimple>
      <w:r w:rsidR="000F3873">
        <w:t xml:space="preserve">.  Когато </w:t>
      </w:r>
      <w:r w:rsidR="000C1936">
        <w:t xml:space="preserve">се е налагало </w:t>
      </w:r>
      <w:r w:rsidR="000F3873">
        <w:t>институциите по Конвенцията да проуч</w:t>
      </w:r>
      <w:r w:rsidR="000C1936">
        <w:t>в</w:t>
      </w:r>
      <w:r w:rsidR="000F3873">
        <w:t>ат твърдения за нарушаване на правото на защита на живота в подобни райони, те никога не са постанов</w:t>
      </w:r>
      <w:r w:rsidR="000C1936">
        <w:t>явали</w:t>
      </w:r>
      <w:r w:rsidR="000F3873">
        <w:t>, че чл</w:t>
      </w:r>
      <w:r w:rsidR="000C1936">
        <w:t>.</w:t>
      </w:r>
      <w:r w:rsidR="000F3873">
        <w:t xml:space="preserve"> 2 е неприложим. Съдът би могъл да се позове например на казуси във връзка с отровни емисии от завод за торове (вж</w:t>
      </w:r>
      <w:r w:rsidR="000C1936">
        <w:t>.</w:t>
      </w:r>
      <w:r w:rsidR="000F3873">
        <w:t xml:space="preserve"> </w:t>
      </w:r>
      <w:proofErr w:type="spellStart"/>
      <w:r w:rsidR="000F3873">
        <w:rPr>
          <w:i/>
        </w:rPr>
        <w:t>Guerra</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Others</w:t>
      </w:r>
      <w:proofErr w:type="spellEnd"/>
      <w:r w:rsidR="000F3873">
        <w:t>, цитирано по-горе, стр</w:t>
      </w:r>
      <w:r w:rsidR="000C1936">
        <w:t>.</w:t>
      </w:r>
      <w:r w:rsidR="000F3873">
        <w:t xml:space="preserve"> 228-29, §§ 60 и 62) или ядрени опити (вж</w:t>
      </w:r>
      <w:r w:rsidR="000C1936">
        <w:t>.</w:t>
      </w:r>
      <w:r w:rsidR="000F3873">
        <w:t xml:space="preserve"> </w:t>
      </w:r>
      <w:r w:rsidR="000F3873">
        <w:rPr>
          <w:i/>
        </w:rPr>
        <w:t xml:space="preserve">L.C.B. </w:t>
      </w:r>
      <w:r w:rsidR="000C1936">
        <w:rPr>
          <w:i/>
        </w:rPr>
        <w:t>срещу Великобритания</w:t>
      </w:r>
      <w:r w:rsidR="000F3873">
        <w:t>, цитирано по-горе, стр. 1403, § 36).</w:t>
      </w:r>
    </w:p>
    <w:p w:rsidR="000F3873" w:rsidRPr="0059462F" w:rsidRDefault="008E7633" w:rsidP="000F3873">
      <w:pPr>
        <w:pStyle w:val="JuPara"/>
      </w:pPr>
      <w:fldSimple w:instr=" SEQ level0 \*arabic ">
        <w:r w:rsidR="00A94344">
          <w:rPr>
            <w:noProof/>
          </w:rPr>
          <w:t>73</w:t>
        </w:r>
      </w:fldSimple>
      <w:r w:rsidR="000F3873">
        <w:t xml:space="preserve">.  В тази връзка, противно на твърденията на Правителството, вредността на явленията, свързани с въпросната дейност, степента на </w:t>
      </w:r>
      <w:r w:rsidR="00B52771">
        <w:t>опасност</w:t>
      </w:r>
      <w:r w:rsidR="000F3873">
        <w:t>, на ко</w:t>
      </w:r>
      <w:r w:rsidR="00B52771">
        <w:t>я</w:t>
      </w:r>
      <w:r w:rsidR="000F3873">
        <w:t xml:space="preserve">то жалбоподателят е бил изложен поради всички </w:t>
      </w:r>
      <w:proofErr w:type="spellStart"/>
      <w:r w:rsidR="000F3873">
        <w:t>животозастрашаващи</w:t>
      </w:r>
      <w:proofErr w:type="spellEnd"/>
      <w:r w:rsidR="000F3873">
        <w:t xml:space="preserve"> обстоятелства, </w:t>
      </w:r>
      <w:r w:rsidR="00B52771">
        <w:t xml:space="preserve">рангът </w:t>
      </w:r>
      <w:r w:rsidR="000F3873">
        <w:t>на тези, които участват в причиняването на такива обстоятелства</w:t>
      </w:r>
      <w:r w:rsidR="00B52771">
        <w:t>,</w:t>
      </w:r>
      <w:r w:rsidR="000F3873">
        <w:t xml:space="preserve"> и дали действията или бездействията, дължащи се на тях</w:t>
      </w:r>
      <w:r w:rsidR="00B52771">
        <w:t>,</w:t>
      </w:r>
      <w:r w:rsidR="000F3873">
        <w:t xml:space="preserve"> са били умишлени са само </w:t>
      </w:r>
      <w:r w:rsidR="00B52771">
        <w:t xml:space="preserve">някои от </w:t>
      </w:r>
      <w:r w:rsidR="000F3873">
        <w:lastRenderedPageBreak/>
        <w:t>фактори</w:t>
      </w:r>
      <w:r w:rsidR="00B52771">
        <w:t>те</w:t>
      </w:r>
      <w:r w:rsidR="000F3873">
        <w:t>, които трябва да бъдат взети под внимание при разглеждането по същество на всеки конкретен случай с оглед определяне на отговорността на държавата по силата на чл</w:t>
      </w:r>
      <w:r w:rsidR="00B52771">
        <w:t>.</w:t>
      </w:r>
      <w:r w:rsidR="000F3873">
        <w:t xml:space="preserve"> 2 (пак там, страници 1403-04, §§ 37-41).</w:t>
      </w:r>
    </w:p>
    <w:p w:rsidR="000F3873" w:rsidRPr="0059462F" w:rsidRDefault="000F3873" w:rsidP="000F3873">
      <w:pPr>
        <w:pStyle w:val="JuPara"/>
      </w:pPr>
      <w:r>
        <w:t>Съдът ще се върне на тези точки по-късно.</w:t>
      </w:r>
    </w:p>
    <w:p w:rsidR="00D8632D" w:rsidRDefault="008E7633" w:rsidP="000F3873">
      <w:pPr>
        <w:pStyle w:val="JuPara"/>
      </w:pPr>
      <w:fldSimple w:instr=" SEQ level0 \*arabic ">
        <w:r w:rsidR="00A94344">
          <w:rPr>
            <w:noProof/>
          </w:rPr>
          <w:t>74</w:t>
        </w:r>
      </w:fldSimple>
      <w:r w:rsidR="000F3873">
        <w:t>.  В обобщение Съдът счита, че искът на жалбоподателя (вж</w:t>
      </w:r>
      <w:r w:rsidR="009453EB">
        <w:t>.</w:t>
      </w:r>
      <w:r w:rsidR="000F3873">
        <w:t xml:space="preserve"> параграф 70 по-горе) без</w:t>
      </w:r>
      <w:r w:rsidR="009453EB">
        <w:t xml:space="preserve"> </w:t>
      </w:r>
      <w:r w:rsidR="000F3873">
        <w:t>съмнен</w:t>
      </w:r>
      <w:r w:rsidR="009453EB">
        <w:t>ие</w:t>
      </w:r>
      <w:r w:rsidR="000F3873">
        <w:t xml:space="preserve"> попада в обхвата на първото изречение на чл</w:t>
      </w:r>
      <w:r w:rsidR="009453EB">
        <w:t>.</w:t>
      </w:r>
      <w:r w:rsidR="000F3873">
        <w:t xml:space="preserve"> 2, който следователно е приложим за конкретния случай.</w:t>
      </w:r>
    </w:p>
    <w:p w:rsidR="000F3873" w:rsidRPr="000F3873" w:rsidRDefault="000F3873" w:rsidP="006725B0">
      <w:pPr>
        <w:pStyle w:val="JuHA0"/>
        <w:widowControl w:val="0"/>
      </w:pPr>
      <w:r>
        <w:t>Б.</w:t>
      </w:r>
      <w:r>
        <w:tab/>
        <w:t>Съответствие</w:t>
      </w:r>
    </w:p>
    <w:p w:rsidR="000F3873" w:rsidRPr="0059462F" w:rsidRDefault="000F3873" w:rsidP="006725B0">
      <w:pPr>
        <w:pStyle w:val="JuH1"/>
        <w:widowControl w:val="0"/>
      </w:pPr>
      <w:r>
        <w:t>1.  </w:t>
      </w:r>
      <w:r w:rsidR="009453EB">
        <w:t>Решението на</w:t>
      </w:r>
      <w:r>
        <w:t xml:space="preserve"> Съда</w:t>
      </w:r>
    </w:p>
    <w:p w:rsidR="00D8632D" w:rsidRDefault="008E7633" w:rsidP="000F3873">
      <w:pPr>
        <w:pStyle w:val="JuPara"/>
      </w:pPr>
      <w:fldSimple w:instr=" SEQ level0 \*arabic ">
        <w:r w:rsidR="00A94344">
          <w:rPr>
            <w:noProof/>
          </w:rPr>
          <w:t>75</w:t>
        </w:r>
      </w:fldSimple>
      <w:r w:rsidR="000F3873">
        <w:t>.  Съдът отбеляз</w:t>
      </w:r>
      <w:r w:rsidR="009453EB">
        <w:t>в</w:t>
      </w:r>
      <w:r w:rsidR="000F3873">
        <w:t>а, че в конкретния случай съответните органи не само са отказали да положат реални усилия за избягване на сериозни оперативни рискове, изтъкнати в доклад</w:t>
      </w:r>
      <w:r w:rsidR="009453EB">
        <w:t>а от експертизата</w:t>
      </w:r>
      <w:r w:rsidR="000F3873">
        <w:t xml:space="preserve"> от 7 май 1991 г., а и не са се опитали да </w:t>
      </w:r>
      <w:r w:rsidR="0008171C">
        <w:t xml:space="preserve">попречат на </w:t>
      </w:r>
      <w:r w:rsidR="000F3873">
        <w:t>жалбоподателя да живее близо до сметището, което е било източник на риска. Съдът отбеляз</w:t>
      </w:r>
      <w:r w:rsidR="0008171C">
        <w:t>в</w:t>
      </w:r>
      <w:r w:rsidR="000F3873">
        <w:t xml:space="preserve">а също, че </w:t>
      </w:r>
      <w:r w:rsidR="0008171C">
        <w:t xml:space="preserve">държавните </w:t>
      </w:r>
      <w:r w:rsidR="000F3873">
        <w:t xml:space="preserve">власти не са изпълнили задълженията си да информират обитателите на квартала </w:t>
      </w:r>
      <w:proofErr w:type="spellStart"/>
      <w:r w:rsidR="000F3873">
        <w:t>Казим</w:t>
      </w:r>
      <w:proofErr w:type="spellEnd"/>
      <w:r w:rsidR="000F3873">
        <w:t xml:space="preserve"> </w:t>
      </w:r>
      <w:proofErr w:type="spellStart"/>
      <w:r w:rsidR="000F3873">
        <w:t>Карабекир</w:t>
      </w:r>
      <w:proofErr w:type="spellEnd"/>
      <w:r w:rsidR="000F3873">
        <w:t xml:space="preserve"> относно рисковете, които са поели </w:t>
      </w:r>
      <w:r w:rsidR="0008171C">
        <w:t>като са продължили да живеят</w:t>
      </w:r>
      <w:r w:rsidR="000F3873">
        <w:t xml:space="preserve"> близо до сметището.</w:t>
      </w:r>
    </w:p>
    <w:p w:rsidR="00D8632D" w:rsidRDefault="000F3873" w:rsidP="000F3873">
      <w:pPr>
        <w:pStyle w:val="JuPara"/>
      </w:pPr>
      <w:r>
        <w:t>Следователно Съдът намира причинно</w:t>
      </w:r>
      <w:r w:rsidR="0008171C">
        <w:t>-</w:t>
      </w:r>
      <w:r>
        <w:t>следствена връзка между, от една страна, пропуските поради небрежност от страна на турските власти и, от друга страна, инцидент</w:t>
      </w:r>
      <w:r w:rsidR="0008171C">
        <w:t>а</w:t>
      </w:r>
      <w:r>
        <w:t xml:space="preserve"> на 28 април 1993 г., който предизвиква загуба на човешки живот. Във връзка с това Съдът заключ</w:t>
      </w:r>
      <w:r w:rsidR="0008171C">
        <w:t>ава</w:t>
      </w:r>
      <w:r>
        <w:t xml:space="preserve">, че в конкретния случай </w:t>
      </w:r>
      <w:r w:rsidR="0008171C">
        <w:t xml:space="preserve">не може да се твърди, че </w:t>
      </w:r>
      <w:r>
        <w:t xml:space="preserve">турските власти са </w:t>
      </w:r>
      <w:r w:rsidR="0008171C">
        <w:t xml:space="preserve">направили </w:t>
      </w:r>
      <w:r>
        <w:t xml:space="preserve">всичко необходимо, което основателно се очаква от тях за предотвратяване на възникването на реални рискове за живота на обитателите на определени бедни райони на </w:t>
      </w:r>
      <w:proofErr w:type="spellStart"/>
      <w:r>
        <w:t>Юмрание</w:t>
      </w:r>
      <w:proofErr w:type="spellEnd"/>
      <w:r>
        <w:t>.</w:t>
      </w:r>
    </w:p>
    <w:p w:rsidR="00D8632D" w:rsidRDefault="008E7633" w:rsidP="000F3873">
      <w:pPr>
        <w:pStyle w:val="JuPara"/>
      </w:pPr>
      <w:fldSimple w:instr=" SEQ level0 \*arabic ">
        <w:r w:rsidR="00A94344">
          <w:rPr>
            <w:noProof/>
          </w:rPr>
          <w:t>76</w:t>
        </w:r>
      </w:fldSimple>
      <w:r w:rsidR="000F3873">
        <w:t>.  Съдът пристъп</w:t>
      </w:r>
      <w:r w:rsidR="00A11F16">
        <w:t>ва</w:t>
      </w:r>
      <w:r w:rsidR="000F3873">
        <w:t xml:space="preserve"> към разглеждане на жалбата във връзка с неизпълнението от страна на турския наказателен и административ</w:t>
      </w:r>
      <w:r w:rsidR="00A11F16">
        <w:t>е</w:t>
      </w:r>
      <w:r w:rsidR="000F3873">
        <w:t>н съд във връзка с „процесуалните задължения“ по чл</w:t>
      </w:r>
      <w:r w:rsidR="00A11F16">
        <w:t>.</w:t>
      </w:r>
      <w:r w:rsidR="000F3873">
        <w:t xml:space="preserve"> 2</w:t>
      </w:r>
      <w:r w:rsidR="00A11F16">
        <w:t>,</w:t>
      </w:r>
      <w:r w:rsidR="000F3873">
        <w:t xml:space="preserve"> </w:t>
      </w:r>
      <w:r w:rsidR="00A11F16">
        <w:t>с цел да прецени</w:t>
      </w:r>
      <w:r w:rsidR="000F3873">
        <w:t xml:space="preserve"> дали жалбоподателят може да се счита за обезщетен във връзка с исковете си.</w:t>
      </w:r>
    </w:p>
    <w:p w:rsidR="000F3873" w:rsidRPr="0059462F" w:rsidRDefault="000F3873" w:rsidP="000F3873">
      <w:pPr>
        <w:pStyle w:val="JuPara"/>
      </w:pPr>
      <w:r>
        <w:t>По отношение на наказателните производства, образувани по конкретния случай, Съдът отбеляз</w:t>
      </w:r>
      <w:r w:rsidR="00A11F16">
        <w:t>в</w:t>
      </w:r>
      <w:r>
        <w:t xml:space="preserve">а, че сами по себе си те не могат да бъдат определени като „адекватни“ по отношение на твърденията за нарушаване на правото на живот на жалбоподателя, тъй като единствената им цел е била да установят дали властите носят отговорност за „проявена небрежност при изпълнение на задълженията им“, </w:t>
      </w:r>
      <w:r w:rsidR="009A0161">
        <w:t xml:space="preserve">а не </w:t>
      </w:r>
      <w:r>
        <w:t>за настъпилите смъртни случаи.</w:t>
      </w:r>
    </w:p>
    <w:p w:rsidR="000F3873" w:rsidRPr="0059462F" w:rsidRDefault="000F3873" w:rsidP="000F3873">
      <w:pPr>
        <w:pStyle w:val="JuPara"/>
      </w:pPr>
      <w:r>
        <w:t xml:space="preserve">Във връзка с административното производство за обезщетение, Съдът </w:t>
      </w:r>
      <w:r w:rsidR="009A0161">
        <w:t xml:space="preserve">на първо място </w:t>
      </w:r>
      <w:r>
        <w:t>отбеляз</w:t>
      </w:r>
      <w:r w:rsidR="009A0161">
        <w:t>в</w:t>
      </w:r>
      <w:r>
        <w:t xml:space="preserve">а, че е налице нарушение на изискването </w:t>
      </w:r>
      <w:r>
        <w:lastRenderedPageBreak/>
        <w:t>на своевременност, като правото на жалбоподателя на обезщетение не е призна</w:t>
      </w:r>
      <w:r w:rsidR="009A0161">
        <w:t>т</w:t>
      </w:r>
      <w:r>
        <w:t>о в продължение на четири години, единадесет месеца и три дн</w:t>
      </w:r>
      <w:r w:rsidR="009A0161">
        <w:t>и</w:t>
      </w:r>
      <w:r>
        <w:t xml:space="preserve"> </w:t>
      </w:r>
      <w:r w:rsidR="009A0161">
        <w:t xml:space="preserve">от </w:t>
      </w:r>
      <w:r>
        <w:t>отхвърлянето на първоначалните искове за обезщетение. Съдът отбеляз</w:t>
      </w:r>
      <w:r w:rsidR="009A0161">
        <w:t>в</w:t>
      </w:r>
      <w:r>
        <w:t>а също така, че макар на жалбоподателя в крайна сметка да е присъдено обезщетение, то никога не е било изплатено.</w:t>
      </w:r>
    </w:p>
    <w:p w:rsidR="000F3873" w:rsidRPr="0059462F" w:rsidRDefault="000F3873" w:rsidP="000F3873">
      <w:pPr>
        <w:pStyle w:val="JuPara"/>
      </w:pPr>
      <w:r>
        <w:t xml:space="preserve">Въз основа на това Съдът </w:t>
      </w:r>
      <w:r w:rsidR="007D1AC5">
        <w:t>решава</w:t>
      </w:r>
      <w:r>
        <w:t xml:space="preserve">, че </w:t>
      </w:r>
      <w:r w:rsidR="007D1AC5">
        <w:t xml:space="preserve">вътрешноправните </w:t>
      </w:r>
      <w:r>
        <w:t>средства</w:t>
      </w:r>
      <w:r w:rsidR="007D1AC5">
        <w:t xml:space="preserve"> за защита</w:t>
      </w:r>
      <w:r>
        <w:t xml:space="preserve">, дори </w:t>
      </w:r>
      <w:r w:rsidR="007D1AC5">
        <w:t>разгледани в тяхната съвкупност</w:t>
      </w:r>
      <w:r>
        <w:t xml:space="preserve">, в конкретните обстоятелства по делото не могат да се считат за </w:t>
      </w:r>
      <w:r w:rsidR="00713AD7" w:rsidRPr="00833B88">
        <w:t>подходящо</w:t>
      </w:r>
      <w:r w:rsidR="00713AD7">
        <w:t xml:space="preserve"> </w:t>
      </w:r>
      <w:r>
        <w:t>обезщетяване по исковете на жалбоподателя по чл</w:t>
      </w:r>
      <w:r w:rsidR="00713AD7">
        <w:t>.</w:t>
      </w:r>
      <w:r>
        <w:t xml:space="preserve"> 2 от Конвенцията.</w:t>
      </w:r>
    </w:p>
    <w:p w:rsidR="000F3873" w:rsidRPr="0059462F" w:rsidRDefault="000F3873" w:rsidP="006725B0">
      <w:pPr>
        <w:pStyle w:val="JuH1"/>
        <w:widowControl w:val="0"/>
      </w:pPr>
      <w:r>
        <w:t>2.  Твърдения на изправените пред съда</w:t>
      </w:r>
    </w:p>
    <w:p w:rsidR="000F3873" w:rsidRPr="0059462F" w:rsidRDefault="000F3873" w:rsidP="006725B0">
      <w:pPr>
        <w:pStyle w:val="JuHa"/>
        <w:widowControl w:val="0"/>
      </w:pPr>
      <w:r>
        <w:t>а)</w:t>
      </w:r>
      <w:r>
        <w:tab/>
        <w:t>Правителството</w:t>
      </w:r>
    </w:p>
    <w:p w:rsidR="00D8632D" w:rsidRDefault="008E7633" w:rsidP="000F3873">
      <w:pPr>
        <w:pStyle w:val="JuPara"/>
      </w:pPr>
      <w:fldSimple w:instr=" SEQ level0 \*arabic ">
        <w:r w:rsidR="00A94344">
          <w:rPr>
            <w:noProof/>
          </w:rPr>
          <w:t>77</w:t>
        </w:r>
      </w:fldSimple>
      <w:r w:rsidR="000F3873">
        <w:t>.  Основното твърдение на Правителството е, че реш</w:t>
      </w:r>
      <w:r w:rsidR="00713AD7">
        <w:t>аващото</w:t>
      </w:r>
      <w:r w:rsidR="000F3873">
        <w:t xml:space="preserve"> доказателств</w:t>
      </w:r>
      <w:r w:rsidR="00713AD7">
        <w:t>о</w:t>
      </w:r>
      <w:r w:rsidR="000F3873">
        <w:t>, ко</w:t>
      </w:r>
      <w:r w:rsidR="00713AD7">
        <w:t>е</w:t>
      </w:r>
      <w:r w:rsidR="000F3873">
        <w:t>то Съдът е взел под внимание при преценката си, е доклад</w:t>
      </w:r>
      <w:r w:rsidR="00C53548">
        <w:t>ът от експертизата</w:t>
      </w:r>
      <w:r w:rsidR="000F3873">
        <w:t>, изготвен на 7 май 1991 г., който е породил спор между различните съвети и никога не е считан за доказателство съгласно вътрешн</w:t>
      </w:r>
      <w:r w:rsidR="00C53548">
        <w:t xml:space="preserve">ото право. </w:t>
      </w:r>
      <w:r w:rsidR="000F3873">
        <w:t xml:space="preserve">Преценката на Съда по отношение на пренебрегването на критериите „непосредственост“ и „реалност“ във връзка с опасността, която общинското сметище е създавало, не е била достатъчна за обосновка на констатацията </w:t>
      </w:r>
      <w:r w:rsidR="00C53548">
        <w:t>з</w:t>
      </w:r>
      <w:r w:rsidR="000F3873">
        <w:t>а нарушения, която се основава на съображенията, че властите е трябвало да предприемат превантивни мерки или да реагират незабавно и по подходящ начин.</w:t>
      </w:r>
    </w:p>
    <w:p w:rsidR="000F3873" w:rsidRPr="0059462F" w:rsidRDefault="000F3873" w:rsidP="000F3873">
      <w:pPr>
        <w:pStyle w:val="JuPara"/>
      </w:pPr>
      <w:r>
        <w:t>В тази връзка Правителството изтък</w:t>
      </w:r>
      <w:r w:rsidR="00C53548">
        <w:t>в</w:t>
      </w:r>
      <w:r>
        <w:t>а аргумента, че държавите следва да работят по проблемите и да намират решенията им в контекста на общите политики, както и че те не са длъжни да предприемат превантивни мерки, когато не се касае за непосредствена опасност по смисъла на съдебн</w:t>
      </w:r>
      <w:r w:rsidR="008D702C">
        <w:t>ата</w:t>
      </w:r>
      <w:r>
        <w:t xml:space="preserve"> практик</w:t>
      </w:r>
      <w:r w:rsidR="008D702C">
        <w:t>а</w:t>
      </w:r>
      <w:r>
        <w:t xml:space="preserve"> на Съда.</w:t>
      </w:r>
    </w:p>
    <w:p w:rsidR="000F3873" w:rsidRPr="0059462F" w:rsidRDefault="008E7633" w:rsidP="000F3873">
      <w:pPr>
        <w:pStyle w:val="JuPara"/>
      </w:pPr>
      <w:fldSimple w:instr=" SEQ level0 \*arabic ">
        <w:r w:rsidR="00A94344">
          <w:rPr>
            <w:noProof/>
          </w:rPr>
          <w:t>78</w:t>
        </w:r>
      </w:fldSimple>
      <w:r w:rsidR="000F3873">
        <w:t xml:space="preserve">.  Във връзка по-конкретно със случаи, в които се касае за небрежност от страна на властите, Правителството, като се позовава по-специално на решенията </w:t>
      </w:r>
      <w:proofErr w:type="spellStart"/>
      <w:r w:rsidR="000F3873">
        <w:rPr>
          <w:i/>
        </w:rPr>
        <w:t>Leray</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8D702C">
        <w:rPr>
          <w:i/>
        </w:rPr>
        <w:t>срещу Франция</w:t>
      </w:r>
      <w:r w:rsidR="000F3873">
        <w:t xml:space="preserve"> (№ 4617/98, 16 януари 2001 г.) и </w:t>
      </w:r>
      <w:proofErr w:type="spellStart"/>
      <w:r w:rsidR="000F3873">
        <w:rPr>
          <w:i/>
        </w:rPr>
        <w:t>Álvarez</w:t>
      </w:r>
      <w:proofErr w:type="spellEnd"/>
      <w:r w:rsidR="000F3873">
        <w:rPr>
          <w:i/>
        </w:rPr>
        <w:t xml:space="preserve"> </w:t>
      </w:r>
      <w:proofErr w:type="spellStart"/>
      <w:r w:rsidR="000F3873">
        <w:rPr>
          <w:i/>
        </w:rPr>
        <w:t>Ramón</w:t>
      </w:r>
      <w:proofErr w:type="spellEnd"/>
      <w:r w:rsidR="000F3873">
        <w:rPr>
          <w:i/>
        </w:rPr>
        <w:t xml:space="preserve"> </w:t>
      </w:r>
      <w:r w:rsidR="008D702C">
        <w:rPr>
          <w:i/>
        </w:rPr>
        <w:t>срещу Испания</w:t>
      </w:r>
      <w:r w:rsidR="000F3873">
        <w:t xml:space="preserve"> (№ 51192/99, 3 юли 2001 г.)</w:t>
      </w:r>
      <w:r w:rsidR="008D702C">
        <w:t>,</w:t>
      </w:r>
      <w:r w:rsidR="000F3873">
        <w:t xml:space="preserve"> твърди, че Съдът винаги се е ограничавал до проверка на наличието на регулаторна рамка и дали тя е била спазвана, без да се извършва подробно проучване на причинно</w:t>
      </w:r>
      <w:r w:rsidR="00851661">
        <w:t>-</w:t>
      </w:r>
      <w:r w:rsidR="000F3873">
        <w:t xml:space="preserve">следствената връзка между </w:t>
      </w:r>
      <w:r w:rsidR="00851661">
        <w:t xml:space="preserve">съответния </w:t>
      </w:r>
      <w:r w:rsidR="000F3873">
        <w:t>смъртния случай или смъртни случаи и проявена</w:t>
      </w:r>
      <w:r w:rsidR="00851661">
        <w:t>та</w:t>
      </w:r>
      <w:r w:rsidR="000F3873">
        <w:t xml:space="preserve"> небрежност. Напротив, в подобни дела Съдът е приемал констатациите и преценките на националните власти.</w:t>
      </w:r>
    </w:p>
    <w:p w:rsidR="00D8632D" w:rsidRDefault="008E7633" w:rsidP="000F3873">
      <w:pPr>
        <w:pStyle w:val="JuPara"/>
      </w:pPr>
      <w:fldSimple w:instr=" SEQ level0 \*arabic ">
        <w:r w:rsidR="00A94344">
          <w:rPr>
            <w:noProof/>
          </w:rPr>
          <w:t>79</w:t>
        </w:r>
      </w:fldSimple>
      <w:r w:rsidR="000F3873">
        <w:t>.  Правителството заяв</w:t>
      </w:r>
      <w:r w:rsidR="00851661">
        <w:t>ява</w:t>
      </w:r>
      <w:r w:rsidR="000F3873">
        <w:t>, че Държавата не може да бъде обвинена в конкретния случай в неизпълнение на задължението си да опаз</w:t>
      </w:r>
      <w:r w:rsidR="00851661">
        <w:t>и</w:t>
      </w:r>
      <w:r w:rsidR="000F3873">
        <w:t xml:space="preserve"> живота на близките роднини на жалбоподателя. Както </w:t>
      </w:r>
      <w:r w:rsidR="00AC2A34">
        <w:t xml:space="preserve">и </w:t>
      </w:r>
      <w:r w:rsidR="000F3873">
        <w:t xml:space="preserve">пред Съда, </w:t>
      </w:r>
      <w:r w:rsidR="00AC2A34">
        <w:t>изтъкнати са</w:t>
      </w:r>
      <w:r w:rsidR="000F3873">
        <w:t xml:space="preserve"> усилията, положени от окръжния съвет на </w:t>
      </w:r>
      <w:proofErr w:type="spellStart"/>
      <w:r w:rsidR="000F3873">
        <w:t>Юмрание</w:t>
      </w:r>
      <w:proofErr w:type="spellEnd"/>
      <w:r w:rsidR="000F3873">
        <w:t xml:space="preserve"> посредством правни, административни и информационни </w:t>
      </w:r>
      <w:r w:rsidR="00AC2A34">
        <w:t>средства</w:t>
      </w:r>
      <w:r w:rsidR="000F3873">
        <w:t xml:space="preserve">, </w:t>
      </w:r>
      <w:r w:rsidR="00AC2A34">
        <w:t xml:space="preserve">много </w:t>
      </w:r>
      <w:r w:rsidR="000F3873">
        <w:t>преди предаването на доклад</w:t>
      </w:r>
      <w:r w:rsidR="00AC2A34">
        <w:t>а от експертизата</w:t>
      </w:r>
      <w:r w:rsidR="000F3873">
        <w:t xml:space="preserve"> на 7 май 1991 г.</w:t>
      </w:r>
      <w:r w:rsidR="00AC2A34">
        <w:t>,</w:t>
      </w:r>
      <w:r w:rsidR="000F3873">
        <w:t xml:space="preserve"> </w:t>
      </w:r>
      <w:r w:rsidR="000F3873">
        <w:lastRenderedPageBreak/>
        <w:t xml:space="preserve">за ограничаване на незаконното жилищно строителство, за насърчаване на бедните обитатели на </w:t>
      </w:r>
      <w:proofErr w:type="spellStart"/>
      <w:r w:rsidR="000F3873">
        <w:t>Юмрание</w:t>
      </w:r>
      <w:proofErr w:type="spellEnd"/>
      <w:r w:rsidR="000F3873">
        <w:t xml:space="preserve"> да намерят друго място за живеене и да предотвратят рисковете за здравето в района чрез постоянно разпръскване на химикали върху общинското сметище. Правителството също така об</w:t>
      </w:r>
      <w:r w:rsidR="00AC2A34">
        <w:t>ръща</w:t>
      </w:r>
      <w:r w:rsidR="000F3873">
        <w:t xml:space="preserve"> внимание на разширената схема за управление на битовите отпадъци, създадена от градския съвет в цялата провинция Истанбул (вж</w:t>
      </w:r>
      <w:r w:rsidR="00DB628C">
        <w:t>.</w:t>
      </w:r>
      <w:r w:rsidR="000F3873">
        <w:t xml:space="preserve"> параграф 16 по-горе).</w:t>
      </w:r>
    </w:p>
    <w:p w:rsidR="00D8632D" w:rsidRDefault="008E7633" w:rsidP="000F3873">
      <w:pPr>
        <w:pStyle w:val="JuPara"/>
      </w:pPr>
      <w:fldSimple w:instr=" SEQ level0 \*arabic ">
        <w:r w:rsidR="00A94344">
          <w:rPr>
            <w:noProof/>
          </w:rPr>
          <w:t>80</w:t>
        </w:r>
      </w:fldSimple>
      <w:r w:rsidR="000F3873">
        <w:t xml:space="preserve">.  В тази връзка, </w:t>
      </w:r>
      <w:r w:rsidR="00DB628C">
        <w:t>като се позовава</w:t>
      </w:r>
      <w:r w:rsidR="000F3873">
        <w:t xml:space="preserve"> на делото </w:t>
      </w:r>
      <w:proofErr w:type="spellStart"/>
      <w:r w:rsidR="000F3873">
        <w:rPr>
          <w:i/>
        </w:rPr>
        <w:t>Chapman</w:t>
      </w:r>
      <w:proofErr w:type="spellEnd"/>
      <w:r w:rsidR="000F3873">
        <w:rPr>
          <w:i/>
        </w:rPr>
        <w:t xml:space="preserve"> </w:t>
      </w:r>
      <w:r w:rsidR="00DB628C">
        <w:rPr>
          <w:i/>
        </w:rPr>
        <w:t>срещу Великобритания</w:t>
      </w:r>
      <w:r w:rsidR="000F3873">
        <w:t xml:space="preserve"> ([</w:t>
      </w:r>
      <w:r w:rsidR="00DB628C">
        <w:t>ГО</w:t>
      </w:r>
      <w:r w:rsidR="000F3873">
        <w:t>], № 27238/95, ЕСПЧ 2001-I), Правителството отправ</w:t>
      </w:r>
      <w:r w:rsidR="00DB628C">
        <w:t>я</w:t>
      </w:r>
      <w:r w:rsidR="000F3873">
        <w:t xml:space="preserve"> критики срещу подхода на Съда, като заяв</w:t>
      </w:r>
      <w:r w:rsidR="00DB628C">
        <w:t>ява</w:t>
      </w:r>
      <w:r w:rsidR="000F3873">
        <w:t xml:space="preserve">, че той не е взел под внимание обстоятелството, че жалбоподателят съзнателно е взел решение </w:t>
      </w:r>
      <w:r w:rsidR="00DB628C">
        <w:t>д</w:t>
      </w:r>
      <w:r w:rsidR="000F3873">
        <w:t xml:space="preserve">а изгради незаконно жилище в близост до сметището, въпреки рисковете, както и че Съдът просто е </w:t>
      </w:r>
      <w:r w:rsidR="00DB628C">
        <w:t xml:space="preserve">обвинил </w:t>
      </w:r>
      <w:r w:rsidR="000F3873">
        <w:t>националните власти,</w:t>
      </w:r>
      <w:r w:rsidR="00A86614">
        <w:t xml:space="preserve"> че</w:t>
      </w:r>
      <w:r w:rsidR="000F3873">
        <w:t xml:space="preserve"> не </w:t>
      </w:r>
      <w:r w:rsidR="00A86614">
        <w:t>са</w:t>
      </w:r>
      <w:r w:rsidR="000F3873">
        <w:t xml:space="preserve"> взел</w:t>
      </w:r>
      <w:r w:rsidR="00A86614">
        <w:t>и</w:t>
      </w:r>
      <w:r w:rsidR="000F3873">
        <w:t xml:space="preserve"> предвид заключенията в доклада от 7 май 1991 г. като основа за своевременно извеждане на хиляди граждани от домовете им, без да се отчитат хуманитарните съображения, </w:t>
      </w:r>
      <w:r w:rsidR="00D210DF">
        <w:t xml:space="preserve">преустройството </w:t>
      </w:r>
      <w:r w:rsidR="000F3873">
        <w:t>на цялото населено място и преместването за една нощ на цялата площадка на сметището, което е функционирало в продължение на повече от двадесет години.</w:t>
      </w:r>
    </w:p>
    <w:p w:rsidR="000F3873" w:rsidRPr="0059462F" w:rsidRDefault="00214ACC" w:rsidP="000F3873">
      <w:pPr>
        <w:pStyle w:val="JuPara"/>
      </w:pPr>
      <w:r>
        <w:t>По този въпрос</w:t>
      </w:r>
      <w:r w:rsidR="000F3873">
        <w:t xml:space="preserve"> Правителството изтък</w:t>
      </w:r>
      <w:r>
        <w:t>в</w:t>
      </w:r>
      <w:r w:rsidR="000F3873">
        <w:t xml:space="preserve">а, че такива мащабни задачи са предмет на политики, изискващи значително </w:t>
      </w:r>
      <w:r>
        <w:t xml:space="preserve">обмисляне </w:t>
      </w:r>
      <w:r w:rsidR="000F3873">
        <w:t xml:space="preserve">и инвестиции, дългосрочно планиране и етап на вземане на решения, както и </w:t>
      </w:r>
      <w:r w:rsidR="00522622">
        <w:t xml:space="preserve">сериозна </w:t>
      </w:r>
      <w:r w:rsidR="000F3873">
        <w:t xml:space="preserve">работа по проектирането и изпълнението. При подобни обстоятелства Съдът няма право да налага своята гледна точка по отношение на това коя би била най-добрата политика за решаване на социалните и икономическите проблеми на бедните квартали на </w:t>
      </w:r>
      <w:proofErr w:type="spellStart"/>
      <w:r w:rsidR="000F3873">
        <w:t>Юмрание</w:t>
      </w:r>
      <w:proofErr w:type="spellEnd"/>
      <w:r w:rsidR="000F3873">
        <w:t xml:space="preserve">, включително </w:t>
      </w:r>
      <w:r w:rsidR="00902623">
        <w:t>добре познатата</w:t>
      </w:r>
      <w:r w:rsidR="000F3873">
        <w:t xml:space="preserve"> </w:t>
      </w:r>
      <w:r w:rsidR="00522622">
        <w:t xml:space="preserve">съпротива </w:t>
      </w:r>
      <w:r w:rsidR="00902623">
        <w:t xml:space="preserve">от страна </w:t>
      </w:r>
      <w:r w:rsidR="000F3873">
        <w:t xml:space="preserve">на техните обитатели </w:t>
      </w:r>
      <w:r w:rsidR="00902623">
        <w:t>срещу</w:t>
      </w:r>
      <w:r w:rsidR="000F3873">
        <w:t xml:space="preserve"> всяка мярка, която представлява потенциална опасност за ежедневния им живот.</w:t>
      </w:r>
    </w:p>
    <w:p w:rsidR="000F3873" w:rsidRPr="0059462F" w:rsidRDefault="008E7633" w:rsidP="000F3873">
      <w:pPr>
        <w:pStyle w:val="JuPara"/>
      </w:pPr>
      <w:fldSimple w:instr=" SEQ level0 \*arabic ">
        <w:r w:rsidR="00A94344">
          <w:rPr>
            <w:noProof/>
          </w:rPr>
          <w:t>81</w:t>
        </w:r>
      </w:fldSimple>
      <w:r w:rsidR="000F3873">
        <w:t>.  Във връзка с наказателното производство в конкретния случай, Правителството отново подчерта</w:t>
      </w:r>
      <w:r w:rsidR="00902623">
        <w:t>ва</w:t>
      </w:r>
      <w:r w:rsidR="000F3873">
        <w:t xml:space="preserve"> заключенията на Съда по делото </w:t>
      </w:r>
      <w:proofErr w:type="spellStart"/>
      <w:r w:rsidR="000F3873">
        <w:rPr>
          <w:i/>
        </w:rPr>
        <w:t>Leray</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Others</w:t>
      </w:r>
      <w:proofErr w:type="spellEnd"/>
      <w:r w:rsidR="000F3873">
        <w:t xml:space="preserve"> (решението е цитирано по-горе), при което не е имало колебания при отхвърляне на жалбата на жалбоподателите за проявена груба небрежност от страна на френските власти, довела до смъртта на двадесет и трима души.</w:t>
      </w:r>
    </w:p>
    <w:p w:rsidR="000F3873" w:rsidRPr="0059462F" w:rsidRDefault="008E7633" w:rsidP="000F3873">
      <w:pPr>
        <w:pStyle w:val="JuPara"/>
      </w:pPr>
      <w:fldSimple w:instr=" SEQ level0 \*arabic ">
        <w:r w:rsidR="00A94344">
          <w:rPr>
            <w:noProof/>
          </w:rPr>
          <w:t>82</w:t>
        </w:r>
      </w:fldSimple>
      <w:r w:rsidR="000F3873">
        <w:t>.  </w:t>
      </w:r>
      <w:r w:rsidR="00902623">
        <w:t>Като се п</w:t>
      </w:r>
      <w:r w:rsidR="000F3873">
        <w:t xml:space="preserve">озовава на </w:t>
      </w:r>
      <w:proofErr w:type="spellStart"/>
      <w:r w:rsidR="000F3873">
        <w:rPr>
          <w:i/>
        </w:rPr>
        <w:t>Calvelli</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Ciglio</w:t>
      </w:r>
      <w:proofErr w:type="spellEnd"/>
      <w:r w:rsidR="000F3873">
        <w:t xml:space="preserve"> и </w:t>
      </w:r>
      <w:proofErr w:type="spellStart"/>
      <w:r w:rsidR="000F3873">
        <w:rPr>
          <w:i/>
        </w:rPr>
        <w:t>Mastromatteo</w:t>
      </w:r>
      <w:proofErr w:type="spellEnd"/>
      <w:r w:rsidR="000F3873">
        <w:t xml:space="preserve"> (и двете цитирани по-горе), Правителството заяв</w:t>
      </w:r>
      <w:r w:rsidR="00902623">
        <w:t>ява</w:t>
      </w:r>
      <w:r w:rsidR="000F3873">
        <w:t>, че когато нарушаването на правото на живот не е умишлено, позитивното задължение по чл</w:t>
      </w:r>
      <w:r w:rsidR="00F456B8">
        <w:t>.</w:t>
      </w:r>
      <w:r w:rsidR="000F3873">
        <w:t xml:space="preserve"> 2 не изисква непременно образуването на наказателно производство. В конкретния случай е образувано такова и от началото на следствените действия до края на производството турската </w:t>
      </w:r>
      <w:proofErr w:type="spellStart"/>
      <w:r w:rsidR="000F3873">
        <w:t>наказателноправна</w:t>
      </w:r>
      <w:proofErr w:type="spellEnd"/>
      <w:r w:rsidR="000F3873">
        <w:t xml:space="preserve"> система е демонстрирала значителна ефективност и усърдие</w:t>
      </w:r>
      <w:r w:rsidR="00F456B8">
        <w:t>,</w:t>
      </w:r>
      <w:r w:rsidR="000F3873">
        <w:t xml:space="preserve"> </w:t>
      </w:r>
      <w:r w:rsidR="00F456B8">
        <w:t>които не подлежат на</w:t>
      </w:r>
      <w:r w:rsidR="000F3873">
        <w:t xml:space="preserve"> критик</w:t>
      </w:r>
      <w:r w:rsidR="00F456B8">
        <w:t>а</w:t>
      </w:r>
      <w:r w:rsidR="000F3873">
        <w:t xml:space="preserve"> по чл</w:t>
      </w:r>
      <w:r w:rsidR="00F456B8">
        <w:t>.</w:t>
      </w:r>
      <w:r w:rsidR="000F3873">
        <w:t xml:space="preserve"> 2 </w:t>
      </w:r>
      <w:r w:rsidR="00F456B8">
        <w:t>от</w:t>
      </w:r>
      <w:r w:rsidR="000F3873">
        <w:t xml:space="preserve"> Конвенцията. В тази връзка Правителството оспор</w:t>
      </w:r>
      <w:r w:rsidR="00F456B8">
        <w:t>ва</w:t>
      </w:r>
      <w:r w:rsidR="000F3873">
        <w:t xml:space="preserve"> твърденията, че въпросните кметове не са били </w:t>
      </w:r>
      <w:r w:rsidR="000F3873">
        <w:lastRenderedPageBreak/>
        <w:t>наказани. Правителството изтък</w:t>
      </w:r>
      <w:r w:rsidR="00F456B8">
        <w:t>в</w:t>
      </w:r>
      <w:r w:rsidR="000F3873">
        <w:t>а факта, че чл</w:t>
      </w:r>
      <w:r w:rsidR="00F456B8">
        <w:t>.</w:t>
      </w:r>
      <w:r w:rsidR="000F3873">
        <w:t xml:space="preserve"> 230 от Наказателния кодекс е единствената разпоредба, приложена по делото на кметовете поради „специфичното естество на престъплението, определено в този член“, която се прилага единствено за държавни служители</w:t>
      </w:r>
      <w:r w:rsidR="00041A93">
        <w:t>,</w:t>
      </w:r>
      <w:r w:rsidR="000F3873">
        <w:t xml:space="preserve"> и че съдът е наложил законното минимално наказание, тъй като е имало други предполагаеми виновни, срещу които не са повдигнати обвинения.</w:t>
      </w:r>
    </w:p>
    <w:p w:rsidR="000F3873" w:rsidRPr="0059462F" w:rsidRDefault="008E7633" w:rsidP="000F3873">
      <w:pPr>
        <w:pStyle w:val="JuPara"/>
      </w:pPr>
      <w:fldSimple w:instr=" SEQ level0 \*arabic ">
        <w:r w:rsidR="00A94344">
          <w:rPr>
            <w:noProof/>
          </w:rPr>
          <w:t>83</w:t>
        </w:r>
      </w:fldSimple>
      <w:r w:rsidR="000F3873">
        <w:t>.  По време на заседанието Правителството подчерта</w:t>
      </w:r>
      <w:r w:rsidR="00041A93" w:rsidRPr="00833B88">
        <w:t>ва</w:t>
      </w:r>
      <w:r w:rsidR="000F3873">
        <w:t xml:space="preserve"> по-</w:t>
      </w:r>
      <w:r w:rsidR="00BE013B">
        <w:t xml:space="preserve">конкретно, че </w:t>
      </w:r>
      <w:r w:rsidR="000F3873">
        <w:t xml:space="preserve">обстоятелството, че жалбоподателят по свой избор не е взел участие в предварителното следствие в никакъв случай не би могло да се разглежда като оказващо негативно въздействие върху ефективността на наказателното производство, особено що се касае до заключенията на Съда по делото </w:t>
      </w:r>
      <w:proofErr w:type="spellStart"/>
      <w:r w:rsidR="000F3873">
        <w:rPr>
          <w:i/>
        </w:rPr>
        <w:t>Tanrıbilir</w:t>
      </w:r>
      <w:proofErr w:type="spellEnd"/>
      <w:r w:rsidR="000F3873">
        <w:rPr>
          <w:i/>
        </w:rPr>
        <w:t xml:space="preserve"> </w:t>
      </w:r>
      <w:r w:rsidR="00BE013B">
        <w:rPr>
          <w:i/>
        </w:rPr>
        <w:t>срещу Турция</w:t>
      </w:r>
      <w:r w:rsidR="000F3873">
        <w:rPr>
          <w:i/>
        </w:rPr>
        <w:t xml:space="preserve"> </w:t>
      </w:r>
      <w:r w:rsidR="000F3873">
        <w:t xml:space="preserve"> (№ 21422/93, § 85, 16 ноември 2000 г.). Жалбоподателят, който никога не е твърдял, че не е допускан до участие в производството, </w:t>
      </w:r>
      <w:r w:rsidR="00BE013B">
        <w:t>няма правото</w:t>
      </w:r>
      <w:r w:rsidR="000F3873">
        <w:t xml:space="preserve"> да твърди, че не е бил информиран относно </w:t>
      </w:r>
      <w:r w:rsidR="00BE013B">
        <w:t xml:space="preserve">съдебен </w:t>
      </w:r>
      <w:r w:rsidR="000F3873">
        <w:t xml:space="preserve">процес, който засяга две видни политически фигури и е </w:t>
      </w:r>
      <w:r w:rsidR="00B707F3">
        <w:t>бил активно отразен в медиите</w:t>
      </w:r>
      <w:r w:rsidR="000F3873">
        <w:t>.</w:t>
      </w:r>
    </w:p>
    <w:p w:rsidR="00D8632D" w:rsidRDefault="008E7633" w:rsidP="000F3873">
      <w:pPr>
        <w:pStyle w:val="JuPara"/>
      </w:pPr>
      <w:fldSimple w:instr=" SEQ level0 \*arabic ">
        <w:r w:rsidR="00A94344">
          <w:rPr>
            <w:noProof/>
          </w:rPr>
          <w:t>84</w:t>
        </w:r>
      </w:fldSimple>
      <w:r w:rsidR="000F3873">
        <w:t>.  Във връзка с административните средства, използвани за повдигане на иск за обезщетение по конкретния случай, Правителството изтък</w:t>
      </w:r>
      <w:r w:rsidR="00B707F3">
        <w:t>в</w:t>
      </w:r>
      <w:r w:rsidR="000F3873">
        <w:t>а, че към въпросните кметове не е проявено снизхождение по време на производството, като са осъдени да заплатят на жалбоподателя обезщетение за имуществени и неимуществени вреди и че сумата, присъдена по тази ч</w:t>
      </w:r>
      <w:r w:rsidR="00B707F3">
        <w:t>а</w:t>
      </w:r>
      <w:r w:rsidR="000F3873">
        <w:t>ст</w:t>
      </w:r>
      <w:r w:rsidR="00B707F3">
        <w:t>,</w:t>
      </w:r>
      <w:r w:rsidR="000F3873">
        <w:t xml:space="preserve"> е все още на негово разположение.</w:t>
      </w:r>
    </w:p>
    <w:p w:rsidR="000F3873" w:rsidRPr="0059462F" w:rsidRDefault="000F3873" w:rsidP="006725B0">
      <w:pPr>
        <w:pStyle w:val="JuHa"/>
        <w:widowControl w:val="0"/>
      </w:pPr>
      <w:r>
        <w:t>б)</w:t>
      </w:r>
      <w:r>
        <w:tab/>
        <w:t>Жалбоподателят</w:t>
      </w:r>
    </w:p>
    <w:p w:rsidR="000F3873" w:rsidRPr="0059462F" w:rsidRDefault="008E7633" w:rsidP="000F3873">
      <w:pPr>
        <w:pStyle w:val="JuPara"/>
      </w:pPr>
      <w:fldSimple w:instr=" SEQ level0 \*arabic ">
        <w:r w:rsidR="00A94344">
          <w:rPr>
            <w:noProof/>
          </w:rPr>
          <w:t>85</w:t>
        </w:r>
      </w:fldSimple>
      <w:r w:rsidR="000F3873">
        <w:t>.  Жалбоподателят изтък</w:t>
      </w:r>
      <w:r w:rsidR="00B707F3">
        <w:t>в</w:t>
      </w:r>
      <w:r w:rsidR="000F3873">
        <w:t xml:space="preserve">а </w:t>
      </w:r>
      <w:r w:rsidR="0053039F">
        <w:t xml:space="preserve">отново </w:t>
      </w:r>
      <w:r w:rsidR="000F3873">
        <w:t>аргументите, които е представил пред Съда</w:t>
      </w:r>
      <w:r w:rsidR="005F7E78">
        <w:t>,</w:t>
      </w:r>
      <w:r w:rsidR="000F3873">
        <w:t xml:space="preserve"> и отново потвър</w:t>
      </w:r>
      <w:r w:rsidR="005F7E78">
        <w:t>ждава</w:t>
      </w:r>
      <w:r w:rsidR="000F3873">
        <w:t xml:space="preserve">, че Правителството е толерирало разрастването на бедните квартали на </w:t>
      </w:r>
      <w:proofErr w:type="spellStart"/>
      <w:r w:rsidR="000F3873">
        <w:t>Юмрание</w:t>
      </w:r>
      <w:proofErr w:type="spellEnd"/>
      <w:r w:rsidR="000F3873">
        <w:t xml:space="preserve"> и не е попречило разпространяването им близо до купчините отпадъци. </w:t>
      </w:r>
      <w:r w:rsidR="0053039F">
        <w:t>Според неговите твърдения</w:t>
      </w:r>
      <w:r w:rsidR="000F3873">
        <w:t xml:space="preserve"> Правителството дори е поощрявало ситуацията като е позволило на обитателите да използват всички жизненоважни услуги и, с политическ</w:t>
      </w:r>
      <w:r w:rsidR="0053039F">
        <w:t>а цел</w:t>
      </w:r>
      <w:r w:rsidR="000F3873">
        <w:t>, е прокарало над осемнадесет закона за узаконяване на незаконните жилища, където всъщност живеят гласоподаватели.</w:t>
      </w:r>
    </w:p>
    <w:p w:rsidR="00D8632D" w:rsidRDefault="000F3873" w:rsidP="000F3873">
      <w:pPr>
        <w:pStyle w:val="JuPara"/>
      </w:pPr>
      <w:r>
        <w:t>По време на заседанието представителят на жалбоподателя представ</w:t>
      </w:r>
      <w:r w:rsidR="0053039F">
        <w:t>я</w:t>
      </w:r>
      <w:r>
        <w:t xml:space="preserve"> официални документи срещу твърденията на Правителството, че на бедните квартали на </w:t>
      </w:r>
      <w:proofErr w:type="spellStart"/>
      <w:r>
        <w:t>Юмрание</w:t>
      </w:r>
      <w:proofErr w:type="spellEnd"/>
      <w:r>
        <w:t xml:space="preserve"> не са били предоставяни никакви комунални услуги, като подчерта</w:t>
      </w:r>
      <w:r w:rsidR="00C100A7">
        <w:t>ва</w:t>
      </w:r>
      <w:r>
        <w:t xml:space="preserve">, че жителите на улица </w:t>
      </w:r>
      <w:proofErr w:type="spellStart"/>
      <w:r>
        <w:t>Герзе</w:t>
      </w:r>
      <w:proofErr w:type="spellEnd"/>
      <w:r>
        <w:t xml:space="preserve"> са били свързани с водопровод и са плащали данък на съвета. Освен това, </w:t>
      </w:r>
      <w:r w:rsidR="00C100A7">
        <w:t xml:space="preserve">като се </w:t>
      </w:r>
      <w:r>
        <w:t>позовава на официалната карта, представена на Съда (вж</w:t>
      </w:r>
      <w:r w:rsidR="00C100A7">
        <w:t>.</w:t>
      </w:r>
      <w:r>
        <w:t xml:space="preserve"> параграф 10 по-горе), представителят заяв</w:t>
      </w:r>
      <w:r w:rsidR="00C100A7">
        <w:t>ява</w:t>
      </w:r>
      <w:r>
        <w:t xml:space="preserve">, че по това време е имало пощенска станция на улица Адем </w:t>
      </w:r>
      <w:proofErr w:type="spellStart"/>
      <w:r>
        <w:t>Явуз</w:t>
      </w:r>
      <w:proofErr w:type="spellEnd"/>
      <w:r>
        <w:t xml:space="preserve"> и четири държавни училища в района.</w:t>
      </w:r>
    </w:p>
    <w:p w:rsidR="00D8632D" w:rsidRDefault="008E7633" w:rsidP="000F3873">
      <w:pPr>
        <w:pStyle w:val="JuPara"/>
      </w:pPr>
      <w:fldSimple w:instr=" SEQ level0 \*arabic ">
        <w:r w:rsidR="00A94344">
          <w:rPr>
            <w:noProof/>
          </w:rPr>
          <w:t>86</w:t>
        </w:r>
      </w:fldSimple>
      <w:r w:rsidR="000F3873">
        <w:t xml:space="preserve">.  Според </w:t>
      </w:r>
      <w:r w:rsidR="00C100A7">
        <w:t xml:space="preserve">изявленията </w:t>
      </w:r>
      <w:r w:rsidR="000F3873">
        <w:t xml:space="preserve">на жалбоподателя, противно на твърденията на властите, те не са положили и най-малкото усилие да информират </w:t>
      </w:r>
      <w:r w:rsidR="000F3873">
        <w:lastRenderedPageBreak/>
        <w:t xml:space="preserve">обитателите на </w:t>
      </w:r>
      <w:r w:rsidR="00165777">
        <w:t xml:space="preserve">бедния </w:t>
      </w:r>
      <w:r w:rsidR="000F3873">
        <w:t>квартал относно опасностите, които крие сметището.</w:t>
      </w:r>
    </w:p>
    <w:p w:rsidR="00D8632D" w:rsidRDefault="000F3873" w:rsidP="000F3873">
      <w:pPr>
        <w:pStyle w:val="JuPara"/>
      </w:pPr>
      <w:r>
        <w:t>По време на заседанията представителят на жалбоподателя заяв</w:t>
      </w:r>
      <w:r w:rsidR="00165777">
        <w:t>ява</w:t>
      </w:r>
      <w:r>
        <w:t xml:space="preserve">, че Правителството не може да избегне задълженията си </w:t>
      </w:r>
      <w:r w:rsidR="00165777">
        <w:t xml:space="preserve">като </w:t>
      </w:r>
      <w:r>
        <w:t xml:space="preserve">изисква от своите най-бедни и всъщност най-слабо образовани граждани да </w:t>
      </w:r>
      <w:r w:rsidR="00165777">
        <w:t>се информират</w:t>
      </w:r>
      <w:r>
        <w:t xml:space="preserve"> относно толкова съществени екологични проблеми. Тя изтък</w:t>
      </w:r>
      <w:r w:rsidR="00165777">
        <w:t>в</w:t>
      </w:r>
      <w:r>
        <w:t>а, че за да бъде избегната трагедията, е било достатъчно съответния</w:t>
      </w:r>
      <w:r w:rsidR="00165777">
        <w:t>т</w:t>
      </w:r>
      <w:r>
        <w:t xml:space="preserve"> окръжен съвет да постави вентилационни шахти в сметището, вместо </w:t>
      </w:r>
      <w:r w:rsidR="00B56D12">
        <w:t xml:space="preserve">просто неблагоразумно да </w:t>
      </w:r>
      <w:r>
        <w:t>покри</w:t>
      </w:r>
      <w:r w:rsidR="00B56D12">
        <w:t>ва</w:t>
      </w:r>
      <w:r>
        <w:t xml:space="preserve"> с пръст купчини</w:t>
      </w:r>
      <w:r w:rsidR="00B56D12">
        <w:t>те с боклук</w:t>
      </w:r>
      <w:r>
        <w:t>.</w:t>
      </w:r>
    </w:p>
    <w:p w:rsidR="00D8632D" w:rsidRDefault="008E7633" w:rsidP="000F3873">
      <w:pPr>
        <w:pStyle w:val="JuPara"/>
      </w:pPr>
      <w:fldSimple w:instr=" SEQ level0 \*arabic ">
        <w:r w:rsidR="00A94344">
          <w:rPr>
            <w:noProof/>
          </w:rPr>
          <w:t>87</w:t>
        </w:r>
      </w:fldSimple>
      <w:r w:rsidR="000F3873">
        <w:t>.  Относно наказателното производство срещу властите, жалбоподателят само отбеляз</w:t>
      </w:r>
      <w:r w:rsidR="00B56D12">
        <w:t>в</w:t>
      </w:r>
      <w:r w:rsidR="000F3873">
        <w:t xml:space="preserve">а, че резултатите от него, които не </w:t>
      </w:r>
      <w:r w:rsidR="00B56D12">
        <w:t>показват</w:t>
      </w:r>
      <w:r w:rsidR="000F3873">
        <w:t xml:space="preserve"> желание за налагане на наказания на виновните, са нямали никакъв друг ефект</w:t>
      </w:r>
      <w:r w:rsidR="00B56D12">
        <w:t>,</w:t>
      </w:r>
      <w:r w:rsidR="000F3873">
        <w:t xml:space="preserve"> освен нанасяне на обида на общественото мнение. </w:t>
      </w:r>
    </w:p>
    <w:p w:rsidR="000F3873" w:rsidRPr="0059462F" w:rsidRDefault="008E7633" w:rsidP="000F3873">
      <w:pPr>
        <w:pStyle w:val="JuPara"/>
      </w:pPr>
      <w:fldSimple w:instr=" SEQ level0 \*arabic ">
        <w:r w:rsidR="00A94344">
          <w:rPr>
            <w:noProof/>
          </w:rPr>
          <w:t>88</w:t>
        </w:r>
      </w:fldSimple>
      <w:r w:rsidR="000F3873">
        <w:t>.  Освен това жалбоподателят сч</w:t>
      </w:r>
      <w:r w:rsidR="004042F4">
        <w:t>ита</w:t>
      </w:r>
      <w:r w:rsidR="000F3873">
        <w:t xml:space="preserve">, че Правителството едва ли може да твърди, че процедурите по обезщетяване са ефективни, тъй като са приключили с присъждането, само за неимуществени вреди, на сума, която </w:t>
      </w:r>
      <w:r w:rsidR="00A44834">
        <w:t xml:space="preserve">не само </w:t>
      </w:r>
      <w:r w:rsidR="000F3873">
        <w:t>е нищожна, но и освен всичко друго все още не е платена.</w:t>
      </w:r>
    </w:p>
    <w:p w:rsidR="000F3873" w:rsidRPr="0059462F" w:rsidRDefault="009F66F3" w:rsidP="006725B0">
      <w:pPr>
        <w:pStyle w:val="JuH1"/>
        <w:widowControl w:val="0"/>
      </w:pPr>
      <w:r>
        <w:br w:type="page"/>
      </w:r>
      <w:r>
        <w:lastRenderedPageBreak/>
        <w:t>3.  Преценката на Съда</w:t>
      </w:r>
    </w:p>
    <w:p w:rsidR="000F3873" w:rsidRPr="0059462F" w:rsidRDefault="000F3873" w:rsidP="006725B0">
      <w:pPr>
        <w:pStyle w:val="JuHa"/>
        <w:widowControl w:val="0"/>
      </w:pPr>
      <w:r>
        <w:t>а)</w:t>
      </w:r>
      <w:r>
        <w:tab/>
      </w:r>
      <w:r w:rsidR="00A44834">
        <w:t xml:space="preserve">Общи </w:t>
      </w:r>
      <w:r>
        <w:t>принципи, приложими в настоящото дело</w:t>
      </w:r>
    </w:p>
    <w:p w:rsidR="000F3873" w:rsidRPr="0059462F" w:rsidRDefault="000F3873" w:rsidP="006725B0">
      <w:pPr>
        <w:pStyle w:val="JuHi"/>
        <w:widowControl w:val="0"/>
      </w:pPr>
      <w:r>
        <w:t>(i)  Принципи във връзка с недопускането на нарушения на правото на живот в резултат на опасни дейности: същественият аспект на чл</w:t>
      </w:r>
      <w:r w:rsidR="00A44834">
        <w:t>.</w:t>
      </w:r>
      <w:r>
        <w:t xml:space="preserve"> 2 от Конвенцията</w:t>
      </w:r>
    </w:p>
    <w:p w:rsidR="00D8632D" w:rsidRDefault="008E7633" w:rsidP="000F3873">
      <w:pPr>
        <w:pStyle w:val="JuPara"/>
      </w:pPr>
      <w:fldSimple w:instr=" SEQ level0 \*arabic ">
        <w:r w:rsidR="00A94344">
          <w:rPr>
            <w:noProof/>
          </w:rPr>
          <w:t>89</w:t>
        </w:r>
      </w:fldSimple>
      <w:r w:rsidR="000F3873">
        <w:t>.  Положителното задължение за предприемане на необходимите мерки за опазване на живота съгласно чл</w:t>
      </w:r>
      <w:r w:rsidR="003B7A63">
        <w:t>.</w:t>
      </w:r>
      <w:r w:rsidR="000F3873">
        <w:t xml:space="preserve"> 2 (вж</w:t>
      </w:r>
      <w:r w:rsidR="003B7A63">
        <w:t>.</w:t>
      </w:r>
      <w:r w:rsidR="000F3873">
        <w:t xml:space="preserve"> параграф 71 по-горе) засяга преди всичко основното задължение на държавата да приеме законодателна и административна рамка, предназначена да предоставя ефективна защита срещу заплахи във връзка с правото на живот (вж</w:t>
      </w:r>
      <w:r w:rsidR="003B7A63">
        <w:t>.</w:t>
      </w:r>
      <w:r w:rsidR="000F3873">
        <w:t xml:space="preserve"> например,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Osman</w:t>
      </w:r>
      <w:proofErr w:type="spellEnd"/>
      <w:r w:rsidR="000F3873">
        <w:t xml:space="preserve">, цитирано по-горе, стр. 3159, § 115; </w:t>
      </w:r>
      <w:proofErr w:type="spellStart"/>
      <w:r w:rsidR="000F3873">
        <w:rPr>
          <w:i/>
        </w:rPr>
        <w:t>Paul</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Audrey</w:t>
      </w:r>
      <w:proofErr w:type="spellEnd"/>
      <w:r w:rsidR="000F3873">
        <w:rPr>
          <w:i/>
        </w:rPr>
        <w:t xml:space="preserve"> </w:t>
      </w:r>
      <w:proofErr w:type="spellStart"/>
      <w:r w:rsidR="000F3873">
        <w:rPr>
          <w:i/>
        </w:rPr>
        <w:t>Edwards</w:t>
      </w:r>
      <w:proofErr w:type="spellEnd"/>
      <w:r w:rsidR="000F3873">
        <w:t xml:space="preserve">, цитирано по-горе, § 54; </w:t>
      </w:r>
      <w:proofErr w:type="spellStart"/>
      <w:r w:rsidR="000F3873">
        <w:rPr>
          <w:i/>
        </w:rPr>
        <w:t>İlhan</w:t>
      </w:r>
      <w:proofErr w:type="spellEnd"/>
      <w:r w:rsidR="000F3873">
        <w:rPr>
          <w:i/>
        </w:rPr>
        <w:t xml:space="preserve"> </w:t>
      </w:r>
      <w:r w:rsidR="003B7A63">
        <w:rPr>
          <w:i/>
        </w:rPr>
        <w:t>срещу Турция</w:t>
      </w:r>
      <w:r w:rsidR="000F3873">
        <w:t xml:space="preserve"> [</w:t>
      </w:r>
      <w:r w:rsidR="003B7A63">
        <w:t>ГО</w:t>
      </w:r>
      <w:r w:rsidR="000F3873">
        <w:t xml:space="preserve">], № 22277/93, § 91, ЕСПЧ 2000-VII; </w:t>
      </w:r>
      <w:proofErr w:type="spellStart"/>
      <w:r w:rsidR="000F3873">
        <w:rPr>
          <w:i/>
        </w:rPr>
        <w:t>Kılıç</w:t>
      </w:r>
      <w:proofErr w:type="spellEnd"/>
      <w:r w:rsidR="000F3873">
        <w:rPr>
          <w:i/>
        </w:rPr>
        <w:t xml:space="preserve"> </w:t>
      </w:r>
      <w:r w:rsidR="003B7A63">
        <w:rPr>
          <w:i/>
        </w:rPr>
        <w:t>срещу Турция</w:t>
      </w:r>
      <w:r w:rsidR="000F3873">
        <w:t xml:space="preserve">, № 22492/93, § 62, ЕСПЧ 2000-III; и </w:t>
      </w:r>
      <w:proofErr w:type="spellStart"/>
      <w:r w:rsidR="000F3873">
        <w:rPr>
          <w:i/>
        </w:rPr>
        <w:t>Mahmut</w:t>
      </w:r>
      <w:proofErr w:type="spellEnd"/>
      <w:r w:rsidR="000F3873">
        <w:rPr>
          <w:i/>
        </w:rPr>
        <w:t xml:space="preserve"> </w:t>
      </w:r>
      <w:proofErr w:type="spellStart"/>
      <w:r w:rsidR="000F3873">
        <w:rPr>
          <w:i/>
        </w:rPr>
        <w:t>Kaya</w:t>
      </w:r>
      <w:proofErr w:type="spellEnd"/>
      <w:r w:rsidR="000F3873">
        <w:rPr>
          <w:i/>
        </w:rPr>
        <w:t xml:space="preserve"> </w:t>
      </w:r>
      <w:r w:rsidR="003B7A63">
        <w:rPr>
          <w:i/>
        </w:rPr>
        <w:t>срещу Турция</w:t>
      </w:r>
      <w:r w:rsidR="000F3873">
        <w:t>, № 22535/93, § 85, ЕСПЧ 2000-III).</w:t>
      </w:r>
    </w:p>
    <w:p w:rsidR="00D8632D" w:rsidRDefault="008E7633" w:rsidP="000F3873">
      <w:pPr>
        <w:pStyle w:val="JuPara"/>
      </w:pPr>
      <w:fldSimple w:instr=" SEQ level0 \*arabic ">
        <w:r w:rsidR="00A94344">
          <w:rPr>
            <w:noProof/>
          </w:rPr>
          <w:t>90</w:t>
        </w:r>
      </w:fldSimple>
      <w:r w:rsidR="000F3873">
        <w:t xml:space="preserve">.  Това задължение безспорно се прилага в конкретния контекст </w:t>
      </w:r>
      <w:r w:rsidR="003B7A63">
        <w:t>на</w:t>
      </w:r>
      <w:r w:rsidR="000F3873">
        <w:t xml:space="preserve"> опасни дейности, където освен това </w:t>
      </w:r>
      <w:r w:rsidR="003B7A63">
        <w:t xml:space="preserve">трябва да се постави </w:t>
      </w:r>
      <w:r w:rsidR="000F3873">
        <w:t xml:space="preserve">специален акцент върху </w:t>
      </w:r>
      <w:r w:rsidR="003B7A63">
        <w:t xml:space="preserve">нормативните </w:t>
      </w:r>
      <w:r w:rsidR="006923E4">
        <w:t>актове</w:t>
      </w:r>
      <w:r w:rsidR="000F3873">
        <w:t xml:space="preserve">, </w:t>
      </w:r>
      <w:r w:rsidR="006923E4">
        <w:t xml:space="preserve">приспособени </w:t>
      </w:r>
      <w:r w:rsidR="000F3873">
        <w:t xml:space="preserve">към специфичните особености на въпросната дейност, </w:t>
      </w:r>
      <w:r w:rsidR="006923E4">
        <w:t>най-вече</w:t>
      </w:r>
      <w:r w:rsidR="000F3873">
        <w:t xml:space="preserve"> във връзка с нивото на потенциален риск за живота на хората. Нормативните актове трябва да регламентират лицензи</w:t>
      </w:r>
      <w:r w:rsidR="0092107B">
        <w:t>рането</w:t>
      </w:r>
      <w:r w:rsidR="000F3873">
        <w:t>, създаването, функционирането, сигурността и надзора на дейността и трябва да ги постановят като задължителни за всички, които следва да предприемат практически мерки за ефективна защита на гражданите, чи</w:t>
      </w:r>
      <w:r w:rsidR="0092107B">
        <w:t>й</w:t>
      </w:r>
      <w:r w:rsidR="000F3873">
        <w:t>то живо</w:t>
      </w:r>
      <w:r w:rsidR="0092107B">
        <w:t>т</w:t>
      </w:r>
      <w:r w:rsidR="000F3873">
        <w:t xml:space="preserve"> мо</w:t>
      </w:r>
      <w:r w:rsidR="0092107B">
        <w:t>же</w:t>
      </w:r>
      <w:r w:rsidR="000F3873">
        <w:t xml:space="preserve"> да бъд</w:t>
      </w:r>
      <w:r w:rsidR="0092107B">
        <w:t>е</w:t>
      </w:r>
      <w:r w:rsidR="000F3873">
        <w:t xml:space="preserve"> застрашен от съответните рискове.</w:t>
      </w:r>
    </w:p>
    <w:p w:rsidR="000F3873" w:rsidRPr="0059462F" w:rsidRDefault="000F3873" w:rsidP="000F3873">
      <w:pPr>
        <w:pStyle w:val="JuPara"/>
      </w:pPr>
      <w:r>
        <w:t xml:space="preserve">Измежду превантивните мерки особен акцент следва да се постави върху публичното право на информация, установено в съдебните практики на институциите по Конвенцията. </w:t>
      </w:r>
      <w:r w:rsidR="0092107B">
        <w:t xml:space="preserve">Голямата </w:t>
      </w:r>
      <w:r>
        <w:t xml:space="preserve">камара </w:t>
      </w:r>
      <w:r w:rsidR="0092107B">
        <w:t>изразява съгласие</w:t>
      </w:r>
      <w:r>
        <w:t xml:space="preserve"> със Съда (вж</w:t>
      </w:r>
      <w:r w:rsidR="0092107B">
        <w:t>.</w:t>
      </w:r>
      <w:r>
        <w:t xml:space="preserve"> параграф 84 от решението на Съда), че </w:t>
      </w:r>
      <w:r w:rsidR="003A4424">
        <w:t xml:space="preserve">върху </w:t>
      </w:r>
      <w:r>
        <w:t>това право, което е признато по чл</w:t>
      </w:r>
      <w:r w:rsidR="003A4424">
        <w:t>.</w:t>
      </w:r>
      <w:r>
        <w:t xml:space="preserve"> 8 (вж</w:t>
      </w:r>
      <w:r w:rsidR="003A4424">
        <w:t>.</w:t>
      </w:r>
      <w:r>
        <w:t xml:space="preserve"> </w:t>
      </w:r>
      <w:proofErr w:type="spellStart"/>
      <w:r>
        <w:rPr>
          <w:i/>
        </w:rPr>
        <w:t>Guerra</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цитирано по-горе, стр. 228, § 60), </w:t>
      </w:r>
      <w:r w:rsidR="003A4424">
        <w:t xml:space="preserve">по принцип също </w:t>
      </w:r>
      <w:r>
        <w:t>може да се позове защитата на правото на живот</w:t>
      </w:r>
      <w:r w:rsidR="0041773D">
        <w:t>,</w:t>
      </w:r>
      <w:r>
        <w:t xml:space="preserve"> </w:t>
      </w:r>
      <w:r w:rsidR="003A4424">
        <w:t xml:space="preserve">особено </w:t>
      </w:r>
      <w:r>
        <w:t>к</w:t>
      </w:r>
      <w:r w:rsidR="003A4424">
        <w:t>ато се има предвид, че</w:t>
      </w:r>
      <w:r>
        <w:t xml:space="preserve"> това тълкуване е подкрепено от </w:t>
      </w:r>
      <w:r w:rsidR="000D081F">
        <w:t>последните развития</w:t>
      </w:r>
      <w:r w:rsidR="0041773D">
        <w:t xml:space="preserve"> </w:t>
      </w:r>
      <w:r w:rsidR="000D081F">
        <w:t>в</w:t>
      </w:r>
      <w:r>
        <w:t xml:space="preserve"> европейските стандарти (вж</w:t>
      </w:r>
      <w:r w:rsidR="003A4424">
        <w:t>.</w:t>
      </w:r>
      <w:r>
        <w:t xml:space="preserve"> параграф 62 по-горе).</w:t>
      </w:r>
    </w:p>
    <w:p w:rsidR="00D8632D" w:rsidRDefault="000F3873" w:rsidP="000F3873">
      <w:pPr>
        <w:pStyle w:val="JuPara"/>
      </w:pPr>
      <w:r>
        <w:t xml:space="preserve">Във всички случаи </w:t>
      </w:r>
      <w:r w:rsidR="000D081F">
        <w:t>приложимите нормативни актове</w:t>
      </w:r>
      <w:r>
        <w:t xml:space="preserve"> трябва също така да постановяват подходящи процедури, като се взема</w:t>
      </w:r>
      <w:r w:rsidR="000D081F">
        <w:t>т</w:t>
      </w:r>
      <w:r>
        <w:t xml:space="preserve"> предвид техническите аспекти на въпросната дейност</w:t>
      </w:r>
      <w:r w:rsidR="0048391B">
        <w:t>,</w:t>
      </w:r>
      <w:r>
        <w:t xml:space="preserve"> за определяне на недостатъците в съответните процедури и грешки</w:t>
      </w:r>
      <w:r w:rsidR="0048391B">
        <w:t>те</w:t>
      </w:r>
      <w:r>
        <w:t>, допуснати от отговорните лица на различните нива.</w:t>
      </w:r>
    </w:p>
    <w:p w:rsidR="000F3873" w:rsidRPr="0059462F" w:rsidRDefault="000F3873" w:rsidP="006725B0">
      <w:pPr>
        <w:pStyle w:val="JuHi"/>
        <w:widowControl w:val="0"/>
      </w:pPr>
      <w:r>
        <w:t xml:space="preserve">(ii)  Принципи във връзка с отговора на съдебните органи, необходим в случай на </w:t>
      </w:r>
      <w:r w:rsidR="0048391B">
        <w:t xml:space="preserve">твърдени </w:t>
      </w:r>
      <w:r>
        <w:t>нарушения на правото на живот: процедурен аспект на чл</w:t>
      </w:r>
      <w:r w:rsidR="0048391B">
        <w:t>.</w:t>
      </w:r>
      <w:r>
        <w:t xml:space="preserve"> 2 от Конвенцията</w:t>
      </w:r>
    </w:p>
    <w:p w:rsidR="000F3873" w:rsidRPr="0059462F" w:rsidRDefault="008E7633" w:rsidP="000F3873">
      <w:pPr>
        <w:pStyle w:val="JuPara"/>
      </w:pPr>
      <w:fldSimple w:instr=" SEQ level0 \*arabic ">
        <w:r w:rsidR="00A94344">
          <w:rPr>
            <w:noProof/>
          </w:rPr>
          <w:t>91</w:t>
        </w:r>
      </w:fldSimple>
      <w:r w:rsidR="000F3873">
        <w:t>.  Задълженията, произтичащи от чл</w:t>
      </w:r>
      <w:r w:rsidR="00F125B7">
        <w:t>.</w:t>
      </w:r>
      <w:r w:rsidR="000F3873">
        <w:t xml:space="preserve"> 2, не свършват дотук. Когато е настъпила смърт в резултат на обстоятелства, потенциално засягащи отговорността на държавата, тази разпоредба касае задължението </w:t>
      </w:r>
      <w:r w:rsidR="000D0491">
        <w:t>ѝ</w:t>
      </w:r>
      <w:r w:rsidR="000F3873">
        <w:t xml:space="preserve"> да гарантира, с всички налични средства, адекватен отговор — съдебен или друг — така че законодателната и административна рамка, създадена да защитава правото на живот, </w:t>
      </w:r>
      <w:r w:rsidR="000D0491">
        <w:t xml:space="preserve">да </w:t>
      </w:r>
      <w:r w:rsidR="000F3873">
        <w:t xml:space="preserve">се прилага правилно и всички нарушения на това право </w:t>
      </w:r>
      <w:r w:rsidR="009A66B9">
        <w:t xml:space="preserve">да </w:t>
      </w:r>
      <w:r w:rsidR="000F3873">
        <w:t>се преследват и наказват (вж</w:t>
      </w:r>
      <w:r w:rsidR="009A66B9">
        <w:t>.</w:t>
      </w:r>
      <w:r w:rsidR="000F3873">
        <w:t xml:space="preserve">,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Osman</w:t>
      </w:r>
      <w:proofErr w:type="spellEnd"/>
      <w:r w:rsidR="000F3873">
        <w:t xml:space="preserve">, цитирано по-горе, стр. 3159, § 115 и </w:t>
      </w:r>
      <w:proofErr w:type="spellStart"/>
      <w:r w:rsidR="000F3873">
        <w:rPr>
          <w:i/>
        </w:rPr>
        <w:t>Paul</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Audrey</w:t>
      </w:r>
      <w:proofErr w:type="spellEnd"/>
      <w:r w:rsidR="000F3873">
        <w:rPr>
          <w:i/>
        </w:rPr>
        <w:t xml:space="preserve"> </w:t>
      </w:r>
      <w:proofErr w:type="spellStart"/>
      <w:r w:rsidR="000F3873">
        <w:rPr>
          <w:i/>
        </w:rPr>
        <w:t>Edwards</w:t>
      </w:r>
      <w:proofErr w:type="spellEnd"/>
      <w:r w:rsidR="000F3873">
        <w:t>, цитирано по-горе, § 54).</w:t>
      </w:r>
    </w:p>
    <w:p w:rsidR="000F3873" w:rsidRPr="0059462F" w:rsidRDefault="008E7633" w:rsidP="000F3873">
      <w:pPr>
        <w:pStyle w:val="JuPara"/>
      </w:pPr>
      <w:fldSimple w:instr=" SEQ level0 \*arabic ">
        <w:r w:rsidR="00A94344">
          <w:rPr>
            <w:noProof/>
          </w:rPr>
          <w:t>92</w:t>
        </w:r>
      </w:fldSimple>
      <w:r w:rsidR="000F3873">
        <w:t xml:space="preserve">.  В тази връзка Съдът твърди, че ако нарушаването на правото на живот или на физическа цялост не е било умишлено, позитивното задължение за създаване на „ефективна съдебна система“ не изисква непременно образуването на наказателно </w:t>
      </w:r>
      <w:r w:rsidR="009A66B9">
        <w:t xml:space="preserve">производство </w:t>
      </w:r>
      <w:r w:rsidR="000F3873">
        <w:t>за всеки отделен случай и пострадалите могат да разчитат на граждански, административни или дори дисциплинарни мерки (вж</w:t>
      </w:r>
      <w:r w:rsidR="009A66B9">
        <w:t>.</w:t>
      </w:r>
      <w:r w:rsidR="000F3873">
        <w:t xml:space="preserve"> например </w:t>
      </w:r>
      <w:proofErr w:type="spellStart"/>
      <w:r w:rsidR="000F3873">
        <w:rPr>
          <w:i/>
        </w:rPr>
        <w:t>Vo</w:t>
      </w:r>
      <w:proofErr w:type="spellEnd"/>
      <w:r w:rsidR="000F3873">
        <w:rPr>
          <w:i/>
        </w:rPr>
        <w:t xml:space="preserve"> v. </w:t>
      </w:r>
      <w:proofErr w:type="spellStart"/>
      <w:r w:rsidR="000F3873">
        <w:rPr>
          <w:i/>
        </w:rPr>
        <w:t>France</w:t>
      </w:r>
      <w:proofErr w:type="spellEnd"/>
      <w:r w:rsidR="000F3873">
        <w:t xml:space="preserve"> [</w:t>
      </w:r>
      <w:r w:rsidR="009A66B9">
        <w:t>ГО</w:t>
      </w:r>
      <w:r w:rsidR="000F3873">
        <w:t xml:space="preserve">], № 53924/00, § 90, ЕСПЧ 2004-VIII; </w:t>
      </w:r>
      <w:proofErr w:type="spellStart"/>
      <w:r w:rsidR="000F3873">
        <w:rPr>
          <w:i/>
        </w:rPr>
        <w:t>Calvelli</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Ciglio</w:t>
      </w:r>
      <w:proofErr w:type="spellEnd"/>
      <w:r w:rsidR="000F3873">
        <w:t xml:space="preserve">, цитирано по-горе, § 51; и </w:t>
      </w:r>
      <w:proofErr w:type="spellStart"/>
      <w:r w:rsidR="000F3873">
        <w:rPr>
          <w:i/>
        </w:rPr>
        <w:t>Mastromatteo</w:t>
      </w:r>
      <w:proofErr w:type="spellEnd"/>
      <w:r w:rsidR="000F3873">
        <w:t>, цитирано по-горе, §§ 90 и</w:t>
      </w:r>
      <w:r w:rsidR="000F3873">
        <w:rPr>
          <w:i/>
        </w:rPr>
        <w:t xml:space="preserve"> </w:t>
      </w:r>
      <w:r w:rsidR="000F3873">
        <w:t>94-95).</w:t>
      </w:r>
    </w:p>
    <w:p w:rsidR="00D8632D" w:rsidRDefault="008E7633" w:rsidP="000F3873">
      <w:pPr>
        <w:pStyle w:val="JuPara"/>
      </w:pPr>
      <w:fldSimple w:instr=" SEQ level0 \*arabic ">
        <w:r w:rsidR="00A94344">
          <w:rPr>
            <w:noProof/>
          </w:rPr>
          <w:t>93</w:t>
        </w:r>
      </w:fldSimple>
      <w:r w:rsidR="000F3873">
        <w:t xml:space="preserve">.  Въпреки това в сфери като въпросната в конкретния случай, приложимите принципи </w:t>
      </w:r>
      <w:r w:rsidR="009C019A">
        <w:t>по-скоро могат</w:t>
      </w:r>
      <w:r w:rsidR="000F3873">
        <w:t xml:space="preserve"> да бъдат открити </w:t>
      </w:r>
      <w:r w:rsidR="009C019A">
        <w:t xml:space="preserve">сред </w:t>
      </w:r>
      <w:r w:rsidR="000F3873">
        <w:t>тези, които Съдът вече</w:t>
      </w:r>
      <w:r w:rsidR="009C019A">
        <w:t xml:space="preserve"> е</w:t>
      </w:r>
      <w:r w:rsidR="000F3873">
        <w:t xml:space="preserve"> имал случай да </w:t>
      </w:r>
      <w:r w:rsidR="009C019A">
        <w:t>създаде</w:t>
      </w:r>
      <w:r w:rsidR="000F3873">
        <w:t xml:space="preserve"> </w:t>
      </w:r>
      <w:r w:rsidR="009C019A">
        <w:t xml:space="preserve">по отношение най-вече на </w:t>
      </w:r>
      <w:r w:rsidR="000F3873">
        <w:t xml:space="preserve">използването на смъртоносна сила </w:t>
      </w:r>
      <w:r w:rsidR="00D77C14">
        <w:t xml:space="preserve">— </w:t>
      </w:r>
      <w:r w:rsidR="000F3873">
        <w:t xml:space="preserve">принципи, които </w:t>
      </w:r>
      <w:r w:rsidR="00D77C14">
        <w:t xml:space="preserve">са подходящи за прилагане </w:t>
      </w:r>
      <w:r w:rsidR="000F3873">
        <w:t>в други категории случаи.</w:t>
      </w:r>
    </w:p>
    <w:p w:rsidR="000F3873" w:rsidRPr="0059462F" w:rsidRDefault="000F3873" w:rsidP="000F3873">
      <w:pPr>
        <w:pStyle w:val="JuPara"/>
      </w:pPr>
      <w:r>
        <w:t>В тази връзка следва да се отбележи, че в случаи на убийства тълкуването на чл</w:t>
      </w:r>
      <w:r w:rsidR="00D77C14">
        <w:t>.</w:t>
      </w:r>
      <w:r>
        <w:t xml:space="preserve"> 2 като засягащ задължението за провеждане на официално разследване е обоснова</w:t>
      </w:r>
      <w:r w:rsidR="00016453">
        <w:t>но</w:t>
      </w:r>
      <w:r>
        <w:t xml:space="preserve"> не само </w:t>
      </w:r>
      <w:r w:rsidR="00016453">
        <w:t xml:space="preserve">защото </w:t>
      </w:r>
      <w:r>
        <w:t>твърденията</w:t>
      </w:r>
      <w:r w:rsidR="00016453">
        <w:t xml:space="preserve"> за</w:t>
      </w:r>
      <w:r>
        <w:t xml:space="preserve"> подобно престъпление обикновено вод</w:t>
      </w:r>
      <w:r w:rsidR="00016453">
        <w:t>ят</w:t>
      </w:r>
      <w:r>
        <w:t xml:space="preserve"> до наказателна отговорност (вж</w:t>
      </w:r>
      <w:r w:rsidR="00016453">
        <w:t>.</w:t>
      </w:r>
      <w:r>
        <w:t xml:space="preserve"> </w:t>
      </w:r>
      <w:proofErr w:type="spellStart"/>
      <w:r>
        <w:rPr>
          <w:i/>
        </w:rPr>
        <w:t>Caraher</w:t>
      </w:r>
      <w:proofErr w:type="spellEnd"/>
      <w:r>
        <w:rPr>
          <w:i/>
        </w:rPr>
        <w:t xml:space="preserve"> </w:t>
      </w:r>
      <w:r w:rsidR="00016453">
        <w:rPr>
          <w:i/>
        </w:rPr>
        <w:t>срещу Великобритания</w:t>
      </w:r>
      <w:r>
        <w:t xml:space="preserve"> (</w:t>
      </w:r>
      <w:r w:rsidR="00016453">
        <w:t>РД</w:t>
      </w:r>
      <w:r>
        <w:t xml:space="preserve">), № 24520/94, ЕСПЧ 2000-I), но и поради факта, че често на практика истинските обстоятелства около смъртта са, или може да са, до голяма степен </w:t>
      </w:r>
      <w:r w:rsidR="00360E13">
        <w:t>ограничени</w:t>
      </w:r>
      <w:r>
        <w:t xml:space="preserve"> </w:t>
      </w:r>
      <w:r w:rsidR="00360E13">
        <w:t xml:space="preserve">до знанието на </w:t>
      </w:r>
      <w:r>
        <w:t>държавните служители или власти (вж</w:t>
      </w:r>
      <w:r w:rsidR="00016453">
        <w:t>.</w:t>
      </w:r>
      <w:r>
        <w:t xml:space="preserve"> </w:t>
      </w:r>
      <w:proofErr w:type="spellStart"/>
      <w:r>
        <w:rPr>
          <w:i/>
        </w:rPr>
        <w:t>McCann</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w:t>
      </w:r>
      <w:r w:rsidR="00016453">
        <w:rPr>
          <w:i/>
        </w:rPr>
        <w:t>срещу Великобритания</w:t>
      </w:r>
      <w:r>
        <w:t>, решение от 27 септември 1995 г., серия А, № 324, страници 47</w:t>
      </w:r>
      <w:r>
        <w:noBreakHyphen/>
        <w:t xml:space="preserve">49, §§ 157-64, и </w:t>
      </w:r>
      <w:proofErr w:type="spellStart"/>
      <w:r>
        <w:rPr>
          <w:i/>
        </w:rPr>
        <w:t>İlhan</w:t>
      </w:r>
      <w:proofErr w:type="spellEnd"/>
      <w:r>
        <w:t>, цитирано по-горе, § 91).</w:t>
      </w:r>
    </w:p>
    <w:p w:rsidR="00D8632D" w:rsidRDefault="000F3873" w:rsidP="000F3873">
      <w:pPr>
        <w:pStyle w:val="JuPara"/>
      </w:pPr>
      <w:r>
        <w:t xml:space="preserve">От гледна точка на Съда, подобни преценки са безспорно валидни в контекста на опасните дейности, когато е настъпила смърт в резултат на събития, които са се случили по вина на публичните власти, които често са единствените </w:t>
      </w:r>
      <w:r w:rsidR="00CB61C2">
        <w:t>субекти</w:t>
      </w:r>
      <w:r>
        <w:t xml:space="preserve">, </w:t>
      </w:r>
      <w:r w:rsidR="00CB61C2">
        <w:t xml:space="preserve">разполагащи с </w:t>
      </w:r>
      <w:r>
        <w:t xml:space="preserve">достатъчно </w:t>
      </w:r>
      <w:r w:rsidR="00CB61C2">
        <w:t>информация</w:t>
      </w:r>
      <w:r>
        <w:t xml:space="preserve"> за идентифициране и установяване на комплексни</w:t>
      </w:r>
      <w:r w:rsidR="00CB61C2">
        <w:t>те</w:t>
      </w:r>
      <w:r>
        <w:t xml:space="preserve"> явления, които може да са причинили подобни инциденти. </w:t>
      </w:r>
    </w:p>
    <w:p w:rsidR="000F3873" w:rsidRPr="0059462F" w:rsidRDefault="000F3873" w:rsidP="000F3873">
      <w:pPr>
        <w:pStyle w:val="JuPara"/>
      </w:pPr>
      <w:r>
        <w:t xml:space="preserve">Когато се установи, че небрежност, проявена от държавни служители или органи, е нещо повече от грешка в преценката или невнимание, и че въпросните власти, </w:t>
      </w:r>
      <w:r w:rsidR="009B3F24">
        <w:t xml:space="preserve">като са </w:t>
      </w:r>
      <w:r>
        <w:t>осъзнава</w:t>
      </w:r>
      <w:r w:rsidR="009B3F24">
        <w:t>ли напълно</w:t>
      </w:r>
      <w:r>
        <w:t xml:space="preserve"> възможните последици и </w:t>
      </w:r>
      <w:r w:rsidR="009B3F24">
        <w:t xml:space="preserve">са пренебрегнали предоставените им </w:t>
      </w:r>
      <w:r>
        <w:t xml:space="preserve">правомощия, не са взели необходимите и достатъчни мерки да предотвратяване на рисковете, </w:t>
      </w:r>
      <w:r>
        <w:lastRenderedPageBreak/>
        <w:t>породени от опасната дейност (вж</w:t>
      </w:r>
      <w:r w:rsidR="00561F64">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Osman</w:t>
      </w:r>
      <w:proofErr w:type="spellEnd"/>
      <w:r>
        <w:t>, цитирано по-горе, стр</w:t>
      </w:r>
      <w:r w:rsidR="00561F64">
        <w:t xml:space="preserve">. </w:t>
      </w:r>
      <w:r>
        <w:t>3159-60, § 116), фактът, че отговорните за застрашаването на живота не са обвинени в извършването на криминално престъпление или срещу тях са били започнати следствени действия, може да представлява нарушение на чл</w:t>
      </w:r>
      <w:r w:rsidR="00561F64">
        <w:t>.</w:t>
      </w:r>
      <w:r>
        <w:t xml:space="preserve"> 2, </w:t>
      </w:r>
      <w:r w:rsidR="00561F64">
        <w:t>независимо от</w:t>
      </w:r>
      <w:r>
        <w:t xml:space="preserve"> други видове средства</w:t>
      </w:r>
      <w:r w:rsidR="00561F64">
        <w:t xml:space="preserve"> за защита</w:t>
      </w:r>
      <w:r>
        <w:t>, които отделните лица могат да приложат по своя инициатива (вж</w:t>
      </w:r>
      <w:r w:rsidR="00561F64">
        <w:t>.</w:t>
      </w:r>
      <w:r>
        <w:t xml:space="preserve"> параграфи 48-50 по-горе); това е напълно доказано от развитието на съответните европейски стандарти (вж</w:t>
      </w:r>
      <w:r w:rsidR="00561F64">
        <w:t>.</w:t>
      </w:r>
      <w:r>
        <w:t xml:space="preserve"> параграф 61 по-горе).</w:t>
      </w:r>
    </w:p>
    <w:p w:rsidR="000F3873" w:rsidRPr="0059462F" w:rsidRDefault="008E7633" w:rsidP="000F3873">
      <w:pPr>
        <w:pStyle w:val="JuPara"/>
      </w:pPr>
      <w:fldSimple w:instr=" SEQ level0 \*arabic ">
        <w:r w:rsidR="00A94344">
          <w:rPr>
            <w:noProof/>
          </w:rPr>
          <w:t>94</w:t>
        </w:r>
      </w:fldSimple>
      <w:r w:rsidR="000F3873">
        <w:t xml:space="preserve">.  В обобщение, съдебната система съгласно </w:t>
      </w:r>
      <w:r w:rsidR="001F0D66">
        <w:t xml:space="preserve">изискванията на </w:t>
      </w:r>
      <w:r w:rsidR="000F3873">
        <w:t>чл</w:t>
      </w:r>
      <w:r w:rsidR="001F0D66">
        <w:t>.</w:t>
      </w:r>
      <w:r w:rsidR="000F3873">
        <w:t xml:space="preserve"> 2 трябва да гарантира независима и безпристрастна официална следствена процедура, която отговаря на минималните стандарти във връзка с ефективността и има възможност да гарантира, че са произнесени наказателни присъди, когато е настъпила смърт в резултат на опасна дейност, ако и до степента, до която това е обосновано от резултатите от следствените действия (вж</w:t>
      </w:r>
      <w:r w:rsidR="001F0D66">
        <w:t>.</w:t>
      </w:r>
      <w:r w:rsidR="000F3873">
        <w:t xml:space="preserve">,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Hugh</w:t>
      </w:r>
      <w:proofErr w:type="spellEnd"/>
      <w:r w:rsidR="000F3873">
        <w:rPr>
          <w:i/>
        </w:rPr>
        <w:t xml:space="preserve"> </w:t>
      </w:r>
      <w:proofErr w:type="spellStart"/>
      <w:r w:rsidR="000F3873">
        <w:rPr>
          <w:i/>
        </w:rPr>
        <w:t>Jordan</w:t>
      </w:r>
      <w:proofErr w:type="spellEnd"/>
      <w:r w:rsidR="000F3873">
        <w:rPr>
          <w:i/>
        </w:rPr>
        <w:t xml:space="preserve"> </w:t>
      </w:r>
      <w:r w:rsidR="001F0D66">
        <w:rPr>
          <w:i/>
        </w:rPr>
        <w:t>срещу Великобритания</w:t>
      </w:r>
      <w:r w:rsidR="000F3873">
        <w:t xml:space="preserve">, № 24746/94, §§ 105-09, 4 май 2001 г. и </w:t>
      </w:r>
      <w:proofErr w:type="spellStart"/>
      <w:r w:rsidR="000F3873">
        <w:rPr>
          <w:i/>
        </w:rPr>
        <w:t>Paul</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Audrey</w:t>
      </w:r>
      <w:proofErr w:type="spellEnd"/>
      <w:r w:rsidR="000F3873">
        <w:rPr>
          <w:i/>
        </w:rPr>
        <w:t xml:space="preserve"> </w:t>
      </w:r>
      <w:proofErr w:type="spellStart"/>
      <w:r w:rsidR="000F3873">
        <w:rPr>
          <w:i/>
        </w:rPr>
        <w:t>Edwards</w:t>
      </w:r>
      <w:proofErr w:type="spellEnd"/>
      <w:r w:rsidR="000F3873">
        <w:t>, цитирано по-горе, §§ 69-73). В подобни случаи компетентните органи трябва да действат с изключително старание и бързина и трябва по своя инициатива да започнат следствени действия, които имат възможност, на първо място, да проверят обстоятелствата около инцидента и пропуски</w:t>
      </w:r>
      <w:r w:rsidR="001F0D66">
        <w:t>те</w:t>
      </w:r>
      <w:r w:rsidR="000F3873">
        <w:t xml:space="preserve"> във функционирането на нормативната уредба и, на второ място, да идентифицират държавните служители или власти, участващи, без значение ролята им, във въпросната поредица от събития.</w:t>
      </w:r>
    </w:p>
    <w:p w:rsidR="00D8632D" w:rsidRDefault="008E7633" w:rsidP="000F3873">
      <w:pPr>
        <w:pStyle w:val="JuPara"/>
      </w:pPr>
      <w:fldSimple w:instr=" SEQ level0 \*arabic ">
        <w:r w:rsidR="00A94344">
          <w:rPr>
            <w:noProof/>
          </w:rPr>
          <w:t>95</w:t>
        </w:r>
      </w:fldSimple>
      <w:r w:rsidR="000F3873">
        <w:t>.  </w:t>
      </w:r>
      <w:r w:rsidR="00DD6816">
        <w:t>Р</w:t>
      </w:r>
      <w:r w:rsidR="000F3873">
        <w:t>азпоредбите на чл</w:t>
      </w:r>
      <w:r w:rsidR="00DD6816">
        <w:t>.</w:t>
      </w:r>
      <w:r w:rsidR="000F3873">
        <w:t xml:space="preserve"> 2 </w:t>
      </w:r>
      <w:r w:rsidR="00DD6816">
        <w:t xml:space="preserve">все пак </w:t>
      </w:r>
      <w:r w:rsidR="000F3873">
        <w:t>излизат извън етапа на официалното разследване, като това води до образуване на производство в националните съдилища: производството като цяло, включително етап</w:t>
      </w:r>
      <w:r w:rsidR="0015114D">
        <w:t>ът</w:t>
      </w:r>
      <w:r w:rsidR="000F3873">
        <w:t xml:space="preserve"> на </w:t>
      </w:r>
      <w:r w:rsidR="0015114D">
        <w:t xml:space="preserve">съдебния </w:t>
      </w:r>
      <w:r w:rsidR="000F3873">
        <w:t>процес, трябва да удовлетворява изискванията на позитивното задължение за защита на живота чрез закона.</w:t>
      </w:r>
    </w:p>
    <w:p w:rsidR="000F3873" w:rsidRPr="0059462F" w:rsidRDefault="008E7633" w:rsidP="000F3873">
      <w:pPr>
        <w:pStyle w:val="JuPara"/>
      </w:pPr>
      <w:fldSimple w:instr=" SEQ level0 \*arabic ">
        <w:r w:rsidR="00A94344">
          <w:rPr>
            <w:noProof/>
          </w:rPr>
          <w:t>96</w:t>
        </w:r>
      </w:fldSimple>
      <w:r w:rsidR="000F3873">
        <w:t>.  От изложеното по-горе по никакъв начин не трябва да се прави заключение, че чл</w:t>
      </w:r>
      <w:r w:rsidR="0015114D">
        <w:t>.</w:t>
      </w:r>
      <w:r w:rsidR="000F3873">
        <w:t xml:space="preserve"> 2 може да </w:t>
      </w:r>
      <w:r w:rsidR="0015114D">
        <w:t xml:space="preserve">доведе до </w:t>
      </w:r>
      <w:r w:rsidR="000F3873">
        <w:t>правото на жалбоподателя да отправи иск за разследване или постановяване на присъда за криминално престъпление на трети страни (вж</w:t>
      </w:r>
      <w:r w:rsidR="0015114D">
        <w:t>.</w:t>
      </w:r>
      <w:r w:rsidR="000F3873">
        <w:t xml:space="preserve">,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Perez</w:t>
      </w:r>
      <w:proofErr w:type="spellEnd"/>
      <w:r w:rsidR="000F3873">
        <w:rPr>
          <w:i/>
        </w:rPr>
        <w:t xml:space="preserve"> </w:t>
      </w:r>
      <w:r w:rsidR="0015114D">
        <w:rPr>
          <w:i/>
        </w:rPr>
        <w:t>срещу Франция</w:t>
      </w:r>
      <w:r w:rsidR="000F3873">
        <w:t xml:space="preserve"> [</w:t>
      </w:r>
      <w:r w:rsidR="0015114D">
        <w:t>ГО</w:t>
      </w:r>
      <w:r w:rsidR="000F3873">
        <w:t>], № 47287/99, § 70, ЕСПЧ 2004-I) или абсолютното задължение всички следствия да завършват с повдигнати обвинения или дори с конкретна присъда (вж</w:t>
      </w:r>
      <w:r w:rsidR="00AC6353">
        <w:t>.</w:t>
      </w:r>
      <w:r w:rsidR="000F3873">
        <w:t xml:space="preserve">,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Tanlı</w:t>
      </w:r>
      <w:proofErr w:type="spellEnd"/>
      <w:r w:rsidR="000F3873">
        <w:rPr>
          <w:i/>
        </w:rPr>
        <w:t xml:space="preserve"> </w:t>
      </w:r>
      <w:r w:rsidR="00AC6353">
        <w:rPr>
          <w:i/>
        </w:rPr>
        <w:t>срещу Турция</w:t>
      </w:r>
      <w:r w:rsidR="000F3873">
        <w:t>, № 26129/95, § 111, ЕСПЧ 2001-III).</w:t>
      </w:r>
    </w:p>
    <w:p w:rsidR="000F3873" w:rsidRPr="0059462F" w:rsidRDefault="000F3873" w:rsidP="000F3873">
      <w:pPr>
        <w:pStyle w:val="JuPara"/>
      </w:pPr>
      <w:r>
        <w:t xml:space="preserve">От друга страна националните съдилища следва при никакви обстоятелства да </w:t>
      </w:r>
      <w:r w:rsidR="00AC6353">
        <w:t xml:space="preserve">не </w:t>
      </w:r>
      <w:r>
        <w:t xml:space="preserve">оставят </w:t>
      </w:r>
      <w:r w:rsidR="00AC6353">
        <w:t xml:space="preserve">безнаказани </w:t>
      </w:r>
      <w:r>
        <w:t xml:space="preserve">престъпления, които застрашават живота на хората. Това е от съществено значение за поддържане на общественото доверие и гарантиране </w:t>
      </w:r>
      <w:r w:rsidR="00153726">
        <w:t xml:space="preserve">на върховенството </w:t>
      </w:r>
      <w:r>
        <w:t>на закона</w:t>
      </w:r>
      <w:r w:rsidR="00153726">
        <w:t>, както</w:t>
      </w:r>
      <w:r>
        <w:t xml:space="preserve"> и </w:t>
      </w:r>
      <w:r w:rsidR="00153726">
        <w:t xml:space="preserve">за </w:t>
      </w:r>
      <w:r>
        <w:t>недопускане на толерантност към или приемливост на незаконните деяния (вж</w:t>
      </w:r>
      <w:r w:rsidR="00153726">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Hugh</w:t>
      </w:r>
      <w:proofErr w:type="spellEnd"/>
      <w:r>
        <w:rPr>
          <w:i/>
        </w:rPr>
        <w:t xml:space="preserve"> </w:t>
      </w:r>
      <w:proofErr w:type="spellStart"/>
      <w:r>
        <w:rPr>
          <w:i/>
        </w:rPr>
        <w:t>Jordan</w:t>
      </w:r>
      <w:proofErr w:type="spellEnd"/>
      <w:r>
        <w:t>, цитирано по-</w:t>
      </w:r>
      <w:r>
        <w:lastRenderedPageBreak/>
        <w:t xml:space="preserve">горе, §§ 108 и 136-40). Следователно задачата на Съда се състои </w:t>
      </w:r>
      <w:r w:rsidR="00153726">
        <w:t>в</w:t>
      </w:r>
      <w:r>
        <w:t xml:space="preserve"> извършване на преглед дали и до каква степен </w:t>
      </w:r>
      <w:r w:rsidR="00153726">
        <w:t xml:space="preserve">може да се счита, че </w:t>
      </w:r>
      <w:r>
        <w:t>съдилищата, при достигане до заключения</w:t>
      </w:r>
      <w:r w:rsidR="00153726">
        <w:t>та</w:t>
      </w:r>
      <w:r w:rsidR="00C146C8">
        <w:t>,</w:t>
      </w:r>
      <w:r>
        <w:t xml:space="preserve"> са подложили делото на внимателно разглеждане съгласно </w:t>
      </w:r>
      <w:r w:rsidR="00C146C8">
        <w:t xml:space="preserve">изискванията на </w:t>
      </w:r>
      <w:r>
        <w:t>чл</w:t>
      </w:r>
      <w:r w:rsidR="00C146C8">
        <w:t>.</w:t>
      </w:r>
      <w:r>
        <w:t xml:space="preserve"> 2 </w:t>
      </w:r>
      <w:r w:rsidR="00C146C8">
        <w:t>от</w:t>
      </w:r>
      <w:r>
        <w:t xml:space="preserve"> Конвенцията, така че да не се компрометират съществуващият възпиращ ефект на съдебната система и значимостта на ролята, която трябва да изпълнява в предотвратяването на нарушения на правото на живот.</w:t>
      </w:r>
    </w:p>
    <w:p w:rsidR="000F3873" w:rsidRPr="0059462F" w:rsidRDefault="000F3873" w:rsidP="006725B0">
      <w:pPr>
        <w:pStyle w:val="JuHa"/>
        <w:widowControl w:val="0"/>
      </w:pPr>
      <w:r>
        <w:t>б)</w:t>
      </w:r>
      <w:r>
        <w:tab/>
        <w:t>Оценка на фактите по делото от гледна точка на тези принципи</w:t>
      </w:r>
    </w:p>
    <w:p w:rsidR="000F3873" w:rsidRPr="0059462F" w:rsidRDefault="000F3873" w:rsidP="006725B0">
      <w:pPr>
        <w:pStyle w:val="JuHi"/>
        <w:widowControl w:val="0"/>
      </w:pPr>
      <w:r>
        <w:t>(i)  Отговорност на държавата за смъртните случаи по конкретното дело от гледна точка на съществения аспект на чл</w:t>
      </w:r>
      <w:r w:rsidR="00C146C8">
        <w:t>.</w:t>
      </w:r>
      <w:r>
        <w:t xml:space="preserve"> 2 </w:t>
      </w:r>
      <w:r w:rsidR="00C146C8">
        <w:t>от</w:t>
      </w:r>
      <w:r>
        <w:t xml:space="preserve"> Конвенцията.</w:t>
      </w:r>
    </w:p>
    <w:p w:rsidR="00D8632D" w:rsidRDefault="008E7633" w:rsidP="000F3873">
      <w:pPr>
        <w:pStyle w:val="JuPara"/>
      </w:pPr>
      <w:fldSimple w:instr=" SEQ level0 \*arabic ">
        <w:r w:rsidR="00A94344">
          <w:rPr>
            <w:noProof/>
          </w:rPr>
          <w:t>97</w:t>
        </w:r>
      </w:fldSimple>
      <w:r w:rsidR="000F3873">
        <w:t xml:space="preserve">.  В конкретния случай Съдът отбелязва в самото начало, че в двете </w:t>
      </w:r>
      <w:r w:rsidR="00C146C8">
        <w:t xml:space="preserve">основни </w:t>
      </w:r>
      <w:r w:rsidR="005B278C">
        <w:t xml:space="preserve">за </w:t>
      </w:r>
      <w:r w:rsidR="00C146C8">
        <w:t xml:space="preserve">настоящото дело </w:t>
      </w:r>
      <w:r w:rsidR="000F3873">
        <w:t>сфери на дейност — функционирането на сметище за битови отпадъци (вж</w:t>
      </w:r>
      <w:r w:rsidR="005B278C">
        <w:t>.</w:t>
      </w:r>
      <w:r w:rsidR="000F3873">
        <w:t xml:space="preserve"> параграфи 56-57 по-горе) и възстановяването и изчистването на </w:t>
      </w:r>
      <w:r w:rsidR="005B278C">
        <w:t xml:space="preserve">бедните </w:t>
      </w:r>
      <w:r w:rsidR="000F3873">
        <w:t>квартали (вж</w:t>
      </w:r>
      <w:r w:rsidR="005B278C">
        <w:t>.</w:t>
      </w:r>
      <w:r w:rsidR="000F3873">
        <w:t xml:space="preserve"> параграфи 54-55 по-горе) — в Турция </w:t>
      </w:r>
      <w:r w:rsidR="005B278C">
        <w:t>има действащи нормативни актове във връзка с</w:t>
      </w:r>
      <w:r w:rsidR="000F3873">
        <w:t xml:space="preserve"> безопасността.</w:t>
      </w:r>
    </w:p>
    <w:p w:rsidR="00D8632D" w:rsidRDefault="000F3873" w:rsidP="000F3873">
      <w:pPr>
        <w:pStyle w:val="JuPara"/>
      </w:pPr>
      <w:r>
        <w:t xml:space="preserve">Следователно трябва да се определи дали законовите мерки, приложими към въпросната ситуация по конкретния </w:t>
      </w:r>
      <w:r w:rsidR="005B278C">
        <w:t>случай, предизвикват</w:t>
      </w:r>
      <w:r>
        <w:t xml:space="preserve"> критики и дали националните власти действително са спазили </w:t>
      </w:r>
      <w:r w:rsidR="005B278C">
        <w:t xml:space="preserve">приложимите </w:t>
      </w:r>
      <w:r>
        <w:t>нормативни актове.</w:t>
      </w:r>
    </w:p>
    <w:p w:rsidR="000F3873" w:rsidRPr="0059462F" w:rsidRDefault="008E7633" w:rsidP="000F3873">
      <w:pPr>
        <w:pStyle w:val="JuPara"/>
      </w:pPr>
      <w:fldSimple w:instr=" SEQ level0 \*arabic ">
        <w:r w:rsidR="00A94344">
          <w:rPr>
            <w:noProof/>
          </w:rPr>
          <w:t>98</w:t>
        </w:r>
      </w:fldSimple>
      <w:r w:rsidR="000F3873">
        <w:t xml:space="preserve">.  За тази цел Съдът счита, че трябва да започне с отбелязването на решаващия фактор за оценката на обстоятелствата по делото, а именно, че е била налице практическа информация относно факта, че обитателите на определени </w:t>
      </w:r>
      <w:r w:rsidR="00204A59">
        <w:t xml:space="preserve">бедни </w:t>
      </w:r>
      <w:r w:rsidR="000F3873">
        <w:t xml:space="preserve">райони в </w:t>
      </w:r>
      <w:proofErr w:type="spellStart"/>
      <w:r w:rsidR="000F3873">
        <w:t>Юмрание</w:t>
      </w:r>
      <w:proofErr w:type="spellEnd"/>
      <w:r w:rsidR="000F3873">
        <w:t xml:space="preserve"> са били изправени пред заплаха за физическата им цялост поради технически недостатъци на общинското сметище.</w:t>
      </w:r>
    </w:p>
    <w:p w:rsidR="000F3873" w:rsidRPr="0059462F" w:rsidRDefault="000F3873" w:rsidP="000F3873">
      <w:pPr>
        <w:pStyle w:val="JuPara"/>
      </w:pPr>
      <w:r>
        <w:t>Съгласно доклад</w:t>
      </w:r>
      <w:r w:rsidR="004E5B16">
        <w:t>а от експертизата</w:t>
      </w:r>
      <w:r>
        <w:t xml:space="preserve">, поръчан от Трето отделение на </w:t>
      </w:r>
      <w:r w:rsidR="004E5B16">
        <w:t xml:space="preserve">Районния </w:t>
      </w:r>
      <w:r>
        <w:t xml:space="preserve">съд на </w:t>
      </w:r>
      <w:proofErr w:type="spellStart"/>
      <w:r>
        <w:t>Юскудар</w:t>
      </w:r>
      <w:proofErr w:type="spellEnd"/>
      <w:r>
        <w:t xml:space="preserve"> и предаден на 7 май 1991 г., сметището започва да функционира в началото на 1970 г., в нарушение на съответните технически стандарти, а впоследствие продължава да се използва, въпреки че това е в противоречие с норми</w:t>
      </w:r>
      <w:r w:rsidR="00EE36AD">
        <w:t>те</w:t>
      </w:r>
      <w:r>
        <w:t xml:space="preserve"> </w:t>
      </w:r>
      <w:r w:rsidR="00EE36AD">
        <w:t>за</w:t>
      </w:r>
      <w:r>
        <w:t xml:space="preserve"> </w:t>
      </w:r>
      <w:r w:rsidR="00EE36AD">
        <w:t xml:space="preserve">здравословни и </w:t>
      </w:r>
      <w:r>
        <w:t>безопасн</w:t>
      </w:r>
      <w:r w:rsidR="00EE36AD">
        <w:t>и условия</w:t>
      </w:r>
      <w:r>
        <w:t xml:space="preserve"> </w:t>
      </w:r>
      <w:r w:rsidR="00EE36AD">
        <w:t xml:space="preserve">и </w:t>
      </w:r>
      <w:r>
        <w:t>технически</w:t>
      </w:r>
      <w:r w:rsidR="00EE36AD">
        <w:t>те</w:t>
      </w:r>
      <w:r>
        <w:t xml:space="preserve"> изисквания, </w:t>
      </w:r>
      <w:r w:rsidR="00EE36AD">
        <w:t xml:space="preserve">заложени </w:t>
      </w:r>
      <w:r>
        <w:t xml:space="preserve">по-конкретно в </w:t>
      </w:r>
      <w:r w:rsidR="00EE36AD">
        <w:t xml:space="preserve">Наредбата </w:t>
      </w:r>
      <w:r>
        <w:t>за контрол върху твърдите битови отпадъци, публикуван</w:t>
      </w:r>
      <w:r w:rsidR="00EE36AD">
        <w:t>а</w:t>
      </w:r>
      <w:r>
        <w:t xml:space="preserve"> в </w:t>
      </w:r>
      <w:r w:rsidR="00050355">
        <w:t xml:space="preserve">Държавен </w:t>
      </w:r>
      <w:r>
        <w:t>вестник на 14 март 1991 г. (вж</w:t>
      </w:r>
      <w:r w:rsidR="00EE36AD">
        <w:t>.</w:t>
      </w:r>
      <w:r>
        <w:t xml:space="preserve"> параграф 56 по-горе). Като изброява различните рискове</w:t>
      </w:r>
      <w:r w:rsidR="00050355" w:rsidRPr="00050355">
        <w:t xml:space="preserve"> </w:t>
      </w:r>
      <w:r w:rsidR="00050355">
        <w:t>за населението</w:t>
      </w:r>
      <w:r>
        <w:t>, които произтичат от сметището, докладът конкретно засяга опасността от взрив поради образуването на метан, тъй като сметището няма „никакви средства за предотвратяване на взрив на метан, образуващ се в резултат на разлагането“ на битови отпадъци (вж</w:t>
      </w:r>
      <w:r w:rsidR="00050355">
        <w:t>.</w:t>
      </w:r>
      <w:r>
        <w:t xml:space="preserve"> параграф 13 по-горе).</w:t>
      </w:r>
      <w:r w:rsidR="00050355">
        <w:t xml:space="preserve"> </w:t>
      </w:r>
    </w:p>
    <w:p w:rsidR="000F3873" w:rsidRPr="0059462F" w:rsidRDefault="008E7633" w:rsidP="000F3873">
      <w:pPr>
        <w:pStyle w:val="JuPara"/>
      </w:pPr>
      <w:fldSimple w:instr=" SEQ level0 \*arabic ">
        <w:r w:rsidR="00A94344">
          <w:rPr>
            <w:noProof/>
          </w:rPr>
          <w:t>99</w:t>
        </w:r>
      </w:fldSimple>
      <w:r w:rsidR="000F3873">
        <w:t>.  От тази гледна точка Съдът разгледа позицията на Правителството във връзка с валидността на доклад</w:t>
      </w:r>
      <w:r w:rsidR="00050355">
        <w:t>а от експертизата</w:t>
      </w:r>
      <w:r w:rsidR="000F3873">
        <w:t xml:space="preserve"> от </w:t>
      </w:r>
      <w:r w:rsidR="000F3873">
        <w:lastRenderedPageBreak/>
        <w:t xml:space="preserve">7 май 1991 г. и </w:t>
      </w:r>
      <w:r w:rsidR="00050355">
        <w:t xml:space="preserve">тежестта, която да </w:t>
      </w:r>
      <w:r w:rsidR="00EB7141">
        <w:t xml:space="preserve">се </w:t>
      </w:r>
      <w:r w:rsidR="00050355">
        <w:t>придаде на</w:t>
      </w:r>
      <w:r w:rsidR="000F3873">
        <w:t xml:space="preserve"> </w:t>
      </w:r>
      <w:r w:rsidR="00EB7141">
        <w:t xml:space="preserve">исканията </w:t>
      </w:r>
      <w:r w:rsidR="000F3873">
        <w:t xml:space="preserve">от страна на окръжните съвети на </w:t>
      </w:r>
      <w:proofErr w:type="spellStart"/>
      <w:r w:rsidR="000F3873">
        <w:t>Кадъкьой</w:t>
      </w:r>
      <w:proofErr w:type="spellEnd"/>
      <w:r w:rsidR="000F3873">
        <w:t xml:space="preserve"> и </w:t>
      </w:r>
      <w:proofErr w:type="spellStart"/>
      <w:r w:rsidR="000F3873">
        <w:t>Юскудар</w:t>
      </w:r>
      <w:proofErr w:type="spellEnd"/>
      <w:r w:rsidR="000F3873">
        <w:t xml:space="preserve"> и градския съвет на Истанбул докладът да бъде</w:t>
      </w:r>
      <w:r w:rsidR="00EB7141">
        <w:t xml:space="preserve"> отхвърлен</w:t>
      </w:r>
      <w:r w:rsidR="000F3873">
        <w:t xml:space="preserve"> (вж</w:t>
      </w:r>
      <w:r w:rsidR="00EB7141">
        <w:t>.</w:t>
      </w:r>
      <w:r w:rsidR="000F3873">
        <w:t xml:space="preserve"> параграф 14 по-горе). Въпреки това Съдът счита, че тези етапи по</w:t>
      </w:r>
      <w:r w:rsidR="00EB7141">
        <w:t xml:space="preserve">-скоро </w:t>
      </w:r>
      <w:r w:rsidR="000F3873">
        <w:t>показ</w:t>
      </w:r>
      <w:r w:rsidR="00EB7141">
        <w:t>ват</w:t>
      </w:r>
      <w:r w:rsidR="000F3873">
        <w:t xml:space="preserve"> наличие на конфликт на правомощия между различните власти, дори тактика за забавяне. Във всички случаи искането да не </w:t>
      </w:r>
      <w:r w:rsidR="00CE1C67">
        <w:t xml:space="preserve">се </w:t>
      </w:r>
      <w:r w:rsidR="000F3873">
        <w:t>взема предвид доклад</w:t>
      </w:r>
      <w:r w:rsidR="00CE1C67">
        <w:t>ът</w:t>
      </w:r>
      <w:r w:rsidR="000F3873">
        <w:t xml:space="preserve"> всъщност е неуспешно, не е било поставяно като условие от адвокатите на съветите и докладът никога не е бил обявяван за невалиден. Напротив, докладът е бил решаващ за всички органи, разследващи инцидента от 28 април 1993 г.</w:t>
      </w:r>
      <w:r w:rsidR="00CE1C67">
        <w:t>,</w:t>
      </w:r>
      <w:r w:rsidR="000F3873">
        <w:t xml:space="preserve"> още повече</w:t>
      </w:r>
      <w:r w:rsidR="00CE1C67">
        <w:t xml:space="preserve"> че</w:t>
      </w:r>
      <w:r w:rsidR="000F3873">
        <w:t xml:space="preserve"> </w:t>
      </w:r>
      <w:r w:rsidR="00CE1C67">
        <w:t xml:space="preserve">впоследствие е утвърден </w:t>
      </w:r>
      <w:r w:rsidR="000F3873">
        <w:t>с доклад</w:t>
      </w:r>
      <w:r w:rsidR="00CE1C67">
        <w:t>а</w:t>
      </w:r>
      <w:r w:rsidR="000F3873">
        <w:t xml:space="preserve"> от 18 май 1993 г. от експертната комисия, назначена от прокурора на </w:t>
      </w:r>
      <w:proofErr w:type="spellStart"/>
      <w:r w:rsidR="000F3873">
        <w:t>Юскудар</w:t>
      </w:r>
      <w:proofErr w:type="spellEnd"/>
      <w:r w:rsidR="000F3873">
        <w:t xml:space="preserve"> (вж</w:t>
      </w:r>
      <w:r w:rsidR="00070471">
        <w:t>.</w:t>
      </w:r>
      <w:r w:rsidR="000F3873">
        <w:t xml:space="preserve"> параграф 23 по-горе) и от две</w:t>
      </w:r>
      <w:r w:rsidR="00070471">
        <w:t>те</w:t>
      </w:r>
      <w:r w:rsidR="000F3873">
        <w:t xml:space="preserve"> научни становища</w:t>
      </w:r>
      <w:r w:rsidR="00070471">
        <w:t>,</w:t>
      </w:r>
      <w:r w:rsidR="000F3873">
        <w:t xml:space="preserve"> </w:t>
      </w:r>
      <w:r w:rsidR="00070471">
        <w:t>посочени в</w:t>
      </w:r>
      <w:r w:rsidR="000F3873">
        <w:t xml:space="preserve"> доклада от 9 юли 1993 г. от главния инспектор, </w:t>
      </w:r>
      <w:r w:rsidR="00070471">
        <w:t xml:space="preserve">назначен </w:t>
      </w:r>
      <w:r w:rsidR="000F3873">
        <w:t>от Министерството на вътрешните работи (вж</w:t>
      </w:r>
      <w:r w:rsidR="00070471">
        <w:t>.</w:t>
      </w:r>
      <w:r w:rsidR="000F3873">
        <w:t xml:space="preserve"> параграф 28 по-горе).</w:t>
      </w:r>
    </w:p>
    <w:p w:rsidR="00D8632D" w:rsidRDefault="008E7633" w:rsidP="000F3873">
      <w:pPr>
        <w:pStyle w:val="JuPara"/>
      </w:pPr>
      <w:fldSimple w:instr=" SEQ level0 \*arabic ">
        <w:r w:rsidR="00A94344">
          <w:rPr>
            <w:noProof/>
          </w:rPr>
          <w:t>100</w:t>
        </w:r>
      </w:fldSimple>
      <w:r w:rsidR="000F3873">
        <w:t xml:space="preserve">.  Съдът счита, </w:t>
      </w:r>
      <w:r w:rsidR="00070471">
        <w:t xml:space="preserve">че </w:t>
      </w:r>
      <w:r w:rsidR="000F3873">
        <w:t>нито реалността, нито непосредствеността на въпросната опасност са под въпрос, тъй като е видно, че рискът от взрив е възникнал много преди да бъде описан в доклада от 7 май 1991 г. и че, при продължаване работата на сметището при същите условия, рискът само се е увеличил в периода до взрива на 28 април 1993 г.</w:t>
      </w:r>
    </w:p>
    <w:p w:rsidR="000F3873" w:rsidRPr="0059462F" w:rsidRDefault="008E7633" w:rsidP="000F3873">
      <w:pPr>
        <w:pStyle w:val="JuPara"/>
      </w:pPr>
      <w:fldSimple w:instr=" SEQ level0 \*arabic ">
        <w:r w:rsidR="00A94344">
          <w:rPr>
            <w:noProof/>
          </w:rPr>
          <w:t>101</w:t>
        </w:r>
      </w:fldSimple>
      <w:r w:rsidR="000F3873">
        <w:t>.  Голямата камара съответно се съглас</w:t>
      </w:r>
      <w:r w:rsidR="00070471">
        <w:t>ява</w:t>
      </w:r>
      <w:r w:rsidR="000F3873">
        <w:t xml:space="preserve"> със Съда (вж</w:t>
      </w:r>
      <w:r w:rsidR="00070471">
        <w:t>.</w:t>
      </w:r>
      <w:r w:rsidR="000F3873">
        <w:t xml:space="preserve"> параграф 79 от решението на </w:t>
      </w:r>
      <w:r w:rsidR="00070471">
        <w:t>отделението</w:t>
      </w:r>
      <w:r w:rsidR="000F3873">
        <w:t xml:space="preserve">), че е било невъзможно административните и общинските отдели, отговорни за надзора и управлението на сметището, да не знаят за рисковете от образуването на метан или за необходимите превантивни мерки, особено когато </w:t>
      </w:r>
      <w:r w:rsidR="008104D9">
        <w:t xml:space="preserve">са </w:t>
      </w:r>
      <w:r w:rsidR="000F3873">
        <w:t xml:space="preserve">налице конкретни </w:t>
      </w:r>
      <w:r w:rsidR="008104D9">
        <w:t xml:space="preserve">нормативни актове </w:t>
      </w:r>
      <w:r w:rsidR="000F3873">
        <w:t xml:space="preserve">във връзка с проблема. Освен това Съдът </w:t>
      </w:r>
      <w:r w:rsidR="008104D9">
        <w:t xml:space="preserve">счита за </w:t>
      </w:r>
      <w:r w:rsidR="000F3873">
        <w:t>установ</w:t>
      </w:r>
      <w:r w:rsidR="008104D9">
        <w:t>ен</w:t>
      </w:r>
      <w:r w:rsidR="000F3873">
        <w:t xml:space="preserve"> факта, че различните власти също са били наясно с тези рискове, най-малкото до 27 май 1991 г., когато са били уведомени за доклада от 7 май 1991 г. (вж</w:t>
      </w:r>
      <w:r w:rsidR="00AC292B">
        <w:t>.</w:t>
      </w:r>
      <w:r w:rsidR="000F3873">
        <w:t xml:space="preserve"> параграфи 13 и 15 по-горе).</w:t>
      </w:r>
    </w:p>
    <w:p w:rsidR="000F3873" w:rsidRPr="0059462F" w:rsidRDefault="000F3873" w:rsidP="000F3873">
      <w:pPr>
        <w:pStyle w:val="JuPara"/>
      </w:pPr>
      <w:r>
        <w:t xml:space="preserve">Следователно турските власти на няколко нива са знаели или е би трябвало да знаят, че е налице действителен и непосредствен риск за редица обитатели на района около общинското сметище на </w:t>
      </w:r>
      <w:proofErr w:type="spellStart"/>
      <w:r>
        <w:t>Юмрание</w:t>
      </w:r>
      <w:proofErr w:type="spellEnd"/>
      <w:r>
        <w:t xml:space="preserve">. </w:t>
      </w:r>
      <w:r w:rsidR="00AC292B">
        <w:t xml:space="preserve">Следователно </w:t>
      </w:r>
      <w:r>
        <w:t>те са имали позитивното задължение по чл</w:t>
      </w:r>
      <w:r w:rsidR="00AC292B">
        <w:t>.</w:t>
      </w:r>
      <w:r>
        <w:t xml:space="preserve"> 2 </w:t>
      </w:r>
      <w:r w:rsidR="00AC292B">
        <w:t>от</w:t>
      </w:r>
      <w:r>
        <w:t xml:space="preserve"> Конвенцията да предприемат такива превантивни оперативни мерки, които са необходими и достатъчни за защитата на тези лица (вж</w:t>
      </w:r>
      <w:r w:rsidR="00AC292B">
        <w:t>.</w:t>
      </w:r>
      <w:r>
        <w:t xml:space="preserve"> параграфи 92-93 по-горе), особено след като са изградили площадката и са разрешили функционирането </w:t>
      </w:r>
      <w:r w:rsidR="00AC292B">
        <w:t>ѝ</w:t>
      </w:r>
      <w:r>
        <w:t>, което е довело до въпросния риск.</w:t>
      </w:r>
    </w:p>
    <w:p w:rsidR="000F3873" w:rsidRPr="0059462F" w:rsidRDefault="008E7633" w:rsidP="000F3873">
      <w:pPr>
        <w:pStyle w:val="JuPara"/>
      </w:pPr>
      <w:fldSimple w:instr=" SEQ level0 \*arabic ">
        <w:r w:rsidR="00A94344">
          <w:rPr>
            <w:noProof/>
          </w:rPr>
          <w:t>102</w:t>
        </w:r>
      </w:fldSimple>
      <w:r w:rsidR="000F3873">
        <w:t>.  Въпреки това от доказателствата, представени пред Съда</w:t>
      </w:r>
      <w:r w:rsidR="00AC292B">
        <w:t>,</w:t>
      </w:r>
      <w:r w:rsidR="000F3873">
        <w:t xml:space="preserve"> изглежда, че градският съвет на Истанбул конкретно не само не е предприел необходимите неотложни мерки преди или след 14 март 1991 г., но също така — според твърденията на Съда — се е обявил срещу препоръката във връзка с това, издадена от службата по околна среда </w:t>
      </w:r>
      <w:r w:rsidR="00AC292B">
        <w:t>към</w:t>
      </w:r>
      <w:r w:rsidR="000F3873">
        <w:t xml:space="preserve"> министър-председателя (вж</w:t>
      </w:r>
      <w:r w:rsidR="00AC292B">
        <w:t>.</w:t>
      </w:r>
      <w:r w:rsidR="000F3873">
        <w:t xml:space="preserve"> параграф 15 по-горе). Службата по околна среда е призовала сметището да бъде приведено в съответствие със стандартите, изложени в разпоредби 24</w:t>
      </w:r>
      <w:r w:rsidR="00AC292B">
        <w:t>-</w:t>
      </w:r>
      <w:r w:rsidR="000F3873">
        <w:t xml:space="preserve">27 от </w:t>
      </w:r>
      <w:r w:rsidR="00AC292B">
        <w:t xml:space="preserve">Наредбата </w:t>
      </w:r>
      <w:r w:rsidR="000F3873">
        <w:t xml:space="preserve">за контрол </w:t>
      </w:r>
      <w:r w:rsidR="000F3873">
        <w:lastRenderedPageBreak/>
        <w:t>върху твърдите отпадъци, последната от които изрично изисква поставянето на „вертикална и хоризонтална система за дренаж“, позволяваща контролираното изпускане в атмосферата на събралия се газ (вж</w:t>
      </w:r>
      <w:r w:rsidR="002703B4">
        <w:t>.</w:t>
      </w:r>
      <w:r w:rsidR="000F3873">
        <w:t xml:space="preserve"> параграф 56 по-горе).</w:t>
      </w:r>
    </w:p>
    <w:p w:rsidR="00D8632D" w:rsidRDefault="008E7633" w:rsidP="000F3873">
      <w:pPr>
        <w:pStyle w:val="JuPara"/>
      </w:pPr>
      <w:fldSimple w:instr=" SEQ level0 \*arabic ">
        <w:r w:rsidR="00A94344">
          <w:rPr>
            <w:noProof/>
          </w:rPr>
          <w:t>103</w:t>
        </w:r>
      </w:fldSimple>
      <w:r w:rsidR="000F3873">
        <w:t>.  Градският съвет отправ</w:t>
      </w:r>
      <w:r w:rsidR="002703B4">
        <w:t>я</w:t>
      </w:r>
      <w:r w:rsidR="000F3873">
        <w:t xml:space="preserve"> възражение също така и срещу последния опит на кмета на </w:t>
      </w:r>
      <w:proofErr w:type="spellStart"/>
      <w:r w:rsidR="000F3873">
        <w:t>Юмрание</w:t>
      </w:r>
      <w:proofErr w:type="spellEnd"/>
      <w:r w:rsidR="000F3873">
        <w:t xml:space="preserve"> да поиска чрез съдилищата на 27 август 1992 г. временно</w:t>
      </w:r>
      <w:r w:rsidR="002703B4">
        <w:t>то</w:t>
      </w:r>
      <w:r w:rsidR="000F3873">
        <w:t xml:space="preserve"> затваряне на площадката за събиране на отпадъци. Съветът основа</w:t>
      </w:r>
      <w:r w:rsidR="002703B4">
        <w:t>ва</w:t>
      </w:r>
      <w:r w:rsidR="000F3873">
        <w:t xml:space="preserve"> възражението си на факта, че въпросният окръжен съвет няма право да иска затваряне на площадката, тъй като не е положил никакви усилия за обез</w:t>
      </w:r>
      <w:r w:rsidR="002703B4">
        <w:t>заразя</w:t>
      </w:r>
      <w:r w:rsidR="000F3873">
        <w:t xml:space="preserve">ването </w:t>
      </w:r>
      <w:r w:rsidR="002703B4">
        <w:t>ѝ</w:t>
      </w:r>
      <w:r w:rsidR="000F3873">
        <w:t xml:space="preserve"> (вж</w:t>
      </w:r>
      <w:r w:rsidR="002703B4">
        <w:t>.</w:t>
      </w:r>
      <w:r w:rsidR="000F3873">
        <w:t xml:space="preserve"> параграф 16 по-горе).</w:t>
      </w:r>
    </w:p>
    <w:p w:rsidR="000F3873" w:rsidRPr="0059462F" w:rsidRDefault="000F3873" w:rsidP="000F3873">
      <w:pPr>
        <w:pStyle w:val="JuPara"/>
      </w:pPr>
      <w:r>
        <w:t xml:space="preserve">Освен </w:t>
      </w:r>
      <w:r w:rsidR="002703B4">
        <w:t xml:space="preserve">на </w:t>
      </w:r>
      <w:r>
        <w:t>това основание</w:t>
      </w:r>
      <w:r w:rsidR="002703B4">
        <w:t>,</w:t>
      </w:r>
      <w:r>
        <w:t xml:space="preserve"> Правителството се позова също така и на заключенията по делото </w:t>
      </w:r>
      <w:proofErr w:type="spellStart"/>
      <w:r>
        <w:rPr>
          <w:i/>
        </w:rPr>
        <w:t>Chapman</w:t>
      </w:r>
      <w:proofErr w:type="spellEnd"/>
      <w:r>
        <w:t>, цитирано по-горе, и отправ</w:t>
      </w:r>
      <w:r w:rsidR="002703B4">
        <w:t>я</w:t>
      </w:r>
      <w:r>
        <w:t xml:space="preserve"> критики към жалбоподателя, че съзнателно е нарушил закона и е живял в околността на сметището (вж</w:t>
      </w:r>
      <w:r w:rsidR="002703B4">
        <w:t>.</w:t>
      </w:r>
      <w:r>
        <w:t xml:space="preserve"> параграфи 23, 43 и 80 по-горе).</w:t>
      </w:r>
    </w:p>
    <w:p w:rsidR="000F3873" w:rsidRPr="0059462F" w:rsidRDefault="000F3873" w:rsidP="000F3873">
      <w:pPr>
        <w:pStyle w:val="JuPara"/>
      </w:pPr>
      <w:r>
        <w:t xml:space="preserve">Въпреки това тези аргументи </w:t>
      </w:r>
      <w:r w:rsidR="00502FB1">
        <w:t>н</w:t>
      </w:r>
      <w:r>
        <w:t>е подлежат на разглеждане поради следните причини.</w:t>
      </w:r>
    </w:p>
    <w:p w:rsidR="000F3873" w:rsidRPr="0059462F" w:rsidRDefault="008E7633" w:rsidP="000F3873">
      <w:pPr>
        <w:pStyle w:val="JuPara"/>
      </w:pPr>
      <w:fldSimple w:instr=" SEQ level0 \*arabic ">
        <w:r w:rsidR="00A94344">
          <w:rPr>
            <w:noProof/>
          </w:rPr>
          <w:t>104</w:t>
        </w:r>
      </w:fldSimple>
      <w:r w:rsidR="000F3873">
        <w:t xml:space="preserve">.  В конкретния случай Съдът е проучил разпоредбите на вътрешното </w:t>
      </w:r>
      <w:r w:rsidR="00502FB1">
        <w:t>право</w:t>
      </w:r>
      <w:r w:rsidR="000F3873">
        <w:t xml:space="preserve"> във връзка с прехвърлянето на обществена собственост на трети страни в или извън „зони</w:t>
      </w:r>
      <w:r w:rsidR="00502FB1">
        <w:t>те за благоустрояване и изселване</w:t>
      </w:r>
      <w:r w:rsidR="000F3873">
        <w:t xml:space="preserve">“. Съдът също така изследва и </w:t>
      </w:r>
      <w:r w:rsidR="00502FB1">
        <w:t>ефекта от</w:t>
      </w:r>
      <w:r w:rsidR="000F3873">
        <w:t xml:space="preserve"> различни законодателни инициативи за разширяване на практика на обхвата </w:t>
      </w:r>
      <w:proofErr w:type="spellStart"/>
      <w:r w:rsidR="000F3873">
        <w:rPr>
          <w:i/>
        </w:rPr>
        <w:t>ratione</w:t>
      </w:r>
      <w:proofErr w:type="spellEnd"/>
      <w:r w:rsidR="000F3873">
        <w:rPr>
          <w:i/>
        </w:rPr>
        <w:t xml:space="preserve"> </w:t>
      </w:r>
      <w:proofErr w:type="spellStart"/>
      <w:r w:rsidR="000F3873">
        <w:rPr>
          <w:i/>
        </w:rPr>
        <w:t>temporis</w:t>
      </w:r>
      <w:proofErr w:type="spellEnd"/>
      <w:r w:rsidR="000F3873">
        <w:t xml:space="preserve"> на Закон № 775 от 20 юли 1966 г. (вж</w:t>
      </w:r>
      <w:r w:rsidR="00502FB1">
        <w:t>.</w:t>
      </w:r>
      <w:r w:rsidR="000F3873">
        <w:t xml:space="preserve"> параграфи 54-55 по-горе).</w:t>
      </w:r>
    </w:p>
    <w:p w:rsidR="000F3873" w:rsidRPr="0059462F" w:rsidRDefault="000F3873" w:rsidP="000F3873">
      <w:pPr>
        <w:pStyle w:val="JuPara"/>
      </w:pPr>
      <w:r>
        <w:t xml:space="preserve">От тези правни съображения Съдът достига до заключението, че въпреки законовите забрани в сферата на градоустройственото планиране, последователната политика на държавата по отношение на бедните райони насърчава навлизането им в градовете и по този начин признава съществуването им и начина на живот на гражданите, които постепенно са ги изграждали от 1960 г. по свой избор или просто в резултат на тази политика. </w:t>
      </w:r>
      <w:r w:rsidR="00CE3EF8">
        <w:t>Тъй като е видно</w:t>
      </w:r>
      <w:r>
        <w:t xml:space="preserve">, че тази политика ефективно амнистира нарушаването на градоустройствените </w:t>
      </w:r>
      <w:r w:rsidR="00CE3EF8">
        <w:t>разпоредби</w:t>
      </w:r>
      <w:r>
        <w:t xml:space="preserve">, включително незаконното заемане на публична собственост, тя </w:t>
      </w:r>
      <w:r w:rsidR="00CE3EF8">
        <w:t>вероятно</w:t>
      </w:r>
      <w:r>
        <w:t xml:space="preserve"> е породила несигурност </w:t>
      </w:r>
      <w:r w:rsidR="00CE3EF8">
        <w:t xml:space="preserve">относно </w:t>
      </w:r>
      <w:r>
        <w:t xml:space="preserve">степента на правомощията на административните власти, отговорни за прилагането на мерките, предписани от закона, които следователно не са се считали за предвидими от страна </w:t>
      </w:r>
      <w:r w:rsidR="00CE3EF8">
        <w:t>н</w:t>
      </w:r>
      <w:r>
        <w:t>а обществото.</w:t>
      </w:r>
    </w:p>
    <w:p w:rsidR="00D8632D" w:rsidRDefault="008E7633" w:rsidP="000F3873">
      <w:pPr>
        <w:pStyle w:val="JuPara"/>
      </w:pPr>
      <w:fldSimple w:instr=" SEQ level0 \*arabic ">
        <w:r w:rsidR="00A94344">
          <w:rPr>
            <w:noProof/>
          </w:rPr>
          <w:t>105</w:t>
        </w:r>
      </w:fldSimple>
      <w:r w:rsidR="000F3873">
        <w:t>.  Това тълкуване</w:t>
      </w:r>
      <w:r w:rsidR="00EB34B3" w:rsidRPr="00833B88">
        <w:t xml:space="preserve"> се потвърждава</w:t>
      </w:r>
      <w:r w:rsidR="000F3873">
        <w:t xml:space="preserve"> още повече в конкретния случай от отношението на административните власти към жалбоподателя.</w:t>
      </w:r>
    </w:p>
    <w:p w:rsidR="00D8632D" w:rsidRDefault="000F3873" w:rsidP="000F3873">
      <w:pPr>
        <w:pStyle w:val="JuPara"/>
      </w:pPr>
      <w:r>
        <w:t xml:space="preserve">Съдът отбелязва, че </w:t>
      </w:r>
      <w:r w:rsidR="00EB34B3">
        <w:t xml:space="preserve">в периода </w:t>
      </w:r>
      <w:r>
        <w:t>между незаконното изграждане на въпросната къща през 1988 г. и инцидент</w:t>
      </w:r>
      <w:r w:rsidR="00EB34B3">
        <w:t>а</w:t>
      </w:r>
      <w:r>
        <w:t xml:space="preserve"> от 28 април 1993, жалбоподателят остава във владение на жилището си, въпреки факта, че по това време позицията му остава предмет на правилата, изложени в Закон № 775, конкретно </w:t>
      </w:r>
      <w:r w:rsidR="00EB34B3">
        <w:t xml:space="preserve">раздел </w:t>
      </w:r>
      <w:r>
        <w:t xml:space="preserve">18, според който общинските власти </w:t>
      </w:r>
      <w:r w:rsidR="00C468A8">
        <w:t xml:space="preserve">са </w:t>
      </w:r>
      <w:r w:rsidR="00C468A8">
        <w:lastRenderedPageBreak/>
        <w:t>можели</w:t>
      </w:r>
      <w:r>
        <w:t xml:space="preserve"> да разрушат жилището по всяко време. Всъщност това е предложено от Правителството (вж</w:t>
      </w:r>
      <w:r w:rsidR="00C468A8">
        <w:t>.</w:t>
      </w:r>
      <w:r>
        <w:t xml:space="preserve"> параграфи 77 и 80 по-горе), макар че то не </w:t>
      </w:r>
      <w:r w:rsidR="00C468A8">
        <w:t>успява</w:t>
      </w:r>
      <w:r>
        <w:t xml:space="preserve"> да покаже, че в конкретния случай съответните власти въобще са имали намерение да предприемат подобни мерки срещу жалбоподателя.</w:t>
      </w:r>
    </w:p>
    <w:p w:rsidR="00D8632D" w:rsidRDefault="000F3873" w:rsidP="000F3873">
      <w:pPr>
        <w:pStyle w:val="JuPara"/>
      </w:pPr>
      <w:r>
        <w:t xml:space="preserve">Властите са позволили на жалбоподателя и близките му роднини да живеят напълно необезпокоявано в дома си, в социалната и семейна среда, създадена от тях. Освен това, като се имат предвид конкретните доказателства, представени пред Съда и </w:t>
      </w:r>
      <w:proofErr w:type="spellStart"/>
      <w:r>
        <w:t>неоспорени</w:t>
      </w:r>
      <w:proofErr w:type="spellEnd"/>
      <w:r>
        <w:t xml:space="preserve"> от Правителството, няма причина да се поставя под въпрос твърдението на жалбоподателя, че властите са облагали с местен данък него и други обитатели на бедните квартали на </w:t>
      </w:r>
      <w:proofErr w:type="spellStart"/>
      <w:r>
        <w:t>Юмрание</w:t>
      </w:r>
      <w:proofErr w:type="spellEnd"/>
      <w:r>
        <w:t xml:space="preserve"> и са </w:t>
      </w:r>
      <w:r w:rsidR="00C468A8">
        <w:t xml:space="preserve">им </w:t>
      </w:r>
      <w:r>
        <w:t>предоставяли обществени услуги срещу заплащане (вж</w:t>
      </w:r>
      <w:r w:rsidR="00C468A8">
        <w:t>.</w:t>
      </w:r>
      <w:r>
        <w:t xml:space="preserve"> параграфи 11 и 85 по-горе).</w:t>
      </w:r>
    </w:p>
    <w:p w:rsidR="00D8632D" w:rsidRDefault="008E7633" w:rsidP="000F3873">
      <w:pPr>
        <w:pStyle w:val="JuPara"/>
      </w:pPr>
      <w:fldSimple w:instr=" SEQ level0 \*arabic ">
        <w:r w:rsidR="00A94344">
          <w:rPr>
            <w:noProof/>
          </w:rPr>
          <w:t>106</w:t>
        </w:r>
      </w:fldSimple>
      <w:r w:rsidR="000F3873">
        <w:t xml:space="preserve">.  При тези обстоятелства за Правителството би било трудно да твърди законно, че небрежност или липса на далновидност могат да бъдат приписани на пострадалите в инцидента </w:t>
      </w:r>
      <w:r w:rsidR="00D16B05">
        <w:t>от</w:t>
      </w:r>
      <w:r w:rsidR="000F3873">
        <w:t xml:space="preserve"> 28 април 1993 г. или да се позове на заключението на Съда по делото </w:t>
      </w:r>
      <w:proofErr w:type="spellStart"/>
      <w:r w:rsidR="000F3873">
        <w:rPr>
          <w:i/>
        </w:rPr>
        <w:t>Chapman</w:t>
      </w:r>
      <w:proofErr w:type="spellEnd"/>
      <w:r w:rsidR="000F3873">
        <w:t xml:space="preserve">, цитирано по-горе, в което е установено, че британските власти не са били безразлични към незаконните деяния на г-жа </w:t>
      </w:r>
      <w:proofErr w:type="spellStart"/>
      <w:r w:rsidR="00D16B05" w:rsidRPr="0059462F">
        <w:t>Chapman</w:t>
      </w:r>
      <w:proofErr w:type="spellEnd"/>
      <w:r w:rsidR="000F3873">
        <w:t xml:space="preserve">. </w:t>
      </w:r>
    </w:p>
    <w:p w:rsidR="000F3873" w:rsidRPr="0059462F" w:rsidRDefault="000F3873" w:rsidP="000F3873">
      <w:pPr>
        <w:pStyle w:val="JuPara"/>
      </w:pPr>
      <w:r>
        <w:t>За Съда остава да вземе под внимание другите аргументи на Правителството</w:t>
      </w:r>
      <w:r w:rsidR="00D16B05">
        <w:t>, свързани</w:t>
      </w:r>
      <w:r>
        <w:t xml:space="preserve"> като цяло с: мащаба на проектите за възстановяване, изпълнявани от градския съвет на Истанбул по това време с цел облекчаване на проблемите, които площадката за събиране на отпадъци в </w:t>
      </w:r>
      <w:proofErr w:type="spellStart"/>
      <w:r>
        <w:t>Юмрание</w:t>
      </w:r>
      <w:proofErr w:type="spellEnd"/>
      <w:r>
        <w:t xml:space="preserve"> е причинила; инвестираните суми, за които се твърди, че са повлияли на начина, който националните власти са избрали за справяне със ситуацията на площадката; и на последно място хуманитарните съображения, за които по това време се твърди, че изключват всякакви мерки, включващи незабавното и пълно разрушаване на бедни</w:t>
      </w:r>
      <w:r w:rsidR="00D16B05">
        <w:t>те райони</w:t>
      </w:r>
      <w:r>
        <w:t>.</w:t>
      </w:r>
    </w:p>
    <w:p w:rsidR="00D8632D" w:rsidRDefault="008E7633" w:rsidP="000F3873">
      <w:pPr>
        <w:pStyle w:val="JuPara"/>
      </w:pPr>
      <w:fldSimple w:instr=" SEQ level0 \*arabic ">
        <w:r w:rsidR="00A94344">
          <w:rPr>
            <w:noProof/>
          </w:rPr>
          <w:t>107</w:t>
        </w:r>
      </w:fldSimple>
      <w:r w:rsidR="000F3873">
        <w:t xml:space="preserve">.  Съдът приема, че не е негова задача да заменя становищата на местните власти със свои собствени относно най-добрата политика, която трябва да се приеме </w:t>
      </w:r>
      <w:r w:rsidR="00634516">
        <w:t>за справяне със</w:t>
      </w:r>
      <w:r w:rsidR="000F3873">
        <w:t xml:space="preserve"> социалните, икономическите и градските проблеми в тази част на Истанбул. Следователно Съдът приема аргумента на Правителството, че в тази връзка не може да се налага невъзможна или непропорционална тежест върху властите, без да се представят съображения, по-конкретно относно оперативните избори, които те трябва да направят от гледна точка на приоритети и ресурси (вж</w:t>
      </w:r>
      <w:r w:rsidR="00634516">
        <w:t>.</w:t>
      </w:r>
      <w:r w:rsidR="000F3873">
        <w:t xml:space="preserve"> </w:t>
      </w:r>
      <w:proofErr w:type="spellStart"/>
      <w:r w:rsidR="000F3873">
        <w:rPr>
          <w:i/>
        </w:rPr>
        <w:t>Osman</w:t>
      </w:r>
      <w:proofErr w:type="spellEnd"/>
      <w:r w:rsidR="000F3873">
        <w:t>, цитирано по-горе, стр</w:t>
      </w:r>
      <w:r w:rsidR="00634516">
        <w:t>.</w:t>
      </w:r>
      <w:r w:rsidR="000F3873">
        <w:t xml:space="preserve"> 3159-60, § 116); това </w:t>
      </w:r>
      <w:r w:rsidR="00634516">
        <w:t>е следствие от</w:t>
      </w:r>
      <w:r w:rsidR="000F3873">
        <w:t xml:space="preserve"> широката свобода на преценка от страна на държав</w:t>
      </w:r>
      <w:r w:rsidR="0083580D">
        <w:t>ите</w:t>
      </w:r>
      <w:r w:rsidR="000F3873">
        <w:t xml:space="preserve">, както </w:t>
      </w:r>
      <w:r w:rsidR="0083580D">
        <w:t xml:space="preserve">и </w:t>
      </w:r>
      <w:r w:rsidR="000F3873">
        <w:t xml:space="preserve">преди </w:t>
      </w:r>
      <w:r w:rsidR="0083580D">
        <w:t>е заявявал</w:t>
      </w:r>
      <w:r w:rsidR="000F3873">
        <w:t xml:space="preserve"> Съда, в трудни социални и технически области като тази в конкретния случай (вж</w:t>
      </w:r>
      <w:r w:rsidR="0083580D">
        <w:t>.</w:t>
      </w:r>
      <w:r w:rsidR="000F3873">
        <w:t xml:space="preserve"> </w:t>
      </w:r>
      <w:proofErr w:type="spellStart"/>
      <w:r w:rsidR="000F3873">
        <w:rPr>
          <w:i/>
        </w:rPr>
        <w:t>Hatton</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83580D">
        <w:rPr>
          <w:i/>
        </w:rPr>
        <w:t>срещу Великобритания</w:t>
      </w:r>
      <w:r w:rsidR="000F3873">
        <w:t xml:space="preserve"> [</w:t>
      </w:r>
      <w:r w:rsidR="0083580D">
        <w:t>ГО</w:t>
      </w:r>
      <w:r w:rsidR="000F3873">
        <w:t>], № 36022/97, §§ 100-01, ЕСПЧ 2003-VIII).</w:t>
      </w:r>
    </w:p>
    <w:p w:rsidR="000F3873" w:rsidRPr="0059462F" w:rsidRDefault="000F3873" w:rsidP="000F3873">
      <w:pPr>
        <w:pStyle w:val="JuPara"/>
      </w:pPr>
      <w:r>
        <w:t xml:space="preserve">Въпреки това, дори погледнато от тази </w:t>
      </w:r>
      <w:r w:rsidR="0083580D">
        <w:t>гледна точка</w:t>
      </w:r>
      <w:r>
        <w:t xml:space="preserve">, Съдът не намира аргументите на Правителството за убедителни. Превантивните мерки, </w:t>
      </w:r>
      <w:r>
        <w:lastRenderedPageBreak/>
        <w:t>които трябва да бъдат предприети съгласно въпросното позитивно задължение</w:t>
      </w:r>
      <w:r w:rsidR="0083580D">
        <w:t>,</w:t>
      </w:r>
      <w:r>
        <w:t xml:space="preserve"> попада</w:t>
      </w:r>
      <w:r w:rsidR="0083580D">
        <w:t>т</w:t>
      </w:r>
      <w:r>
        <w:t xml:space="preserve"> точно в рамките на правомощията, </w:t>
      </w:r>
      <w:r w:rsidR="0083580D">
        <w:t xml:space="preserve">дадени </w:t>
      </w:r>
      <w:r>
        <w:t>на властите</w:t>
      </w:r>
      <w:r w:rsidR="0083580D">
        <w:t>,</w:t>
      </w:r>
      <w:r>
        <w:t xml:space="preserve"> и може основателно да се разглеждат като подходящи средства за предотвратяване на риска, който е доведен до вниманието им. Съдът счита, че своевременното инсталиране на система за отвеждане на газа в сметището на </w:t>
      </w:r>
      <w:proofErr w:type="spellStart"/>
      <w:r>
        <w:t>Юмрание</w:t>
      </w:r>
      <w:proofErr w:type="spellEnd"/>
      <w:r>
        <w:t xml:space="preserve"> преди ситуацията да </w:t>
      </w:r>
      <w:r w:rsidR="0083580D">
        <w:t>стане</w:t>
      </w:r>
      <w:r>
        <w:t xml:space="preserve"> фатална </w:t>
      </w:r>
      <w:r w:rsidR="0083580D">
        <w:t xml:space="preserve">е </w:t>
      </w:r>
      <w:r>
        <w:t>мо</w:t>
      </w:r>
      <w:r w:rsidR="00F14C3D">
        <w:t>же</w:t>
      </w:r>
      <w:r>
        <w:t>ло да бъде ефективна мярка без отклоняване на ресурси на държавата в изключително големи размери в нарушение на чл</w:t>
      </w:r>
      <w:r w:rsidR="00F14C3D">
        <w:t>.</w:t>
      </w:r>
      <w:r>
        <w:t xml:space="preserve"> 65 от Конституцията на Турция (вж</w:t>
      </w:r>
      <w:r w:rsidR="00F14C3D">
        <w:t>.</w:t>
      </w:r>
      <w:r>
        <w:t xml:space="preserve"> параграф 52 по-горе) или поражда</w:t>
      </w:r>
      <w:r w:rsidR="00F14C3D">
        <w:t>не на</w:t>
      </w:r>
      <w:r>
        <w:t xml:space="preserve"> политически проблеми до степента, за която твърди Правителството. Подобна мярка не само </w:t>
      </w:r>
      <w:r w:rsidR="00F14C3D">
        <w:t>е щяла да</w:t>
      </w:r>
      <w:r>
        <w:t xml:space="preserve"> спази </w:t>
      </w:r>
      <w:r w:rsidR="00F14C3D">
        <w:t>нормативните разпоредби в</w:t>
      </w:r>
      <w:r>
        <w:t xml:space="preserve"> Турция и общата практика в тази сфера, но също така </w:t>
      </w:r>
      <w:r w:rsidR="00F14C3D">
        <w:t>е щяла да отрази много по-добре</w:t>
      </w:r>
      <w:r>
        <w:t xml:space="preserve"> хуманитарните съображения, на които се позова Правителството пред Съда.</w:t>
      </w:r>
    </w:p>
    <w:p w:rsidR="00D8632D" w:rsidRDefault="008E7633" w:rsidP="000F3873">
      <w:pPr>
        <w:pStyle w:val="JuPara"/>
      </w:pPr>
      <w:fldSimple w:instr=" SEQ level0 \*arabic ">
        <w:r w:rsidR="00A94344">
          <w:rPr>
            <w:noProof/>
          </w:rPr>
          <w:t>108</w:t>
        </w:r>
      </w:fldSimple>
      <w:r w:rsidR="000F3873">
        <w:t>.  След това Съдът ще оцени тежестта, която да бъде придадена на проблема във връзка с публичното право на информация (вж</w:t>
      </w:r>
      <w:r w:rsidR="00820AAC">
        <w:t>.</w:t>
      </w:r>
      <w:r w:rsidR="000F3873">
        <w:t xml:space="preserve"> параграф 90 по-горе). </w:t>
      </w:r>
      <w:r w:rsidR="00820AAC">
        <w:t>В тази връзка с</w:t>
      </w:r>
      <w:r w:rsidR="000F3873">
        <w:t xml:space="preserve">ъдът отбелязва, че Правителството не е демонстрирало мерки, които са предприети в конкретния случай за предоставяне на информация на обитателите на </w:t>
      </w:r>
      <w:r w:rsidR="005A14CB">
        <w:t xml:space="preserve">бедните </w:t>
      </w:r>
      <w:r w:rsidR="000F3873">
        <w:t xml:space="preserve">квартали в </w:t>
      </w:r>
      <w:proofErr w:type="spellStart"/>
      <w:r w:rsidR="000F3873">
        <w:t>Юмрание</w:t>
      </w:r>
      <w:proofErr w:type="spellEnd"/>
      <w:r w:rsidR="000F3873">
        <w:t>, която</w:t>
      </w:r>
      <w:r w:rsidR="005A14CB">
        <w:t xml:space="preserve"> да</w:t>
      </w:r>
      <w:r w:rsidR="000F3873">
        <w:t xml:space="preserve"> им позвол</w:t>
      </w:r>
      <w:r w:rsidR="005A14CB">
        <w:t>и</w:t>
      </w:r>
      <w:r w:rsidR="000F3873">
        <w:t xml:space="preserve"> да преценят рисковете, които биха могли да възникнат в резултат на направения от тях избор. Във всички случаи Съдът счита, че при липсата на по-практични мерки за избягване на рисковете за живота на обитателите на</w:t>
      </w:r>
      <w:r w:rsidR="005A14CB">
        <w:t xml:space="preserve"> бедните</w:t>
      </w:r>
      <w:r w:rsidR="000F3873">
        <w:t xml:space="preserve"> квартали в </w:t>
      </w:r>
      <w:proofErr w:type="spellStart"/>
      <w:r w:rsidR="000F3873">
        <w:t>Юмрание</w:t>
      </w:r>
      <w:proofErr w:type="spellEnd"/>
      <w:r w:rsidR="000F3873">
        <w:t xml:space="preserve">, дори зачитане на правото на информация не би било достатъчно да освободи държавата от отговорностите </w:t>
      </w:r>
      <w:r w:rsidR="005A14CB">
        <w:t>ѝ</w:t>
      </w:r>
      <w:r w:rsidR="000F3873">
        <w:t>.</w:t>
      </w:r>
    </w:p>
    <w:p w:rsidR="000F3873" w:rsidRPr="0059462F" w:rsidRDefault="008E7633" w:rsidP="000F3873">
      <w:pPr>
        <w:pStyle w:val="JuPara"/>
      </w:pPr>
      <w:fldSimple w:instr=" SEQ level0 \*arabic ">
        <w:r w:rsidR="00A94344">
          <w:rPr>
            <w:noProof/>
          </w:rPr>
          <w:t>109</w:t>
        </w:r>
      </w:fldSimple>
      <w:r w:rsidR="000F3873">
        <w:t>.   Предвид изложеното по-горе, Съдът не намира причина да се поставят под съмнение констатациите на вътрешните следствени органи (вж</w:t>
      </w:r>
      <w:r w:rsidR="005A14CB">
        <w:t>.</w:t>
      </w:r>
      <w:r w:rsidR="000F3873">
        <w:t xml:space="preserve"> параграфи 23, 28 и 78 по-горе; вж</w:t>
      </w:r>
      <w:r w:rsidR="005A14CB">
        <w:t>.</w:t>
      </w:r>
      <w:r w:rsidR="000F3873">
        <w:t xml:space="preserve"> също например, </w:t>
      </w:r>
      <w:proofErr w:type="spellStart"/>
      <w:r w:rsidR="000F3873">
        <w:rPr>
          <w:i/>
        </w:rPr>
        <w:t>Klaas</w:t>
      </w:r>
      <w:proofErr w:type="spellEnd"/>
      <w:r w:rsidR="000F3873">
        <w:rPr>
          <w:i/>
        </w:rPr>
        <w:t xml:space="preserve"> </w:t>
      </w:r>
      <w:r w:rsidR="005A14CB">
        <w:rPr>
          <w:i/>
        </w:rPr>
        <w:t>срещу Германия</w:t>
      </w:r>
      <w:r w:rsidR="000F3873">
        <w:t xml:space="preserve">, решение от 22 септември 1993 г., серия А, № 269, стр. 17, §§ 29-30) и счита, че обстоятелствата, разгледани по-горе, показват, че в конкретния случай отговорността на държавата </w:t>
      </w:r>
      <w:r w:rsidR="005A14CB">
        <w:t xml:space="preserve">по чл. 2 </w:t>
      </w:r>
      <w:r w:rsidR="000F3873">
        <w:t>възниква в няколко аспекта.</w:t>
      </w:r>
    </w:p>
    <w:p w:rsidR="00D8632D" w:rsidRDefault="000F3873" w:rsidP="000F3873">
      <w:pPr>
        <w:pStyle w:val="JuPara"/>
        <w:rPr>
          <w:highlight w:val="yellow"/>
        </w:rPr>
      </w:pPr>
      <w:r>
        <w:t xml:space="preserve">На първо място нормативната база доказва своята неефективност, когато площадката за събиране на битови отпадъци в </w:t>
      </w:r>
      <w:proofErr w:type="spellStart"/>
      <w:r>
        <w:t>Юмрание</w:t>
      </w:r>
      <w:proofErr w:type="spellEnd"/>
      <w:r>
        <w:t xml:space="preserve"> е отворена и функционира, въпреки че не отговаря на съответните технически стандарти и липс</w:t>
      </w:r>
      <w:r w:rsidR="00167C10">
        <w:t>в</w:t>
      </w:r>
      <w:r>
        <w:t xml:space="preserve">а </w:t>
      </w:r>
      <w:r w:rsidR="00167C10">
        <w:t xml:space="preserve">последователна </w:t>
      </w:r>
      <w:r>
        <w:t>система за наблюдение</w:t>
      </w:r>
      <w:r w:rsidR="00167C10">
        <w:t>,</w:t>
      </w:r>
      <w:r>
        <w:t xml:space="preserve"> </w:t>
      </w:r>
      <w:r w:rsidR="00167C10">
        <w:t>която да</w:t>
      </w:r>
      <w:r>
        <w:t xml:space="preserve"> насърч</w:t>
      </w:r>
      <w:r w:rsidR="00167C10">
        <w:t>и</w:t>
      </w:r>
      <w:r>
        <w:t xml:space="preserve"> отговорните да вземат мерки за осигуряване на адекватна защита на населението и координация и сътрудничество между различните административни органи, така че рисковете, доведени до вниманието им, </w:t>
      </w:r>
      <w:r w:rsidR="00167C10">
        <w:t>да не станат</w:t>
      </w:r>
      <w:r>
        <w:t xml:space="preserve"> сериозни до степен да застрашат живота на хората.</w:t>
      </w:r>
    </w:p>
    <w:p w:rsidR="000F3873" w:rsidRPr="0059462F" w:rsidRDefault="000F3873" w:rsidP="000F3873">
      <w:pPr>
        <w:pStyle w:val="JuPara"/>
      </w:pPr>
      <w:r>
        <w:t>Тази ситуация, изострен</w:t>
      </w:r>
      <w:r w:rsidR="00167C10">
        <w:t>а</w:t>
      </w:r>
      <w:r>
        <w:t xml:space="preserve"> от една обща политика, която се оказва безсилна </w:t>
      </w:r>
      <w:r w:rsidR="00167C10">
        <w:t>да се</w:t>
      </w:r>
      <w:r>
        <w:t xml:space="preserve"> справ</w:t>
      </w:r>
      <w:r w:rsidR="00167C10">
        <w:t>и</w:t>
      </w:r>
      <w:r>
        <w:t xml:space="preserve"> с общи</w:t>
      </w:r>
      <w:r w:rsidR="00294B8A">
        <w:t>те</w:t>
      </w:r>
      <w:r>
        <w:t xml:space="preserve"> градоустройствени проблемите и поражда несигурност по отношение на прилагането на законовите </w:t>
      </w:r>
      <w:r>
        <w:lastRenderedPageBreak/>
        <w:t xml:space="preserve">мерки, несъмнено е била част от </w:t>
      </w:r>
      <w:r w:rsidR="00294B8A">
        <w:t xml:space="preserve">логиката </w:t>
      </w:r>
      <w:r>
        <w:t xml:space="preserve">на събитията, довели до трагичния инцидент на 28 април 1993 г., който в крайна сметка отнема живота на обитатели на беден квартал на </w:t>
      </w:r>
      <w:proofErr w:type="spellStart"/>
      <w:r>
        <w:t>Юмрание</w:t>
      </w:r>
      <w:proofErr w:type="spellEnd"/>
      <w:r>
        <w:t>, тъй като държавните служители и власти не са направили нищо в рамките на правомощията си</w:t>
      </w:r>
      <w:r w:rsidR="00294B8A">
        <w:t>,</w:t>
      </w:r>
      <w:r>
        <w:t xml:space="preserve"> за да ги защитят от непосредствените и известни рискове, на които са били изложени.</w:t>
      </w:r>
    </w:p>
    <w:p w:rsidR="00D8632D" w:rsidRDefault="000F3873" w:rsidP="000F3873">
      <w:pPr>
        <w:pStyle w:val="JuPara"/>
        <w:rPr>
          <w:color w:val="FF0000"/>
        </w:rPr>
      </w:pPr>
      <w:r w:rsidRPr="0059462F">
        <w:fldChar w:fldCharType="begin"/>
      </w:r>
      <w:r w:rsidRPr="00562D95">
        <w:instrText xml:space="preserve"> SEQ level0 \*arabic </w:instrText>
      </w:r>
      <w:r w:rsidRPr="0059462F">
        <w:fldChar w:fldCharType="separate"/>
      </w:r>
      <w:r w:rsidR="00A94344">
        <w:rPr>
          <w:noProof/>
        </w:rPr>
        <w:t>110</w:t>
      </w:r>
      <w:r w:rsidRPr="0059462F">
        <w:fldChar w:fldCharType="end"/>
      </w:r>
      <w:r>
        <w:t>.  Подобни обстоятелства са основание за нарушение на чл</w:t>
      </w:r>
      <w:r w:rsidR="00294B8A">
        <w:t>.</w:t>
      </w:r>
      <w:r>
        <w:t xml:space="preserve"> 2 </w:t>
      </w:r>
      <w:r w:rsidR="00294B8A">
        <w:t>от</w:t>
      </w:r>
      <w:r>
        <w:t xml:space="preserve"> Конвенцията в съществения му аспект; твърдението на Правителството във връзка с благоприятния резултат от административните действия, предприети в конкретния случай (вж</w:t>
      </w:r>
      <w:r w:rsidR="00294B8A">
        <w:t>.</w:t>
      </w:r>
      <w:r>
        <w:t xml:space="preserve"> параграф 84 по-горе)</w:t>
      </w:r>
      <w:r w:rsidR="00294B8A">
        <w:t>,</w:t>
      </w:r>
      <w:r>
        <w:t xml:space="preserve"> не е от значение в този случай поради причините, изложени в параграфи 151 и 152 по-долу.</w:t>
      </w:r>
    </w:p>
    <w:p w:rsidR="000F3873" w:rsidRPr="0059462F" w:rsidRDefault="000F3873" w:rsidP="006725B0">
      <w:pPr>
        <w:pStyle w:val="JuHi"/>
        <w:widowControl w:val="0"/>
      </w:pPr>
      <w:r>
        <w:t>(ii)  Отговорност на държавата във връзка с отговора на съдебните органи, изискан по отношение на смъртните случаи</w:t>
      </w:r>
      <w:r w:rsidR="00AD3BEF">
        <w:t>,</w:t>
      </w:r>
      <w:r>
        <w:t xml:space="preserve"> от гледна точка на процесуалния аспект на чл</w:t>
      </w:r>
      <w:r w:rsidR="00AD3BEF">
        <w:t>.</w:t>
      </w:r>
      <w:r>
        <w:t xml:space="preserve"> 2 </w:t>
      </w:r>
      <w:r w:rsidR="00AD3BEF">
        <w:t>от</w:t>
      </w:r>
      <w:r>
        <w:t xml:space="preserve"> Конвенцията</w:t>
      </w:r>
    </w:p>
    <w:p w:rsidR="00D8632D" w:rsidRDefault="000F3873" w:rsidP="000F3873">
      <w:pPr>
        <w:pStyle w:val="JuPara"/>
        <w:rPr>
          <w:i/>
        </w:rPr>
      </w:pPr>
      <w:r w:rsidRPr="002E7181">
        <w:fldChar w:fldCharType="begin"/>
      </w:r>
      <w:r w:rsidRPr="00562D95">
        <w:instrText xml:space="preserve"> SEQ level0 \*arabic </w:instrText>
      </w:r>
      <w:r w:rsidRPr="002E7181">
        <w:fldChar w:fldCharType="separate"/>
      </w:r>
      <w:r w:rsidR="00A94344">
        <w:rPr>
          <w:noProof/>
        </w:rPr>
        <w:t>111</w:t>
      </w:r>
      <w:r w:rsidRPr="002E7181">
        <w:fldChar w:fldCharType="end"/>
      </w:r>
      <w:r>
        <w:t xml:space="preserve">.   Съдът счита, че противно на това, което предлага Правителството, </w:t>
      </w:r>
      <w:r w:rsidR="00AD3BEF">
        <w:t>също</w:t>
      </w:r>
      <w:r>
        <w:t xml:space="preserve"> не е необходимо да се разглеждат административните средства</w:t>
      </w:r>
      <w:r w:rsidR="00AD3BEF">
        <w:t xml:space="preserve"> за защита</w:t>
      </w:r>
      <w:r>
        <w:t xml:space="preserve">, използвани за </w:t>
      </w:r>
      <w:r w:rsidR="00AD3BEF">
        <w:t xml:space="preserve">претендиране </w:t>
      </w:r>
      <w:r>
        <w:t>на обезщетения (вж</w:t>
      </w:r>
      <w:r w:rsidR="00AD3BEF">
        <w:t>.</w:t>
      </w:r>
      <w:r>
        <w:t xml:space="preserve"> параграфи 37, 39-40, 84 и 88 по-горе) при оценка на отговора на съдебните органи, изискан по конкретното дело, тъй като подобни средства, без значение </w:t>
      </w:r>
      <w:r w:rsidR="00AD3BEF">
        <w:t xml:space="preserve">от </w:t>
      </w:r>
      <w:r>
        <w:t>резултата, не могат да бъдат взети под внимание за целите на чл</w:t>
      </w:r>
      <w:r w:rsidR="00AD3BEF">
        <w:t>.</w:t>
      </w:r>
      <w:r>
        <w:t xml:space="preserve"> 2 в процесуалния му аспект (вж</w:t>
      </w:r>
      <w:r w:rsidR="00AD3BEF">
        <w:t>.</w:t>
      </w:r>
      <w:r>
        <w:t xml:space="preserve"> параграфи 91-96 по-горе).</w:t>
      </w:r>
    </w:p>
    <w:p w:rsidR="000F3873" w:rsidRPr="0059462F" w:rsidRDefault="008E7633" w:rsidP="000F3873">
      <w:pPr>
        <w:pStyle w:val="JuPara"/>
      </w:pPr>
      <w:fldSimple w:instr=" SEQ level0 \*arabic ">
        <w:r w:rsidR="00A94344">
          <w:rPr>
            <w:noProof/>
          </w:rPr>
          <w:t>112</w:t>
        </w:r>
      </w:fldSimple>
      <w:r w:rsidR="000F3873">
        <w:t>.  Съдът отбелязва още в началото</w:t>
      </w:r>
      <w:r w:rsidR="00AD3BEF">
        <w:t>, че</w:t>
      </w:r>
      <w:r w:rsidR="000F3873">
        <w:t xml:space="preserve"> </w:t>
      </w:r>
      <w:proofErr w:type="spellStart"/>
      <w:r w:rsidR="000F3873">
        <w:t>наказателноправните</w:t>
      </w:r>
      <w:proofErr w:type="spellEnd"/>
      <w:r w:rsidR="000F3873">
        <w:t xml:space="preserve"> процедури в Турция са част от система, която на теория се оказва достатъчна за отстояване на правото на живот във връзка с опасни дейности: в тази връзка, чл</w:t>
      </w:r>
      <w:r w:rsidR="00205555">
        <w:t>.</w:t>
      </w:r>
      <w:r w:rsidR="000F3873">
        <w:t xml:space="preserve"> 230 и чл</w:t>
      </w:r>
      <w:r w:rsidR="00205555">
        <w:t>.</w:t>
      </w:r>
      <w:r w:rsidR="000F3873">
        <w:t xml:space="preserve"> 455 §§ 1 и 2 от турския Наказателен кодекс се отнасят до небрежност, проявена от страна на държавни служители или власти (вж</w:t>
      </w:r>
      <w:r w:rsidR="00205555">
        <w:t>.</w:t>
      </w:r>
      <w:r w:rsidR="000F3873">
        <w:t xml:space="preserve"> параграф 44 по-горе).</w:t>
      </w:r>
    </w:p>
    <w:p w:rsidR="000F3873" w:rsidRPr="0059462F" w:rsidRDefault="000F3873" w:rsidP="000F3873">
      <w:pPr>
        <w:pStyle w:val="JuPara"/>
      </w:pPr>
      <w:r>
        <w:t xml:space="preserve">Остава да се определи дали мерките, предприети в рамките на </w:t>
      </w:r>
      <w:proofErr w:type="spellStart"/>
      <w:r>
        <w:t>наказателноправната</w:t>
      </w:r>
      <w:proofErr w:type="spellEnd"/>
      <w:r>
        <w:t xml:space="preserve"> система на Турция след инцидента в общинското сметище на </w:t>
      </w:r>
      <w:proofErr w:type="spellStart"/>
      <w:r>
        <w:t>Юмрание</w:t>
      </w:r>
      <w:proofErr w:type="spellEnd"/>
      <w:r w:rsidR="00205555">
        <w:t>,</w:t>
      </w:r>
      <w:r>
        <w:t xml:space="preserve"> са били на практика задоволителни във връзка с изискванията на Конвенцията в този аспект (вж</w:t>
      </w:r>
      <w:r w:rsidR="00205555">
        <w:t>.</w:t>
      </w:r>
      <w:r>
        <w:t xml:space="preserve"> параграфи 91-96 по-горе).</w:t>
      </w:r>
    </w:p>
    <w:p w:rsidR="00D8632D" w:rsidRDefault="000F3873" w:rsidP="000F3873">
      <w:pPr>
        <w:pStyle w:val="JuPara"/>
        <w:rPr>
          <w:color w:val="000000"/>
        </w:rPr>
      </w:pPr>
      <w:r w:rsidRPr="0059462F">
        <w:rPr>
          <w:color w:val="000000"/>
        </w:rPr>
        <w:fldChar w:fldCharType="begin"/>
      </w:r>
      <w:r w:rsidRPr="0059462F">
        <w:rPr>
          <w:color w:val="000000"/>
        </w:rPr>
        <w:instrText xml:space="preserve"> SEQ level0 \*arabic </w:instrText>
      </w:r>
      <w:r w:rsidRPr="0059462F">
        <w:rPr>
          <w:color w:val="000000"/>
        </w:rPr>
        <w:fldChar w:fldCharType="separate"/>
      </w:r>
      <w:r w:rsidR="00A94344">
        <w:rPr>
          <w:noProof/>
          <w:color w:val="000000"/>
        </w:rPr>
        <w:t>113</w:t>
      </w:r>
      <w:r w:rsidRPr="0059462F">
        <w:rPr>
          <w:color w:val="000000"/>
        </w:rPr>
        <w:fldChar w:fldCharType="end"/>
      </w:r>
      <w:r>
        <w:t>.</w:t>
      </w:r>
      <w:r>
        <w:rPr>
          <w:color w:val="000000"/>
        </w:rPr>
        <w:t>  </w:t>
      </w:r>
      <w:r>
        <w:t>В тази връзка Съдът отбелязва, че веднага след инцидента на 28 април 1993 г. около 11 ч. преди обяд полицията е пристигнала на мястото и е разпитала семействата на пострадалите.</w:t>
      </w:r>
      <w:r>
        <w:rPr>
          <w:color w:val="000000"/>
        </w:rPr>
        <w:t xml:space="preserve"> </w:t>
      </w:r>
      <w:r>
        <w:t xml:space="preserve">Освен това </w:t>
      </w:r>
      <w:r w:rsidR="00205555">
        <w:t>областната управа</w:t>
      </w:r>
      <w:r>
        <w:t xml:space="preserve"> на Истанбул създава кризисен щаб, чиито членове посещават площадката в същия ден.</w:t>
      </w:r>
      <w:r>
        <w:rPr>
          <w:color w:val="000000"/>
        </w:rPr>
        <w:t xml:space="preserve"> </w:t>
      </w:r>
      <w:r>
        <w:t>На следващия ден, 29 април 1993 г.</w:t>
      </w:r>
      <w:r w:rsidR="0059365C">
        <w:t>,</w:t>
      </w:r>
      <w:r>
        <w:t xml:space="preserve"> Министерството на вътрешните работи по своя преценка нарежда започването на административно</w:t>
      </w:r>
      <w:r w:rsidR="0059365C">
        <w:t>-</w:t>
      </w:r>
      <w:r>
        <w:t>следствени действия за определяне на степента на отговорност за инцидента от страна на властите.</w:t>
      </w:r>
      <w:r>
        <w:rPr>
          <w:color w:val="000000"/>
        </w:rPr>
        <w:t xml:space="preserve"> </w:t>
      </w:r>
      <w:r>
        <w:t xml:space="preserve">На 30 април 1993 г. прокурорът на </w:t>
      </w:r>
      <w:proofErr w:type="spellStart"/>
      <w:r>
        <w:t>Юскудар</w:t>
      </w:r>
      <w:proofErr w:type="spellEnd"/>
      <w:r>
        <w:t xml:space="preserve"> започ</w:t>
      </w:r>
      <w:r w:rsidR="0059365C">
        <w:t>в</w:t>
      </w:r>
      <w:r>
        <w:t>а наказателно</w:t>
      </w:r>
      <w:r w:rsidR="0086438F">
        <w:t>-</w:t>
      </w:r>
      <w:r>
        <w:t xml:space="preserve">следствени </w:t>
      </w:r>
      <w:r>
        <w:lastRenderedPageBreak/>
        <w:t>действия.</w:t>
      </w:r>
      <w:r>
        <w:rPr>
          <w:color w:val="000000"/>
        </w:rPr>
        <w:t xml:space="preserve"> </w:t>
      </w:r>
      <w:r>
        <w:t>Накрая, официалното следствие приключ</w:t>
      </w:r>
      <w:r w:rsidR="0086438F">
        <w:t>ва</w:t>
      </w:r>
      <w:r>
        <w:t xml:space="preserve"> на 15 юли 1993 г., когато двамата кметове, г-н </w:t>
      </w:r>
      <w:proofErr w:type="spellStart"/>
      <w:r w:rsidR="0086438F" w:rsidRPr="0059462F">
        <w:t>Sözen</w:t>
      </w:r>
      <w:proofErr w:type="spellEnd"/>
      <w:r>
        <w:t xml:space="preserve"> и г-т </w:t>
      </w:r>
      <w:proofErr w:type="spellStart"/>
      <w:r w:rsidR="0086438F" w:rsidRPr="0059462F">
        <w:t>Öktem</w:t>
      </w:r>
      <w:proofErr w:type="spellEnd"/>
      <w:r>
        <w:t xml:space="preserve">, са </w:t>
      </w:r>
      <w:r w:rsidR="0086438F" w:rsidRPr="00833B88">
        <w:t xml:space="preserve">предадени на </w:t>
      </w:r>
      <w:r>
        <w:t>наказателния съд.</w:t>
      </w:r>
    </w:p>
    <w:p w:rsidR="00D8632D" w:rsidRDefault="000F3873" w:rsidP="000F3873">
      <w:pPr>
        <w:pStyle w:val="JuPara"/>
      </w:pPr>
      <w:r>
        <w:t>В съответствие с това може да се счита, че разследващите органи са действали с изключителна бързина (вж</w:t>
      </w:r>
      <w:r w:rsidR="000B1C6C">
        <w:t>.</w:t>
      </w:r>
      <w:r>
        <w:t xml:space="preserve"> </w:t>
      </w:r>
      <w:proofErr w:type="spellStart"/>
      <w:r>
        <w:rPr>
          <w:i/>
        </w:rPr>
        <w:t>Yaşa</w:t>
      </w:r>
      <w:proofErr w:type="spellEnd"/>
      <w:r>
        <w:t>, цитирано по-горе, стр</w:t>
      </w:r>
      <w:r w:rsidR="000B1C6C">
        <w:t>.</w:t>
      </w:r>
      <w:r>
        <w:t xml:space="preserve"> 2439-40, §§ 102-04; </w:t>
      </w:r>
      <w:proofErr w:type="spellStart"/>
      <w:r>
        <w:rPr>
          <w:i/>
        </w:rPr>
        <w:t>Mahmut</w:t>
      </w:r>
      <w:proofErr w:type="spellEnd"/>
      <w:r>
        <w:rPr>
          <w:i/>
        </w:rPr>
        <w:t xml:space="preserve"> </w:t>
      </w:r>
      <w:proofErr w:type="spellStart"/>
      <w:r>
        <w:rPr>
          <w:i/>
        </w:rPr>
        <w:t>Kaya</w:t>
      </w:r>
      <w:proofErr w:type="spellEnd"/>
      <w:r>
        <w:t xml:space="preserve">, цитирано по-горе, §§ 106-07; и </w:t>
      </w:r>
      <w:proofErr w:type="spellStart"/>
      <w:r>
        <w:rPr>
          <w:i/>
        </w:rPr>
        <w:t>Tanrıkulu</w:t>
      </w:r>
      <w:proofErr w:type="spellEnd"/>
      <w:r>
        <w:rPr>
          <w:i/>
        </w:rPr>
        <w:t xml:space="preserve"> v. </w:t>
      </w:r>
      <w:proofErr w:type="spellStart"/>
      <w:r>
        <w:rPr>
          <w:i/>
        </w:rPr>
        <w:t>Turkey</w:t>
      </w:r>
      <w:proofErr w:type="spellEnd"/>
      <w:r>
        <w:t xml:space="preserve"> [</w:t>
      </w:r>
      <w:r w:rsidR="000B1C6C">
        <w:t>ГО</w:t>
      </w:r>
      <w:r>
        <w:t>], № 23763/94, § 109, ЕСПЧ 1999-IV) и са демонстрирали старание при установяване на обстоятелствата, довели до инцидента на 28 април 1993 г. и смъртните случаи в резултат на това.</w:t>
      </w:r>
      <w:r w:rsidR="00986875">
        <w:t xml:space="preserve"> </w:t>
      </w:r>
    </w:p>
    <w:p w:rsidR="000F3873" w:rsidRPr="0059462F" w:rsidRDefault="008E7633" w:rsidP="000F3873">
      <w:pPr>
        <w:pStyle w:val="JuPara"/>
      </w:pPr>
      <w:fldSimple w:instr=" SEQ level0 \*arabic ">
        <w:r w:rsidR="00A94344">
          <w:rPr>
            <w:noProof/>
          </w:rPr>
          <w:t>114</w:t>
        </w:r>
      </w:fldSimple>
      <w:r w:rsidR="000F3873">
        <w:t xml:space="preserve">.  Може да се направи заключение също така, че </w:t>
      </w:r>
      <w:r w:rsidR="00986875">
        <w:t xml:space="preserve">са идентифицирани </w:t>
      </w:r>
      <w:r w:rsidR="000F3873">
        <w:t>отговорните за въпросните събития. В заповед от 21 май 1993 г. въз основа на експертния доклад, чиято валидност не е била оспорена (вж</w:t>
      </w:r>
      <w:r w:rsidR="00986875">
        <w:t>.</w:t>
      </w:r>
      <w:r w:rsidR="000F3873">
        <w:t xml:space="preserve"> параграф 24 по-горе), прокурорът прави заключение, че градският съвет на Истанбул следва да носи отговорност поради това, че „не [е] действа[л] достатъчно рано за предотвратяване на техническите проблеми, които вече са били налице при създаването на сметището през 1970 г. и [са] продължили да се увеличават след това и за това, че не </w:t>
      </w:r>
      <w:r w:rsidR="00986875">
        <w:t>е</w:t>
      </w:r>
      <w:r w:rsidR="000F3873">
        <w:t xml:space="preserve"> посочил на въпросните окръжни съвети други площадки за събиране на отпадъци, което </w:t>
      </w:r>
      <w:r w:rsidR="00986875">
        <w:t>е</w:t>
      </w:r>
      <w:r w:rsidR="000F3873">
        <w:t xml:space="preserve"> длъж</w:t>
      </w:r>
      <w:r w:rsidR="00986875">
        <w:t>е</w:t>
      </w:r>
      <w:r w:rsidR="000F3873">
        <w:t>н да направ</w:t>
      </w:r>
      <w:r w:rsidR="00986875">
        <w:t>и</w:t>
      </w:r>
      <w:r w:rsidR="000F3873">
        <w:t xml:space="preserve"> </w:t>
      </w:r>
      <w:r w:rsidR="00986875">
        <w:t xml:space="preserve">съгласно </w:t>
      </w:r>
      <w:r w:rsidR="000F3873">
        <w:t xml:space="preserve">Закон № 3030“. По-нататък заповедта стига до заключението, че други държавни власти са допринесли да влошаване и удължаване във времето на положението: Окръжният съвет на </w:t>
      </w:r>
      <w:proofErr w:type="spellStart"/>
      <w:r w:rsidR="000F3873">
        <w:t>Юмрание</w:t>
      </w:r>
      <w:proofErr w:type="spellEnd"/>
      <w:r w:rsidR="000F3873">
        <w:t xml:space="preserve"> е изпълнил градоустройствен план, който не отговаря на приложимите нормативни документи и не е предотвратил изграждането на незаконни жилища в района; Министерството на околната среда не е спазило </w:t>
      </w:r>
      <w:r w:rsidR="00D20C41">
        <w:t xml:space="preserve">Наредбата </w:t>
      </w:r>
      <w:r w:rsidR="000F3873">
        <w:t xml:space="preserve">за контрол върху твърдите отпадъци; </w:t>
      </w:r>
      <w:r w:rsidR="00D20C41">
        <w:t xml:space="preserve">а тогавашното </w:t>
      </w:r>
      <w:r w:rsidR="000F3873">
        <w:t>Правителство е толерирало разрастването на подобен тип незаконни жилища чрез прокарване на закони за амнистия на обитателите им, на които са предоставени права на собственост.</w:t>
      </w:r>
    </w:p>
    <w:p w:rsidR="000F3873" w:rsidRPr="0059462F" w:rsidRDefault="000F3873" w:rsidP="000F3873">
      <w:pPr>
        <w:pStyle w:val="JuPara"/>
      </w:pPr>
      <w:r>
        <w:t xml:space="preserve">Следователно прокурорът стига до заключение, че членове 230 и 455 </w:t>
      </w:r>
      <w:r w:rsidR="00D20C41">
        <w:t xml:space="preserve">от </w:t>
      </w:r>
      <w:r>
        <w:t>Наказателния кодекс (вж</w:t>
      </w:r>
      <w:r w:rsidR="00D20C41">
        <w:t>.</w:t>
      </w:r>
      <w:r>
        <w:t xml:space="preserve"> параграф 44 по-горе) са приложими по отношение на съответните власти.</w:t>
      </w:r>
    </w:p>
    <w:p w:rsidR="000F3873" w:rsidRPr="0059462F" w:rsidRDefault="008E7633" w:rsidP="000F3873">
      <w:pPr>
        <w:pStyle w:val="JuPara"/>
      </w:pPr>
      <w:fldSimple w:instr=" SEQ level0 \*arabic ">
        <w:r w:rsidR="00A94344">
          <w:rPr>
            <w:noProof/>
          </w:rPr>
          <w:t>115</w:t>
        </w:r>
      </w:fldSimple>
      <w:r w:rsidR="000F3873">
        <w:t>.  Несъмнено административно</w:t>
      </w:r>
      <w:r w:rsidR="00DE5704">
        <w:t>-</w:t>
      </w:r>
      <w:r w:rsidR="000F3873">
        <w:t>следствените органи, упълномощени да образуват наказателно производство (вж</w:t>
      </w:r>
      <w:r w:rsidR="00DE5704">
        <w:t>.</w:t>
      </w:r>
      <w:r w:rsidR="000F3873">
        <w:t xml:space="preserve"> параграф 46 по-горе), само отчасти приемат твърденията на прокурора по причини, които не са известни на Съда и които Правителството никога не е правило опит да обясни.</w:t>
      </w:r>
    </w:p>
    <w:p w:rsidR="00D8632D" w:rsidRDefault="000F3873" w:rsidP="000F3873">
      <w:pPr>
        <w:pStyle w:val="JuPara"/>
      </w:pPr>
      <w:r>
        <w:t>Всъщност</w:t>
      </w:r>
      <w:r w:rsidR="00DE5704">
        <w:t xml:space="preserve"> тези</w:t>
      </w:r>
      <w:r>
        <w:t xml:space="preserve"> органи, чиято независимост вече е оспор</w:t>
      </w:r>
      <w:r w:rsidR="00DE5704">
        <w:t>ва</w:t>
      </w:r>
      <w:r>
        <w:t>на в редица дела пред Съда (вж</w:t>
      </w:r>
      <w:r w:rsidR="00DE5704">
        <w:t>.</w:t>
      </w:r>
      <w:r>
        <w:t xml:space="preserve"> </w:t>
      </w:r>
      <w:proofErr w:type="spellStart"/>
      <w:r>
        <w:rPr>
          <w:i/>
        </w:rPr>
        <w:t>Güleç</w:t>
      </w:r>
      <w:proofErr w:type="spellEnd"/>
      <w:r>
        <w:rPr>
          <w:i/>
        </w:rPr>
        <w:t xml:space="preserve"> </w:t>
      </w:r>
      <w:r w:rsidR="00DE5704">
        <w:rPr>
          <w:i/>
        </w:rPr>
        <w:t>срещу Турция</w:t>
      </w:r>
      <w:r>
        <w:t xml:space="preserve">, решение от 27 юли 1998 г., </w:t>
      </w:r>
      <w:r>
        <w:rPr>
          <w:i/>
        </w:rPr>
        <w:t>Доклади</w:t>
      </w:r>
      <w:r>
        <w:t xml:space="preserve"> 1998-IV, стр</w:t>
      </w:r>
      <w:r w:rsidR="00DE5704">
        <w:t>.</w:t>
      </w:r>
      <w:r>
        <w:t xml:space="preserve"> 1732-33, §§ 79-81, и </w:t>
      </w:r>
      <w:proofErr w:type="spellStart"/>
      <w:r>
        <w:rPr>
          <w:i/>
        </w:rPr>
        <w:t>Oğur</w:t>
      </w:r>
      <w:proofErr w:type="spellEnd"/>
      <w:r>
        <w:rPr>
          <w:i/>
        </w:rPr>
        <w:t xml:space="preserve"> </w:t>
      </w:r>
      <w:r w:rsidR="00DE5704">
        <w:rPr>
          <w:i/>
        </w:rPr>
        <w:t>срещу Турция</w:t>
      </w:r>
      <w:r>
        <w:t xml:space="preserve"> [</w:t>
      </w:r>
      <w:r w:rsidR="00DE5704">
        <w:t>ГО</w:t>
      </w:r>
      <w:r>
        <w:t>], № 21954/93, §§ 91-92, ЕСПЧ 1999-III), в крайна сметка свал</w:t>
      </w:r>
      <w:r w:rsidR="005A6263">
        <w:t>ят</w:t>
      </w:r>
      <w:r>
        <w:t xml:space="preserve"> обвиненията срещу Министерството на околната среда и </w:t>
      </w:r>
      <w:r w:rsidR="005A6263">
        <w:t xml:space="preserve">държавните </w:t>
      </w:r>
      <w:r>
        <w:t>органи (вж</w:t>
      </w:r>
      <w:r w:rsidR="00DE5704">
        <w:t>.</w:t>
      </w:r>
      <w:r>
        <w:t xml:space="preserve"> параграфи 29 и 31 по-горе) и </w:t>
      </w:r>
      <w:r w:rsidR="005A6263">
        <w:t>искат ограничаване</w:t>
      </w:r>
      <w:r>
        <w:t xml:space="preserve"> на обвинението до </w:t>
      </w:r>
      <w:r>
        <w:lastRenderedPageBreak/>
        <w:t xml:space="preserve">„небрежност“, </w:t>
      </w:r>
      <w:r w:rsidR="007C3731">
        <w:t>което прави невъзможно</w:t>
      </w:r>
      <w:r>
        <w:t xml:space="preserve"> разглеждането на </w:t>
      </w:r>
      <w:proofErr w:type="spellStart"/>
      <w:r>
        <w:t>животозастрашаващия</w:t>
      </w:r>
      <w:proofErr w:type="spellEnd"/>
      <w:r>
        <w:t xml:space="preserve"> аспект на случая.</w:t>
      </w:r>
    </w:p>
    <w:p w:rsidR="000F3873" w:rsidRPr="0059462F" w:rsidRDefault="000F3873" w:rsidP="000F3873">
      <w:pPr>
        <w:pStyle w:val="JuPara"/>
      </w:pPr>
      <w:r>
        <w:t xml:space="preserve">Въпреки това няма нужда да се засягат тези недостатъци, тъй като е видно, че все пак е образувано </w:t>
      </w:r>
      <w:r w:rsidR="007C3731">
        <w:t xml:space="preserve">наказателно производство </w:t>
      </w:r>
      <w:r>
        <w:t>в Пето отделение на Наказателния съд на Истанбул и че след като делото е отнесено към него, този съд разполага с пълната юрисдикция да проучи фактите</w:t>
      </w:r>
      <w:r w:rsidR="007C3731">
        <w:t>,</w:t>
      </w:r>
      <w:r>
        <w:t xml:space="preserve"> както сметне за уместно и, когато е възможно, да </w:t>
      </w:r>
      <w:r w:rsidR="007C3731">
        <w:t xml:space="preserve">разпореди </w:t>
      </w:r>
      <w:r>
        <w:t>допълнителни следствени действия; още повече</w:t>
      </w:r>
      <w:r w:rsidR="007C3731">
        <w:t xml:space="preserve"> че</w:t>
      </w:r>
      <w:r>
        <w:t xml:space="preserve"> решението му  подлеж</w:t>
      </w:r>
      <w:r w:rsidR="007C3731">
        <w:t>и</w:t>
      </w:r>
      <w:r>
        <w:t xml:space="preserve"> на разглеждане от Касационния съд.</w:t>
      </w:r>
    </w:p>
    <w:p w:rsidR="000F3873" w:rsidRPr="0059462F" w:rsidRDefault="000F3873" w:rsidP="000F3873">
      <w:pPr>
        <w:pStyle w:val="JuPara"/>
      </w:pPr>
      <w:r>
        <w:t xml:space="preserve">В тази връзка, от гледна точка на Съда, вместо да се проучи дали е било налице предварително разследване, отговарящо </w:t>
      </w:r>
      <w:r w:rsidR="00BD2607">
        <w:t xml:space="preserve">напълно </w:t>
      </w:r>
      <w:r>
        <w:t>на всички процедурни изисквания, установени за подобни въпроси (вж</w:t>
      </w:r>
      <w:r w:rsidR="00BD2607">
        <w:t>.</w:t>
      </w:r>
      <w:r>
        <w:t xml:space="preserve"> параграф 94 по-горе), въпросът, който следва да се прецени</w:t>
      </w:r>
      <w:r w:rsidR="00BD2607">
        <w:t>,</w:t>
      </w:r>
      <w:r>
        <w:t xml:space="preserve"> е дали съдебните органи, като пазители на законите за защита на живота на хората, е трябвало да наложат санкции на виновните.</w:t>
      </w:r>
      <w:r w:rsidR="00BD2607">
        <w:t xml:space="preserve"> </w:t>
      </w:r>
    </w:p>
    <w:p w:rsidR="00D8632D" w:rsidRDefault="008E7633" w:rsidP="000F3873">
      <w:pPr>
        <w:pStyle w:val="JuPara"/>
      </w:pPr>
      <w:fldSimple w:instr=" SEQ level0 \*arabic ">
        <w:r w:rsidR="00A94344">
          <w:rPr>
            <w:noProof/>
          </w:rPr>
          <w:t>116</w:t>
        </w:r>
      </w:fldSimple>
      <w:r w:rsidR="000F3873">
        <w:t xml:space="preserve">.  В конкретния случай </w:t>
      </w:r>
      <w:r w:rsidR="00BD2607">
        <w:t>с</w:t>
      </w:r>
      <w:r w:rsidR="000F3873">
        <w:t xml:space="preserve"> решение от 4 април 1996 г. Наказателния</w:t>
      </w:r>
      <w:r w:rsidR="00BD2607">
        <w:t>т</w:t>
      </w:r>
      <w:r w:rsidR="000F3873">
        <w:t xml:space="preserve"> съд на Истанбул осъжда въпросните двама кметове да заплатят </w:t>
      </w:r>
      <w:r w:rsidR="00BD2607">
        <w:t xml:space="preserve">условни </w:t>
      </w:r>
      <w:r w:rsidR="000F3873">
        <w:t xml:space="preserve">глоби </w:t>
      </w:r>
      <w:r w:rsidR="00BD2607">
        <w:t xml:space="preserve">в размер </w:t>
      </w:r>
      <w:r w:rsidR="000F3873">
        <w:t xml:space="preserve">по 610 000 турски лири (сума, по това време </w:t>
      </w:r>
      <w:r w:rsidR="00D17467">
        <w:t xml:space="preserve">равна </w:t>
      </w:r>
      <w:r w:rsidR="000F3873">
        <w:t xml:space="preserve">на </w:t>
      </w:r>
      <w:r w:rsidR="00D17467">
        <w:t xml:space="preserve">близо </w:t>
      </w:r>
      <w:r w:rsidR="000F3873">
        <w:t xml:space="preserve">9,70 евро), които са отменени, за пропуски поради небрежност </w:t>
      </w:r>
      <w:r w:rsidR="00D17467">
        <w:t>при</w:t>
      </w:r>
      <w:r w:rsidR="000F3873">
        <w:t xml:space="preserve"> изпълнение на задълженията им по смисъла на чл</w:t>
      </w:r>
      <w:r w:rsidR="00D17467">
        <w:t>.</w:t>
      </w:r>
      <w:r w:rsidR="000F3873">
        <w:t xml:space="preserve"> 230 § 1 от Наказателния кодекс (вж</w:t>
      </w:r>
      <w:r w:rsidR="00D17467">
        <w:t>.</w:t>
      </w:r>
      <w:r w:rsidR="000F3873">
        <w:t xml:space="preserve"> параграф 23 по-горе). Пред Съда Правителството се опит</w:t>
      </w:r>
      <w:r w:rsidR="00D17467">
        <w:t>в</w:t>
      </w:r>
      <w:r w:rsidR="000F3873">
        <w:t>а да обясни защо е приложена само тази разпоредба във връзка с двамата кметове и защо те са били осъдени на минималното приложимо наказание (вж</w:t>
      </w:r>
      <w:r w:rsidR="00D17467">
        <w:t>.</w:t>
      </w:r>
      <w:r w:rsidR="000F3873">
        <w:t xml:space="preserve"> параграф 82 по-горе). Все пак не е работа на Съда да се занимава с подобни въпроси на вътрешното право във връзка с индивидуалната наказателна отговорност, което е от компетенцията на националните съдилища, или да издава осъдителни или оправдателни присъди в този аспект.</w:t>
      </w:r>
    </w:p>
    <w:p w:rsidR="00D8632D" w:rsidRDefault="00D17467" w:rsidP="000F3873">
      <w:pPr>
        <w:pStyle w:val="JuPara"/>
      </w:pPr>
      <w:r>
        <w:t xml:space="preserve">Като взима </w:t>
      </w:r>
      <w:r w:rsidR="000F3873">
        <w:t>предвид задачата си, Съдът просто би отбел</w:t>
      </w:r>
      <w:r w:rsidR="005747F4">
        <w:t>язал</w:t>
      </w:r>
      <w:r w:rsidR="000F3873">
        <w:t>, че в конкретния случай единствената цел на въпросното наказателно производство е била да установи дали властите могат да бъдат обвинени в „небрежност при изпълнение на задълженията“ съгласно чл</w:t>
      </w:r>
      <w:r w:rsidR="005747F4">
        <w:t>.</w:t>
      </w:r>
      <w:r w:rsidR="000F3873">
        <w:t xml:space="preserve"> 230 от Наказателния кодекс, чиито разпоредби по никакъв начин не са свързани с </w:t>
      </w:r>
      <w:proofErr w:type="spellStart"/>
      <w:r w:rsidR="000F3873">
        <w:t>животозастрашаващи</w:t>
      </w:r>
      <w:proofErr w:type="spellEnd"/>
      <w:r w:rsidR="000F3873">
        <w:t xml:space="preserve"> деяния или </w:t>
      </w:r>
      <w:r w:rsidR="005747F4">
        <w:t xml:space="preserve">със защитата на </w:t>
      </w:r>
      <w:r w:rsidR="000F3873">
        <w:t>правото на живот по смисъла на чл</w:t>
      </w:r>
      <w:r w:rsidR="005747F4">
        <w:t>.</w:t>
      </w:r>
      <w:r w:rsidR="000F3873">
        <w:t xml:space="preserve"> 2.</w:t>
      </w:r>
    </w:p>
    <w:p w:rsidR="000F3873" w:rsidRPr="0059462F" w:rsidRDefault="000F3873" w:rsidP="000F3873">
      <w:pPr>
        <w:pStyle w:val="JuPara"/>
      </w:pPr>
      <w:r>
        <w:t xml:space="preserve">Всъщност от решението от 4 април 1996 г. </w:t>
      </w:r>
      <w:r w:rsidR="005747F4">
        <w:t>става ясно</w:t>
      </w:r>
      <w:r>
        <w:t xml:space="preserve">, че </w:t>
      </w:r>
      <w:r w:rsidR="00F3097B">
        <w:t xml:space="preserve">решаващият </w:t>
      </w:r>
      <w:r>
        <w:t>съд не е намерил причина да се разграничи от мотивите, изложени в заповедта за задържане, издадена от административния съвет</w:t>
      </w:r>
      <w:r w:rsidR="00F3097B">
        <w:t>,</w:t>
      </w:r>
      <w:r>
        <w:t xml:space="preserve"> и остав</w:t>
      </w:r>
      <w:r w:rsidR="00F3097B">
        <w:t>я</w:t>
      </w:r>
      <w:r>
        <w:t xml:space="preserve"> без отговор въпросите относно възможната отговорност на властите за смъртта на девет роднини на жалбоподателя. Решението от 4 април 1996 г. несъмнено съдържа текстове</w:t>
      </w:r>
      <w:r w:rsidR="0061232F">
        <w:t>,</w:t>
      </w:r>
      <w:r>
        <w:t xml:space="preserve"> </w:t>
      </w:r>
      <w:r w:rsidR="0061232F">
        <w:t>които се позовават на</w:t>
      </w:r>
      <w:r>
        <w:t xml:space="preserve"> смъртните случаи, настъпили на 28 април 1993 г.</w:t>
      </w:r>
      <w:r w:rsidR="0061232F">
        <w:t>,</w:t>
      </w:r>
      <w:r>
        <w:t xml:space="preserve"> като </w:t>
      </w:r>
      <w:r w:rsidR="0061232F">
        <w:t xml:space="preserve">на </w:t>
      </w:r>
      <w:r>
        <w:t xml:space="preserve">фактически елемент. </w:t>
      </w:r>
      <w:r w:rsidR="0061232F">
        <w:t>Това обаче не означава</w:t>
      </w:r>
      <w:r>
        <w:t xml:space="preserve">, че е налице признаване на отговорност за неспазване на </w:t>
      </w:r>
      <w:r w:rsidR="0061232F">
        <w:t xml:space="preserve">защитата на </w:t>
      </w:r>
      <w:r>
        <w:t xml:space="preserve">правото на живот. </w:t>
      </w:r>
      <w:r w:rsidR="00A47CFF" w:rsidRPr="00833B88">
        <w:t>Диспозити</w:t>
      </w:r>
      <w:r w:rsidR="00A47CFF">
        <w:t>в</w:t>
      </w:r>
      <w:r w:rsidR="00A47CFF" w:rsidRPr="00833B88">
        <w:t>ът</w:t>
      </w:r>
      <w:r>
        <w:t xml:space="preserve"> на решението не се </w:t>
      </w:r>
      <w:r>
        <w:lastRenderedPageBreak/>
        <w:t>произнася по тази точка и освен това не посочва</w:t>
      </w:r>
      <w:r w:rsidR="006459C3">
        <w:t xml:space="preserve"> </w:t>
      </w:r>
      <w:r>
        <w:t xml:space="preserve">точно, че </w:t>
      </w:r>
      <w:r w:rsidR="006459C3">
        <w:t xml:space="preserve">решаващият </w:t>
      </w:r>
      <w:r>
        <w:t xml:space="preserve">съд е </w:t>
      </w:r>
      <w:r w:rsidR="006459C3">
        <w:t xml:space="preserve">обърнал </w:t>
      </w:r>
      <w:r>
        <w:t xml:space="preserve">достатъчно внимание </w:t>
      </w:r>
      <w:r w:rsidR="006459C3">
        <w:t xml:space="preserve">на </w:t>
      </w:r>
      <w:r>
        <w:t xml:space="preserve">изключително сериозните последици от инцидента; виновните лица в крайна сметка </w:t>
      </w:r>
      <w:r w:rsidR="006459C3">
        <w:t xml:space="preserve">са </w:t>
      </w:r>
      <w:r>
        <w:t>осъдени да заплатят нищожни глоби, които</w:t>
      </w:r>
      <w:r w:rsidR="006459C3">
        <w:t xml:space="preserve"> освен това</w:t>
      </w:r>
      <w:r>
        <w:t xml:space="preserve"> са отменени.</w:t>
      </w:r>
    </w:p>
    <w:p w:rsidR="00D8632D" w:rsidRDefault="008E7633" w:rsidP="000F3873">
      <w:pPr>
        <w:pStyle w:val="JuPara"/>
      </w:pPr>
      <w:fldSimple w:instr=" SEQ level0 \*arabic ">
        <w:r w:rsidR="00A94344">
          <w:rPr>
            <w:noProof/>
          </w:rPr>
          <w:t>117</w:t>
        </w:r>
      </w:fldSimple>
      <w:r w:rsidR="000F3873">
        <w:t xml:space="preserve">.  В тази връзка не може да се твърди, че начинът, по който </w:t>
      </w:r>
      <w:r w:rsidR="006459C3">
        <w:t xml:space="preserve">действа </w:t>
      </w:r>
      <w:proofErr w:type="spellStart"/>
      <w:r w:rsidR="000F3873">
        <w:t>наказателноправната</w:t>
      </w:r>
      <w:proofErr w:type="spellEnd"/>
      <w:r w:rsidR="000F3873">
        <w:t xml:space="preserve"> съдебна система на Турция в отговор на трагедията</w:t>
      </w:r>
      <w:r w:rsidR="006459C3">
        <w:t>,</w:t>
      </w:r>
      <w:r w:rsidR="000F3873">
        <w:t xml:space="preserve"> обезпечава цялата отговорност на държавните служители или власти за ролята им в инцидента и ефективното изпълнение на вътрешноправните разпоредби, гарантиращи зач</w:t>
      </w:r>
      <w:r w:rsidR="006459C3">
        <w:t>ит</w:t>
      </w:r>
      <w:r w:rsidR="000F3873">
        <w:t>ане на правото на живот, по-конкретно на възпиращата функция на наказателното право.</w:t>
      </w:r>
    </w:p>
    <w:p w:rsidR="000F3873" w:rsidRDefault="008E7633" w:rsidP="000F3873">
      <w:pPr>
        <w:pStyle w:val="JuPara"/>
      </w:pPr>
      <w:fldSimple w:instr=" SEQ level0 \*arabic ">
        <w:r w:rsidR="00A94344">
          <w:rPr>
            <w:noProof/>
          </w:rPr>
          <w:t>118</w:t>
        </w:r>
      </w:fldSimple>
      <w:r w:rsidR="000F3873">
        <w:t xml:space="preserve">.  Накратко, </w:t>
      </w:r>
      <w:r w:rsidR="006459C3">
        <w:t>налага се</w:t>
      </w:r>
      <w:r w:rsidR="000F3873">
        <w:t xml:space="preserve"> заключението, че в конкретния случай е налице нарушение на чл</w:t>
      </w:r>
      <w:r w:rsidR="00E05C0D">
        <w:t>.</w:t>
      </w:r>
      <w:r w:rsidR="000F3873">
        <w:t xml:space="preserve"> 2 </w:t>
      </w:r>
      <w:r w:rsidR="00E05C0D">
        <w:t>от</w:t>
      </w:r>
      <w:r w:rsidR="000F3873">
        <w:t xml:space="preserve"> Конвенцията в процесуалните му аспекти поради липсата, във връзка с фаталния инцидент, възникнал вследствие на опасна дейност, на адекватна защита „по закон“ на правото на живот и </w:t>
      </w:r>
      <w:proofErr w:type="spellStart"/>
      <w:r w:rsidR="000F3873">
        <w:t>неподускане</w:t>
      </w:r>
      <w:proofErr w:type="spellEnd"/>
      <w:r w:rsidR="000F3873">
        <w:t xml:space="preserve"> на подобни </w:t>
      </w:r>
      <w:proofErr w:type="spellStart"/>
      <w:r w:rsidR="000F3873">
        <w:t>животозастрашаващи</w:t>
      </w:r>
      <w:proofErr w:type="spellEnd"/>
      <w:r w:rsidR="000F3873">
        <w:t xml:space="preserve"> дейности в бъдеще.</w:t>
      </w:r>
    </w:p>
    <w:p w:rsidR="000F3873" w:rsidRPr="0059462F" w:rsidRDefault="000F3873" w:rsidP="006725B0">
      <w:pPr>
        <w:pStyle w:val="JuHIRoman"/>
        <w:widowControl w:val="0"/>
      </w:pPr>
      <w:r>
        <w:t>II.  ТВЪРДЯНО НАРУШЕНИЕ НА ЧЛ. 1 ОТ ПРОТОКОЛ № 1</w:t>
      </w:r>
    </w:p>
    <w:p w:rsidR="000F3873" w:rsidRPr="0059462F" w:rsidRDefault="008E7633" w:rsidP="000F3873">
      <w:pPr>
        <w:pStyle w:val="JuPara"/>
      </w:pPr>
      <w:fldSimple w:instr=" SEQ level0 \*arabic ">
        <w:r w:rsidR="00A94344">
          <w:rPr>
            <w:noProof/>
          </w:rPr>
          <w:t>119</w:t>
        </w:r>
      </w:fldSimple>
      <w:r w:rsidR="000F3873">
        <w:t>.  Жалбоподателят твърди, че държавата следва да носи отговорност за пропуските поради небрежност от страна на националните власти, които са довели до загуба на дома му и движимото му имущество, и се оплак</w:t>
      </w:r>
      <w:r w:rsidR="00E05C0D">
        <w:t>в</w:t>
      </w:r>
      <w:r w:rsidR="000F3873">
        <w:t>а, че не е получил обезщетение за претърпените вреди. Той твърди нарушение на чл. 1 от Протокол № 1, който гласи:</w:t>
      </w:r>
    </w:p>
    <w:p w:rsidR="000F3873" w:rsidRPr="0059462F" w:rsidRDefault="00E05C0D" w:rsidP="000F3873">
      <w:pPr>
        <w:pStyle w:val="JuQuot"/>
      </w:pPr>
      <w:r>
        <w:t>„</w:t>
      </w:r>
      <w:proofErr w:type="spellStart"/>
      <w:r w:rsidR="000F3873">
        <w:t>Βсяко</w:t>
      </w:r>
      <w:proofErr w:type="spellEnd"/>
      <w:r w:rsidR="000F3873">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0F3873" w:rsidRPr="0059462F" w:rsidRDefault="000F3873" w:rsidP="000F3873">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E05C0D">
        <w:t>“</w:t>
      </w:r>
    </w:p>
    <w:p w:rsidR="00D8632D" w:rsidRDefault="008E7633" w:rsidP="000F3873">
      <w:pPr>
        <w:pStyle w:val="JuPara"/>
      </w:pPr>
      <w:fldSimple w:instr=" SEQ level0 \*arabic ">
        <w:r w:rsidR="00A94344">
          <w:rPr>
            <w:noProof/>
          </w:rPr>
          <w:t>120</w:t>
        </w:r>
      </w:fldSimple>
      <w:r w:rsidR="000F3873">
        <w:t>.  Правителството отр</w:t>
      </w:r>
      <w:r w:rsidR="00C521C7">
        <w:t>и</w:t>
      </w:r>
      <w:r w:rsidR="000F3873">
        <w:t>ч</w:t>
      </w:r>
      <w:r w:rsidR="00C521C7">
        <w:t>а</w:t>
      </w:r>
      <w:r w:rsidR="000F3873">
        <w:t xml:space="preserve"> да е имало нарушение в този аспект.</w:t>
      </w:r>
    </w:p>
    <w:p w:rsidR="000F3873" w:rsidRPr="000F3873" w:rsidRDefault="000F3873" w:rsidP="006725B0">
      <w:pPr>
        <w:pStyle w:val="JuHA0"/>
        <w:widowControl w:val="0"/>
      </w:pPr>
      <w:r>
        <w:t>А.</w:t>
      </w:r>
      <w:r>
        <w:tab/>
        <w:t>Приложимост: налице ли е било „притежание“</w:t>
      </w:r>
    </w:p>
    <w:p w:rsidR="000F3873" w:rsidRPr="0059462F" w:rsidRDefault="000F3873" w:rsidP="006725B0">
      <w:pPr>
        <w:pStyle w:val="JuH1"/>
        <w:widowControl w:val="0"/>
      </w:pPr>
      <w:r>
        <w:t>1.  </w:t>
      </w:r>
      <w:r w:rsidR="005839D6">
        <w:t>Решението на</w:t>
      </w:r>
      <w:r>
        <w:t xml:space="preserve"> Съда</w:t>
      </w:r>
    </w:p>
    <w:p w:rsidR="000F3873" w:rsidRPr="0059462F" w:rsidRDefault="008E7633" w:rsidP="000F3873">
      <w:pPr>
        <w:pStyle w:val="JuPara"/>
      </w:pPr>
      <w:fldSimple w:instr=" SEQ level0 \*arabic ">
        <w:r w:rsidR="00A94344">
          <w:rPr>
            <w:noProof/>
          </w:rPr>
          <w:t>121</w:t>
        </w:r>
      </w:fldSimple>
      <w:r w:rsidR="000F3873">
        <w:t>.  Съдът сч</w:t>
      </w:r>
      <w:r w:rsidR="005839D6">
        <w:t>ита</w:t>
      </w:r>
      <w:r w:rsidR="000F3873">
        <w:t>, че фактът, че жалбоподателят е заел земя, която принадлежи на Хазната</w:t>
      </w:r>
      <w:r w:rsidR="005839D6">
        <w:t>,</w:t>
      </w:r>
      <w:r w:rsidR="000F3873">
        <w:t xml:space="preserve"> в продължение на близо пет години, не му дава право</w:t>
      </w:r>
      <w:r w:rsidR="005839D6">
        <w:t>, което да се</w:t>
      </w:r>
      <w:r w:rsidR="000F3873">
        <w:t xml:space="preserve"> разглежда като „притежание“. Въпреки това счита, че жалбоподателят е бил собственик на </w:t>
      </w:r>
      <w:r w:rsidR="00860A2D">
        <w:t xml:space="preserve">конструкцията </w:t>
      </w:r>
      <w:r w:rsidR="000F3873">
        <w:t>и прилежащите съоръжения на жилището, което е построил</w:t>
      </w:r>
      <w:r w:rsidR="00860A2D">
        <w:t>,</w:t>
      </w:r>
      <w:r w:rsidR="000F3873">
        <w:t xml:space="preserve"> и на цялата покъщнина и </w:t>
      </w:r>
      <w:r w:rsidR="000F3873">
        <w:lastRenderedPageBreak/>
        <w:t>лични принадлежности, които би могъл да притежава в нея, без значение че сградата е издигната в нарушение на закона.</w:t>
      </w:r>
    </w:p>
    <w:p w:rsidR="000F3873" w:rsidRPr="0059462F" w:rsidRDefault="000F3873" w:rsidP="000F3873">
      <w:pPr>
        <w:pStyle w:val="JuPara"/>
      </w:pPr>
      <w:r>
        <w:t>Във връзка с това Съдът стига до заключението, че жилището, построено от жалбоподателя</w:t>
      </w:r>
      <w:r w:rsidR="00860A2D">
        <w:t>,</w:t>
      </w:r>
      <w:r>
        <w:t xml:space="preserve"> и неговото и на неговите роднини </w:t>
      </w:r>
      <w:r w:rsidR="00860A2D">
        <w:t xml:space="preserve">пребиваване </w:t>
      </w:r>
      <w:r>
        <w:t>там представлява</w:t>
      </w:r>
      <w:r w:rsidR="00860A2D">
        <w:t>т</w:t>
      </w:r>
      <w:r>
        <w:t xml:space="preserve"> значителен икономически интерес и че този интерес, който властите са позволили да съществува за дълъг период от време, е довел до „притежание“ по смисъла на правилото, изложено в първото изречение на чл</w:t>
      </w:r>
      <w:r w:rsidR="00860A2D">
        <w:t>.</w:t>
      </w:r>
      <w:r>
        <w:t xml:space="preserve"> 1 </w:t>
      </w:r>
      <w:r w:rsidR="00860A2D">
        <w:t>от</w:t>
      </w:r>
      <w:r>
        <w:t xml:space="preserve"> Протокол № 1.</w:t>
      </w:r>
    </w:p>
    <w:p w:rsidR="000F3873" w:rsidRPr="0059462F" w:rsidRDefault="000F3873" w:rsidP="006725B0">
      <w:pPr>
        <w:pStyle w:val="JuH1"/>
        <w:widowControl w:val="0"/>
      </w:pPr>
      <w:r>
        <w:t>2.  Твърдения на изправените пред съда</w:t>
      </w:r>
    </w:p>
    <w:p w:rsidR="000F3873" w:rsidRPr="0059462F" w:rsidRDefault="000F3873" w:rsidP="006725B0">
      <w:pPr>
        <w:pStyle w:val="JuHa"/>
        <w:widowControl w:val="0"/>
      </w:pPr>
      <w:r>
        <w:t>а)</w:t>
      </w:r>
      <w:r>
        <w:tab/>
        <w:t>Правителството</w:t>
      </w:r>
    </w:p>
    <w:p w:rsidR="000F3873" w:rsidRPr="0059462F" w:rsidRDefault="008E7633" w:rsidP="000F3873">
      <w:pPr>
        <w:pStyle w:val="JuPara"/>
      </w:pPr>
      <w:fldSimple w:instr=" SEQ level0 \*arabic ">
        <w:r w:rsidR="00A94344">
          <w:rPr>
            <w:noProof/>
          </w:rPr>
          <w:t>122</w:t>
        </w:r>
      </w:fldSimple>
      <w:r w:rsidR="000F3873">
        <w:t xml:space="preserve">.  Както </w:t>
      </w:r>
      <w:r w:rsidR="00860A2D">
        <w:t xml:space="preserve">и </w:t>
      </w:r>
      <w:r w:rsidR="000F3873">
        <w:t>пред Съда, Правителството заяви, че нито незаконното жилище, построено от жалбоподателя, нито факта, че сградата е била разположена на незаконно заета земя, собственост на Хазната, могат сами по себе си да дадат „право на собственост“ или да представляват „притежание“ по смисъла на чл</w:t>
      </w:r>
      <w:r w:rsidR="008F14F1">
        <w:t>.</w:t>
      </w:r>
      <w:r w:rsidR="000F3873">
        <w:t xml:space="preserve"> 1 </w:t>
      </w:r>
      <w:r w:rsidR="008F14F1">
        <w:t xml:space="preserve">от </w:t>
      </w:r>
      <w:r w:rsidR="000F3873">
        <w:t xml:space="preserve">Протокол № 1. Съгласно вътрешното </w:t>
      </w:r>
      <w:r w:rsidR="008F14F1">
        <w:t xml:space="preserve">право </w:t>
      </w:r>
      <w:r w:rsidR="000F3873">
        <w:t>никога не е признавано подобно обстоятелство, изрично или с мълчаливо съгласие, като Правителството отбеляз</w:t>
      </w:r>
      <w:r w:rsidR="008F14F1">
        <w:t>в</w:t>
      </w:r>
      <w:r w:rsidR="000F3873">
        <w:t>а, че жалбоподателят не е бил в състояние на представи документи или нотариални актове в подкрепа на своите твърдения. В тази връзка жалбоподателят се е подвел в позоваването на законите за узаконяване на незаконните жилища, тъй като тези закони по никакъв начин не му дават правото да притежава терен, който е публична собственост, която, съгласно Закона за поземления регистър (Закон № 3402), е неотчуждаема и не може да бъде придобита по давност.</w:t>
      </w:r>
    </w:p>
    <w:p w:rsidR="00D8632D" w:rsidRDefault="000F3873" w:rsidP="000F3873">
      <w:pPr>
        <w:pStyle w:val="JuPara"/>
      </w:pPr>
      <w:r>
        <w:t>Правителството се позова</w:t>
      </w:r>
      <w:r w:rsidR="008F14F1">
        <w:t>ва</w:t>
      </w:r>
      <w:r>
        <w:t xml:space="preserve"> на делото </w:t>
      </w:r>
      <w:proofErr w:type="spellStart"/>
      <w:r>
        <w:rPr>
          <w:i/>
        </w:rPr>
        <w:t>Chapman</w:t>
      </w:r>
      <w:proofErr w:type="spellEnd"/>
      <w:r>
        <w:t>, цитирано по-горе</w:t>
      </w:r>
      <w:r w:rsidR="008F14F1">
        <w:t>,</w:t>
      </w:r>
      <w:r>
        <w:t xml:space="preserve"> и изтък</w:t>
      </w:r>
      <w:r w:rsidR="008F14F1">
        <w:t>в</w:t>
      </w:r>
      <w:r>
        <w:t xml:space="preserve">а аргумента, че в конкретния случай на Съда не </w:t>
      </w:r>
      <w:r w:rsidR="00211C98">
        <w:t xml:space="preserve">следва </w:t>
      </w:r>
      <w:r>
        <w:t xml:space="preserve">да бъде </w:t>
      </w:r>
      <w:r w:rsidR="00211C98">
        <w:t xml:space="preserve">неправомерно внушено </w:t>
      </w:r>
      <w:r>
        <w:t xml:space="preserve">от съображения извън </w:t>
      </w:r>
      <w:r w:rsidR="008F14F1">
        <w:t>изложените пред него правни факти</w:t>
      </w:r>
      <w:r w:rsidR="009B66B8">
        <w:t xml:space="preserve"> заключение</w:t>
      </w:r>
      <w:r w:rsidR="00211C98">
        <w:t>,</w:t>
      </w:r>
      <w:r>
        <w:t xml:space="preserve"> че действията на жалбоподателя могат да породят материален интерес, гарантиран от чл</w:t>
      </w:r>
      <w:r w:rsidR="00211C98">
        <w:t>.</w:t>
      </w:r>
      <w:r>
        <w:t xml:space="preserve"> 1 на Протокол № 1</w:t>
      </w:r>
      <w:r w:rsidR="00A755FF">
        <w:t xml:space="preserve"> —</w:t>
      </w:r>
      <w:r>
        <w:t xml:space="preserve"> констатация, която ефективно </w:t>
      </w:r>
      <w:r w:rsidR="00A755FF">
        <w:t xml:space="preserve">би </w:t>
      </w:r>
      <w:r>
        <w:t>го постав</w:t>
      </w:r>
      <w:r w:rsidR="00A755FF">
        <w:t>ила</w:t>
      </w:r>
      <w:r>
        <w:t xml:space="preserve"> извън обхвата на вътрешното </w:t>
      </w:r>
      <w:r w:rsidR="00A755FF">
        <w:t xml:space="preserve">право </w:t>
      </w:r>
      <w:r>
        <w:t xml:space="preserve">и </w:t>
      </w:r>
      <w:r w:rsidR="00A755FF">
        <w:t>би го компенсира, че е</w:t>
      </w:r>
      <w:r>
        <w:t xml:space="preserve"> действа</w:t>
      </w:r>
      <w:r w:rsidR="00A755FF">
        <w:t>л</w:t>
      </w:r>
      <w:r>
        <w:t xml:space="preserve"> в нарушение на законите.</w:t>
      </w:r>
      <w:r w:rsidR="00A755FF">
        <w:t xml:space="preserve"> </w:t>
      </w:r>
    </w:p>
    <w:p w:rsidR="000F3873" w:rsidRPr="0059462F" w:rsidRDefault="000F3873" w:rsidP="006725B0">
      <w:pPr>
        <w:pStyle w:val="JuHa"/>
        <w:widowControl w:val="0"/>
      </w:pPr>
      <w:r>
        <w:t>б)</w:t>
      </w:r>
      <w:r>
        <w:tab/>
        <w:t>Жалбоподателят</w:t>
      </w:r>
    </w:p>
    <w:p w:rsidR="00D8632D" w:rsidRDefault="008E7633" w:rsidP="000F3873">
      <w:pPr>
        <w:pStyle w:val="JuPara"/>
      </w:pPr>
      <w:fldSimple w:instr=" SEQ level0 \*arabic ">
        <w:r w:rsidR="00A94344">
          <w:rPr>
            <w:noProof/>
          </w:rPr>
          <w:t>123</w:t>
        </w:r>
      </w:fldSimple>
      <w:r w:rsidR="000F3873">
        <w:t>.  Жалбоподателят изтък</w:t>
      </w:r>
      <w:r w:rsidR="009B66B8">
        <w:t>в</w:t>
      </w:r>
      <w:r w:rsidR="000F3873">
        <w:t>а аргументите, които е представил пред Съда</w:t>
      </w:r>
      <w:r w:rsidR="009B66B8">
        <w:t>,</w:t>
      </w:r>
      <w:r w:rsidR="000F3873">
        <w:t xml:space="preserve"> и </w:t>
      </w:r>
      <w:r w:rsidR="009B66B8">
        <w:t xml:space="preserve">като се </w:t>
      </w:r>
      <w:r w:rsidR="000F3873">
        <w:t>позовава на п</w:t>
      </w:r>
      <w:r w:rsidR="009B66B8">
        <w:t>редишните</w:t>
      </w:r>
      <w:r w:rsidR="000F3873">
        <w:t xml:space="preserve"> си обяснения (вж</w:t>
      </w:r>
      <w:r w:rsidR="009B66B8">
        <w:t>.</w:t>
      </w:r>
      <w:r w:rsidR="000F3873">
        <w:t xml:space="preserve"> параграф 85 по-горе) твърди, че по конкретното дело са налице достатъчно доказателства, подкрепени от явната толерантност на властите и редица недвусмислени административни и законодателни мерки, </w:t>
      </w:r>
      <w:r w:rsidR="009B66B8">
        <w:t xml:space="preserve">че </w:t>
      </w:r>
      <w:r w:rsidR="000F3873">
        <w:t xml:space="preserve">всеки отделен жител на бедните квартали на </w:t>
      </w:r>
      <w:proofErr w:type="spellStart"/>
      <w:r w:rsidR="000F3873">
        <w:t>Юмрание</w:t>
      </w:r>
      <w:proofErr w:type="spellEnd"/>
      <w:r w:rsidR="000F3873">
        <w:t xml:space="preserve"> </w:t>
      </w:r>
      <w:r w:rsidR="009B66B8">
        <w:t xml:space="preserve">е </w:t>
      </w:r>
      <w:r w:rsidR="000F3873">
        <w:t>има</w:t>
      </w:r>
      <w:r w:rsidR="009B66B8">
        <w:t>л</w:t>
      </w:r>
      <w:r w:rsidR="000F3873">
        <w:t xml:space="preserve"> възможност да поиска законно право на собственост върху въпросното имущество.</w:t>
      </w:r>
    </w:p>
    <w:p w:rsidR="000F3873" w:rsidRPr="0059462F" w:rsidRDefault="000F3873" w:rsidP="000F3873">
      <w:pPr>
        <w:pStyle w:val="JuPara"/>
      </w:pPr>
      <w:r>
        <w:lastRenderedPageBreak/>
        <w:t>По време на заседанието представителят на жалбоподателя също се позова на Закон № 4706 (вж</w:t>
      </w:r>
      <w:r w:rsidR="009B66B8">
        <w:t>.</w:t>
      </w:r>
      <w:r>
        <w:t xml:space="preserve"> параграф 55 по-горе), ко</w:t>
      </w:r>
      <w:r w:rsidR="009B66B8">
        <w:t>й</w:t>
      </w:r>
      <w:r>
        <w:t>то тя счита за достатъч</w:t>
      </w:r>
      <w:r w:rsidR="00744609">
        <w:t>ен</w:t>
      </w:r>
      <w:r>
        <w:t xml:space="preserve"> сам по себе си да опроверга</w:t>
      </w:r>
      <w:r w:rsidR="00744609">
        <w:t>е</w:t>
      </w:r>
      <w:r>
        <w:t xml:space="preserve"> аргумента, че никой не може да придобие държавна собственост. </w:t>
      </w:r>
      <w:r w:rsidR="00744609">
        <w:t>Т</w:t>
      </w:r>
      <w:r>
        <w:t xml:space="preserve">я </w:t>
      </w:r>
      <w:r w:rsidR="00744609">
        <w:t xml:space="preserve">също така </w:t>
      </w:r>
      <w:r>
        <w:t>обясн</w:t>
      </w:r>
      <w:r w:rsidR="00744609">
        <w:t>ява</w:t>
      </w:r>
      <w:r>
        <w:t xml:space="preserve">, че </w:t>
      </w:r>
      <w:r w:rsidR="00744609">
        <w:t xml:space="preserve">макар и </w:t>
      </w:r>
      <w:r>
        <w:t xml:space="preserve">клиентът </w:t>
      </w:r>
      <w:r w:rsidR="00744609">
        <w:t>ѝ</w:t>
      </w:r>
      <w:r>
        <w:t xml:space="preserve"> </w:t>
      </w:r>
      <w:r w:rsidR="00744609">
        <w:t>да</w:t>
      </w:r>
      <w:r>
        <w:t xml:space="preserve"> не е предприел необходимите стъпки</w:t>
      </w:r>
      <w:r w:rsidR="00744609">
        <w:t>,</w:t>
      </w:r>
      <w:r>
        <w:t xml:space="preserve"> за да се възползва от Закон № 775, нищо не го спира да го направи на по-късен етап, например по </w:t>
      </w:r>
      <w:r w:rsidR="00744609">
        <w:t xml:space="preserve">новия </w:t>
      </w:r>
      <w:r>
        <w:t>Закон № 4706.</w:t>
      </w:r>
    </w:p>
    <w:p w:rsidR="000F3873" w:rsidRPr="0059462F" w:rsidRDefault="000F3873" w:rsidP="006725B0">
      <w:pPr>
        <w:pStyle w:val="JuH1"/>
        <w:widowControl w:val="0"/>
      </w:pPr>
      <w:r>
        <w:t>3.  Преценката на Съда</w:t>
      </w:r>
    </w:p>
    <w:p w:rsidR="000F3873" w:rsidRPr="0059462F" w:rsidRDefault="008E7633" w:rsidP="000F3873">
      <w:pPr>
        <w:pStyle w:val="JuPara"/>
      </w:pPr>
      <w:fldSimple w:instr=" SEQ level0 \*arabic ">
        <w:r w:rsidR="00A94344">
          <w:rPr>
            <w:noProof/>
          </w:rPr>
          <w:t>124</w:t>
        </w:r>
      </w:fldSimple>
      <w:r w:rsidR="000F3873">
        <w:t>.  Съдът подчерта</w:t>
      </w:r>
      <w:r w:rsidR="00744609">
        <w:t>ва</w:t>
      </w:r>
      <w:r w:rsidR="000F3873">
        <w:t>, че концепцията за „притежания“ в първата част на чл</w:t>
      </w:r>
      <w:r w:rsidR="00EC5673">
        <w:t>.</w:t>
      </w:r>
      <w:r w:rsidR="000F3873">
        <w:t xml:space="preserve"> 1 </w:t>
      </w:r>
      <w:r w:rsidR="00EC5673">
        <w:t>от</w:t>
      </w:r>
      <w:r w:rsidR="000F3873">
        <w:t xml:space="preserve"> Протокол № 1 има самостоятелно значение, което не се ограничава до собственост върху физическо имущество и е независим</w:t>
      </w:r>
      <w:r w:rsidR="00EC5673">
        <w:t>о</w:t>
      </w:r>
      <w:r w:rsidR="000F3873">
        <w:t xml:space="preserve"> от формалните класификации във вътрешното </w:t>
      </w:r>
      <w:r w:rsidR="00EC5673">
        <w:t>право</w:t>
      </w:r>
      <w:r w:rsidR="000F3873">
        <w:t>: въпросът</w:t>
      </w:r>
      <w:r w:rsidR="00581828">
        <w:t>, който трябва да бъде</w:t>
      </w:r>
      <w:r w:rsidR="000F3873">
        <w:t xml:space="preserve"> разгледан</w:t>
      </w:r>
      <w:r w:rsidR="00581828">
        <w:t>,</w:t>
      </w:r>
      <w:r w:rsidR="000F3873">
        <w:t xml:space="preserve"> е дали </w:t>
      </w:r>
      <w:r w:rsidR="00581828">
        <w:t xml:space="preserve">може да се счита, че </w:t>
      </w:r>
      <w:r w:rsidR="000F3873">
        <w:t xml:space="preserve">обстоятелствата по делото, разглеждани </w:t>
      </w:r>
      <w:r w:rsidR="00581828">
        <w:t>в тяхната съвкупност</w:t>
      </w:r>
      <w:r w:rsidR="000F3873">
        <w:t xml:space="preserve">, </w:t>
      </w:r>
      <w:r w:rsidR="00581828">
        <w:t>са</w:t>
      </w:r>
      <w:r w:rsidR="000F3873">
        <w:t xml:space="preserve"> да</w:t>
      </w:r>
      <w:r w:rsidR="00581828">
        <w:t>ли</w:t>
      </w:r>
      <w:r w:rsidR="000F3873">
        <w:t xml:space="preserve"> право на жалбоподателя на материален интерес, защитен от тази разпоредба (вж</w:t>
      </w:r>
      <w:r w:rsidR="00581828">
        <w:t>.</w:t>
      </w:r>
      <w:r w:rsidR="000F3873">
        <w:t xml:space="preserve">,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Zwierzyński</w:t>
      </w:r>
      <w:proofErr w:type="spellEnd"/>
      <w:r w:rsidR="000F3873">
        <w:rPr>
          <w:i/>
        </w:rPr>
        <w:t xml:space="preserve"> </w:t>
      </w:r>
      <w:r w:rsidR="00581828">
        <w:rPr>
          <w:i/>
        </w:rPr>
        <w:t>срещу Полша</w:t>
      </w:r>
      <w:r w:rsidR="000F3873">
        <w:t xml:space="preserve">, № 34049/96, § 63, ЕСПЧ 2001-VI). Във връзка с това както физическото имущество, определени права и интереси, </w:t>
      </w:r>
      <w:r w:rsidR="00FC556A">
        <w:t xml:space="preserve">които представляват активи, </w:t>
      </w:r>
      <w:r w:rsidR="000F3873">
        <w:t>също могат да се разглеждат като „</w:t>
      </w:r>
      <w:r w:rsidR="00FC556A">
        <w:t xml:space="preserve">имуществени </w:t>
      </w:r>
      <w:r w:rsidR="000F3873">
        <w:t xml:space="preserve">права“, </w:t>
      </w:r>
      <w:r w:rsidR="00FC556A">
        <w:t>а оттам и</w:t>
      </w:r>
      <w:r w:rsidR="000F3873">
        <w:t xml:space="preserve"> „притежания“ за целите на тази разпоредба (вж</w:t>
      </w:r>
      <w:r w:rsidR="00FC556A">
        <w:t>.</w:t>
      </w:r>
      <w:r w:rsidR="000F3873">
        <w:t xml:space="preserve"> </w:t>
      </w:r>
      <w:proofErr w:type="spellStart"/>
      <w:r w:rsidR="000F3873">
        <w:rPr>
          <w:i/>
        </w:rPr>
        <w:t>Iatridis</w:t>
      </w:r>
      <w:proofErr w:type="spellEnd"/>
      <w:r w:rsidR="000F3873">
        <w:rPr>
          <w:i/>
        </w:rPr>
        <w:t xml:space="preserve"> </w:t>
      </w:r>
      <w:r w:rsidR="00FC556A">
        <w:rPr>
          <w:i/>
        </w:rPr>
        <w:t>срещу Гърция</w:t>
      </w:r>
      <w:r w:rsidR="000F3873">
        <w:t xml:space="preserve"> [</w:t>
      </w:r>
      <w:r w:rsidR="00FC556A">
        <w:t>ГО</w:t>
      </w:r>
      <w:r w:rsidR="000F3873">
        <w:t xml:space="preserve">], № 31107/96, § 54, ЕСПЧ 1999-II, и </w:t>
      </w:r>
      <w:proofErr w:type="spellStart"/>
      <w:r w:rsidR="000F3873">
        <w:rPr>
          <w:i/>
        </w:rPr>
        <w:t>Beyeler</w:t>
      </w:r>
      <w:proofErr w:type="spellEnd"/>
      <w:r w:rsidR="000F3873">
        <w:rPr>
          <w:i/>
        </w:rPr>
        <w:t xml:space="preserve"> </w:t>
      </w:r>
      <w:r w:rsidR="00FC556A">
        <w:rPr>
          <w:i/>
        </w:rPr>
        <w:t>срещу Италия</w:t>
      </w:r>
      <w:r w:rsidR="000F3873">
        <w:t xml:space="preserve"> [</w:t>
      </w:r>
      <w:r w:rsidR="00FC556A">
        <w:t>ГО</w:t>
      </w:r>
      <w:r w:rsidR="000F3873">
        <w:t xml:space="preserve">], № 33202/96, § 100, ЕСПЧ 2000-I). Концепцията за „притежания“ </w:t>
      </w:r>
      <w:r w:rsidR="00E0508A">
        <w:t xml:space="preserve">не </w:t>
      </w:r>
      <w:r w:rsidR="000F3873">
        <w:t xml:space="preserve">се ограничава до „съществуващи притежания“, </w:t>
      </w:r>
      <w:r w:rsidR="00E0508A">
        <w:t xml:space="preserve">а </w:t>
      </w:r>
      <w:r w:rsidR="000F3873">
        <w:t>може също така да обхване активи, включително вземания, по отношение на които жалбоподателят може да твърди, че той или тя има най-малкото основателно или „легитимно очакване“ за получаване на право на собственост (вж</w:t>
      </w:r>
      <w:r w:rsidR="00E0508A">
        <w:t>.</w:t>
      </w:r>
      <w:r w:rsidR="000F3873">
        <w:t xml:space="preserve"> например </w:t>
      </w:r>
      <w:proofErr w:type="spellStart"/>
      <w:r w:rsidR="000F3873">
        <w:rPr>
          <w:i/>
        </w:rPr>
        <w:t>Prince</w:t>
      </w:r>
      <w:proofErr w:type="spellEnd"/>
      <w:r w:rsidR="000F3873">
        <w:rPr>
          <w:i/>
        </w:rPr>
        <w:t xml:space="preserve"> </w:t>
      </w:r>
      <w:proofErr w:type="spellStart"/>
      <w:r w:rsidR="000F3873">
        <w:rPr>
          <w:i/>
        </w:rPr>
        <w:t>Hans-Adam</w:t>
      </w:r>
      <w:proofErr w:type="spellEnd"/>
      <w:r w:rsidR="000F3873">
        <w:rPr>
          <w:i/>
        </w:rPr>
        <w:t xml:space="preserve"> II </w:t>
      </w:r>
      <w:proofErr w:type="spellStart"/>
      <w:r w:rsidR="000F3873">
        <w:rPr>
          <w:i/>
        </w:rPr>
        <w:t>of</w:t>
      </w:r>
      <w:proofErr w:type="spellEnd"/>
      <w:r w:rsidR="000F3873">
        <w:rPr>
          <w:i/>
        </w:rPr>
        <w:t xml:space="preserve"> </w:t>
      </w:r>
      <w:proofErr w:type="spellStart"/>
      <w:r w:rsidR="000F3873">
        <w:rPr>
          <w:i/>
        </w:rPr>
        <w:t>Liechtenstein</w:t>
      </w:r>
      <w:proofErr w:type="spellEnd"/>
      <w:r w:rsidR="000F3873">
        <w:rPr>
          <w:i/>
        </w:rPr>
        <w:t xml:space="preserve"> </w:t>
      </w:r>
      <w:r w:rsidR="00E0508A">
        <w:rPr>
          <w:i/>
        </w:rPr>
        <w:t>срещу Германия</w:t>
      </w:r>
      <w:r w:rsidR="000F3873">
        <w:t xml:space="preserve"> [</w:t>
      </w:r>
      <w:r w:rsidR="00E0508A">
        <w:t>ГО</w:t>
      </w:r>
      <w:r w:rsidR="000F3873">
        <w:t>], № 42527/98, § 83, ЕСПЧ 2001-VIII).</w:t>
      </w:r>
    </w:p>
    <w:p w:rsidR="00D8632D" w:rsidRDefault="008E7633" w:rsidP="000F3873">
      <w:pPr>
        <w:pStyle w:val="JuPara"/>
      </w:pPr>
      <w:fldSimple w:instr=" SEQ level0 \*arabic ">
        <w:r w:rsidR="00A94344">
          <w:rPr>
            <w:noProof/>
          </w:rPr>
          <w:t>125</w:t>
        </w:r>
      </w:fldSimple>
      <w:r w:rsidR="000F3873">
        <w:t>.  Не е оспорвано пред Съда, че жилището на жалбоподателя е издигнато в нарушение на градоустройствените планове на Турция и не е отговаряло на съответните технически стандарти, или че заеманият терен принадлеж</w:t>
      </w:r>
      <w:r w:rsidR="004B489A">
        <w:t>и</w:t>
      </w:r>
      <w:r w:rsidR="000F3873">
        <w:t xml:space="preserve"> на Хазната. Въпреки това страните не са съгласни по отношение на това дали жалбоподателят е бил в „притежание“ по смисъла на чл</w:t>
      </w:r>
      <w:r w:rsidR="004B489A">
        <w:t>.</w:t>
      </w:r>
      <w:r w:rsidR="000F3873">
        <w:t xml:space="preserve"> 1 </w:t>
      </w:r>
      <w:r w:rsidR="004B489A">
        <w:t>от</w:t>
      </w:r>
      <w:r w:rsidR="000F3873">
        <w:t xml:space="preserve"> Протокол № 1.</w:t>
      </w:r>
    </w:p>
    <w:p w:rsidR="00D8632D" w:rsidRDefault="008E7633" w:rsidP="000F3873">
      <w:pPr>
        <w:pStyle w:val="JuPara"/>
      </w:pPr>
      <w:fldSimple w:instr=" SEQ level0 \*arabic ">
        <w:r w:rsidR="00A94344">
          <w:rPr>
            <w:noProof/>
          </w:rPr>
          <w:t>126</w:t>
        </w:r>
      </w:fldSimple>
      <w:r w:rsidR="000F3873">
        <w:t>.  На първо място във връзка със земята, върху която е построена въпросната сграда</w:t>
      </w:r>
      <w:r w:rsidR="00EA4D16">
        <w:t>,</w:t>
      </w:r>
      <w:r w:rsidR="000F3873">
        <w:t xml:space="preserve"> обитавана до инцидента на 28 април 1993 г., жалбоподателят заяв</w:t>
      </w:r>
      <w:r w:rsidR="00EA4D16">
        <w:t>ява</w:t>
      </w:r>
      <w:r w:rsidR="000F3873">
        <w:t xml:space="preserve">, че нищо никога не го е възпрепятствало да предприеме стъпки </w:t>
      </w:r>
      <w:r w:rsidR="00EA4D16">
        <w:t xml:space="preserve">за </w:t>
      </w:r>
      <w:r w:rsidR="000F3873">
        <w:t>придобиване на собственост върху терена съгласно съответната процедура.</w:t>
      </w:r>
    </w:p>
    <w:p w:rsidR="00D8632D" w:rsidRDefault="000F3873" w:rsidP="000F3873">
      <w:pPr>
        <w:pStyle w:val="JuPara"/>
      </w:pPr>
      <w:r>
        <w:t xml:space="preserve">Въпреки това Съдът не може да приеме този до известна степен спекулативен аргумент. Всъщност при липсата на подробна информация от страните, не </w:t>
      </w:r>
      <w:r w:rsidR="00EA4D16">
        <w:t>е в състояние да установи</w:t>
      </w:r>
      <w:r>
        <w:t xml:space="preserve"> дали квартал </w:t>
      </w:r>
      <w:proofErr w:type="spellStart"/>
      <w:r>
        <w:t>Казим</w:t>
      </w:r>
      <w:proofErr w:type="spellEnd"/>
      <w:r>
        <w:t xml:space="preserve"> </w:t>
      </w:r>
      <w:proofErr w:type="spellStart"/>
      <w:r>
        <w:t>Карабекир</w:t>
      </w:r>
      <w:proofErr w:type="spellEnd"/>
      <w:r>
        <w:t xml:space="preserve"> е бил действително включен в плана за модернизиране </w:t>
      </w:r>
      <w:r>
        <w:lastRenderedPageBreak/>
        <w:t xml:space="preserve">на бедните квартали, </w:t>
      </w:r>
      <w:r w:rsidR="00296331">
        <w:t>за разлика от</w:t>
      </w:r>
      <w:r>
        <w:t xml:space="preserve"> случая с квартал </w:t>
      </w:r>
      <w:proofErr w:type="spellStart"/>
      <w:r>
        <w:t>Хакъмбашъ</w:t>
      </w:r>
      <w:proofErr w:type="spellEnd"/>
      <w:r>
        <w:t xml:space="preserve"> (вж</w:t>
      </w:r>
      <w:r w:rsidR="00DB207F">
        <w:t>.</w:t>
      </w:r>
      <w:r>
        <w:t xml:space="preserve"> параграф 11 по-горе), и дали жалбоподателя</w:t>
      </w:r>
      <w:r w:rsidR="00DB207F">
        <w:t>т</w:t>
      </w:r>
      <w:r>
        <w:t xml:space="preserve"> е отговорил на официалните изисквания съгласно действащото градоустройствено законодателство през въпросния период за придобиване на земя публична собственост, заемана от него (вж</w:t>
      </w:r>
      <w:r w:rsidR="00DB207F">
        <w:t>.</w:t>
      </w:r>
      <w:r>
        <w:t xml:space="preserve"> параграф 54 по-горе). Във всички случаи жалбоподателят признава, че никога не е предприемал административни стъпки за тази цел.</w:t>
      </w:r>
    </w:p>
    <w:p w:rsidR="000F3873" w:rsidRPr="0059462F" w:rsidRDefault="000F3873" w:rsidP="000F3873">
      <w:pPr>
        <w:pStyle w:val="JuPara"/>
      </w:pPr>
      <w:r>
        <w:t>При тези обстоятелства Съдът не може да направи заключение, че надеждата на жалбоподателя да притежава въпросната земя, която един ден да му бъде прехвърлена, представлява иск, за който е достатъчно установено, че е изпълним в съдилищата, а оттам и обособено „притежание“ по смисъла на съдебната практика на Съда (вж</w:t>
      </w:r>
      <w:r w:rsidR="006F0E75">
        <w:t>.</w:t>
      </w:r>
      <w:r>
        <w:t xml:space="preserve"> </w:t>
      </w:r>
      <w:proofErr w:type="spellStart"/>
      <w:r>
        <w:rPr>
          <w:i/>
        </w:rPr>
        <w:t>Kopecký</w:t>
      </w:r>
      <w:proofErr w:type="spellEnd"/>
      <w:r>
        <w:rPr>
          <w:i/>
        </w:rPr>
        <w:t xml:space="preserve"> </w:t>
      </w:r>
      <w:r w:rsidR="006F0E75">
        <w:rPr>
          <w:i/>
        </w:rPr>
        <w:t>срещу Словакия</w:t>
      </w:r>
      <w:r>
        <w:t xml:space="preserve"> [</w:t>
      </w:r>
      <w:r w:rsidR="006F0E75">
        <w:t>ГО</w:t>
      </w:r>
      <w:r>
        <w:t>], № 44912/98, §§ 25-26, ЕСПЧ 2004-IX).</w:t>
      </w:r>
    </w:p>
    <w:p w:rsidR="00D8632D" w:rsidRDefault="008E7633" w:rsidP="000F3873">
      <w:pPr>
        <w:pStyle w:val="JuPara"/>
      </w:pPr>
      <w:fldSimple w:instr=" SEQ level0 \*arabic ">
        <w:r w:rsidR="00A94344">
          <w:rPr>
            <w:noProof/>
          </w:rPr>
          <w:t>127</w:t>
        </w:r>
      </w:fldSimple>
      <w:r w:rsidR="000F3873">
        <w:t>.  </w:t>
      </w:r>
      <w:r w:rsidR="006F0E75">
        <w:t>П</w:t>
      </w:r>
      <w:r w:rsidR="000F3873">
        <w:t xml:space="preserve">о отношение на самото жилище на жалбоподателя </w:t>
      </w:r>
      <w:r w:rsidR="006F0E75">
        <w:t xml:space="preserve">обаче </w:t>
      </w:r>
      <w:r w:rsidR="000F3873">
        <w:t>се прилагат различни съображения.</w:t>
      </w:r>
    </w:p>
    <w:p w:rsidR="00D8632D" w:rsidRDefault="000F3873" w:rsidP="000F3873">
      <w:pPr>
        <w:pStyle w:val="JuPara"/>
      </w:pPr>
      <w:r>
        <w:t>В тази връзка е достатъчно за Съда да се позове на аргументите, изложени по-горе, които го водят до заключението, че държавните власти са толерирали действията на жалбоподателя (вж</w:t>
      </w:r>
      <w:r w:rsidR="00A443C2">
        <w:t>.</w:t>
      </w:r>
      <w:r>
        <w:t xml:space="preserve"> параграфи 105-06 по-горе). Тези аргументи са явно валидни в контекста на чл</w:t>
      </w:r>
      <w:r w:rsidR="00A443C2">
        <w:t>.</w:t>
      </w:r>
      <w:r>
        <w:t xml:space="preserve"> 1 </w:t>
      </w:r>
      <w:r w:rsidR="00A443C2">
        <w:t>от</w:t>
      </w:r>
      <w:r>
        <w:t xml:space="preserve"> Протокол № 1 и подкрепят заключението, че властите също са приели </w:t>
      </w:r>
      <w:r>
        <w:rPr>
          <w:i/>
        </w:rPr>
        <w:t>де факто</w:t>
      </w:r>
      <w:r>
        <w:t xml:space="preserve">, че жалбоподателят и близките му роднини са имали материален интерес по отношение на жилищата и движимите </w:t>
      </w:r>
      <w:r w:rsidR="00A443C2">
        <w:t xml:space="preserve">си </w:t>
      </w:r>
      <w:r>
        <w:t>вещи.</w:t>
      </w:r>
    </w:p>
    <w:p w:rsidR="00D8632D" w:rsidRDefault="008E7633" w:rsidP="000F3873">
      <w:pPr>
        <w:pStyle w:val="JuPara"/>
      </w:pPr>
      <w:fldSimple w:instr=" SEQ level0 \*arabic ">
        <w:r w:rsidR="00A94344">
          <w:rPr>
            <w:noProof/>
          </w:rPr>
          <w:t>128</w:t>
        </w:r>
      </w:fldSimple>
      <w:r w:rsidR="000F3873">
        <w:t>.  От тази гледна точка Съдът не може да приеме критиките към тях за нередности (вж</w:t>
      </w:r>
      <w:r w:rsidR="004C4440">
        <w:t>.</w:t>
      </w:r>
      <w:r w:rsidR="000F3873">
        <w:t xml:space="preserve"> параграф 122 по-горе), за които съответните власти са били в течение в продължение на почти пет години.</w:t>
      </w:r>
    </w:p>
    <w:p w:rsidR="00D8632D" w:rsidRDefault="000F3873" w:rsidP="000F3873">
      <w:pPr>
        <w:pStyle w:val="JuPara"/>
      </w:pPr>
      <w:r>
        <w:t xml:space="preserve">Съдът без съмнение приема, че свободата на </w:t>
      </w:r>
      <w:r w:rsidR="004C4440">
        <w:t>преценка</w:t>
      </w:r>
      <w:r>
        <w:t>, обхващаща множество местни фактори, е присъща на избора и изпълнението на градоустройствените и държавни</w:t>
      </w:r>
      <w:r w:rsidR="004C4440">
        <w:t>те</w:t>
      </w:r>
      <w:r>
        <w:t xml:space="preserve"> политики на планиране и мерките, произтичащи от тях. Въпреки това при проблем като този, възникнал по конкретното дело, властите не могат законно да се позоват на свободата на преценката си, която по никакъв начин не ги освобождава от правото им да действат добросъвестно по подходящ и най-вече последователен начин.</w:t>
      </w:r>
    </w:p>
    <w:p w:rsidR="00D8632D" w:rsidRDefault="000F3873" w:rsidP="000F3873">
      <w:pPr>
        <w:pStyle w:val="JuPara"/>
      </w:pPr>
      <w:r>
        <w:t>Това не е така в този случай, тъй като несигурността, създала се в турското общество по отношение на прилагането на законите за ограничаване на незаконните населени места</w:t>
      </w:r>
      <w:r w:rsidR="00390FEB">
        <w:t>,</w:t>
      </w:r>
      <w:r>
        <w:t xml:space="preserve"> със сигурност не е дала повод на жалбоподателя да счита, че ситуацията по отношение на жилището му има възможност да се промени изведнъж.</w:t>
      </w:r>
    </w:p>
    <w:p w:rsidR="000F3873" w:rsidRPr="0059462F" w:rsidRDefault="008E7633" w:rsidP="000F3873">
      <w:pPr>
        <w:pStyle w:val="JuPara"/>
      </w:pPr>
      <w:fldSimple w:instr=" SEQ level0 \*arabic ">
        <w:r w:rsidR="00A94344">
          <w:rPr>
            <w:noProof/>
          </w:rPr>
          <w:t>129</w:t>
        </w:r>
      </w:fldSimple>
      <w:r w:rsidR="000F3873">
        <w:t xml:space="preserve">.  Съдът счита, че </w:t>
      </w:r>
      <w:r w:rsidR="00390FEB">
        <w:t xml:space="preserve">имущественият </w:t>
      </w:r>
      <w:r w:rsidR="000F3873">
        <w:t xml:space="preserve">интерес на жалбоподателя </w:t>
      </w:r>
      <w:r w:rsidR="00390FEB">
        <w:t xml:space="preserve">по отношение на </w:t>
      </w:r>
      <w:r w:rsidR="000F3873">
        <w:t xml:space="preserve">неговото жилище е бил от достатъчно естество и достатъчно приет като представляващ материален интерес, а оттам </w:t>
      </w:r>
      <w:r w:rsidR="00F13A18">
        <w:t xml:space="preserve">и като </w:t>
      </w:r>
      <w:r w:rsidR="000F3873">
        <w:t>„притежание“ по смисъла на правилото, изложено в първото изречение на чл</w:t>
      </w:r>
      <w:r w:rsidR="00F13A18">
        <w:t>.</w:t>
      </w:r>
      <w:r w:rsidR="000F3873">
        <w:t xml:space="preserve"> 1 </w:t>
      </w:r>
      <w:r w:rsidR="00F13A18">
        <w:t>от</w:t>
      </w:r>
      <w:r w:rsidR="000F3873">
        <w:t xml:space="preserve"> Протокол № 1, която разпоредба следователно е приложима в този аспект на жалбата.</w:t>
      </w:r>
    </w:p>
    <w:p w:rsidR="000F3873" w:rsidRPr="000F3873" w:rsidRDefault="000F3873" w:rsidP="006725B0">
      <w:pPr>
        <w:pStyle w:val="JuHA0"/>
        <w:widowControl w:val="0"/>
      </w:pPr>
      <w:r>
        <w:lastRenderedPageBreak/>
        <w:t>Б.</w:t>
      </w:r>
      <w:r>
        <w:tab/>
        <w:t>Съответствие</w:t>
      </w:r>
    </w:p>
    <w:p w:rsidR="000F3873" w:rsidRPr="0059462F" w:rsidRDefault="000F3873" w:rsidP="006725B0">
      <w:pPr>
        <w:pStyle w:val="JuH1"/>
        <w:widowControl w:val="0"/>
      </w:pPr>
      <w:r>
        <w:t>1.  </w:t>
      </w:r>
      <w:r w:rsidR="00F13A18">
        <w:t>Решението на</w:t>
      </w:r>
      <w:r>
        <w:t xml:space="preserve"> Съда</w:t>
      </w:r>
    </w:p>
    <w:p w:rsidR="00D8632D" w:rsidRDefault="008E7633" w:rsidP="000F3873">
      <w:pPr>
        <w:pStyle w:val="JuPara"/>
      </w:pPr>
      <w:fldSimple w:instr=" SEQ level0 \*arabic ">
        <w:r w:rsidR="00A94344">
          <w:rPr>
            <w:noProof/>
          </w:rPr>
          <w:t>130</w:t>
        </w:r>
      </w:fldSimple>
      <w:r w:rsidR="000F3873">
        <w:t>.  Съдът, след като изтък</w:t>
      </w:r>
      <w:r w:rsidR="00F13A18">
        <w:t>в</w:t>
      </w:r>
      <w:r w:rsidR="000F3873">
        <w:t>а ключовата важност на правото, залегнало в чл</w:t>
      </w:r>
      <w:r w:rsidR="00F13A18">
        <w:t>.</w:t>
      </w:r>
      <w:r w:rsidR="000F3873">
        <w:t xml:space="preserve"> 1 </w:t>
      </w:r>
      <w:r w:rsidR="00F13A18">
        <w:t>от</w:t>
      </w:r>
      <w:r w:rsidR="000F3873">
        <w:t xml:space="preserve"> Протокол № 1, сч</w:t>
      </w:r>
      <w:r w:rsidR="00F13A18">
        <w:t>и</w:t>
      </w:r>
      <w:r w:rsidR="000F3873">
        <w:t>т</w:t>
      </w:r>
      <w:r w:rsidR="00F13A18">
        <w:t>а</w:t>
      </w:r>
      <w:r w:rsidR="000F3873">
        <w:t>, че истинското, ефективно упражняване на това право не зависи само от задължението на държавата да не се намесва и може да наложи положителни мерки за защита.</w:t>
      </w:r>
    </w:p>
    <w:p w:rsidR="000F3873" w:rsidRPr="0059462F" w:rsidRDefault="000F3873" w:rsidP="000F3873">
      <w:pPr>
        <w:pStyle w:val="JuPara"/>
      </w:pPr>
      <w:r>
        <w:t xml:space="preserve">В тази връзка Съдът твърди, че поведението на административните органи, изразено в </w:t>
      </w:r>
      <w:proofErr w:type="spellStart"/>
      <w:r>
        <w:t>непредприемане</w:t>
      </w:r>
      <w:proofErr w:type="spellEnd"/>
      <w:r>
        <w:t xml:space="preserve"> на всички необходими мерки за избягване на риска от взрив на метан, а оттам и причиняване на свлачище, също е в противоречие с изискването </w:t>
      </w:r>
      <w:r w:rsidR="00152D7B">
        <w:t>з</w:t>
      </w:r>
      <w:r>
        <w:t xml:space="preserve">а „практическа и ефективна“ защита на правото, гарантирано </w:t>
      </w:r>
      <w:r w:rsidR="00152D7B">
        <w:t xml:space="preserve">по </w:t>
      </w:r>
      <w:r>
        <w:t>чл</w:t>
      </w:r>
      <w:r w:rsidR="00152D7B">
        <w:t>.</w:t>
      </w:r>
      <w:r>
        <w:t xml:space="preserve"> 1 </w:t>
      </w:r>
      <w:r w:rsidR="00152D7B">
        <w:t xml:space="preserve">от </w:t>
      </w:r>
      <w:r>
        <w:t>Протокол № 1.</w:t>
      </w:r>
    </w:p>
    <w:p w:rsidR="000F3873" w:rsidRPr="0059462F" w:rsidRDefault="000F3873" w:rsidP="000F3873">
      <w:pPr>
        <w:pStyle w:val="JuPara"/>
      </w:pPr>
      <w:r>
        <w:t>Съдът сч</w:t>
      </w:r>
      <w:r w:rsidR="00152D7B">
        <w:t>и</w:t>
      </w:r>
      <w:r>
        <w:t>т</w:t>
      </w:r>
      <w:r w:rsidR="00152D7B">
        <w:t>а</w:t>
      </w:r>
      <w:r>
        <w:t>, че подобна ситуация представлява явно нарушение на правото на жалбоподателя на мирно „притежание“ и следва да се разглежда като „намеса“, която явно не се оправдава с чл</w:t>
      </w:r>
      <w:r w:rsidR="00152D7B">
        <w:t>.</w:t>
      </w:r>
      <w:r>
        <w:t xml:space="preserve"> 1 </w:t>
      </w:r>
      <w:r w:rsidR="00152D7B">
        <w:t>от</w:t>
      </w:r>
      <w:r>
        <w:t xml:space="preserve"> Протокол № 1, като се вижда, че пропуските поради небрежност на властите, които са довели до лишаване от притежание в настоящия случай, са нарушили административното и наказателното законодателство на Турция.</w:t>
      </w:r>
    </w:p>
    <w:p w:rsidR="000F3873" w:rsidRPr="0059462F" w:rsidRDefault="000F3873" w:rsidP="006725B0">
      <w:pPr>
        <w:pStyle w:val="JuH1"/>
        <w:widowControl w:val="0"/>
      </w:pPr>
      <w:r>
        <w:t>2.  Твърдения на изправените пред съда</w:t>
      </w:r>
    </w:p>
    <w:p w:rsidR="000F3873" w:rsidRPr="0059462F" w:rsidRDefault="000F3873" w:rsidP="006725B0">
      <w:pPr>
        <w:pStyle w:val="JuHa"/>
        <w:widowControl w:val="0"/>
      </w:pPr>
      <w:r>
        <w:t>а)</w:t>
      </w:r>
      <w:r>
        <w:tab/>
        <w:t>Правителството</w:t>
      </w:r>
    </w:p>
    <w:p w:rsidR="00D8632D" w:rsidRDefault="008E7633" w:rsidP="000F3873">
      <w:pPr>
        <w:pStyle w:val="JuPara"/>
      </w:pPr>
      <w:fldSimple w:instr=" SEQ level0 \*arabic ">
        <w:r w:rsidR="00A94344">
          <w:rPr>
            <w:noProof/>
          </w:rPr>
          <w:t>131</w:t>
        </w:r>
      </w:fldSimple>
      <w:r w:rsidR="000F3873">
        <w:t>.  Правителството об</w:t>
      </w:r>
      <w:r w:rsidR="00A256C0">
        <w:t>ръща</w:t>
      </w:r>
      <w:r w:rsidR="000F3873">
        <w:t xml:space="preserve"> внимание на Съда </w:t>
      </w:r>
      <w:r w:rsidR="00A256C0">
        <w:t xml:space="preserve">върху </w:t>
      </w:r>
      <w:r w:rsidR="000F3873">
        <w:t xml:space="preserve">факта, че в решението си от 18 юни 2002 г., </w:t>
      </w:r>
      <w:r w:rsidR="00A256C0">
        <w:t xml:space="preserve">отделението </w:t>
      </w:r>
      <w:r w:rsidR="000F3873">
        <w:t>не е могл</w:t>
      </w:r>
      <w:r w:rsidR="00A256C0">
        <w:t>о</w:t>
      </w:r>
      <w:r w:rsidR="000F3873">
        <w:t xml:space="preserve"> да цитира </w:t>
      </w:r>
      <w:r w:rsidR="00A256C0">
        <w:t xml:space="preserve">нито един </w:t>
      </w:r>
      <w:r w:rsidR="000F3873">
        <w:t xml:space="preserve">прецедент, в който е установено, че държавата има позитивно задължение в ситуация, сходна с тази, свързана с жалбата на жалбоподателя. </w:t>
      </w:r>
      <w:r w:rsidR="00A256C0">
        <w:t>Според</w:t>
      </w:r>
      <w:r w:rsidR="000F3873">
        <w:t xml:space="preserve"> </w:t>
      </w:r>
      <w:r w:rsidR="00A256C0">
        <w:t>изложеното</w:t>
      </w:r>
      <w:r w:rsidR="000F3873">
        <w:t xml:space="preserve"> от Правителството </w:t>
      </w:r>
      <w:r w:rsidR="00A256C0">
        <w:t xml:space="preserve">е </w:t>
      </w:r>
      <w:r w:rsidR="00E2404C">
        <w:t>достойно за съжаление</w:t>
      </w:r>
      <w:r w:rsidR="000F3873">
        <w:t>, че при достигане до заключенията си Съдът е избрал да се позове на случай, в който не е налице признато право на собственост.</w:t>
      </w:r>
    </w:p>
    <w:p w:rsidR="000F3873" w:rsidRPr="0059462F" w:rsidRDefault="000F3873" w:rsidP="000F3873">
      <w:pPr>
        <w:pStyle w:val="JuPara"/>
      </w:pPr>
      <w:r>
        <w:t>Правителството изтък</w:t>
      </w:r>
      <w:r w:rsidR="00E2404C">
        <w:t>в</w:t>
      </w:r>
      <w:r>
        <w:t xml:space="preserve">а, че подобно заключение е равносилно на критика към турските власти за въздържането им въз основа на хуманитарни съображения от разрушаване на къщата на жалбоподателя и за това, че не са подозирали, че това решение ще се тълкува като </w:t>
      </w:r>
      <w:r w:rsidR="00E2404C">
        <w:t xml:space="preserve">скрито </w:t>
      </w:r>
      <w:r>
        <w:t>признаване на право</w:t>
      </w:r>
      <w:r w:rsidR="00E2404C">
        <w:t xml:space="preserve"> на собственост</w:t>
      </w:r>
      <w:r>
        <w:t>, което от законова гледна точка е нищожно.</w:t>
      </w:r>
    </w:p>
    <w:p w:rsidR="000F3873" w:rsidRPr="0059462F" w:rsidRDefault="000F3873" w:rsidP="000F3873">
      <w:pPr>
        <w:pStyle w:val="JuPara"/>
      </w:pPr>
      <w:r>
        <w:t xml:space="preserve">Във всички случаи Правителството счита, че жалбоподателят не </w:t>
      </w:r>
      <w:r w:rsidR="009B1750">
        <w:t xml:space="preserve">може </w:t>
      </w:r>
      <w:r>
        <w:t>да твърди, че е жертва на нарушение на чл</w:t>
      </w:r>
      <w:r w:rsidR="009B1750">
        <w:t>.</w:t>
      </w:r>
      <w:r>
        <w:t xml:space="preserve"> 1 </w:t>
      </w:r>
      <w:r w:rsidR="009B1750">
        <w:t>от</w:t>
      </w:r>
      <w:r>
        <w:t xml:space="preserve"> Протокол № 1, тъй като административните власти са му предоставили материално обезщетение за имуществени вреди и му е било осигурено субсидирано жилище на ниска цена.</w:t>
      </w:r>
    </w:p>
    <w:p w:rsidR="000F3873" w:rsidRPr="0059462F" w:rsidRDefault="000F3873" w:rsidP="006725B0">
      <w:pPr>
        <w:pStyle w:val="JuHa"/>
        <w:widowControl w:val="0"/>
      </w:pPr>
      <w:r>
        <w:t>б)</w:t>
      </w:r>
      <w:r>
        <w:tab/>
        <w:t>Жалбоподателят</w:t>
      </w:r>
    </w:p>
    <w:p w:rsidR="000F3873" w:rsidRPr="0059462F" w:rsidRDefault="008E7633" w:rsidP="000F3873">
      <w:pPr>
        <w:pStyle w:val="JuPara"/>
      </w:pPr>
      <w:fldSimple w:instr=" SEQ level0 \*arabic ">
        <w:r w:rsidR="00A94344">
          <w:rPr>
            <w:noProof/>
          </w:rPr>
          <w:t>132</w:t>
        </w:r>
      </w:fldSimple>
      <w:r w:rsidR="000F3873">
        <w:t xml:space="preserve">.  Твърденията на жалбоподателя пред Съда се позовават на делото </w:t>
      </w:r>
      <w:proofErr w:type="spellStart"/>
      <w:r w:rsidR="000F3873">
        <w:rPr>
          <w:i/>
        </w:rPr>
        <w:t>Chapman</w:t>
      </w:r>
      <w:proofErr w:type="spellEnd"/>
      <w:r w:rsidR="000F3873">
        <w:t xml:space="preserve">, цитирано по-горе. Той счита, че в този случай Съдът е разгледал ситуацията на лице, което съзнателно е пренебрегнало </w:t>
      </w:r>
      <w:r w:rsidR="009B1750">
        <w:t xml:space="preserve">получените </w:t>
      </w:r>
      <w:r w:rsidR="000F3873">
        <w:t>предупреждения и законно наложените наказания с оглед защитата на екологичните права на другите. Обстоятелствата по настоящото дело са твърде различни, тъй като Правителството е критикувано точно заради бездействието или небрежността при прилагане на закона от страна на властите.</w:t>
      </w:r>
    </w:p>
    <w:p w:rsidR="000F3873" w:rsidRPr="0059462F" w:rsidRDefault="009F66F3" w:rsidP="006725B0">
      <w:pPr>
        <w:pStyle w:val="JuH1"/>
        <w:widowControl w:val="0"/>
      </w:pPr>
      <w:r>
        <w:br w:type="page"/>
      </w:r>
      <w:r>
        <w:lastRenderedPageBreak/>
        <w:t>3.  Преценката на Съда</w:t>
      </w:r>
    </w:p>
    <w:p w:rsidR="000F3873" w:rsidRPr="0059462F" w:rsidRDefault="008E7633" w:rsidP="000F3873">
      <w:pPr>
        <w:pStyle w:val="JuPara"/>
      </w:pPr>
      <w:fldSimple w:instr=" SEQ level0 \*arabic ">
        <w:r w:rsidR="00A94344">
          <w:rPr>
            <w:noProof/>
          </w:rPr>
          <w:t>133</w:t>
        </w:r>
      </w:fldSimple>
      <w:r w:rsidR="000F3873">
        <w:t xml:space="preserve">.  Съдът счита, че сложността на фактическата и правната позиция по проблема в конкретния случай не позволява той да попадне в една от категориите, включени във второто изречение на първия параграф или </w:t>
      </w:r>
      <w:r w:rsidR="0014687A">
        <w:t xml:space="preserve">във </w:t>
      </w:r>
      <w:r w:rsidR="000F3873">
        <w:t>втория параграф на чл</w:t>
      </w:r>
      <w:r w:rsidR="0014687A">
        <w:t>.</w:t>
      </w:r>
      <w:r w:rsidR="000F3873">
        <w:t xml:space="preserve"> 1 от Протокол № 1 (вж</w:t>
      </w:r>
      <w:r w:rsidR="0014687A">
        <w:t>.</w:t>
      </w:r>
      <w:r w:rsidR="000F3873">
        <w:t xml:space="preserve"> </w:t>
      </w:r>
      <w:proofErr w:type="spellStart"/>
      <w:r w:rsidR="000F3873">
        <w:rPr>
          <w:i/>
        </w:rPr>
        <w:t>Beyeler</w:t>
      </w:r>
      <w:proofErr w:type="spellEnd"/>
      <w:r w:rsidR="000F3873">
        <w:t xml:space="preserve">, цитирано по-горе, § 98), като </w:t>
      </w:r>
      <w:r w:rsidR="0014687A">
        <w:t xml:space="preserve">освен това </w:t>
      </w:r>
      <w:r w:rsidR="000F3873">
        <w:t>се има предвид, че жалбоподателят се оплаква не от действието, а от бездействието на държавата.</w:t>
      </w:r>
    </w:p>
    <w:p w:rsidR="000F3873" w:rsidRPr="0059462F" w:rsidRDefault="000F3873" w:rsidP="000F3873">
      <w:pPr>
        <w:pStyle w:val="JuPara"/>
      </w:pPr>
      <w:r>
        <w:t xml:space="preserve">Следователно Съдът счита, че следва да разгледа делото предвид основното правило в първото изречение на първия параграф, което излага правото на мирно </w:t>
      </w:r>
      <w:r w:rsidR="0014687A">
        <w:t xml:space="preserve">ползване на </w:t>
      </w:r>
      <w:r>
        <w:t>притежани</w:t>
      </w:r>
      <w:r w:rsidR="0014687A">
        <w:t>я</w:t>
      </w:r>
      <w:r>
        <w:t>.</w:t>
      </w:r>
    </w:p>
    <w:p w:rsidR="00D8632D" w:rsidRDefault="008E7633" w:rsidP="000F3873">
      <w:pPr>
        <w:pStyle w:val="JuPara"/>
      </w:pPr>
      <w:fldSimple w:instr=" SEQ level0 \*arabic ">
        <w:r w:rsidR="00A94344">
          <w:rPr>
            <w:noProof/>
          </w:rPr>
          <w:t>134</w:t>
        </w:r>
      </w:fldSimple>
      <w:r w:rsidR="000F3873">
        <w:t>.  В тази връзка Съдът препотвър</w:t>
      </w:r>
      <w:r w:rsidR="0014687A">
        <w:t>ждава</w:t>
      </w:r>
      <w:r w:rsidR="000F3873">
        <w:t xml:space="preserve"> принципа, който вече е установен по същество по чл</w:t>
      </w:r>
      <w:r w:rsidR="0014687A">
        <w:t>.</w:t>
      </w:r>
      <w:r w:rsidR="000F3873">
        <w:t xml:space="preserve"> 1 </w:t>
      </w:r>
      <w:r w:rsidR="0014687A">
        <w:t>от</w:t>
      </w:r>
      <w:r w:rsidR="000F3873">
        <w:t xml:space="preserve"> Протокол № 1 (вж</w:t>
      </w:r>
      <w:r w:rsidR="0014687A">
        <w:t>.</w:t>
      </w:r>
      <w:r w:rsidR="000F3873">
        <w:t xml:space="preserve"> </w:t>
      </w:r>
      <w:proofErr w:type="spellStart"/>
      <w:r w:rsidR="000F3873">
        <w:rPr>
          <w:i/>
        </w:rPr>
        <w:t>Bielectric</w:t>
      </w:r>
      <w:proofErr w:type="spellEnd"/>
      <w:r w:rsidR="000F3873">
        <w:rPr>
          <w:i/>
        </w:rPr>
        <w:t xml:space="preserve"> </w:t>
      </w:r>
      <w:proofErr w:type="spellStart"/>
      <w:r w:rsidR="000F3873">
        <w:rPr>
          <w:i/>
        </w:rPr>
        <w:t>S.r.l</w:t>
      </w:r>
      <w:proofErr w:type="spellEnd"/>
      <w:r w:rsidR="000F3873">
        <w:rPr>
          <w:i/>
        </w:rPr>
        <w:t xml:space="preserve">. </w:t>
      </w:r>
      <w:r w:rsidR="0014687A">
        <w:rPr>
          <w:i/>
        </w:rPr>
        <w:t>срещу Италия</w:t>
      </w:r>
      <w:r w:rsidR="000F3873">
        <w:t xml:space="preserve"> (</w:t>
      </w:r>
      <w:r w:rsidR="0014687A">
        <w:t>РД</w:t>
      </w:r>
      <w:r w:rsidR="000F3873">
        <w:t xml:space="preserve">), № 36811/97, 4 май 2000 г.). </w:t>
      </w:r>
      <w:r w:rsidR="00702443">
        <w:t>Автентичното и</w:t>
      </w:r>
      <w:r w:rsidR="000F3873">
        <w:t xml:space="preserve"> ефективно упражняване на правото, гарантирано от тази разпоредба, не зависи само от задължението на държавата да не се намесва, но може и да изисква позитивни мерки за защита, особено когато е налице пряка връзка между мерките, които даден жалбоподател законно може да очаква от властите</w:t>
      </w:r>
      <w:r w:rsidR="00702443">
        <w:t>,</w:t>
      </w:r>
      <w:r w:rsidR="000F3873">
        <w:t xml:space="preserve"> и ефективното ползване от негова страна на притежанието му.</w:t>
      </w:r>
    </w:p>
    <w:p w:rsidR="000F3873" w:rsidRPr="0059462F" w:rsidRDefault="008E7633" w:rsidP="000F3873">
      <w:pPr>
        <w:pStyle w:val="JuPara"/>
      </w:pPr>
      <w:fldSimple w:instr=" SEQ level0 \*arabic ">
        <w:r w:rsidR="00A94344">
          <w:rPr>
            <w:noProof/>
          </w:rPr>
          <w:t>135</w:t>
        </w:r>
      </w:fldSimple>
      <w:r w:rsidR="000F3873">
        <w:t xml:space="preserve">.  В </w:t>
      </w:r>
      <w:r w:rsidR="00702443">
        <w:t>настоящия случай</w:t>
      </w:r>
      <w:r w:rsidR="000F3873">
        <w:t xml:space="preserve"> няма съмнение, че причинно</w:t>
      </w:r>
      <w:r w:rsidR="00702443">
        <w:t>-</w:t>
      </w:r>
      <w:r w:rsidR="000F3873">
        <w:t>следствената връзка, установена между грубата небрежност от страна на държавата и загубата на човешки живот</w:t>
      </w:r>
      <w:r w:rsidR="00702443">
        <w:t>,</w:t>
      </w:r>
      <w:r w:rsidR="000F3873">
        <w:t xml:space="preserve"> се прилага също и за разрушаването на дома на жалбоподателя. От гледна точка на Съда извършеното нарушение не съставлява „</w:t>
      </w:r>
      <w:r w:rsidR="00272464">
        <w:t>намеса</w:t>
      </w:r>
      <w:r w:rsidR="000F3873">
        <w:t>“, а нарушаване на позитивно задължение, тъй като държавните служители и власти не са направили нищо в рамките на правомощията си, за да защитят имуществените интереси на жалбоподателя.</w:t>
      </w:r>
    </w:p>
    <w:p w:rsidR="000F3873" w:rsidRPr="0059462F" w:rsidRDefault="000F3873" w:rsidP="000F3873">
      <w:pPr>
        <w:pStyle w:val="JuPara"/>
      </w:pPr>
      <w:r>
        <w:t xml:space="preserve">В твърдението, че турските власти не могат да бъдат критикувани заради въздържането им от разрушаване на къщата на жалбоподателя </w:t>
      </w:r>
      <w:r w:rsidR="00272464">
        <w:t xml:space="preserve">поради хуманитарни съображения </w:t>
      </w:r>
      <w:r>
        <w:t>(вж</w:t>
      </w:r>
      <w:r w:rsidR="00272464">
        <w:t>.</w:t>
      </w:r>
      <w:r>
        <w:t xml:space="preserve"> параграфи 80 и 131 по-горе), изявленията на Правителството се явява</w:t>
      </w:r>
      <w:r w:rsidR="00272464">
        <w:t>т</w:t>
      </w:r>
      <w:r>
        <w:t xml:space="preserve"> насочен</w:t>
      </w:r>
      <w:r w:rsidR="00272464">
        <w:t>и</w:t>
      </w:r>
      <w:r>
        <w:t xml:space="preserve"> към въпроса за „легитимната цел“ за целите на параграф 2 на чл</w:t>
      </w:r>
      <w:r w:rsidR="00272464">
        <w:t>.</w:t>
      </w:r>
      <w:r>
        <w:t xml:space="preserve"> 1 от Протокол № 1.</w:t>
      </w:r>
    </w:p>
    <w:p w:rsidR="00D8632D" w:rsidRDefault="008E7633" w:rsidP="000F3873">
      <w:pPr>
        <w:pStyle w:val="JuPara"/>
      </w:pPr>
      <w:fldSimple w:instr=" SEQ level0 \*arabic ">
        <w:r w:rsidR="00A94344">
          <w:rPr>
            <w:noProof/>
          </w:rPr>
          <w:t>136</w:t>
        </w:r>
      </w:fldSimple>
      <w:r w:rsidR="000F3873">
        <w:t xml:space="preserve">.  Съдът все пак не може да приеме този аргумент и </w:t>
      </w:r>
      <w:r w:rsidR="00405F38">
        <w:t>по</w:t>
      </w:r>
      <w:r w:rsidR="000F3873">
        <w:t>ради същите по същество причини като тези, представени по отношение на жалбата за наруше</w:t>
      </w:r>
      <w:r w:rsidR="00405F38">
        <w:t>ние</w:t>
      </w:r>
      <w:r w:rsidR="000F3873">
        <w:t xml:space="preserve"> на чл</w:t>
      </w:r>
      <w:r w:rsidR="00405F38">
        <w:t>.</w:t>
      </w:r>
      <w:r w:rsidR="000F3873">
        <w:t xml:space="preserve"> 2 (вж</w:t>
      </w:r>
      <w:r w:rsidR="00405F38">
        <w:t>.</w:t>
      </w:r>
      <w:r w:rsidR="000F3873">
        <w:t xml:space="preserve"> параграфи 106-08 по-горе), констатира, че позитивното задължение по чл</w:t>
      </w:r>
      <w:r w:rsidR="00405F38">
        <w:t>.</w:t>
      </w:r>
      <w:r w:rsidR="000F3873">
        <w:t xml:space="preserve"> 1 </w:t>
      </w:r>
      <w:r w:rsidR="00405F38">
        <w:t>от</w:t>
      </w:r>
      <w:r w:rsidR="000F3873">
        <w:t xml:space="preserve"> Протокол № 1 изисква от националните власти да предприемат същите практически стъпки, изложен</w:t>
      </w:r>
      <w:r w:rsidR="00405F38">
        <w:t>и</w:t>
      </w:r>
      <w:r w:rsidR="000F3873">
        <w:t xml:space="preserve"> по-горе, за </w:t>
      </w:r>
      <w:r w:rsidR="00405F38">
        <w:t xml:space="preserve">предотвратяване </w:t>
      </w:r>
      <w:r w:rsidR="000F3873">
        <w:t>разрушаването на къщата на жалбоподателя.</w:t>
      </w:r>
    </w:p>
    <w:p w:rsidR="000F3873" w:rsidRPr="0059462F" w:rsidRDefault="008E7633" w:rsidP="000F3873">
      <w:pPr>
        <w:pStyle w:val="JuPara"/>
      </w:pPr>
      <w:fldSimple w:instr=" SEQ level0 \*arabic ">
        <w:r w:rsidR="00A94344">
          <w:rPr>
            <w:noProof/>
          </w:rPr>
          <w:t>137</w:t>
        </w:r>
      </w:fldSimple>
      <w:r w:rsidR="000F3873">
        <w:t xml:space="preserve">.  Тъй като е ясно, че не са предприети никакви подобни стъпки, за Съда остава да се обърне към твърдението на Правителството, че жалбоподателят не може да се обявява за жертва на нарушение на неговото право на мирно притежание, тъй като е бил обезщетен </w:t>
      </w:r>
      <w:r w:rsidR="000F3873">
        <w:lastRenderedPageBreak/>
        <w:t>материално за претърпени имуществени вреди и е бил в състояние да придобие субсидирано жилище при много благоприятни условия.</w:t>
      </w:r>
    </w:p>
    <w:p w:rsidR="000F3873" w:rsidRDefault="000F3873" w:rsidP="000F3873">
      <w:pPr>
        <w:pStyle w:val="JuPara"/>
        <w:rPr>
          <w:szCs w:val="24"/>
        </w:rPr>
      </w:pPr>
      <w:r>
        <w:t xml:space="preserve">Съдът не се съгласява с това твърдение. Дори ако се предположи, че преференциалните условия, при които въпросният апартамент е бил продаден, до голяма степен компенсират резултата от наблюдаваното бездействие в конкретния случай, </w:t>
      </w:r>
      <w:r w:rsidR="003F100F">
        <w:t>те все пак</w:t>
      </w:r>
      <w:r>
        <w:t xml:space="preserve"> не могат да се разглеждат като </w:t>
      </w:r>
      <w:r w:rsidR="003F100F">
        <w:t xml:space="preserve">подходящо </w:t>
      </w:r>
      <w:r>
        <w:t>обезщетение за вредите, претърпени от жалбоподателя. В тази връзка каквито и предимства да е получил жалбоподателя, това не означава, че той губи статута си на „жертва“, особено поради факта, че в сделката за продажба и в другите свързани документи по случая няма нищо, което да води до признаване от страна на властите на нарушение на правото му на мирно притежание (вж</w:t>
      </w:r>
      <w:r w:rsidR="00C33786">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Amuur</w:t>
      </w:r>
      <w:proofErr w:type="spellEnd"/>
      <w:r>
        <w:rPr>
          <w:i/>
        </w:rPr>
        <w:t xml:space="preserve"> </w:t>
      </w:r>
      <w:r w:rsidR="00C33786">
        <w:rPr>
          <w:i/>
        </w:rPr>
        <w:t>срещу Франция</w:t>
      </w:r>
      <w:r>
        <w:t xml:space="preserve">, решение от 25 юни 1996 г., Доклади 1996-III, стр. 846, § 36 и </w:t>
      </w:r>
      <w:proofErr w:type="spellStart"/>
      <w:r>
        <w:rPr>
          <w:i/>
        </w:rPr>
        <w:t>Dalban</w:t>
      </w:r>
      <w:proofErr w:type="spellEnd"/>
      <w:r>
        <w:rPr>
          <w:i/>
        </w:rPr>
        <w:t xml:space="preserve"> </w:t>
      </w:r>
      <w:r w:rsidR="00C33786">
        <w:rPr>
          <w:i/>
        </w:rPr>
        <w:t>срещу Румъния</w:t>
      </w:r>
      <w:r>
        <w:t xml:space="preserve"> [</w:t>
      </w:r>
      <w:r w:rsidR="00C33786">
        <w:t>ГО</w:t>
      </w:r>
      <w:r>
        <w:t>], № 28114/95, § 44, ЕСПЧ 1999-VI).</w:t>
      </w:r>
    </w:p>
    <w:p w:rsidR="00D8632D" w:rsidRDefault="000F3873" w:rsidP="000F3873">
      <w:pPr>
        <w:pStyle w:val="JuPara"/>
      </w:pPr>
      <w:r>
        <w:t>Във връзка с обезщетението за претърпени имуществени вреди, достатъчно е да се отбележи, че сумата все още не е платена, макар че е постановено окончателно решение (вж</w:t>
      </w:r>
      <w:r w:rsidR="00C471EE" w:rsidRPr="00833B88">
        <w:t>.</w:t>
      </w:r>
      <w:r>
        <w:t xml:space="preserve"> параграф 42 по-горе), който факт не може да се разглежда като нищо друго освен като намеса в упражняването на правото на събиране на вземане, което е било </w:t>
      </w:r>
      <w:r w:rsidR="00C471EE">
        <w:t xml:space="preserve">потвърдено </w:t>
      </w:r>
      <w:r>
        <w:t xml:space="preserve">и което е също така гарантирано </w:t>
      </w:r>
      <w:r w:rsidR="00C471EE" w:rsidRPr="00833B88">
        <w:t>по</w:t>
      </w:r>
      <w:r w:rsidR="00C471EE">
        <w:t xml:space="preserve"> </w:t>
      </w:r>
      <w:r>
        <w:t>чл</w:t>
      </w:r>
      <w:r w:rsidR="00C471EE" w:rsidRPr="00833B88">
        <w:t>.</w:t>
      </w:r>
      <w:r>
        <w:t xml:space="preserve"> 1 </w:t>
      </w:r>
      <w:r w:rsidR="00C471EE">
        <w:t>от</w:t>
      </w:r>
      <w:r>
        <w:t xml:space="preserve"> Протокол № 1 (вж</w:t>
      </w:r>
      <w:r w:rsidR="00C471EE">
        <w:t>.</w:t>
      </w:r>
      <w:r>
        <w:t xml:space="preserve"> </w:t>
      </w:r>
      <w:proofErr w:type="spellStart"/>
      <w:r>
        <w:rPr>
          <w:i/>
        </w:rPr>
        <w:t>Antonakopoulos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w:t>
      </w:r>
      <w:r w:rsidR="00C471EE">
        <w:rPr>
          <w:i/>
        </w:rPr>
        <w:t>срещу Гърция</w:t>
      </w:r>
      <w:r>
        <w:t>, № 37098/97, § 31, 14 декември 1999 г.).</w:t>
      </w:r>
    </w:p>
    <w:p w:rsidR="000F3873" w:rsidRPr="0059462F" w:rsidRDefault="000F3873" w:rsidP="000F3873">
      <w:pPr>
        <w:pStyle w:val="JuPara"/>
      </w:pPr>
      <w:r>
        <w:t xml:space="preserve">Въпреки това Съдът счита, че не е необходимо да разглежда този въпрос </w:t>
      </w:r>
      <w:r w:rsidR="00F110D3">
        <w:t>служебно</w:t>
      </w:r>
      <w:r>
        <w:t>, като взема предвид преценката си по чл</w:t>
      </w:r>
      <w:r w:rsidR="00F110D3">
        <w:t>.</w:t>
      </w:r>
      <w:r>
        <w:t xml:space="preserve"> 13 </w:t>
      </w:r>
      <w:r w:rsidR="00F110D3">
        <w:t>от</w:t>
      </w:r>
      <w:r>
        <w:t xml:space="preserve"> Конвенцията.</w:t>
      </w:r>
    </w:p>
    <w:p w:rsidR="000F3873" w:rsidRPr="0059462F" w:rsidRDefault="008E7633" w:rsidP="000F3873">
      <w:pPr>
        <w:pStyle w:val="JuPara"/>
      </w:pPr>
      <w:fldSimple w:instr=" SEQ level0 \*arabic ">
        <w:r w:rsidR="00A94344">
          <w:rPr>
            <w:noProof/>
          </w:rPr>
          <w:t>138</w:t>
        </w:r>
      </w:fldSimple>
      <w:r w:rsidR="000F3873">
        <w:t xml:space="preserve">.  Следователно в конкретния случай е налице нарушение на чл. 1 </w:t>
      </w:r>
      <w:r w:rsidR="00F110D3">
        <w:t>от</w:t>
      </w:r>
      <w:r w:rsidR="000F3873">
        <w:t xml:space="preserve"> Протокол № 1.</w:t>
      </w:r>
    </w:p>
    <w:p w:rsidR="000F3873" w:rsidRPr="0059462F" w:rsidRDefault="000F3873" w:rsidP="006725B0">
      <w:pPr>
        <w:pStyle w:val="JuHIRoman"/>
        <w:widowControl w:val="0"/>
      </w:pPr>
      <w:r>
        <w:t>III.  ТВЪРДЕНИЕ ЗА НАРУШЕНИЕ НА ЧЛ. 13 ОТ КОНВЕНЦИЯТА</w:t>
      </w:r>
    </w:p>
    <w:p w:rsidR="000F3873" w:rsidRPr="0059462F" w:rsidRDefault="008E7633" w:rsidP="006725B0">
      <w:pPr>
        <w:pStyle w:val="JuPara"/>
        <w:widowControl w:val="0"/>
      </w:pPr>
      <w:fldSimple w:instr=" SEQ level0 \*arabic ">
        <w:r w:rsidR="00A94344">
          <w:rPr>
            <w:noProof/>
          </w:rPr>
          <w:t>139</w:t>
        </w:r>
      </w:fldSimple>
      <w:r w:rsidR="000F3873">
        <w:t>.  Жалбоподателят твърди, че вътрешните средства</w:t>
      </w:r>
      <w:r w:rsidR="00F110D3">
        <w:t xml:space="preserve"> за правна защита</w:t>
      </w:r>
      <w:r w:rsidR="000F3873">
        <w:t>, на които е разчитал, са го подвели. Неефективността им е породила нарушение на чл</w:t>
      </w:r>
      <w:r w:rsidR="00B354CC">
        <w:t>.</w:t>
      </w:r>
      <w:r w:rsidR="000F3873">
        <w:t xml:space="preserve"> 13 </w:t>
      </w:r>
      <w:r w:rsidR="00B354CC">
        <w:t>от</w:t>
      </w:r>
      <w:r w:rsidR="000F3873">
        <w:t xml:space="preserve"> Конвенцията, който гласи:</w:t>
      </w:r>
    </w:p>
    <w:p w:rsidR="00D8632D" w:rsidRDefault="000F3873" w:rsidP="006725B0">
      <w:pPr>
        <w:pStyle w:val="JuQuot"/>
        <w:widowControl w:val="0"/>
      </w:pPr>
      <w: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D8632D" w:rsidRDefault="008E7633" w:rsidP="006725B0">
      <w:pPr>
        <w:pStyle w:val="JuPara"/>
        <w:widowControl w:val="0"/>
      </w:pPr>
      <w:fldSimple w:instr=" SEQ level0 \*arabic ">
        <w:r w:rsidR="00A94344">
          <w:rPr>
            <w:noProof/>
          </w:rPr>
          <w:t>140</w:t>
        </w:r>
      </w:fldSimple>
      <w:r w:rsidR="000F3873">
        <w:t>.  Правителството оспор</w:t>
      </w:r>
      <w:r w:rsidR="00B354CC">
        <w:t>ва</w:t>
      </w:r>
      <w:r w:rsidR="000F3873">
        <w:t xml:space="preserve"> това оплакване, като изтък</w:t>
      </w:r>
      <w:r w:rsidR="00B354CC">
        <w:t>в</w:t>
      </w:r>
      <w:r w:rsidR="000F3873">
        <w:t xml:space="preserve">а резултатите от наказателното и административното производство на </w:t>
      </w:r>
      <w:r w:rsidR="00B354CC">
        <w:t>национално ниво</w:t>
      </w:r>
      <w:r w:rsidR="000F3873">
        <w:t>.</w:t>
      </w:r>
    </w:p>
    <w:p w:rsidR="000F3873" w:rsidRPr="000F3873" w:rsidRDefault="008D7188" w:rsidP="006725B0">
      <w:pPr>
        <w:pStyle w:val="JuHA0"/>
        <w:widowControl w:val="0"/>
      </w:pPr>
      <w:r>
        <w:t>А.</w:t>
      </w:r>
      <w:r>
        <w:tab/>
      </w:r>
      <w:r w:rsidR="00B354CC">
        <w:t>Решението на</w:t>
      </w:r>
      <w:r>
        <w:t xml:space="preserve"> Съда</w:t>
      </w:r>
    </w:p>
    <w:p w:rsidR="00D8632D" w:rsidRDefault="008E7633" w:rsidP="006725B0">
      <w:pPr>
        <w:pStyle w:val="JuPara"/>
        <w:widowControl w:val="0"/>
      </w:pPr>
      <w:fldSimple w:instr=" SEQ level0 \*arabic ">
        <w:r w:rsidR="00A94344">
          <w:rPr>
            <w:noProof/>
          </w:rPr>
          <w:t>141</w:t>
        </w:r>
      </w:fldSimple>
      <w:r w:rsidR="000F3873">
        <w:t>.  Съдът счита, че заключението му относно оплакванията на жалбоподателя по чл</w:t>
      </w:r>
      <w:r w:rsidR="00B55BB9">
        <w:t>.</w:t>
      </w:r>
      <w:r w:rsidR="000F3873">
        <w:t xml:space="preserve"> 2 от Конвенцията и чл</w:t>
      </w:r>
      <w:r w:rsidR="00B55BB9">
        <w:t>.</w:t>
      </w:r>
      <w:r w:rsidR="000F3873">
        <w:t xml:space="preserve"> 1 </w:t>
      </w:r>
      <w:r w:rsidR="00B55BB9">
        <w:t xml:space="preserve">от </w:t>
      </w:r>
      <w:r w:rsidR="000F3873">
        <w:t>Протокол № 1 обезсмислят разглеждането отново в контекста на чл</w:t>
      </w:r>
      <w:r w:rsidR="00B55BB9">
        <w:t>.</w:t>
      </w:r>
      <w:r w:rsidR="000F3873">
        <w:t xml:space="preserve"> 13 на неговите твърдения за недостатъци в наказателното и административното производство. В конкретните обстоятелства по делото, нито наказателното производство, нито административно-правните действия отговарят на процесуалните задължения по чл</w:t>
      </w:r>
      <w:r w:rsidR="00B55BB9">
        <w:t>.</w:t>
      </w:r>
      <w:r w:rsidR="000F3873">
        <w:t xml:space="preserve"> 2 или доказват, че </w:t>
      </w:r>
      <w:r w:rsidR="00B55BB9">
        <w:t>могат</w:t>
      </w:r>
      <w:r w:rsidR="000F3873">
        <w:t xml:space="preserve"> да предоставят подходящо обезщетение за оплакванията на жалбоподателя. На първо място наказателното производство е проведено по начин, който е </w:t>
      </w:r>
      <w:r w:rsidR="00371631">
        <w:t>изместил вниманието</w:t>
      </w:r>
      <w:r w:rsidR="000F3873">
        <w:t xml:space="preserve"> от всички важни </w:t>
      </w:r>
      <w:proofErr w:type="spellStart"/>
      <w:r w:rsidR="000F3873">
        <w:t>животозастрашаващи</w:t>
      </w:r>
      <w:proofErr w:type="spellEnd"/>
      <w:r w:rsidR="000F3873">
        <w:t xml:space="preserve"> аспекти по делото към определянето на това дали кметовете могат да носят отговорност за „небрежност, проявена при изпълнение на задълженията им“. Второ, обезщетението, присъдено на жалбоподателя от административния съд, не отговаря на реалната му загуба. На последно място, </w:t>
      </w:r>
      <w:r w:rsidR="00371631">
        <w:t>освен</w:t>
      </w:r>
      <w:r w:rsidR="000F3873">
        <w:t xml:space="preserve"> че производството е продължило неоснователно дълго време, обезщетението, присъдено на жалбоподателя, в действителност никога не е било изплатено.</w:t>
      </w:r>
    </w:p>
    <w:p w:rsidR="000F3873" w:rsidRPr="000F3873" w:rsidRDefault="000F3873" w:rsidP="006725B0">
      <w:pPr>
        <w:pStyle w:val="JuHA0"/>
        <w:widowControl w:val="0"/>
      </w:pPr>
      <w:r>
        <w:t>Б.</w:t>
      </w:r>
      <w:r>
        <w:tab/>
        <w:t>Становища на страните</w:t>
      </w:r>
    </w:p>
    <w:p w:rsidR="000F3873" w:rsidRPr="0059462F" w:rsidRDefault="008D7188" w:rsidP="006725B0">
      <w:pPr>
        <w:pStyle w:val="JuH1"/>
        <w:widowControl w:val="0"/>
      </w:pPr>
      <w:r>
        <w:t>1.  Правителството</w:t>
      </w:r>
    </w:p>
    <w:p w:rsidR="000F3873" w:rsidRPr="0059462F" w:rsidRDefault="008E7633" w:rsidP="000F3873">
      <w:pPr>
        <w:pStyle w:val="JuPara"/>
      </w:pPr>
      <w:fldSimple w:instr=" SEQ level0 \*arabic ">
        <w:r w:rsidR="00A94344">
          <w:rPr>
            <w:noProof/>
          </w:rPr>
          <w:t>142</w:t>
        </w:r>
      </w:fldSimple>
      <w:r w:rsidR="000F3873">
        <w:t>.  Правителството оспор</w:t>
      </w:r>
      <w:r w:rsidR="00D1778B">
        <w:t>ва</w:t>
      </w:r>
      <w:r w:rsidR="000F3873">
        <w:t xml:space="preserve"> критиките на Съда относно наказателното производство, образувано срещу кметовете. Изтъкнато е, че </w:t>
      </w:r>
      <w:r w:rsidR="00D1778B">
        <w:t xml:space="preserve">националните </w:t>
      </w:r>
      <w:r w:rsidR="000F3873">
        <w:t xml:space="preserve">власти сами определят съществото на наказателните обвинения, които се повдигат срещу обвиняемите. Също така в компетенциите на Съда в Страсбург не попада поставянето под въпрос на присъдата, постановена от националния съд въз основа на доказателства, представени пред него, освен ако няма намерение </w:t>
      </w:r>
      <w:r w:rsidR="00D1778B">
        <w:t>да я замени</w:t>
      </w:r>
      <w:r w:rsidR="000F3873">
        <w:t xml:space="preserve"> със считана за правилна присъда. Правителството отбеляз</w:t>
      </w:r>
      <w:r w:rsidR="00D1778B">
        <w:t>в</w:t>
      </w:r>
      <w:r w:rsidR="000F3873">
        <w:t>а, че нито Конвенцията, нито съдебн</w:t>
      </w:r>
      <w:r w:rsidR="00D1778B">
        <w:t>ата</w:t>
      </w:r>
      <w:r w:rsidR="000F3873">
        <w:t xml:space="preserve"> практик</w:t>
      </w:r>
      <w:r w:rsidR="00D1778B">
        <w:t>а</w:t>
      </w:r>
      <w:r w:rsidR="000F3873">
        <w:t xml:space="preserve"> </w:t>
      </w:r>
      <w:r w:rsidR="00D1778B">
        <w:t xml:space="preserve">във връзка с нея </w:t>
      </w:r>
      <w:r w:rsidR="000F3873">
        <w:t xml:space="preserve">отправят принуда към властите да </w:t>
      </w:r>
      <w:r w:rsidR="00B73888" w:rsidRPr="00833B88">
        <w:t>издадат осъдителна</w:t>
      </w:r>
      <w:r w:rsidR="00B73888">
        <w:t xml:space="preserve"> </w:t>
      </w:r>
      <w:r w:rsidR="000F3873">
        <w:t>присъда за обвиняемия. Твърдението на Съда, че издадената присъда срещу кметовете е равносилна на почти пълното им оневиняване, пренебрегва тази точка и преценката на националните власти за класификация на наказателните обвинения предвид обстоятелствата на конкретния случай, включително ситуации като тази по настоящото дело, при която жалбоподателят никога не е подавал оплакване, че кметовете са виновни за незаконно отнемане на живот поради небрежност.</w:t>
      </w:r>
    </w:p>
    <w:p w:rsidR="000F3873" w:rsidRPr="0059462F" w:rsidRDefault="008E7633" w:rsidP="000F3873">
      <w:pPr>
        <w:pStyle w:val="JuPara"/>
      </w:pPr>
      <w:fldSimple w:instr=" SEQ level0 \*arabic ">
        <w:r w:rsidR="00A94344">
          <w:rPr>
            <w:noProof/>
          </w:rPr>
          <w:t>143</w:t>
        </w:r>
      </w:fldSimple>
      <w:r w:rsidR="000F3873">
        <w:t>.  </w:t>
      </w:r>
      <w:r w:rsidR="00445399">
        <w:t>Според</w:t>
      </w:r>
      <w:r w:rsidR="000F3873">
        <w:t xml:space="preserve"> Правителството същите </w:t>
      </w:r>
      <w:r w:rsidR="00445399">
        <w:t>съображения за</w:t>
      </w:r>
      <w:r w:rsidR="000F3873">
        <w:t xml:space="preserve"> „четвърта инстанция“ </w:t>
      </w:r>
      <w:r w:rsidR="00445399">
        <w:t>важат</w:t>
      </w:r>
      <w:r w:rsidR="000F3873">
        <w:t xml:space="preserve"> </w:t>
      </w:r>
      <w:r w:rsidR="00445399">
        <w:t xml:space="preserve">за </w:t>
      </w:r>
      <w:r w:rsidR="000F3873">
        <w:t xml:space="preserve">решението, издадено от административния съд </w:t>
      </w:r>
      <w:r w:rsidR="00445399">
        <w:t>във връзка с</w:t>
      </w:r>
      <w:r w:rsidR="000F3873">
        <w:t xml:space="preserve"> иска за обезщетение от страна на жалбоподателя. Присъдената сума в действителност е съществена, като се има предвид, че жалбоподателят е бил обезщетен с жилище при много благоприятни </w:t>
      </w:r>
      <w:r w:rsidR="000F3873">
        <w:lastRenderedPageBreak/>
        <w:t xml:space="preserve">условия. Всъщност той е </w:t>
      </w:r>
      <w:r w:rsidR="00FE74E2">
        <w:t xml:space="preserve">извлякъл полза от </w:t>
      </w:r>
      <w:r w:rsidR="000F3873">
        <w:t xml:space="preserve">новото си жилище на първо място като го е отдал под наем за сумата от </w:t>
      </w:r>
      <w:r w:rsidR="00FE74E2">
        <w:t>4</w:t>
      </w:r>
      <w:r w:rsidR="000F3873">
        <w:t>8</w:t>
      </w:r>
      <w:r w:rsidR="00FE74E2">
        <w:t>,</w:t>
      </w:r>
      <w:r w:rsidR="000F3873">
        <w:t>46 щатски долара на месец, спрямо 17</w:t>
      </w:r>
      <w:r w:rsidR="00FE74E2">
        <w:t>,</w:t>
      </w:r>
      <w:r w:rsidR="000F3873">
        <w:t xml:space="preserve">50 долара, които е плащал на властите, а след това като го е продал за 20 000 германски марки — цена, която далеч надвишава стойността на дома, когато му е бил предоставен (125 000 000 турски лири). По-нататък Правителството твърди, че </w:t>
      </w:r>
      <w:r w:rsidR="005F19C8">
        <w:t xml:space="preserve">противно </w:t>
      </w:r>
      <w:r w:rsidR="000F3873">
        <w:t xml:space="preserve">на констатациите на Съда, искът за обезщетение е бил разгледан в разумен срок и със сигурност в много по-кратък срок от този например по делото </w:t>
      </w:r>
      <w:proofErr w:type="spellStart"/>
      <w:r w:rsidR="000F3873">
        <w:rPr>
          <w:i/>
        </w:rPr>
        <w:t>Calvelli</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Ciglio</w:t>
      </w:r>
      <w:proofErr w:type="spellEnd"/>
      <w:r w:rsidR="000F3873">
        <w:t xml:space="preserve"> (цитирано по-горе), където Съдът констатира, че период от шест години и три месеца, през който е разглеждан граждански иск за причиняване на смърт поради небрежност, не представлява нарушение по чл</w:t>
      </w:r>
      <w:r w:rsidR="005F19C8">
        <w:t>.</w:t>
      </w:r>
      <w:r w:rsidR="000F3873">
        <w:t xml:space="preserve"> 2. Освен това жалбоподателят не е търсил начини да събере присъдената му сума.</w:t>
      </w:r>
    </w:p>
    <w:p w:rsidR="000F3873" w:rsidRPr="0059462F" w:rsidRDefault="000F3873" w:rsidP="006725B0">
      <w:pPr>
        <w:pStyle w:val="JuH1"/>
        <w:widowControl w:val="0"/>
      </w:pPr>
      <w:r>
        <w:t>2.  Жалбоподателят</w:t>
      </w:r>
    </w:p>
    <w:p w:rsidR="00D8632D" w:rsidRDefault="008E7633" w:rsidP="000F3873">
      <w:pPr>
        <w:pStyle w:val="JuPara"/>
      </w:pPr>
      <w:fldSimple w:instr=" SEQ level0 \*arabic ">
        <w:r w:rsidR="00A94344">
          <w:rPr>
            <w:noProof/>
          </w:rPr>
          <w:t>144</w:t>
        </w:r>
      </w:fldSimple>
      <w:r w:rsidR="000F3873">
        <w:t xml:space="preserve">.  По същество жалбоподателят </w:t>
      </w:r>
      <w:r w:rsidR="005F19C8">
        <w:t>е съгласен</w:t>
      </w:r>
      <w:r w:rsidR="000F3873">
        <w:t xml:space="preserve"> със заключенията на Съда относно недостатъците, открити от него в наказателното и административното производство. Въпреки това той твърди, че неефективността на тези производства също така представлява нарушение на чл</w:t>
      </w:r>
      <w:r w:rsidR="005F19C8">
        <w:t>.</w:t>
      </w:r>
      <w:r w:rsidR="000F3873">
        <w:t xml:space="preserve"> 13 от Конвенцията </w:t>
      </w:r>
      <w:r w:rsidR="009C67AA">
        <w:t>във връзка</w:t>
      </w:r>
      <w:r w:rsidR="000F3873">
        <w:t xml:space="preserve"> с чл</w:t>
      </w:r>
      <w:r w:rsidR="005F19C8">
        <w:t>.</w:t>
      </w:r>
      <w:r w:rsidR="000F3873">
        <w:t xml:space="preserve"> 2 и чл</w:t>
      </w:r>
      <w:r w:rsidR="005F19C8">
        <w:t xml:space="preserve">. </w:t>
      </w:r>
      <w:r w:rsidR="000F3873">
        <w:t xml:space="preserve">1 </w:t>
      </w:r>
      <w:r w:rsidR="005F19C8">
        <w:t>от</w:t>
      </w:r>
      <w:r w:rsidR="000F3873">
        <w:t xml:space="preserve"> Протокол № 1.</w:t>
      </w:r>
    </w:p>
    <w:p w:rsidR="000F3873" w:rsidRPr="000F3873" w:rsidRDefault="000F3873" w:rsidP="006725B0">
      <w:pPr>
        <w:pStyle w:val="JuHA0"/>
        <w:widowControl w:val="0"/>
      </w:pPr>
      <w:r>
        <w:t>В.</w:t>
      </w:r>
      <w:r>
        <w:tab/>
        <w:t>Преценката на Съда</w:t>
      </w:r>
    </w:p>
    <w:p w:rsidR="000F3873" w:rsidRPr="0059462F" w:rsidRDefault="000F3873" w:rsidP="006725B0">
      <w:pPr>
        <w:pStyle w:val="JuH1"/>
        <w:widowControl w:val="0"/>
      </w:pPr>
      <w:r>
        <w:t>1.  Принципи, приложими в конкретния случай</w:t>
      </w:r>
    </w:p>
    <w:p w:rsidR="00D8632D" w:rsidRDefault="008E7633" w:rsidP="000F3873">
      <w:pPr>
        <w:pStyle w:val="JuPara"/>
      </w:pPr>
      <w:fldSimple w:instr=" SEQ level0 \*arabic ">
        <w:r w:rsidR="00A94344">
          <w:rPr>
            <w:noProof/>
          </w:rPr>
          <w:t>145</w:t>
        </w:r>
      </w:fldSimple>
      <w:r w:rsidR="000F3873">
        <w:t xml:space="preserve">.  Член 13 </w:t>
      </w:r>
      <w:r w:rsidR="009C67AA">
        <w:t>от</w:t>
      </w:r>
      <w:r w:rsidR="000F3873">
        <w:t xml:space="preserve"> Конвенцията изисква вътрешноправните системи да осигурят ефективни средства, даващи право на компетентния национален орган да </w:t>
      </w:r>
      <w:r w:rsidR="009C67AA">
        <w:t xml:space="preserve">се </w:t>
      </w:r>
      <w:r w:rsidR="000F3873">
        <w:t>фокусира върху съществото на „</w:t>
      </w:r>
      <w:r w:rsidR="009C67AA">
        <w:t>защитими</w:t>
      </w:r>
      <w:r w:rsidR="000F3873">
        <w:t>“ жалби по Конвенцията (вж</w:t>
      </w:r>
      <w:r w:rsidR="009C67AA">
        <w:t>.</w:t>
      </w:r>
      <w:r w:rsidR="000F3873">
        <w:t xml:space="preserve"> </w:t>
      </w:r>
      <w:r w:rsidR="000F3873">
        <w:rPr>
          <w:i/>
        </w:rPr>
        <w:t xml:space="preserve">Z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9C67AA">
        <w:rPr>
          <w:i/>
        </w:rPr>
        <w:t>срещу Великобритания</w:t>
      </w:r>
      <w:r w:rsidR="000F3873">
        <w:rPr>
          <w:i/>
        </w:rPr>
        <w:t xml:space="preserve"> </w:t>
      </w:r>
      <w:r w:rsidR="000F3873">
        <w:t>[</w:t>
      </w:r>
      <w:r w:rsidR="009C67AA">
        <w:t>ГО</w:t>
      </w:r>
      <w:r w:rsidR="000F3873">
        <w:t xml:space="preserve">], № 29392/95, § 108, ЕСПЧ 2001-V). Целта му е да предостави средства, с които лицата да получават подходящо обезщетение на национално равнище за нарушения на правата им </w:t>
      </w:r>
      <w:r w:rsidR="004212CF">
        <w:t>по</w:t>
      </w:r>
      <w:r w:rsidR="000F3873">
        <w:t xml:space="preserve"> Конвенцията, преди да задействат международните механизми за подаване на жалба пред Съда (вж</w:t>
      </w:r>
      <w:r w:rsidR="004212CF">
        <w:t>.</w:t>
      </w:r>
      <w:r w:rsidR="000F3873">
        <w:t xml:space="preserve"> </w:t>
      </w:r>
      <w:proofErr w:type="spellStart"/>
      <w:r w:rsidR="000F3873">
        <w:rPr>
          <w:i/>
        </w:rPr>
        <w:t>Kudła</w:t>
      </w:r>
      <w:proofErr w:type="spellEnd"/>
      <w:r w:rsidR="000F3873">
        <w:rPr>
          <w:i/>
        </w:rPr>
        <w:t xml:space="preserve"> </w:t>
      </w:r>
      <w:r w:rsidR="004212CF">
        <w:rPr>
          <w:i/>
        </w:rPr>
        <w:t>срещу Полша</w:t>
      </w:r>
      <w:r w:rsidR="000F3873">
        <w:t xml:space="preserve"> [</w:t>
      </w:r>
      <w:r w:rsidR="004212CF">
        <w:t>ГО</w:t>
      </w:r>
      <w:r w:rsidR="000F3873">
        <w:t>], № 31210/96, § 152, ЕСПЧ 2000-XI).</w:t>
      </w:r>
    </w:p>
    <w:p w:rsidR="00D8632D" w:rsidRDefault="008E7633" w:rsidP="000F3873">
      <w:pPr>
        <w:pStyle w:val="JuPara"/>
      </w:pPr>
      <w:fldSimple w:instr=" SEQ level0 \*arabic ">
        <w:r w:rsidR="00A94344">
          <w:rPr>
            <w:noProof/>
          </w:rPr>
          <w:t>146</w:t>
        </w:r>
      </w:fldSimple>
      <w:r w:rsidR="000F3873">
        <w:t>.  Въпреки това гаранциите, които дава чл</w:t>
      </w:r>
      <w:r w:rsidR="004212CF">
        <w:t>.</w:t>
      </w:r>
      <w:r w:rsidR="000F3873">
        <w:t xml:space="preserve"> 13, не стигат дотам да изискват конкретна форма на</w:t>
      </w:r>
      <w:r w:rsidR="004212CF">
        <w:t xml:space="preserve"> правна</w:t>
      </w:r>
      <w:r w:rsidR="000F3873">
        <w:t xml:space="preserve"> защита, като на </w:t>
      </w:r>
      <w:r w:rsidR="004212CF">
        <w:t>Д</w:t>
      </w:r>
      <w:r w:rsidR="000F3873">
        <w:t>оговарящите държави се дава свобода на преценка в изпълнението на техните задължения по тази разпоредба (вж</w:t>
      </w:r>
      <w:r w:rsidR="004212CF">
        <w:t>.</w:t>
      </w:r>
      <w:r w:rsidR="000F3873">
        <w:t xml:space="preserve"> например </w:t>
      </w:r>
      <w:proofErr w:type="spellStart"/>
      <w:r w:rsidR="000F3873">
        <w:rPr>
          <w:i/>
        </w:rPr>
        <w:t>Kaya</w:t>
      </w:r>
      <w:proofErr w:type="spellEnd"/>
      <w:r w:rsidR="000F3873">
        <w:rPr>
          <w:i/>
        </w:rPr>
        <w:t xml:space="preserve"> </w:t>
      </w:r>
      <w:r w:rsidR="004212CF">
        <w:rPr>
          <w:i/>
        </w:rPr>
        <w:t>срещу Турция</w:t>
      </w:r>
      <w:r w:rsidR="000F3873">
        <w:t xml:space="preserve">, решение от 19 февруари 1998 г., </w:t>
      </w:r>
      <w:r w:rsidR="000F3873">
        <w:rPr>
          <w:i/>
        </w:rPr>
        <w:t>Доклади</w:t>
      </w:r>
      <w:r w:rsidR="000F3873">
        <w:t xml:space="preserve"> 1998-I, страници 329-30, § 106).</w:t>
      </w:r>
    </w:p>
    <w:p w:rsidR="00D8632D" w:rsidRDefault="008E7633" w:rsidP="000F3873">
      <w:pPr>
        <w:pStyle w:val="JuPara"/>
      </w:pPr>
      <w:fldSimple w:instr=" SEQ level0 \*arabic ">
        <w:r w:rsidR="00A94344">
          <w:rPr>
            <w:noProof/>
          </w:rPr>
          <w:t>147</w:t>
        </w:r>
      </w:fldSimple>
      <w:r w:rsidR="000F3873">
        <w:t>.  </w:t>
      </w:r>
      <w:r w:rsidR="00716193">
        <w:t xml:space="preserve">Естеството </w:t>
      </w:r>
      <w:r w:rsidR="000F3873">
        <w:t xml:space="preserve">на въпросното право оказва влияние върху вида </w:t>
      </w:r>
      <w:r w:rsidR="00716193">
        <w:t>правна защита</w:t>
      </w:r>
      <w:r w:rsidR="000F3873">
        <w:t>, ко</w:t>
      </w:r>
      <w:r w:rsidR="00716193">
        <w:t>й</w:t>
      </w:r>
      <w:r w:rsidR="000F3873">
        <w:t>то държавата следва да предостави по чл</w:t>
      </w:r>
      <w:r w:rsidR="00716193">
        <w:t>.</w:t>
      </w:r>
      <w:r w:rsidR="000F3873">
        <w:t xml:space="preserve"> 13. Когато се твърди за нарушения на правата, описани в чл</w:t>
      </w:r>
      <w:r w:rsidR="00E326D7">
        <w:t>.</w:t>
      </w:r>
      <w:r w:rsidR="000F3873">
        <w:t xml:space="preserve"> 2, обезщетението за </w:t>
      </w:r>
      <w:r w:rsidR="000F3873">
        <w:lastRenderedPageBreak/>
        <w:t>имуществени и неимуществени вреди по принцип трябва да бъде възможно като част от обхвата на наличн</w:t>
      </w:r>
      <w:r w:rsidR="00E326D7">
        <w:t>ото</w:t>
      </w:r>
      <w:r w:rsidR="000F3873">
        <w:t xml:space="preserve"> </w:t>
      </w:r>
      <w:r w:rsidR="00E326D7">
        <w:t>обезщетение</w:t>
      </w:r>
      <w:r w:rsidR="000F3873">
        <w:t xml:space="preserve"> (вж</w:t>
      </w:r>
      <w:r w:rsidR="00E326D7">
        <w:t>.</w:t>
      </w:r>
      <w:r w:rsidR="000F3873">
        <w:t xml:space="preserve"> </w:t>
      </w:r>
      <w:proofErr w:type="spellStart"/>
      <w:r w:rsidR="000F3873">
        <w:rPr>
          <w:i/>
        </w:rPr>
        <w:t>Paul</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Audrey</w:t>
      </w:r>
      <w:proofErr w:type="spellEnd"/>
      <w:r w:rsidR="000F3873">
        <w:rPr>
          <w:i/>
        </w:rPr>
        <w:t xml:space="preserve"> </w:t>
      </w:r>
      <w:proofErr w:type="spellStart"/>
      <w:r w:rsidR="000F3873">
        <w:rPr>
          <w:i/>
        </w:rPr>
        <w:t>Edwards</w:t>
      </w:r>
      <w:proofErr w:type="spellEnd"/>
      <w:r w:rsidR="000F3873">
        <w:t xml:space="preserve">, цитирано по-горе, § 97; </w:t>
      </w:r>
      <w:r w:rsidR="000F3873">
        <w:rPr>
          <w:i/>
        </w:rPr>
        <w:t xml:space="preserve">Z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E326D7">
        <w:rPr>
          <w:i/>
        </w:rPr>
        <w:t>срещу Великобритания</w:t>
      </w:r>
      <w:r w:rsidR="000F3873">
        <w:t xml:space="preserve">, цитирано по-горе, § 109; и </w:t>
      </w:r>
      <w:r w:rsidR="000F3873">
        <w:rPr>
          <w:i/>
        </w:rPr>
        <w:t xml:space="preserve">T.P. and K.M. </w:t>
      </w:r>
      <w:r w:rsidR="00E326D7">
        <w:rPr>
          <w:i/>
        </w:rPr>
        <w:t>срещу Великобритания</w:t>
      </w:r>
      <w:r w:rsidR="000F3873">
        <w:rPr>
          <w:i/>
        </w:rPr>
        <w:t xml:space="preserve"> </w:t>
      </w:r>
      <w:r w:rsidR="000F3873">
        <w:t>[</w:t>
      </w:r>
      <w:r w:rsidR="00E326D7">
        <w:t>ГО</w:t>
      </w:r>
      <w:r w:rsidR="000F3873">
        <w:t>], № 28945/95, § 107, ЕСПЧ 2001-V).</w:t>
      </w:r>
    </w:p>
    <w:p w:rsidR="00D8632D" w:rsidRDefault="000F3873" w:rsidP="000F3873">
      <w:pPr>
        <w:pStyle w:val="JuPara"/>
      </w:pPr>
      <w:r>
        <w:t>От друга страна, както Съдът отбеляза по-горе (вж</w:t>
      </w:r>
      <w:r w:rsidR="00E326D7">
        <w:t>.</w:t>
      </w:r>
      <w:r>
        <w:t xml:space="preserve"> параграф 96), нито чл</w:t>
      </w:r>
      <w:r w:rsidR="00E326D7">
        <w:t>.</w:t>
      </w:r>
      <w:r>
        <w:t xml:space="preserve"> 13, нито друга разпоредба на Конвенцията гарантират на жалбоподателя правото да </w:t>
      </w:r>
      <w:r w:rsidR="00C11338">
        <w:t xml:space="preserve">гарантира </w:t>
      </w:r>
      <w:r w:rsidR="00E326D7">
        <w:t xml:space="preserve">наказателно преследване </w:t>
      </w:r>
      <w:r>
        <w:t>и обвинение срещу трета страна или правото на „лично възмездие“ (вж</w:t>
      </w:r>
      <w:r w:rsidR="00C11338">
        <w:t>.</w:t>
      </w:r>
      <w:r>
        <w:t xml:space="preserve"> </w:t>
      </w:r>
      <w:proofErr w:type="spellStart"/>
      <w:r>
        <w:rPr>
          <w:i/>
        </w:rPr>
        <w:t>Perez</w:t>
      </w:r>
      <w:proofErr w:type="spellEnd"/>
      <w:r>
        <w:t>, цитирано по-горе, § 70).</w:t>
      </w:r>
    </w:p>
    <w:p w:rsidR="00D8632D" w:rsidRDefault="008E7633" w:rsidP="000F3873">
      <w:pPr>
        <w:pStyle w:val="JuPara"/>
      </w:pPr>
      <w:fldSimple w:instr=" SEQ level0 \*arabic ">
        <w:r w:rsidR="00A94344">
          <w:rPr>
            <w:noProof/>
          </w:rPr>
          <w:t>148</w:t>
        </w:r>
      </w:fldSimple>
      <w:r w:rsidR="000F3873">
        <w:t>.  Вярно е, че е констатирано нарушение на чл</w:t>
      </w:r>
      <w:r w:rsidR="00186C11">
        <w:t>.</w:t>
      </w:r>
      <w:r w:rsidR="000F3873">
        <w:t xml:space="preserve"> 13 </w:t>
      </w:r>
      <w:r w:rsidR="00186C11">
        <w:t>по</w:t>
      </w:r>
      <w:r w:rsidR="000F3873">
        <w:t xml:space="preserve"> дела, които включват твърдения за незаконно отнемане на живот от или с мълчаливото </w:t>
      </w:r>
      <w:r w:rsidR="00186C11">
        <w:t xml:space="preserve">съгласие </w:t>
      </w:r>
      <w:r w:rsidR="000F3873">
        <w:t>на представители на силите за сигурност (вж</w:t>
      </w:r>
      <w:r w:rsidR="00186C11">
        <w:t>.</w:t>
      </w:r>
      <w:r w:rsidR="000F3873">
        <w:t xml:space="preserve"> например съдебната практика по делото </w:t>
      </w:r>
      <w:proofErr w:type="spellStart"/>
      <w:r w:rsidR="000F3873">
        <w:rPr>
          <w:i/>
        </w:rPr>
        <w:t>Kılıç</w:t>
      </w:r>
      <w:proofErr w:type="spellEnd"/>
      <w:r w:rsidR="000F3873">
        <w:t xml:space="preserve">, цитирано по-горе, § 73) </w:t>
      </w:r>
      <w:r w:rsidR="00A66DE1">
        <w:t xml:space="preserve">поради липсата на пълно и ефективно разследване, което да може да доведе до идентифициране и наказване на виновните </w:t>
      </w:r>
      <w:r w:rsidR="000F3873">
        <w:t xml:space="preserve"> (вж</w:t>
      </w:r>
      <w:r w:rsidR="00A66DE1">
        <w:t>.</w:t>
      </w:r>
      <w:r w:rsidR="000F3873">
        <w:t xml:space="preserve"> </w:t>
      </w:r>
      <w:proofErr w:type="spellStart"/>
      <w:r w:rsidR="000F3873">
        <w:rPr>
          <w:i/>
        </w:rPr>
        <w:t>Kaya</w:t>
      </w:r>
      <w:proofErr w:type="spellEnd"/>
      <w:r w:rsidR="000F3873">
        <w:t xml:space="preserve">, цитирано по-горе, </w:t>
      </w:r>
      <w:proofErr w:type="spellStart"/>
      <w:r w:rsidR="000F3873">
        <w:t>pp</w:t>
      </w:r>
      <w:proofErr w:type="spellEnd"/>
      <w:r w:rsidR="000F3873">
        <w:t xml:space="preserve">. 330-31, § 107). Въпреки това следва да се отбележи, че подобни случаи, породени от конфликта в Югоизточна Турция през деветдесетте години на миналия век, се характеризират с </w:t>
      </w:r>
      <w:r w:rsidR="00A66DE1">
        <w:t>липсата на каквото и да било разследване на твърденията на жалбоподателите</w:t>
      </w:r>
      <w:r w:rsidR="000F3873">
        <w:t xml:space="preserve"> </w:t>
      </w:r>
      <w:r w:rsidR="000860C0">
        <w:t>че техен близък роднина е убит незаконно от службите за сигурност или е починал при съмнителни обстоятелства</w:t>
      </w:r>
      <w:r w:rsidR="000F3873">
        <w:t>.</w:t>
      </w:r>
    </w:p>
    <w:p w:rsidR="000F3873" w:rsidRPr="005161DE" w:rsidRDefault="000F3873" w:rsidP="000F3873">
      <w:pPr>
        <w:pStyle w:val="JuPara"/>
      </w:pPr>
      <w:r>
        <w:t>Т</w:t>
      </w:r>
      <w:r w:rsidR="000860C0">
        <w:t>ъкмо</w:t>
      </w:r>
      <w:r>
        <w:t xml:space="preserve"> този елемент </w:t>
      </w:r>
      <w:r w:rsidR="000860C0">
        <w:t>води</w:t>
      </w:r>
      <w:r>
        <w:t xml:space="preserve"> Съда до заключението, че жалбоподателите в тези случаи са лишени от ефективн</w:t>
      </w:r>
      <w:r w:rsidR="000860C0">
        <w:t>и правни средства</w:t>
      </w:r>
      <w:r>
        <w:t xml:space="preserve"> защита, тъй като не са имали възможността да установят вина за съответните инциденти и оттам да потърсят подходящо обезщетение </w:t>
      </w:r>
      <w:r w:rsidR="007F4E86">
        <w:t xml:space="preserve">било то </w:t>
      </w:r>
      <w:r>
        <w:t xml:space="preserve">чрез иск за присъединяване към наказателно производство като </w:t>
      </w:r>
      <w:r w:rsidR="007F4E86">
        <w:t xml:space="preserve">встъпила </w:t>
      </w:r>
      <w:r>
        <w:t>страна</w:t>
      </w:r>
      <w:r w:rsidR="0045457A">
        <w:t>, било</w:t>
      </w:r>
      <w:r>
        <w:t xml:space="preserve"> чрез граждански или административни производства. С други думи </w:t>
      </w:r>
      <w:r w:rsidR="0045457A">
        <w:t xml:space="preserve">е </w:t>
      </w:r>
      <w:r>
        <w:t>налице</w:t>
      </w:r>
      <w:r w:rsidR="0045457A">
        <w:t xml:space="preserve"> </w:t>
      </w:r>
      <w:r>
        <w:t xml:space="preserve">тясна процесуална и практическа връзка между наказателното разследване и </w:t>
      </w:r>
      <w:r w:rsidR="0045457A">
        <w:t xml:space="preserve">средствата за </w:t>
      </w:r>
      <w:r>
        <w:t xml:space="preserve">защита, </w:t>
      </w:r>
      <w:r w:rsidR="0045457A">
        <w:t>достъпни за</w:t>
      </w:r>
      <w:r>
        <w:t xml:space="preserve"> жалбоподатели</w:t>
      </w:r>
      <w:r w:rsidR="0045457A">
        <w:t>те</w:t>
      </w:r>
      <w:r>
        <w:t xml:space="preserve"> в правната система като цяло (вж</w:t>
      </w:r>
      <w:r w:rsidR="0045457A">
        <w:t>.</w:t>
      </w:r>
      <w:r>
        <w:t xml:space="preserve"> например </w:t>
      </w:r>
      <w:proofErr w:type="spellStart"/>
      <w:r>
        <w:rPr>
          <w:i/>
        </w:rPr>
        <w:t>Salman</w:t>
      </w:r>
      <w:proofErr w:type="spellEnd"/>
      <w:r>
        <w:rPr>
          <w:i/>
        </w:rPr>
        <w:t xml:space="preserve"> </w:t>
      </w:r>
      <w:r w:rsidR="0045457A">
        <w:rPr>
          <w:i/>
        </w:rPr>
        <w:t>О</w:t>
      </w:r>
      <w:r>
        <w:t>GC], № 21986/93, § 109, ЕСПЧ 2000-VII).</w:t>
      </w:r>
    </w:p>
    <w:p w:rsidR="00D8632D" w:rsidRDefault="000F3873" w:rsidP="000F3873">
      <w:pPr>
        <w:pStyle w:val="JuPara"/>
      </w:pPr>
      <w:r>
        <w:t xml:space="preserve">Въпреки това </w:t>
      </w:r>
      <w:r w:rsidR="0045457A">
        <w:t>според</w:t>
      </w:r>
      <w:r>
        <w:t xml:space="preserve"> Съда и от гледна точка на интересите на семейството на починалите и правото на ефективна защита, от посочената по-горе съдебна практика не следва неизбежно нарушение на чл</w:t>
      </w:r>
      <w:r w:rsidR="0045457A">
        <w:t>.</w:t>
      </w:r>
      <w:r>
        <w:t xml:space="preserve"> 13, ако наказателното разследване или последвалия в резултат на това процес не изпълнят процесуалното задължение на държавата по чл</w:t>
      </w:r>
      <w:r w:rsidR="001C5CBD">
        <w:t>.</w:t>
      </w:r>
      <w:r>
        <w:t xml:space="preserve"> 2, обобщено например в </w:t>
      </w:r>
      <w:proofErr w:type="spellStart"/>
      <w:r>
        <w:rPr>
          <w:i/>
        </w:rPr>
        <w:t>Hugh</w:t>
      </w:r>
      <w:proofErr w:type="spellEnd"/>
      <w:r>
        <w:rPr>
          <w:i/>
        </w:rPr>
        <w:t xml:space="preserve"> </w:t>
      </w:r>
      <w:proofErr w:type="spellStart"/>
      <w:r>
        <w:rPr>
          <w:i/>
        </w:rPr>
        <w:t>Jordan</w:t>
      </w:r>
      <w:proofErr w:type="spellEnd"/>
      <w:r>
        <w:t>, цитирано по-горе (вж</w:t>
      </w:r>
      <w:r w:rsidR="001C5CBD">
        <w:t>.</w:t>
      </w:r>
      <w:r>
        <w:t xml:space="preserve"> параграф 94).</w:t>
      </w:r>
    </w:p>
    <w:p w:rsidR="000F3873" w:rsidRPr="005161DE" w:rsidRDefault="00731104" w:rsidP="000F3873">
      <w:pPr>
        <w:pStyle w:val="JuPara"/>
      </w:pPr>
      <w:r>
        <w:t xml:space="preserve">Това, което е от значение, </w:t>
      </w:r>
      <w:r w:rsidR="000F3873">
        <w:t xml:space="preserve">е </w:t>
      </w:r>
      <w:r>
        <w:t>отражението</w:t>
      </w:r>
      <w:r w:rsidR="000F3873">
        <w:t xml:space="preserve"> </w:t>
      </w:r>
      <w:r>
        <w:t>на</w:t>
      </w:r>
      <w:r w:rsidR="000F3873">
        <w:t xml:space="preserve"> не</w:t>
      </w:r>
      <w:r>
        <w:t>изпълнениет</w:t>
      </w:r>
      <w:r w:rsidR="000F3873">
        <w:t>о от страна на държавата на процесуалн</w:t>
      </w:r>
      <w:r w:rsidR="001C5CBD">
        <w:t>о</w:t>
      </w:r>
      <w:r w:rsidR="000F3873">
        <w:t>т</w:t>
      </w:r>
      <w:r w:rsidR="001C5CBD">
        <w:t>о</w:t>
      </w:r>
      <w:r w:rsidR="000F3873">
        <w:t xml:space="preserve"> задължени</w:t>
      </w:r>
      <w:r w:rsidR="001C5CBD">
        <w:t>е</w:t>
      </w:r>
      <w:r w:rsidR="000F3873">
        <w:t xml:space="preserve"> по чл</w:t>
      </w:r>
      <w:r w:rsidR="001C5CBD">
        <w:t>.</w:t>
      </w:r>
      <w:r w:rsidR="000F3873">
        <w:t xml:space="preserve"> 2 относно достъпа на семейството на починалите до други налични и ефективни средства за установяване на вина от </w:t>
      </w:r>
      <w:r>
        <w:t xml:space="preserve">страна на </w:t>
      </w:r>
      <w:r w:rsidR="000F3873">
        <w:t xml:space="preserve">държавните служители </w:t>
      </w:r>
      <w:r w:rsidR="000F3873">
        <w:lastRenderedPageBreak/>
        <w:t>или органи за действия или бездействия, довели до нарушаване на правата им по чл</w:t>
      </w:r>
      <w:r>
        <w:t>.</w:t>
      </w:r>
      <w:r w:rsidR="000F3873">
        <w:t xml:space="preserve"> 2 и, когато е възможно, получаване на обезщетение.</w:t>
      </w:r>
    </w:p>
    <w:p w:rsidR="00D8632D" w:rsidRDefault="008E7633" w:rsidP="000F3873">
      <w:pPr>
        <w:pStyle w:val="JuPara"/>
      </w:pPr>
      <w:fldSimple w:instr=" SEQ level0 \*arabic ">
        <w:r w:rsidR="00A94344">
          <w:rPr>
            <w:noProof/>
          </w:rPr>
          <w:t>149</w:t>
        </w:r>
      </w:fldSimple>
      <w:r w:rsidR="000F3873">
        <w:t xml:space="preserve">.  Съдът </w:t>
      </w:r>
      <w:r w:rsidR="00731104">
        <w:t>се е произнасял</w:t>
      </w:r>
      <w:r w:rsidR="000F3873">
        <w:t>, че във връзка с фатални инциденти, произтичащи от опасни дейности, които попадат под отговорността на държавата, чл</w:t>
      </w:r>
      <w:r w:rsidR="00034E61">
        <w:t>.</w:t>
      </w:r>
      <w:r w:rsidR="000F3873">
        <w:t xml:space="preserve"> 2 изисква </w:t>
      </w:r>
      <w:r w:rsidR="00034E61">
        <w:t xml:space="preserve">от </w:t>
      </w:r>
      <w:r w:rsidR="000F3873">
        <w:t xml:space="preserve">властите да проведат разследване по своя </w:t>
      </w:r>
      <w:r w:rsidR="00034E61">
        <w:t>инициатива</w:t>
      </w:r>
      <w:r w:rsidR="000F3873">
        <w:t xml:space="preserve">, като отговорят на определени минимални условия, </w:t>
      </w:r>
      <w:r w:rsidR="00034E61">
        <w:t xml:space="preserve">на </w:t>
      </w:r>
      <w:r w:rsidR="000F3873">
        <w:t>причината за настъпила смърт (вж</w:t>
      </w:r>
      <w:r w:rsidR="00034E61">
        <w:t>.</w:t>
      </w:r>
      <w:r w:rsidR="000F3873">
        <w:t xml:space="preserve"> параграфи 90 и 93-94 по-горе). Съдът отбелязва</w:t>
      </w:r>
      <w:r w:rsidR="00034E61">
        <w:t xml:space="preserve"> още</w:t>
      </w:r>
      <w:r w:rsidR="000F3873">
        <w:t xml:space="preserve">, че без подобно разследване въпросното лице може да няма възможност да използва наличните му средства за получаване на обезщетение, предвид обстоятелството, че знанията, необходими за изясняване на факти като </w:t>
      </w:r>
      <w:r w:rsidR="008072EE">
        <w:t>тези в</w:t>
      </w:r>
      <w:r w:rsidR="000F3873">
        <w:t xml:space="preserve"> случа</w:t>
      </w:r>
      <w:r w:rsidR="008072EE">
        <w:t>я</w:t>
      </w:r>
      <w:r w:rsidR="000F3873">
        <w:t xml:space="preserve">, често са единствено в ръцете на държавните служители или </w:t>
      </w:r>
      <w:r w:rsidR="008072EE">
        <w:t>органи</w:t>
      </w:r>
      <w:r w:rsidR="000F3873">
        <w:t>.</w:t>
      </w:r>
    </w:p>
    <w:p w:rsidR="000F3873" w:rsidRPr="0059462F" w:rsidRDefault="000F3873" w:rsidP="000F3873">
      <w:pPr>
        <w:pStyle w:val="JuPara"/>
      </w:pPr>
      <w:r>
        <w:t>Като се имат предвид тези съображения, задачата на Съда по чл</w:t>
      </w:r>
      <w:r w:rsidR="008072EE">
        <w:t>.</w:t>
      </w:r>
      <w:r>
        <w:t xml:space="preserve"> 13 в конкретния случай е да определи дали ползването на ефективн</w:t>
      </w:r>
      <w:r w:rsidR="008072EE">
        <w:t>о</w:t>
      </w:r>
      <w:r>
        <w:t xml:space="preserve"> средств</w:t>
      </w:r>
      <w:r w:rsidR="008072EE">
        <w:t>о</w:t>
      </w:r>
      <w:r>
        <w:t xml:space="preserve"> за защита от жалбоподателя е било осуетено поради начина, по който властите не са спазили процесуалното си задължение по чл</w:t>
      </w:r>
      <w:r w:rsidR="008072EE">
        <w:t>.</w:t>
      </w:r>
      <w:r>
        <w:t xml:space="preserve"> 2 (вж</w:t>
      </w:r>
      <w:r w:rsidR="008072EE">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Aksoy</w:t>
      </w:r>
      <w:proofErr w:type="spellEnd"/>
      <w:r>
        <w:rPr>
          <w:i/>
        </w:rPr>
        <w:t xml:space="preserve"> </w:t>
      </w:r>
      <w:r w:rsidR="008072EE">
        <w:rPr>
          <w:i/>
        </w:rPr>
        <w:t>срещу Турция</w:t>
      </w:r>
      <w:r>
        <w:t>, решение от</w:t>
      </w:r>
      <w:r w:rsidR="008072EE">
        <w:t xml:space="preserve"> </w:t>
      </w:r>
      <w:r>
        <w:t xml:space="preserve">18 декември 1996 г., </w:t>
      </w:r>
      <w:r>
        <w:rPr>
          <w:i/>
        </w:rPr>
        <w:t>Доклади</w:t>
      </w:r>
      <w:r>
        <w:t xml:space="preserve"> 1996-VI, стр. 2286, § 95; </w:t>
      </w:r>
      <w:proofErr w:type="spellStart"/>
      <w:r>
        <w:rPr>
          <w:i/>
        </w:rPr>
        <w:t>Aydın</w:t>
      </w:r>
      <w:proofErr w:type="spellEnd"/>
      <w:r>
        <w:rPr>
          <w:i/>
        </w:rPr>
        <w:t xml:space="preserve"> </w:t>
      </w:r>
      <w:r w:rsidR="008072EE">
        <w:rPr>
          <w:i/>
        </w:rPr>
        <w:t>срещу Турция</w:t>
      </w:r>
      <w:r>
        <w:t xml:space="preserve">, решение от 25 септември 1997 г., </w:t>
      </w:r>
      <w:r>
        <w:rPr>
          <w:i/>
        </w:rPr>
        <w:t>Доклади</w:t>
      </w:r>
      <w:r>
        <w:t xml:space="preserve"> 1997-VI, стр</w:t>
      </w:r>
      <w:r w:rsidR="008072EE">
        <w:t>.</w:t>
      </w:r>
      <w:r>
        <w:t xml:space="preserve"> 1895-96, § 103; и </w:t>
      </w:r>
      <w:proofErr w:type="spellStart"/>
      <w:r>
        <w:rPr>
          <w:i/>
        </w:rPr>
        <w:t>Kaya</w:t>
      </w:r>
      <w:proofErr w:type="spellEnd"/>
      <w:r>
        <w:t>, цитирано по-горе, страници 329</w:t>
      </w:r>
      <w:r>
        <w:noBreakHyphen/>
        <w:t>30, § 106).</w:t>
      </w:r>
    </w:p>
    <w:p w:rsidR="000F3873" w:rsidRPr="0059462F" w:rsidRDefault="000F3873" w:rsidP="006725B0">
      <w:pPr>
        <w:pStyle w:val="JuH1"/>
        <w:widowControl w:val="0"/>
      </w:pPr>
      <w:r>
        <w:t>2.  Прил</w:t>
      </w:r>
      <w:r w:rsidR="008072EE">
        <w:t>ожение</w:t>
      </w:r>
      <w:r>
        <w:t xml:space="preserve"> на тези принципи в конкретния случай</w:t>
      </w:r>
    </w:p>
    <w:p w:rsidR="000F3873" w:rsidRPr="0059462F" w:rsidRDefault="000F3873" w:rsidP="006725B0">
      <w:pPr>
        <w:pStyle w:val="JuHa"/>
        <w:widowControl w:val="0"/>
      </w:pPr>
      <w:r>
        <w:t>а)</w:t>
      </w:r>
      <w:r>
        <w:tab/>
        <w:t>По отношение на жалбата по чл</w:t>
      </w:r>
      <w:r w:rsidR="008072EE">
        <w:t>.</w:t>
      </w:r>
      <w:r>
        <w:t xml:space="preserve"> 2 от Конвенцията</w:t>
      </w:r>
    </w:p>
    <w:p w:rsidR="000F3873" w:rsidRPr="0059462F" w:rsidRDefault="008E7633" w:rsidP="000F3873">
      <w:pPr>
        <w:pStyle w:val="JuPara"/>
      </w:pPr>
      <w:fldSimple w:instr=" SEQ level0 \*arabic ">
        <w:r w:rsidR="00A94344">
          <w:rPr>
            <w:noProof/>
          </w:rPr>
          <w:t>150</w:t>
        </w:r>
      </w:fldSimple>
      <w:r w:rsidR="000F3873">
        <w:t>.  Съдът вече разгледа различните процедури в Турция и достигна до заключението, че в настоящия случай правото на живот е отстоявано по неправилен начин чрез производството, образувано от публичните власти по наказателното законодателство, въпреки констатациите на официалното разследване, които установяват фактите и разкриват отговорните за инцидента от 28 април 1993 г. (вж</w:t>
      </w:r>
      <w:r w:rsidR="00C27FE1">
        <w:t>.</w:t>
      </w:r>
      <w:r w:rsidR="000F3873">
        <w:t xml:space="preserve"> параграфи 113-14 по-горе).</w:t>
      </w:r>
    </w:p>
    <w:p w:rsidR="000F3873" w:rsidRPr="0059462F" w:rsidRDefault="000F3873" w:rsidP="000F3873">
      <w:pPr>
        <w:pStyle w:val="JuPara"/>
      </w:pPr>
      <w:r>
        <w:t xml:space="preserve">Въпреки това, </w:t>
      </w:r>
      <w:r w:rsidR="00C27FE1">
        <w:t>с оглед на</w:t>
      </w:r>
      <w:r>
        <w:t xml:space="preserve"> адекватността и констатациите на тези следствени действия, Съдът счита, че жалбоподателят е имал възможност да се ползва от </w:t>
      </w:r>
      <w:r w:rsidR="00C27FE1">
        <w:t>наличните правни средства за защита по турското право,</w:t>
      </w:r>
      <w:r>
        <w:t xml:space="preserve"> за </w:t>
      </w:r>
      <w:r w:rsidR="00C27FE1">
        <w:t xml:space="preserve">да </w:t>
      </w:r>
      <w:r>
        <w:t>получ</w:t>
      </w:r>
      <w:r w:rsidR="00C27FE1">
        <w:t>и</w:t>
      </w:r>
      <w:r>
        <w:t xml:space="preserve"> обезщетение.</w:t>
      </w:r>
    </w:p>
    <w:p w:rsidR="00D8632D" w:rsidRDefault="008E7633" w:rsidP="000F3873">
      <w:pPr>
        <w:pStyle w:val="JuPara"/>
      </w:pPr>
      <w:fldSimple w:instr=" SEQ level0 \*arabic ">
        <w:r w:rsidR="00A94344">
          <w:rPr>
            <w:noProof/>
          </w:rPr>
          <w:t>151</w:t>
        </w:r>
      </w:fldSimple>
      <w:r w:rsidR="000F3873">
        <w:t>.  На 3 септември 1993 г., няколко месеца след приключване на разследването (вж</w:t>
      </w:r>
      <w:r w:rsidR="00C27FE1">
        <w:t>.</w:t>
      </w:r>
      <w:r w:rsidR="000F3873">
        <w:t xml:space="preserve"> параграф 29 по-горе) жалбоподателят, представляван от адвокат, </w:t>
      </w:r>
      <w:r w:rsidR="00C27FE1">
        <w:t>решава</w:t>
      </w:r>
      <w:r w:rsidR="000F3873">
        <w:t xml:space="preserve"> да съди четири държавни органа в административните съдилища, </w:t>
      </w:r>
      <w:r w:rsidR="00F56F54">
        <w:t xml:space="preserve">като </w:t>
      </w:r>
      <w:r w:rsidR="000F3873">
        <w:t>твър</w:t>
      </w:r>
      <w:r w:rsidR="00F56F54">
        <w:t>д</w:t>
      </w:r>
      <w:r w:rsidR="000F3873">
        <w:t xml:space="preserve">и, че е претърпял имуществени и неимуществени вреди във връзка със смъртта на девет негови близки роднини и загубата на къщата и домашното му имущество. Ефективността на това средство не зависи от </w:t>
      </w:r>
      <w:r w:rsidR="00F56F54">
        <w:t>изхода на</w:t>
      </w:r>
      <w:r w:rsidR="000F3873">
        <w:t xml:space="preserve"> </w:t>
      </w:r>
      <w:r w:rsidR="00F56F54">
        <w:t>висящото</w:t>
      </w:r>
      <w:r w:rsidR="000F3873">
        <w:t xml:space="preserve"> наказателно производство, нито достъпът до него е бил </w:t>
      </w:r>
      <w:r w:rsidR="000F3873">
        <w:lastRenderedPageBreak/>
        <w:t>възпрепятстван от действия или бездействия от страна на властите (вж</w:t>
      </w:r>
      <w:r w:rsidR="00F56F54">
        <w:t>.</w:t>
      </w:r>
      <w:r w:rsidR="000F3873">
        <w:t xml:space="preserve"> </w:t>
      </w:r>
      <w:proofErr w:type="spellStart"/>
      <w:r w:rsidR="000F3873">
        <w:rPr>
          <w:i/>
        </w:rPr>
        <w:t>Kaya</w:t>
      </w:r>
      <w:proofErr w:type="spellEnd"/>
      <w:r w:rsidR="000F3873">
        <w:t>, цитирано по-горе, стр</w:t>
      </w:r>
      <w:r w:rsidR="00F56F54">
        <w:t>.</w:t>
      </w:r>
      <w:r w:rsidR="000F3873">
        <w:t xml:space="preserve"> 329-30, § 106).</w:t>
      </w:r>
    </w:p>
    <w:p w:rsidR="00D8632D" w:rsidRDefault="000F3873" w:rsidP="000F3873">
      <w:pPr>
        <w:pStyle w:val="JuPara"/>
      </w:pPr>
      <w:r>
        <w:t xml:space="preserve">Административните съдилища, занимаващи се със случая, безспорно са </w:t>
      </w:r>
      <w:r w:rsidR="00F56F54">
        <w:t>били оправомощени</w:t>
      </w:r>
      <w:r>
        <w:t xml:space="preserve"> </w:t>
      </w:r>
      <w:r w:rsidR="00C715F9">
        <w:t>да преценят</w:t>
      </w:r>
      <w:r>
        <w:t xml:space="preserve"> </w:t>
      </w:r>
      <w:r w:rsidR="00C715F9">
        <w:t xml:space="preserve">установените до момента </w:t>
      </w:r>
      <w:r>
        <w:t xml:space="preserve">факти, да </w:t>
      </w:r>
      <w:r w:rsidR="00C715F9">
        <w:t>установят</w:t>
      </w:r>
      <w:r>
        <w:t xml:space="preserve"> отговорността за въпросните събития и </w:t>
      </w:r>
      <w:r w:rsidR="00C715F9">
        <w:t>да постановят изпълнимо</w:t>
      </w:r>
      <w:r>
        <w:t xml:space="preserve"> решение. </w:t>
      </w:r>
      <w:proofErr w:type="spellStart"/>
      <w:r>
        <w:t>Административноправн</w:t>
      </w:r>
      <w:r w:rsidR="00C715F9">
        <w:t>ото</w:t>
      </w:r>
      <w:proofErr w:type="spellEnd"/>
      <w:r w:rsidR="00C715F9">
        <w:t xml:space="preserve"> средство за</w:t>
      </w:r>
      <w:r>
        <w:t xml:space="preserve"> защита, използван</w:t>
      </w:r>
      <w:r w:rsidR="00C715F9">
        <w:t>о</w:t>
      </w:r>
      <w:r>
        <w:t xml:space="preserve"> от жалбоподателя</w:t>
      </w:r>
      <w:r w:rsidR="00C715F9">
        <w:t>,</w:t>
      </w:r>
      <w:r w:rsidR="005B5284">
        <w:t xml:space="preserve"> на пръв поглед</w:t>
      </w:r>
      <w:r>
        <w:t xml:space="preserve"> е бил</w:t>
      </w:r>
      <w:r w:rsidR="00C715F9">
        <w:t>о</w:t>
      </w:r>
      <w:r>
        <w:t xml:space="preserve"> достатъчн</w:t>
      </w:r>
      <w:r w:rsidR="005B5284">
        <w:t>о</w:t>
      </w:r>
      <w:r>
        <w:t xml:space="preserve"> да </w:t>
      </w:r>
      <w:r w:rsidR="005B5284">
        <w:t xml:space="preserve">изпълни </w:t>
      </w:r>
      <w:r>
        <w:t>същността на жалбата си във връзка със смъртта на девет негови роднини и е бил</w:t>
      </w:r>
      <w:r w:rsidR="005B5284">
        <w:t>о</w:t>
      </w:r>
      <w:r>
        <w:t xml:space="preserve"> в състояние да му предложи адекватно обезщетение за нарушаването на чл</w:t>
      </w:r>
      <w:r w:rsidR="005B5284">
        <w:t>.</w:t>
      </w:r>
      <w:r>
        <w:t xml:space="preserve"> 2, констатирано по-горе (вж</w:t>
      </w:r>
      <w:r w:rsidR="005B5284">
        <w:t>.</w:t>
      </w:r>
      <w:r>
        <w:t xml:space="preserve"> параграф 118 по-горе; вж</w:t>
      </w:r>
      <w:r w:rsidR="005B5284">
        <w:t>.</w:t>
      </w:r>
      <w:r>
        <w:t xml:space="preserve"> също </w:t>
      </w:r>
      <w:proofErr w:type="spellStart"/>
      <w:r>
        <w:rPr>
          <w:i/>
        </w:rPr>
        <w:t>Paul</w:t>
      </w:r>
      <w:proofErr w:type="spellEnd"/>
      <w:r>
        <w:rPr>
          <w:i/>
        </w:rPr>
        <w:t xml:space="preserve"> </w:t>
      </w:r>
      <w:proofErr w:type="spellStart"/>
      <w:r>
        <w:rPr>
          <w:i/>
        </w:rPr>
        <w:t>and</w:t>
      </w:r>
      <w:proofErr w:type="spellEnd"/>
      <w:r>
        <w:rPr>
          <w:i/>
        </w:rPr>
        <w:t xml:space="preserve"> </w:t>
      </w:r>
      <w:proofErr w:type="spellStart"/>
      <w:r>
        <w:rPr>
          <w:i/>
        </w:rPr>
        <w:t>Audrey</w:t>
      </w:r>
      <w:proofErr w:type="spellEnd"/>
      <w:r>
        <w:rPr>
          <w:i/>
        </w:rPr>
        <w:t xml:space="preserve"> </w:t>
      </w:r>
      <w:proofErr w:type="spellStart"/>
      <w:r>
        <w:rPr>
          <w:i/>
        </w:rPr>
        <w:t>Edwards</w:t>
      </w:r>
      <w:proofErr w:type="spellEnd"/>
      <w:r>
        <w:t xml:space="preserve">, цитирано по-горе, § 97 и </w:t>
      </w:r>
      <w:proofErr w:type="spellStart"/>
      <w:r>
        <w:rPr>
          <w:i/>
        </w:rPr>
        <w:t>Hugh</w:t>
      </w:r>
      <w:proofErr w:type="spellEnd"/>
      <w:r>
        <w:rPr>
          <w:i/>
        </w:rPr>
        <w:t xml:space="preserve"> </w:t>
      </w:r>
      <w:proofErr w:type="spellStart"/>
      <w:r>
        <w:rPr>
          <w:i/>
        </w:rPr>
        <w:t>Jordan</w:t>
      </w:r>
      <w:proofErr w:type="spellEnd"/>
      <w:r>
        <w:t>, цитирано по-горе, §§ 162-63).</w:t>
      </w:r>
    </w:p>
    <w:p w:rsidR="000F3873" w:rsidRPr="0059462F" w:rsidRDefault="000F3873" w:rsidP="000F3873">
      <w:pPr>
        <w:pStyle w:val="JuPara"/>
      </w:pPr>
      <w:r>
        <w:t xml:space="preserve">Все пак  остава да </w:t>
      </w:r>
      <w:r w:rsidR="005B5284">
        <w:t>бъде разгледан въпросът</w:t>
      </w:r>
      <w:r>
        <w:t xml:space="preserve"> дали </w:t>
      </w:r>
      <w:r w:rsidR="005B5284">
        <w:t>това средство</w:t>
      </w:r>
      <w:r>
        <w:t xml:space="preserve"> е бил</w:t>
      </w:r>
      <w:r w:rsidR="005B5284">
        <w:t>о</w:t>
      </w:r>
      <w:r>
        <w:t xml:space="preserve"> </w:t>
      </w:r>
      <w:r w:rsidR="005B5284">
        <w:t xml:space="preserve">ефикасно </w:t>
      </w:r>
      <w:r>
        <w:t>и на практика в обстоятелствата по настоящото дело.</w:t>
      </w:r>
    </w:p>
    <w:p w:rsidR="000F3873" w:rsidRPr="0059462F" w:rsidRDefault="008E7633" w:rsidP="000F3873">
      <w:pPr>
        <w:pStyle w:val="JuPara"/>
      </w:pPr>
      <w:fldSimple w:instr=" SEQ level0 \*arabic ">
        <w:r w:rsidR="00A94344">
          <w:rPr>
            <w:noProof/>
          </w:rPr>
          <w:t>152</w:t>
        </w:r>
      </w:fldSimple>
      <w:r w:rsidR="000F3873">
        <w:t xml:space="preserve">.  Голямата камара </w:t>
      </w:r>
      <w:r w:rsidR="00026094">
        <w:t>споделя извода на Съда, че това не е така</w:t>
      </w:r>
      <w:r w:rsidR="000F3873">
        <w:t>. Тя одобрява различните критики, отправени от Съда</w:t>
      </w:r>
      <w:r w:rsidR="00026094">
        <w:t>,</w:t>
      </w:r>
      <w:r w:rsidR="000F3873">
        <w:t xml:space="preserve"> относно неефективността на процедурите по обезщетяване (вж</w:t>
      </w:r>
      <w:r w:rsidR="00026094">
        <w:t>.</w:t>
      </w:r>
      <w:r w:rsidR="000F3873">
        <w:t xml:space="preserve"> параграф 76 по-горе) и също както Съда счита за решаващо, че обезщетението за вредите, нанесени на жалбоподателя — единствено във връзка с неимуществените вреди в резултат на загубата на негови близки роднини — в действителност никога не му е било изплатено.</w:t>
      </w:r>
    </w:p>
    <w:p w:rsidR="000F3873" w:rsidRPr="0059462F" w:rsidRDefault="000F3873" w:rsidP="000F3873">
      <w:pPr>
        <w:pStyle w:val="JuPara"/>
      </w:pPr>
      <w:r>
        <w:t xml:space="preserve">В тази връзка е </w:t>
      </w:r>
      <w:r w:rsidR="00320BCF">
        <w:t xml:space="preserve">от значение </w:t>
      </w:r>
      <w:r>
        <w:t>съдебната практика на Съда</w:t>
      </w:r>
      <w:r w:rsidR="00320BCF">
        <w:t>,</w:t>
      </w:r>
      <w:r>
        <w:t xml:space="preserve"> </w:t>
      </w:r>
      <w:r w:rsidR="00320BCF">
        <w:t>според</w:t>
      </w:r>
      <w:r>
        <w:t xml:space="preserve"> която правото на </w:t>
      </w:r>
      <w:r w:rsidR="00320BCF">
        <w:t>правосъдие,</w:t>
      </w:r>
      <w:r>
        <w:t xml:space="preserve"> гарантирано от чл</w:t>
      </w:r>
      <w:r w:rsidR="00320BCF">
        <w:t>.</w:t>
      </w:r>
      <w:r>
        <w:t xml:space="preserve"> 6</w:t>
      </w:r>
      <w:r w:rsidR="00320BCF">
        <w:t>,</w:t>
      </w:r>
      <w:r>
        <w:t xml:space="preserve"> </w:t>
      </w:r>
      <w:r w:rsidR="00320BCF">
        <w:t xml:space="preserve">защитава и </w:t>
      </w:r>
      <w:r>
        <w:t xml:space="preserve">изпълнението на окончателни </w:t>
      </w:r>
      <w:proofErr w:type="spellStart"/>
      <w:r>
        <w:t>правнообвързващи</w:t>
      </w:r>
      <w:proofErr w:type="spellEnd"/>
      <w:r>
        <w:t xml:space="preserve"> съдебни решения, ко</w:t>
      </w:r>
      <w:r w:rsidR="00FF55C0">
        <w:t>е</w:t>
      </w:r>
      <w:r>
        <w:t xml:space="preserve">то в правовите държави </w:t>
      </w:r>
      <w:r w:rsidR="00FF55C0">
        <w:t>не може да остане неосъществено във вреда на страна по делото</w:t>
      </w:r>
      <w:r>
        <w:t xml:space="preserve"> (вж</w:t>
      </w:r>
      <w:r w:rsidR="00320BCF">
        <w:t>.</w:t>
      </w:r>
      <w:r>
        <w:t xml:space="preserve"> например</w:t>
      </w:r>
      <w:r>
        <w:rPr>
          <w:i/>
        </w:rPr>
        <w:t xml:space="preserve"> </w:t>
      </w:r>
      <w:proofErr w:type="spellStart"/>
      <w:r>
        <w:rPr>
          <w:i/>
        </w:rPr>
        <w:t>Hornsby</w:t>
      </w:r>
      <w:proofErr w:type="spellEnd"/>
      <w:r>
        <w:rPr>
          <w:i/>
        </w:rPr>
        <w:t xml:space="preserve"> </w:t>
      </w:r>
      <w:r w:rsidR="00320BCF">
        <w:rPr>
          <w:i/>
        </w:rPr>
        <w:t>срещу Гърция</w:t>
      </w:r>
      <w:r>
        <w:t xml:space="preserve">, решение от 19 март 1997 г., </w:t>
      </w:r>
      <w:r>
        <w:rPr>
          <w:i/>
        </w:rPr>
        <w:t>Доклади</w:t>
      </w:r>
      <w:r>
        <w:t xml:space="preserve"> 1997-II, стр</w:t>
      </w:r>
      <w:r w:rsidR="00320BCF">
        <w:t>.</w:t>
      </w:r>
      <w:r>
        <w:t> 510</w:t>
      </w:r>
      <w:r>
        <w:noBreakHyphen/>
        <w:t xml:space="preserve">11, § 40 и </w:t>
      </w:r>
      <w:proofErr w:type="spellStart"/>
      <w:r>
        <w:rPr>
          <w:i/>
        </w:rPr>
        <w:t>Immobiliare</w:t>
      </w:r>
      <w:proofErr w:type="spellEnd"/>
      <w:r>
        <w:rPr>
          <w:i/>
        </w:rPr>
        <w:t xml:space="preserve"> </w:t>
      </w:r>
      <w:proofErr w:type="spellStart"/>
      <w:r>
        <w:rPr>
          <w:i/>
        </w:rPr>
        <w:t>Saffi</w:t>
      </w:r>
      <w:proofErr w:type="spellEnd"/>
      <w:r>
        <w:rPr>
          <w:i/>
        </w:rPr>
        <w:t xml:space="preserve"> </w:t>
      </w:r>
      <w:r w:rsidR="00FF55C0">
        <w:rPr>
          <w:i/>
        </w:rPr>
        <w:t>срещу Италия</w:t>
      </w:r>
      <w:r>
        <w:t xml:space="preserve"> [</w:t>
      </w:r>
      <w:r w:rsidR="00FF55C0">
        <w:t>ГО</w:t>
      </w:r>
      <w:r>
        <w:t xml:space="preserve">], № 22774/93, § 66, ЕСПЧ 1999-V). </w:t>
      </w:r>
      <w:r w:rsidR="00FF55C0">
        <w:t>Съдът не получи удовлетворително обяснение защо присъденото обезщетение не е било изплатено</w:t>
      </w:r>
      <w:r>
        <w:t xml:space="preserve">. Съдът счита, че жалбоподателят не може да бъде упрекван за това, че не е предприел </w:t>
      </w:r>
      <w:r w:rsidR="00FF55C0">
        <w:t xml:space="preserve">лично </w:t>
      </w:r>
      <w:r>
        <w:t xml:space="preserve">стъпки за </w:t>
      </w:r>
      <w:r w:rsidR="00FF55C0">
        <w:t>изпълнение на решението</w:t>
      </w:r>
      <w:r>
        <w:t xml:space="preserve">, </w:t>
      </w:r>
      <w:r w:rsidR="00FF55C0">
        <w:t>като се има предвид времето, за което административният съд се е произнесъл по иска му</w:t>
      </w:r>
      <w:r w:rsidR="00FB2F1C">
        <w:t xml:space="preserve"> за обезщетение</w:t>
      </w:r>
      <w:r w:rsidR="00FF55C0">
        <w:t>, и фактът, че върху присъденото обезщетение за неимуществени вреди не са се начислявали лихви за забава</w:t>
      </w:r>
      <w:r>
        <w:t xml:space="preserve">. </w:t>
      </w:r>
      <w:r w:rsidR="001B71BC">
        <w:t>На</w:t>
      </w:r>
      <w:r>
        <w:t>временното плащане на окончателното обезщетение за претърпяната трагедия трябва да се счита за съществен елемент на защитата по чл</w:t>
      </w:r>
      <w:r w:rsidR="00606059">
        <w:t>.</w:t>
      </w:r>
      <w:r>
        <w:t xml:space="preserve"> 13 за опечален съпруг и </w:t>
      </w:r>
      <w:r w:rsidR="00606059">
        <w:t>баща</w:t>
      </w:r>
      <w:r>
        <w:t xml:space="preserve"> (вж</w:t>
      </w:r>
      <w:r w:rsidR="00606059">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Paul</w:t>
      </w:r>
      <w:proofErr w:type="spellEnd"/>
      <w:r>
        <w:rPr>
          <w:i/>
        </w:rPr>
        <w:t xml:space="preserve"> </w:t>
      </w:r>
      <w:proofErr w:type="spellStart"/>
      <w:r>
        <w:rPr>
          <w:i/>
        </w:rPr>
        <w:t>and</w:t>
      </w:r>
      <w:proofErr w:type="spellEnd"/>
      <w:r>
        <w:rPr>
          <w:i/>
        </w:rPr>
        <w:t xml:space="preserve"> </w:t>
      </w:r>
      <w:proofErr w:type="spellStart"/>
      <w:r>
        <w:rPr>
          <w:i/>
        </w:rPr>
        <w:t>Audrey</w:t>
      </w:r>
      <w:proofErr w:type="spellEnd"/>
      <w:r>
        <w:rPr>
          <w:i/>
        </w:rPr>
        <w:t xml:space="preserve"> </w:t>
      </w:r>
      <w:proofErr w:type="spellStart"/>
      <w:r>
        <w:rPr>
          <w:i/>
        </w:rPr>
        <w:t>Edwards</w:t>
      </w:r>
      <w:proofErr w:type="spellEnd"/>
      <w:r>
        <w:t>, цитирано по-горе, § 101).</w:t>
      </w:r>
    </w:p>
    <w:p w:rsidR="00D8632D" w:rsidRDefault="000F3873" w:rsidP="000F3873">
      <w:pPr>
        <w:pStyle w:val="JuPara"/>
      </w:pPr>
      <w:r>
        <w:t xml:space="preserve">Въпреки че Правителството е оспорило заключението на Съда, че производството следва да е приключило по-бързо, Голямата камара също така констатира, че период от четири години, единадесет месеца и десет дни за достигане до решение е признак за липса на </w:t>
      </w:r>
      <w:r w:rsidR="001B13CA">
        <w:t>усърдие</w:t>
      </w:r>
      <w:r>
        <w:t xml:space="preserve"> от страна на националния съд, особено от гледна точка на </w:t>
      </w:r>
      <w:r w:rsidR="001B13CA">
        <w:t>болезне</w:t>
      </w:r>
      <w:r>
        <w:t xml:space="preserve">ното положение на жалбоподателя. В крайна сметка от решението от 30 </w:t>
      </w:r>
      <w:r>
        <w:lastRenderedPageBreak/>
        <w:t>ноември 1995 г. става ясно, че националният съд се е позовал изцяло на поръчан</w:t>
      </w:r>
      <w:r w:rsidR="001B13CA">
        <w:t>ата</w:t>
      </w:r>
      <w:r>
        <w:t xml:space="preserve"> от прокурора</w:t>
      </w:r>
      <w:r w:rsidR="001B13CA">
        <w:t xml:space="preserve"> експертиза</w:t>
      </w:r>
      <w:r>
        <w:t>. Въпреки това докладът е бил достъпен още през месец май 1993 г. (вж</w:t>
      </w:r>
      <w:r w:rsidR="001B13CA">
        <w:t>.</w:t>
      </w:r>
      <w:r>
        <w:t xml:space="preserve"> параграф 23 по-горе).</w:t>
      </w:r>
    </w:p>
    <w:p w:rsidR="00D8632D" w:rsidRDefault="008E7633" w:rsidP="000F3873">
      <w:pPr>
        <w:pStyle w:val="JuPara"/>
      </w:pPr>
      <w:fldSimple w:instr=" SEQ level0 \*arabic ">
        <w:r w:rsidR="00A94344">
          <w:rPr>
            <w:noProof/>
          </w:rPr>
          <w:t>153</w:t>
        </w:r>
      </w:fldSimple>
      <w:r w:rsidR="000F3873">
        <w:t xml:space="preserve">.  За Съда тези </w:t>
      </w:r>
      <w:r w:rsidR="001B13CA">
        <w:t xml:space="preserve">съображения </w:t>
      </w:r>
      <w:r w:rsidR="000F3873">
        <w:t>са достатъчни за заключението, че административното производство не е предоставило на жалбоподателя ефективна компенсация за това, че държавата не е успяла да опази живота на близките му роднини.</w:t>
      </w:r>
    </w:p>
    <w:p w:rsidR="00D8632D" w:rsidRDefault="008E7633" w:rsidP="000F3873">
      <w:pPr>
        <w:pStyle w:val="JuPara"/>
      </w:pPr>
      <w:fldSimple w:instr=" SEQ level0 \*arabic ">
        <w:r w:rsidR="00A94344">
          <w:rPr>
            <w:noProof/>
          </w:rPr>
          <w:t>154</w:t>
        </w:r>
      </w:fldSimple>
      <w:r w:rsidR="000F3873">
        <w:t xml:space="preserve">.  Правителството </w:t>
      </w:r>
      <w:r w:rsidR="001B13CA">
        <w:t xml:space="preserve">обаче </w:t>
      </w:r>
      <w:r w:rsidR="000F3873">
        <w:t>обвинява жалбоподателя, че не е положил усилия да вземе ефективно участие в посоченото по-горе наказателно производство, за да отправи исковете си и да търси обезщетение (вж</w:t>
      </w:r>
      <w:r w:rsidR="001B13CA">
        <w:t>.</w:t>
      </w:r>
      <w:r w:rsidR="000F3873">
        <w:t xml:space="preserve"> параграф 83 по-горе). След </w:t>
      </w:r>
      <w:r w:rsidR="001B13CA">
        <w:t xml:space="preserve">като </w:t>
      </w:r>
      <w:r w:rsidR="000F3873">
        <w:t xml:space="preserve">разгледа разпоредбите на турското законодателство относно заявленията за присъединяване като </w:t>
      </w:r>
      <w:r w:rsidR="001B13CA">
        <w:t xml:space="preserve">встъпила </w:t>
      </w:r>
      <w:r w:rsidR="000F3873">
        <w:t>страна (вж</w:t>
      </w:r>
      <w:r w:rsidR="001B13CA">
        <w:t>.</w:t>
      </w:r>
      <w:r w:rsidR="000F3873">
        <w:t xml:space="preserve"> параграфи 17 и 48 по-горе), Съдът приема, че тази възможност, като част от наказателното производство, следва по принцип да бъде взета под внимание за целите на чл</w:t>
      </w:r>
      <w:r w:rsidR="001B13CA">
        <w:t>.</w:t>
      </w:r>
      <w:r w:rsidR="000F3873">
        <w:t xml:space="preserve"> 13.</w:t>
      </w:r>
    </w:p>
    <w:p w:rsidR="000F3873" w:rsidRPr="0059462F" w:rsidRDefault="000F3873" w:rsidP="000F3873">
      <w:pPr>
        <w:pStyle w:val="JuPara"/>
      </w:pPr>
      <w:r>
        <w:t xml:space="preserve">Въпреки това Съдът счита, че в конкретния случай жалбоподателят, който </w:t>
      </w:r>
      <w:r w:rsidR="001B13CA">
        <w:t xml:space="preserve">решава да се възползва от </w:t>
      </w:r>
      <w:proofErr w:type="spellStart"/>
      <w:r>
        <w:t>административноправн</w:t>
      </w:r>
      <w:r w:rsidR="001B13CA">
        <w:t>о</w:t>
      </w:r>
      <w:proofErr w:type="spellEnd"/>
      <w:r>
        <w:t xml:space="preserve"> средств</w:t>
      </w:r>
      <w:r w:rsidR="001B13CA">
        <w:t>о</w:t>
      </w:r>
      <w:r>
        <w:t>, ко</w:t>
      </w:r>
      <w:r w:rsidR="001B13CA">
        <w:t>е</w:t>
      </w:r>
      <w:r>
        <w:t xml:space="preserve">то </w:t>
      </w:r>
      <w:r w:rsidR="001B13CA">
        <w:t xml:space="preserve">изглежда е било ефективно и в състояние да предостави </w:t>
      </w:r>
      <w:r>
        <w:t>пряко обезщетение за ситуацията във връзка с неговата жалба, не може да бъде критикуван за това, че не е потърсил обезщетение в наказателните съдилища (</w:t>
      </w:r>
      <w:proofErr w:type="spellStart"/>
      <w:r>
        <w:t>вже</w:t>
      </w:r>
      <w:proofErr w:type="spellEnd"/>
      <w:r w:rsidR="001B13CA">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Manoussakis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w:t>
      </w:r>
      <w:r w:rsidR="001B13CA">
        <w:rPr>
          <w:i/>
        </w:rPr>
        <w:t>срещу Гърция</w:t>
      </w:r>
      <w:r>
        <w:t xml:space="preserve">, решение от 26 септември 1996 г., </w:t>
      </w:r>
      <w:r>
        <w:rPr>
          <w:i/>
        </w:rPr>
        <w:t xml:space="preserve">Доклади </w:t>
      </w:r>
      <w:r>
        <w:t>1996-IV, стр</w:t>
      </w:r>
      <w:r w:rsidR="001B13CA">
        <w:t>.</w:t>
      </w:r>
      <w:r>
        <w:t xml:space="preserve"> 1359-60, § 33 и </w:t>
      </w:r>
      <w:proofErr w:type="spellStart"/>
      <w:r>
        <w:rPr>
          <w:i/>
        </w:rPr>
        <w:t>Aquilina</w:t>
      </w:r>
      <w:proofErr w:type="spellEnd"/>
      <w:r>
        <w:rPr>
          <w:i/>
        </w:rPr>
        <w:t xml:space="preserve"> </w:t>
      </w:r>
      <w:r w:rsidR="001B13CA">
        <w:rPr>
          <w:i/>
        </w:rPr>
        <w:t>срещу Малта</w:t>
      </w:r>
      <w:r>
        <w:rPr>
          <w:i/>
        </w:rPr>
        <w:t xml:space="preserve"> </w:t>
      </w:r>
      <w:r>
        <w:t>[</w:t>
      </w:r>
      <w:r w:rsidR="001B13CA">
        <w:t>ГО</w:t>
      </w:r>
      <w:r>
        <w:t xml:space="preserve">], № 25642/94, § 39, ЕСПЧ 1999-III) </w:t>
      </w:r>
      <w:r w:rsidR="001B13CA">
        <w:t xml:space="preserve">— </w:t>
      </w:r>
      <w:r>
        <w:t xml:space="preserve">средство, което във всички случаи не може да се използва при </w:t>
      </w:r>
      <w:r w:rsidR="00CD10F4">
        <w:t>вече</w:t>
      </w:r>
      <w:r>
        <w:t xml:space="preserve"> </w:t>
      </w:r>
      <w:r w:rsidR="00CD10F4">
        <w:t xml:space="preserve">предявен </w:t>
      </w:r>
      <w:r>
        <w:t>иск за претърпени вреди (вж</w:t>
      </w:r>
      <w:r w:rsidR="00CD10F4">
        <w:t>.</w:t>
      </w:r>
      <w:r>
        <w:t xml:space="preserve"> параграф 48 по-горе).</w:t>
      </w:r>
    </w:p>
    <w:p w:rsidR="000F3873" w:rsidRPr="0059462F" w:rsidRDefault="008E7633" w:rsidP="000F3873">
      <w:pPr>
        <w:pStyle w:val="JuPara"/>
      </w:pPr>
      <w:fldSimple w:instr=" SEQ level0 \*arabic ">
        <w:r w:rsidR="00A94344">
          <w:rPr>
            <w:noProof/>
          </w:rPr>
          <w:t>155</w:t>
        </w:r>
      </w:fldSimple>
      <w:r w:rsidR="000F3873">
        <w:t xml:space="preserve">.  Накратко налице е </w:t>
      </w:r>
      <w:r w:rsidR="00CD10F4">
        <w:t>н</w:t>
      </w:r>
      <w:r w:rsidR="000F3873">
        <w:t>арушение на чл</w:t>
      </w:r>
      <w:r w:rsidR="00CD10F4">
        <w:t>.</w:t>
      </w:r>
      <w:r w:rsidR="000F3873">
        <w:t xml:space="preserve"> 13 </w:t>
      </w:r>
      <w:r w:rsidR="00CD10F4">
        <w:t>от</w:t>
      </w:r>
      <w:r w:rsidR="000F3873">
        <w:t xml:space="preserve"> Конвенцията по отношение на жалбата по чл</w:t>
      </w:r>
      <w:r w:rsidR="00CD10F4">
        <w:t>.</w:t>
      </w:r>
      <w:r w:rsidR="000F3873">
        <w:t xml:space="preserve"> 2.</w:t>
      </w:r>
    </w:p>
    <w:p w:rsidR="000F3873" w:rsidRPr="0059462F" w:rsidRDefault="009F66F3" w:rsidP="006725B0">
      <w:pPr>
        <w:pStyle w:val="JuHa"/>
        <w:widowControl w:val="0"/>
      </w:pPr>
      <w:r>
        <w:br w:type="page"/>
      </w:r>
      <w:r>
        <w:lastRenderedPageBreak/>
        <w:t>б)</w:t>
      </w:r>
      <w:r>
        <w:tab/>
        <w:t>По отношение на жалбата по чл</w:t>
      </w:r>
      <w:r w:rsidR="00CD10F4">
        <w:t>.</w:t>
      </w:r>
      <w:r>
        <w:t xml:space="preserve"> 1 </w:t>
      </w:r>
      <w:r w:rsidR="00CD10F4">
        <w:t>от</w:t>
      </w:r>
      <w:r>
        <w:t xml:space="preserve"> Протокол № 1</w:t>
      </w:r>
    </w:p>
    <w:p w:rsidR="000F3873" w:rsidRPr="0059462F" w:rsidRDefault="008E7633" w:rsidP="000F3873">
      <w:pPr>
        <w:pStyle w:val="JuPara"/>
      </w:pPr>
      <w:fldSimple w:instr=" SEQ level0 \*arabic ">
        <w:r w:rsidR="00A94344">
          <w:rPr>
            <w:noProof/>
          </w:rPr>
          <w:t>156</w:t>
        </w:r>
      </w:fldSimple>
      <w:r w:rsidR="000F3873">
        <w:t xml:space="preserve">.  Съдът отбелязва, че в административното производство, разгледано по-горе, жалбоподателят е получил </w:t>
      </w:r>
      <w:r w:rsidR="00CD10F4">
        <w:t>и</w:t>
      </w:r>
      <w:r w:rsidR="000F3873">
        <w:t xml:space="preserve"> обезщетение за разрушаване на </w:t>
      </w:r>
      <w:r w:rsidR="00CD10F4">
        <w:t xml:space="preserve">покъщнината </w:t>
      </w:r>
      <w:r w:rsidR="000F3873">
        <w:t>му</w:t>
      </w:r>
      <w:r w:rsidR="00CD10F4">
        <w:t>, с изключение на</w:t>
      </w:r>
      <w:r w:rsidR="000F3873">
        <w:t xml:space="preserve"> </w:t>
      </w:r>
      <w:r w:rsidR="00CD10F4">
        <w:t xml:space="preserve">домакинските </w:t>
      </w:r>
      <w:r w:rsidR="000F3873">
        <w:t xml:space="preserve">електроуреди, </w:t>
      </w:r>
      <w:r w:rsidR="00CD10F4">
        <w:t xml:space="preserve">за </w:t>
      </w:r>
      <w:r w:rsidR="000F3873">
        <w:t xml:space="preserve">които националният съд счита, че не </w:t>
      </w:r>
      <w:r w:rsidR="00CD10F4">
        <w:t>може</w:t>
      </w:r>
      <w:r w:rsidR="000F3873">
        <w:t xml:space="preserve"> да </w:t>
      </w:r>
      <w:r w:rsidR="00CD10F4">
        <w:t xml:space="preserve">е </w:t>
      </w:r>
      <w:r w:rsidR="000F3873">
        <w:t>притежава</w:t>
      </w:r>
      <w:r w:rsidR="00CD10F4">
        <w:t>л</w:t>
      </w:r>
      <w:r w:rsidR="000F3873">
        <w:t xml:space="preserve"> (вж</w:t>
      </w:r>
      <w:r w:rsidR="00CD10F4">
        <w:t>.</w:t>
      </w:r>
      <w:r w:rsidR="000F3873">
        <w:t xml:space="preserve"> параграф 40 по-горе). Съдът счита, че </w:t>
      </w:r>
      <w:r w:rsidR="00CD10F4">
        <w:t>не следва да коментира</w:t>
      </w:r>
      <w:r w:rsidR="000F3873">
        <w:t xml:space="preserve"> </w:t>
      </w:r>
      <w:r w:rsidR="00CD10F4">
        <w:t>размера</w:t>
      </w:r>
      <w:r w:rsidR="000F3873">
        <w:t xml:space="preserve"> на обезщетението, присъдено от националния съд</w:t>
      </w:r>
      <w:r w:rsidR="00CD10F4">
        <w:t>,</w:t>
      </w:r>
      <w:r w:rsidR="000F3873">
        <w:t xml:space="preserve"> или начина, по който е направил преценката си. Както вече беше отбелязано, факт</w:t>
      </w:r>
      <w:r w:rsidR="00CD10F4">
        <w:t xml:space="preserve"> е</w:t>
      </w:r>
      <w:r w:rsidR="000F3873">
        <w:t xml:space="preserve">, че решението за обезщетение </w:t>
      </w:r>
      <w:r w:rsidR="00CD10F4">
        <w:t>се е забавило</w:t>
      </w:r>
      <w:r w:rsidR="000F3873">
        <w:t xml:space="preserve"> и че такова не е било изплатено. Впоследствие на жалбоподателя е отказана ефективна защита за твърденията му за нарушение на правото му по чл</w:t>
      </w:r>
      <w:r w:rsidR="00CD10F4">
        <w:t>.</w:t>
      </w:r>
      <w:r w:rsidR="000F3873">
        <w:t xml:space="preserve"> 1 </w:t>
      </w:r>
      <w:r w:rsidR="00CD10F4">
        <w:t>от</w:t>
      </w:r>
      <w:r w:rsidR="000F3873">
        <w:t xml:space="preserve"> Протокол № 1.</w:t>
      </w:r>
    </w:p>
    <w:p w:rsidR="00D8632D" w:rsidRDefault="000F3873" w:rsidP="000F3873">
      <w:pPr>
        <w:pStyle w:val="JuPara"/>
      </w:pPr>
      <w:r>
        <w:t>Макар да е вярно, че Правителството е изискало от Съда да вземе под внимание преимуществото, предоставено на жалбоподателя чрез осигуряването на субсидирано жилище, Съдът счита, че това е въпрос по чл</w:t>
      </w:r>
      <w:r w:rsidR="00CD10F4">
        <w:t>.</w:t>
      </w:r>
      <w:r>
        <w:t xml:space="preserve"> 41 </w:t>
      </w:r>
      <w:r w:rsidR="00CD10F4">
        <w:t>от</w:t>
      </w:r>
      <w:r>
        <w:t xml:space="preserve"> Конвенцията. Във всички случаи, доколкото </w:t>
      </w:r>
      <w:r w:rsidR="00CD10F4">
        <w:t xml:space="preserve">за </w:t>
      </w:r>
      <w:r>
        <w:t xml:space="preserve">тези преимущества </w:t>
      </w:r>
      <w:r w:rsidR="00CD10F4">
        <w:t xml:space="preserve">е </w:t>
      </w:r>
      <w:r>
        <w:t>доказано невъзможн</w:t>
      </w:r>
      <w:r w:rsidR="00CD10F4">
        <w:t>о</w:t>
      </w:r>
      <w:r>
        <w:t xml:space="preserve"> да променят статута на жалбоподателя като жертва на </w:t>
      </w:r>
      <w:r w:rsidR="00CD10F4">
        <w:t xml:space="preserve">твърдяно </w:t>
      </w:r>
      <w:r>
        <w:t xml:space="preserve">нарушение </w:t>
      </w:r>
      <w:r w:rsidR="00CD10F4">
        <w:t xml:space="preserve">по </w:t>
      </w:r>
      <w:r>
        <w:t>чл</w:t>
      </w:r>
      <w:r w:rsidR="00CD10F4">
        <w:t>.</w:t>
      </w:r>
      <w:r>
        <w:t xml:space="preserve"> 1 </w:t>
      </w:r>
      <w:r w:rsidR="00CD10F4">
        <w:t>от</w:t>
      </w:r>
      <w:r>
        <w:t xml:space="preserve"> Протокол № 1 (вж</w:t>
      </w:r>
      <w:r w:rsidR="00CD10F4">
        <w:t>.</w:t>
      </w:r>
      <w:r>
        <w:t xml:space="preserve"> параграф 137 по-горе), те не могат да го лишат от правото му на ефективна защита за получаването на обезщетение за твърдяното нарушение.</w:t>
      </w:r>
    </w:p>
    <w:p w:rsidR="000F3873" w:rsidRPr="0059462F" w:rsidRDefault="008E7633" w:rsidP="000F3873">
      <w:pPr>
        <w:pStyle w:val="JuPara"/>
      </w:pPr>
      <w:fldSimple w:instr=" SEQ level0 \*arabic ">
        <w:r w:rsidR="00A94344">
          <w:rPr>
            <w:noProof/>
          </w:rPr>
          <w:t>157</w:t>
        </w:r>
      </w:fldSimple>
      <w:r w:rsidR="000F3873">
        <w:t xml:space="preserve">.  Предвид посочените по-горе причини Съдът счита, че е налице нарушение </w:t>
      </w:r>
      <w:r w:rsidR="00985CF9">
        <w:t xml:space="preserve">и </w:t>
      </w:r>
      <w:r w:rsidR="000F3873">
        <w:t>на чл</w:t>
      </w:r>
      <w:r w:rsidR="00985CF9">
        <w:t>.</w:t>
      </w:r>
      <w:r w:rsidR="000F3873">
        <w:t xml:space="preserve"> 13 </w:t>
      </w:r>
      <w:r w:rsidR="00985CF9">
        <w:t>от</w:t>
      </w:r>
      <w:r w:rsidR="000F3873">
        <w:t xml:space="preserve"> Конвенцията по отношение на жалбата по чл</w:t>
      </w:r>
      <w:r w:rsidR="00985CF9">
        <w:t>.</w:t>
      </w:r>
      <w:r w:rsidR="000F3873">
        <w:t xml:space="preserve"> 1 </w:t>
      </w:r>
      <w:r w:rsidR="00985CF9">
        <w:t xml:space="preserve">от </w:t>
      </w:r>
      <w:r w:rsidR="000F3873">
        <w:t>Протокол № 1.</w:t>
      </w:r>
    </w:p>
    <w:p w:rsidR="000F3873" w:rsidRPr="0059462F" w:rsidRDefault="000F3873" w:rsidP="006725B0">
      <w:pPr>
        <w:pStyle w:val="JuHIRoman"/>
        <w:widowControl w:val="0"/>
      </w:pPr>
      <w:r>
        <w:t xml:space="preserve">IV.  ТВЪРДЕНИ НАРУШЕНИЯ НА ЧЛ. 6 И </w:t>
      </w:r>
      <w:r w:rsidR="00985CF9">
        <w:t xml:space="preserve">ЧЛ. </w:t>
      </w:r>
      <w:r>
        <w:t>8 ОТ КОНВЕНЦИЯТА</w:t>
      </w:r>
    </w:p>
    <w:p w:rsidR="000F3873" w:rsidRPr="0059462F" w:rsidRDefault="008E7633" w:rsidP="000F3873">
      <w:pPr>
        <w:pStyle w:val="JuPara"/>
      </w:pPr>
      <w:fldSimple w:instr=" SEQ level0 \*arabic ">
        <w:r w:rsidR="00A94344">
          <w:rPr>
            <w:noProof/>
          </w:rPr>
          <w:t>158</w:t>
        </w:r>
      </w:fldSimple>
      <w:r w:rsidR="000F3873">
        <w:t>.  Жалбоподателят се оплаква от прекомерна</w:t>
      </w:r>
      <w:r w:rsidR="00985CF9">
        <w:t>та</w:t>
      </w:r>
      <w:r w:rsidR="000F3873">
        <w:t xml:space="preserve"> продължителност на производството </w:t>
      </w:r>
      <w:r w:rsidR="00985CF9">
        <w:t>пред</w:t>
      </w:r>
      <w:r w:rsidR="000F3873">
        <w:t xml:space="preserve"> административния съд и твърди, че то не може да се счита за справедливо, предвид предубеденото решение</w:t>
      </w:r>
      <w:r w:rsidR="00985CF9">
        <w:t>, с което завършва</w:t>
      </w:r>
      <w:r w:rsidR="000F3873">
        <w:t>. Той се позовава на чл. 6 § 1 от Конвенцията, който в приложимата си част гласи:</w:t>
      </w:r>
    </w:p>
    <w:p w:rsidR="000F3873" w:rsidRPr="0059462F" w:rsidRDefault="000F3873" w:rsidP="000F3873">
      <w:pPr>
        <w:pStyle w:val="JuQuot"/>
      </w:pPr>
      <w:r>
        <w:t xml:space="preserve">„Всяко лице, при решаването на правен спор относно неговите граждански права и задължения..., има право на справедливо и публично </w:t>
      </w:r>
      <w:r w:rsidR="00985CF9">
        <w:t>г</w:t>
      </w:r>
      <w:r>
        <w:t xml:space="preserve">ледане на неговото дело в разумен срок от независим и безпристрастен </w:t>
      </w:r>
      <w:r w:rsidR="00985CF9">
        <w:t>съд</w:t>
      </w:r>
      <w:r>
        <w:t xml:space="preserve">, създаден </w:t>
      </w:r>
      <w:r w:rsidR="00985CF9">
        <w:t>в съответствие със</w:t>
      </w:r>
      <w:r>
        <w:t xml:space="preserve"> закон</w:t>
      </w:r>
      <w:r w:rsidR="00985CF9">
        <w:t>а</w:t>
      </w:r>
      <w:r>
        <w:t>. ... “</w:t>
      </w:r>
    </w:p>
    <w:p w:rsidR="00D8632D" w:rsidRDefault="000F3873" w:rsidP="000F3873">
      <w:pPr>
        <w:pStyle w:val="JuPara"/>
      </w:pPr>
      <w:r>
        <w:t xml:space="preserve">Накрая жалбоподателят се оплаква, че обстоятелствата по делото също са нарушили правото му на </w:t>
      </w:r>
      <w:r w:rsidR="00985CF9">
        <w:t>неприкосновеност на</w:t>
      </w:r>
      <w:r>
        <w:t xml:space="preserve"> личния и семейния му живот съгласно чл</w:t>
      </w:r>
      <w:r w:rsidR="00985CF9">
        <w:t>.</w:t>
      </w:r>
      <w:r>
        <w:t xml:space="preserve"> 8 </w:t>
      </w:r>
      <w:r w:rsidR="00985CF9">
        <w:t>от</w:t>
      </w:r>
      <w:r>
        <w:t xml:space="preserve"> Конвенцията, </w:t>
      </w:r>
      <w:r w:rsidR="00985CF9">
        <w:t xml:space="preserve">приложимата </w:t>
      </w:r>
      <w:r>
        <w:t>част от който гласи:</w:t>
      </w:r>
    </w:p>
    <w:p w:rsidR="000F3873" w:rsidRPr="0059462F" w:rsidRDefault="000F3873" w:rsidP="000F3873">
      <w:pPr>
        <w:pStyle w:val="JuQuot"/>
      </w:pPr>
      <w:r>
        <w:t xml:space="preserve">„1.  Всеки има право на </w:t>
      </w:r>
      <w:r w:rsidR="00985CF9">
        <w:t xml:space="preserve">неприкосновеност </w:t>
      </w:r>
      <w:r>
        <w:t>на личн</w:t>
      </w:r>
      <w:r w:rsidR="00985CF9">
        <w:t>ия</w:t>
      </w:r>
      <w:r>
        <w:t xml:space="preserve"> и сем</w:t>
      </w:r>
      <w:r w:rsidR="00985CF9">
        <w:t>ейния си</w:t>
      </w:r>
      <w:r>
        <w:t xml:space="preserve"> живот ...</w:t>
      </w:r>
    </w:p>
    <w:p w:rsidR="000F3873" w:rsidRPr="0059462F" w:rsidRDefault="000F3873" w:rsidP="000F3873">
      <w:pPr>
        <w:pStyle w:val="JuQuot"/>
      </w:pPr>
      <w:r>
        <w:t xml:space="preserve">2.  Намесата на държавните власти в упражняването на това право е недопустима, освен в случаите, предвидени в закона и необходими в едно </w:t>
      </w:r>
      <w:r>
        <w:lastRenderedPageBreak/>
        <w:t>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D8632D" w:rsidRDefault="008E7633" w:rsidP="000F3873">
      <w:pPr>
        <w:pStyle w:val="JuPara"/>
      </w:pPr>
      <w:fldSimple w:instr=" SEQ level0 \*arabic ">
        <w:r w:rsidR="00A94344">
          <w:rPr>
            <w:noProof/>
          </w:rPr>
          <w:t>159</w:t>
        </w:r>
      </w:fldSimple>
      <w:r w:rsidR="000F3873">
        <w:t>.  Правителството възраз</w:t>
      </w:r>
      <w:r w:rsidR="00985CF9">
        <w:t>ява</w:t>
      </w:r>
      <w:r w:rsidR="000F3873">
        <w:t xml:space="preserve">, че тези оплаквания са явно </w:t>
      </w:r>
      <w:r w:rsidR="00985CF9">
        <w:t>не</w:t>
      </w:r>
      <w:r w:rsidR="000F3873">
        <w:t>обосновани и изтък</w:t>
      </w:r>
      <w:r w:rsidR="00985CF9">
        <w:t>в</w:t>
      </w:r>
      <w:r w:rsidR="000F3873">
        <w:t xml:space="preserve">а, че </w:t>
      </w:r>
      <w:r w:rsidR="00985CF9">
        <w:t xml:space="preserve">на турските власти </w:t>
      </w:r>
      <w:r w:rsidR="00BB0DA7">
        <w:t xml:space="preserve">не могат да бъдат приписани </w:t>
      </w:r>
      <w:r w:rsidR="000F3873">
        <w:t>нито липса на старание, нито вмешателство във връзка с разпоредбите, на които се позовава</w:t>
      </w:r>
      <w:r w:rsidR="00BB0DA7">
        <w:t>т</w:t>
      </w:r>
      <w:r w:rsidR="000F3873">
        <w:t>.</w:t>
      </w:r>
    </w:p>
    <w:p w:rsidR="000F3873" w:rsidRPr="008D1FBB" w:rsidRDefault="008E7633" w:rsidP="000F3873">
      <w:pPr>
        <w:pStyle w:val="JuPara"/>
      </w:pPr>
      <w:fldSimple w:instr=" SEQ level0 \*arabic ">
        <w:r w:rsidR="00A94344">
          <w:rPr>
            <w:noProof/>
          </w:rPr>
          <w:t>160</w:t>
        </w:r>
      </w:fldSimple>
      <w:r w:rsidR="000F3873">
        <w:t>.  </w:t>
      </w:r>
      <w:r w:rsidR="00BB0DA7" w:rsidRPr="00BB0DA7">
        <w:t xml:space="preserve">С оглед на обстоятелствата по настоящото дело и на съображенията, по които Съдът намери нарушение на чл. 13 </w:t>
      </w:r>
      <w:r w:rsidR="00BB0DA7">
        <w:t xml:space="preserve">от Конвенцията </w:t>
      </w:r>
      <w:r w:rsidR="00BB0DA7" w:rsidRPr="00BB0DA7">
        <w:t>във връзка с чл. 1 от Протокол № 1</w:t>
      </w:r>
      <w:r w:rsidR="00BB0DA7">
        <w:t xml:space="preserve"> (вж. параграф 156 по-горе)</w:t>
      </w:r>
      <w:r w:rsidR="00BB0DA7" w:rsidRPr="00BB0DA7">
        <w:t xml:space="preserve">, </w:t>
      </w:r>
      <w:r w:rsidR="000F3873">
        <w:t xml:space="preserve">Съдът счита, че не е необходимо да де разглежда делото и </w:t>
      </w:r>
      <w:r w:rsidR="00BB0DA7">
        <w:t xml:space="preserve">в светлината на </w:t>
      </w:r>
      <w:r w:rsidR="000F3873">
        <w:t>чл</w:t>
      </w:r>
      <w:r w:rsidR="00BB0DA7">
        <w:t>.</w:t>
      </w:r>
      <w:r w:rsidR="000F3873">
        <w:t xml:space="preserve"> 6 § 1 (вж</w:t>
      </w:r>
      <w:r w:rsidR="00BB0DA7">
        <w:t>.</w:t>
      </w:r>
      <w:r w:rsidR="000F3873">
        <w:t xml:space="preserve">, </w:t>
      </w:r>
      <w:proofErr w:type="spellStart"/>
      <w:r w:rsidR="000F3873">
        <w:rPr>
          <w:i/>
        </w:rPr>
        <w:t>mutatis</w:t>
      </w:r>
      <w:proofErr w:type="spellEnd"/>
      <w:r w:rsidR="000F3873">
        <w:rPr>
          <w:i/>
        </w:rPr>
        <w:t xml:space="preserve"> </w:t>
      </w:r>
      <w:proofErr w:type="spellStart"/>
      <w:r w:rsidR="000F3873">
        <w:rPr>
          <w:i/>
        </w:rPr>
        <w:t>mutandis</w:t>
      </w:r>
      <w:proofErr w:type="spellEnd"/>
      <w:r w:rsidR="000F3873">
        <w:t xml:space="preserve">, </w:t>
      </w:r>
      <w:proofErr w:type="spellStart"/>
      <w:r w:rsidR="000F3873">
        <w:rPr>
          <w:i/>
        </w:rPr>
        <w:t>Immobiliare</w:t>
      </w:r>
      <w:proofErr w:type="spellEnd"/>
      <w:r w:rsidR="000F3873">
        <w:rPr>
          <w:i/>
        </w:rPr>
        <w:t xml:space="preserve"> </w:t>
      </w:r>
      <w:proofErr w:type="spellStart"/>
      <w:r w:rsidR="000F3873">
        <w:rPr>
          <w:i/>
        </w:rPr>
        <w:t>Saffi</w:t>
      </w:r>
      <w:proofErr w:type="spellEnd"/>
      <w:r w:rsidR="000F3873">
        <w:t>, цитирано по-горе, § 75).</w:t>
      </w:r>
    </w:p>
    <w:p w:rsidR="000F3873" w:rsidRPr="0059462F" w:rsidRDefault="000F3873" w:rsidP="000F3873">
      <w:pPr>
        <w:pStyle w:val="JuPara"/>
      </w:pPr>
      <w:r>
        <w:t>Същото важи и за жалбата по чл</w:t>
      </w:r>
      <w:r w:rsidR="00BB0DA7">
        <w:t>.</w:t>
      </w:r>
      <w:r>
        <w:t xml:space="preserve"> 8 </w:t>
      </w:r>
      <w:r w:rsidR="00BB0DA7">
        <w:t>от</w:t>
      </w:r>
      <w:r>
        <w:t xml:space="preserve"> Конвенцията, ко</w:t>
      </w:r>
      <w:r w:rsidR="00BB0DA7">
        <w:t>я</w:t>
      </w:r>
      <w:r>
        <w:t xml:space="preserve">то се отнася </w:t>
      </w:r>
      <w:r w:rsidR="00BB0DA7">
        <w:t xml:space="preserve">до </w:t>
      </w:r>
      <w:r>
        <w:t>същите факти</w:t>
      </w:r>
      <w:r w:rsidR="00BB0DA7">
        <w:t>,</w:t>
      </w:r>
      <w:r>
        <w:t xml:space="preserve"> разгледани по чл</w:t>
      </w:r>
      <w:r w:rsidR="00BB0DA7">
        <w:t>.</w:t>
      </w:r>
      <w:r>
        <w:t xml:space="preserve"> 2 и чл</w:t>
      </w:r>
      <w:r w:rsidR="00BB0DA7">
        <w:t>.</w:t>
      </w:r>
      <w:r>
        <w:t xml:space="preserve"> 1 </w:t>
      </w:r>
      <w:r w:rsidR="00BB0DA7">
        <w:t>от</w:t>
      </w:r>
      <w:r>
        <w:t xml:space="preserve"> Протокол № 1. Като взема предвид констатациите си за нарушение на тези разпоредби, Съдът счита, че не е необходимо жалбите да се разглеждат поотделно.</w:t>
      </w:r>
    </w:p>
    <w:p w:rsidR="000F3873" w:rsidRPr="0059462F" w:rsidRDefault="000F3873" w:rsidP="006725B0">
      <w:pPr>
        <w:pStyle w:val="JuHIRoman"/>
        <w:widowControl w:val="0"/>
      </w:pPr>
      <w:r>
        <w:t>V. ПРИЛАГАНЕ НА ЧЛ. 41 ОТ КОНВЕНЦИЯТА</w:t>
      </w:r>
    </w:p>
    <w:p w:rsidR="000F3873" w:rsidRPr="0059462F" w:rsidRDefault="008E7633" w:rsidP="006725B0">
      <w:pPr>
        <w:pStyle w:val="JuPara"/>
        <w:widowControl w:val="0"/>
      </w:pPr>
      <w:fldSimple w:instr=" SEQ level0 \*arabic ">
        <w:r w:rsidR="00A94344">
          <w:rPr>
            <w:noProof/>
          </w:rPr>
          <w:t>161</w:t>
        </w:r>
      </w:fldSimple>
      <w:r w:rsidR="000F3873">
        <w:t>.  Чл. 41 от Конвенцията гласи:</w:t>
      </w:r>
    </w:p>
    <w:p w:rsidR="000F3873" w:rsidRPr="0059462F" w:rsidRDefault="00BB0DA7" w:rsidP="006725B0">
      <w:pPr>
        <w:pStyle w:val="JuQuot"/>
        <w:widowControl w:val="0"/>
      </w:pPr>
      <w:r>
        <w:t>„</w:t>
      </w:r>
      <w:r w:rsidR="000F3873">
        <w:t xml:space="preserve">Ако Съдът установи нарушение на Конвенцията или на Протоколите към нея и ако вътрешното право на съответната </w:t>
      </w:r>
      <w:proofErr w:type="spellStart"/>
      <w:r w:rsidR="000F3873">
        <w:t>Βисокодоговаряща</w:t>
      </w:r>
      <w:proofErr w:type="spellEnd"/>
      <w:r w:rsidR="000F3873">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0F3873" w:rsidRPr="000F3873" w:rsidRDefault="000F3873" w:rsidP="006725B0">
      <w:pPr>
        <w:pStyle w:val="JuHA0"/>
        <w:widowControl w:val="0"/>
        <w:outlineLvl w:val="0"/>
      </w:pPr>
      <w:r>
        <w:t>А.</w:t>
      </w:r>
      <w:r>
        <w:tab/>
      </w:r>
      <w:r w:rsidR="00BB0DA7">
        <w:t>В</w:t>
      </w:r>
      <w:r>
        <w:t>реди</w:t>
      </w:r>
    </w:p>
    <w:p w:rsidR="000F3873" w:rsidRPr="0059462F" w:rsidRDefault="000F3873" w:rsidP="006725B0">
      <w:pPr>
        <w:pStyle w:val="JuH1"/>
        <w:widowControl w:val="0"/>
      </w:pPr>
      <w:r>
        <w:t>1.  Становища</w:t>
      </w:r>
      <w:r w:rsidR="00BB0DA7">
        <w:t>та</w:t>
      </w:r>
      <w:r>
        <w:t xml:space="preserve"> на страните</w:t>
      </w:r>
    </w:p>
    <w:p w:rsidR="000F3873" w:rsidRPr="0059462F" w:rsidRDefault="000F3873" w:rsidP="006725B0">
      <w:pPr>
        <w:pStyle w:val="JuHa"/>
        <w:widowControl w:val="0"/>
      </w:pPr>
      <w:r>
        <w:t>а)</w:t>
      </w:r>
      <w:r>
        <w:tab/>
        <w:t>Жалбоподателят</w:t>
      </w:r>
    </w:p>
    <w:p w:rsidR="000F3873" w:rsidRPr="0059462F" w:rsidRDefault="008E7633" w:rsidP="000F3873">
      <w:pPr>
        <w:pStyle w:val="JuPara"/>
      </w:pPr>
      <w:fldSimple w:instr=" SEQ level0 \*arabic ">
        <w:r w:rsidR="00A94344">
          <w:rPr>
            <w:noProof/>
          </w:rPr>
          <w:t>162</w:t>
        </w:r>
      </w:fldSimple>
      <w:r w:rsidR="000F3873">
        <w:t>.  Пред Съда, жалбоподателят потвър</w:t>
      </w:r>
      <w:r w:rsidR="00BB0DA7">
        <w:t>ждава</w:t>
      </w:r>
      <w:r w:rsidR="000F3873">
        <w:t xml:space="preserve"> отново исковете си, които е предявил пред Камарата. Той предявява искове съответно</w:t>
      </w:r>
      <w:r w:rsidR="00BB0DA7">
        <w:t xml:space="preserve"> за</w:t>
      </w:r>
      <w:r w:rsidR="000F3873">
        <w:t>:</w:t>
      </w:r>
    </w:p>
    <w:p w:rsidR="000F3873" w:rsidRPr="0059462F" w:rsidRDefault="000F3873" w:rsidP="000F3873">
      <w:pPr>
        <w:pStyle w:val="JuPara"/>
      </w:pPr>
      <w:r>
        <w:t>(i)  2</w:t>
      </w:r>
      <w:r w:rsidR="00BB0DA7">
        <w:t xml:space="preserve"> </w:t>
      </w:r>
      <w:r>
        <w:t xml:space="preserve">000 щатски долара </w:t>
      </w:r>
      <w:r w:rsidR="00BB0DA7">
        <w:t>(</w:t>
      </w:r>
      <w:proofErr w:type="spellStart"/>
      <w:r w:rsidR="00BB0DA7">
        <w:t>щ.д</w:t>
      </w:r>
      <w:proofErr w:type="spellEnd"/>
      <w:r w:rsidR="00BB0DA7">
        <w:t xml:space="preserve">.) </w:t>
      </w:r>
      <w:r>
        <w:t>за разноски по погребението на деветимата му роднини, които са починали;</w:t>
      </w:r>
    </w:p>
    <w:p w:rsidR="000F3873" w:rsidRPr="0059462F" w:rsidRDefault="000F3873" w:rsidP="000F3873">
      <w:pPr>
        <w:pStyle w:val="JuPara"/>
      </w:pPr>
      <w:r>
        <w:t>(ii)  100</w:t>
      </w:r>
      <w:r w:rsidR="00BB0DA7">
        <w:t xml:space="preserve"> </w:t>
      </w:r>
      <w:r>
        <w:t xml:space="preserve">000 </w:t>
      </w:r>
      <w:proofErr w:type="spellStart"/>
      <w:r>
        <w:t>щ</w:t>
      </w:r>
      <w:r w:rsidR="00BB0DA7">
        <w:t>.</w:t>
      </w:r>
      <w:r>
        <w:t>д</w:t>
      </w:r>
      <w:proofErr w:type="spellEnd"/>
      <w:r w:rsidR="00BB0DA7">
        <w:t>.</w:t>
      </w:r>
      <w:r>
        <w:t xml:space="preserve"> за </w:t>
      </w:r>
      <w:r w:rsidR="00BB0DA7">
        <w:t>загубена финансова подкрепа</w:t>
      </w:r>
      <w:r>
        <w:t xml:space="preserve"> в резултат на смъртта на неговата съпруга и наложницата му, които са работили като чистачки на дневни договори;</w:t>
      </w:r>
    </w:p>
    <w:p w:rsidR="000F3873" w:rsidRPr="0059462F" w:rsidRDefault="000F3873" w:rsidP="000F3873">
      <w:pPr>
        <w:pStyle w:val="JuPara"/>
      </w:pPr>
      <w:r>
        <w:t>(iii)  150</w:t>
      </w:r>
      <w:r w:rsidR="00BB0DA7">
        <w:t xml:space="preserve"> </w:t>
      </w:r>
      <w:r>
        <w:t xml:space="preserve">000 </w:t>
      </w:r>
      <w:proofErr w:type="spellStart"/>
      <w:r>
        <w:t>щ</w:t>
      </w:r>
      <w:r w:rsidR="00CB36EC">
        <w:t>.</w:t>
      </w:r>
      <w:r>
        <w:t>д</w:t>
      </w:r>
      <w:proofErr w:type="spellEnd"/>
      <w:r w:rsidR="00CB36EC">
        <w:t>.</w:t>
      </w:r>
      <w:r>
        <w:t xml:space="preserve"> за </w:t>
      </w:r>
      <w:r w:rsidR="00BB0DA7">
        <w:t>загубена финансова подкрепа</w:t>
      </w:r>
      <w:r>
        <w:t>, ко</w:t>
      </w:r>
      <w:r w:rsidR="00BB0DA7">
        <w:t>я</w:t>
      </w:r>
      <w:r>
        <w:t>то биха му донесли седемте му деца, ако са останали живи;</w:t>
      </w:r>
    </w:p>
    <w:p w:rsidR="000F3873" w:rsidRPr="0059462F" w:rsidRDefault="000F3873" w:rsidP="000F3873">
      <w:pPr>
        <w:pStyle w:val="JuPara"/>
      </w:pPr>
      <w:r>
        <w:t>(iv)  50</w:t>
      </w:r>
      <w:r w:rsidR="00BB0DA7">
        <w:t xml:space="preserve"> </w:t>
      </w:r>
      <w:r>
        <w:t xml:space="preserve">000 </w:t>
      </w:r>
      <w:proofErr w:type="spellStart"/>
      <w:r>
        <w:t>щ</w:t>
      </w:r>
      <w:r w:rsidR="00CB36EC">
        <w:t>.</w:t>
      </w:r>
      <w:r>
        <w:t>д</w:t>
      </w:r>
      <w:proofErr w:type="spellEnd"/>
      <w:r w:rsidR="00CB36EC">
        <w:t>.</w:t>
      </w:r>
      <w:r>
        <w:t xml:space="preserve"> за </w:t>
      </w:r>
      <w:r w:rsidR="00BB0DA7">
        <w:t>загубена финансова подкрепа</w:t>
      </w:r>
      <w:r>
        <w:t xml:space="preserve"> за оцелелите му трима сина заради смъртта на тяхната майка;</w:t>
      </w:r>
    </w:p>
    <w:p w:rsidR="00D8632D" w:rsidRDefault="000F3873" w:rsidP="000F3873">
      <w:pPr>
        <w:pStyle w:val="JuPara"/>
      </w:pPr>
      <w:r>
        <w:lastRenderedPageBreak/>
        <w:t>(v)  98</w:t>
      </w:r>
      <w:r w:rsidR="00BB0DA7">
        <w:t xml:space="preserve"> </w:t>
      </w:r>
      <w:r>
        <w:t xml:space="preserve">000 </w:t>
      </w:r>
      <w:proofErr w:type="spellStart"/>
      <w:r>
        <w:t>щ</w:t>
      </w:r>
      <w:r w:rsidR="00CB36EC">
        <w:t>.</w:t>
      </w:r>
      <w:r>
        <w:t>д</w:t>
      </w:r>
      <w:proofErr w:type="spellEnd"/>
      <w:r w:rsidR="00CB36EC">
        <w:t>.</w:t>
      </w:r>
      <w:r>
        <w:t xml:space="preserve"> за разрушаването на жилището и движимото му имущество.</w:t>
      </w:r>
    </w:p>
    <w:p w:rsidR="00D8632D" w:rsidRDefault="000F3873" w:rsidP="000F3873">
      <w:pPr>
        <w:pStyle w:val="JuPara"/>
      </w:pPr>
      <w:r>
        <w:t>Жалбоподателят също така, от свое име и от името на три</w:t>
      </w:r>
      <w:r w:rsidR="00CB36EC">
        <w:t>те</w:t>
      </w:r>
      <w:r>
        <w:t xml:space="preserve"> си оцелели </w:t>
      </w:r>
      <w:r w:rsidR="00CB36EC">
        <w:t>деца</w:t>
      </w:r>
      <w:r>
        <w:t>, отправ</w:t>
      </w:r>
      <w:r w:rsidR="00CB36EC">
        <w:t>я</w:t>
      </w:r>
      <w:r>
        <w:t xml:space="preserve"> иск в размер на 800</w:t>
      </w:r>
      <w:r w:rsidR="00CB36EC">
        <w:t xml:space="preserve"> </w:t>
      </w:r>
      <w:r>
        <w:t xml:space="preserve">000 </w:t>
      </w:r>
      <w:proofErr w:type="spellStart"/>
      <w:r>
        <w:t>щ</w:t>
      </w:r>
      <w:r w:rsidR="00CB36EC">
        <w:t>.д</w:t>
      </w:r>
      <w:proofErr w:type="spellEnd"/>
      <w:r w:rsidR="00CB36EC">
        <w:t>.</w:t>
      </w:r>
      <w:r>
        <w:t xml:space="preserve"> за претърпени неимуществени вреди.</w:t>
      </w:r>
    </w:p>
    <w:p w:rsidR="000F3873" w:rsidRPr="0059462F" w:rsidRDefault="000F3873" w:rsidP="006725B0">
      <w:pPr>
        <w:pStyle w:val="JuHa"/>
        <w:widowControl w:val="0"/>
      </w:pPr>
      <w:r>
        <w:t>б)</w:t>
      </w:r>
      <w:r>
        <w:tab/>
        <w:t>Правителството</w:t>
      </w:r>
    </w:p>
    <w:p w:rsidR="000F3873" w:rsidRPr="0059462F" w:rsidRDefault="008E7633" w:rsidP="000F3873">
      <w:pPr>
        <w:pStyle w:val="JuPara"/>
      </w:pPr>
      <w:fldSimple w:instr=" SEQ level0 \*arabic ">
        <w:r w:rsidR="00A94344">
          <w:rPr>
            <w:noProof/>
          </w:rPr>
          <w:t>163</w:t>
        </w:r>
      </w:fldSimple>
      <w:r w:rsidR="000F3873">
        <w:t>.  Като основн</w:t>
      </w:r>
      <w:r w:rsidR="00FA6677">
        <w:t>о твърдение</w:t>
      </w:r>
      <w:r w:rsidR="000F3873">
        <w:t xml:space="preserve"> Правителството изтъква, че в конкретния случай не е необходимо никакво обезщетение. </w:t>
      </w:r>
      <w:r w:rsidR="00FA6677">
        <w:t>При условията на евентуалност</w:t>
      </w:r>
      <w:r w:rsidR="000F3873">
        <w:t xml:space="preserve"> Правителството иска </w:t>
      </w:r>
      <w:r w:rsidR="00FA6677">
        <w:t xml:space="preserve">от </w:t>
      </w:r>
      <w:r w:rsidR="000F3873">
        <w:t>Съд</w:t>
      </w:r>
      <w:r w:rsidR="00FA6677">
        <w:t>а</w:t>
      </w:r>
      <w:r w:rsidR="000F3873">
        <w:t xml:space="preserve"> да отхвърли исковете на жалбоподателя, които счита за прекомерни и основаващи се на </w:t>
      </w:r>
      <w:r w:rsidR="00FA6677">
        <w:t>условни разчети</w:t>
      </w:r>
      <w:r w:rsidR="000F3873">
        <w:t>.</w:t>
      </w:r>
    </w:p>
    <w:p w:rsidR="00D8632D" w:rsidRDefault="000F3873" w:rsidP="000F3873">
      <w:pPr>
        <w:pStyle w:val="JuPara"/>
      </w:pPr>
      <w:r>
        <w:t>Във връзка с имуществените вреди Правителството твърди, че изрезка от вестник не може да се използва като основание за иск за погребални разноски. Във връзка с твърд</w:t>
      </w:r>
      <w:r w:rsidR="00FA6677">
        <w:t>яната загуба на финансова подкрепа</w:t>
      </w:r>
      <w:r>
        <w:t xml:space="preserve"> Правителството се ограничава до твърдението, че искът е чисто спекулативен.</w:t>
      </w:r>
    </w:p>
    <w:p w:rsidR="000F3873" w:rsidRPr="0059462F" w:rsidRDefault="000F3873" w:rsidP="000F3873">
      <w:pPr>
        <w:pStyle w:val="JuPara"/>
      </w:pPr>
      <w:r>
        <w:t xml:space="preserve">Във връзка с жилището и движимото имущество, Правителството изтъква, че жалбоподателят не е представил никакви доказателства в подкрепа на иска си. </w:t>
      </w:r>
      <w:r w:rsidR="00FA6677">
        <w:t>Като и</w:t>
      </w:r>
      <w:r>
        <w:t xml:space="preserve">зтъква факта, че жалбоподателят никога не е придобивал право на собственост върху въпросното негово жилище, Правителството подчертава, че му е бил предложен много по-удобен апартамент в района на </w:t>
      </w:r>
      <w:proofErr w:type="spellStart"/>
      <w:r>
        <w:t>Алибейкьой</w:t>
      </w:r>
      <w:proofErr w:type="spellEnd"/>
      <w:r>
        <w:t xml:space="preserve"> за сума, която по това време е била равна на 9 237 </w:t>
      </w:r>
      <w:proofErr w:type="spellStart"/>
      <w:r>
        <w:t>щ</w:t>
      </w:r>
      <w:r w:rsidR="00FA6677">
        <w:t>.</w:t>
      </w:r>
      <w:r>
        <w:t>д</w:t>
      </w:r>
      <w:proofErr w:type="spellEnd"/>
      <w:r w:rsidR="00FA6677">
        <w:t>.</w:t>
      </w:r>
      <w:r>
        <w:t xml:space="preserve"> (9 966 евро), само една четвърт от които е била платена незабавно. В тази връзка Правителството представя примери на обяви за подобни апартаменти в този район на цени средно между 11</w:t>
      </w:r>
      <w:r w:rsidR="00FA6677">
        <w:t xml:space="preserve"> </w:t>
      </w:r>
      <w:r>
        <w:t>000</w:t>
      </w:r>
      <w:r w:rsidR="00FA6677">
        <w:t xml:space="preserve"> </w:t>
      </w:r>
      <w:r>
        <w:t>000</w:t>
      </w:r>
      <w:r w:rsidR="00FA6677">
        <w:t xml:space="preserve"> </w:t>
      </w:r>
      <w:r>
        <w:t>000 и 19</w:t>
      </w:r>
      <w:r w:rsidR="004B2EBA">
        <w:t xml:space="preserve"> </w:t>
      </w:r>
      <w:r>
        <w:t>000</w:t>
      </w:r>
      <w:r w:rsidR="004B2EBA">
        <w:t xml:space="preserve"> </w:t>
      </w:r>
      <w:r>
        <w:t>000</w:t>
      </w:r>
      <w:r w:rsidR="004B2EBA">
        <w:t xml:space="preserve"> </w:t>
      </w:r>
      <w:r>
        <w:t>000 турски лири (съответно около 7 900 евро и 13 700 евро). Във връзка с движимите вещи Правителството представ</w:t>
      </w:r>
      <w:r w:rsidR="004B2EBA">
        <w:t>я</w:t>
      </w:r>
      <w:r>
        <w:t xml:space="preserve"> каталози на подобни артикули и изтък</w:t>
      </w:r>
      <w:r w:rsidR="004B2EBA">
        <w:t>в</w:t>
      </w:r>
      <w:r>
        <w:t>а нуждата да се вземе предвид обезщетението, присъдено от административния съд по тази част.</w:t>
      </w:r>
    </w:p>
    <w:p w:rsidR="000F3873" w:rsidRPr="0059462F" w:rsidRDefault="000F3873" w:rsidP="000F3873">
      <w:pPr>
        <w:pStyle w:val="JuPara"/>
      </w:pPr>
      <w:r>
        <w:t>Във връзка с неимуществените вреди, Правителството заяв</w:t>
      </w:r>
      <w:r w:rsidR="004B2EBA">
        <w:t>ява</w:t>
      </w:r>
      <w:r>
        <w:t xml:space="preserve">, че искът е прекомерен и е вероятно да </w:t>
      </w:r>
      <w:r w:rsidR="004B2EBA">
        <w:t xml:space="preserve">доведе до </w:t>
      </w:r>
      <w:r>
        <w:t>незаконно обогатяване, което противоречи на чл</w:t>
      </w:r>
      <w:r w:rsidR="004B2EBA">
        <w:t>.</w:t>
      </w:r>
      <w:r>
        <w:t xml:space="preserve"> 41 </w:t>
      </w:r>
      <w:r w:rsidR="004B2EBA">
        <w:t>от</w:t>
      </w:r>
      <w:r>
        <w:t xml:space="preserve"> Конвенцията. В тази връзка Правителството отправя обвинение срещу жалбоподателя, че съзнателно не е изискал изплащане на обезщетението, присъдено му от административния съд по тази част</w:t>
      </w:r>
      <w:r w:rsidR="004B2EBA">
        <w:t>,</w:t>
      </w:r>
      <w:r>
        <w:t xml:space="preserve"> с надеждата да увеличи шансовете си </w:t>
      </w:r>
      <w:r w:rsidR="004B2EBA">
        <w:t xml:space="preserve">да му </w:t>
      </w:r>
      <w:r>
        <w:t xml:space="preserve">бъде присъдена </w:t>
      </w:r>
      <w:r w:rsidR="004B2EBA">
        <w:t xml:space="preserve">по-голяма сума </w:t>
      </w:r>
      <w:r>
        <w:t>от Съда.</w:t>
      </w:r>
    </w:p>
    <w:p w:rsidR="000F3873" w:rsidRPr="0059462F" w:rsidRDefault="000F3873" w:rsidP="006725B0">
      <w:pPr>
        <w:pStyle w:val="JuH1"/>
        <w:widowControl w:val="0"/>
      </w:pPr>
      <w:r>
        <w:t>2.  </w:t>
      </w:r>
      <w:r w:rsidR="004B2EBA">
        <w:t>Решението на</w:t>
      </w:r>
      <w:r>
        <w:t xml:space="preserve"> Съда</w:t>
      </w:r>
    </w:p>
    <w:p w:rsidR="000F3873" w:rsidRPr="0059462F" w:rsidRDefault="008E7633" w:rsidP="006725B0">
      <w:pPr>
        <w:pStyle w:val="JuPara"/>
        <w:widowControl w:val="0"/>
      </w:pPr>
      <w:fldSimple w:instr=" SEQ level0 \*arabic ">
        <w:r w:rsidR="00A94344">
          <w:rPr>
            <w:noProof/>
          </w:rPr>
          <w:t>164</w:t>
        </w:r>
      </w:fldSimple>
      <w:r w:rsidR="000F3873">
        <w:t>.  </w:t>
      </w:r>
      <w:r w:rsidR="004B2EBA">
        <w:t xml:space="preserve">Като отсъжда </w:t>
      </w:r>
      <w:r w:rsidR="000F3873">
        <w:t>по справедливост, Съдът присъжда на жалбоподателя да се изплати обезщетение в размер на 21</w:t>
      </w:r>
      <w:r w:rsidR="004B2EBA">
        <w:t xml:space="preserve"> </w:t>
      </w:r>
      <w:r w:rsidR="000F3873">
        <w:t>000 евро за имуществени вреди и 133</w:t>
      </w:r>
      <w:r w:rsidR="004B2EBA">
        <w:t xml:space="preserve"> </w:t>
      </w:r>
      <w:r w:rsidR="000F3873">
        <w:t xml:space="preserve">000 евро за неимуществени вреди, като взема предвид </w:t>
      </w:r>
      <w:proofErr w:type="spellStart"/>
      <w:r w:rsidR="004B2EBA">
        <w:rPr>
          <w:lang w:val="en-US"/>
        </w:rPr>
        <w:t>страданието</w:t>
      </w:r>
      <w:proofErr w:type="spellEnd"/>
      <w:r w:rsidR="000F3873">
        <w:t>, ко</w:t>
      </w:r>
      <w:r w:rsidR="004B2EBA">
        <w:t>е</w:t>
      </w:r>
      <w:r w:rsidR="000F3873">
        <w:t xml:space="preserve">то </w:t>
      </w:r>
      <w:r w:rsidR="004B2EBA">
        <w:t>не</w:t>
      </w:r>
      <w:r w:rsidR="000F3873">
        <w:t xml:space="preserve">съмнено е преживял в резултат на незадоволителния отговор от страна на турската съдебна система във </w:t>
      </w:r>
      <w:r w:rsidR="000F3873">
        <w:lastRenderedPageBreak/>
        <w:t>връзка с настъпилите смъртни случаи и страданията, които са понесли трите му оцелели деца.</w:t>
      </w:r>
    </w:p>
    <w:p w:rsidR="000F3873" w:rsidRPr="0059462F" w:rsidRDefault="009F66F3" w:rsidP="006725B0">
      <w:pPr>
        <w:pStyle w:val="JuH1"/>
        <w:widowControl w:val="0"/>
      </w:pPr>
      <w:r>
        <w:br w:type="page"/>
      </w:r>
      <w:r>
        <w:lastRenderedPageBreak/>
        <w:t>3.  Преценката на Съда</w:t>
      </w:r>
    </w:p>
    <w:p w:rsidR="00D8632D" w:rsidRDefault="008E7633" w:rsidP="006725B0">
      <w:pPr>
        <w:pStyle w:val="JuPara"/>
        <w:widowControl w:val="0"/>
      </w:pPr>
      <w:fldSimple w:instr=" SEQ level0 \*arabic ">
        <w:r w:rsidR="00A94344">
          <w:rPr>
            <w:noProof/>
          </w:rPr>
          <w:t>165</w:t>
        </w:r>
      </w:fldSimple>
      <w:r w:rsidR="000F3873">
        <w:t>.  Съдът констатира нарушение на правото на защита на живот, залегнало в чл</w:t>
      </w:r>
      <w:r w:rsidR="004B2EBA">
        <w:t>.</w:t>
      </w:r>
      <w:r w:rsidR="000F3873">
        <w:t xml:space="preserve"> 2 </w:t>
      </w:r>
      <w:r w:rsidR="004B2EBA">
        <w:t>от</w:t>
      </w:r>
      <w:r w:rsidR="000F3873">
        <w:t xml:space="preserve"> Конвенцията и на правото на мирно </w:t>
      </w:r>
      <w:r w:rsidR="004B2EBA">
        <w:t xml:space="preserve">ползване на </w:t>
      </w:r>
      <w:r w:rsidR="000F3873">
        <w:t xml:space="preserve">притежание, </w:t>
      </w:r>
      <w:r w:rsidR="004B2EBA">
        <w:t xml:space="preserve">защитено </w:t>
      </w:r>
      <w:r w:rsidR="000F3873">
        <w:t>в чл</w:t>
      </w:r>
      <w:r w:rsidR="004B2EBA">
        <w:t>.</w:t>
      </w:r>
      <w:r w:rsidR="000F3873">
        <w:t xml:space="preserve"> 1 </w:t>
      </w:r>
      <w:r w:rsidR="004B2EBA">
        <w:t>от</w:t>
      </w:r>
      <w:r w:rsidR="000F3873">
        <w:t xml:space="preserve"> Протокол № 1. Съдът също така констатира нарушение на правото на </w:t>
      </w:r>
      <w:r w:rsidR="004B2EBA">
        <w:t>правно средство за защита</w:t>
      </w:r>
      <w:r w:rsidR="000F3873">
        <w:t xml:space="preserve"> съгласно чл</w:t>
      </w:r>
      <w:r w:rsidR="001B7230">
        <w:t>.</w:t>
      </w:r>
      <w:r w:rsidR="000F3873">
        <w:t xml:space="preserve"> 13 </w:t>
      </w:r>
      <w:r w:rsidR="001B7230">
        <w:t>от</w:t>
      </w:r>
      <w:r w:rsidR="000F3873">
        <w:t xml:space="preserve"> Конвенцията във връзка с двете жалби.</w:t>
      </w:r>
    </w:p>
    <w:p w:rsidR="000F3873" w:rsidRPr="0059462F" w:rsidRDefault="000F3873" w:rsidP="006725B0">
      <w:pPr>
        <w:pStyle w:val="JuHa"/>
        <w:widowControl w:val="0"/>
      </w:pPr>
      <w:r>
        <w:t>а)</w:t>
      </w:r>
      <w:r>
        <w:tab/>
        <w:t>Имуществени вреди</w:t>
      </w:r>
    </w:p>
    <w:p w:rsidR="00D8632D" w:rsidRDefault="008E7633" w:rsidP="000F3873">
      <w:pPr>
        <w:pStyle w:val="JuPara"/>
      </w:pPr>
      <w:fldSimple w:instr=" SEQ level0 \*arabic ">
        <w:r w:rsidR="00A94344">
          <w:rPr>
            <w:noProof/>
          </w:rPr>
          <w:t>166</w:t>
        </w:r>
      </w:fldSimple>
      <w:r w:rsidR="000F3873">
        <w:t>.  </w:t>
      </w:r>
      <w:r w:rsidR="001B7230">
        <w:t xml:space="preserve">Както и Съдът преди това, </w:t>
      </w:r>
      <w:r w:rsidR="000F3873">
        <w:t>Голямата камара отбелязва, че жалбоподателят несъмнено е претърпял загуби в резултат на констатираните нарушения и е налице явна причинно</w:t>
      </w:r>
      <w:r w:rsidR="001B7230">
        <w:t>-</w:t>
      </w:r>
      <w:r w:rsidR="000F3873">
        <w:t>следствена връзка между тези нарушения и твърдените имуществени вреди, което може да включ</w:t>
      </w:r>
      <w:r w:rsidR="001B7230">
        <w:t>ва</w:t>
      </w:r>
      <w:r w:rsidR="000F3873">
        <w:t xml:space="preserve"> обезщетение за загуба на източници на доход (вж</w:t>
      </w:r>
      <w:r w:rsidR="001B7230">
        <w:t>.</w:t>
      </w:r>
      <w:r w:rsidR="000F3873">
        <w:t xml:space="preserve"> </w:t>
      </w:r>
      <w:proofErr w:type="spellStart"/>
      <w:r w:rsidR="000F3873">
        <w:rPr>
          <w:i/>
        </w:rPr>
        <w:t>Salman</w:t>
      </w:r>
      <w:proofErr w:type="spellEnd"/>
      <w:r w:rsidR="000F3873">
        <w:t xml:space="preserve">, цитирано по-горе, § 137 и </w:t>
      </w:r>
      <w:r w:rsidR="000F3873">
        <w:rPr>
          <w:i/>
        </w:rPr>
        <w:t xml:space="preserve">Z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1B7230">
        <w:rPr>
          <w:i/>
        </w:rPr>
        <w:t>срещу Великобритания</w:t>
      </w:r>
      <w:r w:rsidR="000F3873">
        <w:t xml:space="preserve">, цитирано по-горе, § 119). Въпреки това обаче нито един от исковете на жалбоподателя по тази част не е бил надлежно документиран. Твърдените вреди включват компоненти, които не могат да бъдат изчислени точно или са основани на толкова ограничени доказателства, че </w:t>
      </w:r>
      <w:r w:rsidR="001B7230">
        <w:t>всяка</w:t>
      </w:r>
      <w:r w:rsidR="000F3873">
        <w:t xml:space="preserve"> оценка несъмнено би довела до известна спекулация (вж</w:t>
      </w:r>
      <w:r w:rsidR="001B7230">
        <w:t>.</w:t>
      </w:r>
      <w:r w:rsidR="000F3873">
        <w:t>, наред с други</w:t>
      </w:r>
      <w:r w:rsidR="001B7230">
        <w:t xml:space="preserve"> източници</w:t>
      </w:r>
      <w:r w:rsidR="000F3873">
        <w:t xml:space="preserve">, </w:t>
      </w:r>
      <w:proofErr w:type="spellStart"/>
      <w:r w:rsidR="000F3873">
        <w:rPr>
          <w:i/>
        </w:rPr>
        <w:t>Sporrong</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Lönnroth</w:t>
      </w:r>
      <w:proofErr w:type="spellEnd"/>
      <w:r w:rsidR="000F3873">
        <w:rPr>
          <w:i/>
        </w:rPr>
        <w:t xml:space="preserve"> </w:t>
      </w:r>
      <w:r w:rsidR="001B7230">
        <w:rPr>
          <w:i/>
        </w:rPr>
        <w:t>срещу Швеция</w:t>
      </w:r>
      <w:r w:rsidR="000F3873">
        <w:t xml:space="preserve"> (чл</w:t>
      </w:r>
      <w:r w:rsidR="001B7230">
        <w:t>.</w:t>
      </w:r>
      <w:r w:rsidR="000F3873">
        <w:t xml:space="preserve"> 50), решение от 18 декември 1984 г., серия A № 88, стр</w:t>
      </w:r>
      <w:r w:rsidR="001B7230">
        <w:t>.</w:t>
      </w:r>
      <w:r w:rsidR="000F3873">
        <w:t xml:space="preserve"> 14-15, § 32 и </w:t>
      </w:r>
      <w:proofErr w:type="spellStart"/>
      <w:r w:rsidR="000F3873">
        <w:rPr>
          <w:i/>
        </w:rPr>
        <w:t>Akdivar</w:t>
      </w:r>
      <w:proofErr w:type="spellEnd"/>
      <w:r w:rsidR="000F3873">
        <w:rPr>
          <w:i/>
        </w:rPr>
        <w:t xml:space="preserve"> </w:t>
      </w:r>
      <w:proofErr w:type="spellStart"/>
      <w:r w:rsidR="000F3873">
        <w:rPr>
          <w:i/>
        </w:rPr>
        <w:t>and</w:t>
      </w:r>
      <w:proofErr w:type="spellEnd"/>
      <w:r w:rsidR="000F3873">
        <w:rPr>
          <w:i/>
        </w:rPr>
        <w:t xml:space="preserve"> </w:t>
      </w:r>
      <w:proofErr w:type="spellStart"/>
      <w:r w:rsidR="000F3873">
        <w:rPr>
          <w:i/>
        </w:rPr>
        <w:t>Others</w:t>
      </w:r>
      <w:proofErr w:type="spellEnd"/>
      <w:r w:rsidR="000F3873">
        <w:rPr>
          <w:i/>
        </w:rPr>
        <w:t xml:space="preserve"> </w:t>
      </w:r>
      <w:r w:rsidR="001B7230">
        <w:rPr>
          <w:i/>
        </w:rPr>
        <w:t>срещу Турция</w:t>
      </w:r>
      <w:r w:rsidR="000F3873">
        <w:t xml:space="preserve"> (чл</w:t>
      </w:r>
      <w:r w:rsidR="001B7230">
        <w:t>.</w:t>
      </w:r>
      <w:r w:rsidR="000F3873">
        <w:t xml:space="preserve"> 50), решение от 1 април 1998 г., </w:t>
      </w:r>
      <w:r w:rsidR="000F3873">
        <w:rPr>
          <w:i/>
        </w:rPr>
        <w:t>Доклади</w:t>
      </w:r>
      <w:r w:rsidR="000F3873">
        <w:t xml:space="preserve"> 1998-II, стр. 718, § 19).</w:t>
      </w:r>
    </w:p>
    <w:p w:rsidR="000F3873" w:rsidRPr="0059462F" w:rsidRDefault="000F3873" w:rsidP="000F3873">
      <w:pPr>
        <w:pStyle w:val="JuPara"/>
      </w:pPr>
      <w:r>
        <w:t xml:space="preserve">Следователно Съдът ще извърши оценка по справедливост на исковете на жалбоподателя по отношение на имуществените вреди, като вземе под внимание цялата </w:t>
      </w:r>
      <w:r w:rsidR="001B7230">
        <w:t xml:space="preserve">налична </w:t>
      </w:r>
      <w:r>
        <w:t xml:space="preserve">информация съгласно </w:t>
      </w:r>
      <w:r w:rsidR="001B7230">
        <w:t xml:space="preserve">изискванията на </w:t>
      </w:r>
      <w:r>
        <w:t>чл</w:t>
      </w:r>
      <w:r w:rsidR="001B7230">
        <w:t>.</w:t>
      </w:r>
      <w:r>
        <w:t xml:space="preserve"> 41.</w:t>
      </w:r>
    </w:p>
    <w:p w:rsidR="00D8632D" w:rsidRDefault="008E7633" w:rsidP="000F3873">
      <w:pPr>
        <w:pStyle w:val="JuPara"/>
      </w:pPr>
      <w:fldSimple w:instr=" SEQ level0 \*arabic ">
        <w:r w:rsidR="00A94344">
          <w:rPr>
            <w:noProof/>
          </w:rPr>
          <w:t>167</w:t>
        </w:r>
      </w:fldSimple>
      <w:r w:rsidR="000F3873">
        <w:t xml:space="preserve">.  Във връзка първо с възстановяването на погребалните разноски, жалбоподателят е представил статия от ежедневника </w:t>
      </w:r>
      <w:proofErr w:type="spellStart"/>
      <w:r w:rsidR="000F3873">
        <w:rPr>
          <w:i/>
        </w:rPr>
        <w:t>Sabah</w:t>
      </w:r>
      <w:proofErr w:type="spellEnd"/>
      <w:r w:rsidR="001B7230">
        <w:rPr>
          <w:i/>
        </w:rPr>
        <w:t>,</w:t>
      </w:r>
      <w:r w:rsidR="000F3873">
        <w:t xml:space="preserve"> </w:t>
      </w:r>
      <w:r w:rsidR="001B7230">
        <w:t xml:space="preserve">брой </w:t>
      </w:r>
      <w:r w:rsidR="000F3873">
        <w:t xml:space="preserve">от 9 април 2001 г., според която друг пострадал от инцидента на 28 април 1993 г., г-н C. </w:t>
      </w:r>
      <w:proofErr w:type="spellStart"/>
      <w:r w:rsidR="000F3873">
        <w:t>Öztürk</w:t>
      </w:r>
      <w:proofErr w:type="spellEnd"/>
      <w:r w:rsidR="000F3873">
        <w:t>, е трябвало да заплати 550</w:t>
      </w:r>
      <w:r w:rsidR="001B7230">
        <w:t xml:space="preserve"> </w:t>
      </w:r>
      <w:r w:rsidR="000F3873">
        <w:t>000</w:t>
      </w:r>
      <w:r w:rsidR="001B7230">
        <w:t xml:space="preserve"> </w:t>
      </w:r>
      <w:r w:rsidR="000F3873">
        <w:t>000 турски лири за погребението на жена си и четирите си деца. Правителството оспор</w:t>
      </w:r>
      <w:r w:rsidR="001B7230">
        <w:t>ва</w:t>
      </w:r>
      <w:r w:rsidR="000F3873">
        <w:t xml:space="preserve"> доказателствената стойност на тази информация, но не предостав</w:t>
      </w:r>
      <w:r w:rsidR="001B7230">
        <w:t>я</w:t>
      </w:r>
      <w:r w:rsidR="000F3873">
        <w:t xml:space="preserve"> други доказателства за изясняване на проблема.</w:t>
      </w:r>
    </w:p>
    <w:p w:rsidR="00D8632D" w:rsidRDefault="000F3873" w:rsidP="000F3873">
      <w:pPr>
        <w:pStyle w:val="JuPara"/>
      </w:pPr>
      <w:r>
        <w:t>Съдът счита</w:t>
      </w:r>
      <w:r w:rsidR="001B7230">
        <w:t>, че</w:t>
      </w:r>
      <w:r>
        <w:t xml:space="preserve"> </w:t>
      </w:r>
      <w:r w:rsidR="001B7230">
        <w:t>този иск не е не</w:t>
      </w:r>
      <w:r>
        <w:t>основател</w:t>
      </w:r>
      <w:r w:rsidR="001B7230">
        <w:t>е</w:t>
      </w:r>
      <w:r>
        <w:t xml:space="preserve">н, тъй като жалбоподателят е трябвало да погребе девет свои близки роднини. Следователно Съдът присъжда пълната сума, </w:t>
      </w:r>
      <w:r w:rsidR="001B7230">
        <w:t>претендирана</w:t>
      </w:r>
      <w:r>
        <w:t xml:space="preserve"> по тази част, а именно 2 000 щатски долара.</w:t>
      </w:r>
    </w:p>
    <w:p w:rsidR="00D8632D" w:rsidRDefault="008E7633" w:rsidP="000F3873">
      <w:pPr>
        <w:pStyle w:val="JuPara"/>
      </w:pPr>
      <w:fldSimple w:instr=" SEQ level0 \*arabic ">
        <w:r w:rsidR="00A94344">
          <w:rPr>
            <w:noProof/>
          </w:rPr>
          <w:t>168</w:t>
        </w:r>
      </w:fldSimple>
      <w:r w:rsidR="000F3873">
        <w:t>.  По отношение на твърд</w:t>
      </w:r>
      <w:r w:rsidR="00C777E1">
        <w:t>яната загуба на финансова издръжка</w:t>
      </w:r>
      <w:r w:rsidR="000F3873">
        <w:t xml:space="preserve">, във връзка с този иск не </w:t>
      </w:r>
      <w:r w:rsidR="00C777E1">
        <w:t xml:space="preserve">са </w:t>
      </w:r>
      <w:r w:rsidR="000F3873">
        <w:t xml:space="preserve">представени никакви подробни данни. Въпреки това Голямата камара се съгласява с позицията на Съда, че в конкретния случай всеки член на домакинството по един или друг начин е </w:t>
      </w:r>
      <w:r w:rsidR="00C777E1">
        <w:t>участвал</w:t>
      </w:r>
      <w:r w:rsidR="000F3873">
        <w:t xml:space="preserve">, дори </w:t>
      </w:r>
      <w:r w:rsidR="00C777E1">
        <w:t>и непряко</w:t>
      </w:r>
      <w:r w:rsidR="000F3873">
        <w:t xml:space="preserve">, </w:t>
      </w:r>
      <w:r w:rsidR="00C777E1">
        <w:t>в</w:t>
      </w:r>
      <w:r w:rsidR="000F3873">
        <w:t xml:space="preserve"> издръжката на всички, макар че перспективата за </w:t>
      </w:r>
      <w:r w:rsidR="000F3873">
        <w:lastRenderedPageBreak/>
        <w:t>бъдеща финансова подкрепа от страна на седемте непълнолетни деца, които загиват при инцидента, изглежда твърде далечна.</w:t>
      </w:r>
    </w:p>
    <w:p w:rsidR="00D8632D" w:rsidRDefault="000F3873" w:rsidP="000F3873">
      <w:pPr>
        <w:pStyle w:val="JuPara"/>
      </w:pPr>
      <w:r>
        <w:t>Като взе предвид всичко това, Съдът счита, че по тази част следва да бъде присъдена обща сума в размер на 10</w:t>
      </w:r>
      <w:r w:rsidR="00C777E1">
        <w:t xml:space="preserve"> </w:t>
      </w:r>
      <w:r>
        <w:t>000 евро.</w:t>
      </w:r>
    </w:p>
    <w:p w:rsidR="00D8632D" w:rsidRDefault="008E7633" w:rsidP="000F3873">
      <w:pPr>
        <w:pStyle w:val="JuPara"/>
      </w:pPr>
      <w:fldSimple w:instr=" SEQ level0 \*arabic ">
        <w:r w:rsidR="00A94344">
          <w:rPr>
            <w:noProof/>
          </w:rPr>
          <w:t>169</w:t>
        </w:r>
      </w:fldSimple>
      <w:r w:rsidR="000F3873">
        <w:t xml:space="preserve">.  Във връзка с твърдяната загуба в резултат на разрушаването на жилището на жалбоподателя, Съдът отбелязва още в началото, че при липсата на доказателства, исканата сума е твърде голяма. В тази връзка Съдът счита, че икономическият интерес, който </w:t>
      </w:r>
      <w:r w:rsidR="00C777E1">
        <w:t xml:space="preserve">придобитото от жалбоподателя </w:t>
      </w:r>
      <w:r w:rsidR="000F3873">
        <w:t>субсидирано жилище може да представлява, следва да бъде отчетен при оценката на вредите (вж</w:t>
      </w:r>
      <w:r w:rsidR="00C777E1">
        <w:t>.</w:t>
      </w:r>
      <w:r w:rsidR="000F3873">
        <w:t xml:space="preserve"> параграф 156 по-горе), макар че тази задача се усложнява от постоянните промени в обменния курс и инфлацията в Турция</w:t>
      </w:r>
      <w:r w:rsidR="00C777E1">
        <w:t>, както</w:t>
      </w:r>
      <w:r w:rsidR="000F3873">
        <w:t xml:space="preserve"> и </w:t>
      </w:r>
      <w:r w:rsidR="00C777E1">
        <w:t xml:space="preserve">от </w:t>
      </w:r>
      <w:r w:rsidR="000F3873">
        <w:t>сделките</w:t>
      </w:r>
      <w:r w:rsidR="00C777E1">
        <w:t xml:space="preserve"> на</w:t>
      </w:r>
      <w:r w:rsidR="000F3873">
        <w:t xml:space="preserve"> жалбоподателя във връзка с апартамента му (вж</w:t>
      </w:r>
      <w:r w:rsidR="00C777E1">
        <w:t>.</w:t>
      </w:r>
      <w:r w:rsidR="000F3873">
        <w:t xml:space="preserve"> параграф 30 по-горе).</w:t>
      </w:r>
    </w:p>
    <w:p w:rsidR="00D8632D" w:rsidRDefault="000F3873" w:rsidP="000F3873">
      <w:pPr>
        <w:pStyle w:val="JuPara"/>
      </w:pPr>
      <w:r>
        <w:t xml:space="preserve">Оценката на </w:t>
      </w:r>
      <w:r w:rsidR="00C777E1">
        <w:t xml:space="preserve">Отделението </w:t>
      </w:r>
      <w:r>
        <w:t xml:space="preserve">се основава на предположението, че стойността на жилището на жалбоподателя, което е било разрушено, възлиза на 50% от цената на приемливо жилище, предлагано по същото време от градския съвет на Истанбул и района на </w:t>
      </w:r>
      <w:proofErr w:type="spellStart"/>
      <w:r>
        <w:t>Чобанчешме</w:t>
      </w:r>
      <w:proofErr w:type="spellEnd"/>
      <w:r>
        <w:t xml:space="preserve">. В тази връзка Голямата камара отбелязва, че съгласно списък, изготвен на 20 март 2001 г. от градския съвет, последният е </w:t>
      </w:r>
      <w:r w:rsidR="00C777E1">
        <w:t xml:space="preserve">предлагал </w:t>
      </w:r>
      <w:r>
        <w:t>жилищ</w:t>
      </w:r>
      <w:r w:rsidR="00C777E1">
        <w:t>а</w:t>
      </w:r>
      <w:r>
        <w:t xml:space="preserve"> в района на </w:t>
      </w:r>
      <w:proofErr w:type="spellStart"/>
      <w:r>
        <w:t>Чобанчешме</w:t>
      </w:r>
      <w:proofErr w:type="spellEnd"/>
      <w:r>
        <w:t xml:space="preserve"> на стойност около 10</w:t>
      </w:r>
      <w:r w:rsidR="00C777E1">
        <w:t xml:space="preserve"> </w:t>
      </w:r>
      <w:r>
        <w:t>400</w:t>
      </w:r>
      <w:r w:rsidR="00C777E1">
        <w:t xml:space="preserve"> </w:t>
      </w:r>
      <w:r>
        <w:t>000</w:t>
      </w:r>
      <w:r w:rsidR="00C777E1">
        <w:t xml:space="preserve"> </w:t>
      </w:r>
      <w:r>
        <w:t>000 турски лири, които към тази дата се равняват на 11</w:t>
      </w:r>
      <w:r w:rsidR="00C777E1">
        <w:t xml:space="preserve"> </w:t>
      </w:r>
      <w:r>
        <w:t>800 евро.</w:t>
      </w:r>
    </w:p>
    <w:p w:rsidR="00D8632D" w:rsidRDefault="000F3873" w:rsidP="000F3873">
      <w:pPr>
        <w:pStyle w:val="JuPara"/>
      </w:pPr>
      <w:r>
        <w:t>Отделно от тази информация Съдът отбелязва, отново въз основа на свои — изцяло приблизителни — изчисления, че на 13 ноември 1993 г., когато е подписан договор</w:t>
      </w:r>
      <w:r w:rsidR="00C777E1">
        <w:t>ът</w:t>
      </w:r>
      <w:r>
        <w:t xml:space="preserve"> за покупко-продажба на апартамента на жалбоподателя, договорената цена от 125</w:t>
      </w:r>
      <w:r w:rsidR="00C777E1">
        <w:t xml:space="preserve"> </w:t>
      </w:r>
      <w:r>
        <w:t>000</w:t>
      </w:r>
      <w:r w:rsidR="00C777E1">
        <w:t xml:space="preserve"> </w:t>
      </w:r>
      <w:r>
        <w:t>000 турски лири се е равнявала на около 8</w:t>
      </w:r>
      <w:r w:rsidR="00C777E1">
        <w:t xml:space="preserve"> </w:t>
      </w:r>
      <w:r>
        <w:t>500 евро, една четвърт от които (2 125 евро) е изплатена веднага. Остатък</w:t>
      </w:r>
      <w:r w:rsidR="00C777E1">
        <w:t>ът</w:t>
      </w:r>
      <w:r>
        <w:t xml:space="preserve"> (в размер, равняващ се на 6</w:t>
      </w:r>
      <w:r w:rsidR="00C777E1">
        <w:t xml:space="preserve"> </w:t>
      </w:r>
      <w:r>
        <w:t xml:space="preserve">375 евро) е трябвало да се </w:t>
      </w:r>
      <w:r w:rsidR="00C777E1">
        <w:t xml:space="preserve">изплати </w:t>
      </w:r>
      <w:r>
        <w:t>на 120 месечни вноски от по 732</w:t>
      </w:r>
      <w:r w:rsidR="00C777E1">
        <w:t xml:space="preserve"> </w:t>
      </w:r>
      <w:r>
        <w:t xml:space="preserve">844 турски лири. </w:t>
      </w:r>
      <w:r w:rsidR="00D53F5A">
        <w:t xml:space="preserve">Към </w:t>
      </w:r>
      <w:r>
        <w:t xml:space="preserve">13 ноември 1993 г. месечните вноски са </w:t>
      </w:r>
      <w:r w:rsidR="00D53F5A">
        <w:t>се равнявали</w:t>
      </w:r>
      <w:r>
        <w:t xml:space="preserve"> на около 53 евро. Въпреки това на 24 март 1998 г., датата, на която жалбоподателят обещава да продаде апартамента си на Е.В., месечните вноски възлизат само на 3 евро. Съгласно изчисленията въз основа на обменните курсове </w:t>
      </w:r>
      <w:r w:rsidR="00D53F5A">
        <w:t xml:space="preserve">в периода между </w:t>
      </w:r>
      <w:r>
        <w:t xml:space="preserve">13 ноември 1993 г. и 24 март 1998 г., средната стойност на вноските е била около 15 евро. </w:t>
      </w:r>
      <w:r w:rsidR="00D53F5A">
        <w:t>Тъй като</w:t>
      </w:r>
      <w:r>
        <w:t xml:space="preserve"> няма причини да се счита, че жалбоподателят е продължил да изплаща вноските след 24 март 1998 г., може да се предположи, че към тази дата той е изплатил, освен първоначалната вноска, равностойността на около 780 евро на месечни вноски за покупката на апартамента, което възлиза </w:t>
      </w:r>
      <w:r w:rsidR="00D53F5A">
        <w:t xml:space="preserve">общо </w:t>
      </w:r>
      <w:r>
        <w:t>на около 3 000 евро — сума, значително по-ниска от първоначалната стойност на апартамента.</w:t>
      </w:r>
      <w:r w:rsidR="00D53F5A">
        <w:t xml:space="preserve"> </w:t>
      </w:r>
    </w:p>
    <w:p w:rsidR="00D8632D" w:rsidRDefault="000F3873" w:rsidP="000F3873">
      <w:pPr>
        <w:pStyle w:val="JuPara"/>
      </w:pPr>
      <w:r>
        <w:t xml:space="preserve">Следва да се има предвид също, че </w:t>
      </w:r>
      <w:r w:rsidR="00D53F5A">
        <w:t>поне</w:t>
      </w:r>
      <w:r>
        <w:t xml:space="preserve"> от февруари 1995 г., ако не и преди тази дата, въпросният апартамент е бил отдаден под наем на лице с инициали H.Ö. срещу месеч</w:t>
      </w:r>
      <w:r w:rsidR="00D53F5A">
        <w:t>е</w:t>
      </w:r>
      <w:r>
        <w:t xml:space="preserve">н </w:t>
      </w:r>
      <w:r w:rsidR="00D53F5A">
        <w:t xml:space="preserve">наем </w:t>
      </w:r>
      <w:r>
        <w:t>в размер на 2</w:t>
      </w:r>
      <w:r w:rsidR="00D53F5A">
        <w:t xml:space="preserve"> </w:t>
      </w:r>
      <w:r>
        <w:t>000</w:t>
      </w:r>
      <w:r w:rsidR="00D53F5A">
        <w:t xml:space="preserve"> </w:t>
      </w:r>
      <w:r>
        <w:t xml:space="preserve">000 турски лири (около 41 евро). За периода от тридесет и седем месеца, през който </w:t>
      </w:r>
      <w:r>
        <w:lastRenderedPageBreak/>
        <w:t>апартаментът е бил отдаван под наем до 24 март 1998 г., когато е подписан предварителния</w:t>
      </w:r>
      <w:r w:rsidR="00D53F5A">
        <w:t>т</w:t>
      </w:r>
      <w:r>
        <w:t xml:space="preserve"> договор за продажба, жалбоподателят </w:t>
      </w:r>
      <w:r w:rsidR="00D53F5A">
        <w:t xml:space="preserve">предполагаемо </w:t>
      </w:r>
      <w:r>
        <w:t>е получил минимум около 1 500 евро от наем, като за същия период от време е трябвал</w:t>
      </w:r>
      <w:r w:rsidR="00D53F5A">
        <w:t>о</w:t>
      </w:r>
      <w:r>
        <w:t xml:space="preserve"> до </w:t>
      </w:r>
      <w:r w:rsidR="00D53F5A">
        <w:t>изплаща</w:t>
      </w:r>
      <w:r>
        <w:t xml:space="preserve"> само 550 евро </w:t>
      </w:r>
      <w:r w:rsidR="00D53F5A">
        <w:t xml:space="preserve">като </w:t>
      </w:r>
      <w:r>
        <w:t>месечни вноски.</w:t>
      </w:r>
    </w:p>
    <w:p w:rsidR="00D8632D" w:rsidRDefault="000F3873" w:rsidP="000F3873">
      <w:pPr>
        <w:pStyle w:val="JuPara"/>
      </w:pPr>
      <w:r>
        <w:t>Освен това при подписване на предварителния договор за продажба на апартамента, жалбоподателят е получил 20</w:t>
      </w:r>
      <w:r w:rsidR="00D53F5A">
        <w:t xml:space="preserve"> </w:t>
      </w:r>
      <w:r>
        <w:t>000 германски марки от Е.В.; тази сума, равняваща се към този момент на 10</w:t>
      </w:r>
      <w:r w:rsidR="00D53F5A">
        <w:t xml:space="preserve"> </w:t>
      </w:r>
      <w:r>
        <w:t xml:space="preserve">226 евро е значително по-висока </w:t>
      </w:r>
      <w:r w:rsidR="00D53F5A">
        <w:t>всяка</w:t>
      </w:r>
      <w:r>
        <w:t xml:space="preserve"> сума, която жалбоподателят е трябвало да плати, за да закупи апартамента си.</w:t>
      </w:r>
    </w:p>
    <w:p w:rsidR="00D8632D" w:rsidRDefault="000F3873" w:rsidP="000F3873">
      <w:pPr>
        <w:pStyle w:val="JuPara"/>
      </w:pPr>
      <w:r>
        <w:t xml:space="preserve">Предвид изложеното по-горе, </w:t>
      </w:r>
      <w:r w:rsidR="00D53F5A">
        <w:t xml:space="preserve">като </w:t>
      </w:r>
      <w:r>
        <w:t xml:space="preserve">допуска, че пазарната стойност на </w:t>
      </w:r>
      <w:r w:rsidR="00D53F5A">
        <w:t xml:space="preserve">жилището </w:t>
      </w:r>
      <w:r>
        <w:t xml:space="preserve">на жалбоподателя може да се оцени съгласно критерия, приет от </w:t>
      </w:r>
      <w:r w:rsidR="00D53F5A">
        <w:t>Отделението,</w:t>
      </w:r>
      <w:r>
        <w:t xml:space="preserve"> и че жалбоподателят </w:t>
      </w:r>
      <w:r w:rsidR="00D53F5A">
        <w:t>вероятно е изразходил</w:t>
      </w:r>
      <w:r>
        <w:t xml:space="preserve"> определена сума за жилищ</w:t>
      </w:r>
      <w:r w:rsidR="00D53F5A">
        <w:t>но настаняване</w:t>
      </w:r>
      <w:r>
        <w:t xml:space="preserve"> за периода, през който апартаментът му е бил </w:t>
      </w:r>
      <w:r w:rsidR="00D53F5A">
        <w:t>отдаван под наем</w:t>
      </w:r>
      <w:r>
        <w:t xml:space="preserve">, все </w:t>
      </w:r>
      <w:r w:rsidR="00D53F5A">
        <w:t>пак</w:t>
      </w:r>
      <w:r>
        <w:t xml:space="preserve"> няма причина Съдът да стигне до заключение, че тези обстоятелства са довели до загуба, която е по-голяма от печалбата, </w:t>
      </w:r>
      <w:r w:rsidR="00D53F5A">
        <w:t xml:space="preserve">която </w:t>
      </w:r>
      <w:r>
        <w:t>жалбоподателя</w:t>
      </w:r>
      <w:r w:rsidR="00D53F5A">
        <w:t>т</w:t>
      </w:r>
      <w:r>
        <w:t xml:space="preserve"> </w:t>
      </w:r>
      <w:r w:rsidR="00D53F5A">
        <w:t xml:space="preserve">предполагаемо е получил </w:t>
      </w:r>
      <w:r>
        <w:t>при реализиране на сделките във връзка с апартамента му.</w:t>
      </w:r>
    </w:p>
    <w:p w:rsidR="00D8632D" w:rsidRDefault="000F3873" w:rsidP="000F3873">
      <w:pPr>
        <w:pStyle w:val="JuPara"/>
      </w:pPr>
      <w:r>
        <w:t xml:space="preserve">Следователно няма нужда жалбоподателят да получи обезщетение за разрушаването на жилището му, като констатирането на нарушение само по себе си представлява </w:t>
      </w:r>
      <w:r w:rsidR="00792817">
        <w:t xml:space="preserve">достатъчно </w:t>
      </w:r>
      <w:r w:rsidR="00D53F5A">
        <w:t>справедливо</w:t>
      </w:r>
      <w:r>
        <w:t xml:space="preserve"> </w:t>
      </w:r>
      <w:r w:rsidR="00D53F5A">
        <w:t>обезщетение</w:t>
      </w:r>
      <w:r>
        <w:t>.</w:t>
      </w:r>
    </w:p>
    <w:p w:rsidR="00D8632D" w:rsidRDefault="008E7633" w:rsidP="000F3873">
      <w:pPr>
        <w:pStyle w:val="JuPara"/>
      </w:pPr>
      <w:fldSimple w:instr=" SEQ level0 \*arabic ">
        <w:r w:rsidR="00A94344">
          <w:rPr>
            <w:noProof/>
          </w:rPr>
          <w:t>170</w:t>
        </w:r>
      </w:fldSimple>
      <w:r w:rsidR="000F3873">
        <w:t>.  Във връзка със стойността на движим</w:t>
      </w:r>
      <w:r w:rsidR="00792817">
        <w:t>ото</w:t>
      </w:r>
      <w:r w:rsidR="000F3873">
        <w:t xml:space="preserve"> </w:t>
      </w:r>
      <w:r w:rsidR="00792817">
        <w:t>имущество</w:t>
      </w:r>
      <w:r w:rsidR="000F3873">
        <w:t>, унищожен</w:t>
      </w:r>
      <w:r w:rsidR="00792817">
        <w:t>о</w:t>
      </w:r>
      <w:r w:rsidR="000F3873">
        <w:t xml:space="preserve"> при инцидента на 28 април 1993 г., Съдът отбелязва, че на 30 ноември 1995 г. Административния</w:t>
      </w:r>
      <w:r w:rsidR="00792817">
        <w:t>т</w:t>
      </w:r>
      <w:r w:rsidR="000F3873">
        <w:t xml:space="preserve"> съд на Истанбул е присъдил на жалбоподателя обезщетение в размер на 10</w:t>
      </w:r>
      <w:r w:rsidR="00792817">
        <w:t xml:space="preserve"> </w:t>
      </w:r>
      <w:r w:rsidR="000F3873">
        <w:t>000</w:t>
      </w:r>
      <w:r w:rsidR="00792817">
        <w:t xml:space="preserve"> </w:t>
      </w:r>
      <w:r w:rsidR="000F3873">
        <w:t xml:space="preserve">000 турски лири по тази част (равняващи се към момента на около 208 евро). При постановяване на </w:t>
      </w:r>
      <w:r w:rsidR="00792817">
        <w:t>това обезщетение</w:t>
      </w:r>
      <w:r w:rsidR="000F3873">
        <w:t xml:space="preserve"> обаче съдът </w:t>
      </w:r>
      <w:r w:rsidR="00792817">
        <w:t xml:space="preserve">е отказал </w:t>
      </w:r>
      <w:r w:rsidR="000F3873">
        <w:t>да вземе под внимание електроуредите, които жалбоподателят твърди, че е притежавал</w:t>
      </w:r>
      <w:r w:rsidR="00792817">
        <w:t>,</w:t>
      </w:r>
      <w:r w:rsidR="000F3873">
        <w:t xml:space="preserve"> въз основа на факта, че жилището не е било снабдено с електричество (вж</w:t>
      </w:r>
      <w:r w:rsidR="00792817">
        <w:t>.</w:t>
      </w:r>
      <w:r w:rsidR="000F3873">
        <w:t xml:space="preserve"> параграф 40 по-горе). Освен това присъденото обезщетение никога не е било изплатено на жалбоподателя. Съдът се позовава на заключенията си по тези конкретни точки (вж</w:t>
      </w:r>
      <w:r w:rsidR="00792817">
        <w:t>.</w:t>
      </w:r>
      <w:r w:rsidR="000F3873">
        <w:t xml:space="preserve"> параграфи 152, 153 и 156 по-горе) и счита, че </w:t>
      </w:r>
      <w:r w:rsidR="00792817">
        <w:t xml:space="preserve">изходът </w:t>
      </w:r>
      <w:r w:rsidR="000F3873">
        <w:t>от административното производство не може да се вземе предвид за целите на чл</w:t>
      </w:r>
      <w:r w:rsidR="00792817">
        <w:t>.</w:t>
      </w:r>
      <w:r w:rsidR="000F3873">
        <w:t xml:space="preserve"> 41 </w:t>
      </w:r>
      <w:r w:rsidR="00792817">
        <w:t>от</w:t>
      </w:r>
      <w:r w:rsidR="000F3873">
        <w:t xml:space="preserve"> Конвенцията.</w:t>
      </w:r>
    </w:p>
    <w:p w:rsidR="000F3873" w:rsidRPr="0059462F" w:rsidRDefault="000F3873" w:rsidP="000F3873">
      <w:pPr>
        <w:pStyle w:val="JuPara"/>
      </w:pPr>
      <w:r>
        <w:t>Съответно</w:t>
      </w:r>
      <w:r w:rsidR="00792817">
        <w:t>,</w:t>
      </w:r>
      <w:r>
        <w:t xml:space="preserve"> въпреки липсата на информация от страна на жалбоподателя относно </w:t>
      </w:r>
      <w:r w:rsidR="00792817">
        <w:t xml:space="preserve">вида </w:t>
      </w:r>
      <w:r>
        <w:t xml:space="preserve">и количеството на движимите вещи, които може да е притежавал, Съдът е извършил внимателен преглед на домакинските пособия в </w:t>
      </w:r>
      <w:r w:rsidR="00792817">
        <w:t xml:space="preserve">предоставените му </w:t>
      </w:r>
      <w:r>
        <w:t xml:space="preserve">каталози, </w:t>
      </w:r>
      <w:r w:rsidR="00792817">
        <w:t xml:space="preserve">като е взел </w:t>
      </w:r>
      <w:r>
        <w:t>предвид методите на изчисляване, приети при предишни подобни случаи (вж</w:t>
      </w:r>
      <w:r w:rsidR="00792817">
        <w:t>.</w:t>
      </w:r>
      <w:r>
        <w:t xml:space="preserve"> </w:t>
      </w:r>
      <w:proofErr w:type="spellStart"/>
      <w:r>
        <w:rPr>
          <w:i/>
        </w:rPr>
        <w:t>Akdivar</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(чл</w:t>
      </w:r>
      <w:r w:rsidR="00792817">
        <w:t>.</w:t>
      </w:r>
      <w:r>
        <w:t xml:space="preserve"> 50), цитирано по-горе</w:t>
      </w:r>
      <w:r w:rsidR="00792817">
        <w:t>,</w:t>
      </w:r>
      <w:r>
        <w:t xml:space="preserve"> и </w:t>
      </w:r>
      <w:proofErr w:type="spellStart"/>
      <w:r>
        <w:rPr>
          <w:i/>
        </w:rPr>
        <w:t>Menteş</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w:t>
      </w:r>
      <w:r w:rsidR="00792817">
        <w:rPr>
          <w:i/>
        </w:rPr>
        <w:t>срещу Турция</w:t>
      </w:r>
      <w:r>
        <w:t xml:space="preserve"> (чл</w:t>
      </w:r>
      <w:r w:rsidR="00792817">
        <w:t>.</w:t>
      </w:r>
      <w:r>
        <w:t xml:space="preserve"> 50), решение от 24 юли 1998 г., </w:t>
      </w:r>
      <w:r>
        <w:rPr>
          <w:i/>
        </w:rPr>
        <w:t>Доклади</w:t>
      </w:r>
      <w:r>
        <w:t xml:space="preserve"> 1998-IV, стр. 1693, § 12).</w:t>
      </w:r>
    </w:p>
    <w:p w:rsidR="000F3873" w:rsidRPr="0059462F" w:rsidRDefault="000F3873" w:rsidP="000F3873">
      <w:pPr>
        <w:pStyle w:val="JuPara"/>
      </w:pPr>
      <w:r>
        <w:t>Вследствие</w:t>
      </w:r>
      <w:r w:rsidR="00792817">
        <w:t xml:space="preserve"> на това</w:t>
      </w:r>
      <w:r>
        <w:t xml:space="preserve">, предвид жилищните условия на домакинство </w:t>
      </w:r>
      <w:r w:rsidR="00792817">
        <w:t>с</w:t>
      </w:r>
      <w:r>
        <w:t xml:space="preserve"> ниски доход</w:t>
      </w:r>
      <w:r w:rsidR="00792817">
        <w:t>и</w:t>
      </w:r>
      <w:r>
        <w:t xml:space="preserve">, Голямата камара се съгласява със Съда, че </w:t>
      </w:r>
      <w:r>
        <w:lastRenderedPageBreak/>
        <w:t>съображенията по справедливост оправдават обща сума в размер на 1 500 евро, която да бъде присъдена по тази част.</w:t>
      </w:r>
    </w:p>
    <w:p w:rsidR="000F3873" w:rsidRPr="0059462F" w:rsidRDefault="000F3873" w:rsidP="006725B0">
      <w:pPr>
        <w:pStyle w:val="JuHa"/>
        <w:widowControl w:val="0"/>
      </w:pPr>
      <w:r>
        <w:t>б)</w:t>
      </w:r>
      <w:r>
        <w:tab/>
        <w:t>Неимуществени вреди</w:t>
      </w:r>
    </w:p>
    <w:p w:rsidR="00D8632D" w:rsidRDefault="008E7633" w:rsidP="000F3873">
      <w:pPr>
        <w:pStyle w:val="JuPara"/>
      </w:pPr>
      <w:fldSimple w:instr=" SEQ level0 \*arabic ">
        <w:r w:rsidR="00A94344">
          <w:rPr>
            <w:noProof/>
          </w:rPr>
          <w:t>171</w:t>
        </w:r>
      </w:fldSimple>
      <w:r w:rsidR="000F3873">
        <w:t xml:space="preserve">.  Във връзка с неимуществените вреди Голямата камара не намира причини за разграничаване от позицията на Съда. Тя приема, че </w:t>
      </w:r>
      <w:r w:rsidR="00792817">
        <w:t>не</w:t>
      </w:r>
      <w:r w:rsidR="000F3873">
        <w:t>съмнено жалбоподателят е понесъл страдания вследствие на констатираните нарушения на чл</w:t>
      </w:r>
      <w:r w:rsidR="00792817">
        <w:t>.</w:t>
      </w:r>
      <w:r w:rsidR="000F3873">
        <w:t xml:space="preserve"> 2 и чл</w:t>
      </w:r>
      <w:r w:rsidR="00792817">
        <w:t>.</w:t>
      </w:r>
      <w:r w:rsidR="000F3873">
        <w:t xml:space="preserve"> 13 от Конвенцията. Съдът се съгласява с Правителството</w:t>
      </w:r>
      <w:r w:rsidR="00792817">
        <w:t xml:space="preserve"> обаче,</w:t>
      </w:r>
      <w:r w:rsidR="000F3873">
        <w:t xml:space="preserve"> че исканите суми по тази част са прекомерно високи. </w:t>
      </w:r>
      <w:r w:rsidR="00792817">
        <w:t>П</w:t>
      </w:r>
      <w:r w:rsidR="000F3873">
        <w:t xml:space="preserve">ризован да извърши оценка по справедливост, Съдът трябва да отчете конкретните обстоятелства по делото, включително понесените страдания, които </w:t>
      </w:r>
      <w:r w:rsidR="00792817">
        <w:t xml:space="preserve">вероятно </w:t>
      </w:r>
      <w:r w:rsidR="000F3873">
        <w:t xml:space="preserve">са </w:t>
      </w:r>
      <w:r w:rsidR="00792817">
        <w:t>с</w:t>
      </w:r>
      <w:r w:rsidR="000F3873">
        <w:t xml:space="preserve">е отразили и на трите оцелели деца на жалбоподателя — </w:t>
      </w:r>
      <w:proofErr w:type="spellStart"/>
      <w:r w:rsidR="00792817">
        <w:rPr>
          <w:lang w:val="en-GB"/>
        </w:rPr>
        <w:t>Hüsamettin</w:t>
      </w:r>
      <w:proofErr w:type="spellEnd"/>
      <w:r w:rsidR="00792817">
        <w:rPr>
          <w:lang w:val="en-GB"/>
        </w:rPr>
        <w:t xml:space="preserve">, Aydın </w:t>
      </w:r>
      <w:r w:rsidR="00792817">
        <w:t>и</w:t>
      </w:r>
      <w:r w:rsidR="00792817" w:rsidRPr="00792817">
        <w:rPr>
          <w:lang w:val="en-GB"/>
        </w:rPr>
        <w:t xml:space="preserve"> </w:t>
      </w:r>
      <w:proofErr w:type="spellStart"/>
      <w:r w:rsidR="00792817" w:rsidRPr="00792817">
        <w:rPr>
          <w:lang w:val="en-GB"/>
        </w:rPr>
        <w:t>Halef</w:t>
      </w:r>
      <w:proofErr w:type="spellEnd"/>
      <w:r w:rsidR="00792817" w:rsidRPr="00792817">
        <w:rPr>
          <w:lang w:val="en-GB"/>
        </w:rPr>
        <w:t xml:space="preserve"> </w:t>
      </w:r>
      <w:proofErr w:type="spellStart"/>
      <w:r w:rsidR="00792817" w:rsidRPr="00792817">
        <w:rPr>
          <w:lang w:val="en-GB"/>
        </w:rPr>
        <w:t>Öneryıldız</w:t>
      </w:r>
      <w:proofErr w:type="spellEnd"/>
      <w:r w:rsidR="000F3873">
        <w:t>, родени съответно на 10 октомври 1980 г., 10 октомври 1981 г. и 10 юли 1982 г.</w:t>
      </w:r>
    </w:p>
    <w:p w:rsidR="000F3873" w:rsidRPr="0059462F" w:rsidRDefault="000F3873" w:rsidP="000F3873">
      <w:pPr>
        <w:pStyle w:val="JuPara"/>
      </w:pPr>
      <w:r>
        <w:t xml:space="preserve">Подобно на констатациите на Съда за нарушение, решенията </w:t>
      </w:r>
      <w:r w:rsidR="00792817">
        <w:t>на</w:t>
      </w:r>
      <w:r>
        <w:t xml:space="preserve"> турските съдилища след решението по същество без съмнение са </w:t>
      </w:r>
      <w:r w:rsidR="00F40809">
        <w:t xml:space="preserve">осигурили </w:t>
      </w:r>
      <w:r>
        <w:t xml:space="preserve">на жалбоподателя </w:t>
      </w:r>
      <w:r w:rsidR="00F40809">
        <w:t xml:space="preserve">мярка за </w:t>
      </w:r>
      <w:r>
        <w:t>обезщетение за претърпени неимуществени вреди, макар да не покриват напълно щетите, претърпени по тази част. Съдът все пак счита, че сумата от 100</w:t>
      </w:r>
      <w:r w:rsidR="00F40809">
        <w:t xml:space="preserve"> </w:t>
      </w:r>
      <w:r>
        <w:t>000</w:t>
      </w:r>
      <w:r w:rsidR="00F40809">
        <w:t xml:space="preserve"> </w:t>
      </w:r>
      <w:r>
        <w:t>000 турски лири (равняваща се по това време на 2 077 евро), присъдена на жалбоподателя от административните съдилища като обезщетение за претърпени неимуществени вреди</w:t>
      </w:r>
      <w:r w:rsidR="00F40809">
        <w:t>,</w:t>
      </w:r>
      <w:r>
        <w:t xml:space="preserve"> не може да бъде взета под внимание по чл</w:t>
      </w:r>
      <w:r w:rsidR="00F40809">
        <w:t>.</w:t>
      </w:r>
      <w:r>
        <w:t xml:space="preserve"> 41, предвид факта, че властите никога не са изплатили тази сума и че при твърде особените обстоятелства по делото </w:t>
      </w:r>
      <w:r w:rsidR="00F40809">
        <w:t xml:space="preserve">решението на </w:t>
      </w:r>
      <w:r>
        <w:t>жалбоподателя</w:t>
      </w:r>
      <w:r w:rsidR="00F40809">
        <w:t xml:space="preserve"> </w:t>
      </w:r>
      <w:r>
        <w:t>да не прибягва до изпълнително производство за получаване на сумата не може да се разглежда като от</w:t>
      </w:r>
      <w:r w:rsidR="00F40809">
        <w:t>меняне</w:t>
      </w:r>
      <w:r>
        <w:t xml:space="preserve"> на правото му да я получи (вж</w:t>
      </w:r>
      <w:r w:rsidR="00F40809">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Neumeister</w:t>
      </w:r>
      <w:proofErr w:type="spellEnd"/>
      <w:r>
        <w:rPr>
          <w:i/>
        </w:rPr>
        <w:t xml:space="preserve"> </w:t>
      </w:r>
      <w:r w:rsidR="00F40809">
        <w:rPr>
          <w:i/>
        </w:rPr>
        <w:t>срещу Австрия</w:t>
      </w:r>
      <w:r>
        <w:t xml:space="preserve"> (чл</w:t>
      </w:r>
      <w:r w:rsidR="00F40809">
        <w:t>.</w:t>
      </w:r>
      <w:r>
        <w:t xml:space="preserve"> 50), решение от 7 май 1974 г., серия A № 17, стр. 16, § 36).</w:t>
      </w:r>
    </w:p>
    <w:p w:rsidR="000F3873" w:rsidRPr="0059462F" w:rsidRDefault="00F40809" w:rsidP="000F3873">
      <w:pPr>
        <w:pStyle w:val="JuPara"/>
      </w:pPr>
      <w:r>
        <w:t>Като в</w:t>
      </w:r>
      <w:r w:rsidR="000F3873">
        <w:t xml:space="preserve">зема под внимание всичко това и предвид </w:t>
      </w:r>
      <w:r>
        <w:t>приложимата съдебна практика</w:t>
      </w:r>
      <w:r w:rsidR="000F3873">
        <w:t xml:space="preserve"> относно прилагането на чл</w:t>
      </w:r>
      <w:r>
        <w:t>.</w:t>
      </w:r>
      <w:r w:rsidR="000F3873">
        <w:t xml:space="preserve"> 41 </w:t>
      </w:r>
      <w:r>
        <w:t>по отношение на</w:t>
      </w:r>
      <w:r w:rsidR="000F3873">
        <w:t xml:space="preserve"> непълнолетни деца или роднини на пострадали от нарушение на чл</w:t>
      </w:r>
      <w:r w:rsidR="000F23A3">
        <w:t>.</w:t>
      </w:r>
      <w:r w:rsidR="000F3873">
        <w:t xml:space="preserve"> 2 (вж</w:t>
      </w:r>
      <w:r w:rsidR="000F23A3">
        <w:t>.</w:t>
      </w:r>
      <w:r w:rsidR="000F3873">
        <w:t xml:space="preserve"> </w:t>
      </w:r>
      <w:proofErr w:type="spellStart"/>
      <w:r w:rsidR="000F3873">
        <w:rPr>
          <w:i/>
        </w:rPr>
        <w:t>Çakıcı</w:t>
      </w:r>
      <w:proofErr w:type="spellEnd"/>
      <w:r w:rsidR="000F3873">
        <w:rPr>
          <w:i/>
        </w:rPr>
        <w:t xml:space="preserve"> </w:t>
      </w:r>
      <w:r w:rsidR="000F23A3">
        <w:rPr>
          <w:i/>
        </w:rPr>
        <w:t>срещу Турция</w:t>
      </w:r>
      <w:r w:rsidR="000F3873">
        <w:t xml:space="preserve"> [</w:t>
      </w:r>
      <w:r w:rsidR="000F23A3">
        <w:t>ГО</w:t>
      </w:r>
      <w:r w:rsidR="000F3873">
        <w:t xml:space="preserve">], № 23657/94, §§ 8 и 130), Съдът решава да присъди на г-н </w:t>
      </w:r>
      <w:proofErr w:type="spellStart"/>
      <w:r w:rsidR="000F23A3" w:rsidRPr="000F23A3">
        <w:rPr>
          <w:lang w:val="en-GB"/>
        </w:rPr>
        <w:t>Maşallah</w:t>
      </w:r>
      <w:proofErr w:type="spellEnd"/>
      <w:r w:rsidR="000F23A3" w:rsidRPr="000F23A3">
        <w:rPr>
          <w:lang w:val="en-GB"/>
        </w:rPr>
        <w:t xml:space="preserve"> </w:t>
      </w:r>
      <w:proofErr w:type="spellStart"/>
      <w:r w:rsidR="000F23A3" w:rsidRPr="000F23A3">
        <w:rPr>
          <w:lang w:val="en-GB"/>
        </w:rPr>
        <w:t>Öneryıldız</w:t>
      </w:r>
      <w:proofErr w:type="spellEnd"/>
      <w:r w:rsidR="000F3873">
        <w:t xml:space="preserve"> и неговите трима оцелели сина </w:t>
      </w:r>
      <w:proofErr w:type="spellStart"/>
      <w:r w:rsidR="000F23A3">
        <w:rPr>
          <w:lang w:val="en-GB"/>
        </w:rPr>
        <w:t>Hüsamettin</w:t>
      </w:r>
      <w:proofErr w:type="spellEnd"/>
      <w:r w:rsidR="000F23A3">
        <w:rPr>
          <w:lang w:val="en-GB"/>
        </w:rPr>
        <w:t xml:space="preserve">, Aydın </w:t>
      </w:r>
      <w:r w:rsidR="000F23A3">
        <w:t>и</w:t>
      </w:r>
      <w:r w:rsidR="000F23A3" w:rsidRPr="000F23A3">
        <w:rPr>
          <w:lang w:val="en-GB"/>
        </w:rPr>
        <w:t xml:space="preserve"> </w:t>
      </w:r>
      <w:proofErr w:type="spellStart"/>
      <w:r w:rsidR="000F23A3" w:rsidRPr="000F23A3">
        <w:rPr>
          <w:lang w:val="en-GB"/>
        </w:rPr>
        <w:t>Halef</w:t>
      </w:r>
      <w:proofErr w:type="spellEnd"/>
      <w:r w:rsidR="000F23A3" w:rsidRPr="000F23A3">
        <w:rPr>
          <w:lang w:val="en-GB"/>
        </w:rPr>
        <w:t xml:space="preserve"> </w:t>
      </w:r>
      <w:proofErr w:type="spellStart"/>
      <w:r w:rsidR="000F23A3" w:rsidRPr="000F23A3">
        <w:rPr>
          <w:lang w:val="en-GB"/>
        </w:rPr>
        <w:t>Öneryıldız</w:t>
      </w:r>
      <w:proofErr w:type="spellEnd"/>
      <w:r w:rsidR="000F23A3" w:rsidRPr="000F23A3" w:rsidDel="000F23A3">
        <w:t xml:space="preserve"> </w:t>
      </w:r>
      <w:r w:rsidR="000F3873">
        <w:t>сумата от 33</w:t>
      </w:r>
      <w:r w:rsidR="000F23A3">
        <w:t xml:space="preserve"> </w:t>
      </w:r>
      <w:r w:rsidR="000F3873">
        <w:t>750 евро на всеки за претърпени неимуществени вреди, или общо 135</w:t>
      </w:r>
      <w:r w:rsidR="000F23A3">
        <w:t xml:space="preserve"> </w:t>
      </w:r>
      <w:r w:rsidR="000F3873">
        <w:t>000 евро.</w:t>
      </w:r>
    </w:p>
    <w:p w:rsidR="000F3873" w:rsidRPr="000F3873" w:rsidRDefault="000F3873" w:rsidP="006725B0">
      <w:pPr>
        <w:pStyle w:val="JuHA0"/>
        <w:widowControl w:val="0"/>
      </w:pPr>
      <w:r>
        <w:t>Б.</w:t>
      </w:r>
      <w:r>
        <w:tab/>
        <w:t>Разходи и разноски</w:t>
      </w:r>
    </w:p>
    <w:p w:rsidR="000F3873" w:rsidRPr="0059462F" w:rsidRDefault="000F3873" w:rsidP="006725B0">
      <w:pPr>
        <w:pStyle w:val="JuH1"/>
        <w:widowControl w:val="0"/>
      </w:pPr>
      <w:r>
        <w:t>1.  Становища на страните</w:t>
      </w:r>
    </w:p>
    <w:p w:rsidR="00D8632D" w:rsidRDefault="008E7633" w:rsidP="006725B0">
      <w:pPr>
        <w:pStyle w:val="JuPara"/>
        <w:widowControl w:val="0"/>
      </w:pPr>
      <w:fldSimple w:instr=" SEQ level0 \*arabic ">
        <w:r w:rsidR="00A94344">
          <w:rPr>
            <w:noProof/>
          </w:rPr>
          <w:t>172</w:t>
        </w:r>
      </w:fldSimple>
      <w:r w:rsidR="000F3873">
        <w:t>.  Жалбоподателят е отправил иск в размер на 50</w:t>
      </w:r>
      <w:r w:rsidR="000F23A3">
        <w:t xml:space="preserve"> </w:t>
      </w:r>
      <w:r w:rsidR="000F3873">
        <w:t xml:space="preserve">000 </w:t>
      </w:r>
      <w:proofErr w:type="spellStart"/>
      <w:r w:rsidR="000F3873">
        <w:t>щ</w:t>
      </w:r>
      <w:r w:rsidR="000F23A3">
        <w:t>.</w:t>
      </w:r>
      <w:r w:rsidR="000F3873">
        <w:t>д</w:t>
      </w:r>
      <w:proofErr w:type="spellEnd"/>
      <w:r w:rsidR="000F23A3">
        <w:t>.</w:t>
      </w:r>
      <w:r w:rsidR="000F3873">
        <w:t xml:space="preserve"> само за правни разноски, в това число 20</w:t>
      </w:r>
      <w:r w:rsidR="000F23A3">
        <w:t xml:space="preserve"> </w:t>
      </w:r>
      <w:r w:rsidR="000F3873">
        <w:t xml:space="preserve">000 </w:t>
      </w:r>
      <w:proofErr w:type="spellStart"/>
      <w:r w:rsidR="000F23A3">
        <w:t>щ.д</w:t>
      </w:r>
      <w:proofErr w:type="spellEnd"/>
      <w:r w:rsidR="000F23A3">
        <w:t>.</w:t>
      </w:r>
      <w:r w:rsidR="000F3873">
        <w:t xml:space="preserve"> за работата, извършена от неговия представител при писмените и устни</w:t>
      </w:r>
      <w:r w:rsidR="000F23A3">
        <w:t>те</w:t>
      </w:r>
      <w:r w:rsidR="000F3873">
        <w:t xml:space="preserve"> производства пред </w:t>
      </w:r>
      <w:r w:rsidR="000F3873">
        <w:lastRenderedPageBreak/>
        <w:t xml:space="preserve">Голямата камара. Той твърди, че представянето на неговия случай пред националните съдилища и институциите в Страсбург, е струвало повече от 330 часа работа при часова ставка от 150 </w:t>
      </w:r>
      <w:proofErr w:type="spellStart"/>
      <w:r w:rsidR="000F23A3">
        <w:t>щ.д</w:t>
      </w:r>
      <w:proofErr w:type="spellEnd"/>
      <w:r w:rsidR="000F23A3">
        <w:t>.</w:t>
      </w:r>
      <w:r w:rsidR="000F3873">
        <w:t xml:space="preserve"> съгласно минималните ставки на Адвокатската колегия на Истанбул.</w:t>
      </w:r>
    </w:p>
    <w:p w:rsidR="00D8632D" w:rsidRDefault="008E7633" w:rsidP="006725B0">
      <w:pPr>
        <w:pStyle w:val="JuPara"/>
        <w:widowControl w:val="0"/>
        <w:rPr>
          <w:highlight w:val="yellow"/>
        </w:rPr>
      </w:pPr>
      <w:fldSimple w:instr=" SEQ level0 \*arabic ">
        <w:r w:rsidR="00A94344">
          <w:rPr>
            <w:noProof/>
          </w:rPr>
          <w:t>173</w:t>
        </w:r>
      </w:fldSimple>
      <w:r w:rsidR="000F3873">
        <w:t>.  Правителството заяв</w:t>
      </w:r>
      <w:r w:rsidR="000F23A3">
        <w:t>ява</w:t>
      </w:r>
      <w:r w:rsidR="000F3873">
        <w:t>, че исковете на жалбоподателя за разходи и разноски отново са прекомерни и неоправдани.</w:t>
      </w:r>
    </w:p>
    <w:p w:rsidR="000F3873" w:rsidRPr="0059462F" w:rsidRDefault="000F3873" w:rsidP="006725B0">
      <w:pPr>
        <w:pStyle w:val="JuH1"/>
        <w:widowControl w:val="0"/>
      </w:pPr>
      <w:r>
        <w:t>2.  </w:t>
      </w:r>
      <w:r w:rsidR="000F23A3">
        <w:t>Решението на</w:t>
      </w:r>
      <w:r>
        <w:t xml:space="preserve"> Съда</w:t>
      </w:r>
    </w:p>
    <w:p w:rsidR="00D8632D" w:rsidRDefault="008E7633" w:rsidP="006725B0">
      <w:pPr>
        <w:pStyle w:val="JuPara"/>
        <w:widowControl w:val="0"/>
      </w:pPr>
      <w:fldSimple w:instr=" SEQ level0 \*arabic ">
        <w:r w:rsidR="00A94344">
          <w:rPr>
            <w:noProof/>
          </w:rPr>
          <w:t>174</w:t>
        </w:r>
      </w:fldSimple>
      <w:r w:rsidR="000F3873">
        <w:t>.  В производството пред Съда, жалбоподателят иска 30</w:t>
      </w:r>
      <w:r w:rsidR="000F23A3">
        <w:t xml:space="preserve"> </w:t>
      </w:r>
      <w:r w:rsidR="000F3873">
        <w:t xml:space="preserve">000 </w:t>
      </w:r>
      <w:proofErr w:type="spellStart"/>
      <w:r w:rsidR="00F650BC">
        <w:t>щ.д</w:t>
      </w:r>
      <w:proofErr w:type="spellEnd"/>
      <w:r w:rsidR="00F650BC">
        <w:t>.</w:t>
      </w:r>
      <w:r w:rsidR="000F3873">
        <w:t xml:space="preserve"> за правни такси и 790 </w:t>
      </w:r>
      <w:proofErr w:type="spellStart"/>
      <w:r w:rsidR="00F650BC">
        <w:t>щ.д</w:t>
      </w:r>
      <w:proofErr w:type="spellEnd"/>
      <w:r w:rsidR="00F650BC">
        <w:t>.</w:t>
      </w:r>
      <w:r w:rsidR="000F3873">
        <w:t xml:space="preserve"> за разни. При липсата на бележки или други ваучери, Съдът отбеляз</w:t>
      </w:r>
      <w:r w:rsidR="00F650BC">
        <w:t>в</w:t>
      </w:r>
      <w:r w:rsidR="000F3873">
        <w:t>а, че не е съгласен с факта, че жалбоподателят е заплатил подобни разходи и му присъди сумата от 10</w:t>
      </w:r>
      <w:r w:rsidR="00F650BC">
        <w:t xml:space="preserve"> </w:t>
      </w:r>
      <w:r w:rsidR="000F3873">
        <w:t>000 евро, като се приспаднат 2</w:t>
      </w:r>
      <w:r w:rsidR="00F650BC">
        <w:t xml:space="preserve"> </w:t>
      </w:r>
      <w:r w:rsidR="000F3873">
        <w:t>286</w:t>
      </w:r>
      <w:r w:rsidR="00F650BC">
        <w:t>,</w:t>
      </w:r>
      <w:r w:rsidR="000F3873">
        <w:t>50, платени от Съвета на Европа като правна помощ.</w:t>
      </w:r>
    </w:p>
    <w:p w:rsidR="000F3873" w:rsidRPr="0059462F" w:rsidRDefault="000F3873" w:rsidP="006725B0">
      <w:pPr>
        <w:pStyle w:val="JuH1"/>
        <w:widowControl w:val="0"/>
      </w:pPr>
      <w:r>
        <w:t>3.  Преценката на Съда</w:t>
      </w:r>
    </w:p>
    <w:p w:rsidR="00D8632D" w:rsidRDefault="008E7633" w:rsidP="000F3873">
      <w:pPr>
        <w:pStyle w:val="JuPara"/>
      </w:pPr>
      <w:fldSimple w:instr=" SEQ level0 \*arabic ">
        <w:r w:rsidR="00A94344">
          <w:rPr>
            <w:noProof/>
          </w:rPr>
          <w:t>175</w:t>
        </w:r>
      </w:fldSimple>
      <w:r w:rsidR="000F3873">
        <w:t>.  Жалбоподателят продължава да получава правна помощ по производството по чл</w:t>
      </w:r>
      <w:r w:rsidR="00F650BC">
        <w:t>.</w:t>
      </w:r>
      <w:r w:rsidR="000F3873">
        <w:t xml:space="preserve"> 43 от Конвенцията. Освен сумата от 2</w:t>
      </w:r>
      <w:r w:rsidR="00F650BC">
        <w:t xml:space="preserve"> </w:t>
      </w:r>
      <w:r w:rsidR="000F3873">
        <w:t>286</w:t>
      </w:r>
      <w:r w:rsidR="00F650BC">
        <w:t>,</w:t>
      </w:r>
      <w:r w:rsidR="000F3873">
        <w:t>50 евро, които той вече е получил от Съвета на Европа, той получ</w:t>
      </w:r>
      <w:r w:rsidR="0031547F">
        <w:t>ава</w:t>
      </w:r>
      <w:r w:rsidR="000F3873">
        <w:t xml:space="preserve"> 1</w:t>
      </w:r>
      <w:r w:rsidR="00F650BC">
        <w:t> </w:t>
      </w:r>
      <w:r w:rsidR="000F3873">
        <w:t>707</w:t>
      </w:r>
      <w:r w:rsidR="00F650BC">
        <w:t>,</w:t>
      </w:r>
      <w:r w:rsidR="000F3873">
        <w:t>34 евро за подготовката на делото си след отнасянето му до Голямата камара.</w:t>
      </w:r>
    </w:p>
    <w:p w:rsidR="000F3873" w:rsidRPr="0059462F" w:rsidRDefault="000F3873" w:rsidP="000F3873">
      <w:pPr>
        <w:pStyle w:val="JuPara"/>
      </w:pPr>
      <w:r>
        <w:t xml:space="preserve">Съдът </w:t>
      </w:r>
      <w:r w:rsidR="0031547F">
        <w:t>многократно е приемал,</w:t>
      </w:r>
      <w:r>
        <w:t xml:space="preserve"> че разходи и разноски няма да се присъ</w:t>
      </w:r>
      <w:r w:rsidR="0031547F">
        <w:t>ж</w:t>
      </w:r>
      <w:r>
        <w:t>д</w:t>
      </w:r>
      <w:r w:rsidR="0031547F">
        <w:t>а</w:t>
      </w:r>
      <w:r>
        <w:t>т по чл</w:t>
      </w:r>
      <w:r w:rsidR="00F650BC">
        <w:t>.</w:t>
      </w:r>
      <w:r>
        <w:t xml:space="preserve"> 41, освен ако не се установи, че са били действително и необходимо направени и са в разумен размер (вж</w:t>
      </w:r>
      <w:r w:rsidR="00F650BC">
        <w:t>.</w:t>
      </w:r>
      <w:r>
        <w:t xml:space="preserve"> </w:t>
      </w:r>
      <w:proofErr w:type="spellStart"/>
      <w:r>
        <w:rPr>
          <w:i/>
        </w:rPr>
        <w:t>Sahin</w:t>
      </w:r>
      <w:proofErr w:type="spellEnd"/>
      <w:r>
        <w:rPr>
          <w:i/>
        </w:rPr>
        <w:t xml:space="preserve"> </w:t>
      </w:r>
      <w:r w:rsidR="00F650BC">
        <w:rPr>
          <w:i/>
        </w:rPr>
        <w:t>срещу Германия</w:t>
      </w:r>
      <w:r>
        <w:t xml:space="preserve"> [</w:t>
      </w:r>
      <w:r w:rsidR="00F650BC">
        <w:t>ГО</w:t>
      </w:r>
      <w:r>
        <w:t>], № 30943/96, § 105, ЕСПЧ 2003-VIII). В конкретния случай жалбоподателят не е подкрепил исковете си със съответните документи и не е предоставил подробни обяснения относно работата, извършена от неговия представител по въпросите, свързани с чл</w:t>
      </w:r>
      <w:r w:rsidR="0031547F">
        <w:t>.</w:t>
      </w:r>
      <w:r>
        <w:t xml:space="preserve"> 2 и чл</w:t>
      </w:r>
      <w:r w:rsidR="0031547F">
        <w:t>.</w:t>
      </w:r>
      <w:r>
        <w:t xml:space="preserve"> 13 от Конвенцията и чл</w:t>
      </w:r>
      <w:r w:rsidR="0031547F">
        <w:t>.</w:t>
      </w:r>
      <w:r>
        <w:t xml:space="preserve"> 1 </w:t>
      </w:r>
      <w:r w:rsidR="0031547F">
        <w:t>от</w:t>
      </w:r>
      <w:r>
        <w:t xml:space="preserve"> Протокол № 1, чиито разпоредби са нарушени.</w:t>
      </w:r>
    </w:p>
    <w:p w:rsidR="00D8632D" w:rsidRDefault="000F3873" w:rsidP="000F3873">
      <w:pPr>
        <w:pStyle w:val="JuPara"/>
      </w:pPr>
      <w:r>
        <w:t xml:space="preserve">Съгласно </w:t>
      </w:r>
      <w:r w:rsidR="0031547F">
        <w:t>правило</w:t>
      </w:r>
      <w:r>
        <w:t xml:space="preserve"> 60 § 2 от Правилника на Съда, последният следователно не може да удовлетвори иска на жалбоподателя в този му вид. Въпреки това жалбоподателят трябва да е направил някои разходи за работата, извършена от адвоката му при представляването му по време писмените и устните производства пред двата органа </w:t>
      </w:r>
      <w:r w:rsidR="0031547F">
        <w:t>по</w:t>
      </w:r>
      <w:r>
        <w:t xml:space="preserve"> Конвенцията (вж</w:t>
      </w:r>
      <w:r w:rsidR="0031547F">
        <w:t>.</w:t>
      </w:r>
      <w:r>
        <w:t xml:space="preserve">,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Labita</w:t>
      </w:r>
      <w:proofErr w:type="spellEnd"/>
      <w:r>
        <w:rPr>
          <w:i/>
        </w:rPr>
        <w:t xml:space="preserve"> </w:t>
      </w:r>
      <w:r w:rsidR="0031547F">
        <w:rPr>
          <w:i/>
        </w:rPr>
        <w:t>срещу Италия</w:t>
      </w:r>
      <w:r>
        <w:t xml:space="preserve"> [</w:t>
      </w:r>
      <w:r w:rsidR="0031547F">
        <w:t>ГО</w:t>
      </w:r>
      <w:r>
        <w:t>], № 26772/95, § 210, ЕСПЧ 2000-IV). Съдът е готов да приеме, че в настоящия казус, който безсъмнено е сложен, задачата е отнела заявения брой часове. Предвид това, Съдът подчертава, че не се счита длъжен да отчита националните ставки и практики, макар че може да получи помощ оттам (вж</w:t>
      </w:r>
      <w:r w:rsidR="0031547F">
        <w:t>.</w:t>
      </w:r>
      <w:r>
        <w:t xml:space="preserve"> например </w:t>
      </w:r>
      <w:proofErr w:type="spellStart"/>
      <w:r>
        <w:rPr>
          <w:i/>
        </w:rPr>
        <w:t>Tolstoy</w:t>
      </w:r>
      <w:proofErr w:type="spellEnd"/>
      <w:r>
        <w:rPr>
          <w:i/>
        </w:rPr>
        <w:t xml:space="preserve"> </w:t>
      </w:r>
      <w:proofErr w:type="spellStart"/>
      <w:r>
        <w:rPr>
          <w:i/>
        </w:rPr>
        <w:t>Miloslavsky</w:t>
      </w:r>
      <w:proofErr w:type="spellEnd"/>
      <w:r>
        <w:rPr>
          <w:i/>
        </w:rPr>
        <w:t xml:space="preserve"> </w:t>
      </w:r>
      <w:r w:rsidR="0031547F">
        <w:rPr>
          <w:i/>
        </w:rPr>
        <w:t>срещу Великобритания</w:t>
      </w:r>
      <w:r>
        <w:t>, решение от 13 юли 1995 г., серия A № 316-B, стр. 83, § 77).</w:t>
      </w:r>
    </w:p>
    <w:p w:rsidR="000F3873" w:rsidRPr="0059462F" w:rsidRDefault="0031547F" w:rsidP="000F3873">
      <w:pPr>
        <w:pStyle w:val="JuPara"/>
      </w:pPr>
      <w:r>
        <w:lastRenderedPageBreak/>
        <w:t>Като и</w:t>
      </w:r>
      <w:r w:rsidR="000F3873">
        <w:t>звършва оценката си по справедливост, Съдът счита за основателно да присъди на жалбоподателя сумата от 16</w:t>
      </w:r>
      <w:r>
        <w:t xml:space="preserve"> </w:t>
      </w:r>
      <w:r w:rsidR="000F3873">
        <w:t>000 евро, като се приспаднат 3</w:t>
      </w:r>
      <w:r w:rsidR="00EF24A2">
        <w:t xml:space="preserve"> </w:t>
      </w:r>
      <w:r w:rsidR="000F3873">
        <w:t>993</w:t>
      </w:r>
      <w:r w:rsidR="00EF24A2">
        <w:t>,</w:t>
      </w:r>
      <w:r w:rsidR="000F3873">
        <w:t xml:space="preserve">84 евро, платени от Съвета на Европа за правна помощ и за производствата пред институциите </w:t>
      </w:r>
      <w:r w:rsidR="00EF24A2">
        <w:t>по</w:t>
      </w:r>
      <w:r w:rsidR="000F3873">
        <w:t xml:space="preserve"> Конвенцията като цяло.</w:t>
      </w:r>
    </w:p>
    <w:p w:rsidR="000F3873" w:rsidRPr="000F3873" w:rsidRDefault="000F3873" w:rsidP="006725B0">
      <w:pPr>
        <w:pStyle w:val="JuHA0"/>
        <w:widowControl w:val="0"/>
        <w:outlineLvl w:val="0"/>
      </w:pPr>
      <w:r>
        <w:t>В.</w:t>
      </w:r>
      <w:r>
        <w:tab/>
        <w:t>Лихва за забава</w:t>
      </w:r>
    </w:p>
    <w:p w:rsidR="00D8632D" w:rsidRDefault="008E7633" w:rsidP="006725B0">
      <w:pPr>
        <w:pStyle w:val="JuPara"/>
        <w:widowControl w:val="0"/>
      </w:pPr>
      <w:fldSimple w:instr=" SEQ level0 \*arabic ">
        <w:r w:rsidR="00A94344">
          <w:rPr>
            <w:noProof/>
          </w:rPr>
          <w:t>176</w:t>
        </w:r>
      </w:fldSimple>
      <w:r w:rsidR="000F3873">
        <w:t>.  Съдът счита за уместно лихвата за забава да бъде обвързана с лихвения процент по заеми на Европейската централна банка, към които следва да се добавят три процентни пункта.</w:t>
      </w:r>
    </w:p>
    <w:p w:rsidR="000F3873" w:rsidRPr="0059462F" w:rsidRDefault="000F3873" w:rsidP="006725B0">
      <w:pPr>
        <w:pStyle w:val="JuHHead"/>
        <w:widowControl w:val="0"/>
      </w:pPr>
      <w:r>
        <w:t>ПО ТЕЗИ СЪОБРАЖЕНИЯ СЪДЪТ</w:t>
      </w:r>
    </w:p>
    <w:p w:rsidR="000F3873" w:rsidRPr="001C58FD" w:rsidRDefault="000F3873" w:rsidP="000F3873">
      <w:pPr>
        <w:pStyle w:val="JuList"/>
      </w:pPr>
      <w:r>
        <w:t>1.  </w:t>
      </w:r>
      <w:r>
        <w:rPr>
          <w:i/>
        </w:rPr>
        <w:t>Приема</w:t>
      </w:r>
      <w:r>
        <w:t xml:space="preserve"> единодушно, че е налице нарушение на чл</w:t>
      </w:r>
      <w:r w:rsidR="00EF24A2">
        <w:t>.</w:t>
      </w:r>
      <w:r>
        <w:t xml:space="preserve"> 2 от Конвенцията и съществения му аспект поради липсата на съответни мерки за предотвратяване на смъртта на девет близки роднини на жалбоподателя при инцидента;</w:t>
      </w:r>
    </w:p>
    <w:p w:rsidR="000F3873" w:rsidRPr="00B42A50" w:rsidRDefault="000F3873" w:rsidP="000F3873">
      <w:pPr>
        <w:pStyle w:val="JuList"/>
        <w:rPr>
          <w:highlight w:val="yellow"/>
        </w:rPr>
      </w:pPr>
    </w:p>
    <w:p w:rsidR="00D8632D" w:rsidRDefault="000F3873" w:rsidP="000F3873">
      <w:pPr>
        <w:pStyle w:val="JuList"/>
      </w:pPr>
      <w:r>
        <w:t>2.  </w:t>
      </w:r>
      <w:r>
        <w:rPr>
          <w:i/>
        </w:rPr>
        <w:t>Приема</w:t>
      </w:r>
      <w:r>
        <w:t xml:space="preserve"> с шестнадесет срещу един гласа, че е налице и нарушение на чл</w:t>
      </w:r>
      <w:r w:rsidR="00EF24A2">
        <w:t>.</w:t>
      </w:r>
      <w:r>
        <w:t xml:space="preserve"> 2 от Конвенцията в процесуалния му аспект, предвид липсата на адекватна законова защита на правото на живот;</w:t>
      </w:r>
    </w:p>
    <w:p w:rsidR="000F3873" w:rsidRPr="0059462F" w:rsidRDefault="000F3873" w:rsidP="000F3873">
      <w:pPr>
        <w:pStyle w:val="JuList"/>
      </w:pPr>
    </w:p>
    <w:p w:rsidR="000F3873" w:rsidRPr="0059462F" w:rsidRDefault="000F3873" w:rsidP="000F3873">
      <w:pPr>
        <w:pStyle w:val="JuList"/>
      </w:pPr>
      <w:r>
        <w:t>3.  </w:t>
      </w:r>
      <w:r>
        <w:rPr>
          <w:i/>
        </w:rPr>
        <w:t>Приема</w:t>
      </w:r>
      <w:r>
        <w:t xml:space="preserve"> с петнадесет </w:t>
      </w:r>
      <w:r w:rsidR="00EF24A2">
        <w:t xml:space="preserve">на </w:t>
      </w:r>
      <w:r>
        <w:t>два гласа, че е налице нарушение на чл. 1 от Протокол № 1;</w:t>
      </w:r>
    </w:p>
    <w:p w:rsidR="000F3873" w:rsidRPr="0059462F" w:rsidRDefault="000F3873" w:rsidP="000F3873">
      <w:pPr>
        <w:pStyle w:val="JuList"/>
      </w:pPr>
    </w:p>
    <w:p w:rsidR="000F3873" w:rsidRPr="0059462F" w:rsidRDefault="000F3873" w:rsidP="000F3873">
      <w:pPr>
        <w:pStyle w:val="JuList"/>
      </w:pPr>
      <w:r>
        <w:t>4.  </w:t>
      </w:r>
      <w:r>
        <w:rPr>
          <w:i/>
        </w:rPr>
        <w:t>Приема</w:t>
      </w:r>
      <w:r>
        <w:t xml:space="preserve"> с петнадесет </w:t>
      </w:r>
      <w:r w:rsidR="00EF24A2">
        <w:t xml:space="preserve">на </w:t>
      </w:r>
      <w:r>
        <w:t>два гласа, че е налице нарушение на чл</w:t>
      </w:r>
      <w:r w:rsidR="00EF24A2">
        <w:t>.</w:t>
      </w:r>
      <w:r>
        <w:t xml:space="preserve"> 13 </w:t>
      </w:r>
      <w:r w:rsidR="00EF24A2">
        <w:t>от</w:t>
      </w:r>
      <w:r>
        <w:t xml:space="preserve"> Конвенцията по отношение на жалбата по съществената част на чл</w:t>
      </w:r>
      <w:r w:rsidR="00EF24A2">
        <w:t>.</w:t>
      </w:r>
      <w:r>
        <w:t xml:space="preserve"> 2.</w:t>
      </w:r>
    </w:p>
    <w:p w:rsidR="000F3873" w:rsidRPr="0059462F" w:rsidRDefault="000F3873" w:rsidP="000F3873">
      <w:pPr>
        <w:pStyle w:val="JuList"/>
      </w:pPr>
    </w:p>
    <w:p w:rsidR="000F3873" w:rsidRDefault="000F3873" w:rsidP="000F3873">
      <w:pPr>
        <w:pStyle w:val="JuList"/>
      </w:pPr>
      <w:r>
        <w:t>5.  </w:t>
      </w:r>
      <w:r>
        <w:rPr>
          <w:i/>
        </w:rPr>
        <w:t>Приема</w:t>
      </w:r>
      <w:r>
        <w:t xml:space="preserve"> с петнадесет срещу два гласа, че е налице нарушение на чл</w:t>
      </w:r>
      <w:r w:rsidR="00EF24A2">
        <w:t>.</w:t>
      </w:r>
      <w:r>
        <w:t xml:space="preserve"> 13 </w:t>
      </w:r>
      <w:r w:rsidR="00EF24A2">
        <w:t>от</w:t>
      </w:r>
      <w:r>
        <w:t xml:space="preserve"> Конвенцията по отношение на жалбата по чл</w:t>
      </w:r>
      <w:r w:rsidR="00EF24A2">
        <w:t>.</w:t>
      </w:r>
      <w:r>
        <w:t xml:space="preserve"> 1 </w:t>
      </w:r>
      <w:r w:rsidR="00EF24A2">
        <w:t>от</w:t>
      </w:r>
      <w:r>
        <w:t xml:space="preserve"> Протокол № 1;</w:t>
      </w:r>
    </w:p>
    <w:p w:rsidR="00D57931" w:rsidRPr="0059462F" w:rsidRDefault="00D57931" w:rsidP="000F3873">
      <w:pPr>
        <w:pStyle w:val="JuList"/>
      </w:pPr>
    </w:p>
    <w:p w:rsidR="000F3873" w:rsidRDefault="000F3873" w:rsidP="000F3873">
      <w:pPr>
        <w:pStyle w:val="JuList"/>
      </w:pPr>
      <w:r>
        <w:t>6.  </w:t>
      </w:r>
      <w:r>
        <w:rPr>
          <w:i/>
        </w:rPr>
        <w:t>Приема</w:t>
      </w:r>
      <w:r>
        <w:t xml:space="preserve"> единодушно, че по чл</w:t>
      </w:r>
      <w:r w:rsidR="00EF24A2">
        <w:t>.</w:t>
      </w:r>
      <w:r>
        <w:t xml:space="preserve"> 6 § 1 или чл</w:t>
      </w:r>
      <w:r w:rsidR="00EF24A2">
        <w:t>.</w:t>
      </w:r>
      <w:r>
        <w:t xml:space="preserve"> 8 </w:t>
      </w:r>
      <w:r w:rsidR="00EF24A2">
        <w:t>от</w:t>
      </w:r>
      <w:r>
        <w:t xml:space="preserve"> Конвенцията не произтича отделен въпрос;</w:t>
      </w:r>
    </w:p>
    <w:p w:rsidR="00AA7FA1" w:rsidRPr="0059462F" w:rsidRDefault="00AA7FA1" w:rsidP="000F3873">
      <w:pPr>
        <w:pStyle w:val="JuList"/>
      </w:pPr>
    </w:p>
    <w:p w:rsidR="000F3873" w:rsidRPr="0059462F" w:rsidRDefault="000F3873" w:rsidP="000F3873">
      <w:pPr>
        <w:pStyle w:val="JuList"/>
      </w:pPr>
      <w:r>
        <w:t>7.  </w:t>
      </w:r>
      <w:r>
        <w:rPr>
          <w:i/>
        </w:rPr>
        <w:t>Приема</w:t>
      </w:r>
      <w:r>
        <w:t xml:space="preserve"> единодушно</w:t>
      </w:r>
    </w:p>
    <w:p w:rsidR="000F3873" w:rsidRPr="0059462F" w:rsidRDefault="000F3873" w:rsidP="000F3873">
      <w:pPr>
        <w:pStyle w:val="JuLista"/>
      </w:pPr>
      <w:r>
        <w:t>а)  че ответната държава трябва да заплати в рамките на три месеца, следните суми без данъци и такси, в турски лири по курса на деня:</w:t>
      </w:r>
    </w:p>
    <w:p w:rsidR="000F3873" w:rsidRPr="0059462F" w:rsidRDefault="000F3873" w:rsidP="000F3873">
      <w:pPr>
        <w:pStyle w:val="JuListi"/>
      </w:pPr>
      <w:r>
        <w:t xml:space="preserve">(i)  на жалбоподателя г-н </w:t>
      </w:r>
      <w:proofErr w:type="spellStart"/>
      <w:r w:rsidR="00EF24A2" w:rsidRPr="00EF24A2">
        <w:rPr>
          <w:lang w:val="en-GB"/>
        </w:rPr>
        <w:t>Maşallah</w:t>
      </w:r>
      <w:proofErr w:type="spellEnd"/>
      <w:r w:rsidR="00EF24A2" w:rsidRPr="00EF24A2">
        <w:rPr>
          <w:lang w:val="en-GB"/>
        </w:rPr>
        <w:t xml:space="preserve"> </w:t>
      </w:r>
      <w:proofErr w:type="spellStart"/>
      <w:r w:rsidR="00EF24A2" w:rsidRPr="00EF24A2">
        <w:rPr>
          <w:lang w:val="en-GB"/>
        </w:rPr>
        <w:t>Öneryıldız</w:t>
      </w:r>
      <w:proofErr w:type="spellEnd"/>
      <w:r>
        <w:t>:</w:t>
      </w:r>
    </w:p>
    <w:p w:rsidR="000F3873" w:rsidRPr="0059462F" w:rsidRDefault="00AA7FA1" w:rsidP="00B34217">
      <w:pPr>
        <w:pStyle w:val="JuListi"/>
      </w:pPr>
      <w:r>
        <w:lastRenderedPageBreak/>
        <w:t>–  2</w:t>
      </w:r>
      <w:r w:rsidR="00EF24A2">
        <w:t xml:space="preserve"> </w:t>
      </w:r>
      <w:r>
        <w:t xml:space="preserve">000 </w:t>
      </w:r>
      <w:proofErr w:type="spellStart"/>
      <w:r w:rsidR="00EF24A2">
        <w:t>щ.д</w:t>
      </w:r>
      <w:proofErr w:type="spellEnd"/>
      <w:r w:rsidR="00EF24A2">
        <w:t xml:space="preserve">. </w:t>
      </w:r>
      <w:r>
        <w:t xml:space="preserve">(две хиляди </w:t>
      </w:r>
      <w:proofErr w:type="spellStart"/>
      <w:r>
        <w:t>щ</w:t>
      </w:r>
      <w:r w:rsidR="00EF24A2">
        <w:t>.</w:t>
      </w:r>
      <w:r>
        <w:t>д</w:t>
      </w:r>
      <w:proofErr w:type="spellEnd"/>
      <w:r w:rsidR="00EF24A2">
        <w:t>.</w:t>
      </w:r>
      <w:r>
        <w:t>) и 45</w:t>
      </w:r>
      <w:r w:rsidR="00EF24A2">
        <w:t xml:space="preserve"> </w:t>
      </w:r>
      <w:r>
        <w:t xml:space="preserve">250 </w:t>
      </w:r>
      <w:r w:rsidR="00EF24A2">
        <w:t xml:space="preserve">евро </w:t>
      </w:r>
      <w:r>
        <w:t>(четиридесет и пет хиляди двеста и петдесет евро) за имуществени и неимуществени вреди;</w:t>
      </w:r>
    </w:p>
    <w:p w:rsidR="000F3873" w:rsidRPr="0059462F" w:rsidRDefault="00AA7FA1" w:rsidP="00B34217">
      <w:pPr>
        <w:pStyle w:val="JuListi"/>
      </w:pPr>
      <w:r>
        <w:t>–  16</w:t>
      </w:r>
      <w:r w:rsidR="00EF24A2">
        <w:t xml:space="preserve"> </w:t>
      </w:r>
      <w:r>
        <w:t xml:space="preserve">000 </w:t>
      </w:r>
      <w:r w:rsidR="00EF24A2">
        <w:t xml:space="preserve">евро </w:t>
      </w:r>
      <w:r>
        <w:t>(шестнадесет хиляди евро) за разходи и разноски, като се приспаднат 3</w:t>
      </w:r>
      <w:r w:rsidR="00EF24A2">
        <w:t xml:space="preserve"> </w:t>
      </w:r>
      <w:r>
        <w:t>993</w:t>
      </w:r>
      <w:r w:rsidR="00EF24A2">
        <w:t>,</w:t>
      </w:r>
      <w:r>
        <w:t xml:space="preserve">84 </w:t>
      </w:r>
      <w:r w:rsidR="00EF24A2">
        <w:t xml:space="preserve">евро </w:t>
      </w:r>
      <w:r>
        <w:t xml:space="preserve">(три хиляди деветстотин деветдесет и три евро и осемдесет и четири цента), които вече </w:t>
      </w:r>
      <w:r w:rsidR="002A5A6D">
        <w:t>е получил</w:t>
      </w:r>
      <w:r>
        <w:t xml:space="preserve"> от Съвета на Европа;</w:t>
      </w:r>
    </w:p>
    <w:p w:rsidR="000F3873" w:rsidRPr="0059462F" w:rsidRDefault="000F3873" w:rsidP="000F3873">
      <w:pPr>
        <w:pStyle w:val="JuListi"/>
      </w:pPr>
      <w:r>
        <w:t xml:space="preserve">(ii)  за всеки от пълнолетните му синове, </w:t>
      </w:r>
      <w:proofErr w:type="spellStart"/>
      <w:r w:rsidR="002A5A6D" w:rsidRPr="002A5A6D">
        <w:rPr>
          <w:lang w:val="en-GB"/>
        </w:rPr>
        <w:t>Hüsamettin</w:t>
      </w:r>
      <w:proofErr w:type="spellEnd"/>
      <w:r w:rsidR="002A5A6D" w:rsidRPr="002A5A6D">
        <w:rPr>
          <w:lang w:val="en-GB"/>
        </w:rPr>
        <w:t xml:space="preserve">, Aydın </w:t>
      </w:r>
      <w:r w:rsidR="002A5A6D">
        <w:t>и</w:t>
      </w:r>
      <w:r w:rsidR="002A5A6D" w:rsidRPr="002A5A6D">
        <w:rPr>
          <w:lang w:val="en-GB"/>
        </w:rPr>
        <w:t xml:space="preserve"> </w:t>
      </w:r>
      <w:proofErr w:type="spellStart"/>
      <w:r w:rsidR="002A5A6D" w:rsidRPr="002A5A6D">
        <w:rPr>
          <w:lang w:val="en-GB"/>
        </w:rPr>
        <w:t>Halef</w:t>
      </w:r>
      <w:proofErr w:type="spellEnd"/>
      <w:r w:rsidR="002A5A6D" w:rsidRPr="002A5A6D">
        <w:rPr>
          <w:lang w:val="en-GB"/>
        </w:rPr>
        <w:t xml:space="preserve"> </w:t>
      </w:r>
      <w:proofErr w:type="spellStart"/>
      <w:r w:rsidR="002A5A6D" w:rsidRPr="002A5A6D">
        <w:rPr>
          <w:lang w:val="en-GB"/>
        </w:rPr>
        <w:t>Öneryıldız</w:t>
      </w:r>
      <w:proofErr w:type="spellEnd"/>
      <w:r>
        <w:t>, сумата от 33</w:t>
      </w:r>
      <w:r w:rsidR="002A5A6D">
        <w:t xml:space="preserve"> </w:t>
      </w:r>
      <w:r>
        <w:t xml:space="preserve">750 </w:t>
      </w:r>
      <w:r w:rsidR="002A5A6D">
        <w:t xml:space="preserve">евро </w:t>
      </w:r>
      <w:r>
        <w:t>(тридесет и три хиляди седемстотин и петдесет евро) за неимуществени вреди;</w:t>
      </w:r>
    </w:p>
    <w:p w:rsidR="000F3873" w:rsidRPr="0059462F" w:rsidRDefault="000F3873" w:rsidP="000F3873">
      <w:pPr>
        <w:pStyle w:val="JuLista"/>
      </w:pPr>
      <w:r>
        <w:t>б)</w:t>
      </w:r>
      <w:r>
        <w:tab/>
        <w:t>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0F3873" w:rsidRPr="0059462F" w:rsidRDefault="000F3873" w:rsidP="000F3873">
      <w:pPr>
        <w:pStyle w:val="JuList"/>
      </w:pPr>
    </w:p>
    <w:p w:rsidR="000F3873" w:rsidRPr="0059462F" w:rsidRDefault="000F3873" w:rsidP="000F3873">
      <w:pPr>
        <w:pStyle w:val="JuList"/>
      </w:pPr>
      <w:r>
        <w:t>8.  </w:t>
      </w:r>
      <w:r>
        <w:rPr>
          <w:i/>
        </w:rPr>
        <w:t>Отхвърля</w:t>
      </w:r>
      <w:r>
        <w:t xml:space="preserve"> единодушно исканията на жалбоподателя за справедливо обезщетение в останалата му част.</w:t>
      </w:r>
    </w:p>
    <w:p w:rsidR="000F3873" w:rsidRPr="0059462F" w:rsidRDefault="000F3873" w:rsidP="006725B0">
      <w:pPr>
        <w:pStyle w:val="JuParaLast"/>
        <w:widowControl w:val="0"/>
      </w:pPr>
      <w:r>
        <w:t>Изготвено на английски и на френски език и оповестено по време на публично заседание в сградата на Съда по правата на човека в Страсбург на 30 ноември 2004 г.</w:t>
      </w:r>
    </w:p>
    <w:p w:rsidR="00D14F2E" w:rsidRDefault="000F3873" w:rsidP="006725B0">
      <w:pPr>
        <w:pStyle w:val="JuSigned"/>
        <w:widowControl w:val="0"/>
        <w:spacing w:before="560"/>
      </w:pPr>
      <w:r>
        <w:tab/>
      </w:r>
      <w:r>
        <w:tab/>
      </w:r>
      <w:proofErr w:type="spellStart"/>
      <w:r>
        <w:t>Луциус</w:t>
      </w:r>
      <w:proofErr w:type="spellEnd"/>
      <w:r>
        <w:t xml:space="preserve"> </w:t>
      </w:r>
      <w:proofErr w:type="spellStart"/>
      <w:r>
        <w:t>Вилдхабер</w:t>
      </w:r>
      <w:proofErr w:type="spellEnd"/>
      <w:r>
        <w:t xml:space="preserve"> (</w:t>
      </w:r>
      <w:proofErr w:type="spellStart"/>
      <w:r>
        <w:t>Luzius</w:t>
      </w:r>
      <w:proofErr w:type="spellEnd"/>
      <w:r>
        <w:t xml:space="preserve"> </w:t>
      </w:r>
      <w:proofErr w:type="spellStart"/>
      <w:r>
        <w:rPr>
          <w:rStyle w:val="JuNames"/>
        </w:rPr>
        <w:t>Wildhaber</w:t>
      </w:r>
      <w:proofErr w:type="spellEnd"/>
      <w:r>
        <w:rPr>
          <w:rStyle w:val="JuNames"/>
        </w:rPr>
        <w:t>)</w:t>
      </w:r>
      <w:r>
        <w:rPr>
          <w:rStyle w:val="JuNames"/>
        </w:rPr>
        <w:br/>
      </w:r>
      <w:r>
        <w:tab/>
      </w:r>
      <w:r>
        <w:tab/>
        <w:t>председател</w:t>
      </w:r>
      <w:r>
        <w:rPr>
          <w:rStyle w:val="JuNames"/>
        </w:rPr>
        <w:br/>
      </w:r>
      <w:r>
        <w:tab/>
        <w:t xml:space="preserve">Пол </w:t>
      </w:r>
      <w:proofErr w:type="spellStart"/>
      <w:r>
        <w:t>Махони</w:t>
      </w:r>
      <w:proofErr w:type="spellEnd"/>
      <w:r>
        <w:t xml:space="preserve"> (</w:t>
      </w:r>
      <w:proofErr w:type="spellStart"/>
      <w:r>
        <w:t>Paul</w:t>
      </w:r>
      <w:proofErr w:type="spellEnd"/>
      <w:r>
        <w:t xml:space="preserve"> </w:t>
      </w:r>
      <w:proofErr w:type="spellStart"/>
      <w:r>
        <w:rPr>
          <w:rStyle w:val="JuNames"/>
        </w:rPr>
        <w:t>Mahoney</w:t>
      </w:r>
      <w:proofErr w:type="spellEnd"/>
      <w:r>
        <w:rPr>
          <w:rStyle w:val="JuNames"/>
        </w:rPr>
        <w:t>)</w:t>
      </w:r>
      <w:r>
        <w:rPr>
          <w:rStyle w:val="JuNames"/>
        </w:rPr>
        <w:br/>
      </w:r>
      <w:r>
        <w:tab/>
        <w:t>секретар</w:t>
      </w:r>
    </w:p>
    <w:p w:rsidR="00096950" w:rsidRPr="0059462F" w:rsidRDefault="00096950" w:rsidP="006725B0">
      <w:pPr>
        <w:pStyle w:val="JuParaLast"/>
        <w:widowControl w:val="0"/>
      </w:pPr>
      <w:r>
        <w:t xml:space="preserve">В съответствие с чл. 45 § 2 от Конвенцията и </w:t>
      </w:r>
      <w:r w:rsidR="002A5A6D">
        <w:t>правило</w:t>
      </w:r>
      <w:r>
        <w:t xml:space="preserve"> 74 § 2 от Правилника на Съда </w:t>
      </w:r>
      <w:r w:rsidR="002A5A6D">
        <w:t xml:space="preserve">към настоящото решение са приложени </w:t>
      </w:r>
      <w:r>
        <w:t>следните отделни мнения:</w:t>
      </w:r>
    </w:p>
    <w:p w:rsidR="00096950" w:rsidRPr="0059462F" w:rsidRDefault="00096950" w:rsidP="006725B0">
      <w:pPr>
        <w:pStyle w:val="JuPara"/>
        <w:widowControl w:val="0"/>
      </w:pPr>
      <w:r>
        <w:t xml:space="preserve">а)  частично особено мнение на г-н </w:t>
      </w:r>
      <w:proofErr w:type="spellStart"/>
      <w:r>
        <w:t>Тюрмен</w:t>
      </w:r>
      <w:proofErr w:type="spellEnd"/>
      <w:r>
        <w:t>;</w:t>
      </w:r>
    </w:p>
    <w:p w:rsidR="00096950" w:rsidRPr="0059462F" w:rsidRDefault="00096950" w:rsidP="006725B0">
      <w:pPr>
        <w:pStyle w:val="JuPara"/>
        <w:widowControl w:val="0"/>
      </w:pPr>
      <w:r>
        <w:t xml:space="preserve">б)  частично особено мнение на г-жа </w:t>
      </w:r>
      <w:proofErr w:type="spellStart"/>
      <w:r>
        <w:t>Муларони</w:t>
      </w:r>
      <w:proofErr w:type="spellEnd"/>
      <w:r>
        <w:t>.</w:t>
      </w:r>
    </w:p>
    <w:p w:rsidR="00096950" w:rsidRDefault="00096950" w:rsidP="00D14F2E">
      <w:pPr>
        <w:pStyle w:val="JuInitialled"/>
      </w:pPr>
      <w:r>
        <w:t>L.W.</w:t>
      </w:r>
      <w:r>
        <w:br/>
        <w:t>P.J.M.</w:t>
      </w:r>
    </w:p>
    <w:p w:rsidR="00AA7FA1" w:rsidRDefault="00AA7FA1" w:rsidP="00096950">
      <w:pPr>
        <w:pStyle w:val="JuInitialled"/>
        <w:sectPr w:rsidR="00AA7FA1" w:rsidSect="00D14F2E">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6" w:h="16838" w:code="9"/>
          <w:pgMar w:top="2274" w:right="2274" w:bottom="2274" w:left="2274" w:header="1701" w:footer="720" w:gutter="0"/>
          <w:pgNumType w:start="1"/>
          <w:cols w:space="720"/>
        </w:sectPr>
      </w:pPr>
    </w:p>
    <w:p w:rsidR="00524D6F" w:rsidRPr="00D36EA7" w:rsidRDefault="00524D6F" w:rsidP="006725B0">
      <w:pPr>
        <w:pStyle w:val="OpiHHead"/>
        <w:widowControl w:val="0"/>
      </w:pPr>
      <w:r>
        <w:lastRenderedPageBreak/>
        <w:t>ЧАСТИЧНО ОСОБЕНО МНЕНИЕ НА СЪДИЯ ТЮРМЕН</w:t>
      </w:r>
    </w:p>
    <w:p w:rsidR="00524D6F" w:rsidRPr="00D36EA7" w:rsidRDefault="00524D6F" w:rsidP="00524D6F">
      <w:pPr>
        <w:pStyle w:val="OpiPara"/>
      </w:pPr>
      <w:r>
        <w:t>Съгласявам се с мнозинството, че е налице нарушение на чл</w:t>
      </w:r>
      <w:r w:rsidR="002A5A6D">
        <w:t>.</w:t>
      </w:r>
      <w:r>
        <w:t xml:space="preserve"> 2 в съществения му аспект, предвид факта, че властите не </w:t>
      </w:r>
      <w:r w:rsidR="002A5A6D">
        <w:t xml:space="preserve">са </w:t>
      </w:r>
      <w:r>
        <w:t>предприе</w:t>
      </w:r>
      <w:r w:rsidR="002A5A6D">
        <w:t>ли</w:t>
      </w:r>
      <w:r>
        <w:t xml:space="preserve"> необходимите стъпки за опазване на живота на живеещите под тяхната юрисдикция.</w:t>
      </w:r>
    </w:p>
    <w:p w:rsidR="00524D6F" w:rsidRPr="00D36EA7" w:rsidRDefault="00524D6F" w:rsidP="00524D6F">
      <w:pPr>
        <w:pStyle w:val="OpiPara"/>
      </w:pPr>
      <w:r>
        <w:t xml:space="preserve">Въпреки това обаче </w:t>
      </w:r>
      <w:r w:rsidR="002A5A6D">
        <w:t xml:space="preserve">със </w:t>
      </w:r>
      <w:r>
        <w:t>съжал</w:t>
      </w:r>
      <w:r w:rsidR="002A5A6D">
        <w:t>ение</w:t>
      </w:r>
      <w:r>
        <w:t xml:space="preserve"> изразя</w:t>
      </w:r>
      <w:r w:rsidR="002A5A6D">
        <w:t>вам</w:t>
      </w:r>
      <w:r>
        <w:t xml:space="preserve"> несъгласието си </w:t>
      </w:r>
      <w:r w:rsidR="002A5A6D">
        <w:t>с</w:t>
      </w:r>
      <w:r>
        <w:t xml:space="preserve"> мнозинството, че са налице също така нарушения на чл</w:t>
      </w:r>
      <w:r w:rsidR="002A5A6D">
        <w:t>.</w:t>
      </w:r>
      <w:r>
        <w:t xml:space="preserve"> 2 в процесуалния му аспект, чл</w:t>
      </w:r>
      <w:r w:rsidR="002A5A6D">
        <w:t>.</w:t>
      </w:r>
      <w:r>
        <w:t xml:space="preserve"> 1 </w:t>
      </w:r>
      <w:r w:rsidR="002A5A6D">
        <w:t xml:space="preserve">от </w:t>
      </w:r>
      <w:r>
        <w:t>Протокол № 1 и чл</w:t>
      </w:r>
      <w:r w:rsidR="002A5A6D">
        <w:t>.</w:t>
      </w:r>
      <w:r>
        <w:t xml:space="preserve"> 13.</w:t>
      </w:r>
    </w:p>
    <w:p w:rsidR="00524D6F" w:rsidRPr="00750BFB" w:rsidRDefault="00524D6F" w:rsidP="005076FA">
      <w:pPr>
        <w:pStyle w:val="JuH1"/>
      </w:pPr>
      <w:r>
        <w:t>1.  Член 2 (процесуален аспект)</w:t>
      </w:r>
    </w:p>
    <w:p w:rsidR="00524D6F" w:rsidRPr="00D36EA7" w:rsidRDefault="00524D6F" w:rsidP="00524D6F">
      <w:pPr>
        <w:pStyle w:val="OpiPara"/>
      </w:pPr>
      <w:r>
        <w:t>Решението не констатира проблеми при следствието (параграф 113), което разкрива отговорните за инцидента и ги изправя пред съда. Двамата кметове са обвинени по чл</w:t>
      </w:r>
      <w:r w:rsidR="002A5A6D">
        <w:t>.</w:t>
      </w:r>
      <w:r>
        <w:t xml:space="preserve"> 230 </w:t>
      </w:r>
      <w:r w:rsidR="002A5A6D">
        <w:t>от</w:t>
      </w:r>
      <w:r>
        <w:t xml:space="preserve"> турския Наказателен кодекс.</w:t>
      </w:r>
    </w:p>
    <w:p w:rsidR="00524D6F" w:rsidRPr="00D36EA7" w:rsidRDefault="00524D6F" w:rsidP="00524D6F">
      <w:pPr>
        <w:pStyle w:val="OpiPara"/>
      </w:pPr>
      <w:r>
        <w:t>Въпреки това мнозинството констатира нарушение на процесуалния аспект на чл</w:t>
      </w:r>
      <w:r w:rsidR="00687CCC">
        <w:t>.</w:t>
      </w:r>
      <w:r>
        <w:t xml:space="preserve"> 2 въз основа на факта, че </w:t>
      </w:r>
      <w:r w:rsidR="00687CCC">
        <w:t xml:space="preserve">решаващите </w:t>
      </w:r>
      <w:r>
        <w:t xml:space="preserve">съдилища не са обезпечили пълната отчетност на държавните служители и не са изпълнили ефективно разпоредбите на националното законодателство — </w:t>
      </w:r>
      <w:r w:rsidR="00687CCC">
        <w:t>т.е.</w:t>
      </w:r>
      <w:r>
        <w:t xml:space="preserve"> защото националните съдилища </w:t>
      </w:r>
      <w:r w:rsidR="00687CCC">
        <w:t xml:space="preserve">са </w:t>
      </w:r>
      <w:r>
        <w:t>прил</w:t>
      </w:r>
      <w:r w:rsidR="00687CCC">
        <w:t>ожили</w:t>
      </w:r>
      <w:r>
        <w:t xml:space="preserve"> чл</w:t>
      </w:r>
      <w:r w:rsidR="00687CCC">
        <w:t>.</w:t>
      </w:r>
      <w:r>
        <w:t xml:space="preserve"> 230 от Наказателния кодекс (небрежност при изпълнение на обществени задължения), а не чл</w:t>
      </w:r>
      <w:r w:rsidR="00687CCC">
        <w:t>.</w:t>
      </w:r>
      <w:r>
        <w:t xml:space="preserve"> 455 (смърт поради невнимание или небрежност).</w:t>
      </w:r>
    </w:p>
    <w:p w:rsidR="00524D6F" w:rsidRPr="00D36EA7" w:rsidRDefault="00524D6F" w:rsidP="00524D6F">
      <w:pPr>
        <w:pStyle w:val="OpiPara"/>
      </w:pPr>
      <w:r>
        <w:t>Не съм съгласен с това заключение поради следните причини.</w:t>
      </w:r>
    </w:p>
    <w:p w:rsidR="00524D6F" w:rsidRPr="00D36EA7" w:rsidRDefault="00524D6F" w:rsidP="00524D6F">
      <w:pPr>
        <w:pStyle w:val="OpiPara"/>
      </w:pPr>
      <w:r>
        <w:t>На първо място мнозинството е на мнение, че е налице нарушение на процесуалния аспект на чл</w:t>
      </w:r>
      <w:r w:rsidR="00687CCC">
        <w:t>.</w:t>
      </w:r>
      <w:r>
        <w:t xml:space="preserve"> 2 не поради липсата на ефективни следствени действия, а поради съдебното производство или, по-конкретно, поради прилагането на националното законодателство. Това е изцяло нов подход, който няма прецедент в съдебната практика на Съда. Ако мнозинството поддържа твърдението, че съществуващите мерки съгласно националното законодателство не са ефективни, то това поражда проблем по чл</w:t>
      </w:r>
      <w:r w:rsidR="00687CCC">
        <w:t>.</w:t>
      </w:r>
      <w:r>
        <w:t xml:space="preserve"> 13, а не по чл</w:t>
      </w:r>
      <w:r w:rsidR="00687CCC">
        <w:t>.</w:t>
      </w:r>
      <w:r>
        <w:t xml:space="preserve"> 2.</w:t>
      </w:r>
    </w:p>
    <w:p w:rsidR="00D8632D" w:rsidRDefault="00524D6F" w:rsidP="00524D6F">
      <w:pPr>
        <w:pStyle w:val="OpiPara"/>
      </w:pPr>
      <w:r>
        <w:t>Второ, изглежда противоречиво от една страна да се твърди, че следствието е ефективно, а от друга страна, че решението на националния съд е в нарушение на Конвенцията.</w:t>
      </w:r>
    </w:p>
    <w:p w:rsidR="006A1981" w:rsidRDefault="00524D6F" w:rsidP="00524D6F">
      <w:pPr>
        <w:pStyle w:val="OpiPara"/>
      </w:pPr>
      <w:r>
        <w:t>Подобен подход пренебрегва факта, че решението на националния съд е въз основа на фактите, които са констатирани от следствието. Как тогава е възможно Съд</w:t>
      </w:r>
      <w:r w:rsidR="00EF4969">
        <w:t>ът</w:t>
      </w:r>
      <w:r>
        <w:t xml:space="preserve"> да критикува решението на националния съд, като в същото време приема ефективността на следствието? </w:t>
      </w:r>
      <w:r w:rsidR="00EF4969">
        <w:t>Ако п</w:t>
      </w:r>
      <w:r>
        <w:t xml:space="preserve">ри обстоятелства, </w:t>
      </w:r>
      <w:r w:rsidR="00EF4969">
        <w:t>при които</w:t>
      </w:r>
      <w:r>
        <w:t xml:space="preserve"> следствието е ефективно, се стига до заключение, че процесуалният аспект на чл</w:t>
      </w:r>
      <w:r w:rsidR="00EF4969">
        <w:t>.</w:t>
      </w:r>
      <w:r>
        <w:t xml:space="preserve"> 2 е нарушен</w:t>
      </w:r>
      <w:r w:rsidR="00EF4969">
        <w:t>,</w:t>
      </w:r>
      <w:r>
        <w:t xml:space="preserve"> </w:t>
      </w:r>
      <w:r w:rsidR="00EF4969">
        <w:t>това би</w:t>
      </w:r>
      <w:r>
        <w:t xml:space="preserve"> </w:t>
      </w:r>
      <w:r w:rsidR="00EF4969">
        <w:t>наложило</w:t>
      </w:r>
      <w:r>
        <w:t xml:space="preserve"> преглед на фактите, което би превърнало Съда в </w:t>
      </w:r>
      <w:proofErr w:type="spellStart"/>
      <w:r>
        <w:t>четвъртоинстанционен</w:t>
      </w:r>
      <w:proofErr w:type="spellEnd"/>
      <w:r>
        <w:t xml:space="preserve"> съд. Добре установена съдебна практика е, че констатирането на фактите и тълкуването и прилагането на националното законодателство е проблем на националните власти (вж</w:t>
      </w:r>
      <w:r w:rsidR="00EF4969">
        <w:t>.</w:t>
      </w:r>
      <w:r>
        <w:t xml:space="preserve">, </w:t>
      </w:r>
      <w:r>
        <w:rPr>
          <w:i/>
        </w:rPr>
        <w:t>наред с другото</w:t>
      </w:r>
      <w:r>
        <w:t xml:space="preserve">, </w:t>
      </w:r>
      <w:proofErr w:type="spellStart"/>
      <w:r>
        <w:rPr>
          <w:i/>
        </w:rPr>
        <w:t>Kemmache</w:t>
      </w:r>
      <w:proofErr w:type="spellEnd"/>
      <w:r>
        <w:rPr>
          <w:i/>
        </w:rPr>
        <w:t xml:space="preserve"> </w:t>
      </w:r>
      <w:r w:rsidR="00EF4969">
        <w:rPr>
          <w:i/>
        </w:rPr>
        <w:t>срещу Франция</w:t>
      </w:r>
      <w:r>
        <w:rPr>
          <w:i/>
        </w:rPr>
        <w:t xml:space="preserve"> (</w:t>
      </w:r>
      <w:proofErr w:type="spellStart"/>
      <w:r>
        <w:rPr>
          <w:i/>
        </w:rPr>
        <w:t>no</w:t>
      </w:r>
      <w:proofErr w:type="spellEnd"/>
      <w:r>
        <w:rPr>
          <w:i/>
        </w:rPr>
        <w:t>. 3)</w:t>
      </w:r>
      <w:r>
        <w:t xml:space="preserve">, решение от 24 </w:t>
      </w:r>
      <w:r>
        <w:lastRenderedPageBreak/>
        <w:t>ноември 1994 г., серия A № 296</w:t>
      </w:r>
      <w:r>
        <w:noBreakHyphen/>
        <w:t xml:space="preserve">C, страници 86-87, § 37 и </w:t>
      </w:r>
      <w:proofErr w:type="spellStart"/>
      <w:r>
        <w:rPr>
          <w:i/>
        </w:rPr>
        <w:t>Kaymaz</w:t>
      </w:r>
      <w:proofErr w:type="spellEnd"/>
      <w:r>
        <w:rPr>
          <w:i/>
        </w:rPr>
        <w:t xml:space="preserve"> </w:t>
      </w:r>
      <w:r w:rsidR="00EF4969">
        <w:rPr>
          <w:i/>
        </w:rPr>
        <w:t>срещу Турция</w:t>
      </w:r>
      <w:r>
        <w:rPr>
          <w:i/>
        </w:rPr>
        <w:t xml:space="preserve"> </w:t>
      </w:r>
      <w:r>
        <w:t>(</w:t>
      </w:r>
      <w:r w:rsidR="00EF4969">
        <w:t>РД</w:t>
      </w:r>
      <w:r>
        <w:t>), № 37053/97, 16 март 2000 г.).</w:t>
      </w:r>
    </w:p>
    <w:p w:rsidR="00524D6F" w:rsidRPr="00D36EA7" w:rsidRDefault="00524D6F" w:rsidP="00524D6F">
      <w:pPr>
        <w:pStyle w:val="OpiPara"/>
      </w:pPr>
      <w:r>
        <w:t xml:space="preserve">Трето, мнозинството не придава тежест на факта, че жалбоподателят със своето поведение е допринесъл за създаването на </w:t>
      </w:r>
      <w:r w:rsidR="00EF4969">
        <w:t xml:space="preserve">опасност </w:t>
      </w:r>
      <w:r>
        <w:t xml:space="preserve">за живота и е причинил смъртта на девет члена на семейството си. </w:t>
      </w:r>
      <w:r w:rsidR="00D85ABC">
        <w:t>Не се оспорва</w:t>
      </w:r>
      <w:r>
        <w:t xml:space="preserve">, че жалбоподателят </w:t>
      </w:r>
      <w:r w:rsidR="00D85ABC">
        <w:t>(</w:t>
      </w:r>
      <w:r>
        <w:t xml:space="preserve">а) е построил незаконно жилище </w:t>
      </w:r>
      <w:r w:rsidR="00D85ABC">
        <w:t>върху</w:t>
      </w:r>
      <w:r>
        <w:t xml:space="preserve"> земя, която не му принадлежи</w:t>
      </w:r>
      <w:r w:rsidR="00D85ABC">
        <w:t>,</w:t>
      </w:r>
      <w:r>
        <w:t xml:space="preserve"> и </w:t>
      </w:r>
      <w:r w:rsidR="00D85ABC">
        <w:t>(</w:t>
      </w:r>
      <w:r>
        <w:t>б) го е направил в твърде голяма близост до сметището.</w:t>
      </w:r>
    </w:p>
    <w:p w:rsidR="00524D6F" w:rsidRPr="00D36EA7" w:rsidRDefault="00524D6F" w:rsidP="00524D6F">
      <w:pPr>
        <w:pStyle w:val="OpiPara"/>
      </w:pPr>
      <w:r>
        <w:t>Небрежността на властите и тази на жалбоподателя представляват важен елемент от причинно</w:t>
      </w:r>
      <w:r w:rsidR="00D85ABC">
        <w:t>-</w:t>
      </w:r>
      <w:r>
        <w:t>следствената връзка. Двете са услови</w:t>
      </w:r>
      <w:r w:rsidR="00D85ABC">
        <w:t>я</w:t>
      </w:r>
      <w:r>
        <w:t xml:space="preserve"> </w:t>
      </w:r>
      <w:r w:rsidR="00D85ABC" w:rsidRPr="00D85ABC">
        <w:rPr>
          <w:i/>
          <w:lang w:val="en-GB"/>
        </w:rPr>
        <w:t>sine qua non</w:t>
      </w:r>
      <w:r w:rsidR="00D85ABC" w:rsidRPr="00D85ABC" w:rsidDel="00D85ABC">
        <w:t xml:space="preserve"> </w:t>
      </w:r>
      <w:r>
        <w:t>за причинените щети. Поотделно нито едно от двете не би могло да бъде достатъчно да причини вреда. Смъртта на девет души е настъпила поради небрежността и на властите, и на жалбоподателя.</w:t>
      </w:r>
    </w:p>
    <w:p w:rsidR="00524D6F" w:rsidRPr="00D36EA7" w:rsidRDefault="00524D6F" w:rsidP="00524D6F">
      <w:pPr>
        <w:pStyle w:val="OpiPara"/>
      </w:pPr>
      <w:r>
        <w:t>Освен това, отделно престъпление е извършено от кметовете, а именно небрежност при изпълняване на задълженията им. В решението си от 4 април 1996 г. Пето отделение на Наказателния съд на Истанбул взема предвид всички тези елементи и решава да приложи чл</w:t>
      </w:r>
      <w:r w:rsidR="00D85ABC">
        <w:t>.</w:t>
      </w:r>
      <w:r>
        <w:t xml:space="preserve"> 230 от Наказателния кодекс (небрежност при изпълнение на обществени задължения), а не чл</w:t>
      </w:r>
      <w:r w:rsidR="00D85ABC">
        <w:t>.</w:t>
      </w:r>
      <w:r>
        <w:t xml:space="preserve"> 455 (причиняване на смърт поради небрежност). В действителност двамата кметове са обвинени по чл</w:t>
      </w:r>
      <w:r w:rsidR="00D85ABC">
        <w:t>.</w:t>
      </w:r>
      <w:r>
        <w:t xml:space="preserve"> 230. Касационният съд потвър</w:t>
      </w:r>
      <w:r w:rsidR="00D85ABC">
        <w:t>ждава</w:t>
      </w:r>
      <w:r>
        <w:t xml:space="preserve"> решението. В решението се споменава отговорността на кметовете и на жалбоподателя за смъртта на девет души. Съдиите от Наказателния съд в Истанбул са взели също така под внимание експерт</w:t>
      </w:r>
      <w:r w:rsidR="00D85ABC">
        <w:t>изата</w:t>
      </w:r>
      <w:r>
        <w:t>, ко</w:t>
      </w:r>
      <w:r w:rsidR="00D85ABC">
        <w:t>я</w:t>
      </w:r>
      <w:r>
        <w:t xml:space="preserve">то разпределя отговорността за инцидента, както следва: 2/8 за градския съвет на Истанбул, 2/8 за окръжния съвет на </w:t>
      </w:r>
      <w:proofErr w:type="spellStart"/>
      <w:r>
        <w:t>Юмрание</w:t>
      </w:r>
      <w:proofErr w:type="spellEnd"/>
      <w:r>
        <w:t xml:space="preserve"> и 2/8 за обитателите на </w:t>
      </w:r>
      <w:r w:rsidR="00D85ABC">
        <w:t xml:space="preserve">бедния </w:t>
      </w:r>
      <w:r>
        <w:t>квартал</w:t>
      </w:r>
      <w:r w:rsidR="00D85ABC">
        <w:t xml:space="preserve"> </w:t>
      </w:r>
      <w:r>
        <w:t>„за поставяне на членовете на семействата им в опасност чрез заселване близо до купчините от отпадъци“ (вж</w:t>
      </w:r>
      <w:r w:rsidR="00D85ABC">
        <w:t>.</w:t>
      </w:r>
      <w:r>
        <w:t xml:space="preserve"> параграф 23 от решението).</w:t>
      </w:r>
    </w:p>
    <w:p w:rsidR="00524D6F" w:rsidRPr="00D36EA7" w:rsidRDefault="00524D6F" w:rsidP="00524D6F">
      <w:pPr>
        <w:pStyle w:val="OpiPara"/>
      </w:pPr>
      <w:r>
        <w:t xml:space="preserve">Следователно не е вярно, както е изложено в параграф 116 </w:t>
      </w:r>
      <w:r w:rsidR="00D85ABC">
        <w:t>от</w:t>
      </w:r>
      <w:r>
        <w:t xml:space="preserve"> решение</w:t>
      </w:r>
      <w:r w:rsidR="00D85ABC">
        <w:t>то</w:t>
      </w:r>
      <w:r>
        <w:t xml:space="preserve">, </w:t>
      </w:r>
      <w:r w:rsidR="00D85ABC">
        <w:t xml:space="preserve">че </w:t>
      </w:r>
      <w:r>
        <w:t xml:space="preserve">в своето решение националният съд не признава „отговорност за неспазване на задължението за защита на правото на живот“. Националният съд </w:t>
      </w:r>
      <w:r w:rsidR="00D85ABC">
        <w:t xml:space="preserve">претегля </w:t>
      </w:r>
      <w:r>
        <w:t xml:space="preserve">отговорностите на жалбоподателя и кметовете и стига до заключение в рамките на своята свобода на преценка. Това е признато </w:t>
      </w:r>
      <w:r w:rsidR="00D85ABC">
        <w:t>и от</w:t>
      </w:r>
      <w:r>
        <w:t xml:space="preserve"> мнозинство</w:t>
      </w:r>
      <w:r w:rsidR="00D85ABC">
        <w:t>то с</w:t>
      </w:r>
      <w:r>
        <w:t xml:space="preserve"> изложено</w:t>
      </w:r>
      <w:r w:rsidR="00D85ABC">
        <w:t>то</w:t>
      </w:r>
      <w:r>
        <w:t xml:space="preserve"> в параграф 116, че „не е работа на Съда да се занимава с подобни въпроси на вътрешното право във връзка с индивидуалната наказателна отговорност, което е от компетенцията за преценка от страна на националните съдилища, или да издава осъдителни или оправдателни присъди в този аспект“.</w:t>
      </w:r>
    </w:p>
    <w:p w:rsidR="00D8632D" w:rsidRDefault="00524D6F" w:rsidP="00524D6F">
      <w:pPr>
        <w:pStyle w:val="OpiPara"/>
      </w:pPr>
      <w:r>
        <w:t xml:space="preserve">Въпреки това подобно изрично очертаване на границите между националните съдилища и Съда в Страсбург, което отговаря на съдебните практики на Съда, затруднява разбирането на причината </w:t>
      </w:r>
      <w:r w:rsidR="003B19C0">
        <w:t>з</w:t>
      </w:r>
      <w:r>
        <w:t>а констатиране на нарушение на процесуалния аспект на чл</w:t>
      </w:r>
      <w:r w:rsidR="003B19C0">
        <w:t>.</w:t>
      </w:r>
      <w:r>
        <w:t xml:space="preserve"> 2. По мнение на мнозинството въпроси от </w:t>
      </w:r>
      <w:proofErr w:type="spellStart"/>
      <w:r>
        <w:t>националноправен</w:t>
      </w:r>
      <w:proofErr w:type="spellEnd"/>
      <w:r>
        <w:t xml:space="preserve"> характер, които се </w:t>
      </w:r>
      <w:r>
        <w:lastRenderedPageBreak/>
        <w:t>отнасят до индивидуалната наказателна отговорност</w:t>
      </w:r>
      <w:r w:rsidR="003B19C0">
        <w:t>,</w:t>
      </w:r>
      <w:r>
        <w:t xml:space="preserve"> са предмет на преценка от страна на националните съдилища, но ако последните решат поради основателни съображения да приложат един член на Наказателния кодекс, а не друг, това може да породи липса на законова защита на правото на живот.</w:t>
      </w:r>
    </w:p>
    <w:p w:rsidR="00524D6F" w:rsidRPr="00D36EA7" w:rsidRDefault="00524D6F" w:rsidP="00524D6F">
      <w:pPr>
        <w:pStyle w:val="OpiPara"/>
      </w:pPr>
      <w:r>
        <w:t>Четвърто, от решението не става ясна причината, поради която мнозинството решава да промени принципите, установени в съдебн</w:t>
      </w:r>
      <w:r w:rsidR="003B19C0">
        <w:t>ата</w:t>
      </w:r>
      <w:r>
        <w:t xml:space="preserve"> практик</w:t>
      </w:r>
      <w:r w:rsidR="003B19C0">
        <w:t>а</w:t>
      </w:r>
      <w:r>
        <w:t xml:space="preserve"> на Съда във връзка с липсата на </w:t>
      </w:r>
      <w:proofErr w:type="spellStart"/>
      <w:r>
        <w:t>наказателноправна</w:t>
      </w:r>
      <w:proofErr w:type="spellEnd"/>
      <w:r>
        <w:t xml:space="preserve"> мярка в случаите на непреднамерена загуба на живот. В делата </w:t>
      </w:r>
      <w:proofErr w:type="spellStart"/>
      <w:r>
        <w:rPr>
          <w:i/>
        </w:rPr>
        <w:t>Calvelli</w:t>
      </w:r>
      <w:proofErr w:type="spellEnd"/>
      <w:r>
        <w:rPr>
          <w:i/>
        </w:rPr>
        <w:t xml:space="preserve"> </w:t>
      </w:r>
      <w:proofErr w:type="spellStart"/>
      <w:r>
        <w:rPr>
          <w:i/>
        </w:rPr>
        <w:t>and</w:t>
      </w:r>
      <w:proofErr w:type="spellEnd"/>
      <w:r>
        <w:rPr>
          <w:i/>
        </w:rPr>
        <w:t xml:space="preserve"> </w:t>
      </w:r>
      <w:proofErr w:type="spellStart"/>
      <w:r>
        <w:rPr>
          <w:i/>
        </w:rPr>
        <w:t>Ciglio</w:t>
      </w:r>
      <w:proofErr w:type="spellEnd"/>
      <w:r>
        <w:rPr>
          <w:i/>
        </w:rPr>
        <w:t xml:space="preserve"> </w:t>
      </w:r>
      <w:r w:rsidR="003B19C0">
        <w:rPr>
          <w:i/>
        </w:rPr>
        <w:t>срещу Италия</w:t>
      </w:r>
      <w:r>
        <w:t xml:space="preserve"> ([</w:t>
      </w:r>
      <w:r w:rsidR="003B19C0">
        <w:t>ГО</w:t>
      </w:r>
      <w:r>
        <w:t xml:space="preserve">], № 32967/96, ЕСПЧ 2002-I), </w:t>
      </w:r>
      <w:proofErr w:type="spellStart"/>
      <w:r>
        <w:rPr>
          <w:i/>
        </w:rPr>
        <w:t>Mastromatteo</w:t>
      </w:r>
      <w:proofErr w:type="spellEnd"/>
      <w:r>
        <w:rPr>
          <w:i/>
        </w:rPr>
        <w:t xml:space="preserve"> </w:t>
      </w:r>
      <w:r w:rsidR="003B19C0">
        <w:rPr>
          <w:i/>
        </w:rPr>
        <w:t>срещу Италия</w:t>
      </w:r>
      <w:r>
        <w:t xml:space="preserve"> ([</w:t>
      </w:r>
      <w:r w:rsidR="003B19C0">
        <w:t>ГО</w:t>
      </w:r>
      <w:r>
        <w:t xml:space="preserve">], № 37703/97, ЕСПЧ 2002-VIII) и </w:t>
      </w:r>
      <w:proofErr w:type="spellStart"/>
      <w:r>
        <w:rPr>
          <w:i/>
        </w:rPr>
        <w:t>Vo</w:t>
      </w:r>
      <w:proofErr w:type="spellEnd"/>
      <w:r>
        <w:rPr>
          <w:i/>
        </w:rPr>
        <w:t xml:space="preserve"> </w:t>
      </w:r>
      <w:r w:rsidR="003B19C0">
        <w:rPr>
          <w:i/>
        </w:rPr>
        <w:t>срещу Франция</w:t>
      </w:r>
      <w:r>
        <w:t xml:space="preserve"> ([</w:t>
      </w:r>
      <w:r w:rsidR="003B19C0">
        <w:t>ГО</w:t>
      </w:r>
      <w:r>
        <w:t>], № 53924/00, ЕСПЧ 2004-VIII), Съдът изразява становище, че „ако нарушаването на правото на живот или физическата цялост не е било преднамерено, позитивното задължение, наложено от чл</w:t>
      </w:r>
      <w:r w:rsidR="003B19C0">
        <w:t>.</w:t>
      </w:r>
      <w:r>
        <w:t xml:space="preserve"> 2 относно създаването на ефективна съдебна система не изисква непременно предприемането на </w:t>
      </w:r>
      <w:proofErr w:type="spellStart"/>
      <w:r>
        <w:t>наказателноправни</w:t>
      </w:r>
      <w:proofErr w:type="spellEnd"/>
      <w:r>
        <w:t xml:space="preserve"> мерки във всеки случай“. В настоящия случай мнозинството се разграничава от тази съдебна практика. В параграф 93 от решението мнозинството изразява становището, че „в области като въпросната [може да се приеме, че </w:t>
      </w:r>
      <w:r w:rsidR="003B19C0">
        <w:t>се има предвид</w:t>
      </w:r>
      <w:r>
        <w:t xml:space="preserve"> вреда </w:t>
      </w:r>
      <w:r w:rsidR="003B19C0">
        <w:t>з</w:t>
      </w:r>
      <w:r>
        <w:t xml:space="preserve">а околната среда], приложимите принципи </w:t>
      </w:r>
      <w:r w:rsidR="003B19C0">
        <w:t>по-скоро могат</w:t>
      </w:r>
      <w:r>
        <w:t xml:space="preserve"> да бъдат открити ... във връзка </w:t>
      </w:r>
      <w:r w:rsidR="003B19C0">
        <w:t xml:space="preserve">по-специално </w:t>
      </w:r>
      <w:r>
        <w:t>с използването на смъртоносна сила“.</w:t>
      </w:r>
    </w:p>
    <w:p w:rsidR="00524D6F" w:rsidRPr="00D36EA7" w:rsidRDefault="00524D6F" w:rsidP="00524D6F">
      <w:pPr>
        <w:pStyle w:val="OpiPara"/>
      </w:pPr>
      <w:r>
        <w:t xml:space="preserve">И в делото </w:t>
      </w:r>
      <w:proofErr w:type="spellStart"/>
      <w:r>
        <w:rPr>
          <w:i/>
        </w:rPr>
        <w:t>Calvelli</w:t>
      </w:r>
      <w:proofErr w:type="spellEnd"/>
      <w:r>
        <w:rPr>
          <w:i/>
        </w:rPr>
        <w:t xml:space="preserve"> </w:t>
      </w:r>
      <w:proofErr w:type="spellStart"/>
      <w:r>
        <w:rPr>
          <w:i/>
        </w:rPr>
        <w:t>and</w:t>
      </w:r>
      <w:proofErr w:type="spellEnd"/>
      <w:r>
        <w:rPr>
          <w:i/>
        </w:rPr>
        <w:t xml:space="preserve"> </w:t>
      </w:r>
      <w:proofErr w:type="spellStart"/>
      <w:r>
        <w:rPr>
          <w:i/>
        </w:rPr>
        <w:t>Ciglio</w:t>
      </w:r>
      <w:proofErr w:type="spellEnd"/>
      <w:r>
        <w:t xml:space="preserve">, и в настоящото дело, </w:t>
      </w:r>
      <w:r w:rsidR="003B19C0">
        <w:t xml:space="preserve">проблемът от гледна точка </w:t>
      </w:r>
      <w:r>
        <w:t>на наказателното право е, че е налице смърт, причинена поради небрежност. Доколкото е засегната степента на небрежност, е трудно да се направи разлика между небрежността на гинеколога, който е знаел, че раждането на детето е високорисково, тъй като майката страда от диабет тип А, а плодът е твърде голям за естествено раждане, и все още не е предприел мерки, а освен това не е и присъствал на раждането (</w:t>
      </w:r>
      <w:proofErr w:type="spellStart"/>
      <w:r>
        <w:rPr>
          <w:i/>
        </w:rPr>
        <w:t>Calvelli</w:t>
      </w:r>
      <w:proofErr w:type="spellEnd"/>
      <w:r>
        <w:rPr>
          <w:i/>
        </w:rPr>
        <w:t xml:space="preserve"> </w:t>
      </w:r>
      <w:proofErr w:type="spellStart"/>
      <w:r>
        <w:rPr>
          <w:i/>
        </w:rPr>
        <w:t>and</w:t>
      </w:r>
      <w:proofErr w:type="spellEnd"/>
      <w:r>
        <w:rPr>
          <w:i/>
        </w:rPr>
        <w:t xml:space="preserve"> </w:t>
      </w:r>
      <w:proofErr w:type="spellStart"/>
      <w:r>
        <w:rPr>
          <w:i/>
        </w:rPr>
        <w:t>Ciglio</w:t>
      </w:r>
      <w:proofErr w:type="spellEnd"/>
      <w:r>
        <w:t xml:space="preserve">), и тази </w:t>
      </w:r>
      <w:r w:rsidR="003B19C0">
        <w:t xml:space="preserve">на </w:t>
      </w:r>
      <w:r>
        <w:t xml:space="preserve">двамата кметове, които </w:t>
      </w:r>
      <w:r w:rsidR="003B19C0">
        <w:t>е</w:t>
      </w:r>
      <w:r>
        <w:t xml:space="preserve"> трябвало да знаят от експерт</w:t>
      </w:r>
      <w:r w:rsidR="003B19C0">
        <w:t>изата</w:t>
      </w:r>
      <w:r>
        <w:t xml:space="preserve">, че сметището е високорисково и все </w:t>
      </w:r>
      <w:r w:rsidR="003B19C0">
        <w:t xml:space="preserve">пак </w:t>
      </w:r>
      <w:r>
        <w:t>не са предприели мерки за предотвратяването на подобен инцидент.</w:t>
      </w:r>
    </w:p>
    <w:p w:rsidR="00524D6F" w:rsidRDefault="00524D6F" w:rsidP="005076FA">
      <w:pPr>
        <w:pStyle w:val="JuH1"/>
      </w:pPr>
      <w:r>
        <w:t xml:space="preserve">2.  Член 1 </w:t>
      </w:r>
      <w:r w:rsidR="003B19C0">
        <w:t>от</w:t>
      </w:r>
      <w:r>
        <w:t xml:space="preserve"> Протокол № 1</w:t>
      </w:r>
    </w:p>
    <w:p w:rsidR="00524D6F" w:rsidRDefault="00524D6F" w:rsidP="00524D6F">
      <w:pPr>
        <w:pStyle w:val="OpiPara"/>
      </w:pPr>
      <w:r>
        <w:t>По отношение на чл</w:t>
      </w:r>
      <w:r w:rsidR="003B19C0">
        <w:t>.</w:t>
      </w:r>
      <w:r>
        <w:t xml:space="preserve"> 1 </w:t>
      </w:r>
      <w:r w:rsidR="003B19C0">
        <w:t>от</w:t>
      </w:r>
      <w:r>
        <w:t xml:space="preserve"> Протокол № 1, напълно подкрепям становището, изразено от Съдия </w:t>
      </w:r>
      <w:proofErr w:type="spellStart"/>
      <w:r>
        <w:t>Муларони</w:t>
      </w:r>
      <w:proofErr w:type="spellEnd"/>
      <w:r>
        <w:t xml:space="preserve"> в параграф 2 </w:t>
      </w:r>
      <w:r w:rsidR="003B19C0">
        <w:t xml:space="preserve">от </w:t>
      </w:r>
      <w:r>
        <w:t>нейното частично особено мнение.</w:t>
      </w:r>
    </w:p>
    <w:p w:rsidR="00524D6F" w:rsidRDefault="00524D6F" w:rsidP="004C63CE">
      <w:pPr>
        <w:pStyle w:val="JuPara"/>
      </w:pPr>
      <w:r>
        <w:t xml:space="preserve">Следва да се отбележи, че Съдът, непосредствено след делото </w:t>
      </w:r>
      <w:proofErr w:type="spellStart"/>
      <w:r>
        <w:rPr>
          <w:i/>
        </w:rPr>
        <w:t>Kopecký</w:t>
      </w:r>
      <w:proofErr w:type="spellEnd"/>
      <w:r>
        <w:rPr>
          <w:i/>
        </w:rPr>
        <w:t xml:space="preserve"> </w:t>
      </w:r>
      <w:r w:rsidR="003B19C0">
        <w:rPr>
          <w:i/>
        </w:rPr>
        <w:t>срещу Словакия</w:t>
      </w:r>
      <w:r>
        <w:t xml:space="preserve"> ([</w:t>
      </w:r>
      <w:r w:rsidR="003B19C0">
        <w:t>ГО</w:t>
      </w:r>
      <w:r>
        <w:t>], № 44912/98, ЕСПЧ 2004-IX), в което консолидира съдебн</w:t>
      </w:r>
      <w:r w:rsidR="003B19C0">
        <w:t>ата</w:t>
      </w:r>
      <w:r>
        <w:t xml:space="preserve"> си практик</w:t>
      </w:r>
      <w:r w:rsidR="003B19C0">
        <w:t>а</w:t>
      </w:r>
      <w:r>
        <w:t xml:space="preserve"> във връзка със </w:t>
      </w:r>
      <w:r w:rsidR="003B19C0">
        <w:t xml:space="preserve">значението </w:t>
      </w:r>
      <w:r>
        <w:t xml:space="preserve">на „притежание“ съгласно Конвенцията, е въвел нов критерий за определение на притежание — търпимостта </w:t>
      </w:r>
      <w:r w:rsidR="003B19C0">
        <w:t xml:space="preserve">от страна </w:t>
      </w:r>
      <w:r>
        <w:t xml:space="preserve">на националните власти. Страхувам се, че подобна нова концепция може да доведе до нежелани последици, като например разширяване на защитата, </w:t>
      </w:r>
      <w:r>
        <w:lastRenderedPageBreak/>
        <w:t>гарантирана от Конвенцията, към незаконни постройки, като също така може да насърчава незаконни действия.</w:t>
      </w:r>
    </w:p>
    <w:p w:rsidR="00524D6F" w:rsidRDefault="00524D6F" w:rsidP="005076FA">
      <w:pPr>
        <w:pStyle w:val="JuH1"/>
      </w:pPr>
      <w:r>
        <w:t>3.  Член 13</w:t>
      </w:r>
    </w:p>
    <w:p w:rsidR="00524D6F" w:rsidRDefault="00524D6F" w:rsidP="00524D6F">
      <w:pPr>
        <w:pStyle w:val="OpiPara"/>
      </w:pPr>
      <w:r>
        <w:t xml:space="preserve">Решението, след преглед на ефективността на </w:t>
      </w:r>
      <w:proofErr w:type="spellStart"/>
      <w:r>
        <w:t>наказателноправните</w:t>
      </w:r>
      <w:proofErr w:type="spellEnd"/>
      <w:r>
        <w:t xml:space="preserve"> мерки по чл</w:t>
      </w:r>
      <w:r w:rsidR="002B1F23">
        <w:t>.</w:t>
      </w:r>
      <w:r>
        <w:t xml:space="preserve"> 2, ограничава обхвата на прегледа си на жалбата по чл</w:t>
      </w:r>
      <w:r w:rsidR="002B1F23">
        <w:t>.</w:t>
      </w:r>
      <w:r>
        <w:t xml:space="preserve"> 13 относно ефективността на </w:t>
      </w:r>
      <w:proofErr w:type="spellStart"/>
      <w:r>
        <w:t>административноправните</w:t>
      </w:r>
      <w:proofErr w:type="spellEnd"/>
      <w:r>
        <w:t xml:space="preserve"> такива.</w:t>
      </w:r>
    </w:p>
    <w:p w:rsidR="00524D6F" w:rsidRDefault="002B1F23" w:rsidP="00524D6F">
      <w:pPr>
        <w:pStyle w:val="OpiPara"/>
      </w:pPr>
      <w:r>
        <w:t xml:space="preserve">С </w:t>
      </w:r>
      <w:r w:rsidR="00524D6F">
        <w:t>решение от 30 ноември 1995 г. Административният съд на Истанбул е наредил на националните власти да заплатят на жалбоподателя и неговите деца сумата от 100</w:t>
      </w:r>
      <w:r>
        <w:t xml:space="preserve"> </w:t>
      </w:r>
      <w:r w:rsidR="00524D6F">
        <w:t>000</w:t>
      </w:r>
      <w:r>
        <w:t xml:space="preserve"> </w:t>
      </w:r>
      <w:r w:rsidR="00524D6F">
        <w:t>000 турски лири за неимуществени и 10</w:t>
      </w:r>
      <w:r>
        <w:t> </w:t>
      </w:r>
      <w:r w:rsidR="00524D6F">
        <w:t>000</w:t>
      </w:r>
      <w:r>
        <w:t xml:space="preserve"> </w:t>
      </w:r>
      <w:r w:rsidR="00524D6F">
        <w:t>000 за имуществени вреди. Решението е връчено на жалбоподателя.</w:t>
      </w:r>
    </w:p>
    <w:p w:rsidR="00524D6F" w:rsidRDefault="00524D6F" w:rsidP="00524D6F">
      <w:pPr>
        <w:pStyle w:val="OpiPara"/>
      </w:pPr>
      <w:r>
        <w:t>Както ясно е изложено в решението на Съда, „... жалбоподателят никога не е изискал плащане на обезщетението, което му е присъдено</w:t>
      </w:r>
      <w:r w:rsidR="002B1F23">
        <w:t xml:space="preserve"> —</w:t>
      </w:r>
      <w:r>
        <w:t xml:space="preserve"> факт, който, още повече, той не оспорва“ (параграф 117 от решението на Съда; това обстоятелство е пропуснато в решението на Голямата камара).</w:t>
      </w:r>
    </w:p>
    <w:p w:rsidR="00524D6F" w:rsidRDefault="00524D6F" w:rsidP="00524D6F">
      <w:pPr>
        <w:pStyle w:val="OpiPara"/>
      </w:pPr>
      <w:r>
        <w:t xml:space="preserve">Жалбоподателят не се оплаква от </w:t>
      </w:r>
      <w:proofErr w:type="spellStart"/>
      <w:r>
        <w:t>неплащането</w:t>
      </w:r>
      <w:proofErr w:type="spellEnd"/>
      <w:r>
        <w:t xml:space="preserve"> на обезщетението, тъй като не </w:t>
      </w:r>
      <w:r w:rsidR="002B1F23">
        <w:t>желае</w:t>
      </w:r>
      <w:r>
        <w:t xml:space="preserve"> да го получи. Свързал ли се е той с</w:t>
      </w:r>
      <w:r w:rsidR="002B1F23">
        <w:t xml:space="preserve"> кабинета</w:t>
      </w:r>
      <w:r>
        <w:t xml:space="preserve"> на кмета и предоставил ли е номера на банковата си сметка, на която е щяло да бъде преведено присъденото обезщетение. Как е възможно властите да извършат плащане, без да знаят адреса или номера на банковата сметка на жалбоподателя?</w:t>
      </w:r>
    </w:p>
    <w:p w:rsidR="00524D6F" w:rsidRDefault="00524D6F" w:rsidP="00524D6F">
      <w:pPr>
        <w:pStyle w:val="OpiPara"/>
      </w:pPr>
      <w:r>
        <w:t xml:space="preserve">Следователно не е правилно Правителството да носи отговорност за </w:t>
      </w:r>
      <w:proofErr w:type="spellStart"/>
      <w:r>
        <w:t>неизплащането</w:t>
      </w:r>
      <w:proofErr w:type="spellEnd"/>
      <w:r>
        <w:t xml:space="preserve"> на обезщетението.</w:t>
      </w:r>
    </w:p>
    <w:p w:rsidR="00524D6F" w:rsidRDefault="00524D6F" w:rsidP="00524D6F">
      <w:pPr>
        <w:pStyle w:val="OpiPara"/>
      </w:pPr>
      <w:r>
        <w:t>По отношение на продължителността на съдебното производство, мнозинството израз</w:t>
      </w:r>
      <w:r w:rsidR="002B1F23">
        <w:t>ява</w:t>
      </w:r>
      <w:r>
        <w:t xml:space="preserve"> становище, че то е продължило четири години, единадесет месеца и десет дни, което прави мярката на административния съд неефективна.</w:t>
      </w:r>
    </w:p>
    <w:p w:rsidR="00524D6F" w:rsidRDefault="00524D6F" w:rsidP="00524D6F">
      <w:pPr>
        <w:pStyle w:val="OpiPara"/>
      </w:pPr>
      <w:r>
        <w:t>Изразявам несъгласието си по това становище.</w:t>
      </w:r>
    </w:p>
    <w:p w:rsidR="00524D6F" w:rsidRDefault="00524D6F" w:rsidP="00524D6F">
      <w:pPr>
        <w:pStyle w:val="OpiPara"/>
      </w:pPr>
      <w:r>
        <w:t>Производството е продължило четири години и единадесет месеца пред четири нива на юрисдикция. Обстоятелствата по делото разкриват, че не са налице съществени периоди на бездействие от страна на националните съдилища.</w:t>
      </w:r>
    </w:p>
    <w:p w:rsidR="00524D6F" w:rsidRDefault="00524D6F" w:rsidP="00524D6F">
      <w:pPr>
        <w:pStyle w:val="OpiPara"/>
      </w:pPr>
      <w:r>
        <w:t xml:space="preserve">Мнозинството изразява становището, че е налице „липса на старание от страна на националния съд“. Въпреки това не е посочено съображение за това заключение. То е </w:t>
      </w:r>
      <w:r w:rsidR="002B1F23">
        <w:t>д</w:t>
      </w:r>
      <w:r>
        <w:t>остигнато</w:t>
      </w:r>
      <w:r w:rsidR="002B1F23">
        <w:t>,</w:t>
      </w:r>
      <w:r>
        <w:t xml:space="preserve"> без да се извърши преглед на съдебното производство и без да се приложат установените критерии </w:t>
      </w:r>
      <w:r w:rsidR="002B1F23">
        <w:t xml:space="preserve">на Съда </w:t>
      </w:r>
      <w:r>
        <w:t>във връзка с</w:t>
      </w:r>
      <w:r w:rsidR="002B1F23">
        <w:t>ъс сроковете</w:t>
      </w:r>
      <w:r>
        <w:t xml:space="preserve"> на производствата, а именно, сложността на случая, поведението на жалбоподателя и поведението на съдебните власти.</w:t>
      </w:r>
    </w:p>
    <w:p w:rsidR="00524D6F" w:rsidRDefault="00524D6F" w:rsidP="00524D6F">
      <w:pPr>
        <w:pStyle w:val="OpiPara"/>
      </w:pPr>
      <w:r>
        <w:t xml:space="preserve">В заключение, не е </w:t>
      </w:r>
      <w:r w:rsidR="002B1F23">
        <w:t xml:space="preserve">налице </w:t>
      </w:r>
      <w:r>
        <w:t>нарушение на чл</w:t>
      </w:r>
      <w:r w:rsidR="002B1F23">
        <w:t>.</w:t>
      </w:r>
      <w:r>
        <w:t xml:space="preserve"> 13.</w:t>
      </w:r>
    </w:p>
    <w:p w:rsidR="00524D6F" w:rsidRPr="0049359E" w:rsidRDefault="00524D6F" w:rsidP="005076FA">
      <w:pPr>
        <w:pStyle w:val="JuH1"/>
      </w:pPr>
      <w:r>
        <w:t>4.  Член 41</w:t>
      </w:r>
    </w:p>
    <w:p w:rsidR="00524D6F" w:rsidRPr="00D36EA7" w:rsidRDefault="00524D6F" w:rsidP="00524D6F">
      <w:pPr>
        <w:pStyle w:val="OpiPara"/>
      </w:pPr>
      <w:r>
        <w:lastRenderedPageBreak/>
        <w:t xml:space="preserve">Изразявам съгласието си със сумата, която следва да бъде заплатена на жалбоподателя като справедливо обезщетение. Въпреки това изразявам несъгласието си по отношение на съображенията при изчисляването </w:t>
      </w:r>
      <w:r w:rsidR="002B1F23">
        <w:t>ѝ</w:t>
      </w:r>
      <w:r>
        <w:t>. Изглежда, че при изчисляване на сумата, на всичките девет члена на семейството на жалбоподателя е придадена еднаква тежест и са описани като негови „близки роднини“ (параграф 167 от решението).</w:t>
      </w:r>
    </w:p>
    <w:p w:rsidR="00524D6F" w:rsidRDefault="00524D6F" w:rsidP="009B5EE5">
      <w:pPr>
        <w:pStyle w:val="OpiPara"/>
      </w:pPr>
      <w:r>
        <w:t xml:space="preserve">Когато четем параграф 3 от решението обаче, става ясно, че един от тези „близки роднини“, </w:t>
      </w:r>
      <w:proofErr w:type="spellStart"/>
      <w:r>
        <w:t>Sıdıka</w:t>
      </w:r>
      <w:proofErr w:type="spellEnd"/>
      <w:r>
        <w:t xml:space="preserve"> </w:t>
      </w:r>
      <w:proofErr w:type="spellStart"/>
      <w:r>
        <w:t>Zorlu</w:t>
      </w:r>
      <w:proofErr w:type="spellEnd"/>
      <w:r>
        <w:t>, е била „наложница“ на жалбоподателя. Това може би е първият път, когато Съд</w:t>
      </w:r>
      <w:r w:rsidR="00BE0260">
        <w:t>ът</w:t>
      </w:r>
      <w:r>
        <w:t xml:space="preserve">, при вземане на решение относно сумата, която следва да се заплати като справедливо обезщетение, взема под внимание наложница на жалбоподател и </w:t>
      </w:r>
      <w:r w:rsidR="00BE0260">
        <w:t>ѝ</w:t>
      </w:r>
      <w:r>
        <w:t xml:space="preserve"> придава същата тежест, както на съпругата и децата му. Подобен подход може да доведе до нежелани последици за съдебн</w:t>
      </w:r>
      <w:r w:rsidR="00BE0260">
        <w:t>ата</w:t>
      </w:r>
      <w:r>
        <w:t xml:space="preserve"> практик</w:t>
      </w:r>
      <w:r w:rsidR="00BE0260">
        <w:t>а</w:t>
      </w:r>
      <w:r>
        <w:t xml:space="preserve"> на Съда в бъдеще.</w:t>
      </w:r>
    </w:p>
    <w:p w:rsidR="00CD0C6D" w:rsidRPr="009B5EE5" w:rsidRDefault="00CD0C6D" w:rsidP="009B5EE5">
      <w:pPr>
        <w:pStyle w:val="OpiPara"/>
        <w:sectPr w:rsidR="00CD0C6D" w:rsidRPr="009B5EE5" w:rsidSect="006A1981">
          <w:headerReference w:type="even" r:id="rId19"/>
          <w:headerReference w:type="default" r:id="rId20"/>
          <w:footerReference w:type="even" r:id="rId21"/>
          <w:headerReference w:type="first" r:id="rId22"/>
          <w:footnotePr>
            <w:numRestart w:val="eachPage"/>
          </w:footnotePr>
          <w:pgSz w:w="11906" w:h="16838"/>
          <w:pgMar w:top="2274" w:right="2274" w:bottom="2274" w:left="2274" w:header="1701" w:footer="720" w:gutter="0"/>
          <w:cols w:space="720"/>
        </w:sectPr>
      </w:pPr>
    </w:p>
    <w:p w:rsidR="00524D6F" w:rsidRPr="00016684" w:rsidRDefault="00524D6F" w:rsidP="006725B0">
      <w:pPr>
        <w:pStyle w:val="OpiHHead"/>
        <w:widowControl w:val="0"/>
      </w:pPr>
      <w:r>
        <w:lastRenderedPageBreak/>
        <w:t>ЧАСТИЧНО ОСОБЕНО МНЕНИЕ НА СЪДИЯ МУЛАРОНИ</w:t>
      </w:r>
    </w:p>
    <w:p w:rsidR="00524D6F" w:rsidRPr="00922D97" w:rsidRDefault="00524D6F" w:rsidP="006725B0">
      <w:pPr>
        <w:pStyle w:val="OpiTranslation"/>
        <w:widowControl w:val="0"/>
        <w:rPr>
          <w:i/>
        </w:rPr>
      </w:pPr>
      <w:r>
        <w:rPr>
          <w:i/>
        </w:rPr>
        <w:t>(Превод)</w:t>
      </w:r>
    </w:p>
    <w:p w:rsidR="00524D6F" w:rsidRPr="00016684" w:rsidRDefault="00524D6F" w:rsidP="006725B0">
      <w:pPr>
        <w:pStyle w:val="OpiPara"/>
        <w:widowControl w:val="0"/>
      </w:pPr>
      <w:r>
        <w:t>1.  Изразявам пълното си съгласие със съображенията и заключенията на мнозинството по отношение на чл</w:t>
      </w:r>
      <w:r w:rsidR="00BE0260">
        <w:t>.</w:t>
      </w:r>
      <w:r>
        <w:t xml:space="preserve"> 2 от Конвенцията в съществения и процесуалния му аспект.</w:t>
      </w:r>
    </w:p>
    <w:p w:rsidR="00524D6F" w:rsidRPr="00016684" w:rsidRDefault="00524D6F" w:rsidP="00524D6F">
      <w:pPr>
        <w:pStyle w:val="OpiPara"/>
      </w:pPr>
      <w:r>
        <w:t>2.  Въпреки това обаче считам, че чл</w:t>
      </w:r>
      <w:r w:rsidR="00BE0260">
        <w:t>.</w:t>
      </w:r>
      <w:r>
        <w:t xml:space="preserve"> 1 </w:t>
      </w:r>
      <w:r w:rsidR="00BE0260">
        <w:t>от</w:t>
      </w:r>
      <w:r>
        <w:t xml:space="preserve"> Протокол  № 1 е неприложим в настоящия случай. Тази разпоредба гарантира правото на собственост. В съдебн</w:t>
      </w:r>
      <w:r w:rsidR="00BE0260">
        <w:t>ата</w:t>
      </w:r>
      <w:r>
        <w:t xml:space="preserve"> си практик</w:t>
      </w:r>
      <w:r w:rsidR="00BE0260">
        <w:t>а</w:t>
      </w:r>
      <w:r>
        <w:t xml:space="preserve"> Съдът е изяснил концепцията за притежани</w:t>
      </w:r>
      <w:r w:rsidR="00BE0260">
        <w:t>е</w:t>
      </w:r>
      <w:r>
        <w:t xml:space="preserve">, която може да обхване „съществуващи притежания“ и активи, включително вземания, във връзка с които </w:t>
      </w:r>
      <w:r w:rsidR="00BE0260">
        <w:t xml:space="preserve">жалбоподателят </w:t>
      </w:r>
      <w:r>
        <w:t>може за изтъкне аргумента, че има най-малкото „легитимни очаквания“ за придобиване на ефективно право на собственост. За разлика от това надеждата за признаване на правото на собственост, което е било невъзможно да се упражнява ефективно, не може да се счита за притежание по смисъла на чл</w:t>
      </w:r>
      <w:r w:rsidR="00BE0260">
        <w:t>.</w:t>
      </w:r>
      <w:r>
        <w:t xml:space="preserve"> 1 </w:t>
      </w:r>
      <w:r w:rsidR="00BE0260">
        <w:t>от</w:t>
      </w:r>
      <w:r>
        <w:t xml:space="preserve"> Протокол № 1 (вж</w:t>
      </w:r>
      <w:r w:rsidR="00BE0260">
        <w:t>.</w:t>
      </w:r>
      <w:r>
        <w:t xml:space="preserve">, наред с други </w:t>
      </w:r>
      <w:r w:rsidR="00BE0260">
        <w:t>източници</w:t>
      </w:r>
      <w:r>
        <w:t xml:space="preserve">, </w:t>
      </w:r>
      <w:proofErr w:type="spellStart"/>
      <w:r>
        <w:rPr>
          <w:i/>
        </w:rPr>
        <w:t>Marckx</w:t>
      </w:r>
      <w:proofErr w:type="spellEnd"/>
      <w:r>
        <w:rPr>
          <w:i/>
        </w:rPr>
        <w:t xml:space="preserve"> </w:t>
      </w:r>
      <w:r w:rsidR="00BE0260">
        <w:rPr>
          <w:i/>
        </w:rPr>
        <w:t>срещу Белгия</w:t>
      </w:r>
      <w:r>
        <w:t xml:space="preserve">, решение от 13 юни 1979 г., серия A № 31, стр. 23, § 50; </w:t>
      </w:r>
      <w:proofErr w:type="spellStart"/>
      <w:r>
        <w:rPr>
          <w:i/>
        </w:rPr>
        <w:t>Prince</w:t>
      </w:r>
      <w:proofErr w:type="spellEnd"/>
      <w:r>
        <w:rPr>
          <w:i/>
        </w:rPr>
        <w:t xml:space="preserve"> </w:t>
      </w:r>
      <w:proofErr w:type="spellStart"/>
      <w:r>
        <w:rPr>
          <w:i/>
        </w:rPr>
        <w:t>Hans-Adam</w:t>
      </w:r>
      <w:proofErr w:type="spellEnd"/>
      <w:r>
        <w:rPr>
          <w:i/>
        </w:rPr>
        <w:t xml:space="preserve"> II </w:t>
      </w:r>
      <w:proofErr w:type="spellStart"/>
      <w:r>
        <w:rPr>
          <w:i/>
        </w:rPr>
        <w:t>of</w:t>
      </w:r>
      <w:proofErr w:type="spellEnd"/>
      <w:r>
        <w:rPr>
          <w:i/>
        </w:rPr>
        <w:t xml:space="preserve"> </w:t>
      </w:r>
      <w:proofErr w:type="spellStart"/>
      <w:r>
        <w:rPr>
          <w:i/>
        </w:rPr>
        <w:t>Liechtenstein</w:t>
      </w:r>
      <w:proofErr w:type="spellEnd"/>
      <w:r>
        <w:rPr>
          <w:i/>
        </w:rPr>
        <w:t xml:space="preserve"> </w:t>
      </w:r>
      <w:r w:rsidR="00BE0260">
        <w:rPr>
          <w:i/>
        </w:rPr>
        <w:t>срещу Германия</w:t>
      </w:r>
      <w:r>
        <w:t xml:space="preserve"> [</w:t>
      </w:r>
      <w:r w:rsidR="00BE0260">
        <w:t>ГО</w:t>
      </w:r>
      <w:r>
        <w:t xml:space="preserve">], № 42527/98, § 83, ЕСПЧ 2001-VIII; и </w:t>
      </w:r>
      <w:proofErr w:type="spellStart"/>
      <w:r>
        <w:rPr>
          <w:i/>
        </w:rPr>
        <w:t>Kopecký</w:t>
      </w:r>
      <w:proofErr w:type="spellEnd"/>
      <w:r>
        <w:rPr>
          <w:i/>
        </w:rPr>
        <w:t xml:space="preserve"> </w:t>
      </w:r>
      <w:r w:rsidR="00BE0260">
        <w:rPr>
          <w:i/>
        </w:rPr>
        <w:t>срещу Словакия</w:t>
      </w:r>
      <w:r>
        <w:t xml:space="preserve"> [</w:t>
      </w:r>
      <w:r w:rsidR="00BE0260">
        <w:t>ГО</w:t>
      </w:r>
      <w:r>
        <w:t>], № 44912/98, § 35, ЕСПЧ 2004-IX).</w:t>
      </w:r>
    </w:p>
    <w:p w:rsidR="00524D6F" w:rsidRPr="00016684" w:rsidRDefault="00524D6F" w:rsidP="00524D6F">
      <w:pPr>
        <w:pStyle w:val="OpiPara"/>
      </w:pPr>
      <w:r>
        <w:t>Не е оспорвано пред Съда, че жилището на жалбоподателя е издигнато в нарушение на градоустройствените планове на Турция и не е отговаряло на съответните технически стандарти, или че заеманият терен е принадлежал на Хазната (вж</w:t>
      </w:r>
      <w:r w:rsidR="00BE0260">
        <w:t>.</w:t>
      </w:r>
      <w:r>
        <w:t xml:space="preserve"> параграф 125 от решението). Жалбоподателят не е могъл да докаже, че притежава право на собственост върху въпросния терен или че</w:t>
      </w:r>
      <w:r w:rsidR="00BE0260">
        <w:t xml:space="preserve"> е</w:t>
      </w:r>
      <w:r>
        <w:t xml:space="preserve"> може</w:t>
      </w:r>
      <w:r w:rsidR="00BE0260">
        <w:t>л</w:t>
      </w:r>
      <w:r>
        <w:t xml:space="preserve"> законно да подаде молба за прехвърляне на собствеността по </w:t>
      </w:r>
      <w:r w:rsidR="00BE0260">
        <w:t>раздел</w:t>
      </w:r>
      <w:r>
        <w:t xml:space="preserve"> 21 от Закон № 775 от 20 юли 1966 г. или последващите му изменения.</w:t>
      </w:r>
    </w:p>
    <w:p w:rsidR="00D8632D" w:rsidRDefault="00524D6F" w:rsidP="00524D6F">
      <w:pPr>
        <w:pStyle w:val="OpiPara"/>
      </w:pPr>
      <w:r>
        <w:t xml:space="preserve">Мнозинството приема, че „Съдът не може да направи заключение, че надеждата на жалбоподателя да притежава въпросната земя, която един ден да му бъде прехвърлена, представлява един вид иск, за който е достатъчно установено, че е </w:t>
      </w:r>
      <w:r w:rsidR="00BE0260">
        <w:t xml:space="preserve">защитим </w:t>
      </w:r>
      <w:r>
        <w:t>в съдилищата, а оттам и обособено „притежание“ по смисъла на съдебната практика на Съда (вж</w:t>
      </w:r>
      <w:r w:rsidR="00BE0260">
        <w:t>.</w:t>
      </w:r>
      <w:r>
        <w:t xml:space="preserve"> параграф 126 от решението</w:t>
      </w:r>
      <w:r w:rsidR="00BE0260">
        <w:t>,</w:t>
      </w:r>
      <w:r>
        <w:t xml:space="preserve"> </w:t>
      </w:r>
      <w:r w:rsidRPr="00833B88">
        <w:t>в края</w:t>
      </w:r>
      <w:r>
        <w:t xml:space="preserve">). Въпреки това, вместо </w:t>
      </w:r>
      <w:r w:rsidR="003419E7">
        <w:t xml:space="preserve">да </w:t>
      </w:r>
      <w:r>
        <w:t>достигне</w:t>
      </w:r>
      <w:r w:rsidR="003419E7">
        <w:t xml:space="preserve"> </w:t>
      </w:r>
      <w:r>
        <w:t xml:space="preserve">до правилни заключения </w:t>
      </w:r>
      <w:r w:rsidR="003419E7">
        <w:t>въз основа на</w:t>
      </w:r>
      <w:r>
        <w:t xml:space="preserve"> тези съображения и</w:t>
      </w:r>
      <w:r w:rsidR="003419E7">
        <w:t xml:space="preserve"> да</w:t>
      </w:r>
      <w:r>
        <w:t xml:space="preserve"> констат</w:t>
      </w:r>
      <w:r w:rsidR="003419E7">
        <w:t>ира</w:t>
      </w:r>
      <w:r>
        <w:t>, че чл</w:t>
      </w:r>
      <w:r w:rsidR="00BE0260">
        <w:t>.</w:t>
      </w:r>
      <w:r>
        <w:t xml:space="preserve"> 1 </w:t>
      </w:r>
      <w:r w:rsidR="00BE0260">
        <w:t>от</w:t>
      </w:r>
      <w:r>
        <w:t xml:space="preserve"> Протокол № 1 е непри</w:t>
      </w:r>
      <w:r w:rsidR="003419E7">
        <w:t>ложим</w:t>
      </w:r>
      <w:r>
        <w:t>, мнозинството прие</w:t>
      </w:r>
      <w:r w:rsidR="003419E7">
        <w:t>ма</w:t>
      </w:r>
      <w:r>
        <w:t xml:space="preserve"> нов критерий за допустимост за този член: търпимостта </w:t>
      </w:r>
      <w:r w:rsidR="002044F1">
        <w:t xml:space="preserve">от страна </w:t>
      </w:r>
      <w:r>
        <w:t xml:space="preserve">на съответните органи към действията на жалбоподателя в продължение на пет години, водеща до заключението, че тези власти </w:t>
      </w:r>
      <w:r w:rsidRPr="00833B88">
        <w:t>в действителност</w:t>
      </w:r>
      <w:r>
        <w:t xml:space="preserve"> са приели, че той и близките му роднини са имали имуществен интерес към жилището и движимите вещи (вж</w:t>
      </w:r>
      <w:r w:rsidR="002044F1">
        <w:t>.</w:t>
      </w:r>
      <w:r>
        <w:t xml:space="preserve"> параграф 127), </w:t>
      </w:r>
      <w:r w:rsidR="002044F1">
        <w:t>в</w:t>
      </w:r>
      <w:r>
        <w:t xml:space="preserve"> съществен</w:t>
      </w:r>
      <w:r w:rsidR="002044F1">
        <w:t xml:space="preserve"> </w:t>
      </w:r>
      <w:r w:rsidR="002044F1">
        <w:lastRenderedPageBreak/>
        <w:t>размер</w:t>
      </w:r>
      <w:r>
        <w:t xml:space="preserve"> и достатъчно при</w:t>
      </w:r>
      <w:r w:rsidR="00B012D8">
        <w:t>знат</w:t>
      </w:r>
      <w:r>
        <w:t>, за да съставлява съществен интерес, а оттам и „притежание“ по смисъла на правилото, изложено в първото изречение на чл</w:t>
      </w:r>
      <w:r w:rsidR="00B012D8">
        <w:t>.</w:t>
      </w:r>
      <w:r>
        <w:t xml:space="preserve"> 1 </w:t>
      </w:r>
      <w:r w:rsidR="00B012D8">
        <w:t>от</w:t>
      </w:r>
      <w:r>
        <w:t xml:space="preserve"> Протокол № 1 (вж</w:t>
      </w:r>
      <w:r w:rsidR="00B012D8">
        <w:t>.</w:t>
      </w:r>
      <w:r>
        <w:t xml:space="preserve"> параграф 129).</w:t>
      </w:r>
    </w:p>
    <w:p w:rsidR="006A1981" w:rsidRDefault="00524D6F" w:rsidP="00524D6F">
      <w:pPr>
        <w:pStyle w:val="OpiPara"/>
      </w:pPr>
      <w:r>
        <w:t>Не мога да се съглася с това съображение.</w:t>
      </w:r>
    </w:p>
    <w:p w:rsidR="00524D6F" w:rsidRPr="00F7634E" w:rsidRDefault="00524D6F" w:rsidP="00524D6F">
      <w:pPr>
        <w:pStyle w:val="OpiPara"/>
      </w:pPr>
      <w:r>
        <w:t xml:space="preserve">По мое мнение нито </w:t>
      </w:r>
      <w:r w:rsidR="00B012D8">
        <w:t xml:space="preserve">мълчаливата </w:t>
      </w:r>
      <w:r>
        <w:t>търпимост, нито други хуманитарни съображения са достатъчни, за да узаконят действията на жалбоподателя по чл</w:t>
      </w:r>
      <w:r w:rsidR="00B012D8">
        <w:t>.</w:t>
      </w:r>
      <w:r>
        <w:t xml:space="preserve"> 1 </w:t>
      </w:r>
      <w:r w:rsidR="00B012D8">
        <w:t>от</w:t>
      </w:r>
      <w:r>
        <w:t xml:space="preserve"> Протокол № 1. Нито пък </w:t>
      </w:r>
      <w:r w:rsidR="00B012D8">
        <w:t xml:space="preserve">би следвало </w:t>
      </w:r>
      <w:r>
        <w:t>тези фактори да се използват от Съда за обосновка на заключението, което е равносилно на извеждането на жалбоподател</w:t>
      </w:r>
      <w:r w:rsidR="00B012D8">
        <w:t>ите</w:t>
      </w:r>
      <w:r>
        <w:t xml:space="preserve"> (в случая г-н </w:t>
      </w:r>
      <w:proofErr w:type="spellStart"/>
      <w:r w:rsidR="00B012D8" w:rsidRPr="00B012D8">
        <w:rPr>
          <w:lang w:val="en-GB"/>
        </w:rPr>
        <w:t>Öneryıldız</w:t>
      </w:r>
      <w:proofErr w:type="spellEnd"/>
      <w:r>
        <w:t>, но също така и всички бъдещи жалбоподатели, които са издигнали незаконни сгради) от обхвата на градоустройствените и строителните закони и, до известна степен, оправдание за разпространението на тези незаконни жилища.</w:t>
      </w:r>
    </w:p>
    <w:p w:rsidR="00524D6F" w:rsidRPr="00016684" w:rsidRDefault="00524D6F" w:rsidP="00524D6F">
      <w:pPr>
        <w:pStyle w:val="OpiPara"/>
      </w:pPr>
      <w:r>
        <w:t>Считам, че заключението на мнозинството, че чл</w:t>
      </w:r>
      <w:r w:rsidR="00B012D8">
        <w:t xml:space="preserve">. </w:t>
      </w:r>
      <w:r>
        <w:t xml:space="preserve">1 </w:t>
      </w:r>
      <w:r w:rsidR="00B012D8">
        <w:t>от</w:t>
      </w:r>
      <w:r>
        <w:t xml:space="preserve"> </w:t>
      </w:r>
      <w:r w:rsidR="00B012D8">
        <w:t>П</w:t>
      </w:r>
      <w:r>
        <w:t xml:space="preserve">ротокол № 1 е приложим, </w:t>
      </w:r>
      <w:r w:rsidR="00B012D8">
        <w:t xml:space="preserve">би могло да </w:t>
      </w:r>
      <w:r>
        <w:t xml:space="preserve">има парадоксални ефекти. Мисля например за прекрасните вили и хотели, построени незаконно на брега или на друго място, които, съгласно националното законодателство, не могат да бъдат придобити по давност; ще бъде ли достатъчен само факта, че съответните органи са проявили търпимост към подобни сгради за период от пет години да </w:t>
      </w:r>
      <w:r w:rsidR="00B012D8">
        <w:t>се твърди, че</w:t>
      </w:r>
      <w:r>
        <w:t xml:space="preserve"> тези, които са ги построили в явно нарушение на закона</w:t>
      </w:r>
      <w:r w:rsidR="00B012D8">
        <w:t>,</w:t>
      </w:r>
      <w:r>
        <w:t xml:space="preserve"> </w:t>
      </w:r>
      <w:r w:rsidR="00B012D8">
        <w:t>предявяват защитим</w:t>
      </w:r>
      <w:r>
        <w:t xml:space="preserve"> иск по чл</w:t>
      </w:r>
      <w:r w:rsidR="00B012D8">
        <w:t>.</w:t>
      </w:r>
      <w:r>
        <w:t xml:space="preserve"> 1 </w:t>
      </w:r>
      <w:r w:rsidR="00B012D8">
        <w:t>от</w:t>
      </w:r>
      <w:r>
        <w:t xml:space="preserve"> Протокол № 1? Подобно заключение може да затрудни много повече властите (на национално или местно ниво) при предприемането на действия за гарантиране на съответствието с градоустройствените закони и нормативни</w:t>
      </w:r>
      <w:r w:rsidR="00B012D8">
        <w:t>те</w:t>
      </w:r>
      <w:r>
        <w:t xml:space="preserve"> актове, когато например са наследили незаконно положение в резултат на период на управление от по-недобросъвестни органи. </w:t>
      </w:r>
    </w:p>
    <w:p w:rsidR="00524D6F" w:rsidRPr="00016684" w:rsidRDefault="00524D6F" w:rsidP="00524D6F">
      <w:pPr>
        <w:pStyle w:val="OpiPara"/>
      </w:pPr>
      <w:r>
        <w:t>В заключение</w:t>
      </w:r>
      <w:r w:rsidR="00B012D8">
        <w:t xml:space="preserve"> ми е</w:t>
      </w:r>
      <w:r>
        <w:t xml:space="preserve"> трудно да приема, че когато </w:t>
      </w:r>
      <w:r w:rsidR="00B012D8">
        <w:t xml:space="preserve">има построени </w:t>
      </w:r>
      <w:r>
        <w:t xml:space="preserve">сгради в нарушение на градоустройствените </w:t>
      </w:r>
      <w:r w:rsidR="00B012D8">
        <w:t>разпоредби</w:t>
      </w:r>
      <w:r>
        <w:t xml:space="preserve">, държавата оттук нататък има позитивното задължение да защитава право на собственост, което никога не е било признато в националното законодателство и не следва да бъде, тъй като в много случаи то може да се упражнява </w:t>
      </w:r>
      <w:r w:rsidR="00315CF1">
        <w:t>в ущърб на</w:t>
      </w:r>
      <w:r>
        <w:t xml:space="preserve"> правата на други, както и общия интерес.</w:t>
      </w:r>
    </w:p>
    <w:p w:rsidR="00524D6F" w:rsidRPr="00016684" w:rsidRDefault="00524D6F" w:rsidP="00524D6F">
      <w:pPr>
        <w:pStyle w:val="OpiPara"/>
      </w:pPr>
      <w:r>
        <w:t>Оттук извеждам заключението, че чл</w:t>
      </w:r>
      <w:r w:rsidR="00315CF1">
        <w:t>.</w:t>
      </w:r>
      <w:r>
        <w:t xml:space="preserve"> 1 </w:t>
      </w:r>
      <w:r w:rsidR="00315CF1">
        <w:t>от</w:t>
      </w:r>
      <w:r>
        <w:t xml:space="preserve"> Протокол № 1 не е приложим и следователно не е нарушен.</w:t>
      </w:r>
    </w:p>
    <w:p w:rsidR="00524D6F" w:rsidRPr="00016684" w:rsidRDefault="00524D6F" w:rsidP="00524D6F">
      <w:pPr>
        <w:pStyle w:val="OpiPara"/>
      </w:pPr>
      <w:r>
        <w:t>Следва да допълня, че дори да съм стигнала до заключението, че чл</w:t>
      </w:r>
      <w:r w:rsidR="00315CF1">
        <w:t>.</w:t>
      </w:r>
      <w:r>
        <w:t xml:space="preserve"> 1 </w:t>
      </w:r>
      <w:r w:rsidR="00315CF1">
        <w:t>от</w:t>
      </w:r>
      <w:r>
        <w:t xml:space="preserve"> Протокол № 1 е приложим — което, повтарям, не съм направила — бих счела, за разлика от мнозинството (вж</w:t>
      </w:r>
      <w:r w:rsidR="00315CF1">
        <w:t>.</w:t>
      </w:r>
      <w:r>
        <w:t xml:space="preserve"> параграф 137 от решението), че жалбоподателят вече не може да твърди, че е </w:t>
      </w:r>
      <w:r w:rsidR="00315CF1">
        <w:t>жертва</w:t>
      </w:r>
      <w:r>
        <w:t>. От моя гледна точка предоставянето на субсидирано жилище при много благоприятни условия следва да се разглежда като признаване по същество на нарушение на чл</w:t>
      </w:r>
      <w:r w:rsidR="00315CF1">
        <w:t>.</w:t>
      </w:r>
      <w:r>
        <w:t xml:space="preserve"> 1 от Протокол № 1, тъй като подобна мярка е вероятно най-добрата форма за обезщетяване по настоящото дело.</w:t>
      </w:r>
    </w:p>
    <w:p w:rsidR="00524D6F" w:rsidRPr="00016684" w:rsidRDefault="00524D6F" w:rsidP="00524D6F">
      <w:pPr>
        <w:pStyle w:val="OpiPara"/>
      </w:pPr>
      <w:r>
        <w:lastRenderedPageBreak/>
        <w:t xml:space="preserve">3.  Предвид обстоятелствата по делото и съображенията, които са довели Съда до констатация </w:t>
      </w:r>
      <w:r w:rsidR="00315CF1">
        <w:t>з</w:t>
      </w:r>
      <w:r>
        <w:t>а нарушение на чл</w:t>
      </w:r>
      <w:r w:rsidR="00315CF1">
        <w:t>.</w:t>
      </w:r>
      <w:r>
        <w:t xml:space="preserve"> 2 </w:t>
      </w:r>
      <w:r w:rsidR="00315CF1">
        <w:t>от</w:t>
      </w:r>
      <w:r>
        <w:t xml:space="preserve"> Конвенцията в процесуалния му аспект, считам, че не е необходимо делото да се разглежда по чл</w:t>
      </w:r>
      <w:r w:rsidR="00315CF1">
        <w:t>.</w:t>
      </w:r>
      <w:r>
        <w:t xml:space="preserve"> 13 по отношение на жалбата по съществената част на чл</w:t>
      </w:r>
      <w:r w:rsidR="00315CF1">
        <w:t>.</w:t>
      </w:r>
      <w:r>
        <w:t xml:space="preserve"> 2.</w:t>
      </w:r>
    </w:p>
    <w:p w:rsidR="00BF4B14" w:rsidRPr="00BF4B14" w:rsidRDefault="00524D6F" w:rsidP="00DA7CD9">
      <w:pPr>
        <w:pStyle w:val="OpiPara"/>
      </w:pPr>
      <w:r>
        <w:t>4.  Предвид заключенията ми по чл</w:t>
      </w:r>
      <w:r w:rsidR="00315CF1">
        <w:t>.</w:t>
      </w:r>
      <w:r>
        <w:t xml:space="preserve"> 1 </w:t>
      </w:r>
      <w:r w:rsidR="00315CF1">
        <w:t>от</w:t>
      </w:r>
      <w:r>
        <w:t xml:space="preserve"> Протокол № 1, считам, че не е налице нарушение на чл</w:t>
      </w:r>
      <w:r w:rsidR="00315CF1">
        <w:t>.</w:t>
      </w:r>
      <w:r>
        <w:t xml:space="preserve"> 13 във връзка с жалбата по чл</w:t>
      </w:r>
      <w:r w:rsidR="00315CF1">
        <w:t>.</w:t>
      </w:r>
      <w:r>
        <w:t xml:space="preserve"> 1 </w:t>
      </w:r>
      <w:r w:rsidR="00315CF1">
        <w:t>от</w:t>
      </w:r>
      <w:r>
        <w:t xml:space="preserve"> Протокол № 1.</w:t>
      </w:r>
    </w:p>
    <w:sectPr w:rsidR="00BF4B14" w:rsidRPr="00BF4B14" w:rsidSect="00C10697">
      <w:headerReference w:type="even" r:id="rId23"/>
      <w:headerReference w:type="default" r:id="rId24"/>
      <w:headerReference w:type="first" r:id="rId25"/>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33" w:rsidRDefault="008E7633">
      <w:r>
        <w:separator/>
      </w:r>
    </w:p>
  </w:endnote>
  <w:endnote w:type="continuationSeparator" w:id="0">
    <w:p w:rsidR="008E7633" w:rsidRDefault="008E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E8" w:rsidRDefault="00A67E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E8" w:rsidRDefault="00A67E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E8" w:rsidRDefault="00A67EE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33" w:rsidRDefault="008E7633">
      <w:r>
        <w:separator/>
      </w:r>
    </w:p>
  </w:footnote>
  <w:footnote w:type="continuationSeparator" w:id="0">
    <w:p w:rsidR="008E7633" w:rsidRDefault="008E76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pPr>
      <w:pStyle w:val="Header"/>
      <w:ind w:left="-567"/>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pPr>
      <w:pStyle w:val="JuHeader"/>
    </w:pPr>
    <w:r>
      <w:rPr>
        <w:rStyle w:val="PageNumber"/>
      </w:rPr>
      <w:fldChar w:fldCharType="begin"/>
    </w:r>
    <w:r>
      <w:rPr>
        <w:rStyle w:val="PageNumber"/>
      </w:rPr>
      <w:instrText xml:space="preserve"> PAGE </w:instrText>
    </w:r>
    <w:r>
      <w:rPr>
        <w:rStyle w:val="PageNumber"/>
      </w:rPr>
      <w:fldChar w:fldCharType="separate"/>
    </w:r>
    <w:r w:rsidR="00A67EE8">
      <w:rPr>
        <w:rStyle w:val="PageNumber"/>
        <w:noProof/>
      </w:rPr>
      <w:t>74</w:t>
    </w:r>
    <w:r>
      <w:rPr>
        <w:rStyle w:val="PageNumber"/>
      </w:rPr>
      <w:fldChar w:fldCharType="end"/>
    </w:r>
    <w:r>
      <w:tab/>
      <w:t>РЕШЕНИЕ ЙОНЕРЙЪЛДЪЗ СРЕЩУ ТУРЦИЯ — ЧАСТИЧНО ОСОБЕНО МНЕНИЕ</w:t>
    </w:r>
  </w:p>
  <w:p w:rsidR="000F23A3" w:rsidRDefault="000F23A3">
    <w:pPr>
      <w:pStyle w:val="JuHeader"/>
    </w:pPr>
    <w:r>
      <w:tab/>
      <w:t>НА СЪДИЯ МУЛАРОНИ</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150E8" w:rsidRDefault="000F23A3" w:rsidP="00096950">
    <w:pPr>
      <w:pStyle w:val="Header"/>
      <w:framePr w:wrap="around" w:vAnchor="text" w:hAnchor="margin" w:xAlign="outside" w:y="1"/>
      <w:rPr>
        <w:rStyle w:val="PageNumber"/>
        <w:szCs w:val="18"/>
      </w:rPr>
    </w:pPr>
    <w:r w:rsidRPr="005150E8">
      <w:rPr>
        <w:rStyle w:val="PageNumber"/>
        <w:szCs w:val="18"/>
      </w:rPr>
      <w:fldChar w:fldCharType="begin"/>
    </w:r>
    <w:r w:rsidRPr="005150E8">
      <w:rPr>
        <w:rStyle w:val="PageNumber"/>
        <w:szCs w:val="18"/>
      </w:rPr>
      <w:instrText xml:space="preserve">PAGE  </w:instrText>
    </w:r>
    <w:r w:rsidRPr="005150E8">
      <w:rPr>
        <w:rStyle w:val="PageNumber"/>
        <w:szCs w:val="18"/>
      </w:rPr>
      <w:fldChar w:fldCharType="separate"/>
    </w:r>
    <w:r w:rsidR="00A67EE8">
      <w:rPr>
        <w:rStyle w:val="PageNumber"/>
        <w:noProof/>
        <w:szCs w:val="18"/>
      </w:rPr>
      <w:t>75</w:t>
    </w:r>
    <w:r w:rsidRPr="005150E8">
      <w:rPr>
        <w:rStyle w:val="PageNumber"/>
        <w:szCs w:val="18"/>
      </w:rPr>
      <w:fldChar w:fldCharType="end"/>
    </w:r>
  </w:p>
  <w:p w:rsidR="000F23A3" w:rsidRDefault="000F23A3" w:rsidP="00096950">
    <w:pPr>
      <w:tabs>
        <w:tab w:val="center" w:pos="3686"/>
        <w:tab w:val="right" w:pos="7371"/>
      </w:tabs>
      <w:ind w:right="360" w:firstLine="360"/>
      <w:rPr>
        <w:sz w:val="18"/>
        <w:szCs w:val="18"/>
      </w:rPr>
    </w:pPr>
    <w:r>
      <w:tab/>
    </w:r>
    <w:r>
      <w:rPr>
        <w:sz w:val="18"/>
      </w:rPr>
      <w:t>РЕШЕНИЕ ЙОНЕРЙЪЛДЪЗ СРЕЩУ ТУРЦИЯ — ЧАСТИЧНО ОСОБЕНО МНЕНИЕ</w:t>
    </w:r>
  </w:p>
  <w:p w:rsidR="000F23A3" w:rsidRPr="00B547F2" w:rsidRDefault="000F23A3" w:rsidP="00096950">
    <w:pPr>
      <w:tabs>
        <w:tab w:val="center" w:pos="3686"/>
        <w:tab w:val="right" w:pos="7371"/>
      </w:tabs>
      <w:ind w:right="360" w:firstLine="360"/>
      <w:rPr>
        <w:sz w:val="18"/>
        <w:szCs w:val="18"/>
      </w:rPr>
    </w:pPr>
    <w:r>
      <w:tab/>
    </w:r>
    <w:r>
      <w:rPr>
        <w:sz w:val="18"/>
      </w:rPr>
      <w:t>НА СЪДИЯ МУЛАРОНИ</w:t>
    </w:r>
    <w:r>
      <w:rPr>
        <w:sz w:val="18"/>
        <w:szCs w:val="18"/>
      </w:rPr>
      <w:br/>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941AD" w:rsidRDefault="000F23A3" w:rsidP="00096950">
    <w:pPr>
      <w:tabs>
        <w:tab w:val="center" w:pos="3686"/>
        <w:tab w:val="right" w:pos="7371"/>
      </w:tabs>
      <w:rPr>
        <w:sz w:val="18"/>
        <w:szCs w:val="18"/>
      </w:rPr>
    </w:pPr>
    <w:r>
      <w:tab/>
      <w:t xml:space="preserve">РЕШЕНИЕ ЙОНЕРЙЪЛДЪЗ СРЕЩУ ТУРЦИЯ — ЧАСТИЧНО </w:t>
    </w:r>
    <w:r>
      <w:tab/>
    </w:r>
    <w:r w:rsidRPr="005941AD">
      <w:rPr>
        <w:rStyle w:val="PageNumber"/>
        <w:szCs w:val="18"/>
      </w:rPr>
      <w:fldChar w:fldCharType="begin"/>
    </w:r>
    <w:r w:rsidRPr="005941AD">
      <w:rPr>
        <w:rStyle w:val="PageNumber"/>
        <w:szCs w:val="18"/>
      </w:rPr>
      <w:instrText xml:space="preserve"> PAGE </w:instrText>
    </w:r>
    <w:r w:rsidRPr="005941AD">
      <w:rPr>
        <w:rStyle w:val="PageNumber"/>
        <w:szCs w:val="18"/>
      </w:rPr>
      <w:fldChar w:fldCharType="separate"/>
    </w:r>
    <w:r>
      <w:rPr>
        <w:rStyle w:val="PageNumber"/>
        <w:noProof/>
        <w:szCs w:val="18"/>
      </w:rPr>
      <w:t>69</w:t>
    </w:r>
    <w:r w:rsidRPr="005941AD">
      <w:rPr>
        <w:rStyle w:val="PageNumber"/>
        <w:szCs w:val="18"/>
      </w:rPr>
      <w:fldChar w:fldCharType="end"/>
    </w:r>
    <w:r>
      <w:t>ОСОБЕНО МНЕНИЕ НА СЪДИЯ МУЛАРОНИ</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0F23A3" w:rsidRDefault="000F23A3">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E8" w:rsidRDefault="00A67EE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150E8" w:rsidRDefault="000F23A3" w:rsidP="00096950">
    <w:pPr>
      <w:pStyle w:val="Header"/>
      <w:framePr w:wrap="around" w:vAnchor="text" w:hAnchor="margin" w:xAlign="outside" w:y="1"/>
      <w:rPr>
        <w:rStyle w:val="PageNumber"/>
        <w:szCs w:val="18"/>
      </w:rPr>
    </w:pPr>
    <w:r w:rsidRPr="005150E8">
      <w:rPr>
        <w:rStyle w:val="PageNumber"/>
        <w:szCs w:val="18"/>
      </w:rPr>
      <w:fldChar w:fldCharType="begin"/>
    </w:r>
    <w:r w:rsidRPr="005150E8">
      <w:rPr>
        <w:rStyle w:val="PageNumber"/>
        <w:szCs w:val="18"/>
      </w:rPr>
      <w:instrText xml:space="preserve">PAGE  </w:instrText>
    </w:r>
    <w:r w:rsidRPr="005150E8">
      <w:rPr>
        <w:rStyle w:val="PageNumber"/>
        <w:szCs w:val="18"/>
      </w:rPr>
      <w:fldChar w:fldCharType="separate"/>
    </w:r>
    <w:r w:rsidR="00A67EE8">
      <w:rPr>
        <w:rStyle w:val="PageNumber"/>
        <w:noProof/>
        <w:szCs w:val="18"/>
      </w:rPr>
      <w:t>18</w:t>
    </w:r>
    <w:r w:rsidRPr="005150E8">
      <w:rPr>
        <w:rStyle w:val="PageNumber"/>
        <w:szCs w:val="18"/>
      </w:rPr>
      <w:fldChar w:fldCharType="end"/>
    </w:r>
  </w:p>
  <w:p w:rsidR="000F23A3" w:rsidRPr="005941AD" w:rsidRDefault="000F23A3" w:rsidP="00096950">
    <w:pPr>
      <w:tabs>
        <w:tab w:val="center" w:pos="3686"/>
        <w:tab w:val="right" w:pos="7371"/>
      </w:tabs>
      <w:ind w:right="360" w:firstLine="360"/>
      <w:rPr>
        <w:sz w:val="18"/>
        <w:szCs w:val="18"/>
      </w:rPr>
    </w:pPr>
    <w:r>
      <w:tab/>
    </w:r>
    <w:r>
      <w:rPr>
        <w:sz w:val="18"/>
      </w:rPr>
      <w:t xml:space="preserve">РЕШЕНИЕ </w:t>
    </w:r>
    <w:r w:rsidRPr="005941AD">
      <w:rPr>
        <w:sz w:val="18"/>
        <w:szCs w:val="18"/>
        <w:lang w:val="fr-FR"/>
      </w:rPr>
      <w:t>Ö</w:t>
    </w:r>
    <w:r w:rsidRPr="005941AD">
      <w:rPr>
        <w:sz w:val="18"/>
        <w:szCs w:val="18"/>
      </w:rPr>
      <w:t>NERYILDIZ</w:t>
    </w:r>
    <w:r>
      <w:rPr>
        <w:sz w:val="18"/>
      </w:rPr>
      <w:t xml:space="preserve"> срещу ТУРЦИЯ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150E8" w:rsidRDefault="000F23A3" w:rsidP="00096950">
    <w:pPr>
      <w:pStyle w:val="Header"/>
      <w:framePr w:wrap="around" w:vAnchor="text" w:hAnchor="margin" w:xAlign="outside" w:y="1"/>
      <w:rPr>
        <w:rStyle w:val="PageNumber"/>
        <w:szCs w:val="18"/>
      </w:rPr>
    </w:pPr>
    <w:r w:rsidRPr="005150E8">
      <w:rPr>
        <w:rStyle w:val="PageNumber"/>
        <w:szCs w:val="18"/>
      </w:rPr>
      <w:fldChar w:fldCharType="begin"/>
    </w:r>
    <w:r w:rsidRPr="005150E8">
      <w:rPr>
        <w:rStyle w:val="PageNumber"/>
        <w:szCs w:val="18"/>
      </w:rPr>
      <w:instrText xml:space="preserve">PAGE  </w:instrText>
    </w:r>
    <w:r w:rsidRPr="005150E8">
      <w:rPr>
        <w:rStyle w:val="PageNumber"/>
        <w:szCs w:val="18"/>
      </w:rPr>
      <w:fldChar w:fldCharType="separate"/>
    </w:r>
    <w:r w:rsidR="00A67EE8">
      <w:rPr>
        <w:rStyle w:val="PageNumber"/>
        <w:noProof/>
        <w:szCs w:val="18"/>
      </w:rPr>
      <w:t>19</w:t>
    </w:r>
    <w:r w:rsidRPr="005150E8">
      <w:rPr>
        <w:rStyle w:val="PageNumber"/>
        <w:szCs w:val="18"/>
      </w:rPr>
      <w:fldChar w:fldCharType="end"/>
    </w:r>
  </w:p>
  <w:p w:rsidR="000F23A3" w:rsidRPr="00B547F2" w:rsidRDefault="000F23A3" w:rsidP="00096950">
    <w:pPr>
      <w:tabs>
        <w:tab w:val="center" w:pos="3686"/>
        <w:tab w:val="right" w:pos="7371"/>
      </w:tabs>
      <w:ind w:right="360" w:firstLine="360"/>
      <w:rPr>
        <w:sz w:val="18"/>
        <w:szCs w:val="18"/>
      </w:rPr>
    </w:pPr>
    <w:r>
      <w:tab/>
    </w:r>
    <w:r>
      <w:rPr>
        <w:sz w:val="18"/>
      </w:rPr>
      <w:t xml:space="preserve">РЕШЕНИЕ </w:t>
    </w:r>
    <w:r w:rsidRPr="00B547F2">
      <w:rPr>
        <w:sz w:val="18"/>
        <w:szCs w:val="18"/>
      </w:rPr>
      <w:t>ÖNERYILDIZ</w:t>
    </w:r>
    <w:r>
      <w:rPr>
        <w:sz w:val="18"/>
      </w:rPr>
      <w:t xml:space="preserve"> срещу ТУРЦИЯ</w:t>
    </w:r>
    <w:r>
      <w:rPr>
        <w:sz w:val="18"/>
        <w:szCs w:val="18"/>
      </w:rPr>
      <w:br/>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941AD" w:rsidRDefault="000F23A3" w:rsidP="00096950">
    <w:pPr>
      <w:tabs>
        <w:tab w:val="center" w:pos="3686"/>
        <w:tab w:val="right" w:pos="7371"/>
      </w:tabs>
      <w:rPr>
        <w:sz w:val="18"/>
        <w:szCs w:val="18"/>
      </w:rPr>
    </w:pPr>
    <w:r>
      <w:tab/>
      <w:t>РЕШЕНИЕ ЙОНЕРЙЪЛДЪЗ СРЕЩУ ТУРЦИЯ</w:t>
    </w:r>
    <w:r>
      <w:tab/>
    </w:r>
    <w:r w:rsidRPr="005941AD">
      <w:rPr>
        <w:rStyle w:val="PageNumber"/>
        <w:szCs w:val="18"/>
      </w:rPr>
      <w:fldChar w:fldCharType="begin"/>
    </w:r>
    <w:r w:rsidRPr="005941AD">
      <w:rPr>
        <w:rStyle w:val="PageNumber"/>
        <w:szCs w:val="18"/>
      </w:rPr>
      <w:instrText xml:space="preserve"> PAGE </w:instrText>
    </w:r>
    <w:r w:rsidRPr="005941AD">
      <w:rPr>
        <w:rStyle w:val="PageNumber"/>
        <w:szCs w:val="18"/>
      </w:rPr>
      <w:fldChar w:fldCharType="separate"/>
    </w:r>
    <w:r>
      <w:rPr>
        <w:rStyle w:val="PageNumber"/>
        <w:noProof/>
        <w:szCs w:val="18"/>
      </w:rPr>
      <w:t>61</w:t>
    </w:r>
    <w:r w:rsidRPr="005941AD">
      <w:rPr>
        <w:rStyle w:val="PageNumber"/>
        <w:szCs w:val="18"/>
      </w:rPr>
      <w:fldChar w:fldCharType="end"/>
    </w:r>
  </w:p>
  <w:p w:rsidR="000F23A3" w:rsidRDefault="000F23A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Default="000F23A3">
    <w:pPr>
      <w:pStyle w:val="JuHeader"/>
      <w:rPr>
        <w:szCs w:val="18"/>
      </w:rPr>
    </w:pPr>
    <w:r>
      <w:rPr>
        <w:rStyle w:val="PageNumber"/>
      </w:rPr>
      <w:fldChar w:fldCharType="begin"/>
    </w:r>
    <w:r>
      <w:rPr>
        <w:rStyle w:val="PageNumber"/>
      </w:rPr>
      <w:instrText xml:space="preserve"> PAGE </w:instrText>
    </w:r>
    <w:r>
      <w:rPr>
        <w:rStyle w:val="PageNumber"/>
      </w:rPr>
      <w:fldChar w:fldCharType="separate"/>
    </w:r>
    <w:r w:rsidR="00A67EE8">
      <w:rPr>
        <w:rStyle w:val="PageNumber"/>
        <w:noProof/>
      </w:rPr>
      <w:t>72</w:t>
    </w:r>
    <w:r>
      <w:rPr>
        <w:rStyle w:val="PageNumber"/>
      </w:rPr>
      <w:fldChar w:fldCharType="end"/>
    </w:r>
    <w:r>
      <w:tab/>
      <w:t>РЕШЕНИЕ ЙОНЕРЙЪЛДЪЗ СРЕЩУ ТУРЦИЯ — ЧАСТИЧНО ОСОБЕНО МНЕНИЕ</w:t>
    </w:r>
  </w:p>
  <w:p w:rsidR="000F23A3" w:rsidRPr="00B547F2" w:rsidRDefault="000F23A3" w:rsidP="00EC1FA2">
    <w:pPr>
      <w:tabs>
        <w:tab w:val="center" w:pos="3686"/>
        <w:tab w:val="right" w:pos="7371"/>
      </w:tabs>
      <w:ind w:right="360" w:firstLine="360"/>
      <w:jc w:val="center"/>
      <w:rPr>
        <w:sz w:val="18"/>
        <w:szCs w:val="18"/>
      </w:rPr>
    </w:pPr>
    <w:r>
      <w:rPr>
        <w:sz w:val="18"/>
      </w:rPr>
      <w:t>НА СЪДИЯ ТЮРМЕН</w:t>
    </w:r>
  </w:p>
  <w:p w:rsidR="000F23A3" w:rsidRDefault="000F23A3">
    <w:pPr>
      <w:pStyle w:val="Ju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150E8" w:rsidRDefault="000F23A3" w:rsidP="00096950">
    <w:pPr>
      <w:pStyle w:val="Header"/>
      <w:framePr w:wrap="around" w:vAnchor="text" w:hAnchor="margin" w:xAlign="outside" w:y="1"/>
      <w:rPr>
        <w:rStyle w:val="PageNumber"/>
        <w:szCs w:val="18"/>
      </w:rPr>
    </w:pPr>
    <w:r w:rsidRPr="005150E8">
      <w:rPr>
        <w:rStyle w:val="PageNumber"/>
        <w:szCs w:val="18"/>
      </w:rPr>
      <w:fldChar w:fldCharType="begin"/>
    </w:r>
    <w:r w:rsidRPr="005150E8">
      <w:rPr>
        <w:rStyle w:val="PageNumber"/>
        <w:szCs w:val="18"/>
      </w:rPr>
      <w:instrText xml:space="preserve">PAGE  </w:instrText>
    </w:r>
    <w:r w:rsidRPr="005150E8">
      <w:rPr>
        <w:rStyle w:val="PageNumber"/>
        <w:szCs w:val="18"/>
      </w:rPr>
      <w:fldChar w:fldCharType="separate"/>
    </w:r>
    <w:r w:rsidR="00A67EE8">
      <w:rPr>
        <w:rStyle w:val="PageNumber"/>
        <w:noProof/>
        <w:szCs w:val="18"/>
      </w:rPr>
      <w:t>71</w:t>
    </w:r>
    <w:r w:rsidRPr="005150E8">
      <w:rPr>
        <w:rStyle w:val="PageNumber"/>
        <w:szCs w:val="18"/>
      </w:rPr>
      <w:fldChar w:fldCharType="end"/>
    </w:r>
  </w:p>
  <w:p w:rsidR="000F23A3" w:rsidRPr="00B547F2" w:rsidRDefault="000F23A3" w:rsidP="006A1981">
    <w:pPr>
      <w:tabs>
        <w:tab w:val="center" w:pos="3686"/>
        <w:tab w:val="right" w:pos="7371"/>
      </w:tabs>
      <w:ind w:right="360" w:firstLine="360"/>
      <w:jc w:val="center"/>
      <w:rPr>
        <w:sz w:val="18"/>
        <w:szCs w:val="18"/>
      </w:rPr>
    </w:pPr>
    <w:r>
      <w:rPr>
        <w:sz w:val="18"/>
      </w:rPr>
      <w:t>РЕШЕНИЕ ЙОНЕРЙЪЛДЪЗ СРЕЩУ ТУРЦИЯ — ЧАСТИЧНО ОСОБЕНО МНЕНИЕ</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A3" w:rsidRPr="005941AD" w:rsidRDefault="000F23A3" w:rsidP="00096950">
    <w:pPr>
      <w:tabs>
        <w:tab w:val="center" w:pos="3686"/>
        <w:tab w:val="right" w:pos="7371"/>
      </w:tabs>
      <w:rPr>
        <w:sz w:val="18"/>
        <w:szCs w:val="18"/>
      </w:rPr>
    </w:pPr>
    <w:r>
      <w:tab/>
      <w:t>РЕШЕНИЕ ЙОНЕРЙЪЛДЪЗ СРЕЩУ ТУРЦИЯ — ЧАСТИЧНО ОСОБЕНО МНЕНИЕ</w:t>
    </w:r>
    <w:r>
      <w:tab/>
    </w:r>
    <w:r w:rsidRPr="005941AD">
      <w:rPr>
        <w:rStyle w:val="PageNumber"/>
        <w:szCs w:val="18"/>
      </w:rPr>
      <w:fldChar w:fldCharType="begin"/>
    </w:r>
    <w:r w:rsidRPr="005941AD">
      <w:rPr>
        <w:rStyle w:val="PageNumber"/>
        <w:szCs w:val="18"/>
      </w:rPr>
      <w:instrText xml:space="preserve"> PAGE </w:instrText>
    </w:r>
    <w:r w:rsidRPr="005941AD">
      <w:rPr>
        <w:rStyle w:val="PageNumber"/>
        <w:szCs w:val="18"/>
      </w:rPr>
      <w:fldChar w:fldCharType="separate"/>
    </w:r>
    <w:r>
      <w:rPr>
        <w:rStyle w:val="PageNumber"/>
        <w:noProof/>
        <w:szCs w:val="18"/>
      </w:rPr>
      <w:t>63</w:t>
    </w:r>
    <w:r w:rsidRPr="005941AD">
      <w:rPr>
        <w:rStyle w:val="PageNumber"/>
        <w:szCs w:val="18"/>
      </w:rPr>
      <w:fldChar w:fldCharType="end"/>
    </w:r>
  </w:p>
  <w:p w:rsidR="000F23A3" w:rsidRPr="006A1981" w:rsidRDefault="000F23A3" w:rsidP="006A1981">
    <w:pPr>
      <w:jc w:val="center"/>
      <w:rPr>
        <w:sz w:val="18"/>
        <w:szCs w:val="18"/>
      </w:rPr>
    </w:pPr>
    <w:r>
      <w:rPr>
        <w:sz w:val="18"/>
      </w:rPr>
      <w:t>НА СЪДИЯ ТЮРМЕН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14"/>
    <w:rsid w:val="0001553A"/>
    <w:rsid w:val="00016453"/>
    <w:rsid w:val="000164A3"/>
    <w:rsid w:val="0001730A"/>
    <w:rsid w:val="00026094"/>
    <w:rsid w:val="00034E61"/>
    <w:rsid w:val="00041A93"/>
    <w:rsid w:val="000469A9"/>
    <w:rsid w:val="00050355"/>
    <w:rsid w:val="00053993"/>
    <w:rsid w:val="0006622C"/>
    <w:rsid w:val="00070471"/>
    <w:rsid w:val="00074213"/>
    <w:rsid w:val="00075247"/>
    <w:rsid w:val="0008171C"/>
    <w:rsid w:val="000860C0"/>
    <w:rsid w:val="00096950"/>
    <w:rsid w:val="000A1332"/>
    <w:rsid w:val="000B1C6C"/>
    <w:rsid w:val="000B345C"/>
    <w:rsid w:val="000B4093"/>
    <w:rsid w:val="000C1936"/>
    <w:rsid w:val="000C5BB4"/>
    <w:rsid w:val="000D0491"/>
    <w:rsid w:val="000D081F"/>
    <w:rsid w:val="000F23A3"/>
    <w:rsid w:val="000F3873"/>
    <w:rsid w:val="00103E2D"/>
    <w:rsid w:val="00104C61"/>
    <w:rsid w:val="00124DBF"/>
    <w:rsid w:val="0014687A"/>
    <w:rsid w:val="0015114D"/>
    <w:rsid w:val="00152D7B"/>
    <w:rsid w:val="00153726"/>
    <w:rsid w:val="00154ADB"/>
    <w:rsid w:val="00157C4C"/>
    <w:rsid w:val="0016081E"/>
    <w:rsid w:val="00165777"/>
    <w:rsid w:val="00167C10"/>
    <w:rsid w:val="0017159D"/>
    <w:rsid w:val="00173DFE"/>
    <w:rsid w:val="00186C11"/>
    <w:rsid w:val="00190457"/>
    <w:rsid w:val="0019125E"/>
    <w:rsid w:val="001B13CA"/>
    <w:rsid w:val="001B42C1"/>
    <w:rsid w:val="001B71BC"/>
    <w:rsid w:val="001B7230"/>
    <w:rsid w:val="001C5CBD"/>
    <w:rsid w:val="001D7A10"/>
    <w:rsid w:val="001F0D66"/>
    <w:rsid w:val="001F1C70"/>
    <w:rsid w:val="00203580"/>
    <w:rsid w:val="002044F1"/>
    <w:rsid w:val="002047A9"/>
    <w:rsid w:val="00204A59"/>
    <w:rsid w:val="00205555"/>
    <w:rsid w:val="00206145"/>
    <w:rsid w:val="00211C98"/>
    <w:rsid w:val="00212D4F"/>
    <w:rsid w:val="00213C72"/>
    <w:rsid w:val="00214ACC"/>
    <w:rsid w:val="002200DF"/>
    <w:rsid w:val="002217AE"/>
    <w:rsid w:val="00237FB0"/>
    <w:rsid w:val="00261E4A"/>
    <w:rsid w:val="002653ED"/>
    <w:rsid w:val="002703B4"/>
    <w:rsid w:val="00272464"/>
    <w:rsid w:val="00275AA5"/>
    <w:rsid w:val="00283EC9"/>
    <w:rsid w:val="00284AF3"/>
    <w:rsid w:val="00294B8A"/>
    <w:rsid w:val="00296331"/>
    <w:rsid w:val="002A23C3"/>
    <w:rsid w:val="002A51C5"/>
    <w:rsid w:val="002A5A6D"/>
    <w:rsid w:val="002A5CAB"/>
    <w:rsid w:val="002B1F23"/>
    <w:rsid w:val="002B791A"/>
    <w:rsid w:val="002C0C43"/>
    <w:rsid w:val="002D30F9"/>
    <w:rsid w:val="002F14F0"/>
    <w:rsid w:val="002F5459"/>
    <w:rsid w:val="00301343"/>
    <w:rsid w:val="003020E7"/>
    <w:rsid w:val="0031547F"/>
    <w:rsid w:val="00315CF1"/>
    <w:rsid w:val="00320BCF"/>
    <w:rsid w:val="00327CB6"/>
    <w:rsid w:val="00336229"/>
    <w:rsid w:val="003419E7"/>
    <w:rsid w:val="003576A6"/>
    <w:rsid w:val="00360E13"/>
    <w:rsid w:val="0036227E"/>
    <w:rsid w:val="00365989"/>
    <w:rsid w:val="00371631"/>
    <w:rsid w:val="00371DA7"/>
    <w:rsid w:val="003753C1"/>
    <w:rsid w:val="00380D1E"/>
    <w:rsid w:val="00383DD7"/>
    <w:rsid w:val="003841DE"/>
    <w:rsid w:val="00386CF9"/>
    <w:rsid w:val="00390741"/>
    <w:rsid w:val="00390FEB"/>
    <w:rsid w:val="003A4424"/>
    <w:rsid w:val="003A7345"/>
    <w:rsid w:val="003A76CD"/>
    <w:rsid w:val="003B19C0"/>
    <w:rsid w:val="003B3534"/>
    <w:rsid w:val="003B55B6"/>
    <w:rsid w:val="003B7A63"/>
    <w:rsid w:val="003D5161"/>
    <w:rsid w:val="003E13E4"/>
    <w:rsid w:val="003F100F"/>
    <w:rsid w:val="003F19F4"/>
    <w:rsid w:val="003F7331"/>
    <w:rsid w:val="0040177E"/>
    <w:rsid w:val="00402C14"/>
    <w:rsid w:val="004042F4"/>
    <w:rsid w:val="00405F38"/>
    <w:rsid w:val="00411AA2"/>
    <w:rsid w:val="00411F69"/>
    <w:rsid w:val="0041770D"/>
    <w:rsid w:val="0041773D"/>
    <w:rsid w:val="00417ADA"/>
    <w:rsid w:val="004212CF"/>
    <w:rsid w:val="00421A59"/>
    <w:rsid w:val="00421F37"/>
    <w:rsid w:val="00440B2D"/>
    <w:rsid w:val="00441587"/>
    <w:rsid w:val="00443841"/>
    <w:rsid w:val="00445399"/>
    <w:rsid w:val="0045457A"/>
    <w:rsid w:val="004548C7"/>
    <w:rsid w:val="00464ADA"/>
    <w:rsid w:val="0048391B"/>
    <w:rsid w:val="00484994"/>
    <w:rsid w:val="004915AF"/>
    <w:rsid w:val="00494973"/>
    <w:rsid w:val="004B2EBA"/>
    <w:rsid w:val="004B489A"/>
    <w:rsid w:val="004C4440"/>
    <w:rsid w:val="004C50EA"/>
    <w:rsid w:val="004C63CE"/>
    <w:rsid w:val="004D3DA0"/>
    <w:rsid w:val="004D5F09"/>
    <w:rsid w:val="004E5B16"/>
    <w:rsid w:val="004F760E"/>
    <w:rsid w:val="00502FB1"/>
    <w:rsid w:val="005057FF"/>
    <w:rsid w:val="00505D59"/>
    <w:rsid w:val="005061A6"/>
    <w:rsid w:val="005076FA"/>
    <w:rsid w:val="00511FD4"/>
    <w:rsid w:val="00522622"/>
    <w:rsid w:val="00524D6F"/>
    <w:rsid w:val="0053039F"/>
    <w:rsid w:val="0053383E"/>
    <w:rsid w:val="005467E5"/>
    <w:rsid w:val="00546D4E"/>
    <w:rsid w:val="00561F64"/>
    <w:rsid w:val="005656B5"/>
    <w:rsid w:val="005747F4"/>
    <w:rsid w:val="005771AA"/>
    <w:rsid w:val="00581828"/>
    <w:rsid w:val="005839D6"/>
    <w:rsid w:val="0059365C"/>
    <w:rsid w:val="00593B83"/>
    <w:rsid w:val="005A14CB"/>
    <w:rsid w:val="005A6263"/>
    <w:rsid w:val="005B278C"/>
    <w:rsid w:val="005B5284"/>
    <w:rsid w:val="005C258F"/>
    <w:rsid w:val="005D43E9"/>
    <w:rsid w:val="005F19C8"/>
    <w:rsid w:val="005F7E78"/>
    <w:rsid w:val="00601EB5"/>
    <w:rsid w:val="00606059"/>
    <w:rsid w:val="0061232F"/>
    <w:rsid w:val="00616F92"/>
    <w:rsid w:val="00617BC1"/>
    <w:rsid w:val="006229F6"/>
    <w:rsid w:val="00625930"/>
    <w:rsid w:val="0062763B"/>
    <w:rsid w:val="00631CDD"/>
    <w:rsid w:val="00634516"/>
    <w:rsid w:val="006459C3"/>
    <w:rsid w:val="0064697D"/>
    <w:rsid w:val="0065258F"/>
    <w:rsid w:val="00663A8D"/>
    <w:rsid w:val="00670A2C"/>
    <w:rsid w:val="006725B0"/>
    <w:rsid w:val="006754DF"/>
    <w:rsid w:val="006766DC"/>
    <w:rsid w:val="00685027"/>
    <w:rsid w:val="00687CCC"/>
    <w:rsid w:val="006923E4"/>
    <w:rsid w:val="006A1981"/>
    <w:rsid w:val="006A6F02"/>
    <w:rsid w:val="006C3A5F"/>
    <w:rsid w:val="006C3F8B"/>
    <w:rsid w:val="006D47F8"/>
    <w:rsid w:val="006D54BD"/>
    <w:rsid w:val="006E4CEF"/>
    <w:rsid w:val="006F0E75"/>
    <w:rsid w:val="00702443"/>
    <w:rsid w:val="00707406"/>
    <w:rsid w:val="00713AD7"/>
    <w:rsid w:val="00716193"/>
    <w:rsid w:val="00731104"/>
    <w:rsid w:val="00732D12"/>
    <w:rsid w:val="007360B5"/>
    <w:rsid w:val="00744609"/>
    <w:rsid w:val="00745982"/>
    <w:rsid w:val="00764E17"/>
    <w:rsid w:val="00770980"/>
    <w:rsid w:val="007752C8"/>
    <w:rsid w:val="0079180B"/>
    <w:rsid w:val="00792817"/>
    <w:rsid w:val="0079747B"/>
    <w:rsid w:val="007A406C"/>
    <w:rsid w:val="007B50DE"/>
    <w:rsid w:val="007C3731"/>
    <w:rsid w:val="007D1AC5"/>
    <w:rsid w:val="007D5EBD"/>
    <w:rsid w:val="007D7180"/>
    <w:rsid w:val="007E2F12"/>
    <w:rsid w:val="007F48C3"/>
    <w:rsid w:val="007F4E86"/>
    <w:rsid w:val="00806828"/>
    <w:rsid w:val="008072EE"/>
    <w:rsid w:val="008104D9"/>
    <w:rsid w:val="00811378"/>
    <w:rsid w:val="00820AAC"/>
    <w:rsid w:val="00833B88"/>
    <w:rsid w:val="0083580D"/>
    <w:rsid w:val="00841FD5"/>
    <w:rsid w:val="008431B7"/>
    <w:rsid w:val="00845C03"/>
    <w:rsid w:val="00851661"/>
    <w:rsid w:val="00860A2D"/>
    <w:rsid w:val="0086124C"/>
    <w:rsid w:val="0086438F"/>
    <w:rsid w:val="00872645"/>
    <w:rsid w:val="0087446F"/>
    <w:rsid w:val="00875665"/>
    <w:rsid w:val="00890F3F"/>
    <w:rsid w:val="00892160"/>
    <w:rsid w:val="008A40C2"/>
    <w:rsid w:val="008A6E09"/>
    <w:rsid w:val="008C2D6C"/>
    <w:rsid w:val="008D048C"/>
    <w:rsid w:val="008D1FBB"/>
    <w:rsid w:val="008D444D"/>
    <w:rsid w:val="008D702C"/>
    <w:rsid w:val="008D7188"/>
    <w:rsid w:val="008E039A"/>
    <w:rsid w:val="008E2918"/>
    <w:rsid w:val="008E7633"/>
    <w:rsid w:val="008F14F1"/>
    <w:rsid w:val="00902623"/>
    <w:rsid w:val="009126A6"/>
    <w:rsid w:val="00914FCF"/>
    <w:rsid w:val="0092107B"/>
    <w:rsid w:val="00922D97"/>
    <w:rsid w:val="00934C81"/>
    <w:rsid w:val="00941AE9"/>
    <w:rsid w:val="00942FF9"/>
    <w:rsid w:val="00944479"/>
    <w:rsid w:val="009453EB"/>
    <w:rsid w:val="00957CEB"/>
    <w:rsid w:val="00960DDF"/>
    <w:rsid w:val="00962033"/>
    <w:rsid w:val="0097774D"/>
    <w:rsid w:val="00982925"/>
    <w:rsid w:val="00985CF9"/>
    <w:rsid w:val="00986875"/>
    <w:rsid w:val="009917D3"/>
    <w:rsid w:val="009A0161"/>
    <w:rsid w:val="009A0A1A"/>
    <w:rsid w:val="009A5A24"/>
    <w:rsid w:val="009A66B9"/>
    <w:rsid w:val="009B1750"/>
    <w:rsid w:val="009B3F24"/>
    <w:rsid w:val="009B5EE5"/>
    <w:rsid w:val="009B66B8"/>
    <w:rsid w:val="009C019A"/>
    <w:rsid w:val="009C2027"/>
    <w:rsid w:val="009C4328"/>
    <w:rsid w:val="009C67AA"/>
    <w:rsid w:val="009D5A1C"/>
    <w:rsid w:val="009F00C7"/>
    <w:rsid w:val="009F00D9"/>
    <w:rsid w:val="009F66F3"/>
    <w:rsid w:val="009F753E"/>
    <w:rsid w:val="00A06B38"/>
    <w:rsid w:val="00A11F16"/>
    <w:rsid w:val="00A256C0"/>
    <w:rsid w:val="00A31F88"/>
    <w:rsid w:val="00A443C2"/>
    <w:rsid w:val="00A44834"/>
    <w:rsid w:val="00A45F2B"/>
    <w:rsid w:val="00A466BC"/>
    <w:rsid w:val="00A47CFF"/>
    <w:rsid w:val="00A61C1E"/>
    <w:rsid w:val="00A64492"/>
    <w:rsid w:val="00A66DE1"/>
    <w:rsid w:val="00A67EE8"/>
    <w:rsid w:val="00A755FF"/>
    <w:rsid w:val="00A81229"/>
    <w:rsid w:val="00A86614"/>
    <w:rsid w:val="00A94344"/>
    <w:rsid w:val="00AA7FA1"/>
    <w:rsid w:val="00AB1989"/>
    <w:rsid w:val="00AC292B"/>
    <w:rsid w:val="00AC2A34"/>
    <w:rsid w:val="00AC6353"/>
    <w:rsid w:val="00AD3BEF"/>
    <w:rsid w:val="00B012D0"/>
    <w:rsid w:val="00B012D8"/>
    <w:rsid w:val="00B1474C"/>
    <w:rsid w:val="00B15E1D"/>
    <w:rsid w:val="00B34217"/>
    <w:rsid w:val="00B34F14"/>
    <w:rsid w:val="00B354CC"/>
    <w:rsid w:val="00B52771"/>
    <w:rsid w:val="00B547F2"/>
    <w:rsid w:val="00B55BB9"/>
    <w:rsid w:val="00B56D12"/>
    <w:rsid w:val="00B56EE5"/>
    <w:rsid w:val="00B672EA"/>
    <w:rsid w:val="00B707F3"/>
    <w:rsid w:val="00B73888"/>
    <w:rsid w:val="00B73A8A"/>
    <w:rsid w:val="00B82CAF"/>
    <w:rsid w:val="00B831DB"/>
    <w:rsid w:val="00B97215"/>
    <w:rsid w:val="00BA7E6D"/>
    <w:rsid w:val="00BB0DA7"/>
    <w:rsid w:val="00BB62A4"/>
    <w:rsid w:val="00BC06ED"/>
    <w:rsid w:val="00BD2607"/>
    <w:rsid w:val="00BD3D0A"/>
    <w:rsid w:val="00BD7ADC"/>
    <w:rsid w:val="00BE013B"/>
    <w:rsid w:val="00BE0260"/>
    <w:rsid w:val="00BE0E92"/>
    <w:rsid w:val="00BE79A2"/>
    <w:rsid w:val="00BF4B14"/>
    <w:rsid w:val="00BF6644"/>
    <w:rsid w:val="00C020EB"/>
    <w:rsid w:val="00C04D5E"/>
    <w:rsid w:val="00C100A7"/>
    <w:rsid w:val="00C10697"/>
    <w:rsid w:val="00C11338"/>
    <w:rsid w:val="00C146C8"/>
    <w:rsid w:val="00C24327"/>
    <w:rsid w:val="00C27FE1"/>
    <w:rsid w:val="00C33786"/>
    <w:rsid w:val="00C468A8"/>
    <w:rsid w:val="00C471EE"/>
    <w:rsid w:val="00C521C7"/>
    <w:rsid w:val="00C53548"/>
    <w:rsid w:val="00C715F9"/>
    <w:rsid w:val="00C777E1"/>
    <w:rsid w:val="00C779CF"/>
    <w:rsid w:val="00C849E6"/>
    <w:rsid w:val="00CA3C50"/>
    <w:rsid w:val="00CB36EC"/>
    <w:rsid w:val="00CB61A9"/>
    <w:rsid w:val="00CB61C2"/>
    <w:rsid w:val="00CC1FFB"/>
    <w:rsid w:val="00CC5924"/>
    <w:rsid w:val="00CC71E9"/>
    <w:rsid w:val="00CD0C6D"/>
    <w:rsid w:val="00CD10F4"/>
    <w:rsid w:val="00CD623B"/>
    <w:rsid w:val="00CE1C67"/>
    <w:rsid w:val="00CE3EF8"/>
    <w:rsid w:val="00CF5C8C"/>
    <w:rsid w:val="00D10B55"/>
    <w:rsid w:val="00D14F2E"/>
    <w:rsid w:val="00D16B05"/>
    <w:rsid w:val="00D17467"/>
    <w:rsid w:val="00D1778B"/>
    <w:rsid w:val="00D20C41"/>
    <w:rsid w:val="00D20DA2"/>
    <w:rsid w:val="00D210DF"/>
    <w:rsid w:val="00D233C3"/>
    <w:rsid w:val="00D435FD"/>
    <w:rsid w:val="00D43BB7"/>
    <w:rsid w:val="00D469BE"/>
    <w:rsid w:val="00D53F5A"/>
    <w:rsid w:val="00D57931"/>
    <w:rsid w:val="00D76321"/>
    <w:rsid w:val="00D76863"/>
    <w:rsid w:val="00D77C14"/>
    <w:rsid w:val="00D85ABC"/>
    <w:rsid w:val="00D8632D"/>
    <w:rsid w:val="00DA7CD9"/>
    <w:rsid w:val="00DB207F"/>
    <w:rsid w:val="00DB628C"/>
    <w:rsid w:val="00DC162B"/>
    <w:rsid w:val="00DD6816"/>
    <w:rsid w:val="00DE2E8E"/>
    <w:rsid w:val="00DE5704"/>
    <w:rsid w:val="00DE658D"/>
    <w:rsid w:val="00E0508A"/>
    <w:rsid w:val="00E05C0D"/>
    <w:rsid w:val="00E07C89"/>
    <w:rsid w:val="00E12D18"/>
    <w:rsid w:val="00E2404C"/>
    <w:rsid w:val="00E3159B"/>
    <w:rsid w:val="00E326D7"/>
    <w:rsid w:val="00E41323"/>
    <w:rsid w:val="00E43587"/>
    <w:rsid w:val="00E505AE"/>
    <w:rsid w:val="00E61939"/>
    <w:rsid w:val="00E63431"/>
    <w:rsid w:val="00E744FB"/>
    <w:rsid w:val="00E84DD2"/>
    <w:rsid w:val="00EA4D16"/>
    <w:rsid w:val="00EB34B3"/>
    <w:rsid w:val="00EB469D"/>
    <w:rsid w:val="00EB4D22"/>
    <w:rsid w:val="00EB551B"/>
    <w:rsid w:val="00EB7141"/>
    <w:rsid w:val="00EC1FA2"/>
    <w:rsid w:val="00EC5673"/>
    <w:rsid w:val="00EE36AD"/>
    <w:rsid w:val="00EE54BE"/>
    <w:rsid w:val="00EF24A2"/>
    <w:rsid w:val="00EF4969"/>
    <w:rsid w:val="00F06CB5"/>
    <w:rsid w:val="00F110D3"/>
    <w:rsid w:val="00F125B7"/>
    <w:rsid w:val="00F13A18"/>
    <w:rsid w:val="00F14C3D"/>
    <w:rsid w:val="00F15F5E"/>
    <w:rsid w:val="00F25ED6"/>
    <w:rsid w:val="00F261F4"/>
    <w:rsid w:val="00F3097B"/>
    <w:rsid w:val="00F40809"/>
    <w:rsid w:val="00F456B8"/>
    <w:rsid w:val="00F56F54"/>
    <w:rsid w:val="00F60D49"/>
    <w:rsid w:val="00F650BC"/>
    <w:rsid w:val="00F730A1"/>
    <w:rsid w:val="00F819BA"/>
    <w:rsid w:val="00F95EDA"/>
    <w:rsid w:val="00FA53E0"/>
    <w:rsid w:val="00FA6677"/>
    <w:rsid w:val="00FB2F1C"/>
    <w:rsid w:val="00FC556A"/>
    <w:rsid w:val="00FC71D6"/>
    <w:rsid w:val="00FE74E2"/>
    <w:rsid w:val="00FF55C0"/>
    <w:rsid w:val="00FF56AD"/>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3"/>
    <w:pPr>
      <w:suppressAutoHyphens/>
    </w:pPr>
    <w:rPr>
      <w:sz w:val="24"/>
    </w:rPr>
  </w:style>
  <w:style w:type="paragraph" w:styleId="Heading1">
    <w:name w:val="heading 1"/>
    <w:basedOn w:val="Normal"/>
    <w:next w:val="Normal"/>
    <w:qFormat/>
    <w:rsid w:val="000F3873"/>
    <w:pPr>
      <w:keepNext/>
      <w:spacing w:before="360" w:after="240"/>
      <w:jc w:val="center"/>
      <w:outlineLvl w:val="0"/>
    </w:pPr>
    <w:rPr>
      <w:b/>
      <w:sz w:val="28"/>
    </w:rPr>
  </w:style>
  <w:style w:type="paragraph" w:styleId="Heading2">
    <w:name w:val="heading 2"/>
    <w:basedOn w:val="Normal"/>
    <w:next w:val="Normal"/>
    <w:qFormat/>
    <w:rsid w:val="000F3873"/>
    <w:pPr>
      <w:keepNext/>
      <w:spacing w:before="240" w:after="120"/>
      <w:ind w:left="284" w:hanging="284"/>
      <w:outlineLvl w:val="1"/>
    </w:pPr>
    <w:rPr>
      <w:b/>
    </w:rPr>
  </w:style>
  <w:style w:type="paragraph" w:styleId="Heading3">
    <w:name w:val="heading 3"/>
    <w:basedOn w:val="Normal"/>
    <w:next w:val="Normal"/>
    <w:qFormat/>
    <w:rsid w:val="000F387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Header">
    <w:name w:val="Ju_Header"/>
    <w:basedOn w:val="Header"/>
  </w:style>
  <w:style w:type="paragraph" w:styleId="Header">
    <w:name w:val="header"/>
    <w:basedOn w:val="Normal"/>
    <w:rsid w:val="000F3873"/>
    <w:pPr>
      <w:tabs>
        <w:tab w:val="center" w:pos="3686"/>
        <w:tab w:val="right" w:pos="7371"/>
      </w:tabs>
    </w:pPr>
    <w:rPr>
      <w:sz w:val="18"/>
    </w:rPr>
  </w:style>
  <w:style w:type="paragraph" w:customStyle="1" w:styleId="JuInitialled">
    <w:name w:val="Ju_Initialled"/>
    <w:basedOn w:val="JuSigned"/>
    <w:rsid w:val="000F3873"/>
    <w:pPr>
      <w:tabs>
        <w:tab w:val="clear" w:pos="851"/>
        <w:tab w:val="clear" w:pos="6521"/>
      </w:tabs>
      <w:jc w:val="right"/>
    </w:pPr>
  </w:style>
  <w:style w:type="paragraph" w:customStyle="1" w:styleId="JuSigned">
    <w:name w:val="Ju_Signed"/>
    <w:basedOn w:val="Normal"/>
    <w:next w:val="JuParaLast"/>
    <w:rsid w:val="000F3873"/>
    <w:pPr>
      <w:tabs>
        <w:tab w:val="center" w:pos="851"/>
        <w:tab w:val="center" w:pos="6521"/>
      </w:tabs>
      <w:spacing w:before="720"/>
    </w:pPr>
  </w:style>
  <w:style w:type="paragraph" w:customStyle="1" w:styleId="JuParaLast">
    <w:name w:val="Ju_Para_Last"/>
    <w:basedOn w:val="JuPara"/>
    <w:next w:val="JuPara"/>
    <w:rsid w:val="000F3873"/>
    <w:pPr>
      <w:spacing w:before="240"/>
    </w:pPr>
  </w:style>
  <w:style w:type="paragraph" w:customStyle="1" w:styleId="JuPara">
    <w:name w:val="Ju_Para"/>
    <w:basedOn w:val="Normal"/>
    <w:rsid w:val="000F3873"/>
    <w:pPr>
      <w:ind w:firstLine="284"/>
      <w:jc w:val="both"/>
    </w:pPr>
  </w:style>
  <w:style w:type="paragraph" w:customStyle="1" w:styleId="JuHIRomanChar">
    <w:name w:val="Ju_H_I_Roman Char"/>
    <w:basedOn w:val="JuHHeadChar"/>
    <w:next w:val="JuPara"/>
    <w:link w:val="JuHIRomanCharChar"/>
    <w:pPr>
      <w:spacing w:before="360"/>
      <w:ind w:left="403" w:hanging="403"/>
    </w:pPr>
    <w:rPr>
      <w:sz w:val="24"/>
    </w:rPr>
  </w:style>
  <w:style w:type="paragraph" w:customStyle="1" w:styleId="JuHHeadChar">
    <w:name w:val="Ju_H_Head Char"/>
    <w:basedOn w:val="Normal"/>
    <w:next w:val="JuPara"/>
    <w:link w:val="JuHHeadCharChar"/>
    <w:pPr>
      <w:spacing w:before="720" w:after="240"/>
    </w:pPr>
    <w:rPr>
      <w:sz w:val="28"/>
    </w:rPr>
  </w:style>
  <w:style w:type="character" w:customStyle="1" w:styleId="JuHHeadCharChar">
    <w:name w:val="Ju_H_Head Char Char"/>
    <w:basedOn w:val="DefaultParagraphFont"/>
    <w:link w:val="JuHHeadChar"/>
    <w:rsid w:val="00096950"/>
    <w:rPr>
      <w:sz w:val="28"/>
      <w:lang w:val="bg-BG" w:eastAsia="bg-BG" w:bidi="bg-BG"/>
    </w:rPr>
  </w:style>
  <w:style w:type="character" w:customStyle="1" w:styleId="JuHIRomanCharChar">
    <w:name w:val="Ju_H_I_Roman Char Char"/>
    <w:basedOn w:val="JuHHeadCharChar"/>
    <w:link w:val="JuHIRomanChar"/>
    <w:rsid w:val="00096950"/>
    <w:rPr>
      <w:sz w:val="24"/>
      <w:lang w:val="bg-BG" w:eastAsia="bg-BG" w:bidi="bg-BG"/>
    </w:rPr>
  </w:style>
  <w:style w:type="paragraph" w:styleId="Footer">
    <w:name w:val="footer"/>
    <w:basedOn w:val="Normal"/>
    <w:rsid w:val="000F3873"/>
    <w:pPr>
      <w:tabs>
        <w:tab w:val="center" w:pos="3686"/>
        <w:tab w:val="right" w:pos="7371"/>
      </w:tabs>
    </w:pPr>
    <w:rPr>
      <w:sz w:val="18"/>
    </w:rPr>
  </w:style>
  <w:style w:type="paragraph" w:customStyle="1" w:styleId="JuJudges">
    <w:name w:val="Ju_Judges"/>
    <w:basedOn w:val="Normal"/>
    <w:rsid w:val="000F3873"/>
    <w:pPr>
      <w:tabs>
        <w:tab w:val="left" w:pos="567"/>
        <w:tab w:val="left" w:pos="1134"/>
      </w:tabs>
    </w:pPr>
  </w:style>
  <w:style w:type="character" w:customStyle="1" w:styleId="JuNames">
    <w:name w:val="Ju_Names"/>
    <w:basedOn w:val="DefaultParagraphFont"/>
    <w:rsid w:val="000F3873"/>
    <w:rPr>
      <w:smallCaps/>
    </w:rPr>
  </w:style>
  <w:style w:type="paragraph" w:customStyle="1" w:styleId="JuHAChar">
    <w:name w:val="Ju_H_A Char"/>
    <w:basedOn w:val="JuHIRomanChar"/>
    <w:next w:val="JuPara"/>
    <w:link w:val="JuHACharChar"/>
    <w:pPr>
      <w:ind w:left="635"/>
    </w:pPr>
    <w:rPr>
      <w:b/>
      <w:caps/>
    </w:rPr>
  </w:style>
  <w:style w:type="character" w:customStyle="1" w:styleId="JuHACharChar">
    <w:name w:val="Ju_H_A Char Char"/>
    <w:basedOn w:val="JuHIRomanCharChar"/>
    <w:link w:val="JuHAChar"/>
    <w:rsid w:val="00096950"/>
    <w:rPr>
      <w:b/>
      <w:caps/>
      <w:sz w:val="24"/>
      <w:lang w:val="bg-BG" w:eastAsia="bg-BG" w:bidi="bg-BG"/>
    </w:rPr>
  </w:style>
  <w:style w:type="paragraph" w:customStyle="1" w:styleId="JuQuot">
    <w:name w:val="Ju_Quot"/>
    <w:basedOn w:val="JuPara"/>
    <w:rsid w:val="000F3873"/>
    <w:pPr>
      <w:spacing w:before="120" w:after="120"/>
      <w:ind w:left="425" w:firstLine="142"/>
    </w:pPr>
    <w:rPr>
      <w:sz w:val="20"/>
    </w:rPr>
  </w:style>
  <w:style w:type="paragraph" w:customStyle="1" w:styleId="JuCase">
    <w:name w:val="Ju_Case"/>
    <w:basedOn w:val="JuPara"/>
    <w:next w:val="JuPara"/>
    <w:rsid w:val="000F3873"/>
    <w:rPr>
      <w:b/>
    </w:rPr>
  </w:style>
  <w:style w:type="paragraph" w:customStyle="1" w:styleId="OpiCommission">
    <w:name w:val="Opi_Commission"/>
    <w:basedOn w:val="JuJudges"/>
    <w:rsid w:val="000F3873"/>
    <w:pPr>
      <w:tabs>
        <w:tab w:val="clear" w:pos="567"/>
        <w:tab w:val="clear" w:pos="1134"/>
        <w:tab w:val="left" w:pos="1814"/>
        <w:tab w:val="left" w:pos="2381"/>
        <w:tab w:val="left" w:pos="3119"/>
      </w:tabs>
      <w:ind w:left="1418"/>
    </w:pPr>
    <w:rPr>
      <w:sz w:val="20"/>
    </w:rPr>
  </w:style>
  <w:style w:type="paragraph" w:customStyle="1" w:styleId="JuList">
    <w:name w:val="Ju_List"/>
    <w:basedOn w:val="JuPara"/>
    <w:rsid w:val="000F3873"/>
    <w:pPr>
      <w:ind w:left="340" w:hanging="340"/>
    </w:pPr>
  </w:style>
  <w:style w:type="paragraph" w:customStyle="1" w:styleId="JuHArticle">
    <w:name w:val="Ju_H_Article"/>
    <w:basedOn w:val="JuHa"/>
    <w:rsid w:val="000F3873"/>
    <w:pPr>
      <w:ind w:left="0" w:firstLine="0"/>
      <w:jc w:val="center"/>
    </w:pPr>
  </w:style>
  <w:style w:type="paragraph" w:customStyle="1" w:styleId="JuHa">
    <w:name w:val="Ju_H_a"/>
    <w:basedOn w:val="JuH1"/>
    <w:next w:val="JuPara"/>
    <w:rsid w:val="000F3873"/>
    <w:pPr>
      <w:tabs>
        <w:tab w:val="clear" w:pos="731"/>
        <w:tab w:val="left" w:pos="975"/>
      </w:tabs>
      <w:ind w:left="975" w:hanging="340"/>
    </w:pPr>
    <w:rPr>
      <w:b/>
      <w:i w:val="0"/>
      <w:sz w:val="20"/>
    </w:rPr>
  </w:style>
  <w:style w:type="paragraph" w:customStyle="1" w:styleId="JuH1">
    <w:name w:val="Ju_H_1."/>
    <w:basedOn w:val="JuHA0"/>
    <w:next w:val="JuPara"/>
    <w:rsid w:val="000F3873"/>
    <w:pPr>
      <w:tabs>
        <w:tab w:val="clear" w:pos="584"/>
        <w:tab w:val="left" w:pos="731"/>
      </w:tabs>
      <w:spacing w:before="240" w:after="120"/>
      <w:ind w:left="732" w:hanging="301"/>
    </w:pPr>
    <w:rPr>
      <w:b w:val="0"/>
      <w:i/>
    </w:rPr>
  </w:style>
  <w:style w:type="paragraph" w:customStyle="1" w:styleId="JuHA0">
    <w:name w:val="Ju_H_A"/>
    <w:basedOn w:val="JuHIRoman"/>
    <w:next w:val="JuPara"/>
    <w:rsid w:val="000F3873"/>
    <w:pPr>
      <w:tabs>
        <w:tab w:val="clear" w:pos="357"/>
        <w:tab w:val="left" w:pos="584"/>
      </w:tabs>
      <w:ind w:left="584" w:hanging="352"/>
    </w:pPr>
    <w:rPr>
      <w:b/>
    </w:rPr>
  </w:style>
  <w:style w:type="paragraph" w:customStyle="1" w:styleId="JuHIRoman">
    <w:name w:val="Ju_H_I_Roman"/>
    <w:basedOn w:val="JuHHead"/>
    <w:next w:val="JuPara"/>
    <w:rsid w:val="000F3873"/>
    <w:pPr>
      <w:tabs>
        <w:tab w:val="left" w:pos="357"/>
      </w:tabs>
      <w:spacing w:before="360"/>
      <w:ind w:left="357" w:hanging="357"/>
    </w:pPr>
    <w:rPr>
      <w:sz w:val="24"/>
    </w:rPr>
  </w:style>
  <w:style w:type="paragraph" w:customStyle="1" w:styleId="JuHHead">
    <w:name w:val="Ju_H_Head"/>
    <w:basedOn w:val="Normal"/>
    <w:next w:val="JuPara"/>
    <w:rsid w:val="000F3873"/>
    <w:pPr>
      <w:spacing w:before="720" w:after="240"/>
      <w:jc w:val="both"/>
    </w:pPr>
    <w:rPr>
      <w:sz w:val="28"/>
    </w:rPr>
  </w:style>
  <w:style w:type="paragraph" w:customStyle="1" w:styleId="JuHaChar0">
    <w:name w:val="Ju_H_a Char"/>
    <w:basedOn w:val="JuHAChar"/>
    <w:next w:val="JuPara"/>
    <w:link w:val="JuHaCharChar0"/>
    <w:pPr>
      <w:spacing w:before="240" w:after="120"/>
      <w:ind w:left="1038"/>
    </w:pPr>
    <w:rPr>
      <w:sz w:val="20"/>
    </w:rPr>
  </w:style>
  <w:style w:type="character" w:customStyle="1" w:styleId="JuHaCharChar0">
    <w:name w:val="Ju_H_a Char Char"/>
    <w:basedOn w:val="JuHACharChar"/>
    <w:link w:val="JuHaChar0"/>
    <w:rsid w:val="00096950"/>
    <w:rPr>
      <w:b/>
      <w:caps/>
      <w:sz w:val="24"/>
      <w:lang w:val="bg-BG" w:eastAsia="bg-BG" w:bidi="bg-BG"/>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0F3873"/>
    <w:pPr>
      <w:tabs>
        <w:tab w:val="clear" w:pos="567"/>
        <w:tab w:val="clear" w:pos="1134"/>
        <w:tab w:val="left" w:pos="907"/>
        <w:tab w:val="left" w:pos="1701"/>
        <w:tab w:val="right" w:pos="7371"/>
      </w:tabs>
      <w:spacing w:before="240"/>
      <w:ind w:left="397" w:hanging="397"/>
    </w:pPr>
  </w:style>
  <w:style w:type="paragraph" w:customStyle="1" w:styleId="OpiPara">
    <w:name w:val="Opi_Para"/>
    <w:basedOn w:val="JuPara"/>
    <w:rsid w:val="000F3873"/>
  </w:style>
  <w:style w:type="paragraph" w:customStyle="1" w:styleId="OpiConclusion">
    <w:name w:val="Opi_Conclusion"/>
    <w:basedOn w:val="OpiPara"/>
    <w:next w:val="OpiPara"/>
    <w:rsid w:val="000F3873"/>
    <w:pPr>
      <w:spacing w:before="360" w:after="120"/>
      <w:ind w:firstLine="0"/>
    </w:pPr>
    <w:rPr>
      <w:i/>
    </w:rPr>
  </w:style>
  <w:style w:type="paragraph" w:customStyle="1" w:styleId="OpiHA">
    <w:name w:val="Opi_H_A"/>
    <w:basedOn w:val="JuHIRoman"/>
    <w:next w:val="OpiPara"/>
    <w:rsid w:val="000F3873"/>
    <w:pPr>
      <w:tabs>
        <w:tab w:val="clear" w:pos="357"/>
      </w:tabs>
    </w:pPr>
    <w:rPr>
      <w:b/>
    </w:rPr>
  </w:style>
  <w:style w:type="paragraph" w:customStyle="1" w:styleId="OpiH1">
    <w:name w:val="Opi_H_1."/>
    <w:basedOn w:val="OpiHA"/>
    <w:next w:val="OpiPara"/>
    <w:rsid w:val="000F3873"/>
    <w:pPr>
      <w:spacing w:before="240" w:after="120"/>
      <w:ind w:left="635"/>
    </w:pPr>
    <w:rPr>
      <w:b w:val="0"/>
      <w:i/>
    </w:rPr>
  </w:style>
  <w:style w:type="paragraph" w:styleId="FootnoteText">
    <w:name w:val="footnote text"/>
    <w:basedOn w:val="Normal"/>
    <w:semiHidden/>
    <w:rsid w:val="000F3873"/>
    <w:pPr>
      <w:jc w:val="both"/>
    </w:pPr>
    <w:rPr>
      <w:sz w:val="20"/>
    </w:rPr>
  </w:style>
  <w:style w:type="character" w:styleId="FootnoteReference">
    <w:name w:val="footnote reference"/>
    <w:basedOn w:val="DefaultParagraphFont"/>
    <w:semiHidden/>
    <w:rsid w:val="000F3873"/>
    <w:rPr>
      <w:vertAlign w:val="superscript"/>
    </w:rPr>
  </w:style>
  <w:style w:type="paragraph" w:customStyle="1" w:styleId="JuHiChar">
    <w:name w:val="Ju_H_i Char"/>
    <w:basedOn w:val="JuHaChar0"/>
    <w:next w:val="JuPara"/>
    <w:link w:val="JuHiCharChar"/>
    <w:pPr>
      <w:ind w:left="1236"/>
    </w:pPr>
    <w:rPr>
      <w:b w:val="0"/>
      <w:i/>
      <w:caps w:val="0"/>
    </w:rPr>
  </w:style>
  <w:style w:type="character" w:customStyle="1" w:styleId="JuHiCharChar">
    <w:name w:val="Ju_H_i Char Char"/>
    <w:basedOn w:val="JuHaCharChar0"/>
    <w:link w:val="JuHiChar"/>
    <w:rsid w:val="00096950"/>
    <w:rPr>
      <w:b/>
      <w:i/>
      <w:caps/>
      <w:sz w:val="24"/>
      <w:lang w:val="bg-BG" w:eastAsia="bg-BG" w:bidi="bg-BG"/>
    </w:rPr>
  </w:style>
  <w:style w:type="character" w:styleId="PageNumber">
    <w:name w:val="page number"/>
    <w:basedOn w:val="DefaultParagraphFont"/>
    <w:rsid w:val="000F3873"/>
    <w:rPr>
      <w:sz w:val="18"/>
    </w:rPr>
  </w:style>
  <w:style w:type="paragraph" w:customStyle="1" w:styleId="JuHChar">
    <w:name w:val="Ju_H_– Char"/>
    <w:basedOn w:val="JuHalphaChar"/>
    <w:next w:val="JuPara"/>
    <w:link w:val="JuHCharChar"/>
    <w:pPr>
      <w:ind w:left="1639"/>
    </w:pPr>
    <w:rPr>
      <w:i/>
    </w:rPr>
  </w:style>
  <w:style w:type="paragraph" w:customStyle="1" w:styleId="JuHalphaChar">
    <w:name w:val="Ju_H_alpha Char"/>
    <w:basedOn w:val="JuHiChar"/>
    <w:next w:val="JuPara"/>
    <w:link w:val="JuHalphaCharChar"/>
    <w:pPr>
      <w:ind w:left="1441"/>
    </w:pPr>
    <w:rPr>
      <w:i w:val="0"/>
    </w:rPr>
  </w:style>
  <w:style w:type="character" w:customStyle="1" w:styleId="JuHalphaCharChar">
    <w:name w:val="Ju_H_alpha Char Char"/>
    <w:basedOn w:val="JuHiCharChar"/>
    <w:link w:val="JuHalphaChar"/>
    <w:rsid w:val="00096950"/>
    <w:rPr>
      <w:b/>
      <w:i/>
      <w:caps/>
      <w:sz w:val="24"/>
      <w:lang w:val="bg-BG" w:eastAsia="bg-BG" w:bidi="bg-BG"/>
    </w:rPr>
  </w:style>
  <w:style w:type="character" w:customStyle="1" w:styleId="JuHCharChar">
    <w:name w:val="Ju_H_– Char Char"/>
    <w:basedOn w:val="JuHalphaCharChar"/>
    <w:link w:val="JuHChar"/>
    <w:rsid w:val="00096950"/>
    <w:rPr>
      <w:b/>
      <w:i/>
      <w:caps/>
      <w:sz w:val="24"/>
      <w:lang w:val="bg-BG" w:eastAsia="bg-BG" w:bidi="bg-BG"/>
    </w:rPr>
  </w:style>
  <w:style w:type="paragraph" w:customStyle="1" w:styleId="JuLista">
    <w:name w:val="Ju_List_a"/>
    <w:basedOn w:val="JuList"/>
    <w:rsid w:val="000F3873"/>
    <w:pPr>
      <w:ind w:left="346" w:firstLine="0"/>
    </w:pPr>
  </w:style>
  <w:style w:type="paragraph" w:customStyle="1" w:styleId="JuListi">
    <w:name w:val="Ju_List_i"/>
    <w:basedOn w:val="JuLista"/>
    <w:rsid w:val="000F3873"/>
    <w:pPr>
      <w:ind w:left="794"/>
    </w:pPr>
  </w:style>
  <w:style w:type="paragraph" w:customStyle="1" w:styleId="OpiHa0">
    <w:name w:val="Opi_H_a"/>
    <w:basedOn w:val="OpiH1"/>
    <w:next w:val="OpiPara"/>
    <w:rsid w:val="000F3873"/>
    <w:pPr>
      <w:ind w:left="834"/>
    </w:pPr>
    <w:rPr>
      <w:b/>
      <w:i w:val="0"/>
      <w:sz w:val="20"/>
    </w:rPr>
  </w:style>
  <w:style w:type="paragraph" w:customStyle="1" w:styleId="OpiHHead">
    <w:name w:val="Opi_H_Head"/>
    <w:basedOn w:val="JuHHead"/>
    <w:next w:val="OpiPara"/>
    <w:rsid w:val="000F3873"/>
    <w:pPr>
      <w:spacing w:before="0"/>
      <w:jc w:val="center"/>
    </w:pPr>
  </w:style>
  <w:style w:type="paragraph" w:customStyle="1" w:styleId="OpiTranslation">
    <w:name w:val="Opi_Translation"/>
    <w:basedOn w:val="OpiHHead"/>
    <w:next w:val="OpiPara"/>
    <w:rsid w:val="000F3873"/>
    <w:rPr>
      <w:sz w:val="24"/>
    </w:rPr>
  </w:style>
  <w:style w:type="paragraph" w:customStyle="1" w:styleId="OpiHCommission">
    <w:name w:val="Opi_H_Commission"/>
    <w:basedOn w:val="OpiTranslation"/>
    <w:next w:val="OpiPara"/>
    <w:rsid w:val="000F3873"/>
    <w:pPr>
      <w:spacing w:before="480"/>
      <w:ind w:left="1418"/>
      <w:jc w:val="left"/>
    </w:pPr>
    <w:rPr>
      <w:sz w:val="20"/>
    </w:rPr>
  </w:style>
  <w:style w:type="paragraph" w:customStyle="1" w:styleId="OpiHi">
    <w:name w:val="Opi_H_i"/>
    <w:basedOn w:val="OpiHa0"/>
    <w:next w:val="OpiPara"/>
    <w:rsid w:val="000F3873"/>
    <w:pPr>
      <w:ind w:left="1038"/>
    </w:pPr>
    <w:rPr>
      <w:b w:val="0"/>
      <w:i/>
    </w:rPr>
  </w:style>
  <w:style w:type="paragraph" w:customStyle="1" w:styleId="OpiHOpinion">
    <w:name w:val="Opi_H_Opinion"/>
    <w:basedOn w:val="OpiHHead"/>
    <w:next w:val="OpiPara"/>
    <w:rsid w:val="000F3873"/>
    <w:pPr>
      <w:spacing w:before="240"/>
    </w:pPr>
    <w:rPr>
      <w:b/>
    </w:rPr>
  </w:style>
  <w:style w:type="paragraph" w:customStyle="1" w:styleId="OpiList">
    <w:name w:val="Opi_List"/>
    <w:basedOn w:val="JuList"/>
    <w:rsid w:val="000F3873"/>
  </w:style>
  <w:style w:type="character" w:customStyle="1" w:styleId="OpiNames">
    <w:name w:val="Opi_Names"/>
    <w:basedOn w:val="JuNames"/>
    <w:rsid w:val="000F3873"/>
    <w:rPr>
      <w:smallCaps/>
    </w:rPr>
  </w:style>
  <w:style w:type="character" w:customStyle="1" w:styleId="OpiNamesSignature">
    <w:name w:val="Opi_Names_Signature"/>
    <w:basedOn w:val="JuNames"/>
    <w:rPr>
      <w:smallCaps/>
    </w:rPr>
  </w:style>
  <w:style w:type="paragraph" w:customStyle="1" w:styleId="OpiQuot">
    <w:name w:val="Opi_Quot"/>
    <w:basedOn w:val="JuQuot"/>
    <w:rsid w:val="000F3873"/>
  </w:style>
  <w:style w:type="paragraph" w:customStyle="1" w:styleId="OpiQuotList">
    <w:name w:val="Opi_Quot_List"/>
    <w:basedOn w:val="OpiQuot"/>
    <w:rsid w:val="000F3873"/>
    <w:pPr>
      <w:tabs>
        <w:tab w:val="left" w:pos="1021"/>
      </w:tabs>
      <w:ind w:left="567" w:firstLine="0"/>
    </w:pPr>
  </w:style>
  <w:style w:type="paragraph" w:customStyle="1" w:styleId="OpiSigned">
    <w:name w:val="Opi_Signed"/>
    <w:basedOn w:val="JuSigned"/>
    <w:rsid w:val="000F3873"/>
    <w:pPr>
      <w:tabs>
        <w:tab w:val="clear" w:pos="851"/>
        <w:tab w:val="clear" w:pos="6521"/>
        <w:tab w:val="center" w:pos="1418"/>
        <w:tab w:val="center" w:pos="5954"/>
      </w:tabs>
    </w:pPr>
  </w:style>
  <w:style w:type="paragraph" w:customStyle="1" w:styleId="JuParaSub">
    <w:name w:val="Ju_Para_Sub"/>
    <w:basedOn w:val="JuPara"/>
    <w:rsid w:val="000F3873"/>
    <w:pPr>
      <w:ind w:left="284"/>
    </w:pPr>
    <w:rPr>
      <w:szCs w:val="24"/>
    </w:rPr>
  </w:style>
  <w:style w:type="paragraph" w:customStyle="1" w:styleId="JuQuotSub">
    <w:name w:val="Ju_Quot_Sub"/>
    <w:basedOn w:val="JuQuot"/>
    <w:rsid w:val="000F3873"/>
    <w:pPr>
      <w:ind w:left="567"/>
    </w:pPr>
  </w:style>
  <w:style w:type="paragraph" w:customStyle="1" w:styleId="DecHTitle">
    <w:name w:val="Dec_H_Title"/>
    <w:basedOn w:val="Normal"/>
    <w:rsid w:val="000F3873"/>
    <w:pPr>
      <w:spacing w:after="240"/>
      <w:jc w:val="center"/>
    </w:pPr>
    <w:rPr>
      <w:sz w:val="28"/>
    </w:rPr>
  </w:style>
  <w:style w:type="paragraph" w:customStyle="1" w:styleId="DecHCase">
    <w:name w:val="Dec_H_Case"/>
    <w:basedOn w:val="DecHTitle"/>
    <w:next w:val="JuPara"/>
    <w:rsid w:val="000F3873"/>
    <w:rPr>
      <w:sz w:val="24"/>
    </w:rPr>
  </w:style>
  <w:style w:type="paragraph" w:customStyle="1" w:styleId="DecList">
    <w:name w:val="Dec_List"/>
    <w:basedOn w:val="Normal"/>
    <w:rsid w:val="000F3873"/>
    <w:pPr>
      <w:spacing w:before="240"/>
      <w:ind w:left="284"/>
      <w:jc w:val="both"/>
    </w:pPr>
  </w:style>
  <w:style w:type="paragraph" w:styleId="BalloonText">
    <w:name w:val="Balloon Text"/>
    <w:basedOn w:val="Normal"/>
    <w:semiHidden/>
    <w:rsid w:val="00096950"/>
    <w:rPr>
      <w:rFonts w:ascii="Tahoma" w:hAnsi="Tahoma" w:cs="Tahoma"/>
      <w:sz w:val="16"/>
      <w:szCs w:val="16"/>
    </w:rPr>
  </w:style>
  <w:style w:type="paragraph" w:customStyle="1" w:styleId="jupara0">
    <w:name w:val="jupara"/>
    <w:basedOn w:val="Normal"/>
    <w:rsid w:val="00096950"/>
    <w:pPr>
      <w:suppressAutoHyphens w:val="0"/>
      <w:ind w:firstLine="284"/>
    </w:pPr>
    <w:rPr>
      <w:szCs w:val="24"/>
    </w:rPr>
  </w:style>
  <w:style w:type="paragraph" w:customStyle="1" w:styleId="JuHi">
    <w:name w:val="Ju_H_i"/>
    <w:basedOn w:val="JuHa"/>
    <w:next w:val="JuPara"/>
    <w:rsid w:val="000F3873"/>
    <w:pPr>
      <w:tabs>
        <w:tab w:val="clear" w:pos="975"/>
        <w:tab w:val="left" w:pos="1191"/>
      </w:tabs>
      <w:ind w:left="1190" w:hanging="357"/>
    </w:pPr>
    <w:rPr>
      <w:b w:val="0"/>
      <w:i/>
    </w:rPr>
  </w:style>
  <w:style w:type="paragraph" w:customStyle="1" w:styleId="JuHalpha">
    <w:name w:val="Ju_H_alpha"/>
    <w:basedOn w:val="JuHi"/>
    <w:next w:val="JuPara"/>
    <w:rsid w:val="000F3873"/>
    <w:pPr>
      <w:tabs>
        <w:tab w:val="clear" w:pos="1191"/>
        <w:tab w:val="left" w:pos="1372"/>
      </w:tabs>
      <w:ind w:left="1373" w:hanging="335"/>
    </w:pPr>
    <w:rPr>
      <w:i w:val="0"/>
    </w:rPr>
  </w:style>
  <w:style w:type="paragraph" w:customStyle="1" w:styleId="JuH">
    <w:name w:val="Ju_H_–"/>
    <w:basedOn w:val="JuHalpha"/>
    <w:next w:val="JuPara"/>
    <w:rsid w:val="000F3873"/>
    <w:pPr>
      <w:tabs>
        <w:tab w:val="clear" w:pos="1372"/>
      </w:tabs>
      <w:ind w:left="1236" w:firstLine="0"/>
    </w:pPr>
    <w:rPr>
      <w:i/>
    </w:rPr>
  </w:style>
  <w:style w:type="paragraph" w:customStyle="1" w:styleId="PJuPara">
    <w:name w:val="P_Ju_Para"/>
    <w:basedOn w:val="Normal"/>
    <w:rsid w:val="000F3873"/>
    <w:pPr>
      <w:ind w:firstLine="284"/>
      <w:jc w:val="both"/>
    </w:pPr>
  </w:style>
  <w:style w:type="paragraph" w:customStyle="1" w:styleId="PJuQuot">
    <w:name w:val="P_Ju_Quot"/>
    <w:basedOn w:val="Normal"/>
    <w:rsid w:val="000F3873"/>
    <w:pPr>
      <w:spacing w:before="120" w:after="120"/>
      <w:ind w:left="403" w:firstLine="176"/>
      <w:jc w:val="both"/>
    </w:pPr>
    <w:rPr>
      <w:sz w:val="20"/>
    </w:rPr>
  </w:style>
  <w:style w:type="paragraph" w:customStyle="1" w:styleId="PListArticleSubject">
    <w:name w:val="P_List_ArticleSubject"/>
    <w:basedOn w:val="Normal"/>
    <w:rsid w:val="000F3873"/>
    <w:pPr>
      <w:tabs>
        <w:tab w:val="left" w:pos="2977"/>
      </w:tabs>
      <w:ind w:left="2977" w:hanging="2977"/>
    </w:pPr>
  </w:style>
  <w:style w:type="paragraph" w:customStyle="1" w:styleId="SuCoverTitle1">
    <w:name w:val="Su_Cover_Title1"/>
    <w:basedOn w:val="Normal"/>
    <w:next w:val="SuCoverTitle2"/>
    <w:rsid w:val="000F3873"/>
    <w:pPr>
      <w:spacing w:before="2500"/>
      <w:jc w:val="center"/>
    </w:pPr>
    <w:rPr>
      <w:sz w:val="22"/>
    </w:rPr>
  </w:style>
  <w:style w:type="paragraph" w:customStyle="1" w:styleId="SuCoverTitle2">
    <w:name w:val="Su_Cover_Title2"/>
    <w:basedOn w:val="SuCoverTitle1"/>
    <w:next w:val="Normal"/>
    <w:rsid w:val="000F3873"/>
    <w:pPr>
      <w:spacing w:before="240"/>
    </w:pPr>
    <w:rPr>
      <w:sz w:val="18"/>
    </w:rPr>
  </w:style>
  <w:style w:type="paragraph" w:customStyle="1" w:styleId="SuPara">
    <w:name w:val="Su_Para"/>
    <w:basedOn w:val="SuKeywords"/>
    <w:rsid w:val="000F3873"/>
    <w:pPr>
      <w:spacing w:before="0" w:after="0"/>
    </w:pPr>
    <w:rPr>
      <w:i w:val="0"/>
    </w:rPr>
  </w:style>
  <w:style w:type="paragraph" w:customStyle="1" w:styleId="SuKeywords">
    <w:name w:val="Su_Keywords"/>
    <w:basedOn w:val="SuHHead"/>
    <w:rsid w:val="000F3873"/>
    <w:pPr>
      <w:spacing w:before="120"/>
    </w:pPr>
    <w:rPr>
      <w:b w:val="0"/>
      <w:i/>
    </w:rPr>
  </w:style>
  <w:style w:type="paragraph" w:customStyle="1" w:styleId="SuHHead">
    <w:name w:val="Su_H_Head"/>
    <w:basedOn w:val="SuSubject"/>
    <w:rsid w:val="000F3873"/>
    <w:pPr>
      <w:spacing w:after="120"/>
    </w:pPr>
  </w:style>
  <w:style w:type="paragraph" w:customStyle="1" w:styleId="SuSubject">
    <w:name w:val="Su_Subject"/>
    <w:basedOn w:val="SuSummary"/>
    <w:rsid w:val="000F3873"/>
    <w:pPr>
      <w:spacing w:before="360"/>
      <w:jc w:val="both"/>
    </w:pPr>
    <w:rPr>
      <w:b/>
      <w:sz w:val="22"/>
    </w:rPr>
  </w:style>
  <w:style w:type="paragraph" w:customStyle="1" w:styleId="SuSummary">
    <w:name w:val="Su_Summary"/>
    <w:basedOn w:val="Normal"/>
    <w:next w:val="SuSubject"/>
    <w:rsid w:val="000F3873"/>
    <w:pPr>
      <w:spacing w:after="240"/>
      <w:jc w:val="center"/>
    </w:pPr>
  </w:style>
  <w:style w:type="paragraph" w:customStyle="1" w:styleId="PListCaseNo">
    <w:name w:val="P_List_CaseNo"/>
    <w:basedOn w:val="Normal"/>
    <w:rsid w:val="000F3873"/>
    <w:pPr>
      <w:tabs>
        <w:tab w:val="left" w:pos="1276"/>
      </w:tabs>
      <w:spacing w:line="288" w:lineRule="auto"/>
      <w:ind w:left="1276" w:hanging="1276"/>
    </w:pPr>
  </w:style>
  <w:style w:type="paragraph" w:customStyle="1" w:styleId="PListCases">
    <w:name w:val="P_List_Cases"/>
    <w:basedOn w:val="Normal"/>
    <w:rsid w:val="000F3873"/>
    <w:pPr>
      <w:spacing w:line="288" w:lineRule="auto"/>
    </w:pPr>
  </w:style>
  <w:style w:type="paragraph" w:customStyle="1" w:styleId="PTextIntro">
    <w:name w:val="P_Text_Intro"/>
    <w:basedOn w:val="Normal"/>
    <w:rsid w:val="000F3873"/>
    <w:pPr>
      <w:jc w:val="both"/>
    </w:pPr>
    <w:rPr>
      <w:i/>
      <w:sz w:val="20"/>
    </w:rPr>
  </w:style>
  <w:style w:type="paragraph" w:customStyle="1" w:styleId="PTitleCover">
    <w:name w:val="P_Title_Cover"/>
    <w:basedOn w:val="Normal"/>
    <w:rsid w:val="000F3873"/>
    <w:pPr>
      <w:spacing w:before="2500"/>
      <w:jc w:val="center"/>
    </w:pPr>
    <w:rPr>
      <w:b/>
      <w:smallCaps/>
      <w:sz w:val="30"/>
    </w:rPr>
  </w:style>
  <w:style w:type="paragraph" w:customStyle="1" w:styleId="PTitle1Alpha">
    <w:name w:val="P_Title1_Alpha"/>
    <w:basedOn w:val="Normal"/>
    <w:next w:val="Normal"/>
    <w:rsid w:val="000F3873"/>
    <w:pPr>
      <w:spacing w:after="120"/>
      <w:jc w:val="center"/>
    </w:pPr>
    <w:rPr>
      <w:b/>
      <w:smallCaps/>
      <w:sz w:val="30"/>
    </w:rPr>
  </w:style>
  <w:style w:type="paragraph" w:customStyle="1" w:styleId="PTitle1IndexArticle">
    <w:name w:val="P_Title1_IndexArticle"/>
    <w:basedOn w:val="Normal"/>
    <w:rsid w:val="000F3873"/>
    <w:pPr>
      <w:spacing w:after="120"/>
      <w:jc w:val="center"/>
    </w:pPr>
    <w:rPr>
      <w:b/>
      <w:smallCaps/>
      <w:sz w:val="30"/>
    </w:rPr>
  </w:style>
  <w:style w:type="paragraph" w:customStyle="1" w:styleId="PTitle1IndexKey">
    <w:name w:val="P_Title1_IndexKey"/>
    <w:basedOn w:val="Normal"/>
    <w:rsid w:val="000F3873"/>
    <w:pPr>
      <w:spacing w:after="600"/>
      <w:jc w:val="center"/>
    </w:pPr>
    <w:rPr>
      <w:b/>
      <w:smallCaps/>
      <w:sz w:val="30"/>
    </w:rPr>
  </w:style>
  <w:style w:type="paragraph" w:customStyle="1" w:styleId="PTitle1Num">
    <w:name w:val="P_Title1_Num"/>
    <w:basedOn w:val="Normal"/>
    <w:next w:val="PListCaseNo"/>
    <w:rsid w:val="000F3873"/>
    <w:pPr>
      <w:spacing w:after="720"/>
      <w:jc w:val="center"/>
    </w:pPr>
    <w:rPr>
      <w:b/>
      <w:smallCaps/>
      <w:sz w:val="30"/>
    </w:rPr>
  </w:style>
  <w:style w:type="paragraph" w:customStyle="1" w:styleId="PTitle2Country">
    <w:name w:val="P_Title2_Country"/>
    <w:basedOn w:val="Normal"/>
    <w:next w:val="PListCases"/>
    <w:rsid w:val="000F3873"/>
    <w:pPr>
      <w:keepNext/>
      <w:keepLines/>
      <w:spacing w:before="600" w:after="360"/>
    </w:pPr>
    <w:rPr>
      <w:b/>
    </w:rPr>
  </w:style>
  <w:style w:type="paragraph" w:customStyle="1" w:styleId="PTitle2Letters">
    <w:name w:val="P_Title2_Letters"/>
    <w:basedOn w:val="Normal"/>
    <w:next w:val="PListCases"/>
    <w:rsid w:val="000F3873"/>
    <w:pPr>
      <w:keepNext/>
      <w:keepLines/>
      <w:spacing w:before="600" w:after="360"/>
    </w:pPr>
    <w:rPr>
      <w:b/>
      <w:sz w:val="28"/>
    </w:rPr>
  </w:style>
  <w:style w:type="paragraph" w:customStyle="1" w:styleId="PTitle2Part">
    <w:name w:val="P_Title2_Part"/>
    <w:basedOn w:val="Normal"/>
    <w:rsid w:val="000F3873"/>
    <w:pPr>
      <w:keepNext/>
      <w:keepLines/>
      <w:spacing w:before="600" w:after="240"/>
      <w:jc w:val="center"/>
    </w:pPr>
    <w:rPr>
      <w:b/>
      <w:caps/>
    </w:rPr>
  </w:style>
  <w:style w:type="paragraph" w:customStyle="1" w:styleId="PTitle3Article">
    <w:name w:val="P_Title3_Article"/>
    <w:basedOn w:val="Normal"/>
    <w:rsid w:val="000F3873"/>
    <w:pPr>
      <w:keepNext/>
      <w:keepLines/>
      <w:spacing w:before="360" w:after="120"/>
      <w:jc w:val="center"/>
    </w:pPr>
    <w:rPr>
      <w:b/>
      <w:smallCaps/>
      <w:sz w:val="22"/>
    </w:rPr>
  </w:style>
  <w:style w:type="paragraph" w:customStyle="1" w:styleId="PTitle4ArticleSub">
    <w:name w:val="P_Title4_Article_Sub"/>
    <w:basedOn w:val="PTitle3Article"/>
    <w:rsid w:val="000F3873"/>
    <w:pPr>
      <w:spacing w:before="240"/>
    </w:pPr>
    <w:rPr>
      <w:smallCaps w:val="0"/>
      <w:sz w:val="20"/>
    </w:rPr>
  </w:style>
  <w:style w:type="paragraph" w:customStyle="1" w:styleId="PTitle5Subject">
    <w:name w:val="P_Title5_Subject"/>
    <w:basedOn w:val="Normal"/>
    <w:rsid w:val="000F3873"/>
    <w:pPr>
      <w:keepNext/>
      <w:keepLines/>
      <w:spacing w:before="240" w:after="120"/>
      <w:jc w:val="both"/>
    </w:pPr>
    <w:rPr>
      <w:b/>
      <w:i/>
    </w:rPr>
  </w:style>
  <w:style w:type="paragraph" w:customStyle="1" w:styleId="PTitle6SubjectSub">
    <w:name w:val="P_Title6_Subject_Sub"/>
    <w:basedOn w:val="Normal"/>
    <w:rsid w:val="000F3873"/>
    <w:pPr>
      <w:keepNext/>
      <w:keepLines/>
      <w:spacing w:before="240" w:after="120"/>
      <w:ind w:left="284"/>
      <w:jc w:val="both"/>
    </w:pPr>
    <w:rPr>
      <w:b/>
      <w:sz w:val="20"/>
    </w:rPr>
  </w:style>
  <w:style w:type="paragraph" w:customStyle="1" w:styleId="PTitle7CaseName">
    <w:name w:val="P_Title7_CaseName"/>
    <w:basedOn w:val="Normal"/>
    <w:rsid w:val="000F3873"/>
    <w:pPr>
      <w:keepLines/>
      <w:spacing w:after="240"/>
      <w:jc w:val="right"/>
    </w:pPr>
    <w:rPr>
      <w:sz w:val="22"/>
    </w:rPr>
  </w:style>
  <w:style w:type="paragraph" w:customStyle="1" w:styleId="OpiParaSub">
    <w:name w:val="Opi_Para_Sub"/>
    <w:basedOn w:val="JuParaSub"/>
    <w:rsid w:val="000F3873"/>
  </w:style>
  <w:style w:type="paragraph" w:customStyle="1" w:styleId="OpiQuotSub">
    <w:name w:val="Opi_Quot_Sub"/>
    <w:basedOn w:val="JuQuotSub"/>
    <w:rsid w:val="000F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26794</Words>
  <Characters>152729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2016-05-27T08:35:00Z</dcterms:created>
  <dcterms:modified xsi:type="dcterms:W3CDTF">2016-05-27T08:36:00Z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