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5B" w:rsidRPr="008B347C" w:rsidRDefault="00357F5B" w:rsidP="00F44003">
      <w:pPr>
        <w:jc w:val="center"/>
      </w:pPr>
      <w:bookmarkStart w:id="0" w:name="_GoBack"/>
      <w:bookmarkEnd w:id="0"/>
    </w:p>
    <w:p w:rsidR="00746252" w:rsidRPr="008B347C" w:rsidRDefault="00746252" w:rsidP="00F44003">
      <w:pPr>
        <w:jc w:val="center"/>
      </w:pPr>
    </w:p>
    <w:p w:rsidR="00746252" w:rsidRPr="008B347C" w:rsidRDefault="00E04788" w:rsidP="00F44003">
      <w:pPr>
        <w:jc w:val="center"/>
      </w:pPr>
      <w:r>
        <w:t>ГОЛЯМА КАМАРА</w:t>
      </w: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pPr>
    </w:p>
    <w:p w:rsidR="00746252" w:rsidRPr="008B347C" w:rsidRDefault="00746252" w:rsidP="00F44003">
      <w:pPr>
        <w:jc w:val="center"/>
        <w:rPr>
          <w:b/>
        </w:rPr>
      </w:pPr>
      <w:bookmarkStart w:id="1" w:name="To"/>
      <w:r>
        <w:rPr>
          <w:b/>
        </w:rPr>
        <w:t xml:space="preserve">ДЕЛО </w:t>
      </w:r>
      <w:bookmarkEnd w:id="1"/>
      <w:r>
        <w:rPr>
          <w:b/>
        </w:rPr>
        <w:t xml:space="preserve">КИПЪР </w:t>
      </w:r>
      <w:r w:rsidR="007E2A87">
        <w:rPr>
          <w:b/>
        </w:rPr>
        <w:t>срещу</w:t>
      </w:r>
      <w:r>
        <w:rPr>
          <w:b/>
        </w:rPr>
        <w:t xml:space="preserve"> ТУРЦИЯ</w:t>
      </w:r>
    </w:p>
    <w:p w:rsidR="00746252" w:rsidRPr="008B347C" w:rsidRDefault="00746252" w:rsidP="00F44003">
      <w:pPr>
        <w:jc w:val="center"/>
      </w:pPr>
    </w:p>
    <w:p w:rsidR="00746252" w:rsidRPr="008B347C" w:rsidRDefault="00746252" w:rsidP="00F44003">
      <w:pPr>
        <w:jc w:val="center"/>
        <w:rPr>
          <w:i/>
        </w:rPr>
      </w:pPr>
      <w:r>
        <w:rPr>
          <w:i/>
        </w:rPr>
        <w:t>(Жалба № 25781/94)</w:t>
      </w:r>
    </w:p>
    <w:p w:rsidR="00746252" w:rsidRPr="008B347C" w:rsidRDefault="00746252" w:rsidP="00F44003">
      <w:pPr>
        <w:jc w:val="center"/>
      </w:pPr>
    </w:p>
    <w:p w:rsidR="00746252" w:rsidRPr="008B347C" w:rsidRDefault="00746252" w:rsidP="00F44003">
      <w:pPr>
        <w:jc w:val="center"/>
      </w:pPr>
    </w:p>
    <w:p w:rsidR="00DD4DB0" w:rsidRPr="008B347C" w:rsidRDefault="00DD4DB0" w:rsidP="00F44003">
      <w:pPr>
        <w:jc w:val="center"/>
      </w:pPr>
    </w:p>
    <w:p w:rsidR="00DD4DB0" w:rsidRPr="008B347C" w:rsidRDefault="00DD4DB0" w:rsidP="00F44003">
      <w:pPr>
        <w:jc w:val="center"/>
      </w:pPr>
    </w:p>
    <w:p w:rsidR="00DD4DB0" w:rsidRPr="008B347C" w:rsidRDefault="00DD4DB0" w:rsidP="00F44003">
      <w:pPr>
        <w:jc w:val="center"/>
      </w:pPr>
    </w:p>
    <w:p w:rsidR="00DD4DB0" w:rsidRPr="008B347C" w:rsidRDefault="00DD4DB0" w:rsidP="00F44003">
      <w:pPr>
        <w:jc w:val="center"/>
        <w:rPr>
          <w:szCs w:val="24"/>
        </w:rPr>
      </w:pPr>
    </w:p>
    <w:p w:rsidR="00357F5B" w:rsidRPr="008B347C" w:rsidRDefault="00357F5B" w:rsidP="00F44003">
      <w:pPr>
        <w:jc w:val="center"/>
        <w:rPr>
          <w:szCs w:val="24"/>
          <w:u w:val="single"/>
        </w:rPr>
      </w:pPr>
    </w:p>
    <w:p w:rsidR="00357F5B" w:rsidRPr="008B347C" w:rsidRDefault="00357F5B" w:rsidP="00F44003">
      <w:pPr>
        <w:jc w:val="center"/>
        <w:rPr>
          <w:szCs w:val="24"/>
          <w:u w:val="single"/>
        </w:rPr>
      </w:pPr>
    </w:p>
    <w:p w:rsidR="00357F5B" w:rsidRPr="008B347C" w:rsidRDefault="00357F5B" w:rsidP="00F44003">
      <w:pPr>
        <w:jc w:val="center"/>
        <w:rPr>
          <w:szCs w:val="24"/>
          <w:u w:val="single"/>
        </w:rPr>
      </w:pPr>
    </w:p>
    <w:p w:rsidR="00357F5B" w:rsidRPr="008B347C" w:rsidRDefault="00357F5B" w:rsidP="00F44003">
      <w:pPr>
        <w:jc w:val="center"/>
        <w:rPr>
          <w:szCs w:val="24"/>
          <w:u w:val="single"/>
        </w:rPr>
      </w:pPr>
    </w:p>
    <w:p w:rsidR="00E04788" w:rsidRPr="00EF358D" w:rsidRDefault="00357F5B" w:rsidP="00F44003">
      <w:pPr>
        <w:jc w:val="center"/>
        <w:rPr>
          <w:szCs w:val="24"/>
        </w:rPr>
      </w:pPr>
      <w:r>
        <w:t>РЕШЕНИЕ</w:t>
      </w:r>
    </w:p>
    <w:p w:rsidR="00E04788" w:rsidRPr="008B347C" w:rsidRDefault="00E04788" w:rsidP="00F44003">
      <w:pPr>
        <w:jc w:val="center"/>
        <w:rPr>
          <w:szCs w:val="24"/>
        </w:rPr>
      </w:pPr>
      <w:r>
        <w:t>(Справедливо обезщетение)</w:t>
      </w:r>
    </w:p>
    <w:p w:rsidR="00357F5B" w:rsidRPr="008B347C" w:rsidRDefault="00357F5B" w:rsidP="00EF358D">
      <w:pPr>
        <w:pStyle w:val="JuCase"/>
        <w:ind w:firstLine="0"/>
        <w:rPr>
          <w:b w:val="0"/>
        </w:rPr>
      </w:pPr>
    </w:p>
    <w:p w:rsidR="00357F5B" w:rsidRPr="008B347C" w:rsidRDefault="00357F5B" w:rsidP="00EF358D">
      <w:pPr>
        <w:pStyle w:val="ECHRPara"/>
        <w:ind w:firstLine="0"/>
        <w:jc w:val="center"/>
      </w:pPr>
    </w:p>
    <w:p w:rsidR="00357F5B" w:rsidRPr="008B347C" w:rsidRDefault="00357F5B" w:rsidP="00EF358D">
      <w:pPr>
        <w:pStyle w:val="ECHRPara"/>
        <w:ind w:firstLine="0"/>
        <w:jc w:val="center"/>
      </w:pPr>
    </w:p>
    <w:p w:rsidR="00357F5B" w:rsidRPr="008B347C" w:rsidRDefault="00357F5B" w:rsidP="00EF358D">
      <w:pPr>
        <w:pStyle w:val="ECHRPara"/>
        <w:ind w:firstLine="0"/>
        <w:jc w:val="center"/>
      </w:pPr>
    </w:p>
    <w:p w:rsidR="00357F5B" w:rsidRPr="008B347C" w:rsidRDefault="00357F5B" w:rsidP="00EF358D">
      <w:pPr>
        <w:pStyle w:val="ECHRPara"/>
        <w:ind w:firstLine="0"/>
        <w:jc w:val="center"/>
      </w:pPr>
      <w:r>
        <w:t>СТРАСБУРГ</w:t>
      </w:r>
    </w:p>
    <w:p w:rsidR="00357F5B" w:rsidRPr="008B347C" w:rsidRDefault="00357F5B" w:rsidP="00EF358D">
      <w:pPr>
        <w:pStyle w:val="ECHRPara"/>
        <w:ind w:firstLine="0"/>
        <w:jc w:val="center"/>
      </w:pPr>
    </w:p>
    <w:p w:rsidR="00357F5B" w:rsidRPr="008B347C" w:rsidRDefault="00715D78" w:rsidP="00EF358D">
      <w:pPr>
        <w:pStyle w:val="ECHRPara"/>
        <w:ind w:firstLine="0"/>
        <w:jc w:val="center"/>
      </w:pPr>
      <w:r>
        <w:t>12 май 2014 г.</w:t>
      </w:r>
    </w:p>
    <w:p w:rsidR="00357F5B" w:rsidRPr="008B347C" w:rsidRDefault="00357F5B" w:rsidP="00EF358D">
      <w:pPr>
        <w:pStyle w:val="ECHRPara"/>
        <w:ind w:firstLine="0"/>
        <w:jc w:val="center"/>
      </w:pPr>
    </w:p>
    <w:p w:rsidR="00357F5B" w:rsidRPr="008B347C" w:rsidRDefault="00357F5B" w:rsidP="00EF358D">
      <w:pPr>
        <w:pStyle w:val="ECHRPara"/>
        <w:ind w:firstLine="0"/>
        <w:jc w:val="center"/>
      </w:pPr>
    </w:p>
    <w:p w:rsidR="00357F5B" w:rsidRDefault="00357F5B" w:rsidP="00F44003">
      <w:pPr>
        <w:pStyle w:val="ECHRPara"/>
        <w:ind w:firstLine="0"/>
        <w:rPr>
          <w:i/>
        </w:rPr>
      </w:pPr>
      <w:r>
        <w:rPr>
          <w:i/>
        </w:rPr>
        <w:t>Настоящото решение е окончателно, но в него могат да бъдат нанесени редакционни промени.</w:t>
      </w:r>
    </w:p>
    <w:p w:rsidR="00F01F8E" w:rsidRPr="008B347C" w:rsidRDefault="00F01F8E" w:rsidP="00F44003">
      <w:pPr>
        <w:pStyle w:val="ECHRPara"/>
        <w:ind w:firstLine="0"/>
        <w:sectPr w:rsidR="00F01F8E" w:rsidRPr="008B347C" w:rsidSect="00357F5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docGrid w:linePitch="326"/>
        </w:sectPr>
      </w:pPr>
    </w:p>
    <w:p w:rsidR="00AC4FBA" w:rsidRPr="008B347C" w:rsidRDefault="00746252" w:rsidP="00F44003">
      <w:pPr>
        <w:pStyle w:val="JuCase"/>
        <w:rPr>
          <w:b w:val="0"/>
          <w:bCs/>
        </w:rPr>
      </w:pPr>
      <w:r>
        <w:lastRenderedPageBreak/>
        <w:t>По делото Кипър срещу Турция</w:t>
      </w:r>
    </w:p>
    <w:p w:rsidR="007E7913" w:rsidRPr="008B347C" w:rsidRDefault="00746252" w:rsidP="00EF358D">
      <w:pPr>
        <w:pStyle w:val="ECHRPara"/>
        <w:rPr>
          <w:b/>
          <w:bCs/>
        </w:rPr>
      </w:pPr>
      <w:r>
        <w:t>Европейският съд по правата на човека</w:t>
      </w:r>
      <w:r w:rsidR="007E2A87" w:rsidRPr="00075945">
        <w:t>,</w:t>
      </w:r>
      <w:r>
        <w:t xml:space="preserve"> </w:t>
      </w:r>
      <w:r w:rsidR="007E2A87">
        <w:t xml:space="preserve">заседаващ </w:t>
      </w:r>
      <w:r w:rsidR="007E2A87" w:rsidRPr="00075945">
        <w:t xml:space="preserve">като </w:t>
      </w:r>
      <w:r>
        <w:t>Голяма камара в състав:</w:t>
      </w:r>
    </w:p>
    <w:p w:rsidR="00A32A00" w:rsidRPr="008B347C" w:rsidRDefault="008A0435" w:rsidP="00F44003">
      <w:pPr>
        <w:pStyle w:val="ECHRDecisionBody"/>
      </w:pPr>
      <w:r>
        <w:tab/>
      </w:r>
      <w:r w:rsidR="002208EB">
        <w:t xml:space="preserve">Хосеп </w:t>
      </w:r>
      <w:r>
        <w:t>Касадевал (Josep Casadevall),</w:t>
      </w:r>
      <w:r>
        <w:rPr>
          <w:i/>
        </w:rPr>
        <w:t xml:space="preserve"> председател,</w:t>
      </w:r>
      <w:r>
        <w:rPr>
          <w:i/>
        </w:rPr>
        <w:br/>
      </w:r>
      <w:r>
        <w:tab/>
        <w:t>Франсоа Тулкенс (Françoise Tulkens),</w:t>
      </w:r>
      <w:r>
        <w:rPr>
          <w:i/>
        </w:rPr>
        <w:br/>
      </w:r>
      <w:r>
        <w:tab/>
        <w:t>Гуидо Раймонди (Guido Raimondi),</w:t>
      </w:r>
      <w:r>
        <w:rPr>
          <w:i/>
        </w:rPr>
        <w:br/>
      </w:r>
      <w:r>
        <w:tab/>
        <w:t>Нина Ва</w:t>
      </w:r>
      <w:r w:rsidR="002208EB">
        <w:t>й</w:t>
      </w:r>
      <w:r>
        <w:t>ич (Nina Vajić),</w:t>
      </w:r>
      <w:r>
        <w:rPr>
          <w:i/>
        </w:rPr>
        <w:br/>
      </w:r>
      <w:r>
        <w:tab/>
        <w:t>Марк Вилигер (Mark Villiger),</w:t>
      </w:r>
      <w:r>
        <w:rPr>
          <w:i/>
        </w:rPr>
        <w:br/>
      </w:r>
      <w:r>
        <w:tab/>
        <w:t>Корнелиу Бирсан (Corneliu Bîrsan),</w:t>
      </w:r>
      <w:r>
        <w:tab/>
      </w:r>
      <w:r>
        <w:rPr>
          <w:i/>
        </w:rPr>
        <w:br/>
      </w:r>
      <w:r>
        <w:tab/>
        <w:t xml:space="preserve">Боштян М. </w:t>
      </w:r>
      <w:r w:rsidR="002208EB">
        <w:t xml:space="preserve">Зупанчич </w:t>
      </w:r>
      <w:r>
        <w:t>(Boštjan M. Zupančič),</w:t>
      </w:r>
      <w:r>
        <w:rPr>
          <w:i/>
        </w:rPr>
        <w:br/>
      </w:r>
      <w:r>
        <w:tab/>
        <w:t>Алвина Гюлумян (Alvina Gyulumyan),</w:t>
      </w:r>
      <w:r>
        <w:rPr>
          <w:i/>
        </w:rPr>
        <w:br/>
      </w:r>
      <w:r>
        <w:tab/>
        <w:t>Давид Тор Бьоргвинсон (David Thór Björgvinsson),</w:t>
      </w:r>
      <w:r>
        <w:rPr>
          <w:i/>
        </w:rPr>
        <w:br/>
      </w:r>
      <w:r>
        <w:tab/>
        <w:t>Георге Николау (George Nicolaou),</w:t>
      </w:r>
      <w:r>
        <w:rPr>
          <w:i/>
        </w:rPr>
        <w:br/>
      </w:r>
      <w:r>
        <w:tab/>
        <w:t>Андраш Сайо (András Sajó),</w:t>
      </w:r>
    </w:p>
    <w:p w:rsidR="00E17294" w:rsidRPr="008B347C" w:rsidRDefault="00A32A00" w:rsidP="00F44003">
      <w:pPr>
        <w:pStyle w:val="ECHRDecisionBody"/>
        <w:rPr>
          <w:i/>
        </w:rPr>
      </w:pPr>
      <w:r>
        <w:tab/>
        <w:t>Миряна Лазарова Трайковска (Mirjana Lazarova Trajkovska),</w:t>
      </w:r>
      <w:r>
        <w:rPr>
          <w:i/>
        </w:rPr>
        <w:br/>
      </w:r>
      <w:r>
        <w:tab/>
        <w:t>Леди Бианку (Ledi Bianku),</w:t>
      </w:r>
      <w:r>
        <w:rPr>
          <w:i/>
        </w:rPr>
        <w:br/>
      </w:r>
      <w:r>
        <w:tab/>
        <w:t>Ан Пауър-Форд (Ann Power-Forde),</w:t>
      </w:r>
      <w:r>
        <w:rPr>
          <w:i/>
        </w:rPr>
        <w:br/>
      </w:r>
      <w:r>
        <w:tab/>
        <w:t>Ишил Каракаш (Işıl Karakaş),</w:t>
      </w:r>
      <w:r>
        <w:rPr>
          <w:i/>
        </w:rPr>
        <w:br/>
      </w:r>
      <w:r>
        <w:tab/>
        <w:t>Небойша В</w:t>
      </w:r>
      <w:r w:rsidR="006F03F6">
        <w:t>у</w:t>
      </w:r>
      <w:r>
        <w:t>чинич (Nebojša Vučinić),</w:t>
      </w:r>
      <w:r>
        <w:rPr>
          <w:i/>
        </w:rPr>
        <w:br/>
      </w:r>
      <w:r>
        <w:tab/>
        <w:t>Пауло Пинто де Албукерк (Paulo Pinto de Albuquerque)</w:t>
      </w:r>
      <w:r>
        <w:rPr>
          <w:i/>
        </w:rPr>
        <w:t xml:space="preserve"> съдии,</w:t>
      </w:r>
    </w:p>
    <w:p w:rsidR="00F87E15" w:rsidRPr="008B347C" w:rsidRDefault="00F87E15" w:rsidP="00F44003">
      <w:pPr>
        <w:pStyle w:val="ECHRDecisionBody"/>
      </w:pPr>
      <w:r>
        <w:t>и Майкъл О’Бойл</w:t>
      </w:r>
      <w:r w:rsidR="006F03F6">
        <w:t xml:space="preserve"> (</w:t>
      </w:r>
      <w:r w:rsidR="006F03F6" w:rsidRPr="006F03F6">
        <w:rPr>
          <w:lang w:val="en-US"/>
        </w:rPr>
        <w:t>Michael</w:t>
      </w:r>
      <w:r w:rsidR="006F03F6" w:rsidRPr="00075945">
        <w:t xml:space="preserve"> </w:t>
      </w:r>
      <w:r w:rsidR="006F03F6" w:rsidRPr="006F03F6">
        <w:rPr>
          <w:lang w:val="en-US"/>
        </w:rPr>
        <w:t>O</w:t>
      </w:r>
      <w:r w:rsidR="006F03F6" w:rsidRPr="00075945">
        <w:t>’</w:t>
      </w:r>
      <w:r w:rsidR="006F03F6" w:rsidRPr="006F03F6">
        <w:rPr>
          <w:lang w:val="en-US"/>
        </w:rPr>
        <w:t>Boyle</w:t>
      </w:r>
      <w:r w:rsidR="006F03F6">
        <w:t>)</w:t>
      </w:r>
      <w:r>
        <w:t xml:space="preserve">, </w:t>
      </w:r>
      <w:r>
        <w:rPr>
          <w:i/>
        </w:rPr>
        <w:t>заместник-секретар</w:t>
      </w:r>
      <w:r>
        <w:t>,</w:t>
      </w:r>
    </w:p>
    <w:p w:rsidR="00746252" w:rsidRPr="008B347C" w:rsidRDefault="00746252" w:rsidP="00F44003">
      <w:pPr>
        <w:pStyle w:val="ECHRPara"/>
      </w:pPr>
      <w:r>
        <w:t xml:space="preserve">След закрити заседания, проведени на 14 март 2012 г., </w:t>
      </w:r>
      <w:r w:rsidR="004B3407">
        <w:t xml:space="preserve">на </w:t>
      </w:r>
      <w:r>
        <w:t xml:space="preserve">10 април 2013 г., </w:t>
      </w:r>
      <w:r w:rsidR="004B3407">
        <w:t xml:space="preserve">на </w:t>
      </w:r>
      <w:r>
        <w:t>27 юни 2013 г. и на 12 март 2014 г.,</w:t>
      </w:r>
    </w:p>
    <w:p w:rsidR="00746252" w:rsidRPr="008B347C" w:rsidRDefault="00746252" w:rsidP="00F44003">
      <w:pPr>
        <w:pStyle w:val="ECHRPara"/>
      </w:pPr>
      <w:r>
        <w:t>Постанови следното решение, прието на последно посочената дата:</w:t>
      </w:r>
    </w:p>
    <w:p w:rsidR="00746252" w:rsidRPr="008B347C" w:rsidRDefault="00746252" w:rsidP="00F44003">
      <w:pPr>
        <w:pStyle w:val="ECHRTitle1"/>
      </w:pPr>
      <w:r>
        <w:t>ПРОЦЕДУРА</w:t>
      </w:r>
    </w:p>
    <w:p w:rsidR="002F4517" w:rsidRPr="008B347C" w:rsidRDefault="00075945" w:rsidP="00F44003">
      <w:pPr>
        <w:pStyle w:val="ECHRPara"/>
      </w:pPr>
      <w:r>
        <w:fldChar w:fldCharType="begin"/>
      </w:r>
      <w:r>
        <w:instrText xml:space="preserve"> SEQ level0 \*arabic </w:instrText>
      </w:r>
      <w:r>
        <w:fldChar w:fldCharType="separate"/>
      </w:r>
      <w:r w:rsidR="007A52DC">
        <w:rPr>
          <w:noProof/>
        </w:rPr>
        <w:t>1</w:t>
      </w:r>
      <w:r>
        <w:rPr>
          <w:noProof/>
        </w:rPr>
        <w:fldChar w:fldCharType="end"/>
      </w:r>
      <w:r w:rsidR="00E04788">
        <w:t xml:space="preserve">.  Делото е отнесено до Съда съгласно разпоредбите, приложими преди влизането в сила на Протокол № 11 </w:t>
      </w:r>
      <w:r w:rsidR="004B3407">
        <w:t xml:space="preserve">от </w:t>
      </w:r>
      <w:r w:rsidR="00E04788">
        <w:t>Конвенцията за защита на правата на човека и основните свободи (</w:t>
      </w:r>
      <w:r w:rsidR="004B3407">
        <w:t>„</w:t>
      </w:r>
      <w:r w:rsidR="00E04788">
        <w:t>Конвенцията</w:t>
      </w:r>
      <w:r w:rsidR="004B3407">
        <w:t>“</w:t>
      </w:r>
      <w:r w:rsidR="00E04788">
        <w:t xml:space="preserve">) от правителството на Република Кипър („Правителството жалбоподател“) на 30 август 1999 г. и от Европейската </w:t>
      </w:r>
      <w:r w:rsidR="004B3407">
        <w:t>к</w:t>
      </w:r>
      <w:r w:rsidR="00E04788">
        <w:t>омисия по правата на човека на 11 септември 1999 г. (чл</w:t>
      </w:r>
      <w:r w:rsidR="004B3407">
        <w:t>.</w:t>
      </w:r>
      <w:r w:rsidR="00E04788">
        <w:t xml:space="preserve"> 5 § 4 от Протокол № 11 и предишни членове 47 и 48 от Конвенцията).</w:t>
      </w:r>
    </w:p>
    <w:p w:rsidR="00093B9D" w:rsidRPr="008B347C" w:rsidRDefault="00075945" w:rsidP="00F44003">
      <w:pPr>
        <w:pStyle w:val="ECHRPara"/>
      </w:pPr>
      <w:r>
        <w:fldChar w:fldCharType="begin"/>
      </w:r>
      <w:r>
        <w:instrText xml:space="preserve"> SEQ level0 \*arabic </w:instrText>
      </w:r>
      <w:r>
        <w:fldChar w:fldCharType="separate"/>
      </w:r>
      <w:r w:rsidR="007A52DC">
        <w:rPr>
          <w:noProof/>
        </w:rPr>
        <w:t>2</w:t>
      </w:r>
      <w:r>
        <w:rPr>
          <w:noProof/>
        </w:rPr>
        <w:fldChar w:fldCharType="end"/>
      </w:r>
      <w:r w:rsidR="00093B9D">
        <w:t xml:space="preserve">. В хода на производството по </w:t>
      </w:r>
      <w:r w:rsidR="004B3407">
        <w:t>основателността на</w:t>
      </w:r>
      <w:r w:rsidR="00093B9D">
        <w:t xml:space="preserve"> делото, на 27 октомври 1999 г. председателя</w:t>
      </w:r>
      <w:r w:rsidR="00A02EB2">
        <w:t>т</w:t>
      </w:r>
      <w:r w:rsidR="00093B9D">
        <w:t xml:space="preserve"> на Съда се среща с </w:t>
      </w:r>
      <w:r w:rsidR="00A02EB2">
        <w:t xml:space="preserve">агента </w:t>
      </w:r>
      <w:r w:rsidR="00093B9D">
        <w:t xml:space="preserve">на Правителството жалбоподател и </w:t>
      </w:r>
      <w:r w:rsidR="00A02EB2">
        <w:t>с агента</w:t>
      </w:r>
      <w:r w:rsidR="00093B9D">
        <w:t xml:space="preserve"> на Правителството на Република Турция („Правителството ответник“)</w:t>
      </w:r>
      <w:r w:rsidR="00A02EB2">
        <w:t>,</w:t>
      </w:r>
      <w:r w:rsidR="00093B9D">
        <w:t xml:space="preserve"> за </w:t>
      </w:r>
      <w:r w:rsidR="00A02EB2">
        <w:t xml:space="preserve">да </w:t>
      </w:r>
      <w:r w:rsidR="00093B9D">
        <w:t>обсъд</w:t>
      </w:r>
      <w:r w:rsidR="00A02EB2">
        <w:t>ят</w:t>
      </w:r>
      <w:r w:rsidR="00093B9D">
        <w:t xml:space="preserve"> някои предварителни процедурни въпроси по делото. </w:t>
      </w:r>
      <w:r w:rsidR="00A02EB2">
        <w:t xml:space="preserve">Агентите </w:t>
      </w:r>
      <w:r w:rsidR="00093B9D">
        <w:t>прие</w:t>
      </w:r>
      <w:r w:rsidR="00A02EB2">
        <w:t>м</w:t>
      </w:r>
      <w:r w:rsidR="00093B9D">
        <w:t>а</w:t>
      </w:r>
      <w:r w:rsidR="00A02EB2">
        <w:t>т</w:t>
      </w:r>
      <w:r w:rsidR="00093B9D">
        <w:t>, че ако Съдът констатира нарушение, е необходима отделна процедура за разглеждане на искове по чл</w:t>
      </w:r>
      <w:r w:rsidR="00A02EB2">
        <w:t>.</w:t>
      </w:r>
      <w:r w:rsidR="00093B9D">
        <w:t xml:space="preserve"> 41 от Конвенцията.</w:t>
      </w:r>
    </w:p>
    <w:p w:rsidR="00093B9D" w:rsidRPr="008B347C" w:rsidRDefault="00075945" w:rsidP="00F44003">
      <w:pPr>
        <w:pStyle w:val="ECHRPara"/>
      </w:pPr>
      <w:r>
        <w:lastRenderedPageBreak/>
        <w:fldChar w:fldCharType="begin"/>
      </w:r>
      <w:r>
        <w:instrText xml:space="preserve"> SEQ level0 \*arabic </w:instrText>
      </w:r>
      <w:r>
        <w:fldChar w:fldCharType="separate"/>
      </w:r>
      <w:r w:rsidR="007A52DC">
        <w:rPr>
          <w:noProof/>
        </w:rPr>
        <w:t>3</w:t>
      </w:r>
      <w:r>
        <w:rPr>
          <w:noProof/>
        </w:rPr>
        <w:fldChar w:fldCharType="end"/>
      </w:r>
      <w:r w:rsidR="00EF358D">
        <w:t>.  С писмо от 29 ноември 1999 г. Съдът инструктира двете страни, както следва:</w:t>
      </w:r>
    </w:p>
    <w:p w:rsidR="00093B9D" w:rsidRPr="008B347C" w:rsidRDefault="00093B9D" w:rsidP="00F44003">
      <w:pPr>
        <w:pStyle w:val="ECHRParaQuote"/>
      </w:pPr>
      <w:r>
        <w:t>„</w:t>
      </w:r>
      <w:r w:rsidR="00FE7EE3">
        <w:t xml:space="preserve">От </w:t>
      </w:r>
      <w:r>
        <w:t xml:space="preserve">Правителството жалбоподател не </w:t>
      </w:r>
      <w:r w:rsidR="00FE7EE3">
        <w:t>се изисква</w:t>
      </w:r>
      <w:r>
        <w:t xml:space="preserve"> да подава иск за справедливо обезщетение по чл</w:t>
      </w:r>
      <w:r w:rsidR="00FE7EE3">
        <w:t>.</w:t>
      </w:r>
      <w:r>
        <w:t xml:space="preserve"> 41 от Конвенцията на този етап от производството. В зависимост от заключенията на Съда по </w:t>
      </w:r>
      <w:r w:rsidR="00FE7EE3">
        <w:t xml:space="preserve">основателността </w:t>
      </w:r>
      <w:r>
        <w:t xml:space="preserve">на </w:t>
      </w:r>
      <w:r w:rsidR="00FE7EE3">
        <w:t>жалбите</w:t>
      </w:r>
      <w:r>
        <w:t>, ще бъде организирана допълнителна процедура по този въпрос.“</w:t>
      </w:r>
    </w:p>
    <w:p w:rsidR="003F2754" w:rsidRPr="008B347C" w:rsidRDefault="00075945" w:rsidP="00F44003">
      <w:pPr>
        <w:pStyle w:val="ECHRPara"/>
      </w:pPr>
      <w:r>
        <w:fldChar w:fldCharType="begin"/>
      </w:r>
      <w:r>
        <w:instrText xml:space="preserve"> SEQ level0 \*arabic </w:instrText>
      </w:r>
      <w:r>
        <w:fldChar w:fldCharType="separate"/>
      </w:r>
      <w:r w:rsidR="007A52DC">
        <w:rPr>
          <w:noProof/>
        </w:rPr>
        <w:t>4</w:t>
      </w:r>
      <w:r>
        <w:rPr>
          <w:noProof/>
        </w:rPr>
        <w:fldChar w:fldCharType="end"/>
      </w:r>
      <w:r w:rsidR="00E04788">
        <w:t>.  </w:t>
      </w:r>
      <w:r w:rsidR="00FE7EE3">
        <w:t xml:space="preserve">С </w:t>
      </w:r>
      <w:r w:rsidR="00E04788">
        <w:t>решение от 10 май 2001 г. („основното решение“), Съдът (Голяма камара) констатира множество нарушения на Конвенцията от страна на Турция, причинени вследствие на турските военни операции в Северен Кипър през юли и август 1974 г., разделянето на територията на Кипър и функционирането на „Севернокипърската турска република“ („СКТР“) (</w:t>
      </w:r>
      <w:r w:rsidR="00E04788">
        <w:rPr>
          <w:i/>
        </w:rPr>
        <w:t xml:space="preserve">Кипър срещу Турция </w:t>
      </w:r>
      <w:r w:rsidR="00E04788">
        <w:t>[</w:t>
      </w:r>
      <w:r w:rsidR="006B0E8F" w:rsidRPr="00075945">
        <w:t>ГО</w:t>
      </w:r>
      <w:r w:rsidR="00E04788">
        <w:t>], № 25781/94, ЕСПЧ 2001</w:t>
      </w:r>
      <w:r w:rsidR="00E04788">
        <w:noBreakHyphen/>
        <w:t>IV</w:t>
      </w:r>
      <w:r w:rsidR="00E04788">
        <w:rPr>
          <w:rFonts w:ascii="Times New Roman" w:hAnsi="Times New Roman"/>
        </w:rPr>
        <w:t>)</w:t>
      </w:r>
      <w:r w:rsidR="00E04788">
        <w:t xml:space="preserve">. Относно справедливото </w:t>
      </w:r>
      <w:r w:rsidR="006B0E8F">
        <w:t>обезщетение</w:t>
      </w:r>
      <w:r w:rsidR="00E04788">
        <w:t>, Съдът единодушно реш</w:t>
      </w:r>
      <w:r w:rsidR="006B0E8F">
        <w:t>ава</w:t>
      </w:r>
      <w:r w:rsidR="00E04788">
        <w:t xml:space="preserve">, че въпросът </w:t>
      </w:r>
      <w:r w:rsidR="001C4348">
        <w:t>за</w:t>
      </w:r>
      <w:r w:rsidR="00E04788">
        <w:t xml:space="preserve"> възможното приложение на чл</w:t>
      </w:r>
      <w:r w:rsidR="001C4348">
        <w:t>.</w:t>
      </w:r>
      <w:r w:rsidR="00E04788">
        <w:t xml:space="preserve"> 41 от Конвенцията не е готов за реш</w:t>
      </w:r>
      <w:r w:rsidR="001C4348">
        <w:t>аване</w:t>
      </w:r>
      <w:r w:rsidR="00E04788">
        <w:t xml:space="preserve"> и </w:t>
      </w:r>
      <w:r w:rsidR="001C4348">
        <w:t xml:space="preserve">отлага </w:t>
      </w:r>
      <w:r w:rsidR="00E04788">
        <w:t xml:space="preserve">разглеждането </w:t>
      </w:r>
      <w:r w:rsidR="001C4348">
        <w:t>му</w:t>
      </w:r>
      <w:r w:rsidR="00E04788">
        <w:t>.</w:t>
      </w:r>
    </w:p>
    <w:p w:rsidR="00A221E0" w:rsidRPr="008B347C" w:rsidRDefault="00075945" w:rsidP="00F44003">
      <w:pPr>
        <w:pStyle w:val="ECHRPara"/>
      </w:pPr>
      <w:r>
        <w:fldChar w:fldCharType="begin"/>
      </w:r>
      <w:r>
        <w:instrText xml:space="preserve"> SEQ level0 \*arabic </w:instrText>
      </w:r>
      <w:r>
        <w:fldChar w:fldCharType="separate"/>
      </w:r>
      <w:r w:rsidR="007A52DC">
        <w:rPr>
          <w:noProof/>
        </w:rPr>
        <w:t>5</w:t>
      </w:r>
      <w:r>
        <w:rPr>
          <w:noProof/>
        </w:rPr>
        <w:fldChar w:fldCharType="end"/>
      </w:r>
      <w:r w:rsidR="00A221E0">
        <w:t>.  Делото във връзка с изпълнение на основното решение в момента се разглежда от Комитета на министрите на Съвета на Европа.</w:t>
      </w:r>
    </w:p>
    <w:p w:rsidR="00000239" w:rsidRPr="008B347C" w:rsidRDefault="00075945" w:rsidP="00F44003">
      <w:pPr>
        <w:pStyle w:val="ECHRPara"/>
      </w:pPr>
      <w:r>
        <w:fldChar w:fldCharType="begin"/>
      </w:r>
      <w:r>
        <w:instrText xml:space="preserve"> SEQ level0 \*arabic </w:instrText>
      </w:r>
      <w:r>
        <w:fldChar w:fldCharType="separate"/>
      </w:r>
      <w:r w:rsidR="007A52DC">
        <w:rPr>
          <w:noProof/>
        </w:rPr>
        <w:t>6</w:t>
      </w:r>
      <w:r>
        <w:rPr>
          <w:noProof/>
        </w:rPr>
        <w:fldChar w:fldCharType="end"/>
      </w:r>
      <w:r w:rsidR="00E04788">
        <w:t>.  На 31 август 2007 г. Правителството жалбоподател информира Съда, че възнамерява да подаде „иск до Голямата камара за подновяване на разглеждането на възможното приложение на чл</w:t>
      </w:r>
      <w:r w:rsidR="001C4348">
        <w:t>.</w:t>
      </w:r>
      <w:r w:rsidR="00E04788">
        <w:t xml:space="preserve"> 41 от Конвенцията“. На 11 март 2010 г. Правителството жалбоподател пода</w:t>
      </w:r>
      <w:r w:rsidR="001C4348">
        <w:t>ва</w:t>
      </w:r>
      <w:r w:rsidR="00E04788">
        <w:t xml:space="preserve"> до Съда исковете си за справедливо обезщетение във връзка с изчезнали лица, относно които Съдът </w:t>
      </w:r>
      <w:r w:rsidR="0002225E">
        <w:t xml:space="preserve">е </w:t>
      </w:r>
      <w:r w:rsidR="00E04788">
        <w:t>констатира</w:t>
      </w:r>
      <w:r w:rsidR="0002225E">
        <w:t>л</w:t>
      </w:r>
      <w:r w:rsidR="00E04788">
        <w:t xml:space="preserve"> нарушение на членове 2, 3 и 5 от Конвенцията (вж. глава ІІ, точки 2, 4 и 7 </w:t>
      </w:r>
      <w:r w:rsidR="0002225E">
        <w:t>от диспозитива на</w:t>
      </w:r>
      <w:r w:rsidR="00E04788">
        <w:t xml:space="preserve"> основното решение и съответните параграфи, за които се отнасят). </w:t>
      </w:r>
      <w:r w:rsidR="00CB5ADF">
        <w:t>Правителството жалбоподател</w:t>
      </w:r>
      <w:r w:rsidR="00CB5ADF" w:rsidDel="00CB5ADF">
        <w:t xml:space="preserve"> </w:t>
      </w:r>
      <w:r w:rsidR="00CB5ADF">
        <w:t>заявява</w:t>
      </w:r>
      <w:r w:rsidR="00E04788">
        <w:t xml:space="preserve">, че въпросът със справедливото обезщетение във връзка с останалите нарушения и по-конкретно свързаните с жилищата и имуществото на кипърски граждани от гръцки произход, остава </w:t>
      </w:r>
      <w:r w:rsidR="00CB5ADF">
        <w:t xml:space="preserve">нерешен </w:t>
      </w:r>
      <w:r w:rsidR="00E04788">
        <w:t xml:space="preserve">и че евентуално ще </w:t>
      </w:r>
      <w:r w:rsidR="00CB5ADF">
        <w:t>се върнат към него</w:t>
      </w:r>
      <w:r w:rsidR="00E04788">
        <w:t xml:space="preserve"> на по-късен етап. И двете </w:t>
      </w:r>
      <w:r w:rsidR="00CB5ADF">
        <w:t>П</w:t>
      </w:r>
      <w:r w:rsidR="00E04788">
        <w:t xml:space="preserve">равителства — </w:t>
      </w:r>
      <w:r w:rsidR="005543EF">
        <w:t>жалбоподател</w:t>
      </w:r>
      <w:r w:rsidR="00E04788">
        <w:t xml:space="preserve"> и ответник впоследствие пода</w:t>
      </w:r>
      <w:r w:rsidR="00CB5ADF">
        <w:t>ват</w:t>
      </w:r>
      <w:r w:rsidR="00E04788">
        <w:t xml:space="preserve"> </w:t>
      </w:r>
      <w:r w:rsidR="00586324">
        <w:t>становища</w:t>
      </w:r>
      <w:r w:rsidR="00E04788">
        <w:t>.</w:t>
      </w:r>
    </w:p>
    <w:p w:rsidR="00C7687A" w:rsidRPr="008B347C" w:rsidRDefault="00075945" w:rsidP="00F44003">
      <w:pPr>
        <w:pStyle w:val="ECHRPara"/>
      </w:pPr>
      <w:r>
        <w:fldChar w:fldCharType="begin"/>
      </w:r>
      <w:r>
        <w:instrText xml:space="preserve"> SEQ level0 \*arabic </w:instrText>
      </w:r>
      <w:r>
        <w:fldChar w:fldCharType="separate"/>
      </w:r>
      <w:r w:rsidR="007A52DC">
        <w:rPr>
          <w:noProof/>
        </w:rPr>
        <w:t>7</w:t>
      </w:r>
      <w:r>
        <w:rPr>
          <w:noProof/>
        </w:rPr>
        <w:fldChar w:fldCharType="end"/>
      </w:r>
      <w:r w:rsidR="007373FB">
        <w:t>.  На 7 април 2011 г. председателя</w:t>
      </w:r>
      <w:r w:rsidR="00586324">
        <w:t>т</w:t>
      </w:r>
      <w:r w:rsidR="007373FB">
        <w:t xml:space="preserve"> на Съда определ</w:t>
      </w:r>
      <w:r w:rsidR="00586324">
        <w:t>я</w:t>
      </w:r>
      <w:r w:rsidR="007373FB">
        <w:t xml:space="preserve"> състава на Голямата камара </w:t>
      </w:r>
      <w:r w:rsidR="00111536">
        <w:t>чрез жребий</w:t>
      </w:r>
      <w:r w:rsidR="00111536" w:rsidDel="00111536">
        <w:t xml:space="preserve"> </w:t>
      </w:r>
      <w:r w:rsidR="00111536">
        <w:t>с цел произнасяне</w:t>
      </w:r>
      <w:r w:rsidR="007373FB">
        <w:t xml:space="preserve"> </w:t>
      </w:r>
      <w:r w:rsidR="00111536">
        <w:t>по</w:t>
      </w:r>
      <w:r w:rsidR="007373FB">
        <w:t xml:space="preserve"> приложението на чл</w:t>
      </w:r>
      <w:r w:rsidR="00111536">
        <w:t>.</w:t>
      </w:r>
      <w:r w:rsidR="007373FB">
        <w:t xml:space="preserve"> 41 от Конвенцията (</w:t>
      </w:r>
      <w:r w:rsidR="00111536">
        <w:t>правила</w:t>
      </w:r>
      <w:r w:rsidR="007373FB">
        <w:t xml:space="preserve"> 24 и 75 § 2 от Правилника на Съда). </w:t>
      </w:r>
      <w:r w:rsidR="00376C15">
        <w:t>Впоследствие жребий тегли и</w:t>
      </w:r>
      <w:r w:rsidR="007373FB">
        <w:t xml:space="preserve"> председателя</w:t>
      </w:r>
      <w:r w:rsidR="00376C15">
        <w:t>т</w:t>
      </w:r>
      <w:r w:rsidR="007373FB">
        <w:t xml:space="preserve"> на Съда </w:t>
      </w:r>
      <w:r w:rsidR="00047138">
        <w:t>с цел попълване</w:t>
      </w:r>
      <w:r w:rsidR="007373FB">
        <w:t xml:space="preserve"> на състава (</w:t>
      </w:r>
      <w:r w:rsidR="00047138">
        <w:t xml:space="preserve">правило </w:t>
      </w:r>
      <w:r w:rsidR="007373FB">
        <w:t xml:space="preserve">24 § 2 </w:t>
      </w:r>
      <w:r w:rsidR="00047138">
        <w:t>(</w:t>
      </w:r>
      <w:r w:rsidR="007373FB">
        <w:t>д) от Правилника на Съда).</w:t>
      </w:r>
    </w:p>
    <w:p w:rsidR="008B347C" w:rsidRPr="008B347C" w:rsidRDefault="00A221E0"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8</w:t>
      </w:r>
      <w:r w:rsidRPr="008B347C">
        <w:rPr>
          <w:szCs w:val="24"/>
        </w:rPr>
        <w:fldChar w:fldCharType="end"/>
      </w:r>
      <w:r>
        <w:t>.  На 25 ноември 2011 г. Правителството жалбоподател изпра</w:t>
      </w:r>
      <w:r w:rsidR="00047138">
        <w:t>ща</w:t>
      </w:r>
      <w:r>
        <w:t xml:space="preserve"> на Съда </w:t>
      </w:r>
      <w:r w:rsidR="00047138">
        <w:t>искане</w:t>
      </w:r>
      <w:r>
        <w:t>, озаглавен</w:t>
      </w:r>
      <w:r w:rsidR="00047138">
        <w:t>о</w:t>
      </w:r>
      <w:r>
        <w:t xml:space="preserve"> „Искане за справедливо обезщетение (чл</w:t>
      </w:r>
      <w:r w:rsidR="00047138">
        <w:t>.</w:t>
      </w:r>
      <w:r>
        <w:t xml:space="preserve"> 41) от името на Република Кипър“, насочено към процедурата за прилагане на основното решение от страна на Комитета на министрите на Съвета на Европа </w:t>
      </w:r>
      <w:r w:rsidR="00047138">
        <w:t>с</w:t>
      </w:r>
      <w:r>
        <w:t xml:space="preserve"> иска</w:t>
      </w:r>
      <w:r w:rsidR="00047138">
        <w:t>не</w:t>
      </w:r>
      <w:r>
        <w:t xml:space="preserve"> </w:t>
      </w:r>
      <w:r w:rsidR="00047138">
        <w:t>към</w:t>
      </w:r>
      <w:r>
        <w:t xml:space="preserve"> Съда да предприеме конкретни стъпки за улесняване на прилагането на въпросното решение.</w:t>
      </w:r>
    </w:p>
    <w:p w:rsidR="00000239" w:rsidRPr="008B347C" w:rsidRDefault="006762AB" w:rsidP="00F44003">
      <w:pPr>
        <w:pStyle w:val="ECHRPara"/>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9</w:t>
      </w:r>
      <w:r w:rsidRPr="008B347C">
        <w:rPr>
          <w:szCs w:val="24"/>
        </w:rPr>
        <w:fldChar w:fldCharType="end"/>
      </w:r>
      <w:r>
        <w:t>.  С писмо от 21 март 2012 г., след обсъждания</w:t>
      </w:r>
      <w:r w:rsidR="00A716F0">
        <w:t>та</w:t>
      </w:r>
      <w:r>
        <w:t xml:space="preserve">, проведени на 14 март 2012 г., Съдът </w:t>
      </w:r>
      <w:r w:rsidR="00A716F0">
        <w:t>отправя покана до</w:t>
      </w:r>
      <w:r>
        <w:t xml:space="preserve"> Правителството жалбоподател да </w:t>
      </w:r>
      <w:r>
        <w:lastRenderedPageBreak/>
        <w:t>отговори на някои допълнителни въпроси и да подаде окончателните текстове на исковете за справедливо обезщетение. В отговор, на 18 юни 2012 г. Правителството жалбоподател промен</w:t>
      </w:r>
      <w:r w:rsidR="00A716F0">
        <w:t>я</w:t>
      </w:r>
      <w:r>
        <w:t xml:space="preserve"> първоначалните си искове по чл</w:t>
      </w:r>
      <w:r w:rsidR="00A716F0">
        <w:t>.</w:t>
      </w:r>
      <w:r>
        <w:t xml:space="preserve"> 41 от Конвенцията във връзка с изчезнали лица и </w:t>
      </w:r>
      <w:r w:rsidR="00A716F0">
        <w:t>повдига</w:t>
      </w:r>
      <w:r>
        <w:t xml:space="preserve"> нови искове за справедливо обезщетение във връзка с нарушаване на правата на човека (по-конкретно </w:t>
      </w:r>
      <w:r w:rsidR="00A716F0">
        <w:t xml:space="preserve">по </w:t>
      </w:r>
      <w:r>
        <w:t>членове 3, 8, 9, 10 и 13 от Конвенцията и чл</w:t>
      </w:r>
      <w:r w:rsidR="00A716F0">
        <w:t>.</w:t>
      </w:r>
      <w:r>
        <w:t xml:space="preserve"> 2 от Протокол № 1) на </w:t>
      </w:r>
      <w:r w:rsidR="009D49B5">
        <w:t>к</w:t>
      </w:r>
      <w:r>
        <w:t>ипър</w:t>
      </w:r>
      <w:r w:rsidR="009D49B5">
        <w:t>ските</w:t>
      </w:r>
      <w:r>
        <w:t xml:space="preserve"> гъ</w:t>
      </w:r>
      <w:r w:rsidR="009D49B5">
        <w:t>р</w:t>
      </w:r>
      <w:r>
        <w:t xml:space="preserve">ци </w:t>
      </w:r>
      <w:r w:rsidR="009D49B5">
        <w:t xml:space="preserve">в анклава </w:t>
      </w:r>
      <w:r>
        <w:t xml:space="preserve">на полуостров Карпас (вж. глава ІV, точки 4, 6, 11, 12, 15 и 19 от </w:t>
      </w:r>
      <w:r w:rsidR="009D49B5">
        <w:t xml:space="preserve">диспозитива </w:t>
      </w:r>
      <w:r>
        <w:t xml:space="preserve">на основното решение и съответните параграфи, за които се отнасят). </w:t>
      </w:r>
      <w:r w:rsidR="00EC03B7">
        <w:t>Н</w:t>
      </w:r>
      <w:r>
        <w:t>а 26 октомври 2012 г. Правителството ответник пода</w:t>
      </w:r>
      <w:r w:rsidR="00EC03B7">
        <w:t>ва</w:t>
      </w:r>
      <w:r>
        <w:t xml:space="preserve"> </w:t>
      </w:r>
      <w:r w:rsidR="00EC03B7">
        <w:t>становище</w:t>
      </w:r>
      <w:r>
        <w:t xml:space="preserve"> във връзка с въпросните искове.</w:t>
      </w:r>
    </w:p>
    <w:p w:rsidR="00746252" w:rsidRPr="008B347C" w:rsidRDefault="00746252" w:rsidP="00F44003">
      <w:pPr>
        <w:pStyle w:val="ECHRTitle1"/>
      </w:pPr>
      <w:r>
        <w:t>ЗАКОНЪТ</w:t>
      </w:r>
    </w:p>
    <w:p w:rsidR="003C6038" w:rsidRPr="008B347C" w:rsidRDefault="00075945" w:rsidP="00F44003">
      <w:pPr>
        <w:pStyle w:val="ECHRPara"/>
        <w:keepNext/>
        <w:keepLines/>
      </w:pPr>
      <w:r>
        <w:fldChar w:fldCharType="begin"/>
      </w:r>
      <w:r>
        <w:instrText xml:space="preserve"> SEQ level0 \*arabic </w:instrText>
      </w:r>
      <w:r>
        <w:fldChar w:fldCharType="separate"/>
      </w:r>
      <w:r w:rsidR="007A52DC">
        <w:rPr>
          <w:noProof/>
        </w:rPr>
        <w:t>10</w:t>
      </w:r>
      <w:r>
        <w:rPr>
          <w:noProof/>
        </w:rPr>
        <w:fldChar w:fldCharType="end"/>
      </w:r>
      <w:r w:rsidR="00E04788">
        <w:t>.  Чл</w:t>
      </w:r>
      <w:r w:rsidR="007C3CFE">
        <w:t>ен</w:t>
      </w:r>
      <w:r w:rsidR="00E04788">
        <w:t xml:space="preserve"> 41 от Конвенцията гласи:</w:t>
      </w:r>
    </w:p>
    <w:p w:rsidR="003C6038" w:rsidRPr="008B347C" w:rsidRDefault="00EC03B7" w:rsidP="00F44003">
      <w:pPr>
        <w:pStyle w:val="ECHRParaQuote"/>
        <w:keepNext/>
        <w:keepLines/>
      </w:pPr>
      <w:r>
        <w:t>„</w:t>
      </w:r>
      <w:r w:rsidR="00E04788">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3C6038" w:rsidRPr="008B347C" w:rsidRDefault="00075945" w:rsidP="00F44003">
      <w:pPr>
        <w:pStyle w:val="ECHRPara"/>
      </w:pPr>
      <w:r>
        <w:fldChar w:fldCharType="begin"/>
      </w:r>
      <w:r>
        <w:instrText xml:space="preserve"> SEQ level0 \*arabic </w:instrText>
      </w:r>
      <w:r>
        <w:fldChar w:fldCharType="separate"/>
      </w:r>
      <w:r w:rsidR="007A52DC">
        <w:rPr>
          <w:noProof/>
        </w:rPr>
        <w:t>11</w:t>
      </w:r>
      <w:r>
        <w:rPr>
          <w:noProof/>
        </w:rPr>
        <w:fldChar w:fldCharType="end"/>
      </w:r>
      <w:r w:rsidR="003C6038">
        <w:t>.  </w:t>
      </w:r>
      <w:r w:rsidR="007C3CFE">
        <w:t xml:space="preserve">Приложимите </w:t>
      </w:r>
      <w:r w:rsidR="003C6038">
        <w:t>части на чл. 46 от Конвенцията гласят след</w:t>
      </w:r>
      <w:r w:rsidR="007C3CFE">
        <w:t>ното</w:t>
      </w:r>
      <w:r w:rsidR="003C6038">
        <w:t>:</w:t>
      </w:r>
    </w:p>
    <w:p w:rsidR="003C6038" w:rsidRPr="008B347C" w:rsidRDefault="003C6038" w:rsidP="00F44003">
      <w:pPr>
        <w:pStyle w:val="ECHRParaQuote"/>
      </w:pPr>
      <w:r>
        <w:t>„1.  Високодоговарящите страни се задължават да изпълняват окончателните решения по същество на Съда по всяко дело, по което те са страна.</w:t>
      </w:r>
    </w:p>
    <w:p w:rsidR="003C6038" w:rsidRPr="008B347C" w:rsidRDefault="003C6038" w:rsidP="00F44003">
      <w:pPr>
        <w:pStyle w:val="ECHRParaQuote"/>
      </w:pPr>
      <w:r>
        <w:t>2.  Окончателното решение на Съда се изпраща на Комитета на министрите, който следи за неговото изпълнение. ...</w:t>
      </w:r>
      <w:r w:rsidR="007C3CFE">
        <w:t>“</w:t>
      </w:r>
    </w:p>
    <w:p w:rsidR="001526EC" w:rsidRPr="008B347C" w:rsidRDefault="00075945" w:rsidP="00F44003">
      <w:pPr>
        <w:pStyle w:val="ECHRPara"/>
      </w:pPr>
      <w:r>
        <w:fldChar w:fldCharType="begin"/>
      </w:r>
      <w:r>
        <w:instrText xml:space="preserve"> SEQ level0 \*arabic </w:instrText>
      </w:r>
      <w:r>
        <w:fldChar w:fldCharType="separate"/>
      </w:r>
      <w:r w:rsidR="007A52DC">
        <w:rPr>
          <w:noProof/>
        </w:rPr>
        <w:t>12</w:t>
      </w:r>
      <w:r>
        <w:rPr>
          <w:noProof/>
        </w:rPr>
        <w:fldChar w:fldCharType="end"/>
      </w:r>
      <w:r w:rsidR="003C6038">
        <w:t>.  </w:t>
      </w:r>
      <w:r w:rsidR="007C3CFE">
        <w:t xml:space="preserve">Правило </w:t>
      </w:r>
      <w:r w:rsidR="003C6038">
        <w:t>60 от Правил</w:t>
      </w:r>
      <w:r w:rsidR="007C3CFE">
        <w:t>ника</w:t>
      </w:r>
      <w:r w:rsidR="003C6038">
        <w:t xml:space="preserve"> на Съда гласи:</w:t>
      </w:r>
    </w:p>
    <w:p w:rsidR="008B347C" w:rsidRPr="008B347C" w:rsidRDefault="001526EC" w:rsidP="00F44003">
      <w:pPr>
        <w:pStyle w:val="ECHRParaQuote"/>
      </w:pPr>
      <w:r>
        <w:t>„1.  </w:t>
      </w:r>
      <w:r w:rsidR="00955893">
        <w:t>Жалбоподател</w:t>
      </w:r>
      <w:r>
        <w:t>, който желае да му бъде изплатено справедливо обезщетение по чл</w:t>
      </w:r>
      <w:r w:rsidR="007C3CFE">
        <w:t>.</w:t>
      </w:r>
      <w:r>
        <w:t xml:space="preserve"> 41 от Конвенцията, в случай че Съдът </w:t>
      </w:r>
      <w:r w:rsidR="007C3CFE">
        <w:t>констатира</w:t>
      </w:r>
      <w:r>
        <w:t xml:space="preserve"> нарушение на неговите права по Конвенцията, трябва да подаде конкретен иск за целта.</w:t>
      </w:r>
    </w:p>
    <w:p w:rsidR="001526EC" w:rsidRPr="008B347C" w:rsidRDefault="001526EC" w:rsidP="00F44003">
      <w:pPr>
        <w:pStyle w:val="ECHRParaQuote"/>
      </w:pPr>
      <w:r>
        <w:t>2.  </w:t>
      </w:r>
      <w:r w:rsidR="00955893">
        <w:t xml:space="preserve">Жалбоподателят </w:t>
      </w:r>
      <w:r>
        <w:t>трябва да предостави подробни данни във връзка с всички искове, заедно с придружаващите документи, в срока, определен за подаване на становищ</w:t>
      </w:r>
      <w:r w:rsidR="00955893">
        <w:t>ето</w:t>
      </w:r>
      <w:r>
        <w:t xml:space="preserve"> на </w:t>
      </w:r>
      <w:r w:rsidR="00955893">
        <w:t>жалбоподателя</w:t>
      </w:r>
      <w:r>
        <w:t xml:space="preserve"> по </w:t>
      </w:r>
      <w:r w:rsidR="00955893">
        <w:t>основателността</w:t>
      </w:r>
      <w:r>
        <w:t>, освен ако председателя</w:t>
      </w:r>
      <w:r w:rsidR="00955893">
        <w:t>т</w:t>
      </w:r>
      <w:r>
        <w:t xml:space="preserve"> на </w:t>
      </w:r>
      <w:r w:rsidR="00955893">
        <w:t xml:space="preserve">състава </w:t>
      </w:r>
      <w:r>
        <w:t>не р</w:t>
      </w:r>
      <w:r w:rsidR="00955893">
        <w:t>азпореди</w:t>
      </w:r>
      <w:r>
        <w:t xml:space="preserve"> друго.</w:t>
      </w:r>
    </w:p>
    <w:p w:rsidR="001526EC" w:rsidRPr="008B347C" w:rsidRDefault="001526EC" w:rsidP="00F44003">
      <w:pPr>
        <w:pStyle w:val="ECHRParaQuote"/>
      </w:pPr>
      <w:r>
        <w:t xml:space="preserve">3.  В случай че </w:t>
      </w:r>
      <w:r w:rsidR="005543EF">
        <w:t>жалбоподателят</w:t>
      </w:r>
      <w:r>
        <w:t xml:space="preserve"> не спази изискванията, изложени в предходните параграфи, </w:t>
      </w:r>
      <w:r w:rsidR="00942D3C">
        <w:t xml:space="preserve">съставът </w:t>
      </w:r>
      <w:r>
        <w:t xml:space="preserve">има право да отхвърли частично или изцяло </w:t>
      </w:r>
      <w:r w:rsidR="00942D3C">
        <w:t>исковете</w:t>
      </w:r>
      <w:r>
        <w:t>.</w:t>
      </w:r>
    </w:p>
    <w:p w:rsidR="008B347C" w:rsidRPr="008B347C" w:rsidRDefault="001526EC" w:rsidP="00F44003">
      <w:pPr>
        <w:pStyle w:val="ECHRParaQuote"/>
      </w:pPr>
      <w:r>
        <w:t>4.  </w:t>
      </w:r>
      <w:r w:rsidR="00942D3C">
        <w:t xml:space="preserve">Исковете </w:t>
      </w:r>
      <w:r>
        <w:t>на жалбоподателя се изпраща</w:t>
      </w:r>
      <w:r w:rsidR="00942D3C">
        <w:t>т</w:t>
      </w:r>
      <w:r>
        <w:t xml:space="preserve"> до ответната </w:t>
      </w:r>
      <w:r w:rsidR="00942D3C">
        <w:t>В</w:t>
      </w:r>
      <w:r>
        <w:t>исокодоговаряща страна за коментари“.</w:t>
      </w:r>
    </w:p>
    <w:p w:rsidR="00186F4A" w:rsidRPr="008B347C" w:rsidRDefault="00186F4A" w:rsidP="00F44003">
      <w:pPr>
        <w:pStyle w:val="ECHRHeading1"/>
      </w:pPr>
      <w:r>
        <w:lastRenderedPageBreak/>
        <w:t>I.  ИСКОВЕТЕ НА П</w:t>
      </w:r>
      <w:r w:rsidR="00942D3C">
        <w:t>РАВИТЕЛСТВОТО ЖАЛБОПОДАТЕЛ</w:t>
      </w:r>
      <w:r>
        <w:t xml:space="preserve"> ЗА СПРАВЕДЛИВО ОБЕЗЩЕТЕНИЕ</w:t>
      </w:r>
    </w:p>
    <w:p w:rsidR="00186F4A" w:rsidRPr="008B347C" w:rsidRDefault="00186F4A" w:rsidP="00F44003">
      <w:pPr>
        <w:pStyle w:val="ECHRHeading2"/>
      </w:pPr>
      <w:r>
        <w:t>A. Допустимост</w:t>
      </w:r>
    </w:p>
    <w:p w:rsidR="00186F4A" w:rsidRPr="008B347C" w:rsidRDefault="001711F9" w:rsidP="00F44003">
      <w:pPr>
        <w:pStyle w:val="ECHRHeading3"/>
      </w:pPr>
      <w:r>
        <w:t>1.  </w:t>
      </w:r>
      <w:r w:rsidR="00942D3C">
        <w:t xml:space="preserve">Просрочени ли са </w:t>
      </w:r>
      <w:r>
        <w:t>исковете на Правителството жалбоподател за справедливо обезщетение</w:t>
      </w:r>
    </w:p>
    <w:p w:rsidR="008B347C" w:rsidRPr="008B347C" w:rsidRDefault="00186F4A" w:rsidP="00F44003">
      <w:pPr>
        <w:pStyle w:val="ECHRHeading4"/>
      </w:pPr>
      <w:r>
        <w:t>а.</w:t>
      </w:r>
      <w:r>
        <w:tab/>
        <w:t>Становища</w:t>
      </w:r>
      <w:r w:rsidR="00942D3C">
        <w:t>та</w:t>
      </w:r>
      <w:r>
        <w:t xml:space="preserve"> на страните</w:t>
      </w:r>
    </w:p>
    <w:p w:rsidR="00186F4A" w:rsidRPr="008B347C" w:rsidRDefault="00186F4A" w:rsidP="00F44003">
      <w:pPr>
        <w:pStyle w:val="ECHRHeading5"/>
      </w:pPr>
      <w:r>
        <w:t>i.  Правителството на Кипър</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13</w:t>
      </w:r>
      <w:r>
        <w:rPr>
          <w:noProof/>
        </w:rPr>
        <w:fldChar w:fldCharType="end"/>
      </w:r>
      <w:r w:rsidR="00186F4A">
        <w:t xml:space="preserve">.  Правителството на Кипър приема, че </w:t>
      </w:r>
      <w:r w:rsidR="00D827F3">
        <w:t xml:space="preserve">неговите </w:t>
      </w:r>
      <w:r w:rsidR="00186F4A">
        <w:t xml:space="preserve">искове за справедливо обезщетение са подадени едва на 11 март 2010 г., което е почти девет години след постановяване на основното решение. Въпреки това </w:t>
      </w:r>
      <w:r w:rsidR="00D827F3">
        <w:t>П</w:t>
      </w:r>
      <w:r w:rsidR="00186F4A">
        <w:t xml:space="preserve">равителството счита, че бездействието му в периода между 2001 и 2010 г. е напълно оправдано. На първо място, в решението по </w:t>
      </w:r>
      <w:r w:rsidR="00D827F3">
        <w:t>основателността</w:t>
      </w:r>
      <w:r w:rsidR="00186F4A">
        <w:t xml:space="preserve"> Съдът отл</w:t>
      </w:r>
      <w:r w:rsidR="00D827F3">
        <w:t>ага</w:t>
      </w:r>
      <w:r w:rsidR="00186F4A">
        <w:t xml:space="preserve"> </w:t>
      </w:r>
      <w:r w:rsidR="00D827F3" w:rsidRPr="00D827F3">
        <w:rPr>
          <w:i/>
          <w:lang w:val="en-GB"/>
        </w:rPr>
        <w:t>sine</w:t>
      </w:r>
      <w:r w:rsidR="00D827F3" w:rsidRPr="00075945">
        <w:rPr>
          <w:i/>
        </w:rPr>
        <w:t xml:space="preserve"> </w:t>
      </w:r>
      <w:r w:rsidR="00D827F3" w:rsidRPr="00D827F3">
        <w:rPr>
          <w:i/>
          <w:lang w:val="en-GB"/>
        </w:rPr>
        <w:t>die</w:t>
      </w:r>
      <w:r w:rsidR="00186F4A">
        <w:t xml:space="preserve"> въпроса </w:t>
      </w:r>
      <w:r w:rsidR="00F91A2B">
        <w:t>за</w:t>
      </w:r>
      <w:r w:rsidR="00186F4A">
        <w:t xml:space="preserve"> евентуалното прилагане на чл</w:t>
      </w:r>
      <w:r w:rsidR="00F91A2B">
        <w:t>.</w:t>
      </w:r>
      <w:r w:rsidR="00186F4A">
        <w:t xml:space="preserve"> 41 от Конвенцията, </w:t>
      </w:r>
      <w:r w:rsidR="00F91A2B">
        <w:t xml:space="preserve">като го </w:t>
      </w:r>
      <w:r w:rsidR="00186F4A">
        <w:t xml:space="preserve">оставя открит. Преди и след решението Правителството жалбоподател просто </w:t>
      </w:r>
      <w:r w:rsidR="00F91A2B">
        <w:t xml:space="preserve">е </w:t>
      </w:r>
      <w:r w:rsidR="00186F4A">
        <w:t>изчака</w:t>
      </w:r>
      <w:r w:rsidR="00F91A2B">
        <w:t>ло</w:t>
      </w:r>
      <w:r w:rsidR="00186F4A">
        <w:t xml:space="preserve"> </w:t>
      </w:r>
      <w:r w:rsidR="00F91A2B">
        <w:t>допълнителни</w:t>
      </w:r>
      <w:r w:rsidR="00186F4A">
        <w:t xml:space="preserve"> инструкции от Съда, ко</w:t>
      </w:r>
      <w:r w:rsidR="00F91A2B">
        <w:t>й</w:t>
      </w:r>
      <w:r w:rsidR="00186F4A">
        <w:t xml:space="preserve">то </w:t>
      </w:r>
      <w:r w:rsidR="00F91A2B">
        <w:t>е трябвало да</w:t>
      </w:r>
      <w:r w:rsidR="00186F4A">
        <w:t xml:space="preserve"> определ</w:t>
      </w:r>
      <w:r w:rsidR="00F91A2B">
        <w:t>и</w:t>
      </w:r>
      <w:r w:rsidR="00186F4A">
        <w:t xml:space="preserve"> последващата процедура съгласно правилата му. Второ, след постановяване на основното решение, Кипър се надява</w:t>
      </w:r>
      <w:r w:rsidR="00A373B5">
        <w:t xml:space="preserve"> </w:t>
      </w:r>
      <w:r w:rsidR="00A373B5" w:rsidRPr="00A373B5">
        <w:rPr>
          <w:i/>
          <w:lang w:val="en-GB"/>
        </w:rPr>
        <w:t>bona</w:t>
      </w:r>
      <w:r w:rsidR="00A373B5" w:rsidRPr="00075945">
        <w:rPr>
          <w:i/>
        </w:rPr>
        <w:t xml:space="preserve"> </w:t>
      </w:r>
      <w:r w:rsidR="00A373B5" w:rsidRPr="00A373B5">
        <w:rPr>
          <w:i/>
          <w:lang w:val="en-GB"/>
        </w:rPr>
        <w:t>fide</w:t>
      </w:r>
      <w:r w:rsidR="00186F4A">
        <w:t xml:space="preserve">, че то ще бъде изпълнено правилно чрез обичайния механизъм на Комитета на министрите на Съвета на Европа. </w:t>
      </w:r>
      <w:r w:rsidR="00690050">
        <w:t xml:space="preserve">Едва </w:t>
      </w:r>
      <w:r w:rsidR="00186F4A">
        <w:t>няколко години по-късно, когато ста</w:t>
      </w:r>
      <w:r w:rsidR="00690050">
        <w:t>в</w:t>
      </w:r>
      <w:r w:rsidR="00186F4A">
        <w:t>а очевидно, че Турция не желае да разреши проблема с политически средства (т.е. чрез приемането на общи и конкретни мерки), правителството на Кипър осъзна</w:t>
      </w:r>
      <w:r w:rsidR="00690050">
        <w:t>ва</w:t>
      </w:r>
      <w:r w:rsidR="00186F4A">
        <w:t xml:space="preserve">, че няма друга възможност, освен да се обърне отново към Съда, за да гарантира правилното изпълнение на решението </w:t>
      </w:r>
      <w:r w:rsidR="00A23918">
        <w:t>чрез</w:t>
      </w:r>
      <w:r w:rsidR="00186F4A">
        <w:t xml:space="preserve"> </w:t>
      </w:r>
      <w:r w:rsidR="00A23918">
        <w:t xml:space="preserve">присъждане </w:t>
      </w:r>
      <w:r w:rsidR="00186F4A">
        <w:t xml:space="preserve">на справедливо обезщетение. </w:t>
      </w:r>
      <w:r w:rsidR="00A23918">
        <w:t>По-к</w:t>
      </w:r>
      <w:r w:rsidR="00186F4A">
        <w:t>онкретно налице е безизход</w:t>
      </w:r>
      <w:r w:rsidR="00EA182A">
        <w:t>на ситуация</w:t>
      </w:r>
      <w:r w:rsidR="00186F4A">
        <w:t xml:space="preserve"> вследствие </w:t>
      </w:r>
      <w:r w:rsidR="00EA182A">
        <w:t xml:space="preserve">на </w:t>
      </w:r>
      <w:r w:rsidR="00186F4A">
        <w:t xml:space="preserve">различни тълкувания на решението по дело </w:t>
      </w:r>
      <w:r w:rsidR="00186F4A">
        <w:rPr>
          <w:rFonts w:ascii="Times New Roman" w:hAnsi="Times New Roman"/>
          <w:i/>
          <w:snapToGrid w:val="0"/>
        </w:rPr>
        <w:t xml:space="preserve">Demopoulos and Others v. Turkey </w:t>
      </w:r>
      <w:r w:rsidR="00186F4A">
        <w:rPr>
          <w:rFonts w:ascii="Times New Roman" w:hAnsi="Times New Roman"/>
          <w:snapToGrid w:val="0"/>
        </w:rPr>
        <w:t>(</w:t>
      </w:r>
      <w:r w:rsidR="00EA182A">
        <w:rPr>
          <w:rFonts w:ascii="Times New Roman" w:hAnsi="Times New Roman"/>
          <w:snapToGrid w:val="0"/>
        </w:rPr>
        <w:t>РД</w:t>
      </w:r>
      <w:r w:rsidR="00186F4A">
        <w:rPr>
          <w:rFonts w:ascii="Times New Roman" w:hAnsi="Times New Roman"/>
          <w:snapToGrid w:val="0"/>
        </w:rPr>
        <w:t xml:space="preserve"> [</w:t>
      </w:r>
      <w:r w:rsidR="00EA182A">
        <w:rPr>
          <w:rFonts w:ascii="Times New Roman" w:hAnsi="Times New Roman"/>
          <w:snapToGrid w:val="0"/>
        </w:rPr>
        <w:t>ГО</w:t>
      </w:r>
      <w:r w:rsidR="00186F4A">
        <w:rPr>
          <w:rFonts w:ascii="Times New Roman" w:hAnsi="Times New Roman"/>
          <w:snapToGrid w:val="0"/>
        </w:rPr>
        <w:t>], номера 46113/99, 3843/02, 13751/02, 13466/03, 10200/04, 14163/04, 19993/04 и 21819/04</w:t>
      </w:r>
      <w:r w:rsidR="00186F4A">
        <w:rPr>
          <w:rFonts w:ascii="Times New Roman" w:hAnsi="Times New Roman"/>
        </w:rPr>
        <w:t>, ЕСПЧ 2010 г.)</w:t>
      </w:r>
      <w:r w:rsidR="00186F4A">
        <w:t>; за разлика от Турция, правителството на Кипър не сч</w:t>
      </w:r>
      <w:r w:rsidR="00EA182A">
        <w:t>и</w:t>
      </w:r>
      <w:r w:rsidR="00186F4A">
        <w:t>т</w:t>
      </w:r>
      <w:r w:rsidR="00EA182A">
        <w:t>а</w:t>
      </w:r>
      <w:r w:rsidR="00186F4A">
        <w:t xml:space="preserve">, че </w:t>
      </w:r>
      <w:r w:rsidR="00EA182A">
        <w:t>то може</w:t>
      </w:r>
      <w:r w:rsidR="00186F4A">
        <w:t xml:space="preserve"> да се тълкува като констатация, че Турция е изпълнила задълженията си </w:t>
      </w:r>
      <w:r w:rsidR="00EA182A">
        <w:t>по</w:t>
      </w:r>
      <w:r w:rsidR="00186F4A">
        <w:t xml:space="preserve"> изпълнение на основното решение. Освен това от </w:t>
      </w:r>
      <w:r w:rsidR="00EA182A">
        <w:t>приложимите</w:t>
      </w:r>
      <w:r w:rsidR="00186F4A">
        <w:t xml:space="preserve"> констатации на Комитета на министрите е видно, че не са предприети следствените действия, постановени в решението. </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14</w:t>
      </w:r>
      <w:r>
        <w:rPr>
          <w:noProof/>
        </w:rPr>
        <w:fldChar w:fldCharType="end"/>
      </w:r>
      <w:r w:rsidR="00186F4A">
        <w:t xml:space="preserve">.  Като е наясно, че индивидуалните искове, които се припокриват с междудържавното дело, са в процес на разглеждане от Съда, Правителството жалбоподател </w:t>
      </w:r>
      <w:r w:rsidR="00256098">
        <w:t>счита</w:t>
      </w:r>
      <w:r w:rsidR="00186F4A">
        <w:t>, че те ще бъдат разгледани с приоритет</w:t>
      </w:r>
      <w:r w:rsidR="00256098">
        <w:t>.</w:t>
      </w:r>
      <w:r w:rsidR="00186F4A">
        <w:t xml:space="preserve"> Въпреки това, предвид „н</w:t>
      </w:r>
      <w:r w:rsidR="00256098">
        <w:t>аскоро</w:t>
      </w:r>
      <w:r w:rsidR="00186F4A">
        <w:t xml:space="preserve"> преформулирани</w:t>
      </w:r>
      <w:r w:rsidR="00256098">
        <w:t>те</w:t>
      </w:r>
      <w:r w:rsidR="00186F4A">
        <w:t xml:space="preserve"> срокове“ </w:t>
      </w:r>
      <w:r w:rsidR="00256098">
        <w:t>във</w:t>
      </w:r>
      <w:r w:rsidR="00186F4A">
        <w:t xml:space="preserve"> </w:t>
      </w:r>
      <w:r w:rsidR="00186F4A">
        <w:rPr>
          <w:rFonts w:ascii="Times New Roman" w:hAnsi="Times New Roman"/>
          <w:i/>
        </w:rPr>
        <w:t>Varnava and Others v. Turkey</w:t>
      </w:r>
      <w:r w:rsidR="00186F4A">
        <w:rPr>
          <w:rFonts w:ascii="Times New Roman" w:hAnsi="Times New Roman"/>
        </w:rPr>
        <w:t xml:space="preserve"> ([</w:t>
      </w:r>
      <w:r w:rsidR="00256098">
        <w:rPr>
          <w:rFonts w:ascii="Times New Roman" w:hAnsi="Times New Roman"/>
        </w:rPr>
        <w:t>ГО</w:t>
      </w:r>
      <w:r w:rsidR="00186F4A">
        <w:rPr>
          <w:rFonts w:ascii="Times New Roman" w:hAnsi="Times New Roman"/>
        </w:rPr>
        <w:t xml:space="preserve">], номера 16064/90, 16065/90, 16066/90, 16068/90, 16069/90, 16070/90, 16071/90, 16072/90 и </w:t>
      </w:r>
      <w:r w:rsidR="00186F4A">
        <w:rPr>
          <w:rFonts w:ascii="Times New Roman" w:hAnsi="Times New Roman"/>
        </w:rPr>
        <w:lastRenderedPageBreak/>
        <w:t>16073/90, ЕСПЧ 2009 г.), Правителството трябва да подаде този иск, за да не загуби правата си по чл</w:t>
      </w:r>
      <w:r w:rsidR="00D90E16">
        <w:rPr>
          <w:rFonts w:ascii="Times New Roman" w:hAnsi="Times New Roman"/>
        </w:rPr>
        <w:t>.</w:t>
      </w:r>
      <w:r w:rsidR="00186F4A">
        <w:rPr>
          <w:rFonts w:ascii="Times New Roman" w:hAnsi="Times New Roman"/>
        </w:rPr>
        <w:t xml:space="preserve"> 41.</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15</w:t>
      </w:r>
      <w:r>
        <w:rPr>
          <w:noProof/>
        </w:rPr>
        <w:fldChar w:fldCharType="end"/>
      </w:r>
      <w:r w:rsidR="00186F4A">
        <w:t>.  По въпроса дали време</w:t>
      </w:r>
      <w:r w:rsidR="00D90E16">
        <w:t>вият фактор</w:t>
      </w:r>
      <w:r w:rsidR="00186F4A">
        <w:t xml:space="preserve"> не </w:t>
      </w:r>
      <w:r w:rsidR="00D90E16">
        <w:t>допуска</w:t>
      </w:r>
      <w:r w:rsidR="00186F4A">
        <w:t xml:space="preserve"> Съд</w:t>
      </w:r>
      <w:r w:rsidR="00D92405">
        <w:t>ът</w:t>
      </w:r>
      <w:r w:rsidR="00186F4A">
        <w:t xml:space="preserve"> да разгледа исковете за справедливо обезщетение, правителството на Кипър </w:t>
      </w:r>
      <w:r w:rsidR="00D92405">
        <w:t>счита</w:t>
      </w:r>
      <w:r w:rsidR="00186F4A">
        <w:t xml:space="preserve">, че </w:t>
      </w:r>
      <w:r w:rsidR="00D92405">
        <w:t xml:space="preserve">приложимите </w:t>
      </w:r>
      <w:r w:rsidR="00186F4A">
        <w:t xml:space="preserve">принципи на международното право са шест, </w:t>
      </w:r>
      <w:r w:rsidR="00973D3E">
        <w:t>а имен</w:t>
      </w:r>
      <w:r w:rsidR="00D92405">
        <w:t>но</w:t>
      </w:r>
      <w:r w:rsidR="00186F4A">
        <w:t>:  погас</w:t>
      </w:r>
      <w:r w:rsidR="00973D3E">
        <w:t>ителна</w:t>
      </w:r>
      <w:r w:rsidR="00186F4A">
        <w:t xml:space="preserve"> давност, отказ </w:t>
      </w:r>
      <w:r w:rsidR="00E97EE9">
        <w:t xml:space="preserve">от право </w:t>
      </w:r>
      <w:r w:rsidR="00186F4A">
        <w:t xml:space="preserve">и </w:t>
      </w:r>
      <w:r w:rsidR="0086491A" w:rsidRPr="00075945">
        <w:t>бездействие</w:t>
      </w:r>
      <w:r w:rsidR="00186F4A">
        <w:t xml:space="preserve">, </w:t>
      </w:r>
      <w:r w:rsidR="00DA7F12">
        <w:t xml:space="preserve">недопускане </w:t>
      </w:r>
      <w:r w:rsidR="00186F4A">
        <w:t xml:space="preserve">на иск, </w:t>
      </w:r>
      <w:r w:rsidR="00DA7F12" w:rsidRPr="00DA7F12">
        <w:rPr>
          <w:i/>
          <w:lang w:val="en-GB"/>
        </w:rPr>
        <w:t>res</w:t>
      </w:r>
      <w:r w:rsidR="00DA7F12" w:rsidRPr="00075945">
        <w:rPr>
          <w:i/>
        </w:rPr>
        <w:t xml:space="preserve"> </w:t>
      </w:r>
      <w:r w:rsidR="00DA7F12" w:rsidRPr="00DA7F12">
        <w:rPr>
          <w:i/>
          <w:lang w:val="en-GB"/>
        </w:rPr>
        <w:t>judicata</w:t>
      </w:r>
      <w:r w:rsidR="00186F4A">
        <w:t xml:space="preserve">, задължение </w:t>
      </w:r>
      <w:r w:rsidR="00DA7F12">
        <w:t>за запазване на статуквото</w:t>
      </w:r>
      <w:r w:rsidR="00186F4A">
        <w:t xml:space="preserve">, и добросъвестност. Никое от тях не </w:t>
      </w:r>
      <w:r w:rsidR="00E97EE9">
        <w:t xml:space="preserve">оправдава </w:t>
      </w:r>
      <w:r w:rsidR="00186F4A">
        <w:t>прекратяване на делото въз основа на времеви съображения. Основните аргументи, изтъкнат</w:t>
      </w:r>
      <w:r w:rsidR="00E97EE9">
        <w:t>и</w:t>
      </w:r>
      <w:r w:rsidR="00186F4A">
        <w:t xml:space="preserve"> от Правителството жалбоподател по всичките шест принципа, цитирани по-горе, са следните</w:t>
      </w:r>
      <w:r w:rsidR="00E97EE9">
        <w:t>.</w:t>
      </w:r>
      <w:r w:rsidR="00186F4A">
        <w:t xml:space="preserve"> Първо, в основното решение Съдът ясно</w:t>
      </w:r>
      <w:r w:rsidR="00E97EE9">
        <w:t xml:space="preserve"> е</w:t>
      </w:r>
      <w:r w:rsidR="00186F4A">
        <w:t xml:space="preserve"> заяв</w:t>
      </w:r>
      <w:r w:rsidR="00E97EE9">
        <w:t>ил</w:t>
      </w:r>
      <w:r w:rsidR="00186F4A">
        <w:t>, че въпросът просто е отложен — следователно е изрично оставен открит за неопределено време. Освен това отказът от прав</w:t>
      </w:r>
      <w:r w:rsidR="002B6CAF">
        <w:t>о</w:t>
      </w:r>
      <w:r w:rsidR="00186F4A">
        <w:t xml:space="preserve"> трябва да е ясен и недвусмислен и не може да бъде предполагаем. Кипър не </w:t>
      </w:r>
      <w:r w:rsidR="002B6CAF">
        <w:t>е на</w:t>
      </w:r>
      <w:r w:rsidR="00186F4A">
        <w:t>прави</w:t>
      </w:r>
      <w:r w:rsidR="002B6CAF">
        <w:t>л</w:t>
      </w:r>
      <w:r w:rsidR="00186F4A">
        <w:t xml:space="preserve"> изрично или </w:t>
      </w:r>
      <w:r w:rsidR="002B6CAF">
        <w:t xml:space="preserve">негласно </w:t>
      </w:r>
      <w:r w:rsidR="00186F4A">
        <w:t>изявление, нито е демонстрира</w:t>
      </w:r>
      <w:r w:rsidR="00135B44">
        <w:t>л</w:t>
      </w:r>
      <w:r w:rsidR="00186F4A">
        <w:t xml:space="preserve"> </w:t>
      </w:r>
      <w:r w:rsidR="00135B44">
        <w:t xml:space="preserve">поведение, което да показва </w:t>
      </w:r>
      <w:r w:rsidR="00186F4A">
        <w:t>оттегляне или отказ от право</w:t>
      </w:r>
      <w:r w:rsidR="00135B44">
        <w:t>то му</w:t>
      </w:r>
      <w:r w:rsidR="00186F4A">
        <w:t xml:space="preserve"> на иск за справедливо обезщетение. Напротив, през 2007 г. това право е изрично заявено пред Съда и никой не възраз</w:t>
      </w:r>
      <w:r w:rsidR="00135B44">
        <w:t>ява</w:t>
      </w:r>
      <w:r w:rsidR="00186F4A">
        <w:t xml:space="preserve"> срещу това. По-скоро Турция в момента е </w:t>
      </w:r>
      <w:r w:rsidR="00517AF5">
        <w:t xml:space="preserve">възпрепятствана </w:t>
      </w:r>
      <w:r w:rsidR="00186F4A">
        <w:t xml:space="preserve">да поиска </w:t>
      </w:r>
      <w:r w:rsidR="00517AF5">
        <w:t xml:space="preserve">недопускане </w:t>
      </w:r>
      <w:r w:rsidR="00186F4A">
        <w:t xml:space="preserve">на </w:t>
      </w:r>
      <w:r w:rsidR="00517AF5">
        <w:t>иска</w:t>
      </w:r>
      <w:r w:rsidR="00186F4A">
        <w:t>, след като не е направ</w:t>
      </w:r>
      <w:r w:rsidR="00517AF5">
        <w:t>ила това</w:t>
      </w:r>
      <w:r w:rsidR="00186F4A">
        <w:t xml:space="preserve"> през 2007 г.</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16</w:t>
      </w:r>
      <w:r>
        <w:rPr>
          <w:noProof/>
        </w:rPr>
        <w:fldChar w:fldCharType="end"/>
      </w:r>
      <w:r w:rsidR="00186F4A">
        <w:t xml:space="preserve">.  Според </w:t>
      </w:r>
      <w:r w:rsidR="00517AF5">
        <w:t>П</w:t>
      </w:r>
      <w:r w:rsidR="00186F4A">
        <w:t xml:space="preserve">равителството на Кипър изминалото време не е създало очевидни пречки пред </w:t>
      </w:r>
      <w:r w:rsidR="00B81749">
        <w:t>П</w:t>
      </w:r>
      <w:r w:rsidR="00186F4A">
        <w:t xml:space="preserve">равителството на Турция, тъй като обстоятелствата </w:t>
      </w:r>
      <w:r w:rsidR="00B81749">
        <w:t xml:space="preserve">са </w:t>
      </w:r>
      <w:r w:rsidR="00186F4A">
        <w:t>оста</w:t>
      </w:r>
      <w:r w:rsidR="00B81749">
        <w:t>нали</w:t>
      </w:r>
      <w:r w:rsidR="00186F4A">
        <w:t xml:space="preserve"> непроменени и като цяло</w:t>
      </w:r>
      <w:r w:rsidR="00B81749">
        <w:t xml:space="preserve"> са</w:t>
      </w:r>
      <w:r w:rsidR="00186F4A">
        <w:t xml:space="preserve"> същите, както през 2001 г. Освен това Т</w:t>
      </w:r>
      <w:r w:rsidR="00B81749">
        <w:t>у</w:t>
      </w:r>
      <w:r w:rsidR="00186F4A">
        <w:t>рция н</w:t>
      </w:r>
      <w:r w:rsidR="00B81749">
        <w:t>е</w:t>
      </w:r>
      <w:r w:rsidR="00186F4A">
        <w:t xml:space="preserve"> </w:t>
      </w:r>
      <w:r w:rsidR="00B81749">
        <w:t xml:space="preserve">е имала </w:t>
      </w:r>
      <w:r w:rsidR="00186F4A">
        <w:t xml:space="preserve">основания да очаква, че искът за справедливо обезщетение няма повече да бъде </w:t>
      </w:r>
      <w:r w:rsidR="00F1216A">
        <w:t>повдиган</w:t>
      </w:r>
      <w:r w:rsidR="00186F4A">
        <w:t xml:space="preserve">. Накрая през 2001 г. Съдът </w:t>
      </w:r>
      <w:r w:rsidR="00F1216A">
        <w:t xml:space="preserve">е </w:t>
      </w:r>
      <w:r w:rsidR="00186F4A">
        <w:t>реш</w:t>
      </w:r>
      <w:r w:rsidR="00F1216A">
        <w:t>ил</w:t>
      </w:r>
      <w:r w:rsidR="00186F4A">
        <w:t xml:space="preserve">, че страните </w:t>
      </w:r>
      <w:r w:rsidR="0090330D">
        <w:t>ще</w:t>
      </w:r>
      <w:r w:rsidR="00186F4A">
        <w:t xml:space="preserve"> чакат окончателно решение по въпроса за справедливо обезщетение и принципът на добросъвестност ги задължава да поддържат съществуващото положение, доколкото е възможно</w:t>
      </w:r>
      <w:r w:rsidR="0090330D">
        <w:t>,</w:t>
      </w:r>
      <w:r w:rsidR="00186F4A">
        <w:t xml:space="preserve"> така че </w:t>
      </w:r>
      <w:r w:rsidR="00CB0ABF">
        <w:t>да не бъде засегнато</w:t>
      </w:r>
      <w:r w:rsidR="00CB0ABF" w:rsidDel="0090330D">
        <w:t xml:space="preserve"> </w:t>
      </w:r>
      <w:r w:rsidR="00186F4A">
        <w:t xml:space="preserve">окончателното решение. Ще бъде </w:t>
      </w:r>
      <w:r w:rsidR="00CB0ABF">
        <w:t>уронен</w:t>
      </w:r>
      <w:r w:rsidR="00186F4A">
        <w:t xml:space="preserve"> принцип</w:t>
      </w:r>
      <w:r w:rsidR="00CB0ABF">
        <w:t>ът</w:t>
      </w:r>
      <w:r w:rsidR="00186F4A">
        <w:t xml:space="preserve"> на ефективност, ако на Турция бъде позволено, чрез неизпълнението на решението, да осуети вземането на </w:t>
      </w:r>
      <w:r w:rsidR="00D41D08">
        <w:t xml:space="preserve">това </w:t>
      </w:r>
      <w:r w:rsidR="00186F4A">
        <w:t>окончателно решение.</w:t>
      </w:r>
    </w:p>
    <w:p w:rsidR="008B347C" w:rsidRPr="008B347C" w:rsidRDefault="00075945" w:rsidP="00F44003">
      <w:pPr>
        <w:pStyle w:val="ECHRPara"/>
      </w:pPr>
      <w:r>
        <w:fldChar w:fldCharType="begin"/>
      </w:r>
      <w:r>
        <w:instrText xml:space="preserve"> SEQ level0 \*arabic </w:instrText>
      </w:r>
      <w:r>
        <w:fldChar w:fldCharType="separate"/>
      </w:r>
      <w:r w:rsidR="007A52DC">
        <w:rPr>
          <w:noProof/>
        </w:rPr>
        <w:t>17</w:t>
      </w:r>
      <w:r>
        <w:rPr>
          <w:noProof/>
        </w:rPr>
        <w:fldChar w:fldCharType="end"/>
      </w:r>
      <w:r w:rsidR="00186F4A">
        <w:t>.  Правителството на Кипър се позова</w:t>
      </w:r>
      <w:r w:rsidR="00D41D08">
        <w:t>ва</w:t>
      </w:r>
      <w:r w:rsidR="00186F4A">
        <w:t xml:space="preserve"> също на законните </w:t>
      </w:r>
      <w:r w:rsidR="00D41D08">
        <w:t xml:space="preserve">очаквания </w:t>
      </w:r>
      <w:r w:rsidR="00186F4A">
        <w:t>на отделните по</w:t>
      </w:r>
      <w:r w:rsidR="0039228C">
        <w:t>търпевши</w:t>
      </w:r>
      <w:r w:rsidR="00186F4A">
        <w:t xml:space="preserve">. От </w:t>
      </w:r>
      <w:r w:rsidR="00D41D08">
        <w:t>П</w:t>
      </w:r>
      <w:r w:rsidR="00186F4A">
        <w:t>равителството цитира</w:t>
      </w:r>
      <w:r w:rsidR="00D41D08">
        <w:t>т</w:t>
      </w:r>
      <w:r w:rsidR="00186F4A">
        <w:t xml:space="preserve"> чл</w:t>
      </w:r>
      <w:r w:rsidR="00D41D08">
        <w:t>.</w:t>
      </w:r>
      <w:r w:rsidR="00186F4A">
        <w:t xml:space="preserve"> 55 от </w:t>
      </w:r>
      <w:r w:rsidR="00D41D08">
        <w:t>К</w:t>
      </w:r>
      <w:r w:rsidR="00186F4A">
        <w:t xml:space="preserve">онвенцията, според който </w:t>
      </w:r>
      <w:r w:rsidR="00D41D08">
        <w:t>В</w:t>
      </w:r>
      <w:r w:rsidR="00186F4A">
        <w:t>исокодоговарящите страни</w:t>
      </w:r>
      <w:r w:rsidR="00D41D08">
        <w:t xml:space="preserve"> се съгласяват, че</w:t>
      </w:r>
      <w:r w:rsidR="00186F4A">
        <w:t xml:space="preserve"> „няма да се ползват от други действащи договори, споразумения или декларации</w:t>
      </w:r>
      <w:r w:rsidR="00077A02">
        <w:t>,</w:t>
      </w:r>
      <w:r w:rsidR="00186F4A">
        <w:t xml:space="preserve"> с цел </w:t>
      </w:r>
      <w:r w:rsidR="00077A02">
        <w:t xml:space="preserve">да поискат отнасяне на </w:t>
      </w:r>
      <w:r w:rsidR="00186F4A">
        <w:t xml:space="preserve">спор </w:t>
      </w:r>
      <w:r w:rsidR="00077A02">
        <w:t>по повод</w:t>
      </w:r>
      <w:r w:rsidR="00186F4A">
        <w:t xml:space="preserve"> тълкуването или прилагането на тази Конвенция </w:t>
      </w:r>
      <w:r w:rsidR="00077A02">
        <w:t>към</w:t>
      </w:r>
      <w:r w:rsidR="00186F4A">
        <w:t xml:space="preserve"> други процедури за решаване на спорове</w:t>
      </w:r>
      <w:r w:rsidR="00077A02">
        <w:t>,</w:t>
      </w:r>
      <w:r w:rsidR="00186F4A">
        <w:t xml:space="preserve"> освен предвидените в тази Конвенция.“ Би било в противоречие с принципа на легитимно очакване да се откаже подходящо обезщетение по дела между две държави, които са се </w:t>
      </w:r>
      <w:r w:rsidR="006A5990">
        <w:t>споразумели</w:t>
      </w:r>
      <w:r w:rsidR="00186F4A">
        <w:t xml:space="preserve"> конкретно да предоставят компетенции на Съда и да се изключи друг начин на уреждане на въпроса.</w:t>
      </w:r>
    </w:p>
    <w:p w:rsidR="00186F4A" w:rsidRPr="008B347C" w:rsidRDefault="0007490B" w:rsidP="00F44003">
      <w:pPr>
        <w:pStyle w:val="ECHRHeading5"/>
      </w:pPr>
      <w:r>
        <w:lastRenderedPageBreak/>
        <w:t>ii.  Правителството на Турция</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18</w:t>
      </w:r>
      <w:r>
        <w:rPr>
          <w:noProof/>
        </w:rPr>
        <w:fldChar w:fldCharType="end"/>
      </w:r>
      <w:r w:rsidR="00186F4A">
        <w:t xml:space="preserve">.  Правителството ответник счита исковете на Правителството жалбоподател за справедливо обезщетение за закъснели. Нищо или </w:t>
      </w:r>
      <w:r w:rsidR="004126AC">
        <w:t>почти</w:t>
      </w:r>
      <w:r w:rsidR="00186F4A">
        <w:t xml:space="preserve"> нищо не се е случило между 2001 и 2010 г., с изключение на писмото, изпратено до Съда през август 2007 г. Дори да се допусне, че чл</w:t>
      </w:r>
      <w:r w:rsidR="004126AC">
        <w:t>.</w:t>
      </w:r>
      <w:r w:rsidR="00186F4A">
        <w:t xml:space="preserve"> 41 от Конвенцията се прилага при междудържавни дела, Правителството жалбоподател остава обвързано с изискването за минимално старание съгласно </w:t>
      </w:r>
      <w:r w:rsidR="004126AC">
        <w:t xml:space="preserve">правило </w:t>
      </w:r>
      <w:r w:rsidR="00186F4A">
        <w:t>60 от Правилника на Съда, което постановява, че не бива да има необосновано закъснение в исковете за справедливо обезщетение по чл</w:t>
      </w:r>
      <w:r w:rsidR="00FB4CCE">
        <w:t>.</w:t>
      </w:r>
      <w:r w:rsidR="00186F4A">
        <w:t xml:space="preserve"> 41. В настоящия случай Правителството жалбоподател е </w:t>
      </w:r>
      <w:r w:rsidR="00FB4CCE">
        <w:t>причинило такова</w:t>
      </w:r>
      <w:r w:rsidR="00186F4A">
        <w:t xml:space="preserve"> неприемливо закъснение. </w:t>
      </w:r>
    </w:p>
    <w:p w:rsidR="008B347C" w:rsidRPr="008B347C" w:rsidRDefault="00075945" w:rsidP="00F44003">
      <w:pPr>
        <w:pStyle w:val="ECHRPara"/>
      </w:pPr>
      <w:r>
        <w:fldChar w:fldCharType="begin"/>
      </w:r>
      <w:r>
        <w:instrText xml:space="preserve"> SEQ level0 \*arabic </w:instrText>
      </w:r>
      <w:r>
        <w:fldChar w:fldCharType="separate"/>
      </w:r>
      <w:r w:rsidR="007A52DC">
        <w:rPr>
          <w:noProof/>
        </w:rPr>
        <w:t>19</w:t>
      </w:r>
      <w:r>
        <w:rPr>
          <w:noProof/>
        </w:rPr>
        <w:fldChar w:fldCharType="end"/>
      </w:r>
      <w:r w:rsidR="00186F4A">
        <w:t xml:space="preserve">.  Правителството на Турция припомня, че </w:t>
      </w:r>
      <w:r w:rsidR="00FB4CCE">
        <w:t>П</w:t>
      </w:r>
      <w:r w:rsidR="00186F4A">
        <w:t xml:space="preserve">равителството на Кипър не е подавало искове за справедливо обезщетение в хода на процедурата по </w:t>
      </w:r>
      <w:r w:rsidR="00FB4CCE">
        <w:t xml:space="preserve">основателността </w:t>
      </w:r>
      <w:r w:rsidR="00186F4A">
        <w:t xml:space="preserve">на делото. В писменото си </w:t>
      </w:r>
      <w:r w:rsidR="00FB4CCE">
        <w:t xml:space="preserve">изложение </w:t>
      </w:r>
      <w:r w:rsidR="00186F4A">
        <w:t xml:space="preserve">от 22 ноември 1994 г. Правителството жалбоподател не </w:t>
      </w:r>
      <w:r w:rsidR="00FB4CCE">
        <w:t xml:space="preserve">е </w:t>
      </w:r>
      <w:r w:rsidR="00186F4A">
        <w:t>отправ</w:t>
      </w:r>
      <w:r w:rsidR="00FB4CCE">
        <w:t>ило</w:t>
      </w:r>
      <w:r w:rsidR="00186F4A">
        <w:t xml:space="preserve"> иск за справедливо обезщетение, като вместо това заявява, че междудържавн</w:t>
      </w:r>
      <w:r w:rsidR="001A57DB">
        <w:t>ата</w:t>
      </w:r>
      <w:r w:rsidR="00186F4A">
        <w:t xml:space="preserve"> </w:t>
      </w:r>
      <w:r w:rsidR="001A57DB">
        <w:t>жалба</w:t>
      </w:r>
      <w:r w:rsidR="00186F4A">
        <w:t xml:space="preserve"> е подаден</w:t>
      </w:r>
      <w:r w:rsidR="001A57DB">
        <w:t>а</w:t>
      </w:r>
      <w:r w:rsidR="00186F4A">
        <w:t xml:space="preserve"> „без да се засягат индивидуалните </w:t>
      </w:r>
      <w:r w:rsidR="001A57DB">
        <w:t>жалби</w:t>
      </w:r>
      <w:r w:rsidR="00186F4A">
        <w:t xml:space="preserve"> срещу Турция по чл</w:t>
      </w:r>
      <w:r w:rsidR="001A57DB">
        <w:t>.</w:t>
      </w:r>
      <w:r w:rsidR="00186F4A">
        <w:t xml:space="preserve"> 25 [настоящ чл</w:t>
      </w:r>
      <w:r w:rsidR="001A57DB">
        <w:t>.</w:t>
      </w:r>
      <w:r w:rsidR="00186F4A">
        <w:t xml:space="preserve"> 34] от Конвенцията, които са вече подадени или ще бъдат подавани в бъдеще.“ Това означава, че Кипър наистина </w:t>
      </w:r>
      <w:r w:rsidR="001A57DB">
        <w:t xml:space="preserve">е </w:t>
      </w:r>
      <w:r w:rsidR="003A0219">
        <w:t>решил</w:t>
      </w:r>
      <w:r w:rsidR="00186F4A">
        <w:t xml:space="preserve"> да даде предимство на надзорната функция на Комитета на министрите и да не отправя иск до Съда за справедливо обезщетение. Това е изборът на Кипър към </w:t>
      </w:r>
      <w:r w:rsidR="003A0219">
        <w:t xml:space="preserve">онзи </w:t>
      </w:r>
      <w:r w:rsidR="00186F4A">
        <w:t xml:space="preserve">момент, но </w:t>
      </w:r>
      <w:r w:rsidR="004D1713">
        <w:t>е можело да вземат различно решение</w:t>
      </w:r>
      <w:r w:rsidR="00186F4A">
        <w:t xml:space="preserve">: в действителност членове 41 и 46 от Конвенцията </w:t>
      </w:r>
      <w:r w:rsidR="004D1713">
        <w:t>имат</w:t>
      </w:r>
      <w:r w:rsidR="00186F4A">
        <w:t xml:space="preserve"> различни цели и нищо не пречи на </w:t>
      </w:r>
      <w:r w:rsidR="004D1713">
        <w:t>П</w:t>
      </w:r>
      <w:r w:rsidR="00186F4A">
        <w:t>равителството на Кипър да подаде своевременни искове за справедливо обезщетение заедно с надзорното производство пред Комитета на министрите. Така или иначе от Правителството жалбоподател зависи да даде ход на процеса скоро след постановяване на основното решение, а не да очаква от Съда да определи процедура</w:t>
      </w:r>
      <w:r w:rsidR="00F304EB">
        <w:t>та</w:t>
      </w:r>
      <w:r w:rsidR="00186F4A">
        <w:t xml:space="preserve"> по своя собствена </w:t>
      </w:r>
      <w:r w:rsidR="00F304EB">
        <w:t>инициатива</w:t>
      </w:r>
      <w:r w:rsidR="00186F4A">
        <w:t>. След като не е направил</w:t>
      </w:r>
      <w:r w:rsidR="00F304EB">
        <w:t>о</w:t>
      </w:r>
      <w:r w:rsidR="00186F4A">
        <w:t xml:space="preserve"> това, Правителството жалбоподател не е положило всички възможни усилия да поддържа и следва </w:t>
      </w:r>
      <w:r w:rsidR="00F304EB">
        <w:t xml:space="preserve">иска </w:t>
      </w:r>
      <w:r w:rsidR="00186F4A">
        <w:t xml:space="preserve">си, а поведението му </w:t>
      </w:r>
      <w:r w:rsidR="00C75A49">
        <w:t xml:space="preserve">трябва </w:t>
      </w:r>
      <w:r w:rsidR="00186F4A">
        <w:t xml:space="preserve">да се тълкува като мълчаливо оттегляне на </w:t>
      </w:r>
      <w:r w:rsidR="00C75A49">
        <w:t xml:space="preserve">исковете </w:t>
      </w:r>
      <w:r w:rsidR="00186F4A">
        <w:t xml:space="preserve">за справедливо обезщетение </w:t>
      </w:r>
      <w:r w:rsidR="00C75A49">
        <w:t>в настоящия слуай</w:t>
      </w:r>
      <w:r w:rsidR="00186F4A">
        <w:t>.</w:t>
      </w:r>
    </w:p>
    <w:p w:rsidR="008B347C" w:rsidRPr="008B347C" w:rsidRDefault="00075945" w:rsidP="00F44003">
      <w:pPr>
        <w:pStyle w:val="ECHRPara"/>
      </w:pPr>
      <w:r>
        <w:fldChar w:fldCharType="begin"/>
      </w:r>
      <w:r>
        <w:instrText xml:space="preserve"> SEQ level0 \*arabic </w:instrText>
      </w:r>
      <w:r>
        <w:fldChar w:fldCharType="separate"/>
      </w:r>
      <w:r w:rsidR="007A52DC">
        <w:rPr>
          <w:noProof/>
        </w:rPr>
        <w:t>20</w:t>
      </w:r>
      <w:r>
        <w:rPr>
          <w:noProof/>
        </w:rPr>
        <w:fldChar w:fldCharType="end"/>
      </w:r>
      <w:r w:rsidR="00186F4A">
        <w:t>.  Правителството ответник изтък</w:t>
      </w:r>
      <w:r w:rsidR="00C75A49">
        <w:t>в</w:t>
      </w:r>
      <w:r w:rsidR="00186F4A">
        <w:t xml:space="preserve">а </w:t>
      </w:r>
      <w:r w:rsidR="00C75A49">
        <w:t xml:space="preserve">и </w:t>
      </w:r>
      <w:r w:rsidR="00186F4A">
        <w:t xml:space="preserve">обстоятелството, че исковете за справедливо обезщетение са отправени до Съда едва след като Голямата камара е постановила решението си по делото </w:t>
      </w:r>
      <w:r w:rsidR="00186F4A">
        <w:rPr>
          <w:rFonts w:ascii="Times New Roman" w:hAnsi="Times New Roman"/>
          <w:i/>
        </w:rPr>
        <w:t>Varnava and Others v. Turkey</w:t>
      </w:r>
      <w:r w:rsidR="00186F4A">
        <w:rPr>
          <w:rFonts w:ascii="Times New Roman" w:hAnsi="Times New Roman"/>
        </w:rPr>
        <w:t>,</w:t>
      </w:r>
      <w:r w:rsidR="00186F4A">
        <w:t xml:space="preserve"> цитирано по-горе, във връзка с множество отделни </w:t>
      </w:r>
      <w:r w:rsidR="00C75A49">
        <w:t xml:space="preserve">жалби </w:t>
      </w:r>
      <w:r w:rsidR="00186F4A">
        <w:t>по чл</w:t>
      </w:r>
      <w:r w:rsidR="00C75A49">
        <w:t>.</w:t>
      </w:r>
      <w:r w:rsidR="00186F4A">
        <w:t xml:space="preserve"> 34, като първоначално </w:t>
      </w:r>
      <w:r w:rsidR="00C75A49">
        <w:t xml:space="preserve">претендираните </w:t>
      </w:r>
      <w:r w:rsidR="00186F4A">
        <w:t xml:space="preserve">от </w:t>
      </w:r>
      <w:r w:rsidR="00C75A49">
        <w:t>П</w:t>
      </w:r>
      <w:r w:rsidR="00186F4A">
        <w:t>равителството на Кипър суми възлизат на 12 000 евро за всеки случай, което е точно размер</w:t>
      </w:r>
      <w:r w:rsidR="00111A6B">
        <w:t>ът</w:t>
      </w:r>
      <w:r w:rsidR="00186F4A">
        <w:t xml:space="preserve"> на сумата, присъдена всеки отделен жалбоподател по делото </w:t>
      </w:r>
      <w:r w:rsidR="00186F4A">
        <w:rPr>
          <w:i/>
        </w:rPr>
        <w:t>Varnava</w:t>
      </w:r>
      <w:r w:rsidR="00186F4A">
        <w:t xml:space="preserve"> </w:t>
      </w:r>
      <w:r w:rsidR="00186F4A">
        <w:rPr>
          <w:i/>
        </w:rPr>
        <w:t>and Others</w:t>
      </w:r>
      <w:r w:rsidR="00186F4A">
        <w:t xml:space="preserve">. Това означава, че решението на Съда по делото </w:t>
      </w:r>
      <w:r w:rsidR="00186F4A">
        <w:rPr>
          <w:i/>
        </w:rPr>
        <w:t>Varnava</w:t>
      </w:r>
      <w:r w:rsidR="00186F4A">
        <w:t xml:space="preserve"> </w:t>
      </w:r>
      <w:r w:rsidR="00186F4A">
        <w:rPr>
          <w:i/>
        </w:rPr>
        <w:t>and Others</w:t>
      </w:r>
      <w:r w:rsidR="00186F4A">
        <w:t xml:space="preserve">, което </w:t>
      </w:r>
      <w:r w:rsidR="00111A6B">
        <w:t xml:space="preserve">е </w:t>
      </w:r>
      <w:r w:rsidR="00186F4A">
        <w:t>огранич</w:t>
      </w:r>
      <w:r w:rsidR="00111A6B">
        <w:t>ило</w:t>
      </w:r>
      <w:r w:rsidR="00186F4A">
        <w:t xml:space="preserve"> шансовете за успех на отделните </w:t>
      </w:r>
      <w:r w:rsidR="00111A6B">
        <w:t xml:space="preserve">жалбоподатели, </w:t>
      </w:r>
      <w:r w:rsidR="00186F4A">
        <w:t xml:space="preserve">е </w:t>
      </w:r>
      <w:r w:rsidR="00111A6B">
        <w:t>било предупредителен сигнал</w:t>
      </w:r>
      <w:r w:rsidR="00186F4A">
        <w:t xml:space="preserve"> за Правителството </w:t>
      </w:r>
      <w:r w:rsidR="00186F4A">
        <w:lastRenderedPageBreak/>
        <w:t xml:space="preserve">жалбоподател и </w:t>
      </w:r>
      <w:r w:rsidR="0050565F">
        <w:t>му е подсказало да се обърне отново</w:t>
      </w:r>
      <w:r w:rsidR="00186F4A">
        <w:t xml:space="preserve"> към Съда. Въпреки това, според правителството на Турция, </w:t>
      </w:r>
      <w:r w:rsidR="00622A10">
        <w:t xml:space="preserve">и двата </w:t>
      </w:r>
      <w:r w:rsidR="00186F4A">
        <w:t>принцип</w:t>
      </w:r>
      <w:r w:rsidR="00622A10">
        <w:t>а</w:t>
      </w:r>
      <w:r w:rsidR="00186F4A">
        <w:t xml:space="preserve"> </w:t>
      </w:r>
      <w:r w:rsidR="00622A10">
        <w:t xml:space="preserve">– </w:t>
      </w:r>
      <w:r w:rsidR="00186F4A">
        <w:t xml:space="preserve">на добросъвестност </w:t>
      </w:r>
      <w:r w:rsidR="00622A10">
        <w:t xml:space="preserve">и на зачитане </w:t>
      </w:r>
      <w:r w:rsidR="00186F4A">
        <w:t>на правилото</w:t>
      </w:r>
      <w:r w:rsidR="00622A10">
        <w:t xml:space="preserve"> </w:t>
      </w:r>
      <w:r w:rsidR="00186F4A">
        <w:t xml:space="preserve">за </w:t>
      </w:r>
      <w:r w:rsidR="0050565F" w:rsidRPr="0050565F">
        <w:rPr>
          <w:i/>
          <w:iCs/>
          <w:lang w:val="en-GB"/>
        </w:rPr>
        <w:t>res</w:t>
      </w:r>
      <w:r w:rsidR="0050565F" w:rsidRPr="00075945">
        <w:rPr>
          <w:i/>
          <w:iCs/>
        </w:rPr>
        <w:t xml:space="preserve"> </w:t>
      </w:r>
      <w:r w:rsidR="0050565F" w:rsidRPr="0050565F">
        <w:rPr>
          <w:i/>
          <w:iCs/>
          <w:lang w:val="en-GB"/>
        </w:rPr>
        <w:t>judicata</w:t>
      </w:r>
      <w:r w:rsidR="00186F4A">
        <w:t xml:space="preserve"> </w:t>
      </w:r>
      <w:r w:rsidR="00622A10">
        <w:t xml:space="preserve">– </w:t>
      </w:r>
      <w:r w:rsidR="00186F4A">
        <w:t xml:space="preserve">не </w:t>
      </w:r>
      <w:r w:rsidR="00622A10">
        <w:t xml:space="preserve">би трябвало да </w:t>
      </w:r>
      <w:r w:rsidR="00186F4A">
        <w:t xml:space="preserve">дават </w:t>
      </w:r>
      <w:r w:rsidR="00622A10">
        <w:t>възможност</w:t>
      </w:r>
      <w:r w:rsidR="00186F4A">
        <w:t xml:space="preserve"> на </w:t>
      </w:r>
      <w:r w:rsidR="00622A10">
        <w:t>П</w:t>
      </w:r>
      <w:r w:rsidR="00186F4A">
        <w:t>равителството на Кипър да възобнов</w:t>
      </w:r>
      <w:r w:rsidR="00622A10">
        <w:t>ява въпроса сега</w:t>
      </w:r>
      <w:r w:rsidR="00186F4A">
        <w:t xml:space="preserve">; искове за справедливо обезщетение </w:t>
      </w:r>
      <w:r w:rsidR="00345543">
        <w:t xml:space="preserve">следва </w:t>
      </w:r>
      <w:r w:rsidR="00186F4A">
        <w:t xml:space="preserve">да бъдат отправяни в подобни индивидуални жалби (като </w:t>
      </w:r>
      <w:r w:rsidR="00186F4A">
        <w:rPr>
          <w:i/>
        </w:rPr>
        <w:t>Varnava and Others</w:t>
      </w:r>
      <w:r w:rsidR="00186F4A">
        <w:t xml:space="preserve">), </w:t>
      </w:r>
      <w:r w:rsidR="00345543">
        <w:t xml:space="preserve">а не </w:t>
      </w:r>
      <w:r w:rsidR="00186F4A">
        <w:t>в настоящото междудържавно дело.</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21</w:t>
      </w:r>
      <w:r>
        <w:rPr>
          <w:noProof/>
        </w:rPr>
        <w:fldChar w:fldCharType="end"/>
      </w:r>
      <w:r w:rsidR="00186F4A">
        <w:t xml:space="preserve">.  Според </w:t>
      </w:r>
      <w:r w:rsidR="00345543">
        <w:t>П</w:t>
      </w:r>
      <w:r w:rsidR="00186F4A">
        <w:t xml:space="preserve">равителството </w:t>
      </w:r>
      <w:r w:rsidR="00345543">
        <w:t xml:space="preserve">на </w:t>
      </w:r>
      <w:r w:rsidR="00186F4A">
        <w:t>Турция прилагането на чл</w:t>
      </w:r>
      <w:r w:rsidR="00345543">
        <w:t>.</w:t>
      </w:r>
      <w:r w:rsidR="00186F4A">
        <w:t xml:space="preserve"> 41 би било неоправдано, тъй като Комитет</w:t>
      </w:r>
      <w:r w:rsidR="00D23ED4">
        <w:t>ът</w:t>
      </w:r>
      <w:r w:rsidR="00186F4A">
        <w:t xml:space="preserve"> на ООН за безследно изчезналите лица е претърпял значително развитие от момента на постановяване на основното решение. Противно на твърденията на </w:t>
      </w:r>
      <w:r w:rsidR="00736548">
        <w:t>П</w:t>
      </w:r>
      <w:r w:rsidR="00186F4A">
        <w:t>равителството на Кипър, се наблюдава значителен напредък в откриване</w:t>
      </w:r>
      <w:r w:rsidR="00736548">
        <w:t>то</w:t>
      </w:r>
      <w:r w:rsidR="00186F4A">
        <w:t xml:space="preserve"> и разпознаване</w:t>
      </w:r>
      <w:r w:rsidR="00736548">
        <w:t>то</w:t>
      </w:r>
      <w:r w:rsidR="00186F4A">
        <w:t xml:space="preserve"> на останките на жертвите, като това е изрично признато от Съда (вж. </w:t>
      </w:r>
      <w:r w:rsidR="00186F4A">
        <w:rPr>
          <w:i/>
        </w:rPr>
        <w:t xml:space="preserve">Charalambous and Others v. Turkey </w:t>
      </w:r>
      <w:r w:rsidR="00186F4A">
        <w:t>(</w:t>
      </w:r>
      <w:r w:rsidR="00736548">
        <w:t>РД</w:t>
      </w:r>
      <w:r w:rsidR="00186F4A">
        <w:t>), №46744/07 и др., 3 април 2012 г.). Следователно въпросът с „безследно изчезналите лица“ постепенно се превръща във въпрос с „</w:t>
      </w:r>
      <w:r w:rsidR="00736548">
        <w:t xml:space="preserve">починалите </w:t>
      </w:r>
      <w:r w:rsidR="00186F4A">
        <w:t>лица“ и съгласно решението на</w:t>
      </w:r>
      <w:r w:rsidR="00736548">
        <w:t xml:space="preserve"> С</w:t>
      </w:r>
      <w:r w:rsidR="00186F4A">
        <w:t xml:space="preserve">ъда </w:t>
      </w:r>
      <w:r w:rsidR="00736548">
        <w:t>в</w:t>
      </w:r>
      <w:r w:rsidR="00186F4A">
        <w:t xml:space="preserve"> </w:t>
      </w:r>
      <w:r w:rsidR="00186F4A">
        <w:rPr>
          <w:i/>
        </w:rPr>
        <w:t xml:space="preserve">Brecknell v. the United Kingdom </w:t>
      </w:r>
      <w:r w:rsidR="00186F4A">
        <w:t>(</w:t>
      </w:r>
      <w:r w:rsidR="00186F4A">
        <w:rPr>
          <w:rFonts w:ascii="Times New Roman" w:hAnsi="Times New Roman"/>
        </w:rPr>
        <w:t>№ 32457/04, 27 ноември 2007 г.) това поражда съществено нови процесуални задължения с нови крайни срокове.</w:t>
      </w:r>
      <w:r w:rsidR="00186F4A">
        <w:t xml:space="preserve"> Така от една страна надзорното производство пред Комитета на министрите остава в сила, а от друга</w:t>
      </w:r>
      <w:r w:rsidR="00FA03DF">
        <w:t xml:space="preserve"> –</w:t>
      </w:r>
      <w:r w:rsidR="00186F4A">
        <w:t xml:space="preserve"> роднините на безследно изчезналите лица </w:t>
      </w:r>
      <w:r w:rsidR="009F2D13">
        <w:t>сега трябва</w:t>
      </w:r>
      <w:r w:rsidR="00186F4A">
        <w:t xml:space="preserve"> да чакат възобновяване на процесуалното задължение съгласно правилото </w:t>
      </w:r>
      <w:r w:rsidR="00186F4A">
        <w:rPr>
          <w:i/>
        </w:rPr>
        <w:t>Brecknell</w:t>
      </w:r>
      <w:r w:rsidR="00186F4A">
        <w:t>, за да защитят законните си интереси.</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22</w:t>
      </w:r>
      <w:r>
        <w:rPr>
          <w:noProof/>
        </w:rPr>
        <w:fldChar w:fldCharType="end"/>
      </w:r>
      <w:r w:rsidR="00186F4A">
        <w:t>.  Правителството на Турция настоя</w:t>
      </w:r>
      <w:r w:rsidR="009F2D13">
        <w:t>ва</w:t>
      </w:r>
      <w:r w:rsidR="00186F4A">
        <w:t>, че конкретните време</w:t>
      </w:r>
      <w:r w:rsidR="009F2D13">
        <w:t>в</w:t>
      </w:r>
      <w:r w:rsidR="00186F4A">
        <w:t xml:space="preserve">и разпоредби на Конвенцията (тълкувани </w:t>
      </w:r>
      <w:r w:rsidR="000E394B">
        <w:t>във</w:t>
      </w:r>
      <w:r w:rsidR="00186F4A">
        <w:t xml:space="preserve"> </w:t>
      </w:r>
      <w:r w:rsidR="00186F4A">
        <w:rPr>
          <w:i/>
        </w:rPr>
        <w:t>Varnava and Others</w:t>
      </w:r>
      <w:r w:rsidR="00186F4A">
        <w:t>) трябва да имат превес над общите принципи на международното право. По-</w:t>
      </w:r>
      <w:r w:rsidR="000E394B">
        <w:t>точно</w:t>
      </w:r>
      <w:r w:rsidR="00186F4A">
        <w:t xml:space="preserve"> не е възможно подаването на искове по междудържавн</w:t>
      </w:r>
      <w:r w:rsidR="000E394B">
        <w:t>а</w:t>
      </w:r>
      <w:r w:rsidR="00186F4A">
        <w:t xml:space="preserve"> </w:t>
      </w:r>
      <w:r w:rsidR="000E394B">
        <w:t>жалба</w:t>
      </w:r>
      <w:r w:rsidR="00186F4A">
        <w:t xml:space="preserve"> във връзка с </w:t>
      </w:r>
      <w:r w:rsidR="000E394B">
        <w:t>искове</w:t>
      </w:r>
      <w:r w:rsidR="00186F4A">
        <w:t xml:space="preserve">, които </w:t>
      </w:r>
      <w:r w:rsidR="00273F3B">
        <w:t>биха били</w:t>
      </w:r>
      <w:r w:rsidR="00186F4A">
        <w:t xml:space="preserve"> </w:t>
      </w:r>
      <w:r w:rsidR="00273F3B">
        <w:t>погасени по давност</w:t>
      </w:r>
      <w:r w:rsidR="00124AC9">
        <w:t>,</w:t>
      </w:r>
      <w:r w:rsidR="00186F4A">
        <w:t xml:space="preserve"> </w:t>
      </w:r>
      <w:r w:rsidR="00124AC9">
        <w:t>ако</w:t>
      </w:r>
      <w:r w:rsidR="00186F4A">
        <w:t xml:space="preserve"> са подадени </w:t>
      </w:r>
      <w:r w:rsidR="00124AC9">
        <w:t xml:space="preserve">в </w:t>
      </w:r>
      <w:r w:rsidR="00186F4A">
        <w:t>индивидуалн</w:t>
      </w:r>
      <w:r w:rsidR="00124AC9">
        <w:t>а</w:t>
      </w:r>
      <w:r w:rsidR="00186F4A">
        <w:t xml:space="preserve"> </w:t>
      </w:r>
      <w:r w:rsidR="00124AC9">
        <w:t xml:space="preserve">жалба </w:t>
      </w:r>
      <w:r w:rsidR="00186F4A">
        <w:t>по чл</w:t>
      </w:r>
      <w:r w:rsidR="00124AC9">
        <w:t>.</w:t>
      </w:r>
      <w:r w:rsidR="00186F4A">
        <w:t xml:space="preserve"> 34. Турция ще бъде засегната значително</w:t>
      </w:r>
      <w:r w:rsidR="00124AC9">
        <w:t>,</w:t>
      </w:r>
      <w:r w:rsidR="00186F4A">
        <w:t xml:space="preserve"> в случай че индивидуалните искове, които са </w:t>
      </w:r>
      <w:r w:rsidR="00124AC9">
        <w:t>погасени по давност</w:t>
      </w:r>
      <w:r w:rsidR="00186F4A">
        <w:t xml:space="preserve">, се възобновят под формата на иск за справедливо обезщетение, подаден след почти девет години от решението по </w:t>
      </w:r>
      <w:r w:rsidR="003D5539">
        <w:t>основателността</w:t>
      </w:r>
      <w:r w:rsidR="00186F4A">
        <w:t>.</w:t>
      </w:r>
    </w:p>
    <w:p w:rsidR="00186F4A" w:rsidRPr="008B347C" w:rsidRDefault="00186F4A" w:rsidP="00F44003">
      <w:pPr>
        <w:pStyle w:val="ECHRHeading4"/>
      </w:pPr>
      <w:r>
        <w:t>б. Преценка</w:t>
      </w:r>
      <w:r w:rsidR="003D5539">
        <w:t>та</w:t>
      </w:r>
      <w:r w:rsidR="002C561D">
        <w:t xml:space="preserve"> </w:t>
      </w:r>
      <w:r>
        <w:t>на Съда</w:t>
      </w:r>
    </w:p>
    <w:p w:rsidR="00186F4A" w:rsidRPr="008B347C" w:rsidRDefault="00D66335" w:rsidP="00EF358D">
      <w:pPr>
        <w:pStyle w:val="ECHRPara"/>
        <w:rPr>
          <w:szCs w:val="24"/>
        </w:rPr>
      </w:pPr>
      <w:r w:rsidRPr="008B347C">
        <w:rPr>
          <w:rStyle w:val="JuParaChar"/>
        </w:rPr>
        <w:fldChar w:fldCharType="begin"/>
      </w:r>
      <w:r w:rsidRPr="008B347C">
        <w:rPr>
          <w:rStyle w:val="JuParaChar"/>
        </w:rPr>
        <w:instrText xml:space="preserve"> SEQ level0 \*arabic </w:instrText>
      </w:r>
      <w:r w:rsidRPr="008B347C">
        <w:rPr>
          <w:rStyle w:val="JuParaChar"/>
        </w:rPr>
        <w:fldChar w:fldCharType="separate"/>
      </w:r>
      <w:r w:rsidR="007A52DC">
        <w:rPr>
          <w:rStyle w:val="JuParaChar"/>
          <w:noProof/>
        </w:rPr>
        <w:t>23</w:t>
      </w:r>
      <w:r w:rsidRPr="008B347C">
        <w:rPr>
          <w:rStyle w:val="JuParaChar"/>
        </w:rPr>
        <w:fldChar w:fldCharType="end"/>
      </w:r>
      <w:r>
        <w:rPr>
          <w:rStyle w:val="JuParaChar"/>
        </w:rPr>
        <w:t>.  Съдът подчертава</w:t>
      </w:r>
      <w:r w:rsidR="00A93735">
        <w:rPr>
          <w:rStyle w:val="JuParaChar"/>
        </w:rPr>
        <w:t xml:space="preserve"> отново</w:t>
      </w:r>
      <w:r>
        <w:rPr>
          <w:rStyle w:val="JuParaChar"/>
        </w:rPr>
        <w:t xml:space="preserve">, че разпоредбите на Конвенцията не могат да се тълкуват и прилагат във вакуум. Въпреки специфичния си характер като инструмент за защита на правата на човека, Конвенцията представлява международен договор, който се тълкува съгласно </w:t>
      </w:r>
      <w:r w:rsidR="005558DF">
        <w:rPr>
          <w:rStyle w:val="JuParaChar"/>
        </w:rPr>
        <w:t xml:space="preserve">приложимите </w:t>
      </w:r>
      <w:r>
        <w:rPr>
          <w:rStyle w:val="JuParaChar"/>
        </w:rPr>
        <w:t xml:space="preserve">норми и принципи на международното публично право и по-конкретно, в </w:t>
      </w:r>
      <w:r w:rsidR="005558DF">
        <w:rPr>
          <w:rStyle w:val="JuParaChar"/>
        </w:rPr>
        <w:t>контекста на</w:t>
      </w:r>
      <w:r>
        <w:rPr>
          <w:rStyle w:val="JuParaChar"/>
        </w:rPr>
        <w:t xml:space="preserve"> Виен</w:t>
      </w:r>
      <w:r w:rsidR="005558DF">
        <w:rPr>
          <w:rStyle w:val="JuParaChar"/>
        </w:rPr>
        <w:t>ск</w:t>
      </w:r>
      <w:r>
        <w:rPr>
          <w:rStyle w:val="JuParaChar"/>
        </w:rPr>
        <w:t>а</w:t>
      </w:r>
      <w:r w:rsidR="005558DF">
        <w:rPr>
          <w:rStyle w:val="JuParaChar"/>
        </w:rPr>
        <w:t>та</w:t>
      </w:r>
      <w:r>
        <w:rPr>
          <w:rStyle w:val="JuParaChar"/>
        </w:rPr>
        <w:t xml:space="preserve"> </w:t>
      </w:r>
      <w:r w:rsidR="005558DF">
        <w:rPr>
          <w:rStyle w:val="JuParaChar"/>
        </w:rPr>
        <w:t xml:space="preserve">конвенция </w:t>
      </w:r>
      <w:r>
        <w:rPr>
          <w:rStyle w:val="JuParaChar"/>
        </w:rPr>
        <w:t xml:space="preserve">за правото на договорите от 23 май 1969 г. („Виенската конвенция“). В интерес на истината </w:t>
      </w:r>
      <w:r>
        <w:t xml:space="preserve">Съдът никога не е считал разпоредбите на Конвенцията за единствена референтна рамка за тълкуване на правата и свободите, изложени в нея. Напротив, </w:t>
      </w:r>
      <w:r w:rsidR="005558DF">
        <w:t xml:space="preserve">той </w:t>
      </w:r>
      <w:r>
        <w:t>трябва да вз</w:t>
      </w:r>
      <w:r w:rsidR="005558DF">
        <w:t>и</w:t>
      </w:r>
      <w:r>
        <w:t xml:space="preserve">ма също така предвид </w:t>
      </w:r>
      <w:r>
        <w:lastRenderedPageBreak/>
        <w:t xml:space="preserve">всички правила и принципи на международното право, приложими в отношенията между </w:t>
      </w:r>
      <w:r w:rsidR="008A6E78">
        <w:t>В</w:t>
      </w:r>
      <w:r>
        <w:t xml:space="preserve">исокодоговарящите страни (вж., наред с много други, </w:t>
      </w:r>
      <w:r>
        <w:rPr>
          <w:i/>
        </w:rPr>
        <w:t>Loizidou v. Turkey</w:t>
      </w:r>
      <w:r>
        <w:t xml:space="preserve">, 18 декември 1996 г., § 43, </w:t>
      </w:r>
      <w:r>
        <w:rPr>
          <w:i/>
        </w:rPr>
        <w:t>Доклади</w:t>
      </w:r>
      <w:r>
        <w:t xml:space="preserve"> 1996-VI; </w:t>
      </w:r>
      <w:r>
        <w:rPr>
          <w:i/>
        </w:rPr>
        <w:t>Al</w:t>
      </w:r>
      <w:r>
        <w:noBreakHyphen/>
      </w:r>
      <w:r>
        <w:rPr>
          <w:i/>
        </w:rPr>
        <w:t xml:space="preserve">Adsani v. the United Kingdom </w:t>
      </w:r>
      <w:r>
        <w:t>[</w:t>
      </w:r>
      <w:r w:rsidR="008A6E78">
        <w:t>ГО</w:t>
      </w:r>
      <w:r>
        <w:t>], № 35763/97, § 55, ЕСПЧ 2001</w:t>
      </w:r>
      <w:r>
        <w:noBreakHyphen/>
        <w:t xml:space="preserve">XI ; </w:t>
      </w:r>
      <w:r>
        <w:rPr>
          <w:i/>
        </w:rPr>
        <w:t>Bosphorus Hava Yolları Turizm ve Ticaret Anonim Şirketi v. Ireland</w:t>
      </w:r>
      <w:r>
        <w:t xml:space="preserve"> [</w:t>
      </w:r>
      <w:r w:rsidR="008A6E78">
        <w:t>ГО</w:t>
      </w:r>
      <w:r>
        <w:t>], № 45036/98, § 150, ЕСПЧ 2005</w:t>
      </w:r>
      <w:r>
        <w:noBreakHyphen/>
        <w:t xml:space="preserve">VI; </w:t>
      </w:r>
      <w:r>
        <w:rPr>
          <w:i/>
        </w:rPr>
        <w:t xml:space="preserve">Demir and </w:t>
      </w:r>
      <w:r>
        <w:rPr>
          <w:rStyle w:val="wordhighlighted"/>
          <w:i/>
        </w:rPr>
        <w:t>Baykara</w:t>
      </w:r>
      <w:r>
        <w:rPr>
          <w:i/>
        </w:rPr>
        <w:t xml:space="preserve"> v. Turkey</w:t>
      </w:r>
      <w:r>
        <w:t xml:space="preserve"> [</w:t>
      </w:r>
      <w:r w:rsidR="008A6E78">
        <w:t>ГО</w:t>
      </w:r>
      <w:r>
        <w:t>], № 34503/97, § 67, ЕСПЧ 2008 г., и член 31 § 3 в) от Виенската конвенция).</w:t>
      </w:r>
    </w:p>
    <w:p w:rsidR="008B347C" w:rsidRPr="008B347C" w:rsidRDefault="00D66335" w:rsidP="00EF358D">
      <w:pPr>
        <w:pStyle w:val="ECHRPara"/>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24</w:t>
      </w:r>
      <w:r w:rsidRPr="008B347C">
        <w:rPr>
          <w:szCs w:val="24"/>
        </w:rPr>
        <w:fldChar w:fldCharType="end"/>
      </w:r>
      <w:r>
        <w:t>.  Съдът приема, че общото международно право по принцип признава задължението на Правителството жалбоподател в междудържав</w:t>
      </w:r>
      <w:r w:rsidR="00AC7126">
        <w:t>е</w:t>
      </w:r>
      <w:r>
        <w:t xml:space="preserve">н спор да действа без необосновано закъснение, за да </w:t>
      </w:r>
      <w:r w:rsidR="00AC7126">
        <w:t xml:space="preserve">насърчи </w:t>
      </w:r>
      <w:r>
        <w:t xml:space="preserve">правната сигурност и да не причини непропорционална вреда на законните интереси на държавата–ответник. Така по делото </w:t>
      </w:r>
      <w:r>
        <w:rPr>
          <w:i/>
        </w:rPr>
        <w:t xml:space="preserve">Certain Phosphate Lands in Nauru </w:t>
      </w:r>
      <w:r>
        <w:t>(</w:t>
      </w:r>
      <w:r>
        <w:rPr>
          <w:i/>
        </w:rPr>
        <w:t>Nauru v. Australia, Preliminary Objections</w:t>
      </w:r>
      <w:r>
        <w:t xml:space="preserve">, 1992 </w:t>
      </w:r>
      <w:r>
        <w:rPr>
          <w:i/>
        </w:rPr>
        <w:t>ICJ Rep.</w:t>
      </w:r>
      <w:r>
        <w:t xml:space="preserve"> 240), Международният съд </w:t>
      </w:r>
      <w:r w:rsidR="005912A4">
        <w:t>постановява</w:t>
      </w:r>
      <w:r>
        <w:t>:</w:t>
      </w:r>
    </w:p>
    <w:p w:rsidR="00186F4A" w:rsidRPr="008B347C" w:rsidRDefault="00186F4A" w:rsidP="00F44003">
      <w:pPr>
        <w:pStyle w:val="ECHRParaQuote"/>
        <w:rPr>
          <w:sz w:val="21"/>
          <w:szCs w:val="21"/>
        </w:rPr>
      </w:pPr>
      <w:r>
        <w:rPr>
          <w:sz w:val="21"/>
        </w:rPr>
        <w:t>„32.</w:t>
      </w:r>
      <w:r>
        <w:rPr>
          <w:b/>
          <w:sz w:val="21"/>
        </w:rPr>
        <w:t xml:space="preserve"> </w:t>
      </w:r>
      <w:r>
        <w:rPr>
          <w:sz w:val="21"/>
        </w:rPr>
        <w:t>Съдът приема, че дори при липсата на приложима договорна разпоредба, закъснение от страна на държава</w:t>
      </w:r>
      <w:r w:rsidR="008212FF">
        <w:rPr>
          <w:sz w:val="21"/>
        </w:rPr>
        <w:t>та жалбоподател</w:t>
      </w:r>
      <w:r>
        <w:rPr>
          <w:sz w:val="21"/>
        </w:rPr>
        <w:t xml:space="preserve"> може да доведе до недопустимост на жалбата. Съдът все пак отбелязва, че в тази връзка международното право не определя краен срок. Следователно от Съда зависи да определи</w:t>
      </w:r>
      <w:r w:rsidR="005912A4">
        <w:rPr>
          <w:sz w:val="21"/>
        </w:rPr>
        <w:t>,</w:t>
      </w:r>
      <w:r>
        <w:rPr>
          <w:sz w:val="21"/>
        </w:rPr>
        <w:t xml:space="preserve"> предвид обстоятелствата по всяко дело</w:t>
      </w:r>
      <w:r w:rsidR="005912A4">
        <w:rPr>
          <w:sz w:val="21"/>
        </w:rPr>
        <w:t>,</w:t>
      </w:r>
      <w:r>
        <w:rPr>
          <w:sz w:val="21"/>
        </w:rPr>
        <w:t xml:space="preserve"> дали </w:t>
      </w:r>
      <w:r w:rsidR="00D129DC">
        <w:rPr>
          <w:sz w:val="21"/>
        </w:rPr>
        <w:t xml:space="preserve">изтичането на време </w:t>
      </w:r>
      <w:r>
        <w:rPr>
          <w:sz w:val="21"/>
        </w:rPr>
        <w:t>води до недопустимост на жалбата.</w:t>
      </w:r>
    </w:p>
    <w:p w:rsidR="00186F4A" w:rsidRPr="008B347C" w:rsidRDefault="00186F4A" w:rsidP="00F44003">
      <w:pPr>
        <w:pStyle w:val="ECHRParaQuote"/>
        <w:rPr>
          <w:sz w:val="21"/>
          <w:szCs w:val="21"/>
        </w:rPr>
      </w:pPr>
      <w:r>
        <w:rPr>
          <w:sz w:val="21"/>
        </w:rPr>
        <w:t>...</w:t>
      </w:r>
    </w:p>
    <w:p w:rsidR="00186F4A" w:rsidRPr="008B347C" w:rsidRDefault="00186F4A" w:rsidP="00F44003">
      <w:pPr>
        <w:pStyle w:val="ECHRParaQuote"/>
        <w:rPr>
          <w:sz w:val="21"/>
          <w:szCs w:val="21"/>
        </w:rPr>
      </w:pPr>
      <w:r>
        <w:rPr>
          <w:sz w:val="21"/>
        </w:rPr>
        <w:t xml:space="preserve">36. … Съдът счита, че предвид съществото на взаимоотношенията между Австралия и Науру, както и така предприетите стъпки, жалбата на Науру не е обявена на недопустима поради давност. Въпреки това от Съда зависи своевременно да се увери, че закъснението от страна на Науру на подаването </w:t>
      </w:r>
      <w:r w:rsidR="000E67D8">
        <w:rPr>
          <w:sz w:val="21"/>
        </w:rPr>
        <w:t>ѝ</w:t>
      </w:r>
      <w:r>
        <w:rPr>
          <w:sz w:val="21"/>
        </w:rPr>
        <w:t xml:space="preserve"> няма за засегне Австралия във връзка с установяването на фактите и определяне на съдържанието на приложимото </w:t>
      </w:r>
      <w:r w:rsidR="005F52E2">
        <w:rPr>
          <w:sz w:val="21"/>
        </w:rPr>
        <w:t>право</w:t>
      </w:r>
      <w:r>
        <w:rPr>
          <w:sz w:val="21"/>
        </w:rPr>
        <w:t>.“</w:t>
      </w:r>
    </w:p>
    <w:p w:rsidR="00186F4A" w:rsidRPr="008B347C" w:rsidRDefault="00D66335" w:rsidP="00EF358D">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25</w:t>
      </w:r>
      <w:r w:rsidRPr="008B347C">
        <w:rPr>
          <w:szCs w:val="24"/>
        </w:rPr>
        <w:fldChar w:fldCharType="end"/>
      </w:r>
      <w:r>
        <w:t>.  </w:t>
      </w:r>
      <w:r w:rsidR="005F52E2">
        <w:t>П</w:t>
      </w:r>
      <w:r>
        <w:t xml:space="preserve">реди всичко Съдът припомня, че настоящата жалба е </w:t>
      </w:r>
      <w:r w:rsidR="005F52E2">
        <w:t xml:space="preserve">заведена </w:t>
      </w:r>
      <w:r>
        <w:t xml:space="preserve">през 1994 г. пред предишната Европейска </w:t>
      </w:r>
      <w:r w:rsidR="005F52E2">
        <w:t>к</w:t>
      </w:r>
      <w:r>
        <w:t xml:space="preserve">омисия по правата на човека по системата, предхождаща влизането в сила на Протокол № 11 (параграф 1 по-горе). Според Правилника за дейността на Комисията, който </w:t>
      </w:r>
      <w:r w:rsidR="005F52E2">
        <w:t>е в сила по това време</w:t>
      </w:r>
      <w:r>
        <w:t xml:space="preserve">, нито Правителството жалбоподател по междудържавно дело, нито жалбоподател физическо лице </w:t>
      </w:r>
      <w:r w:rsidR="00273C4B">
        <w:t xml:space="preserve">имат задължението </w:t>
      </w:r>
      <w:r>
        <w:t>да прав</w:t>
      </w:r>
      <w:r w:rsidR="00273C4B">
        <w:t>ят</w:t>
      </w:r>
      <w:r>
        <w:t xml:space="preserve"> общо описание на исканията си за справедливо обезщетение във формулярите си за подаване на жалбата. Съдът също така напомня, че </w:t>
      </w:r>
      <w:r w:rsidR="00273C4B">
        <w:t>с</w:t>
      </w:r>
      <w:r>
        <w:t xml:space="preserve"> писмо от 29 ноември 1999 г., изпратено до двете </w:t>
      </w:r>
      <w:r w:rsidR="00273C4B">
        <w:t>П</w:t>
      </w:r>
      <w:r>
        <w:t>равителства изрично е инструктирал Правителството жалбоподател да не отправя искане за справедливо обезщетение по чл</w:t>
      </w:r>
      <w:r w:rsidR="00273C4B">
        <w:t>.</w:t>
      </w:r>
      <w:r>
        <w:t xml:space="preserve"> 41 от Конвенцията на етапа по </w:t>
      </w:r>
      <w:r w:rsidR="00273C4B">
        <w:t>основателност</w:t>
      </w:r>
      <w:r>
        <w:t xml:space="preserve"> (параграф 3 по-горе); така че е разбираемо защо </w:t>
      </w:r>
      <w:r w:rsidR="00122A5A">
        <w:t>това не е направено</w:t>
      </w:r>
      <w:r>
        <w:t xml:space="preserve">.  Съдът също така отбелязва, че в свое решение от 10 май 2001 г. е постановил, „че въпросът </w:t>
      </w:r>
      <w:r w:rsidR="00122A5A">
        <w:t>за</w:t>
      </w:r>
      <w:r>
        <w:t xml:space="preserve"> евентуалното прилагане на чл</w:t>
      </w:r>
      <w:r w:rsidR="00122A5A">
        <w:t>.</w:t>
      </w:r>
      <w:r>
        <w:t xml:space="preserve"> 41 от Конвенцията не е готов за решение и отлага </w:t>
      </w:r>
      <w:r w:rsidR="00122A5A">
        <w:t>разглеждането му</w:t>
      </w:r>
      <w:r>
        <w:t xml:space="preserve">“ (глава VІІІ от </w:t>
      </w:r>
      <w:r w:rsidR="00615031">
        <w:t>диспозитива</w:t>
      </w:r>
      <w:r>
        <w:t xml:space="preserve">). Няма определени срокове за </w:t>
      </w:r>
      <w:r w:rsidR="00615031">
        <w:t xml:space="preserve">подаване </w:t>
      </w:r>
      <w:r w:rsidR="00615031">
        <w:lastRenderedPageBreak/>
        <w:t xml:space="preserve">от </w:t>
      </w:r>
      <w:r>
        <w:t xml:space="preserve">страните </w:t>
      </w:r>
      <w:r w:rsidR="00615031">
        <w:t>на искове</w:t>
      </w:r>
      <w:r>
        <w:t xml:space="preserve"> за справедливо обезщетение (параграфи 2-4 по-горе). Съдът трябва да установи дали, въпреки липсата на крайни срокове, обстоятелството, че правителството на Кипър не е подало исканията си за справедливо обезщетение преди 11 март 2010 г., е довело до недопустимост на тези искания съгласно основните критерии, определени по делото </w:t>
      </w:r>
      <w:r>
        <w:rPr>
          <w:i/>
        </w:rPr>
        <w:t>Nauru</w:t>
      </w:r>
      <w:r>
        <w:t>.</w:t>
      </w:r>
    </w:p>
    <w:p w:rsidR="00E31FEC" w:rsidRPr="008B347C" w:rsidRDefault="00075945" w:rsidP="00EF358D">
      <w:pPr>
        <w:pStyle w:val="ECHRPara"/>
      </w:pPr>
      <w:r>
        <w:fldChar w:fldCharType="begin"/>
      </w:r>
      <w:r>
        <w:instrText xml:space="preserve"> SEQ level0 \*arabic </w:instrText>
      </w:r>
      <w:r>
        <w:fldChar w:fldCharType="separate"/>
      </w:r>
      <w:r w:rsidR="007A52DC">
        <w:rPr>
          <w:noProof/>
        </w:rPr>
        <w:t>26</w:t>
      </w:r>
      <w:r>
        <w:rPr>
          <w:noProof/>
        </w:rPr>
        <w:fldChar w:fldCharType="end"/>
      </w:r>
      <w:r w:rsidR="00D66335">
        <w:t xml:space="preserve">.  Съдът счита, че това не е така. На първо място, за разлика от делото </w:t>
      </w:r>
      <w:r w:rsidR="00D66335">
        <w:rPr>
          <w:i/>
        </w:rPr>
        <w:t>Nauru</w:t>
      </w:r>
      <w:r w:rsidR="00D66335">
        <w:t xml:space="preserve">, разгледано от Международния съд, оспорваното закъснение не се случва преди подаване на междудържавната жалба, а преди решението на този Съд по </w:t>
      </w:r>
      <w:r w:rsidR="007D67AB">
        <w:t>основателността на</w:t>
      </w:r>
      <w:r w:rsidR="00D66335">
        <w:t xml:space="preserve"> делото и непрекъснат</w:t>
      </w:r>
      <w:r w:rsidR="007D67AB">
        <w:t>ия</w:t>
      </w:r>
      <w:r w:rsidR="00D66335">
        <w:t xml:space="preserve"> </w:t>
      </w:r>
      <w:r w:rsidR="007D67AB">
        <w:t>надзор</w:t>
      </w:r>
      <w:r w:rsidR="00D66335">
        <w:t xml:space="preserve"> </w:t>
      </w:r>
      <w:r w:rsidR="007D67AB">
        <w:t>върху</w:t>
      </w:r>
      <w:r w:rsidR="00D66335">
        <w:t xml:space="preserve"> прилагането на това решение от Комитета на министрите. По време на този етап на делото двете Правителства има</w:t>
      </w:r>
      <w:r w:rsidR="008115AE">
        <w:t>т</w:t>
      </w:r>
      <w:r w:rsidR="00D66335">
        <w:t xml:space="preserve"> </w:t>
      </w:r>
      <w:r w:rsidR="008115AE">
        <w:t xml:space="preserve">правото </w:t>
      </w:r>
      <w:r w:rsidR="00D66335">
        <w:t xml:space="preserve">да вярват, че въпросът </w:t>
      </w:r>
      <w:r w:rsidR="008115AE">
        <w:t>за</w:t>
      </w:r>
      <w:r w:rsidR="00D66335">
        <w:t xml:space="preserve"> евентуалното </w:t>
      </w:r>
      <w:r w:rsidR="008115AE">
        <w:t xml:space="preserve">присъждане </w:t>
      </w:r>
      <w:r w:rsidR="00D66335">
        <w:t xml:space="preserve">на справедливо обезщетение </w:t>
      </w:r>
      <w:r w:rsidR="008115AE">
        <w:t>е временно прекъснат</w:t>
      </w:r>
      <w:r w:rsidR="00D66335">
        <w:t xml:space="preserve"> в очакване на по-нататъшно развитие. Освен това въпросът за справедливото обезщетение е повдиган </w:t>
      </w:r>
      <w:r w:rsidR="003016E2">
        <w:t xml:space="preserve">неколкократно </w:t>
      </w:r>
      <w:r w:rsidR="00D66335">
        <w:t xml:space="preserve">в хода на производството по </w:t>
      </w:r>
      <w:r w:rsidR="003016E2">
        <w:t>основателността на</w:t>
      </w:r>
      <w:r w:rsidR="00D66335">
        <w:t xml:space="preserve"> </w:t>
      </w:r>
      <w:r w:rsidR="003016E2">
        <w:t xml:space="preserve">жалбата </w:t>
      </w:r>
      <w:r w:rsidR="00D66335">
        <w:t xml:space="preserve">(параграфи 2-3 по-горе). В основното решение въпросът </w:t>
      </w:r>
      <w:r w:rsidR="003016E2">
        <w:t>за</w:t>
      </w:r>
      <w:r w:rsidR="00D66335">
        <w:t xml:space="preserve"> евентуалното </w:t>
      </w:r>
      <w:r w:rsidR="003016E2">
        <w:t xml:space="preserve">присъждане </w:t>
      </w:r>
      <w:r w:rsidR="00D66335">
        <w:t>на справедливо обезщетение е отложен, което ясно и недвусмислено означава, че Съдът не</w:t>
      </w:r>
      <w:r w:rsidR="003016E2">
        <w:t xml:space="preserve"> е</w:t>
      </w:r>
      <w:r w:rsidR="00D66335">
        <w:t xml:space="preserve"> изключ</w:t>
      </w:r>
      <w:r w:rsidR="003016E2">
        <w:t>ил</w:t>
      </w:r>
      <w:r w:rsidR="00D66335">
        <w:t xml:space="preserve"> възможността от възобновяване на разглеждането му в подходящ момент в бъдеще. Следователно нито една от страните няма основания да очаква, че този проблем ще бъде оставен без да бъде решен, или че ще бъде погасен или анулиран поради изтекла давност. В заключение, както </w:t>
      </w:r>
      <w:r w:rsidR="00312E37">
        <w:t>правилно е посочило П</w:t>
      </w:r>
      <w:r w:rsidR="00D66335">
        <w:t xml:space="preserve">равителството на Кипър, оттам никога не е правено изрично или </w:t>
      </w:r>
      <w:r w:rsidR="00312E37">
        <w:t xml:space="preserve">негласно </w:t>
      </w:r>
      <w:r w:rsidR="00D66335">
        <w:t xml:space="preserve">изявление, което да показва, че </w:t>
      </w:r>
      <w:r w:rsidR="00312E37">
        <w:t>П</w:t>
      </w:r>
      <w:r w:rsidR="00D66335">
        <w:t>равителството се е отказало или оттеглило правото си на искане на справедливо обезщетение</w:t>
      </w:r>
      <w:r w:rsidR="007A477C">
        <w:t>;</w:t>
      </w:r>
      <w:r w:rsidR="00D66335">
        <w:t xml:space="preserve"> напротив, писмото му от 31 август 2007 г. следва да се счита за ясно и недвусмислено препотвърждаване на това право. При тези обстоятелства Правителството ответник </w:t>
      </w:r>
      <w:r w:rsidR="007A477C">
        <w:t>няма основания</w:t>
      </w:r>
      <w:r w:rsidR="00D66335">
        <w:t xml:space="preserve"> </w:t>
      </w:r>
      <w:r w:rsidR="007A477C">
        <w:t>да</w:t>
      </w:r>
      <w:r w:rsidR="00D66335">
        <w:t xml:space="preserve"> твърди, че възобновяването на разглеждането на исканията на Правителството жалбоподател ще засегне законните му интереси, тъй като </w:t>
      </w:r>
      <w:r w:rsidR="007A477C">
        <w:t xml:space="preserve">е трябвало да имат основателно </w:t>
      </w:r>
      <w:r w:rsidR="00D66335">
        <w:t>очаква</w:t>
      </w:r>
      <w:r w:rsidR="007A477C">
        <w:t>не, че</w:t>
      </w:r>
      <w:r w:rsidR="00D66335">
        <w:t xml:space="preserve"> въпросът </w:t>
      </w:r>
      <w:r w:rsidR="007A477C">
        <w:t>ще</w:t>
      </w:r>
      <w:r w:rsidR="00D66335">
        <w:t xml:space="preserve"> бъде върнат в Съда в даден момент. Предвид решението по делото </w:t>
      </w:r>
      <w:r w:rsidR="00D66335">
        <w:rPr>
          <w:i/>
        </w:rPr>
        <w:t>Nauru</w:t>
      </w:r>
      <w:r w:rsidR="00D66335">
        <w:t>, цитирано по-горе, Съдът счита, че в</w:t>
      </w:r>
      <w:r w:rsidR="00D66335">
        <w:rPr>
          <w:rStyle w:val="JuParaChar"/>
        </w:rPr>
        <w:t xml:space="preserve"> този контекст, елементът на „засягане“ преди всичко е свързан с процесуалните интереси на Правителството ответник („установяването на обстоятелствата и определяне на </w:t>
      </w:r>
      <w:r w:rsidR="00BF798E">
        <w:rPr>
          <w:rStyle w:val="JuParaChar"/>
        </w:rPr>
        <w:t xml:space="preserve">съдържанието </w:t>
      </w:r>
      <w:r w:rsidR="00D66335">
        <w:rPr>
          <w:rStyle w:val="JuParaChar"/>
        </w:rPr>
        <w:t xml:space="preserve">на приложимото право“) и </w:t>
      </w:r>
      <w:r w:rsidR="00D66335">
        <w:t>че то трябва да докаже убедително неизбежната вероятност да бъде засегнато</w:t>
      </w:r>
      <w:r w:rsidR="00BF798E">
        <w:t>.</w:t>
      </w:r>
      <w:r w:rsidR="00D66335">
        <w:t xml:space="preserve"> Съдът обаче не вижда подобно доказателство по настоящото дело.</w:t>
      </w:r>
    </w:p>
    <w:p w:rsidR="008B347C" w:rsidRPr="008B347C" w:rsidRDefault="00075945" w:rsidP="00EF358D">
      <w:pPr>
        <w:pStyle w:val="ECHRPara"/>
      </w:pPr>
      <w:r>
        <w:fldChar w:fldCharType="begin"/>
      </w:r>
      <w:r>
        <w:instrText xml:space="preserve"> SEQ level0 \*arabic </w:instrText>
      </w:r>
      <w:r>
        <w:fldChar w:fldCharType="separate"/>
      </w:r>
      <w:r w:rsidR="007A52DC">
        <w:rPr>
          <w:noProof/>
        </w:rPr>
        <w:t>27</w:t>
      </w:r>
      <w:r>
        <w:rPr>
          <w:noProof/>
        </w:rPr>
        <w:fldChar w:fldCharType="end"/>
      </w:r>
      <w:r w:rsidR="00D66335">
        <w:t xml:space="preserve">.  Доколкото </w:t>
      </w:r>
      <w:r w:rsidR="00BF798E">
        <w:t>П</w:t>
      </w:r>
      <w:r w:rsidR="00D66335">
        <w:t xml:space="preserve">равителството на Турция се </w:t>
      </w:r>
      <w:r w:rsidR="00BF798E">
        <w:t>е позовало на</w:t>
      </w:r>
      <w:r w:rsidR="00D66335">
        <w:t xml:space="preserve"> надзорното производство пред Комитета на министрите, Съдът изтъква</w:t>
      </w:r>
      <w:r w:rsidR="00BF798E">
        <w:t xml:space="preserve"> отново</w:t>
      </w:r>
      <w:r w:rsidR="00D66335">
        <w:t xml:space="preserve">, че констатираните нарушения в решението му са декларативни </w:t>
      </w:r>
      <w:r w:rsidR="00222273">
        <w:t xml:space="preserve">по същество </w:t>
      </w:r>
      <w:r w:rsidR="00D66335">
        <w:t>и че съгласно чл</w:t>
      </w:r>
      <w:r w:rsidR="00222273">
        <w:t>.</w:t>
      </w:r>
      <w:r w:rsidR="00D66335">
        <w:t xml:space="preserve"> 46 от Конвенцията, Високодоговарящите </w:t>
      </w:r>
      <w:r w:rsidR="00D66335">
        <w:lastRenderedPageBreak/>
        <w:t xml:space="preserve">страни са </w:t>
      </w:r>
      <w:r w:rsidR="00222273">
        <w:t>поели задължението</w:t>
      </w:r>
      <w:r w:rsidR="00D66335">
        <w:t xml:space="preserve"> да </w:t>
      </w:r>
      <w:r w:rsidR="00222273">
        <w:t>приемат</w:t>
      </w:r>
      <w:r w:rsidR="00D66335">
        <w:t xml:space="preserve"> окончателн</w:t>
      </w:r>
      <w:r w:rsidR="00222273">
        <w:t>и</w:t>
      </w:r>
      <w:r w:rsidR="00D66335">
        <w:t>т</w:t>
      </w:r>
      <w:r w:rsidR="00222273">
        <w:t>е</w:t>
      </w:r>
      <w:r w:rsidR="00D66335">
        <w:t xml:space="preserve"> решени</w:t>
      </w:r>
      <w:r w:rsidR="00222273">
        <w:t>я</w:t>
      </w:r>
      <w:r w:rsidR="00D66335">
        <w:t xml:space="preserve"> на Съда </w:t>
      </w:r>
      <w:r w:rsidR="00FD12F4">
        <w:t>по всички дела</w:t>
      </w:r>
      <w:r w:rsidR="00D66335">
        <w:t xml:space="preserve">, по които са страни, </w:t>
      </w:r>
      <w:r w:rsidR="000D1200">
        <w:t xml:space="preserve">като изпълнението им е </w:t>
      </w:r>
      <w:r w:rsidR="00D66335">
        <w:t xml:space="preserve">под </w:t>
      </w:r>
      <w:r w:rsidR="00781369">
        <w:t>контрола</w:t>
      </w:r>
      <w:r w:rsidR="00D66335">
        <w:t xml:space="preserve"> на Комитета на министрите (</w:t>
      </w:r>
      <w:r w:rsidR="00D66335">
        <w:rPr>
          <w:rStyle w:val="wordhighlighted"/>
          <w:i/>
        </w:rPr>
        <w:t>Verein</w:t>
      </w:r>
      <w:r w:rsidR="00D66335">
        <w:rPr>
          <w:i/>
        </w:rPr>
        <w:t xml:space="preserve"> </w:t>
      </w:r>
      <w:r w:rsidR="00D66335">
        <w:rPr>
          <w:rStyle w:val="wordhighlighted"/>
          <w:i/>
        </w:rPr>
        <w:t>gegen</w:t>
      </w:r>
      <w:r w:rsidR="00D66335">
        <w:rPr>
          <w:i/>
        </w:rPr>
        <w:t xml:space="preserve"> Tierfabriken Schweiz (VgT) v. Switzerland (no. 2) </w:t>
      </w:r>
      <w:r w:rsidR="00D66335">
        <w:t>[</w:t>
      </w:r>
      <w:r w:rsidR="000D1200">
        <w:t>ГО</w:t>
      </w:r>
      <w:r w:rsidR="00D66335">
        <w:t xml:space="preserve">], № 32772/02, § 61, ЕСПЧ 2009 г.). В тази връзка не следва да </w:t>
      </w:r>
      <w:r w:rsidR="000D1200">
        <w:t xml:space="preserve">има </w:t>
      </w:r>
      <w:r w:rsidR="00D66335">
        <w:t>обърква</w:t>
      </w:r>
      <w:r w:rsidR="000D1200">
        <w:t>не</w:t>
      </w:r>
      <w:r w:rsidR="00D66335">
        <w:t xml:space="preserve"> </w:t>
      </w:r>
      <w:r w:rsidR="000D1200">
        <w:t xml:space="preserve">между </w:t>
      </w:r>
      <w:r w:rsidR="00D66335">
        <w:t xml:space="preserve">производството пред Съда, който е компетентен да установи нарушения на Конвенцията в окончателните решения, които са задължителни за </w:t>
      </w:r>
      <w:r w:rsidR="00764EC9">
        <w:t>д</w:t>
      </w:r>
      <w:r w:rsidR="00D66335">
        <w:t xml:space="preserve">ържавите </w:t>
      </w:r>
      <w:r w:rsidR="00764EC9">
        <w:t>с</w:t>
      </w:r>
      <w:r w:rsidR="00D66335">
        <w:t>трани по делото (чл</w:t>
      </w:r>
      <w:r w:rsidR="00764EC9">
        <w:t>.</w:t>
      </w:r>
      <w:r w:rsidR="00D66335">
        <w:t xml:space="preserve"> 19, във връзка с чл</w:t>
      </w:r>
      <w:r w:rsidR="00764EC9">
        <w:t>.</w:t>
      </w:r>
      <w:r w:rsidR="00D66335">
        <w:t xml:space="preserve"> 46 § 1), и да присъди справедливо обезщетение (чл</w:t>
      </w:r>
      <w:r w:rsidR="00764EC9">
        <w:t>.</w:t>
      </w:r>
      <w:r w:rsidR="00D66335">
        <w:t xml:space="preserve"> 41), когато е уместно, и от друга страна механизмите за </w:t>
      </w:r>
      <w:r w:rsidR="00DD744E">
        <w:t xml:space="preserve">контрол </w:t>
      </w:r>
      <w:r w:rsidR="00D66335">
        <w:t>на изпълнението на решенията, за което отговаря Комитета на министрите (чл</w:t>
      </w:r>
      <w:r w:rsidR="00764EC9">
        <w:t>.</w:t>
      </w:r>
      <w:r w:rsidR="00D66335">
        <w:t xml:space="preserve"> 46 § 2). Съгласно чл</w:t>
      </w:r>
      <w:r w:rsidR="00764EC9">
        <w:t>.</w:t>
      </w:r>
      <w:r w:rsidR="00D66335">
        <w:t xml:space="preserve"> 46 </w:t>
      </w:r>
      <w:r w:rsidR="00764EC9">
        <w:t>д</w:t>
      </w:r>
      <w:r w:rsidR="00D66335">
        <w:t xml:space="preserve">ържавата </w:t>
      </w:r>
      <w:r w:rsidR="00764EC9">
        <w:t>с</w:t>
      </w:r>
      <w:r w:rsidR="00D66335">
        <w:t>трана по делото е длъжна не само да изплати на съответната страна сумите, определени от Съда като справедливо обезщетение, но и да предприеме индивидуални или, ако е уместно, общи мерки във вътрешн</w:t>
      </w:r>
      <w:r w:rsidR="00DD744E">
        <w:t>ия</w:t>
      </w:r>
      <w:r w:rsidR="00D66335">
        <w:t xml:space="preserve"> си </w:t>
      </w:r>
      <w:r w:rsidR="00DD744E">
        <w:t>правов ред</w:t>
      </w:r>
      <w:r w:rsidR="00D66335">
        <w:t xml:space="preserve">, или и двете, за да прекрати </w:t>
      </w:r>
      <w:r w:rsidR="00BC59E9">
        <w:t xml:space="preserve">констатираните от Съда </w:t>
      </w:r>
      <w:r w:rsidR="00D66335">
        <w:t xml:space="preserve">нарушения и да </w:t>
      </w:r>
      <w:r w:rsidR="00BC59E9">
        <w:t xml:space="preserve">компенсира </w:t>
      </w:r>
      <w:r w:rsidR="00D66335">
        <w:t>последиците, като целта е жалбоподателят да бъде приведен, доколкото е възможно, в състоянието, в което би бил, ако разпоредбите на Конвенцията не са били нарушени (</w:t>
      </w:r>
      <w:r w:rsidR="00D66335">
        <w:rPr>
          <w:i/>
        </w:rPr>
        <w:t>пак там</w:t>
      </w:r>
      <w:r w:rsidR="00D66335">
        <w:t>, § 85). Макар и взаимосвързани, задължението за предприемане на индивидуални или общи мерки, или и двете, и изплащането на справедливо обезщетение са две различ</w:t>
      </w:r>
      <w:r w:rsidR="00893FFD">
        <w:t>ни</w:t>
      </w:r>
      <w:r w:rsidR="00D66335">
        <w:t xml:space="preserve"> форми на компенсация, като първата по никакъв начин не изключва </w:t>
      </w:r>
      <w:r w:rsidR="00893FFD">
        <w:t>втората</w:t>
      </w:r>
      <w:r w:rsidR="00D66335">
        <w:t>.</w:t>
      </w:r>
    </w:p>
    <w:p w:rsidR="00186F4A" w:rsidRPr="008B347C" w:rsidRDefault="00075945" w:rsidP="00EF358D">
      <w:pPr>
        <w:pStyle w:val="ECHRPara"/>
      </w:pPr>
      <w:r>
        <w:fldChar w:fldCharType="begin"/>
      </w:r>
      <w:r>
        <w:instrText xml:space="preserve"> SEQ level0 \*arabic </w:instrText>
      </w:r>
      <w:r>
        <w:fldChar w:fldCharType="separate"/>
      </w:r>
      <w:r w:rsidR="007A52DC">
        <w:rPr>
          <w:noProof/>
        </w:rPr>
        <w:t>28</w:t>
      </w:r>
      <w:r>
        <w:rPr>
          <w:noProof/>
        </w:rPr>
        <w:fldChar w:fldCharType="end"/>
      </w:r>
      <w:r w:rsidR="00D66335">
        <w:t>.  По отношение на разви</w:t>
      </w:r>
      <w:r w:rsidR="00893FFD">
        <w:t>лите се</w:t>
      </w:r>
      <w:r w:rsidR="00D66335">
        <w:t xml:space="preserve"> в периода 2001 — 2010 г.</w:t>
      </w:r>
      <w:r w:rsidR="00893FFD">
        <w:t xml:space="preserve"> събития</w:t>
      </w:r>
      <w:r w:rsidR="00D66335">
        <w:t>, в хода на или във връзка с надзорното производство пред Комитета на министрите, Съдът счита, че те</w:t>
      </w:r>
      <w:r w:rsidR="00C85808">
        <w:t>зи събития</w:t>
      </w:r>
      <w:r w:rsidR="00D66335">
        <w:t xml:space="preserve"> несъмнено са </w:t>
      </w:r>
      <w:r w:rsidR="00C85808">
        <w:t>от значение за</w:t>
      </w:r>
      <w:r w:rsidR="00D66335">
        <w:t xml:space="preserve"> оценката на същността на искането за справедливо обезщетение от страна на Правителството жалбоподател; </w:t>
      </w:r>
      <w:r w:rsidR="00C85808">
        <w:t>те обаче</w:t>
      </w:r>
      <w:r w:rsidR="00D66335">
        <w:t xml:space="preserve"> не изключват разглеждането на искането от Съда.</w:t>
      </w:r>
    </w:p>
    <w:p w:rsidR="00186F4A" w:rsidRPr="008B347C" w:rsidRDefault="00075945" w:rsidP="00EF358D">
      <w:pPr>
        <w:pStyle w:val="ECHRPara"/>
      </w:pPr>
      <w:r>
        <w:fldChar w:fldCharType="begin"/>
      </w:r>
      <w:r>
        <w:instrText xml:space="preserve"> SEQ level0 \*arabic </w:instrText>
      </w:r>
      <w:r>
        <w:fldChar w:fldCharType="separate"/>
      </w:r>
      <w:r w:rsidR="007A52DC">
        <w:rPr>
          <w:noProof/>
        </w:rPr>
        <w:t>29</w:t>
      </w:r>
      <w:r>
        <w:rPr>
          <w:noProof/>
        </w:rPr>
        <w:fldChar w:fldCharType="end"/>
      </w:r>
      <w:r w:rsidR="00D66335">
        <w:t xml:space="preserve">.  Предвид гореизложеното, Съдът не вижда основателна причина да счита исканията на </w:t>
      </w:r>
      <w:r w:rsidR="00BE6A62">
        <w:t>П</w:t>
      </w:r>
      <w:r w:rsidR="00D66335">
        <w:t>равителството на Кипър за справедливо обезщетение за закъснели и да ги обяви за недопустими. Следователно възражението на Правителството на Турция трябва да се отхвърли.</w:t>
      </w:r>
    </w:p>
    <w:p w:rsidR="00D64294" w:rsidRPr="008B347C" w:rsidRDefault="00075945" w:rsidP="00EF358D">
      <w:pPr>
        <w:pStyle w:val="ECHRPara"/>
      </w:pPr>
      <w:r>
        <w:fldChar w:fldCharType="begin"/>
      </w:r>
      <w:r>
        <w:instrText xml:space="preserve"> SEQ level0 \*arabic </w:instrText>
      </w:r>
      <w:r>
        <w:fldChar w:fldCharType="separate"/>
      </w:r>
      <w:r w:rsidR="007A52DC">
        <w:rPr>
          <w:noProof/>
        </w:rPr>
        <w:t>30</w:t>
      </w:r>
      <w:r>
        <w:rPr>
          <w:noProof/>
        </w:rPr>
        <w:fldChar w:fldCharType="end"/>
      </w:r>
      <w:r w:rsidR="00B47B45">
        <w:t>.  В същото време Съдът изтъква</w:t>
      </w:r>
      <w:r w:rsidR="00BE6A62">
        <w:t xml:space="preserve"> отново,</w:t>
      </w:r>
      <w:r w:rsidR="00B47B45">
        <w:t xml:space="preserve"> </w:t>
      </w:r>
      <w:r w:rsidR="00BE6A62">
        <w:t>ч</w:t>
      </w:r>
      <w:r w:rsidR="00B47B45">
        <w:t xml:space="preserve">е на 14 март 2012 г. е приканил Правителството жалбоподател да подаде „окончателен“ вариант на исканията си за справедливо обезщетение и че подадените в резултат на това искания на 18 юни 2012 г. следва наистина да се считат за окончателни. </w:t>
      </w:r>
      <w:r w:rsidR="00BE6A62">
        <w:t>Поради това</w:t>
      </w:r>
      <w:r w:rsidR="00B47B45">
        <w:t xml:space="preserve"> Съдът сч</w:t>
      </w:r>
      <w:r w:rsidR="00BE6A62">
        <w:t>и</w:t>
      </w:r>
      <w:r w:rsidR="00B47B45">
        <w:t>т</w:t>
      </w:r>
      <w:r w:rsidR="00BE6A62">
        <w:t>а</w:t>
      </w:r>
      <w:r w:rsidR="00B47B45">
        <w:t>, че</w:t>
      </w:r>
      <w:r w:rsidR="00BE6A62">
        <w:t xml:space="preserve"> с</w:t>
      </w:r>
      <w:r w:rsidR="00B47B45">
        <w:t xml:space="preserve"> настоящото решение </w:t>
      </w:r>
      <w:r w:rsidR="00BE6A62">
        <w:t>приключва</w:t>
      </w:r>
      <w:r w:rsidR="00B47B45">
        <w:t xml:space="preserve"> разглеждането на въпроса.</w:t>
      </w:r>
    </w:p>
    <w:p w:rsidR="00186F4A" w:rsidRPr="008B347C" w:rsidRDefault="00082038" w:rsidP="00F44003">
      <w:pPr>
        <w:pStyle w:val="ECHRHeading3"/>
      </w:pPr>
      <w:r>
        <w:lastRenderedPageBreak/>
        <w:t>2.  Приложимост на чл</w:t>
      </w:r>
      <w:r w:rsidR="00BE6A62">
        <w:t>.</w:t>
      </w:r>
      <w:r>
        <w:t xml:space="preserve"> 41 от Конвенцията по настоящото дело</w:t>
      </w:r>
    </w:p>
    <w:p w:rsidR="00186F4A" w:rsidRPr="008B347C" w:rsidRDefault="00186F4A" w:rsidP="00F44003">
      <w:pPr>
        <w:pStyle w:val="ECHRHeading4"/>
      </w:pPr>
      <w:r>
        <w:t>а.</w:t>
      </w:r>
      <w:r>
        <w:tab/>
        <w:t>Становища</w:t>
      </w:r>
      <w:r w:rsidR="00C457BC">
        <w:t>та</w:t>
      </w:r>
      <w:r>
        <w:t xml:space="preserve"> на страните</w:t>
      </w:r>
    </w:p>
    <w:p w:rsidR="00186F4A" w:rsidRPr="008B347C" w:rsidRDefault="00082038" w:rsidP="00F44003">
      <w:pPr>
        <w:pStyle w:val="ECHRHeading5"/>
      </w:pPr>
      <w:r>
        <w:t>i.  Правителството на Кипър</w:t>
      </w:r>
    </w:p>
    <w:p w:rsidR="00186F4A" w:rsidRPr="008B347C" w:rsidRDefault="00186F4A"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31</w:t>
      </w:r>
      <w:r w:rsidRPr="008B347C">
        <w:rPr>
          <w:szCs w:val="24"/>
        </w:rPr>
        <w:fldChar w:fldCharType="end"/>
      </w:r>
      <w:r>
        <w:t xml:space="preserve">.  Правителството жалбоподател </w:t>
      </w:r>
      <w:r w:rsidR="00E0754D">
        <w:t>твърди</w:t>
      </w:r>
      <w:r>
        <w:t>, че чл</w:t>
      </w:r>
      <w:r w:rsidR="00E0754D">
        <w:t>.</w:t>
      </w:r>
      <w:r>
        <w:t xml:space="preserve"> 41 от Конвенцията </w:t>
      </w:r>
      <w:r w:rsidR="00E0754D">
        <w:t>е приложим</w:t>
      </w:r>
      <w:r>
        <w:t xml:space="preserve"> по междудържавни дела </w:t>
      </w:r>
      <w:r w:rsidR="00656C39">
        <w:t>по принцип</w:t>
      </w:r>
      <w:r>
        <w:t xml:space="preserve"> и конкретно </w:t>
      </w:r>
      <w:r w:rsidR="00656C39">
        <w:t>в настоящия случай</w:t>
      </w:r>
      <w:r>
        <w:t xml:space="preserve">. На първо място </w:t>
      </w:r>
      <w:r w:rsidR="00656C39">
        <w:t>П</w:t>
      </w:r>
      <w:r>
        <w:t>равителството изтък</w:t>
      </w:r>
      <w:r w:rsidR="00656C39">
        <w:t>в</w:t>
      </w:r>
      <w:r>
        <w:t xml:space="preserve">а факта, че </w:t>
      </w:r>
      <w:r w:rsidR="00656C39">
        <w:t>самият</w:t>
      </w:r>
      <w:r>
        <w:t xml:space="preserve"> текст на чл</w:t>
      </w:r>
      <w:r w:rsidR="00656C39">
        <w:t>.</w:t>
      </w:r>
      <w:r>
        <w:t xml:space="preserve"> 41 не прави разлика между индивидуални </w:t>
      </w:r>
      <w:r w:rsidR="009F18B7">
        <w:t xml:space="preserve">и </w:t>
      </w:r>
      <w:r>
        <w:t xml:space="preserve">междудържавни дела, като последните не са изрично изключени от обхвата на правилото за справедливо обезщетение. </w:t>
      </w:r>
      <w:r w:rsidR="009F18B7">
        <w:t>То се</w:t>
      </w:r>
      <w:r>
        <w:t xml:space="preserve"> позова</w:t>
      </w:r>
      <w:r w:rsidR="009F18B7">
        <w:t>ва</w:t>
      </w:r>
      <w:r>
        <w:t xml:space="preserve"> също на принципа на ефективност на </w:t>
      </w:r>
      <w:r w:rsidR="009F18B7">
        <w:t xml:space="preserve">индивидуалните </w:t>
      </w:r>
      <w:r>
        <w:t>права</w:t>
      </w:r>
      <w:r w:rsidR="009F18B7">
        <w:t>,</w:t>
      </w:r>
      <w:r>
        <w:t xml:space="preserve"> </w:t>
      </w:r>
      <w:r w:rsidR="009F18B7">
        <w:t xml:space="preserve">защитени </w:t>
      </w:r>
      <w:r>
        <w:t>от Конвенцията. Правителството жалбоподател предл</w:t>
      </w:r>
      <w:r w:rsidR="00FB455B">
        <w:t>ага</w:t>
      </w:r>
      <w:r>
        <w:t xml:space="preserve"> тази норма да се разглежда </w:t>
      </w:r>
      <w:r w:rsidR="00FB455B">
        <w:t xml:space="preserve">в контекста на </w:t>
      </w:r>
      <w:r>
        <w:t xml:space="preserve">други </w:t>
      </w:r>
      <w:r w:rsidR="00FB455B">
        <w:t xml:space="preserve">два </w:t>
      </w:r>
      <w:r>
        <w:t>принципа, определени в съдебн</w:t>
      </w:r>
      <w:r w:rsidR="00FB455B">
        <w:t>а</w:t>
      </w:r>
      <w:r>
        <w:t>т</w:t>
      </w:r>
      <w:r w:rsidR="00FB455B">
        <w:t>а</w:t>
      </w:r>
      <w:r>
        <w:t xml:space="preserve"> практик</w:t>
      </w:r>
      <w:r w:rsidR="00FB455B">
        <w:t>а</w:t>
      </w:r>
      <w:r>
        <w:t xml:space="preserve"> на Съда</w:t>
      </w:r>
      <w:r w:rsidR="00FB455B">
        <w:t>:</w:t>
      </w:r>
      <w:r>
        <w:t xml:space="preserve"> от една страна статут</w:t>
      </w:r>
      <w:r w:rsidR="004A73C2">
        <w:t>а</w:t>
      </w:r>
      <w:r>
        <w:t xml:space="preserve"> на Конвенцията като инструмент на международното публично право, който следва да се тълкува съгласно правилата и принципите, заложени във </w:t>
      </w:r>
      <w:r w:rsidR="00FB455B">
        <w:t>Виенската к</w:t>
      </w:r>
      <w:r>
        <w:t>онвенция за правото на договорите от 1969 г.</w:t>
      </w:r>
      <w:r w:rsidR="004A73C2">
        <w:t>,</w:t>
      </w:r>
      <w:r>
        <w:t xml:space="preserve"> и от друга страна конкретния предмет и цел на Конвенцията като международен договор за защита правата на човека. Според </w:t>
      </w:r>
      <w:r w:rsidR="004A73C2">
        <w:t>П</w:t>
      </w:r>
      <w:r>
        <w:t>равителството на Кипър тези принципи са от особено значение за възможността на Съда да присъди справедливо обезщетение по чл</w:t>
      </w:r>
      <w:r w:rsidR="003A5FA8">
        <w:t>.</w:t>
      </w:r>
      <w:r>
        <w:t xml:space="preserve"> 41 от Конвенцията, което гарантира, че има ефективен начин за прилагането </w:t>
      </w:r>
      <w:r w:rsidR="003A5FA8">
        <w:t>ѝ</w:t>
      </w:r>
      <w:r>
        <w:t xml:space="preserve"> и </w:t>
      </w:r>
      <w:r w:rsidR="003A5FA8">
        <w:t xml:space="preserve">за </w:t>
      </w:r>
      <w:r>
        <w:t>насърчаване на Високодоговарящите страни да не пренебрегват решенията на Съда. С други думи чл</w:t>
      </w:r>
      <w:r w:rsidR="003A5FA8">
        <w:t>.</w:t>
      </w:r>
      <w:r>
        <w:t xml:space="preserve"> 41 трябва да се разглежда като важен инструмент, който е на разположение на Съда с оглед постигането на съответствие със собствените му решения </w:t>
      </w:r>
      <w:r w:rsidR="003A5FA8">
        <w:t xml:space="preserve">както </w:t>
      </w:r>
      <w:r>
        <w:t>по индивидуални дела по чл</w:t>
      </w:r>
      <w:r w:rsidR="003A5FA8">
        <w:t>.</w:t>
      </w:r>
      <w:r>
        <w:t xml:space="preserve"> 34</w:t>
      </w:r>
      <w:r w:rsidR="003A5FA8">
        <w:t>, така</w:t>
      </w:r>
      <w:r>
        <w:t xml:space="preserve"> и </w:t>
      </w:r>
      <w:r w:rsidR="003A5FA8">
        <w:t xml:space="preserve">по </w:t>
      </w:r>
      <w:r>
        <w:t xml:space="preserve">междудържавни </w:t>
      </w:r>
      <w:r w:rsidR="003A5FA8">
        <w:t xml:space="preserve">дела </w:t>
      </w:r>
      <w:r>
        <w:t>по чл</w:t>
      </w:r>
      <w:r w:rsidR="003A5FA8">
        <w:t>.</w:t>
      </w:r>
      <w:r>
        <w:t xml:space="preserve"> 33.</w:t>
      </w:r>
    </w:p>
    <w:p w:rsidR="00186F4A" w:rsidRPr="008B347C" w:rsidRDefault="00186F4A"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32</w:t>
      </w:r>
      <w:r w:rsidRPr="008B347C">
        <w:rPr>
          <w:szCs w:val="24"/>
        </w:rPr>
        <w:fldChar w:fldCharType="end"/>
      </w:r>
      <w:r>
        <w:t>.  Правителството жалбоподател се позовава също така на чл</w:t>
      </w:r>
      <w:r w:rsidR="003A5FA8">
        <w:t>.</w:t>
      </w:r>
      <w:r>
        <w:t xml:space="preserve"> 32 § 1 от Конвенцията, съгласно който „</w:t>
      </w:r>
      <w:r w:rsidR="00666747">
        <w:t xml:space="preserve">компетентността </w:t>
      </w:r>
      <w:r>
        <w:t xml:space="preserve">на Съда </w:t>
      </w:r>
      <w:r w:rsidR="00666747">
        <w:t>обхваща</w:t>
      </w:r>
      <w:r>
        <w:t xml:space="preserve"> всички въпроси, засягащи тълкуването и прилагането на Конвенцията и </w:t>
      </w:r>
      <w:r w:rsidR="00666747">
        <w:t xml:space="preserve">на </w:t>
      </w:r>
      <w:r>
        <w:t xml:space="preserve">протоколите </w:t>
      </w:r>
      <w:r w:rsidR="00666747">
        <w:t>към нея</w:t>
      </w:r>
      <w:r>
        <w:t xml:space="preserve">, </w:t>
      </w:r>
      <w:r w:rsidR="00666747">
        <w:t xml:space="preserve">относно </w:t>
      </w:r>
      <w:r>
        <w:t xml:space="preserve">които </w:t>
      </w:r>
      <w:r w:rsidR="00666747">
        <w:t>е сезиран</w:t>
      </w:r>
      <w:r>
        <w:t xml:space="preserve"> </w:t>
      </w:r>
      <w:r w:rsidR="00666747">
        <w:t xml:space="preserve">в съответствие с </w:t>
      </w:r>
      <w:r>
        <w:t xml:space="preserve">членове 33, 34, 46 и 47“. От </w:t>
      </w:r>
      <w:r w:rsidR="00666747">
        <w:t xml:space="preserve">негова </w:t>
      </w:r>
      <w:r>
        <w:t xml:space="preserve">гледна точка тези четири члена трябва да се разглеждат като част от </w:t>
      </w:r>
      <w:r w:rsidR="00D170EE">
        <w:t xml:space="preserve">уникална </w:t>
      </w:r>
      <w:r>
        <w:t>структурирана система, заедно с чл</w:t>
      </w:r>
      <w:r w:rsidR="00D170EE">
        <w:t>.</w:t>
      </w:r>
      <w:r>
        <w:t xml:space="preserve"> 32 § 1: Членове 33, 34, 46 и 47 определят различни пътища, по които едно дело може да стигне до Съда, но не определят </w:t>
      </w:r>
      <w:r w:rsidR="00D170EE">
        <w:t>отделни</w:t>
      </w:r>
      <w:r>
        <w:t xml:space="preserve"> сфери или видове юрисдикция за Съда. Без значение как </w:t>
      </w:r>
      <w:r w:rsidR="00D170EE">
        <w:t xml:space="preserve">пристига пред Съда дадена </w:t>
      </w:r>
      <w:r>
        <w:t xml:space="preserve">жалба срещу държава, юрисдикцията на </w:t>
      </w:r>
      <w:r w:rsidR="00BD78D0">
        <w:t xml:space="preserve">Съда </w:t>
      </w:r>
      <w:r>
        <w:t>остава същата и включва компетен</w:t>
      </w:r>
      <w:r w:rsidR="00BD78D0">
        <w:t>тност</w:t>
      </w:r>
      <w:r>
        <w:t xml:space="preserve"> за присъждане на справедливо обезщетение. Няма основателни причини да се мисли другояче, тъй като засегнатите човешки права са</w:t>
      </w:r>
      <w:r w:rsidR="00AE386C">
        <w:t xml:space="preserve"> едни и</w:t>
      </w:r>
      <w:r>
        <w:t xml:space="preserve"> същи и </w:t>
      </w:r>
      <w:r w:rsidR="00861BCC">
        <w:t>може би</w:t>
      </w:r>
      <w:r>
        <w:t xml:space="preserve"> дори по-сериозн</w:t>
      </w:r>
      <w:r w:rsidR="00861BCC">
        <w:t>и, отколкото при</w:t>
      </w:r>
      <w:r>
        <w:t xml:space="preserve"> индивидуалн</w:t>
      </w:r>
      <w:r w:rsidR="00861BCC">
        <w:t>а жалба</w:t>
      </w:r>
      <w:r>
        <w:t>; освен това авторите на Конвенцията не са поставили ограничение на възможността за присъждане на справедливо обезщетение изрично в текста на чл</w:t>
      </w:r>
      <w:r w:rsidR="00861BCC">
        <w:t>.</w:t>
      </w:r>
      <w:r>
        <w:t xml:space="preserve"> 41; и </w:t>
      </w:r>
      <w:r>
        <w:lastRenderedPageBreak/>
        <w:t xml:space="preserve">накрая няма индикация, че е налице </w:t>
      </w:r>
      <w:r w:rsidR="00861BCC">
        <w:t>негласно</w:t>
      </w:r>
      <w:r>
        <w:t xml:space="preserve"> ограничение, произтичащо от самата логика на тази разпоредба (или на чл</w:t>
      </w:r>
      <w:r w:rsidR="00861BCC">
        <w:t>.</w:t>
      </w:r>
      <w:r>
        <w:t xml:space="preserve"> 33). Следователно не може да се твърди, че Съдът има по-малко правомощия по отношение на дела, които се отнасят до него като междудържавни жалби, отколкото при индивидуалните такива.</w:t>
      </w:r>
    </w:p>
    <w:p w:rsidR="00186F4A" w:rsidRPr="008B347C" w:rsidRDefault="00186F4A"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33</w:t>
      </w:r>
      <w:r w:rsidRPr="008B347C">
        <w:rPr>
          <w:szCs w:val="24"/>
        </w:rPr>
        <w:fldChar w:fldCharType="end"/>
      </w:r>
      <w:r>
        <w:t xml:space="preserve">.  Според правителството на Кипър самият Съд винаги </w:t>
      </w:r>
      <w:r w:rsidR="00913495">
        <w:t xml:space="preserve">имплицитно </w:t>
      </w:r>
      <w:r w:rsidR="001B2845">
        <w:rPr>
          <w:lang w:val="en-US"/>
        </w:rPr>
        <w:t>e</w:t>
      </w:r>
      <w:r w:rsidR="001B2845" w:rsidRPr="00075945">
        <w:t xml:space="preserve"> </w:t>
      </w:r>
      <w:r>
        <w:t>счита</w:t>
      </w:r>
      <w:r w:rsidR="00913495">
        <w:t>л</w:t>
      </w:r>
      <w:r>
        <w:t xml:space="preserve"> чл</w:t>
      </w:r>
      <w:r w:rsidR="001B2845" w:rsidRPr="00075945">
        <w:t>.</w:t>
      </w:r>
      <w:r>
        <w:t xml:space="preserve"> 41 за приложим </w:t>
      </w:r>
      <w:r w:rsidR="00913495">
        <w:t>по</w:t>
      </w:r>
      <w:r>
        <w:t xml:space="preserve"> междудържавни дела, като това е отразено </w:t>
      </w:r>
      <w:r w:rsidR="00913495" w:rsidRPr="00075945">
        <w:t xml:space="preserve">както </w:t>
      </w:r>
      <w:r>
        <w:t>в Правилника</w:t>
      </w:r>
      <w:r w:rsidR="00913495">
        <w:t>, така и в</w:t>
      </w:r>
      <w:r>
        <w:t xml:space="preserve"> съдебн</w:t>
      </w:r>
      <w:r w:rsidR="00913495">
        <w:t>а</w:t>
      </w:r>
      <w:r>
        <w:t>т</w:t>
      </w:r>
      <w:r w:rsidR="00913495">
        <w:t>а</w:t>
      </w:r>
      <w:r>
        <w:t xml:space="preserve"> практик</w:t>
      </w:r>
      <w:r w:rsidR="00913495">
        <w:t>а</w:t>
      </w:r>
      <w:r>
        <w:t xml:space="preserve"> на Съда. В тази връзка </w:t>
      </w:r>
      <w:r w:rsidR="00913495">
        <w:t>П</w:t>
      </w:r>
      <w:r>
        <w:t xml:space="preserve">равителството цитира </w:t>
      </w:r>
      <w:r w:rsidR="000C49EF">
        <w:t>правило</w:t>
      </w:r>
      <w:r>
        <w:t xml:space="preserve"> 46 </w:t>
      </w:r>
      <w:r w:rsidR="000C49EF">
        <w:t>(</w:t>
      </w:r>
      <w:r>
        <w:t>д), съгласно ко</w:t>
      </w:r>
      <w:r w:rsidR="000C49EF">
        <w:t>е</w:t>
      </w:r>
      <w:r>
        <w:t xml:space="preserve">то Правителството жалбоподател по междудържавно дело </w:t>
      </w:r>
      <w:r w:rsidR="000C49EF">
        <w:t>трябва</w:t>
      </w:r>
      <w:r>
        <w:t xml:space="preserve"> да подаде жалба, в която излага „общ</w:t>
      </w:r>
      <w:r w:rsidR="000C49EF">
        <w:t>о</w:t>
      </w:r>
      <w:r>
        <w:t xml:space="preserve"> </w:t>
      </w:r>
      <w:r w:rsidR="000C49EF">
        <w:t>у</w:t>
      </w:r>
      <w:r>
        <w:t>казани</w:t>
      </w:r>
      <w:r w:rsidR="000C49EF">
        <w:t>е</w:t>
      </w:r>
      <w:r>
        <w:t xml:space="preserve"> за всяко искане за справедливо обезщетение по чл</w:t>
      </w:r>
      <w:r w:rsidR="00564AD9">
        <w:t>.</w:t>
      </w:r>
      <w:r>
        <w:t xml:space="preserve"> 41 от Конвенцията от името на страната или страните, за които се твърди, че са по</w:t>
      </w:r>
      <w:r w:rsidR="007141BD">
        <w:t>търпевш</w:t>
      </w:r>
      <w:r>
        <w:t xml:space="preserve">и“, както и </w:t>
      </w:r>
      <w:r w:rsidR="00564AD9">
        <w:t>правила</w:t>
      </w:r>
      <w:r>
        <w:t xml:space="preserve"> 60 и 75 § 1, които не разграничават индивидуалните от междудържавните жалби.</w:t>
      </w:r>
    </w:p>
    <w:p w:rsidR="00186F4A" w:rsidRPr="008B347C" w:rsidRDefault="00186F4A" w:rsidP="00F44003">
      <w:pPr>
        <w:pStyle w:val="ECHRPara"/>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34</w:t>
      </w:r>
      <w:r w:rsidRPr="008B347C">
        <w:rPr>
          <w:szCs w:val="24"/>
        </w:rPr>
        <w:fldChar w:fldCharType="end"/>
      </w:r>
      <w:r>
        <w:t>.  По отношение на съдебн</w:t>
      </w:r>
      <w:r w:rsidR="00564AD9">
        <w:t>а</w:t>
      </w:r>
      <w:r>
        <w:t>т</w:t>
      </w:r>
      <w:r w:rsidR="00564AD9">
        <w:t>а</w:t>
      </w:r>
      <w:r>
        <w:t xml:space="preserve"> практик</w:t>
      </w:r>
      <w:r w:rsidR="00564AD9">
        <w:t>а</w:t>
      </w:r>
      <w:r>
        <w:t xml:space="preserve"> на Съда, </w:t>
      </w:r>
      <w:r w:rsidR="00564AD9">
        <w:t>П</w:t>
      </w:r>
      <w:r>
        <w:t xml:space="preserve">равителството на Кипър счита, че самият Съд </w:t>
      </w:r>
      <w:r w:rsidR="00D629BB">
        <w:t>имплицитно</w:t>
      </w:r>
      <w:r>
        <w:t xml:space="preserve">, но пределно ясно е приел, че правилото за справедливо обезщетение се прилага </w:t>
      </w:r>
      <w:r w:rsidR="00564AD9">
        <w:t>по</w:t>
      </w:r>
      <w:r>
        <w:t xml:space="preserve"> междудържавни дела. Така например </w:t>
      </w:r>
      <w:r w:rsidR="00D629BB">
        <w:t>в</w:t>
      </w:r>
      <w:r>
        <w:t xml:space="preserve"> </w:t>
      </w:r>
      <w:r>
        <w:rPr>
          <w:i/>
        </w:rPr>
        <w:t>Ireland v. the United Kingdom</w:t>
      </w:r>
      <w:r>
        <w:t xml:space="preserve"> (18 януари 1978 г., § 244-246, Серия A № 25) Съдът, вместо да обяви предишния чл</w:t>
      </w:r>
      <w:r w:rsidR="00D629BB">
        <w:t>.</w:t>
      </w:r>
      <w:r>
        <w:t xml:space="preserve"> 50 за неприложим, просто счита, че „не е необходимо да се прилага“. Също така в настоящото дело Съдът просто отлага разглеждането на искането за справедливо обезщетение, вместо да го отхвърли.</w:t>
      </w:r>
    </w:p>
    <w:p w:rsidR="00186F4A" w:rsidRPr="008B347C" w:rsidRDefault="00075945" w:rsidP="00F44003">
      <w:pPr>
        <w:pStyle w:val="ECHRPara"/>
        <w:rPr>
          <w:szCs w:val="24"/>
        </w:rPr>
      </w:pPr>
      <w:r>
        <w:fldChar w:fldCharType="begin"/>
      </w:r>
      <w:r>
        <w:instrText xml:space="preserve"> SEQ level0 \*arabic </w:instrText>
      </w:r>
      <w:r>
        <w:fldChar w:fldCharType="separate"/>
      </w:r>
      <w:r w:rsidR="007A52DC">
        <w:rPr>
          <w:noProof/>
        </w:rPr>
        <w:t>35</w:t>
      </w:r>
      <w:r>
        <w:rPr>
          <w:noProof/>
        </w:rPr>
        <w:fldChar w:fldCharType="end"/>
      </w:r>
      <w:r w:rsidR="00D66335">
        <w:t>.  Накрая Правителството жалбоподател изтъква, че Съдът притежава дискреционни правомощия по чл</w:t>
      </w:r>
      <w:r w:rsidR="00D629BB">
        <w:t>.</w:t>
      </w:r>
      <w:r w:rsidR="00D66335">
        <w:t xml:space="preserve"> 41. </w:t>
      </w:r>
      <w:r w:rsidR="00CA26B6">
        <w:t>Както</w:t>
      </w:r>
      <w:r w:rsidR="00D66335">
        <w:t xml:space="preserve"> съдебн</w:t>
      </w:r>
      <w:r w:rsidR="00D629BB">
        <w:t>а</w:t>
      </w:r>
      <w:r w:rsidR="00D66335">
        <w:t>т</w:t>
      </w:r>
      <w:r w:rsidR="00D629BB">
        <w:t>а</w:t>
      </w:r>
      <w:r w:rsidR="00D66335">
        <w:t xml:space="preserve"> практик</w:t>
      </w:r>
      <w:r w:rsidR="00D629BB">
        <w:t>а</w:t>
      </w:r>
      <w:r w:rsidR="00D66335">
        <w:t xml:space="preserve"> на Съда</w:t>
      </w:r>
      <w:r w:rsidR="00CA26B6">
        <w:t>,</w:t>
      </w:r>
      <w:r w:rsidR="00D66335">
        <w:t xml:space="preserve"> </w:t>
      </w:r>
      <w:r w:rsidR="00CA26B6">
        <w:t>така и правните теоретици</w:t>
      </w:r>
      <w:r w:rsidR="00D66335">
        <w:t xml:space="preserve"> винаги с</w:t>
      </w:r>
      <w:r w:rsidR="00CA26B6">
        <w:t>а</w:t>
      </w:r>
      <w:r w:rsidR="00D66335">
        <w:t xml:space="preserve"> подчертава</w:t>
      </w:r>
      <w:r w:rsidR="00CA26B6">
        <w:t>ли</w:t>
      </w:r>
      <w:r w:rsidR="00D66335">
        <w:t>, че когато Съдът присъжда справедливо обезщетение, прилагането на чл</w:t>
      </w:r>
      <w:r w:rsidR="00CA26B6">
        <w:t>.</w:t>
      </w:r>
      <w:r w:rsidR="00D66335">
        <w:t xml:space="preserve"> 41 е изцяло по преценка на Съда </w:t>
      </w:r>
      <w:r w:rsidR="00CA26B6">
        <w:t>във</w:t>
      </w:r>
      <w:r w:rsidR="00D66335">
        <w:t xml:space="preserve"> всеки конкретен случай, в който се касае за междудържавна жалба.</w:t>
      </w:r>
      <w:r w:rsidR="00D66335">
        <w:rPr>
          <w:i/>
        </w:rPr>
        <w:t xml:space="preserve"> </w:t>
      </w:r>
      <w:r w:rsidR="00D66335">
        <w:t xml:space="preserve">В настоящия случай претенцията на </w:t>
      </w:r>
      <w:r w:rsidR="00CA26B6">
        <w:t>П</w:t>
      </w:r>
      <w:r w:rsidR="00D66335">
        <w:t>равителството на Кипър за справедливо обезщетение не представлява претенция за имуществени вреди, причинени пряко на Кипър като държава, а по-скоро претенция за присъждане на справедливо обезщетение на отделните по</w:t>
      </w:r>
      <w:r w:rsidR="0039228C">
        <w:t>търпевш</w:t>
      </w:r>
      <w:r w:rsidR="00D66335">
        <w:t xml:space="preserve">и страни, </w:t>
      </w:r>
      <w:r w:rsidR="008D050D">
        <w:t>негови</w:t>
      </w:r>
      <w:r w:rsidR="00D66335">
        <w:t xml:space="preserve"> граждани, във връзка с нарушения, за които е установено, че са извършени.</w:t>
      </w:r>
    </w:p>
    <w:p w:rsidR="00186F4A" w:rsidRPr="008B347C" w:rsidRDefault="00082038" w:rsidP="00F44003">
      <w:pPr>
        <w:pStyle w:val="ECHRHeading5"/>
      </w:pPr>
      <w:r>
        <w:t>ii.  Правителството на Турция</w:t>
      </w:r>
    </w:p>
    <w:p w:rsidR="008B347C" w:rsidRPr="008B347C" w:rsidRDefault="00EF4272"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36</w:t>
      </w:r>
      <w:r w:rsidRPr="008B347C">
        <w:rPr>
          <w:szCs w:val="24"/>
        </w:rPr>
        <w:fldChar w:fldCharType="end"/>
      </w:r>
      <w:r>
        <w:t>.  Правителството на Турция счита, че като общо правило чл</w:t>
      </w:r>
      <w:r w:rsidR="008D050D">
        <w:t>.</w:t>
      </w:r>
      <w:r>
        <w:t xml:space="preserve"> 41 не се прилага п</w:t>
      </w:r>
      <w:r w:rsidR="008D050D">
        <w:t>о</w:t>
      </w:r>
      <w:r>
        <w:t xml:space="preserve"> междудържавни дела. На първо място </w:t>
      </w:r>
      <w:r w:rsidR="008D050D">
        <w:t>диспозитивът на</w:t>
      </w:r>
      <w:r>
        <w:t xml:space="preserve"> основното решение не може да се тълкува като признаване, макар и </w:t>
      </w:r>
      <w:r w:rsidR="008D050D">
        <w:t>негласно</w:t>
      </w:r>
      <w:r>
        <w:t xml:space="preserve">, на приложимостта на правилото за справедливо обезщетение </w:t>
      </w:r>
      <w:r w:rsidR="008D050D">
        <w:t>по</w:t>
      </w:r>
      <w:r>
        <w:t xml:space="preserve"> междудържавни дела. В решението Съдът говори просто за „евентуално“ прилагане на чл</w:t>
      </w:r>
      <w:r w:rsidR="00C4375D">
        <w:t>.</w:t>
      </w:r>
      <w:r>
        <w:t xml:space="preserve"> 41. Правителството на Турция също така </w:t>
      </w:r>
      <w:r w:rsidR="00C4375D">
        <w:t>твърди</w:t>
      </w:r>
      <w:r>
        <w:t xml:space="preserve">, че решението на Голямата камара по делото </w:t>
      </w:r>
      <w:r>
        <w:rPr>
          <w:i/>
        </w:rPr>
        <w:t>Varnava and Others</w:t>
      </w:r>
      <w:r>
        <w:t xml:space="preserve">, </w:t>
      </w:r>
      <w:r>
        <w:lastRenderedPageBreak/>
        <w:t xml:space="preserve">цитирано по-горе, трябва да се тълкува като признаване на липсата на </w:t>
      </w:r>
      <w:r w:rsidR="00C4375D">
        <w:t xml:space="preserve">компетентност </w:t>
      </w:r>
      <w:r>
        <w:t>на Съда за присъждане на справедливо обезщетение по междудържавно дело (вж. § 118 от въпросното решение). Освен това Правителството ответник предлага да се разгледа чл</w:t>
      </w:r>
      <w:r w:rsidR="00C4375D">
        <w:t>.</w:t>
      </w:r>
      <w:r>
        <w:t xml:space="preserve"> 41 от Конвенцията в общия контекст на право</w:t>
      </w:r>
      <w:r w:rsidR="004D6FA8">
        <w:t>то на международната отговорност</w:t>
      </w:r>
      <w:r>
        <w:t>, закона за дипломатическата закрила и принципите на международната за</w:t>
      </w:r>
      <w:r w:rsidR="004D6FA8">
        <w:t>кр</w:t>
      </w:r>
      <w:r>
        <w:t>и</w:t>
      </w:r>
      <w:r w:rsidR="004D6FA8">
        <w:t>л</w:t>
      </w:r>
      <w:r>
        <w:t>а на човешките права. Докато чл</w:t>
      </w:r>
      <w:r w:rsidR="004D6FA8">
        <w:t>.</w:t>
      </w:r>
      <w:r>
        <w:t xml:space="preserve"> 33 основно се отнася до класическата логика на дипломатическата закрила (пряка отговорност между държавите), чл</w:t>
      </w:r>
      <w:r w:rsidR="004D6FA8">
        <w:t>.</w:t>
      </w:r>
      <w:r>
        <w:t xml:space="preserve"> 34 </w:t>
      </w:r>
      <w:r w:rsidR="004D6FA8">
        <w:t xml:space="preserve">представлява </w:t>
      </w:r>
      <w:r>
        <w:t xml:space="preserve">дерогация от тази логика: физическите лица могат, посредством индивидуални жалби, да </w:t>
      </w:r>
      <w:r w:rsidR="009014E2">
        <w:t>предприемат преки действия</w:t>
      </w:r>
      <w:r>
        <w:t xml:space="preserve"> срещу </w:t>
      </w:r>
      <w:r w:rsidR="009014E2">
        <w:t xml:space="preserve">твърдените </w:t>
      </w:r>
      <w:r>
        <w:t>неправомерни действия на съответната държава и да отправят искане за справедливо обезщетение</w:t>
      </w:r>
      <w:r w:rsidR="009014E2">
        <w:t>,</w:t>
      </w:r>
      <w:r>
        <w:t xml:space="preserve"> без да се налага да изискват дипломатическата закрила от своята родна държава. За </w:t>
      </w:r>
      <w:r w:rsidR="009014E2">
        <w:t>П</w:t>
      </w:r>
      <w:r>
        <w:t>равителството на Турция това описание обосновава заключението, че чл</w:t>
      </w:r>
      <w:r w:rsidR="00C1550D">
        <w:t>.</w:t>
      </w:r>
      <w:r>
        <w:t xml:space="preserve"> 41 от Конвенцията не се прилага при междудържавни производства, с </w:t>
      </w:r>
      <w:r w:rsidR="00C1550D">
        <w:t xml:space="preserve">евентуално </w:t>
      </w:r>
      <w:r>
        <w:t>изключение</w:t>
      </w:r>
      <w:r w:rsidR="00C1550D">
        <w:t>,</w:t>
      </w:r>
      <w:r>
        <w:t xml:space="preserve"> когато нарушението е довело до преки увреждания </w:t>
      </w:r>
      <w:r w:rsidR="00C1550D">
        <w:t>з</w:t>
      </w:r>
      <w:r>
        <w:t xml:space="preserve">а подалата жалба </w:t>
      </w:r>
      <w:r w:rsidR="00C1550D">
        <w:t>д</w:t>
      </w:r>
      <w:r>
        <w:t xml:space="preserve">ържава </w:t>
      </w:r>
      <w:r w:rsidR="00C1550D">
        <w:t>с</w:t>
      </w:r>
      <w:r>
        <w:t>трана. С други думи обхватът на чл</w:t>
      </w:r>
      <w:r w:rsidR="00C1550D">
        <w:t>.</w:t>
      </w:r>
      <w:r>
        <w:t xml:space="preserve"> 41 като такъв е ограничен по принцип до механизмите на индивидуалните жалби.</w:t>
      </w:r>
    </w:p>
    <w:p w:rsidR="00186F4A" w:rsidRPr="008B347C" w:rsidRDefault="00186F4A"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37</w:t>
      </w:r>
      <w:r w:rsidRPr="008B347C">
        <w:rPr>
          <w:szCs w:val="24"/>
        </w:rPr>
        <w:fldChar w:fldCharType="end"/>
      </w:r>
      <w:r>
        <w:t>.  Друг аргумент, който Правителството ответник изтъква в подкрепа на неприложимостта на чл</w:t>
      </w:r>
      <w:r w:rsidR="00F12AAF">
        <w:t>.</w:t>
      </w:r>
      <w:r>
        <w:t xml:space="preserve"> 41 </w:t>
      </w:r>
      <w:r w:rsidR="00F12AAF">
        <w:t>по</w:t>
      </w:r>
      <w:r>
        <w:t xml:space="preserve"> междудържавни дела е, че подобни дела не са мотивирани от личния интерес на жалбоподателя. В тази връзка </w:t>
      </w:r>
      <w:r w:rsidR="00F12AAF">
        <w:t>П</w:t>
      </w:r>
      <w:r>
        <w:t>равителството на Турция се позовава на съдебн</w:t>
      </w:r>
      <w:r w:rsidR="00F12AAF">
        <w:t>а</w:t>
      </w:r>
      <w:r>
        <w:t>т</w:t>
      </w:r>
      <w:r w:rsidR="00F12AAF">
        <w:t>а</w:t>
      </w:r>
      <w:r>
        <w:t xml:space="preserve"> практик</w:t>
      </w:r>
      <w:r w:rsidR="00F12AAF">
        <w:t>а</w:t>
      </w:r>
      <w:r>
        <w:t xml:space="preserve"> на Европейската </w:t>
      </w:r>
      <w:r w:rsidR="00F12AAF">
        <w:t>к</w:t>
      </w:r>
      <w:r>
        <w:t>омисия по правата на човека, според ко</w:t>
      </w:r>
      <w:r w:rsidR="00F12AAF">
        <w:t>я</w:t>
      </w:r>
      <w:r>
        <w:t xml:space="preserve">то държавата жалбоподател по междудържавно дело не </w:t>
      </w:r>
      <w:r w:rsidR="00F12AAF">
        <w:t xml:space="preserve">налага </w:t>
      </w:r>
      <w:r>
        <w:t xml:space="preserve">свои собствени права или правата на свои граждани, а по-скоро отстоява обществения ред в Европа (вж. </w:t>
      </w:r>
      <w:r>
        <w:rPr>
          <w:i/>
        </w:rPr>
        <w:t>Austria v. Italy</w:t>
      </w:r>
      <w:r>
        <w:t xml:space="preserve">, № 788/60, решение от 11 януари 1961 г., </w:t>
      </w:r>
      <w:r>
        <w:rPr>
          <w:i/>
        </w:rPr>
        <w:t>Годишник</w:t>
      </w:r>
      <w:r>
        <w:t xml:space="preserve"> 4, стр. 116). В действителност междудържавната жалба има за цел подаване на оплакване срещу модел на официално поведение, ко</w:t>
      </w:r>
      <w:r w:rsidR="00BC131E">
        <w:t>й</w:t>
      </w:r>
      <w:r>
        <w:t>то поражда непрекъснати нарушения на Конвенцията. Междудържавните жалби следва по определение да бъдат по-широки, отколкото индивидуалните</w:t>
      </w:r>
      <w:r w:rsidR="00BC131E">
        <w:t>;</w:t>
      </w:r>
      <w:r>
        <w:t xml:space="preserve"> те </w:t>
      </w:r>
      <w:r w:rsidR="00BC131E">
        <w:t xml:space="preserve">би следвало </w:t>
      </w:r>
      <w:r>
        <w:t xml:space="preserve">да се отнасят </w:t>
      </w:r>
      <w:r w:rsidR="00BC131E">
        <w:t xml:space="preserve">до системни </w:t>
      </w:r>
      <w:r>
        <w:t xml:space="preserve">грешки, а не </w:t>
      </w:r>
      <w:r w:rsidR="00BC131E">
        <w:t>до</w:t>
      </w:r>
      <w:r>
        <w:t xml:space="preserve"> индивидуални нарушения. В този контекст </w:t>
      </w:r>
      <w:r w:rsidR="00AA0C6F">
        <w:t xml:space="preserve">констатирането </w:t>
      </w:r>
      <w:r>
        <w:t>на нарушение само по себе си постига целт</w:t>
      </w:r>
      <w:r w:rsidR="00113D07">
        <w:t>а</w:t>
      </w:r>
      <w:r>
        <w:t xml:space="preserve"> на междудържав</w:t>
      </w:r>
      <w:r w:rsidR="00AA0C6F">
        <w:t>е</w:t>
      </w:r>
      <w:r>
        <w:t>н спор. От друга страна всеки отделен жалбоподател има възможността да подаде жалбата си до Съда съгласно чл</w:t>
      </w:r>
      <w:r w:rsidR="00113D07">
        <w:t>.</w:t>
      </w:r>
      <w:r>
        <w:t xml:space="preserve"> 34 от Конвенцията и да получи справедливо обезщетение; следователно ще бъде погрешно да се объркват тези процедури, имащи твърде различни цели.</w:t>
      </w:r>
    </w:p>
    <w:p w:rsidR="00186F4A" w:rsidRPr="008B347C" w:rsidRDefault="00186F4A"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38</w:t>
      </w:r>
      <w:r w:rsidRPr="008B347C">
        <w:rPr>
          <w:szCs w:val="24"/>
        </w:rPr>
        <w:fldChar w:fldCharType="end"/>
      </w:r>
      <w:r>
        <w:t>.  </w:t>
      </w:r>
      <w:r w:rsidR="00113D07">
        <w:t>К</w:t>
      </w:r>
      <w:r>
        <w:t>ато се позовава на съдебн</w:t>
      </w:r>
      <w:r w:rsidR="00113D07">
        <w:t>а</w:t>
      </w:r>
      <w:r>
        <w:t>т</w:t>
      </w:r>
      <w:r w:rsidR="00113D07">
        <w:t>а</w:t>
      </w:r>
      <w:r>
        <w:t xml:space="preserve"> практик</w:t>
      </w:r>
      <w:r w:rsidR="00113D07">
        <w:t>а</w:t>
      </w:r>
      <w:r>
        <w:t xml:space="preserve"> на Съда, Правителството ответник счита, че справедливото обезщетение по чл</w:t>
      </w:r>
      <w:r w:rsidR="00113D07">
        <w:t>.</w:t>
      </w:r>
      <w:r>
        <w:t xml:space="preserve"> 41 от Конвенцията </w:t>
      </w:r>
      <w:r w:rsidR="000A0B79">
        <w:t xml:space="preserve">трябва да </w:t>
      </w:r>
      <w:r>
        <w:t>включва физическа или психологич</w:t>
      </w:r>
      <w:r w:rsidR="000A0B79">
        <w:t>еск</w:t>
      </w:r>
      <w:r>
        <w:t xml:space="preserve">а травма, болка и страдание, </w:t>
      </w:r>
      <w:r w:rsidR="000A0B79">
        <w:t>стрес</w:t>
      </w:r>
      <w:r>
        <w:t xml:space="preserve">, тревожност, неудовлетвореност, чувство на несправедливост или унижение, продължителна несигурност, </w:t>
      </w:r>
      <w:r w:rsidR="00F40E84">
        <w:t xml:space="preserve">жизнени </w:t>
      </w:r>
      <w:r w:rsidR="00877A0F">
        <w:lastRenderedPageBreak/>
        <w:t>сътресения</w:t>
      </w:r>
      <w:r>
        <w:t xml:space="preserve"> и т.н. Тези фактори се отнасят </w:t>
      </w:r>
      <w:r w:rsidR="0036508F">
        <w:t xml:space="preserve">изключително </w:t>
      </w:r>
      <w:r>
        <w:t>до страданията на отделния жалбоподател, т.е. на физическото лице</w:t>
      </w:r>
      <w:r w:rsidR="0036508F">
        <w:t>,</w:t>
      </w:r>
      <w:r>
        <w:t xml:space="preserve"> и няма</w:t>
      </w:r>
      <w:r w:rsidR="0036508F">
        <w:t>т</w:t>
      </w:r>
      <w:r>
        <w:t xml:space="preserve"> смисъл в междудържавно дело. По отношение на Правилника на Съда, Правителството ответник </w:t>
      </w:r>
      <w:r w:rsidR="0036508F">
        <w:t>твърди</w:t>
      </w:r>
      <w:r>
        <w:t xml:space="preserve">, че използването на лични местоимения от мъжки и женски род </w:t>
      </w:r>
      <w:r w:rsidR="00C23D7A">
        <w:t xml:space="preserve">в </w:t>
      </w:r>
      <w:r>
        <w:t xml:space="preserve">трето лице (вместо </w:t>
      </w:r>
      <w:r w:rsidR="00C23D7A">
        <w:t xml:space="preserve">от </w:t>
      </w:r>
      <w:r>
        <w:t xml:space="preserve">среден род </w:t>
      </w:r>
      <w:r w:rsidR="00C23D7A">
        <w:t xml:space="preserve">в </w:t>
      </w:r>
      <w:r>
        <w:t xml:space="preserve">трето лице) в </w:t>
      </w:r>
      <w:r w:rsidR="0036508F">
        <w:t>правило</w:t>
      </w:r>
      <w:r>
        <w:t xml:space="preserve"> 60 § 1 показва, че това правило касае единствено физически лица, а не държави.</w:t>
      </w:r>
      <w:r w:rsidR="0036508F">
        <w:t xml:space="preserve"> </w:t>
      </w:r>
    </w:p>
    <w:p w:rsidR="00186F4A" w:rsidRPr="008B347C" w:rsidRDefault="00186F4A" w:rsidP="00F44003">
      <w:pPr>
        <w:pStyle w:val="ECHRHeading4"/>
      </w:pPr>
      <w:r>
        <w:t>б. Преценка</w:t>
      </w:r>
      <w:r w:rsidR="00C23D7A">
        <w:t>та</w:t>
      </w:r>
      <w:r>
        <w:t xml:space="preserve"> на Съда</w:t>
      </w:r>
    </w:p>
    <w:p w:rsidR="001F6271" w:rsidRPr="008B347C" w:rsidRDefault="00186F4A" w:rsidP="00F44003">
      <w:pPr>
        <w:pStyle w:val="ECHRPara"/>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39</w:t>
      </w:r>
      <w:r w:rsidRPr="008B347C">
        <w:rPr>
          <w:szCs w:val="24"/>
        </w:rPr>
        <w:fldChar w:fldCharType="end"/>
      </w:r>
      <w:r>
        <w:t xml:space="preserve">.  Съдът припомня, че досега единственото дело, когато е трябвало да решава относно приложимостта на правилото за справедливо обезщетение </w:t>
      </w:r>
      <w:r w:rsidR="00C23D7A">
        <w:t>по</w:t>
      </w:r>
      <w:r>
        <w:t xml:space="preserve"> междудържавн</w:t>
      </w:r>
      <w:r w:rsidR="00C23D7A">
        <w:t>о</w:t>
      </w:r>
      <w:r>
        <w:t xml:space="preserve"> </w:t>
      </w:r>
      <w:r w:rsidR="00C23D7A">
        <w:t>дело,</w:t>
      </w:r>
      <w:r>
        <w:t xml:space="preserve"> е решението по делото </w:t>
      </w:r>
      <w:r>
        <w:rPr>
          <w:i/>
        </w:rPr>
        <w:t>Ireland v. the United Kingdom</w:t>
      </w:r>
      <w:r>
        <w:t>, цитирано по-горе. В този случай Съдът не намира за необходимо прилагането на това правило (предишен чл</w:t>
      </w:r>
      <w:r w:rsidR="00C23D7A">
        <w:t>.</w:t>
      </w:r>
      <w:r>
        <w:t xml:space="preserve"> 50 от Конвенцията), тъй като Правителството жалбоподател изрично </w:t>
      </w:r>
      <w:r w:rsidR="00C23D7A">
        <w:t xml:space="preserve">е </w:t>
      </w:r>
      <w:r>
        <w:t>заяв</w:t>
      </w:r>
      <w:r w:rsidR="00C23D7A">
        <w:t>ило</w:t>
      </w:r>
      <w:r>
        <w:t>, че „не приканва Съда да присъди справедливо обезщетение ..., под формата на парична компенсация, на отделни по</w:t>
      </w:r>
      <w:r w:rsidR="007141BD">
        <w:t>търпевш</w:t>
      </w:r>
      <w:r>
        <w:t>и от нарушаване на Конвенцията“ (</w:t>
      </w:r>
      <w:r w:rsidRPr="00AC07A8">
        <w:t>пак там</w:t>
      </w:r>
      <w:r w:rsidRPr="000A4898">
        <w:t>.,</w:t>
      </w:r>
      <w:r>
        <w:t xml:space="preserve"> §§ 245-246).</w:t>
      </w:r>
    </w:p>
    <w:p w:rsidR="00186F4A" w:rsidRPr="008B347C" w:rsidRDefault="00D66335"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40</w:t>
      </w:r>
      <w:r w:rsidRPr="008B347C">
        <w:rPr>
          <w:szCs w:val="24"/>
        </w:rPr>
        <w:fldChar w:fldCharType="end"/>
      </w:r>
      <w:r>
        <w:t>.  Освен това Съдът изтъква, че общата логика на правилото за справедливо обезщетение (чл</w:t>
      </w:r>
      <w:r w:rsidR="003C2556">
        <w:t>.</w:t>
      </w:r>
      <w:r>
        <w:t xml:space="preserve"> 41, или предишен чл</w:t>
      </w:r>
      <w:r w:rsidR="003C2556">
        <w:t>.</w:t>
      </w:r>
      <w:r>
        <w:t xml:space="preserve"> 50 от Конвенцията), </w:t>
      </w:r>
      <w:r w:rsidR="001D7687">
        <w:t>с</w:t>
      </w:r>
      <w:r>
        <w:t>по</w:t>
      </w:r>
      <w:r w:rsidR="001D7687">
        <w:t>ред</w:t>
      </w:r>
      <w:r>
        <w:t xml:space="preserve"> </w:t>
      </w:r>
      <w:r w:rsidR="001D7687">
        <w:t>намерението</w:t>
      </w:r>
      <w:r>
        <w:t xml:space="preserve"> на изготвилите го, пряко произтича от принципите на международното публично право във връзка с отговорността на държавата и следва да се тълкува в този контекст. Това се потвърждава от </w:t>
      </w:r>
      <w:r w:rsidR="006D6E3A">
        <w:t>п</w:t>
      </w:r>
      <w:r w:rsidRPr="00AC07A8">
        <w:t>одготвителн</w:t>
      </w:r>
      <w:r w:rsidR="006D6E3A" w:rsidRPr="00AC07A8">
        <w:t>а</w:t>
      </w:r>
      <w:r w:rsidRPr="00AC07A8">
        <w:t>т</w:t>
      </w:r>
      <w:r w:rsidR="006D6E3A" w:rsidRPr="00AC07A8">
        <w:t>а</w:t>
      </w:r>
      <w:r w:rsidRPr="00AC07A8">
        <w:t xml:space="preserve"> работ</w:t>
      </w:r>
      <w:r w:rsidR="006D6E3A">
        <w:t>а</w:t>
      </w:r>
      <w:r>
        <w:t xml:space="preserve"> по Конвенцията, съгласно която,</w:t>
      </w:r>
    </w:p>
    <w:p w:rsidR="008B347C" w:rsidRPr="008B347C" w:rsidRDefault="00186F4A" w:rsidP="00F44003">
      <w:pPr>
        <w:pStyle w:val="ECHRParaQuote"/>
      </w:pPr>
      <w:r>
        <w:t xml:space="preserve"> „... тази разпоредба е във връзка с действащото международно право във връзка с нарушаване на задължение от </w:t>
      </w:r>
      <w:r w:rsidR="006D6E3A">
        <w:t xml:space="preserve">страна на </w:t>
      </w:r>
      <w:r>
        <w:t>държава. В тази връзка съдебната практика на Европейския съд следователно никога няма да въведе нови елементи или елемент в противоречие на действащото международно право...“ (Доклад, представен от експертната комисия към Комитета на министрите на Съвета на Европа на 16 март 1950 г. (док. CM/WP 1(50)15)).</w:t>
      </w:r>
    </w:p>
    <w:p w:rsidR="00ED61D3" w:rsidRPr="008B347C" w:rsidRDefault="00186F4A"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41</w:t>
      </w:r>
      <w:r w:rsidRPr="008B347C">
        <w:rPr>
          <w:szCs w:val="24"/>
        </w:rPr>
        <w:fldChar w:fldCharType="end"/>
      </w:r>
      <w:r>
        <w:t xml:space="preserve">.  Най-важният принцип на международното право във връзка с нарушението от страна на определена държава на договорно задължение е, „че нарушението на поет ангажимент поражда задължение за обезщетяване в адекватна форма“ (вж. решение на Постоянния съд за международно правосъдие по делото </w:t>
      </w:r>
      <w:r>
        <w:rPr>
          <w:i/>
        </w:rPr>
        <w:t xml:space="preserve">Factory at </w:t>
      </w:r>
      <w:r>
        <w:rPr>
          <w:rStyle w:val="wordhighlighted"/>
          <w:i/>
        </w:rPr>
        <w:t>Chorzów</w:t>
      </w:r>
      <w:r>
        <w:rPr>
          <w:rStyle w:val="wordhighlighted"/>
        </w:rPr>
        <w:t xml:space="preserve"> (</w:t>
      </w:r>
      <w:r w:rsidR="005572D8" w:rsidRPr="005572D8">
        <w:rPr>
          <w:i/>
          <w:lang w:val="en-GB"/>
        </w:rPr>
        <w:t>Jurisdiction</w:t>
      </w:r>
      <w:r>
        <w:rPr>
          <w:rStyle w:val="wordhighlighted"/>
          <w:i/>
        </w:rPr>
        <w:t>)</w:t>
      </w:r>
      <w:r>
        <w:rPr>
          <w:rStyle w:val="wordhighlighted"/>
        </w:rPr>
        <w:t xml:space="preserve">, </w:t>
      </w:r>
      <w:r>
        <w:rPr>
          <w:rStyle w:val="wordhighlighted"/>
          <w:i/>
        </w:rPr>
        <w:t>Решение № 8</w:t>
      </w:r>
      <w:r>
        <w:rPr>
          <w:rStyle w:val="wordhighlighted"/>
        </w:rPr>
        <w:t xml:space="preserve">, 1927 г., </w:t>
      </w:r>
      <w:r>
        <w:rPr>
          <w:rStyle w:val="wordhighlighted"/>
          <w:i/>
        </w:rPr>
        <w:t>PCIJ</w:t>
      </w:r>
      <w:r>
        <w:rPr>
          <w:rStyle w:val="wordhighlighted"/>
        </w:rPr>
        <w:t xml:space="preserve">, Серия A, No. 9, стр. 21). Въпреки специфичния характер на Конвенцията, </w:t>
      </w:r>
      <w:r>
        <w:t>цялостната логика на чл</w:t>
      </w:r>
      <w:r w:rsidR="00A2335D">
        <w:t>.</w:t>
      </w:r>
      <w:r>
        <w:t xml:space="preserve"> 41 не се различава съществено от логиката на </w:t>
      </w:r>
      <w:r w:rsidR="00A2335D">
        <w:t>репараци</w:t>
      </w:r>
      <w:r>
        <w:t xml:space="preserve">ите </w:t>
      </w:r>
      <w:r w:rsidR="00A2335D">
        <w:t>в</w:t>
      </w:r>
      <w:r>
        <w:t xml:space="preserve"> международното публично право, съгласно ко</w:t>
      </w:r>
      <w:r w:rsidR="00A2335D">
        <w:t>я</w:t>
      </w:r>
      <w:r>
        <w:t xml:space="preserve">то „добре установено правило на международното право </w:t>
      </w:r>
      <w:r w:rsidR="00A2335D">
        <w:t xml:space="preserve">е </w:t>
      </w:r>
      <w:r>
        <w:t>по</w:t>
      </w:r>
      <w:r w:rsidR="0039228C">
        <w:t>търпевша</w:t>
      </w:r>
      <w:r>
        <w:t xml:space="preserve"> държава </w:t>
      </w:r>
      <w:r w:rsidR="00A2335D">
        <w:t xml:space="preserve">да </w:t>
      </w:r>
      <w:r>
        <w:t xml:space="preserve">има право да получи обезщетение от държавата, която е извършила международно неправомерно действие, </w:t>
      </w:r>
      <w:r w:rsidR="00E2370C">
        <w:t>за нанесените от нея вреди</w:t>
      </w:r>
      <w:r>
        <w:t xml:space="preserve">“ (вж. решението на Международния съд по делото </w:t>
      </w:r>
      <w:r>
        <w:rPr>
          <w:i/>
        </w:rPr>
        <w:t>Gabčikovo-Nagymaros Project (Hungary v. Slovakia)</w:t>
      </w:r>
      <w:r>
        <w:t xml:space="preserve">, </w:t>
      </w:r>
      <w:r>
        <w:rPr>
          <w:i/>
        </w:rPr>
        <w:t xml:space="preserve">Доклади на </w:t>
      </w:r>
      <w:r w:rsidR="00E2370C">
        <w:rPr>
          <w:i/>
        </w:rPr>
        <w:t>Международния съд</w:t>
      </w:r>
      <w:r w:rsidR="00E2370C">
        <w:t xml:space="preserve"> </w:t>
      </w:r>
      <w:r>
        <w:t xml:space="preserve">1997 г., стр. 81, § 152). </w:t>
      </w:r>
      <w:r>
        <w:lastRenderedPageBreak/>
        <w:t>Също така добре установено</w:t>
      </w:r>
      <w:r w:rsidR="00E2370C">
        <w:t xml:space="preserve"> е</w:t>
      </w:r>
      <w:r>
        <w:t xml:space="preserve">, че международен съд или трибунал, който има юрисдикция по отношение на отговорност на държава има, </w:t>
      </w:r>
      <w:r w:rsidR="00F91720">
        <w:t>в рамките на</w:t>
      </w:r>
      <w:r>
        <w:t xml:space="preserve"> тази юрисдикция, право</w:t>
      </w:r>
      <w:r w:rsidR="00F91720">
        <w:t>мощие</w:t>
      </w:r>
      <w:r>
        <w:t xml:space="preserve">то да присъди обезщетение за понесени вреди (вж. решението на Международния съд </w:t>
      </w:r>
      <w:r>
        <w:rPr>
          <w:i/>
        </w:rPr>
        <w:t>Fisheries Jurisdiction Case (Federal Republic of Germany v. Iceland)</w:t>
      </w:r>
      <w:r>
        <w:t xml:space="preserve">, </w:t>
      </w:r>
      <w:r>
        <w:rPr>
          <w:i/>
        </w:rPr>
        <w:t>Merits</w:t>
      </w:r>
      <w:r>
        <w:t xml:space="preserve">, </w:t>
      </w:r>
      <w:r>
        <w:rPr>
          <w:i/>
        </w:rPr>
        <w:t xml:space="preserve">Доклади на </w:t>
      </w:r>
      <w:r w:rsidR="00F91720">
        <w:rPr>
          <w:i/>
        </w:rPr>
        <w:t>Международния с</w:t>
      </w:r>
      <w:r>
        <w:rPr>
          <w:i/>
        </w:rPr>
        <w:t xml:space="preserve">ъд </w:t>
      </w:r>
      <w:r>
        <w:t>1974 г., стр</w:t>
      </w:r>
      <w:r w:rsidR="00F91720">
        <w:t>.</w:t>
      </w:r>
      <w:r>
        <w:t> 203-205, §§ 71-76).</w:t>
      </w:r>
    </w:p>
    <w:p w:rsidR="00C37F99" w:rsidRPr="008B347C" w:rsidRDefault="00ED61D3" w:rsidP="00F44003">
      <w:pPr>
        <w:pStyle w:val="ECHRPara"/>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42</w:t>
      </w:r>
      <w:r w:rsidRPr="008B347C">
        <w:rPr>
          <w:szCs w:val="24"/>
        </w:rPr>
        <w:fldChar w:fldCharType="end"/>
      </w:r>
      <w:r>
        <w:t>.  При тези обстоятелства, като взема предвид специфичното естество на чл</w:t>
      </w:r>
      <w:r w:rsidR="00EE3569">
        <w:t>.</w:t>
      </w:r>
      <w:r>
        <w:t xml:space="preserve"> 41 като </w:t>
      </w:r>
      <w:r>
        <w:rPr>
          <w:i/>
        </w:rPr>
        <w:t>lex specialis</w:t>
      </w:r>
      <w:r>
        <w:t xml:space="preserve"> във връзка с общите правила и принципи на международното право, Съдът не може да тълкува тази разпоредба по подобен тесен и ограничителен начин, </w:t>
      </w:r>
      <w:r w:rsidR="00EE3569">
        <w:t>който</w:t>
      </w:r>
      <w:r>
        <w:t xml:space="preserve"> да изключи междудържавните жалби от обхвата </w:t>
      </w:r>
      <w:r w:rsidR="00EE3569">
        <w:t>ѝ</w:t>
      </w:r>
      <w:r>
        <w:t xml:space="preserve">. Напротив, подобно тълкуване се потвърждава от </w:t>
      </w:r>
      <w:r w:rsidR="00EE3569">
        <w:t>формулировката</w:t>
      </w:r>
      <w:r>
        <w:t xml:space="preserve"> на чл</w:t>
      </w:r>
      <w:r w:rsidR="00EE3569">
        <w:t>.</w:t>
      </w:r>
      <w:r>
        <w:t xml:space="preserve"> 41, който постановява „</w:t>
      </w:r>
      <w:r w:rsidR="00EE3569">
        <w:t>предоставя</w:t>
      </w:r>
      <w:r>
        <w:t>не</w:t>
      </w:r>
      <w:r w:rsidR="0039228C">
        <w:t>то</w:t>
      </w:r>
      <w:r>
        <w:t xml:space="preserve"> на справедливо обезщетение на по</w:t>
      </w:r>
      <w:r w:rsidR="0039228C">
        <w:t>търпевшата</w:t>
      </w:r>
      <w:r>
        <w:t xml:space="preserve"> страна“ (на френски език — “</w:t>
      </w:r>
      <w:r>
        <w:rPr>
          <w:i/>
        </w:rPr>
        <w:t>à la partie lésée</w:t>
      </w:r>
      <w:r>
        <w:t xml:space="preserve">”); под „страна“ (с малко „с“) следва да се разбира една от страните по производството пред Съда. Позоваването на Правителството ответник на настоящия текст на </w:t>
      </w:r>
      <w:r w:rsidR="00424B7C">
        <w:t>правило</w:t>
      </w:r>
      <w:r>
        <w:t xml:space="preserve"> 60 § 1 от Правилника на Съда (параграфи 12 и 38 по-горе) не може да се счита за убедително в тази връзка. В действителност тази норма, </w:t>
      </w:r>
      <w:r w:rsidR="00424B7C">
        <w:t>чието</w:t>
      </w:r>
      <w:r>
        <w:t xml:space="preserve"> </w:t>
      </w:r>
      <w:r w:rsidR="00424B7C">
        <w:t xml:space="preserve">място в </w:t>
      </w:r>
      <w:r>
        <w:t>йерархи</w:t>
      </w:r>
      <w:r w:rsidR="00424B7C">
        <w:t>ята</w:t>
      </w:r>
      <w:r>
        <w:t xml:space="preserve"> </w:t>
      </w:r>
      <w:r w:rsidR="00132A2B">
        <w:t xml:space="preserve">е по-ниско </w:t>
      </w:r>
      <w:r>
        <w:t>в сравнение със самата Конвенция, само отразява очевидната реалност, че на практика всички присъ</w:t>
      </w:r>
      <w:r w:rsidR="00132A2B">
        <w:t>ждания</w:t>
      </w:r>
      <w:r>
        <w:t xml:space="preserve"> </w:t>
      </w:r>
      <w:r w:rsidR="00132A2B">
        <w:t xml:space="preserve">на Съда </w:t>
      </w:r>
      <w:r>
        <w:t xml:space="preserve">досега по настоящата разпоредба са били пряко </w:t>
      </w:r>
      <w:r w:rsidR="00132A2B">
        <w:t>насочени към</w:t>
      </w:r>
      <w:r>
        <w:t xml:space="preserve"> физически жалбоподатели.</w:t>
      </w:r>
    </w:p>
    <w:p w:rsidR="00B979EC" w:rsidRPr="008B347C" w:rsidRDefault="00075945" w:rsidP="00F44003">
      <w:pPr>
        <w:pStyle w:val="ECHRPara"/>
        <w:rPr>
          <w:szCs w:val="24"/>
        </w:rPr>
      </w:pPr>
      <w:r>
        <w:fldChar w:fldCharType="begin"/>
      </w:r>
      <w:r>
        <w:instrText xml:space="preserve"> SEQ level0 \*arabic </w:instrText>
      </w:r>
      <w:r>
        <w:fldChar w:fldCharType="separate"/>
      </w:r>
      <w:r w:rsidR="007A52DC">
        <w:rPr>
          <w:noProof/>
        </w:rPr>
        <w:t>43</w:t>
      </w:r>
      <w:r>
        <w:rPr>
          <w:noProof/>
        </w:rPr>
        <w:fldChar w:fldCharType="end"/>
      </w:r>
      <w:r w:rsidR="00411AB2">
        <w:t>.  Следователно Съдът счита, че чл</w:t>
      </w:r>
      <w:r w:rsidR="00132A2B">
        <w:t>.</w:t>
      </w:r>
      <w:r w:rsidR="00411AB2">
        <w:t xml:space="preserve"> 41 от Конвенцията като такъв е прил</w:t>
      </w:r>
      <w:r w:rsidR="00132A2B">
        <w:t>ожим</w:t>
      </w:r>
      <w:r w:rsidR="00411AB2">
        <w:t xml:space="preserve"> </w:t>
      </w:r>
      <w:r w:rsidR="00132A2B">
        <w:t>по</w:t>
      </w:r>
      <w:r w:rsidR="00411AB2">
        <w:t xml:space="preserve"> междудържавни дела. Въпреки това въпросът дали присъждането на справедливо обезщетение на държава жалбоподател </w:t>
      </w:r>
      <w:r w:rsidR="00BF4CF5">
        <w:t xml:space="preserve">е оправдано </w:t>
      </w:r>
      <w:r w:rsidR="00411AB2">
        <w:t>следва да се разгледа и да бъде взето решени</w:t>
      </w:r>
      <w:r w:rsidR="00BF4CF5">
        <w:t>е</w:t>
      </w:r>
      <w:r w:rsidR="00411AB2">
        <w:t xml:space="preserve"> от Съда въз основа на всеки конкретен случай, като се има предвид, </w:t>
      </w:r>
      <w:r w:rsidR="00411AB2" w:rsidRPr="00AC07A8">
        <w:t>наред с другото</w:t>
      </w:r>
      <w:r w:rsidR="00411AB2" w:rsidRPr="000A4898">
        <w:t>,</w:t>
      </w:r>
      <w:r w:rsidR="00411AB2">
        <w:t xml:space="preserve"> видът на жалбата, подадена от Правителството жалбоподател, дали по</w:t>
      </w:r>
      <w:r w:rsidR="007141BD">
        <w:t>търпевш</w:t>
      </w:r>
      <w:r w:rsidR="00411AB2">
        <w:t>ите от нарушението могат да бъдат открити, както и основната цел на производството, доколкото т</w:t>
      </w:r>
      <w:r w:rsidR="00BF4CF5">
        <w:t>я</w:t>
      </w:r>
      <w:r w:rsidR="00411AB2">
        <w:t xml:space="preserve"> може да се разпознае в първоначалната жалба до Съда. Съдът приема, че жалба, подадена до него по чл</w:t>
      </w:r>
      <w:r w:rsidR="00BF4CF5">
        <w:t>.</w:t>
      </w:r>
      <w:r w:rsidR="00411AB2">
        <w:t xml:space="preserve"> 33 от Конвенцията, може да съдържа различни видове оплаквания, имащи различни цели. В такива случаи всяка жалба следва да се разглежда отделно</w:t>
      </w:r>
      <w:r w:rsidR="00F91118">
        <w:t>,</w:t>
      </w:r>
      <w:r w:rsidR="00411AB2">
        <w:t xml:space="preserve"> </w:t>
      </w:r>
      <w:r w:rsidR="00F91118">
        <w:t>за да се</w:t>
      </w:r>
      <w:r w:rsidR="00411AB2">
        <w:t xml:space="preserve"> определ</w:t>
      </w:r>
      <w:r w:rsidR="00F91118">
        <w:t>и</w:t>
      </w:r>
      <w:r w:rsidR="00411AB2">
        <w:t xml:space="preserve"> дали присъждането на справедливо обезщетение по нея би </w:t>
      </w:r>
      <w:r w:rsidR="00F91118">
        <w:t>било</w:t>
      </w:r>
      <w:r w:rsidR="00411AB2">
        <w:t xml:space="preserve"> оправдано.</w:t>
      </w:r>
    </w:p>
    <w:p w:rsidR="000C2BC7" w:rsidRPr="008B347C" w:rsidRDefault="00075945" w:rsidP="00F44003">
      <w:pPr>
        <w:pStyle w:val="ECHRPara"/>
        <w:rPr>
          <w:szCs w:val="24"/>
        </w:rPr>
      </w:pPr>
      <w:r>
        <w:fldChar w:fldCharType="begin"/>
      </w:r>
      <w:r>
        <w:instrText xml:space="preserve"> SEQ level0 \*arabic </w:instrText>
      </w:r>
      <w:r>
        <w:fldChar w:fldCharType="separate"/>
      </w:r>
      <w:r w:rsidR="007A52DC">
        <w:rPr>
          <w:noProof/>
        </w:rPr>
        <w:t>44</w:t>
      </w:r>
      <w:r>
        <w:rPr>
          <w:noProof/>
        </w:rPr>
        <w:fldChar w:fldCharType="end"/>
      </w:r>
      <w:r w:rsidR="00DD1B24">
        <w:t>.  Така например Високодоговаряща страна жалбоподател може да подаде оплакване по общи въпроси (системни проблеми и недостатъци, административна практика и др.) при друга Високодоговаряща страна. В такива случаи основната цел на Правителството жалбоподател е да защити обществения ред в Европа в рамките на колективната отговорност по Конвенцията.  При тези обстоятелства може да не бъде уместно да се присъжда справедливо обезщетение по чл</w:t>
      </w:r>
      <w:r w:rsidR="00F0052D">
        <w:t>.</w:t>
      </w:r>
      <w:r w:rsidR="00DD1B24">
        <w:t xml:space="preserve"> 41, дори ако Правителството жалбоподател отправи подобно искане.</w:t>
      </w:r>
    </w:p>
    <w:p w:rsidR="00D3049D" w:rsidRPr="008B347C" w:rsidRDefault="000C2BC7" w:rsidP="00F44003">
      <w:pPr>
        <w:pStyle w:val="ECHRPara"/>
        <w:rPr>
          <w:rStyle w:val="FooterChar"/>
        </w:rPr>
      </w:pPr>
      <w:r w:rsidRPr="008B347C">
        <w:rPr>
          <w:szCs w:val="24"/>
        </w:rPr>
        <w:lastRenderedPageBreak/>
        <w:fldChar w:fldCharType="begin"/>
      </w:r>
      <w:r w:rsidRPr="008B347C">
        <w:rPr>
          <w:szCs w:val="24"/>
        </w:rPr>
        <w:instrText xml:space="preserve"> SEQ level0 \*arabic </w:instrText>
      </w:r>
      <w:r w:rsidRPr="008B347C">
        <w:rPr>
          <w:szCs w:val="24"/>
        </w:rPr>
        <w:fldChar w:fldCharType="separate"/>
      </w:r>
      <w:r w:rsidR="007A52DC">
        <w:rPr>
          <w:noProof/>
          <w:szCs w:val="24"/>
        </w:rPr>
        <w:t>45</w:t>
      </w:r>
      <w:r w:rsidRPr="008B347C">
        <w:rPr>
          <w:szCs w:val="24"/>
        </w:rPr>
        <w:fldChar w:fldCharType="end"/>
      </w:r>
      <w:r>
        <w:t>.  Съществува също така и друга категория междудържавни жалби, при които държавата жалбоподател осъжда нарушения</w:t>
      </w:r>
      <w:r w:rsidR="008037D5">
        <w:t>,</w:t>
      </w:r>
      <w:r>
        <w:t xml:space="preserve"> </w:t>
      </w:r>
      <w:r w:rsidR="008037D5">
        <w:t xml:space="preserve">извършени от друга Високодоговаряща страна, </w:t>
      </w:r>
      <w:r>
        <w:t xml:space="preserve">на основните човешки права </w:t>
      </w:r>
      <w:r w:rsidR="008037D5">
        <w:t xml:space="preserve">на нейни </w:t>
      </w:r>
      <w:r>
        <w:t>граждани (или други по</w:t>
      </w:r>
      <w:r w:rsidR="00A64878">
        <w:t>търпевши</w:t>
      </w:r>
      <w:r>
        <w:t>). В действителност подобни жалби са по същество подобни не само на тези, които с</w:t>
      </w:r>
      <w:r w:rsidR="008037D5">
        <w:t>е</w:t>
      </w:r>
      <w:r>
        <w:t xml:space="preserve"> подава</w:t>
      </w:r>
      <w:r w:rsidR="008037D5">
        <w:t>т</w:t>
      </w:r>
      <w:r>
        <w:t xml:space="preserve"> като индивидуални по чл</w:t>
      </w:r>
      <w:r w:rsidR="008037D5">
        <w:t>.</w:t>
      </w:r>
      <w:r>
        <w:t xml:space="preserve"> 34 от Конвенцията, но и на жалби, подавани в контекста на дипломатическата закрила, </w:t>
      </w:r>
      <w:r w:rsidR="00D02D55">
        <w:t>т.е.</w:t>
      </w:r>
      <w:r>
        <w:t xml:space="preserve"> „търсене от страна на дадена държава, чрез дипломатически действия или други начини за мирно уреждане, на отговорност от друга държава за щети, нанесени от международно неправомерн</w:t>
      </w:r>
      <w:r w:rsidR="00D02D55">
        <w:t>о</w:t>
      </w:r>
      <w:r>
        <w:t xml:space="preserve"> действи</w:t>
      </w:r>
      <w:r w:rsidR="00D02D55">
        <w:t>е</w:t>
      </w:r>
      <w:r>
        <w:t>, извършен</w:t>
      </w:r>
      <w:r w:rsidR="00D02D55">
        <w:t>о</w:t>
      </w:r>
      <w:r>
        <w:t xml:space="preserve"> от тази държава, на физическ</w:t>
      </w:r>
      <w:r w:rsidR="00D02D55">
        <w:t>о</w:t>
      </w:r>
      <w:r>
        <w:t xml:space="preserve"> или юридическ</w:t>
      </w:r>
      <w:r w:rsidR="00D02D55">
        <w:t>о</w:t>
      </w:r>
      <w:r>
        <w:t xml:space="preserve"> лиц</w:t>
      </w:r>
      <w:r w:rsidR="00D02D55">
        <w:t>е</w:t>
      </w:r>
      <w:r>
        <w:t>, ко</w:t>
      </w:r>
      <w:r w:rsidR="00D02D55">
        <w:t>е</w:t>
      </w:r>
      <w:r>
        <w:t xml:space="preserve">то </w:t>
      </w:r>
      <w:r w:rsidR="00D02D55">
        <w:t>е</w:t>
      </w:r>
      <w:r>
        <w:t xml:space="preserve"> </w:t>
      </w:r>
      <w:r w:rsidR="00D02D55">
        <w:t>гражданин</w:t>
      </w:r>
      <w:r>
        <w:t xml:space="preserve"> на първата, с оглед изпълнението на подобна отговорност“ (чл</w:t>
      </w:r>
      <w:r w:rsidR="006D56FF">
        <w:t>.</w:t>
      </w:r>
      <w:r>
        <w:t xml:space="preserve"> 1 от Пр</w:t>
      </w:r>
      <w:r w:rsidR="000A4898">
        <w:t>едложение</w:t>
      </w:r>
      <w:r>
        <w:t xml:space="preserve"> за законодателна резолюция за дипломатическата закрила на </w:t>
      </w:r>
      <w:r w:rsidR="006D56FF">
        <w:t>К</w:t>
      </w:r>
      <w:r>
        <w:t>омисия</w:t>
      </w:r>
      <w:r w:rsidR="006D56FF">
        <w:t>та по международно право</w:t>
      </w:r>
      <w:r>
        <w:t>, 2006 г.</w:t>
      </w:r>
      <w:r w:rsidR="008335EC">
        <w:t>,</w:t>
      </w:r>
      <w:r>
        <w:t xml:space="preserve"> вж. </w:t>
      </w:r>
      <w:r>
        <w:rPr>
          <w:rStyle w:val="FooterChar"/>
          <w:i/>
        </w:rPr>
        <w:t>Официален архив на Общото събрание</w:t>
      </w:r>
      <w:r>
        <w:rPr>
          <w:rStyle w:val="FooterChar"/>
        </w:rPr>
        <w:t xml:space="preserve">, Шестдесет и първа сесия, </w:t>
      </w:r>
      <w:r w:rsidR="008335EC">
        <w:rPr>
          <w:rStyle w:val="FooterChar"/>
          <w:i/>
        </w:rPr>
        <w:t xml:space="preserve">Приложение </w:t>
      </w:r>
      <w:r>
        <w:rPr>
          <w:rStyle w:val="FooterChar"/>
          <w:i/>
        </w:rPr>
        <w:t>№</w:t>
      </w:r>
      <w:r>
        <w:rPr>
          <w:rStyle w:val="FooterChar"/>
        </w:rPr>
        <w:t> </w:t>
      </w:r>
      <w:r>
        <w:rPr>
          <w:rStyle w:val="FooterChar"/>
          <w:i/>
        </w:rPr>
        <w:t xml:space="preserve">10 </w:t>
      </w:r>
      <w:r w:rsidRPr="00AC07A8">
        <w:rPr>
          <w:rStyle w:val="FooterChar"/>
        </w:rPr>
        <w:t>(A/61/10), както и решение на Международния съд по дело</w:t>
      </w:r>
      <w:r w:rsidR="008335EC" w:rsidRPr="00AC07A8">
        <w:rPr>
          <w:rStyle w:val="FooterChar"/>
        </w:rPr>
        <w:t>то</w:t>
      </w:r>
      <w:r>
        <w:rPr>
          <w:rStyle w:val="FooterChar"/>
          <w:i/>
        </w:rPr>
        <w:t xml:space="preserve"> Diallo (</w:t>
      </w:r>
      <w:r w:rsidR="000A4898">
        <w:rPr>
          <w:rStyle w:val="FooterChar"/>
          <w:i/>
        </w:rPr>
        <w:t>Гвинея срещу</w:t>
      </w:r>
      <w:r>
        <w:rPr>
          <w:rStyle w:val="FooterChar"/>
          <w:i/>
        </w:rPr>
        <w:t xml:space="preserve"> </w:t>
      </w:r>
      <w:r w:rsidR="000A4898">
        <w:rPr>
          <w:rStyle w:val="FooterChar"/>
          <w:i/>
        </w:rPr>
        <w:t>Демократична република Конго</w:t>
      </w:r>
      <w:r>
        <w:rPr>
          <w:rStyle w:val="FooterChar"/>
          <w:i/>
        </w:rPr>
        <w:t>) (</w:t>
      </w:r>
      <w:r w:rsidR="000A4898">
        <w:rPr>
          <w:rStyle w:val="FooterChar"/>
          <w:i/>
        </w:rPr>
        <w:t>П</w:t>
      </w:r>
      <w:r>
        <w:rPr>
          <w:rStyle w:val="FooterChar"/>
          <w:i/>
        </w:rPr>
        <w:t xml:space="preserve">редварителни възражения), Доклади на </w:t>
      </w:r>
      <w:r w:rsidR="000A4898">
        <w:rPr>
          <w:rStyle w:val="FooterChar"/>
          <w:i/>
        </w:rPr>
        <w:t>Международния с</w:t>
      </w:r>
      <w:r>
        <w:rPr>
          <w:rStyle w:val="FooterChar"/>
          <w:i/>
        </w:rPr>
        <w:t>ъд 2007 г., стр. 599, § 39).</w:t>
      </w:r>
      <w:r>
        <w:rPr>
          <w:rStyle w:val="FooterChar"/>
        </w:rPr>
        <w:t xml:space="preserve"> В случай че Съдът уважи </w:t>
      </w:r>
      <w:r w:rsidR="00C61986">
        <w:rPr>
          <w:rStyle w:val="FooterChar"/>
        </w:rPr>
        <w:t xml:space="preserve">този </w:t>
      </w:r>
      <w:r>
        <w:rPr>
          <w:rStyle w:val="FooterChar"/>
        </w:rPr>
        <w:t>тип жалба и открие нарушение на Конвенцията, присъждането на справедливо обезщетение може да бъде уместно, като се имат предвид конкретните обстоятелства по делото и изложените по-горе критерии (вж. параграф 43).</w:t>
      </w:r>
    </w:p>
    <w:p w:rsidR="008B347C" w:rsidRPr="008B347C" w:rsidRDefault="00594B25" w:rsidP="00F44003">
      <w:pPr>
        <w:pStyle w:val="ECHRPara"/>
        <w:rPr>
          <w:szCs w:val="24"/>
        </w:rPr>
      </w:pPr>
      <w:r w:rsidRPr="008B347C">
        <w:rPr>
          <w:rStyle w:val="FooterChar"/>
        </w:rPr>
        <w:fldChar w:fldCharType="begin"/>
      </w:r>
      <w:r w:rsidRPr="008B347C">
        <w:rPr>
          <w:rStyle w:val="FooterChar"/>
        </w:rPr>
        <w:instrText xml:space="preserve"> SEQ level0 \*arabic </w:instrText>
      </w:r>
      <w:r w:rsidRPr="008B347C">
        <w:rPr>
          <w:rStyle w:val="FooterChar"/>
        </w:rPr>
        <w:fldChar w:fldCharType="separate"/>
      </w:r>
      <w:r w:rsidR="007A52DC">
        <w:rPr>
          <w:rStyle w:val="FooterChar"/>
          <w:noProof/>
        </w:rPr>
        <w:t>46</w:t>
      </w:r>
      <w:r w:rsidRPr="008B347C">
        <w:rPr>
          <w:rStyle w:val="FooterChar"/>
        </w:rPr>
        <w:fldChar w:fldCharType="end"/>
      </w:r>
      <w:r>
        <w:rPr>
          <w:rStyle w:val="FooterChar"/>
        </w:rPr>
        <w:t xml:space="preserve">.  Въпреки това трябва винаги да се има предвид, че </w:t>
      </w:r>
      <w:r>
        <w:t>съгласно самата същност на Конвенцията, физическото лице, а не държавата е пряко или непряко по</w:t>
      </w:r>
      <w:r w:rsidR="007141BD">
        <w:t>търпевш</w:t>
      </w:r>
      <w:r>
        <w:t xml:space="preserve"> и основно „увреден“ вследствие нарушение на едно или повече права по Конвенцията. Следователно в случай на присъждане на справедливо обезщетение по междудържавно дело, това винаги трябва да бъде в полза на по</w:t>
      </w:r>
      <w:r w:rsidR="00A64878">
        <w:t>търпевши</w:t>
      </w:r>
      <w:r>
        <w:t>те физически лица. В тази връзка</w:t>
      </w:r>
      <w:r>
        <w:rPr>
          <w:rStyle w:val="FooterChar"/>
        </w:rPr>
        <w:t xml:space="preserve"> Съдът отбелязва, че чл</w:t>
      </w:r>
      <w:r w:rsidR="00527738">
        <w:rPr>
          <w:rStyle w:val="FooterChar"/>
        </w:rPr>
        <w:t>.</w:t>
      </w:r>
      <w:r>
        <w:rPr>
          <w:rStyle w:val="FooterChar"/>
        </w:rPr>
        <w:t xml:space="preserve"> 19 от гореспоменатата законодателна резолюция </w:t>
      </w:r>
      <w:r>
        <w:t>за дипломатическа закрила</w:t>
      </w:r>
      <w:r>
        <w:rPr>
          <w:rStyle w:val="FooterChar"/>
        </w:rPr>
        <w:t xml:space="preserve"> препоръчва „[п]рехвърля[не] </w:t>
      </w:r>
      <w:r>
        <w:t xml:space="preserve">на </w:t>
      </w:r>
      <w:r w:rsidR="00A64878">
        <w:t>потърпевшето</w:t>
      </w:r>
      <w:r>
        <w:t xml:space="preserve"> лице на компенсации, получени за нанесени</w:t>
      </w:r>
      <w:r w:rsidR="00D7177F">
        <w:t>те</w:t>
      </w:r>
      <w:r>
        <w:t xml:space="preserve"> </w:t>
      </w:r>
      <w:r w:rsidR="00D7177F">
        <w:t xml:space="preserve">от отговорната държава </w:t>
      </w:r>
      <w:r>
        <w:t>щети, след основателни приспадания” (</w:t>
      </w:r>
      <w:r w:rsidRPr="00AC07A8">
        <w:t>пак там</w:t>
      </w:r>
      <w:r>
        <w:t xml:space="preserve">). Освен това в посоченото по-горе дело </w:t>
      </w:r>
      <w:r>
        <w:rPr>
          <w:i/>
        </w:rPr>
        <w:t>Diallo</w:t>
      </w:r>
      <w:r>
        <w:t xml:space="preserve"> Международният съд изрично посочва, че „сумата, присъдена на [държавата жалбоподател] за дипломатическата закрила на г-н Diallo има за цел предоставянето на обезщетение на последния за нанесени щети“ (вж. </w:t>
      </w:r>
      <w:r>
        <w:rPr>
          <w:rStyle w:val="FooterChar"/>
          <w:i/>
        </w:rPr>
        <w:t>Diallo (</w:t>
      </w:r>
      <w:r w:rsidR="008E7741">
        <w:rPr>
          <w:rStyle w:val="FooterChar"/>
          <w:i/>
        </w:rPr>
        <w:t>Гвинея срещу</w:t>
      </w:r>
      <w:r>
        <w:rPr>
          <w:rStyle w:val="FooterChar"/>
          <w:i/>
        </w:rPr>
        <w:t xml:space="preserve"> </w:t>
      </w:r>
      <w:r w:rsidR="008E7741">
        <w:rPr>
          <w:rStyle w:val="FooterChar"/>
          <w:i/>
        </w:rPr>
        <w:t>Демократична република Конго</w:t>
      </w:r>
      <w:r>
        <w:rPr>
          <w:rStyle w:val="FooterChar"/>
          <w:i/>
        </w:rPr>
        <w:t>) (Обезщетение)</w:t>
      </w:r>
      <w:r>
        <w:rPr>
          <w:rStyle w:val="FooterChar"/>
        </w:rPr>
        <w:t xml:space="preserve">, </w:t>
      </w:r>
      <w:r>
        <w:rPr>
          <w:rStyle w:val="FooterChar"/>
          <w:i/>
        </w:rPr>
        <w:t xml:space="preserve">Доклади на </w:t>
      </w:r>
      <w:r w:rsidR="008E7741">
        <w:rPr>
          <w:rStyle w:val="FooterChar"/>
          <w:i/>
        </w:rPr>
        <w:t>Международния с</w:t>
      </w:r>
      <w:r>
        <w:rPr>
          <w:rStyle w:val="FooterChar"/>
          <w:i/>
        </w:rPr>
        <w:t xml:space="preserve">ъд </w:t>
      </w:r>
      <w:r>
        <w:rPr>
          <w:rStyle w:val="FooterChar"/>
        </w:rPr>
        <w:t>2012, § 57).</w:t>
      </w:r>
    </w:p>
    <w:p w:rsidR="00AC7A2D" w:rsidRPr="008B347C" w:rsidRDefault="00075945" w:rsidP="00F44003">
      <w:pPr>
        <w:pStyle w:val="ECHRPara"/>
      </w:pPr>
      <w:r>
        <w:fldChar w:fldCharType="begin"/>
      </w:r>
      <w:r>
        <w:instrText xml:space="preserve"> SEQ level0 \*arabic </w:instrText>
      </w:r>
      <w:r>
        <w:fldChar w:fldCharType="separate"/>
      </w:r>
      <w:r w:rsidR="007A52DC">
        <w:rPr>
          <w:noProof/>
        </w:rPr>
        <w:t>47</w:t>
      </w:r>
      <w:r>
        <w:rPr>
          <w:noProof/>
        </w:rPr>
        <w:fldChar w:fldCharType="end"/>
      </w:r>
      <w:r w:rsidR="00FF4705">
        <w:t xml:space="preserve">.  В настоящия случай Съдът констатира, че </w:t>
      </w:r>
      <w:r w:rsidR="008E7741">
        <w:t>П</w:t>
      </w:r>
      <w:r w:rsidR="00FF4705">
        <w:t>равителството на Кипър е подало искания за справедливо обезщетение във връзка с наруше</w:t>
      </w:r>
      <w:r w:rsidR="008E7741">
        <w:t>ния</w:t>
      </w:r>
      <w:r w:rsidR="00FF4705">
        <w:t xml:space="preserve"> на правата по Конвенцията на две достатъчно конкретизирани и обективно </w:t>
      </w:r>
      <w:r w:rsidR="008E7741">
        <w:t>установ</w:t>
      </w:r>
      <w:r w:rsidR="00FF4705">
        <w:t>ими групи от хора, а именно 1 456 безследно изчезнали и кипърски</w:t>
      </w:r>
      <w:r w:rsidR="00416501">
        <w:t>те</w:t>
      </w:r>
      <w:r w:rsidR="00FF4705">
        <w:t xml:space="preserve"> </w:t>
      </w:r>
      <w:r w:rsidR="00416501">
        <w:t>гърци</w:t>
      </w:r>
      <w:r w:rsidR="00AA69EF">
        <w:t xml:space="preserve"> в анклава</w:t>
      </w:r>
      <w:r w:rsidR="00FF4705">
        <w:t xml:space="preserve"> на полуостров Карпас. С други думи справедливото обезщетение не е поискано с оглед </w:t>
      </w:r>
      <w:r w:rsidR="00FF4705">
        <w:lastRenderedPageBreak/>
        <w:t xml:space="preserve">обезщетяване на държавата за нарушаване на правата </w:t>
      </w:r>
      <w:r w:rsidR="00AA69EF">
        <w:t>ѝ</w:t>
      </w:r>
      <w:r w:rsidR="00FF4705">
        <w:t xml:space="preserve">, а в полза на отделни жертви съгласно посоченото в параграф 45 по-горе. При тези обстоятелства и доколкото се касае за безследно изчезналите лица и жителите на Карпас, Съдът счита, че Правителството жалбоподател има право да </w:t>
      </w:r>
      <w:r w:rsidR="00335612">
        <w:t>направи искане</w:t>
      </w:r>
      <w:r w:rsidR="00FF4705">
        <w:t xml:space="preserve"> по чл</w:t>
      </w:r>
      <w:r w:rsidR="00335612">
        <w:t>.</w:t>
      </w:r>
      <w:r w:rsidR="00FF4705">
        <w:t xml:space="preserve"> 41 от Конвенцията и че присъждането на справедливо обезщетение по настоящото дело </w:t>
      </w:r>
      <w:r w:rsidR="00335612">
        <w:t>би било</w:t>
      </w:r>
      <w:r w:rsidR="00FF4705">
        <w:t xml:space="preserve"> оправдано.</w:t>
      </w:r>
    </w:p>
    <w:p w:rsidR="00186F4A" w:rsidRPr="008B347C" w:rsidRDefault="00186F4A" w:rsidP="00F44003">
      <w:pPr>
        <w:pStyle w:val="ECHRHeading2"/>
      </w:pPr>
      <w:r>
        <w:t>Б.</w:t>
      </w:r>
      <w:r>
        <w:tab/>
        <w:t>Искания за справедливо обезщетение от страна на правителството на Кипър</w:t>
      </w:r>
    </w:p>
    <w:p w:rsidR="00186F4A" w:rsidRPr="008B347C" w:rsidRDefault="0059662B" w:rsidP="00F44003">
      <w:pPr>
        <w:pStyle w:val="ECHRHeading3"/>
      </w:pPr>
      <w:r>
        <w:t>1.  Становища</w:t>
      </w:r>
      <w:r w:rsidR="00335612">
        <w:t>та</w:t>
      </w:r>
      <w:r>
        <w:t xml:space="preserve"> на страните</w:t>
      </w:r>
    </w:p>
    <w:p w:rsidR="00306900" w:rsidRPr="008B347C" w:rsidRDefault="00306900" w:rsidP="00F44003">
      <w:pPr>
        <w:pStyle w:val="ECHRHeading4"/>
      </w:pPr>
      <w:r>
        <w:t>а.</w:t>
      </w:r>
      <w:r>
        <w:tab/>
        <w:t>Искания във връзка з безследно изчезнали лица</w:t>
      </w:r>
    </w:p>
    <w:p w:rsidR="00186F4A" w:rsidRPr="008B347C" w:rsidRDefault="0059662B" w:rsidP="00F44003">
      <w:pPr>
        <w:pStyle w:val="ECHRHeading5"/>
      </w:pPr>
      <w:r>
        <w:t>i.  Правителството на Кипър</w:t>
      </w:r>
    </w:p>
    <w:p w:rsidR="00F86C6E" w:rsidRPr="008B347C" w:rsidRDefault="00075945" w:rsidP="00F44003">
      <w:pPr>
        <w:pStyle w:val="ECHRPara"/>
      </w:pPr>
      <w:r>
        <w:fldChar w:fldCharType="begin"/>
      </w:r>
      <w:r>
        <w:instrText xml:space="preserve"> SEQ level0 \*arabic </w:instrText>
      </w:r>
      <w:r>
        <w:fldChar w:fldCharType="separate"/>
      </w:r>
      <w:r w:rsidR="007A52DC">
        <w:rPr>
          <w:noProof/>
        </w:rPr>
        <w:t>48</w:t>
      </w:r>
      <w:r>
        <w:rPr>
          <w:noProof/>
        </w:rPr>
        <w:fldChar w:fldCharType="end"/>
      </w:r>
      <w:r w:rsidR="009D2DA4">
        <w:t>.  Правителството на Кипър заяв</w:t>
      </w:r>
      <w:r w:rsidR="00335612">
        <w:t>ява</w:t>
      </w:r>
      <w:r w:rsidR="009D2DA4">
        <w:t xml:space="preserve">, че с оглед </w:t>
      </w:r>
      <w:r w:rsidR="00335612">
        <w:t xml:space="preserve">изхода </w:t>
      </w:r>
      <w:r w:rsidR="009D2DA4">
        <w:t xml:space="preserve">от делата </w:t>
      </w:r>
      <w:r w:rsidR="009D2DA4">
        <w:rPr>
          <w:i/>
        </w:rPr>
        <w:t>Varnava and Others</w:t>
      </w:r>
      <w:r w:rsidR="009D2DA4">
        <w:t>, цитирано по-горе</w:t>
      </w:r>
      <w:r w:rsidR="00335612">
        <w:t>,</w:t>
      </w:r>
      <w:r w:rsidR="009D2DA4">
        <w:t xml:space="preserve"> и </w:t>
      </w:r>
      <w:r w:rsidR="009D2DA4">
        <w:rPr>
          <w:i/>
        </w:rPr>
        <w:t xml:space="preserve">Karefyllides and Others v. Turkey </w:t>
      </w:r>
      <w:r w:rsidR="009D2DA4">
        <w:t>(</w:t>
      </w:r>
      <w:r w:rsidR="00335612">
        <w:t>РД</w:t>
      </w:r>
      <w:r w:rsidR="009D2DA4">
        <w:t xml:space="preserve"> № 45503/99, 1 декември 2009 г.), „сега изглежда, че индивидуалните жалбоподатели във връзка с продължаващи нарушения, свързани с изчезвания на членове на семействата им, [не биха] могли (освен ако </w:t>
      </w:r>
      <w:r w:rsidR="005D0FD9">
        <w:t>[</w:t>
      </w:r>
      <w:r w:rsidR="009D2DA4">
        <w:t>няма] нови доказателства или информация, ко</w:t>
      </w:r>
      <w:r w:rsidR="0003102E">
        <w:t>и</w:t>
      </w:r>
      <w:r w:rsidR="009D2DA4">
        <w:t xml:space="preserve">то </w:t>
      </w:r>
      <w:r w:rsidR="0003102E">
        <w:t xml:space="preserve">пораждат нови задължения на властите </w:t>
      </w:r>
      <w:r w:rsidR="009D2DA4">
        <w:t xml:space="preserve">за предприемане на </w:t>
      </w:r>
      <w:r w:rsidR="005D0FD9">
        <w:t xml:space="preserve">допълнителни </w:t>
      </w:r>
      <w:r w:rsidR="009D2DA4">
        <w:t xml:space="preserve">следствени действия) да подадат </w:t>
      </w:r>
      <w:r w:rsidR="0003102E">
        <w:t xml:space="preserve">искания </w:t>
      </w:r>
      <w:r w:rsidR="009D2DA4">
        <w:t xml:space="preserve">до Съда поради новите </w:t>
      </w:r>
      <w:r w:rsidR="0003102E">
        <w:t xml:space="preserve">решения </w:t>
      </w:r>
      <w:r w:rsidR="009D2DA4">
        <w:t xml:space="preserve">за допустимост“. Правителството жалбоподател приема, че от </w:t>
      </w:r>
      <w:r w:rsidR="00DB6576">
        <w:t xml:space="preserve">общо </w:t>
      </w:r>
      <w:r w:rsidR="009D2DA4">
        <w:t xml:space="preserve">1 485 безследно изчезнали лица, упоменати в § 119 от основното решение, някои </w:t>
      </w:r>
      <w:r w:rsidR="00DB6576">
        <w:t xml:space="preserve">би трябвало </w:t>
      </w:r>
      <w:r w:rsidR="009D2DA4">
        <w:t xml:space="preserve">да бъдат изключени. Първо, за девет безследно изчезнали лица вече са </w:t>
      </w:r>
      <w:r w:rsidR="00DB6576">
        <w:t>подадени</w:t>
      </w:r>
      <w:r w:rsidR="009D2DA4">
        <w:t xml:space="preserve"> индивидуални жалби по делото </w:t>
      </w:r>
      <w:r w:rsidR="009D2DA4">
        <w:rPr>
          <w:i/>
        </w:rPr>
        <w:t>Varnava</w:t>
      </w:r>
      <w:r w:rsidR="009D2DA4">
        <w:t>. Второ, останките на двадесет и осем лица са ексхумирани и идентифицирани, но не е установено дали са починали вследствие на действията на Турция</w:t>
      </w:r>
      <w:r w:rsidR="001300C2">
        <w:t>;</w:t>
      </w:r>
      <w:r w:rsidR="009D2DA4">
        <w:t xml:space="preserve"> следователно за тези хора не може да се подава </w:t>
      </w:r>
      <w:r w:rsidR="001300C2">
        <w:t>иск</w:t>
      </w:r>
      <w:r w:rsidR="009D2DA4">
        <w:t>. От друга страна Правителството жалбоподател настоява за факт</w:t>
      </w:r>
      <w:r w:rsidR="001300C2">
        <w:t>ологична</w:t>
      </w:r>
      <w:r w:rsidR="009D2DA4">
        <w:t xml:space="preserve"> точност на наличния списък с безследно изчезнали лица, като турската страна никога не е възразявала срещу истинността му. Следователно исканото справедливо обезщетение е за 1 456 лица.</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49</w:t>
      </w:r>
      <w:r>
        <w:rPr>
          <w:noProof/>
        </w:rPr>
        <w:fldChar w:fldCharType="end"/>
      </w:r>
      <w:r w:rsidR="00186F4A">
        <w:t>.  В сво</w:t>
      </w:r>
      <w:r w:rsidR="001300C2">
        <w:t>е</w:t>
      </w:r>
      <w:r w:rsidR="00186F4A">
        <w:t>т</w:t>
      </w:r>
      <w:r w:rsidR="004D0707">
        <w:t>о</w:t>
      </w:r>
      <w:r w:rsidR="00186F4A">
        <w:t xml:space="preserve"> първоначалн</w:t>
      </w:r>
      <w:r w:rsidR="001300C2">
        <w:t>о</w:t>
      </w:r>
      <w:r w:rsidR="00186F4A">
        <w:t xml:space="preserve"> становищ</w:t>
      </w:r>
      <w:r w:rsidR="001300C2">
        <w:t>е</w:t>
      </w:r>
      <w:r w:rsidR="00186F4A">
        <w:t xml:space="preserve"> </w:t>
      </w:r>
      <w:r w:rsidR="001300C2">
        <w:t>П</w:t>
      </w:r>
      <w:r w:rsidR="00186F4A">
        <w:t xml:space="preserve">равителството на Кипър иска сума в размер на 12 000 евро за </w:t>
      </w:r>
      <w:r w:rsidR="008E681B">
        <w:t xml:space="preserve">всяко </w:t>
      </w:r>
      <w:r w:rsidR="00186F4A">
        <w:t xml:space="preserve">изчезнало лице, която сума отговаря на присъдената от Съда по делото </w:t>
      </w:r>
      <w:r w:rsidR="00186F4A">
        <w:rPr>
          <w:i/>
        </w:rPr>
        <w:t>Varnava and Others v. Turkey</w:t>
      </w:r>
      <w:r w:rsidR="00186F4A">
        <w:t>. В окончателния текст на становищ</w:t>
      </w:r>
      <w:r w:rsidR="008E681B">
        <w:t>е</w:t>
      </w:r>
      <w:r w:rsidR="00186F4A">
        <w:t>т</w:t>
      </w:r>
      <w:r w:rsidR="008E681B">
        <w:t>о</w:t>
      </w:r>
      <w:r w:rsidR="00186F4A">
        <w:t xml:space="preserve"> си </w:t>
      </w:r>
      <w:r w:rsidR="008E681B">
        <w:t>П</w:t>
      </w:r>
      <w:r w:rsidR="00186F4A">
        <w:t>равителството оттегл</w:t>
      </w:r>
      <w:r w:rsidR="008E681B">
        <w:t>я</w:t>
      </w:r>
      <w:r w:rsidR="00186F4A">
        <w:t xml:space="preserve"> това искане и вместо това иска от Съда да присъди справедливо обезщетение „по стандартна ставка съгласно принципите на равнопоставеност“. В тази връзка </w:t>
      </w:r>
      <w:r w:rsidR="008E681B">
        <w:t>П</w:t>
      </w:r>
      <w:r w:rsidR="00186F4A">
        <w:t xml:space="preserve">равителството на Кипър счита, че сумата от 12 000 евро, присъдена по делото </w:t>
      </w:r>
      <w:r w:rsidR="00186F4A">
        <w:rPr>
          <w:i/>
        </w:rPr>
        <w:t>Varnava</w:t>
      </w:r>
      <w:r w:rsidR="00186F4A">
        <w:t xml:space="preserve">, не отговаря на значително по-високите суми, присъдени по други </w:t>
      </w:r>
      <w:r w:rsidR="008E681B">
        <w:t xml:space="preserve">скорошни </w:t>
      </w:r>
      <w:r w:rsidR="00186F4A">
        <w:t xml:space="preserve">и </w:t>
      </w:r>
      <w:r w:rsidR="0022660E">
        <w:t xml:space="preserve">сходни </w:t>
      </w:r>
      <w:r w:rsidR="00186F4A">
        <w:t xml:space="preserve">по </w:t>
      </w:r>
      <w:r w:rsidR="0022660E">
        <w:t>правната си същност</w:t>
      </w:r>
      <w:r w:rsidR="00186F4A">
        <w:t xml:space="preserve"> дела. Сумите по справедливото обезщетение следва да бъдат присъдени </w:t>
      </w:r>
      <w:r w:rsidR="00186F4A">
        <w:lastRenderedPageBreak/>
        <w:t xml:space="preserve">от Съда на </w:t>
      </w:r>
      <w:r w:rsidR="0022660E">
        <w:t>П</w:t>
      </w:r>
      <w:r w:rsidR="00186F4A">
        <w:t>равителството на Кипър, което след това да ги разпредели между отделните по</w:t>
      </w:r>
      <w:r w:rsidR="00A64878">
        <w:t>търпевш</w:t>
      </w:r>
      <w:r w:rsidR="00186F4A">
        <w:t xml:space="preserve">и, а именно </w:t>
      </w:r>
      <w:r w:rsidR="0022660E">
        <w:t xml:space="preserve">между </w:t>
      </w:r>
      <w:r w:rsidR="00186F4A">
        <w:t>членовете на семействата на безследно изчезналите лица.</w:t>
      </w:r>
    </w:p>
    <w:p w:rsidR="00186F4A" w:rsidRPr="008B347C" w:rsidRDefault="000763E5" w:rsidP="00F44003">
      <w:pPr>
        <w:pStyle w:val="ECHRHeading5"/>
      </w:pPr>
      <w:r>
        <w:t>ii.  Правителството на Турция</w:t>
      </w:r>
    </w:p>
    <w:p w:rsidR="008B347C" w:rsidRPr="008B347C" w:rsidRDefault="00075945" w:rsidP="00F44003">
      <w:pPr>
        <w:pStyle w:val="ECHRPara"/>
        <w:rPr>
          <w:szCs w:val="24"/>
        </w:rPr>
      </w:pPr>
      <w:r>
        <w:fldChar w:fldCharType="begin"/>
      </w:r>
      <w:r>
        <w:instrText xml:space="preserve"> SEQ level0 \*arabic </w:instrText>
      </w:r>
      <w:r>
        <w:fldChar w:fldCharType="separate"/>
      </w:r>
      <w:r w:rsidR="007A52DC">
        <w:rPr>
          <w:noProof/>
        </w:rPr>
        <w:t>50</w:t>
      </w:r>
      <w:r>
        <w:rPr>
          <w:noProof/>
        </w:rPr>
        <w:fldChar w:fldCharType="end"/>
      </w:r>
      <w:r w:rsidR="00186F4A">
        <w:t xml:space="preserve">.  Правителството на Турция </w:t>
      </w:r>
      <w:r w:rsidR="0022660E">
        <w:t>твърди</w:t>
      </w:r>
      <w:r w:rsidR="00186F4A">
        <w:t>, че Съдът не е направил конкретн</w:t>
      </w:r>
      <w:r w:rsidR="0022660E">
        <w:t>а</w:t>
      </w:r>
      <w:r w:rsidR="00186F4A">
        <w:t xml:space="preserve"> констатаци</w:t>
      </w:r>
      <w:r w:rsidR="0022660E">
        <w:t>я</w:t>
      </w:r>
      <w:r w:rsidR="00186F4A">
        <w:t xml:space="preserve"> по отношение на броя на безследно изчезналите лица в решението по </w:t>
      </w:r>
      <w:r w:rsidR="0022660E">
        <w:t>основателността</w:t>
      </w:r>
      <w:r w:rsidR="00186F4A">
        <w:t xml:space="preserve">. Следователно Правителството жалбоподател няма </w:t>
      </w:r>
      <w:r w:rsidR="0022660E">
        <w:t xml:space="preserve">основание </w:t>
      </w:r>
      <w:r w:rsidR="00C55B74">
        <w:t>д</w:t>
      </w:r>
      <w:r w:rsidR="00186F4A">
        <w:t xml:space="preserve">а </w:t>
      </w:r>
      <w:r w:rsidR="00C55B74">
        <w:t>прави</w:t>
      </w:r>
      <w:r w:rsidR="00186F4A">
        <w:t xml:space="preserve"> хипотетични </w:t>
      </w:r>
      <w:r w:rsidR="00C55B74">
        <w:t>искания</w:t>
      </w:r>
      <w:r w:rsidR="00186F4A">
        <w:t xml:space="preserve"> от името на неидентифицирани бенефициери. Роднините на безследно изчезналите лица сега трябва да чакат възобновяване на процесуалното задължение съгласно принципите, залегнали в </w:t>
      </w:r>
      <w:r w:rsidR="00186F4A">
        <w:rPr>
          <w:i/>
        </w:rPr>
        <w:t>Brecknell v. the United Kingdom</w:t>
      </w:r>
      <w:r w:rsidR="00186F4A">
        <w:t xml:space="preserve">, цитирано по-горе. Поради изминалото време, броят на евентуалните бенефициери може да е </w:t>
      </w:r>
      <w:r w:rsidR="004C4569">
        <w:t>различен</w:t>
      </w:r>
      <w:r w:rsidR="00186F4A">
        <w:t>; някои може да са изгубили правен интерес и т.н. Освен това</w:t>
      </w:r>
      <w:r w:rsidR="004C4569">
        <w:t xml:space="preserve"> е</w:t>
      </w:r>
      <w:r w:rsidR="00186F4A">
        <w:t xml:space="preserve"> трудно да се направи прецизн</w:t>
      </w:r>
      <w:r w:rsidR="004C4569">
        <w:t>о</w:t>
      </w:r>
      <w:r w:rsidR="00186F4A">
        <w:t xml:space="preserve"> </w:t>
      </w:r>
      <w:r w:rsidR="004C4569">
        <w:t>изчисление</w:t>
      </w:r>
      <w:r w:rsidR="00186F4A">
        <w:t xml:space="preserve"> на щети</w:t>
      </w:r>
      <w:r w:rsidR="004C4569">
        <w:t>те</w:t>
      </w:r>
      <w:r w:rsidR="00186F4A">
        <w:t>. Ситуацията е утежн</w:t>
      </w:r>
      <w:r w:rsidR="004C4569">
        <w:t>ен</w:t>
      </w:r>
      <w:r w:rsidR="00186F4A">
        <w:t xml:space="preserve">а от липсата на действия в продължение на близо девет години от решението по </w:t>
      </w:r>
      <w:r w:rsidR="00C173CC">
        <w:t>основателността</w:t>
      </w:r>
      <w:r w:rsidR="00186F4A">
        <w:t>, което не може да бъде приписано на Турция.</w:t>
      </w:r>
    </w:p>
    <w:p w:rsidR="00186F4A" w:rsidRPr="008B347C" w:rsidRDefault="009D2DA4" w:rsidP="00F44003">
      <w:pPr>
        <w:pStyle w:val="ECHRHeading4"/>
      </w:pPr>
      <w:r>
        <w:t>б.  Искания във връзка с жителите на полуостров Карпас</w:t>
      </w:r>
    </w:p>
    <w:p w:rsidR="00186F4A" w:rsidRPr="008B347C" w:rsidRDefault="00186F4A" w:rsidP="00F44003">
      <w:pPr>
        <w:pStyle w:val="ECHRHeading5"/>
      </w:pPr>
      <w:r>
        <w:t>i.  Правителството на Кипър</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51</w:t>
      </w:r>
      <w:r>
        <w:rPr>
          <w:noProof/>
        </w:rPr>
        <w:fldChar w:fldCharType="end"/>
      </w:r>
      <w:r w:rsidR="00186F4A">
        <w:t xml:space="preserve">.  В становището си от 18 юни 2012 г. </w:t>
      </w:r>
      <w:r w:rsidR="00C173CC">
        <w:t>П</w:t>
      </w:r>
      <w:r w:rsidR="00186F4A">
        <w:t>равителството на Кипър отправ</w:t>
      </w:r>
      <w:r w:rsidR="00C173CC">
        <w:t>я</w:t>
      </w:r>
      <w:r w:rsidR="00186F4A">
        <w:t xml:space="preserve"> искане за справедливо обезщетение не само във връзка с безследно изчезналите лица, но и във връзка с нарушенията на правата на човека на кипърските гърци на полуостров Карпас, констатирани от Голямата камара. </w:t>
      </w:r>
      <w:r w:rsidR="00C173CC">
        <w:t>Н</w:t>
      </w:r>
      <w:r w:rsidR="00186F4A">
        <w:t xml:space="preserve">овите искания се отнасят </w:t>
      </w:r>
      <w:r w:rsidR="00C173CC">
        <w:t xml:space="preserve">по-точно </w:t>
      </w:r>
      <w:r w:rsidR="00186F4A">
        <w:t>до нарушения</w:t>
      </w:r>
      <w:r w:rsidR="00C173CC">
        <w:t>та</w:t>
      </w:r>
      <w:r w:rsidR="00186F4A">
        <w:t xml:space="preserve"> на членове 3, 8, 9, 10 и 13 от Конвенцията и на чл</w:t>
      </w:r>
      <w:r w:rsidR="00E17DEE">
        <w:t>.</w:t>
      </w:r>
      <w:r w:rsidR="00186F4A">
        <w:t xml:space="preserve"> 2 от Протокол № 1, констатирани от Съда. Правителството на Кипър подчертава, че </w:t>
      </w:r>
      <w:r w:rsidR="00E17DEE">
        <w:t xml:space="preserve">тези </w:t>
      </w:r>
      <w:r w:rsidR="00186F4A">
        <w:t xml:space="preserve">нови искания не </w:t>
      </w:r>
      <w:r w:rsidR="001A6436">
        <w:t>касаят</w:t>
      </w:r>
      <w:r w:rsidR="00186F4A">
        <w:t xml:space="preserve"> нарушаване</w:t>
      </w:r>
      <w:r w:rsidR="001A6436">
        <w:t>то</w:t>
      </w:r>
      <w:r w:rsidR="00186F4A">
        <w:t xml:space="preserve"> на правата на собственост по чл</w:t>
      </w:r>
      <w:r w:rsidR="001A6436">
        <w:t>.</w:t>
      </w:r>
      <w:r w:rsidR="00186F4A">
        <w:t xml:space="preserve"> 1 от Протокол № 1</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52</w:t>
      </w:r>
      <w:r>
        <w:rPr>
          <w:noProof/>
        </w:rPr>
        <w:fldChar w:fldCharType="end"/>
      </w:r>
      <w:r w:rsidR="00186F4A">
        <w:t xml:space="preserve">.  В тази връзка </w:t>
      </w:r>
      <w:r w:rsidR="001A6436">
        <w:t>П</w:t>
      </w:r>
      <w:r w:rsidR="00186F4A">
        <w:t>равителството на Кипър иска следното:</w:t>
      </w:r>
    </w:p>
    <w:p w:rsidR="00186F4A" w:rsidRPr="008B347C" w:rsidRDefault="00186F4A" w:rsidP="00F44003">
      <w:pPr>
        <w:pStyle w:val="ECHRParaQuote"/>
      </w:pPr>
      <w:r>
        <w:t xml:space="preserve">„Предвид факта, че жителите на Карпас не са жертви само на единично и изолирано нарушение (както в случаите, цитирани по-горе), а са жертви на многократни толерирани от държавата и расово мотивирани нарушения в продължение на много години, посочените по-горе критерии биха предложили скромно обезщетение за неимуществени вреди в размер на не по-малко от 50 000 британски лири за </w:t>
      </w:r>
      <w:r w:rsidR="00FB4002">
        <w:t>всяко</w:t>
      </w:r>
      <w:r>
        <w:t xml:space="preserve"> лице. Следва да се припомни заявеното от Съда, че действията на Турция са унизителни и нарушават самото понятие за </w:t>
      </w:r>
      <w:r w:rsidR="00FB4002">
        <w:t xml:space="preserve">зачитане </w:t>
      </w:r>
      <w:r>
        <w:t>достойнство</w:t>
      </w:r>
      <w:r w:rsidR="00FB4002">
        <w:t>то</w:t>
      </w:r>
      <w:r>
        <w:t xml:space="preserve"> на членовете на общността в Карпас.</w:t>
      </w:r>
    </w:p>
    <w:p w:rsidR="00186F4A" w:rsidRPr="008B347C" w:rsidRDefault="000763E5" w:rsidP="00F44003">
      <w:pPr>
        <w:pStyle w:val="ECHRParaQuote"/>
      </w:pPr>
      <w:r>
        <w:t xml:space="preserve">(1)  Съдът следва да </w:t>
      </w:r>
      <w:r w:rsidR="00FB4002">
        <w:t xml:space="preserve">разпореди на </w:t>
      </w:r>
      <w:r>
        <w:t xml:space="preserve">Турция да заплати на Кипър сумата от 50 000 британски лири за всеки кипърски гражданин от гръцки произход, живял на полуостров Карпас в периода между юли 1974 г. и датата на решението на Голямата камара през май 2001 г. (след което Кипър ще разпредели сумата </w:t>
      </w:r>
      <w:r w:rsidR="00791718">
        <w:t>между</w:t>
      </w:r>
      <w:r>
        <w:t xml:space="preserve"> по</w:t>
      </w:r>
      <w:r w:rsidR="00A64878">
        <w:t>търпевш</w:t>
      </w:r>
      <w:r>
        <w:t>ите или техните наследници...);</w:t>
      </w:r>
    </w:p>
    <w:p w:rsidR="00186F4A" w:rsidRPr="00075945" w:rsidRDefault="000763E5" w:rsidP="00F44003">
      <w:pPr>
        <w:pStyle w:val="ECHRParaQuote"/>
      </w:pPr>
      <w:r>
        <w:lastRenderedPageBreak/>
        <w:t xml:space="preserve">(2)  Броят на тези жители трябва да бъде съгласуван между страните в срок от 6 месеца от разпореждането на Съда и, при липсата на споразумение, да се </w:t>
      </w:r>
      <w:r w:rsidR="00791718">
        <w:t>реши</w:t>
      </w:r>
      <w:r>
        <w:t xml:space="preserve"> от председателя на Съда въз основа на писмени доказателства и становища относно броя и местоположението на жителите и техните наследници“</w:t>
      </w:r>
      <w:r w:rsidR="004D024C" w:rsidRPr="00075945">
        <w:t>.</w:t>
      </w:r>
    </w:p>
    <w:p w:rsidR="00186F4A" w:rsidRPr="008B347C" w:rsidRDefault="000763E5" w:rsidP="00F44003">
      <w:pPr>
        <w:pStyle w:val="ECHRHeading5"/>
      </w:pPr>
      <w:r>
        <w:t>ii.  Правителството на Турция</w:t>
      </w:r>
    </w:p>
    <w:p w:rsidR="00186F4A" w:rsidRPr="008B347C" w:rsidRDefault="00075945" w:rsidP="00F44003">
      <w:pPr>
        <w:pStyle w:val="ECHRPara"/>
      </w:pPr>
      <w:r>
        <w:fldChar w:fldCharType="begin"/>
      </w:r>
      <w:r>
        <w:instrText xml:space="preserve"> </w:instrText>
      </w:r>
      <w:r>
        <w:instrText xml:space="preserve">SEQ level0 \*arabic </w:instrText>
      </w:r>
      <w:r>
        <w:fldChar w:fldCharType="separate"/>
      </w:r>
      <w:r w:rsidR="007A52DC">
        <w:rPr>
          <w:noProof/>
        </w:rPr>
        <w:t>53</w:t>
      </w:r>
      <w:r>
        <w:rPr>
          <w:noProof/>
        </w:rPr>
        <w:fldChar w:fldCharType="end"/>
      </w:r>
      <w:r w:rsidR="00186F4A">
        <w:t xml:space="preserve">.  Правителството на Турция подчертава още в началото, че на </w:t>
      </w:r>
      <w:r w:rsidR="00BE6E0A" w:rsidRPr="00075945">
        <w:t>П</w:t>
      </w:r>
      <w:r w:rsidR="00186F4A">
        <w:t>равителството на Кипър отне</w:t>
      </w:r>
      <w:r w:rsidR="00BE6E0A">
        <w:t>ма</w:t>
      </w:r>
      <w:r w:rsidR="00186F4A">
        <w:t xml:space="preserve"> повече от единадесет години от постановяване на основното решение, за да отправи исканията си. Освен това не са положени усилия за определяне на броя на </w:t>
      </w:r>
      <w:r w:rsidR="00BE6E0A">
        <w:t xml:space="preserve">потенциалните </w:t>
      </w:r>
      <w:r w:rsidR="00186F4A">
        <w:t xml:space="preserve">бенефициери. В заключение твърденията на Правителството жалбоподател засягат обстоятелства от 1974 г., </w:t>
      </w:r>
      <w:r w:rsidR="007A5E3F">
        <w:t>док</w:t>
      </w:r>
      <w:r w:rsidR="00186F4A">
        <w:t>ато предишната Комисия е постановила в доклада си, че може да раз</w:t>
      </w:r>
      <w:r w:rsidR="007A5E3F">
        <w:t>глежд</w:t>
      </w:r>
      <w:r w:rsidR="00186F4A">
        <w:t xml:space="preserve">а </w:t>
      </w:r>
      <w:r w:rsidR="007A5E3F">
        <w:t xml:space="preserve">само </w:t>
      </w:r>
      <w:r w:rsidR="00186F4A">
        <w:t xml:space="preserve">твърдения за нарушения, </w:t>
      </w:r>
      <w:r w:rsidR="007A5E3F">
        <w:t xml:space="preserve">за които се предполага, че са </w:t>
      </w:r>
      <w:r w:rsidR="00186F4A">
        <w:t xml:space="preserve">извършени в рамките на шестмесечен </w:t>
      </w:r>
      <w:r w:rsidR="007A5E3F">
        <w:t>срок</w:t>
      </w:r>
      <w:r w:rsidR="00186F4A">
        <w:t xml:space="preserve"> преди датата на подаване на жалбата.</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54</w:t>
      </w:r>
      <w:r>
        <w:rPr>
          <w:noProof/>
        </w:rPr>
        <w:fldChar w:fldCharType="end"/>
      </w:r>
      <w:r w:rsidR="00186F4A">
        <w:t>.  По-нататък Правителството на Турция обясн</w:t>
      </w:r>
      <w:r w:rsidR="00801163">
        <w:t>ява</w:t>
      </w:r>
      <w:r w:rsidR="00186F4A">
        <w:t xml:space="preserve">, че битовите условия в Карпас са </w:t>
      </w:r>
      <w:r w:rsidR="00801163">
        <w:t xml:space="preserve">се </w:t>
      </w:r>
      <w:r w:rsidR="00186F4A">
        <w:t>подобр</w:t>
      </w:r>
      <w:r w:rsidR="00801163">
        <w:t>или</w:t>
      </w:r>
      <w:r w:rsidR="00186F4A">
        <w:t xml:space="preserve"> и че в „СКТР“ съществува функционираща съдебна система, която е достъпна за кипърските гърци, живеещи на Север.</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55</w:t>
      </w:r>
      <w:r>
        <w:rPr>
          <w:noProof/>
        </w:rPr>
        <w:fldChar w:fldCharType="end"/>
      </w:r>
      <w:r w:rsidR="00186F4A">
        <w:t>.  Според правителството на Турция чл</w:t>
      </w:r>
      <w:r w:rsidR="00801163">
        <w:t>.</w:t>
      </w:r>
      <w:r w:rsidR="00186F4A">
        <w:t xml:space="preserve"> 41 не поражда </w:t>
      </w:r>
      <w:r w:rsidR="00186F4A">
        <w:rPr>
          <w:i/>
        </w:rPr>
        <w:t>право</w:t>
      </w:r>
      <w:r w:rsidR="00186F4A">
        <w:t xml:space="preserve"> на справедливо обезщетение, като е налице елемент на </w:t>
      </w:r>
      <w:r w:rsidR="00801163">
        <w:t>преценка</w:t>
      </w:r>
      <w:r w:rsidR="00186F4A">
        <w:t xml:space="preserve"> в самия текст на тази разпоредба. В контекста на настоящото дело Съдът </w:t>
      </w:r>
      <w:r w:rsidR="00212140">
        <w:t>трябва</w:t>
      </w:r>
      <w:r w:rsidR="00186F4A">
        <w:t xml:space="preserve"> </w:t>
      </w:r>
      <w:r w:rsidR="00212140">
        <w:t xml:space="preserve">да </w:t>
      </w:r>
      <w:r w:rsidR="00186F4A">
        <w:t>взе</w:t>
      </w:r>
      <w:r w:rsidR="00212140">
        <w:t>ме</w:t>
      </w:r>
      <w:r w:rsidR="00186F4A">
        <w:t xml:space="preserve"> предвид текущата процедура на </w:t>
      </w:r>
      <w:r w:rsidR="00212140">
        <w:t xml:space="preserve">изпълнение </w:t>
      </w:r>
      <w:r w:rsidR="00186F4A">
        <w:t>пред Комитета на министрите. Накрая Конвенцията не гарантира право на наказателно обезщетение</w:t>
      </w:r>
      <w:r w:rsidR="00212140">
        <w:t>;</w:t>
      </w:r>
      <w:r w:rsidR="00186F4A">
        <w:t xml:space="preserve"> Съдът последователно </w:t>
      </w:r>
      <w:r w:rsidR="00212140">
        <w:t xml:space="preserve">е </w:t>
      </w:r>
      <w:r w:rsidR="00186F4A">
        <w:t>отхвърля</w:t>
      </w:r>
      <w:r w:rsidR="00212140">
        <w:t>л</w:t>
      </w:r>
      <w:r w:rsidR="00186F4A">
        <w:t xml:space="preserve"> подобни жалби. В настоящия случай Правителството ответник счита, че Съдът следва да реши, че констат</w:t>
      </w:r>
      <w:r w:rsidR="004F0C33">
        <w:t>ацията</w:t>
      </w:r>
      <w:r w:rsidR="00186F4A">
        <w:t xml:space="preserve"> </w:t>
      </w:r>
      <w:r w:rsidR="004F0C33">
        <w:t>з</w:t>
      </w:r>
      <w:r w:rsidR="00186F4A">
        <w:t xml:space="preserve">а нарушение в решението по </w:t>
      </w:r>
      <w:r w:rsidR="004F0C33">
        <w:t>основателност</w:t>
      </w:r>
      <w:r w:rsidR="00186F4A">
        <w:t xml:space="preserve"> предлага достатъчно обезщетение.</w:t>
      </w:r>
    </w:p>
    <w:p w:rsidR="00186F4A" w:rsidRPr="008B347C" w:rsidRDefault="009D2DA4" w:rsidP="00F44003">
      <w:pPr>
        <w:pStyle w:val="ECHRHeading3"/>
      </w:pPr>
      <w:r>
        <w:t>2.  Преценката на Съда</w:t>
      </w:r>
    </w:p>
    <w:p w:rsidR="00E662D6" w:rsidRPr="008B347C" w:rsidRDefault="009D2DA4" w:rsidP="00F44003">
      <w:pPr>
        <w:pStyle w:val="ECHRPara"/>
        <w:rPr>
          <w:szCs w:val="24"/>
        </w:rPr>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56</w:t>
      </w:r>
      <w:r w:rsidRPr="008B347C">
        <w:rPr>
          <w:szCs w:val="24"/>
        </w:rPr>
        <w:fldChar w:fldCharType="end"/>
      </w:r>
      <w:r>
        <w:t xml:space="preserve">.  Съдът повтаря общото си становище по делото </w:t>
      </w:r>
      <w:r>
        <w:rPr>
          <w:i/>
        </w:rPr>
        <w:t>Varnava and Others</w:t>
      </w:r>
      <w:r>
        <w:t>, цитирано по-горе</w:t>
      </w:r>
      <w:r w:rsidR="00AB7566">
        <w:t>,</w:t>
      </w:r>
      <w:r>
        <w:t xml:space="preserve"> което се отнася също така до присъждане</w:t>
      </w:r>
      <w:r w:rsidR="00AB7566">
        <w:t>то</w:t>
      </w:r>
      <w:r>
        <w:t xml:space="preserve"> на обезщетения за </w:t>
      </w:r>
      <w:r w:rsidR="00AB7566">
        <w:t>вреди</w:t>
      </w:r>
      <w:r>
        <w:t xml:space="preserve"> по междудържавно дело </w:t>
      </w:r>
      <w:r w:rsidRPr="0057478C">
        <w:t>(</w:t>
      </w:r>
      <w:r w:rsidRPr="00AC07A8">
        <w:t>пак там</w:t>
      </w:r>
      <w:r w:rsidRPr="0057478C">
        <w:t>,</w:t>
      </w:r>
      <w:r>
        <w:t xml:space="preserve"> § 224):</w:t>
      </w:r>
    </w:p>
    <w:p w:rsidR="00627AE8" w:rsidRPr="008B347C" w:rsidRDefault="000B7833" w:rsidP="00F44003">
      <w:pPr>
        <w:pStyle w:val="ECHRParaQuote"/>
        <w:rPr>
          <w:szCs w:val="24"/>
        </w:rPr>
      </w:pPr>
      <w:r>
        <w:t xml:space="preserve">„Съдът отбелязва, че не е налице изрична разпоредба за неимуществени или морални вреди. Като търпи развитие с всяко отделно дело, подходът на Съда при присъждане на справедливо обезщетение разграничава ситуации, при които жалбоподателят е претърпял очевидна травма, без значение дали физическа или психическа, болка и страдание, стрес, тревога, неудовлетвореност, чувство на несправедливост или унижение, продължителна несигурност, </w:t>
      </w:r>
      <w:r w:rsidR="00996374">
        <w:t>жизнени сътресения</w:t>
      </w:r>
      <w:r>
        <w:t xml:space="preserve"> или реална загуба на възможност … и ситуации, при които общественото възмездие за понесените от жалбоподателя вреди, </w:t>
      </w:r>
      <w:r w:rsidR="00996374">
        <w:t xml:space="preserve">изразено </w:t>
      </w:r>
      <w:r>
        <w:t xml:space="preserve">в решение със задължителен за Високогодоговарящата държава характер, само по себе си представлява съществена форма на обезщетение. В много случаи, в които </w:t>
      </w:r>
      <w:r w:rsidR="00996374">
        <w:t xml:space="preserve">е констатирано, че </w:t>
      </w:r>
      <w:r>
        <w:t>законът, процедурите или практиките не отговарят на нормите на Конвенцията, това е достатъчно, за да се уреди въпрос</w:t>
      </w:r>
      <w:r w:rsidR="003C27F8">
        <w:t>ът</w:t>
      </w:r>
      <w:r>
        <w:t xml:space="preserve">. ... Въпреки това в някои ситуации въздействието на нарушението може да се счита по същество и </w:t>
      </w:r>
      <w:r>
        <w:lastRenderedPageBreak/>
        <w:t xml:space="preserve">степен дотолкова значително посегателство върху моралното благосъстояние на жалбоподателя, че да е необходимо нещо повече. Подобни елементи не се поддават на изчисление или </w:t>
      </w:r>
      <w:r w:rsidR="003C27F8">
        <w:t>точно</w:t>
      </w:r>
      <w:r>
        <w:t xml:space="preserve"> количеств</w:t>
      </w:r>
      <w:r w:rsidR="003C27F8">
        <w:t>ен</w:t>
      </w:r>
      <w:r>
        <w:t>о</w:t>
      </w:r>
      <w:r w:rsidR="003C27F8">
        <w:t xml:space="preserve"> измерване</w:t>
      </w:r>
      <w:r>
        <w:t xml:space="preserve">. Също така </w:t>
      </w:r>
      <w:r w:rsidR="003F50E6">
        <w:t xml:space="preserve">ролята на </w:t>
      </w:r>
      <w:r>
        <w:t xml:space="preserve">Съда </w:t>
      </w:r>
      <w:r w:rsidR="003F50E6">
        <w:t xml:space="preserve">не е </w:t>
      </w:r>
      <w:r>
        <w:t>да функционира подобно на вътрешен механизъм</w:t>
      </w:r>
      <w:r w:rsidR="0057478C">
        <w:t xml:space="preserve"> за обезщетение при непозволено увреждане</w:t>
      </w:r>
      <w:r>
        <w:t xml:space="preserve">, който разпределя вината и обезщетенията между гражданските страни. Неговият водещ принцип е справедливост, която преди всичко включва гъвкавост и обективна преценка на справедливото, честното и основателното във всички обстоятелства по делото, </w:t>
      </w:r>
      <w:r w:rsidR="00F2135E">
        <w:t xml:space="preserve">което включва </w:t>
      </w:r>
      <w:r>
        <w:t>не само позицията на жалбоподателя, но и цялостния контекст на възникване на нарушението. Присъ</w:t>
      </w:r>
      <w:r w:rsidR="00F2135E">
        <w:t>ждането</w:t>
      </w:r>
      <w:r>
        <w:t xml:space="preserve"> на неимуществени вреди служ</w:t>
      </w:r>
      <w:r w:rsidR="00F2135E">
        <w:t>и</w:t>
      </w:r>
      <w:r>
        <w:t xml:space="preserve"> за признание на факта, че моралните вреди са понесени в резултат на нарушаване на основно човешко право и отразяват в най-широк аспект тежестта на щетите; те </w:t>
      </w:r>
      <w:r w:rsidR="00F2135E">
        <w:t>нямат</w:t>
      </w:r>
      <w:r>
        <w:t xml:space="preserve"> и не би следвало да </w:t>
      </w:r>
      <w:r w:rsidR="00F2135E">
        <w:t>имат за цел</w:t>
      </w:r>
      <w:r>
        <w:t xml:space="preserve"> да осигурят финансово удобство или прилично обогатяване за сметка на съответната Високодоговаряща страна.“</w:t>
      </w:r>
    </w:p>
    <w:p w:rsidR="008E6AE7" w:rsidRPr="008B347C" w:rsidRDefault="008E6AE7" w:rsidP="00F44003">
      <w:pPr>
        <w:pStyle w:val="ECHRPara"/>
        <w:rPr>
          <w:szCs w:val="24"/>
        </w:rPr>
      </w:pPr>
      <w:r>
        <w:t>Съдът също така подчерта</w:t>
      </w:r>
      <w:r w:rsidR="00830C74">
        <w:t>ва</w:t>
      </w:r>
      <w:r>
        <w:t xml:space="preserve">, че „жалбоподателите [по това дело] е трябва[ло] да живеят в неизвестност в продължение на десетилетия, което </w:t>
      </w:r>
      <w:r w:rsidR="006B7CEB">
        <w:t xml:space="preserve">сигурно </w:t>
      </w:r>
      <w:r>
        <w:t>ги е белязало дълбоко ” (</w:t>
      </w:r>
      <w:r w:rsidRPr="00AC07A8">
        <w:t>пак там</w:t>
      </w:r>
      <w:r w:rsidRPr="002A3A5D">
        <w:t>,</w:t>
      </w:r>
      <w:r>
        <w:t> § 225).</w:t>
      </w:r>
    </w:p>
    <w:p w:rsidR="008B347C" w:rsidRPr="008B347C" w:rsidRDefault="00DC705F" w:rsidP="00F44003">
      <w:pPr>
        <w:pStyle w:val="ECHRPara"/>
      </w:pPr>
      <w:r w:rsidRPr="008B347C">
        <w:rPr>
          <w:szCs w:val="24"/>
        </w:rPr>
        <w:fldChar w:fldCharType="begin"/>
      </w:r>
      <w:r w:rsidRPr="008B347C">
        <w:rPr>
          <w:szCs w:val="24"/>
        </w:rPr>
        <w:instrText xml:space="preserve"> SEQ level0 \*arabic </w:instrText>
      </w:r>
      <w:r w:rsidRPr="008B347C">
        <w:rPr>
          <w:szCs w:val="24"/>
        </w:rPr>
        <w:fldChar w:fldCharType="separate"/>
      </w:r>
      <w:r w:rsidR="007A52DC">
        <w:rPr>
          <w:noProof/>
          <w:szCs w:val="24"/>
        </w:rPr>
        <w:t>57</w:t>
      </w:r>
      <w:r w:rsidRPr="008B347C">
        <w:rPr>
          <w:szCs w:val="24"/>
        </w:rPr>
        <w:fldChar w:fldCharType="end"/>
      </w:r>
      <w:r>
        <w:t>.  Към това Съдът може само да допълни, че няма съмнение относно продължителните чувства на безпомощност, стрес и тревога от страна на жителите на Карпас, чиито права по членове 3, 8, 9, 10 и 13 от Конвенцията и чл</w:t>
      </w:r>
      <w:r w:rsidR="006B7CEB">
        <w:t>.</w:t>
      </w:r>
      <w:r>
        <w:t xml:space="preserve"> 2 от Протокол № 1 са нарушени, което е констатирано в основното решение.</w:t>
      </w:r>
    </w:p>
    <w:p w:rsidR="00E662D6" w:rsidRPr="008B347C" w:rsidRDefault="00DC705F" w:rsidP="00F44003">
      <w:pPr>
        <w:pStyle w:val="ECHRPara"/>
        <w:rPr>
          <w:rStyle w:val="JuParaChar"/>
        </w:rPr>
      </w:pPr>
      <w:r w:rsidRPr="008B347C">
        <w:rPr>
          <w:rStyle w:val="JuParaChar"/>
        </w:rPr>
        <w:fldChar w:fldCharType="begin"/>
      </w:r>
      <w:r w:rsidRPr="008B347C">
        <w:rPr>
          <w:rStyle w:val="JuParaChar"/>
        </w:rPr>
        <w:instrText xml:space="preserve"> SEQ level0 \*arabic </w:instrText>
      </w:r>
      <w:r w:rsidRPr="008B347C">
        <w:rPr>
          <w:rStyle w:val="JuParaChar"/>
        </w:rPr>
        <w:fldChar w:fldCharType="separate"/>
      </w:r>
      <w:r w:rsidR="007A52DC">
        <w:rPr>
          <w:rStyle w:val="JuParaChar"/>
          <w:noProof/>
        </w:rPr>
        <w:t>58</w:t>
      </w:r>
      <w:r w:rsidRPr="008B347C">
        <w:rPr>
          <w:rStyle w:val="JuParaChar"/>
        </w:rPr>
        <w:fldChar w:fldCharType="end"/>
      </w:r>
      <w:r>
        <w:rPr>
          <w:rStyle w:val="JuParaChar"/>
        </w:rPr>
        <w:t xml:space="preserve">.  С оглед на обстоятелствата по делото </w:t>
      </w:r>
      <w:r>
        <w:t xml:space="preserve">и </w:t>
      </w:r>
      <w:r w:rsidR="00C06DAA">
        <w:t>като отсъжда</w:t>
      </w:r>
      <w:r>
        <w:t xml:space="preserve"> по справедливост, Съдът счита за основателно на </w:t>
      </w:r>
      <w:r w:rsidR="00C06DAA">
        <w:t>П</w:t>
      </w:r>
      <w:r>
        <w:t xml:space="preserve">равителството на Кипър да се </w:t>
      </w:r>
      <w:r w:rsidR="00C06DAA">
        <w:t xml:space="preserve">присъди </w:t>
      </w:r>
      <w:r>
        <w:t>сборната сума от 30 000 000 евро за неимуществени вреди, причинени на оцелелите роднини на безследно изчезналите лица, както и 60 000 000 евро за неимуществени вреди, понесени от жители</w:t>
      </w:r>
      <w:r w:rsidR="00D34A26">
        <w:t>те</w:t>
      </w:r>
      <w:r>
        <w:t xml:space="preserve"> </w:t>
      </w:r>
      <w:r w:rsidR="00D34A26">
        <w:t xml:space="preserve">в анклава </w:t>
      </w:r>
      <w:r>
        <w:t xml:space="preserve">на полуостров Карпас, плюс </w:t>
      </w:r>
      <w:r>
        <w:rPr>
          <w:rStyle w:val="JuParaChar"/>
        </w:rPr>
        <w:t xml:space="preserve">таксите, които могат </w:t>
      </w:r>
      <w:r w:rsidR="00D34A26">
        <w:rPr>
          <w:rStyle w:val="JuParaChar"/>
        </w:rPr>
        <w:t>д</w:t>
      </w:r>
      <w:r>
        <w:rPr>
          <w:rStyle w:val="JuParaChar"/>
        </w:rPr>
        <w:t xml:space="preserve">а бъдат начислени върху тези суми. Посочените по-горе суми следва да бъдат разпределени от Правителството жалбоподател </w:t>
      </w:r>
      <w:r w:rsidR="00D34A26">
        <w:rPr>
          <w:rStyle w:val="JuParaChar"/>
        </w:rPr>
        <w:t>между</w:t>
      </w:r>
      <w:r>
        <w:rPr>
          <w:rStyle w:val="JuParaChar"/>
        </w:rPr>
        <w:t xml:space="preserve"> отделните по</w:t>
      </w:r>
      <w:r w:rsidR="007141BD">
        <w:rPr>
          <w:rStyle w:val="JuParaChar"/>
        </w:rPr>
        <w:t>търпевши</w:t>
      </w:r>
      <w:r>
        <w:rPr>
          <w:rStyle w:val="JuParaChar"/>
        </w:rPr>
        <w:t xml:space="preserve"> от нарушенията, констатирани в основното решение по тези две части (вж., </w:t>
      </w:r>
      <w:r>
        <w:rPr>
          <w:rStyle w:val="JuParaChar"/>
          <w:i/>
        </w:rPr>
        <w:t>mutatis mutandis</w:t>
      </w:r>
      <w:r>
        <w:rPr>
          <w:rStyle w:val="JuParaChar"/>
        </w:rPr>
        <w:t xml:space="preserve">, решението на Международния съд по делото </w:t>
      </w:r>
      <w:r>
        <w:rPr>
          <w:rStyle w:val="JuParaChar"/>
          <w:i/>
        </w:rPr>
        <w:t>Diallo (Обезщетение)</w:t>
      </w:r>
      <w:r>
        <w:rPr>
          <w:rStyle w:val="JuParaChar"/>
        </w:rPr>
        <w:t xml:space="preserve">, цитирано по-горе, </w:t>
      </w:r>
      <w:r>
        <w:rPr>
          <w:rStyle w:val="JuParaChar"/>
          <w:i/>
        </w:rPr>
        <w:t>loc.cit.</w:t>
      </w:r>
      <w:r>
        <w:rPr>
          <w:rStyle w:val="JuParaChar"/>
        </w:rPr>
        <w:t>).</w:t>
      </w:r>
    </w:p>
    <w:p w:rsidR="008B347C" w:rsidRPr="008B347C" w:rsidRDefault="00E662D6" w:rsidP="00F44003">
      <w:pPr>
        <w:pStyle w:val="ECHRPara"/>
        <w:rPr>
          <w:szCs w:val="24"/>
        </w:rPr>
      </w:pPr>
      <w:r w:rsidRPr="008B347C">
        <w:rPr>
          <w:rStyle w:val="JuParaChar"/>
        </w:rPr>
        <w:fldChar w:fldCharType="begin"/>
      </w:r>
      <w:r w:rsidRPr="008B347C">
        <w:rPr>
          <w:rStyle w:val="JuParaChar"/>
        </w:rPr>
        <w:instrText xml:space="preserve"> SEQ level0 \*arabic </w:instrText>
      </w:r>
      <w:r w:rsidRPr="008B347C">
        <w:rPr>
          <w:rStyle w:val="JuParaChar"/>
        </w:rPr>
        <w:fldChar w:fldCharType="separate"/>
      </w:r>
      <w:r w:rsidR="007A52DC">
        <w:rPr>
          <w:rStyle w:val="JuParaChar"/>
          <w:noProof/>
        </w:rPr>
        <w:t>59</w:t>
      </w:r>
      <w:r w:rsidRPr="008B347C">
        <w:rPr>
          <w:rStyle w:val="JuParaChar"/>
        </w:rPr>
        <w:fldChar w:fldCharType="end"/>
      </w:r>
      <w:r>
        <w:rPr>
          <w:rStyle w:val="JuParaChar"/>
        </w:rPr>
        <w:t>.  По-нататък Съдът припомня, че съгласно чл</w:t>
      </w:r>
      <w:r w:rsidR="00D34A26">
        <w:rPr>
          <w:rStyle w:val="JuParaChar"/>
        </w:rPr>
        <w:t>.</w:t>
      </w:r>
      <w:r>
        <w:rPr>
          <w:rStyle w:val="JuParaChar"/>
        </w:rPr>
        <w:t xml:space="preserve"> 46 § 2 от Конвенцията Комитет</w:t>
      </w:r>
      <w:r w:rsidR="00D34A26">
        <w:rPr>
          <w:rStyle w:val="JuParaChar"/>
        </w:rPr>
        <w:t>ът</w:t>
      </w:r>
      <w:r>
        <w:rPr>
          <w:rStyle w:val="JuParaChar"/>
        </w:rPr>
        <w:t xml:space="preserve"> на министрите осъществява наблюдение </w:t>
      </w:r>
      <w:r w:rsidR="002926FB">
        <w:rPr>
          <w:rStyle w:val="JuParaChar"/>
        </w:rPr>
        <w:t>върху</w:t>
      </w:r>
      <w:r>
        <w:rPr>
          <w:rStyle w:val="JuParaChar"/>
        </w:rPr>
        <w:t xml:space="preserve"> изпълнението на решенията на Съда. </w:t>
      </w:r>
      <w:r>
        <w:t xml:space="preserve">В конкретните обстоятелства по делото Съдът счита, </w:t>
      </w:r>
      <w:r w:rsidR="002926FB">
        <w:t>че П</w:t>
      </w:r>
      <w:r>
        <w:t>равителството на Кипър, под надзора на Комитета на министрите, трябва да създаде ефективен механизъм за разп</w:t>
      </w:r>
      <w:r w:rsidR="002926FB">
        <w:t>ред</w:t>
      </w:r>
      <w:r>
        <w:t>е</w:t>
      </w:r>
      <w:r w:rsidR="002926FB">
        <w:t>ле</w:t>
      </w:r>
      <w:r>
        <w:t>ние на посочените по-горе суми на вс</w:t>
      </w:r>
      <w:r w:rsidR="002A3A5D">
        <w:t>ич</w:t>
      </w:r>
      <w:r>
        <w:t>ки по</w:t>
      </w:r>
      <w:r w:rsidR="00BE33FF">
        <w:t>търпевш</w:t>
      </w:r>
      <w:r w:rsidR="002A3A5D">
        <w:t>и</w:t>
      </w:r>
      <w:r>
        <w:t xml:space="preserve">. Разпределението трябва да се извърши в </w:t>
      </w:r>
      <w:r w:rsidR="002A3A5D">
        <w:t>срок от</w:t>
      </w:r>
      <w:r>
        <w:t xml:space="preserve"> осемнадесет месеца от датата на изплащане на сумата от страна на Правителството ответник или в рамките на друг </w:t>
      </w:r>
      <w:r w:rsidR="002A3A5D">
        <w:t>срок</w:t>
      </w:r>
      <w:r>
        <w:t>, който Комитет</w:t>
      </w:r>
      <w:r w:rsidR="002A3A5D">
        <w:t>ът</w:t>
      </w:r>
      <w:r>
        <w:t xml:space="preserve"> на министрите счете за уместен.</w:t>
      </w:r>
    </w:p>
    <w:p w:rsidR="00186F4A" w:rsidRPr="008B347C" w:rsidRDefault="00186F4A" w:rsidP="00F44003">
      <w:pPr>
        <w:pStyle w:val="ECHRHeading2"/>
      </w:pPr>
      <w:r>
        <w:lastRenderedPageBreak/>
        <w:t>В.</w:t>
      </w:r>
      <w:r>
        <w:tab/>
        <w:t>Лихва за забава</w:t>
      </w:r>
    </w:p>
    <w:p w:rsidR="00186F4A" w:rsidRPr="008B347C" w:rsidRDefault="00075945" w:rsidP="00F44003">
      <w:pPr>
        <w:pStyle w:val="ECHRPara"/>
      </w:pPr>
      <w:r>
        <w:fldChar w:fldCharType="begin"/>
      </w:r>
      <w:r>
        <w:instrText xml:space="preserve"> SEQ level0 \*arabic </w:instrText>
      </w:r>
      <w:r>
        <w:fldChar w:fldCharType="separate"/>
      </w:r>
      <w:r w:rsidR="007A52DC">
        <w:rPr>
          <w:noProof/>
        </w:rPr>
        <w:t>60</w:t>
      </w:r>
      <w:r>
        <w:rPr>
          <w:noProof/>
        </w:rPr>
        <w:fldChar w:fldCharType="end"/>
      </w:r>
      <w:r w:rsidR="00186F4A">
        <w:t xml:space="preserve">.  Съдът счита за уместно лихвата за забава да </w:t>
      </w:r>
      <w:r w:rsidR="00493F8D">
        <w:t>се изчисли</w:t>
      </w:r>
      <w:r w:rsidR="00186F4A">
        <w:t xml:space="preserve"> </w:t>
      </w:r>
      <w:r w:rsidR="00493F8D">
        <w:t xml:space="preserve">на основата на пределния </w:t>
      </w:r>
      <w:r w:rsidR="00186F4A">
        <w:t xml:space="preserve">лихвен процент по заеми на Европейската централна банка </w:t>
      </w:r>
      <w:r w:rsidR="00493F8D">
        <w:t>с</w:t>
      </w:r>
      <w:r w:rsidR="00186F4A">
        <w:t xml:space="preserve"> добав</w:t>
      </w:r>
      <w:r w:rsidR="00493F8D">
        <w:t>ени</w:t>
      </w:r>
      <w:r w:rsidR="00186F4A">
        <w:t xml:space="preserve"> три процентни пункта.</w:t>
      </w:r>
    </w:p>
    <w:p w:rsidR="00186F4A" w:rsidRPr="008B347C" w:rsidRDefault="00186F4A" w:rsidP="00F44003">
      <w:pPr>
        <w:pStyle w:val="ECHRHeading1"/>
      </w:pPr>
      <w:r>
        <w:t>II.  </w:t>
      </w:r>
      <w:r w:rsidR="00FB34DC">
        <w:t xml:space="preserve">ИСК </w:t>
      </w:r>
      <w:r>
        <w:t>ОТ СТРАНА НА ПРАВИТЕЛСТВОТО НА КИПЪР ЗА „УСТАНОВИТЕЛНО СЪДЕБНО РЕШЕНИЕ“</w:t>
      </w:r>
    </w:p>
    <w:p w:rsidR="008B347C" w:rsidRPr="008B347C" w:rsidRDefault="00075945" w:rsidP="00F44003">
      <w:pPr>
        <w:pStyle w:val="ECHRPara"/>
      </w:pPr>
      <w:r>
        <w:fldChar w:fldCharType="begin"/>
      </w:r>
      <w:r>
        <w:instrText xml:space="preserve"> SEQ level0 \*arabic </w:instrText>
      </w:r>
      <w:r>
        <w:fldChar w:fldCharType="separate"/>
      </w:r>
      <w:r w:rsidR="007A52DC">
        <w:rPr>
          <w:noProof/>
        </w:rPr>
        <w:t>61</w:t>
      </w:r>
      <w:r>
        <w:rPr>
          <w:noProof/>
        </w:rPr>
        <w:fldChar w:fldCharType="end"/>
      </w:r>
      <w:r w:rsidR="00186F4A">
        <w:t xml:space="preserve">.  В </w:t>
      </w:r>
      <w:r w:rsidR="00385F99">
        <w:t xml:space="preserve">жалбата </w:t>
      </w:r>
      <w:r w:rsidR="00186F4A">
        <w:t>си от 25 ноември 2011 г. правителството на Кипър отправя искане към Съда за приемане на „установително съдебно решение“, като заявява:</w:t>
      </w:r>
    </w:p>
    <w:p w:rsidR="00186F4A" w:rsidRPr="008B347C" w:rsidRDefault="000763E5" w:rsidP="00F44003">
      <w:pPr>
        <w:pStyle w:val="ECHRParaQuote"/>
      </w:pPr>
      <w:r>
        <w:t>„(i)  че съгласно разпоредбите на чл</w:t>
      </w:r>
      <w:r w:rsidR="00385F99">
        <w:t>.</w:t>
      </w:r>
      <w:r>
        <w:t xml:space="preserve"> 46 Турция трябва да се съобрази с решението по делото </w:t>
      </w:r>
      <w:r>
        <w:rPr>
          <w:i/>
        </w:rPr>
        <w:t>Cyprus ν Turkey</w:t>
      </w:r>
      <w:r>
        <w:t>, като се въздържа от разрешаване, участие или съ</w:t>
      </w:r>
      <w:r w:rsidR="00FE0AF7" w:rsidRPr="00075945">
        <w:t>гласие</w:t>
      </w:r>
      <w:r>
        <w:t xml:space="preserve">, или </w:t>
      </w:r>
      <w:r w:rsidR="00FE0AF7">
        <w:t>съ</w:t>
      </w:r>
      <w:r>
        <w:t xml:space="preserve">участие по друг начин в незаконната разпродажба и използване на домовете </w:t>
      </w:r>
      <w:r w:rsidR="001A5D71">
        <w:t xml:space="preserve">и имуществото </w:t>
      </w:r>
      <w:r>
        <w:t>на кипърските гърци в северната част на Кипър;</w:t>
      </w:r>
    </w:p>
    <w:p w:rsidR="00186F4A" w:rsidRPr="008B347C" w:rsidRDefault="000763E5" w:rsidP="00F44003">
      <w:pPr>
        <w:pStyle w:val="ECHRParaQuote"/>
      </w:pPr>
      <w:r>
        <w:t>(ii)  че това задължение, което възниква по чл</w:t>
      </w:r>
      <w:r w:rsidR="001A5D71">
        <w:t>.</w:t>
      </w:r>
      <w:r>
        <w:t xml:space="preserve"> 46</w:t>
      </w:r>
      <w:r w:rsidR="001A5D71">
        <w:t>,</w:t>
      </w:r>
      <w:r>
        <w:t xml:space="preserve"> не отпада с решението на Съда за допустимост по делото </w:t>
      </w:r>
      <w:r>
        <w:rPr>
          <w:i/>
        </w:rPr>
        <w:t>Demopoulos</w:t>
      </w:r>
      <w:r>
        <w:t>.“</w:t>
      </w:r>
    </w:p>
    <w:p w:rsidR="00870C7F" w:rsidRPr="008B347C" w:rsidRDefault="00870C7F" w:rsidP="00F44003">
      <w:pPr>
        <w:pStyle w:val="ECHRPara"/>
        <w:rPr>
          <w:rStyle w:val="JuParaChar"/>
        </w:rPr>
      </w:pPr>
      <w:r w:rsidRPr="008B347C">
        <w:rPr>
          <w:rStyle w:val="JuParaChar"/>
        </w:rPr>
        <w:fldChar w:fldCharType="begin"/>
      </w:r>
      <w:r w:rsidRPr="008B347C">
        <w:rPr>
          <w:rStyle w:val="JuParaChar"/>
        </w:rPr>
        <w:instrText xml:space="preserve"> SEQ level0 \*arabic </w:instrText>
      </w:r>
      <w:r w:rsidRPr="008B347C">
        <w:rPr>
          <w:rStyle w:val="JuParaChar"/>
        </w:rPr>
        <w:fldChar w:fldCharType="separate"/>
      </w:r>
      <w:r w:rsidR="007A52DC">
        <w:rPr>
          <w:rStyle w:val="JuParaChar"/>
          <w:noProof/>
        </w:rPr>
        <w:t>62</w:t>
      </w:r>
      <w:r w:rsidRPr="008B347C">
        <w:rPr>
          <w:rStyle w:val="JuParaChar"/>
        </w:rPr>
        <w:fldChar w:fldCharType="end"/>
      </w:r>
      <w:r>
        <w:rPr>
          <w:rStyle w:val="JuParaChar"/>
        </w:rPr>
        <w:t>.  Съдът отбелязва, че държавата ответник има задължение по чл</w:t>
      </w:r>
      <w:r w:rsidR="00840645">
        <w:rPr>
          <w:rStyle w:val="JuParaChar"/>
        </w:rPr>
        <w:t>.</w:t>
      </w:r>
      <w:r>
        <w:rPr>
          <w:rStyle w:val="JuParaChar"/>
        </w:rPr>
        <w:t xml:space="preserve"> 46 и оттам по своите международни задължения </w:t>
      </w:r>
      <w:r w:rsidR="00840645" w:rsidRPr="00075945">
        <w:rPr>
          <w:rStyle w:val="JuParaChar"/>
        </w:rPr>
        <w:t>да</w:t>
      </w:r>
      <w:r w:rsidR="00840645">
        <w:rPr>
          <w:rStyle w:val="JuParaChar"/>
        </w:rPr>
        <w:t xml:space="preserve"> спазва</w:t>
      </w:r>
      <w:r>
        <w:rPr>
          <w:rStyle w:val="JuParaChar"/>
        </w:rPr>
        <w:t xml:space="preserve"> основното решение. Съдът отново потвър</w:t>
      </w:r>
      <w:r w:rsidR="00840645">
        <w:rPr>
          <w:rStyle w:val="JuParaChar"/>
        </w:rPr>
        <w:t>ждава</w:t>
      </w:r>
      <w:r>
        <w:rPr>
          <w:rStyle w:val="JuParaChar"/>
        </w:rPr>
        <w:t xml:space="preserve"> основния принцип, според който държавата ответник е свободна сама да избере начин</w:t>
      </w:r>
      <w:r w:rsidR="00840645">
        <w:rPr>
          <w:rStyle w:val="JuParaChar"/>
        </w:rPr>
        <w:t>а</w:t>
      </w:r>
      <w:r>
        <w:rPr>
          <w:rStyle w:val="JuParaChar"/>
        </w:rPr>
        <w:t xml:space="preserve"> на изпълнение на законовите си задължения по посочената по-горе разпоредба, както и че надзор</w:t>
      </w:r>
      <w:r w:rsidR="00840645">
        <w:rPr>
          <w:rStyle w:val="JuParaChar"/>
        </w:rPr>
        <w:t>ът</w:t>
      </w:r>
      <w:r>
        <w:rPr>
          <w:rStyle w:val="JuParaChar"/>
        </w:rPr>
        <w:t xml:space="preserve"> върху изпълнението на решенията на Съда се осъществява от Комитета на министрите.</w:t>
      </w:r>
    </w:p>
    <w:p w:rsidR="00870C7F" w:rsidRPr="008B347C" w:rsidRDefault="00870C7F" w:rsidP="00F44003">
      <w:pPr>
        <w:pStyle w:val="ECHRPara"/>
        <w:rPr>
          <w:szCs w:val="24"/>
        </w:rPr>
      </w:pPr>
      <w:r w:rsidRPr="008B347C">
        <w:rPr>
          <w:rStyle w:val="JuParaChar"/>
        </w:rPr>
        <w:fldChar w:fldCharType="begin"/>
      </w:r>
      <w:r w:rsidRPr="008B347C">
        <w:rPr>
          <w:rStyle w:val="JuParaChar"/>
        </w:rPr>
        <w:instrText xml:space="preserve"> SEQ level0 \*arabic </w:instrText>
      </w:r>
      <w:r w:rsidRPr="008B347C">
        <w:rPr>
          <w:rStyle w:val="JuParaChar"/>
        </w:rPr>
        <w:fldChar w:fldCharType="separate"/>
      </w:r>
      <w:r w:rsidR="007A52DC">
        <w:rPr>
          <w:rStyle w:val="JuParaChar"/>
          <w:noProof/>
        </w:rPr>
        <w:t>63</w:t>
      </w:r>
      <w:r w:rsidRPr="008B347C">
        <w:rPr>
          <w:rStyle w:val="JuParaChar"/>
        </w:rPr>
        <w:fldChar w:fldCharType="end"/>
      </w:r>
      <w:r>
        <w:rPr>
          <w:rStyle w:val="JuParaChar"/>
        </w:rPr>
        <w:t>.  Съдът счита, че не е необходимо да се разглежда въпрос</w:t>
      </w:r>
      <w:r w:rsidR="00267449">
        <w:rPr>
          <w:rStyle w:val="JuParaChar"/>
        </w:rPr>
        <w:t>ът</w:t>
      </w:r>
      <w:r>
        <w:rPr>
          <w:rStyle w:val="JuParaChar"/>
        </w:rPr>
        <w:t xml:space="preserve"> дали е компетентен по Конвенцията да постановява „установително съдебно решение“ по начина, изискан от Правителството жалбоподател, тъй като е ясно, че Правителството ответник </w:t>
      </w:r>
      <w:r w:rsidR="00267449">
        <w:rPr>
          <w:rStyle w:val="JuParaChar"/>
        </w:rPr>
        <w:t xml:space="preserve">при </w:t>
      </w:r>
      <w:r>
        <w:rPr>
          <w:rStyle w:val="JuParaChar"/>
        </w:rPr>
        <w:t>вс</w:t>
      </w:r>
      <w:r w:rsidR="00267449">
        <w:rPr>
          <w:rStyle w:val="JuParaChar"/>
        </w:rPr>
        <w:t>ички</w:t>
      </w:r>
      <w:r>
        <w:rPr>
          <w:rStyle w:val="JuParaChar"/>
        </w:rPr>
        <w:t xml:space="preserve"> случа</w:t>
      </w:r>
      <w:r w:rsidR="00267449">
        <w:rPr>
          <w:rStyle w:val="JuParaChar"/>
        </w:rPr>
        <w:t>и</w:t>
      </w:r>
      <w:r>
        <w:rPr>
          <w:rStyle w:val="JuParaChar"/>
        </w:rPr>
        <w:t xml:space="preserve"> има официални задължения по съответните условия на основното решение. В тази връзка се припомня, че Съдът твърди, че е налице </w:t>
      </w:r>
      <w:r w:rsidR="009C465C">
        <w:rPr>
          <w:rStyle w:val="JuParaChar"/>
        </w:rPr>
        <w:t xml:space="preserve">продължаващо </w:t>
      </w:r>
      <w:r>
        <w:rPr>
          <w:rStyle w:val="JuParaChar"/>
        </w:rPr>
        <w:t>нарушение на чл</w:t>
      </w:r>
      <w:r w:rsidR="009C465C">
        <w:rPr>
          <w:rStyle w:val="JuParaChar"/>
        </w:rPr>
        <w:t>.</w:t>
      </w:r>
      <w:r>
        <w:rPr>
          <w:rStyle w:val="JuParaChar"/>
        </w:rPr>
        <w:t xml:space="preserve"> 1 от Протокол № 1 по силата на обстоятелството, че на собствениците на имущество от гръцки произход в северната част на Кипър </w:t>
      </w:r>
      <w:r w:rsidR="009C465C">
        <w:rPr>
          <w:rStyle w:val="JuParaChar"/>
        </w:rPr>
        <w:t>с</w:t>
      </w:r>
      <w:r>
        <w:rPr>
          <w:rStyle w:val="JuParaChar"/>
        </w:rPr>
        <w:t>е отказ</w:t>
      </w:r>
      <w:r w:rsidR="009C465C">
        <w:rPr>
          <w:rStyle w:val="JuParaChar"/>
        </w:rPr>
        <w:t>ва</w:t>
      </w:r>
      <w:r>
        <w:rPr>
          <w:rStyle w:val="JuParaChar"/>
        </w:rPr>
        <w:t xml:space="preserve"> достъп до и </w:t>
      </w:r>
      <w:r w:rsidR="009C465C">
        <w:rPr>
          <w:rStyle w:val="JuParaChar"/>
        </w:rPr>
        <w:t>контрол</w:t>
      </w:r>
      <w:r>
        <w:rPr>
          <w:rStyle w:val="JuParaChar"/>
        </w:rPr>
        <w:t xml:space="preserve">, </w:t>
      </w:r>
      <w:r w:rsidR="009C465C">
        <w:rPr>
          <w:rStyle w:val="JuParaChar"/>
        </w:rPr>
        <w:t>употреба</w:t>
      </w:r>
      <w:r>
        <w:rPr>
          <w:rStyle w:val="JuParaChar"/>
        </w:rPr>
        <w:t xml:space="preserve"> и ползване </w:t>
      </w:r>
      <w:r w:rsidR="009C465C">
        <w:rPr>
          <w:rStyle w:val="JuParaChar"/>
        </w:rPr>
        <w:t>на</w:t>
      </w:r>
      <w:r>
        <w:rPr>
          <w:rStyle w:val="JuParaChar"/>
        </w:rPr>
        <w:t xml:space="preserve"> тяхната собственост, както и каквото и да е обезщетение за </w:t>
      </w:r>
      <w:r w:rsidR="00466013">
        <w:rPr>
          <w:rStyle w:val="JuParaChar"/>
        </w:rPr>
        <w:t>намесата в</w:t>
      </w:r>
      <w:r>
        <w:rPr>
          <w:rStyle w:val="JuParaChar"/>
        </w:rPr>
        <w:t xml:space="preserve"> правата им на собственост (</w:t>
      </w:r>
      <w:r w:rsidR="00466013">
        <w:rPr>
          <w:rStyle w:val="JuParaChar"/>
        </w:rPr>
        <w:t>раздел</w:t>
      </w:r>
      <w:r>
        <w:rPr>
          <w:rStyle w:val="JuParaChar"/>
        </w:rPr>
        <w:t xml:space="preserve"> ІІІ, точка 4 от </w:t>
      </w:r>
      <w:r w:rsidR="00466013">
        <w:rPr>
          <w:rStyle w:val="JuParaChar"/>
        </w:rPr>
        <w:t>диспозитива на</w:t>
      </w:r>
      <w:r>
        <w:rPr>
          <w:rStyle w:val="JuParaChar"/>
        </w:rPr>
        <w:t xml:space="preserve"> основното решение). Така Комитетът на министрите трябва да гарантира, че това </w:t>
      </w:r>
      <w:r w:rsidR="002D3AE2">
        <w:rPr>
          <w:rStyle w:val="JuParaChar"/>
        </w:rPr>
        <w:t>решение</w:t>
      </w:r>
      <w:r>
        <w:rPr>
          <w:rStyle w:val="JuParaChar"/>
        </w:rPr>
        <w:t>, което е об</w:t>
      </w:r>
      <w:r w:rsidR="00466013">
        <w:rPr>
          <w:rStyle w:val="JuParaChar"/>
        </w:rPr>
        <w:t>в</w:t>
      </w:r>
      <w:r>
        <w:rPr>
          <w:rStyle w:val="JuParaChar"/>
        </w:rPr>
        <w:t xml:space="preserve">ързващо по силата на Конвенцията, и което все още не е изпълнено, изцяло се </w:t>
      </w:r>
      <w:r w:rsidR="002D3AE2">
        <w:rPr>
          <w:rStyle w:val="JuParaChar"/>
        </w:rPr>
        <w:t xml:space="preserve">прилага </w:t>
      </w:r>
      <w:r>
        <w:rPr>
          <w:rStyle w:val="JuParaChar"/>
        </w:rPr>
        <w:t xml:space="preserve">от страна на Правителството ответник. По мнение на Съда подобно изпълнение не може да </w:t>
      </w:r>
      <w:r w:rsidR="002D3AE2">
        <w:rPr>
          <w:rStyle w:val="JuParaChar"/>
        </w:rPr>
        <w:t xml:space="preserve">е съвместимо с </w:t>
      </w:r>
      <w:r>
        <w:rPr>
          <w:rStyle w:val="JuParaChar"/>
        </w:rPr>
        <w:t xml:space="preserve">евентуално разрешение, участие, </w:t>
      </w:r>
      <w:r w:rsidR="004F75F1">
        <w:rPr>
          <w:rStyle w:val="JuParaChar"/>
        </w:rPr>
        <w:t>съгласие</w:t>
      </w:r>
      <w:r>
        <w:rPr>
          <w:rStyle w:val="JuParaChar"/>
        </w:rPr>
        <w:t xml:space="preserve"> или </w:t>
      </w:r>
      <w:r w:rsidR="004F75F1">
        <w:rPr>
          <w:rStyle w:val="JuParaChar"/>
        </w:rPr>
        <w:t>съ</w:t>
      </w:r>
      <w:r>
        <w:rPr>
          <w:rStyle w:val="JuParaChar"/>
        </w:rPr>
        <w:t xml:space="preserve">участие </w:t>
      </w:r>
      <w:r w:rsidR="004F75F1">
        <w:rPr>
          <w:rStyle w:val="JuParaChar"/>
        </w:rPr>
        <w:t>п</w:t>
      </w:r>
      <w:r>
        <w:rPr>
          <w:rStyle w:val="JuParaChar"/>
        </w:rPr>
        <w:t xml:space="preserve">о друг начин в незаконна разпродажба или използване на домовете </w:t>
      </w:r>
      <w:r w:rsidR="004F75F1">
        <w:rPr>
          <w:rStyle w:val="JuParaChar"/>
        </w:rPr>
        <w:t xml:space="preserve">и имуществото </w:t>
      </w:r>
      <w:r>
        <w:rPr>
          <w:rStyle w:val="JuParaChar"/>
        </w:rPr>
        <w:t xml:space="preserve">на кипърските гърци в северната част на Кипър. Освен </w:t>
      </w:r>
      <w:r>
        <w:rPr>
          <w:rStyle w:val="JuParaChar"/>
        </w:rPr>
        <w:lastRenderedPageBreak/>
        <w:t xml:space="preserve">това решението на Съда по делото </w:t>
      </w:r>
      <w:r>
        <w:rPr>
          <w:rStyle w:val="JuParaChar"/>
          <w:i/>
        </w:rPr>
        <w:t>Demopoulos and Others</w:t>
      </w:r>
      <w:r>
        <w:rPr>
          <w:rStyle w:val="JuParaChar"/>
        </w:rPr>
        <w:t xml:space="preserve">, цитирано по-горе, че подобни дела, инициирани от физически лица по отношение на нарушение на правото на собственост, </w:t>
      </w:r>
      <w:r w:rsidR="00C05ADB">
        <w:rPr>
          <w:rStyle w:val="JuParaChar"/>
        </w:rPr>
        <w:t xml:space="preserve">трябва да се </w:t>
      </w:r>
      <w:r>
        <w:rPr>
          <w:rStyle w:val="JuParaChar"/>
        </w:rPr>
        <w:t>отхвърля</w:t>
      </w:r>
      <w:r w:rsidR="00C05ADB">
        <w:rPr>
          <w:rStyle w:val="JuParaChar"/>
        </w:rPr>
        <w:t>т</w:t>
      </w:r>
      <w:r>
        <w:rPr>
          <w:rStyle w:val="JuParaChar"/>
        </w:rPr>
        <w:t xml:space="preserve"> поради неизчерпване на възможностите за вътрешноправни средства за защита, не мо</w:t>
      </w:r>
      <w:r w:rsidR="00C05ADB">
        <w:rPr>
          <w:rStyle w:val="JuParaChar"/>
        </w:rPr>
        <w:t>же</w:t>
      </w:r>
      <w:r>
        <w:rPr>
          <w:rStyle w:val="JuParaChar"/>
        </w:rPr>
        <w:t xml:space="preserve"> да се взем</w:t>
      </w:r>
      <w:r w:rsidR="00C05ADB">
        <w:rPr>
          <w:rStyle w:val="JuParaChar"/>
        </w:rPr>
        <w:t>е</w:t>
      </w:r>
      <w:r>
        <w:rPr>
          <w:rStyle w:val="JuParaChar"/>
        </w:rPr>
        <w:t xml:space="preserve"> предвид сам</w:t>
      </w:r>
      <w:r w:rsidR="00C05ADB">
        <w:rPr>
          <w:rStyle w:val="JuParaChar"/>
        </w:rPr>
        <w:t>остоятелно</w:t>
      </w:r>
      <w:r>
        <w:rPr>
          <w:rStyle w:val="JuParaChar"/>
        </w:rPr>
        <w:t xml:space="preserve">, за да </w:t>
      </w:r>
      <w:r w:rsidR="00C05ADB">
        <w:rPr>
          <w:rStyle w:val="JuParaChar"/>
        </w:rPr>
        <w:t xml:space="preserve">се </w:t>
      </w:r>
      <w:r w:rsidR="00F76DE2">
        <w:rPr>
          <w:rStyle w:val="JuParaChar"/>
        </w:rPr>
        <w:t>реши</w:t>
      </w:r>
      <w:r>
        <w:rPr>
          <w:rStyle w:val="JuParaChar"/>
        </w:rPr>
        <w:t xml:space="preserve"> въпроса </w:t>
      </w:r>
      <w:r w:rsidR="00F76DE2">
        <w:rPr>
          <w:rStyle w:val="JuParaChar"/>
        </w:rPr>
        <w:t>със</w:t>
      </w:r>
      <w:r>
        <w:rPr>
          <w:rStyle w:val="JuParaChar"/>
        </w:rPr>
        <w:t xml:space="preserve"> </w:t>
      </w:r>
      <w:r w:rsidR="00F76DE2">
        <w:rPr>
          <w:rStyle w:val="JuParaChar"/>
        </w:rPr>
        <w:t xml:space="preserve">спазването от страна на </w:t>
      </w:r>
      <w:r>
        <w:rPr>
          <w:rStyle w:val="JuParaChar"/>
        </w:rPr>
        <w:t xml:space="preserve">Турция </w:t>
      </w:r>
      <w:r w:rsidR="00F76DE2">
        <w:rPr>
          <w:rStyle w:val="JuParaChar"/>
        </w:rPr>
        <w:t>на</w:t>
      </w:r>
      <w:r>
        <w:rPr>
          <w:rStyle w:val="JuParaChar"/>
        </w:rPr>
        <w:t xml:space="preserve"> </w:t>
      </w:r>
      <w:r w:rsidR="00F76DE2">
        <w:rPr>
          <w:rStyle w:val="JuParaChar"/>
        </w:rPr>
        <w:t>раздел</w:t>
      </w:r>
      <w:r>
        <w:rPr>
          <w:rStyle w:val="JuParaChar"/>
        </w:rPr>
        <w:t xml:space="preserve"> ІІІ от </w:t>
      </w:r>
      <w:r w:rsidR="00A36CC5">
        <w:rPr>
          <w:rStyle w:val="JuParaChar"/>
        </w:rPr>
        <w:t>диспозитива</w:t>
      </w:r>
      <w:r>
        <w:rPr>
          <w:rStyle w:val="JuParaChar"/>
        </w:rPr>
        <w:t xml:space="preserve"> на основното решение по междудържавното дело.</w:t>
      </w:r>
    </w:p>
    <w:p w:rsidR="00746252" w:rsidRPr="008B347C" w:rsidRDefault="00746252" w:rsidP="00F44003">
      <w:pPr>
        <w:pStyle w:val="ECHRTitle1"/>
      </w:pPr>
      <w:r>
        <w:t>ПО ТЕЗИ СЪОБРАЖЕНИЯ СЪДЪТ</w:t>
      </w:r>
    </w:p>
    <w:p w:rsidR="00136E87" w:rsidRPr="008B347C" w:rsidRDefault="000763E5" w:rsidP="00F44003">
      <w:pPr>
        <w:pStyle w:val="JuList"/>
        <w:rPr>
          <w:szCs w:val="24"/>
        </w:rPr>
      </w:pPr>
      <w:r>
        <w:t>1.  </w:t>
      </w:r>
      <w:r>
        <w:rPr>
          <w:i/>
        </w:rPr>
        <w:t>Приема</w:t>
      </w:r>
      <w:r>
        <w:t xml:space="preserve"> с шестнадесет </w:t>
      </w:r>
      <w:r w:rsidR="00A36CC5">
        <w:t xml:space="preserve">на </w:t>
      </w:r>
      <w:r>
        <w:t>един гласа, че изминалото време от постановяване на основното решение на 10 май 2001 г. не води до недопустимост на искан</w:t>
      </w:r>
      <w:r w:rsidR="00A36CC5">
        <w:t>ията</w:t>
      </w:r>
      <w:r>
        <w:t xml:space="preserve"> на Правителството жалбоподател за справедливо обезщетение;</w:t>
      </w:r>
    </w:p>
    <w:p w:rsidR="00136E87" w:rsidRPr="008B347C" w:rsidRDefault="00136E87" w:rsidP="00F44003">
      <w:pPr>
        <w:pStyle w:val="JuList"/>
        <w:rPr>
          <w:szCs w:val="24"/>
        </w:rPr>
      </w:pPr>
    </w:p>
    <w:p w:rsidR="00136E87" w:rsidRPr="008B347C" w:rsidRDefault="00136E87" w:rsidP="00F44003">
      <w:pPr>
        <w:pStyle w:val="JuList"/>
        <w:rPr>
          <w:szCs w:val="24"/>
        </w:rPr>
      </w:pPr>
      <w:r>
        <w:t>2.  </w:t>
      </w:r>
      <w:r>
        <w:rPr>
          <w:i/>
        </w:rPr>
        <w:t>Приема</w:t>
      </w:r>
      <w:r>
        <w:t xml:space="preserve"> с </w:t>
      </w:r>
      <w:r w:rsidR="00583D91">
        <w:t>пе</w:t>
      </w:r>
      <w:r>
        <w:t xml:space="preserve">тнадесет </w:t>
      </w:r>
      <w:r w:rsidR="00583D91">
        <w:t>на</w:t>
      </w:r>
      <w:r>
        <w:t xml:space="preserve"> </w:t>
      </w:r>
      <w:r w:rsidR="00583D91">
        <w:t>два</w:t>
      </w:r>
      <w:r>
        <w:t xml:space="preserve"> гласа, че чл</w:t>
      </w:r>
      <w:r w:rsidR="00583D91">
        <w:t>.</w:t>
      </w:r>
      <w:r>
        <w:t xml:space="preserve"> 41 </w:t>
      </w:r>
      <w:r w:rsidR="00583D91">
        <w:t>е</w:t>
      </w:r>
      <w:r>
        <w:t xml:space="preserve"> прил</w:t>
      </w:r>
      <w:r w:rsidR="00583D91">
        <w:t>ожим</w:t>
      </w:r>
      <w:r>
        <w:t xml:space="preserve"> в настоящото дело</w:t>
      </w:r>
      <w:r w:rsidR="00E2189E">
        <w:t>,</w:t>
      </w:r>
      <w:r>
        <w:t xml:space="preserve"> доколкото се отнася до безследно изчезналите лица;</w:t>
      </w:r>
    </w:p>
    <w:p w:rsidR="00136E87" w:rsidRPr="008B347C" w:rsidRDefault="00136E87" w:rsidP="00F44003">
      <w:pPr>
        <w:pStyle w:val="JuList"/>
        <w:rPr>
          <w:szCs w:val="24"/>
        </w:rPr>
      </w:pPr>
    </w:p>
    <w:p w:rsidR="00136E87" w:rsidRPr="008B347C" w:rsidRDefault="00136E87" w:rsidP="00F44003">
      <w:pPr>
        <w:pStyle w:val="JuList"/>
        <w:rPr>
          <w:szCs w:val="24"/>
        </w:rPr>
      </w:pPr>
      <w:r>
        <w:t>3.  </w:t>
      </w:r>
      <w:r>
        <w:rPr>
          <w:i/>
        </w:rPr>
        <w:t>Приема</w:t>
      </w:r>
      <w:r>
        <w:t xml:space="preserve"> с петнадесет </w:t>
      </w:r>
      <w:r w:rsidR="00E2189E">
        <w:t xml:space="preserve">на </w:t>
      </w:r>
      <w:r>
        <w:t>два гласа, че чл</w:t>
      </w:r>
      <w:r w:rsidR="00E2189E">
        <w:t>.</w:t>
      </w:r>
      <w:r>
        <w:t xml:space="preserve"> 41 е прил</w:t>
      </w:r>
      <w:r w:rsidR="00E2189E">
        <w:t>ожим</w:t>
      </w:r>
      <w:r>
        <w:t xml:space="preserve"> в настоящото дело</w:t>
      </w:r>
      <w:r w:rsidR="00E2189E">
        <w:t>,</w:t>
      </w:r>
      <w:r>
        <w:t xml:space="preserve"> доколкото се отнася до жители</w:t>
      </w:r>
      <w:r w:rsidR="00E2189E">
        <w:t>те</w:t>
      </w:r>
      <w:r>
        <w:t xml:space="preserve"> </w:t>
      </w:r>
      <w:r w:rsidR="00E2189E">
        <w:t xml:space="preserve">от гръцки произход в анклава </w:t>
      </w:r>
      <w:r>
        <w:t>на кипърския полуостров Карпас;</w:t>
      </w:r>
    </w:p>
    <w:p w:rsidR="00136E87" w:rsidRPr="008B347C" w:rsidRDefault="00136E87" w:rsidP="00F44003">
      <w:pPr>
        <w:pStyle w:val="JuList"/>
        <w:rPr>
          <w:szCs w:val="24"/>
        </w:rPr>
      </w:pPr>
    </w:p>
    <w:p w:rsidR="008B347C" w:rsidRPr="008B347C" w:rsidRDefault="00136E87" w:rsidP="00F44003">
      <w:pPr>
        <w:pStyle w:val="JuList"/>
        <w:rPr>
          <w:szCs w:val="24"/>
        </w:rPr>
      </w:pPr>
      <w:r>
        <w:t>4.  </w:t>
      </w:r>
      <w:r>
        <w:rPr>
          <w:i/>
        </w:rPr>
        <w:t>Приема</w:t>
      </w:r>
      <w:r>
        <w:t xml:space="preserve"> с петнадесет </w:t>
      </w:r>
      <w:r w:rsidR="00E2189E">
        <w:t>на</w:t>
      </w:r>
      <w:r>
        <w:t xml:space="preserve"> два гласа,</w:t>
      </w:r>
    </w:p>
    <w:p w:rsidR="00136E87" w:rsidRPr="008B347C" w:rsidRDefault="00136E87" w:rsidP="001D7FEB">
      <w:pPr>
        <w:pStyle w:val="JuLista"/>
        <w:rPr>
          <w:szCs w:val="24"/>
        </w:rPr>
      </w:pPr>
      <w:r>
        <w:t xml:space="preserve">а)  че Правителството ответник </w:t>
      </w:r>
      <w:r w:rsidR="00E2189E">
        <w:t xml:space="preserve">трябва </w:t>
      </w:r>
      <w:r>
        <w:t xml:space="preserve">да заплати на Правителството жалбоподател в </w:t>
      </w:r>
      <w:r w:rsidR="00E2189E">
        <w:t>срок от</w:t>
      </w:r>
      <w:r>
        <w:t xml:space="preserve"> три месеца сумата от 30 000 000 (тридесет милиона) евро, плюс таксите, които могат да бъдат начислени върху нея, за неимуществени вреди, претърпени от роднините на безследно изчезналите лица;</w:t>
      </w:r>
    </w:p>
    <w:p w:rsidR="00136E87" w:rsidRPr="008B347C" w:rsidRDefault="00136E87" w:rsidP="00F44003">
      <w:pPr>
        <w:pStyle w:val="JuLista"/>
        <w:rPr>
          <w:szCs w:val="24"/>
        </w:rPr>
      </w:pPr>
      <w:r>
        <w:t>б)</w:t>
      </w:r>
      <w:r>
        <w:tab/>
        <w:t xml:space="preserve">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w:t>
      </w:r>
      <w:r w:rsidR="0062217B">
        <w:t>за</w:t>
      </w:r>
      <w:r>
        <w:t xml:space="preserve"> периода на забава с добав</w:t>
      </w:r>
      <w:r w:rsidR="0062217B">
        <w:t>ени</w:t>
      </w:r>
      <w:r>
        <w:t xml:space="preserve"> три процентни пункта;</w:t>
      </w:r>
    </w:p>
    <w:p w:rsidR="00136E87" w:rsidRPr="008B347C" w:rsidRDefault="001D7FEB" w:rsidP="00F44003">
      <w:pPr>
        <w:pStyle w:val="JuLista"/>
        <w:rPr>
          <w:szCs w:val="24"/>
        </w:rPr>
      </w:pPr>
      <w:r>
        <w:t>в)  че горепосочената сума</w:t>
      </w:r>
      <w:r w:rsidR="0062217B">
        <w:t xml:space="preserve"> се</w:t>
      </w:r>
      <w:r>
        <w:t xml:space="preserve"> разпредел</w:t>
      </w:r>
      <w:r w:rsidR="0062217B">
        <w:t>я</w:t>
      </w:r>
      <w:r>
        <w:t xml:space="preserve"> от Правителството жалбоподател между отделните потърпевши под надзора на Комитета на министрите в </w:t>
      </w:r>
      <w:r w:rsidR="0062217B">
        <w:t>срок от</w:t>
      </w:r>
      <w:r>
        <w:t xml:space="preserve"> осемнадесет месеца от датата на заплащането </w:t>
      </w:r>
      <w:r w:rsidR="0062217B">
        <w:t>ѝ</w:t>
      </w:r>
      <w:r>
        <w:t xml:space="preserve"> или в друг </w:t>
      </w:r>
      <w:r w:rsidR="0062217B">
        <w:t>срок</w:t>
      </w:r>
      <w:r>
        <w:t>, който Комитет</w:t>
      </w:r>
      <w:r w:rsidR="00414C5D">
        <w:t>ът</w:t>
      </w:r>
      <w:r>
        <w:t xml:space="preserve"> на министрите счита за уместен;;</w:t>
      </w:r>
    </w:p>
    <w:p w:rsidR="00136E87" w:rsidRPr="008B347C" w:rsidRDefault="00136E87" w:rsidP="00F44003">
      <w:pPr>
        <w:pStyle w:val="JuLista"/>
        <w:rPr>
          <w:szCs w:val="24"/>
        </w:rPr>
      </w:pPr>
    </w:p>
    <w:p w:rsidR="00136E87" w:rsidRPr="008B347C" w:rsidRDefault="00136E87" w:rsidP="00F44003">
      <w:pPr>
        <w:pStyle w:val="JuList"/>
        <w:rPr>
          <w:szCs w:val="24"/>
        </w:rPr>
      </w:pPr>
      <w:r>
        <w:t>5.  </w:t>
      </w:r>
      <w:r>
        <w:rPr>
          <w:i/>
        </w:rPr>
        <w:t>Приема</w:t>
      </w:r>
      <w:r>
        <w:t xml:space="preserve"> с петнадесет </w:t>
      </w:r>
      <w:r w:rsidR="00414C5D">
        <w:t>на</w:t>
      </w:r>
      <w:r>
        <w:t xml:space="preserve"> два гласа,</w:t>
      </w:r>
    </w:p>
    <w:p w:rsidR="00136E87" w:rsidRPr="008B347C" w:rsidRDefault="00136E87" w:rsidP="00F44003">
      <w:pPr>
        <w:pStyle w:val="JuLista"/>
        <w:rPr>
          <w:szCs w:val="24"/>
        </w:rPr>
      </w:pPr>
      <w:r>
        <w:t xml:space="preserve">а)  че Правителството ответник </w:t>
      </w:r>
      <w:r w:rsidR="00414C5D">
        <w:t xml:space="preserve">трябва </w:t>
      </w:r>
      <w:r>
        <w:t xml:space="preserve">да заплати на Правителството жалбоподател в </w:t>
      </w:r>
      <w:r w:rsidR="00414C5D">
        <w:t>срок от</w:t>
      </w:r>
      <w:r>
        <w:t xml:space="preserve"> три месеца сумата от 60 000 000 (шестдесет </w:t>
      </w:r>
      <w:r>
        <w:lastRenderedPageBreak/>
        <w:t>милиона) евро, плюс таксите, които могат да бъдат начислени върху нея, за неимуществени вреди, претърпени от жители</w:t>
      </w:r>
      <w:r w:rsidR="00414C5D">
        <w:t>те</w:t>
      </w:r>
      <w:r>
        <w:t xml:space="preserve"> </w:t>
      </w:r>
      <w:r w:rsidR="00414C5D">
        <w:t xml:space="preserve">от гръцки произход в анклава </w:t>
      </w:r>
      <w:r>
        <w:t>на кипърския полуостров Карпас;</w:t>
      </w:r>
    </w:p>
    <w:p w:rsidR="00136E87" w:rsidRPr="008B347C" w:rsidRDefault="00136E87" w:rsidP="00F44003">
      <w:pPr>
        <w:pStyle w:val="JuLista"/>
        <w:rPr>
          <w:szCs w:val="24"/>
        </w:rPr>
      </w:pPr>
      <w:r>
        <w:t>б)</w:t>
      </w:r>
      <w:r>
        <w:tab/>
        <w:t xml:space="preserve">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w:t>
      </w:r>
      <w:r w:rsidR="008C6743">
        <w:t>за</w:t>
      </w:r>
      <w:r>
        <w:t xml:space="preserve"> периода на забава с добав</w:t>
      </w:r>
      <w:r w:rsidR="008C6743">
        <w:t>ени</w:t>
      </w:r>
      <w:r>
        <w:t xml:space="preserve"> три процентни пункта;</w:t>
      </w:r>
    </w:p>
    <w:p w:rsidR="00746252" w:rsidRPr="008B347C" w:rsidRDefault="001D7FEB" w:rsidP="00F44003">
      <w:pPr>
        <w:pStyle w:val="JuLista"/>
      </w:pPr>
      <w:r>
        <w:t xml:space="preserve">в)  че горепосочената сума </w:t>
      </w:r>
      <w:r w:rsidR="008C6743">
        <w:t xml:space="preserve">се </w:t>
      </w:r>
      <w:r>
        <w:t>разпредел</w:t>
      </w:r>
      <w:r w:rsidR="008C6743">
        <w:t>я</w:t>
      </w:r>
      <w:r>
        <w:t xml:space="preserve"> от Правителството жалбоподател между отделните потърпевши под надзора на Комитета на министрите в </w:t>
      </w:r>
      <w:r w:rsidR="008C6743">
        <w:t>срок от</w:t>
      </w:r>
      <w:r>
        <w:t xml:space="preserve"> осемнадесет месеца от датата на заплащането </w:t>
      </w:r>
      <w:r w:rsidR="008C6743">
        <w:t>ѝ</w:t>
      </w:r>
      <w:r>
        <w:t xml:space="preserve"> или в друг </w:t>
      </w:r>
      <w:r w:rsidR="008C6743">
        <w:t>срок</w:t>
      </w:r>
      <w:r>
        <w:t>, който Комитет</w:t>
      </w:r>
      <w:r w:rsidR="008C6743">
        <w:t>ът</w:t>
      </w:r>
      <w:r>
        <w:t xml:space="preserve"> на министрите счита за уместен;;</w:t>
      </w:r>
    </w:p>
    <w:p w:rsidR="00F378C5" w:rsidRPr="008B347C" w:rsidRDefault="004B550D" w:rsidP="001D7FEB">
      <w:pPr>
        <w:pStyle w:val="JuParaLast"/>
      </w:pPr>
      <w:r>
        <w:t xml:space="preserve">Изготвено на английски и на френски език и </w:t>
      </w:r>
      <w:r w:rsidR="008C6743">
        <w:t xml:space="preserve">постановено </w:t>
      </w:r>
      <w:r>
        <w:t>по време на публично заседание в сградата на Съда по правата на човека в Страсбург на 12 май 2014 г.</w:t>
      </w:r>
    </w:p>
    <w:p w:rsidR="008B347C" w:rsidRPr="008B347C" w:rsidRDefault="00F378C5" w:rsidP="001D7FEB">
      <w:pPr>
        <w:pStyle w:val="JuSigned"/>
        <w:keepNext/>
        <w:keepLines/>
      </w:pPr>
      <w:r>
        <w:tab/>
      </w:r>
      <w:r w:rsidR="008C6743">
        <w:t>Майкъл О’Бойл (</w:t>
      </w:r>
      <w:r>
        <w:t>Michael O’Boyle</w:t>
      </w:r>
      <w:r w:rsidR="008C6743">
        <w:t>)</w:t>
      </w:r>
      <w:r>
        <w:tab/>
      </w:r>
      <w:r w:rsidR="008C6743">
        <w:t>Хосеп Касадевал (</w:t>
      </w:r>
      <w:r>
        <w:t>Josep Casadevall)</w:t>
      </w:r>
      <w:r>
        <w:tab/>
        <w:t>Заместник</w:t>
      </w:r>
      <w:r w:rsidR="008C6743">
        <w:t>-</w:t>
      </w:r>
      <w:r>
        <w:t>секретар</w:t>
      </w:r>
      <w:r>
        <w:tab/>
        <w:t>Председател</w:t>
      </w:r>
    </w:p>
    <w:p w:rsidR="0072220C" w:rsidRPr="00417D35" w:rsidRDefault="0072220C" w:rsidP="00F44003">
      <w:pPr>
        <w:pStyle w:val="JuParaLast"/>
      </w:pPr>
      <w:r>
        <w:t xml:space="preserve">В съответствие с чл. 45 § 2 от Конвенцията и </w:t>
      </w:r>
      <w:r w:rsidR="004D3B8D">
        <w:t>правило</w:t>
      </w:r>
      <w:r>
        <w:t xml:space="preserve"> 74 § 2 от Правилника на Съда </w:t>
      </w:r>
      <w:r w:rsidR="004D3B8D">
        <w:t xml:space="preserve">към настоящото решение са приложени </w:t>
      </w:r>
      <w:r>
        <w:t>следните отделни мнения:</w:t>
      </w:r>
    </w:p>
    <w:p w:rsidR="0072220C" w:rsidRPr="00417D35" w:rsidRDefault="0072220C" w:rsidP="00F44003">
      <w:pPr>
        <w:pStyle w:val="ECHRPara"/>
      </w:pPr>
      <w:r>
        <w:t>а)  </w:t>
      </w:r>
      <w:r w:rsidR="004B3EA9">
        <w:t xml:space="preserve">общо </w:t>
      </w:r>
      <w:r w:rsidR="00E41491">
        <w:t xml:space="preserve">съвпадащо </w:t>
      </w:r>
      <w:r>
        <w:t xml:space="preserve">мнение на съдии </w:t>
      </w:r>
      <w:r w:rsidR="004B3EA9">
        <w:t>Зупанчич</w:t>
      </w:r>
      <w:r>
        <w:t>, Гюлумян, Д</w:t>
      </w:r>
      <w:r w:rsidR="004B3EA9">
        <w:t>а</w:t>
      </w:r>
      <w:r>
        <w:t>в</w:t>
      </w:r>
      <w:r w:rsidR="004B3EA9">
        <w:t>ид</w:t>
      </w:r>
      <w:r>
        <w:t xml:space="preserve"> Тор Бьоргвинсон, Нико</w:t>
      </w:r>
      <w:r w:rsidR="004B3EA9">
        <w:t>л</w:t>
      </w:r>
      <w:r>
        <w:t>ау, Сайо, Лазарова Трайковска, Пауър-Форд, В</w:t>
      </w:r>
      <w:r w:rsidR="004B3EA9">
        <w:t>у</w:t>
      </w:r>
      <w:r>
        <w:t>чинич и Пинто де Албукерк;</w:t>
      </w:r>
    </w:p>
    <w:p w:rsidR="008A31CD" w:rsidRPr="008B347C" w:rsidRDefault="0072220C" w:rsidP="00F44003">
      <w:pPr>
        <w:pStyle w:val="ECHRPara"/>
      </w:pPr>
      <w:r>
        <w:t>б)  </w:t>
      </w:r>
      <w:r w:rsidR="003D1080">
        <w:t xml:space="preserve">съвпадащо </w:t>
      </w:r>
      <w:r>
        <w:t>мнение на съдия Пинто де Албукерк, към което се присъединява съдия В</w:t>
      </w:r>
      <w:r w:rsidR="003D1080">
        <w:t>у</w:t>
      </w:r>
      <w:r>
        <w:t>чинич;</w:t>
      </w:r>
    </w:p>
    <w:p w:rsidR="008A31CD" w:rsidRPr="00417D35" w:rsidRDefault="008A31CD" w:rsidP="00F44003">
      <w:pPr>
        <w:pStyle w:val="ECHRPara"/>
      </w:pPr>
      <w:r>
        <w:t xml:space="preserve">в)  частично </w:t>
      </w:r>
      <w:r w:rsidR="003D1080">
        <w:t xml:space="preserve">съвпадащо </w:t>
      </w:r>
      <w:r>
        <w:t>мнение на съдии Тулкенс, Ва</w:t>
      </w:r>
      <w:r w:rsidR="003C5015" w:rsidRPr="00075945">
        <w:t>й</w:t>
      </w:r>
      <w:r>
        <w:t>ич, Раймонди и Бианку, към което се присъединява съдия Каракаш;</w:t>
      </w:r>
    </w:p>
    <w:p w:rsidR="008A31CD" w:rsidRPr="00417D35" w:rsidRDefault="008A31CD" w:rsidP="00F44003">
      <w:pPr>
        <w:pStyle w:val="ECHRPara"/>
      </w:pPr>
      <w:r>
        <w:t xml:space="preserve">г)  частично </w:t>
      </w:r>
      <w:r w:rsidR="003C5015">
        <w:t>съвпад</w:t>
      </w:r>
      <w:r>
        <w:t>ащо и частично особено мнение на съдия Касадевал;</w:t>
      </w:r>
    </w:p>
    <w:p w:rsidR="0072220C" w:rsidRPr="00417D35" w:rsidRDefault="008A31CD" w:rsidP="00F44003">
      <w:pPr>
        <w:pStyle w:val="ECHRPara"/>
      </w:pPr>
      <w:r>
        <w:t>д)  особено мнение на съдия Каракаш.</w:t>
      </w:r>
    </w:p>
    <w:p w:rsidR="008B347C" w:rsidRPr="00417D35" w:rsidRDefault="008A31CD" w:rsidP="001D7FEB">
      <w:pPr>
        <w:pStyle w:val="JuInitialled"/>
      </w:pPr>
      <w:r>
        <w:t>J.C.M</w:t>
      </w:r>
      <w:r>
        <w:br/>
        <w:t>M.O’B</w:t>
      </w:r>
    </w:p>
    <w:p w:rsidR="008B347C" w:rsidRDefault="008B347C" w:rsidP="00F44003">
      <w:pPr>
        <w:pStyle w:val="JuInitialled"/>
        <w:sectPr w:rsidR="008B347C" w:rsidSect="00357F5B">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pPr>
    </w:p>
    <w:p w:rsidR="00BD6569" w:rsidRPr="00417D35" w:rsidRDefault="005F788B" w:rsidP="00F44003">
      <w:pPr>
        <w:pStyle w:val="ECHRTitleCentre1"/>
      </w:pPr>
      <w:r>
        <w:lastRenderedPageBreak/>
        <w:br/>
        <w:t xml:space="preserve">СЪВМЕСТНО </w:t>
      </w:r>
      <w:r w:rsidR="003C5015">
        <w:t xml:space="preserve">СЪВПАДАЩО </w:t>
      </w:r>
      <w:r>
        <w:t xml:space="preserve">МНЕНИЕ НА СЪДИИ </w:t>
      </w:r>
      <w:r w:rsidR="003C5015">
        <w:t>З</w:t>
      </w:r>
      <w:r>
        <w:t>УПАНЧИЧ,  ГЮЛУМЯН, Д</w:t>
      </w:r>
      <w:r w:rsidR="003C5015">
        <w:t>А</w:t>
      </w:r>
      <w:r>
        <w:t>ВИД ТОР БЬОРГВИНСОН, НИКОЛАУ, САЙО, ЛАЗАРОВА ТРАЙКОВСКА, ПАУЪР</w:t>
      </w:r>
      <w:r>
        <w:noBreakHyphen/>
        <w:t>ФОРД, В</w:t>
      </w:r>
      <w:r w:rsidR="003C5015">
        <w:t>У</w:t>
      </w:r>
      <w:r>
        <w:t>ЧИНИЧ И ПИНТО ДЕ АЛБУКЕРК</w:t>
      </w:r>
    </w:p>
    <w:p w:rsidR="00BD6569" w:rsidRPr="00417D35" w:rsidRDefault="00BD6569" w:rsidP="00F44003">
      <w:pPr>
        <w:pStyle w:val="OpiPara"/>
      </w:pPr>
      <w:r>
        <w:t xml:space="preserve">Настоящото решение дава началото на нова ера в прилагането на правата на човека, </w:t>
      </w:r>
      <w:r w:rsidR="00D9741C">
        <w:t>у</w:t>
      </w:r>
      <w:r>
        <w:t>твърден</w:t>
      </w:r>
      <w:r w:rsidR="00D9741C">
        <w:t>и</w:t>
      </w:r>
      <w:r>
        <w:t xml:space="preserve"> от Съда</w:t>
      </w:r>
      <w:r w:rsidR="00D9741C">
        <w:t>,</w:t>
      </w:r>
      <w:r>
        <w:t xml:space="preserve"> и отбелязва важна стъпка в гарантиране спазването на върховенството на закона в Европа. </w:t>
      </w:r>
      <w:r w:rsidR="00D9741C">
        <w:t>За</w:t>
      </w:r>
      <w:r>
        <w:t xml:space="preserve"> първи път в историята на Съда последният прави </w:t>
      </w:r>
      <w:r w:rsidR="00F064E0">
        <w:t xml:space="preserve">конкретно </w:t>
      </w:r>
      <w:r>
        <w:t xml:space="preserve">съдебно изявление относно </w:t>
      </w:r>
      <w:r w:rsidR="00E92712">
        <w:t xml:space="preserve">значението </w:t>
      </w:r>
      <w:r>
        <w:t>и ефекта от свое решение в контекста на изпълнението.</w:t>
      </w:r>
    </w:p>
    <w:p w:rsidR="00BD6569" w:rsidRPr="00417D35" w:rsidRDefault="00BD6569" w:rsidP="00F44003">
      <w:pPr>
        <w:pStyle w:val="OpiPara"/>
      </w:pPr>
      <w:r>
        <w:t xml:space="preserve">Изявлението на Съда, </w:t>
      </w:r>
      <w:r w:rsidR="00E92712">
        <w:t xml:space="preserve">формулирано </w:t>
      </w:r>
      <w:r w:rsidR="0075487B">
        <w:t>по</w:t>
      </w:r>
      <w:r>
        <w:t xml:space="preserve"> убедител</w:t>
      </w:r>
      <w:r w:rsidR="0075487B">
        <w:t>е</w:t>
      </w:r>
      <w:r>
        <w:t>н и яс</w:t>
      </w:r>
      <w:r w:rsidR="0075487B">
        <w:t>е</w:t>
      </w:r>
      <w:r>
        <w:t xml:space="preserve">н </w:t>
      </w:r>
      <w:r w:rsidR="0075487B">
        <w:t>начин</w:t>
      </w:r>
      <w:r>
        <w:t xml:space="preserve">, е насочено към конкретен аспект на процедурата по изпълнение, на която все още не е даден ход пред Комитета на министрите. </w:t>
      </w:r>
      <w:r w:rsidR="00E816FD">
        <w:t>Неговият смисъл става</w:t>
      </w:r>
      <w:r>
        <w:t xml:space="preserve"> още по-сил</w:t>
      </w:r>
      <w:r w:rsidR="00E816FD">
        <w:t>е</w:t>
      </w:r>
      <w:r>
        <w:t>н поради изразеното от Съда</w:t>
      </w:r>
      <w:r w:rsidR="00E816FD">
        <w:t xml:space="preserve"> мнение</w:t>
      </w:r>
      <w:r>
        <w:t>, че пр</w:t>
      </w:r>
      <w:r w:rsidR="00224626">
        <w:t>едвид</w:t>
      </w:r>
      <w:r>
        <w:t xml:space="preserve"> обстоятелствата подобно изявление само по себе си </w:t>
      </w:r>
      <w:r w:rsidR="00224626">
        <w:t xml:space="preserve">премахва </w:t>
      </w:r>
      <w:r>
        <w:t>необходимостта от разглеждане на въпроса дали трябва да бъде постановено официално установително решение по чл</w:t>
      </w:r>
      <w:r w:rsidR="00224626">
        <w:t>.</w:t>
      </w:r>
      <w:r>
        <w:t xml:space="preserve"> 41 за целите на чл</w:t>
      </w:r>
      <w:r w:rsidR="00224626">
        <w:t>.</w:t>
      </w:r>
      <w:r>
        <w:t xml:space="preserve"> 46 от Конвенцията. Съдът </w:t>
      </w:r>
      <w:r w:rsidR="00224626">
        <w:t>се произнесе</w:t>
      </w:r>
      <w:r>
        <w:t xml:space="preserve">: остава да бъде чут. </w:t>
      </w:r>
    </w:p>
    <w:p w:rsidR="00BD6569" w:rsidRPr="00417D35" w:rsidRDefault="00BD6569" w:rsidP="00F44003">
      <w:pPr>
        <w:jc w:val="left"/>
      </w:pPr>
      <w:r>
        <w:br w:type="page"/>
      </w:r>
    </w:p>
    <w:p w:rsidR="008F5888" w:rsidRPr="00FB22A9" w:rsidRDefault="005F788B" w:rsidP="00F44003">
      <w:pPr>
        <w:pStyle w:val="ECHRTitleCentre1"/>
        <w:rPr>
          <w:rFonts w:eastAsia="Times New Roman"/>
        </w:rPr>
      </w:pPr>
      <w:r>
        <w:lastRenderedPageBreak/>
        <w:br/>
      </w:r>
      <w:r w:rsidR="00BA181B">
        <w:t xml:space="preserve">СЪВПАДАЩО </w:t>
      </w:r>
      <w:r>
        <w:t>МНЕНИЕ НА СЪДИЯ ПИНТО ДЕ АЛБУКЕРК, КЪМ КОЕТО СЕ ПРИСЪЕДИНЯВА СЪДИЯ В</w:t>
      </w:r>
      <w:r w:rsidR="00BA181B">
        <w:t>У</w:t>
      </w:r>
      <w:r>
        <w:t>ЧИНИЧ</w:t>
      </w:r>
    </w:p>
    <w:p w:rsidR="008F5888" w:rsidRPr="00D95319" w:rsidRDefault="008F5888" w:rsidP="00F44003">
      <w:pPr>
        <w:pStyle w:val="OpiPara"/>
      </w:pPr>
      <w:r>
        <w:t xml:space="preserve">1.  Делото </w:t>
      </w:r>
      <w:r>
        <w:rPr>
          <w:i/>
        </w:rPr>
        <w:t>Кипър срещу Турция</w:t>
      </w:r>
      <w:r>
        <w:t xml:space="preserve"> (справедливо обезщетение) е най-важният принос за мира в Европа в историята на Европейския съд по правата на човека („Съдът“). Съдът не само приема приложимостта на чл</w:t>
      </w:r>
      <w:r w:rsidR="00A349A2">
        <w:t xml:space="preserve">. </w:t>
      </w:r>
      <w:r>
        <w:t>41 от Европейската конвенция за правата на човека („Конвенцията“) по междудържавни жалби и установ</w:t>
      </w:r>
      <w:r w:rsidR="00A349A2">
        <w:t>ява</w:t>
      </w:r>
      <w:r>
        <w:t xml:space="preserve"> критерии за оценка на крайния срок </w:t>
      </w:r>
      <w:r w:rsidR="00A349A2">
        <w:t>по тези</w:t>
      </w:r>
      <w:r>
        <w:t xml:space="preserve"> искания за справедливо обезщетение, но е присъдил наказателни обезщетения на държавата жалбоподател</w:t>
      </w:r>
      <w:r>
        <w:rPr>
          <w:rStyle w:val="FootnoteReference"/>
          <w:rFonts w:ascii="Times New Roman" w:hAnsi="Times New Roman"/>
        </w:rPr>
        <w:footnoteReference w:id="1"/>
      </w:r>
      <w:r>
        <w:t xml:space="preserve">. Посланието към държавите — членки на Съвета на Европа е ясно: държавите — членки, които водят война, извършват окупационни действия или подкрепят чуждестранна военна </w:t>
      </w:r>
      <w:r w:rsidR="000C5436">
        <w:t xml:space="preserve">намеса </w:t>
      </w:r>
      <w:r>
        <w:t xml:space="preserve">на територията на други държави — членки, трябва </w:t>
      </w:r>
      <w:r w:rsidR="000C5436">
        <w:t xml:space="preserve">да </w:t>
      </w:r>
      <w:r>
        <w:t xml:space="preserve">платят за незаконните си действия и последиците от тях, като жертвите, техните семейства и техните държави имат законно и приложимо право да бъдат надлежно и изцяло обезщетени от </w:t>
      </w:r>
      <w:r w:rsidR="00410BD8">
        <w:t xml:space="preserve">отговорната </w:t>
      </w:r>
      <w:r>
        <w:t xml:space="preserve">за военните действия държава. Войната и трагичните </w:t>
      </w:r>
      <w:r w:rsidR="00410BD8">
        <w:t>ѝ</w:t>
      </w:r>
      <w:r>
        <w:t xml:space="preserve"> последици са вече недопустими в Европа и тези държави — членки, които не спаз</w:t>
      </w:r>
      <w:r w:rsidR="00410BD8">
        <w:t>ва</w:t>
      </w:r>
      <w:r>
        <w:t>т този принцип</w:t>
      </w:r>
      <w:r w:rsidR="00410BD8">
        <w:t>,</w:t>
      </w:r>
      <w:r>
        <w:t xml:space="preserve"> трябва да носят съдебна отговорност за действията си, без да се засягат допълнителните политически последици.</w:t>
      </w:r>
    </w:p>
    <w:p w:rsidR="008F5888" w:rsidRPr="00D95319" w:rsidRDefault="008F5888" w:rsidP="00F44003">
      <w:pPr>
        <w:pStyle w:val="OpiPara"/>
      </w:pPr>
      <w:r>
        <w:t xml:space="preserve">Предвид историческата важност на настоящото решение и пестеливите му и понякога двусмислени </w:t>
      </w:r>
      <w:r w:rsidR="00062F5C">
        <w:t>мотиви</w:t>
      </w:r>
      <w:r>
        <w:t xml:space="preserve">, </w:t>
      </w:r>
      <w:r w:rsidR="00062F5C">
        <w:t>се чувствам</w:t>
      </w:r>
      <w:r>
        <w:t xml:space="preserve"> задължен да посоча причините</w:t>
      </w:r>
      <w:r w:rsidR="00062F5C">
        <w:t>, поради които</w:t>
      </w:r>
      <w:r>
        <w:t xml:space="preserve"> съм съгласен с констатациите на Съда. Следователно настоящото мнение касае следните въпроси: правомощията на Съда да присъжда обезщетения по междудържавни дела, </w:t>
      </w:r>
      <w:r w:rsidR="00062F5C">
        <w:t>с</w:t>
      </w:r>
      <w:r>
        <w:t>рок</w:t>
      </w:r>
      <w:r w:rsidR="00062F5C">
        <w:t>а</w:t>
      </w:r>
      <w:r>
        <w:t xml:space="preserve"> за междудържавни искания за справедливо обезщетение, наказателното естество на обезщетенията, присъдени по Конвенцията като цяло и </w:t>
      </w:r>
      <w:r w:rsidR="00E710C2">
        <w:t xml:space="preserve">при </w:t>
      </w:r>
      <w:r>
        <w:t>обстоятелствата по настоящото дело, както и правомощи</w:t>
      </w:r>
      <w:r w:rsidR="00E710C2">
        <w:t>е</w:t>
      </w:r>
      <w:r>
        <w:t>т</w:t>
      </w:r>
      <w:r w:rsidR="00E710C2">
        <w:t>о</w:t>
      </w:r>
      <w:r>
        <w:t xml:space="preserve"> на Съда да постановява установително решение по отношение на прекратяване на продължаващите нарушения</w:t>
      </w:r>
      <w:r>
        <w:rPr>
          <w:rStyle w:val="FootnoteReference"/>
          <w:rFonts w:ascii="Times New Roman" w:hAnsi="Times New Roman"/>
        </w:rPr>
        <w:footnoteReference w:id="2"/>
      </w:r>
      <w:r>
        <w:t>.</w:t>
      </w:r>
    </w:p>
    <w:p w:rsidR="008F5888" w:rsidRPr="00D95319" w:rsidRDefault="008F5888" w:rsidP="00F44003">
      <w:pPr>
        <w:pStyle w:val="OpiPara"/>
      </w:pPr>
    </w:p>
    <w:p w:rsidR="008F5888" w:rsidRPr="00D95319" w:rsidRDefault="00FD4278" w:rsidP="00F44003">
      <w:pPr>
        <w:pStyle w:val="OpiH1"/>
      </w:pPr>
      <w:r>
        <w:t>П</w:t>
      </w:r>
      <w:r w:rsidR="008F5888">
        <w:t>равомощи</w:t>
      </w:r>
      <w:r w:rsidR="000C0264">
        <w:t>е</w:t>
      </w:r>
      <w:r>
        <w:t>т</w:t>
      </w:r>
      <w:r w:rsidR="000C0264">
        <w:t>о</w:t>
      </w:r>
      <w:r w:rsidR="008F5888">
        <w:t xml:space="preserve"> на Съда да присъжда справедливо обезщетение по междудържавни дела</w:t>
      </w:r>
    </w:p>
    <w:p w:rsidR="001D7FEB" w:rsidRDefault="008F5888" w:rsidP="00F44003">
      <w:pPr>
        <w:pStyle w:val="OpiPara"/>
      </w:pPr>
      <w:r>
        <w:t xml:space="preserve">2.  Член 41 от Конвенцията не изключва присъждането на справедливо обезщетение по междудържавни жалби. Освен това </w:t>
      </w:r>
      <w:r w:rsidR="000C0264">
        <w:t>правило</w:t>
      </w:r>
      <w:r>
        <w:t xml:space="preserve"> 46 от Правилника на Съда установява възможността за искане на обезщетение по междудържавни дела при абсолютно ясни условия. Фактът, че </w:t>
      </w:r>
      <w:r w:rsidR="000C0264">
        <w:t>правило</w:t>
      </w:r>
      <w:r>
        <w:t xml:space="preserve"> 60 използва лични местоимения </w:t>
      </w:r>
      <w:r w:rsidR="000C0264">
        <w:t>в</w:t>
      </w:r>
      <w:r>
        <w:t xml:space="preserve"> мъжки и женски род трето лице, а не </w:t>
      </w:r>
      <w:r w:rsidR="000C0264">
        <w:t xml:space="preserve">в </w:t>
      </w:r>
      <w:r>
        <w:t xml:space="preserve">среден род трето лице по отношение на правата по Конвенцията, не е решаващ, тъй като тази разпоредба е очевидно вторична </w:t>
      </w:r>
      <w:r w:rsidR="000C0264">
        <w:t xml:space="preserve">по отношение </w:t>
      </w:r>
      <w:r>
        <w:t xml:space="preserve">на </w:t>
      </w:r>
      <w:r w:rsidR="000C0264">
        <w:t>правило</w:t>
      </w:r>
      <w:r>
        <w:t xml:space="preserve"> 46, ко</w:t>
      </w:r>
      <w:r w:rsidR="000C0264">
        <w:t>е</w:t>
      </w:r>
      <w:r>
        <w:t>то определя съдържанието на между</w:t>
      </w:r>
      <w:r>
        <w:noBreakHyphen/>
        <w:t>държавните жалби, както и във всеки случай по самата Конвенция.</w:t>
      </w:r>
    </w:p>
    <w:p w:rsidR="008F5888" w:rsidRPr="00D95319" w:rsidRDefault="008F5888" w:rsidP="00F44003">
      <w:pPr>
        <w:pStyle w:val="OpiPara"/>
      </w:pPr>
      <w:r>
        <w:t>3.  По време на предходните етапи на настоящото дело, Съдът изрично допус</w:t>
      </w:r>
      <w:r w:rsidR="007D1425">
        <w:t>к</w:t>
      </w:r>
      <w:r>
        <w:t xml:space="preserve">а това тълкуване на Конвенцията чрез приемане, с три различни официални изявления, че въпросът </w:t>
      </w:r>
      <w:r w:rsidR="007D1425">
        <w:t>за</w:t>
      </w:r>
      <w:r>
        <w:t xml:space="preserve"> справедливото обезщетение може да бъде поставен от държавата жалбоподател в отделна процедура след решението по </w:t>
      </w:r>
      <w:r w:rsidR="007D1425">
        <w:t>основателността</w:t>
      </w:r>
      <w:r>
        <w:t xml:space="preserve">. Тези изявления могат да бъдат намерени в а) докладна записка от председателя на Съда от 10 ноември 1999 г., съгласно която „[е]дно заседание следва да бъде отделено за допустимостта и </w:t>
      </w:r>
      <w:r w:rsidR="007D1425">
        <w:t xml:space="preserve">основателността </w:t>
      </w:r>
      <w:r>
        <w:t xml:space="preserve">на жалбата, </w:t>
      </w:r>
      <w:r w:rsidR="00E2160E">
        <w:t xml:space="preserve">което води </w:t>
      </w:r>
      <w:r>
        <w:t xml:space="preserve">до </w:t>
      </w:r>
      <w:r w:rsidR="00E2160E">
        <w:t xml:space="preserve">едно </w:t>
      </w:r>
      <w:r>
        <w:t>решение. Това не засяга необходимостта от организирането на отделна процедура за жалби по чл</w:t>
      </w:r>
      <w:r w:rsidR="00E2160E">
        <w:t>.</w:t>
      </w:r>
      <w:r>
        <w:t xml:space="preserve"> 41, в случай че Съдът констатира нарушение(я) на Конвенцията по </w:t>
      </w:r>
      <w:r w:rsidR="00E2160E">
        <w:t>основателността</w:t>
      </w:r>
      <w:r>
        <w:t>“</w:t>
      </w:r>
      <w:r>
        <w:rPr>
          <w:rStyle w:val="FootnoteReference"/>
          <w:rFonts w:ascii="Times New Roman" w:hAnsi="Times New Roman"/>
        </w:rPr>
        <w:footnoteReference w:id="3"/>
      </w:r>
      <w:r>
        <w:t>; б) инструкциите на Съда към страните от 29 ноември 1999 г., ко</w:t>
      </w:r>
      <w:r w:rsidR="00E2160E">
        <w:t>и</w:t>
      </w:r>
      <w:r>
        <w:t>то глас</w:t>
      </w:r>
      <w:r w:rsidR="00E2160E">
        <w:t>ят</w:t>
      </w:r>
      <w:r>
        <w:t>, че „Правителството жалбоподател не е необходимо да отправя искане за справедливо обезщетение по чл</w:t>
      </w:r>
      <w:r w:rsidR="00E2160E">
        <w:t>.</w:t>
      </w:r>
      <w:r>
        <w:t xml:space="preserve"> 41 от Конвенцията на този етап на производството. Допълнителна процедура по въпроса ще бъд</w:t>
      </w:r>
      <w:r w:rsidR="00E2160E">
        <w:t>е</w:t>
      </w:r>
      <w:r>
        <w:t xml:space="preserve"> организирана в зависимост от заключенията на Съда по </w:t>
      </w:r>
      <w:r w:rsidR="00EC01B7">
        <w:t xml:space="preserve">основателността </w:t>
      </w:r>
      <w:r>
        <w:t xml:space="preserve">на жалбите“; и в) самото решение на Голямата камара от 10 май 2001 г., съгласно което Съдът „единодушно </w:t>
      </w:r>
      <w:r w:rsidR="00EC01B7">
        <w:t>приема</w:t>
      </w:r>
      <w:r>
        <w:t xml:space="preserve">, че въпросът </w:t>
      </w:r>
      <w:r w:rsidR="00EC01B7">
        <w:t>за</w:t>
      </w:r>
      <w:r>
        <w:t xml:space="preserve"> евентуалното прилагане на чл</w:t>
      </w:r>
      <w:r w:rsidR="00EC01B7">
        <w:t>.</w:t>
      </w:r>
      <w:r>
        <w:t xml:space="preserve"> 41 от Конвенцията не е готов за решаване и отлага</w:t>
      </w:r>
      <w:r w:rsidR="00302BA5">
        <w:t xml:space="preserve"> разглеждането му</w:t>
      </w:r>
      <w:r>
        <w:t>“</w:t>
      </w:r>
      <w:r>
        <w:rPr>
          <w:rStyle w:val="FootnoteReference"/>
          <w:rFonts w:ascii="Times New Roman" w:hAnsi="Times New Roman"/>
        </w:rPr>
        <w:footnoteReference w:id="4"/>
      </w:r>
      <w:r>
        <w:t xml:space="preserve">. Във връзка с конкретните </w:t>
      </w:r>
      <w:r>
        <w:lastRenderedPageBreak/>
        <w:t>неимуществени вреди, понесени от жителите на Карпас, Голямата камара прикан</w:t>
      </w:r>
      <w:r w:rsidR="009F2F1A">
        <w:t>ва</w:t>
      </w:r>
      <w:r>
        <w:t xml:space="preserve"> Правителството жалбоподател да представи „окончателна версия“ на исканията си за справедливо обезщетение. Нищо не преч</w:t>
      </w:r>
      <w:r w:rsidR="009F2F1A">
        <w:t>и</w:t>
      </w:r>
      <w:r>
        <w:t xml:space="preserve"> </w:t>
      </w:r>
      <w:r w:rsidR="009F2F1A">
        <w:t xml:space="preserve">на </w:t>
      </w:r>
      <w:r>
        <w:t xml:space="preserve">държавата жалбоподател да отправи нови граждански </w:t>
      </w:r>
      <w:r w:rsidR="00541423">
        <w:t xml:space="preserve">искове </w:t>
      </w:r>
      <w:r>
        <w:t xml:space="preserve">в отговора си на поканата от Съда, доколкото те се отнасят до нарушения, признати в решението на Голямата камара от 2001 г. Гражданският иск </w:t>
      </w:r>
      <w:r w:rsidR="00541423">
        <w:t xml:space="preserve">по отношение </w:t>
      </w:r>
      <w:r>
        <w:t xml:space="preserve">на жителите на Карпас се отнася до нарушения, признати в решението на Голямата камара, като по този начин попадат в компетенциите </w:t>
      </w:r>
      <w:r w:rsidR="00541423">
        <w:t>ѝ</w:t>
      </w:r>
      <w:r>
        <w:t>.</w:t>
      </w:r>
    </w:p>
    <w:p w:rsidR="008F5888" w:rsidRPr="00D95319" w:rsidRDefault="008F5888" w:rsidP="00F44003">
      <w:pPr>
        <w:pStyle w:val="OpiPara"/>
      </w:pPr>
      <w:r>
        <w:t>4.  Основният аргумент на Държавата ответник срещу допустимостта на настоящата жалба е, че системата на Конвенцията по принцип не разрешава индивидуални жалби по чл</w:t>
      </w:r>
      <w:r w:rsidR="00541423">
        <w:t>.</w:t>
      </w:r>
      <w:r>
        <w:t xml:space="preserve"> 41 да бъдат при</w:t>
      </w:r>
      <w:r w:rsidR="00A623C9">
        <w:t>лага</w:t>
      </w:r>
      <w:r>
        <w:t>ни към междудържавна такава. Тази гледна точка е погрешна. Принципното изявление на Съда по отношение на допустимостта на обезщетение</w:t>
      </w:r>
      <w:r w:rsidR="00A623C9">
        <w:t>то</w:t>
      </w:r>
      <w:r>
        <w:t xml:space="preserve"> по междудържавни дела е </w:t>
      </w:r>
      <w:r w:rsidR="00A623C9">
        <w:t xml:space="preserve">в </w:t>
      </w:r>
      <w:r>
        <w:t>съглас</w:t>
      </w:r>
      <w:r w:rsidR="00A623C9">
        <w:t>ие с</w:t>
      </w:r>
      <w:r>
        <w:t xml:space="preserve"> традиционното значение на предишния чл</w:t>
      </w:r>
      <w:r w:rsidR="00A623C9">
        <w:t>.</w:t>
      </w:r>
      <w:r>
        <w:t xml:space="preserve"> 50 от Конвенцията като норма, установяваща само междудържавни задължения</w:t>
      </w:r>
      <w:r>
        <w:rPr>
          <w:rStyle w:val="FootnoteReference"/>
          <w:rFonts w:ascii="Times New Roman" w:hAnsi="Times New Roman"/>
        </w:rPr>
        <w:footnoteReference w:id="5"/>
      </w:r>
      <w:r>
        <w:t xml:space="preserve">, както и с правото на дипломатическа закрила, съгласно което </w:t>
      </w:r>
      <w:r w:rsidR="00A623C9">
        <w:t>всяка държава</w:t>
      </w:r>
      <w:r>
        <w:t xml:space="preserve"> мо</w:t>
      </w:r>
      <w:r w:rsidR="00A623C9">
        <w:t>же</w:t>
      </w:r>
      <w:r>
        <w:t xml:space="preserve"> да прием</w:t>
      </w:r>
      <w:r w:rsidR="00A623C9">
        <w:t>е</w:t>
      </w:r>
      <w:r>
        <w:t xml:space="preserve"> позицията на жалбоподател във връзка с щети, </w:t>
      </w:r>
      <w:r w:rsidR="00085B7A">
        <w:t>претърпени от</w:t>
      </w:r>
      <w:r>
        <w:t xml:space="preserve"> </w:t>
      </w:r>
      <w:r w:rsidR="00085B7A">
        <w:t xml:space="preserve">нейни </w:t>
      </w:r>
      <w:r>
        <w:t>граждани</w:t>
      </w:r>
      <w:r>
        <w:rPr>
          <w:rStyle w:val="FootnoteReference"/>
          <w:rFonts w:ascii="Times New Roman" w:hAnsi="Times New Roman"/>
        </w:rPr>
        <w:footnoteReference w:id="6"/>
      </w:r>
      <w:r>
        <w:t xml:space="preserve">. Фактът, че днес физически лица могат, чрез индивидуални жалби, да предприемат действия срещу </w:t>
      </w:r>
      <w:r w:rsidR="00085B7A">
        <w:t xml:space="preserve">неправомерно действащата </w:t>
      </w:r>
      <w:r>
        <w:t>държава, без да трябва да искат дипломатическа закрила от своята държава, не означава, че тази закрила вече не е налице и е загубила предишната си важност. Един правен подход не изключва друг. Жалбите по чл</w:t>
      </w:r>
      <w:r w:rsidR="00510655">
        <w:t>.</w:t>
      </w:r>
      <w:r>
        <w:t xml:space="preserve"> 33 не са изрично насочени към поддържане на обществения ред в Европа, а могат едновременно да търсят </w:t>
      </w:r>
      <w:r w:rsidR="00510655">
        <w:t xml:space="preserve">и </w:t>
      </w:r>
      <w:r>
        <w:t>начини за отстояване и удовлетворяване на интересите на един или повече граждани на държавата жалбоподател</w:t>
      </w:r>
      <w:r>
        <w:rPr>
          <w:rStyle w:val="FootnoteReference"/>
          <w:rFonts w:ascii="Times New Roman" w:hAnsi="Times New Roman"/>
        </w:rPr>
        <w:footnoteReference w:id="7"/>
      </w:r>
      <w:r>
        <w:t>. В действителност въпросните права във връзка с жалбите по чл</w:t>
      </w:r>
      <w:r w:rsidR="00510655">
        <w:t>.</w:t>
      </w:r>
      <w:r>
        <w:t xml:space="preserve"> 41 са същите като тези по чл</w:t>
      </w:r>
      <w:r w:rsidR="00510655">
        <w:t>.</w:t>
      </w:r>
      <w:r>
        <w:t xml:space="preserve"> 33, като решението за прилагане на последния само отразява по-големия мащаб на твърдените нарушения, което на свой ред оправдава по-големите, а не по-малки правомощия от страна на Съда.</w:t>
      </w:r>
    </w:p>
    <w:p w:rsidR="001D7FEB" w:rsidRDefault="008F5888" w:rsidP="00F44003">
      <w:pPr>
        <w:pStyle w:val="OpiPara"/>
      </w:pPr>
      <w:r>
        <w:lastRenderedPageBreak/>
        <w:t xml:space="preserve">5.  Накрая Съдът ще бъде лишен от ключов инструмент за изпълнение на мисията си за защита на човешките права, ако няма правомощия да присъжда обезщетения по междудържавни дела. Така присъждането на обезщетения по подобни дела може да се разглежда, ако не като изрично, то най-малкото като </w:t>
      </w:r>
      <w:r w:rsidR="00B4420E">
        <w:t xml:space="preserve">имплицитно </w:t>
      </w:r>
      <w:r>
        <w:t>правомощие на Съда</w:t>
      </w:r>
      <w:r>
        <w:rPr>
          <w:rStyle w:val="FootnoteReference"/>
          <w:rFonts w:ascii="Times New Roman" w:hAnsi="Times New Roman"/>
        </w:rPr>
        <w:footnoteReference w:id="8"/>
      </w:r>
      <w:r>
        <w:t xml:space="preserve">. В заключение, телеологичното тълкуване на Конвенцията засилва </w:t>
      </w:r>
      <w:r w:rsidR="000D6928">
        <w:t>вече наложения извод</w:t>
      </w:r>
      <w:r>
        <w:t xml:space="preserve"> от текстовата, историческа</w:t>
      </w:r>
      <w:r w:rsidR="000D6928">
        <w:t>та</w:t>
      </w:r>
      <w:r>
        <w:t xml:space="preserve"> и систематична</w:t>
      </w:r>
      <w:r w:rsidR="000D6928">
        <w:t>та</w:t>
      </w:r>
      <w:r>
        <w:t xml:space="preserve"> композиция на Конвенцията и Правилника на Съда, съдебн</w:t>
      </w:r>
      <w:r w:rsidR="004A428C">
        <w:t>а</w:t>
      </w:r>
      <w:r>
        <w:t>т</w:t>
      </w:r>
      <w:r w:rsidR="004A428C">
        <w:t>а</w:t>
      </w:r>
      <w:r>
        <w:t xml:space="preserve"> практик</w:t>
      </w:r>
      <w:r w:rsidR="004A428C">
        <w:t>а</w:t>
      </w:r>
      <w:r>
        <w:t xml:space="preserve"> </w:t>
      </w:r>
      <w:r w:rsidR="004A428C">
        <w:t xml:space="preserve">на Съда </w:t>
      </w:r>
      <w:r>
        <w:t xml:space="preserve">и </w:t>
      </w:r>
      <w:r w:rsidR="004A428C">
        <w:t xml:space="preserve">приложимите </w:t>
      </w:r>
      <w:r>
        <w:t xml:space="preserve">принципи на международното публично право, </w:t>
      </w:r>
      <w:r w:rsidR="004A428C">
        <w:t>заложени във Виенската</w:t>
      </w:r>
      <w:r>
        <w:t xml:space="preserve"> </w:t>
      </w:r>
      <w:r w:rsidR="004A428C">
        <w:t>к</w:t>
      </w:r>
      <w:r>
        <w:t xml:space="preserve">онвенция за правото на договорите и допълнително развити в Проекта за законодателна резолюция за дипломатическата закрила и </w:t>
      </w:r>
      <w:r w:rsidR="004A428C">
        <w:t>проектотекстовете</w:t>
      </w:r>
      <w:r>
        <w:t xml:space="preserve"> за отговорност</w:t>
      </w:r>
      <w:r w:rsidR="004A428C">
        <w:t>та</w:t>
      </w:r>
      <w:r>
        <w:t xml:space="preserve"> на държав</w:t>
      </w:r>
      <w:r w:rsidR="004A428C">
        <w:t>и</w:t>
      </w:r>
      <w:r>
        <w:t>т</w:t>
      </w:r>
      <w:r w:rsidR="004A428C">
        <w:t>е</w:t>
      </w:r>
      <w:r w:rsidR="007651E2">
        <w:t xml:space="preserve"> за международни правонарушения</w:t>
      </w:r>
      <w:r>
        <w:t>, както и в международн</w:t>
      </w:r>
      <w:r w:rsidR="007651E2">
        <w:t>а</w:t>
      </w:r>
      <w:r>
        <w:t>т</w:t>
      </w:r>
      <w:r w:rsidR="007651E2">
        <w:t>а</w:t>
      </w:r>
      <w:r>
        <w:t xml:space="preserve"> съдебн</w:t>
      </w:r>
      <w:r w:rsidR="007651E2">
        <w:t>а</w:t>
      </w:r>
      <w:r>
        <w:t xml:space="preserve"> практик</w:t>
      </w:r>
      <w:r w:rsidR="007651E2">
        <w:t>а</w:t>
      </w:r>
      <w:r>
        <w:t>.</w:t>
      </w:r>
    </w:p>
    <w:p w:rsidR="008F5888" w:rsidRPr="00D95319" w:rsidRDefault="008F5888" w:rsidP="00F44003">
      <w:pPr>
        <w:pStyle w:val="OpiPara"/>
      </w:pPr>
    </w:p>
    <w:p w:rsidR="008F5888" w:rsidRPr="00D95319" w:rsidRDefault="008F5888" w:rsidP="00F44003">
      <w:pPr>
        <w:pStyle w:val="OpiH1"/>
      </w:pPr>
      <w:r>
        <w:t xml:space="preserve">Краен срок </w:t>
      </w:r>
      <w:r w:rsidR="00AB4A2F">
        <w:t>н</w:t>
      </w:r>
      <w:r>
        <w:t>а междудържавни искания за справедливо обезщетение</w:t>
      </w:r>
    </w:p>
    <w:p w:rsidR="008F5888" w:rsidRPr="00D95319" w:rsidRDefault="008F5888" w:rsidP="00F44003">
      <w:pPr>
        <w:pStyle w:val="OpiPara"/>
      </w:pPr>
      <w:r>
        <w:t xml:space="preserve">6.  Като </w:t>
      </w:r>
      <w:r w:rsidR="00AB4A2F">
        <w:t>общо правило</w:t>
      </w:r>
      <w:r>
        <w:t xml:space="preserve">, правото на една държава да търси отговорност от друга държава може да се </w:t>
      </w:r>
      <w:r w:rsidR="00BF4404">
        <w:t xml:space="preserve">изгуби </w:t>
      </w:r>
      <w:r>
        <w:t xml:space="preserve">в два </w:t>
      </w:r>
      <w:r w:rsidR="00BF4404">
        <w:t>случая</w:t>
      </w:r>
      <w:r>
        <w:t>: отказ и мълчаливо съгласие. Както държавата може изрично да се откаже от правото си да търси отговорност</w:t>
      </w:r>
      <w:r w:rsidR="00BF4404">
        <w:t>,</w:t>
      </w:r>
      <w:r>
        <w:t xml:space="preserve"> поради поведението си тя може да се съгласи мълчаливо с изтичането на давността. Подобно поведение може да включва неоснователно закъснение между времето на възникване на обстоятелствата, които са причина за подаване на жалбата, или времето, когато са сведени до знанието на държавата, и времето на подаване на самата жалба.</w:t>
      </w:r>
    </w:p>
    <w:p w:rsidR="001D7FEB" w:rsidRDefault="008F5888" w:rsidP="00F44003">
      <w:pPr>
        <w:pStyle w:val="OpiPara"/>
      </w:pPr>
      <w:r>
        <w:t xml:space="preserve">7.  По времето, когато случаят за първи път е </w:t>
      </w:r>
      <w:r w:rsidR="00102806">
        <w:t xml:space="preserve">представен </w:t>
      </w:r>
      <w:r>
        <w:t xml:space="preserve">пред предишната Комисия, </w:t>
      </w:r>
      <w:r w:rsidR="00BF4404">
        <w:t xml:space="preserve">т.е. през </w:t>
      </w:r>
      <w:r>
        <w:t>1994 г., нито Ко</w:t>
      </w:r>
      <w:r w:rsidR="00102806">
        <w:t>нвенци</w:t>
      </w:r>
      <w:r>
        <w:t xml:space="preserve">ята, нито Правилника на Съда установяват задължение за отправяне на искане за справедливо обезщетение. Освен това международното право </w:t>
      </w:r>
      <w:r w:rsidR="00102806">
        <w:t xml:space="preserve">като цяло </w:t>
      </w:r>
      <w:r>
        <w:t xml:space="preserve">по това време, а и понастоящем, не определя конкретен краен срок </w:t>
      </w:r>
      <w:r w:rsidR="00E8638F">
        <w:t>з</w:t>
      </w:r>
      <w:r>
        <w:t>а искания</w:t>
      </w:r>
      <w:r w:rsidR="00E8638F">
        <w:t>та</w:t>
      </w:r>
      <w:r>
        <w:t xml:space="preserve"> за справедливо обезщетение. </w:t>
      </w:r>
      <w:r w:rsidR="00E8638F">
        <w:t xml:space="preserve">Приложим </w:t>
      </w:r>
      <w:r>
        <w:t xml:space="preserve">прецедент в международното право е </w:t>
      </w:r>
      <w:r>
        <w:rPr>
          <w:i/>
        </w:rPr>
        <w:t>Nauru v. Australia</w:t>
      </w:r>
      <w:r>
        <w:t xml:space="preserve">,, по което се постигат две заключения: първо, че давността </w:t>
      </w:r>
      <w:r w:rsidR="00E8638F">
        <w:t>наистина и</w:t>
      </w:r>
      <w:r>
        <w:t>ма значение по въпроса за допустимостта на междудържавните искания за справедливо обезщетение</w:t>
      </w:r>
      <w:r w:rsidR="00E8638F">
        <w:t>;</w:t>
      </w:r>
      <w:r>
        <w:t xml:space="preserve"> и второ, че закъснение от двадесет и една години от времето, когато жалбоподателят е в състояние да </w:t>
      </w:r>
      <w:r w:rsidR="003C416C">
        <w:t xml:space="preserve">заведе иск за </w:t>
      </w:r>
      <w:r>
        <w:t>обезщетение</w:t>
      </w:r>
      <w:r w:rsidR="003C416C">
        <w:t>,</w:t>
      </w:r>
      <w:r>
        <w:t xml:space="preserve"> и времето на подаване на искането не е причина за </w:t>
      </w:r>
      <w:r>
        <w:lastRenderedPageBreak/>
        <w:t>недопустимостта му</w:t>
      </w:r>
      <w:r>
        <w:rPr>
          <w:rStyle w:val="FootnoteReference"/>
          <w:rFonts w:ascii="Times New Roman" w:hAnsi="Times New Roman"/>
        </w:rPr>
        <w:footnoteReference w:id="9"/>
      </w:r>
      <w:r>
        <w:t xml:space="preserve">. Не е сигурно обаче дали </w:t>
      </w:r>
      <w:r>
        <w:rPr>
          <w:i/>
        </w:rPr>
        <w:t>Nauru</w:t>
      </w:r>
      <w:r>
        <w:t xml:space="preserve"> </w:t>
      </w:r>
      <w:r w:rsidR="003C416C">
        <w:t>е</w:t>
      </w:r>
      <w:r>
        <w:t xml:space="preserve"> приложим</w:t>
      </w:r>
      <w:r w:rsidR="003C416C">
        <w:t>о</w:t>
      </w:r>
      <w:r>
        <w:t xml:space="preserve"> за </w:t>
      </w:r>
      <w:r w:rsidR="003C416C">
        <w:t xml:space="preserve">забава </w:t>
      </w:r>
      <w:r w:rsidR="001C7F7C">
        <w:t xml:space="preserve">по </w:t>
      </w:r>
      <w:r>
        <w:t>съдебни производства, които вече с в ход</w:t>
      </w:r>
      <w:r>
        <w:rPr>
          <w:rStyle w:val="FootnoteReference"/>
          <w:rFonts w:ascii="Times New Roman" w:hAnsi="Times New Roman"/>
        </w:rPr>
        <w:footnoteReference w:id="10"/>
      </w:r>
      <w:r>
        <w:t xml:space="preserve">. Също така може </w:t>
      </w:r>
      <w:r w:rsidR="00AF6D9C">
        <w:t xml:space="preserve">основателно </w:t>
      </w:r>
      <w:r>
        <w:t xml:space="preserve">да се твърди, че </w:t>
      </w:r>
      <w:r>
        <w:rPr>
          <w:i/>
        </w:rPr>
        <w:t>Nauru</w:t>
      </w:r>
      <w:r>
        <w:t xml:space="preserve"> не </w:t>
      </w:r>
      <w:r w:rsidR="00A1238E">
        <w:t xml:space="preserve">е </w:t>
      </w:r>
      <w:r>
        <w:t>приложим</w:t>
      </w:r>
      <w:r w:rsidR="00A1238E">
        <w:t>о</w:t>
      </w:r>
      <w:r>
        <w:t xml:space="preserve"> в дела по жалби въз основа на ситуации на непрекъснати нарушения като </w:t>
      </w:r>
      <w:r w:rsidR="008F5B15">
        <w:t xml:space="preserve">принудителни </w:t>
      </w:r>
      <w:r>
        <w:t>изчезвания и продължаващи нарушения на правата по Конвенцията на жителите на Карпас</w:t>
      </w:r>
      <w:r>
        <w:rPr>
          <w:rStyle w:val="FootnoteReference"/>
          <w:rFonts w:ascii="Times New Roman" w:hAnsi="Times New Roman"/>
        </w:rPr>
        <w:footnoteReference w:id="11"/>
      </w:r>
      <w:r>
        <w:t xml:space="preserve">. Дори в случай, че заключенията по делото </w:t>
      </w:r>
      <w:r>
        <w:rPr>
          <w:i/>
        </w:rPr>
        <w:t>Nauru</w:t>
      </w:r>
      <w:r>
        <w:t xml:space="preserve"> са приложими по настоящото дело, настоящата жалба би била допустима. По делото </w:t>
      </w:r>
      <w:r>
        <w:rPr>
          <w:i/>
        </w:rPr>
        <w:t>Nauru</w:t>
      </w:r>
      <w:r>
        <w:t xml:space="preserve"> въпросният </w:t>
      </w:r>
      <w:r w:rsidR="00B533FF">
        <w:t>срок</w:t>
      </w:r>
      <w:r>
        <w:t xml:space="preserve"> е двадесет и една години, докато по делото </w:t>
      </w:r>
      <w:r>
        <w:rPr>
          <w:i/>
        </w:rPr>
        <w:t>Кипър срещу Турция</w:t>
      </w:r>
      <w:r>
        <w:t xml:space="preserve"> този период е много по-кратък. По делото </w:t>
      </w:r>
      <w:r>
        <w:rPr>
          <w:i/>
        </w:rPr>
        <w:t>Nauru</w:t>
      </w:r>
      <w:r>
        <w:t xml:space="preserve"> има пауза от двадесет и една години от момента, в който жалбоподателят е могъл да отправи искане</w:t>
      </w:r>
      <w:r w:rsidR="00B533FF">
        <w:t>то</w:t>
      </w:r>
      <w:r>
        <w:t xml:space="preserve"> за обезщетение (1968 г.)</w:t>
      </w:r>
      <w:r w:rsidR="00B533FF">
        <w:t>,</w:t>
      </w:r>
      <w:r>
        <w:t xml:space="preserve"> и момента на официалното му подаване (1989 г.)</w:t>
      </w:r>
      <w:r>
        <w:rPr>
          <w:rStyle w:val="FootnoteReference"/>
          <w:rFonts w:ascii="Times New Roman" w:hAnsi="Times New Roman"/>
        </w:rPr>
        <w:footnoteReference w:id="12"/>
      </w:r>
      <w:r>
        <w:t>. По делото Кипър срещу Турция са минали девет години между решението на Съда, постановено през 2001 г.</w:t>
      </w:r>
      <w:r w:rsidR="00131817">
        <w:t>,</w:t>
      </w:r>
      <w:r>
        <w:t xml:space="preserve"> и отправянето на искането за справедливо обезщетение във връзка с безследно изчезналите лица (2010 г.) и само шест години от датата на решението през 2001 г. до датата на обявяването на решението за подаване на </w:t>
      </w:r>
      <w:r w:rsidR="00131817">
        <w:t xml:space="preserve">иска </w:t>
      </w:r>
      <w:r>
        <w:t>(2007 г.)</w:t>
      </w:r>
      <w:r>
        <w:rPr>
          <w:rStyle w:val="FootnoteReference"/>
          <w:rFonts w:ascii="Times New Roman" w:hAnsi="Times New Roman"/>
        </w:rPr>
        <w:footnoteReference w:id="13"/>
      </w:r>
      <w:r>
        <w:t xml:space="preserve">. </w:t>
      </w:r>
      <w:r w:rsidR="002B083D">
        <w:t>Що се отнася до</w:t>
      </w:r>
      <w:r>
        <w:t xml:space="preserve"> жителите на Карпас, периодът от време между решението на Голямата камара от 2001 г. и жалбата от 21 юни 2012 г. е единадесет години, но ситуацията вече е била сведена до знанието на Съда две години преди това</w:t>
      </w:r>
      <w:r>
        <w:rPr>
          <w:rStyle w:val="FootnoteReference"/>
          <w:rFonts w:ascii="Times New Roman" w:hAnsi="Times New Roman"/>
        </w:rPr>
        <w:footnoteReference w:id="14"/>
      </w:r>
      <w:r>
        <w:t xml:space="preserve">, което прави общо закъснение </w:t>
      </w:r>
      <w:r w:rsidR="00FD2DF2">
        <w:t xml:space="preserve">от </w:t>
      </w:r>
      <w:r>
        <w:t>девет години</w:t>
      </w:r>
      <w:r>
        <w:rPr>
          <w:rStyle w:val="FootnoteReference"/>
          <w:rFonts w:ascii="Times New Roman" w:hAnsi="Times New Roman"/>
        </w:rPr>
        <w:footnoteReference w:id="15"/>
      </w:r>
      <w:r>
        <w:t>.</w:t>
      </w:r>
    </w:p>
    <w:p w:rsidR="001D7FEB" w:rsidRDefault="008F5888" w:rsidP="00F44003">
      <w:pPr>
        <w:pStyle w:val="OpiPara"/>
      </w:pPr>
      <w:r>
        <w:lastRenderedPageBreak/>
        <w:t xml:space="preserve">8.  Нещо повече </w:t>
      </w:r>
      <w:r w:rsidR="005C50D6">
        <w:t xml:space="preserve">– </w:t>
      </w:r>
      <w:r>
        <w:t xml:space="preserve">налице е основателна причина за забавянето от страна на </w:t>
      </w:r>
      <w:r w:rsidR="005C50D6">
        <w:t>П</w:t>
      </w:r>
      <w:r>
        <w:t xml:space="preserve">равителството на Кипър да </w:t>
      </w:r>
      <w:r w:rsidR="00FA5026">
        <w:t>излезе с</w:t>
      </w:r>
      <w:r>
        <w:t xml:space="preserve"> настоящото искане за обезщетение и тази причина е, </w:t>
      </w:r>
      <w:r w:rsidR="00FA5026">
        <w:t>да го кажем ясно</w:t>
      </w:r>
      <w:r>
        <w:t xml:space="preserve">, нежеланието на </w:t>
      </w:r>
      <w:r w:rsidR="00FA5026">
        <w:t>П</w:t>
      </w:r>
      <w:r>
        <w:t xml:space="preserve">равителството на Турция да отговори на усилията на Комитета на министрите за разрешаване на въпроса. Безизходното положение, в което се намира Комитета на министрите, е очевидно предвид позицията, която държавата ответник е заела през последните години, особено, но не изключително след решението </w:t>
      </w:r>
      <w:r>
        <w:rPr>
          <w:i/>
        </w:rPr>
        <w:t>Demopoulos</w:t>
      </w:r>
      <w:r>
        <w:rPr>
          <w:rStyle w:val="FootnoteReference"/>
          <w:rFonts w:ascii="Times New Roman" w:hAnsi="Times New Roman"/>
        </w:rPr>
        <w:footnoteReference w:id="16"/>
      </w:r>
      <w:r>
        <w:t>. Държавата жалбоподател изчаква шест години Комитет</w:t>
      </w:r>
      <w:r w:rsidR="00FA5026">
        <w:t>ът</w:t>
      </w:r>
      <w:r>
        <w:t xml:space="preserve"> на министрите да си изпълни задължени</w:t>
      </w:r>
      <w:r w:rsidR="00FA5026">
        <w:t>е</w:t>
      </w:r>
      <w:r>
        <w:t>т</w:t>
      </w:r>
      <w:r w:rsidR="00FA5026">
        <w:t>о</w:t>
      </w:r>
      <w:r>
        <w:t xml:space="preserve">, което така и не се случва. </w:t>
      </w:r>
      <w:r w:rsidR="00BF04D7">
        <w:t>След като о</w:t>
      </w:r>
      <w:r>
        <w:t>съзнава положението, държавата жалбоподател се обръща към Съда. Държавата жалбоподател не може да бъде критикувана за това, че е разчитала</w:t>
      </w:r>
      <w:r w:rsidR="00BF04D7">
        <w:t>, че</w:t>
      </w:r>
      <w:r>
        <w:t xml:space="preserve"> системата за </w:t>
      </w:r>
      <w:r w:rsidR="00BF04D7">
        <w:t>прилагане</w:t>
      </w:r>
      <w:r>
        <w:t xml:space="preserve"> на Конвенцията е трябвало да функционира, без това да е било така.</w:t>
      </w:r>
    </w:p>
    <w:p w:rsidR="008F5888" w:rsidRPr="00D95319" w:rsidRDefault="008F5888" w:rsidP="00F44003">
      <w:pPr>
        <w:pStyle w:val="OpiPara"/>
      </w:pPr>
      <w:r>
        <w:t xml:space="preserve">9.  Държавата ответник </w:t>
      </w:r>
      <w:r w:rsidR="00BF04D7">
        <w:t>твърди</w:t>
      </w:r>
      <w:r>
        <w:t xml:space="preserve">, че позволеното закъснение от шест години преди подаване на искането за справедливо обезщетение е прекалено дълго, но в същото време твърди, че са изискани нови ексхумации по новите жалби от страна на роднините на лицата, обявени за починали. Въпросът с безследно изчезналите лица, от </w:t>
      </w:r>
      <w:r w:rsidR="0017055B">
        <w:t xml:space="preserve">нейна </w:t>
      </w:r>
      <w:r>
        <w:t>гледна точка, следва да се превърне във въпрос</w:t>
      </w:r>
      <w:r w:rsidR="0017055B">
        <w:t>, свързан с</w:t>
      </w:r>
      <w:r>
        <w:t xml:space="preserve"> покойни лица, като по отношение на обстоятелствата около смъртта им с</w:t>
      </w:r>
      <w:r w:rsidR="0017055B">
        <w:t>е</w:t>
      </w:r>
      <w:r>
        <w:t xml:space="preserve"> предприе</w:t>
      </w:r>
      <w:r w:rsidR="0017055B">
        <w:t>мат</w:t>
      </w:r>
      <w:r>
        <w:t xml:space="preserve"> нови следствени действия</w:t>
      </w:r>
      <w:r>
        <w:rPr>
          <w:rStyle w:val="FootnoteReference"/>
          <w:rFonts w:ascii="Times New Roman" w:hAnsi="Times New Roman"/>
        </w:rPr>
        <w:footnoteReference w:id="17"/>
      </w:r>
      <w:r>
        <w:t xml:space="preserve">. Тази </w:t>
      </w:r>
      <w:r w:rsidR="0017055B">
        <w:t xml:space="preserve">логика </w:t>
      </w:r>
      <w:r>
        <w:t xml:space="preserve">на аргументация е противоречива: от една страна </w:t>
      </w:r>
      <w:r w:rsidR="0017055B">
        <w:t>П</w:t>
      </w:r>
      <w:r>
        <w:t xml:space="preserve">равителството на Турция критикува жалбата поради закъснението, но от друга страна </w:t>
      </w:r>
      <w:r w:rsidR="0017055B">
        <w:t>твърди</w:t>
      </w:r>
      <w:r>
        <w:t>, че въз основа на същите факти в бъдеще следва да бъдат подадени нови жалби. Противоречивите факти не бива да бъдат изслушвани (</w:t>
      </w:r>
      <w:r>
        <w:rPr>
          <w:i/>
        </w:rPr>
        <w:t xml:space="preserve">Allegans contraria </w:t>
      </w:r>
      <w:r>
        <w:rPr>
          <w:i/>
        </w:rPr>
        <w:lastRenderedPageBreak/>
        <w:t>non est audiendus</w:t>
      </w:r>
      <w:r>
        <w:t>)</w:t>
      </w:r>
      <w:r>
        <w:rPr>
          <w:rStyle w:val="FootnoteReference"/>
          <w:rFonts w:ascii="Times New Roman" w:hAnsi="Times New Roman"/>
        </w:rPr>
        <w:footnoteReference w:id="18"/>
      </w:r>
      <w:r>
        <w:t xml:space="preserve">. Не е закъсняла държавата жалбоподател при подаване на искането за обезщетение и молба за прекратяване на продължаващите нарушения на човешките права. Държавата ответник късно е спазила изцяло решението на Голямата камара от 2001 г. </w:t>
      </w:r>
      <w:r w:rsidR="00232FFE">
        <w:t xml:space="preserve">и късно е </w:t>
      </w:r>
      <w:r>
        <w:t>прекрати</w:t>
      </w:r>
      <w:r w:rsidR="00232FFE">
        <w:t>ла</w:t>
      </w:r>
      <w:r>
        <w:t xml:space="preserve"> нарушенията на човешките права, установени в него. Турция пренебрегва решението на Голямата камара в продължение на тринадесет години </w:t>
      </w:r>
      <w:r w:rsidR="00232FFE">
        <w:t>и</w:t>
      </w:r>
      <w:r>
        <w:t xml:space="preserve"> това </w:t>
      </w:r>
      <w:r w:rsidR="00232FFE">
        <w:t xml:space="preserve">поведение </w:t>
      </w:r>
      <w:r>
        <w:t xml:space="preserve">не може да бъде </w:t>
      </w:r>
      <w:r w:rsidR="00232FFE">
        <w:t>толерирано</w:t>
      </w:r>
      <w:r>
        <w:t xml:space="preserve">. Ако Съдът </w:t>
      </w:r>
      <w:r w:rsidR="00232FFE">
        <w:t xml:space="preserve">толерира </w:t>
      </w:r>
      <w:r>
        <w:t xml:space="preserve">това, в Европа няма да съществува </w:t>
      </w:r>
      <w:r w:rsidR="003211EC">
        <w:t>върховенство</w:t>
      </w:r>
      <w:r>
        <w:t xml:space="preserve"> на закона, а </w:t>
      </w:r>
      <w:r w:rsidR="003211EC">
        <w:t xml:space="preserve">правомощията </w:t>
      </w:r>
      <w:r>
        <w:t>на Съда ще бъд</w:t>
      </w:r>
      <w:r w:rsidR="003211EC">
        <w:t>ат</w:t>
      </w:r>
      <w:r>
        <w:t xml:space="preserve"> лишен</w:t>
      </w:r>
      <w:r w:rsidR="003211EC">
        <w:t>и</w:t>
      </w:r>
      <w:r>
        <w:t xml:space="preserve"> от практическо значение, в този случай за семействата на безследно изчезналите и на тези кипърски граждани от гръцки произход от региона на Карпас, чиито права по членове 3, 8, 9, 10 и 13 са нарушени. Процесът на надзор </w:t>
      </w:r>
      <w:r w:rsidR="003211EC">
        <w:t>върху</w:t>
      </w:r>
      <w:r>
        <w:t xml:space="preserve"> изпълнението на решението на Голямата камара от страна на Комитета на министрите е осуетен по различни начини и </w:t>
      </w:r>
      <w:r w:rsidR="003211EC">
        <w:t>се оказва</w:t>
      </w:r>
      <w:r>
        <w:t xml:space="preserve"> неефективен. Съдът не може да добави отказ </w:t>
      </w:r>
      <w:r w:rsidR="003211EC">
        <w:t>на</w:t>
      </w:r>
      <w:r>
        <w:t xml:space="preserve"> правосъдие към безсилието на Комитета на министрите.</w:t>
      </w:r>
    </w:p>
    <w:p w:rsidR="008F5888" w:rsidRPr="00D95319" w:rsidRDefault="008F5888" w:rsidP="00F44003">
      <w:pPr>
        <w:pStyle w:val="OpiPara"/>
      </w:pPr>
      <w:r>
        <w:t xml:space="preserve">10.  Държавата ответник също така </w:t>
      </w:r>
      <w:r w:rsidR="003211EC">
        <w:t>твърди</w:t>
      </w:r>
      <w:r>
        <w:t xml:space="preserve">, без да е много убедена, че е налице отказ от право на обезщетение, ако не изрично, то най-малкото </w:t>
      </w:r>
      <w:r w:rsidR="00B00E55">
        <w:t>негласно</w:t>
      </w:r>
      <w:r>
        <w:t>, предвид бездействието на по</w:t>
      </w:r>
      <w:r w:rsidR="00BE33FF">
        <w:t>търпевш</w:t>
      </w:r>
      <w:r>
        <w:t>ите и държавата жалбоподател</w:t>
      </w:r>
      <w:r>
        <w:rPr>
          <w:rStyle w:val="FootnoteReference"/>
          <w:rFonts w:ascii="Times New Roman" w:hAnsi="Times New Roman"/>
        </w:rPr>
        <w:footnoteReference w:id="19"/>
      </w:r>
      <w:r>
        <w:t xml:space="preserve">. Тази аргументация обаче не е от полза. Държавата жалбоподател усилено търси година след година — дотук без успех — начин да обезпечи компенсации за нарушенията на правата на човека вследствие нахлуването в Кипър пред различни международни </w:t>
      </w:r>
      <w:r w:rsidRPr="00AC07A8">
        <w:t>форуми</w:t>
      </w:r>
      <w:r>
        <w:t xml:space="preserve">, включително </w:t>
      </w:r>
      <w:r w:rsidR="00EE013F">
        <w:t xml:space="preserve">пред </w:t>
      </w:r>
      <w:r>
        <w:t xml:space="preserve">Комитета на министрите, и никога не е </w:t>
      </w:r>
      <w:r w:rsidR="00EE013F">
        <w:t xml:space="preserve">изразила </w:t>
      </w:r>
      <w:r>
        <w:t>намерение да се откаже. Освен това</w:t>
      </w:r>
      <w:r w:rsidR="00EE013F">
        <w:t xml:space="preserve"> П</w:t>
      </w:r>
      <w:r>
        <w:t>равителството на Кипър не би могло да се откаже правата на отделните по</w:t>
      </w:r>
      <w:r w:rsidR="00BE33FF">
        <w:t>търпевш</w:t>
      </w:r>
      <w:r>
        <w:t>и, които представлява, без тяхното съгласие. Нито самите по</w:t>
      </w:r>
      <w:r w:rsidR="00BE33FF">
        <w:t>търпевш</w:t>
      </w:r>
      <w:r>
        <w:t>и, нито техните семейства са изразявали някога съгласието си с неприсъждането на обезщетения за нарушаване на техните човешки права, което е продължило твърде дълго.</w:t>
      </w:r>
    </w:p>
    <w:p w:rsidR="008F5888" w:rsidRPr="00D95319" w:rsidRDefault="008F5888" w:rsidP="00F44003">
      <w:pPr>
        <w:pStyle w:val="OpiPara"/>
      </w:pPr>
      <w:r>
        <w:t xml:space="preserve">11.  Накрая, не са налични алтернативни вътрешноправни средства за защита по </w:t>
      </w:r>
      <w:r w:rsidR="00B21569">
        <w:t xml:space="preserve">исковете </w:t>
      </w:r>
      <w:r>
        <w:t xml:space="preserve">по настоящото дело. Делото </w:t>
      </w:r>
      <w:r>
        <w:rPr>
          <w:i/>
        </w:rPr>
        <w:t>Demopoulos</w:t>
      </w:r>
      <w:r>
        <w:t xml:space="preserve"> не е приложимо в настоящия случай, тъй като то се отнася само за искания за обезщетение по чл</w:t>
      </w:r>
      <w:r w:rsidR="00B21569">
        <w:t>.</w:t>
      </w:r>
      <w:r>
        <w:t xml:space="preserve"> 1 от Протокол № 1 по индивидуални дела</w:t>
      </w:r>
      <w:r>
        <w:rPr>
          <w:rStyle w:val="FootnoteReference"/>
          <w:rFonts w:ascii="Times New Roman" w:hAnsi="Times New Roman"/>
        </w:rPr>
        <w:footnoteReference w:id="20"/>
      </w:r>
      <w:r>
        <w:t xml:space="preserve">, а настоящото дело не се отнася до подобни искания. Освен това трябва да се подчертае, че правилото на изчерпване на вътрешноправните </w:t>
      </w:r>
      <w:r>
        <w:lastRenderedPageBreak/>
        <w:t>средства за защита не е приложимо при исканията за справедливо обезщетение като цяло</w:t>
      </w:r>
      <w:r>
        <w:rPr>
          <w:rStyle w:val="FootnoteReference"/>
          <w:rFonts w:ascii="Times New Roman" w:hAnsi="Times New Roman"/>
        </w:rPr>
        <w:footnoteReference w:id="21"/>
      </w:r>
      <w:r>
        <w:t>.</w:t>
      </w:r>
    </w:p>
    <w:p w:rsidR="001D7FEB" w:rsidRDefault="008F5888" w:rsidP="00F44003">
      <w:pPr>
        <w:pStyle w:val="OpiH1"/>
      </w:pPr>
      <w:r>
        <w:t>Наказателният характер на справедливото обезщетение съгласно Конвенцията</w:t>
      </w:r>
    </w:p>
    <w:p w:rsidR="001D7FEB" w:rsidRDefault="008F5888" w:rsidP="00F44003">
      <w:pPr>
        <w:pStyle w:val="OpiPara"/>
      </w:pPr>
      <w:r>
        <w:t xml:space="preserve">12.  Според държавата жалбоподател справедливо обезщетение следва да бъде </w:t>
      </w:r>
      <w:r w:rsidR="004C27EB">
        <w:t xml:space="preserve">предоставено </w:t>
      </w:r>
      <w:r>
        <w:t>на законните наследници на 1 456 безследно изчезнали лица</w:t>
      </w:r>
      <w:r>
        <w:rPr>
          <w:rStyle w:val="FootnoteReference"/>
          <w:rFonts w:ascii="Times New Roman" w:hAnsi="Times New Roman"/>
        </w:rPr>
        <w:footnoteReference w:id="22"/>
      </w:r>
      <w:r>
        <w:t xml:space="preserve"> и на </w:t>
      </w:r>
      <w:r w:rsidR="004C27EB">
        <w:t xml:space="preserve">всички </w:t>
      </w:r>
      <w:r>
        <w:t xml:space="preserve">кипърски гърци, живели в региона на Карпас между 1974 г. и датата на решението на Голямата камара по </w:t>
      </w:r>
      <w:r w:rsidR="004C27EB">
        <w:t>основателността</w:t>
      </w:r>
      <w:r>
        <w:t xml:space="preserve"> през май 2001 г</w:t>
      </w:r>
      <w:r w:rsidR="004C27EB">
        <w:t>.</w:t>
      </w:r>
      <w:r>
        <w:rPr>
          <w:rStyle w:val="FootnoteReference"/>
          <w:rFonts w:ascii="Times New Roman" w:hAnsi="Times New Roman"/>
        </w:rPr>
        <w:footnoteReference w:id="23"/>
      </w:r>
      <w:r>
        <w:t>. Държавата ответник оспор</w:t>
      </w:r>
      <w:r w:rsidR="00CA2C1A">
        <w:t>ва</w:t>
      </w:r>
      <w:r>
        <w:t xml:space="preserve"> тези цифри като чисто „хипотетични“ </w:t>
      </w:r>
      <w:r w:rsidR="00CA2C1A">
        <w:t xml:space="preserve">и </w:t>
      </w:r>
      <w:r>
        <w:t xml:space="preserve">твърди, че броят на безследно изчезналите лица може да се </w:t>
      </w:r>
      <w:r w:rsidR="00F03300">
        <w:t xml:space="preserve">е </w:t>
      </w:r>
      <w:r>
        <w:t>промен</w:t>
      </w:r>
      <w:r w:rsidR="00F03300">
        <w:t>ил</w:t>
      </w:r>
      <w:r>
        <w:t xml:space="preserve"> във времето, някои от тях може да не са оставили законни наследници и е просто невъзможно да се открият всички жители на региона на Карпас </w:t>
      </w:r>
      <w:r w:rsidR="00F03300">
        <w:t>след</w:t>
      </w:r>
      <w:r>
        <w:t xml:space="preserve"> 1974 г. Голямата камара </w:t>
      </w:r>
      <w:r w:rsidR="00F03300">
        <w:t>констатира</w:t>
      </w:r>
      <w:r>
        <w:t>, че не е необходимо да се установява точният брой на отделните по</w:t>
      </w:r>
      <w:r w:rsidR="00BE33FF">
        <w:t>търпевш</w:t>
      </w:r>
      <w:r>
        <w:t>и от нарушаване на човешките права и определ</w:t>
      </w:r>
      <w:r w:rsidR="00F03300">
        <w:t>я</w:t>
      </w:r>
      <w:r>
        <w:t xml:space="preserve"> две </w:t>
      </w:r>
      <w:r w:rsidR="00F03300">
        <w:t xml:space="preserve">еднократни </w:t>
      </w:r>
      <w:r>
        <w:t xml:space="preserve">суми в полза на всяка от тези групи лица </w:t>
      </w:r>
      <w:r w:rsidR="00F03300">
        <w:t>и</w:t>
      </w:r>
      <w:r>
        <w:t xml:space="preserve"> задължение </w:t>
      </w:r>
      <w:r w:rsidR="00F03300">
        <w:t xml:space="preserve">за </w:t>
      </w:r>
      <w:r>
        <w:t>държавата жалбоподател да разпредели паричните средства между по</w:t>
      </w:r>
      <w:r w:rsidR="00424B7C">
        <w:t>търпевш</w:t>
      </w:r>
      <w:r>
        <w:t>ите или техните законни наследници. В действителност броят на безследно изчезналите лица е намалял предвид ексхумациите, извършени през последните години, като по</w:t>
      </w:r>
      <w:r w:rsidR="007141BD">
        <w:t>търпевш</w:t>
      </w:r>
      <w:r>
        <w:t xml:space="preserve">ите в региона на Карпас </w:t>
      </w:r>
      <w:r w:rsidR="005933DE">
        <w:t>не са идентифицирани</w:t>
      </w:r>
      <w:r>
        <w:t xml:space="preserve">, нито </w:t>
      </w:r>
      <w:r>
        <w:lastRenderedPageBreak/>
        <w:t xml:space="preserve">има възможност да бъдат </w:t>
      </w:r>
      <w:r w:rsidR="005933DE">
        <w:t>идентифицирани</w:t>
      </w:r>
      <w:r>
        <w:t xml:space="preserve"> въз основа </w:t>
      </w:r>
      <w:r w:rsidR="005933DE">
        <w:t xml:space="preserve">единствено </w:t>
      </w:r>
      <w:r>
        <w:t xml:space="preserve">на доказателствата по </w:t>
      </w:r>
      <w:r w:rsidR="005933DE">
        <w:t>преписката</w:t>
      </w:r>
      <w:r>
        <w:t>. Съдът дори не изисква, както предл</w:t>
      </w:r>
      <w:r w:rsidR="00EE601C">
        <w:t>ага</w:t>
      </w:r>
      <w:r>
        <w:t xml:space="preserve"> държавата жалбоподател, броят на жителите на Карпас да бъде съгласуван между страните или, при липса на с</w:t>
      </w:r>
      <w:r w:rsidR="00EE601C">
        <w:t>ъглас</w:t>
      </w:r>
      <w:r>
        <w:t>ие, да бъде определен от председателя на Съда „въз основа на писмени доказателства и изявления относно броя и местоположението на жителите и техните наследници“. Освен това Съдът не определ</w:t>
      </w:r>
      <w:r w:rsidR="00EE601C">
        <w:t>я</w:t>
      </w:r>
      <w:r>
        <w:t xml:space="preserve"> критерии, практически </w:t>
      </w:r>
      <w:r w:rsidR="00EE601C">
        <w:t>договорености</w:t>
      </w:r>
      <w:r>
        <w:t xml:space="preserve"> или </w:t>
      </w:r>
      <w:r w:rsidR="00EE601C">
        <w:t>проценти</w:t>
      </w:r>
      <w:r>
        <w:t xml:space="preserve"> относно разпределението на обезщетението между по</w:t>
      </w:r>
      <w:r w:rsidR="00BE33FF">
        <w:t>търпевш</w:t>
      </w:r>
      <w:r>
        <w:t>ите или техните законни наследници съгласно индивидуално различаващите се обстоятелства (например вдовици, майки, деца) и най-важното не налага условия във връзка с връщане на обезщетение в случаите, в които не са открити по</w:t>
      </w:r>
      <w:r w:rsidR="00BE33FF">
        <w:t>търпевш</w:t>
      </w:r>
      <w:r>
        <w:t>ите и законните им наследници. В такъв случай държавата жалбоподател ще бъде крайният бенефициер на сумите, изплатени от държавата ответник.</w:t>
      </w:r>
    </w:p>
    <w:p w:rsidR="008F5888" w:rsidRPr="00D95319" w:rsidRDefault="008F5888" w:rsidP="00F44003">
      <w:pPr>
        <w:pStyle w:val="OpiPara"/>
      </w:pPr>
      <w:r>
        <w:t xml:space="preserve">13.  Наказателното естество </w:t>
      </w:r>
      <w:r w:rsidR="00D95434">
        <w:t xml:space="preserve">на </w:t>
      </w:r>
      <w:r>
        <w:t>това обезщетение е очевидн</w:t>
      </w:r>
      <w:r w:rsidR="001B6DF7">
        <w:t>о</w:t>
      </w:r>
      <w:r>
        <w:rPr>
          <w:rStyle w:val="FootnoteReference"/>
          <w:rFonts w:ascii="Times New Roman" w:hAnsi="Times New Roman"/>
        </w:rPr>
        <w:footnoteReference w:id="24"/>
      </w:r>
      <w:r>
        <w:t>. Въпреки факта, че не може да се установят самоличността на по</w:t>
      </w:r>
      <w:r w:rsidR="00407FDD">
        <w:t>търпевши</w:t>
      </w:r>
      <w:r>
        <w:t xml:space="preserve">те от действието и бездействието на държавата ответник и последвалите мащабни и груби нарушения на правата на човека в анклава Карпас, че </w:t>
      </w:r>
      <w:r w:rsidR="00C536EC">
        <w:t xml:space="preserve">исковете </w:t>
      </w:r>
      <w:r>
        <w:t xml:space="preserve">във връзка с безследно изчезналите лица </w:t>
      </w:r>
      <w:r w:rsidR="00C536EC">
        <w:t>биха били изтекли по</w:t>
      </w:r>
      <w:r>
        <w:t xml:space="preserve"> давност, ако са подадени индивидуално от съответните семейства</w:t>
      </w:r>
      <w:r>
        <w:rPr>
          <w:rStyle w:val="FootnoteReference"/>
          <w:rFonts w:ascii="Times New Roman" w:hAnsi="Times New Roman"/>
        </w:rPr>
        <w:footnoteReference w:id="25"/>
      </w:r>
      <w:r>
        <w:t xml:space="preserve"> и че не може да бъде сигурно, че получените обезщетения ще бъдат предоставени на засегнатите лица, Съдът </w:t>
      </w:r>
      <w:r w:rsidR="00C536EC">
        <w:t>налага наказание на</w:t>
      </w:r>
      <w:r>
        <w:t xml:space="preserve"> държавата ответник за неправомерните </w:t>
      </w:r>
      <w:r w:rsidR="00C536EC">
        <w:t>ѝ</w:t>
      </w:r>
      <w:r>
        <w:t xml:space="preserve"> действия и бездействия и вредните последици от тях. Няма нищо ново относно тази процедура. В действителност практиката на Съда показва, че наказателните обезщетения се прилагат по </w:t>
      </w:r>
      <w:r w:rsidR="00AF50F1">
        <w:t xml:space="preserve">седем </w:t>
      </w:r>
      <w:r>
        <w:t>вида дела</w:t>
      </w:r>
      <w:r>
        <w:rPr>
          <w:rStyle w:val="FootnoteReference"/>
          <w:rFonts w:ascii="Times New Roman" w:hAnsi="Times New Roman"/>
        </w:rPr>
        <w:footnoteReference w:id="26"/>
      </w:r>
      <w:r>
        <w:t>. Първо, Съдът е разпоре</w:t>
      </w:r>
      <w:r w:rsidR="00E10969">
        <w:t>ж</w:t>
      </w:r>
      <w:r>
        <w:t>д</w:t>
      </w:r>
      <w:r w:rsidR="00E10969">
        <w:t>а</w:t>
      </w:r>
      <w:r>
        <w:t xml:space="preserve">л </w:t>
      </w:r>
      <w:r w:rsidR="002E6AC2">
        <w:t>обезщетение</w:t>
      </w:r>
      <w:r>
        <w:t xml:space="preserve">, без да е постъпило искане от страна на жалбоподателя за справедливо обезщетение. Въз основа на </w:t>
      </w:r>
      <w:r>
        <w:lastRenderedPageBreak/>
        <w:t>„абсолютния характер“ на нарушеното право</w:t>
      </w:r>
      <w:r>
        <w:rPr>
          <w:rStyle w:val="FootnoteReference"/>
          <w:rFonts w:ascii="Times New Roman" w:hAnsi="Times New Roman"/>
        </w:rPr>
        <w:footnoteReference w:id="27"/>
      </w:r>
      <w:r>
        <w:t>, „особено сериозния характер на нарушенията“</w:t>
      </w:r>
      <w:r>
        <w:rPr>
          <w:rStyle w:val="FootnoteReference"/>
          <w:rFonts w:ascii="Times New Roman" w:hAnsi="Times New Roman"/>
        </w:rPr>
        <w:footnoteReference w:id="28"/>
      </w:r>
      <w:r w:rsidR="002E6AC2">
        <w:t>,</w:t>
      </w:r>
      <w:r>
        <w:t xml:space="preserve"> „тежестта на нарушенията“</w:t>
      </w:r>
      <w:r>
        <w:rPr>
          <w:rStyle w:val="FootnoteReference"/>
          <w:rFonts w:ascii="Times New Roman" w:hAnsi="Times New Roman"/>
        </w:rPr>
        <w:footnoteReference w:id="29"/>
      </w:r>
      <w:r>
        <w:t xml:space="preserve"> или „фундаменталн</w:t>
      </w:r>
      <w:r w:rsidR="00491CBD">
        <w:t>о</w:t>
      </w:r>
      <w:r>
        <w:t>т</w:t>
      </w:r>
      <w:r w:rsidR="00491CBD">
        <w:t>о</w:t>
      </w:r>
      <w:r>
        <w:t xml:space="preserve"> </w:t>
      </w:r>
      <w:r w:rsidR="00491CBD">
        <w:t>значение</w:t>
      </w:r>
      <w:r>
        <w:t xml:space="preserve"> на това право“</w:t>
      </w:r>
      <w:r>
        <w:rPr>
          <w:rStyle w:val="FootnoteReference"/>
          <w:rFonts w:ascii="Times New Roman" w:hAnsi="Times New Roman"/>
        </w:rPr>
        <w:footnoteReference w:id="30"/>
      </w:r>
      <w:r>
        <w:t>, Съдът е готов да разпореди обезщетение за нарушения по членове 3 и 5, без да е постъпвала жалба във връзка с конкретни вреди. В други дела жалбоподателят иска от Съда да бъде обезщетен, но не конкретизира сумата, като Съдът присъжда по справедливост по конкретното дело</w:t>
      </w:r>
      <w:r>
        <w:rPr>
          <w:rStyle w:val="FootnoteReference"/>
          <w:rFonts w:ascii="Times New Roman" w:hAnsi="Times New Roman"/>
        </w:rPr>
        <w:footnoteReference w:id="31"/>
      </w:r>
      <w:r>
        <w:t xml:space="preserve">. Съществуват </w:t>
      </w:r>
      <w:r w:rsidR="00276F28">
        <w:t>и случаи</w:t>
      </w:r>
      <w:r>
        <w:t>, когато жалбоподателят отправя искане за справедливо обезщетение, като определя конкретна сума за неимуществени вреди, но Съдът присъжда по-голяма сума</w:t>
      </w:r>
      <w:r>
        <w:rPr>
          <w:rStyle w:val="FootnoteReference"/>
          <w:rFonts w:ascii="Times New Roman" w:hAnsi="Times New Roman"/>
        </w:rPr>
        <w:footnoteReference w:id="32"/>
      </w:r>
      <w:r>
        <w:t xml:space="preserve">. Когато Съдът присъди обезщетение </w:t>
      </w:r>
      <w:r w:rsidR="00276F28">
        <w:t>в размер,</w:t>
      </w:r>
      <w:r>
        <w:t xml:space="preserve"> по-голям от твърдените вреди</w:t>
      </w:r>
      <w:r w:rsidR="00CF356A">
        <w:t>,</w:t>
      </w:r>
      <w:r>
        <w:t xml:space="preserve"> или дори независимо от твърдения за нанесени вреди, естеството на </w:t>
      </w:r>
      <w:r w:rsidR="00CF356A">
        <w:t>справедливото</w:t>
      </w:r>
      <w:r>
        <w:t xml:space="preserve"> обезщетение вече не е компенсаторно, а наказателно. Присъщата цел на това средство </w:t>
      </w:r>
      <w:r w:rsidR="00CF356A">
        <w:t xml:space="preserve">за защита </w:t>
      </w:r>
      <w:r>
        <w:t>не е да постави по</w:t>
      </w:r>
      <w:r w:rsidR="00407FDD">
        <w:t>търпевш</w:t>
      </w:r>
      <w:r>
        <w:t xml:space="preserve">ата страна в позицията, в която би била, ако нарушението не е настъпило, тъй като тази страна дори не е претендирала, че е понесла вреди или </w:t>
      </w:r>
      <w:r w:rsidR="00F94820">
        <w:t xml:space="preserve">твърди, </w:t>
      </w:r>
      <w:r>
        <w:t>че е пострадала в по-малк</w:t>
      </w:r>
      <w:r w:rsidR="00F94820">
        <w:t>а</w:t>
      </w:r>
      <w:r>
        <w:t xml:space="preserve"> </w:t>
      </w:r>
      <w:r w:rsidR="00F94820">
        <w:t>степен</w:t>
      </w:r>
      <w:r>
        <w:t xml:space="preserve">. Основната цел на това средство </w:t>
      </w:r>
      <w:r w:rsidR="00F94820">
        <w:t xml:space="preserve">за защита </w:t>
      </w:r>
      <w:r>
        <w:t>е по този начин да накаже държава</w:t>
      </w:r>
      <w:r w:rsidR="00F94820">
        <w:t>та нарушител</w:t>
      </w:r>
      <w:r>
        <w:t xml:space="preserve"> и да предотврати повторение на същите неправомерни действия или бездействия от страна на държавата ответник и други страни по Конвенцията. Второ, в някои случаи Съдът е определил „символично“ или „</w:t>
      </w:r>
      <w:r w:rsidR="001B416C">
        <w:t xml:space="preserve">формално </w:t>
      </w:r>
      <w:r>
        <w:t>обезщетение“</w:t>
      </w:r>
      <w:r>
        <w:rPr>
          <w:rStyle w:val="FootnoteReference"/>
          <w:rFonts w:ascii="Times New Roman" w:hAnsi="Times New Roman"/>
        </w:rPr>
        <w:footnoteReference w:id="33"/>
      </w:r>
      <w:r w:rsidR="006D770E">
        <w:t xml:space="preserve"> </w:t>
      </w:r>
      <w:r>
        <w:t xml:space="preserve">с очевидната цел държавата ответник да бъде порицана, като това наказание да послужи като пример за други държави. Трето, Съдът също така </w:t>
      </w:r>
      <w:r w:rsidR="00E10969">
        <w:t xml:space="preserve">е </w:t>
      </w:r>
      <w:r>
        <w:t>присъжда</w:t>
      </w:r>
      <w:r w:rsidR="00E10969">
        <w:t>л</w:t>
      </w:r>
      <w:r>
        <w:t xml:space="preserve"> справедливо обезщетение по дела, в които жалбоподателят се оплаква от вътрешното законодателство, без да посочва конкретни персонални вреди, различни от неудобството, причинено от </w:t>
      </w:r>
      <w:r w:rsidR="006D770E">
        <w:t xml:space="preserve">самото съществуване </w:t>
      </w:r>
      <w:r>
        <w:t>на закон</w:t>
      </w:r>
      <w:r w:rsidR="006D770E">
        <w:t>а</w:t>
      </w:r>
      <w:r>
        <w:rPr>
          <w:rStyle w:val="FootnoteReference"/>
          <w:rFonts w:ascii="Times New Roman" w:hAnsi="Times New Roman"/>
        </w:rPr>
        <w:footnoteReference w:id="34"/>
      </w:r>
      <w:r>
        <w:t xml:space="preserve">. Ясно </w:t>
      </w:r>
      <w:r>
        <w:lastRenderedPageBreak/>
        <w:t xml:space="preserve">е, че тогава присъждането на справедливо обезщетение е </w:t>
      </w:r>
      <w:r w:rsidR="00810C88">
        <w:t xml:space="preserve">назидателна </w:t>
      </w:r>
      <w:r>
        <w:t xml:space="preserve">санкция, наложена на държавата ответник, която не е съобразила законодателството си с Конвенцията. Четвърто, Съдът </w:t>
      </w:r>
      <w:r w:rsidR="00810C88">
        <w:t xml:space="preserve">е </w:t>
      </w:r>
      <w:r>
        <w:t>разпорежда</w:t>
      </w:r>
      <w:r w:rsidR="00810C88">
        <w:t>л</w:t>
      </w:r>
      <w:r>
        <w:t xml:space="preserve"> справедливо обезщетение за „потенциално нарушение“ на Конвенцията</w:t>
      </w:r>
      <w:r>
        <w:rPr>
          <w:rStyle w:val="FootnoteReference"/>
          <w:rFonts w:ascii="Times New Roman" w:hAnsi="Times New Roman"/>
        </w:rPr>
        <w:footnoteReference w:id="35"/>
      </w:r>
      <w:r>
        <w:t xml:space="preserve">. Тук отново целта на справедливото обезщетение е да порицае и санкционира поведението на държавата ответник, отколкото да компенсира вреди, които все още не са нанесени. Пето, Съдът дори не </w:t>
      </w:r>
      <w:r w:rsidR="00234378">
        <w:t xml:space="preserve">е </w:t>
      </w:r>
      <w:r>
        <w:t>изключва</w:t>
      </w:r>
      <w:r w:rsidR="00234378">
        <w:t>л</w:t>
      </w:r>
      <w:r>
        <w:t xml:space="preserve"> възможността, че жалбоподателят е </w:t>
      </w:r>
      <w:r w:rsidR="006552AF">
        <w:t>претърпял</w:t>
      </w:r>
      <w:r>
        <w:t xml:space="preserve"> в резултат на „потенциалните ефекти </w:t>
      </w:r>
      <w:r w:rsidR="006552AF">
        <w:t xml:space="preserve">от </w:t>
      </w:r>
      <w:r>
        <w:t>констатираното нарушение“ загуба на реални възможности, които следва да бъде отчетени, „независимо от факта, че перспективите за реализация биха били под въпрос“</w:t>
      </w:r>
      <w:r>
        <w:rPr>
          <w:rStyle w:val="FootnoteReference"/>
          <w:rFonts w:ascii="Times New Roman" w:hAnsi="Times New Roman"/>
        </w:rPr>
        <w:footnoteReference w:id="36"/>
      </w:r>
      <w:r>
        <w:t xml:space="preserve">. В тези конкретни случаи справедливото обезщетение дори не компенсира виртуална вреда, нанесена на жалбоподателя, тъй като е под </w:t>
      </w:r>
      <w:r w:rsidR="006552AF">
        <w:t xml:space="preserve">въпрос </w:t>
      </w:r>
      <w:r>
        <w:t xml:space="preserve">дали някога </w:t>
      </w:r>
      <w:r w:rsidR="006552AF">
        <w:t>би</w:t>
      </w:r>
      <w:r>
        <w:t xml:space="preserve"> възникн</w:t>
      </w:r>
      <w:r w:rsidR="006552AF">
        <w:t>ала</w:t>
      </w:r>
      <w:r>
        <w:t xml:space="preserve">. Съдът иска да санкционира неправомерното поведение на държавата ответник. Шесто, понякога Съдът дори </w:t>
      </w:r>
      <w:r w:rsidR="006552AF">
        <w:t xml:space="preserve">е </w:t>
      </w:r>
      <w:r>
        <w:t>присъжда</w:t>
      </w:r>
      <w:r w:rsidR="006552AF">
        <w:t>л</w:t>
      </w:r>
      <w:r>
        <w:t xml:space="preserve"> обезщетения въпреки липсата на придружаващи документи и противоречия в изявленията на жалбоподателите във връзка с претендираните загуби</w:t>
      </w:r>
      <w:r>
        <w:rPr>
          <w:rStyle w:val="FootnoteReference"/>
          <w:rFonts w:ascii="Times New Roman" w:hAnsi="Times New Roman"/>
        </w:rPr>
        <w:footnoteReference w:id="37"/>
      </w:r>
      <w:r>
        <w:t>. Когато не е предоставено доказателство за твърдяна</w:t>
      </w:r>
      <w:r w:rsidR="00720DAC">
        <w:t>та</w:t>
      </w:r>
      <w:r>
        <w:t xml:space="preserve"> вреда, присъждането на обезщетение е изцяло по преценка на Съда. При такива обстоятелства </w:t>
      </w:r>
      <w:r w:rsidR="00720DAC">
        <w:t xml:space="preserve">на </w:t>
      </w:r>
      <w:r>
        <w:t xml:space="preserve">пълна липса на доказателства и дискреционно </w:t>
      </w:r>
      <w:r w:rsidR="00720DAC">
        <w:t xml:space="preserve">присъждане на </w:t>
      </w:r>
      <w:r>
        <w:t xml:space="preserve">обезщетение, справедливото обезщетение съдържа присъщ </w:t>
      </w:r>
      <w:r w:rsidR="00720DAC">
        <w:t>елемент</w:t>
      </w:r>
      <w:r>
        <w:t xml:space="preserve"> на наказание, тъй като не компенсира доказана вреда, ко</w:t>
      </w:r>
      <w:r w:rsidR="00DA679D">
        <w:t>я</w:t>
      </w:r>
      <w:r>
        <w:t xml:space="preserve">то остава </w:t>
      </w:r>
      <w:r w:rsidR="00720DAC">
        <w:t>спекулативна</w:t>
      </w:r>
      <w:r>
        <w:t xml:space="preserve">, а вместо това санкционира държавата ответник за неправомерното </w:t>
      </w:r>
      <w:r w:rsidR="00DA679D">
        <w:t>ѝ</w:t>
      </w:r>
      <w:r>
        <w:t xml:space="preserve"> поведение. Седмо, в случаи от общ интерес Съдът определя справедливо обезщетение, като взема предвид назидателния му характер</w:t>
      </w:r>
      <w:r>
        <w:rPr>
          <w:rStyle w:val="FootnoteReference"/>
          <w:rFonts w:ascii="Times New Roman" w:hAnsi="Times New Roman"/>
        </w:rPr>
        <w:footnoteReference w:id="38"/>
      </w:r>
      <w:r>
        <w:t>.</w:t>
      </w:r>
    </w:p>
    <w:p w:rsidR="001D7FEB" w:rsidRDefault="008F5888" w:rsidP="00F44003">
      <w:pPr>
        <w:pStyle w:val="OpiPara"/>
      </w:pPr>
      <w:r>
        <w:t>14.  Така наличието на наказателни или назидателни обезщетения по Конвенцията е факт в практиката на Съда. Тъй като справедливо обезщетение се присъжда само в случаите, когато вътрешноправни</w:t>
      </w:r>
      <w:r w:rsidR="00DA679D">
        <w:t>ят</w:t>
      </w:r>
      <w:r>
        <w:t xml:space="preserve"> </w:t>
      </w:r>
      <w:r w:rsidR="00DA679D">
        <w:t xml:space="preserve">ред </w:t>
      </w:r>
      <w:r>
        <w:t>не предоставя пълна компенсация, чл</w:t>
      </w:r>
      <w:r w:rsidR="004C77FF">
        <w:t>.</w:t>
      </w:r>
      <w:r>
        <w:t xml:space="preserve"> 41 изключва обезщетения, </w:t>
      </w:r>
      <w:r>
        <w:lastRenderedPageBreak/>
        <w:t>надвишаващи пълн</w:t>
      </w:r>
      <w:r w:rsidR="004C77FF">
        <w:t>ата</w:t>
      </w:r>
      <w:r>
        <w:t xml:space="preserve"> компенсаци</w:t>
      </w:r>
      <w:r w:rsidR="004C77FF">
        <w:t>я</w:t>
      </w:r>
      <w:r>
        <w:t>, но „пълна“ компенсация може да се постигне</w:t>
      </w:r>
      <w:r w:rsidR="004C77FF">
        <w:t>,</w:t>
      </w:r>
      <w:r>
        <w:t xml:space="preserve"> само ако и когато необходимостта от предотвратяване и санкция </w:t>
      </w:r>
      <w:r w:rsidR="004C77FF">
        <w:t xml:space="preserve">при </w:t>
      </w:r>
      <w:r>
        <w:t xml:space="preserve">конкретните обстоятелства по делото също е удовлетворена. Само тогава обезщетението е „справедливо“. Обезщетение за количествено </w:t>
      </w:r>
      <w:r w:rsidR="00C47F9D">
        <w:t xml:space="preserve">измерими </w:t>
      </w:r>
      <w:r>
        <w:t xml:space="preserve">загуби може да не бъде достатъчно и задължението </w:t>
      </w:r>
      <w:r w:rsidR="00C47F9D">
        <w:t>з</w:t>
      </w:r>
      <w:r>
        <w:t xml:space="preserve">а пълно обезщетение може да включва наказателни обезщетения, които надхвърлят имуществените и неимуществените вреди, причинени на </w:t>
      </w:r>
      <w:r w:rsidR="00C47F9D">
        <w:t>идентифицираните</w:t>
      </w:r>
      <w:r>
        <w:t xml:space="preserve"> лица.</w:t>
      </w:r>
    </w:p>
    <w:p w:rsidR="008F5888" w:rsidRPr="00D95319" w:rsidRDefault="008F5888" w:rsidP="00F44003">
      <w:pPr>
        <w:pStyle w:val="OpiPara"/>
      </w:pPr>
      <w:r>
        <w:t xml:space="preserve">15.  Наказателните обезщетения са приети също и в международната практика и </w:t>
      </w:r>
      <w:r w:rsidR="00C47F9D">
        <w:t>право</w:t>
      </w:r>
      <w:r>
        <w:t>, както и в дипломатическата практика</w:t>
      </w:r>
      <w:r>
        <w:rPr>
          <w:rStyle w:val="FootnoteReference"/>
          <w:rFonts w:ascii="Times New Roman" w:hAnsi="Times New Roman"/>
        </w:rPr>
        <w:footnoteReference w:id="39"/>
      </w:r>
      <w:r>
        <w:t>, арбитражни</w:t>
      </w:r>
      <w:r w:rsidR="00C06329">
        <w:t>те</w:t>
      </w:r>
      <w:r>
        <w:t xml:space="preserve"> процедури</w:t>
      </w:r>
      <w:r>
        <w:rPr>
          <w:rStyle w:val="FootnoteReference"/>
          <w:rFonts w:ascii="Times New Roman" w:hAnsi="Times New Roman"/>
        </w:rPr>
        <w:footnoteReference w:id="40"/>
      </w:r>
      <w:r>
        <w:t>, международни</w:t>
      </w:r>
      <w:r w:rsidR="00C06329">
        <w:t>те</w:t>
      </w:r>
      <w:r>
        <w:t xml:space="preserve"> трудови практики</w:t>
      </w:r>
      <w:r>
        <w:rPr>
          <w:rStyle w:val="FootnoteReference"/>
          <w:rFonts w:ascii="Times New Roman" w:hAnsi="Times New Roman"/>
        </w:rPr>
        <w:footnoteReference w:id="41"/>
      </w:r>
      <w:r w:rsidR="00C06329">
        <w:t xml:space="preserve"> </w:t>
      </w:r>
      <w:r>
        <w:t xml:space="preserve">и </w:t>
      </w:r>
      <w:r w:rsidR="00C06329">
        <w:t xml:space="preserve">най-вече </w:t>
      </w:r>
      <w:r>
        <w:t xml:space="preserve">в международното частно право, </w:t>
      </w:r>
      <w:r w:rsidR="00C06329">
        <w:t>пра</w:t>
      </w:r>
      <w:r>
        <w:t>вото на Европейския съюз и международн</w:t>
      </w:r>
      <w:r w:rsidR="00AC70D7">
        <w:t>ото</w:t>
      </w:r>
      <w:r>
        <w:t xml:space="preserve"> </w:t>
      </w:r>
      <w:r w:rsidR="00AC70D7">
        <w:t>право</w:t>
      </w:r>
      <w:r>
        <w:t xml:space="preserve"> </w:t>
      </w:r>
      <w:r w:rsidR="00AC70D7">
        <w:t>в областта на</w:t>
      </w:r>
      <w:r>
        <w:t xml:space="preserve"> правата на човека. В сферата на международното частно право, нито Конвенцията от Ню Йорк от 10 юни 1958 г. за признаване и изпълнение на чуждестранни арбитражни решения, към която са се присъединили 149 страни, нито Конвенцията от Хага от 1 февруари 1971 г. относно юрисдикцията, признаването и привеждането в изпълнение на чуждестранни решения в гражданските и търговски дела, </w:t>
      </w:r>
      <w:r w:rsidR="009926D7">
        <w:t xml:space="preserve">по която са се присъединили само пет държави, </w:t>
      </w:r>
      <w:r>
        <w:t>се позовават на наказателни</w:t>
      </w:r>
      <w:r w:rsidR="009926D7">
        <w:t>те</w:t>
      </w:r>
      <w:r>
        <w:t xml:space="preserve"> обезщетения </w:t>
      </w:r>
      <w:r w:rsidR="009926D7">
        <w:t>като</w:t>
      </w:r>
      <w:r>
        <w:t xml:space="preserve"> основа</w:t>
      </w:r>
      <w:r w:rsidR="009926D7">
        <w:t>ние</w:t>
      </w:r>
      <w:r>
        <w:t xml:space="preserve"> </w:t>
      </w:r>
      <w:r w:rsidR="009926D7">
        <w:t>з</w:t>
      </w:r>
      <w:r>
        <w:t>а отказ на признаване и изпълнение на арбитражни или чуждестранни решения. От друга страна чл</w:t>
      </w:r>
      <w:r w:rsidR="009926D7">
        <w:t>.</w:t>
      </w:r>
      <w:r>
        <w:t xml:space="preserve"> 29 от Конвенцията от Монреал от 28 май 1999 г. за уеднаквяване на някои правила за международния въздушен превоз, </w:t>
      </w:r>
      <w:r>
        <w:lastRenderedPageBreak/>
        <w:t xml:space="preserve">към която са се присъединили 105 страни, постановява, че наказателните обезщетения не подлежат на възстановяване. </w:t>
      </w:r>
      <w:r>
        <w:rPr>
          <w:rStyle w:val="csshitselected"/>
          <w:rFonts w:ascii="Times New Roman" w:hAnsi="Times New Roman"/>
        </w:rPr>
        <w:t>Член</w:t>
      </w:r>
      <w:r>
        <w:t xml:space="preserve"> 11 (1) от Хагската конвенция за споразуменията относно избор на съд от 30 юни 2005 г. гласи, че признаването и изпълнението на съдебно решение може да бъде отказано, ако и до</w:t>
      </w:r>
      <w:r w:rsidR="00F64E91">
        <w:t>колкото</w:t>
      </w:r>
      <w:r>
        <w:t xml:space="preserve"> </w:t>
      </w:r>
      <w:r w:rsidR="00F64E91">
        <w:t xml:space="preserve">то </w:t>
      </w:r>
      <w:r>
        <w:t xml:space="preserve">присъжда наказателни обезщетения, но Конвенцията е подписана само от държавите — членки на Европейския съюз, </w:t>
      </w:r>
      <w:r w:rsidR="00F64E91">
        <w:t xml:space="preserve">от </w:t>
      </w:r>
      <w:r>
        <w:t xml:space="preserve">САЩ и </w:t>
      </w:r>
      <w:r w:rsidR="00F64E91">
        <w:t xml:space="preserve">от </w:t>
      </w:r>
      <w:r>
        <w:t xml:space="preserve">Мексико и все още не е влязла в сила. Освен това тази разпоредба не е свързана с клаузата за </w:t>
      </w:r>
      <w:r w:rsidR="00EA2CDA" w:rsidRPr="00EA2CDA">
        <w:rPr>
          <w:i/>
          <w:lang w:val="en-GB"/>
        </w:rPr>
        <w:t>ordre</w:t>
      </w:r>
      <w:r w:rsidR="00EA2CDA" w:rsidRPr="00075945">
        <w:rPr>
          <w:i/>
        </w:rPr>
        <w:t xml:space="preserve"> </w:t>
      </w:r>
      <w:r w:rsidR="00EA2CDA" w:rsidRPr="00EA2CDA">
        <w:rPr>
          <w:i/>
          <w:lang w:val="en-GB"/>
        </w:rPr>
        <w:t>public</w:t>
      </w:r>
      <w:r>
        <w:t>, която се съдържа в чл</w:t>
      </w:r>
      <w:r w:rsidR="00EA2CDA">
        <w:t>.</w:t>
      </w:r>
      <w:r>
        <w:t xml:space="preserve"> 9 (д) и която забранява използването на тази клауза за отказ да бъдат признати присъдени наказателни обезщетения. Член 74 от Конвенцията на ООН за договорите за международна продажба на стоки от 11 април 1980 г., към която са се присъединили осемдесет страни, постановява също, че обезщетения за нарушаване на договор от една страна не могат да надвишават прогнозираните загуби от това нарушение или загубите, които е трябвало да се предвидят по време на подписване на договора, предвид фактите и въпросите, които са били или е трябвало да бъдат известни на страната, като евентуална последица от нарушаването на договора</w:t>
      </w:r>
      <w:r>
        <w:rPr>
          <w:rStyle w:val="FootnoteReference"/>
          <w:rFonts w:ascii="Times New Roman" w:hAnsi="Times New Roman"/>
        </w:rPr>
        <w:footnoteReference w:id="42"/>
      </w:r>
      <w:r>
        <w:t>.</w:t>
      </w:r>
    </w:p>
    <w:p w:rsidR="001D7FEB" w:rsidRDefault="008F5888" w:rsidP="00F44003">
      <w:pPr>
        <w:pStyle w:val="OpiPara"/>
      </w:pPr>
      <w:r>
        <w:t>16.  В рамките на Европейския съюз се признават извън</w:t>
      </w:r>
      <w:r>
        <w:noBreakHyphen/>
        <w:t xml:space="preserve">компенсаторните цели на </w:t>
      </w:r>
      <w:r>
        <w:rPr>
          <w:rStyle w:val="csshitselected"/>
          <w:rFonts w:ascii="Times New Roman" w:hAnsi="Times New Roman"/>
        </w:rPr>
        <w:t xml:space="preserve">гражданската отговорност и </w:t>
      </w:r>
      <w:r w:rsidR="00A406F7">
        <w:rPr>
          <w:rStyle w:val="csshitselected"/>
          <w:rFonts w:ascii="Times New Roman" w:hAnsi="Times New Roman"/>
        </w:rPr>
        <w:t xml:space="preserve">следователно </w:t>
      </w:r>
      <w:r>
        <w:rPr>
          <w:rStyle w:val="csshitselected"/>
          <w:rFonts w:ascii="Times New Roman" w:hAnsi="Times New Roman"/>
        </w:rPr>
        <w:t>на легитимността на наказателните обезщетения, когато не са прекомерни. Регламент (ЕО) № 864/2007 на Европейския парламент и на Съвета от 11 юли 2007 г</w:t>
      </w:r>
      <w:r w:rsidR="00F07100">
        <w:rPr>
          <w:rStyle w:val="csshitselected"/>
          <w:rFonts w:ascii="Times New Roman" w:hAnsi="Times New Roman"/>
        </w:rPr>
        <w:t>.</w:t>
      </w:r>
      <w:r>
        <w:rPr>
          <w:rStyle w:val="csshitselected"/>
          <w:rFonts w:ascii="Times New Roman" w:hAnsi="Times New Roman"/>
        </w:rPr>
        <w:t xml:space="preserve"> относно приложимото право към извъндоговорни задължения („Рим II“) гласи, че „прилагането на разпоредба на правото, посочено </w:t>
      </w:r>
      <w:r w:rsidR="00452AA0">
        <w:rPr>
          <w:rStyle w:val="csshitselected"/>
          <w:rFonts w:ascii="Times New Roman" w:hAnsi="Times New Roman"/>
        </w:rPr>
        <w:t xml:space="preserve">в </w:t>
      </w:r>
      <w:r>
        <w:rPr>
          <w:rStyle w:val="csshitselected"/>
          <w:rFonts w:ascii="Times New Roman" w:hAnsi="Times New Roman"/>
        </w:rPr>
        <w:t xml:space="preserve">настоящия регламент, което </w:t>
      </w:r>
      <w:r w:rsidR="00A406F7">
        <w:rPr>
          <w:rStyle w:val="csshitselected"/>
          <w:rFonts w:ascii="Times New Roman" w:hAnsi="Times New Roman"/>
        </w:rPr>
        <w:t xml:space="preserve">би довело </w:t>
      </w:r>
      <w:r>
        <w:rPr>
          <w:rStyle w:val="csshitselected"/>
          <w:rFonts w:ascii="Times New Roman" w:hAnsi="Times New Roman"/>
        </w:rPr>
        <w:t xml:space="preserve">до присъждане на прекомерно обезщетение с наказателен или назидателен характер, може, в зависимост от обстоятелствата по делото и правната уредба на държавата </w:t>
      </w:r>
      <w:r>
        <w:noBreakHyphen/>
      </w:r>
      <w:r>
        <w:rPr>
          <w:rStyle w:val="csshitselected"/>
          <w:rFonts w:ascii="Times New Roman" w:hAnsi="Times New Roman"/>
        </w:rPr>
        <w:t xml:space="preserve"> членка или на сезирания съд, да се счита за противоречащо на обществения ред (</w:t>
      </w:r>
      <w:r>
        <w:rPr>
          <w:rStyle w:val="csshitselected"/>
          <w:rFonts w:ascii="Times New Roman" w:hAnsi="Times New Roman"/>
          <w:i/>
        </w:rPr>
        <w:t>ordre public</w:t>
      </w:r>
      <w:r>
        <w:rPr>
          <w:rStyle w:val="csshitselected"/>
          <w:rFonts w:ascii="Times New Roman" w:hAnsi="Times New Roman"/>
        </w:rPr>
        <w:t xml:space="preserve">) на форума.“ Все </w:t>
      </w:r>
      <w:r w:rsidR="00452AA0">
        <w:rPr>
          <w:rStyle w:val="csshitselected"/>
          <w:rFonts w:ascii="Times New Roman" w:hAnsi="Times New Roman"/>
        </w:rPr>
        <w:t xml:space="preserve">пак </w:t>
      </w:r>
      <w:r>
        <w:rPr>
          <w:rStyle w:val="csshitselected"/>
          <w:rFonts w:ascii="Times New Roman" w:hAnsi="Times New Roman"/>
        </w:rPr>
        <w:t>е уместно да се отбележи, че разпоредбата на чл</w:t>
      </w:r>
      <w:r w:rsidR="00452AA0">
        <w:rPr>
          <w:rStyle w:val="csshitselected"/>
          <w:rFonts w:ascii="Times New Roman" w:hAnsi="Times New Roman"/>
        </w:rPr>
        <w:t>.</w:t>
      </w:r>
      <w:r>
        <w:rPr>
          <w:rStyle w:val="csshitselected"/>
          <w:rFonts w:ascii="Times New Roman" w:hAnsi="Times New Roman"/>
        </w:rPr>
        <w:t xml:space="preserve"> 24 от предложението за Регламент Рим ІІ (COM (2003) 427) гласи, че „прилагането на разпоредба на правото, посочено </w:t>
      </w:r>
      <w:r w:rsidR="00452AA0">
        <w:rPr>
          <w:rStyle w:val="csshitselected"/>
          <w:rFonts w:ascii="Times New Roman" w:hAnsi="Times New Roman"/>
        </w:rPr>
        <w:t xml:space="preserve">в </w:t>
      </w:r>
      <w:r>
        <w:rPr>
          <w:rStyle w:val="csshitselected"/>
          <w:rFonts w:ascii="Times New Roman" w:hAnsi="Times New Roman"/>
        </w:rPr>
        <w:t>настоящия регламент, което води до присъждане на обезщетение с наказателен или назидателен характер, може да се счита за противоречащо на обществения ред на Общността.“ С новия текст пропорционалните наказателни обезщетения са в</w:t>
      </w:r>
      <w:r w:rsidR="00F07100">
        <w:rPr>
          <w:rStyle w:val="csshitselected"/>
          <w:rFonts w:ascii="Times New Roman" w:hAnsi="Times New Roman"/>
        </w:rPr>
        <w:t>ключени</w:t>
      </w:r>
      <w:r>
        <w:rPr>
          <w:rStyle w:val="csshitselected"/>
          <w:rFonts w:ascii="Times New Roman" w:hAnsi="Times New Roman"/>
        </w:rPr>
        <w:t xml:space="preserve"> в </w:t>
      </w:r>
      <w:r w:rsidR="00F07100">
        <w:rPr>
          <w:rStyle w:val="csshitselected"/>
          <w:rFonts w:ascii="Times New Roman" w:hAnsi="Times New Roman"/>
        </w:rPr>
        <w:t xml:space="preserve">правото </w:t>
      </w:r>
      <w:r>
        <w:rPr>
          <w:rStyle w:val="csshitselected"/>
          <w:rFonts w:ascii="Times New Roman" w:hAnsi="Times New Roman"/>
        </w:rPr>
        <w:t xml:space="preserve">на Европейския </w:t>
      </w:r>
      <w:r>
        <w:rPr>
          <w:rStyle w:val="csshitselected"/>
          <w:rFonts w:ascii="Times New Roman" w:hAnsi="Times New Roman"/>
        </w:rPr>
        <w:lastRenderedPageBreak/>
        <w:t>съюз</w:t>
      </w:r>
      <w:r>
        <w:rPr>
          <w:rStyle w:val="FootnoteReference"/>
          <w:rFonts w:ascii="Times New Roman" w:hAnsi="Times New Roman"/>
        </w:rPr>
        <w:footnoteReference w:id="43"/>
      </w:r>
      <w:r>
        <w:rPr>
          <w:rStyle w:val="csshitselected"/>
          <w:rFonts w:ascii="Times New Roman" w:hAnsi="Times New Roman"/>
        </w:rPr>
        <w:t>. Освен това</w:t>
      </w:r>
      <w:r>
        <w:t xml:space="preserve"> нито Регламент (ЕО) № 44/2001 от 22 декември 2000 г</w:t>
      </w:r>
      <w:r w:rsidR="00F07100">
        <w:t>.</w:t>
      </w:r>
      <w:r>
        <w:t xml:space="preserve"> относно компетентността, признаването и изпълнението на съдебни решения по граждански и търговски дела, нито Регламент на Съвета (ЕО) № 2201/2003 от 27 ноември 2003 г</w:t>
      </w:r>
      <w:r w:rsidR="00C555B5">
        <w:t>.</w:t>
      </w:r>
      <w:r>
        <w:t xml:space="preserve"> относно компетентността, признаването и изпълнението на съдебни решения по брачни дела и дела, свързани с родителската отговорност, </w:t>
      </w:r>
      <w:r w:rsidR="00C555B5">
        <w:t xml:space="preserve">не </w:t>
      </w:r>
      <w:r>
        <w:t xml:space="preserve">се позовават на наказателни обезщетения като </w:t>
      </w:r>
      <w:r w:rsidR="008B32B1">
        <w:t xml:space="preserve">основание </w:t>
      </w:r>
      <w:r>
        <w:t>за отказ на признаване и изпълнение на решение на чуждестранен съд.</w:t>
      </w:r>
    </w:p>
    <w:p w:rsidR="008F5888" w:rsidRPr="00FB22A9" w:rsidRDefault="000011FA" w:rsidP="00F44003">
      <w:pPr>
        <w:pStyle w:val="OpiPara"/>
        <w:rPr>
          <w:rStyle w:val="csshitselected"/>
        </w:rPr>
      </w:pPr>
      <w:r>
        <w:rPr>
          <w:rStyle w:val="csshitselected"/>
        </w:rPr>
        <w:t>17.</w:t>
      </w:r>
      <w:r>
        <w:t>  </w:t>
      </w:r>
      <w:r>
        <w:rPr>
          <w:rStyle w:val="csshitselected"/>
        </w:rPr>
        <w:t xml:space="preserve">В </w:t>
      </w:r>
      <w:r w:rsidR="008B32B1">
        <w:rPr>
          <w:rStyle w:val="csshitselected"/>
        </w:rPr>
        <w:t xml:space="preserve">рамките на </w:t>
      </w:r>
      <w:r>
        <w:rPr>
          <w:rStyle w:val="csshitselected"/>
        </w:rPr>
        <w:t>Съвета на Европа Комитетът на министрите отбеляз</w:t>
      </w:r>
      <w:r w:rsidR="008B32B1">
        <w:rPr>
          <w:rStyle w:val="csshitselected"/>
        </w:rPr>
        <w:t>в</w:t>
      </w:r>
      <w:r>
        <w:rPr>
          <w:rStyle w:val="csshitselected"/>
        </w:rPr>
        <w:t xml:space="preserve">а, че „определянето на чисто компенсаторно или ускоряващо средство </w:t>
      </w:r>
      <w:r w:rsidR="008B32B1">
        <w:rPr>
          <w:rStyle w:val="csshitselected"/>
        </w:rPr>
        <w:t xml:space="preserve">за защита </w:t>
      </w:r>
      <w:r>
        <w:rPr>
          <w:rStyle w:val="csshitselected"/>
        </w:rPr>
        <w:t xml:space="preserve">може да не е достатъчно да осигури бързо и пълно съответствие със задължения по Конвенцията и … </w:t>
      </w:r>
      <w:r w:rsidR="008B32B1">
        <w:rPr>
          <w:rStyle w:val="csshitselected"/>
        </w:rPr>
        <w:t xml:space="preserve">трябва </w:t>
      </w:r>
      <w:r>
        <w:rPr>
          <w:rStyle w:val="csshitselected"/>
        </w:rPr>
        <w:t xml:space="preserve">да се проучат още начини, например чрез комбиниран натиск на различни вътрешни правни средства (наказателни обезщетения, лихви за забава, адекватна възможност за изземване на държавни активи и др.), при условие че </w:t>
      </w:r>
      <w:r w:rsidR="00C87EB3">
        <w:rPr>
          <w:rStyle w:val="csshitselected"/>
        </w:rPr>
        <w:t xml:space="preserve">тяхната </w:t>
      </w:r>
      <w:r>
        <w:rPr>
          <w:rStyle w:val="csshitselected"/>
        </w:rPr>
        <w:t xml:space="preserve">достъпност, изчерпателност и ефективност </w:t>
      </w:r>
      <w:r w:rsidR="00C87EB3">
        <w:rPr>
          <w:rStyle w:val="csshitselected"/>
        </w:rPr>
        <w:t>на практика</w:t>
      </w:r>
      <w:r w:rsidR="00C87EB3" w:rsidDel="00C87EB3">
        <w:rPr>
          <w:rStyle w:val="csshitselected"/>
        </w:rPr>
        <w:t xml:space="preserve"> </w:t>
      </w:r>
      <w:r w:rsidR="00C87EB3">
        <w:rPr>
          <w:rStyle w:val="csshitselected"/>
        </w:rPr>
        <w:t>с</w:t>
      </w:r>
      <w:r>
        <w:rPr>
          <w:rStyle w:val="csshitselected"/>
        </w:rPr>
        <w:t>а убедително установени“</w:t>
      </w:r>
      <w:r>
        <w:rPr>
          <w:rStyle w:val="FootnoteReference"/>
        </w:rPr>
        <w:footnoteReference w:id="44"/>
      </w:r>
      <w:r>
        <w:rPr>
          <w:rStyle w:val="csshitselected"/>
        </w:rPr>
        <w:t>. Тази ясна позиция в полза на наказателните обезщетения, приета от най-висшия политически орган на Съвета на Европа, не е изолиран случай</w:t>
      </w:r>
      <w:r>
        <w:rPr>
          <w:rStyle w:val="FootnoteReference"/>
        </w:rPr>
        <w:footnoteReference w:id="45"/>
      </w:r>
      <w:r>
        <w:rPr>
          <w:rStyle w:val="csshitselected"/>
        </w:rPr>
        <w:t xml:space="preserve">. </w:t>
      </w:r>
      <w:r>
        <w:t xml:space="preserve">Мненията </w:t>
      </w:r>
      <w:r w:rsidR="00B82597">
        <w:t xml:space="preserve">в рамките </w:t>
      </w:r>
      <w:r>
        <w:t xml:space="preserve">на междуамериканската система за защита на правата на човека все още са разединени. Докато Междуамериканската комисия се </w:t>
      </w:r>
      <w:r w:rsidR="009D61CF">
        <w:t xml:space="preserve">произнася </w:t>
      </w:r>
      <w:r>
        <w:t xml:space="preserve">в полза </w:t>
      </w:r>
      <w:r>
        <w:lastRenderedPageBreak/>
        <w:t xml:space="preserve">на наказателните обезщетения или най-малкото </w:t>
      </w:r>
      <w:r w:rsidR="009D61CF">
        <w:t xml:space="preserve">на </w:t>
      </w:r>
      <w:r>
        <w:t xml:space="preserve">наказателната цел на компенсацията, Междуамериканският съд </w:t>
      </w:r>
      <w:r w:rsidR="009D61CF">
        <w:t xml:space="preserve">първоначално </w:t>
      </w:r>
      <w:r>
        <w:t>заема по-резервирана позиция</w:t>
      </w:r>
      <w:r>
        <w:rPr>
          <w:rStyle w:val="FootnoteReference"/>
        </w:rPr>
        <w:footnoteReference w:id="46"/>
      </w:r>
      <w:r>
        <w:t xml:space="preserve">. В по-скорошен момент, по делото </w:t>
      </w:r>
      <w:r>
        <w:rPr>
          <w:i/>
        </w:rPr>
        <w:t>Myrna Mack Chang</w:t>
      </w:r>
      <w:r>
        <w:t xml:space="preserve"> Междуамериканският съд се приближ</w:t>
      </w:r>
      <w:r w:rsidR="009D61CF">
        <w:t>ава</w:t>
      </w:r>
      <w:r>
        <w:t xml:space="preserve"> до позицията на Комисията, като разпоре</w:t>
      </w:r>
      <w:r w:rsidR="009D61CF">
        <w:t>жда</w:t>
      </w:r>
      <w:r>
        <w:t xml:space="preserve"> обезщетение за утежнени вреди въз основа на изключителната тежест на поведението на представителите на държавата ответник</w:t>
      </w:r>
      <w:r>
        <w:rPr>
          <w:rStyle w:val="FootnoteReference"/>
        </w:rPr>
        <w:footnoteReference w:id="47"/>
      </w:r>
      <w:r>
        <w:t>.</w:t>
      </w:r>
    </w:p>
    <w:p w:rsidR="001D7FEB" w:rsidRDefault="000011FA" w:rsidP="00F44003">
      <w:pPr>
        <w:pStyle w:val="OpiPara"/>
      </w:pPr>
      <w:r>
        <w:t xml:space="preserve">18.  В обобщение </w:t>
      </w:r>
      <w:r>
        <w:rPr>
          <w:u w:val="single"/>
        </w:rPr>
        <w:t xml:space="preserve">Съдът е </w:t>
      </w:r>
      <w:r w:rsidR="00B0416B">
        <w:rPr>
          <w:u w:val="single"/>
        </w:rPr>
        <w:t>лидер в</w:t>
      </w:r>
      <w:r>
        <w:rPr>
          <w:u w:val="single"/>
        </w:rPr>
        <w:t xml:space="preserve"> международна тенденция, като използва справедливо</w:t>
      </w:r>
      <w:r w:rsidR="00B0416B">
        <w:rPr>
          <w:u w:val="single"/>
        </w:rPr>
        <w:t>то</w:t>
      </w:r>
      <w:r>
        <w:rPr>
          <w:u w:val="single"/>
        </w:rPr>
        <w:t xml:space="preserve"> обезщетение за предотвратяване на бъдещи нарушения на правата на човека и </w:t>
      </w:r>
      <w:r w:rsidR="00B0416B">
        <w:rPr>
          <w:u w:val="single"/>
        </w:rPr>
        <w:t xml:space="preserve">за </w:t>
      </w:r>
      <w:r>
        <w:rPr>
          <w:u w:val="single"/>
        </w:rPr>
        <w:t>наказание на правителствата, нарушаващи закона</w:t>
      </w:r>
      <w:r w:rsidRPr="00AC07A8">
        <w:rPr>
          <w:u w:val="single"/>
        </w:rPr>
        <w:t>.</w:t>
      </w:r>
      <w:r w:rsidRPr="006C0571">
        <w:rPr>
          <w:u w:val="single"/>
        </w:rPr>
        <w:t xml:space="preserve"> </w:t>
      </w:r>
      <w:r>
        <w:rPr>
          <w:u w:val="single"/>
        </w:rPr>
        <w:t>Признаването на наказателните или назидателните обезщетения по Конвенцията е от съществено значение в най-малко три случая: (1) груби нарушения на човешките права, гарантирани от Конвенцията или допълнителните Протоколи, особено когато се касае за многократни нарушения по едно и също време, повт</w:t>
      </w:r>
      <w:r w:rsidR="00B0416B">
        <w:rPr>
          <w:u w:val="single"/>
        </w:rPr>
        <w:t>арящи се</w:t>
      </w:r>
      <w:r>
        <w:rPr>
          <w:u w:val="single"/>
        </w:rPr>
        <w:t xml:space="preserve"> нарушения в рамките на значителен период от време</w:t>
      </w:r>
      <w:r>
        <w:rPr>
          <w:rStyle w:val="FootnoteReference"/>
          <w:rFonts w:ascii="Times New Roman" w:hAnsi="Times New Roman"/>
          <w:u w:val="single"/>
        </w:rPr>
        <w:footnoteReference w:id="48"/>
      </w:r>
      <w:r>
        <w:rPr>
          <w:u w:val="single"/>
        </w:rPr>
        <w:t>; (2) продължително, умишлено неизпълнение на решението на Съда, постановено по отношение на неподчиняващата се Високодоговаряща страна</w:t>
      </w:r>
      <w:r>
        <w:rPr>
          <w:rStyle w:val="FootnoteReference"/>
          <w:rFonts w:ascii="Times New Roman" w:hAnsi="Times New Roman"/>
          <w:u w:val="single"/>
        </w:rPr>
        <w:footnoteReference w:id="49"/>
      </w:r>
      <w:r>
        <w:rPr>
          <w:u w:val="single"/>
        </w:rPr>
        <w:t xml:space="preserve">; и (3) тежко ограничаване или заплаха </w:t>
      </w:r>
      <w:r w:rsidR="00E82422">
        <w:rPr>
          <w:u w:val="single"/>
        </w:rPr>
        <w:t>от тежко ограничаване н</w:t>
      </w:r>
      <w:r>
        <w:rPr>
          <w:u w:val="single"/>
        </w:rPr>
        <w:t xml:space="preserve">а човешките права на жалбоподателя с цел избягване, възпрепятстване или ограничаване на достъпа му до Съда, както и </w:t>
      </w:r>
      <w:r w:rsidR="00E82422">
        <w:rPr>
          <w:u w:val="single"/>
        </w:rPr>
        <w:t xml:space="preserve">на </w:t>
      </w:r>
      <w:r>
        <w:rPr>
          <w:u w:val="single"/>
        </w:rPr>
        <w:t>достъпа на Съда до жалбоподателя</w:t>
      </w:r>
      <w:r>
        <w:rPr>
          <w:rStyle w:val="FootnoteReference"/>
          <w:rFonts w:ascii="Times New Roman" w:hAnsi="Times New Roman"/>
          <w:u w:val="single"/>
        </w:rPr>
        <w:footnoteReference w:id="50"/>
      </w:r>
      <w:r>
        <w:rPr>
          <w:u w:val="single"/>
        </w:rPr>
        <w:t>.</w:t>
      </w:r>
      <w:r>
        <w:t xml:space="preserve"> Във всичките три случая основната предпоставка за наказателни обезщетения не е само причинно-следствена</w:t>
      </w:r>
      <w:r w:rsidR="00304712">
        <w:t>та</w:t>
      </w:r>
      <w:r>
        <w:t xml:space="preserve"> </w:t>
      </w:r>
      <w:r w:rsidR="00304712">
        <w:t xml:space="preserve">връзка </w:t>
      </w:r>
      <w:r>
        <w:t xml:space="preserve">между неправомерното поведение и вредата, но и намерението или </w:t>
      </w:r>
      <w:r>
        <w:lastRenderedPageBreak/>
        <w:t xml:space="preserve">проявената непредпазливост (груба небрежност) от страна на нарушилата закона държава, </w:t>
      </w:r>
      <w:r w:rsidR="00133FB0">
        <w:t>т.е.</w:t>
      </w:r>
      <w:r>
        <w:t xml:space="preserve"> </w:t>
      </w:r>
      <w:r w:rsidR="00133FB0">
        <w:t>от страна на</w:t>
      </w:r>
      <w:r>
        <w:t xml:space="preserve"> нейните органи или представители. Следователно правният и моралният авторитет на Съда и практическата надеждност на цялостната европейска система за защита на човешките права е от особено значение в този </w:t>
      </w:r>
      <w:r w:rsidR="00133FB0">
        <w:t>случай</w:t>
      </w:r>
      <w:r>
        <w:t xml:space="preserve">. Тежестта на подобни нарушения ангажира интереса на всички страни по Конвенцията, </w:t>
      </w:r>
      <w:r w:rsidR="00133FB0">
        <w:t xml:space="preserve">на </w:t>
      </w:r>
      <w:r>
        <w:t>Съвет</w:t>
      </w:r>
      <w:r w:rsidR="00133FB0">
        <w:t>а</w:t>
      </w:r>
      <w:r>
        <w:t xml:space="preserve"> на Европа като институция и </w:t>
      </w:r>
      <w:r w:rsidR="00133FB0">
        <w:t xml:space="preserve">на </w:t>
      </w:r>
      <w:r>
        <w:t xml:space="preserve">Европа като цяло. Принципът на държавен суверенитет не може, </w:t>
      </w:r>
      <w:r w:rsidR="00D92383">
        <w:t xml:space="preserve">по смисъла на </w:t>
      </w:r>
      <w:r>
        <w:t>чл</w:t>
      </w:r>
      <w:r w:rsidR="00D92383">
        <w:t>.</w:t>
      </w:r>
      <w:r>
        <w:t xml:space="preserve"> 26 от </w:t>
      </w:r>
      <w:r w:rsidR="00D92383">
        <w:t>Виенската к</w:t>
      </w:r>
      <w:r>
        <w:t>онвенция за правото на договорите</w:t>
      </w:r>
      <w:r w:rsidR="00D92383">
        <w:t>,</w:t>
      </w:r>
      <w:r>
        <w:t xml:space="preserve"> да бъде основа за оправда</w:t>
      </w:r>
      <w:r w:rsidR="00D92383">
        <w:t>ване</w:t>
      </w:r>
      <w:r>
        <w:t xml:space="preserve"> на подобни груби нарушения</w:t>
      </w:r>
      <w:r>
        <w:rPr>
          <w:rStyle w:val="FootnoteReference"/>
          <w:rFonts w:ascii="Times New Roman" w:hAnsi="Times New Roman"/>
        </w:rPr>
        <w:footnoteReference w:id="51"/>
      </w:r>
      <w:r>
        <w:t xml:space="preserve">. </w:t>
      </w:r>
      <w:r w:rsidR="00E12E51">
        <w:t xml:space="preserve">Докато </w:t>
      </w:r>
      <w:r>
        <w:t>между суверенни държави въпросът за право</w:t>
      </w:r>
      <w:r w:rsidR="00E12E51">
        <w:t>мощието</w:t>
      </w:r>
      <w:r>
        <w:t xml:space="preserve"> </w:t>
      </w:r>
      <w:r w:rsidR="00E12E51">
        <w:t>з</w:t>
      </w:r>
      <w:r>
        <w:t>а налагане на наказания е по</w:t>
      </w:r>
      <w:r w:rsidR="00E12E51">
        <w:t>-скоро</w:t>
      </w:r>
      <w:r>
        <w:t xml:space="preserve"> политически по същество, отколкото правен, </w:t>
      </w:r>
      <w:r w:rsidR="00653314">
        <w:t xml:space="preserve">то изводът </w:t>
      </w:r>
      <w:r>
        <w:t>е различ</w:t>
      </w:r>
      <w:r w:rsidR="00653314">
        <w:t>ен,</w:t>
      </w:r>
      <w:r>
        <w:t xml:space="preserve"> </w:t>
      </w:r>
      <w:r w:rsidR="00653314">
        <w:t xml:space="preserve">когато става дума за </w:t>
      </w:r>
      <w:r>
        <w:t>държави, правнообвързани с договор за защита на човешките права</w:t>
      </w:r>
      <w:r w:rsidR="00653314">
        <w:t>,</w:t>
      </w:r>
      <w:r>
        <w:t xml:space="preserve"> като например Конвенцията, ко</w:t>
      </w:r>
      <w:r w:rsidR="00653314">
        <w:t>й</w:t>
      </w:r>
      <w:r>
        <w:t>то предоставя права на физическите и юридическите лица и налага отрицателни и положителни задължения на Високодоговарящите страни, приложими от международен съд чрез правнообвързващи решения. В тази рамка справедливо</w:t>
      </w:r>
      <w:r w:rsidR="00C83871">
        <w:t>то</w:t>
      </w:r>
      <w:r>
        <w:t xml:space="preserve"> обезщетение </w:t>
      </w:r>
      <w:r w:rsidR="00C83871">
        <w:t>посредством</w:t>
      </w:r>
      <w:r>
        <w:t xml:space="preserve"> наказателни обезщетения не </w:t>
      </w:r>
      <w:r w:rsidR="00C83871">
        <w:t xml:space="preserve">води до </w:t>
      </w:r>
      <w:r>
        <w:t>санкция, наложена от една държава на друга, а вместо това съответств</w:t>
      </w:r>
      <w:r w:rsidR="00C83871">
        <w:t>а на</w:t>
      </w:r>
      <w:r>
        <w:t xml:space="preserve"> авторитет</w:t>
      </w:r>
      <w:r w:rsidR="00C83871">
        <w:t>е</w:t>
      </w:r>
      <w:r>
        <w:t xml:space="preserve">н и </w:t>
      </w:r>
      <w:r w:rsidR="00EA7C7D">
        <w:t xml:space="preserve">задължителен </w:t>
      </w:r>
      <w:r>
        <w:t xml:space="preserve">отговор на международен съд </w:t>
      </w:r>
      <w:r w:rsidR="00EA7C7D">
        <w:t xml:space="preserve">към </w:t>
      </w:r>
      <w:r>
        <w:t>държавата</w:t>
      </w:r>
      <w:r w:rsidR="00EA7C7D">
        <w:t xml:space="preserve"> нарушител</w:t>
      </w:r>
      <w:r>
        <w:t xml:space="preserve">. Тогава Съдът говори от името на </w:t>
      </w:r>
      <w:r w:rsidR="00EA7C7D">
        <w:t xml:space="preserve">всички </w:t>
      </w:r>
      <w:r>
        <w:t xml:space="preserve">Високодоговарящи страни в качеството си на </w:t>
      </w:r>
      <w:r w:rsidR="00573829">
        <w:t>основен</w:t>
      </w:r>
      <w:r>
        <w:t xml:space="preserve"> защитник на </w:t>
      </w:r>
      <w:r w:rsidR="00573829">
        <w:t xml:space="preserve">една </w:t>
      </w:r>
      <w:r>
        <w:t>Европ</w:t>
      </w:r>
      <w:r w:rsidR="00573829">
        <w:t>а, изградена върху върховенството</w:t>
      </w:r>
      <w:r>
        <w:t xml:space="preserve"> на закона и </w:t>
      </w:r>
      <w:r w:rsidR="00D66D46">
        <w:t xml:space="preserve">вярна </w:t>
      </w:r>
      <w:r>
        <w:t xml:space="preserve">на правата на човека. Пренебрегването на необходимостта от подобен отговор на свой ред би насърчило държавите, особено най-силните, да приемат, че нарушенията на правата на човека лесно могат да се </w:t>
      </w:r>
      <w:r w:rsidR="00A7103C">
        <w:t xml:space="preserve">поправят </w:t>
      </w:r>
      <w:r>
        <w:t xml:space="preserve">единствено </w:t>
      </w:r>
      <w:r w:rsidR="00A7103C">
        <w:t xml:space="preserve">чрез </w:t>
      </w:r>
      <w:r>
        <w:t>имуществени обезщетения. Освен това при определяне на наказателните обезщетения Съдът действа в рамките на границите, установени от принципа на пропорционалност и с пълно отчитане на фактори като например обективната тежест на неправомерното поведение, степен</w:t>
      </w:r>
      <w:r w:rsidR="00135C21">
        <w:t>та</w:t>
      </w:r>
      <w:r>
        <w:t xml:space="preserve"> на осъдителност на намерението или небрежността на нарушителя, степента на причинената вреда на жалбоподателя или на трети страни, последващите ползи, извлечени от нарушителя и трети страни и вероятността от неупражняване на нарушеното право. </w:t>
      </w:r>
    </w:p>
    <w:p w:rsidR="008F5888" w:rsidRPr="00D95319" w:rsidRDefault="000011FA" w:rsidP="001D7FEB">
      <w:pPr>
        <w:pStyle w:val="OpiPara"/>
        <w:rPr>
          <w:u w:val="single"/>
        </w:rPr>
      </w:pPr>
      <w:r>
        <w:t>19.  </w:t>
      </w:r>
      <w:r>
        <w:rPr>
          <w:u w:val="single"/>
        </w:rPr>
        <w:t xml:space="preserve">Следователно наказателните обезщетения са подходящ и необходим инструмент за изпълнение на мисията на Съда да поддържа </w:t>
      </w:r>
      <w:r>
        <w:rPr>
          <w:u w:val="single"/>
        </w:rPr>
        <w:lastRenderedPageBreak/>
        <w:t>правата на човека в Европа и гарантира</w:t>
      </w:r>
      <w:r w:rsidR="00D47C0B">
        <w:rPr>
          <w:u w:val="single"/>
        </w:rPr>
        <w:t>не</w:t>
      </w:r>
      <w:r>
        <w:rPr>
          <w:u w:val="single"/>
        </w:rPr>
        <w:t xml:space="preserve"> спазването на ангажиментите, поети от Високодоговарящите страни по Конвенцията и Протоколите </w:t>
      </w:r>
      <w:r w:rsidR="00D47C0B">
        <w:rPr>
          <w:u w:val="single"/>
        </w:rPr>
        <w:t>към нея</w:t>
      </w:r>
      <w:r>
        <w:rPr>
          <w:u w:val="single"/>
        </w:rPr>
        <w:t xml:space="preserve"> (чл</w:t>
      </w:r>
      <w:r w:rsidR="00D47C0B">
        <w:rPr>
          <w:u w:val="single"/>
        </w:rPr>
        <w:t>.</w:t>
      </w:r>
      <w:r>
        <w:rPr>
          <w:u w:val="single"/>
        </w:rPr>
        <w:t xml:space="preserve"> 19 от Конвенцията). Това заключение </w:t>
      </w:r>
      <w:r w:rsidR="00D47C0B">
        <w:rPr>
          <w:u w:val="single"/>
        </w:rPr>
        <w:t>важи</w:t>
      </w:r>
      <w:r>
        <w:rPr>
          <w:u w:val="single"/>
        </w:rPr>
        <w:t xml:space="preserve"> </w:t>
      </w:r>
      <w:r w:rsidR="00D47C0B">
        <w:rPr>
          <w:u w:val="single"/>
        </w:rPr>
        <w:t>още повече</w:t>
      </w:r>
      <w:r>
        <w:rPr>
          <w:u w:val="single"/>
        </w:rPr>
        <w:t xml:space="preserve"> в </w:t>
      </w:r>
      <w:r w:rsidR="00D47C0B">
        <w:rPr>
          <w:u w:val="single"/>
        </w:rPr>
        <w:t>разглеждания</w:t>
      </w:r>
      <w:r>
        <w:rPr>
          <w:u w:val="single"/>
        </w:rPr>
        <w:t xml:space="preserve"> случай, където държавата ответник не само извършва множество груби нарушения на човешките права за значителен период от време в Северен Кипър, като не провежда своевременни и адекватни следствени действия във връзка с тях, но също така умишлено не изпълнява </w:t>
      </w:r>
      <w:r w:rsidR="00D47C0B">
        <w:rPr>
          <w:u w:val="single"/>
        </w:rPr>
        <w:t>години наред</w:t>
      </w:r>
      <w:r>
        <w:rPr>
          <w:u w:val="single"/>
        </w:rPr>
        <w:t xml:space="preserve"> решението </w:t>
      </w:r>
      <w:r w:rsidR="00D47C0B">
        <w:rPr>
          <w:u w:val="single"/>
        </w:rPr>
        <w:t xml:space="preserve">на Голямата камара </w:t>
      </w:r>
      <w:r>
        <w:rPr>
          <w:u w:val="single"/>
        </w:rPr>
        <w:t xml:space="preserve">по </w:t>
      </w:r>
      <w:r w:rsidR="00D47C0B">
        <w:rPr>
          <w:u w:val="single"/>
        </w:rPr>
        <w:t>основателността</w:t>
      </w:r>
      <w:r>
        <w:rPr>
          <w:u w:val="single"/>
        </w:rPr>
        <w:t xml:space="preserve">, постановено </w:t>
      </w:r>
      <w:r w:rsidR="00B663C2">
        <w:rPr>
          <w:u w:val="single"/>
        </w:rPr>
        <w:t xml:space="preserve">много преди това </w:t>
      </w:r>
      <w:r>
        <w:rPr>
          <w:u w:val="single"/>
        </w:rPr>
        <w:t xml:space="preserve">по отношение на </w:t>
      </w:r>
      <w:r w:rsidR="00B663C2">
        <w:rPr>
          <w:u w:val="single"/>
        </w:rPr>
        <w:t xml:space="preserve">тези </w:t>
      </w:r>
      <w:r>
        <w:rPr>
          <w:u w:val="single"/>
        </w:rPr>
        <w:t>конкретни нарушения.</w:t>
      </w:r>
    </w:p>
    <w:p w:rsidR="008F5888" w:rsidRPr="00FB22A9" w:rsidRDefault="008F5888" w:rsidP="00F44003">
      <w:pPr>
        <w:pStyle w:val="OpiH1"/>
      </w:pPr>
      <w:r>
        <w:t>Правомощи</w:t>
      </w:r>
      <w:r w:rsidR="00B663C2">
        <w:t>ето</w:t>
      </w:r>
      <w:r>
        <w:t xml:space="preserve"> на Съда да се произнесе с установително решение относно прекратяването на продължаващите нарушения</w:t>
      </w:r>
    </w:p>
    <w:p w:rsidR="008F5888" w:rsidRPr="00FB22A9" w:rsidRDefault="000011FA" w:rsidP="00F44003">
      <w:pPr>
        <w:pStyle w:val="OpiPara"/>
        <w:rPr>
          <w:szCs w:val="24"/>
        </w:rPr>
      </w:pPr>
      <w:r>
        <w:t>20.  </w:t>
      </w:r>
      <w:r w:rsidR="00B663C2">
        <w:t>С</w:t>
      </w:r>
      <w:r>
        <w:t xml:space="preserve"> </w:t>
      </w:r>
      <w:r w:rsidR="00B663C2">
        <w:t xml:space="preserve">изложение </w:t>
      </w:r>
      <w:r>
        <w:t xml:space="preserve">от 25 ноември 2011 г. държавата жалбоподател иска от Съда да постанови установително решение относно прекратяване (използвани са думите „въздържане от“) </w:t>
      </w:r>
      <w:r w:rsidR="002B5F4D">
        <w:t xml:space="preserve">на </w:t>
      </w:r>
      <w:r>
        <w:t xml:space="preserve">продължаващите нарушения на правата на човека след решението на Голямата камара от 2001 г. и относно неприложимостта на решението </w:t>
      </w:r>
      <w:r>
        <w:rPr>
          <w:i/>
        </w:rPr>
        <w:t>Demopoulos</w:t>
      </w:r>
      <w:r>
        <w:t xml:space="preserve"> за изпълнение на задълженията, произтичащи от чл</w:t>
      </w:r>
      <w:r w:rsidR="002B5F4D">
        <w:t>.</w:t>
      </w:r>
      <w:r>
        <w:t xml:space="preserve"> 46</w:t>
      </w:r>
      <w:r>
        <w:rPr>
          <w:rStyle w:val="FootnoteReference"/>
        </w:rPr>
        <w:footnoteReference w:id="52"/>
      </w:r>
      <w:r>
        <w:t xml:space="preserve">. Искането на държавата жалбоподател по този начин има двойно значение: докато прекратяването на неправомерните действия е свързано с бъдещо изпълнение на международно задължение, произтичащо от решението по </w:t>
      </w:r>
      <w:r w:rsidR="00BA74C7">
        <w:t>основателността в</w:t>
      </w:r>
      <w:r>
        <w:t xml:space="preserve"> </w:t>
      </w:r>
      <w:r>
        <w:rPr>
          <w:i/>
        </w:rPr>
        <w:t>Кипър срещу Турция</w:t>
      </w:r>
      <w:r>
        <w:t xml:space="preserve">, тълкуването на решението </w:t>
      </w:r>
      <w:r>
        <w:rPr>
          <w:i/>
        </w:rPr>
        <w:t>Demopoulos</w:t>
      </w:r>
      <w:r>
        <w:t xml:space="preserve"> се отнася до изпълнението на същото </w:t>
      </w:r>
      <w:r w:rsidR="00BA74C7">
        <w:t xml:space="preserve">това </w:t>
      </w:r>
      <w:r>
        <w:t xml:space="preserve">правно задължение в миналото. Съдът </w:t>
      </w:r>
      <w:r w:rsidR="00BA74C7">
        <w:t>констатира</w:t>
      </w:r>
      <w:r>
        <w:t xml:space="preserve">, че е компетентен да разгледа и </w:t>
      </w:r>
      <w:r w:rsidR="00BA74C7">
        <w:t xml:space="preserve">да </w:t>
      </w:r>
      <w:r>
        <w:t xml:space="preserve">удовлетвори </w:t>
      </w:r>
      <w:r w:rsidR="00BA74C7">
        <w:t xml:space="preserve">тази </w:t>
      </w:r>
      <w:r>
        <w:t xml:space="preserve">молба, но не намира за необходимо да посочи </w:t>
      </w:r>
      <w:r w:rsidR="00BA74C7">
        <w:t xml:space="preserve">мотиви </w:t>
      </w:r>
      <w:r>
        <w:t xml:space="preserve">защо е компетентен. Налице са твърде </w:t>
      </w:r>
      <w:r w:rsidR="001B2B2F">
        <w:t>убедителни мотиви</w:t>
      </w:r>
      <w:r>
        <w:t xml:space="preserve"> за обосновка на </w:t>
      </w:r>
      <w:r w:rsidR="001B2B2F">
        <w:t xml:space="preserve">тази </w:t>
      </w:r>
      <w:r>
        <w:t xml:space="preserve">компетенция, </w:t>
      </w:r>
      <w:r w:rsidR="002A7958">
        <w:t xml:space="preserve">както </w:t>
      </w:r>
      <w:r>
        <w:t>по принцип</w:t>
      </w:r>
      <w:r w:rsidR="002A7958">
        <w:t>,</w:t>
      </w:r>
      <w:r>
        <w:t xml:space="preserve"> </w:t>
      </w:r>
      <w:r w:rsidR="002A7958">
        <w:t xml:space="preserve">така </w:t>
      </w:r>
      <w:r>
        <w:t xml:space="preserve">и </w:t>
      </w:r>
      <w:r w:rsidR="002A7958">
        <w:t>при</w:t>
      </w:r>
      <w:r>
        <w:t xml:space="preserve"> конкретните обстоятелства по </w:t>
      </w:r>
      <w:r w:rsidR="002A7958">
        <w:t xml:space="preserve">това </w:t>
      </w:r>
      <w:r>
        <w:t>дело</w:t>
      </w:r>
      <w:r>
        <w:rPr>
          <w:rStyle w:val="FootnoteReference"/>
        </w:rPr>
        <w:footnoteReference w:id="53"/>
      </w:r>
      <w:r>
        <w:t>.</w:t>
      </w:r>
    </w:p>
    <w:p w:rsidR="008F5888" w:rsidRPr="00FB22A9" w:rsidRDefault="000011FA" w:rsidP="00F44003">
      <w:pPr>
        <w:pStyle w:val="OpiPara"/>
        <w:rPr>
          <w:szCs w:val="24"/>
        </w:rPr>
      </w:pPr>
      <w:r>
        <w:lastRenderedPageBreak/>
        <w:t>21.  </w:t>
      </w:r>
      <w:r>
        <w:rPr>
          <w:u w:val="single"/>
        </w:rPr>
        <w:t>По принцип всяка държава, имаща право да търси отговорност, може да изисква от отговорната държава прекратяването на международно неправомерни действия</w:t>
      </w:r>
      <w:r>
        <w:rPr>
          <w:rStyle w:val="FootnoteReference"/>
          <w:u w:val="single"/>
        </w:rPr>
        <w:footnoteReference w:id="54"/>
      </w:r>
      <w:r>
        <w:rPr>
          <w:u w:val="single"/>
        </w:rPr>
        <w:t>. Така държавата жалбоподател може да поиска, по чл</w:t>
      </w:r>
      <w:r w:rsidR="006C6F4F">
        <w:rPr>
          <w:u w:val="single"/>
        </w:rPr>
        <w:t>.</w:t>
      </w:r>
      <w:r>
        <w:rPr>
          <w:u w:val="single"/>
        </w:rPr>
        <w:t xml:space="preserve"> 41 от Конвенцията, установително решение, което разпорежда прекратяването на продължаващ</w:t>
      </w:r>
      <w:r w:rsidR="009920D5">
        <w:rPr>
          <w:u w:val="single"/>
        </w:rPr>
        <w:t>о</w:t>
      </w:r>
      <w:r>
        <w:rPr>
          <w:u w:val="single"/>
        </w:rPr>
        <w:t xml:space="preserve"> нарушени</w:t>
      </w:r>
      <w:r w:rsidR="009920D5">
        <w:rPr>
          <w:u w:val="single"/>
        </w:rPr>
        <w:t>е</w:t>
      </w:r>
      <w:r>
        <w:rPr>
          <w:u w:val="single"/>
        </w:rPr>
        <w:t xml:space="preserve"> на правата на човека, особено, но не </w:t>
      </w:r>
      <w:r w:rsidR="009920D5">
        <w:rPr>
          <w:u w:val="single"/>
        </w:rPr>
        <w:t>само</w:t>
      </w:r>
      <w:r>
        <w:rPr>
          <w:u w:val="single"/>
        </w:rPr>
        <w:t xml:space="preserve">, когато </w:t>
      </w:r>
      <w:r w:rsidR="009920D5">
        <w:rPr>
          <w:u w:val="single"/>
        </w:rPr>
        <w:t>то е в</w:t>
      </w:r>
      <w:r>
        <w:rPr>
          <w:u w:val="single"/>
        </w:rPr>
        <w:t xml:space="preserve"> нарушение на решения на Съда, които </w:t>
      </w:r>
      <w:r w:rsidR="009920D5">
        <w:rPr>
          <w:u w:val="single"/>
        </w:rPr>
        <w:t>в</w:t>
      </w:r>
      <w:r>
        <w:rPr>
          <w:u w:val="single"/>
        </w:rPr>
        <w:t>ече</w:t>
      </w:r>
      <w:r w:rsidR="009920D5">
        <w:rPr>
          <w:u w:val="single"/>
        </w:rPr>
        <w:t xml:space="preserve"> са</w:t>
      </w:r>
      <w:r>
        <w:rPr>
          <w:u w:val="single"/>
        </w:rPr>
        <w:t xml:space="preserve"> </w:t>
      </w:r>
      <w:r w:rsidR="009920D5" w:rsidRPr="009920D5">
        <w:rPr>
          <w:i/>
          <w:u w:val="single"/>
          <w:lang w:val="en-GB"/>
        </w:rPr>
        <w:t>res</w:t>
      </w:r>
      <w:r w:rsidR="009920D5" w:rsidRPr="00075945">
        <w:rPr>
          <w:i/>
          <w:u w:val="single"/>
        </w:rPr>
        <w:t xml:space="preserve"> </w:t>
      </w:r>
      <w:r w:rsidR="009920D5" w:rsidRPr="009920D5">
        <w:rPr>
          <w:i/>
          <w:u w:val="single"/>
          <w:lang w:val="en-GB"/>
        </w:rPr>
        <w:t>judicata</w:t>
      </w:r>
      <w:r>
        <w:rPr>
          <w:u w:val="single"/>
        </w:rPr>
        <w:t xml:space="preserve">. Тогава справедливото обезщетение се предоставя под формата на подходяща установителна компенсация за изясняване на ефектите от решенията на Съда </w:t>
      </w:r>
      <w:r w:rsidR="006D134B">
        <w:rPr>
          <w:u w:val="single"/>
        </w:rPr>
        <w:t>с оглед на</w:t>
      </w:r>
      <w:r>
        <w:rPr>
          <w:u w:val="single"/>
        </w:rPr>
        <w:t xml:space="preserve"> продължаващ</w:t>
      </w:r>
      <w:r w:rsidR="006D134B">
        <w:rPr>
          <w:u w:val="single"/>
        </w:rPr>
        <w:t>а</w:t>
      </w:r>
      <w:r>
        <w:rPr>
          <w:u w:val="single"/>
        </w:rPr>
        <w:t xml:space="preserve"> неправомерн</w:t>
      </w:r>
      <w:r w:rsidR="006D134B">
        <w:rPr>
          <w:u w:val="single"/>
        </w:rPr>
        <w:t>а</w:t>
      </w:r>
      <w:r>
        <w:rPr>
          <w:u w:val="single"/>
        </w:rPr>
        <w:t xml:space="preserve"> </w:t>
      </w:r>
      <w:r w:rsidR="006D134B">
        <w:rPr>
          <w:u w:val="single"/>
        </w:rPr>
        <w:t>практика</w:t>
      </w:r>
      <w:r>
        <w:rPr>
          <w:u w:val="single"/>
        </w:rPr>
        <w:t>.</w:t>
      </w:r>
      <w:r>
        <w:t xml:space="preserve"> Телеологичното тълкуване на чл</w:t>
      </w:r>
      <w:r w:rsidR="006D134B">
        <w:t>.</w:t>
      </w:r>
      <w:r>
        <w:t xml:space="preserve"> 41 от Конвенцията налага подобни правомощия. Правомощи</w:t>
      </w:r>
      <w:r w:rsidR="006D134B">
        <w:t>е</w:t>
      </w:r>
      <w:r>
        <w:t>т</w:t>
      </w:r>
      <w:r w:rsidR="006D134B">
        <w:t>о</w:t>
      </w:r>
      <w:r>
        <w:t xml:space="preserve"> </w:t>
      </w:r>
      <w:r w:rsidR="006D134B">
        <w:t>за</w:t>
      </w:r>
      <w:r>
        <w:t xml:space="preserve"> постановяване на прекратяване на продължаващ</w:t>
      </w:r>
      <w:r w:rsidR="006D134B">
        <w:t>о</w:t>
      </w:r>
      <w:r>
        <w:t xml:space="preserve"> нарушени</w:t>
      </w:r>
      <w:r w:rsidR="006D134B">
        <w:t>е</w:t>
      </w:r>
      <w:r>
        <w:t xml:space="preserve"> на човешките права се подразбира логически в самото право</w:t>
      </w:r>
      <w:r w:rsidR="006D134B">
        <w:t>мощие</w:t>
      </w:r>
      <w:r>
        <w:t xml:space="preserve"> </w:t>
      </w:r>
      <w:r w:rsidR="006D134B">
        <w:t>з</w:t>
      </w:r>
      <w:r>
        <w:t xml:space="preserve">а установяване наличието на нарушение на правата на човека и разпореждане на обезщетение за това. </w:t>
      </w:r>
      <w:r w:rsidR="00600781">
        <w:t xml:space="preserve">Предоставянето </w:t>
      </w:r>
      <w:r>
        <w:t xml:space="preserve">на обезщетение като средство за </w:t>
      </w:r>
      <w:r w:rsidR="00600781">
        <w:t>защита срещу</w:t>
      </w:r>
      <w:r>
        <w:t xml:space="preserve"> нарушение на правата на човека не трябва да се обърква със задължението на държав</w:t>
      </w:r>
      <w:r w:rsidR="00600781">
        <w:t>и</w:t>
      </w:r>
      <w:r>
        <w:t>т</w:t>
      </w:r>
      <w:r w:rsidR="00600781">
        <w:t>е</w:t>
      </w:r>
      <w:r>
        <w:t xml:space="preserve"> да не извършва</w:t>
      </w:r>
      <w:r w:rsidR="00600781">
        <w:t>т</w:t>
      </w:r>
      <w:r>
        <w:t xml:space="preserve"> и да прекрат</w:t>
      </w:r>
      <w:r w:rsidR="00600781">
        <w:t>яват</w:t>
      </w:r>
      <w:r>
        <w:t xml:space="preserve"> нарушения на Конвенцията. В противен случай европейската система за защита на правата на човека би била </w:t>
      </w:r>
      <w:r w:rsidR="00600781">
        <w:t>опорочена</w:t>
      </w:r>
      <w:r>
        <w:t xml:space="preserve">, тъй като държавите биха могли да извършват безнаказано нарушения </w:t>
      </w:r>
      <w:r w:rsidR="00621743">
        <w:t>щом</w:t>
      </w:r>
      <w:r>
        <w:t xml:space="preserve"> предостав</w:t>
      </w:r>
      <w:r w:rsidR="00621743">
        <w:t>ят</w:t>
      </w:r>
      <w:r>
        <w:t xml:space="preserve"> обезщетения на по</w:t>
      </w:r>
      <w:r w:rsidR="00407FDD">
        <w:t>търпевш</w:t>
      </w:r>
      <w:r>
        <w:t xml:space="preserve">ите от </w:t>
      </w:r>
      <w:r w:rsidR="00621743">
        <w:t>нарушенията</w:t>
      </w:r>
      <w:r>
        <w:t xml:space="preserve"> след извършването на неправомерни действия. Както </w:t>
      </w:r>
      <w:r w:rsidR="00621743">
        <w:t xml:space="preserve">заявява </w:t>
      </w:r>
      <w:r>
        <w:t>Комисията</w:t>
      </w:r>
      <w:r w:rsidR="00621743">
        <w:t xml:space="preserve"> </w:t>
      </w:r>
      <w:r>
        <w:t>в редица случаи, „държавата [не може</w:t>
      </w:r>
      <w:r w:rsidR="00621743">
        <w:t>]</w:t>
      </w:r>
      <w:r>
        <w:t xml:space="preserve"> да избяга от задълженията си просто като изплати обезщетение“</w:t>
      </w:r>
      <w:r>
        <w:rPr>
          <w:rStyle w:val="FootnoteReference"/>
        </w:rPr>
        <w:footnoteReference w:id="55"/>
      </w:r>
      <w:r>
        <w:t xml:space="preserve">. Подобно тълкуване неправомерно ще лиши Конвенцията от </w:t>
      </w:r>
      <w:r>
        <w:rPr>
          <w:i/>
        </w:rPr>
        <w:t>effet utile</w:t>
      </w:r>
      <w:r>
        <w:t>.</w:t>
      </w:r>
      <w:r w:rsidR="00621743">
        <w:t xml:space="preserve"> </w:t>
      </w:r>
    </w:p>
    <w:p w:rsidR="001D7FEB" w:rsidRDefault="000011FA" w:rsidP="00F44003">
      <w:pPr>
        <w:pStyle w:val="OpiPara"/>
        <w:rPr>
          <w:szCs w:val="24"/>
        </w:rPr>
      </w:pPr>
      <w:r>
        <w:t>22.  Освен това установителното решение е от голяма необходимост предвид конкретните обстоятелства по настоящия случай. Молбата касае продължаващ</w:t>
      </w:r>
      <w:r w:rsidR="006C34CD">
        <w:t>о</w:t>
      </w:r>
      <w:r>
        <w:t xml:space="preserve"> наруш</w:t>
      </w:r>
      <w:r w:rsidR="006C34CD">
        <w:t>аване</w:t>
      </w:r>
      <w:r>
        <w:t xml:space="preserve"> на решението на Голямата камара от 2001 г. </w:t>
      </w:r>
      <w:r w:rsidR="006C34CD">
        <w:t>поне</w:t>
      </w:r>
      <w:r>
        <w:t xml:space="preserve"> до ноември 2011 г. и следователно попада в компетенциите на </w:t>
      </w:r>
      <w:r w:rsidR="006C34CD">
        <w:t>тази Голяма к</w:t>
      </w:r>
      <w:r>
        <w:t xml:space="preserve">амара. Молбата на държавата жалбоподател </w:t>
      </w:r>
      <w:r w:rsidR="00F3197D">
        <w:t>с</w:t>
      </w:r>
      <w:r>
        <w:t>е основа</w:t>
      </w:r>
      <w:r w:rsidR="00F3197D">
        <w:t>в</w:t>
      </w:r>
      <w:r>
        <w:t xml:space="preserve">а </w:t>
      </w:r>
      <w:r w:rsidR="00F3197D">
        <w:t>на</w:t>
      </w:r>
      <w:r>
        <w:t xml:space="preserve"> безспорни факти. Не се оспорва, че Министерския</w:t>
      </w:r>
      <w:r w:rsidR="00F3197D">
        <w:t>т</w:t>
      </w:r>
      <w:r>
        <w:t xml:space="preserve"> съвет на „СКТР“ се разпорежда със земи и </w:t>
      </w:r>
      <w:r w:rsidR="00F3197D">
        <w:t>имущество</w:t>
      </w:r>
      <w:r>
        <w:t>, които принадлежат на кипърски граждани от гръцки произход най-рано до ноември 2011 г</w:t>
      </w:r>
      <w:r w:rsidR="00F3197D">
        <w:t>.</w:t>
      </w:r>
      <w:r>
        <w:rPr>
          <w:rStyle w:val="FootnoteReference"/>
        </w:rPr>
        <w:footnoteReference w:id="56"/>
      </w:r>
      <w:r>
        <w:t>. В</w:t>
      </w:r>
      <w:r w:rsidR="006C2EC6">
        <w:t>същност</w:t>
      </w:r>
      <w:r>
        <w:t xml:space="preserve"> продължаващите нарушение не са прекратени по силата на </w:t>
      </w:r>
      <w:r>
        <w:lastRenderedPageBreak/>
        <w:t>закон на „СКТР“ 67/2005</w:t>
      </w:r>
      <w:r>
        <w:rPr>
          <w:rStyle w:val="FootnoteReference"/>
        </w:rPr>
        <w:footnoteReference w:id="57"/>
      </w:r>
      <w:r>
        <w:t>, тъй като незаконната разпродажба и разпореждане със собствеността и домовете на кипърските граждани от гръцки произход в окупираната част на Кипър с активната подкрепа от страна на Турция продължава след влизане в сила на въпросния закон, като се създава ситуация, която е трудно, ако не и невъзможно, да се подобри</w:t>
      </w:r>
      <w:r w:rsidR="0016441C">
        <w:t xml:space="preserve"> </w:t>
      </w:r>
      <w:r>
        <w:rPr>
          <w:i/>
        </w:rPr>
        <w:t>ex post facto</w:t>
      </w:r>
      <w:r>
        <w:t xml:space="preserve">. Освен това нито Комисията по недвижимо имущество, нито съдилищата в „СКТР“ имат правомощия да спрат </w:t>
      </w:r>
      <w:r w:rsidR="0016441C">
        <w:t xml:space="preserve">тази </w:t>
      </w:r>
      <w:r>
        <w:t>продължаващ</w:t>
      </w:r>
      <w:r w:rsidR="0016441C">
        <w:t>а</w:t>
      </w:r>
      <w:r>
        <w:t xml:space="preserve"> неправомерн</w:t>
      </w:r>
      <w:r w:rsidR="0016441C">
        <w:t>а</w:t>
      </w:r>
      <w:r>
        <w:t xml:space="preserve"> </w:t>
      </w:r>
      <w:r w:rsidR="0016441C">
        <w:t>практика</w:t>
      </w:r>
      <w:r>
        <w:rPr>
          <w:rStyle w:val="FootnoteReference"/>
        </w:rPr>
        <w:footnoteReference w:id="58"/>
      </w:r>
      <w:r>
        <w:t>. Изправен пред т</w:t>
      </w:r>
      <w:r w:rsidR="00AB4244">
        <w:t>а</w:t>
      </w:r>
      <w:r>
        <w:t>зи тежка ситуация, Комитет</w:t>
      </w:r>
      <w:r w:rsidR="00AB4244">
        <w:t>ът</w:t>
      </w:r>
      <w:r>
        <w:t xml:space="preserve"> на министрите </w:t>
      </w:r>
      <w:r w:rsidR="00AB4244">
        <w:t xml:space="preserve">до момента </w:t>
      </w:r>
      <w:r>
        <w:t>н</w:t>
      </w:r>
      <w:r w:rsidR="00AB4244">
        <w:t>е</w:t>
      </w:r>
      <w:r>
        <w:t xml:space="preserve"> </w:t>
      </w:r>
      <w:r w:rsidR="00AB4244">
        <w:t>е в състояние</w:t>
      </w:r>
      <w:r>
        <w:t xml:space="preserve"> да постигне обща позиция. В действителност той дори не може да получи информация</w:t>
      </w:r>
      <w:r w:rsidR="00AB4244">
        <w:t>та</w:t>
      </w:r>
      <w:r>
        <w:t xml:space="preserve">, която </w:t>
      </w:r>
      <w:r w:rsidR="00AB4244">
        <w:t xml:space="preserve">е </w:t>
      </w:r>
      <w:r>
        <w:t>изиска</w:t>
      </w:r>
      <w:r w:rsidR="00AB4244">
        <w:t>л</w:t>
      </w:r>
      <w:r>
        <w:t xml:space="preserve"> </w:t>
      </w:r>
      <w:r w:rsidR="00AB4244">
        <w:t xml:space="preserve">неколкократно </w:t>
      </w:r>
      <w:r>
        <w:t xml:space="preserve">във връзка с продължаващите закононарушения от страна на Турция в Северен Кипър. За да се утежни положението още повече, Комитетът на министрите е блокиран </w:t>
      </w:r>
      <w:r w:rsidR="004C464E">
        <w:t>от</w:t>
      </w:r>
      <w:r>
        <w:t xml:space="preserve"> сериозно безизходно положение относно смисъла и въздействието на решението </w:t>
      </w:r>
      <w:r>
        <w:rPr>
          <w:i/>
        </w:rPr>
        <w:t>Demopoulos</w:t>
      </w:r>
      <w:r>
        <w:t xml:space="preserve"> във връзка с проблема с </w:t>
      </w:r>
      <w:r w:rsidR="004C464E">
        <w:t>притежанията</w:t>
      </w:r>
      <w:r>
        <w:t xml:space="preserve"> на изселените кипърски граждани от гръцки произход в Северен Кипър и други допълнителни </w:t>
      </w:r>
      <w:r w:rsidR="004C464E">
        <w:t>искове</w:t>
      </w:r>
      <w:r>
        <w:t xml:space="preserve">. </w:t>
      </w:r>
      <w:r w:rsidR="004C464E">
        <w:t xml:space="preserve">През септември 2010 г. </w:t>
      </w:r>
      <w:r>
        <w:t>Генералната дирекция по права на човека и правни въпроси заяв</w:t>
      </w:r>
      <w:r w:rsidR="004C464E">
        <w:t>ява</w:t>
      </w:r>
      <w:r>
        <w:t xml:space="preserve"> </w:t>
      </w:r>
      <w:r w:rsidR="004C464E">
        <w:t>следното</w:t>
      </w:r>
      <w:r>
        <w:t xml:space="preserve">: „От констатациите на Голямата камара в решението </w:t>
      </w:r>
      <w:r w:rsidR="004C464E">
        <w:t>ѝ</w:t>
      </w:r>
      <w:r>
        <w:t xml:space="preserve"> по делото </w:t>
      </w:r>
      <w:r>
        <w:rPr>
          <w:i/>
        </w:rPr>
        <w:t>Demopoulos</w:t>
      </w:r>
      <w:r>
        <w:t xml:space="preserve"> произтича, че не е необходима допълнителна мярка за процедиране по случаите, които са в процес на разглеждане, като на първо място се имат предвид домовете и друг</w:t>
      </w:r>
      <w:r w:rsidR="00407CBF">
        <w:t>ото</w:t>
      </w:r>
      <w:r>
        <w:t xml:space="preserve"> </w:t>
      </w:r>
      <w:r w:rsidR="00407CBF">
        <w:t>имущество</w:t>
      </w:r>
      <w:r>
        <w:t xml:space="preserve"> на изселените кипърски граждани от гръцки произход и </w:t>
      </w:r>
      <w:r w:rsidR="00407CBF">
        <w:t xml:space="preserve">на </w:t>
      </w:r>
      <w:r>
        <w:t>второ</w:t>
      </w:r>
      <w:r w:rsidR="00407CBF">
        <w:t xml:space="preserve"> място – </w:t>
      </w:r>
      <w:r>
        <w:t>наличието на ефективн</w:t>
      </w:r>
      <w:r w:rsidR="00407CBF">
        <w:t>о</w:t>
      </w:r>
      <w:r>
        <w:t xml:space="preserve"> </w:t>
      </w:r>
      <w:r w:rsidR="00407CBF">
        <w:t xml:space="preserve">право </w:t>
      </w:r>
      <w:r>
        <w:t>средств</w:t>
      </w:r>
      <w:r w:rsidR="00407CBF">
        <w:t>о</w:t>
      </w:r>
      <w:r>
        <w:t xml:space="preserve"> за </w:t>
      </w:r>
      <w:r w:rsidR="00407CBF">
        <w:t>защита</w:t>
      </w:r>
      <w:r>
        <w:t xml:space="preserve"> в тази връзка.“</w:t>
      </w:r>
      <w:r>
        <w:rPr>
          <w:rStyle w:val="FootnoteReference"/>
        </w:rPr>
        <w:footnoteReference w:id="59"/>
      </w:r>
      <w:r>
        <w:t xml:space="preserve"> Тази позиция не </w:t>
      </w:r>
      <w:r w:rsidR="00407CBF">
        <w:t>се</w:t>
      </w:r>
      <w:r>
        <w:t xml:space="preserve"> следва от Комитета на министрите, тъй като изпълнението на решението на Съда </w:t>
      </w:r>
      <w:r w:rsidR="00857DC2">
        <w:t xml:space="preserve">по основателността </w:t>
      </w:r>
      <w:r>
        <w:t xml:space="preserve">от 2001 г. </w:t>
      </w:r>
      <w:r>
        <w:lastRenderedPageBreak/>
        <w:t>е</w:t>
      </w:r>
      <w:r w:rsidR="00857DC2">
        <w:t xml:space="preserve"> било</w:t>
      </w:r>
      <w:r>
        <w:t xml:space="preserve"> и все още е твърде далеч от </w:t>
      </w:r>
      <w:r w:rsidR="00E51BC6">
        <w:t>това да бъде изпълнено</w:t>
      </w:r>
      <w:r w:rsidR="00857DC2">
        <w:t xml:space="preserve"> </w:t>
      </w:r>
      <w:r>
        <w:t>в тази връзка. Още по-лошо</w:t>
      </w:r>
      <w:r w:rsidR="00E51BC6">
        <w:t xml:space="preserve"> – </w:t>
      </w:r>
      <w:r>
        <w:t>Турция прекрат</w:t>
      </w:r>
      <w:r w:rsidR="00E51BC6">
        <w:t>ява</w:t>
      </w:r>
      <w:r>
        <w:t xml:space="preserve"> всякакво сътрудничество по процеса на надзор от страна на Комитета на министрите върху изпълнението на решението на Голямата камара от 2001 г. „във връзка с всички случаи, касаещи Кипър“ докато Комитета </w:t>
      </w:r>
      <w:r w:rsidR="00E51BC6">
        <w:t xml:space="preserve">не </w:t>
      </w:r>
      <w:r>
        <w:t>прекрат</w:t>
      </w:r>
      <w:r w:rsidR="00E51BC6">
        <w:t>ява</w:t>
      </w:r>
      <w:r>
        <w:t xml:space="preserve"> надзора </w:t>
      </w:r>
      <w:r w:rsidR="00E51BC6">
        <w:t>върху</w:t>
      </w:r>
      <w:r>
        <w:t xml:space="preserve"> изпълнението на констатациите </w:t>
      </w:r>
      <w:r w:rsidR="003A5AF5">
        <w:t xml:space="preserve">на Съда </w:t>
      </w:r>
      <w:r>
        <w:t>за нарушения по отношение на домовете и имуществото</w:t>
      </w:r>
      <w:r>
        <w:rPr>
          <w:rStyle w:val="FootnoteReference"/>
        </w:rPr>
        <w:footnoteReference w:id="60"/>
      </w:r>
      <w:r>
        <w:t xml:space="preserve">. Така правителството на Турция използва решението по делото </w:t>
      </w:r>
      <w:r>
        <w:rPr>
          <w:i/>
        </w:rPr>
        <w:t>Demopoulos</w:t>
      </w:r>
      <w:r>
        <w:t xml:space="preserve"> за да блокира изпълнението </w:t>
      </w:r>
      <w:r w:rsidR="00EE2458" w:rsidRPr="00EE2458">
        <w:rPr>
          <w:i/>
          <w:lang w:val="en-GB"/>
        </w:rPr>
        <w:t>in</w:t>
      </w:r>
      <w:r w:rsidR="00EE2458" w:rsidRPr="00075945">
        <w:rPr>
          <w:i/>
        </w:rPr>
        <w:t xml:space="preserve"> </w:t>
      </w:r>
      <w:r w:rsidR="00EE2458" w:rsidRPr="00EE2458">
        <w:rPr>
          <w:i/>
          <w:lang w:val="en-GB"/>
        </w:rPr>
        <w:t>totum</w:t>
      </w:r>
      <w:r w:rsidR="00EE2458" w:rsidRPr="00EE2458">
        <w:t xml:space="preserve"> </w:t>
      </w:r>
      <w:r>
        <w:t xml:space="preserve">на решението на Голямата камара </w:t>
      </w:r>
      <w:r>
        <w:rPr>
          <w:i/>
        </w:rPr>
        <w:t>Кипър срещу Турция</w:t>
      </w:r>
      <w:r>
        <w:t xml:space="preserve"> от 2001 г., включително по отношение на жалби, които не се отнасят до нарушения, свързани с имуществото и домовете.</w:t>
      </w:r>
    </w:p>
    <w:p w:rsidR="008F5888" w:rsidRPr="00D95319" w:rsidRDefault="00376B49" w:rsidP="00F44003">
      <w:pPr>
        <w:pStyle w:val="OpiPara"/>
        <w:rPr>
          <w:szCs w:val="24"/>
        </w:rPr>
      </w:pPr>
      <w:r>
        <w:t xml:space="preserve">23.  Съдът трябва да се намеси в името на правната сигурност и </w:t>
      </w:r>
      <w:r w:rsidR="00262ED6">
        <w:t xml:space="preserve">за </w:t>
      </w:r>
      <w:r>
        <w:t xml:space="preserve">да защити собствения си авторитет. Съдът и само Съдът има последната дума по тълкуването на решението </w:t>
      </w:r>
      <w:r>
        <w:rPr>
          <w:i/>
        </w:rPr>
        <w:t>Demopoulos</w:t>
      </w:r>
      <w:r>
        <w:t xml:space="preserve">, а оттам </w:t>
      </w:r>
      <w:r w:rsidR="00262ED6">
        <w:t>по</w:t>
      </w:r>
      <w:r>
        <w:t xml:space="preserve"> уре</w:t>
      </w:r>
      <w:r w:rsidR="00262ED6">
        <w:t>ждане</w:t>
      </w:r>
      <w:r>
        <w:t xml:space="preserve"> спора по начин, който свежда до минимум вероятността </w:t>
      </w:r>
      <w:r w:rsidR="00262ED6">
        <w:t>от</w:t>
      </w:r>
      <w:r>
        <w:t xml:space="preserve"> възникване на конфликти в бъдеще между страните, като </w:t>
      </w:r>
      <w:r w:rsidR="006C0571">
        <w:t xml:space="preserve">в същото време </w:t>
      </w:r>
      <w:r>
        <w:t xml:space="preserve">поддържа върховенството на закона и гарантира цялостно изпълнение на решението по </w:t>
      </w:r>
      <w:r w:rsidR="006C0571">
        <w:t>основателността</w:t>
      </w:r>
      <w:r>
        <w:t xml:space="preserve"> </w:t>
      </w:r>
      <w:r w:rsidR="006C0571">
        <w:t>в</w:t>
      </w:r>
      <w:r>
        <w:t xml:space="preserve"> </w:t>
      </w:r>
      <w:r>
        <w:rPr>
          <w:i/>
        </w:rPr>
        <w:t>Кипър срещу Турция</w:t>
      </w:r>
      <w:r>
        <w:t xml:space="preserve">. Отговорът на Съда на </w:t>
      </w:r>
      <w:r w:rsidR="00E03407">
        <w:t xml:space="preserve">искането </w:t>
      </w:r>
      <w:r>
        <w:t xml:space="preserve">на държавата жалбоподател е съвсем ясен: по делото </w:t>
      </w:r>
      <w:r>
        <w:rPr>
          <w:i/>
        </w:rPr>
        <w:t>Demopoulos</w:t>
      </w:r>
      <w:r>
        <w:t xml:space="preserve"> Съдът не постановява, че задълженията на Турция по чл</w:t>
      </w:r>
      <w:r w:rsidR="00E03407">
        <w:t>.</w:t>
      </w:r>
      <w:r>
        <w:t xml:space="preserve"> 46 за изпълнение на решението на Голямата камара от 2001 г. са изпълнени, нито твърди, че продължаващите нарушения, констатирани от Голямата камара в решението </w:t>
      </w:r>
      <w:r w:rsidR="00E03407">
        <w:t>ѝ</w:t>
      </w:r>
      <w:r>
        <w:t xml:space="preserve"> по </w:t>
      </w:r>
      <w:r w:rsidR="00E03407">
        <w:t>основателността на жа</w:t>
      </w:r>
      <w:r w:rsidR="00950DE5">
        <w:t>л</w:t>
      </w:r>
      <w:r w:rsidR="00E03407">
        <w:t>бата</w:t>
      </w:r>
      <w:r w:rsidR="00950DE5">
        <w:t>,</w:t>
      </w:r>
      <w:r>
        <w:t xml:space="preserve"> са прекратени по силата на Закон 67/2005, като така по проста, но очевидна причина делото </w:t>
      </w:r>
      <w:r>
        <w:rPr>
          <w:i/>
        </w:rPr>
        <w:t>Demopoulos</w:t>
      </w:r>
      <w:r>
        <w:t xml:space="preserve"> се отнася само до вътрешноправните средства </w:t>
      </w:r>
      <w:r w:rsidR="00950DE5">
        <w:t xml:space="preserve">за защита </w:t>
      </w:r>
      <w:r>
        <w:t>във връзка с нарушения на чл</w:t>
      </w:r>
      <w:r w:rsidR="00950DE5">
        <w:t>.</w:t>
      </w:r>
      <w:r>
        <w:t xml:space="preserve"> 1 от Протокол № 1 в индивидуални случаи. </w:t>
      </w:r>
      <w:r w:rsidR="00A97099">
        <w:t>Казано</w:t>
      </w:r>
      <w:r>
        <w:t xml:space="preserve"> недвусмислено, решението </w:t>
      </w:r>
      <w:r>
        <w:rPr>
          <w:i/>
        </w:rPr>
        <w:t>Demopoulos</w:t>
      </w:r>
      <w:r>
        <w:t xml:space="preserve"> не пречи на правото на държавата жалбоподател </w:t>
      </w:r>
      <w:r w:rsidR="00A97099">
        <w:t>на</w:t>
      </w:r>
      <w:r>
        <w:t xml:space="preserve"> цялостно изпълнение на решението на Голямата камара от 2001 г., включително незабавно прекратяване на продължаващото незаконно разпореждане (включително продажба, отдаване под наем, използване или други начини на </w:t>
      </w:r>
      <w:r w:rsidR="00A97099">
        <w:t>употреба</w:t>
      </w:r>
      <w:r>
        <w:t>) със земи и имущество на кипърски граждани от гръцки произход в Северен Кипър от властите на „СКТР“ с</w:t>
      </w:r>
      <w:r w:rsidR="00A97099">
        <w:t>ъс съучастието</w:t>
      </w:r>
      <w:r>
        <w:t xml:space="preserve"> на турската държава. Това не е просто </w:t>
      </w:r>
      <w:r w:rsidR="003C3446">
        <w:t xml:space="preserve">изявление </w:t>
      </w:r>
      <w:r>
        <w:t>относно тълкуване</w:t>
      </w:r>
      <w:r w:rsidR="003C3446">
        <w:t>то</w:t>
      </w:r>
      <w:r>
        <w:t xml:space="preserve"> на предишно решение на Съда. Намерени</w:t>
      </w:r>
      <w:r w:rsidR="007B75D8">
        <w:t>е</w:t>
      </w:r>
      <w:r>
        <w:t>т</w:t>
      </w:r>
      <w:r w:rsidR="007B75D8">
        <w:t>о</w:t>
      </w:r>
      <w:r>
        <w:t xml:space="preserve"> на Съда </w:t>
      </w:r>
      <w:r w:rsidR="003C3446">
        <w:t>се простира много</w:t>
      </w:r>
      <w:r w:rsidR="008D4F8E">
        <w:t xml:space="preserve"> по-далеч</w:t>
      </w:r>
      <w:r>
        <w:t xml:space="preserve">. Това също </w:t>
      </w:r>
      <w:r w:rsidR="008D4F8E">
        <w:t>е</w:t>
      </w:r>
      <w:r>
        <w:t xml:space="preserve"> признание </w:t>
      </w:r>
      <w:r w:rsidR="008D4F8E">
        <w:t>з</w:t>
      </w:r>
      <w:r>
        <w:t xml:space="preserve">а съществуването на ситуация на неизпълнение на решението на Голямата камара от 2001 г. и следователно </w:t>
      </w:r>
      <w:r w:rsidR="008D4F8E">
        <w:t xml:space="preserve">на </w:t>
      </w:r>
      <w:r>
        <w:t xml:space="preserve">нарушение от страна на държавата ответник на </w:t>
      </w:r>
      <w:r>
        <w:lastRenderedPageBreak/>
        <w:t xml:space="preserve">задълженията </w:t>
      </w:r>
      <w:r w:rsidR="008D4F8E">
        <w:t>ѝ</w:t>
      </w:r>
      <w:r>
        <w:t xml:space="preserve"> по чл</w:t>
      </w:r>
      <w:r w:rsidR="008D4F8E">
        <w:t>.</w:t>
      </w:r>
      <w:r>
        <w:t xml:space="preserve"> 46 от Конвенцията, което Съдът се стреми да прекрати</w:t>
      </w:r>
      <w:r>
        <w:rPr>
          <w:rStyle w:val="FootnoteReference"/>
        </w:rPr>
        <w:footnoteReference w:id="61"/>
      </w:r>
      <w:r>
        <w:t>.</w:t>
      </w:r>
    </w:p>
    <w:p w:rsidR="008F5888" w:rsidRPr="00D95319" w:rsidRDefault="008F5888" w:rsidP="00F44003">
      <w:pPr>
        <w:pStyle w:val="OpiH1"/>
      </w:pPr>
      <w:r>
        <w:t>Заключение</w:t>
      </w:r>
    </w:p>
    <w:p w:rsidR="00946776" w:rsidRDefault="00376B49" w:rsidP="00F44003">
      <w:pPr>
        <w:pStyle w:val="OpiPara"/>
      </w:pPr>
      <w:r>
        <w:t xml:space="preserve">24.  В крайна сметка </w:t>
      </w:r>
      <w:r w:rsidR="00D14012">
        <w:t>има</w:t>
      </w:r>
      <w:r>
        <w:t xml:space="preserve"> наказание за </w:t>
      </w:r>
      <w:r w:rsidR="00D14012">
        <w:t>несправедливата война</w:t>
      </w:r>
      <w:r>
        <w:t xml:space="preserve"> и трагични</w:t>
      </w:r>
      <w:r w:rsidR="00D14012">
        <w:t>те</w:t>
      </w:r>
      <w:r>
        <w:t xml:space="preserve"> последици</w:t>
      </w:r>
      <w:r w:rsidR="00D14012">
        <w:t xml:space="preserve"> от нея</w:t>
      </w:r>
      <w:r>
        <w:t xml:space="preserve"> в Европа. </w:t>
      </w:r>
      <w:r w:rsidR="00556E53" w:rsidRPr="00075945">
        <w:t>Това</w:t>
      </w:r>
      <w:r>
        <w:t xml:space="preserve"> наказание може да се прилага по междудържавни дела пред Съда, който е компетентен да определи наказателни обезщетения в особено тежки случаи на нарушения на правата на човека. Такъв е и настоящият случай. Държавата ответник е отговорна за продължителното издирване на безследно изчезналите лица и продължилите дълго страдания и унижения, на които са били подложени кипърските граждани от гръцки произход от началото на нахлуването в Северен Кипър, както и не е обърнала внимание на не</w:t>
      </w:r>
      <w:r w:rsidR="00556E53">
        <w:t>еднократните</w:t>
      </w:r>
      <w:r>
        <w:t xml:space="preserve"> приз</w:t>
      </w:r>
      <w:r w:rsidR="00556E53">
        <w:t>иви</w:t>
      </w:r>
      <w:r>
        <w:t xml:space="preserve"> от страна на Комитета на министрите за цялостно изпълнение на решението на Съда във връзка с въпросните нарушения. Както е </w:t>
      </w:r>
      <w:r w:rsidR="004925FA">
        <w:t>казал преди време</w:t>
      </w:r>
      <w:r>
        <w:t xml:space="preserve"> Blackstone, наказателните обезщетения са </w:t>
      </w:r>
      <w:r w:rsidR="004925FA">
        <w:t>най-</w:t>
      </w:r>
      <w:r>
        <w:t xml:space="preserve">нужни в случаите, в които причинителите на </w:t>
      </w:r>
      <w:r w:rsidR="004925FA">
        <w:t>големи неприятности</w:t>
      </w:r>
      <w:r>
        <w:t xml:space="preserve"> не ги прекратят след първоначалната присъда, произнесена срещу тях</w:t>
      </w:r>
      <w:r>
        <w:rPr>
          <w:rStyle w:val="FootnoteReference"/>
          <w:rFonts w:ascii="Times New Roman" w:hAnsi="Times New Roman"/>
        </w:rPr>
        <w:footnoteReference w:id="62"/>
      </w:r>
      <w:r>
        <w:t>.</w:t>
      </w:r>
    </w:p>
    <w:p w:rsidR="002D47C8" w:rsidRDefault="002D47C8" w:rsidP="00F44003">
      <w:pPr>
        <w:jc w:val="left"/>
        <w:sectPr w:rsidR="002D47C8" w:rsidSect="008B347C">
          <w:headerReference w:type="even" r:id="rId15"/>
          <w:headerReference w:type="default" r:id="rId16"/>
          <w:footnotePr>
            <w:numRestart w:val="eachSect"/>
          </w:footnotePr>
          <w:pgSz w:w="11906" w:h="16838" w:code="9"/>
          <w:pgMar w:top="2274" w:right="2274" w:bottom="2274" w:left="2274" w:header="1701" w:footer="720" w:gutter="0"/>
          <w:cols w:space="720"/>
          <w:docGrid w:linePitch="326"/>
        </w:sectPr>
      </w:pPr>
    </w:p>
    <w:p w:rsidR="00946776" w:rsidRPr="00417D35" w:rsidRDefault="00946776" w:rsidP="00F44003">
      <w:pPr>
        <w:pStyle w:val="ECHRTitleCentre1"/>
      </w:pPr>
      <w:r>
        <w:lastRenderedPageBreak/>
        <w:br/>
        <w:t xml:space="preserve">ЧАСТИЧНО </w:t>
      </w:r>
      <w:r w:rsidR="0046592B">
        <w:t xml:space="preserve">СЪВПАДАЩО </w:t>
      </w:r>
      <w:r>
        <w:t>МНЕНИЕ НА СЪДИИ ТУЛКЕНС, ВА</w:t>
      </w:r>
      <w:r w:rsidR="0046592B">
        <w:t>Й</w:t>
      </w:r>
      <w:r>
        <w:t>ИЧ, РАЙМОНДИ И БИАНКУ, КЪМ КОЕТО СЕ ПРИСЪЕДИНЯВА СЪДИЯ КАРАКАШ</w:t>
      </w:r>
    </w:p>
    <w:p w:rsidR="00946776" w:rsidRDefault="00946776" w:rsidP="00F44003">
      <w:pPr>
        <w:pStyle w:val="OpiTranslation"/>
      </w:pPr>
      <w:r>
        <w:t>(Превод)</w:t>
      </w:r>
    </w:p>
    <w:p w:rsidR="00946776" w:rsidRDefault="00946776" w:rsidP="00F44003">
      <w:pPr>
        <w:pStyle w:val="OpiPara"/>
        <w:ind w:left="284" w:firstLine="0"/>
      </w:pPr>
    </w:p>
    <w:p w:rsidR="00946776" w:rsidRPr="00417D35" w:rsidRDefault="00946776" w:rsidP="00F44003">
      <w:pPr>
        <w:pStyle w:val="OpiPara"/>
      </w:pPr>
      <w:r>
        <w:t>1.  Гласувахме с мнозинство</w:t>
      </w:r>
      <w:r w:rsidR="0046592B">
        <w:t>то</w:t>
      </w:r>
      <w:r>
        <w:t xml:space="preserve"> и </w:t>
      </w:r>
      <w:r w:rsidR="00B54A2B">
        <w:t xml:space="preserve">поради това </w:t>
      </w:r>
      <w:r>
        <w:t>с</w:t>
      </w:r>
      <w:r w:rsidR="00B54A2B">
        <w:t>м</w:t>
      </w:r>
      <w:r>
        <w:t>е съглас</w:t>
      </w:r>
      <w:r w:rsidR="00B54A2B">
        <w:t>ни</w:t>
      </w:r>
      <w:r>
        <w:t xml:space="preserve"> с всички точки </w:t>
      </w:r>
      <w:r w:rsidR="00B54A2B">
        <w:t>от диспозитива</w:t>
      </w:r>
      <w:r>
        <w:t xml:space="preserve"> </w:t>
      </w:r>
      <w:r w:rsidR="00B54A2B">
        <w:t>на</w:t>
      </w:r>
      <w:r>
        <w:t xml:space="preserve"> това важно решение</w:t>
      </w:r>
      <w:r>
        <w:rPr>
          <w:rStyle w:val="FootnoteReference"/>
        </w:rPr>
        <w:footnoteReference w:id="63"/>
      </w:r>
      <w:r>
        <w:t>.</w:t>
      </w:r>
    </w:p>
    <w:p w:rsidR="00946776" w:rsidRPr="00417D35" w:rsidRDefault="00946776" w:rsidP="00F44003">
      <w:pPr>
        <w:pStyle w:val="OpiPara"/>
      </w:pPr>
      <w:r>
        <w:t xml:space="preserve">2.  Причината, поради която </w:t>
      </w:r>
      <w:r w:rsidR="00B54A2B">
        <w:t xml:space="preserve">се чувстваме </w:t>
      </w:r>
      <w:r>
        <w:t>принудени да изразим отделно мнение</w:t>
      </w:r>
      <w:r w:rsidR="00B54A2B">
        <w:t>,</w:t>
      </w:r>
      <w:r>
        <w:t xml:space="preserve"> е свързана </w:t>
      </w:r>
      <w:r w:rsidR="006D2631">
        <w:t xml:space="preserve">само </w:t>
      </w:r>
      <w:r>
        <w:t xml:space="preserve">с един конкретен аспект, а именно бележките — които не </w:t>
      </w:r>
      <w:r w:rsidR="006D2631">
        <w:t xml:space="preserve">можем да </w:t>
      </w:r>
      <w:r>
        <w:t>одобр</w:t>
      </w:r>
      <w:r w:rsidR="006D2631">
        <w:t>им</w:t>
      </w:r>
      <w:r>
        <w:t xml:space="preserve"> — съдържащи се в последното изречение на параграф 63 от решението.  Параграфът се отнася до </w:t>
      </w:r>
      <w:r w:rsidR="009016AA">
        <w:t xml:space="preserve">искането </w:t>
      </w:r>
      <w:r>
        <w:t xml:space="preserve">на </w:t>
      </w:r>
      <w:r w:rsidR="009016AA">
        <w:t>П</w:t>
      </w:r>
      <w:r>
        <w:t>равителството на Кипър от 25 ноември 2011 г. в хода на производството, ко</w:t>
      </w:r>
      <w:r w:rsidR="009016AA">
        <w:t>е</w:t>
      </w:r>
      <w:r>
        <w:t>то, макар и озаглавен</w:t>
      </w:r>
      <w:r w:rsidR="009016AA">
        <w:t>о</w:t>
      </w:r>
      <w:r>
        <w:t xml:space="preserve"> „Искане за справедливо обезщетение (член 41)“, в действителност касае процедурата за изпълнение на основното решение на Комитета на министрите на Съвета на Европа и иска от Съда да предприеме стъпки, за да улесни изпълнението на въпросното решение (вж. параграф 8 от настоящото решение).</w:t>
      </w:r>
    </w:p>
    <w:p w:rsidR="00946776" w:rsidRPr="00417D35" w:rsidRDefault="00946776" w:rsidP="00F44003">
      <w:pPr>
        <w:pStyle w:val="OpiPara"/>
      </w:pPr>
      <w:r>
        <w:t>3.  В параграф 63 от решението Съдът очертава някои принципи по отношение на изпълнението на решени</w:t>
      </w:r>
      <w:r w:rsidR="009016AA">
        <w:t>я</w:t>
      </w:r>
      <w:r>
        <w:t>т</w:t>
      </w:r>
      <w:r w:rsidR="009016AA">
        <w:t>а</w:t>
      </w:r>
      <w:r>
        <w:t xml:space="preserve"> му, с които сме </w:t>
      </w:r>
      <w:r w:rsidR="009016AA">
        <w:t>напълно</w:t>
      </w:r>
      <w:r>
        <w:t xml:space="preserve"> съгласни. </w:t>
      </w:r>
      <w:r w:rsidR="00087743">
        <w:t>По-к</w:t>
      </w:r>
      <w:r>
        <w:t xml:space="preserve">онкретно Съдът заявява, че „Правителството ответник във всички случаи е официално правнообвързано с </w:t>
      </w:r>
      <w:r w:rsidR="00087743">
        <w:t>приложимите</w:t>
      </w:r>
      <w:r>
        <w:t xml:space="preserve"> условия на основното решение“ и съответно, че „не е необходимо да се разглежда въпрос</w:t>
      </w:r>
      <w:r w:rsidR="00087743">
        <w:t>ът</w:t>
      </w:r>
      <w:r>
        <w:t xml:space="preserve"> дали [Съдът] </w:t>
      </w:r>
      <w:r w:rsidR="00087743">
        <w:t>е компетентен</w:t>
      </w:r>
      <w:r>
        <w:t xml:space="preserve"> по Конвенцията да се произнесе с „установително решение“ по начина, изискан от Правителството жалбоподател...“. В „тази връзка се припомня, че Съдът твърди, че е налице непрекъснато нарушение на чл</w:t>
      </w:r>
      <w:r w:rsidR="00FD6680">
        <w:t>.</w:t>
      </w:r>
      <w:r>
        <w:t xml:space="preserve"> 1 от Протокол № 1 по силата на обстоятелството, че на собствениците на имущество от гръцки произход в северната част на Кипър </w:t>
      </w:r>
      <w:r w:rsidR="00FD6680">
        <w:t>с</w:t>
      </w:r>
      <w:r>
        <w:t>е отказ</w:t>
      </w:r>
      <w:r w:rsidR="00FD6680">
        <w:t>ва</w:t>
      </w:r>
      <w:r>
        <w:t xml:space="preserve"> достъп до и управление, </w:t>
      </w:r>
      <w:r w:rsidR="00FD6680">
        <w:t>употреба</w:t>
      </w:r>
      <w:r>
        <w:t xml:space="preserve"> и ползване </w:t>
      </w:r>
      <w:r w:rsidR="00FD6680">
        <w:t>на</w:t>
      </w:r>
      <w:r>
        <w:t xml:space="preserve"> тяхната собственост, както и каквото и да е обезщетение за </w:t>
      </w:r>
      <w:r w:rsidR="00FD6680">
        <w:t>намесата в</w:t>
      </w:r>
      <w:r>
        <w:t xml:space="preserve"> правата им на собственост (</w:t>
      </w:r>
      <w:r w:rsidR="00FD6680">
        <w:t>раздел</w:t>
      </w:r>
      <w:r>
        <w:t xml:space="preserve"> ІІІ, точка 4 от </w:t>
      </w:r>
      <w:r w:rsidR="00FD6680">
        <w:t>диспозитива на</w:t>
      </w:r>
      <w:r>
        <w:t xml:space="preserve"> основното решение). Съдът съответно стига до заключението, че „... Комитетът на министрите трябва да гарантира, че това становище, което е правнообрързващо по силата на Конвенцията и което все още не е изпълнено, се изпълнява </w:t>
      </w:r>
      <w:r w:rsidR="00BA5A88">
        <w:t xml:space="preserve">изцяло </w:t>
      </w:r>
      <w:r>
        <w:t>от страна на Правителството ответник.</w:t>
      </w:r>
    </w:p>
    <w:p w:rsidR="00946776" w:rsidRPr="00417D35" w:rsidRDefault="00946776" w:rsidP="00F44003">
      <w:pPr>
        <w:pStyle w:val="OpiPara"/>
      </w:pPr>
      <w:r>
        <w:t>4.  </w:t>
      </w:r>
      <w:r w:rsidR="00BA5A88">
        <w:t>Пос</w:t>
      </w:r>
      <w:r>
        <w:t xml:space="preserve">ледващото изявление на Съда, според което „подобно </w:t>
      </w:r>
      <w:r w:rsidR="00BA5A88">
        <w:t>изпълнение</w:t>
      </w:r>
      <w:r>
        <w:t xml:space="preserve"> не може … да бъде съвместимо с възможни разрешения, участия, </w:t>
      </w:r>
      <w:r w:rsidR="00157170">
        <w:t>негласни</w:t>
      </w:r>
      <w:r>
        <w:t xml:space="preserve"> съгласия или </w:t>
      </w:r>
      <w:r w:rsidR="00157170">
        <w:t>съ</w:t>
      </w:r>
      <w:r>
        <w:t xml:space="preserve">участия по друг начин </w:t>
      </w:r>
      <w:r w:rsidR="00157170">
        <w:t>в</w:t>
      </w:r>
      <w:r>
        <w:t xml:space="preserve"> незаконна разпродажба или разпореждане с домовете и имуществото на </w:t>
      </w:r>
      <w:r>
        <w:lastRenderedPageBreak/>
        <w:t xml:space="preserve">кипърските граждани от гръцки произход в северната част на Кипър“ и което </w:t>
      </w:r>
      <w:r w:rsidR="00157170">
        <w:t xml:space="preserve">в общи линии </w:t>
      </w:r>
      <w:r>
        <w:t xml:space="preserve">не прави нищо повече </w:t>
      </w:r>
      <w:r w:rsidR="00157170">
        <w:t xml:space="preserve">от това </w:t>
      </w:r>
      <w:r>
        <w:t xml:space="preserve">да </w:t>
      </w:r>
      <w:r w:rsidR="00157170">
        <w:t xml:space="preserve">повтори </w:t>
      </w:r>
      <w:r>
        <w:t xml:space="preserve">основното решение по въпроса, не поражда </w:t>
      </w:r>
      <w:r w:rsidR="00157170">
        <w:t>особени</w:t>
      </w:r>
      <w:r>
        <w:t xml:space="preserve"> трудности, въпреки че това повторение може да се счита за напълно излишно предвид целт</w:t>
      </w:r>
      <w:r w:rsidR="00532942">
        <w:t>а</w:t>
      </w:r>
      <w:r>
        <w:t xml:space="preserve"> на решението </w:t>
      </w:r>
      <w:r w:rsidR="00532942">
        <w:t>по</w:t>
      </w:r>
      <w:r>
        <w:t xml:space="preserve"> чл</w:t>
      </w:r>
      <w:r w:rsidR="00532942">
        <w:t>.</w:t>
      </w:r>
      <w:r>
        <w:t xml:space="preserve"> 41.</w:t>
      </w:r>
    </w:p>
    <w:p w:rsidR="00946776" w:rsidRPr="00417D35" w:rsidRDefault="00946776" w:rsidP="00F44003">
      <w:pPr>
        <w:pStyle w:val="OpiPara"/>
      </w:pPr>
      <w:r>
        <w:t xml:space="preserve">5.  Изречението, </w:t>
      </w:r>
      <w:r w:rsidR="00532942">
        <w:t>с</w:t>
      </w:r>
      <w:r>
        <w:t xml:space="preserve"> което </w:t>
      </w:r>
      <w:r w:rsidR="00532942">
        <w:t>имаме</w:t>
      </w:r>
      <w:r>
        <w:t xml:space="preserve"> </w:t>
      </w:r>
      <w:r w:rsidR="00532942">
        <w:t>затруднение</w:t>
      </w:r>
      <w:r>
        <w:t>, е следното: „</w:t>
      </w:r>
      <w:r w:rsidR="00853281">
        <w:rPr>
          <w:rStyle w:val="JuParaChar"/>
        </w:rPr>
        <w:t xml:space="preserve">Освен това решението на Съда по делото </w:t>
      </w:r>
      <w:r w:rsidR="00853281">
        <w:rPr>
          <w:rStyle w:val="JuParaChar"/>
          <w:i/>
        </w:rPr>
        <w:t>Demopoulos and Others</w:t>
      </w:r>
      <w:r w:rsidR="00853281">
        <w:rPr>
          <w:rStyle w:val="JuParaChar"/>
        </w:rPr>
        <w:t xml:space="preserve"> … че подобни дела, инициирани от физически лица по отношение на нарушение на правото на собственост, трябва да се отхвърлят поради неизчерпване на възможностите за вътрешноправни средства за защита, не може да се вземе предвид самостоятелно, за да се реши въпроса със спазването от страна на Турция на раздел ІІІ от диспозитива на основното решение по междудържавното дело</w:t>
      </w:r>
      <w:r>
        <w:t>.“</w:t>
      </w:r>
    </w:p>
    <w:p w:rsidR="00946776" w:rsidRPr="00417D35" w:rsidRDefault="00946776" w:rsidP="00F44003">
      <w:pPr>
        <w:pStyle w:val="OpiPara"/>
      </w:pPr>
      <w:r>
        <w:t>6.  Според нас подобно изявление — дори да не се съдържа в оперативните разпоредби — има за цел да разшири правомощията на Съда и противоречи на чл</w:t>
      </w:r>
      <w:r w:rsidR="00853281">
        <w:t>.</w:t>
      </w:r>
      <w:r>
        <w:t xml:space="preserve"> 46 § 2 от Конвенцията, </w:t>
      </w:r>
      <w:r w:rsidR="00853281">
        <w:t xml:space="preserve">като се </w:t>
      </w:r>
      <w:r>
        <w:t>намесва в правомощията на Комитета на министрите на Съвета на Европа, на когото Конвенцията е поверила задачата за осъществяване на надзор върху изпълнение</w:t>
      </w:r>
      <w:r w:rsidR="00147F3F">
        <w:t>то</w:t>
      </w:r>
      <w:r>
        <w:t xml:space="preserve"> на решенията на Съда.</w:t>
      </w:r>
    </w:p>
    <w:p w:rsidR="00946776" w:rsidRPr="00417D35" w:rsidRDefault="00946776" w:rsidP="00F44003">
      <w:pPr>
        <w:pStyle w:val="OpiPara"/>
      </w:pPr>
      <w:r>
        <w:t xml:space="preserve">7.  Съдът </w:t>
      </w:r>
      <w:r w:rsidR="00147F3F">
        <w:t>не е компетентен</w:t>
      </w:r>
      <w:r>
        <w:t xml:space="preserve"> да провери дали Високодоговаряща страна е изпълнила задълженията си, наложени </w:t>
      </w:r>
      <w:r w:rsidR="00147F3F">
        <w:t>ѝ</w:t>
      </w:r>
      <w:r>
        <w:t xml:space="preserve"> от някое от решенията на Съда (вж. </w:t>
      </w:r>
      <w:r>
        <w:rPr>
          <w:i/>
        </w:rPr>
        <w:t>Oberschlick v. Austria</w:t>
      </w:r>
      <w:r>
        <w:t xml:space="preserve">, номера 19255/92 и 21655/93, решение на Комисията от 16 май 1995 г., Решения и доклади 81-A, стр. 5, и </w:t>
      </w:r>
      <w:r>
        <w:rPr>
          <w:i/>
        </w:rPr>
        <w:t>Mehemi v. France (no. 2)</w:t>
      </w:r>
      <w:r>
        <w:t>, № 53470/99, § 43, ЕСПЧ 2003</w:t>
      </w:r>
      <w:r>
        <w:noBreakHyphen/>
        <w:t>IV).</w:t>
      </w:r>
    </w:p>
    <w:p w:rsidR="00946776" w:rsidRPr="00417D35" w:rsidRDefault="00946776" w:rsidP="00F44003">
      <w:pPr>
        <w:pStyle w:val="OpiPara"/>
      </w:pPr>
      <w:r>
        <w:t>8.  Вярно е, че настоящият текст на чл</w:t>
      </w:r>
      <w:r w:rsidR="00147F3F">
        <w:t>.</w:t>
      </w:r>
      <w:r>
        <w:t xml:space="preserve"> 46 от Конвенцията, изменен с Протокол № 14 към нея, позволява на Комитета на министрите да отнесе въпрос до Съда при два вида обстоятелства: първо, когато надзор</w:t>
      </w:r>
      <w:r w:rsidR="00147F3F">
        <w:t>ът</w:t>
      </w:r>
      <w:r>
        <w:t xml:space="preserve"> на изпълнението на окончателно решение е възпрепятстван от проблем при тълкуването му, с цел Съда да се произнесе по </w:t>
      </w:r>
      <w:r w:rsidR="00C95830">
        <w:t>тълкуването</w:t>
      </w:r>
      <w:r>
        <w:t xml:space="preserve"> (§ 3); и второ, когато Комитетът на министрите счита, че Високодоговаряща страна отказва да се придържа към окончателно решение по дело, по което е страна (§ 4). Все пак и в двата случая Комитетът на министрите трябва да вземе решението за отнасяне до Съда с квалифициран</w:t>
      </w:r>
      <w:r w:rsidR="00C95830">
        <w:t>о</w:t>
      </w:r>
      <w:r>
        <w:t xml:space="preserve"> мнозинство от две трети от представителите, имащи право да участват в заседанията</w:t>
      </w:r>
      <w:r w:rsidR="00C95830">
        <w:t xml:space="preserve"> му</w:t>
      </w:r>
      <w:r>
        <w:t>.</w:t>
      </w:r>
    </w:p>
    <w:p w:rsidR="00946776" w:rsidRPr="00417D35" w:rsidRDefault="00946776" w:rsidP="00F44003">
      <w:pPr>
        <w:pStyle w:val="OpiPara"/>
      </w:pPr>
      <w:r>
        <w:t xml:space="preserve">9.  Високодоговарящите страни </w:t>
      </w:r>
      <w:r w:rsidR="00C95830">
        <w:t>не могат</w:t>
      </w:r>
      <w:r>
        <w:t xml:space="preserve"> да отнасят въпрос по параграфи 3 и 4 от чл</w:t>
      </w:r>
      <w:r w:rsidR="00E4056F">
        <w:t>.</w:t>
      </w:r>
      <w:r>
        <w:t xml:space="preserve"> 46 от Конвенцията </w:t>
      </w:r>
      <w:r w:rsidR="00E4056F">
        <w:t>директно</w:t>
      </w:r>
      <w:r>
        <w:t xml:space="preserve"> до Съда, без да </w:t>
      </w:r>
      <w:r w:rsidR="00E4056F">
        <w:t>пре</w:t>
      </w:r>
      <w:r>
        <w:t xml:space="preserve">минават през процедурата, определена във въпросните разпоредби. От разрешаването на подобна възможност, което </w:t>
      </w:r>
      <w:r w:rsidR="00E4056F">
        <w:t xml:space="preserve">решението </w:t>
      </w:r>
      <w:r>
        <w:t xml:space="preserve">изглежда </w:t>
      </w:r>
      <w:r w:rsidR="00E4056F">
        <w:t>прави</w:t>
      </w:r>
      <w:r>
        <w:t xml:space="preserve">, възниква риска от нарушаване на равновесието при разпределението на правомощията между двете институции, предвидено от </w:t>
      </w:r>
      <w:r w:rsidR="00E4056F">
        <w:t xml:space="preserve">създателите </w:t>
      </w:r>
      <w:r>
        <w:t>на Конвенцията.</w:t>
      </w:r>
    </w:p>
    <w:p w:rsidR="00946776" w:rsidRPr="00417D35" w:rsidRDefault="00946776" w:rsidP="00F44003">
      <w:pPr>
        <w:pStyle w:val="OpiPara"/>
      </w:pPr>
      <w:r>
        <w:t xml:space="preserve">10.  Разбира се, както </w:t>
      </w:r>
      <w:r w:rsidR="00E4056F">
        <w:t xml:space="preserve">приема </w:t>
      </w:r>
      <w:r>
        <w:t xml:space="preserve">Съдът например в решението си по делото </w:t>
      </w:r>
      <w:r>
        <w:rPr>
          <w:i/>
        </w:rPr>
        <w:t>Verein gegen Tierfabriken Schweiz (VgT) v. Switzerland</w:t>
      </w:r>
      <w:r>
        <w:t xml:space="preserve"> </w:t>
      </w:r>
      <w:r>
        <w:rPr>
          <w:i/>
        </w:rPr>
        <w:t>(№ 2)</w:t>
      </w:r>
      <w:r>
        <w:t xml:space="preserve"> ([</w:t>
      </w:r>
      <w:r w:rsidR="003954DC">
        <w:t>ГО</w:t>
      </w:r>
      <w:r>
        <w:t xml:space="preserve">], </w:t>
      </w:r>
      <w:r>
        <w:lastRenderedPageBreak/>
        <w:t>№ 32772/02 , § 67, ЕСПЧ 2009 г.), не може да се каже, че е налице намеса в правомощията</w:t>
      </w:r>
      <w:r w:rsidR="003954DC">
        <w:t>,</w:t>
      </w:r>
      <w:r>
        <w:t xml:space="preserve"> предоставени на Комитета на министрите с чл</w:t>
      </w:r>
      <w:r w:rsidR="003954DC">
        <w:t>.</w:t>
      </w:r>
      <w:r>
        <w:t xml:space="preserve"> 46, когато Съдът </w:t>
      </w:r>
      <w:r w:rsidR="003954DC">
        <w:t>трябва</w:t>
      </w:r>
      <w:r>
        <w:t xml:space="preserve"> да разгле</w:t>
      </w:r>
      <w:r w:rsidR="003954DC">
        <w:t>ж</w:t>
      </w:r>
      <w:r>
        <w:t>да нова информация, която е от значение в контекста на новоподадена жалба, особено когато Комитетът на министрите е приключил надзора си върху изпълнението на решението на Съда чрез заключителна резолюция.</w:t>
      </w:r>
    </w:p>
    <w:p w:rsidR="0018649C" w:rsidRPr="00417D35" w:rsidRDefault="00946776" w:rsidP="00F44003">
      <w:pPr>
        <w:pStyle w:val="OpiPara"/>
      </w:pPr>
      <w:r>
        <w:t>11.  Въпреки всичко</w:t>
      </w:r>
      <w:r w:rsidR="003954DC">
        <w:t xml:space="preserve"> е</w:t>
      </w:r>
      <w:r>
        <w:t xml:space="preserve"> ясно, че тук това</w:t>
      </w:r>
      <w:r w:rsidR="003954DC">
        <w:t xml:space="preserve"> не е така</w:t>
      </w:r>
      <w:r>
        <w:t xml:space="preserve">, което обяснява защо не </w:t>
      </w:r>
      <w:r w:rsidR="003954DC">
        <w:t xml:space="preserve">можем да </w:t>
      </w:r>
      <w:r>
        <w:t>подкреп</w:t>
      </w:r>
      <w:r w:rsidR="003954DC">
        <w:t>им</w:t>
      </w:r>
      <w:r>
        <w:t xml:space="preserve"> последното изречение </w:t>
      </w:r>
      <w:r w:rsidR="002916F5">
        <w:t>от</w:t>
      </w:r>
      <w:r>
        <w:t xml:space="preserve"> параграф 63 от решението.</w:t>
      </w:r>
    </w:p>
    <w:p w:rsidR="0018649C" w:rsidRPr="00417D35" w:rsidRDefault="0018649C" w:rsidP="00F44003">
      <w:pPr>
        <w:jc w:val="left"/>
      </w:pPr>
      <w:r>
        <w:br w:type="page"/>
      </w:r>
    </w:p>
    <w:p w:rsidR="00417D35" w:rsidRPr="0027087D" w:rsidRDefault="008D2D38" w:rsidP="00F44003">
      <w:pPr>
        <w:pStyle w:val="ECHRTitleCentre1"/>
      </w:pPr>
      <w:r>
        <w:lastRenderedPageBreak/>
        <w:br/>
        <w:t xml:space="preserve">ЧАСТИЧНО </w:t>
      </w:r>
      <w:r w:rsidR="002916F5">
        <w:t xml:space="preserve">СЪВПАДАЩО </w:t>
      </w:r>
      <w:r>
        <w:t>И ЧАСТИЧНО ОСОБЕНО МНЕНИЕ НА СЪДИЯ КАСАДЕВАЛ</w:t>
      </w:r>
    </w:p>
    <w:p w:rsidR="00417D35" w:rsidRDefault="00417D35" w:rsidP="00F44003">
      <w:pPr>
        <w:pStyle w:val="OpiTranslation"/>
      </w:pPr>
      <w:r>
        <w:t>(Превод)</w:t>
      </w:r>
    </w:p>
    <w:p w:rsidR="008D2D38" w:rsidRPr="008D2D38" w:rsidRDefault="008D2D38" w:rsidP="00F44003">
      <w:pPr>
        <w:pStyle w:val="OpiPara"/>
      </w:pPr>
    </w:p>
    <w:p w:rsidR="00417D35" w:rsidRDefault="00417D35" w:rsidP="00F44003">
      <w:pPr>
        <w:pStyle w:val="OpiPara"/>
      </w:pPr>
      <w:r>
        <w:t>1.  „</w:t>
      </w:r>
      <w:r w:rsidR="002F2617">
        <w:t xml:space="preserve">като взема предвид специфичното естество на чл. 41 като </w:t>
      </w:r>
      <w:r w:rsidR="002F2617">
        <w:rPr>
          <w:i/>
        </w:rPr>
        <w:t>lex specialis</w:t>
      </w:r>
      <w:r w:rsidR="002F2617">
        <w:t xml:space="preserve"> във връзка с … правилата и принципите на международното право</w:t>
      </w:r>
      <w:r>
        <w:t xml:space="preserve">“, както заявява мнозинството (вж. параграф 42 от решението), според мен </w:t>
      </w:r>
      <w:r>
        <w:rPr>
          <w:i/>
        </w:rPr>
        <w:t>по принцип</w:t>
      </w:r>
      <w:r>
        <w:t xml:space="preserve"> правилото за справедливо обезщетение не следва да се прилага в междудържавните дела. Някой може да твърди обратното и да каже, че </w:t>
      </w:r>
      <w:r>
        <w:rPr>
          <w:i/>
        </w:rPr>
        <w:t>по принцип</w:t>
      </w:r>
      <w:r>
        <w:t xml:space="preserve"> то е приложимо и предвид конкретните обстоятелства по делото и </w:t>
      </w:r>
      <w:r w:rsidR="000452E3">
        <w:t>в частност</w:t>
      </w:r>
      <w:r>
        <w:t xml:space="preserve"> идентифицирането на </w:t>
      </w:r>
      <w:r>
        <w:rPr>
          <w:i/>
        </w:rPr>
        <w:t>по</w:t>
      </w:r>
      <w:r w:rsidR="00407FDD">
        <w:rPr>
          <w:i/>
        </w:rPr>
        <w:t>търпевш</w:t>
      </w:r>
      <w:r>
        <w:rPr>
          <w:i/>
        </w:rPr>
        <w:t>ата страна</w:t>
      </w:r>
      <w:r>
        <w:t xml:space="preserve"> (физическото лице, а не държавата) </w:t>
      </w:r>
      <w:r w:rsidR="000452E3">
        <w:t>д</w:t>
      </w:r>
      <w:r>
        <w:t xml:space="preserve">а </w:t>
      </w:r>
      <w:r w:rsidR="000452E3">
        <w:t xml:space="preserve">продължи с </w:t>
      </w:r>
      <w:r>
        <w:t xml:space="preserve">определяне на </w:t>
      </w:r>
      <w:r w:rsidR="000452E3">
        <w:t>приложимостта</w:t>
      </w:r>
      <w:r>
        <w:t xml:space="preserve"> на справедливото обезщетение </w:t>
      </w:r>
      <w:r w:rsidR="000452E3">
        <w:t>за всеки конкретен случай</w:t>
      </w:r>
      <w:r>
        <w:t>. Към момента, доколкото ми е известно, Съдът никога не е заявявал изрично, че правилото за справедливо обезщетение се прилага в междудържавни дела. От друга страна Съдът не е заяв</w:t>
      </w:r>
      <w:r w:rsidR="00B309A2">
        <w:t>ява</w:t>
      </w:r>
      <w:r>
        <w:t xml:space="preserve">л и </w:t>
      </w:r>
      <w:r w:rsidR="00B309A2">
        <w:t>обратното</w:t>
      </w:r>
      <w:r>
        <w:t>.</w:t>
      </w:r>
    </w:p>
    <w:p w:rsidR="00417D35" w:rsidRDefault="00417D35" w:rsidP="00F44003">
      <w:pPr>
        <w:pStyle w:val="OpiPara"/>
      </w:pPr>
      <w:r>
        <w:t>2.  Макар и с голямо колебание, предвид раз</w:t>
      </w:r>
      <w:r w:rsidR="00B309A2">
        <w:t>личн</w:t>
      </w:r>
      <w:r>
        <w:t>ите фактори, които възник</w:t>
      </w:r>
      <w:r w:rsidR="00B309A2">
        <w:t>ват</w:t>
      </w:r>
      <w:r>
        <w:t xml:space="preserve"> по делото между 10 май 2001 г. (датата на произнасяне на решението по </w:t>
      </w:r>
      <w:r w:rsidR="00B309A2">
        <w:t>основателността</w:t>
      </w:r>
      <w:r>
        <w:t>) и 18 юни 2012 г. (датата на последн</w:t>
      </w:r>
      <w:r w:rsidR="00B309A2">
        <w:t>о</w:t>
      </w:r>
      <w:r>
        <w:t>т</w:t>
      </w:r>
      <w:r w:rsidR="00B309A2">
        <w:t>о</w:t>
      </w:r>
      <w:r>
        <w:t xml:space="preserve"> становищ</w:t>
      </w:r>
      <w:r w:rsidR="00B309A2">
        <w:t>е</w:t>
      </w:r>
      <w:r>
        <w:t xml:space="preserve">, </w:t>
      </w:r>
      <w:r w:rsidR="00B309A2">
        <w:t>представено</w:t>
      </w:r>
      <w:r>
        <w:t xml:space="preserve"> от Правителството жалбоподател)</w:t>
      </w:r>
      <w:r w:rsidR="00B309A2">
        <w:t>,</w:t>
      </w:r>
      <w:r>
        <w:t xml:space="preserve"> и без да навлизам в процесуални подробности, гласувах с мнозинството за </w:t>
      </w:r>
      <w:r w:rsidR="00A31BBB">
        <w:t xml:space="preserve">констатираната приложимост </w:t>
      </w:r>
      <w:r>
        <w:t>на чл</w:t>
      </w:r>
      <w:r w:rsidR="00B309A2">
        <w:t>.</w:t>
      </w:r>
      <w:r>
        <w:t xml:space="preserve"> 41 по отношение на безследно изчезналите лица, идентифицирани по име. Въпреки това гласувах </w:t>
      </w:r>
      <w:r w:rsidR="00A31BBB">
        <w:t>против</w:t>
      </w:r>
      <w:r>
        <w:t xml:space="preserve"> приложимостта на тази разпоредба във връзка с жители</w:t>
      </w:r>
      <w:r w:rsidR="00A31BBB">
        <w:t>те</w:t>
      </w:r>
      <w:r>
        <w:t xml:space="preserve"> </w:t>
      </w:r>
      <w:r w:rsidR="00A31BBB">
        <w:t xml:space="preserve">на анклава </w:t>
      </w:r>
      <w:r>
        <w:t xml:space="preserve">на полуостров Карпас, които не са идентифицирани. В междудържавните дела </w:t>
      </w:r>
      <w:r w:rsidR="00A31BBB">
        <w:t xml:space="preserve">трябва </w:t>
      </w:r>
      <w:r>
        <w:t>да се прави разграничение между две напълно различни ситуации, и двете от които са представени в настоящото дело.</w:t>
      </w:r>
    </w:p>
    <w:p w:rsidR="00417D35" w:rsidRDefault="00417D35" w:rsidP="00F44003">
      <w:pPr>
        <w:pStyle w:val="OpiPara"/>
        <w:rPr>
          <w:bCs/>
        </w:rPr>
      </w:pPr>
      <w:r>
        <w:t xml:space="preserve">3.  Първата ситуация е когато държавата жалбоподател се оплаква от нарушаване на определени основни права на един или повече свои граждани — физически лица, които са идентифицирани и назовани по име — от друга Високодоговаряща страна (вж. делата </w:t>
      </w:r>
      <w:r>
        <w:rPr>
          <w:i/>
        </w:rPr>
        <w:t>Австрия срещу Италия</w:t>
      </w:r>
      <w:r>
        <w:t xml:space="preserve"> и </w:t>
      </w:r>
      <w:r>
        <w:rPr>
          <w:i/>
        </w:rPr>
        <w:t>Дания срещу Турция</w:t>
      </w:r>
      <w:r>
        <w:t xml:space="preserve">). В настоящото дело </w:t>
      </w:r>
      <w:r w:rsidR="00B73EC7">
        <w:t>има</w:t>
      </w:r>
      <w:r>
        <w:t xml:space="preserve"> 1 456 безследно изчезнали лица, които са назовани по име от Правителството жалбоподател в самото начало на </w:t>
      </w:r>
      <w:r w:rsidR="00B73EC7">
        <w:t>делото</w:t>
      </w:r>
      <w:r>
        <w:t xml:space="preserve">. Тук </w:t>
      </w:r>
      <w:r w:rsidR="00B73EC7">
        <w:t>се доближаваме много</w:t>
      </w:r>
      <w:r>
        <w:t xml:space="preserve"> до класическия сценарий и изглежда основателно да се твърди, че целта преди всичко е да се защитят индивидуалните права и законните интереси на съответните лица. Съответно можем да направим заключение, че правилото за справедливо обезщетение е приложимо, като имаме предвид, че присъдените суми трябва да достигнат до лицата, които пряко или косвено са понесли вреди и основно са </w:t>
      </w:r>
      <w:r>
        <w:lastRenderedPageBreak/>
        <w:t>„по</w:t>
      </w:r>
      <w:r w:rsidR="007141BD">
        <w:t>търпевши</w:t>
      </w:r>
      <w:r>
        <w:t>“ от нарушаване</w:t>
      </w:r>
      <w:r w:rsidR="00A90115">
        <w:t>то</w:t>
      </w:r>
      <w:r>
        <w:t xml:space="preserve"> на техните права (жертвите), а не до държавата, която ги представлява (вж. параграф 46 от решението).</w:t>
      </w:r>
    </w:p>
    <w:p w:rsidR="001D7FEB" w:rsidRDefault="00417D35" w:rsidP="00F44003">
      <w:pPr>
        <w:pStyle w:val="OpiPara"/>
        <w:rPr>
          <w:szCs w:val="24"/>
        </w:rPr>
      </w:pPr>
      <w:r>
        <w:t xml:space="preserve">4.  Втората ситуация (вж. параграф 44 от решението) е когато държавата жалбоподател се оплаква, по същество и в общи линии, от системни проблеми и недостатъци </w:t>
      </w:r>
      <w:r w:rsidR="00A90115">
        <w:t>или</w:t>
      </w:r>
      <w:r>
        <w:t xml:space="preserve"> административните практики </w:t>
      </w:r>
      <w:r w:rsidR="00A90115">
        <w:t>в</w:t>
      </w:r>
      <w:r>
        <w:t xml:space="preserve"> друга Високодоговаряща страна и където целта е основно да се поддържа европейския обществен ред, дори при условие че въпросното </w:t>
      </w:r>
      <w:r w:rsidR="00A90115">
        <w:t>П</w:t>
      </w:r>
      <w:r>
        <w:t xml:space="preserve">равителство може също така да преследва свои собствени </w:t>
      </w:r>
      <w:r w:rsidR="00A90115">
        <w:t xml:space="preserve">ясни </w:t>
      </w:r>
      <w:r>
        <w:t>политически интереси (вж. „Гръцкото дело“, Комисия, 1989 г.). В настоящ</w:t>
      </w:r>
      <w:r w:rsidR="00A90115">
        <w:t>ия случай</w:t>
      </w:r>
      <w:r>
        <w:t xml:space="preserve"> това </w:t>
      </w:r>
      <w:r w:rsidR="0063389E">
        <w:t>означава</w:t>
      </w:r>
      <w:r>
        <w:t xml:space="preserve"> жители</w:t>
      </w:r>
      <w:r w:rsidR="0063389E">
        <w:t>те</w:t>
      </w:r>
      <w:r>
        <w:t xml:space="preserve"> </w:t>
      </w:r>
      <w:r w:rsidR="0063389E">
        <w:t xml:space="preserve">в анклава </w:t>
      </w:r>
      <w:r>
        <w:t xml:space="preserve">на полуостров Карпас, които са определени по абстрактен начин от Правителството жалбоподател, лица, които следва да бъдат идентифицирани и описани </w:t>
      </w:r>
      <w:r w:rsidR="0063389E" w:rsidRPr="0063389E">
        <w:rPr>
          <w:i/>
          <w:lang w:val="en-US"/>
        </w:rPr>
        <w:t>ex</w:t>
      </w:r>
      <w:r w:rsidR="0063389E" w:rsidRPr="00075945">
        <w:rPr>
          <w:i/>
        </w:rPr>
        <w:t xml:space="preserve"> </w:t>
      </w:r>
      <w:r w:rsidR="0063389E" w:rsidRPr="0063389E">
        <w:rPr>
          <w:i/>
          <w:lang w:val="en-US"/>
        </w:rPr>
        <w:t>post</w:t>
      </w:r>
      <w:r w:rsidR="0063389E" w:rsidRPr="00075945">
        <w:rPr>
          <w:i/>
        </w:rPr>
        <w:t xml:space="preserve"> </w:t>
      </w:r>
      <w:r w:rsidR="0063389E" w:rsidRPr="0063389E">
        <w:rPr>
          <w:i/>
          <w:lang w:val="en-US"/>
        </w:rPr>
        <w:t>facto</w:t>
      </w:r>
      <w:r w:rsidR="0063389E" w:rsidRPr="0063389E">
        <w:t xml:space="preserve"> </w:t>
      </w:r>
      <w:r>
        <w:t xml:space="preserve">единадесет години </w:t>
      </w:r>
      <w:r w:rsidRPr="00AC07A8">
        <w:t>след</w:t>
      </w:r>
      <w:r>
        <w:t xml:space="preserve"> произнасяне на решението по </w:t>
      </w:r>
      <w:r w:rsidR="0063389E">
        <w:t>основателността</w:t>
      </w:r>
      <w:r>
        <w:t xml:space="preserve">. В параграф 43 от решението се </w:t>
      </w:r>
      <w:r w:rsidR="0063389E">
        <w:t>споменава</w:t>
      </w:r>
      <w:r>
        <w:t xml:space="preserve"> въпроса „</w:t>
      </w:r>
      <w:r w:rsidR="00675242">
        <w:t>дали потърпевшите от нарушението могат да бъдат открити, както и основната цел на производството, доколкото тя може да се разпознае в първоначалната жалба до Съда</w:t>
      </w:r>
      <w:r>
        <w:t>“. В тази втора ситуация, според мен, заключението следва да бъде, че чл</w:t>
      </w:r>
      <w:r w:rsidR="00675242">
        <w:t>.</w:t>
      </w:r>
      <w:r>
        <w:t xml:space="preserve"> 41 е неприложим.</w:t>
      </w:r>
    </w:p>
    <w:p w:rsidR="00417D35" w:rsidRDefault="00417D35" w:rsidP="00F44003">
      <w:pPr>
        <w:pStyle w:val="OpiPara"/>
        <w:rPr>
          <w:szCs w:val="24"/>
        </w:rPr>
      </w:pPr>
      <w:r>
        <w:t>5.  </w:t>
      </w:r>
      <w:r w:rsidR="00675242">
        <w:t>След като гласува</w:t>
      </w:r>
      <w:r w:rsidR="00EA12AF">
        <w:t>х</w:t>
      </w:r>
      <w:r>
        <w:t xml:space="preserve"> </w:t>
      </w:r>
      <w:r w:rsidR="00675242">
        <w:t>за</w:t>
      </w:r>
      <w:r>
        <w:t xml:space="preserve"> приложимостта на правилото за справедливо обезщетение във връзка с 1</w:t>
      </w:r>
      <w:r w:rsidR="00675242">
        <w:t> </w:t>
      </w:r>
      <w:r>
        <w:t>456</w:t>
      </w:r>
      <w:r w:rsidR="00675242">
        <w:t>-те</w:t>
      </w:r>
      <w:r>
        <w:t xml:space="preserve"> безследно изчезнали лица и </w:t>
      </w:r>
      <w:r w:rsidR="00070AB3">
        <w:t xml:space="preserve">като </w:t>
      </w:r>
      <w:r>
        <w:t>гледа</w:t>
      </w:r>
      <w:r w:rsidR="00070AB3">
        <w:t>м</w:t>
      </w:r>
      <w:r>
        <w:t xml:space="preserve"> отвъд практическите трудности по отношение на точното идентифициране на бенефициерите (деца, родители, наследници)</w:t>
      </w:r>
      <w:r w:rsidR="00070AB3">
        <w:t xml:space="preserve"> – </w:t>
      </w:r>
      <w:r>
        <w:t>задача, която следва да бъде изпълнена от Правителството жалбоподател</w:t>
      </w:r>
      <w:r w:rsidR="00070AB3">
        <w:t xml:space="preserve"> – </w:t>
      </w:r>
      <w:r>
        <w:t>вярвам, че ще</w:t>
      </w:r>
      <w:r w:rsidR="00070AB3">
        <w:t>ше да</w:t>
      </w:r>
      <w:r>
        <w:t xml:space="preserve"> </w:t>
      </w:r>
      <w:r w:rsidR="00070AB3">
        <w:t xml:space="preserve">е </w:t>
      </w:r>
      <w:r>
        <w:t xml:space="preserve">уместно </w:t>
      </w:r>
      <w:r w:rsidR="00070AB3">
        <w:t xml:space="preserve">да се </w:t>
      </w:r>
      <w:r>
        <w:t>присъ</w:t>
      </w:r>
      <w:r w:rsidR="00070AB3">
        <w:t>ди</w:t>
      </w:r>
      <w:r>
        <w:t xml:space="preserve"> индивидуална сума — </w:t>
      </w:r>
      <w:r w:rsidR="00070AB3">
        <w:t>на</w:t>
      </w:r>
      <w:r>
        <w:t xml:space="preserve"> глава от населението — на всеки от по</w:t>
      </w:r>
      <w:r w:rsidR="00407FDD">
        <w:t>търпевш</w:t>
      </w:r>
      <w:r>
        <w:t xml:space="preserve">ите (подобно на делото </w:t>
      </w:r>
      <w:r>
        <w:rPr>
          <w:i/>
        </w:rPr>
        <w:t>Varnava and Others v. Turkey</w:t>
      </w:r>
      <w:r>
        <w:t xml:space="preserve">), </w:t>
      </w:r>
      <w:r w:rsidR="00A2761A">
        <w:t xml:space="preserve">а не </w:t>
      </w:r>
      <w:r>
        <w:t>да се присъ</w:t>
      </w:r>
      <w:r w:rsidR="00A2761A">
        <w:t>жда</w:t>
      </w:r>
      <w:r>
        <w:t xml:space="preserve"> обща сума на </w:t>
      </w:r>
      <w:r w:rsidR="00A2761A">
        <w:t>к</w:t>
      </w:r>
      <w:r>
        <w:t>ипърската държава, без да се посоч</w:t>
      </w:r>
      <w:r w:rsidR="00A2761A">
        <w:t>в</w:t>
      </w:r>
      <w:r>
        <w:t xml:space="preserve">ат критерии за разпределянето </w:t>
      </w:r>
      <w:r w:rsidR="00A2761A">
        <w:t>ѝ</w:t>
      </w:r>
      <w:r>
        <w:t>. В действителност практи</w:t>
      </w:r>
      <w:r w:rsidR="00A2761A">
        <w:t>чески</w:t>
      </w:r>
      <w:r>
        <w:t xml:space="preserve"> всички присъ</w:t>
      </w:r>
      <w:r w:rsidR="00A2761A">
        <w:t>ждания</w:t>
      </w:r>
      <w:r>
        <w:t xml:space="preserve"> от Съда до момента под формата на справедливо обезщетение са </w:t>
      </w:r>
      <w:r w:rsidR="00A2761A">
        <w:t>и</w:t>
      </w:r>
      <w:r>
        <w:t xml:space="preserve">зплатени </w:t>
      </w:r>
      <w:r w:rsidR="00A2761A">
        <w:t>директно</w:t>
      </w:r>
      <w:r>
        <w:t xml:space="preserve"> на отделни жалбоподатели (вж. параграф 42 </w:t>
      </w:r>
      <w:r w:rsidR="00EA12AF" w:rsidRPr="00075945">
        <w:t>от</w:t>
      </w:r>
      <w:r w:rsidR="00EA12AF">
        <w:t xml:space="preserve"> решението, </w:t>
      </w:r>
      <w:r w:rsidRPr="00AC07A8">
        <w:t>в края</w:t>
      </w:r>
      <w:r>
        <w:t>).</w:t>
      </w:r>
    </w:p>
    <w:p w:rsidR="00417D35" w:rsidRDefault="00417D35" w:rsidP="00F44003">
      <w:pPr>
        <w:pStyle w:val="OpiPara"/>
      </w:pPr>
      <w:r>
        <w:t>6.  </w:t>
      </w:r>
      <w:r w:rsidR="00EA12AF">
        <w:t>След като г</w:t>
      </w:r>
      <w:r>
        <w:t>ласува</w:t>
      </w:r>
      <w:r w:rsidR="00EA12AF">
        <w:t>х</w:t>
      </w:r>
      <w:r>
        <w:t xml:space="preserve"> </w:t>
      </w:r>
      <w:r w:rsidR="00EA12AF">
        <w:t>против</w:t>
      </w:r>
      <w:r>
        <w:t xml:space="preserve"> приложимостта на чл</w:t>
      </w:r>
      <w:r w:rsidR="00EA12AF">
        <w:t>.</w:t>
      </w:r>
      <w:r>
        <w:t xml:space="preserve"> 41 по отношение на жители</w:t>
      </w:r>
      <w:r w:rsidR="00EA12AF">
        <w:t>те</w:t>
      </w:r>
      <w:r>
        <w:t xml:space="preserve"> </w:t>
      </w:r>
      <w:r w:rsidR="00EA12AF">
        <w:t xml:space="preserve">в анклава </w:t>
      </w:r>
      <w:r>
        <w:t xml:space="preserve">на полуостров Карпас, гласувах </w:t>
      </w:r>
      <w:r w:rsidR="00EA12AF">
        <w:t xml:space="preserve">и против </w:t>
      </w:r>
      <w:r w:rsidR="00E90B3E">
        <w:t>еднократната</w:t>
      </w:r>
      <w:r>
        <w:t xml:space="preserve"> сума, присъдена от мнозинството. Ако при </w:t>
      </w:r>
      <w:r w:rsidR="00DE7416">
        <w:t xml:space="preserve">предоставянето </w:t>
      </w:r>
      <w:r>
        <w:t xml:space="preserve">на обезщетенията (в </w:t>
      </w:r>
      <w:r w:rsidR="00DE7416">
        <w:t>срок от</w:t>
      </w:r>
      <w:r>
        <w:t xml:space="preserve"> осемнадесет месеца) на наследниците на 1</w:t>
      </w:r>
      <w:r w:rsidR="00DE7416">
        <w:t> </w:t>
      </w:r>
      <w:r>
        <w:t>456</w:t>
      </w:r>
      <w:r w:rsidR="00DE7416">
        <w:t>-те</w:t>
      </w:r>
      <w:r>
        <w:t xml:space="preserve"> безследно изчезнали лица е вероятно да възникнат редица трудности, страхувам се да мисля за усложненията, които биха възникнали при определянето и описването на хилядите изселени. Надзорът върху изпълнението на това решение няма да е лека задача.</w:t>
      </w:r>
    </w:p>
    <w:p w:rsidR="006D6867" w:rsidRDefault="00417D35" w:rsidP="00F44003">
      <w:pPr>
        <w:pStyle w:val="OpiPara"/>
      </w:pPr>
      <w:r>
        <w:t xml:space="preserve">7.  В заключение бих искал да изтъкна, че споделям мнението, изразено от моите колеги в тяхното поддържащо мнение, приложено към настоящото решение по отношение на последното изречение </w:t>
      </w:r>
      <w:r w:rsidR="0059036E">
        <w:t>от</w:t>
      </w:r>
      <w:r>
        <w:t xml:space="preserve"> параграф 63 от него.</w:t>
      </w:r>
    </w:p>
    <w:p w:rsidR="006D6867" w:rsidRPr="000B75C7" w:rsidRDefault="006D6867" w:rsidP="00F44003">
      <w:pPr>
        <w:pStyle w:val="OpiPara"/>
        <w:sectPr w:rsidR="006D6867" w:rsidRPr="000B75C7" w:rsidSect="008B347C">
          <w:footnotePr>
            <w:numRestart w:val="eachSect"/>
          </w:footnotePr>
          <w:pgSz w:w="11906" w:h="16838" w:code="9"/>
          <w:pgMar w:top="2274" w:right="2274" w:bottom="2274" w:left="2274" w:header="1701" w:footer="720" w:gutter="0"/>
          <w:cols w:space="720"/>
          <w:docGrid w:linePitch="326"/>
        </w:sectPr>
      </w:pPr>
    </w:p>
    <w:p w:rsidR="00D10F80" w:rsidRPr="00FE50CF" w:rsidRDefault="00D10F80" w:rsidP="00F44003">
      <w:pPr>
        <w:pStyle w:val="ECHRTitleCentre1"/>
      </w:pPr>
      <w:r>
        <w:lastRenderedPageBreak/>
        <w:br/>
        <w:t>ОСОБЕНО МНЕНИЕ НА СЪДИЯ КАРАКАШ</w:t>
      </w:r>
    </w:p>
    <w:p w:rsidR="00D10F80" w:rsidRPr="004F5C81" w:rsidRDefault="00D10F80" w:rsidP="00F44003">
      <w:pPr>
        <w:pStyle w:val="OpiTranslation"/>
      </w:pPr>
      <w:r>
        <w:t>(Превод)</w:t>
      </w:r>
    </w:p>
    <w:p w:rsidR="00D10F80" w:rsidRPr="004F5C81" w:rsidRDefault="00D10F80" w:rsidP="00F44003">
      <w:pPr>
        <w:pStyle w:val="OpiPara"/>
      </w:pPr>
    </w:p>
    <w:p w:rsidR="00D10F80" w:rsidRPr="00F35D7F" w:rsidRDefault="00D10F80" w:rsidP="00F44003">
      <w:pPr>
        <w:pStyle w:val="OpiPara"/>
      </w:pPr>
      <w:r>
        <w:t>Не мога да се съглася с мнозинството по отношение на:</w:t>
      </w:r>
    </w:p>
    <w:p w:rsidR="00D10F80" w:rsidRPr="00F35D7F" w:rsidRDefault="00D10F80" w:rsidP="00F44003">
      <w:pPr>
        <w:pStyle w:val="OpiPara"/>
      </w:pPr>
      <w:r>
        <w:t>а)</w:t>
      </w:r>
      <w:r>
        <w:tab/>
        <w:t>констатацията, че изминалото време от произнасянето на основното решение на 10 май 2001 г. не води до недопустимост на искан</w:t>
      </w:r>
      <w:r w:rsidR="0059036E">
        <w:t>ията</w:t>
      </w:r>
      <w:r>
        <w:t xml:space="preserve"> на Правителството жалбоподател за справедливо обезщетение;</w:t>
      </w:r>
    </w:p>
    <w:p w:rsidR="00D10F80" w:rsidRPr="00F35D7F" w:rsidRDefault="00D10F80" w:rsidP="00F44003">
      <w:pPr>
        <w:pStyle w:val="OpiPara"/>
      </w:pPr>
      <w:r>
        <w:t>б)</w:t>
      </w:r>
      <w:r>
        <w:tab/>
        <w:t>приложимостта на чл</w:t>
      </w:r>
      <w:r w:rsidR="0059036E">
        <w:t>.</w:t>
      </w:r>
      <w:r>
        <w:t xml:space="preserve"> 41 </w:t>
      </w:r>
      <w:r>
        <w:rPr>
          <w:b/>
        </w:rPr>
        <w:t>в настоящото дело</w:t>
      </w:r>
      <w:r>
        <w:t xml:space="preserve"> по отношение на безследно изчезналите лица;</w:t>
      </w:r>
    </w:p>
    <w:p w:rsidR="00D10F80" w:rsidRPr="00F35D7F" w:rsidRDefault="00D10F80" w:rsidP="00F44003">
      <w:pPr>
        <w:pStyle w:val="OpiPara"/>
      </w:pPr>
      <w:r>
        <w:t>в)</w:t>
      </w:r>
      <w:r>
        <w:tab/>
        <w:t>приложимостта на чл</w:t>
      </w:r>
      <w:r w:rsidR="0059036E">
        <w:t>.</w:t>
      </w:r>
      <w:r>
        <w:t xml:space="preserve"> 41 </w:t>
      </w:r>
      <w:r>
        <w:rPr>
          <w:b/>
        </w:rPr>
        <w:t>в настоящото дело</w:t>
      </w:r>
      <w:r>
        <w:t xml:space="preserve"> доколкото се отнася до жители</w:t>
      </w:r>
      <w:r w:rsidR="0059036E">
        <w:t>те</w:t>
      </w:r>
      <w:r>
        <w:t xml:space="preserve"> </w:t>
      </w:r>
      <w:r w:rsidR="0059036E">
        <w:t xml:space="preserve">в анклава </w:t>
      </w:r>
      <w:r>
        <w:t>на кипърския полуостров Карпас, които са от гръцки произход; и</w:t>
      </w:r>
    </w:p>
    <w:p w:rsidR="00D10F80" w:rsidRPr="00B341E0" w:rsidRDefault="00D10F80" w:rsidP="00F44003">
      <w:pPr>
        <w:pStyle w:val="OpiPara"/>
      </w:pPr>
      <w:r>
        <w:t>г)</w:t>
      </w:r>
      <w:r>
        <w:tab/>
        <w:t>сумите, присъдени като справедливо обезщетение.</w:t>
      </w:r>
    </w:p>
    <w:p w:rsidR="00D10F80" w:rsidRPr="002D47C8" w:rsidRDefault="00D10F80" w:rsidP="00F44003">
      <w:pPr>
        <w:pStyle w:val="OpiH1"/>
      </w:pPr>
      <w:r>
        <w:t>А.</w:t>
      </w:r>
      <w:r>
        <w:tab/>
        <w:t>Времевият фактор</w:t>
      </w:r>
    </w:p>
    <w:p w:rsidR="00D10F80" w:rsidRDefault="00D10F80" w:rsidP="001D7FEB">
      <w:pPr>
        <w:pStyle w:val="OpiPara"/>
      </w:pPr>
      <w:r>
        <w:t xml:space="preserve">Решението </w:t>
      </w:r>
      <w:r w:rsidR="00240DED">
        <w:t xml:space="preserve">на Голямата камара </w:t>
      </w:r>
      <w:r>
        <w:t xml:space="preserve">по </w:t>
      </w:r>
      <w:r w:rsidR="00240DED">
        <w:t xml:space="preserve">основателността </w:t>
      </w:r>
      <w:r>
        <w:t xml:space="preserve">по делото </w:t>
      </w:r>
      <w:r>
        <w:rPr>
          <w:i/>
        </w:rPr>
        <w:t xml:space="preserve">Кипър срещу Турция </w:t>
      </w:r>
      <w:r>
        <w:t>([</w:t>
      </w:r>
      <w:r w:rsidR="00240DED">
        <w:t>ГО</w:t>
      </w:r>
      <w:r>
        <w:t>], № 25781/94, ЕСПЧ 2001</w:t>
      </w:r>
      <w:r>
        <w:noBreakHyphen/>
        <w:t xml:space="preserve">IV) е произнесено на 10 май 2001 г. В </w:t>
      </w:r>
      <w:r w:rsidR="00240DED">
        <w:t>диспозитива</w:t>
      </w:r>
      <w:r>
        <w:t xml:space="preserve"> на решението Съдът единодушно</w:t>
      </w:r>
      <w:r w:rsidR="00240DED">
        <w:t xml:space="preserve"> решава</w:t>
      </w:r>
      <w:r>
        <w:t xml:space="preserve">, че „въпросът </w:t>
      </w:r>
      <w:r w:rsidR="00240DED">
        <w:t xml:space="preserve">за евентуалното </w:t>
      </w:r>
      <w:r>
        <w:t>приложение на чл</w:t>
      </w:r>
      <w:r w:rsidR="00240DED">
        <w:t>.</w:t>
      </w:r>
      <w:r>
        <w:t xml:space="preserve"> 41 от Конвенцията не е готов за решение и отлага</w:t>
      </w:r>
      <w:r w:rsidR="00240DED">
        <w:t xml:space="preserve"> разглеждането му</w:t>
      </w:r>
      <w:r>
        <w:t xml:space="preserve">“. Въпросът е повдигнат само в </w:t>
      </w:r>
      <w:r w:rsidR="00240DED">
        <w:t>диспозитива</w:t>
      </w:r>
      <w:r>
        <w:t xml:space="preserve">; </w:t>
      </w:r>
      <w:r w:rsidR="002F6DDA">
        <w:t xml:space="preserve">той </w:t>
      </w:r>
      <w:r>
        <w:t xml:space="preserve">не се </w:t>
      </w:r>
      <w:r w:rsidR="002F6DDA">
        <w:t>споменава</w:t>
      </w:r>
      <w:r>
        <w:t xml:space="preserve"> </w:t>
      </w:r>
      <w:r w:rsidR="002F6DDA">
        <w:t xml:space="preserve">в </w:t>
      </w:r>
      <w:r>
        <w:t xml:space="preserve">основната част на решението, за разлика от делото </w:t>
      </w:r>
      <w:r>
        <w:rPr>
          <w:i/>
        </w:rPr>
        <w:t xml:space="preserve">Ирландия срещу </w:t>
      </w:r>
      <w:r w:rsidR="002F6DDA">
        <w:rPr>
          <w:i/>
        </w:rPr>
        <w:t>Великобритания</w:t>
      </w:r>
      <w:r>
        <w:t xml:space="preserve"> (№ 5310/71, 18 януари 1978 г., Серия A № 25), където Съдът ясно обясн</w:t>
      </w:r>
      <w:r w:rsidR="002F6DDA">
        <w:t>ява</w:t>
      </w:r>
      <w:r>
        <w:t xml:space="preserve"> защо не е приложил чл</w:t>
      </w:r>
      <w:r w:rsidR="002F6DDA">
        <w:t>.</w:t>
      </w:r>
      <w:r>
        <w:t xml:space="preserve"> 50 (по това дело </w:t>
      </w:r>
      <w:r w:rsidR="002F6DDA">
        <w:t>П</w:t>
      </w:r>
      <w:r>
        <w:t>равителството на Ирландия не търси обезщетение за физически лица).</w:t>
      </w:r>
    </w:p>
    <w:p w:rsidR="00D10F80" w:rsidRPr="009B4AE2" w:rsidRDefault="00D10F80" w:rsidP="001D7FEB">
      <w:pPr>
        <w:pStyle w:val="OpiPara"/>
      </w:pPr>
      <w:r>
        <w:t>Във всички дела пред</w:t>
      </w:r>
      <w:r w:rsidR="002F6DDA">
        <w:t xml:space="preserve"> него</w:t>
      </w:r>
      <w:r>
        <w:t xml:space="preserve"> Съдът </w:t>
      </w:r>
      <w:r w:rsidR="002F6DDA">
        <w:t>отлага</w:t>
      </w:r>
      <w:r>
        <w:t>/от</w:t>
      </w:r>
      <w:r w:rsidR="006746F5">
        <w:t>срочва</w:t>
      </w:r>
      <w:r>
        <w:t xml:space="preserve"> въпроса за справедливо обезщетение</w:t>
      </w:r>
      <w:r w:rsidR="006746F5">
        <w:t>,</w:t>
      </w:r>
      <w:r>
        <w:t xml:space="preserve"> в случай и </w:t>
      </w:r>
      <w:r w:rsidR="006746F5">
        <w:t>единствено</w:t>
      </w:r>
      <w:r>
        <w:t xml:space="preserve"> в случай че за целта е било отправено искане от страните в рамките на разрешения срок.</w:t>
      </w:r>
    </w:p>
    <w:p w:rsidR="00D10F80" w:rsidRDefault="00D10F80" w:rsidP="001D7FEB">
      <w:pPr>
        <w:pStyle w:val="OpiPara"/>
      </w:pPr>
      <w:r>
        <w:t xml:space="preserve">В настоящото дело </w:t>
      </w:r>
      <w:r w:rsidR="006746F5">
        <w:t>П</w:t>
      </w:r>
      <w:r>
        <w:t xml:space="preserve">равителството на Кипър не отправя искане за справедливо обезщетение в срока, определен от </w:t>
      </w:r>
      <w:r w:rsidR="006746F5">
        <w:t>правило</w:t>
      </w:r>
      <w:r>
        <w:t xml:space="preserve"> 60 § 1 от Правилника на Съда, текст от 1998 г., който е в сила по това време:</w:t>
      </w:r>
    </w:p>
    <w:p w:rsidR="00D10F80" w:rsidRPr="004F612A" w:rsidRDefault="00D10F80" w:rsidP="00F44003">
      <w:pPr>
        <w:pStyle w:val="OpiPara"/>
      </w:pPr>
      <w:r>
        <w:t>„Всяко искане за справедливо обезщетение, което Високодоговарящата страна жалбоподател или жалбоподателят искат да отправят по чл</w:t>
      </w:r>
      <w:r w:rsidR="0097581A">
        <w:t>.</w:t>
      </w:r>
      <w:r>
        <w:t xml:space="preserve"> 41 от Конвенцията, освен ако председателя</w:t>
      </w:r>
      <w:r w:rsidR="0097581A">
        <w:t>т</w:t>
      </w:r>
      <w:r>
        <w:t xml:space="preserve"> на </w:t>
      </w:r>
      <w:r w:rsidR="0097581A">
        <w:t>състава</w:t>
      </w:r>
      <w:r>
        <w:t xml:space="preserve"> не разпореди друго, </w:t>
      </w:r>
      <w:r w:rsidR="0097581A">
        <w:t>се</w:t>
      </w:r>
      <w:r>
        <w:t xml:space="preserve"> изл</w:t>
      </w:r>
      <w:r w:rsidR="0097581A">
        <w:t>ага</w:t>
      </w:r>
      <w:r>
        <w:t xml:space="preserve"> </w:t>
      </w:r>
      <w:r>
        <w:rPr>
          <w:b/>
          <w:i/>
        </w:rPr>
        <w:t>в писмено</w:t>
      </w:r>
      <w:r w:rsidR="0097581A">
        <w:rPr>
          <w:b/>
          <w:i/>
        </w:rPr>
        <w:t>то</w:t>
      </w:r>
      <w:r>
        <w:rPr>
          <w:b/>
          <w:i/>
        </w:rPr>
        <w:t xml:space="preserve"> становище по </w:t>
      </w:r>
      <w:r w:rsidR="0097581A">
        <w:rPr>
          <w:b/>
          <w:i/>
        </w:rPr>
        <w:t>основателността</w:t>
      </w:r>
      <w:r>
        <w:t xml:space="preserve"> или, </w:t>
      </w:r>
      <w:r>
        <w:rPr>
          <w:b/>
          <w:i/>
        </w:rPr>
        <w:t>ако не е подадено такова</w:t>
      </w:r>
      <w:r>
        <w:t xml:space="preserve">, в специален документ, подаден </w:t>
      </w:r>
      <w:r>
        <w:rPr>
          <w:b/>
          <w:i/>
        </w:rPr>
        <w:t>не по-късно от два месеца след решението, с което жалбата се обявява за допустима.</w:t>
      </w:r>
      <w:r>
        <w:t>“</w:t>
      </w:r>
    </w:p>
    <w:p w:rsidR="00D10F80" w:rsidRPr="00CC14B8" w:rsidRDefault="00D10F80" w:rsidP="001D7FEB">
      <w:pPr>
        <w:pStyle w:val="OpiPara"/>
      </w:pPr>
      <w:r>
        <w:t xml:space="preserve">Съгласно този текст всеки жалбоподател, </w:t>
      </w:r>
      <w:r w:rsidR="00F541A5">
        <w:t xml:space="preserve">независимо дали е </w:t>
      </w:r>
      <w:r>
        <w:t xml:space="preserve">държава или физическо или юридическо лице, има право да отправя искания за </w:t>
      </w:r>
      <w:r>
        <w:lastRenderedPageBreak/>
        <w:t xml:space="preserve">конкретни суми в рамките на срока за подаване на писмени становища по </w:t>
      </w:r>
      <w:r w:rsidR="0040652E" w:rsidRPr="00075945">
        <w:t>основателността</w:t>
      </w:r>
      <w:r>
        <w:t xml:space="preserve">. </w:t>
      </w:r>
      <w:r w:rsidR="0040652E">
        <w:t xml:space="preserve">Затова </w:t>
      </w:r>
      <w:r>
        <w:t xml:space="preserve">е пределно ясно, че </w:t>
      </w:r>
      <w:r>
        <w:rPr>
          <w:b/>
          <w:i/>
        </w:rPr>
        <w:t>освен ако председателят не разпореди друго</w:t>
      </w:r>
      <w:r>
        <w:t>, сроковете са задължителни; това е така във всички последващи текстове на Правилника на Съда. Следователно в настоящото дело единствения</w:t>
      </w:r>
      <w:r w:rsidR="0040652E">
        <w:t>т</w:t>
      </w:r>
      <w:r>
        <w:t xml:space="preserve"> вариант, който остава на </w:t>
      </w:r>
      <w:r w:rsidR="0040652E">
        <w:t>П</w:t>
      </w:r>
      <w:r>
        <w:t xml:space="preserve">равителството на Кипър, </w:t>
      </w:r>
      <w:r w:rsidR="00F752E9">
        <w:t>тъй като</w:t>
      </w:r>
      <w:r>
        <w:t xml:space="preserve"> не е отправило исканията си заедно със становищ</w:t>
      </w:r>
      <w:r w:rsidR="00F752E9">
        <w:t>ето</w:t>
      </w:r>
      <w:r>
        <w:t xml:space="preserve"> по </w:t>
      </w:r>
      <w:r w:rsidR="00F752E9">
        <w:t>основателността</w:t>
      </w:r>
      <w:r>
        <w:t xml:space="preserve">, е да ги подаде </w:t>
      </w:r>
      <w:r w:rsidR="00F752E9">
        <w:t>най</w:t>
      </w:r>
      <w:r>
        <w:t>-късно два месеца след решението, с което жалбата се обявява за допустима.</w:t>
      </w:r>
    </w:p>
    <w:p w:rsidR="00D10F80" w:rsidRDefault="00D10F80" w:rsidP="001D7FEB">
      <w:pPr>
        <w:pStyle w:val="OpiPara"/>
      </w:pPr>
      <w:r>
        <w:t>В писмо</w:t>
      </w:r>
      <w:r w:rsidR="00F752E9">
        <w:t>то си</w:t>
      </w:r>
      <w:r>
        <w:t xml:space="preserve"> от 29 ноември 1999 г. Съдът не изисква от Правителството жалбоподател да отправи искане за справедливо обезщетение „</w:t>
      </w:r>
      <w:r>
        <w:rPr>
          <w:b/>
          <w:i/>
        </w:rPr>
        <w:t>на този етап от производството</w:t>
      </w:r>
      <w:r>
        <w:t xml:space="preserve">“. На нито един етап от производството </w:t>
      </w:r>
      <w:r w:rsidR="00F752E9">
        <w:t>П</w:t>
      </w:r>
      <w:r>
        <w:t>равителството на Кипър не отправя подобно искане, нито в първоначалната жалба, нито по време на заседанието на 20 септември 2000 г.</w:t>
      </w:r>
    </w:p>
    <w:p w:rsidR="00D10F80" w:rsidRPr="00CC14B8" w:rsidRDefault="00D10F80" w:rsidP="001D7FEB">
      <w:pPr>
        <w:pStyle w:val="OpiPara"/>
      </w:pPr>
      <w:r>
        <w:t>Нищо или почти нищо не се случва между 2001 г. и 2010 г., с изключение на писмото за намерения, изпратено до Съда на 31 август 2007 г.</w:t>
      </w:r>
    </w:p>
    <w:p w:rsidR="00D10F80" w:rsidRPr="000656E2" w:rsidRDefault="00D10F80" w:rsidP="00F44003">
      <w:pPr>
        <w:pStyle w:val="OpiPara"/>
        <w:rPr>
          <w:rFonts w:cstheme="minorHAnsi"/>
        </w:rPr>
      </w:pPr>
      <w:r>
        <w:t xml:space="preserve">На тази дата, </w:t>
      </w:r>
      <w:r w:rsidR="00F752E9">
        <w:t>т.е.</w:t>
      </w:r>
      <w:r>
        <w:t xml:space="preserve"> седем години по-късно, </w:t>
      </w:r>
      <w:r w:rsidR="00724E52" w:rsidRPr="00075945">
        <w:t>П</w:t>
      </w:r>
      <w:r>
        <w:t>равителството на Кипър изведнъж изпраща писмо, с което информира Съда за намерението си да подаде отделна жалба за целите на приложението на чл</w:t>
      </w:r>
      <w:r w:rsidR="00724E52">
        <w:t>.</w:t>
      </w:r>
      <w:r>
        <w:t xml:space="preserve"> 41. Как</w:t>
      </w:r>
      <w:r w:rsidR="00724E52">
        <w:t xml:space="preserve"> трябваше да отговори </w:t>
      </w:r>
      <w:r>
        <w:t xml:space="preserve">Съдът на това писмо? Във всеки случай Правителството жалбоподател решава да отправи искания за справедливо обезщетение на 11 март 2010 г., което е почти три години след датата на въпросното писмо и във връзка само с безследно изчезналите лица. Впоследствие, на 18 юни 2012 г., по покана на Съда </w:t>
      </w:r>
      <w:r w:rsidR="006C4583">
        <w:t>П</w:t>
      </w:r>
      <w:r>
        <w:t>равителството на Кипър разшир</w:t>
      </w:r>
      <w:r w:rsidR="006C4583">
        <w:t>ява</w:t>
      </w:r>
      <w:r>
        <w:t xml:space="preserve"> исканията си, като включ</w:t>
      </w:r>
      <w:r w:rsidR="006C4583">
        <w:t>ва</w:t>
      </w:r>
      <w:r>
        <w:t xml:space="preserve"> кипърски</w:t>
      </w:r>
      <w:r w:rsidR="006C4583">
        <w:t>те</w:t>
      </w:r>
      <w:r>
        <w:t xml:space="preserve"> граждани от гръцки произход </w:t>
      </w:r>
      <w:r w:rsidR="006C4583">
        <w:t xml:space="preserve">в анклава </w:t>
      </w:r>
      <w:r>
        <w:t>на полуостров Карпас. Съответно новият текст на искането се превр</w:t>
      </w:r>
      <w:r w:rsidR="006C4583">
        <w:t>ъща</w:t>
      </w:r>
      <w:r>
        <w:t xml:space="preserve"> в „</w:t>
      </w:r>
      <w:r>
        <w:rPr>
          <w:b/>
        </w:rPr>
        <w:t>окончателен</w:t>
      </w:r>
      <w:r>
        <w:t>“ (за целта вж. параграф 30 от решението).</w:t>
      </w:r>
    </w:p>
    <w:p w:rsidR="00D10F80" w:rsidRPr="003459D6" w:rsidRDefault="00D10F80" w:rsidP="00F44003">
      <w:pPr>
        <w:pStyle w:val="OpiPara"/>
        <w:rPr>
          <w:szCs w:val="24"/>
        </w:rPr>
      </w:pPr>
      <w:r>
        <w:t xml:space="preserve">В настоящото дело, в противоречие </w:t>
      </w:r>
      <w:r w:rsidR="00287C09">
        <w:t>с правило</w:t>
      </w:r>
      <w:r>
        <w:t xml:space="preserve"> 60 от Правилника на Съда, който изисква искания за справедливо обезщетение по чл</w:t>
      </w:r>
      <w:r w:rsidR="00287C09">
        <w:t>.</w:t>
      </w:r>
      <w:r>
        <w:t xml:space="preserve"> 41 да се отправят без неоправдано закъснение, Правителството жалбоподател мълчи и бездейства почти десет години.</w:t>
      </w:r>
    </w:p>
    <w:p w:rsidR="00D10F80" w:rsidRPr="004F5C81" w:rsidRDefault="00D10F80" w:rsidP="00F44003">
      <w:pPr>
        <w:pStyle w:val="OpiPara"/>
      </w:pPr>
      <w:r>
        <w:t xml:space="preserve">В тази връзка следва да се изтъкне, че съгласно </w:t>
      </w:r>
      <w:r w:rsidR="00287C09">
        <w:t>правило</w:t>
      </w:r>
      <w:r>
        <w:t xml:space="preserve"> 46 от Правилника на Съда искания за справедливо обезщетение по </w:t>
      </w:r>
      <w:r w:rsidR="00287C09">
        <w:t>чл.</w:t>
      </w:r>
      <w:r>
        <w:t xml:space="preserve"> 4</w:t>
      </w:r>
      <w:r w:rsidR="00287C09">
        <w:t>1</w:t>
      </w:r>
      <w:r>
        <w:t xml:space="preserve"> с</w:t>
      </w:r>
      <w:r w:rsidR="00287C09">
        <w:t>а</w:t>
      </w:r>
      <w:r>
        <w:t xml:space="preserve"> </w:t>
      </w:r>
      <w:r w:rsidR="00287C09">
        <w:t>отговорност на</w:t>
      </w:r>
      <w:r>
        <w:t xml:space="preserve"> държавата жалбоподател и че Съдът със сигурност няма право да действа по своя </w:t>
      </w:r>
      <w:r w:rsidR="00287C09">
        <w:t xml:space="preserve">инициатива </w:t>
      </w:r>
      <w:r>
        <w:t xml:space="preserve">при коригиране на грешки в тази връзка. Изискването за разумен срок </w:t>
      </w:r>
      <w:r w:rsidR="00FE5267">
        <w:t>важи</w:t>
      </w:r>
      <w:r>
        <w:t xml:space="preserve"> както </w:t>
      </w:r>
      <w:r w:rsidR="00FE5267">
        <w:t>за</w:t>
      </w:r>
      <w:r>
        <w:t xml:space="preserve"> жалбоподатели, които са физически лица, така и </w:t>
      </w:r>
      <w:r w:rsidR="00FE5267">
        <w:t>за</w:t>
      </w:r>
      <w:r>
        <w:t xml:space="preserve"> държави жалбоподатели, като неспазването му представлява нарушение на правилото за давност.</w:t>
      </w:r>
    </w:p>
    <w:p w:rsidR="00D10F80" w:rsidRPr="004F5C81" w:rsidRDefault="00D10F80" w:rsidP="00F44003">
      <w:pPr>
        <w:pStyle w:val="OpiPara"/>
      </w:pPr>
      <w:r>
        <w:t xml:space="preserve">По делото </w:t>
      </w:r>
      <w:r>
        <w:rPr>
          <w:i/>
        </w:rPr>
        <w:t>Varnava and Others v. Turkey</w:t>
      </w:r>
      <w:r>
        <w:t xml:space="preserve"> ([</w:t>
      </w:r>
      <w:r w:rsidR="00FE5267">
        <w:t>ГО</w:t>
      </w:r>
      <w:r>
        <w:t xml:space="preserve">], номера 16064/90, 16065/90, 16066/90, 16068/90, 16069/90, 16070/90, 16071/90, 16072/90 и 16073/90, ЕСПЧ 2009 г.) Съдът </w:t>
      </w:r>
      <w:r w:rsidR="00FE5267">
        <w:t>формулира</w:t>
      </w:r>
      <w:r>
        <w:t xml:space="preserve"> следния принцип във връзка </w:t>
      </w:r>
      <w:r>
        <w:lastRenderedPageBreak/>
        <w:t xml:space="preserve">с прилагането на шестмесечния срок </w:t>
      </w:r>
      <w:r w:rsidR="00FE5267">
        <w:t xml:space="preserve">при </w:t>
      </w:r>
      <w:r>
        <w:t>продължаващи ситуации, особено по дела за безследно изчезнали хора:</w:t>
      </w:r>
    </w:p>
    <w:p w:rsidR="00D10F80" w:rsidRPr="004F5C81" w:rsidRDefault="00D10F80" w:rsidP="00F44003">
      <w:pPr>
        <w:pStyle w:val="OpiQuot"/>
      </w:pPr>
      <w:r>
        <w:t xml:space="preserve"> „165. Независимо от това Съдът счита, че жалбите могат да бъдат отхвърляни </w:t>
      </w:r>
      <w:r w:rsidR="00FE5267">
        <w:t>като ненавременни</w:t>
      </w:r>
      <w:r>
        <w:t xml:space="preserve"> в случаи на безследно изчезнали лица, когато е налице прекомерно или неоправдано закъснение от страна на жалбоподателите след като са </w:t>
      </w:r>
      <w:r w:rsidR="002E7EB5">
        <w:t xml:space="preserve">разбрали </w:t>
      </w:r>
      <w:r>
        <w:t xml:space="preserve">или е трябвало да разберат, че не са започнали следствени действия или че следствието е изпаднало в бездействие или е </w:t>
      </w:r>
      <w:r w:rsidR="002E7EB5">
        <w:t>станало</w:t>
      </w:r>
      <w:r>
        <w:t xml:space="preserve"> неефективно и, при всяка от тези вероятности, няма налице незабавна, действителна перспектива за ефективни следствени действия в бъдеще. Когато са налице инициативи във връзка със ситуация на безследно изчезнали, жалбоподателите основателно могат да изчакат развитие, което да разреши ключовите фактически или правни въпроси. В действителност, докато са налице съществени контакти между семействата и властите във връзка с жалби и </w:t>
      </w:r>
      <w:r w:rsidR="00BB0D3F">
        <w:t xml:space="preserve">искания </w:t>
      </w:r>
      <w:r>
        <w:t>за получаване на информация, или индикаци</w:t>
      </w:r>
      <w:r w:rsidR="00BB0D3F">
        <w:t>я</w:t>
      </w:r>
      <w:r>
        <w:t xml:space="preserve"> или реалистичн</w:t>
      </w:r>
      <w:r w:rsidR="00BB0D3F">
        <w:t>а</w:t>
      </w:r>
      <w:r>
        <w:t xml:space="preserve"> възможност за напредък на следствените действия, като цяло няма да възникнат съображения за неоправдано забавяне. Въпреки това, когато е изминал значителен период от време и </w:t>
      </w:r>
      <w:r w:rsidR="00F74F26">
        <w:t xml:space="preserve">е имало </w:t>
      </w:r>
      <w:r>
        <w:t>съществени закъснения и прекъсвания на следствените действия, идва момент, в който роднините трябва да осъзнаят, че не могат да разчитат на ефективни такива в момента или в бъдеще. Кога ще се стигне до този етап зависи неизбежно от обстоятелствата по конкретното дело.“</w:t>
      </w:r>
    </w:p>
    <w:p w:rsidR="00D10F80" w:rsidRPr="004F5C81" w:rsidRDefault="00387CD3" w:rsidP="00F44003">
      <w:pPr>
        <w:pStyle w:val="OpiPara"/>
      </w:pPr>
      <w:r>
        <w:t>По подобен начин</w:t>
      </w:r>
      <w:r w:rsidR="00D10F80">
        <w:t xml:space="preserve"> съдебната практика на Международния съд като цяло приема задължението на държавата жалбоподател да предприеме своевременни действия. Водещото решение по този въпрос е решението от 26 юни 1992 г. по делото </w:t>
      </w:r>
      <w:r w:rsidR="00D10F80">
        <w:rPr>
          <w:i/>
        </w:rPr>
        <w:t>Certain Phosphate Lands in Nauru (Nauru v. Australia)</w:t>
      </w:r>
      <w:r w:rsidR="00D10F80">
        <w:rPr>
          <w:rStyle w:val="FootnoteReference"/>
        </w:rPr>
        <w:footnoteReference w:id="64"/>
      </w:r>
      <w:r w:rsidR="00D10F80">
        <w:t>.</w:t>
      </w:r>
    </w:p>
    <w:p w:rsidR="00D10F80" w:rsidRPr="004F5C81" w:rsidRDefault="00D10F80" w:rsidP="00F44003">
      <w:pPr>
        <w:pStyle w:val="OpiPara"/>
      </w:pPr>
      <w:r>
        <w:t xml:space="preserve">Във въпросното дело </w:t>
      </w:r>
      <w:r w:rsidR="00387CD3">
        <w:t>П</w:t>
      </w:r>
      <w:r>
        <w:t xml:space="preserve">равителството на Република Науру подава жалба през 1989 г. за образуване на производство срещу Австралия във връзка със спор относно възстановяването на определени територии, богати на фосфати (мини и кариери), разработени преди обявяване на независимостта на Науру по време на управлението на Австралия. В жалбата си Науру твърди, че Австралия не е изпълнила </w:t>
      </w:r>
      <w:r w:rsidR="00BA58B1">
        <w:t xml:space="preserve">попечителските </w:t>
      </w:r>
      <w:r>
        <w:t>си задължения по чл</w:t>
      </w:r>
      <w:r w:rsidR="00BA58B1">
        <w:t>.</w:t>
      </w:r>
      <w:r>
        <w:t xml:space="preserve"> 76 от Устава на ООН и Договора за попечителство от 1 ноември 1947 г. Австралия </w:t>
      </w:r>
      <w:r w:rsidR="00BA58B1">
        <w:t>о</w:t>
      </w:r>
      <w:r>
        <w:t>тправ</w:t>
      </w:r>
      <w:r w:rsidR="00BA58B1">
        <w:t>я</w:t>
      </w:r>
      <w:r>
        <w:t xml:space="preserve"> редица предварителни възражения, в едно които се изтъква аргумента, че жалбата е подадена след крайния срок. Според </w:t>
      </w:r>
      <w:r w:rsidR="00BA58B1">
        <w:t>П</w:t>
      </w:r>
      <w:r>
        <w:t xml:space="preserve">равителството на Австралия Науру е обявила независимостта си на 31 януари 1968 г. и във връзка с възстановяването на земите не е „обявила официално [позицията си] пред Австралия и бившите административни власти“ до декември 1988 г. Правителството на Австралия изтъква аргумента, че закъснението на жалбата </w:t>
      </w:r>
      <w:r w:rsidR="00735023">
        <w:t xml:space="preserve">е в </w:t>
      </w:r>
      <w:r w:rsidR="002F4B0A">
        <w:t>още по</w:t>
      </w:r>
      <w:r w:rsidR="00735023">
        <w:t>-голям ущърб на</w:t>
      </w:r>
      <w:r w:rsidR="002F4B0A">
        <w:t xml:space="preserve"> </w:t>
      </w:r>
      <w:r w:rsidR="00735023">
        <w:t>Австралия</w:t>
      </w:r>
      <w:r>
        <w:t xml:space="preserve">, тъй като повечето документи във връзка с управлението и попечителството </w:t>
      </w:r>
      <w:r w:rsidR="00016BA7">
        <w:t xml:space="preserve">е можело да </w:t>
      </w:r>
      <w:r>
        <w:t>с</w:t>
      </w:r>
      <w:r w:rsidR="00016BA7">
        <w:t>е</w:t>
      </w:r>
      <w:r>
        <w:t xml:space="preserve"> изгуб</w:t>
      </w:r>
      <w:r w:rsidR="00016BA7">
        <w:t>ят</w:t>
      </w:r>
      <w:r>
        <w:t xml:space="preserve"> или разпръснат междувременно, както и защото развитието на законодателството в този период от време е породило трудности при определянето на законовите задължения на държавата ответник към </w:t>
      </w:r>
      <w:r>
        <w:lastRenderedPageBreak/>
        <w:t xml:space="preserve">момента на твърдените нарушения на </w:t>
      </w:r>
      <w:r w:rsidR="009B2F6A">
        <w:t>тези задължения</w:t>
      </w:r>
      <w:r>
        <w:t>. Следователно Австралия поддържа твърдението, че жалбата на Науру е недопустима поради това, че не е подадена своевременно. Съдът отхвърл</w:t>
      </w:r>
      <w:r w:rsidR="009B2F6A">
        <w:t>я това</w:t>
      </w:r>
      <w:r>
        <w:t xml:space="preserve"> предварителн</w:t>
      </w:r>
      <w:r w:rsidR="009B2F6A">
        <w:t>о</w:t>
      </w:r>
      <w:r>
        <w:t xml:space="preserve"> възражени</w:t>
      </w:r>
      <w:r w:rsidR="009B2F6A">
        <w:t>е</w:t>
      </w:r>
      <w:r>
        <w:t>, но въпреки това постанов</w:t>
      </w:r>
      <w:r w:rsidR="009B2F6A">
        <w:t>ява</w:t>
      </w:r>
      <w:r>
        <w:t>:</w:t>
      </w:r>
    </w:p>
    <w:p w:rsidR="00D10F80" w:rsidRPr="004F5C81" w:rsidRDefault="00D10F80" w:rsidP="00F44003">
      <w:pPr>
        <w:pStyle w:val="OpiQuot"/>
      </w:pPr>
      <w:r>
        <w:t xml:space="preserve"> „32.</w:t>
      </w:r>
      <w:r>
        <w:rPr>
          <w:b/>
        </w:rPr>
        <w:t>  </w:t>
      </w:r>
      <w:r>
        <w:t>Съдът приема, че дори при липсата на приложима договорна разпоредба, закъснение от страна на държава</w:t>
      </w:r>
      <w:r w:rsidR="008212FF">
        <w:t>та жалбоподател</w:t>
      </w:r>
      <w:r>
        <w:t xml:space="preserve"> може да доведе до недопустимост на жалбата. Съдът все пак отбелязва, че в тази връзка международното право не определя </w:t>
      </w:r>
      <w:r w:rsidR="009B2F6A">
        <w:t xml:space="preserve">конкретен </w:t>
      </w:r>
      <w:r>
        <w:t>краен срок. Следователно от Съда зависи да определи</w:t>
      </w:r>
      <w:r w:rsidR="009B2F6A">
        <w:t>,</w:t>
      </w:r>
      <w:r>
        <w:t xml:space="preserve"> предвид обстоятелствата по всяко дело</w:t>
      </w:r>
      <w:r w:rsidR="009B2F6A">
        <w:t>,</w:t>
      </w:r>
      <w:r>
        <w:t xml:space="preserve"> дали </w:t>
      </w:r>
      <w:r w:rsidR="001B7635">
        <w:t xml:space="preserve">изтичането на време </w:t>
      </w:r>
      <w:r>
        <w:t>не води до недопустимост на жалбата.</w:t>
      </w:r>
    </w:p>
    <w:p w:rsidR="00D10F80" w:rsidRPr="004F5C81" w:rsidRDefault="00D10F80" w:rsidP="00F44003">
      <w:pPr>
        <w:pStyle w:val="OpiQuot"/>
      </w:pPr>
      <w:r>
        <w:t>33.  В настоящото дело е било добре известно по времето, когато Науру обявява независимостта си, че въпросът с възстановяването на териториите, богати на фосфати, не е уреден. ...</w:t>
      </w:r>
    </w:p>
    <w:p w:rsidR="00D10F80" w:rsidRPr="004F5C81" w:rsidRDefault="00D10F80" w:rsidP="00F44003">
      <w:pPr>
        <w:pStyle w:val="OpiQuot"/>
      </w:pPr>
      <w:r>
        <w:t>36.  При тези обстоятелства Съдът взема предвид факта, че Науру е официално уведомена, последно с писмо от 9 февруари 1969 г.</w:t>
      </w:r>
      <w:r w:rsidR="001B7635">
        <w:t>,</w:t>
      </w:r>
      <w:r>
        <w:t xml:space="preserve"> относно позицията на Австралия във връзка с възстановяването на териториите, богати на фосфати, разработвани преди 1 юли 1967 г. Науру зае</w:t>
      </w:r>
      <w:r w:rsidR="001B7635">
        <w:t>ма</w:t>
      </w:r>
      <w:r>
        <w:t xml:space="preserve"> позиция по този въпрос в писмена форма едва на 6 октомври 1983 г. Междувременно </w:t>
      </w:r>
      <w:r w:rsidR="001B7635">
        <w:t>обаче,</w:t>
      </w:r>
      <w:r>
        <w:t xml:space="preserve"> както е заявено от Науру, без Австралия да възраз</w:t>
      </w:r>
      <w:r w:rsidR="001B7635">
        <w:t>ява</w:t>
      </w:r>
      <w:r>
        <w:t xml:space="preserve">, въпросът на два пъти е повдиган от президента на първата държава пред компетентните органи на последната. Съдът счита, че предвид съществото на взаимоотношенията между Австралия и Науру, както и така предприетите стъпки, жалбата на Науру не е обявена </w:t>
      </w:r>
      <w:r w:rsidR="00FD0BBA" w:rsidRPr="00075945">
        <w:t>з</w:t>
      </w:r>
      <w:r>
        <w:t xml:space="preserve">а недопустима поради </w:t>
      </w:r>
      <w:r w:rsidR="00626074">
        <w:t>изтичане на срок</w:t>
      </w:r>
      <w:r>
        <w:t xml:space="preserve">. Въпреки това от Съда зависи своевременно да се увери, че закъснението от страна на Науру </w:t>
      </w:r>
      <w:r w:rsidR="00626074">
        <w:t xml:space="preserve">при </w:t>
      </w:r>
      <w:r>
        <w:t xml:space="preserve">подаването </w:t>
      </w:r>
      <w:r w:rsidR="00626074">
        <w:t xml:space="preserve">ѝ </w:t>
      </w:r>
      <w:r>
        <w:t xml:space="preserve">няма </w:t>
      </w:r>
      <w:r w:rsidR="00626074">
        <w:t>д</w:t>
      </w:r>
      <w:r>
        <w:t xml:space="preserve">а </w:t>
      </w:r>
      <w:r w:rsidR="00626074">
        <w:t>е в ущърб на</w:t>
      </w:r>
      <w:r>
        <w:t xml:space="preserve"> Австралия във връзка с установяването на фактите и определяне на съдържанието на приложимото законодателство.“</w:t>
      </w:r>
    </w:p>
    <w:p w:rsidR="00D10F80" w:rsidRPr="004F5C81" w:rsidRDefault="00D10F80" w:rsidP="00F44003">
      <w:pPr>
        <w:pStyle w:val="OpiPara"/>
      </w:pPr>
      <w:r>
        <w:t>Делото</w:t>
      </w:r>
      <w:r>
        <w:rPr>
          <w:i/>
        </w:rPr>
        <w:t xml:space="preserve"> Науру</w:t>
      </w:r>
      <w:r>
        <w:t xml:space="preserve"> накрая завърш</w:t>
      </w:r>
      <w:r w:rsidR="00626074">
        <w:t>ва</w:t>
      </w:r>
      <w:r>
        <w:t xml:space="preserve"> с</w:t>
      </w:r>
      <w:r w:rsidR="00626074">
        <w:t>ъс</w:t>
      </w:r>
      <w:r>
        <w:t xml:space="preserve"> споразумение</w:t>
      </w:r>
      <w:r w:rsidR="00626074">
        <w:t xml:space="preserve"> по взаимно съгласие</w:t>
      </w:r>
      <w:r>
        <w:t xml:space="preserve">. </w:t>
      </w:r>
      <w:r w:rsidR="00241534">
        <w:t>Т</w:t>
      </w:r>
      <w:r>
        <w:t xml:space="preserve">ова дело е </w:t>
      </w:r>
      <w:r w:rsidR="00241534">
        <w:t xml:space="preserve">интересно поради факта, че </w:t>
      </w:r>
      <w:r>
        <w:t xml:space="preserve">Съдът ясно признава задължението от страна на държавата жалбоподател да предприеме своевременни действия. С други думи, въпреки че в общото международно право не са заложени конкретни срокове, съответният международен съд </w:t>
      </w:r>
      <w:r w:rsidR="00241534">
        <w:t xml:space="preserve">трябва </w:t>
      </w:r>
      <w:r>
        <w:t>да извърши преценка на обстоятелствата, за да определи дали изтекл</w:t>
      </w:r>
      <w:r w:rsidR="00241534">
        <w:t>о</w:t>
      </w:r>
      <w:r>
        <w:t>т</w:t>
      </w:r>
      <w:r w:rsidR="00241534">
        <w:t>о</w:t>
      </w:r>
      <w:r>
        <w:t xml:space="preserve"> </w:t>
      </w:r>
      <w:r w:rsidR="00241534">
        <w:t>време</w:t>
      </w:r>
      <w:r>
        <w:t xml:space="preserve"> води до недопустимост на жалбата, като вземе всички съответни фактори предвид (включително правата и законните интереси на държавата ответник, особено когато има риск те да бъдат засегнати).</w:t>
      </w:r>
    </w:p>
    <w:p w:rsidR="00D10F80" w:rsidRPr="004F5C81" w:rsidRDefault="00D10F80" w:rsidP="00F44003">
      <w:pPr>
        <w:pStyle w:val="OpiPara"/>
      </w:pPr>
      <w:r>
        <w:t xml:space="preserve">В </w:t>
      </w:r>
      <w:r w:rsidR="00D34BFD">
        <w:t xml:space="preserve">духа </w:t>
      </w:r>
      <w:r>
        <w:t xml:space="preserve">на решението </w:t>
      </w:r>
      <w:r>
        <w:rPr>
          <w:i/>
        </w:rPr>
        <w:t>Науру</w:t>
      </w:r>
      <w:r>
        <w:t xml:space="preserve"> и </w:t>
      </w:r>
      <w:r w:rsidR="00D34BFD">
        <w:t xml:space="preserve">противно </w:t>
      </w:r>
      <w:r>
        <w:t xml:space="preserve">на мнението на мнозинството, </w:t>
      </w:r>
      <w:r w:rsidR="00D34BFD">
        <w:t>П</w:t>
      </w:r>
      <w:r>
        <w:t>равителството на Кипър не представ</w:t>
      </w:r>
      <w:r w:rsidR="00D34BFD">
        <w:t>я</w:t>
      </w:r>
      <w:r>
        <w:t xml:space="preserve"> убедителни причини за дългия период на бездействие между произнасяне на решението по </w:t>
      </w:r>
      <w:r w:rsidR="00D34BFD">
        <w:t xml:space="preserve">основателността </w:t>
      </w:r>
      <w:r>
        <w:t>(2001 г.) и искането за справедливо обезщетение (2010 г.).</w:t>
      </w:r>
    </w:p>
    <w:p w:rsidR="00D10F80" w:rsidRPr="004F5C81" w:rsidRDefault="00D10F80" w:rsidP="00F44003">
      <w:pPr>
        <w:pStyle w:val="OpiPara"/>
      </w:pPr>
      <w:r>
        <w:t>Освен това се оказва, че изискван</w:t>
      </w:r>
      <w:r w:rsidR="00D34BFD">
        <w:t>е</w:t>
      </w:r>
      <w:r>
        <w:t>т</w:t>
      </w:r>
      <w:r w:rsidR="00D34BFD">
        <w:t>о</w:t>
      </w:r>
      <w:r>
        <w:t xml:space="preserve"> за своевременни действия, приложен</w:t>
      </w:r>
      <w:r w:rsidR="00D34BFD">
        <w:t>о от Съда</w:t>
      </w:r>
      <w:r>
        <w:t xml:space="preserve"> по делото </w:t>
      </w:r>
      <w:r>
        <w:rPr>
          <w:i/>
        </w:rPr>
        <w:t>Varnava and Others</w:t>
      </w:r>
      <w:r w:rsidR="00D34BFD">
        <w:rPr>
          <w:i/>
        </w:rPr>
        <w:t>,</w:t>
      </w:r>
      <w:r>
        <w:t xml:space="preserve"> съответства на общото правило на международното публично право, установено от </w:t>
      </w:r>
      <w:r w:rsidR="00731752">
        <w:t xml:space="preserve">Международния съд </w:t>
      </w:r>
      <w:r>
        <w:t xml:space="preserve">в решението </w:t>
      </w:r>
      <w:r>
        <w:rPr>
          <w:i/>
        </w:rPr>
        <w:t>Науру</w:t>
      </w:r>
      <w:r>
        <w:t xml:space="preserve"> и следователно трябва по </w:t>
      </w:r>
      <w:r>
        <w:lastRenderedPageBreak/>
        <w:t>принцип също да се прилага във връзка с отделн</w:t>
      </w:r>
      <w:r w:rsidR="00731752">
        <w:t>а</w:t>
      </w:r>
      <w:r>
        <w:t xml:space="preserve"> жалб</w:t>
      </w:r>
      <w:r w:rsidR="00731752">
        <w:t>а</w:t>
      </w:r>
      <w:r>
        <w:t>, подаден</w:t>
      </w:r>
      <w:r w:rsidR="00731752">
        <w:t>а</w:t>
      </w:r>
      <w:r>
        <w:t xml:space="preserve"> по чл</w:t>
      </w:r>
      <w:r w:rsidR="00731752">
        <w:t>.</w:t>
      </w:r>
      <w:r>
        <w:t xml:space="preserve"> 41 в контекста на междудържавни дела</w:t>
      </w:r>
      <w:r w:rsidR="00731752">
        <w:t>,</w:t>
      </w:r>
      <w:r>
        <w:t xml:space="preserve"> каквото е настоящото.</w:t>
      </w:r>
    </w:p>
    <w:p w:rsidR="00D10F80" w:rsidRPr="004F5C81" w:rsidRDefault="00D10F80" w:rsidP="00F44003">
      <w:pPr>
        <w:pStyle w:val="OpiPara"/>
      </w:pPr>
      <w:r>
        <w:t xml:space="preserve">Съответно вярвам, че времевият фактор, описан по-горе, води до недопустимост на жалбата на </w:t>
      </w:r>
      <w:r w:rsidR="00731752">
        <w:t>П</w:t>
      </w:r>
      <w:r>
        <w:t>равителството на Кипър.</w:t>
      </w:r>
    </w:p>
    <w:p w:rsidR="00D10F80" w:rsidRPr="0056101C" w:rsidRDefault="00D10F80" w:rsidP="00F44003">
      <w:pPr>
        <w:pStyle w:val="OpiH1"/>
      </w:pPr>
      <w:r>
        <w:t>Б.</w:t>
      </w:r>
      <w:r>
        <w:tab/>
        <w:t>Приложимост на чл</w:t>
      </w:r>
      <w:r w:rsidR="00731752">
        <w:t>.</w:t>
      </w:r>
      <w:r>
        <w:t xml:space="preserve"> 41 в настоящото дело по отношение на безследно изчезналите лица</w:t>
      </w:r>
    </w:p>
    <w:p w:rsidR="001D7FEB" w:rsidRDefault="00D10F80" w:rsidP="00F44003">
      <w:pPr>
        <w:pStyle w:val="OpiPara"/>
      </w:pPr>
      <w:r>
        <w:t>Член 33 от Конвенцията гласи, че „[всяка] Βисокодоговаряща страна може да сезира Съда относно твърдяно нарушение на разпоредбите на Конвенцията и на Протоколите към нея, извършено от друга Βисокодоговаряща страна“, като се разбира, че „всяк</w:t>
      </w:r>
      <w:r w:rsidR="005F1131">
        <w:t>о</w:t>
      </w:r>
      <w:r>
        <w:t xml:space="preserve"> … нарушение“ се отнася до твърдения във връзка </w:t>
      </w:r>
      <w:r w:rsidR="00E3773B">
        <w:t xml:space="preserve">както </w:t>
      </w:r>
      <w:r>
        <w:t xml:space="preserve">с </w:t>
      </w:r>
      <w:r w:rsidR="00E3773B">
        <w:t xml:space="preserve">материални, </w:t>
      </w:r>
      <w:r>
        <w:t xml:space="preserve">така и </w:t>
      </w:r>
      <w:r w:rsidR="00E3773B">
        <w:t xml:space="preserve">с </w:t>
      </w:r>
      <w:r>
        <w:t>процесуални</w:t>
      </w:r>
      <w:r w:rsidR="00E3773B">
        <w:t xml:space="preserve"> разпоредби</w:t>
      </w:r>
      <w:r>
        <w:t xml:space="preserve">. </w:t>
      </w:r>
      <w:r w:rsidR="00405F84" w:rsidRPr="00075945">
        <w:t>Все пак</w:t>
      </w:r>
      <w:r>
        <w:t xml:space="preserve"> следва да се подчертае в началото, че когато дадена държава възнамерява да подаде междудържавна жалба, изискванията за допустимост не са същите, както при индивидуалните жалби. Съгласно чл</w:t>
      </w:r>
      <w:r w:rsidR="00405F84">
        <w:t>.</w:t>
      </w:r>
      <w:r>
        <w:t xml:space="preserve"> 35 от Конвенцията междудържавните дела не е необходимо да бъдат съобразени с правилото за изчерпване на всички вътрешноправни средства за защита или </w:t>
      </w:r>
      <w:r w:rsidR="003276EF">
        <w:t xml:space="preserve">с </w:t>
      </w:r>
      <w:r>
        <w:t>правилото за шестте месеца. Това ни води до заключението, че не бива да се допуска объркване между процедурата, която регулира междудържавните дела</w:t>
      </w:r>
      <w:r w:rsidR="003276EF">
        <w:t>,</w:t>
      </w:r>
      <w:r>
        <w:t xml:space="preserve"> и тази, която регулира индивидуалните жалби, тъй като в противен случай чл</w:t>
      </w:r>
      <w:r w:rsidR="003276EF">
        <w:t>.</w:t>
      </w:r>
      <w:r>
        <w:t xml:space="preserve"> 33 от Конвенцията лесно може да бъде заобикалян от държавите, за да се осигури допустимост на индивидуални жалби </w:t>
      </w:r>
      <w:r w:rsidR="003276EF">
        <w:t>по смисъла</w:t>
      </w:r>
      <w:r>
        <w:t xml:space="preserve"> на чл</w:t>
      </w:r>
      <w:r w:rsidR="003276EF">
        <w:t>.</w:t>
      </w:r>
      <w:r>
        <w:t xml:space="preserve"> 34 и да се пренебрегнат изричните изисквания на членове 35 §§ 2 до 4.</w:t>
      </w:r>
    </w:p>
    <w:p w:rsidR="00D10F80" w:rsidRPr="004F5C81" w:rsidRDefault="00D10F80" w:rsidP="00F44003">
      <w:pPr>
        <w:pStyle w:val="OpiPara"/>
      </w:pPr>
      <w:r>
        <w:t>При това положение бих искал да отбележа, че междудържавните дела пред Съда могат да се разделят на три категории:</w:t>
      </w:r>
    </w:p>
    <w:p w:rsidR="00D10F80" w:rsidRPr="004F5C81" w:rsidRDefault="00D10F80" w:rsidP="00F44003">
      <w:pPr>
        <w:pStyle w:val="OpiPara"/>
      </w:pPr>
      <w:r>
        <w:t xml:space="preserve">1.  На първо място са случаите, в които Високодоговарящите страни действат единствено като пазители на обществения ред в Европа. Пример за това може да бъде делото </w:t>
      </w:r>
      <w:r>
        <w:rPr>
          <w:i/>
        </w:rPr>
        <w:t>Дания, Норвегия, Швеция и Нидерландия срещу Гърция</w:t>
      </w:r>
      <w:r>
        <w:t xml:space="preserve"> („Гръцкото дело“ – жалби с номера 3321/67, 3322/67, 3323/67 и 3344/67, резолюция на Комитета на министрите от 15 април 1970 г.). </w:t>
      </w:r>
      <w:r w:rsidR="00844AEA">
        <w:t xml:space="preserve">Тук </w:t>
      </w:r>
      <w:r>
        <w:t xml:space="preserve">може да </w:t>
      </w:r>
      <w:r w:rsidR="00844AEA">
        <w:t xml:space="preserve">се </w:t>
      </w:r>
      <w:r>
        <w:t xml:space="preserve">цитира </w:t>
      </w:r>
      <w:r w:rsidR="00844AEA">
        <w:t>и</w:t>
      </w:r>
      <w:r>
        <w:t xml:space="preserve"> делото </w:t>
      </w:r>
      <w:r>
        <w:rPr>
          <w:i/>
        </w:rPr>
        <w:t xml:space="preserve">Франция, Норвегия, Дания, Швеция и Нидерландия срещу Турция </w:t>
      </w:r>
      <w:r>
        <w:t xml:space="preserve">(жалби с номера 9940-9944/82, решение на Комисията от 6 декември 1983 г.). Тази категория </w:t>
      </w:r>
      <w:r w:rsidR="00844AEA">
        <w:t>няма отношение към</w:t>
      </w:r>
      <w:r>
        <w:t xml:space="preserve"> разбиране</w:t>
      </w:r>
      <w:r w:rsidR="00844AEA">
        <w:t>то</w:t>
      </w:r>
      <w:r>
        <w:t xml:space="preserve"> на контекста по настоящото дело.</w:t>
      </w:r>
    </w:p>
    <w:p w:rsidR="00D10F80" w:rsidRPr="004F5C81" w:rsidRDefault="00D10F80" w:rsidP="00F44003">
      <w:pPr>
        <w:pStyle w:val="OpiPara"/>
      </w:pPr>
      <w:r>
        <w:t>2.  Втората категория от друга страна може да се използва за сравнение. Към нея спадат дела, в които Високодоговарящите страни изрично търсят обезщетение за нарушени</w:t>
      </w:r>
      <w:r w:rsidR="00881B2A">
        <w:t>я</w:t>
      </w:r>
      <w:r>
        <w:t xml:space="preserve"> на правата на техни граждани. Пример в тази категория е делото </w:t>
      </w:r>
      <w:r>
        <w:rPr>
          <w:i/>
        </w:rPr>
        <w:t>Дания срещу Турция</w:t>
      </w:r>
      <w:r>
        <w:t xml:space="preserve"> (жалба № 34382/97, ЕСПЧ 2000-IV) относно отношение в противоречие </w:t>
      </w:r>
      <w:r w:rsidR="00881B2A">
        <w:t>с</w:t>
      </w:r>
      <w:r>
        <w:t xml:space="preserve"> чл</w:t>
      </w:r>
      <w:r w:rsidR="00881B2A">
        <w:t>.</w:t>
      </w:r>
      <w:r>
        <w:t xml:space="preserve"> 3 от страна на полицейски служители от Турция към датския гражданин г-н Koç. Предмет на спора по това дело е отношението към г-н </w:t>
      </w:r>
      <w:r w:rsidR="00881B2A">
        <w:t>Koç</w:t>
      </w:r>
      <w:r>
        <w:t xml:space="preserve"> вследствие на прилагането на методи за разпит. </w:t>
      </w:r>
      <w:r w:rsidR="00881B2A">
        <w:t>Смятам</w:t>
      </w:r>
      <w:r>
        <w:t xml:space="preserve">, че това е </w:t>
      </w:r>
      <w:r>
        <w:lastRenderedPageBreak/>
        <w:t>единственият случай, в който доктрината на „</w:t>
      </w:r>
      <w:r>
        <w:rPr>
          <w:b/>
          <w:i/>
        </w:rPr>
        <w:t>дипломатическата закрила</w:t>
      </w:r>
      <w:r>
        <w:t>“ във вида, в който е приет</w:t>
      </w:r>
      <w:r w:rsidR="00881B2A">
        <w:t>а</w:t>
      </w:r>
      <w:r>
        <w:t xml:space="preserve"> от международното право, е приложена в контекста на физическо лице, </w:t>
      </w:r>
      <w:r w:rsidR="008670CD">
        <w:t>чиято самоличност е установима</w:t>
      </w:r>
      <w:r>
        <w:t xml:space="preserve"> от момента на подаване на жалбата. Вярно е, че във въпросното дело Турция пла</w:t>
      </w:r>
      <w:r w:rsidR="00027F2A">
        <w:t>ща</w:t>
      </w:r>
      <w:r>
        <w:t xml:space="preserve"> определена сума на </w:t>
      </w:r>
      <w:r w:rsidR="00027F2A">
        <w:t>П</w:t>
      </w:r>
      <w:r>
        <w:t>равителството на Дания; това обаче това се случва при условията на споразумение</w:t>
      </w:r>
      <w:r w:rsidR="00027F2A">
        <w:t xml:space="preserve"> по взаимно съгласие</w:t>
      </w:r>
      <w:r>
        <w:t>, а не по чл</w:t>
      </w:r>
      <w:r w:rsidR="00027F2A">
        <w:t>.</w:t>
      </w:r>
      <w:r>
        <w:t xml:space="preserve"> 41 от Конвенцията. Тези два аспекта следва да се имат предвид, за да бъде разбрано по-добре настоящото дело, което в действителност попада в третата категория, в която няма установен по</w:t>
      </w:r>
      <w:r w:rsidR="00C02B2D">
        <w:t>търпевш</w:t>
      </w:r>
      <w:r>
        <w:t xml:space="preserve"> по време на подаване на жалбата.</w:t>
      </w:r>
    </w:p>
    <w:p w:rsidR="00D10F80" w:rsidRDefault="00D10F80" w:rsidP="00F44003">
      <w:pPr>
        <w:pStyle w:val="OpiPara"/>
        <w:rPr>
          <w:szCs w:val="24"/>
        </w:rPr>
      </w:pPr>
      <w:r>
        <w:t>3.  Въпросната трета категория включва конкретн</w:t>
      </w:r>
      <w:r w:rsidR="0056681C">
        <w:t>ите</w:t>
      </w:r>
      <w:r>
        <w:t xml:space="preserve"> интерес</w:t>
      </w:r>
      <w:r w:rsidR="0056681C">
        <w:t>и</w:t>
      </w:r>
      <w:r>
        <w:t>, ко</w:t>
      </w:r>
      <w:r w:rsidR="0056681C">
        <w:t>и</w:t>
      </w:r>
      <w:r>
        <w:t>то Високодоговаряща страна се опитва да защити, доколкото представлява или е тясно свързана с физически лица, които твърдят, че са по</w:t>
      </w:r>
      <w:r w:rsidR="00C02B2D">
        <w:t>търпевши</w:t>
      </w:r>
      <w:r>
        <w:t xml:space="preserve"> от действия, които се случ</w:t>
      </w:r>
      <w:r w:rsidR="0056681C">
        <w:t>ват</w:t>
      </w:r>
      <w:r>
        <w:t xml:space="preserve"> в контекста на политически спор между две държави. </w:t>
      </w:r>
      <w:r w:rsidR="0056681C">
        <w:t xml:space="preserve">Като оставим </w:t>
      </w:r>
      <w:r>
        <w:t xml:space="preserve">настрана двете </w:t>
      </w:r>
      <w:r w:rsidR="0056681C">
        <w:t xml:space="preserve">междудържавни </w:t>
      </w:r>
      <w:r>
        <w:t xml:space="preserve">дела </w:t>
      </w:r>
      <w:r>
        <w:rPr>
          <w:i/>
        </w:rPr>
        <w:t xml:space="preserve">Гърция срещу </w:t>
      </w:r>
      <w:r w:rsidR="0056681C">
        <w:rPr>
          <w:i/>
        </w:rPr>
        <w:t>Великобритания</w:t>
      </w:r>
      <w:r>
        <w:t xml:space="preserve"> от 1956 г. (жалби с номера 176/56, резолюция на Комитета на министрите от 20 април 1959 г.) и 1957 г. (жалба № 299/57, резолюция на Комитета на министрите от 14 декември 1959 г.) и делото </w:t>
      </w:r>
      <w:r>
        <w:rPr>
          <w:i/>
        </w:rPr>
        <w:t>Австрия срещу Италия</w:t>
      </w:r>
      <w:r>
        <w:t xml:space="preserve"> (жалба № 788/60, решение на Комисията от 11 януари 1961 г.), в тази категория първо можем да отбележим делото </w:t>
      </w:r>
      <w:r>
        <w:rPr>
          <w:i/>
        </w:rPr>
        <w:t xml:space="preserve">Ирландия срещу </w:t>
      </w:r>
      <w:r w:rsidR="004F1F3E">
        <w:rPr>
          <w:i/>
        </w:rPr>
        <w:t>Великобритания</w:t>
      </w:r>
      <w:r>
        <w:t xml:space="preserve"> във връзка с пет</w:t>
      </w:r>
      <w:r w:rsidR="004F1F3E">
        <w:t>те</w:t>
      </w:r>
      <w:r>
        <w:t xml:space="preserve"> метода на разпит, използвани от силите за сигурност срещу задържани членове на ИРА, които обаче не са идентифицирани; те се споменават като „лицата“ или „мъжете“ и </w:t>
      </w:r>
      <w:r w:rsidR="004F1F3E">
        <w:t xml:space="preserve">са </w:t>
      </w:r>
      <w:r>
        <w:t xml:space="preserve">определени с абревиатури T1, T2, T3 и т.н. В това дело Съдът констатира, </w:t>
      </w:r>
      <w:r w:rsidRPr="00AC07A8">
        <w:t>наред с другото</w:t>
      </w:r>
      <w:r>
        <w:t>, нарушение на чл</w:t>
      </w:r>
      <w:r w:rsidR="004F1F3E">
        <w:t>.</w:t>
      </w:r>
      <w:r>
        <w:t xml:space="preserve"> 3 от Конвенцията. Въпреки всичко, тъй като правителството на Ирландия </w:t>
      </w:r>
      <w:r w:rsidR="004F1F3E">
        <w:t xml:space="preserve">е </w:t>
      </w:r>
      <w:r>
        <w:t>заяви</w:t>
      </w:r>
      <w:r w:rsidR="004F1F3E">
        <w:t>ло</w:t>
      </w:r>
      <w:r>
        <w:t xml:space="preserve">, че не търси </w:t>
      </w:r>
      <w:r>
        <w:rPr>
          <w:i/>
        </w:rPr>
        <w:t>„[да получи] обезщетение за всяко отделно лице“</w:t>
      </w:r>
      <w:r>
        <w:t>, предишн</w:t>
      </w:r>
      <w:r w:rsidR="005A0E20">
        <w:t>ият</w:t>
      </w:r>
      <w:r>
        <w:t xml:space="preserve"> чл</w:t>
      </w:r>
      <w:r w:rsidR="004F1F3E">
        <w:t>.</w:t>
      </w:r>
      <w:r>
        <w:t xml:space="preserve"> 50 от Конвенцията (нов</w:t>
      </w:r>
      <w:r w:rsidR="005A0E20">
        <w:t>ият</w:t>
      </w:r>
      <w:r>
        <w:t xml:space="preserve"> чл</w:t>
      </w:r>
      <w:r w:rsidR="005A0E20">
        <w:t>.</w:t>
      </w:r>
      <w:r>
        <w:t xml:space="preserve"> 41) не е прилож</w:t>
      </w:r>
      <w:r w:rsidR="005A0E20">
        <w:t>им</w:t>
      </w:r>
      <w:r>
        <w:t>.</w:t>
      </w:r>
    </w:p>
    <w:p w:rsidR="00D10F80" w:rsidRDefault="00D10F80" w:rsidP="00F44003">
      <w:pPr>
        <w:pStyle w:val="OpiPara"/>
        <w:rPr>
          <w:szCs w:val="24"/>
        </w:rPr>
      </w:pPr>
      <w:r w:rsidRPr="00AC07A8">
        <w:t>Подготвителните работи</w:t>
      </w:r>
      <w:r>
        <w:t xml:space="preserve"> по Конвенцията и общите принципи на международното публично право във връзка с дипломатическата закрила и обезщетенията водят до заключението, че правилото за справедливо обезщетение, заложено в чл</w:t>
      </w:r>
      <w:r w:rsidR="005A0E20">
        <w:t>.</w:t>
      </w:r>
      <w:r>
        <w:t xml:space="preserve"> 41</w:t>
      </w:r>
      <w:r w:rsidR="005A0E20">
        <w:t>,</w:t>
      </w:r>
      <w:r>
        <w:t xml:space="preserve"> е приложимо по принцип в междудържавни дела, заведени по чл</w:t>
      </w:r>
      <w:r w:rsidR="005A0E20">
        <w:t>.</w:t>
      </w:r>
      <w:r>
        <w:t xml:space="preserve"> 33 от Конвенцията. В тази връзка съм съгласен с мнението на мнозинството (вж. параграф 43 от решението)</w:t>
      </w:r>
      <w:r w:rsidR="005A0E20">
        <w:t>.</w:t>
      </w:r>
    </w:p>
    <w:p w:rsidR="00D10F80" w:rsidRPr="00EE7419" w:rsidRDefault="00D10F80" w:rsidP="00F44003">
      <w:pPr>
        <w:pStyle w:val="OpiPara"/>
        <w:rPr>
          <w:szCs w:val="24"/>
        </w:rPr>
      </w:pPr>
      <w:r>
        <w:t xml:space="preserve">Член 33 </w:t>
      </w:r>
      <w:r w:rsidR="0098767E">
        <w:t>се основава на понятието</w:t>
      </w:r>
      <w:r>
        <w:t xml:space="preserve"> дипломатическа закрила (вж. например решението </w:t>
      </w:r>
      <w:r w:rsidR="0098767E">
        <w:t xml:space="preserve">на Международния съд </w:t>
      </w:r>
      <w:r>
        <w:t xml:space="preserve">по делото </w:t>
      </w:r>
      <w:r>
        <w:rPr>
          <w:i/>
        </w:rPr>
        <w:t>Ahmadou Sadio Diallo (Republic of Guinea v. Democratic Republic of the Congo)</w:t>
      </w:r>
      <w:r>
        <w:t xml:space="preserve"> от 19 юни 2012 г.</w:t>
      </w:r>
      <w:r>
        <w:rPr>
          <w:rStyle w:val="FootnoteReference"/>
        </w:rPr>
        <w:footnoteReference w:id="65"/>
      </w:r>
      <w:r>
        <w:t>), признат</w:t>
      </w:r>
      <w:r w:rsidR="0098767E">
        <w:t>а</w:t>
      </w:r>
      <w:r>
        <w:t xml:space="preserve"> от международното публично право. Следователно Съдът може да присъ</w:t>
      </w:r>
      <w:r w:rsidR="0098767E">
        <w:t>ж</w:t>
      </w:r>
      <w:r>
        <w:t>д</w:t>
      </w:r>
      <w:r w:rsidR="0098767E">
        <w:t>а</w:t>
      </w:r>
      <w:r>
        <w:t xml:space="preserve"> справедливо обезщетение по междудържавни дела, които по своето естество са по-</w:t>
      </w:r>
      <w:r w:rsidR="0098767E">
        <w:t>близки до</w:t>
      </w:r>
      <w:r>
        <w:t xml:space="preserve"> типичните случаи на дипломатическа закрила в международното публично право, или с </w:t>
      </w:r>
      <w:r>
        <w:lastRenderedPageBreak/>
        <w:t xml:space="preserve">други думи когато жалбата е подадена вместо и от името на определени лица, които могат да бъдат установени (вж. например дело </w:t>
      </w:r>
      <w:r>
        <w:rPr>
          <w:i/>
        </w:rPr>
        <w:t>Дания срещу Турция</w:t>
      </w:r>
      <w:r>
        <w:t>).</w:t>
      </w:r>
    </w:p>
    <w:p w:rsidR="00D10F80" w:rsidRDefault="00D10F80" w:rsidP="00F44003">
      <w:pPr>
        <w:pStyle w:val="OpiPara"/>
      </w:pPr>
      <w:r>
        <w:t>Предвид тези принципи, според мен не е възможно в настоящото дело да се приложи чл</w:t>
      </w:r>
      <w:r w:rsidR="00FF01C0">
        <w:t>.</w:t>
      </w:r>
      <w:r>
        <w:t xml:space="preserve"> 41 </w:t>
      </w:r>
      <w:r w:rsidR="00FF01C0">
        <w:t>и да се</w:t>
      </w:r>
      <w:r>
        <w:t xml:space="preserve"> присъ</w:t>
      </w:r>
      <w:r w:rsidR="00FF01C0">
        <w:t>ди</w:t>
      </w:r>
      <w:r>
        <w:t xml:space="preserve"> обезщетение по тази част.</w:t>
      </w:r>
    </w:p>
    <w:p w:rsidR="00D10F80" w:rsidRDefault="00D10F80" w:rsidP="00F44003">
      <w:pPr>
        <w:pStyle w:val="OpiPara"/>
      </w:pPr>
      <w:r>
        <w:t xml:space="preserve">Както </w:t>
      </w:r>
      <w:r w:rsidR="00FF01C0">
        <w:t xml:space="preserve">се </w:t>
      </w:r>
      <w:r>
        <w:t>подчертава</w:t>
      </w:r>
      <w:r w:rsidR="00FF01C0">
        <w:t xml:space="preserve"> в</w:t>
      </w:r>
      <w:r>
        <w:t xml:space="preserve"> решението </w:t>
      </w:r>
      <w:r>
        <w:rPr>
          <w:i/>
        </w:rPr>
        <w:t>Кипър срещу Турция</w:t>
      </w:r>
      <w:r>
        <w:t xml:space="preserve"> от 10 май 2001 г.</w:t>
      </w:r>
      <w:r w:rsidR="00FF01C0">
        <w:t>,</w:t>
      </w:r>
      <w:r>
        <w:t xml:space="preserve"> </w:t>
      </w:r>
      <w:r w:rsidR="00FF01C0">
        <w:t xml:space="preserve">едва по време на </w:t>
      </w:r>
      <w:r>
        <w:t xml:space="preserve">заседанието относно допустимостта от 20 септември 2000 г. </w:t>
      </w:r>
      <w:r w:rsidR="00FF01C0">
        <w:t>П</w:t>
      </w:r>
      <w:r>
        <w:t>равителството на Кипър заяв</w:t>
      </w:r>
      <w:r w:rsidR="00FF01C0">
        <w:t>ява</w:t>
      </w:r>
      <w:r>
        <w:t>, че броя</w:t>
      </w:r>
      <w:r w:rsidR="00353112">
        <w:t>т</w:t>
      </w:r>
      <w:r>
        <w:t xml:space="preserve"> на безследно изчезналите кипърски граждани от гръцки произход е 1</w:t>
      </w:r>
      <w:r w:rsidR="00353112">
        <w:t> </w:t>
      </w:r>
      <w:r>
        <w:t>485</w:t>
      </w:r>
      <w:r w:rsidR="00353112">
        <w:t xml:space="preserve"> </w:t>
      </w:r>
      <w:r>
        <w:t>(вж. параграф 119 от решението по същество). На този етап нито един от по</w:t>
      </w:r>
      <w:r w:rsidR="00C02B2D">
        <w:t>търпевш</w:t>
      </w:r>
      <w:r>
        <w:t>ите не е идентифициран. Въпреки това Съдът се съглас</w:t>
      </w:r>
      <w:r w:rsidR="00353112">
        <w:t>ява</w:t>
      </w:r>
      <w:r>
        <w:t xml:space="preserve"> да процедира по презумпцията, че безследно изчезналите лица са все още живи и констатира продължаващо нарушение на чл</w:t>
      </w:r>
      <w:r w:rsidR="00353112">
        <w:t>.</w:t>
      </w:r>
      <w:r>
        <w:t xml:space="preserve"> 2 от страна на Турция, която не провежда ефективни следствени действия, </w:t>
      </w:r>
      <w:r w:rsidR="00353112">
        <w:t xml:space="preserve">които </w:t>
      </w:r>
      <w:r>
        <w:t>да дад</w:t>
      </w:r>
      <w:r w:rsidR="00353112">
        <w:t>ат</w:t>
      </w:r>
      <w:r>
        <w:t xml:space="preserve"> яснота относно съдбата на изчезналите кипърски граждани от гръцки произход.</w:t>
      </w:r>
    </w:p>
    <w:p w:rsidR="00D10F80" w:rsidRDefault="00D10F80" w:rsidP="00F44003">
      <w:pPr>
        <w:pStyle w:val="OpiPara"/>
        <w:rPr>
          <w:szCs w:val="24"/>
        </w:rPr>
      </w:pPr>
      <w:r>
        <w:t>Бих искал да обърна внимание върху общия аспект на тази констатация, ко</w:t>
      </w:r>
      <w:r w:rsidR="00353112">
        <w:t>й</w:t>
      </w:r>
      <w:r>
        <w:t>то не се отнася до отделни кипърски граждани от гръцки произход, а установява вина в текуща ситуация. Въпросните нарушения не са били констатирани по отношение на отделни по</w:t>
      </w:r>
      <w:r w:rsidR="00C02B2D">
        <w:t>търпевш</w:t>
      </w:r>
      <w:r>
        <w:t>и, а във връзка с факт</w:t>
      </w:r>
      <w:r w:rsidR="00A578BA">
        <w:t>ологи</w:t>
      </w:r>
      <w:r>
        <w:t>ч</w:t>
      </w:r>
      <w:r w:rsidR="00A578BA">
        <w:t>н</w:t>
      </w:r>
      <w:r>
        <w:t>а и правна ситуация.</w:t>
      </w:r>
    </w:p>
    <w:p w:rsidR="00D10F80" w:rsidRDefault="00D10F80" w:rsidP="00F44003">
      <w:pPr>
        <w:pStyle w:val="OpiPara"/>
        <w:rPr>
          <w:szCs w:val="24"/>
        </w:rPr>
      </w:pPr>
      <w:r>
        <w:t>Следва да се подчертае, че единствен</w:t>
      </w:r>
      <w:r w:rsidR="00A578BA">
        <w:t>ият</w:t>
      </w:r>
      <w:r>
        <w:t xml:space="preserve"> бенефициер по чл</w:t>
      </w:r>
      <w:r w:rsidR="00A578BA">
        <w:t>.</w:t>
      </w:r>
      <w:r>
        <w:t xml:space="preserve"> 41 е „</w:t>
      </w:r>
      <w:r>
        <w:rPr>
          <w:b/>
          <w:i/>
        </w:rPr>
        <w:t>по</w:t>
      </w:r>
      <w:r w:rsidR="00C02B2D">
        <w:rPr>
          <w:b/>
          <w:i/>
        </w:rPr>
        <w:t>търпевш</w:t>
      </w:r>
      <w:r>
        <w:rPr>
          <w:b/>
          <w:i/>
        </w:rPr>
        <w:t>ата страна</w:t>
      </w:r>
      <w:r>
        <w:t>“. В настоящото дело терминът „</w:t>
      </w:r>
      <w:r>
        <w:rPr>
          <w:b/>
          <w:i/>
        </w:rPr>
        <w:t>страна</w:t>
      </w:r>
      <w:r>
        <w:t>“ безспорно се отнася до „</w:t>
      </w:r>
      <w:r>
        <w:rPr>
          <w:b/>
          <w:i/>
        </w:rPr>
        <w:t>Високодоговарящата страна</w:t>
      </w:r>
      <w:r>
        <w:t xml:space="preserve">“, която е подала жалбата, а именно Кипър. Всеки опит за позоваване </w:t>
      </w:r>
      <w:r w:rsidR="00A578BA">
        <w:t>н</w:t>
      </w:r>
      <w:r>
        <w:t xml:space="preserve">а подхода, възприет по делото </w:t>
      </w:r>
      <w:r>
        <w:rPr>
          <w:i/>
        </w:rPr>
        <w:t>Diallo</w:t>
      </w:r>
      <w:r>
        <w:t xml:space="preserve"> — което е добър пример за </w:t>
      </w:r>
      <w:r w:rsidR="00A578BA">
        <w:t xml:space="preserve">упражняване </w:t>
      </w:r>
      <w:r>
        <w:t>на дипломатическа закрила от страна на държавата</w:t>
      </w:r>
      <w:r w:rsidR="00A578BA">
        <w:t>,</w:t>
      </w:r>
      <w:r>
        <w:t xml:space="preserve"> за да се оправдае присъждането на справедливо обезщетение следователно е необоснован и дори влиза в противоречие с правната и факт</w:t>
      </w:r>
      <w:r w:rsidR="00A578BA">
        <w:t>ологич</w:t>
      </w:r>
      <w:r w:rsidR="00970331">
        <w:t>н</w:t>
      </w:r>
      <w:r>
        <w:t>ата същност на настоящото дело.</w:t>
      </w:r>
    </w:p>
    <w:p w:rsidR="00D10F80" w:rsidRDefault="00D10F80" w:rsidP="00F44003">
      <w:pPr>
        <w:pStyle w:val="OpiPara"/>
        <w:rPr>
          <w:szCs w:val="24"/>
        </w:rPr>
      </w:pPr>
      <w:r>
        <w:t>За разлика от мнозинството аз считам, че „</w:t>
      </w:r>
      <w:r>
        <w:rPr>
          <w:b/>
          <w:i/>
        </w:rPr>
        <w:t>доктрината за дипломатическа закрила</w:t>
      </w:r>
      <w:r>
        <w:t xml:space="preserve">“ не важи </w:t>
      </w:r>
      <w:r>
        <w:rPr>
          <w:b/>
        </w:rPr>
        <w:t>в настоящото дело</w:t>
      </w:r>
      <w:r>
        <w:t xml:space="preserve">. Делото засяга само предполагаемата ситуация на група лица, </w:t>
      </w:r>
      <w:r w:rsidR="00970331">
        <w:t>чиято самоличност н</w:t>
      </w:r>
      <w:r>
        <w:t>е мо</w:t>
      </w:r>
      <w:r w:rsidR="00970331">
        <w:t>же</w:t>
      </w:r>
      <w:r>
        <w:t xml:space="preserve"> да бъд</w:t>
      </w:r>
      <w:r w:rsidR="00970331">
        <w:t>е</w:t>
      </w:r>
      <w:r>
        <w:t xml:space="preserve"> установен</w:t>
      </w:r>
      <w:r w:rsidR="00970331">
        <w:t>а</w:t>
      </w:r>
      <w:r>
        <w:t xml:space="preserve"> по времето, когато Съдът констатира нарушенията на Конвенцията.</w:t>
      </w:r>
    </w:p>
    <w:p w:rsidR="00D10F80" w:rsidRDefault="00D10F80" w:rsidP="00F44003">
      <w:pPr>
        <w:pStyle w:val="OpiPara"/>
        <w:rPr>
          <w:szCs w:val="24"/>
        </w:rPr>
      </w:pPr>
      <w:r>
        <w:t xml:space="preserve">Следователно, дори да приемем, че жалбата е подадена навреме, </w:t>
      </w:r>
      <w:r w:rsidR="00970331">
        <w:t>П</w:t>
      </w:r>
      <w:r>
        <w:t xml:space="preserve">равителството на Кипър може да </w:t>
      </w:r>
      <w:r w:rsidR="00970331">
        <w:t xml:space="preserve">претендира </w:t>
      </w:r>
      <w:r>
        <w:t>справедливо обезщетение само във връзка с нарушението</w:t>
      </w:r>
      <w:r w:rsidR="00970331">
        <w:t>, констатирано</w:t>
      </w:r>
      <w:r>
        <w:t xml:space="preserve"> </w:t>
      </w:r>
      <w:r w:rsidR="00970331">
        <w:t>в</w:t>
      </w:r>
      <w:r>
        <w:t xml:space="preserve"> точка ІІ. 2 от </w:t>
      </w:r>
      <w:r w:rsidR="00970331">
        <w:t>диспозитива</w:t>
      </w:r>
      <w:r>
        <w:t xml:space="preserve"> на основното решение</w:t>
      </w:r>
      <w:r>
        <w:rPr>
          <w:rStyle w:val="FootnoteReference"/>
        </w:rPr>
        <w:footnoteReference w:id="66"/>
      </w:r>
      <w:r>
        <w:t>.</w:t>
      </w:r>
    </w:p>
    <w:p w:rsidR="001D7FEB" w:rsidRDefault="00D10F80" w:rsidP="00F44003">
      <w:pPr>
        <w:pStyle w:val="OpiPara"/>
        <w:rPr>
          <w:szCs w:val="24"/>
        </w:rPr>
      </w:pPr>
      <w:r>
        <w:lastRenderedPageBreak/>
        <w:t xml:space="preserve">Съгласно принципите на международното публично право във връзка с обезщетенията за неимуществени вреди в случаи, които не засягат дипломатическа закрила, нарушението, констатирано в решението по същество следва да представлява достатъчно справедливо обезщетение, без да е необходимо да се присъждат </w:t>
      </w:r>
      <w:r w:rsidR="00791971">
        <w:t>общи</w:t>
      </w:r>
      <w:r>
        <w:t>, да не каж</w:t>
      </w:r>
      <w:r w:rsidR="00791971">
        <w:t>а</w:t>
      </w:r>
      <w:r>
        <w:t xml:space="preserve"> спекулативни суми като тези, поискани от </w:t>
      </w:r>
      <w:r w:rsidR="00AA0B83">
        <w:t>П</w:t>
      </w:r>
      <w:r>
        <w:t>равителството на Кипър за „</w:t>
      </w:r>
      <w:r>
        <w:rPr>
          <w:b/>
          <w:i/>
        </w:rPr>
        <w:t>неимуществени вреди</w:t>
      </w:r>
      <w:r>
        <w:t>“ от името на неясен и неподлежащ на определ</w:t>
      </w:r>
      <w:r w:rsidR="00AA0B83">
        <w:t>я</w:t>
      </w:r>
      <w:r>
        <w:t>не брой лица, които може да са все още живи.</w:t>
      </w:r>
    </w:p>
    <w:p w:rsidR="00D10F80" w:rsidRDefault="00D10F80" w:rsidP="00F44003">
      <w:pPr>
        <w:pStyle w:val="OpiPara"/>
        <w:rPr>
          <w:szCs w:val="24"/>
        </w:rPr>
      </w:pPr>
      <w:r>
        <w:t xml:space="preserve">Според мен </w:t>
      </w:r>
      <w:r w:rsidR="00AA0B83">
        <w:t xml:space="preserve">такава </w:t>
      </w:r>
      <w:r>
        <w:t>група лица не може да представлява „</w:t>
      </w:r>
      <w:r>
        <w:rPr>
          <w:b/>
          <w:i/>
        </w:rPr>
        <w:t>по</w:t>
      </w:r>
      <w:r w:rsidR="00C02B2D">
        <w:rPr>
          <w:b/>
          <w:i/>
        </w:rPr>
        <w:t>търпевша</w:t>
      </w:r>
      <w:r>
        <w:rPr>
          <w:b/>
          <w:i/>
        </w:rPr>
        <w:t xml:space="preserve"> страна</w:t>
      </w:r>
      <w:r>
        <w:t xml:space="preserve">“ </w:t>
      </w:r>
      <w:r w:rsidR="00AA0B83">
        <w:t>по смисъла</w:t>
      </w:r>
      <w:r>
        <w:t xml:space="preserve"> на чл</w:t>
      </w:r>
      <w:r w:rsidR="00AA0B83">
        <w:t>.</w:t>
      </w:r>
      <w:r>
        <w:t xml:space="preserve"> 41 в междудържавно дело. В настоящото дело по</w:t>
      </w:r>
      <w:r w:rsidR="007141BD">
        <w:t>търпевш</w:t>
      </w:r>
      <w:r>
        <w:t xml:space="preserve">ата страна в действителност е държавата жалбоподател и съгласно логиката на Конвенцията неимуществените вреди </w:t>
      </w:r>
      <w:r w:rsidR="00717DA7">
        <w:t xml:space="preserve">сами по себе си </w:t>
      </w:r>
      <w:r>
        <w:t>трябва да бъдат индивидуални.</w:t>
      </w:r>
    </w:p>
    <w:p w:rsidR="001D7FEB" w:rsidRDefault="00D10F80" w:rsidP="00F44003">
      <w:pPr>
        <w:pStyle w:val="OpiPara"/>
        <w:rPr>
          <w:snapToGrid w:val="0"/>
          <w:szCs w:val="24"/>
        </w:rPr>
      </w:pPr>
      <w:r>
        <w:t xml:space="preserve">Следователно всички парични искания във връзка с неимуществени вреди следва да се отхвърлят предвид факта, че в международното право обезщетение по тази част може да бъде под формата на признаване от страна на съда на нарушение на правото на дадена държава от друга, при условие че са засегнати само моралните или политическите интереси на </w:t>
      </w:r>
      <w:r w:rsidR="00717DA7">
        <w:t>държавата</w:t>
      </w:r>
      <w:r>
        <w:t xml:space="preserve">. Това е ситуацията по делото </w:t>
      </w:r>
      <w:r>
        <w:rPr>
          <w:i/>
        </w:rPr>
        <w:t>Corfu Channel Case</w:t>
      </w:r>
      <w:r>
        <w:t>, в което Съдът постанов</w:t>
      </w:r>
      <w:r w:rsidR="00717DA7">
        <w:t>ява</w:t>
      </w:r>
      <w:r>
        <w:t>, че „</w:t>
      </w:r>
      <w:r>
        <w:rPr>
          <w:i/>
        </w:rPr>
        <w:t xml:space="preserve">поради действията на британските военноморски сили в албански води в хода на операция от 12 и 13 ноември 1946 г., </w:t>
      </w:r>
      <w:r w:rsidR="00FC4A77">
        <w:rPr>
          <w:i/>
        </w:rPr>
        <w:t>Великобритания</w:t>
      </w:r>
      <w:r>
        <w:rPr>
          <w:i/>
        </w:rPr>
        <w:t xml:space="preserve"> е нарушил</w:t>
      </w:r>
      <w:r w:rsidR="00FC4A77">
        <w:rPr>
          <w:i/>
        </w:rPr>
        <w:t>а</w:t>
      </w:r>
      <w:r>
        <w:rPr>
          <w:i/>
        </w:rPr>
        <w:t xml:space="preserve"> суверенитета на Народна Република Албания и </w:t>
      </w:r>
      <w:r>
        <w:rPr>
          <w:b/>
          <w:i/>
        </w:rPr>
        <w:t>че настоящата декларация на Съда представлява сама по себе си уместно обезщетение</w:t>
      </w:r>
      <w:r>
        <w:t>“</w:t>
      </w:r>
      <w:r>
        <w:rPr>
          <w:rStyle w:val="FootnoteReference"/>
          <w:snapToGrid w:val="0"/>
        </w:rPr>
        <w:footnoteReference w:id="67"/>
      </w:r>
      <w:r>
        <w:t>.</w:t>
      </w:r>
    </w:p>
    <w:p w:rsidR="00D10F80" w:rsidRDefault="00D10F80" w:rsidP="00F44003">
      <w:pPr>
        <w:pStyle w:val="OpiPara"/>
        <w:rPr>
          <w:snapToGrid w:val="0"/>
          <w:szCs w:val="24"/>
        </w:rPr>
      </w:pPr>
      <w:r>
        <w:t xml:space="preserve">Същото важи за арбитражното решение от 30 април 1990 г. по делото във връзка с аферата </w:t>
      </w:r>
      <w:r>
        <w:rPr>
          <w:i/>
          <w:snapToGrid w:val="0"/>
        </w:rPr>
        <w:t>Rainbow Warrior</w:t>
      </w:r>
      <w:r>
        <w:t xml:space="preserve">. Арбитражният съд </w:t>
      </w:r>
      <w:r w:rsidR="004144C6">
        <w:t xml:space="preserve">прави </w:t>
      </w:r>
      <w:r>
        <w:t xml:space="preserve">публично „четири декларации за съществени нарушения на задълженията на Франция“ </w:t>
      </w:r>
      <w:r w:rsidR="004144C6">
        <w:t>и приема</w:t>
      </w:r>
      <w:r>
        <w:t>, че това „</w:t>
      </w:r>
      <w:r>
        <w:rPr>
          <w:b/>
          <w:i/>
          <w:snapToGrid w:val="0"/>
        </w:rPr>
        <w:t>при дадените обстоятелства представлява уместно обезщетение за правни</w:t>
      </w:r>
      <w:r w:rsidR="004144C6">
        <w:rPr>
          <w:b/>
          <w:i/>
          <w:snapToGrid w:val="0"/>
        </w:rPr>
        <w:t>те</w:t>
      </w:r>
      <w:r>
        <w:rPr>
          <w:b/>
          <w:i/>
          <w:snapToGrid w:val="0"/>
        </w:rPr>
        <w:t xml:space="preserve"> и морални</w:t>
      </w:r>
      <w:r w:rsidR="004144C6">
        <w:rPr>
          <w:b/>
          <w:i/>
          <w:snapToGrid w:val="0"/>
        </w:rPr>
        <w:t>те</w:t>
      </w:r>
      <w:r>
        <w:rPr>
          <w:b/>
          <w:i/>
          <w:snapToGrid w:val="0"/>
        </w:rPr>
        <w:t xml:space="preserve"> вреди</w:t>
      </w:r>
      <w:r>
        <w:t>, нанесени на Нова Зеландия“</w:t>
      </w:r>
      <w:r>
        <w:rPr>
          <w:rStyle w:val="FootnoteReference"/>
          <w:snapToGrid w:val="0"/>
        </w:rPr>
        <w:footnoteReference w:id="68"/>
      </w:r>
      <w:r>
        <w:t>.</w:t>
      </w:r>
    </w:p>
    <w:p w:rsidR="00D10F80" w:rsidRDefault="00D10F80" w:rsidP="00F44003">
      <w:pPr>
        <w:pStyle w:val="OpiPara"/>
        <w:rPr>
          <w:snapToGrid w:val="0"/>
          <w:szCs w:val="24"/>
        </w:rPr>
      </w:pPr>
      <w:r>
        <w:t xml:space="preserve">В по-скорошен момент по </w:t>
      </w:r>
      <w:r>
        <w:rPr>
          <w:i/>
          <w:snapToGrid w:val="0"/>
        </w:rPr>
        <w:t>делото във връзка със заповед за арест от 11 април 2000 г. (Democratic Republic of the Congo v. Belgium)</w:t>
      </w:r>
      <w:r>
        <w:t xml:space="preserve"> </w:t>
      </w:r>
      <w:r w:rsidR="00487126">
        <w:t>Международният с</w:t>
      </w:r>
      <w:r>
        <w:t>ъд постанов</w:t>
      </w:r>
      <w:r w:rsidR="00487126">
        <w:t>ява</w:t>
      </w:r>
      <w:r>
        <w:t>, че „</w:t>
      </w:r>
      <w:r>
        <w:rPr>
          <w:b/>
          <w:i/>
          <w:snapToGrid w:val="0"/>
        </w:rPr>
        <w:t>констатациите … до които е достигна</w:t>
      </w:r>
      <w:r w:rsidR="00487126">
        <w:rPr>
          <w:b/>
          <w:i/>
          <w:snapToGrid w:val="0"/>
        </w:rPr>
        <w:t>л</w:t>
      </w:r>
      <w:r>
        <w:rPr>
          <w:b/>
          <w:i/>
          <w:snapToGrid w:val="0"/>
        </w:rPr>
        <w:t xml:space="preserve"> представляват форма на обезщетение, което ще овъзмезди моралните вреди, </w:t>
      </w:r>
      <w:r w:rsidR="00487126">
        <w:rPr>
          <w:b/>
          <w:i/>
          <w:snapToGrid w:val="0"/>
        </w:rPr>
        <w:t>посочен в жалбата на</w:t>
      </w:r>
      <w:r>
        <w:rPr>
          <w:b/>
          <w:i/>
          <w:snapToGrid w:val="0"/>
        </w:rPr>
        <w:t xml:space="preserve"> Конго</w:t>
      </w:r>
      <w:r>
        <w:t>“</w:t>
      </w:r>
      <w:r>
        <w:rPr>
          <w:rStyle w:val="FootnoteReference"/>
          <w:snapToGrid w:val="0"/>
        </w:rPr>
        <w:footnoteReference w:id="69"/>
      </w:r>
      <w:r>
        <w:t>.</w:t>
      </w:r>
    </w:p>
    <w:p w:rsidR="00D10F80" w:rsidRDefault="00D10F80" w:rsidP="00F44003">
      <w:pPr>
        <w:pStyle w:val="OpiPara"/>
        <w:rPr>
          <w:snapToGrid w:val="0"/>
          <w:szCs w:val="24"/>
        </w:rPr>
      </w:pPr>
      <w:r>
        <w:t xml:space="preserve">Следователно в международното право съдебна констатация </w:t>
      </w:r>
      <w:r w:rsidR="00B44CEF">
        <w:t>з</w:t>
      </w:r>
      <w:r>
        <w:t>а нарушение представлява достатъчна форма на обезщетение. Това важи също така в контекста на прегледа на законосъобразността на междудържавните дела пред Съда ни.</w:t>
      </w:r>
    </w:p>
    <w:p w:rsidR="00D10F80" w:rsidRDefault="00D10F80" w:rsidP="00F44003">
      <w:pPr>
        <w:pStyle w:val="OpiPara"/>
        <w:rPr>
          <w:snapToGrid w:val="0"/>
          <w:szCs w:val="24"/>
        </w:rPr>
      </w:pPr>
      <w:r>
        <w:lastRenderedPageBreak/>
        <w:t>В контекста на системата на Конвенцията, за да се присъди справедливо обезщетение по чл</w:t>
      </w:r>
      <w:r w:rsidR="00B44CEF">
        <w:t>.</w:t>
      </w:r>
      <w:r>
        <w:t xml:space="preserve"> 41, „по</w:t>
      </w:r>
      <w:r w:rsidR="00C02B2D">
        <w:t>търпевш</w:t>
      </w:r>
      <w:r>
        <w:t>ата“ страна винаги трябва да бъде физическо</w:t>
      </w:r>
      <w:r w:rsidR="00B44CEF">
        <w:t>то</w:t>
      </w:r>
      <w:r>
        <w:t xml:space="preserve"> лице (вж. параграф 46 от решението). Следователно, дори в междудържавно дело обезщетението, присъдено на държавата жалбоподател</w:t>
      </w:r>
      <w:r w:rsidR="00122998">
        <w:t>,</w:t>
      </w:r>
      <w:r>
        <w:t xml:space="preserve"> трябва да има за цел </w:t>
      </w:r>
      <w:r w:rsidR="00747791">
        <w:t xml:space="preserve">да </w:t>
      </w:r>
      <w:r>
        <w:t>компенсира вредите, понесени от ясно определено лице или лица.</w:t>
      </w:r>
    </w:p>
    <w:p w:rsidR="00D10F80" w:rsidRDefault="00D10F80" w:rsidP="00F44003">
      <w:pPr>
        <w:pStyle w:val="OpiPara"/>
        <w:rPr>
          <w:snapToGrid w:val="0"/>
          <w:szCs w:val="24"/>
        </w:rPr>
      </w:pPr>
      <w:r>
        <w:t xml:space="preserve">В настоящото дело присъждането на сборна сума на държавата жалбоподател, която да я разпределя, както намери за добре, на лица, чието съществуване и брой са заявени </w:t>
      </w:r>
      <w:r w:rsidR="00747791">
        <w:t xml:space="preserve">едва </w:t>
      </w:r>
      <w:r>
        <w:t xml:space="preserve">по време на заседанието, ще бъде в противоречие </w:t>
      </w:r>
      <w:r w:rsidR="00747791">
        <w:t>със самия дух</w:t>
      </w:r>
      <w:r>
        <w:t xml:space="preserve"> на чл</w:t>
      </w:r>
      <w:r w:rsidR="00747791">
        <w:t>.</w:t>
      </w:r>
      <w:r>
        <w:t xml:space="preserve"> 41.</w:t>
      </w:r>
    </w:p>
    <w:p w:rsidR="00D10F80" w:rsidRDefault="00D10F80" w:rsidP="00F44003">
      <w:pPr>
        <w:pStyle w:val="OpiPara"/>
        <w:rPr>
          <w:snapToGrid w:val="0"/>
          <w:szCs w:val="24"/>
        </w:rPr>
      </w:pPr>
      <w:r>
        <w:t xml:space="preserve">При обстоятелства като тези, които са предмет на основното решение, подход, който не е напълно съвместим с </w:t>
      </w:r>
      <w:r w:rsidR="00082591" w:rsidRPr="00082591">
        <w:rPr>
          <w:i/>
          <w:lang w:val="en-GB"/>
        </w:rPr>
        <w:t>raison</w:t>
      </w:r>
      <w:r w:rsidR="00082591" w:rsidRPr="00075945">
        <w:rPr>
          <w:i/>
        </w:rPr>
        <w:t xml:space="preserve"> </w:t>
      </w:r>
      <w:r w:rsidR="00082591" w:rsidRPr="00082591">
        <w:rPr>
          <w:i/>
          <w:lang w:val="en-GB"/>
        </w:rPr>
        <w:t>d</w:t>
      </w:r>
      <w:r w:rsidR="00082591" w:rsidRPr="00075945">
        <w:rPr>
          <w:i/>
        </w:rPr>
        <w:t>’ê</w:t>
      </w:r>
      <w:r w:rsidR="00082591" w:rsidRPr="00082591">
        <w:rPr>
          <w:i/>
          <w:lang w:val="en-GB"/>
        </w:rPr>
        <w:t>tre</w:t>
      </w:r>
      <w:r>
        <w:t xml:space="preserve"> на членове 33, 34, 35 и 41 от </w:t>
      </w:r>
      <w:r w:rsidR="00082591">
        <w:t>К</w:t>
      </w:r>
      <w:r>
        <w:t xml:space="preserve">онвенцията, ще доведе до сериозни проблеми във връзка с ефективността не само на </w:t>
      </w:r>
      <w:r w:rsidR="00DD19A1">
        <w:t>средството</w:t>
      </w:r>
      <w:r>
        <w:t xml:space="preserve"> за справедливо обезщетение с решение по чл</w:t>
      </w:r>
      <w:r w:rsidR="00DD19A1">
        <w:t>.</w:t>
      </w:r>
      <w:r>
        <w:t xml:space="preserve"> 41, но и </w:t>
      </w:r>
      <w:r w:rsidR="00DD19A1">
        <w:t>н</w:t>
      </w:r>
      <w:r>
        <w:t>а изпълнението от страна на държав</w:t>
      </w:r>
      <w:r w:rsidR="00DD19A1">
        <w:t>ите</w:t>
      </w:r>
      <w:r>
        <w:t xml:space="preserve"> на подобно решение и надзора </w:t>
      </w:r>
      <w:r w:rsidR="00DD19A1">
        <w:t xml:space="preserve">върху </w:t>
      </w:r>
      <w:r>
        <w:t xml:space="preserve">изпълнението му от </w:t>
      </w:r>
      <w:r w:rsidR="00DD19A1">
        <w:t xml:space="preserve">страна на </w:t>
      </w:r>
      <w:r>
        <w:t>Комитета на министрите.</w:t>
      </w:r>
    </w:p>
    <w:p w:rsidR="00D10F80" w:rsidRDefault="00D10F80" w:rsidP="00F44003">
      <w:pPr>
        <w:pStyle w:val="OpiPara"/>
        <w:rPr>
          <w:snapToGrid w:val="0"/>
          <w:szCs w:val="24"/>
        </w:rPr>
      </w:pPr>
      <w:r>
        <w:t xml:space="preserve">Мнозинството от Голямата камара взе решение да се присъди обезщетение на кипърските граждани от гръцки произход, които са безследно изчезнали, но се предполага, че са живи, за страданията, </w:t>
      </w:r>
      <w:r w:rsidR="00352483">
        <w:t xml:space="preserve">които </w:t>
      </w:r>
      <w:r>
        <w:t xml:space="preserve">държавата </w:t>
      </w:r>
      <w:r w:rsidR="00352483">
        <w:t xml:space="preserve">жалбоподател сега изразява </w:t>
      </w:r>
      <w:r>
        <w:t xml:space="preserve">от тяхно име. </w:t>
      </w:r>
      <w:r w:rsidR="00352483">
        <w:t xml:space="preserve">Като следвам тази логика на разсъждения, </w:t>
      </w:r>
      <w:r>
        <w:t>позвол</w:t>
      </w:r>
      <w:r w:rsidR="00352483">
        <w:t>ете ми</w:t>
      </w:r>
      <w:r>
        <w:t xml:space="preserve"> </w:t>
      </w:r>
      <w:r w:rsidR="002739B8">
        <w:t>под формата на</w:t>
      </w:r>
      <w:r>
        <w:t xml:space="preserve"> работна хипотеза да разгледам тези лица като отделни жалбоподатели, </w:t>
      </w:r>
      <w:r w:rsidR="002739B8">
        <w:t xml:space="preserve">като </w:t>
      </w:r>
      <w:r>
        <w:t>разбира</w:t>
      </w:r>
      <w:r w:rsidR="002739B8">
        <w:t>м</w:t>
      </w:r>
      <w:r>
        <w:t xml:space="preserve">, че не </w:t>
      </w:r>
      <w:r w:rsidR="002739B8">
        <w:t>може</w:t>
      </w:r>
      <w:r>
        <w:t xml:space="preserve"> да </w:t>
      </w:r>
      <w:r w:rsidR="002739B8">
        <w:t xml:space="preserve">им се осигури </w:t>
      </w:r>
      <w:r>
        <w:t>по-благоприятн</w:t>
      </w:r>
      <w:r w:rsidR="002739B8">
        <w:t>о</w:t>
      </w:r>
      <w:r>
        <w:t xml:space="preserve"> </w:t>
      </w:r>
      <w:r w:rsidR="002739B8">
        <w:t xml:space="preserve">отношение, </w:t>
      </w:r>
      <w:r>
        <w:t>от</w:t>
      </w:r>
      <w:r w:rsidR="002739B8">
        <w:t>колкото на</w:t>
      </w:r>
      <w:r>
        <w:t xml:space="preserve"> всеки друг жалбоподател в </w:t>
      </w:r>
      <w:r w:rsidR="002739B8">
        <w:t>подобна</w:t>
      </w:r>
      <w:r>
        <w:t xml:space="preserve"> ситуация.</w:t>
      </w:r>
    </w:p>
    <w:p w:rsidR="00D10F80" w:rsidRDefault="00D10F80" w:rsidP="00F44003">
      <w:pPr>
        <w:pStyle w:val="OpiPara"/>
        <w:rPr>
          <w:snapToGrid w:val="0"/>
          <w:szCs w:val="24"/>
        </w:rPr>
      </w:pPr>
      <w:r>
        <w:t xml:space="preserve">Тази хипотеза </w:t>
      </w:r>
      <w:r w:rsidR="00D61C9D">
        <w:t>показва</w:t>
      </w:r>
      <w:r>
        <w:t xml:space="preserve">, че мнозинството в действителност е присъдило непряко парично обезщетение на определени физически лица, които не биха получили такова въз основа на отделни жалби (за целта вж. </w:t>
      </w:r>
      <w:r>
        <w:rPr>
          <w:i/>
          <w:snapToGrid w:val="0"/>
        </w:rPr>
        <w:t>Varnava and Others</w:t>
      </w:r>
      <w:r>
        <w:t>,</w:t>
      </w:r>
      <w:r>
        <w:rPr>
          <w:i/>
          <w:snapToGrid w:val="0"/>
        </w:rPr>
        <w:t xml:space="preserve"> </w:t>
      </w:r>
      <w:r>
        <w:t xml:space="preserve">§§ 151-172), при които условията за допустимост и </w:t>
      </w:r>
      <w:r w:rsidR="00D61C9D">
        <w:t xml:space="preserve">основателност </w:t>
      </w:r>
      <w:r>
        <w:t>почти сигурно не са същите.</w:t>
      </w:r>
    </w:p>
    <w:p w:rsidR="00D10F80" w:rsidRPr="00923CD1" w:rsidRDefault="00D10F80" w:rsidP="00F44003">
      <w:pPr>
        <w:pStyle w:val="OpiH1"/>
      </w:pPr>
      <w:r>
        <w:t>В.</w:t>
      </w:r>
      <w:r>
        <w:tab/>
        <w:t>Приложимост на чл</w:t>
      </w:r>
      <w:r w:rsidR="00D61C9D">
        <w:t>.</w:t>
      </w:r>
      <w:r>
        <w:t xml:space="preserve"> 41 в настоящото дело по отношение на жителите на полуостров Карпас</w:t>
      </w:r>
    </w:p>
    <w:p w:rsidR="00D10F80" w:rsidRPr="00923CD1" w:rsidRDefault="00D10F80" w:rsidP="00F44003">
      <w:pPr>
        <w:pStyle w:val="OpiPara"/>
        <w:keepNext/>
        <w:keepLines/>
      </w:pPr>
      <w:r>
        <w:t xml:space="preserve">Следва също така да се отбележи, че </w:t>
      </w:r>
      <w:r w:rsidR="00D61C9D">
        <w:t>от</w:t>
      </w:r>
      <w:r>
        <w:t xml:space="preserve"> настоящото дело</w:t>
      </w:r>
      <w:r w:rsidR="00D61C9D">
        <w:t xml:space="preserve"> нататък</w:t>
      </w:r>
      <w:r>
        <w:t xml:space="preserve"> Съдът се предполага, че ще приема приложимостта на чл</w:t>
      </w:r>
      <w:r w:rsidR="003B3354">
        <w:t>.</w:t>
      </w:r>
      <w:r>
        <w:t xml:space="preserve"> 41 в междудържавни дела, като се позовава на дипломатическата закрила и разчита на възможността за идентифициране на по</w:t>
      </w:r>
      <w:r w:rsidR="00C02B2D">
        <w:t>търпевш</w:t>
      </w:r>
      <w:r>
        <w:t xml:space="preserve">ите от нарушения въз основа на информацията, която произтича от първоначалната жалба. За тази цел Съдът </w:t>
      </w:r>
      <w:r w:rsidR="003B3354">
        <w:t xml:space="preserve">е </w:t>
      </w:r>
      <w:r>
        <w:t>заяви</w:t>
      </w:r>
      <w:r w:rsidR="003B3354">
        <w:t>л</w:t>
      </w:r>
      <w:r>
        <w:t xml:space="preserve">, че ще разглежда всяка жалба поотделно, за да </w:t>
      </w:r>
      <w:r w:rsidR="003B3354">
        <w:t>реши</w:t>
      </w:r>
      <w:r>
        <w:t xml:space="preserve"> дали да присъди справедливо обезщетение </w:t>
      </w:r>
      <w:r w:rsidR="003B3354">
        <w:t xml:space="preserve">или не </w:t>
      </w:r>
      <w:r>
        <w:t>(вж. параграф 43 от решението)</w:t>
      </w:r>
      <w:r w:rsidR="003B3354">
        <w:t>.</w:t>
      </w:r>
    </w:p>
    <w:p w:rsidR="00D10F80" w:rsidRPr="00923CD1" w:rsidRDefault="00D10F80" w:rsidP="00F44003">
      <w:pPr>
        <w:pStyle w:val="OpiPara"/>
      </w:pPr>
      <w:r>
        <w:t xml:space="preserve">Въпреки всичко </w:t>
      </w:r>
      <w:r w:rsidR="003B3354">
        <w:t xml:space="preserve">никъде в </w:t>
      </w:r>
      <w:r>
        <w:t xml:space="preserve">решението не </w:t>
      </w:r>
      <w:r w:rsidR="003B3354">
        <w:t xml:space="preserve">се </w:t>
      </w:r>
      <w:r>
        <w:t>обяснява на каква фактологична основа мнозинството присъжда сумите за кипърски</w:t>
      </w:r>
      <w:r w:rsidR="003B3354">
        <w:t>те</w:t>
      </w:r>
      <w:r>
        <w:t xml:space="preserve"> </w:t>
      </w:r>
      <w:r>
        <w:lastRenderedPageBreak/>
        <w:t xml:space="preserve">граждани от гръцки произход </w:t>
      </w:r>
      <w:r w:rsidR="003B3354">
        <w:t xml:space="preserve">в анклава </w:t>
      </w:r>
      <w:r>
        <w:t>на полуостров Карпас, които формират абстрактно определена група.</w:t>
      </w:r>
    </w:p>
    <w:p w:rsidR="00D10F80" w:rsidRPr="00D03425" w:rsidRDefault="00D10F80" w:rsidP="00F44003">
      <w:pPr>
        <w:pStyle w:val="OpiPara"/>
      </w:pPr>
      <w:r>
        <w:t xml:space="preserve">В този контекст </w:t>
      </w:r>
      <w:r w:rsidR="00957FE8">
        <w:t>П</w:t>
      </w:r>
      <w:r>
        <w:t>равителството на Кипър заяв</w:t>
      </w:r>
      <w:r w:rsidR="00957FE8">
        <w:t>ява</w:t>
      </w:r>
      <w:r>
        <w:t>, че „</w:t>
      </w:r>
      <w:r>
        <w:rPr>
          <w:b/>
          <w:i/>
        </w:rPr>
        <w:t xml:space="preserve">[б]роят на тези жители трябва да бъде съгласуван между страните в срок от 6 месеца от разпореждането на Съда и, при липсата на споразумение, да се </w:t>
      </w:r>
      <w:r w:rsidR="00957FE8">
        <w:rPr>
          <w:b/>
          <w:i/>
        </w:rPr>
        <w:t xml:space="preserve">реши </w:t>
      </w:r>
      <w:r>
        <w:rPr>
          <w:b/>
          <w:i/>
        </w:rPr>
        <w:t>от председателя на Съда въз основа на писмени доказателства и становища относно броя и местоположението на жителите и техните наследници</w:t>
      </w:r>
      <w:r>
        <w:t xml:space="preserve">“. Тук ясно можем да видим коренната разлика между жалбите по отношение на безследно изчезналите лица и тези, които касаят жителите на полуостров Карпас. Във връзка с последните </w:t>
      </w:r>
      <w:r w:rsidR="00957FE8">
        <w:t>П</w:t>
      </w:r>
      <w:r>
        <w:t xml:space="preserve">равителството на Кипър се опитва да ги идентифицира и да ги изброи </w:t>
      </w:r>
      <w:r w:rsidR="00957FE8" w:rsidRPr="00957FE8">
        <w:rPr>
          <w:i/>
          <w:lang w:val="en-GB"/>
        </w:rPr>
        <w:t>ex post</w:t>
      </w:r>
      <w:r w:rsidR="00957FE8" w:rsidRPr="00075945">
        <w:rPr>
          <w:i/>
        </w:rPr>
        <w:t xml:space="preserve"> </w:t>
      </w:r>
      <w:r w:rsidR="00957FE8" w:rsidRPr="00957FE8">
        <w:rPr>
          <w:i/>
          <w:lang w:val="en-GB"/>
        </w:rPr>
        <w:t>facto</w:t>
      </w:r>
      <w:r w:rsidR="00957FE8" w:rsidRPr="00957FE8">
        <w:t xml:space="preserve"> </w:t>
      </w:r>
      <w:r>
        <w:t xml:space="preserve">единадесет години </w:t>
      </w:r>
      <w:r w:rsidRPr="00AC07A8">
        <w:t>след</w:t>
      </w:r>
      <w:r w:rsidRPr="004C7197">
        <w:t xml:space="preserve"> </w:t>
      </w:r>
      <w:r>
        <w:t>постановяване на решението по същество</w:t>
      </w:r>
      <w:r w:rsidR="003F63FE">
        <w:t>!</w:t>
      </w:r>
      <w:r>
        <w:t xml:space="preserve"> Чудно е как това не е породил</w:t>
      </w:r>
      <w:r w:rsidR="003F63FE">
        <w:t>о</w:t>
      </w:r>
      <w:r>
        <w:t xml:space="preserve"> и най-малък проблем за мнозинството, което не коментира това искане и присъжда огромна </w:t>
      </w:r>
      <w:r w:rsidR="003F63FE">
        <w:t>еднократна</w:t>
      </w:r>
      <w:r>
        <w:t xml:space="preserve"> сума, без да има </w:t>
      </w:r>
      <w:r w:rsidR="003F63FE">
        <w:t>никаква представа за</w:t>
      </w:r>
      <w:r>
        <w:t xml:space="preserve"> броя на съответните лица.</w:t>
      </w:r>
    </w:p>
    <w:p w:rsidR="00D10F80" w:rsidRPr="00D03425" w:rsidRDefault="003F63FE" w:rsidP="00F44003">
      <w:pPr>
        <w:pStyle w:val="OpiPara"/>
      </w:pPr>
      <w:r>
        <w:t>Ето защо</w:t>
      </w:r>
      <w:r w:rsidR="00D10F80">
        <w:t xml:space="preserve"> не мога да </w:t>
      </w:r>
      <w:r>
        <w:t>разбера</w:t>
      </w:r>
      <w:r w:rsidR="00D10F80">
        <w:t xml:space="preserve"> правната логика, на която се позовава мнозинството, изложена в параграфи 43 — 46 от решението, в които се решава да се приложи чл</w:t>
      </w:r>
      <w:r w:rsidR="006B28D6">
        <w:t>.</w:t>
      </w:r>
      <w:r w:rsidR="00D10F80">
        <w:t xml:space="preserve"> 41 дори при абстрактни и общи междудържавни жалби.</w:t>
      </w:r>
    </w:p>
    <w:p w:rsidR="00D10F80" w:rsidRPr="00D03425" w:rsidRDefault="00D10F80" w:rsidP="00F44003">
      <w:pPr>
        <w:pStyle w:val="OpiPara"/>
      </w:pPr>
      <w:r>
        <w:t xml:space="preserve">На фона на изложеното дотук всяка препратка към решението по делото </w:t>
      </w:r>
      <w:r>
        <w:rPr>
          <w:i/>
        </w:rPr>
        <w:t xml:space="preserve">Diallo </w:t>
      </w:r>
      <w:r>
        <w:t>е неуместн</w:t>
      </w:r>
      <w:r w:rsidR="006B28D6">
        <w:t>а</w:t>
      </w:r>
      <w:r>
        <w:t xml:space="preserve"> и нео</w:t>
      </w:r>
      <w:r w:rsidR="006B28D6">
        <w:t>боснована</w:t>
      </w:r>
      <w:r>
        <w:t>, дори подвеждащ</w:t>
      </w:r>
      <w:r w:rsidR="006B28D6">
        <w:t>а</w:t>
      </w:r>
      <w:r>
        <w:t>.</w:t>
      </w:r>
    </w:p>
    <w:p w:rsidR="00D10F80" w:rsidRPr="005C712A" w:rsidRDefault="00D10F80" w:rsidP="00F44003">
      <w:pPr>
        <w:pStyle w:val="OpiH1"/>
      </w:pPr>
      <w:r>
        <w:t>Г.  Някои факт</w:t>
      </w:r>
      <w:r w:rsidR="006B28D6">
        <w:t>ологични</w:t>
      </w:r>
      <w:r>
        <w:t xml:space="preserve"> неточности</w:t>
      </w:r>
    </w:p>
    <w:p w:rsidR="00D10F80" w:rsidRDefault="00D10F80" w:rsidP="00F44003">
      <w:pPr>
        <w:pStyle w:val="OpiPara"/>
      </w:pPr>
      <w:r>
        <w:t xml:space="preserve">В тази част </w:t>
      </w:r>
      <w:r w:rsidR="006B28D6">
        <w:t xml:space="preserve">просто </w:t>
      </w:r>
      <w:r>
        <w:t xml:space="preserve">ще изтъкна </w:t>
      </w:r>
      <w:r w:rsidR="006B28D6">
        <w:t xml:space="preserve">отново </w:t>
      </w:r>
      <w:r>
        <w:t xml:space="preserve">някои факти и ще посоча </w:t>
      </w:r>
      <w:r w:rsidR="00C83500">
        <w:t xml:space="preserve">някои </w:t>
      </w:r>
      <w:r>
        <w:t>въпроси от фактологично естество.</w:t>
      </w:r>
    </w:p>
    <w:p w:rsidR="00D10F80" w:rsidRDefault="00D10F80" w:rsidP="00F44003">
      <w:pPr>
        <w:pStyle w:val="OpiPara"/>
      </w:pPr>
      <w:r>
        <w:t>(1)  </w:t>
      </w:r>
      <w:r>
        <w:rPr>
          <w:b/>
        </w:rPr>
        <w:t>Какъв е действителния</w:t>
      </w:r>
      <w:r w:rsidR="00C83500">
        <w:rPr>
          <w:b/>
        </w:rPr>
        <w:t>т</w:t>
      </w:r>
      <w:r>
        <w:rPr>
          <w:b/>
        </w:rPr>
        <w:t xml:space="preserve"> брой на безследно изчезналите лица </w:t>
      </w:r>
      <w:r>
        <w:t xml:space="preserve">(предвид всички </w:t>
      </w:r>
      <w:r w:rsidR="00C83500">
        <w:t xml:space="preserve">действия, посочени в </w:t>
      </w:r>
      <w:r>
        <w:t xml:space="preserve">жалби до момента </w:t>
      </w:r>
      <w:r w:rsidR="00C83500">
        <w:t>и пре</w:t>
      </w:r>
      <w:r>
        <w:t>разгледани от Голямата камара)?</w:t>
      </w:r>
    </w:p>
    <w:p w:rsidR="00D10F80" w:rsidRDefault="00C83500" w:rsidP="00F44003">
      <w:pPr>
        <w:pStyle w:val="OpiPara"/>
        <w:rPr>
          <w:snapToGrid w:val="0"/>
          <w:szCs w:val="24"/>
        </w:rPr>
      </w:pPr>
      <w:r>
        <w:t>В ж</w:t>
      </w:r>
      <w:r w:rsidR="00D10F80">
        <w:t xml:space="preserve">алба № 8007/77 се </w:t>
      </w:r>
      <w:r>
        <w:t>споменават</w:t>
      </w:r>
      <w:r w:rsidR="00D10F80">
        <w:t xml:space="preserve"> </w:t>
      </w:r>
      <w:r>
        <w:t>близо</w:t>
      </w:r>
      <w:r w:rsidR="00D10F80">
        <w:t xml:space="preserve"> 2</w:t>
      </w:r>
      <w:r>
        <w:t xml:space="preserve"> </w:t>
      </w:r>
      <w:r w:rsidR="00D10F80">
        <w:t xml:space="preserve">000 безследно изчезнали кипърски граждани от гръцки произход. В първоначалната жалба от 22 ноември 1984 г. във връзка с настоящото дело, Правителството жалбоподател споменава 1 619 лица. Шест години по-късно, по време на заседание, проведено на 20 септември 2000 г. този брой спада до 1 485. Сега окончателната бройка, посочена от </w:t>
      </w:r>
      <w:r w:rsidR="00A11A45">
        <w:t>П</w:t>
      </w:r>
      <w:r w:rsidR="00D10F80">
        <w:t>равителството, е 1 456. Според статистиката на Комитета на ООН за безследно изчезналите лица от февруари 2014 г., междувременно са открити 358 тела, за които се предполага, че са на въпросните безследно изчезнали кипърски граждани от гръцки произход</w:t>
      </w:r>
      <w:r w:rsidR="00D10F80">
        <w:rPr>
          <w:rStyle w:val="FootnoteReference"/>
          <w:snapToGrid w:val="0"/>
        </w:rPr>
        <w:footnoteReference w:id="70"/>
      </w:r>
      <w:r w:rsidR="00D10F80">
        <w:t xml:space="preserve">. Следователно </w:t>
      </w:r>
      <w:r w:rsidR="00A11A45">
        <w:t xml:space="preserve">е </w:t>
      </w:r>
      <w:r w:rsidR="00D10F80">
        <w:t>може</w:t>
      </w:r>
      <w:r w:rsidR="00A11A45">
        <w:t>ло</w:t>
      </w:r>
      <w:r w:rsidR="00D10F80">
        <w:t xml:space="preserve"> да се очаква, че броят на по</w:t>
      </w:r>
      <w:r w:rsidR="00C02B2D">
        <w:t>търпевш</w:t>
      </w:r>
      <w:r w:rsidR="00D10F80">
        <w:t xml:space="preserve">ите вече няма да бъде 1 456. Въпреки това първият </w:t>
      </w:r>
      <w:r w:rsidR="00D10F80">
        <w:lastRenderedPageBreak/>
        <w:t>официален списък (публикуван в Държавен вестник на Кипър), приложен към искането за справедливо обезщетение, подаден</w:t>
      </w:r>
      <w:r w:rsidR="00A11A45">
        <w:t>о</w:t>
      </w:r>
      <w:r w:rsidR="00D10F80">
        <w:t xml:space="preserve"> през 2010 г., съдържа 1 493 лица.</w:t>
      </w:r>
    </w:p>
    <w:p w:rsidR="00D10F80" w:rsidRDefault="00D10F80" w:rsidP="0015737C">
      <w:pPr>
        <w:pStyle w:val="OpiPara"/>
        <w:tabs>
          <w:tab w:val="left" w:pos="3686"/>
        </w:tabs>
        <w:rPr>
          <w:snapToGrid w:val="0"/>
          <w:szCs w:val="24"/>
        </w:rPr>
      </w:pPr>
      <w:r>
        <w:t xml:space="preserve">Предвид гореизложеното, може ли мнозинството да твърди, че знае </w:t>
      </w:r>
      <w:r w:rsidR="002711E5">
        <w:t xml:space="preserve">действителния </w:t>
      </w:r>
      <w:r>
        <w:t>бро</w:t>
      </w:r>
      <w:r w:rsidR="002711E5">
        <w:t>й</w:t>
      </w:r>
      <w:r>
        <w:t xml:space="preserve"> на безследно изчезналите лица? Убедено ли е мнозинството, че безследно изчезналите лица, които вече са били предмет на около осемдесет жалби, разгледани от Съда, </w:t>
      </w:r>
      <w:r w:rsidR="002711E5">
        <w:t xml:space="preserve">не </w:t>
      </w:r>
      <w:r>
        <w:t xml:space="preserve">са преброени повторно </w:t>
      </w:r>
      <w:r w:rsidR="002711E5">
        <w:t>в</w:t>
      </w:r>
      <w:r>
        <w:t xml:space="preserve"> цифрите, предоставени по настоящото дело? В случай на отрицателен отговор, как </w:t>
      </w:r>
      <w:r w:rsidR="0015737C">
        <w:t xml:space="preserve">възнамерява мнозинството да </w:t>
      </w:r>
      <w:r>
        <w:t>определ</w:t>
      </w:r>
      <w:r w:rsidR="0015737C">
        <w:t>и</w:t>
      </w:r>
      <w:r>
        <w:t xml:space="preserve"> сумата, която да бъде присъдена като обезщетение за неимуществени вреди?</w:t>
      </w:r>
    </w:p>
    <w:p w:rsidR="00D10F80" w:rsidRDefault="00D10F80" w:rsidP="00F44003">
      <w:pPr>
        <w:pStyle w:val="OpiPara"/>
        <w:rPr>
          <w:snapToGrid w:val="0"/>
          <w:szCs w:val="24"/>
        </w:rPr>
      </w:pPr>
      <w:r>
        <w:t>Актуализирането на списъка е от съществено значение за разграничаване на лицата, които все още не са открити, от тези, чиито тела са намерени, като се има предвид, че жалбите по отношение на последните задължително следва да се оттеглят като „</w:t>
      </w:r>
      <w:r>
        <w:rPr>
          <w:b/>
          <w:i/>
          <w:snapToGrid w:val="0"/>
        </w:rPr>
        <w:t>преждевременни</w:t>
      </w:r>
      <w:r>
        <w:t xml:space="preserve">“ съгласно решението по дело </w:t>
      </w:r>
      <w:r>
        <w:rPr>
          <w:i/>
          <w:snapToGrid w:val="0"/>
        </w:rPr>
        <w:t>Despina Charalambous and Others v. Turkey</w:t>
      </w:r>
      <w:r>
        <w:t xml:space="preserve"> (№ 46744/07, 3 април 2012 г.); вж. също решения на Съда по дела</w:t>
      </w:r>
      <w:r>
        <w:rPr>
          <w:i/>
          <w:snapToGrid w:val="0"/>
        </w:rPr>
        <w:t xml:space="preserve"> Papayianni v. Turkey </w:t>
      </w:r>
      <w:r>
        <w:t>(№ 479/07, 2 април 2013 г.);</w:t>
      </w:r>
      <w:r>
        <w:rPr>
          <w:i/>
          <w:snapToGrid w:val="0"/>
        </w:rPr>
        <w:t xml:space="preserve"> Ioannou Iacovou and Others v. Turkey</w:t>
      </w:r>
      <w:r>
        <w:rPr>
          <w:b/>
          <w:i/>
          <w:snapToGrid w:val="0"/>
        </w:rPr>
        <w:t xml:space="preserve"> </w:t>
      </w:r>
      <w:r>
        <w:t>(№ 24506/08, 5 октомври 2010 г.);</w:t>
      </w:r>
      <w:r>
        <w:rPr>
          <w:i/>
          <w:snapToGrid w:val="0"/>
        </w:rPr>
        <w:t xml:space="preserve"> </w:t>
      </w:r>
      <w:r>
        <w:t>и</w:t>
      </w:r>
      <w:r>
        <w:rPr>
          <w:i/>
          <w:snapToGrid w:val="0"/>
        </w:rPr>
        <w:t xml:space="preserve"> Efthymiou and Others v. Turkey </w:t>
      </w:r>
      <w:r>
        <w:t>(№ 40997/02, 7 май 2013 г.).</w:t>
      </w:r>
    </w:p>
    <w:p w:rsidR="00D10F80" w:rsidRDefault="0015737C" w:rsidP="00F44003">
      <w:pPr>
        <w:pStyle w:val="OpiPara"/>
        <w:rPr>
          <w:snapToGrid w:val="0"/>
          <w:szCs w:val="24"/>
        </w:rPr>
      </w:pPr>
      <w:r>
        <w:t>Като и</w:t>
      </w:r>
      <w:r w:rsidR="00D10F80">
        <w:t>збира да пропусне тази точка, мнозинството вз</w:t>
      </w:r>
      <w:r>
        <w:t>има</w:t>
      </w:r>
      <w:r w:rsidR="00D10F80">
        <w:t xml:space="preserve"> решение да присъди сума от тридесет милиона евро, като т.нар. сборна сума, изчислена като се умножат 20 000 евро по 1 456. Освен това следва да се отбележи, че тази преценка се основава на погрешно приложение на теорията за дипломатическа закрила и на пренебрегването на действителния брой безследно изчезнали лица.</w:t>
      </w:r>
    </w:p>
    <w:p w:rsidR="00D10F80" w:rsidRDefault="00D10F80" w:rsidP="00F44003">
      <w:pPr>
        <w:pStyle w:val="OpiPara"/>
        <w:rPr>
          <w:snapToGrid w:val="0"/>
          <w:szCs w:val="24"/>
        </w:rPr>
      </w:pPr>
      <w:r>
        <w:t>(2)  </w:t>
      </w:r>
      <w:r>
        <w:rPr>
          <w:b/>
          <w:snapToGrid w:val="0"/>
        </w:rPr>
        <w:t>Във връзка с шестдесетте милиона евро, присъдени от мнозинството на кипърски</w:t>
      </w:r>
      <w:r w:rsidR="008C1063">
        <w:rPr>
          <w:b/>
          <w:snapToGrid w:val="0"/>
        </w:rPr>
        <w:t>те</w:t>
      </w:r>
      <w:r>
        <w:rPr>
          <w:b/>
          <w:snapToGrid w:val="0"/>
        </w:rPr>
        <w:t xml:space="preserve"> граждани от гръцки произход </w:t>
      </w:r>
      <w:r w:rsidR="008C1063">
        <w:rPr>
          <w:b/>
          <w:snapToGrid w:val="0"/>
        </w:rPr>
        <w:t xml:space="preserve">в анклава </w:t>
      </w:r>
      <w:r>
        <w:rPr>
          <w:b/>
          <w:snapToGrid w:val="0"/>
        </w:rPr>
        <w:t>на полуостров Карпас</w:t>
      </w:r>
      <w:r>
        <w:t xml:space="preserve">, </w:t>
      </w:r>
      <w:r w:rsidR="008C1063">
        <w:t xml:space="preserve">това </w:t>
      </w:r>
      <w:r>
        <w:t xml:space="preserve">решение не може </w:t>
      </w:r>
      <w:r w:rsidR="008C1063">
        <w:t xml:space="preserve">по никакъв начин </w:t>
      </w:r>
      <w:r>
        <w:t xml:space="preserve">да се обясни </w:t>
      </w:r>
      <w:r w:rsidR="008C1063">
        <w:t xml:space="preserve">с </w:t>
      </w:r>
      <w:r>
        <w:t>теорията на дипломатическата закрила.</w:t>
      </w:r>
    </w:p>
    <w:p w:rsidR="00D10F80" w:rsidRDefault="00D10F80" w:rsidP="00F44003">
      <w:pPr>
        <w:pStyle w:val="OpiPara"/>
        <w:rPr>
          <w:snapToGrid w:val="0"/>
          <w:szCs w:val="24"/>
        </w:rPr>
      </w:pPr>
      <w:r>
        <w:t>По отношение на тази част от жалбата Съдът няма информация нито за броя, нито за самоличността на съответните лица; следователно присъдената сума е абсолютно произволна.</w:t>
      </w:r>
    </w:p>
    <w:p w:rsidR="00D10F80" w:rsidRDefault="00D10F80" w:rsidP="00F44003">
      <w:pPr>
        <w:pStyle w:val="OpiPara"/>
        <w:rPr>
          <w:b/>
          <w:snapToGrid w:val="0"/>
          <w:szCs w:val="24"/>
        </w:rPr>
      </w:pPr>
      <w:r>
        <w:t>(3)  </w:t>
      </w:r>
      <w:r>
        <w:rPr>
          <w:b/>
          <w:snapToGrid w:val="0"/>
        </w:rPr>
        <w:t>Какви са</w:t>
      </w:r>
      <w:r>
        <w:t xml:space="preserve"> </w:t>
      </w:r>
      <w:r>
        <w:rPr>
          <w:b/>
          <w:snapToGrid w:val="0"/>
        </w:rPr>
        <w:t xml:space="preserve">ангажиментите за изпълнение на решение </w:t>
      </w:r>
      <w:r w:rsidR="00E43644">
        <w:rPr>
          <w:b/>
          <w:snapToGrid w:val="0"/>
        </w:rPr>
        <w:t xml:space="preserve">за </w:t>
      </w:r>
      <w:r>
        <w:rPr>
          <w:b/>
          <w:snapToGrid w:val="0"/>
        </w:rPr>
        <w:t>присъ</w:t>
      </w:r>
      <w:r w:rsidR="00E43644">
        <w:rPr>
          <w:b/>
          <w:snapToGrid w:val="0"/>
        </w:rPr>
        <w:t>ждане на</w:t>
      </w:r>
      <w:r>
        <w:rPr>
          <w:b/>
          <w:snapToGrid w:val="0"/>
        </w:rPr>
        <w:t xml:space="preserve"> сума</w:t>
      </w:r>
      <w:r w:rsidR="00E43644">
        <w:rPr>
          <w:b/>
          <w:snapToGrid w:val="0"/>
        </w:rPr>
        <w:t>,</w:t>
      </w:r>
      <w:r>
        <w:rPr>
          <w:b/>
          <w:snapToGrid w:val="0"/>
        </w:rPr>
        <w:t xml:space="preserve"> </w:t>
      </w:r>
      <w:r w:rsidR="00E43644">
        <w:rPr>
          <w:b/>
          <w:snapToGrid w:val="0"/>
        </w:rPr>
        <w:t xml:space="preserve">която </w:t>
      </w:r>
      <w:r>
        <w:rPr>
          <w:b/>
          <w:snapToGrid w:val="0"/>
        </w:rPr>
        <w:t xml:space="preserve">да бъде разпределена от </w:t>
      </w:r>
      <w:r w:rsidR="00E43644">
        <w:rPr>
          <w:b/>
          <w:snapToGrid w:val="0"/>
        </w:rPr>
        <w:t>П</w:t>
      </w:r>
      <w:r>
        <w:rPr>
          <w:b/>
          <w:snapToGrid w:val="0"/>
        </w:rPr>
        <w:t>равителството на Кипър?</w:t>
      </w:r>
    </w:p>
    <w:p w:rsidR="00D10F80" w:rsidRDefault="00D10F80" w:rsidP="00F44003">
      <w:pPr>
        <w:pStyle w:val="OpiPara"/>
        <w:rPr>
          <w:snapToGrid w:val="0"/>
          <w:szCs w:val="24"/>
        </w:rPr>
      </w:pPr>
      <w:r>
        <w:t xml:space="preserve">Във връзка с изпълнението на подобна оперативна разпоредба </w:t>
      </w:r>
      <w:r w:rsidR="00E43644">
        <w:t xml:space="preserve">възникват </w:t>
      </w:r>
      <w:r>
        <w:t>няколко въпроса не само по отношение на Високодоговарящите страни, но и относно Комитета на министрите.</w:t>
      </w:r>
    </w:p>
    <w:p w:rsidR="00D10F80" w:rsidRDefault="00D10F80" w:rsidP="00F44003">
      <w:pPr>
        <w:pStyle w:val="OpiPara"/>
        <w:rPr>
          <w:snapToGrid w:val="0"/>
          <w:szCs w:val="24"/>
        </w:rPr>
      </w:pPr>
      <w:r>
        <w:t xml:space="preserve">В настоящото дело </w:t>
      </w:r>
      <w:r w:rsidR="00E43644">
        <w:t>П</w:t>
      </w:r>
      <w:r>
        <w:t>равителството на Кипър заяв</w:t>
      </w:r>
      <w:r w:rsidR="00E43644">
        <w:t>ява</w:t>
      </w:r>
      <w:r>
        <w:t>, че ще разпредели сборната сума, присъдена по настоящото дело, между съответните лица въз основа на посочения по-горе списък.</w:t>
      </w:r>
    </w:p>
    <w:p w:rsidR="00D10F80" w:rsidRDefault="00D10F80" w:rsidP="00F44003">
      <w:pPr>
        <w:pStyle w:val="OpiPara"/>
        <w:rPr>
          <w:snapToGrid w:val="0"/>
          <w:szCs w:val="24"/>
        </w:rPr>
      </w:pPr>
      <w:r>
        <w:t>Това изявление е прието от мнозинството.</w:t>
      </w:r>
    </w:p>
    <w:p w:rsidR="00D10F80" w:rsidRDefault="00D10F80" w:rsidP="00F44003">
      <w:pPr>
        <w:pStyle w:val="OpiPara"/>
        <w:rPr>
          <w:snapToGrid w:val="0"/>
          <w:szCs w:val="24"/>
        </w:rPr>
      </w:pPr>
      <w:r>
        <w:lastRenderedPageBreak/>
        <w:t xml:space="preserve">а)  Следователно от искането на </w:t>
      </w:r>
      <w:r w:rsidR="003B5FA7">
        <w:t>П</w:t>
      </w:r>
      <w:r>
        <w:t>равителството на Кипър се подразбира, че в действителност са налице истински доказателства, че всяко от съответните лица е наистина наследник или допустим член на семейството на дадено безследно изчезнало лице.</w:t>
      </w:r>
    </w:p>
    <w:p w:rsidR="00D10F80" w:rsidRDefault="00D10F80" w:rsidP="00F44003">
      <w:pPr>
        <w:pStyle w:val="OpiPara"/>
        <w:rPr>
          <w:snapToGrid w:val="0"/>
          <w:szCs w:val="24"/>
        </w:rPr>
      </w:pPr>
      <w:r>
        <w:t xml:space="preserve">б)  В случай че това не е така, Правителството жалбоподател </w:t>
      </w:r>
      <w:r w:rsidR="003B5FA7">
        <w:t>ще трябва да</w:t>
      </w:r>
      <w:r>
        <w:t xml:space="preserve"> изиска от всяко лице, което </w:t>
      </w:r>
      <w:r w:rsidR="003B5FA7">
        <w:t>твърди това</w:t>
      </w:r>
      <w:r>
        <w:t xml:space="preserve">, да докаже, че е действителен наследник или допустим член на семейството на жертвата. Като се има предвид, че всяка от жертвите без съмнение има повече от един наследник или </w:t>
      </w:r>
      <w:r w:rsidR="00F22FB1">
        <w:t>роднина</w:t>
      </w:r>
      <w:r>
        <w:t xml:space="preserve">, колко седмици, месеци или дори години ще отнемат тези процедури? </w:t>
      </w:r>
      <w:r w:rsidR="00F22FB1">
        <w:t>Все пак в диспозитива е</w:t>
      </w:r>
      <w:r>
        <w:t xml:space="preserve"> определ</w:t>
      </w:r>
      <w:r w:rsidR="00F22FB1">
        <w:t>ен</w:t>
      </w:r>
      <w:r>
        <w:t xml:space="preserve"> срок, а именно осемнадесет месеца или друг период, който Комитет</w:t>
      </w:r>
      <w:r w:rsidR="00F22FB1">
        <w:t>ът</w:t>
      </w:r>
      <w:r>
        <w:t xml:space="preserve"> на министрите счита за уместен. Докато всяка от тези процедури е в ход, какво ще стане с огромната, вече изплатена сума, с която Правителството жалбоподател ще може свободно да </w:t>
      </w:r>
      <w:r w:rsidR="00C571F5">
        <w:t xml:space="preserve">се разпорежда, </w:t>
      </w:r>
      <w:r>
        <w:t>както счита за уместно?</w:t>
      </w:r>
    </w:p>
    <w:p w:rsidR="00D10F80" w:rsidRDefault="00D10F80" w:rsidP="00F44003">
      <w:pPr>
        <w:pStyle w:val="OpiPara"/>
        <w:rPr>
          <w:snapToGrid w:val="0"/>
          <w:szCs w:val="24"/>
        </w:rPr>
      </w:pPr>
      <w:r>
        <w:t>в)  По същ</w:t>
      </w:r>
      <w:r w:rsidR="00395365">
        <w:t>ата логика</w:t>
      </w:r>
      <w:r>
        <w:t xml:space="preserve"> </w:t>
      </w:r>
      <w:r w:rsidR="00C571F5">
        <w:t xml:space="preserve">– </w:t>
      </w:r>
      <w:r>
        <w:t xml:space="preserve">какви мерки предвижда Правителството жалбоподател за </w:t>
      </w:r>
      <w:r w:rsidR="00BE6D27">
        <w:t xml:space="preserve">справяне със </w:t>
      </w:r>
      <w:r>
        <w:t>злоупотреби или измами с жалби от страна на физически лица, които нямат родствена връзка с н</w:t>
      </w:r>
      <w:r w:rsidR="00BE6D27">
        <w:t>и</w:t>
      </w:r>
      <w:r>
        <w:t>коя от жертвите?</w:t>
      </w:r>
    </w:p>
    <w:p w:rsidR="00D10F80" w:rsidRDefault="00D10F80" w:rsidP="00F44003">
      <w:pPr>
        <w:pStyle w:val="OpiPara"/>
        <w:rPr>
          <w:snapToGrid w:val="0"/>
          <w:szCs w:val="24"/>
        </w:rPr>
      </w:pPr>
      <w:r>
        <w:t>г)  </w:t>
      </w:r>
      <w:r w:rsidR="00BE6D27">
        <w:t>Ако приемем</w:t>
      </w:r>
      <w:r>
        <w:t>, че с времето някои от лицата, които предполага</w:t>
      </w:r>
      <w:r w:rsidR="00902AAF">
        <w:t>емо</w:t>
      </w:r>
      <w:r>
        <w:t xml:space="preserve"> са живи</w:t>
      </w:r>
      <w:r w:rsidR="00902AAF">
        <w:t xml:space="preserve"> в момента</w:t>
      </w:r>
      <w:r>
        <w:t xml:space="preserve">, починат, ще върне ли Правителството жалбоподател съответната сума, платена от Турция, като се </w:t>
      </w:r>
      <w:r w:rsidR="00902AAF">
        <w:t>има предвид</w:t>
      </w:r>
      <w:r>
        <w:t xml:space="preserve">, че подобен сценарий попада в обхвата на решението по делото </w:t>
      </w:r>
      <w:r>
        <w:rPr>
          <w:i/>
          <w:snapToGrid w:val="0"/>
        </w:rPr>
        <w:t xml:space="preserve">Despina Charalambous and Others </w:t>
      </w:r>
      <w:r>
        <w:t>(цитирано по-горе)?</w:t>
      </w:r>
    </w:p>
    <w:p w:rsidR="00D10F80" w:rsidRDefault="00D10F80" w:rsidP="00F44003">
      <w:pPr>
        <w:pStyle w:val="OpiPara"/>
        <w:rPr>
          <w:snapToGrid w:val="0"/>
          <w:szCs w:val="24"/>
        </w:rPr>
      </w:pPr>
      <w:r>
        <w:t>д)  Още по-голям</w:t>
      </w:r>
      <w:r w:rsidR="00902AAF">
        <w:t>а</w:t>
      </w:r>
      <w:r>
        <w:t xml:space="preserve"> </w:t>
      </w:r>
      <w:r w:rsidR="00902AAF">
        <w:t>предпа</w:t>
      </w:r>
      <w:r w:rsidR="009147BA">
        <w:t>зливост</w:t>
      </w:r>
      <w:r>
        <w:t xml:space="preserve"> </w:t>
      </w:r>
      <w:r w:rsidR="009147BA">
        <w:t xml:space="preserve">се изисква по отношение </w:t>
      </w:r>
      <w:r>
        <w:t xml:space="preserve">на разпределението под надзора на Комитета на министрите на обезщетението за неимуществени вреди </w:t>
      </w:r>
      <w:r w:rsidR="009147BA">
        <w:t xml:space="preserve">между </w:t>
      </w:r>
      <w:r>
        <w:t>кипърски</w:t>
      </w:r>
      <w:r w:rsidR="009147BA">
        <w:t>те</w:t>
      </w:r>
      <w:r>
        <w:t xml:space="preserve"> граждани от гръцки произход </w:t>
      </w:r>
      <w:r w:rsidR="009147BA">
        <w:t>в анклава</w:t>
      </w:r>
      <w:r>
        <w:t xml:space="preserve"> на полуостров Карпас в качеството им на „по</w:t>
      </w:r>
      <w:r w:rsidR="00C02B2D">
        <w:t>търпевш</w:t>
      </w:r>
      <w:r>
        <w:t xml:space="preserve">и физически лица“. В крайна сметка </w:t>
      </w:r>
      <w:r w:rsidR="009147BA">
        <w:t>П</w:t>
      </w:r>
      <w:r>
        <w:t xml:space="preserve">равителството на Кипър в тази връзка дори не успява да представи списък или да даде някаква яснота относно броя на </w:t>
      </w:r>
      <w:r w:rsidR="009147BA">
        <w:t xml:space="preserve">засегнатите </w:t>
      </w:r>
      <w:r>
        <w:t>лица; всеки опит за извършване на оценка и всяка мярка за изпълнение е обречена на неуспех.</w:t>
      </w:r>
    </w:p>
    <w:p w:rsidR="00D10F80" w:rsidRDefault="00D10F80" w:rsidP="00F44003">
      <w:pPr>
        <w:pStyle w:val="OpiPara"/>
        <w:rPr>
          <w:snapToGrid w:val="0"/>
          <w:szCs w:val="24"/>
        </w:rPr>
      </w:pPr>
      <w:r>
        <w:t xml:space="preserve">Това са всички проблеми, които </w:t>
      </w:r>
      <w:r w:rsidR="004C7197">
        <w:t xml:space="preserve">ще </w:t>
      </w:r>
      <w:r>
        <w:t>възпрепятстват изпълнението на решението.</w:t>
      </w:r>
    </w:p>
    <w:p w:rsidR="008F5888" w:rsidRPr="00D10F80" w:rsidRDefault="00D10F80" w:rsidP="00F44003">
      <w:pPr>
        <w:pStyle w:val="OpiPara"/>
        <w:rPr>
          <w:snapToGrid w:val="0"/>
          <w:szCs w:val="24"/>
        </w:rPr>
      </w:pPr>
      <w:r>
        <w:t xml:space="preserve">В заключение, във връзка с параграф 63 от решението, се присъединявам към частично </w:t>
      </w:r>
      <w:r w:rsidR="004C7197">
        <w:t xml:space="preserve">съвпадащото </w:t>
      </w:r>
      <w:r>
        <w:t>мнение на съдиите Тулкенс, Ва</w:t>
      </w:r>
      <w:r w:rsidR="004C7197">
        <w:t>й</w:t>
      </w:r>
      <w:r>
        <w:t>ич, Раймонди и Бианку.</w:t>
      </w:r>
    </w:p>
    <w:sectPr w:rsidR="008F5888" w:rsidRPr="00D10F80" w:rsidSect="008B347C">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C1" w:rsidRDefault="00725AC1">
      <w:r>
        <w:separator/>
      </w:r>
    </w:p>
  </w:endnote>
  <w:endnote w:type="continuationSeparator" w:id="0">
    <w:p w:rsidR="00725AC1" w:rsidRDefault="0072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45" w:rsidRDefault="000759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45" w:rsidRDefault="000759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45" w:rsidRDefault="000759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C1" w:rsidRDefault="00725AC1">
      <w:r>
        <w:separator/>
      </w:r>
    </w:p>
  </w:footnote>
  <w:footnote w:type="continuationSeparator" w:id="0">
    <w:p w:rsidR="00725AC1" w:rsidRDefault="00725AC1">
      <w:r>
        <w:continuationSeparator/>
      </w:r>
    </w:p>
  </w:footnote>
  <w:footnote w:id="1">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„Наказателни обезщетения“ е предпочитаният израз в Съединените щати, Канада и континентална Европа, докато терминът „назидателни обезщетения“ се използва в други държави от Британската общност, но въпреки това и двата термина се отнасят за една и съща концепция.  Наказателните или назидателните обезщетения се разбират като установени с цел изкупуване на вината на нарушителя и предотвратяване на повторението на неправомерното деяние от извършителя или възпроизвеждането му от трети страни, без ограничаване до просто обезщетение за имуществени и неимуществени загуби, понесени от жалбоподателя, включително пропуснати ползи.</w:t>
      </w:r>
    </w:p>
  </w:footnote>
  <w:footnote w:id="2">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Според мен въпросът за правомощието на Съда да присъжда обезщетение по междудържавни дела е трябвало да бъде разгледан с приоритет пред въпроса за крайния срок на гражданския иск. Съдът първо трябва да реши дали има правомощие да разгледа жалбата и само в такъв случай да решава дали жалбата е недопустима поради давност. Юрисдикцията </w:t>
      </w:r>
      <w:r>
        <w:rPr>
          <w:rFonts w:ascii="Times New Roman" w:hAnsi="Times New Roman"/>
          <w:i/>
        </w:rPr>
        <w:t>ratione materiae</w:t>
      </w:r>
      <w:r>
        <w:rPr>
          <w:rFonts w:ascii="Times New Roman" w:hAnsi="Times New Roman"/>
        </w:rPr>
        <w:t xml:space="preserve"> трябва да бъде потвърдена преди юрисдикцията </w:t>
      </w:r>
      <w:r>
        <w:rPr>
          <w:rFonts w:ascii="Times New Roman" w:hAnsi="Times New Roman"/>
          <w:i/>
        </w:rPr>
        <w:t>ratione temporis.</w:t>
      </w:r>
      <w:r>
        <w:rPr>
          <w:rFonts w:ascii="Times New Roman" w:hAnsi="Times New Roman"/>
        </w:rPr>
        <w:t xml:space="preserve"> Това е просто въпрос на логика.</w:t>
      </w:r>
    </w:p>
  </w:footnote>
  <w:footnote w:id="3">
    <w:p w:rsidR="005543EF" w:rsidRPr="00075945" w:rsidRDefault="005543EF" w:rsidP="008F5888">
      <w:pPr>
        <w:pStyle w:val="FootnoteText"/>
      </w:pPr>
      <w:r>
        <w:rPr>
          <w:rStyle w:val="FootnoteReference"/>
          <w:vertAlign w:val="baseline"/>
        </w:rPr>
        <w:footnoteRef/>
      </w:r>
      <w:r>
        <w:t>.  </w:t>
      </w:r>
      <w:r>
        <w:rPr>
          <w:rFonts w:ascii="Times New Roman" w:hAnsi="Times New Roman"/>
        </w:rPr>
        <w:t>В действителност представителят на Турция е приел, по време на среща с представителя на Кипър и председателя на Съда, проведена на 27 октомври 1999 г., че „ако Съдът открие нарушение(я), ще е необходима отделна процедура за разглеждане на искания по чл. 41 от Конвенцията.“</w:t>
      </w:r>
    </w:p>
  </w:footnote>
  <w:footnote w:id="4">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Изявлението е в съответствие с позицията на Съда по делото </w:t>
      </w:r>
      <w:r>
        <w:rPr>
          <w:rFonts w:ascii="Times New Roman" w:hAnsi="Times New Roman"/>
          <w:i/>
        </w:rPr>
        <w:t>Ireland v. the United Kingdom</w:t>
      </w:r>
      <w:r>
        <w:rPr>
          <w:rFonts w:ascii="Times New Roman" w:hAnsi="Times New Roman"/>
        </w:rPr>
        <w:t xml:space="preserve"> за справедливо обезщетение, където е записано, че „не е необходимо да се прилага [процедурата]“. </w:t>
      </w:r>
      <w:r>
        <w:t>В този случай правителството на Ирландия не търси обезщетение за отделни лица</w:t>
      </w:r>
      <w:r>
        <w:rPr>
          <w:rFonts w:ascii="Times New Roman" w:hAnsi="Times New Roman"/>
        </w:rPr>
        <w:t xml:space="preserve"> (вж. </w:t>
      </w:r>
      <w:r>
        <w:rPr>
          <w:i/>
        </w:rPr>
        <w:t>Ireland v. the United Kingdom</w:t>
      </w:r>
      <w:r>
        <w:t>, 18 януари 1978 г., § 245, Серия A № 25</w:t>
      </w:r>
      <w:r>
        <w:rPr>
          <w:rFonts w:ascii="Times New Roman" w:hAnsi="Times New Roman"/>
        </w:rPr>
        <w:t>).</w:t>
      </w:r>
    </w:p>
  </w:footnote>
  <w:footnote w:id="5">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Вж. доклада на експертната комисия, представен на Комитета на министрите на 16 март 1950 г. по подготвителните работи (</w:t>
      </w:r>
      <w:r>
        <w:rPr>
          <w:rFonts w:ascii="Times New Roman" w:hAnsi="Times New Roman"/>
          <w:i/>
        </w:rPr>
        <w:t>Travaux Préparatoires</w:t>
      </w:r>
      <w:r>
        <w:rPr>
          <w:rFonts w:ascii="Times New Roman" w:hAnsi="Times New Roman"/>
        </w:rPr>
        <w:t xml:space="preserve">) във връзка с Европейската конвенция за правата на човека, том ІV, 1979 г., стр. 44.  </w:t>
      </w:r>
    </w:p>
  </w:footnote>
  <w:footnote w:id="6">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Член 19 (в) от Проекта за законодателна резолюция за дипломатическа закрила (2006 г.) и чл. 48 (2) (б) от проектотекстовете за </w:t>
      </w:r>
      <w:r w:rsidRPr="00FF1E21">
        <w:rPr>
          <w:rFonts w:ascii="Times New Roman" w:hAnsi="Times New Roman"/>
        </w:rPr>
        <w:t>отговорността на държавите за международни правонарушения</w:t>
      </w:r>
      <w:r>
        <w:rPr>
          <w:rFonts w:ascii="Times New Roman" w:hAnsi="Times New Roman"/>
        </w:rPr>
        <w:t xml:space="preserve"> (2001 г.), които приемат принципа, определен вече по делото </w:t>
      </w:r>
      <w:r>
        <w:rPr>
          <w:rFonts w:ascii="Times New Roman" w:hAnsi="Times New Roman"/>
          <w:i/>
        </w:rPr>
        <w:t>Mavrommatis Palestine Concessions</w:t>
      </w:r>
      <w:r>
        <w:rPr>
          <w:rFonts w:ascii="Times New Roman" w:hAnsi="Times New Roman"/>
        </w:rPr>
        <w:t xml:space="preserve"> (Постоянен съд за международно правосъдие, Серия A № 2, стр. 12), и наскоро потвърден по делото </w:t>
      </w:r>
      <w:r>
        <w:rPr>
          <w:rFonts w:ascii="Times New Roman" w:hAnsi="Times New Roman"/>
          <w:i/>
        </w:rPr>
        <w:t>Ahmadou Sadio Diallo (Republic of Guinea v. Democratic Republic of Congo), Compensation</w:t>
      </w:r>
      <w:r>
        <w:rPr>
          <w:rFonts w:ascii="Times New Roman" w:hAnsi="Times New Roman"/>
        </w:rPr>
        <w:t>, Доклади на Международния съд 2012 г., § 57).</w:t>
      </w:r>
    </w:p>
  </w:footnote>
  <w:footnote w:id="7">
    <w:p w:rsidR="005543EF" w:rsidRPr="00A20987" w:rsidRDefault="005543EF" w:rsidP="008F5888">
      <w:pPr>
        <w:pStyle w:val="FootnoteText"/>
        <w:rPr>
          <w:rFonts w:ascii="Times New Roman" w:hAnsi="Times New Roman"/>
          <w:lang w:val="en-GB"/>
        </w:rPr>
      </w:pPr>
      <w:r>
        <w:rPr>
          <w:rStyle w:val="FootnoteReference"/>
          <w:rFonts w:ascii="Times New Roman" w:hAnsi="Times New Roman"/>
          <w:vertAlign w:val="baseline"/>
        </w:rPr>
        <w:footnoteRef/>
      </w:r>
      <w:r>
        <w:t>.  </w:t>
      </w:r>
      <w:r>
        <w:rPr>
          <w:rFonts w:ascii="Times New Roman" w:hAnsi="Times New Roman"/>
          <w:i/>
        </w:rPr>
        <w:t xml:space="preserve">Denmark v. Turkey </w:t>
      </w:r>
      <w:r>
        <w:rPr>
          <w:rFonts w:ascii="Times New Roman" w:hAnsi="Times New Roman"/>
        </w:rPr>
        <w:t>(РД), № 34382/97, 8 юни 1999 г..</w:t>
      </w:r>
    </w:p>
  </w:footnote>
  <w:footnote w:id="8">
    <w:p w:rsidR="005543EF" w:rsidRPr="00A20987" w:rsidRDefault="005543EF" w:rsidP="008F5888">
      <w:pPr>
        <w:pStyle w:val="FootnoteText"/>
        <w:rPr>
          <w:rFonts w:ascii="Times New Roman" w:hAnsi="Times New Roman"/>
          <w:lang w:val="en-GB"/>
        </w:rPr>
      </w:pPr>
      <w:r>
        <w:rPr>
          <w:rStyle w:val="FootnoteReference"/>
          <w:rFonts w:ascii="Times New Roman" w:hAnsi="Times New Roman"/>
          <w:vertAlign w:val="baseline"/>
        </w:rPr>
        <w:footnoteRef/>
      </w:r>
      <w:r>
        <w:rPr>
          <w:rFonts w:ascii="Times New Roman" w:hAnsi="Times New Roman"/>
        </w:rPr>
        <w:t>.  </w:t>
      </w:r>
      <w:r>
        <w:t xml:space="preserve">Относно косвените правомощия на международните съдилища вж. отделно мое мнение по делото </w:t>
      </w:r>
      <w:r>
        <w:rPr>
          <w:rFonts w:ascii="Times New Roman" w:hAnsi="Times New Roman"/>
          <w:i/>
        </w:rPr>
        <w:t xml:space="preserve">Fabris v. France </w:t>
      </w:r>
      <w:r>
        <w:t>[ГО], № 16574/08, ЕСПЧ 2013 ч. (извадки)</w:t>
      </w:r>
      <w:r>
        <w:rPr>
          <w:rFonts w:ascii="Times New Roman" w:hAnsi="Times New Roman"/>
        </w:rPr>
        <w:t xml:space="preserve">. </w:t>
      </w:r>
    </w:p>
  </w:footnote>
  <w:footnote w:id="9">
    <w:p w:rsidR="005543EF" w:rsidRPr="00A20987" w:rsidRDefault="005543EF" w:rsidP="008F5888">
      <w:pPr>
        <w:pStyle w:val="FootnoteText"/>
        <w:rPr>
          <w:rFonts w:ascii="Times New Roman" w:hAnsi="Times New Roman"/>
          <w:lang w:val="en-GB"/>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Certain Phosphate lands in Nauru</w:t>
      </w:r>
      <w:r>
        <w:rPr>
          <w:rFonts w:ascii="Times New Roman" w:hAnsi="Times New Roman"/>
        </w:rPr>
        <w:t xml:space="preserve">, Доклади на Съда 1992 г., параграфи 32 и 36. </w:t>
      </w:r>
    </w:p>
  </w:footnote>
  <w:footnote w:id="10">
    <w:p w:rsidR="005543EF" w:rsidRPr="00864AA3" w:rsidRDefault="005543EF" w:rsidP="008F5888">
      <w:pPr>
        <w:pStyle w:val="FootnoteText"/>
      </w:pPr>
      <w:r>
        <w:rPr>
          <w:rStyle w:val="FootnoteReference"/>
          <w:rFonts w:ascii="Times New Roman" w:hAnsi="Times New Roman"/>
          <w:vertAlign w:val="baseline"/>
        </w:rPr>
        <w:footnoteRef/>
      </w:r>
      <w:r>
        <w:rPr>
          <w:rFonts w:ascii="Times New Roman" w:hAnsi="Times New Roman"/>
        </w:rPr>
        <w:t>.  </w:t>
      </w:r>
      <w:r>
        <w:t xml:space="preserve">По същата причина делото </w:t>
      </w:r>
      <w:r>
        <w:rPr>
          <w:rFonts w:ascii="Times New Roman" w:hAnsi="Times New Roman"/>
          <w:i/>
        </w:rPr>
        <w:t xml:space="preserve">Varnava and Others v. Turkey </w:t>
      </w:r>
      <w:r>
        <w:rPr>
          <w:rFonts w:ascii="Times New Roman" w:hAnsi="Times New Roman"/>
        </w:rPr>
        <w:t xml:space="preserve">([ГО], номера 16064/90, 16065/90, 16066/90, 16068/90, 16069/90, 16070/90, 16071/90, 16072/90 и 16073/90, ЕСПЧ 2009 г.) е неприложимо в настоящия случай. </w:t>
      </w:r>
      <w:r>
        <w:rPr>
          <w:rFonts w:ascii="Times New Roman" w:hAnsi="Times New Roman"/>
          <w:i/>
        </w:rPr>
        <w:t>Varnava</w:t>
      </w:r>
      <w:r>
        <w:rPr>
          <w:rFonts w:ascii="Times New Roman" w:hAnsi="Times New Roman"/>
        </w:rPr>
        <w:t xml:space="preserve"> не се прилага при закъснение за подаване на искания за справедливо обезщетение, след като делото е било решено по същество. Освен това в настоящото дело държавата жалбоподател не е отправила искане по отношение на деветимата жалбоподатели, на които е присъдено обезщетение за неимуществени вреди по делото </w:t>
      </w:r>
      <w:r>
        <w:rPr>
          <w:rFonts w:ascii="Times New Roman" w:hAnsi="Times New Roman"/>
          <w:i/>
        </w:rPr>
        <w:t>Varnava</w:t>
      </w:r>
      <w:r>
        <w:rPr>
          <w:rFonts w:ascii="Times New Roman" w:hAnsi="Times New Roman"/>
        </w:rPr>
        <w:t>.</w:t>
      </w:r>
    </w:p>
  </w:footnote>
  <w:footnote w:id="11">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Освен това Организацията на обединените нации е определила международен стандарт, съгласно който граждански искове във връзка с принудителни изчезвания не подлежат на давностен срок (общ коментар по чл. 19 от Декларацията на ООН за защитата на всички лица от насилствено изчезване).</w:t>
      </w:r>
    </w:p>
  </w:footnote>
  <w:footnote w:id="12">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Искът е бил повдигнат, но не и решен преди обявяването независимостта на Науру през 1968 г. Също така е от значение, че през 1983 г. президентът на Науру пише до министър-председателя на Австралия с искане за преразглеждане на въпроса, като преди това го е повдигнал по два случая пред компетентните органи на Австралия.</w:t>
      </w:r>
    </w:p>
  </w:footnote>
  <w:footnote w:id="13">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Вж. писмото от правителството на Кипър до Съда от 31 август 2007 г. Писмото прекъсва изтичането на време от страна на жалбоподателя, както в случая с изявленията на президента на Науру.</w:t>
      </w:r>
    </w:p>
  </w:footnote>
  <w:footnote w:id="14">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Вж. писмото от правителството на Кипър от 25 февруари 2010 г.</w:t>
      </w:r>
    </w:p>
  </w:footnote>
  <w:footnote w:id="15">
    <w:p w:rsidR="005543EF" w:rsidRPr="00075945" w:rsidRDefault="005543EF" w:rsidP="008F5888">
      <w:pPr>
        <w:pStyle w:val="FootnoteText"/>
      </w:pPr>
      <w:r>
        <w:rPr>
          <w:rStyle w:val="FootnoteReference"/>
          <w:vertAlign w:val="baseline"/>
        </w:rPr>
        <w:footnoteRef/>
      </w:r>
      <w:r>
        <w:t xml:space="preserve">.  Делото </w:t>
      </w:r>
      <w:r>
        <w:rPr>
          <w:rFonts w:ascii="Times New Roman" w:hAnsi="Times New Roman"/>
          <w:i/>
        </w:rPr>
        <w:t>Nauru</w:t>
      </w:r>
      <w:r>
        <w:t xml:space="preserve"> не е единственият прецедент.</w:t>
      </w:r>
      <w:r>
        <w:rPr>
          <w:rFonts w:ascii="Times New Roman" w:hAnsi="Times New Roman"/>
        </w:rPr>
        <w:t xml:space="preserve"> По делото </w:t>
      </w:r>
      <w:r>
        <w:rPr>
          <w:rFonts w:ascii="Times New Roman" w:hAnsi="Times New Roman"/>
          <w:i/>
        </w:rPr>
        <w:t>LaGrand</w:t>
      </w:r>
      <w:r>
        <w:rPr>
          <w:rFonts w:ascii="Times New Roman" w:hAnsi="Times New Roman"/>
        </w:rPr>
        <w:t>, служителите на консулството на Германия се запознават със случаите LaGrand през 1992 г., но правителството на Германия не изразява заинтересованост или възражение срещу властите на Съединените щати в продължение на шест и половина години. Съединените щати възразяват, че закъснелите действия не са допустими. Международният съд обаче приема жалбата  (</w:t>
      </w:r>
      <w:r>
        <w:rPr>
          <w:rFonts w:ascii="Times New Roman" w:hAnsi="Times New Roman"/>
          <w:i/>
        </w:rPr>
        <w:t xml:space="preserve">LaGrand (Германия срещу Съединени Американски Щати), Решение, </w:t>
      </w:r>
      <w:r>
        <w:rPr>
          <w:rFonts w:ascii="Times New Roman" w:hAnsi="Times New Roman"/>
        </w:rPr>
        <w:t xml:space="preserve">Доклади на Съда 2001 г., параграфи 53 и 57). По арбитражното дело </w:t>
      </w:r>
      <w:r>
        <w:rPr>
          <w:rFonts w:ascii="Times New Roman" w:hAnsi="Times New Roman"/>
          <w:i/>
        </w:rPr>
        <w:t xml:space="preserve">Tagliaferro, </w:t>
      </w:r>
      <w:r>
        <w:rPr>
          <w:rFonts w:ascii="Times New Roman" w:hAnsi="Times New Roman"/>
        </w:rPr>
        <w:t>арбитър Ralston</w:t>
      </w:r>
      <w:r>
        <w:rPr>
          <w:rFonts w:ascii="Times New Roman" w:hAnsi="Times New Roman"/>
          <w:i/>
        </w:rPr>
        <w:t xml:space="preserve"> </w:t>
      </w:r>
      <w:r>
        <w:rPr>
          <w:rFonts w:ascii="Times New Roman" w:hAnsi="Times New Roman"/>
        </w:rPr>
        <w:t xml:space="preserve">заявява, че въпреки забавянето от тридесет и една години, жалбата е допустима, тъй като за нея е съобщено веднага след настъпването на вредата (Доклади на ООН от арбитражни съдебни решения (UNRIAA), том X, стр. 592). Вж. също подобно решение на арбитър Plumley по делото </w:t>
      </w:r>
      <w:r>
        <w:rPr>
          <w:rFonts w:ascii="Times New Roman" w:hAnsi="Times New Roman"/>
          <w:i/>
        </w:rPr>
        <w:t>Stevenson</w:t>
      </w:r>
      <w:r>
        <w:rPr>
          <w:rFonts w:ascii="Times New Roman" w:hAnsi="Times New Roman"/>
        </w:rPr>
        <w:t xml:space="preserve"> (UNRIAA, том IX, стр. 385). В случай че Международният съд счита, че жалбите по делата </w:t>
      </w:r>
      <w:r>
        <w:rPr>
          <w:rFonts w:ascii="Times New Roman" w:hAnsi="Times New Roman"/>
          <w:i/>
        </w:rPr>
        <w:t>Nauru</w:t>
      </w:r>
      <w:r>
        <w:rPr>
          <w:rFonts w:ascii="Times New Roman" w:hAnsi="Times New Roman"/>
        </w:rPr>
        <w:t xml:space="preserve"> и </w:t>
      </w:r>
      <w:r>
        <w:rPr>
          <w:rFonts w:ascii="Times New Roman" w:hAnsi="Times New Roman"/>
          <w:i/>
        </w:rPr>
        <w:t xml:space="preserve">LaGrand </w:t>
      </w:r>
      <w:r>
        <w:rPr>
          <w:rFonts w:ascii="Times New Roman" w:hAnsi="Times New Roman"/>
        </w:rPr>
        <w:t>са допустими, то в случая на</w:t>
      </w:r>
      <w:r>
        <w:rPr>
          <w:rFonts w:ascii="Times New Roman" w:hAnsi="Times New Roman"/>
          <w:i/>
        </w:rPr>
        <w:t xml:space="preserve"> Кипър срещу Турция </w:t>
      </w:r>
      <w:r>
        <w:rPr>
          <w:rFonts w:ascii="Times New Roman" w:hAnsi="Times New Roman"/>
        </w:rPr>
        <w:t>жалбата</w:t>
      </w:r>
      <w:r>
        <w:rPr>
          <w:rFonts w:ascii="Times New Roman" w:hAnsi="Times New Roman"/>
          <w:i/>
        </w:rPr>
        <w:t xml:space="preserve"> </w:t>
      </w:r>
      <w:r>
        <w:rPr>
          <w:rFonts w:ascii="Times New Roman" w:hAnsi="Times New Roman"/>
        </w:rPr>
        <w:t>е още по-допустима. Цитираните арбитражни дела затвърждават това заключение.</w:t>
      </w:r>
    </w:p>
  </w:footnote>
  <w:footnote w:id="16">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 xml:space="preserve">Demopoulos v. Turkey </w:t>
      </w:r>
      <w:r>
        <w:rPr>
          <w:rFonts w:ascii="Times New Roman" w:hAnsi="Times New Roman"/>
        </w:rPr>
        <w:t>(РД) [ГО], номера 46113/99, 3843/02, 13751/02, 13466/03, 10200/04, 14163/04, 19993/04 и 21819/04, ЕСПЧ 2010 г. Резолюциите на Комитета на министрите от 7 юни 2005 г. и 4 април 2007 г. не водят до положително развитие. Въпросът ще бъде разгледан по-нататък в настоящото мнение.</w:t>
      </w:r>
    </w:p>
  </w:footnote>
  <w:footnote w:id="17">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Държавата ответник се позовава на </w:t>
      </w:r>
      <w:r>
        <w:rPr>
          <w:rFonts w:ascii="Times New Roman" w:hAnsi="Times New Roman"/>
          <w:i/>
        </w:rPr>
        <w:t>Brecknell v. the United Kingdom</w:t>
      </w:r>
      <w:r>
        <w:rPr>
          <w:rFonts w:ascii="Times New Roman" w:hAnsi="Times New Roman"/>
        </w:rPr>
        <w:t>, № 32457/04, 27 ноември 2007 г. Тази съдебна практика не може да бъде приложена към твърде различното положение на жителите на Карпас. Освен това извънредната продължителност на процедурата, предложена от държавата ответник, едва ли би осигурила ефективна защита на правата на човека на семействата на безследно изчезналите лица. Подобно изискване би довело до ситуация, която е несъвместима със самата цел на Конвенцията.</w:t>
      </w:r>
    </w:p>
  </w:footnote>
  <w:footnote w:id="18">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Човек не може да твърди нещо веднъж, а после да се отрече от него. Това е принципът на добросъвестност (чл. 26 от Виенската конвенция за правото на договорите).</w:t>
      </w:r>
    </w:p>
  </w:footnote>
  <w:footnote w:id="19">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Член 45 от проектотекстовете за отговорността на държавите за международни правонарушения. </w:t>
      </w:r>
    </w:p>
  </w:footnote>
  <w:footnote w:id="20">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Demopoulos</w:t>
      </w:r>
      <w:r>
        <w:rPr>
          <w:rFonts w:ascii="Times New Roman" w:hAnsi="Times New Roman"/>
        </w:rPr>
        <w:t xml:space="preserve">, цитирано по-горе, § 127. </w:t>
      </w:r>
    </w:p>
  </w:footnote>
  <w:footnote w:id="21">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 xml:space="preserve">De Wilde, Ooms and Versyp v. Belgium </w:t>
      </w:r>
      <w:r>
        <w:rPr>
          <w:rFonts w:ascii="Times New Roman" w:hAnsi="Times New Roman"/>
        </w:rPr>
        <w:t>(член 50), 10 март 1972 г., § 16, Серия A № 14. Така аргументът на държавата ответник, че дипломатическата закрила от страна на държавата жалбоподател изисква изчерпване на вътрешноправните средства за защита от отделните лица, не се прилага при исканията за обезщетение.</w:t>
      </w:r>
    </w:p>
  </w:footnote>
  <w:footnote w:id="22">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Броят е определен въз основа на списъка с 1 493 имена, публикуван в Държавен вестник на Кипър на 10 юли 2000 г., като от тях се изваждат 28 лица, които са идентифицирани след 2000 г. като кипърски граждани от гръцки произход, които са ексхумирани на територия, контролирана от Правителството на Кипър, и 9 безследно изчезнали лица, чиито случаи са разгледани по делото </w:t>
      </w:r>
      <w:r>
        <w:rPr>
          <w:rFonts w:ascii="Times New Roman" w:hAnsi="Times New Roman"/>
          <w:i/>
        </w:rPr>
        <w:t>Varnava and Others</w:t>
      </w:r>
      <w:r>
        <w:rPr>
          <w:rFonts w:ascii="Times New Roman" w:hAnsi="Times New Roman"/>
        </w:rPr>
        <w:t xml:space="preserve"> (цитирано по-горе). Броят на лицата преди това е бил изпратен до Комисията на 7 юли 1998 г. и до Съда на 30 март 2000 г. Тристранният Комитет за безследно изчезналите лица (кипърски гражданин от гръцки произход, кипърски гражданин от турски произход и член на Международния комитет на Червения кръст, определен от Генералния секретар на ООН), също приема списъка с 1 493 безследно изчезнали лица. Голямата камара не приема изрично тази цифра, която не е описана нито в параграф 58 от решението в частта с преценката на Съда, нито в диспозитива. Параграф 47 от решението в частта му за допустимост просто се отнася до изявленията на държавата жалбоподател, без това да бъде потвърдено от Съда.</w:t>
      </w:r>
    </w:p>
  </w:footnote>
  <w:footnote w:id="23">
    <w:p w:rsidR="005543EF" w:rsidRPr="00075945" w:rsidRDefault="005543EF" w:rsidP="008F5888">
      <w:pPr>
        <w:pStyle w:val="FootnoteText"/>
      </w:pPr>
      <w:r>
        <w:rPr>
          <w:rStyle w:val="FootnoteReference"/>
          <w:rFonts w:ascii="Times New Roman" w:hAnsi="Times New Roman"/>
          <w:vertAlign w:val="baseline"/>
        </w:rPr>
        <w:footnoteRef/>
      </w:r>
      <w:r>
        <w:rPr>
          <w:rFonts w:ascii="Times New Roman" w:hAnsi="Times New Roman"/>
        </w:rPr>
        <w:t>. </w:t>
      </w:r>
      <w:r>
        <w:t> </w:t>
      </w:r>
      <w:r>
        <w:rPr>
          <w:rFonts w:ascii="Times New Roman" w:hAnsi="Times New Roman"/>
        </w:rPr>
        <w:t>За тази цел държавата жалбоподател се позовава на доклада на Генералния секретар на ООН относно броя на кипърските граждани от гръцки и маронитски произход в анклава в окупираните територии, който е представен на Комисията за първи път на 1 юни 1998 г. Докладът гласи, че през август 1974 г. 20 000 кипърски граждани от гръцки произход са живели в окупирания регион. Съдът не потвърждава тази бройка, нито която и да е друга.</w:t>
      </w:r>
    </w:p>
  </w:footnote>
  <w:footnote w:id="24">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Правителството ответник е напълно наясно с вероятния резултат, който то определя като „спекулативен“ (вж. параграф 84 от становището на Правителството от 26 октомври 2012 г.)</w:t>
      </w:r>
    </w:p>
  </w:footnote>
  <w:footnote w:id="25">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Varnava and Others</w:t>
      </w:r>
      <w:r>
        <w:rPr>
          <w:rFonts w:ascii="Times New Roman" w:hAnsi="Times New Roman"/>
        </w:rPr>
        <w:t xml:space="preserve">, цитирано по-горе, § 170, и </w:t>
      </w:r>
      <w:r>
        <w:rPr>
          <w:rFonts w:ascii="Times New Roman" w:hAnsi="Times New Roman"/>
          <w:i/>
        </w:rPr>
        <w:t xml:space="preserve">Costas &amp; Thomas Orphanou v. Turkey </w:t>
      </w:r>
      <w:r>
        <w:rPr>
          <w:rFonts w:ascii="Times New Roman" w:hAnsi="Times New Roman"/>
        </w:rPr>
        <w:t>(РД), № </w:t>
      </w:r>
      <w:r>
        <w:rPr>
          <w:rStyle w:val="textcolumn"/>
          <w:rFonts w:ascii="Times New Roman" w:hAnsi="Times New Roman"/>
        </w:rPr>
        <w:t xml:space="preserve">43422/04, 1 декември 2009 г. Съгласно делото </w:t>
      </w:r>
      <w:r>
        <w:rPr>
          <w:rStyle w:val="textcolumn"/>
          <w:rFonts w:ascii="Times New Roman" w:hAnsi="Times New Roman"/>
          <w:i/>
        </w:rPr>
        <w:t>Varnava</w:t>
      </w:r>
      <w:r>
        <w:rPr>
          <w:rStyle w:val="textcolumn"/>
          <w:rFonts w:ascii="Times New Roman" w:hAnsi="Times New Roman"/>
        </w:rPr>
        <w:t xml:space="preserve"> не би било възможно подаването на индивидуални жалби след края 1990 г. във връзка със задължението по процесуалния аспект на чл. 2 от Конвенцията. Правителството на Кипър изрично признава, че предвид „преформулираните наскоро крайни срокове“ по делото </w:t>
      </w:r>
      <w:r>
        <w:rPr>
          <w:rStyle w:val="textcolumn"/>
          <w:rFonts w:ascii="Times New Roman" w:hAnsi="Times New Roman"/>
          <w:i/>
        </w:rPr>
        <w:t>Varnava</w:t>
      </w:r>
      <w:r>
        <w:rPr>
          <w:rStyle w:val="textcolumn"/>
          <w:rFonts w:ascii="Times New Roman" w:hAnsi="Times New Roman"/>
        </w:rPr>
        <w:t>, междудържавната жалба трябва да бъде подадена, за да не се изгубят правата по чл. 41. Тъй като междудържавното искане за обезщетение е въз основа на дело, решено вече по същество, правилото за шестте месеца не се прилага (вж. бележка под линия 10 по-горе).</w:t>
      </w:r>
    </w:p>
  </w:footnote>
  <w:footnote w:id="26">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Вж. мнението ми по делото </w:t>
      </w:r>
      <w:r>
        <w:rPr>
          <w:rFonts w:ascii="Times New Roman" w:hAnsi="Times New Roman"/>
          <w:i/>
        </w:rPr>
        <w:t xml:space="preserve">Trévalec v. Belgium </w:t>
      </w:r>
      <w:r>
        <w:rPr>
          <w:rFonts w:ascii="Times New Roman" w:hAnsi="Times New Roman"/>
        </w:rPr>
        <w:t>(справедливо обезщетение), № 30812/07, 25 юни 2013 г. Както отбелязвам там, параграф 9 от Практическите указания на Съда от 28 март 2007 г. вече не е актуален.</w:t>
      </w:r>
    </w:p>
  </w:footnote>
  <w:footnote w:id="27">
    <w:p w:rsidR="005543EF" w:rsidRPr="00A672A3"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Chember v. Russia</w:t>
      </w:r>
      <w:r>
        <w:rPr>
          <w:rFonts w:ascii="Times New Roman" w:hAnsi="Times New Roman"/>
        </w:rPr>
        <w:t xml:space="preserve">, № 7188/03, § 77, 3 юли 2008 г. (10,000 евро); </w:t>
      </w:r>
      <w:r>
        <w:rPr>
          <w:rFonts w:ascii="Times New Roman" w:hAnsi="Times New Roman"/>
          <w:i/>
        </w:rPr>
        <w:t>X. v. Croatia</w:t>
      </w:r>
      <w:r>
        <w:rPr>
          <w:rFonts w:ascii="Times New Roman" w:hAnsi="Times New Roman"/>
        </w:rPr>
        <w:t xml:space="preserve">, № 11223/04, § 63, 17 юли 2008 г. (8,000 евро); </w:t>
      </w:r>
      <w:r>
        <w:rPr>
          <w:rFonts w:ascii="Times New Roman" w:hAnsi="Times New Roman"/>
          <w:i/>
        </w:rPr>
        <w:t>Igor Ivanov v. Russia</w:t>
      </w:r>
      <w:r>
        <w:rPr>
          <w:rFonts w:ascii="Times New Roman" w:hAnsi="Times New Roman"/>
        </w:rPr>
        <w:t xml:space="preserve">, № 34000/02, § 50, 7 юни 2007 г. (5,000 евро); </w:t>
      </w:r>
      <w:r>
        <w:rPr>
          <w:rFonts w:ascii="Times New Roman" w:hAnsi="Times New Roman"/>
          <w:i/>
        </w:rPr>
        <w:t>Mayzit v. Russia</w:t>
      </w:r>
      <w:r>
        <w:rPr>
          <w:rFonts w:ascii="Times New Roman" w:hAnsi="Times New Roman"/>
        </w:rPr>
        <w:t xml:space="preserve">, № 63378/00, §§ 87-88, 20 януари 2005 г. (3,000 евро); и </w:t>
      </w:r>
      <w:r>
        <w:rPr>
          <w:rFonts w:ascii="Times New Roman" w:hAnsi="Times New Roman"/>
          <w:i/>
        </w:rPr>
        <w:t>Nazarenko v. Ukraine</w:t>
      </w:r>
      <w:r>
        <w:rPr>
          <w:rFonts w:ascii="Times New Roman" w:hAnsi="Times New Roman"/>
        </w:rPr>
        <w:t>, № 39483/98, § 172, 29 април 2003 г. (2,000 евро).</w:t>
      </w:r>
    </w:p>
  </w:footnote>
  <w:footnote w:id="28">
    <w:p w:rsidR="005543EF" w:rsidRPr="00A672A3"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Bursuc v. Romania</w:t>
      </w:r>
      <w:r>
        <w:rPr>
          <w:rFonts w:ascii="Times New Roman" w:hAnsi="Times New Roman"/>
        </w:rPr>
        <w:t>, № 42066/98, § 124, 12 октомври 2004 г. (10,000 евро).</w:t>
      </w:r>
    </w:p>
  </w:footnote>
  <w:footnote w:id="29">
    <w:p w:rsidR="005543EF" w:rsidRPr="00A672A3"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Gorodnitchev v. Russia</w:t>
      </w:r>
      <w:r>
        <w:rPr>
          <w:rFonts w:ascii="Times New Roman" w:hAnsi="Times New Roman"/>
        </w:rPr>
        <w:t>, № 52058/99, § 143, 24 май 2007 г. (10,000 евро).</w:t>
      </w:r>
    </w:p>
  </w:footnote>
  <w:footnote w:id="30">
    <w:p w:rsidR="005543EF" w:rsidRPr="00A672A3"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Rusu v. Austria</w:t>
      </w:r>
      <w:r>
        <w:rPr>
          <w:rFonts w:ascii="Times New Roman" w:hAnsi="Times New Roman"/>
        </w:rPr>
        <w:t xml:space="preserve">, № 34082/02, § 62, 2 октомври 2008 г. (3,000 евро); </w:t>
      </w:r>
      <w:r>
        <w:rPr>
          <w:rFonts w:ascii="Times New Roman" w:hAnsi="Times New Roman"/>
          <w:i/>
        </w:rPr>
        <w:t>Crabtree v. the Czech Republic</w:t>
      </w:r>
      <w:r>
        <w:rPr>
          <w:rFonts w:ascii="Times New Roman" w:hAnsi="Times New Roman"/>
        </w:rPr>
        <w:t xml:space="preserve">, № 41116/04, § 60, 25 февруари 2010 г. (2,000 евро); и </w:t>
      </w:r>
      <w:r>
        <w:rPr>
          <w:rFonts w:ascii="Times New Roman" w:hAnsi="Times New Roman"/>
          <w:i/>
        </w:rPr>
        <w:t>Khudyakova v. Russia</w:t>
      </w:r>
      <w:r>
        <w:rPr>
          <w:rFonts w:ascii="Times New Roman" w:hAnsi="Times New Roman"/>
        </w:rPr>
        <w:t>, № 13476/04, § 107, 8 януари 2009 г. (5,000 евро).</w:t>
      </w:r>
    </w:p>
  </w:footnote>
  <w:footnote w:id="31">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Например </w:t>
      </w:r>
      <w:r>
        <w:rPr>
          <w:rFonts w:ascii="Times New Roman" w:hAnsi="Times New Roman"/>
          <w:i/>
        </w:rPr>
        <w:t>Celik and Yildiz v. Turkey</w:t>
      </w:r>
      <w:r>
        <w:rPr>
          <w:rFonts w:ascii="Times New Roman" w:hAnsi="Times New Roman"/>
        </w:rPr>
        <w:t xml:space="preserve">, № 51479/99, §§ 30-31, 10 ноември 2005 г., и </w:t>
      </w:r>
      <w:r>
        <w:rPr>
          <w:rFonts w:ascii="Times New Roman" w:hAnsi="Times New Roman"/>
          <w:i/>
        </w:rPr>
        <w:t>Davtian v. Georgia</w:t>
      </w:r>
      <w:r>
        <w:rPr>
          <w:rFonts w:ascii="Times New Roman" w:hAnsi="Times New Roman"/>
        </w:rPr>
        <w:t>, № 73241/01, § 70, 27 юли 2006 г.</w:t>
      </w:r>
    </w:p>
  </w:footnote>
  <w:footnote w:id="32">
    <w:p w:rsidR="005543EF" w:rsidRPr="00075945" w:rsidRDefault="005543EF" w:rsidP="008F5888">
      <w:pPr>
        <w:pStyle w:val="FootnoteText"/>
        <w:rPr>
          <w:rFonts w:ascii="Times New Roman" w:hAnsi="Times New Roman"/>
        </w:rPr>
      </w:pPr>
      <w:r>
        <w:rPr>
          <w:rStyle w:val="FootnoteReference"/>
          <w:vertAlign w:val="baseline"/>
        </w:rPr>
        <w:footnoteRef/>
      </w:r>
      <w:r>
        <w:t>.  </w:t>
      </w:r>
      <w:r>
        <w:rPr>
          <w:rFonts w:ascii="Times New Roman" w:hAnsi="Times New Roman"/>
        </w:rPr>
        <w:t xml:space="preserve">Например </w:t>
      </w:r>
      <w:r>
        <w:rPr>
          <w:rFonts w:ascii="Times New Roman" w:hAnsi="Times New Roman"/>
          <w:i/>
        </w:rPr>
        <w:t>Stradovnik v. Slovenia</w:t>
      </w:r>
      <w:r>
        <w:rPr>
          <w:rFonts w:ascii="Times New Roman" w:hAnsi="Times New Roman"/>
        </w:rPr>
        <w:t>, № 24784/02, §§ 23-25, 13 април 2006 г., по което Съдът присъжда 6,400 евро за прекалено дългото производство, в което жалбоподателят иска 5,000 евро.</w:t>
      </w:r>
    </w:p>
  </w:footnote>
  <w:footnote w:id="33">
    <w:p w:rsidR="005543EF" w:rsidRPr="00075945" w:rsidRDefault="005543EF" w:rsidP="008F5888">
      <w:pPr>
        <w:pStyle w:val="FootnoteText"/>
        <w:rPr>
          <w:rFonts w:ascii="Times New Roman" w:hAnsi="Times New Roman"/>
        </w:rPr>
      </w:pPr>
      <w:r>
        <w:rPr>
          <w:rStyle w:val="FootnoteReference"/>
          <w:vertAlign w:val="baseline"/>
        </w:rPr>
        <w:footnoteRef/>
      </w:r>
      <w:r>
        <w:t>.  </w:t>
      </w:r>
      <w:r>
        <w:rPr>
          <w:rFonts w:ascii="Times New Roman" w:hAnsi="Times New Roman"/>
        </w:rPr>
        <w:t xml:space="preserve">Например </w:t>
      </w:r>
      <w:r>
        <w:rPr>
          <w:rFonts w:ascii="Times New Roman" w:hAnsi="Times New Roman"/>
          <w:i/>
        </w:rPr>
        <w:t xml:space="preserve">Engel and Others v. the Netherlands </w:t>
      </w:r>
      <w:r>
        <w:rPr>
          <w:rFonts w:ascii="Times New Roman" w:hAnsi="Times New Roman"/>
        </w:rPr>
        <w:t xml:space="preserve">(член 50), 23 ноември 1976 г., § 10, Серия A № 22 (100 холандски гулдена), и </w:t>
      </w:r>
      <w:r>
        <w:rPr>
          <w:rFonts w:ascii="Times New Roman" w:hAnsi="Times New Roman"/>
          <w:i/>
        </w:rPr>
        <w:t>Vaney v. France</w:t>
      </w:r>
      <w:r>
        <w:rPr>
          <w:rFonts w:ascii="Times New Roman" w:hAnsi="Times New Roman"/>
        </w:rPr>
        <w:t>, № 53946/00, § 57, 30 ноември 2004 (едно евро).</w:t>
      </w:r>
    </w:p>
  </w:footnote>
  <w:footnote w:id="34">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Например в </w:t>
      </w:r>
      <w:r>
        <w:rPr>
          <w:rFonts w:ascii="Times New Roman" w:hAnsi="Times New Roman"/>
          <w:i/>
        </w:rPr>
        <w:t>S.L. v. Austria</w:t>
      </w:r>
      <w:r>
        <w:rPr>
          <w:rFonts w:ascii="Times New Roman" w:hAnsi="Times New Roman"/>
        </w:rPr>
        <w:t>, № 45330/99, § 52, ЕСПЧ 2003</w:t>
      </w:r>
      <w:r>
        <w:noBreakHyphen/>
      </w:r>
      <w:r>
        <w:rPr>
          <w:rFonts w:ascii="Times New Roman" w:hAnsi="Times New Roman"/>
        </w:rPr>
        <w:t>I (извадки) Съдът присъжда обезщетение за неимуществени вреди, въпреки че оспорваната разпоредба от Наказателния кодекс на Австрия вече е отменена и следователно жалбоподателят „е постигнал частично целта на жалбата си“.</w:t>
      </w:r>
    </w:p>
  </w:footnote>
  <w:footnote w:id="35">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Например </w:t>
      </w:r>
      <w:r>
        <w:rPr>
          <w:rFonts w:ascii="Times New Roman" w:hAnsi="Times New Roman"/>
          <w:i/>
        </w:rPr>
        <w:t>Mokrani v. France</w:t>
      </w:r>
      <w:r>
        <w:rPr>
          <w:rFonts w:ascii="Times New Roman" w:hAnsi="Times New Roman"/>
        </w:rPr>
        <w:t xml:space="preserve">, № 52206/99, § 43, 15 юли 2003 г., и </w:t>
      </w:r>
      <w:r>
        <w:rPr>
          <w:rFonts w:ascii="Times New Roman" w:hAnsi="Times New Roman"/>
          <w:i/>
        </w:rPr>
        <w:t>Gürbüz v. Turkey</w:t>
      </w:r>
      <w:r>
        <w:rPr>
          <w:rFonts w:ascii="Times New Roman" w:hAnsi="Times New Roman"/>
        </w:rPr>
        <w:t>, № </w:t>
      </w:r>
      <w:r>
        <w:rPr>
          <w:rStyle w:val="column01"/>
          <w:rFonts w:ascii="Times New Roman" w:hAnsi="Times New Roman"/>
        </w:rPr>
        <w:t>26050/04, § 75, 10 ноември 2005 г. (вж. критичното мнение на съдиите Кафлиш (Caflisch) и Тюрмен (Türmen).</w:t>
      </w:r>
    </w:p>
  </w:footnote>
  <w:footnote w:id="36">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Fonts w:ascii="Times New Roman" w:hAnsi="Times New Roman"/>
          <w:i/>
        </w:rPr>
        <w:t xml:space="preserve">Sporrong and Lönnroth v. Sweden </w:t>
      </w:r>
      <w:r>
        <w:rPr>
          <w:rFonts w:ascii="Times New Roman" w:hAnsi="Times New Roman"/>
        </w:rPr>
        <w:t xml:space="preserve">(член 50), 18 декември 1984 г., § 25, Серия A № 88; </w:t>
      </w:r>
      <w:r>
        <w:rPr>
          <w:rFonts w:ascii="Times New Roman" w:hAnsi="Times New Roman"/>
          <w:i/>
        </w:rPr>
        <w:t xml:space="preserve">Bönisch v. Austria </w:t>
      </w:r>
      <w:r>
        <w:rPr>
          <w:rFonts w:ascii="Times New Roman" w:hAnsi="Times New Roman"/>
        </w:rPr>
        <w:t xml:space="preserve">(член 50), 2 юни 1986 г., § 11, Серия A № 103; и </w:t>
      </w:r>
      <w:r>
        <w:rPr>
          <w:rFonts w:ascii="Times New Roman" w:hAnsi="Times New Roman"/>
          <w:i/>
        </w:rPr>
        <w:t>Sara Lind Eggertsdóttir v. Iceland</w:t>
      </w:r>
      <w:r>
        <w:rPr>
          <w:rFonts w:ascii="Times New Roman" w:hAnsi="Times New Roman"/>
        </w:rPr>
        <w:t>, № 31930/04, § 59, 5 юли 2007 г.</w:t>
      </w:r>
    </w:p>
  </w:footnote>
  <w:footnote w:id="37">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Например </w:t>
      </w:r>
      <w:r>
        <w:rPr>
          <w:rFonts w:ascii="Times New Roman" w:hAnsi="Times New Roman"/>
          <w:i/>
        </w:rPr>
        <w:t xml:space="preserve">Barberà, Messegué and Jabardo v. Spain </w:t>
      </w:r>
      <w:r>
        <w:rPr>
          <w:rFonts w:ascii="Times New Roman" w:hAnsi="Times New Roman"/>
        </w:rPr>
        <w:t xml:space="preserve">(член 50), </w:t>
      </w:r>
      <w:r>
        <w:t>13 юни 1994 г., §§ 18-20, Серия A № 285</w:t>
      </w:r>
      <w:r>
        <w:noBreakHyphen/>
        <w:t>C</w:t>
      </w:r>
      <w:r>
        <w:rPr>
          <w:rFonts w:ascii="Times New Roman" w:hAnsi="Times New Roman"/>
        </w:rPr>
        <w:t>, въпреки факта, че решенията на съдилищата в Испания, постановени след основното решение, вече са присъдили обезщетение на жалбоподателя за неимуществени вреди.</w:t>
      </w:r>
    </w:p>
  </w:footnote>
  <w:footnote w:id="38">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Например </w:t>
      </w:r>
      <w:r>
        <w:rPr>
          <w:rFonts w:ascii="Times New Roman" w:hAnsi="Times New Roman"/>
          <w:i/>
        </w:rPr>
        <w:t xml:space="preserve">Xenides-Arestis v. Turkey </w:t>
      </w:r>
      <w:r>
        <w:rPr>
          <w:rFonts w:ascii="Times New Roman" w:hAnsi="Times New Roman"/>
        </w:rPr>
        <w:t xml:space="preserve">(справедливо обезщетение), № 46347/99, 7 декември 2006 г., и </w:t>
      </w:r>
      <w:r>
        <w:rPr>
          <w:rFonts w:ascii="Times New Roman" w:hAnsi="Times New Roman"/>
          <w:i/>
        </w:rPr>
        <w:t>Ananyev and Others v. Russia</w:t>
      </w:r>
      <w:r>
        <w:rPr>
          <w:rFonts w:ascii="Times New Roman" w:hAnsi="Times New Roman"/>
        </w:rPr>
        <w:t>, номера 42525/07 и 60800/08, 10 януари 2012 г.</w:t>
      </w:r>
    </w:p>
  </w:footnote>
  <w:footnote w:id="39">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Вж. също препратките към Втория доклад относно отговорността на държавата от г-н Gaetano Arangio-Ruiz, специален докладчик, A/CN.4/425 &amp; Corr.1 и Add.1 &amp; Corr.1, страници 35-40, с конкретна препратка към делото </w:t>
      </w:r>
      <w:r>
        <w:rPr>
          <w:rFonts w:ascii="Times New Roman" w:hAnsi="Times New Roman"/>
          <w:i/>
        </w:rPr>
        <w:t>Rainbow Warrior</w:t>
      </w:r>
      <w:r>
        <w:rPr>
          <w:rFonts w:ascii="Times New Roman" w:hAnsi="Times New Roman"/>
        </w:rPr>
        <w:t xml:space="preserve"> и решението от 6 юли 1986 г. на Генералния секретар (UNRIAA, том XIX, страници 197 и сл.).</w:t>
      </w:r>
    </w:p>
  </w:footnote>
  <w:footnote w:id="40">
    <w:p w:rsidR="005543EF" w:rsidRPr="00AC07A8"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Вж. </w:t>
      </w:r>
      <w:r>
        <w:rPr>
          <w:rFonts w:ascii="Times New Roman" w:hAnsi="Times New Roman"/>
          <w:i/>
        </w:rPr>
        <w:t>Laura M. B. Janes et al. (USA) v. United Mexican States</w:t>
      </w:r>
      <w:r>
        <w:rPr>
          <w:rFonts w:ascii="Times New Roman" w:hAnsi="Times New Roman"/>
        </w:rPr>
        <w:t xml:space="preserve">, 16 ноември 1925 г., в UNRIAA, том IV, стр. 82-98, дело </w:t>
      </w:r>
      <w:r>
        <w:rPr>
          <w:rFonts w:ascii="Times New Roman" w:hAnsi="Times New Roman"/>
          <w:i/>
        </w:rPr>
        <w:t>Naulilaa</w:t>
      </w:r>
      <w:r>
        <w:rPr>
          <w:rFonts w:ascii="Times New Roman" w:hAnsi="Times New Roman"/>
        </w:rPr>
        <w:t xml:space="preserve"> (</w:t>
      </w:r>
      <w:r>
        <w:rPr>
          <w:rFonts w:ascii="Times New Roman" w:hAnsi="Times New Roman"/>
          <w:i/>
        </w:rPr>
        <w:t>Portugal v. Germany</w:t>
      </w:r>
      <w:r>
        <w:rPr>
          <w:rFonts w:ascii="Times New Roman" w:hAnsi="Times New Roman"/>
        </w:rPr>
        <w:t xml:space="preserve">), 31 юли 1928 г. и 30 юни 1930 г., в UNRIAA, том II, стр. 1011-1077, дело </w:t>
      </w:r>
      <w:r>
        <w:rPr>
          <w:rFonts w:ascii="Times New Roman" w:hAnsi="Times New Roman"/>
          <w:i/>
        </w:rPr>
        <w:t>S.S. “I’m alone” (Canada v. United States)</w:t>
      </w:r>
      <w:r>
        <w:rPr>
          <w:rFonts w:ascii="Times New Roman" w:hAnsi="Times New Roman"/>
        </w:rPr>
        <w:t xml:space="preserve">, 30 юни 1933 г. и 5 юни 1935 г., в UNRIAA, том III, стр. 1609-1618, и </w:t>
      </w:r>
      <w:r>
        <w:rPr>
          <w:rFonts w:ascii="Times New Roman" w:hAnsi="Times New Roman"/>
          <w:i/>
        </w:rPr>
        <w:t>Lighthouses (France v. Greece)</w:t>
      </w:r>
      <w:r>
        <w:rPr>
          <w:rFonts w:ascii="Times New Roman" w:hAnsi="Times New Roman"/>
        </w:rPr>
        <w:t xml:space="preserve">, 24-27 юли 1956, в UNRIAA, том XII, стр. 161-269. Така не е решаващо обстоятелството, че проектотекстовете за отговорността на държавите посочват, че целта и обхватът на обезщетението се ограничават до компенсаторни мерки, без наказателни обезщетения (коментари към членове 36 и 37). Тази гледна точка все още следва консервативното мнение, изразено в неактуалните вече дела </w:t>
      </w:r>
      <w:r>
        <w:rPr>
          <w:rFonts w:ascii="Times New Roman" w:hAnsi="Times New Roman"/>
          <w:i/>
        </w:rPr>
        <w:t>Lusitania</w:t>
      </w:r>
      <w:r>
        <w:rPr>
          <w:rFonts w:ascii="Times New Roman" w:hAnsi="Times New Roman"/>
        </w:rPr>
        <w:t xml:space="preserve">, съгласно което: „Компенсацията следва да бъде съизмерима със загубата, така че потърпевшата страна да бъде изцяло обезщетена“ (мнение по делата </w:t>
      </w:r>
      <w:r>
        <w:rPr>
          <w:rFonts w:ascii="Times New Roman" w:hAnsi="Times New Roman"/>
          <w:i/>
        </w:rPr>
        <w:t>Lusitania</w:t>
      </w:r>
      <w:r>
        <w:rPr>
          <w:rFonts w:ascii="Times New Roman" w:hAnsi="Times New Roman"/>
        </w:rPr>
        <w:t>, 1 ноември 1923 г., UNRIAA, том VII, стр. 32-44). Някои съвременни двустранни инвестиционни договори (ДИД) специално отхвърлят наказателните обезщетения (вж. чл. 34 (3) от модела на ДИД на САЩ от 2012 г. и чл. 44 (3) от модела на ДИД на Канада от 2004 г.), което косвено показва, че те са щели да бъдат приложени, ако не са били изключени. Това е така при повечето подобни договори.</w:t>
      </w:r>
    </w:p>
  </w:footnote>
  <w:footnote w:id="41">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В решението </w:t>
      </w:r>
      <w:r>
        <w:rPr>
          <w:rFonts w:ascii="Times New Roman" w:hAnsi="Times New Roman"/>
          <w:i/>
        </w:rPr>
        <w:t>Bluske v. WIPO</w:t>
      </w:r>
      <w:r>
        <w:rPr>
          <w:rFonts w:ascii="Times New Roman" w:hAnsi="Times New Roman"/>
        </w:rPr>
        <w:t xml:space="preserve"> от 13 юли 1994 г. Административният трибунал на Международната организация на труда разпорежда на организацията ответник да заплати на жалбоподателя сумата от 10 000 швейцарски франка „под формата на глоба за всеки допълнителен месец закъснение“ при изпълнение на задълженията ѝ.</w:t>
      </w:r>
    </w:p>
  </w:footnote>
  <w:footnote w:id="42">
    <w:p w:rsidR="005543EF" w:rsidRPr="00243302" w:rsidRDefault="005543EF" w:rsidP="008F5888">
      <w:pPr>
        <w:pStyle w:val="FootnoteText"/>
      </w:pPr>
      <w:r>
        <w:rPr>
          <w:rStyle w:val="FootnoteReference"/>
          <w:vertAlign w:val="baseline"/>
        </w:rPr>
        <w:footnoteRef/>
      </w:r>
      <w:r>
        <w:t>.  </w:t>
      </w:r>
      <w:r>
        <w:rPr>
          <w:rFonts w:ascii="Times New Roman" w:hAnsi="Times New Roman"/>
        </w:rPr>
        <w:t>Въпреки всичко Справочникът съдебните практики на Комисията на ООН по международно търговско право (UNCITRAL) по отношение на Конвенцията на ООН за договорите за международна продажба на стоки, издание 2012 г., стр. 346, потвърждава, че „[в]ътрешното право може да се прилага също и по въпроси като наказателни обезщетения. В един случай определен съд очевидно приема валидността на искане за наказателно обезщетение в контекста на иск за обезщетение по Конвенцията, въпреки че определянето на сумата на обезщетението е оставено открито.“</w:t>
      </w:r>
    </w:p>
  </w:footnote>
  <w:footnote w:id="43">
    <w:p w:rsidR="005543EF" w:rsidRPr="00243302" w:rsidRDefault="005543EF" w:rsidP="008F5888">
      <w:pPr>
        <w:pStyle w:val="FootnoteText"/>
        <w:rPr>
          <w:rFonts w:ascii="Times New Roman" w:hAnsi="Times New Roman"/>
        </w:rPr>
      </w:pPr>
      <w:r>
        <w:rPr>
          <w:rStyle w:val="FootnoteReference"/>
          <w:vertAlign w:val="baseline"/>
        </w:rPr>
        <w:footnoteRef/>
      </w:r>
      <w:r>
        <w:t>.  В някои правни сфери на Съюза, като например регулирането на селскостопанските пазари и пазарите на ценни книжа, съществува политика на чисто наказателни граждански искове, както например в чл. 18 от Регламент № 1768/95 (относно „специални искове от гражданскоправен характер“) или в чл. 28 на Директива 2004/109/EО (относно „гражданските и/или административните наказания“).</w:t>
      </w:r>
      <w:r>
        <w:rPr>
          <w:rFonts w:ascii="Times New Roman" w:hAnsi="Times New Roman"/>
        </w:rPr>
        <w:t xml:space="preserve"> Тази тенденция е одобрена от Съда на Европейските общности в делата </w:t>
      </w:r>
      <w:r>
        <w:rPr>
          <w:rFonts w:ascii="Times New Roman" w:hAnsi="Times New Roman"/>
          <w:i/>
        </w:rPr>
        <w:t>Von Colson and Kamann v. Land Nordrhein Westfalen</w:t>
      </w:r>
      <w:r>
        <w:rPr>
          <w:rFonts w:ascii="Times New Roman" w:hAnsi="Times New Roman"/>
        </w:rPr>
        <w:t xml:space="preserve">, Дело C-14/83, и </w:t>
      </w:r>
      <w:r>
        <w:rPr>
          <w:rFonts w:ascii="Times New Roman" w:hAnsi="Times New Roman"/>
          <w:i/>
        </w:rPr>
        <w:t>Harz v. Deutsche Tradax GmbH</w:t>
      </w:r>
      <w:r>
        <w:rPr>
          <w:rFonts w:ascii="Times New Roman" w:hAnsi="Times New Roman"/>
        </w:rPr>
        <w:t xml:space="preserve">, Дело C-79/83, където Съдът на Европейските общности счита, че обезщетението трябва да е достатъчно да действа като възпиращо средство срещу полова дискриминация на работното място. По делото </w:t>
      </w:r>
      <w:r>
        <w:rPr>
          <w:rFonts w:ascii="Times New Roman" w:hAnsi="Times New Roman"/>
          <w:i/>
        </w:rPr>
        <w:t xml:space="preserve">Manfredi v. Lloyd Adriatico </w:t>
      </w:r>
      <w:r>
        <w:rPr>
          <w:rFonts w:ascii="Times New Roman" w:hAnsi="Times New Roman"/>
        </w:rPr>
        <w:t>et al., съединени дела C</w:t>
      </w:r>
      <w:r>
        <w:noBreakHyphen/>
      </w:r>
      <w:r>
        <w:rPr>
          <w:rFonts w:ascii="Times New Roman" w:hAnsi="Times New Roman"/>
        </w:rPr>
        <w:t>295/04 — C-298/04, Съдът на Европейските общности стига дори по-далеч, като постановява, че съгласно принципа на равностойност националните съдилища могат да присъждат наказателни обезщетения за нарушения на правото на ЕО в областта на конкуренцията, ако и когато вреди са възникнали и за нарушения на вътрешното право. Комисията изразява положително становище по тази съдебна практика, например в своята Бяла книга относно исковете за обезщетение за вреди при нарушаване на антитръстовите правила на Европейската общност, 2008 г., параграф 2.5.</w:t>
      </w:r>
    </w:p>
  </w:footnote>
  <w:footnote w:id="44">
    <w:p w:rsidR="005543EF" w:rsidRPr="00075945" w:rsidRDefault="005543EF" w:rsidP="008F5888">
      <w:pPr>
        <w:pStyle w:val="FootnoteText"/>
      </w:pPr>
      <w:r>
        <w:rPr>
          <w:rStyle w:val="FootnoteReference"/>
          <w:vertAlign w:val="baseline"/>
        </w:rPr>
        <w:footnoteRef/>
      </w:r>
      <w:r>
        <w:t>.  </w:t>
      </w:r>
      <w:r>
        <w:rPr>
          <w:rStyle w:val="csshitselected"/>
          <w:rFonts w:ascii="Times New Roman" w:hAnsi="Times New Roman"/>
        </w:rPr>
        <w:t>Междинна резолюция CM/ResDH(2008)1 от 6 март 2008 г.</w:t>
      </w:r>
    </w:p>
  </w:footnote>
  <w:footnote w:id="45">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w:t>
      </w:r>
      <w:r>
        <w:rPr>
          <w:rStyle w:val="csshitselected"/>
          <w:rFonts w:ascii="Times New Roman" w:hAnsi="Times New Roman"/>
        </w:rPr>
        <w:t>Например в Обяснителния доклад към Гражданската конвенция за корупцията (</w:t>
      </w:r>
      <w:r>
        <w:rPr>
          <w:rFonts w:ascii="Times New Roman" w:hAnsi="Times New Roman"/>
        </w:rPr>
        <w:t>ETS № 174, параграф 36</w:t>
      </w:r>
      <w:r>
        <w:rPr>
          <w:rStyle w:val="csshitselected"/>
          <w:rFonts w:ascii="Times New Roman" w:hAnsi="Times New Roman"/>
        </w:rPr>
        <w:t>) е отбелязано, че държавите страни, чието вътрешно право предвижда наказателни обезщетения, не е необходимо да изключват прилагането им в допълнение към пълното обезщетение. В сферата на социалните права Европейският комитет за социални права следи изискването за присъдените на практика обезщетения да бъде достатъчно разубеждаващо по отношение на бъдещи нарушения (</w:t>
      </w:r>
      <w:r>
        <w:rPr>
          <w:rFonts w:ascii="Times New Roman" w:hAnsi="Times New Roman"/>
        </w:rPr>
        <w:t>Втори доклад, предаден от правителството на Унгария, обхващащ периода от 1 януари 2007 г. до 31 декември 2010 г., стр. 83</w:t>
      </w:r>
      <w:r>
        <w:rPr>
          <w:rStyle w:val="csshitselected"/>
          <w:rFonts w:ascii="Times New Roman" w:hAnsi="Times New Roman"/>
        </w:rPr>
        <w:t>)</w:t>
      </w:r>
      <w:r>
        <w:rPr>
          <w:rFonts w:ascii="Times New Roman" w:hAnsi="Times New Roman"/>
        </w:rPr>
        <w:t>.</w:t>
      </w:r>
    </w:p>
  </w:footnote>
  <w:footnote w:id="46">
    <w:p w:rsidR="005543EF" w:rsidRPr="00243302" w:rsidRDefault="005543EF" w:rsidP="008F5888">
      <w:pPr>
        <w:pStyle w:val="FootnoteText"/>
      </w:pPr>
      <w:r>
        <w:rPr>
          <w:rStyle w:val="FootnoteReference"/>
          <w:vertAlign w:val="baseline"/>
        </w:rPr>
        <w:footnoteRef/>
      </w:r>
      <w:r>
        <w:t>.  </w:t>
      </w:r>
      <w:r>
        <w:rPr>
          <w:rFonts w:ascii="Times New Roman" w:hAnsi="Times New Roman"/>
          <w:i/>
        </w:rPr>
        <w:t>Velasquez Rodriguez v. Honduras (Reparations and costs)</w:t>
      </w:r>
      <w:r>
        <w:rPr>
          <w:rFonts w:ascii="Times New Roman" w:hAnsi="Times New Roman"/>
        </w:rPr>
        <w:t xml:space="preserve">, решение от 21 юли 1989 г., параграф 38;  </w:t>
      </w:r>
      <w:r>
        <w:rPr>
          <w:rFonts w:ascii="Times New Roman" w:hAnsi="Times New Roman"/>
          <w:i/>
        </w:rPr>
        <w:t>Godinez Cruz v. Honduras (Reparations and costs)</w:t>
      </w:r>
      <w:r>
        <w:rPr>
          <w:rFonts w:ascii="Times New Roman" w:hAnsi="Times New Roman"/>
        </w:rPr>
        <w:t xml:space="preserve">, решение от 21 юли 1989 г., параграф 36; и </w:t>
      </w:r>
      <w:r>
        <w:rPr>
          <w:rFonts w:ascii="Times New Roman" w:hAnsi="Times New Roman"/>
          <w:i/>
        </w:rPr>
        <w:t>Garrido and Baigorria v. Argentina  (обезщетения и разходи)</w:t>
      </w:r>
      <w:r>
        <w:rPr>
          <w:rFonts w:ascii="Times New Roman" w:hAnsi="Times New Roman"/>
        </w:rPr>
        <w:t>, решение от 27 август 1998 г., параграфи 43-44.</w:t>
      </w:r>
    </w:p>
  </w:footnote>
  <w:footnote w:id="47">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w:t>
      </w:r>
      <w:r>
        <w:rPr>
          <w:rFonts w:ascii="Times New Roman" w:hAnsi="Times New Roman"/>
          <w:i/>
        </w:rPr>
        <w:t>  Myrna Mack Chang v. Guatemala (</w:t>
      </w:r>
      <w:r w:rsidRPr="00E46AE7">
        <w:rPr>
          <w:rFonts w:ascii="Times New Roman" w:hAnsi="Times New Roman"/>
          <w:i/>
          <w:lang w:val="en-GB"/>
        </w:rPr>
        <w:t>Merits</w:t>
      </w:r>
      <w:r w:rsidRPr="00075945">
        <w:rPr>
          <w:rFonts w:ascii="Times New Roman" w:hAnsi="Times New Roman"/>
          <w:i/>
        </w:rPr>
        <w:t xml:space="preserve">, </w:t>
      </w:r>
      <w:r w:rsidRPr="00E46AE7">
        <w:rPr>
          <w:rFonts w:ascii="Times New Roman" w:hAnsi="Times New Roman"/>
          <w:i/>
          <w:lang w:val="en-GB"/>
        </w:rPr>
        <w:t>reparations</w:t>
      </w:r>
      <w:r w:rsidRPr="00075945">
        <w:rPr>
          <w:rFonts w:ascii="Times New Roman" w:hAnsi="Times New Roman"/>
          <w:i/>
        </w:rPr>
        <w:t xml:space="preserve"> </w:t>
      </w:r>
      <w:r w:rsidRPr="00E46AE7">
        <w:rPr>
          <w:rFonts w:ascii="Times New Roman" w:hAnsi="Times New Roman"/>
          <w:i/>
          <w:lang w:val="en-GB"/>
        </w:rPr>
        <w:t>and</w:t>
      </w:r>
      <w:r w:rsidRPr="00075945">
        <w:rPr>
          <w:rFonts w:ascii="Times New Roman" w:hAnsi="Times New Roman"/>
          <w:i/>
        </w:rPr>
        <w:t xml:space="preserve"> </w:t>
      </w:r>
      <w:r w:rsidRPr="00E46AE7">
        <w:rPr>
          <w:rFonts w:ascii="Times New Roman" w:hAnsi="Times New Roman"/>
          <w:i/>
          <w:lang w:val="en-GB"/>
        </w:rPr>
        <w:t>costs</w:t>
      </w:r>
      <w:r>
        <w:rPr>
          <w:rFonts w:ascii="Times New Roman" w:hAnsi="Times New Roman"/>
          <w:i/>
        </w:rPr>
        <w:t>)</w:t>
      </w:r>
      <w:r>
        <w:rPr>
          <w:rFonts w:ascii="Times New Roman" w:hAnsi="Times New Roman"/>
        </w:rPr>
        <w:t>, решение от 25 ноември 2003 г., параграфи 246-286, и конкретно отделното мнение на Съдия Cançado Trindade.</w:t>
      </w:r>
    </w:p>
  </w:footnote>
  <w:footnote w:id="48">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Например убийството на политически противник или заглушаването на критично настроен телевизионен канал оправдава подобни наказателни обезщетения.</w:t>
      </w:r>
    </w:p>
  </w:footnote>
  <w:footnote w:id="49">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Например продължителното безразличие от страна на държава страна по отношение на решение на Съда, с което е констатирано нарушаване от нейна страна на Конвенцията, въпреки непрекъснатите усилия на Комитета на министрите и потърпевшата страна за изпълнение на решението. Наказателни обезщетения могат да бъдат присъждани по производства, образувани от самия Комитет на министрите, съгласно новите му правомощия, определени в чл. 46 от Конвенцията, или в производства, образувани от потърпевшата страна за неизпълнение на решение на Съда (вж. мое отделно мнение по делото </w:t>
      </w:r>
      <w:r>
        <w:rPr>
          <w:rFonts w:ascii="Times New Roman" w:hAnsi="Times New Roman"/>
          <w:i/>
        </w:rPr>
        <w:t>Fabris</w:t>
      </w:r>
      <w:r>
        <w:rPr>
          <w:rFonts w:ascii="Times New Roman" w:hAnsi="Times New Roman"/>
        </w:rPr>
        <w:t>, цитирано по-горе).</w:t>
      </w:r>
    </w:p>
  </w:footnote>
  <w:footnote w:id="50">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Тежестта на някои тактики, използвани за отнемане на правото на глас на жалбоподателя, като например пряка или косвена заплаха за живота му или живота на негови близки роднини, или образуване на произволно наказателно производство срещу жалбоподателя, могат да доведат до наказателни обезщетения. Принципът е установен в </w:t>
      </w:r>
      <w:r>
        <w:rPr>
          <w:rFonts w:ascii="Times New Roman" w:hAnsi="Times New Roman"/>
          <w:i/>
        </w:rPr>
        <w:t xml:space="preserve">Oferta Plus SRL v. Moldova </w:t>
      </w:r>
      <w:r>
        <w:rPr>
          <w:rFonts w:ascii="Times New Roman" w:hAnsi="Times New Roman"/>
        </w:rPr>
        <w:t>(справедливо обезщетение), № 14385/04, § 76, 12 февруари 2008 г.</w:t>
      </w:r>
    </w:p>
  </w:footnote>
  <w:footnote w:id="51">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H. Lauterpacht, “Règles générales du droit de la paix”, в </w:t>
      </w:r>
      <w:r>
        <w:rPr>
          <w:rFonts w:ascii="Times New Roman" w:hAnsi="Times New Roman"/>
          <w:i/>
        </w:rPr>
        <w:t>Recueil des cours</w:t>
      </w:r>
      <w:r>
        <w:rPr>
          <w:rFonts w:ascii="Times New Roman" w:hAnsi="Times New Roman"/>
        </w:rPr>
        <w:t xml:space="preserve">, 1937-IV, том 62, стр. 350: „Нарушение на международното право може да бъде такова, че да е необходимо, в интерес на правосъдието, изразяване на неодобрение, което е извън материалните обезщетения. Да се определят граници на отговорността в рамките на държавата за </w:t>
      </w:r>
      <w:r>
        <w:rPr>
          <w:rFonts w:ascii="Times New Roman" w:hAnsi="Times New Roman"/>
          <w:i/>
        </w:rPr>
        <w:t>restitutio in integrum</w:t>
      </w:r>
      <w:r>
        <w:rPr>
          <w:rFonts w:ascii="Times New Roman" w:hAnsi="Times New Roman"/>
        </w:rPr>
        <w:t xml:space="preserve"> би означавало да се премахне наказателното право и голяма част от правото в областта на непозволеното увреждане. Премахването на тези аспекти на отговорността между държавите означава да се приеме, въз основа на суверенитета, принцип, който противоречи на правосъдието и води със себе си насърчаване на незаконните действия.“</w:t>
      </w:r>
    </w:p>
  </w:footnote>
  <w:footnote w:id="52">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Този въпрос е вече повдигнат в писмото на Правителството на Кипър до Съда от 31 август 2007 г., в което е заявено, че е необходимо прилагането на чл. 41, ако е осуетен процеса на надзор върху изпълнението на решението на Голямата камара от май 2001 г. от страна на Комитета на министрите. Това послание се повтаря в писмото на същото Правителство до Съда от 25 февруари 2010 г. В изложението от 25 ноември 2011 г. държавата жалбоподател обяснява, че изисква „в отговор на констатациите на Съда относно продължаващата държавна политика и практика по настоящото дело“ Турция изцяло да спази решението по основателността и да прекрати действията си, за които е констатирано, че са в нарушение на Конвенцията, и да избягва бъдещи рецидиви.  </w:t>
      </w:r>
    </w:p>
  </w:footnote>
  <w:footnote w:id="53">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Правомощията на Съда да тълкува собствените си решения са безспорни, дори по молба на потърпевшата страна (вж. мое отделно мнение във </w:t>
      </w:r>
      <w:r>
        <w:rPr>
          <w:rFonts w:ascii="Times New Roman" w:hAnsi="Times New Roman"/>
          <w:i/>
        </w:rPr>
        <w:t>Fabris</w:t>
      </w:r>
      <w:r>
        <w:rPr>
          <w:rFonts w:ascii="Times New Roman" w:hAnsi="Times New Roman"/>
        </w:rPr>
        <w:t xml:space="preserve">, цитирано по-горе). В настоящия междудържавен случай, Съдът прави крачка напред, като приема компетенцията си да тълкува решението </w:t>
      </w:r>
      <w:r>
        <w:rPr>
          <w:rFonts w:ascii="Times New Roman" w:hAnsi="Times New Roman"/>
          <w:i/>
        </w:rPr>
        <w:t>Demopoulos</w:t>
      </w:r>
      <w:r>
        <w:rPr>
          <w:rFonts w:ascii="Times New Roman" w:hAnsi="Times New Roman"/>
        </w:rPr>
        <w:t xml:space="preserve"> по молба на държавата, от чиято националност са потърпевшите.</w:t>
      </w:r>
    </w:p>
  </w:footnote>
  <w:footnote w:id="54">
    <w:p w:rsidR="005543EF" w:rsidRPr="00075945" w:rsidRDefault="005543EF" w:rsidP="008F5888">
      <w:pPr>
        <w:pStyle w:val="FootnoteText"/>
      </w:pPr>
      <w:r>
        <w:rPr>
          <w:rStyle w:val="FootnoteReference"/>
          <w:rFonts w:ascii="Times New Roman" w:hAnsi="Times New Roman"/>
          <w:vertAlign w:val="baseline"/>
        </w:rPr>
        <w:footnoteRef/>
      </w:r>
      <w:r>
        <w:rPr>
          <w:rFonts w:ascii="Times New Roman" w:hAnsi="Times New Roman"/>
        </w:rPr>
        <w:t>.  Член 48 (2) (а) от проектотекстовете за отговорността на държавите за международни правонарушения (2001 г.).</w:t>
      </w:r>
    </w:p>
  </w:footnote>
  <w:footnote w:id="55">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Например </w:t>
      </w:r>
      <w:r>
        <w:rPr>
          <w:rStyle w:val="wordhighlighted"/>
          <w:i/>
        </w:rPr>
        <w:t>Andersen</w:t>
      </w:r>
      <w:r>
        <w:rPr>
          <w:i/>
        </w:rPr>
        <w:t xml:space="preserve"> v. Denmark</w:t>
      </w:r>
      <w:r>
        <w:t xml:space="preserve">, № 12860/87, и </w:t>
      </w:r>
      <w:r>
        <w:rPr>
          <w:i/>
        </w:rPr>
        <w:t>Frederiksen and Others v. Denmark</w:t>
      </w:r>
      <w:r>
        <w:t>, № 12719/87, Решения на Комисията от 3 май 1988 г</w:t>
      </w:r>
      <w:r>
        <w:rPr>
          <w:rFonts w:ascii="Times New Roman" w:hAnsi="Times New Roman"/>
        </w:rPr>
        <w:t>.</w:t>
      </w:r>
    </w:p>
  </w:footnote>
  <w:footnote w:id="56">
    <w:p w:rsidR="005543EF" w:rsidRPr="00075945" w:rsidRDefault="005543EF" w:rsidP="008F5888">
      <w:pPr>
        <w:pStyle w:val="FootnoteText"/>
      </w:pPr>
      <w:r>
        <w:rPr>
          <w:rStyle w:val="FootnoteReference"/>
          <w:rFonts w:ascii="Times New Roman" w:hAnsi="Times New Roman"/>
          <w:vertAlign w:val="baseline"/>
        </w:rPr>
        <w:footnoteRef/>
      </w:r>
      <w:r>
        <w:rPr>
          <w:rFonts w:ascii="Times New Roman" w:hAnsi="Times New Roman"/>
        </w:rPr>
        <w:t>.  Вж. официалните документи на властите в „СКТР“ в приложение В към жалбата на Кипър от 25 ноември 2011 г., както и статиите от турскоезичния печат в Кипър и печата в Турция в приложение Г и докладите относно незаконните събития и строителство в окупираната територия на Кипър в приложения А и Б.</w:t>
      </w:r>
    </w:p>
  </w:footnote>
  <w:footnote w:id="57">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Закон за обезщетение, обмяна и реституция на недвижимо имущество, което попада в обхвата на точка (б) от параграф 1 на член 159 от Конституцията, изменен от закони с номера 59/2006 и 85/2007 (наричан по-нататък в документа „Закон 67/2005“).</w:t>
      </w:r>
    </w:p>
  </w:footnote>
  <w:footnote w:id="58">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Съгласно раздел 8 от Закон 67/2005 на „СКТР“ Комисията има право да реституира недвижимо имущество на кипърски граждани от гръцки произход, в случай че собствеността или ползването на съответното имущество не са прехвърлени на физически или юридически лица, различни от държавата. Тази реституция обаче е при условие че не нарушава „националната сигурност и обществения ред“, не е предназначена да се извърши в „интерес на обществото“ и попада извън обхвата на военните зони и съоръжения. Друго недвижимо имущество може да се реституира, при условие че не е предназначено за „интересите на обществото или социалната справедливост“. Очевидно е, че с подобен ограничен </w:t>
      </w:r>
      <w:r w:rsidRPr="005E1482">
        <w:rPr>
          <w:rFonts w:ascii="Times New Roman" w:hAnsi="Times New Roman"/>
          <w:i/>
          <w:lang w:val="en-GB"/>
        </w:rPr>
        <w:t>ex</w:t>
      </w:r>
      <w:r w:rsidRPr="00075945">
        <w:rPr>
          <w:rFonts w:ascii="Times New Roman" w:hAnsi="Times New Roman"/>
          <w:i/>
        </w:rPr>
        <w:t xml:space="preserve"> </w:t>
      </w:r>
      <w:r w:rsidRPr="005E1482">
        <w:rPr>
          <w:rFonts w:ascii="Times New Roman" w:hAnsi="Times New Roman"/>
          <w:i/>
          <w:lang w:val="en-GB"/>
        </w:rPr>
        <w:t>post</w:t>
      </w:r>
      <w:r w:rsidRPr="00075945">
        <w:rPr>
          <w:rFonts w:ascii="Times New Roman" w:hAnsi="Times New Roman"/>
          <w:i/>
        </w:rPr>
        <w:t xml:space="preserve"> </w:t>
      </w:r>
      <w:r w:rsidRPr="005E1482">
        <w:rPr>
          <w:rFonts w:ascii="Times New Roman" w:hAnsi="Times New Roman"/>
          <w:i/>
          <w:lang w:val="en-GB"/>
        </w:rPr>
        <w:t>facto</w:t>
      </w:r>
      <w:r>
        <w:rPr>
          <w:rFonts w:ascii="Times New Roman" w:hAnsi="Times New Roman"/>
        </w:rPr>
        <w:t xml:space="preserve"> мандат Комисията сама по себе си няма възможност да предотврати разпродажби на имущество или разпореждане с него, още по-малко да прекрати продължаващо нарушение.</w:t>
      </w:r>
    </w:p>
  </w:footnote>
  <w:footnote w:id="59">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CM/inf/DH (2010)36. Както е обяснено в текста, тази позиция се основава на правни и фактически грешки. Объркването между правилото за вътрешноправни средства по чл. 35 от Конвенцията и задължението на държавата да се придържа към и изпълнява решенията по чл. 46, нарушават изявлението. Освен това фактите на място показват, че продължават да се извършват тежки нарушения на правото на собственост на кипърските граждани от гръцки произход в окупираната територия.</w:t>
      </w:r>
    </w:p>
  </w:footnote>
  <w:footnote w:id="60">
    <w:p w:rsidR="005543EF" w:rsidRPr="00075945" w:rsidRDefault="005543EF" w:rsidP="008F5888">
      <w:pPr>
        <w:pStyle w:val="FootnoteText"/>
        <w:rPr>
          <w:rFonts w:ascii="Times New Roman" w:hAnsi="Times New Roman"/>
        </w:rPr>
      </w:pPr>
      <w:r>
        <w:rPr>
          <w:rStyle w:val="FootnoteReference"/>
          <w:rFonts w:ascii="Times New Roman" w:hAnsi="Times New Roman"/>
          <w:vertAlign w:val="baseline"/>
        </w:rPr>
        <w:footnoteRef/>
      </w:r>
      <w:r>
        <w:rPr>
          <w:rFonts w:ascii="Times New Roman" w:hAnsi="Times New Roman"/>
        </w:rPr>
        <w:t>.  „Следователно, като изчаква решенията за прекратяване, делегацията на Турция няма да участва в обсъждания, процесуални или по същество, във връзка с всички въпроси, касаещи Кипър“. Това изявление е направено в писмо от Правителството на Турция до Комитета на министрите от 12 септември 2011 г., на което Правителството на Кипър отговоря с писмо до председателя на заместник-министрите от 2 декември 2011 г.</w:t>
      </w:r>
    </w:p>
  </w:footnote>
  <w:footnote w:id="61">
    <w:p w:rsidR="005543EF" w:rsidRPr="00075945" w:rsidRDefault="005543EF" w:rsidP="008F5888">
      <w:pPr>
        <w:pStyle w:val="FootnoteText"/>
      </w:pPr>
      <w:r>
        <w:rPr>
          <w:rStyle w:val="FootnoteReference"/>
          <w:vertAlign w:val="baseline"/>
        </w:rPr>
        <w:footnoteRef/>
      </w:r>
      <w:r>
        <w:t>.  </w:t>
      </w:r>
      <w:r>
        <w:rPr>
          <w:rFonts w:ascii="Times New Roman" w:hAnsi="Times New Roman"/>
        </w:rPr>
        <w:t xml:space="preserve">По мое мнение изявлението на Съда е трябвало да бъде включено в диспозитива на решението в името на правната сигурност и яснотата му. Във всеки случай правната сила на установителното решение на Съда не се поставя под въпрос. Настоящото решение не може да бъде легитимно тълкувано по начин, който ощетява ясното намерение на Съда да направи авторитетно изявление относно ефектите от делото </w:t>
      </w:r>
      <w:r>
        <w:rPr>
          <w:rFonts w:ascii="Times New Roman" w:hAnsi="Times New Roman"/>
          <w:i/>
        </w:rPr>
        <w:t>Demopoulos</w:t>
      </w:r>
      <w:r>
        <w:rPr>
          <w:rFonts w:ascii="Times New Roman" w:hAnsi="Times New Roman"/>
        </w:rPr>
        <w:t xml:space="preserve"> по молба на държавата жалбоподател. В т.нар. „квази-пилотни решения“ мотивите съдържат директиви, които не се споменават впоследствие в диспозитива. Независимо от това тези директиви имат правнообвързващ характер. Този метод също така се използва в настоящото решение.</w:t>
      </w:r>
    </w:p>
  </w:footnote>
  <w:footnote w:id="62">
    <w:p w:rsidR="005543EF" w:rsidRPr="00075945" w:rsidRDefault="005543EF" w:rsidP="008F5888">
      <w:pPr>
        <w:pStyle w:val="FootnoteText"/>
      </w:pPr>
      <w:r>
        <w:rPr>
          <w:rStyle w:val="FootnoteReference"/>
          <w:vertAlign w:val="baseline"/>
        </w:rPr>
        <w:footnoteRef/>
      </w:r>
      <w:r>
        <w:t>.  </w:t>
      </w:r>
      <w:r>
        <w:rPr>
          <w:rFonts w:ascii="Times New Roman" w:hAnsi="Times New Roman"/>
        </w:rPr>
        <w:t>Коментари относно законите на Англия, 1768 г., том 3, глава 13.</w:t>
      </w:r>
    </w:p>
  </w:footnote>
  <w:footnote w:id="63">
    <w:p w:rsidR="005543EF" w:rsidRPr="008F6214" w:rsidRDefault="005543EF" w:rsidP="00946776">
      <w:pPr>
        <w:pStyle w:val="FootnoteText"/>
      </w:pPr>
      <w:r>
        <w:rPr>
          <w:rStyle w:val="FootnoteReference"/>
          <w:vertAlign w:val="baseline"/>
        </w:rPr>
        <w:footnoteRef/>
      </w:r>
      <w:r>
        <w:t>.  С изключение на Съдия Каракаш, който се присъединява към нашето мнение.</w:t>
      </w:r>
    </w:p>
  </w:footnote>
  <w:footnote w:id="64">
    <w:p w:rsidR="005543EF" w:rsidRPr="009E2CD4" w:rsidRDefault="005543EF" w:rsidP="00D10F80">
      <w:pPr>
        <w:pStyle w:val="FootnoteText"/>
      </w:pPr>
      <w:r>
        <w:rPr>
          <w:rStyle w:val="FootnoteReference"/>
          <w:vertAlign w:val="baseline"/>
        </w:rPr>
        <w:footnoteRef/>
      </w:r>
      <w:r>
        <w:t>.  Предварителни възражения, Доклади на Международния съд 1992 г., стр. 240.</w:t>
      </w:r>
    </w:p>
  </w:footnote>
  <w:footnote w:id="65">
    <w:p w:rsidR="005543EF" w:rsidRPr="004F5C81" w:rsidRDefault="005543EF" w:rsidP="00D10F80">
      <w:pPr>
        <w:pStyle w:val="FootnoteText"/>
      </w:pPr>
      <w:r>
        <w:rPr>
          <w:rStyle w:val="FootnoteReference"/>
          <w:vertAlign w:val="baseline"/>
        </w:rPr>
        <w:footnoteRef/>
      </w:r>
      <w:r>
        <w:t xml:space="preserve">.  Обезщетение, Доклади на Международния съд 2012 г., стр. 324. </w:t>
      </w:r>
    </w:p>
  </w:footnote>
  <w:footnote w:id="66">
    <w:p w:rsidR="005543EF" w:rsidRPr="00B815E4" w:rsidRDefault="005543EF" w:rsidP="00D10F80">
      <w:pPr>
        <w:pStyle w:val="FootnoteText"/>
      </w:pPr>
      <w:r>
        <w:rPr>
          <w:rStyle w:val="FootnoteReference"/>
          <w:vertAlign w:val="baseline"/>
        </w:rPr>
        <w:footnoteRef/>
      </w:r>
      <w:r>
        <w:t xml:space="preserve">.  … че е налице продължаващо нарушение на чл. 2 поради факта, че властите в държавата ответник не са предприели ефективни следствени действия с цел да дадат яснота относно местонахождението и съдбата на безследно изчезналите кипърски граждани от гръцки произход, които са изчезнали при животозастрашаващи обстоятелства (§ 136). </w:t>
      </w:r>
    </w:p>
  </w:footnote>
  <w:footnote w:id="67">
    <w:p w:rsidR="005543EF" w:rsidRPr="00B815E4" w:rsidRDefault="005543EF" w:rsidP="00D10F80">
      <w:pPr>
        <w:pStyle w:val="FootnoteText"/>
      </w:pPr>
      <w:r>
        <w:rPr>
          <w:rStyle w:val="FootnoteReference"/>
          <w:vertAlign w:val="baseline"/>
        </w:rPr>
        <w:footnoteRef/>
      </w:r>
      <w:r>
        <w:t>.  Доклади 1949 г., стр. 36.</w:t>
      </w:r>
    </w:p>
  </w:footnote>
  <w:footnote w:id="68">
    <w:p w:rsidR="005543EF" w:rsidRPr="00B815E4" w:rsidRDefault="005543EF" w:rsidP="00D10F80">
      <w:pPr>
        <w:pStyle w:val="FootnoteText"/>
      </w:pPr>
      <w:r>
        <w:rPr>
          <w:rStyle w:val="FootnoteReference"/>
          <w:vertAlign w:val="baseline"/>
        </w:rPr>
        <w:footnoteRef/>
      </w:r>
      <w:r>
        <w:t xml:space="preserve">.  Точка 8 от диспозитива на арбитражната присъда от 30 април 1990 г., UNRIAA, том XX, стр. 273. </w:t>
      </w:r>
    </w:p>
  </w:footnote>
  <w:footnote w:id="69">
    <w:p w:rsidR="005543EF" w:rsidRPr="009A4869" w:rsidRDefault="005543EF" w:rsidP="00D10F80">
      <w:pPr>
        <w:pStyle w:val="FootnoteText"/>
      </w:pPr>
      <w:r>
        <w:rPr>
          <w:rStyle w:val="FootnoteReference"/>
          <w:vertAlign w:val="baseline"/>
        </w:rPr>
        <w:footnoteRef/>
      </w:r>
      <w:r>
        <w:t xml:space="preserve">.  14 февруари 2002 г., § 75. Вж. също решение на Международния съд по делото </w:t>
      </w:r>
      <w:r>
        <w:rPr>
          <w:i/>
        </w:rPr>
        <w:t xml:space="preserve">LaGrand (Германия срещу Съединени Американски Щати) </w:t>
      </w:r>
      <w:r>
        <w:t>от 27 юни 2001 г., § 116.</w:t>
      </w:r>
    </w:p>
  </w:footnote>
  <w:footnote w:id="70">
    <w:p w:rsidR="005543EF" w:rsidRPr="00B815E4" w:rsidRDefault="005543EF" w:rsidP="00D10F80">
      <w:pPr>
        <w:pStyle w:val="FootnoteText"/>
      </w:pPr>
      <w:r>
        <w:rPr>
          <w:rStyle w:val="FootnoteReference"/>
          <w:vertAlign w:val="baseline"/>
        </w:rPr>
        <w:footnoteRef/>
      </w:r>
      <w:r>
        <w:t>.  Вж. официалната интернет страница на Комитета на ООН за безследно изчезналите лица в Кипър:  http://www.cmp-cyprus.org/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45" w:rsidRDefault="000759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EF" w:rsidRPr="00A45145" w:rsidRDefault="005543EF" w:rsidP="000011FA">
    <w:pPr>
      <w:jc w:val="center"/>
    </w:pPr>
    <w:r>
      <w:rPr>
        <w:noProof/>
        <w:lang w:val="en-US" w:eastAsia="en-US" w:bidi="ar-SA"/>
      </w:rPr>
      <w:drawing>
        <wp:inline distT="0" distB="0" distL="0" distR="0" wp14:anchorId="6D6F561C" wp14:editId="63476E20">
          <wp:extent cx="2962275" cy="1219200"/>
          <wp:effectExtent l="0" t="0" r="9525" b="0"/>
          <wp:docPr id="26" name="Picture 2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543EF" w:rsidRDefault="005543EF" w:rsidP="00357F5B">
    <w:pP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45" w:rsidRDefault="0007594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EF" w:rsidRPr="007A52DC" w:rsidRDefault="005543EF" w:rsidP="00F01F8E">
    <w:pPr>
      <w:pStyle w:val="ECHRHeader"/>
    </w:pPr>
    <w:r>
      <w:rPr>
        <w:rStyle w:val="PageNumber"/>
      </w:rPr>
      <w:fldChar w:fldCharType="begin"/>
    </w:r>
    <w:r w:rsidRPr="007A52DC">
      <w:rPr>
        <w:rStyle w:val="PageNumber"/>
      </w:rPr>
      <w:instrText xml:space="preserve"> PAGE </w:instrText>
    </w:r>
    <w:r>
      <w:rPr>
        <w:rStyle w:val="PageNumber"/>
      </w:rPr>
      <w:fldChar w:fldCharType="separate"/>
    </w:r>
    <w:r w:rsidR="00075945">
      <w:rPr>
        <w:rStyle w:val="PageNumber"/>
        <w:noProof/>
      </w:rPr>
      <w:t>18</w:t>
    </w:r>
    <w:r>
      <w:rPr>
        <w:rStyle w:val="PageNumber"/>
      </w:rPr>
      <w:fldChar w:fldCharType="end"/>
    </w:r>
    <w:r>
      <w:tab/>
      <w:t>РЕШЕНИЕ КИПЪР срещу ТУРЦИЯ (СПРАВЕДЛИВО ОБЕЗЩЕТЕНИЕ)</w: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EF" w:rsidRPr="007A52DC" w:rsidRDefault="005543EF" w:rsidP="00F01F8E">
    <w:pPr>
      <w:pStyle w:val="ECHRHeader"/>
      <w:rPr>
        <w:rStyle w:val="PageNumber"/>
      </w:rPr>
    </w:pPr>
    <w:r>
      <w:tab/>
      <w:t>РЕШЕНИЕ КИПЪР срещу ТУРЦИЯ (СПРАВЕДЛИВО ОБЕЗЩЕТЕНИЕ)</w:t>
    </w:r>
    <w:r>
      <w:tab/>
    </w:r>
    <w:r>
      <w:rPr>
        <w:rStyle w:val="PageNumber"/>
      </w:rPr>
      <w:fldChar w:fldCharType="begin"/>
    </w:r>
    <w:r w:rsidRPr="007A52DC">
      <w:rPr>
        <w:rStyle w:val="PageNumber"/>
      </w:rPr>
      <w:instrText xml:space="preserve"> PAGE </w:instrText>
    </w:r>
    <w:r>
      <w:rPr>
        <w:rStyle w:val="PageNumber"/>
      </w:rPr>
      <w:fldChar w:fldCharType="separate"/>
    </w:r>
    <w:r w:rsidR="00075945">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EF" w:rsidRPr="007A52DC" w:rsidRDefault="005543EF" w:rsidP="00AC07A8">
    <w:pPr>
      <w:pStyle w:val="ECHRHeader"/>
      <w:jc w:val="center"/>
    </w:pPr>
    <w:r w:rsidRPr="00DD1421">
      <w:rPr>
        <w:rStyle w:val="PageNumber"/>
        <w:szCs w:val="18"/>
      </w:rPr>
      <w:fldChar w:fldCharType="begin"/>
    </w:r>
    <w:r w:rsidRPr="007A52DC">
      <w:rPr>
        <w:rStyle w:val="PageNumber"/>
        <w:szCs w:val="18"/>
      </w:rPr>
      <w:instrText xml:space="preserve"> PAGE </w:instrText>
    </w:r>
    <w:r w:rsidRPr="00DD1421">
      <w:rPr>
        <w:rStyle w:val="PageNumber"/>
        <w:szCs w:val="18"/>
      </w:rPr>
      <w:fldChar w:fldCharType="separate"/>
    </w:r>
    <w:r w:rsidR="00075945">
      <w:rPr>
        <w:rStyle w:val="PageNumber"/>
        <w:noProof/>
        <w:szCs w:val="18"/>
      </w:rPr>
      <w:t>62</w:t>
    </w:r>
    <w:r w:rsidRPr="00DD1421">
      <w:rPr>
        <w:rStyle w:val="PageNumber"/>
        <w:szCs w:val="18"/>
      </w:rPr>
      <w:fldChar w:fldCharType="end"/>
    </w:r>
    <w:r>
      <w:tab/>
      <w:t>РЕШЕНИЕ КИПЪР срещу ТУРЦИЯ (СПРАВЕДЛИВО ОБЕЗЩЕТЕНИЕ) — ОТДЕЛНИ МНЕНИЯ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EF" w:rsidRPr="007A52DC" w:rsidRDefault="005543EF" w:rsidP="00AC07A8">
    <w:pPr>
      <w:pStyle w:val="ECHRHeader"/>
      <w:jc w:val="center"/>
      <w:rPr>
        <w:rStyle w:val="PageNumber"/>
        <w:rFonts w:eastAsiaTheme="minorEastAsia"/>
        <w:szCs w:val="18"/>
      </w:rPr>
    </w:pPr>
    <w:r>
      <w:t xml:space="preserve">РЕШЕНИЕ КИПЪР срещу ТУРЦИЯ (СПРАВЕДЛИВО ОБЕЗЩЕТЕНИЕ) — ОТДЕЛНИ </w:t>
    </w:r>
    <w:r>
      <w:tab/>
      <w:t>МНЕНИЯ</w:t>
    </w:r>
    <w:r>
      <w:tab/>
    </w:r>
    <w:r w:rsidRPr="00DD1421">
      <w:rPr>
        <w:rStyle w:val="PageNumber"/>
        <w:szCs w:val="18"/>
      </w:rPr>
      <w:fldChar w:fldCharType="begin"/>
    </w:r>
    <w:r w:rsidRPr="007A52DC">
      <w:rPr>
        <w:rStyle w:val="PageNumber"/>
        <w:szCs w:val="18"/>
      </w:rPr>
      <w:instrText xml:space="preserve"> PAGE </w:instrText>
    </w:r>
    <w:r w:rsidRPr="00DD1421">
      <w:rPr>
        <w:rStyle w:val="PageNumber"/>
        <w:szCs w:val="18"/>
      </w:rPr>
      <w:fldChar w:fldCharType="separate"/>
    </w:r>
    <w:r w:rsidR="00075945">
      <w:rPr>
        <w:rStyle w:val="PageNumber"/>
        <w:noProof/>
        <w:szCs w:val="18"/>
      </w:rPr>
      <w:t>61</w:t>
    </w:r>
    <w:r w:rsidRPr="00DD1421">
      <w:rPr>
        <w:rStyle w:val="PageNumber"/>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A298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A25C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11E2A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A66C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B244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7AB4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E70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D61E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10BC"/>
    <w:lvl w:ilvl="0">
      <w:start w:val="1"/>
      <w:numFmt w:val="decimal"/>
      <w:pStyle w:val="ListNumber"/>
      <w:lvlText w:val="%1."/>
      <w:lvlJc w:val="left"/>
      <w:pPr>
        <w:tabs>
          <w:tab w:val="num" w:pos="360"/>
        </w:tabs>
        <w:ind w:left="360" w:hanging="360"/>
      </w:pPr>
    </w:lvl>
  </w:abstractNum>
  <w:abstractNum w:abstractNumId="9"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133365"/>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5D4721"/>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15:restartNumberingAfterBreak="0">
    <w:nsid w:val="58580374"/>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1"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6"/>
  </w:num>
  <w:num w:numId="3">
    <w:abstractNumId w:val="4"/>
  </w:num>
  <w:num w:numId="4">
    <w:abstractNumId w:val="8"/>
  </w:num>
  <w:num w:numId="5">
    <w:abstractNumId w:val="42"/>
  </w:num>
  <w:num w:numId="6">
    <w:abstractNumId w:val="38"/>
  </w:num>
  <w:num w:numId="7">
    <w:abstractNumId w:val="26"/>
  </w:num>
  <w:num w:numId="8">
    <w:abstractNumId w:val="12"/>
  </w:num>
  <w:num w:numId="9">
    <w:abstractNumId w:val="5"/>
  </w:num>
  <w:num w:numId="10">
    <w:abstractNumId w:val="3"/>
  </w:num>
  <w:num w:numId="11">
    <w:abstractNumId w:val="2"/>
  </w:num>
  <w:num w:numId="12">
    <w:abstractNumId w:val="1"/>
  </w:num>
  <w:num w:numId="13">
    <w:abstractNumId w:val="0"/>
  </w:num>
  <w:num w:numId="14">
    <w:abstractNumId w:val="45"/>
  </w:num>
  <w:num w:numId="15">
    <w:abstractNumId w:val="20"/>
  </w:num>
  <w:num w:numId="16">
    <w:abstractNumId w:val="24"/>
  </w:num>
  <w:num w:numId="17">
    <w:abstractNumId w:val="40"/>
  </w:num>
  <w:num w:numId="18">
    <w:abstractNumId w:val="34"/>
  </w:num>
  <w:num w:numId="19">
    <w:abstractNumId w:val="35"/>
  </w:num>
  <w:num w:numId="20">
    <w:abstractNumId w:val="23"/>
  </w:num>
  <w:num w:numId="21">
    <w:abstractNumId w:val="14"/>
  </w:num>
  <w:num w:numId="22">
    <w:abstractNumId w:val="18"/>
  </w:num>
  <w:num w:numId="23">
    <w:abstractNumId w:val="37"/>
  </w:num>
  <w:num w:numId="24">
    <w:abstractNumId w:val="33"/>
  </w:num>
  <w:num w:numId="25">
    <w:abstractNumId w:val="36"/>
  </w:num>
  <w:num w:numId="26">
    <w:abstractNumId w:val="43"/>
  </w:num>
  <w:num w:numId="27">
    <w:abstractNumId w:val="21"/>
  </w:num>
  <w:num w:numId="28">
    <w:abstractNumId w:val="9"/>
  </w:num>
  <w:num w:numId="29">
    <w:abstractNumId w:val="30"/>
  </w:num>
  <w:num w:numId="30">
    <w:abstractNumId w:val="15"/>
  </w:num>
  <w:num w:numId="31">
    <w:abstractNumId w:val="3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0"/>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1"/>
  </w:num>
  <w:num w:numId="42">
    <w:abstractNumId w:val="22"/>
  </w:num>
  <w:num w:numId="43">
    <w:abstractNumId w:val="32"/>
  </w:num>
  <w:num w:numId="44">
    <w:abstractNumId w:val="29"/>
  </w:num>
  <w:num w:numId="45">
    <w:abstractNumId w:val="25"/>
  </w:num>
  <w:num w:numId="46">
    <w:abstractNumId w:val="41"/>
  </w:num>
  <w:num w:numId="47">
    <w:abstractNumId w:val="19"/>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1"/>
    <w:docVar w:name="dgnword-docGUID" w:val="{E3D9930D-65D3-484A-B8E6-A34AFFF37F02}"/>
    <w:docVar w:name="dgnword-eventsink" w:val="22516648"/>
    <w:docVar w:name="DocVarPREMATURE" w:val="0"/>
    <w:docVar w:name="EMM" w:val="0"/>
    <w:docVar w:name="ETRANSMISSION" w:val="BY E-TRANSMISSION ONLY"/>
    <w:docVar w:name="L4_1Annex" w:val="0"/>
    <w:docVar w:name="L4_1Anonymity" w:val="0"/>
    <w:docVar w:name="L4_1AppNatList" w:val="Cypriot"/>
    <w:docVar w:name="NBEMMDOC" w:val="0"/>
    <w:docVar w:name="SignForeName" w:val="0"/>
  </w:docVars>
  <w:rsids>
    <w:rsidRoot w:val="00E04788"/>
    <w:rsid w:val="00000239"/>
    <w:rsid w:val="000011FA"/>
    <w:rsid w:val="000113C5"/>
    <w:rsid w:val="0001604E"/>
    <w:rsid w:val="00016BA7"/>
    <w:rsid w:val="000208F2"/>
    <w:rsid w:val="0002225E"/>
    <w:rsid w:val="00022F50"/>
    <w:rsid w:val="00024F41"/>
    <w:rsid w:val="00025681"/>
    <w:rsid w:val="0002718F"/>
    <w:rsid w:val="00027F2A"/>
    <w:rsid w:val="00030145"/>
    <w:rsid w:val="0003102E"/>
    <w:rsid w:val="0003684D"/>
    <w:rsid w:val="0003735E"/>
    <w:rsid w:val="000452E3"/>
    <w:rsid w:val="00047138"/>
    <w:rsid w:val="00047579"/>
    <w:rsid w:val="000509EA"/>
    <w:rsid w:val="00051560"/>
    <w:rsid w:val="00055C05"/>
    <w:rsid w:val="00056C21"/>
    <w:rsid w:val="00056CE9"/>
    <w:rsid w:val="00060E20"/>
    <w:rsid w:val="00062F5C"/>
    <w:rsid w:val="00065C0F"/>
    <w:rsid w:val="00065E42"/>
    <w:rsid w:val="00065F0A"/>
    <w:rsid w:val="00066C0C"/>
    <w:rsid w:val="000670AA"/>
    <w:rsid w:val="00070AB3"/>
    <w:rsid w:val="00073205"/>
    <w:rsid w:val="0007490B"/>
    <w:rsid w:val="00075945"/>
    <w:rsid w:val="000763E5"/>
    <w:rsid w:val="00077A02"/>
    <w:rsid w:val="00081C70"/>
    <w:rsid w:val="00082038"/>
    <w:rsid w:val="00082591"/>
    <w:rsid w:val="00085B7A"/>
    <w:rsid w:val="00087743"/>
    <w:rsid w:val="00087905"/>
    <w:rsid w:val="00093B9D"/>
    <w:rsid w:val="000A0B79"/>
    <w:rsid w:val="000A429C"/>
    <w:rsid w:val="000A4898"/>
    <w:rsid w:val="000B0249"/>
    <w:rsid w:val="000B0EA4"/>
    <w:rsid w:val="000B14C7"/>
    <w:rsid w:val="000B25E2"/>
    <w:rsid w:val="000B6D93"/>
    <w:rsid w:val="000B75C7"/>
    <w:rsid w:val="000B7833"/>
    <w:rsid w:val="000B7B5B"/>
    <w:rsid w:val="000C0264"/>
    <w:rsid w:val="000C1099"/>
    <w:rsid w:val="000C2BC7"/>
    <w:rsid w:val="000C48B1"/>
    <w:rsid w:val="000C49EF"/>
    <w:rsid w:val="000C5436"/>
    <w:rsid w:val="000D1200"/>
    <w:rsid w:val="000D5709"/>
    <w:rsid w:val="000D6928"/>
    <w:rsid w:val="000E394B"/>
    <w:rsid w:val="000E67D8"/>
    <w:rsid w:val="000F10B9"/>
    <w:rsid w:val="000F5385"/>
    <w:rsid w:val="001007B5"/>
    <w:rsid w:val="00102806"/>
    <w:rsid w:val="00102ADD"/>
    <w:rsid w:val="001054D7"/>
    <w:rsid w:val="0010578E"/>
    <w:rsid w:val="0010750B"/>
    <w:rsid w:val="001104CE"/>
    <w:rsid w:val="00111536"/>
    <w:rsid w:val="00111A6B"/>
    <w:rsid w:val="00113D07"/>
    <w:rsid w:val="00120231"/>
    <w:rsid w:val="00122998"/>
    <w:rsid w:val="00122A5A"/>
    <w:rsid w:val="00124AC9"/>
    <w:rsid w:val="001300C2"/>
    <w:rsid w:val="00130FE8"/>
    <w:rsid w:val="00131817"/>
    <w:rsid w:val="00131B7E"/>
    <w:rsid w:val="00132A2B"/>
    <w:rsid w:val="00133163"/>
    <w:rsid w:val="00133FB0"/>
    <w:rsid w:val="0013479C"/>
    <w:rsid w:val="00135B44"/>
    <w:rsid w:val="00135C21"/>
    <w:rsid w:val="00136E87"/>
    <w:rsid w:val="00137129"/>
    <w:rsid w:val="00140664"/>
    <w:rsid w:val="00143A43"/>
    <w:rsid w:val="00144D22"/>
    <w:rsid w:val="001456A3"/>
    <w:rsid w:val="00147F3F"/>
    <w:rsid w:val="001526EC"/>
    <w:rsid w:val="00157170"/>
    <w:rsid w:val="0015737C"/>
    <w:rsid w:val="001608CE"/>
    <w:rsid w:val="001609D3"/>
    <w:rsid w:val="00161B3A"/>
    <w:rsid w:val="00161DDD"/>
    <w:rsid w:val="0016208D"/>
    <w:rsid w:val="00162C51"/>
    <w:rsid w:val="00163E92"/>
    <w:rsid w:val="0016441C"/>
    <w:rsid w:val="0016682B"/>
    <w:rsid w:val="0017055B"/>
    <w:rsid w:val="001711F9"/>
    <w:rsid w:val="00183173"/>
    <w:rsid w:val="0018649C"/>
    <w:rsid w:val="00186F4A"/>
    <w:rsid w:val="001877AE"/>
    <w:rsid w:val="001A458F"/>
    <w:rsid w:val="001A52D3"/>
    <w:rsid w:val="001A57DB"/>
    <w:rsid w:val="001A5D71"/>
    <w:rsid w:val="001A6436"/>
    <w:rsid w:val="001A7B4A"/>
    <w:rsid w:val="001B2845"/>
    <w:rsid w:val="001B29A9"/>
    <w:rsid w:val="001B2B2F"/>
    <w:rsid w:val="001B416C"/>
    <w:rsid w:val="001B6DF7"/>
    <w:rsid w:val="001B7635"/>
    <w:rsid w:val="001C0085"/>
    <w:rsid w:val="001C4348"/>
    <w:rsid w:val="001C7B1B"/>
    <w:rsid w:val="001C7F7C"/>
    <w:rsid w:val="001D7687"/>
    <w:rsid w:val="001D76FE"/>
    <w:rsid w:val="001D7A3B"/>
    <w:rsid w:val="001D7FEB"/>
    <w:rsid w:val="001E36DD"/>
    <w:rsid w:val="001E5C33"/>
    <w:rsid w:val="001E6E05"/>
    <w:rsid w:val="001F6271"/>
    <w:rsid w:val="00201502"/>
    <w:rsid w:val="00207309"/>
    <w:rsid w:val="002110BB"/>
    <w:rsid w:val="00212140"/>
    <w:rsid w:val="002208EB"/>
    <w:rsid w:val="00222273"/>
    <w:rsid w:val="002239C6"/>
    <w:rsid w:val="00224626"/>
    <w:rsid w:val="0022660E"/>
    <w:rsid w:val="00232FFE"/>
    <w:rsid w:val="002341E2"/>
    <w:rsid w:val="00234378"/>
    <w:rsid w:val="00236FBE"/>
    <w:rsid w:val="00240DED"/>
    <w:rsid w:val="00241534"/>
    <w:rsid w:val="00241EA9"/>
    <w:rsid w:val="00243302"/>
    <w:rsid w:val="00245232"/>
    <w:rsid w:val="00256098"/>
    <w:rsid w:val="00262ED6"/>
    <w:rsid w:val="0026602B"/>
    <w:rsid w:val="00267449"/>
    <w:rsid w:val="002711E5"/>
    <w:rsid w:val="002739B8"/>
    <w:rsid w:val="00273C4B"/>
    <w:rsid w:val="00273F3B"/>
    <w:rsid w:val="00276F28"/>
    <w:rsid w:val="0028353B"/>
    <w:rsid w:val="00284DE4"/>
    <w:rsid w:val="00285331"/>
    <w:rsid w:val="00286078"/>
    <w:rsid w:val="00287C09"/>
    <w:rsid w:val="002916F5"/>
    <w:rsid w:val="002926FB"/>
    <w:rsid w:val="002A09A9"/>
    <w:rsid w:val="002A1055"/>
    <w:rsid w:val="002A3A5D"/>
    <w:rsid w:val="002A7958"/>
    <w:rsid w:val="002A7E06"/>
    <w:rsid w:val="002B083D"/>
    <w:rsid w:val="002B1007"/>
    <w:rsid w:val="002B5F4D"/>
    <w:rsid w:val="002B6CAF"/>
    <w:rsid w:val="002C266E"/>
    <w:rsid w:val="002C561D"/>
    <w:rsid w:val="002D0FB3"/>
    <w:rsid w:val="002D25FA"/>
    <w:rsid w:val="002D3AE2"/>
    <w:rsid w:val="002D47C8"/>
    <w:rsid w:val="002E000E"/>
    <w:rsid w:val="002E6AC2"/>
    <w:rsid w:val="002E78B3"/>
    <w:rsid w:val="002E7EB5"/>
    <w:rsid w:val="002F1B77"/>
    <w:rsid w:val="002F1C5E"/>
    <w:rsid w:val="002F2617"/>
    <w:rsid w:val="002F2E1E"/>
    <w:rsid w:val="002F30C5"/>
    <w:rsid w:val="002F4517"/>
    <w:rsid w:val="002F4B0A"/>
    <w:rsid w:val="002F664F"/>
    <w:rsid w:val="002F6DDA"/>
    <w:rsid w:val="003016E2"/>
    <w:rsid w:val="00301B7D"/>
    <w:rsid w:val="00302BA5"/>
    <w:rsid w:val="003033BB"/>
    <w:rsid w:val="00304712"/>
    <w:rsid w:val="00306076"/>
    <w:rsid w:val="0030675E"/>
    <w:rsid w:val="00306900"/>
    <w:rsid w:val="00310EFC"/>
    <w:rsid w:val="00312E37"/>
    <w:rsid w:val="00314EE9"/>
    <w:rsid w:val="00316374"/>
    <w:rsid w:val="003167DC"/>
    <w:rsid w:val="003211EC"/>
    <w:rsid w:val="00323828"/>
    <w:rsid w:val="003276EF"/>
    <w:rsid w:val="00327814"/>
    <w:rsid w:val="00327918"/>
    <w:rsid w:val="0033143A"/>
    <w:rsid w:val="00333B4D"/>
    <w:rsid w:val="00334178"/>
    <w:rsid w:val="00335612"/>
    <w:rsid w:val="0033767C"/>
    <w:rsid w:val="00337B6B"/>
    <w:rsid w:val="003435C1"/>
    <w:rsid w:val="00343952"/>
    <w:rsid w:val="00345543"/>
    <w:rsid w:val="00346BCF"/>
    <w:rsid w:val="00352483"/>
    <w:rsid w:val="00353112"/>
    <w:rsid w:val="00355EE1"/>
    <w:rsid w:val="00357F5B"/>
    <w:rsid w:val="003608A6"/>
    <w:rsid w:val="00362EC2"/>
    <w:rsid w:val="00364E15"/>
    <w:rsid w:val="0036508F"/>
    <w:rsid w:val="00366EAA"/>
    <w:rsid w:val="003674D4"/>
    <w:rsid w:val="00367AB6"/>
    <w:rsid w:val="00373770"/>
    <w:rsid w:val="00374E8A"/>
    <w:rsid w:val="00376B49"/>
    <w:rsid w:val="00376C15"/>
    <w:rsid w:val="00377681"/>
    <w:rsid w:val="00380703"/>
    <w:rsid w:val="00384B84"/>
    <w:rsid w:val="00385F99"/>
    <w:rsid w:val="00386D6E"/>
    <w:rsid w:val="00387CD3"/>
    <w:rsid w:val="00390D92"/>
    <w:rsid w:val="0039228C"/>
    <w:rsid w:val="00395365"/>
    <w:rsid w:val="003954DC"/>
    <w:rsid w:val="003960F7"/>
    <w:rsid w:val="003A0219"/>
    <w:rsid w:val="003A1DD0"/>
    <w:rsid w:val="003A26F8"/>
    <w:rsid w:val="003A3CC5"/>
    <w:rsid w:val="003A51B9"/>
    <w:rsid w:val="003A5AF5"/>
    <w:rsid w:val="003A5FA8"/>
    <w:rsid w:val="003A663B"/>
    <w:rsid w:val="003A6F2A"/>
    <w:rsid w:val="003B0292"/>
    <w:rsid w:val="003B1D53"/>
    <w:rsid w:val="003B3354"/>
    <w:rsid w:val="003B50C3"/>
    <w:rsid w:val="003B5B00"/>
    <w:rsid w:val="003B5B21"/>
    <w:rsid w:val="003B5FA7"/>
    <w:rsid w:val="003C025C"/>
    <w:rsid w:val="003C1AAB"/>
    <w:rsid w:val="003C1FEF"/>
    <w:rsid w:val="003C2556"/>
    <w:rsid w:val="003C27F8"/>
    <w:rsid w:val="003C3446"/>
    <w:rsid w:val="003C416C"/>
    <w:rsid w:val="003C5015"/>
    <w:rsid w:val="003C5C16"/>
    <w:rsid w:val="003C6038"/>
    <w:rsid w:val="003D1080"/>
    <w:rsid w:val="003D2111"/>
    <w:rsid w:val="003D34BB"/>
    <w:rsid w:val="003D425A"/>
    <w:rsid w:val="003D5539"/>
    <w:rsid w:val="003D5E40"/>
    <w:rsid w:val="003D731E"/>
    <w:rsid w:val="003E3FD4"/>
    <w:rsid w:val="003E7766"/>
    <w:rsid w:val="003F2754"/>
    <w:rsid w:val="003F3B02"/>
    <w:rsid w:val="003F50E6"/>
    <w:rsid w:val="003F63FE"/>
    <w:rsid w:val="00405F84"/>
    <w:rsid w:val="00406490"/>
    <w:rsid w:val="0040652E"/>
    <w:rsid w:val="00407CBF"/>
    <w:rsid w:val="00407FDD"/>
    <w:rsid w:val="00410BD8"/>
    <w:rsid w:val="00411AB2"/>
    <w:rsid w:val="004126AC"/>
    <w:rsid w:val="00414126"/>
    <w:rsid w:val="004144C6"/>
    <w:rsid w:val="00414C5D"/>
    <w:rsid w:val="00416501"/>
    <w:rsid w:val="00417D35"/>
    <w:rsid w:val="00420FD6"/>
    <w:rsid w:val="00424B7C"/>
    <w:rsid w:val="00427AD7"/>
    <w:rsid w:val="00436AD3"/>
    <w:rsid w:val="00445BD8"/>
    <w:rsid w:val="00452AA0"/>
    <w:rsid w:val="004612E0"/>
    <w:rsid w:val="00463C4A"/>
    <w:rsid w:val="0046592B"/>
    <w:rsid w:val="00466013"/>
    <w:rsid w:val="00466B5B"/>
    <w:rsid w:val="00472843"/>
    <w:rsid w:val="0047285A"/>
    <w:rsid w:val="00474980"/>
    <w:rsid w:val="00481C4A"/>
    <w:rsid w:val="00484F1D"/>
    <w:rsid w:val="00487126"/>
    <w:rsid w:val="00487830"/>
    <w:rsid w:val="00491CBD"/>
    <w:rsid w:val="004925FA"/>
    <w:rsid w:val="00493AB0"/>
    <w:rsid w:val="00493F8D"/>
    <w:rsid w:val="00497707"/>
    <w:rsid w:val="00497DBE"/>
    <w:rsid w:val="004A0173"/>
    <w:rsid w:val="004A0FDC"/>
    <w:rsid w:val="004A21F0"/>
    <w:rsid w:val="004A33FB"/>
    <w:rsid w:val="004A428C"/>
    <w:rsid w:val="004A73C2"/>
    <w:rsid w:val="004B0B6A"/>
    <w:rsid w:val="004B2E41"/>
    <w:rsid w:val="004B3407"/>
    <w:rsid w:val="004B3EA9"/>
    <w:rsid w:val="004B448F"/>
    <w:rsid w:val="004B550D"/>
    <w:rsid w:val="004C1BFD"/>
    <w:rsid w:val="004C27EB"/>
    <w:rsid w:val="004C427C"/>
    <w:rsid w:val="004C4569"/>
    <w:rsid w:val="004C464E"/>
    <w:rsid w:val="004C6DBA"/>
    <w:rsid w:val="004C7197"/>
    <w:rsid w:val="004C77FF"/>
    <w:rsid w:val="004D024C"/>
    <w:rsid w:val="004D0442"/>
    <w:rsid w:val="004D057F"/>
    <w:rsid w:val="004D0707"/>
    <w:rsid w:val="004D1713"/>
    <w:rsid w:val="004D3B8D"/>
    <w:rsid w:val="004D6FA8"/>
    <w:rsid w:val="004E02E0"/>
    <w:rsid w:val="004E0731"/>
    <w:rsid w:val="004E09CC"/>
    <w:rsid w:val="004E5A43"/>
    <w:rsid w:val="004F0C33"/>
    <w:rsid w:val="004F1F3E"/>
    <w:rsid w:val="004F75F1"/>
    <w:rsid w:val="00502125"/>
    <w:rsid w:val="0050565F"/>
    <w:rsid w:val="0050796E"/>
    <w:rsid w:val="00510655"/>
    <w:rsid w:val="005123FF"/>
    <w:rsid w:val="0051346E"/>
    <w:rsid w:val="0051352E"/>
    <w:rsid w:val="00513992"/>
    <w:rsid w:val="00516771"/>
    <w:rsid w:val="00517AF5"/>
    <w:rsid w:val="00521E8F"/>
    <w:rsid w:val="00523162"/>
    <w:rsid w:val="00526C6C"/>
    <w:rsid w:val="00527738"/>
    <w:rsid w:val="0053051D"/>
    <w:rsid w:val="00531D88"/>
    <w:rsid w:val="00532942"/>
    <w:rsid w:val="00537B56"/>
    <w:rsid w:val="00541423"/>
    <w:rsid w:val="00542066"/>
    <w:rsid w:val="00543A2B"/>
    <w:rsid w:val="00543DA1"/>
    <w:rsid w:val="00545ED7"/>
    <w:rsid w:val="00545FAF"/>
    <w:rsid w:val="00552F4F"/>
    <w:rsid w:val="005543EF"/>
    <w:rsid w:val="005558DF"/>
    <w:rsid w:val="00556E53"/>
    <w:rsid w:val="005572D8"/>
    <w:rsid w:val="00557373"/>
    <w:rsid w:val="00563F4E"/>
    <w:rsid w:val="00564AD9"/>
    <w:rsid w:val="0056590A"/>
    <w:rsid w:val="0056681C"/>
    <w:rsid w:val="00567508"/>
    <w:rsid w:val="00573829"/>
    <w:rsid w:val="0057478C"/>
    <w:rsid w:val="0057787B"/>
    <w:rsid w:val="00577EA3"/>
    <w:rsid w:val="00583D91"/>
    <w:rsid w:val="00585284"/>
    <w:rsid w:val="00586324"/>
    <w:rsid w:val="0059036E"/>
    <w:rsid w:val="005912A4"/>
    <w:rsid w:val="00592D69"/>
    <w:rsid w:val="005933DE"/>
    <w:rsid w:val="00593734"/>
    <w:rsid w:val="0059490D"/>
    <w:rsid w:val="00594B25"/>
    <w:rsid w:val="0059662B"/>
    <w:rsid w:val="005A0E20"/>
    <w:rsid w:val="005A2233"/>
    <w:rsid w:val="005A2800"/>
    <w:rsid w:val="005A45F2"/>
    <w:rsid w:val="005A6C59"/>
    <w:rsid w:val="005B10FE"/>
    <w:rsid w:val="005B393D"/>
    <w:rsid w:val="005B52BE"/>
    <w:rsid w:val="005C0266"/>
    <w:rsid w:val="005C3B9E"/>
    <w:rsid w:val="005C3CED"/>
    <w:rsid w:val="005C50D6"/>
    <w:rsid w:val="005D0FD9"/>
    <w:rsid w:val="005D6F95"/>
    <w:rsid w:val="005E046F"/>
    <w:rsid w:val="005E1482"/>
    <w:rsid w:val="005E189D"/>
    <w:rsid w:val="005E2519"/>
    <w:rsid w:val="005E4661"/>
    <w:rsid w:val="005F1131"/>
    <w:rsid w:val="005F311F"/>
    <w:rsid w:val="005F52E2"/>
    <w:rsid w:val="005F6206"/>
    <w:rsid w:val="005F788B"/>
    <w:rsid w:val="00600781"/>
    <w:rsid w:val="006047CA"/>
    <w:rsid w:val="006078B9"/>
    <w:rsid w:val="00613D62"/>
    <w:rsid w:val="00615031"/>
    <w:rsid w:val="00621743"/>
    <w:rsid w:val="0062217B"/>
    <w:rsid w:val="00622A10"/>
    <w:rsid w:val="00622C74"/>
    <w:rsid w:val="00624DE1"/>
    <w:rsid w:val="00626074"/>
    <w:rsid w:val="00627AE8"/>
    <w:rsid w:val="0063389E"/>
    <w:rsid w:val="0063533A"/>
    <w:rsid w:val="00640631"/>
    <w:rsid w:val="00640A2A"/>
    <w:rsid w:val="00640CE1"/>
    <w:rsid w:val="00641B9E"/>
    <w:rsid w:val="00646D85"/>
    <w:rsid w:val="00651697"/>
    <w:rsid w:val="00651B21"/>
    <w:rsid w:val="00653314"/>
    <w:rsid w:val="006552AF"/>
    <w:rsid w:val="00656548"/>
    <w:rsid w:val="00656C39"/>
    <w:rsid w:val="00666747"/>
    <w:rsid w:val="00670F0E"/>
    <w:rsid w:val="00671A46"/>
    <w:rsid w:val="006746F5"/>
    <w:rsid w:val="00675242"/>
    <w:rsid w:val="006762AB"/>
    <w:rsid w:val="00680978"/>
    <w:rsid w:val="00684465"/>
    <w:rsid w:val="0068557A"/>
    <w:rsid w:val="00690050"/>
    <w:rsid w:val="00691421"/>
    <w:rsid w:val="00694121"/>
    <w:rsid w:val="00695B7E"/>
    <w:rsid w:val="0069624A"/>
    <w:rsid w:val="006A3ADA"/>
    <w:rsid w:val="006A5990"/>
    <w:rsid w:val="006B0E8F"/>
    <w:rsid w:val="006B28D6"/>
    <w:rsid w:val="006B6135"/>
    <w:rsid w:val="006B689C"/>
    <w:rsid w:val="006B7CEB"/>
    <w:rsid w:val="006C0571"/>
    <w:rsid w:val="006C2EC6"/>
    <w:rsid w:val="006C34CD"/>
    <w:rsid w:val="006C4583"/>
    <w:rsid w:val="006C6F4F"/>
    <w:rsid w:val="006D134B"/>
    <w:rsid w:val="006D20BB"/>
    <w:rsid w:val="006D2631"/>
    <w:rsid w:val="006D3675"/>
    <w:rsid w:val="006D56FF"/>
    <w:rsid w:val="006D6867"/>
    <w:rsid w:val="006D6E3A"/>
    <w:rsid w:val="006D770E"/>
    <w:rsid w:val="006E11EA"/>
    <w:rsid w:val="006E22E6"/>
    <w:rsid w:val="006E252C"/>
    <w:rsid w:val="006E4963"/>
    <w:rsid w:val="006E5EF7"/>
    <w:rsid w:val="006F03F6"/>
    <w:rsid w:val="006F192D"/>
    <w:rsid w:val="00704F99"/>
    <w:rsid w:val="007141BD"/>
    <w:rsid w:val="00715D78"/>
    <w:rsid w:val="00717DA7"/>
    <w:rsid w:val="00720DAC"/>
    <w:rsid w:val="0072220C"/>
    <w:rsid w:val="00722FB5"/>
    <w:rsid w:val="00724534"/>
    <w:rsid w:val="00724E52"/>
    <w:rsid w:val="00725AC1"/>
    <w:rsid w:val="00727DBF"/>
    <w:rsid w:val="00730E28"/>
    <w:rsid w:val="00731752"/>
    <w:rsid w:val="007349E4"/>
    <w:rsid w:val="00735023"/>
    <w:rsid w:val="00736548"/>
    <w:rsid w:val="007373FB"/>
    <w:rsid w:val="007430B1"/>
    <w:rsid w:val="00746252"/>
    <w:rsid w:val="00747791"/>
    <w:rsid w:val="00747897"/>
    <w:rsid w:val="007519A8"/>
    <w:rsid w:val="007545A0"/>
    <w:rsid w:val="0075487B"/>
    <w:rsid w:val="00756858"/>
    <w:rsid w:val="0075772A"/>
    <w:rsid w:val="007614D0"/>
    <w:rsid w:val="00764174"/>
    <w:rsid w:val="00764EC9"/>
    <w:rsid w:val="007651E2"/>
    <w:rsid w:val="00772AEA"/>
    <w:rsid w:val="00772C65"/>
    <w:rsid w:val="00775250"/>
    <w:rsid w:val="00781369"/>
    <w:rsid w:val="007836D8"/>
    <w:rsid w:val="007853B1"/>
    <w:rsid w:val="00791718"/>
    <w:rsid w:val="00791971"/>
    <w:rsid w:val="007974CA"/>
    <w:rsid w:val="00797B28"/>
    <w:rsid w:val="007A12C7"/>
    <w:rsid w:val="007A477C"/>
    <w:rsid w:val="007A52DC"/>
    <w:rsid w:val="007A5E3F"/>
    <w:rsid w:val="007A6893"/>
    <w:rsid w:val="007A79E4"/>
    <w:rsid w:val="007B22B3"/>
    <w:rsid w:val="007B6D26"/>
    <w:rsid w:val="007B6FC6"/>
    <w:rsid w:val="007B75D8"/>
    <w:rsid w:val="007C3CFE"/>
    <w:rsid w:val="007D101D"/>
    <w:rsid w:val="007D1425"/>
    <w:rsid w:val="007D6332"/>
    <w:rsid w:val="007D67AB"/>
    <w:rsid w:val="007E2A87"/>
    <w:rsid w:val="007E5698"/>
    <w:rsid w:val="007E58B5"/>
    <w:rsid w:val="007E7913"/>
    <w:rsid w:val="007F3C8B"/>
    <w:rsid w:val="00801163"/>
    <w:rsid w:val="008037D5"/>
    <w:rsid w:val="00810C88"/>
    <w:rsid w:val="00810D20"/>
    <w:rsid w:val="008115AE"/>
    <w:rsid w:val="00814DC7"/>
    <w:rsid w:val="008212FF"/>
    <w:rsid w:val="00822F6D"/>
    <w:rsid w:val="0083033D"/>
    <w:rsid w:val="00830C74"/>
    <w:rsid w:val="008335EC"/>
    <w:rsid w:val="00834B7F"/>
    <w:rsid w:val="0083740B"/>
    <w:rsid w:val="00837B52"/>
    <w:rsid w:val="00840645"/>
    <w:rsid w:val="008436EF"/>
    <w:rsid w:val="008447EE"/>
    <w:rsid w:val="00844AEA"/>
    <w:rsid w:val="0084523B"/>
    <w:rsid w:val="00847C36"/>
    <w:rsid w:val="0085125A"/>
    <w:rsid w:val="0085261B"/>
    <w:rsid w:val="00853281"/>
    <w:rsid w:val="0085502C"/>
    <w:rsid w:val="00857589"/>
    <w:rsid w:val="00857DC2"/>
    <w:rsid w:val="00861BCC"/>
    <w:rsid w:val="0086491A"/>
    <w:rsid w:val="008670CD"/>
    <w:rsid w:val="00870C7F"/>
    <w:rsid w:val="00873C53"/>
    <w:rsid w:val="00877A0F"/>
    <w:rsid w:val="008811EA"/>
    <w:rsid w:val="00881B2A"/>
    <w:rsid w:val="008853BD"/>
    <w:rsid w:val="00885A90"/>
    <w:rsid w:val="0088622F"/>
    <w:rsid w:val="00892C69"/>
    <w:rsid w:val="008937B2"/>
    <w:rsid w:val="00893FFD"/>
    <w:rsid w:val="00895E8A"/>
    <w:rsid w:val="00896C7D"/>
    <w:rsid w:val="008A0435"/>
    <w:rsid w:val="008A300B"/>
    <w:rsid w:val="008A31CD"/>
    <w:rsid w:val="008A3659"/>
    <w:rsid w:val="008A6E78"/>
    <w:rsid w:val="008B04F7"/>
    <w:rsid w:val="008B32B1"/>
    <w:rsid w:val="008B347C"/>
    <w:rsid w:val="008B45B3"/>
    <w:rsid w:val="008C1063"/>
    <w:rsid w:val="008C15C9"/>
    <w:rsid w:val="008C2E76"/>
    <w:rsid w:val="008C6743"/>
    <w:rsid w:val="008C7454"/>
    <w:rsid w:val="008D050D"/>
    <w:rsid w:val="008D2D38"/>
    <w:rsid w:val="008D4F8E"/>
    <w:rsid w:val="008D67BF"/>
    <w:rsid w:val="008E39F0"/>
    <w:rsid w:val="008E5FDF"/>
    <w:rsid w:val="008E681B"/>
    <w:rsid w:val="008E6AE7"/>
    <w:rsid w:val="008E6CA4"/>
    <w:rsid w:val="008E7741"/>
    <w:rsid w:val="008F37B7"/>
    <w:rsid w:val="008F5888"/>
    <w:rsid w:val="008F5B15"/>
    <w:rsid w:val="009014E2"/>
    <w:rsid w:val="009016AA"/>
    <w:rsid w:val="00902AAF"/>
    <w:rsid w:val="0090330D"/>
    <w:rsid w:val="00910072"/>
    <w:rsid w:val="00911BE6"/>
    <w:rsid w:val="00913495"/>
    <w:rsid w:val="009147BA"/>
    <w:rsid w:val="009167BF"/>
    <w:rsid w:val="009249B4"/>
    <w:rsid w:val="00931457"/>
    <w:rsid w:val="009340BD"/>
    <w:rsid w:val="00935D98"/>
    <w:rsid w:val="00942D3C"/>
    <w:rsid w:val="00942DE8"/>
    <w:rsid w:val="009441E8"/>
    <w:rsid w:val="00945AD6"/>
    <w:rsid w:val="00946776"/>
    <w:rsid w:val="00950DE5"/>
    <w:rsid w:val="00950E9C"/>
    <w:rsid w:val="00955651"/>
    <w:rsid w:val="00955893"/>
    <w:rsid w:val="00957FE8"/>
    <w:rsid w:val="00962B26"/>
    <w:rsid w:val="00963390"/>
    <w:rsid w:val="009679AA"/>
    <w:rsid w:val="00970331"/>
    <w:rsid w:val="00973D3E"/>
    <w:rsid w:val="0097581A"/>
    <w:rsid w:val="0097640C"/>
    <w:rsid w:val="0098767E"/>
    <w:rsid w:val="00991AB1"/>
    <w:rsid w:val="009920D5"/>
    <w:rsid w:val="0099252D"/>
    <w:rsid w:val="009926D7"/>
    <w:rsid w:val="00992793"/>
    <w:rsid w:val="00993B1D"/>
    <w:rsid w:val="00996374"/>
    <w:rsid w:val="009A6377"/>
    <w:rsid w:val="009A7426"/>
    <w:rsid w:val="009B0572"/>
    <w:rsid w:val="009B2F6A"/>
    <w:rsid w:val="009B50BE"/>
    <w:rsid w:val="009B6100"/>
    <w:rsid w:val="009C191E"/>
    <w:rsid w:val="009C465C"/>
    <w:rsid w:val="009C5E95"/>
    <w:rsid w:val="009D2DA4"/>
    <w:rsid w:val="009D49B5"/>
    <w:rsid w:val="009D4C46"/>
    <w:rsid w:val="009D61CF"/>
    <w:rsid w:val="009D7387"/>
    <w:rsid w:val="009D7AFC"/>
    <w:rsid w:val="009E21DB"/>
    <w:rsid w:val="009E2C7D"/>
    <w:rsid w:val="009E2E64"/>
    <w:rsid w:val="009E7D42"/>
    <w:rsid w:val="009F157D"/>
    <w:rsid w:val="009F18B7"/>
    <w:rsid w:val="009F2D13"/>
    <w:rsid w:val="009F2F1A"/>
    <w:rsid w:val="009F4A01"/>
    <w:rsid w:val="009F5CA0"/>
    <w:rsid w:val="00A02EB2"/>
    <w:rsid w:val="00A0463D"/>
    <w:rsid w:val="00A11A45"/>
    <w:rsid w:val="00A12079"/>
    <w:rsid w:val="00A1238E"/>
    <w:rsid w:val="00A221E0"/>
    <w:rsid w:val="00A2335D"/>
    <w:rsid w:val="00A23918"/>
    <w:rsid w:val="00A254A4"/>
    <w:rsid w:val="00A2761A"/>
    <w:rsid w:val="00A27908"/>
    <w:rsid w:val="00A31BBB"/>
    <w:rsid w:val="00A31BD3"/>
    <w:rsid w:val="00A32A00"/>
    <w:rsid w:val="00A349A2"/>
    <w:rsid w:val="00A35D1B"/>
    <w:rsid w:val="00A36CC5"/>
    <w:rsid w:val="00A373B5"/>
    <w:rsid w:val="00A406F7"/>
    <w:rsid w:val="00A4216E"/>
    <w:rsid w:val="00A44DF7"/>
    <w:rsid w:val="00A46AFC"/>
    <w:rsid w:val="00A578BA"/>
    <w:rsid w:val="00A60442"/>
    <w:rsid w:val="00A62023"/>
    <w:rsid w:val="00A623C9"/>
    <w:rsid w:val="00A62A95"/>
    <w:rsid w:val="00A64878"/>
    <w:rsid w:val="00A6685D"/>
    <w:rsid w:val="00A674E5"/>
    <w:rsid w:val="00A67CD3"/>
    <w:rsid w:val="00A7103C"/>
    <w:rsid w:val="00A716F0"/>
    <w:rsid w:val="00A73A28"/>
    <w:rsid w:val="00A757DA"/>
    <w:rsid w:val="00A856F4"/>
    <w:rsid w:val="00A86710"/>
    <w:rsid w:val="00A90115"/>
    <w:rsid w:val="00A93735"/>
    <w:rsid w:val="00A9459A"/>
    <w:rsid w:val="00A97099"/>
    <w:rsid w:val="00A97E67"/>
    <w:rsid w:val="00AA0817"/>
    <w:rsid w:val="00AA0B83"/>
    <w:rsid w:val="00AA0C6F"/>
    <w:rsid w:val="00AA69EF"/>
    <w:rsid w:val="00AA78F0"/>
    <w:rsid w:val="00AB1133"/>
    <w:rsid w:val="00AB33CD"/>
    <w:rsid w:val="00AB4244"/>
    <w:rsid w:val="00AB4A2F"/>
    <w:rsid w:val="00AB7566"/>
    <w:rsid w:val="00AB7BC3"/>
    <w:rsid w:val="00AC07A8"/>
    <w:rsid w:val="00AC2EE5"/>
    <w:rsid w:val="00AC4FBA"/>
    <w:rsid w:val="00AC70D7"/>
    <w:rsid w:val="00AC7126"/>
    <w:rsid w:val="00AC7A2D"/>
    <w:rsid w:val="00AD3CBF"/>
    <w:rsid w:val="00AE0474"/>
    <w:rsid w:val="00AE1D78"/>
    <w:rsid w:val="00AE386C"/>
    <w:rsid w:val="00AF17F6"/>
    <w:rsid w:val="00AF18C8"/>
    <w:rsid w:val="00AF31DD"/>
    <w:rsid w:val="00AF50F1"/>
    <w:rsid w:val="00AF5618"/>
    <w:rsid w:val="00AF6D9C"/>
    <w:rsid w:val="00AF70F9"/>
    <w:rsid w:val="00B005E8"/>
    <w:rsid w:val="00B00E55"/>
    <w:rsid w:val="00B0416B"/>
    <w:rsid w:val="00B04DAA"/>
    <w:rsid w:val="00B05180"/>
    <w:rsid w:val="00B05AEA"/>
    <w:rsid w:val="00B21569"/>
    <w:rsid w:val="00B22409"/>
    <w:rsid w:val="00B250AA"/>
    <w:rsid w:val="00B269FC"/>
    <w:rsid w:val="00B2748F"/>
    <w:rsid w:val="00B30352"/>
    <w:rsid w:val="00B30761"/>
    <w:rsid w:val="00B309A2"/>
    <w:rsid w:val="00B33AA8"/>
    <w:rsid w:val="00B412D0"/>
    <w:rsid w:val="00B41D44"/>
    <w:rsid w:val="00B4420E"/>
    <w:rsid w:val="00B44CEF"/>
    <w:rsid w:val="00B47B45"/>
    <w:rsid w:val="00B533FF"/>
    <w:rsid w:val="00B54A2B"/>
    <w:rsid w:val="00B5671E"/>
    <w:rsid w:val="00B62A66"/>
    <w:rsid w:val="00B63DF4"/>
    <w:rsid w:val="00B64CB9"/>
    <w:rsid w:val="00B663C2"/>
    <w:rsid w:val="00B734D2"/>
    <w:rsid w:val="00B737D1"/>
    <w:rsid w:val="00B73EC7"/>
    <w:rsid w:val="00B75733"/>
    <w:rsid w:val="00B77C6B"/>
    <w:rsid w:val="00B815E4"/>
    <w:rsid w:val="00B81749"/>
    <w:rsid w:val="00B82597"/>
    <w:rsid w:val="00B9434B"/>
    <w:rsid w:val="00B94FF3"/>
    <w:rsid w:val="00B959F7"/>
    <w:rsid w:val="00B979EC"/>
    <w:rsid w:val="00BA123F"/>
    <w:rsid w:val="00BA181B"/>
    <w:rsid w:val="00BA1918"/>
    <w:rsid w:val="00BA58B1"/>
    <w:rsid w:val="00BA5A88"/>
    <w:rsid w:val="00BA74C7"/>
    <w:rsid w:val="00BB0D3F"/>
    <w:rsid w:val="00BB34D6"/>
    <w:rsid w:val="00BB4C9A"/>
    <w:rsid w:val="00BB5958"/>
    <w:rsid w:val="00BC1025"/>
    <w:rsid w:val="00BC131E"/>
    <w:rsid w:val="00BC2A47"/>
    <w:rsid w:val="00BC59E9"/>
    <w:rsid w:val="00BC5E2D"/>
    <w:rsid w:val="00BC7EAF"/>
    <w:rsid w:val="00BD1FB1"/>
    <w:rsid w:val="00BD322D"/>
    <w:rsid w:val="00BD6569"/>
    <w:rsid w:val="00BD78D0"/>
    <w:rsid w:val="00BE33FF"/>
    <w:rsid w:val="00BE43E0"/>
    <w:rsid w:val="00BE6A62"/>
    <w:rsid w:val="00BE6D27"/>
    <w:rsid w:val="00BE6E0A"/>
    <w:rsid w:val="00BF04D7"/>
    <w:rsid w:val="00BF217F"/>
    <w:rsid w:val="00BF2AE8"/>
    <w:rsid w:val="00BF4404"/>
    <w:rsid w:val="00BF4797"/>
    <w:rsid w:val="00BF4CF5"/>
    <w:rsid w:val="00BF5D4E"/>
    <w:rsid w:val="00BF5FA7"/>
    <w:rsid w:val="00BF63EF"/>
    <w:rsid w:val="00BF798E"/>
    <w:rsid w:val="00C02B2D"/>
    <w:rsid w:val="00C05ADB"/>
    <w:rsid w:val="00C05DF8"/>
    <w:rsid w:val="00C06329"/>
    <w:rsid w:val="00C06DAA"/>
    <w:rsid w:val="00C148D4"/>
    <w:rsid w:val="00C1550D"/>
    <w:rsid w:val="00C159C7"/>
    <w:rsid w:val="00C173CC"/>
    <w:rsid w:val="00C23D7A"/>
    <w:rsid w:val="00C32675"/>
    <w:rsid w:val="00C361FB"/>
    <w:rsid w:val="00C369D6"/>
    <w:rsid w:val="00C37F99"/>
    <w:rsid w:val="00C40252"/>
    <w:rsid w:val="00C43617"/>
    <w:rsid w:val="00C4375D"/>
    <w:rsid w:val="00C45667"/>
    <w:rsid w:val="00C457BC"/>
    <w:rsid w:val="00C47B5C"/>
    <w:rsid w:val="00C47F9D"/>
    <w:rsid w:val="00C536EC"/>
    <w:rsid w:val="00C555B5"/>
    <w:rsid w:val="00C55B74"/>
    <w:rsid w:val="00C56761"/>
    <w:rsid w:val="00C571F5"/>
    <w:rsid w:val="00C61986"/>
    <w:rsid w:val="00C75A49"/>
    <w:rsid w:val="00C75DBB"/>
    <w:rsid w:val="00C7687A"/>
    <w:rsid w:val="00C8134D"/>
    <w:rsid w:val="00C82612"/>
    <w:rsid w:val="00C83500"/>
    <w:rsid w:val="00C83871"/>
    <w:rsid w:val="00C85808"/>
    <w:rsid w:val="00C871B7"/>
    <w:rsid w:val="00C87EB3"/>
    <w:rsid w:val="00C95830"/>
    <w:rsid w:val="00C96085"/>
    <w:rsid w:val="00C97F46"/>
    <w:rsid w:val="00CA26B6"/>
    <w:rsid w:val="00CA2C1A"/>
    <w:rsid w:val="00CA43AC"/>
    <w:rsid w:val="00CA4784"/>
    <w:rsid w:val="00CA6D03"/>
    <w:rsid w:val="00CB0ABF"/>
    <w:rsid w:val="00CB1BE8"/>
    <w:rsid w:val="00CB5ADF"/>
    <w:rsid w:val="00CB7811"/>
    <w:rsid w:val="00CC36B1"/>
    <w:rsid w:val="00CC613D"/>
    <w:rsid w:val="00CD2832"/>
    <w:rsid w:val="00CD5E65"/>
    <w:rsid w:val="00CE1582"/>
    <w:rsid w:val="00CF1102"/>
    <w:rsid w:val="00CF18A5"/>
    <w:rsid w:val="00CF1B3E"/>
    <w:rsid w:val="00CF1BC0"/>
    <w:rsid w:val="00CF2F46"/>
    <w:rsid w:val="00CF356A"/>
    <w:rsid w:val="00CF45E7"/>
    <w:rsid w:val="00D02608"/>
    <w:rsid w:val="00D02D55"/>
    <w:rsid w:val="00D0552D"/>
    <w:rsid w:val="00D07ADF"/>
    <w:rsid w:val="00D10F80"/>
    <w:rsid w:val="00D12406"/>
    <w:rsid w:val="00D12671"/>
    <w:rsid w:val="00D129DC"/>
    <w:rsid w:val="00D14012"/>
    <w:rsid w:val="00D170EE"/>
    <w:rsid w:val="00D2268E"/>
    <w:rsid w:val="00D23ED4"/>
    <w:rsid w:val="00D261AF"/>
    <w:rsid w:val="00D3049D"/>
    <w:rsid w:val="00D311C6"/>
    <w:rsid w:val="00D34A26"/>
    <w:rsid w:val="00D34BFD"/>
    <w:rsid w:val="00D34DA6"/>
    <w:rsid w:val="00D405E7"/>
    <w:rsid w:val="00D40C94"/>
    <w:rsid w:val="00D40D30"/>
    <w:rsid w:val="00D41600"/>
    <w:rsid w:val="00D41D08"/>
    <w:rsid w:val="00D42087"/>
    <w:rsid w:val="00D469F9"/>
    <w:rsid w:val="00D47C0B"/>
    <w:rsid w:val="00D569CB"/>
    <w:rsid w:val="00D57113"/>
    <w:rsid w:val="00D61C9D"/>
    <w:rsid w:val="00D629BB"/>
    <w:rsid w:val="00D64294"/>
    <w:rsid w:val="00D66335"/>
    <w:rsid w:val="00D66B4B"/>
    <w:rsid w:val="00D66D46"/>
    <w:rsid w:val="00D7177F"/>
    <w:rsid w:val="00D73D02"/>
    <w:rsid w:val="00D74162"/>
    <w:rsid w:val="00D757A5"/>
    <w:rsid w:val="00D77B5B"/>
    <w:rsid w:val="00D827F3"/>
    <w:rsid w:val="00D90E16"/>
    <w:rsid w:val="00D913F0"/>
    <w:rsid w:val="00D92383"/>
    <w:rsid w:val="00D92405"/>
    <w:rsid w:val="00D95434"/>
    <w:rsid w:val="00D968E7"/>
    <w:rsid w:val="00D9741C"/>
    <w:rsid w:val="00DA24A3"/>
    <w:rsid w:val="00DA31DD"/>
    <w:rsid w:val="00DA320B"/>
    <w:rsid w:val="00DA432E"/>
    <w:rsid w:val="00DA57D2"/>
    <w:rsid w:val="00DA679D"/>
    <w:rsid w:val="00DA7F12"/>
    <w:rsid w:val="00DB1EB7"/>
    <w:rsid w:val="00DB58CE"/>
    <w:rsid w:val="00DB6576"/>
    <w:rsid w:val="00DB6844"/>
    <w:rsid w:val="00DB6BBD"/>
    <w:rsid w:val="00DB6CC8"/>
    <w:rsid w:val="00DC705F"/>
    <w:rsid w:val="00DD1421"/>
    <w:rsid w:val="00DD19A1"/>
    <w:rsid w:val="00DD1B24"/>
    <w:rsid w:val="00DD39CD"/>
    <w:rsid w:val="00DD4CAE"/>
    <w:rsid w:val="00DD4DB0"/>
    <w:rsid w:val="00DD6296"/>
    <w:rsid w:val="00DD67D3"/>
    <w:rsid w:val="00DD744E"/>
    <w:rsid w:val="00DE4E3C"/>
    <w:rsid w:val="00DE7416"/>
    <w:rsid w:val="00DF27DB"/>
    <w:rsid w:val="00E00D45"/>
    <w:rsid w:val="00E03368"/>
    <w:rsid w:val="00E03407"/>
    <w:rsid w:val="00E04788"/>
    <w:rsid w:val="00E06FAC"/>
    <w:rsid w:val="00E0754D"/>
    <w:rsid w:val="00E07B24"/>
    <w:rsid w:val="00E07DC5"/>
    <w:rsid w:val="00E10969"/>
    <w:rsid w:val="00E11DC4"/>
    <w:rsid w:val="00E12744"/>
    <w:rsid w:val="00E12E51"/>
    <w:rsid w:val="00E146C2"/>
    <w:rsid w:val="00E15811"/>
    <w:rsid w:val="00E15A70"/>
    <w:rsid w:val="00E17294"/>
    <w:rsid w:val="00E17DEE"/>
    <w:rsid w:val="00E2160E"/>
    <w:rsid w:val="00E2189E"/>
    <w:rsid w:val="00E2370C"/>
    <w:rsid w:val="00E26081"/>
    <w:rsid w:val="00E31FEC"/>
    <w:rsid w:val="00E350A0"/>
    <w:rsid w:val="00E3639A"/>
    <w:rsid w:val="00E3773B"/>
    <w:rsid w:val="00E4056F"/>
    <w:rsid w:val="00E41491"/>
    <w:rsid w:val="00E43644"/>
    <w:rsid w:val="00E45CC1"/>
    <w:rsid w:val="00E46AE7"/>
    <w:rsid w:val="00E51BC6"/>
    <w:rsid w:val="00E5596F"/>
    <w:rsid w:val="00E6426B"/>
    <w:rsid w:val="00E662D6"/>
    <w:rsid w:val="00E710C2"/>
    <w:rsid w:val="00E713EF"/>
    <w:rsid w:val="00E738C4"/>
    <w:rsid w:val="00E771C7"/>
    <w:rsid w:val="00E777C7"/>
    <w:rsid w:val="00E77F85"/>
    <w:rsid w:val="00E816FD"/>
    <w:rsid w:val="00E82422"/>
    <w:rsid w:val="00E8638F"/>
    <w:rsid w:val="00E86949"/>
    <w:rsid w:val="00E90B3E"/>
    <w:rsid w:val="00E9188C"/>
    <w:rsid w:val="00E92712"/>
    <w:rsid w:val="00E97EE9"/>
    <w:rsid w:val="00EA12AF"/>
    <w:rsid w:val="00EA182A"/>
    <w:rsid w:val="00EA2CDA"/>
    <w:rsid w:val="00EA6BB0"/>
    <w:rsid w:val="00EA7C7D"/>
    <w:rsid w:val="00EC01B7"/>
    <w:rsid w:val="00EC03B7"/>
    <w:rsid w:val="00EC1394"/>
    <w:rsid w:val="00EC2A7F"/>
    <w:rsid w:val="00EC7896"/>
    <w:rsid w:val="00EC7E16"/>
    <w:rsid w:val="00ED61D3"/>
    <w:rsid w:val="00EE013F"/>
    <w:rsid w:val="00EE2458"/>
    <w:rsid w:val="00EE3569"/>
    <w:rsid w:val="00EE56B5"/>
    <w:rsid w:val="00EE601C"/>
    <w:rsid w:val="00EE6397"/>
    <w:rsid w:val="00EF0CB3"/>
    <w:rsid w:val="00EF23BC"/>
    <w:rsid w:val="00EF3227"/>
    <w:rsid w:val="00EF358D"/>
    <w:rsid w:val="00EF4272"/>
    <w:rsid w:val="00F0052D"/>
    <w:rsid w:val="00F01F8E"/>
    <w:rsid w:val="00F03300"/>
    <w:rsid w:val="00F064E0"/>
    <w:rsid w:val="00F07100"/>
    <w:rsid w:val="00F10751"/>
    <w:rsid w:val="00F10D4B"/>
    <w:rsid w:val="00F1216A"/>
    <w:rsid w:val="00F12AAF"/>
    <w:rsid w:val="00F15660"/>
    <w:rsid w:val="00F2135E"/>
    <w:rsid w:val="00F21744"/>
    <w:rsid w:val="00F22FB1"/>
    <w:rsid w:val="00F23CA7"/>
    <w:rsid w:val="00F262D9"/>
    <w:rsid w:val="00F2743C"/>
    <w:rsid w:val="00F304EB"/>
    <w:rsid w:val="00F3197D"/>
    <w:rsid w:val="00F378C5"/>
    <w:rsid w:val="00F40E84"/>
    <w:rsid w:val="00F41D18"/>
    <w:rsid w:val="00F41D3F"/>
    <w:rsid w:val="00F428FC"/>
    <w:rsid w:val="00F43B7A"/>
    <w:rsid w:val="00F44003"/>
    <w:rsid w:val="00F46024"/>
    <w:rsid w:val="00F503F9"/>
    <w:rsid w:val="00F52EA9"/>
    <w:rsid w:val="00F541A5"/>
    <w:rsid w:val="00F60C69"/>
    <w:rsid w:val="00F61B9F"/>
    <w:rsid w:val="00F62C7D"/>
    <w:rsid w:val="00F64909"/>
    <w:rsid w:val="00F64DED"/>
    <w:rsid w:val="00F64E91"/>
    <w:rsid w:val="00F653A9"/>
    <w:rsid w:val="00F66195"/>
    <w:rsid w:val="00F734AD"/>
    <w:rsid w:val="00F74080"/>
    <w:rsid w:val="00F74F26"/>
    <w:rsid w:val="00F752E9"/>
    <w:rsid w:val="00F7623C"/>
    <w:rsid w:val="00F76DE2"/>
    <w:rsid w:val="00F77D58"/>
    <w:rsid w:val="00F8425B"/>
    <w:rsid w:val="00F8695E"/>
    <w:rsid w:val="00F86C6E"/>
    <w:rsid w:val="00F87E15"/>
    <w:rsid w:val="00F91115"/>
    <w:rsid w:val="00F91118"/>
    <w:rsid w:val="00F91720"/>
    <w:rsid w:val="00F91A2B"/>
    <w:rsid w:val="00F93535"/>
    <w:rsid w:val="00F94820"/>
    <w:rsid w:val="00F94F88"/>
    <w:rsid w:val="00F95E28"/>
    <w:rsid w:val="00FA03DF"/>
    <w:rsid w:val="00FA37B6"/>
    <w:rsid w:val="00FA5026"/>
    <w:rsid w:val="00FA57BC"/>
    <w:rsid w:val="00FA6EFE"/>
    <w:rsid w:val="00FB17E0"/>
    <w:rsid w:val="00FB34DC"/>
    <w:rsid w:val="00FB4002"/>
    <w:rsid w:val="00FB455B"/>
    <w:rsid w:val="00FB4CCE"/>
    <w:rsid w:val="00FC0342"/>
    <w:rsid w:val="00FC0636"/>
    <w:rsid w:val="00FC2BB7"/>
    <w:rsid w:val="00FC3DF9"/>
    <w:rsid w:val="00FC4A77"/>
    <w:rsid w:val="00FC5C83"/>
    <w:rsid w:val="00FC778C"/>
    <w:rsid w:val="00FD0BBA"/>
    <w:rsid w:val="00FD12F4"/>
    <w:rsid w:val="00FD2DF2"/>
    <w:rsid w:val="00FD41D9"/>
    <w:rsid w:val="00FD4278"/>
    <w:rsid w:val="00FD6680"/>
    <w:rsid w:val="00FE0AF7"/>
    <w:rsid w:val="00FE5267"/>
    <w:rsid w:val="00FE7EE3"/>
    <w:rsid w:val="00FF01C0"/>
    <w:rsid w:val="00FF1E21"/>
    <w:rsid w:val="00FF250F"/>
    <w:rsid w:val="00FF47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48"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F44003"/>
    <w:pPr>
      <w:jc w:val="both"/>
    </w:pPr>
    <w:rPr>
      <w:rFonts w:eastAsiaTheme="minorEastAsia"/>
      <w:sz w:val="24"/>
    </w:rPr>
  </w:style>
  <w:style w:type="paragraph" w:styleId="Heading1">
    <w:name w:val="heading 1"/>
    <w:basedOn w:val="Normal"/>
    <w:next w:val="Normal"/>
    <w:link w:val="Heading1Char"/>
    <w:uiPriority w:val="99"/>
    <w:semiHidden/>
    <w:rsid w:val="00E3639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3639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3639A"/>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3639A"/>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3639A"/>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E3639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E3639A"/>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E3639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E3639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ara">
    <w:name w:val="ECHR_Para"/>
    <w:aliases w:val="Ju_Para"/>
    <w:basedOn w:val="Normal"/>
    <w:link w:val="JuParaCar"/>
    <w:uiPriority w:val="12"/>
    <w:qFormat/>
    <w:rsid w:val="00F44003"/>
    <w:pPr>
      <w:ind w:firstLine="284"/>
    </w:pPr>
  </w:style>
  <w:style w:type="character" w:customStyle="1" w:styleId="JuParaCar">
    <w:name w:val="Ju_Para Car"/>
    <w:link w:val="ECHRPara"/>
    <w:uiPriority w:val="12"/>
    <w:rsid w:val="00DD4DB0"/>
    <w:rPr>
      <w:rFonts w:eastAsiaTheme="minorEastAsia"/>
      <w:sz w:val="24"/>
      <w:lang w:val="bg-BG" w:eastAsia="bg-BG"/>
    </w:rPr>
  </w:style>
  <w:style w:type="paragraph" w:customStyle="1" w:styleId="ECHRTitle1">
    <w:name w:val="ECHR_Title_1"/>
    <w:aliases w:val="Ju_H_Head"/>
    <w:basedOn w:val="Normal"/>
    <w:next w:val="ECHRPara"/>
    <w:uiPriority w:val="18"/>
    <w:qFormat/>
    <w:rsid w:val="00E3639A"/>
    <w:pPr>
      <w:keepNext/>
      <w:keepLines/>
      <w:spacing w:before="720" w:after="240"/>
      <w:outlineLvl w:val="0"/>
    </w:pPr>
    <w:rPr>
      <w:rFonts w:asciiTheme="majorHAnsi" w:hAnsiTheme="majorHAnsi"/>
      <w:sz w:val="28"/>
    </w:rPr>
  </w:style>
  <w:style w:type="paragraph" w:styleId="Footer">
    <w:name w:val="footer"/>
    <w:basedOn w:val="Normal"/>
    <w:link w:val="FooterChar"/>
    <w:rsid w:val="00E3639A"/>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qFormat/>
    <w:rsid w:val="00E3639A"/>
    <w:pPr>
      <w:tabs>
        <w:tab w:val="left" w:pos="567"/>
        <w:tab w:val="left" w:pos="1134"/>
      </w:tabs>
      <w:jc w:val="left"/>
    </w:pPr>
  </w:style>
  <w:style w:type="character" w:customStyle="1" w:styleId="JuJudgesChar">
    <w:name w:val="Ju_Judges Char"/>
    <w:link w:val="ECHRDecisionBody"/>
    <w:rsid w:val="00E17294"/>
    <w:rPr>
      <w:rFonts w:eastAsiaTheme="minorEastAsia"/>
      <w:sz w:val="24"/>
    </w:rPr>
  </w:style>
  <w:style w:type="paragraph" w:customStyle="1" w:styleId="ECHRHeading2">
    <w:name w:val="ECHR_Heading_2"/>
    <w:aliases w:val="Ju_H_A"/>
    <w:basedOn w:val="Heading2"/>
    <w:next w:val="ECHRPara"/>
    <w:link w:val="JuHAChar"/>
    <w:qFormat/>
    <w:rsid w:val="00E3639A"/>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link w:val="JuQuotChar"/>
    <w:qFormat/>
    <w:rsid w:val="00E3639A"/>
    <w:pPr>
      <w:spacing w:before="120" w:after="120"/>
      <w:ind w:left="425" w:firstLine="142"/>
    </w:pPr>
    <w:rPr>
      <w:sz w:val="20"/>
    </w:rPr>
  </w:style>
  <w:style w:type="paragraph" w:customStyle="1" w:styleId="JuSigned">
    <w:name w:val="Ju_Signed"/>
    <w:basedOn w:val="Normal"/>
    <w:next w:val="JuParaLast"/>
    <w:link w:val="JuSignedChar"/>
    <w:uiPriority w:val="32"/>
    <w:qFormat/>
    <w:rsid w:val="00E3639A"/>
    <w:pPr>
      <w:tabs>
        <w:tab w:val="center" w:pos="851"/>
        <w:tab w:val="center" w:pos="6407"/>
      </w:tabs>
      <w:spacing w:before="720"/>
      <w:jc w:val="left"/>
    </w:pPr>
  </w:style>
  <w:style w:type="paragraph" w:customStyle="1" w:styleId="JuParaLast">
    <w:name w:val="Ju_Para_Last"/>
    <w:basedOn w:val="Normal"/>
    <w:next w:val="ECHRPara"/>
    <w:qFormat/>
    <w:rsid w:val="00E3639A"/>
    <w:pPr>
      <w:keepNext/>
      <w:keepLines/>
      <w:spacing w:before="240"/>
      <w:ind w:firstLine="284"/>
    </w:pPr>
  </w:style>
  <w:style w:type="character" w:customStyle="1" w:styleId="JuSignedChar">
    <w:name w:val="Ju_Signed Char"/>
    <w:link w:val="JuSigned"/>
    <w:uiPriority w:val="32"/>
    <w:rsid w:val="00E17294"/>
    <w:rPr>
      <w:rFonts w:eastAsiaTheme="minorEastAsia"/>
      <w:sz w:val="24"/>
    </w:rPr>
  </w:style>
  <w:style w:type="paragraph" w:customStyle="1" w:styleId="JuCase">
    <w:name w:val="Ju_Case"/>
    <w:basedOn w:val="Normal"/>
    <w:next w:val="ECHRPara"/>
    <w:uiPriority w:val="10"/>
    <w:rsid w:val="00E3639A"/>
    <w:pPr>
      <w:ind w:firstLine="284"/>
    </w:pPr>
    <w:rPr>
      <w:b/>
    </w:rPr>
  </w:style>
  <w:style w:type="paragraph" w:customStyle="1" w:styleId="JuList">
    <w:name w:val="Ju_List"/>
    <w:basedOn w:val="Normal"/>
    <w:link w:val="JuListChar"/>
    <w:uiPriority w:val="28"/>
    <w:qFormat/>
    <w:rsid w:val="00E3639A"/>
    <w:pPr>
      <w:ind w:left="340" w:hanging="340"/>
    </w:pPr>
  </w:style>
  <w:style w:type="character" w:customStyle="1" w:styleId="JuListChar">
    <w:name w:val="Ju_List Char"/>
    <w:basedOn w:val="JuParaCar"/>
    <w:link w:val="JuList"/>
    <w:uiPriority w:val="28"/>
    <w:rsid w:val="005B393D"/>
    <w:rPr>
      <w:rFonts w:eastAsiaTheme="minorEastAsia"/>
      <w:sz w:val="24"/>
      <w:lang w:val="bg-BG" w:eastAsia="bg-BG"/>
    </w:rPr>
  </w:style>
  <w:style w:type="paragraph" w:styleId="CommentSubject">
    <w:name w:val="annotation subject"/>
    <w:basedOn w:val="CommentText"/>
    <w:next w:val="CommentText"/>
    <w:uiPriority w:val="99"/>
    <w:semiHidden/>
    <w:rsid w:val="00931457"/>
    <w:rPr>
      <w:b/>
      <w:bCs/>
    </w:rPr>
  </w:style>
  <w:style w:type="paragraph" w:styleId="CommentText">
    <w:name w:val="annotation text"/>
    <w:basedOn w:val="Normal"/>
    <w:semiHidden/>
    <w:rPr>
      <w:sz w:val="20"/>
    </w:rPr>
  </w:style>
  <w:style w:type="paragraph" w:styleId="FootnoteText">
    <w:name w:val="footnote text"/>
    <w:aliases w:val="RC_Footnote_Text"/>
    <w:basedOn w:val="Normal"/>
    <w:link w:val="FootnoteTextChar"/>
    <w:semiHidden/>
    <w:rsid w:val="00E3639A"/>
    <w:rPr>
      <w:sz w:val="20"/>
      <w:szCs w:val="20"/>
    </w:rPr>
  </w:style>
  <w:style w:type="character" w:styleId="FootnoteReference">
    <w:name w:val="footnote reference"/>
    <w:basedOn w:val="DefaultParagraphFont"/>
    <w:rsid w:val="00E3639A"/>
    <w:rPr>
      <w:vertAlign w:val="superscript"/>
    </w:rPr>
  </w:style>
  <w:style w:type="paragraph" w:styleId="Header">
    <w:name w:val="header"/>
    <w:basedOn w:val="Normal"/>
    <w:link w:val="HeaderChar"/>
    <w:uiPriority w:val="48"/>
    <w:rsid w:val="00E3639A"/>
    <w:pPr>
      <w:tabs>
        <w:tab w:val="center" w:pos="4536"/>
        <w:tab w:val="right" w:pos="9072"/>
      </w:tabs>
    </w:pPr>
    <w:rPr>
      <w:rFonts w:eastAsiaTheme="minorHAnsi"/>
    </w:rPr>
  </w:style>
  <w:style w:type="character" w:styleId="PageNumber">
    <w:name w:val="page number"/>
    <w:uiPriority w:val="99"/>
    <w:semiHidden/>
    <w:rsid w:val="00C05DF8"/>
    <w:rPr>
      <w:sz w:val="18"/>
    </w:rPr>
  </w:style>
  <w:style w:type="paragraph" w:customStyle="1" w:styleId="JuLista">
    <w:name w:val="Ju_List_a"/>
    <w:basedOn w:val="JuList"/>
    <w:uiPriority w:val="28"/>
    <w:qFormat/>
    <w:rsid w:val="00E3639A"/>
    <w:pPr>
      <w:ind w:left="346" w:firstLine="0"/>
    </w:pPr>
  </w:style>
  <w:style w:type="paragraph" w:customStyle="1" w:styleId="JuListi">
    <w:name w:val="Ju_List_i"/>
    <w:basedOn w:val="Normal"/>
    <w:next w:val="JuLista"/>
    <w:uiPriority w:val="28"/>
    <w:qFormat/>
    <w:rsid w:val="00E3639A"/>
    <w:pPr>
      <w:ind w:left="794"/>
    </w:pPr>
  </w:style>
  <w:style w:type="character" w:styleId="CommentReference">
    <w:name w:val="annotation reference"/>
    <w:semiHidden/>
    <w:rPr>
      <w:sz w:val="16"/>
    </w:rPr>
  </w:style>
  <w:style w:type="paragraph" w:styleId="BalloonText">
    <w:name w:val="Balloon Text"/>
    <w:basedOn w:val="Normal"/>
    <w:link w:val="BalloonTextChar"/>
    <w:uiPriority w:val="99"/>
    <w:semiHidden/>
    <w:rsid w:val="00E3639A"/>
    <w:rPr>
      <w:rFonts w:ascii="Tahoma" w:hAnsi="Tahoma" w:cs="Tahoma"/>
      <w:sz w:val="16"/>
      <w:szCs w:val="16"/>
    </w:rPr>
  </w:style>
  <w:style w:type="character" w:styleId="EndnoteReference">
    <w:name w:val="endnote reference"/>
    <w:uiPriority w:val="99"/>
    <w:semiHidden/>
    <w:rsid w:val="00C05DF8"/>
    <w:rPr>
      <w:vertAlign w:val="superscript"/>
    </w:rPr>
  </w:style>
  <w:style w:type="paragraph" w:styleId="EndnoteText">
    <w:name w:val="endnote text"/>
    <w:basedOn w:val="Normal"/>
    <w:uiPriority w:val="99"/>
    <w:semiHidden/>
    <w:rsid w:val="00C05DF8"/>
    <w:rPr>
      <w:sz w:val="20"/>
    </w:rPr>
  </w:style>
  <w:style w:type="character" w:styleId="FollowedHyperlink">
    <w:name w:val="FollowedHyperlink"/>
    <w:uiPriority w:val="99"/>
    <w:semiHidden/>
    <w:rsid w:val="00C05DF8"/>
    <w:rPr>
      <w:color w:val="800080"/>
      <w:u w:val="single"/>
    </w:rPr>
  </w:style>
  <w:style w:type="character" w:styleId="Hyperlink">
    <w:name w:val="Hyperlink"/>
    <w:basedOn w:val="DefaultParagraphFont"/>
    <w:uiPriority w:val="99"/>
    <w:semiHidden/>
    <w:rsid w:val="00E3639A"/>
    <w:rPr>
      <w:color w:val="0072BC" w:themeColor="hyperlink"/>
      <w:u w:val="single"/>
    </w:rPr>
  </w:style>
  <w:style w:type="paragraph" w:styleId="DocumentMap">
    <w:name w:val="Document Map"/>
    <w:basedOn w:val="Normal"/>
    <w:uiPriority w:val="99"/>
    <w:semiHidden/>
    <w:rsid w:val="00545ED7"/>
    <w:pPr>
      <w:shd w:val="clear" w:color="auto" w:fill="000080"/>
    </w:pPr>
    <w:rPr>
      <w:rFonts w:ascii="Tahoma" w:hAnsi="Tahoma" w:cs="Tahoma"/>
      <w:sz w:val="20"/>
    </w:rPr>
  </w:style>
  <w:style w:type="paragraph" w:styleId="ListBullet">
    <w:name w:val="List Bullet"/>
    <w:basedOn w:val="Normal"/>
    <w:uiPriority w:val="99"/>
    <w:semiHidden/>
    <w:rsid w:val="00545ED7"/>
    <w:pPr>
      <w:numPr>
        <w:numId w:val="5"/>
      </w:numPr>
    </w:pPr>
  </w:style>
  <w:style w:type="character" w:customStyle="1" w:styleId="Heading1Char">
    <w:name w:val="Heading 1 Char"/>
    <w:basedOn w:val="DefaultParagraphFont"/>
    <w:link w:val="Heading1"/>
    <w:uiPriority w:val="99"/>
    <w:semiHidden/>
    <w:rsid w:val="00E3639A"/>
    <w:rPr>
      <w:rFonts w:asciiTheme="majorHAnsi" w:eastAsiaTheme="majorEastAsia" w:hAnsiTheme="majorHAnsi" w:cstheme="majorBidi"/>
      <w:b/>
      <w:bCs/>
      <w:color w:val="333333"/>
      <w:sz w:val="28"/>
      <w:szCs w:val="28"/>
      <w:lang w:val="bg-BG" w:eastAsia="bg-BG"/>
    </w:rPr>
  </w:style>
  <w:style w:type="character" w:customStyle="1" w:styleId="Heading2Char">
    <w:name w:val="Heading 2 Char"/>
    <w:basedOn w:val="DefaultParagraphFont"/>
    <w:link w:val="Heading2"/>
    <w:uiPriority w:val="99"/>
    <w:semiHidden/>
    <w:rsid w:val="00E3639A"/>
    <w:rPr>
      <w:rFonts w:asciiTheme="majorHAnsi" w:eastAsiaTheme="majorEastAsia" w:hAnsiTheme="majorHAnsi" w:cstheme="majorBidi"/>
      <w:b/>
      <w:bCs/>
      <w:color w:val="4D4D4D"/>
      <w:sz w:val="26"/>
      <w:szCs w:val="26"/>
      <w:lang w:val="bg-BG" w:eastAsia="bg-BG"/>
    </w:rPr>
  </w:style>
  <w:style w:type="character" w:customStyle="1" w:styleId="Heading3Char">
    <w:name w:val="Heading 3 Char"/>
    <w:basedOn w:val="DefaultParagraphFont"/>
    <w:link w:val="Heading3"/>
    <w:uiPriority w:val="99"/>
    <w:semiHidden/>
    <w:rsid w:val="00E3639A"/>
    <w:rPr>
      <w:rFonts w:asciiTheme="majorHAnsi" w:eastAsiaTheme="majorEastAsia" w:hAnsiTheme="majorHAnsi" w:cstheme="majorBidi"/>
      <w:b/>
      <w:bCs/>
      <w:color w:val="5F5F5F"/>
      <w:sz w:val="24"/>
      <w:lang w:val="bg-BG" w:eastAsia="bg-BG"/>
    </w:rPr>
  </w:style>
  <w:style w:type="character" w:customStyle="1" w:styleId="Heading4Char">
    <w:name w:val="Heading 4 Char"/>
    <w:basedOn w:val="DefaultParagraphFont"/>
    <w:link w:val="Heading4"/>
    <w:uiPriority w:val="99"/>
    <w:semiHidden/>
    <w:rsid w:val="00E3639A"/>
    <w:rPr>
      <w:rFonts w:asciiTheme="majorHAnsi" w:eastAsiaTheme="majorEastAsia" w:hAnsiTheme="majorHAnsi" w:cstheme="majorBidi"/>
      <w:b/>
      <w:bCs/>
      <w:i/>
      <w:iCs/>
      <w:color w:val="777777"/>
      <w:sz w:val="24"/>
      <w:lang w:val="bg-BG" w:eastAsia="bg-BG"/>
    </w:rPr>
  </w:style>
  <w:style w:type="character" w:customStyle="1" w:styleId="Heading6Char">
    <w:name w:val="Heading 6 Char"/>
    <w:basedOn w:val="DefaultParagraphFont"/>
    <w:link w:val="Heading6"/>
    <w:uiPriority w:val="99"/>
    <w:semiHidden/>
    <w:rsid w:val="00E3639A"/>
    <w:rPr>
      <w:rFonts w:asciiTheme="majorHAnsi" w:eastAsiaTheme="majorEastAsia" w:hAnsiTheme="majorHAnsi" w:cstheme="majorBidi"/>
      <w:b/>
      <w:bCs/>
      <w:i/>
      <w:iCs/>
      <w:color w:val="7F7F7F" w:themeColor="text1" w:themeTint="80"/>
      <w:sz w:val="24"/>
      <w:lang w:val="bg-BG" w:eastAsia="bg-BG" w:bidi="bg-BG"/>
    </w:rPr>
  </w:style>
  <w:style w:type="character" w:customStyle="1" w:styleId="BalloonTextChar">
    <w:name w:val="Balloon Text Char"/>
    <w:basedOn w:val="DefaultParagraphFont"/>
    <w:link w:val="BalloonText"/>
    <w:uiPriority w:val="99"/>
    <w:semiHidden/>
    <w:rsid w:val="00E3639A"/>
    <w:rPr>
      <w:rFonts w:ascii="Tahoma" w:eastAsiaTheme="minorEastAsia" w:hAnsi="Tahoma" w:cs="Tahoma"/>
      <w:sz w:val="16"/>
      <w:szCs w:val="16"/>
      <w:lang w:val="bg-BG" w:eastAsia="bg-BG"/>
    </w:rPr>
  </w:style>
  <w:style w:type="paragraph" w:customStyle="1" w:styleId="ECHRFooter">
    <w:name w:val="ECHR_Footer"/>
    <w:aliases w:val="Footer_ECHR"/>
    <w:basedOn w:val="Footer"/>
    <w:uiPriority w:val="57"/>
    <w:semiHidden/>
    <w:rsid w:val="00E3639A"/>
    <w:pPr>
      <w:jc w:val="left"/>
    </w:pPr>
    <w:rPr>
      <w:sz w:val="8"/>
    </w:rPr>
  </w:style>
  <w:style w:type="paragraph" w:customStyle="1" w:styleId="ECHRFooterLine">
    <w:name w:val="ECHR_Footer_Line"/>
    <w:aliases w:val="Footer_Line"/>
    <w:basedOn w:val="Normal"/>
    <w:next w:val="ECHRFooter"/>
    <w:uiPriority w:val="57"/>
    <w:semiHidden/>
    <w:rsid w:val="00E3639A"/>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48"/>
    <w:rsid w:val="00E3639A"/>
    <w:rPr>
      <w:sz w:val="24"/>
      <w:lang w:val="bg-BG" w:eastAsia="bg-BG"/>
    </w:rPr>
  </w:style>
  <w:style w:type="paragraph" w:customStyle="1" w:styleId="ECHRHeader">
    <w:name w:val="ECHR_Header"/>
    <w:aliases w:val="Ju_Header,Top_Header"/>
    <w:basedOn w:val="Header"/>
    <w:uiPriority w:val="4"/>
    <w:qFormat/>
    <w:rsid w:val="00E3639A"/>
    <w:pPr>
      <w:tabs>
        <w:tab w:val="clear" w:pos="4536"/>
        <w:tab w:val="clear" w:pos="9072"/>
        <w:tab w:val="center" w:pos="3686"/>
        <w:tab w:val="right" w:pos="7371"/>
      </w:tabs>
      <w:jc w:val="left"/>
    </w:pPr>
    <w:rPr>
      <w:sz w:val="18"/>
    </w:rPr>
  </w:style>
  <w:style w:type="character" w:customStyle="1" w:styleId="FooterChar">
    <w:name w:val="Footer Char"/>
    <w:basedOn w:val="DefaultParagraphFont"/>
    <w:link w:val="Footer"/>
    <w:rsid w:val="00E3639A"/>
    <w:rPr>
      <w:sz w:val="24"/>
      <w:lang w:val="bg-BG" w:eastAsia="bg-BG"/>
    </w:rPr>
  </w:style>
  <w:style w:type="character" w:customStyle="1" w:styleId="FootnoteTextChar">
    <w:name w:val="Footnote Text Char"/>
    <w:aliases w:val="RC_Footnote_Text Char"/>
    <w:basedOn w:val="DefaultParagraphFont"/>
    <w:link w:val="FootnoteText"/>
    <w:rsid w:val="00E3639A"/>
    <w:rPr>
      <w:rFonts w:eastAsiaTheme="minorEastAsia"/>
      <w:sz w:val="20"/>
      <w:szCs w:val="20"/>
      <w:lang w:val="bg-BG" w:eastAsia="bg-BG"/>
    </w:rPr>
  </w:style>
  <w:style w:type="paragraph" w:customStyle="1" w:styleId="JuAppQuestion">
    <w:name w:val="Ju_App_Question"/>
    <w:basedOn w:val="Normal"/>
    <w:uiPriority w:val="5"/>
    <w:semiHidden/>
    <w:rsid w:val="00E3639A"/>
    <w:pPr>
      <w:numPr>
        <w:numId w:val="14"/>
      </w:numPr>
      <w:jc w:val="left"/>
    </w:pPr>
    <w:rPr>
      <w:b/>
    </w:rPr>
  </w:style>
  <w:style w:type="paragraph" w:customStyle="1" w:styleId="OpiPara">
    <w:name w:val="Opi_Para"/>
    <w:basedOn w:val="ECHRPara"/>
    <w:uiPriority w:val="46"/>
    <w:qFormat/>
    <w:rsid w:val="00E3639A"/>
  </w:style>
  <w:style w:type="paragraph" w:customStyle="1" w:styleId="JuParaSub">
    <w:name w:val="Ju_Para_Sub"/>
    <w:basedOn w:val="ECHRPara"/>
    <w:uiPriority w:val="13"/>
    <w:qFormat/>
    <w:rsid w:val="00E3639A"/>
    <w:pPr>
      <w:ind w:left="284"/>
    </w:pPr>
  </w:style>
  <w:style w:type="paragraph" w:customStyle="1" w:styleId="OpiParaSub">
    <w:name w:val="Opi_Para_Sub"/>
    <w:basedOn w:val="JuParaSub"/>
    <w:uiPriority w:val="47"/>
    <w:qFormat/>
    <w:rsid w:val="00E3639A"/>
  </w:style>
  <w:style w:type="paragraph" w:customStyle="1" w:styleId="OpiQuot">
    <w:name w:val="Opi_Quot"/>
    <w:basedOn w:val="ECHRParaQuote"/>
    <w:uiPriority w:val="48"/>
    <w:qFormat/>
    <w:rsid w:val="00E3639A"/>
  </w:style>
  <w:style w:type="paragraph" w:customStyle="1" w:styleId="OpiQuotSub">
    <w:name w:val="Opi_Quot_Sub"/>
    <w:basedOn w:val="JuQuotSub"/>
    <w:uiPriority w:val="49"/>
    <w:qFormat/>
    <w:rsid w:val="00E3639A"/>
  </w:style>
  <w:style w:type="paragraph" w:customStyle="1" w:styleId="ECHRTitleCentre3">
    <w:name w:val="ECHR_Title_Centre_3"/>
    <w:aliases w:val="Ju_H_Article"/>
    <w:basedOn w:val="Normal"/>
    <w:next w:val="ECHRParaQuote"/>
    <w:qFormat/>
    <w:rsid w:val="00E3639A"/>
    <w:pPr>
      <w:keepNext/>
      <w:keepLines/>
      <w:spacing w:before="240" w:after="120"/>
      <w:jc w:val="center"/>
      <w:outlineLvl w:val="3"/>
    </w:pPr>
    <w:rPr>
      <w:rFonts w:asciiTheme="majorHAnsi" w:hAnsiTheme="majorHAnsi"/>
      <w:b/>
      <w:sz w:val="20"/>
    </w:rPr>
  </w:style>
  <w:style w:type="paragraph" w:customStyle="1" w:styleId="ECHRTitleCentre2">
    <w:name w:val="ECHR_Title_Centre_2"/>
    <w:aliases w:val="Dec_H_Case"/>
    <w:basedOn w:val="Normal"/>
    <w:next w:val="ECHRPara"/>
    <w:uiPriority w:val="8"/>
    <w:semiHidden/>
    <w:rsid w:val="00E3639A"/>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E3639A"/>
    <w:pPr>
      <w:spacing w:before="720" w:after="240"/>
      <w:jc w:val="center"/>
      <w:outlineLvl w:val="0"/>
    </w:pPr>
    <w:rPr>
      <w:rFonts w:asciiTheme="majorHAnsi" w:hAnsiTheme="majorHAnsi"/>
      <w:b/>
      <w:caps/>
    </w:rPr>
  </w:style>
  <w:style w:type="paragraph" w:customStyle="1" w:styleId="ECHRTitleCentre1">
    <w:name w:val="ECHR_Title_Centre_1"/>
    <w:aliases w:val="Opi_H_Head"/>
    <w:basedOn w:val="Normal"/>
    <w:next w:val="OpiPara"/>
    <w:uiPriority w:val="39"/>
    <w:qFormat/>
    <w:rsid w:val="00E3639A"/>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E3639A"/>
    <w:pPr>
      <w:ind w:left="567"/>
    </w:pPr>
  </w:style>
  <w:style w:type="paragraph" w:customStyle="1" w:styleId="JuInitialled">
    <w:name w:val="Ju_Initialled"/>
    <w:basedOn w:val="Normal"/>
    <w:qFormat/>
    <w:rsid w:val="00E3639A"/>
    <w:pPr>
      <w:tabs>
        <w:tab w:val="center" w:pos="6407"/>
      </w:tabs>
      <w:spacing w:before="720"/>
      <w:jc w:val="right"/>
    </w:pPr>
  </w:style>
  <w:style w:type="character" w:customStyle="1" w:styleId="Heading5Char">
    <w:name w:val="Heading 5 Char"/>
    <w:basedOn w:val="DefaultParagraphFont"/>
    <w:link w:val="Heading5"/>
    <w:uiPriority w:val="99"/>
    <w:semiHidden/>
    <w:rsid w:val="00E3639A"/>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E3639A"/>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E3639A"/>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E3639A"/>
    <w:rPr>
      <w:rFonts w:asciiTheme="majorHAnsi" w:eastAsiaTheme="majorEastAsia" w:hAnsiTheme="majorHAnsi" w:cstheme="majorBidi"/>
      <w:i/>
      <w:iCs/>
      <w:spacing w:val="5"/>
      <w:sz w:val="20"/>
      <w:szCs w:val="20"/>
      <w:lang w:bidi="bg-BG"/>
    </w:rPr>
  </w:style>
  <w:style w:type="paragraph" w:styleId="Title">
    <w:name w:val="Title"/>
    <w:basedOn w:val="Normal"/>
    <w:next w:val="Normal"/>
    <w:link w:val="TitleChar"/>
    <w:uiPriority w:val="99"/>
    <w:semiHidden/>
    <w:qFormat/>
    <w:rsid w:val="00E3639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E3639A"/>
    <w:rPr>
      <w:rFonts w:asciiTheme="majorHAnsi" w:eastAsiaTheme="majorEastAsia" w:hAnsiTheme="majorHAnsi" w:cstheme="majorBidi"/>
      <w:spacing w:val="5"/>
      <w:sz w:val="52"/>
      <w:szCs w:val="52"/>
      <w:lang w:bidi="bg-BG"/>
    </w:rPr>
  </w:style>
  <w:style w:type="paragraph" w:styleId="Subtitle">
    <w:name w:val="Subtitle"/>
    <w:basedOn w:val="Normal"/>
    <w:next w:val="Normal"/>
    <w:link w:val="SubtitleChar"/>
    <w:uiPriority w:val="99"/>
    <w:semiHidden/>
    <w:qFormat/>
    <w:rsid w:val="00E3639A"/>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E3639A"/>
    <w:rPr>
      <w:rFonts w:asciiTheme="majorHAnsi" w:eastAsiaTheme="majorEastAsia" w:hAnsiTheme="majorHAnsi" w:cstheme="majorBidi"/>
      <w:i/>
      <w:iCs/>
      <w:spacing w:val="13"/>
      <w:sz w:val="24"/>
      <w:szCs w:val="24"/>
      <w:lang w:bidi="bg-BG"/>
    </w:rPr>
  </w:style>
  <w:style w:type="character" w:styleId="Strong">
    <w:name w:val="Strong"/>
    <w:uiPriority w:val="99"/>
    <w:semiHidden/>
    <w:qFormat/>
    <w:rsid w:val="00E3639A"/>
    <w:rPr>
      <w:b/>
      <w:bCs/>
    </w:rPr>
  </w:style>
  <w:style w:type="character" w:styleId="Emphasis">
    <w:name w:val="Emphasis"/>
    <w:uiPriority w:val="99"/>
    <w:semiHidden/>
    <w:qFormat/>
    <w:rsid w:val="00E3639A"/>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E3639A"/>
    <w:rPr>
      <w:sz w:val="22"/>
    </w:rPr>
  </w:style>
  <w:style w:type="character" w:customStyle="1" w:styleId="NoSpacingChar">
    <w:name w:val="No Spacing Char"/>
    <w:basedOn w:val="DefaultParagraphFont"/>
    <w:link w:val="NoSpacing"/>
    <w:semiHidden/>
    <w:rsid w:val="00E3639A"/>
    <w:rPr>
      <w:rFonts w:eastAsiaTheme="minorEastAsia"/>
    </w:rPr>
  </w:style>
  <w:style w:type="paragraph" w:styleId="ListParagraph">
    <w:name w:val="List Paragraph"/>
    <w:basedOn w:val="Normal"/>
    <w:uiPriority w:val="99"/>
    <w:semiHidden/>
    <w:qFormat/>
    <w:rsid w:val="00E3639A"/>
    <w:pPr>
      <w:ind w:left="720"/>
      <w:contextualSpacing/>
    </w:pPr>
  </w:style>
  <w:style w:type="paragraph" w:styleId="Quote">
    <w:name w:val="Quote"/>
    <w:basedOn w:val="Normal"/>
    <w:next w:val="Normal"/>
    <w:link w:val="QuoteChar"/>
    <w:uiPriority w:val="99"/>
    <w:semiHidden/>
    <w:qFormat/>
    <w:rsid w:val="00E3639A"/>
    <w:pPr>
      <w:spacing w:before="200"/>
      <w:ind w:left="360" w:right="360"/>
    </w:pPr>
    <w:rPr>
      <w:i/>
      <w:iCs/>
      <w:sz w:val="22"/>
    </w:rPr>
  </w:style>
  <w:style w:type="character" w:customStyle="1" w:styleId="QuoteChar">
    <w:name w:val="Quote Char"/>
    <w:basedOn w:val="DefaultParagraphFont"/>
    <w:link w:val="Quote"/>
    <w:uiPriority w:val="99"/>
    <w:semiHidden/>
    <w:rsid w:val="00E3639A"/>
    <w:rPr>
      <w:rFonts w:eastAsiaTheme="minorEastAsia"/>
      <w:i/>
      <w:iCs/>
      <w:lang w:bidi="bg-BG"/>
    </w:rPr>
  </w:style>
  <w:style w:type="paragraph" w:styleId="IntenseQuote">
    <w:name w:val="Intense Quote"/>
    <w:basedOn w:val="Normal"/>
    <w:next w:val="Normal"/>
    <w:link w:val="IntenseQuoteChar"/>
    <w:uiPriority w:val="99"/>
    <w:semiHidden/>
    <w:qFormat/>
    <w:rsid w:val="00E3639A"/>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E3639A"/>
    <w:rPr>
      <w:rFonts w:eastAsiaTheme="minorEastAsia"/>
      <w:b/>
      <w:bCs/>
      <w:i/>
      <w:iCs/>
      <w:lang w:bidi="bg-BG"/>
    </w:rPr>
  </w:style>
  <w:style w:type="character" w:styleId="SubtleEmphasis">
    <w:name w:val="Subtle Emphasis"/>
    <w:uiPriority w:val="99"/>
    <w:semiHidden/>
    <w:qFormat/>
    <w:rsid w:val="00E3639A"/>
    <w:rPr>
      <w:i/>
      <w:iCs/>
    </w:rPr>
  </w:style>
  <w:style w:type="character" w:styleId="IntenseEmphasis">
    <w:name w:val="Intense Emphasis"/>
    <w:uiPriority w:val="99"/>
    <w:semiHidden/>
    <w:qFormat/>
    <w:rsid w:val="00E3639A"/>
    <w:rPr>
      <w:b/>
      <w:bCs/>
    </w:rPr>
  </w:style>
  <w:style w:type="character" w:styleId="SubtleReference">
    <w:name w:val="Subtle Reference"/>
    <w:uiPriority w:val="99"/>
    <w:semiHidden/>
    <w:qFormat/>
    <w:rsid w:val="00E3639A"/>
    <w:rPr>
      <w:smallCaps/>
    </w:rPr>
  </w:style>
  <w:style w:type="character" w:styleId="IntenseReference">
    <w:name w:val="Intense Reference"/>
    <w:uiPriority w:val="99"/>
    <w:semiHidden/>
    <w:qFormat/>
    <w:rsid w:val="00E3639A"/>
    <w:rPr>
      <w:smallCaps/>
      <w:spacing w:val="5"/>
      <w:u w:val="single"/>
    </w:rPr>
  </w:style>
  <w:style w:type="character" w:styleId="BookTitle">
    <w:name w:val="Book Title"/>
    <w:uiPriority w:val="99"/>
    <w:semiHidden/>
    <w:qFormat/>
    <w:rsid w:val="00E3639A"/>
    <w:rPr>
      <w:i/>
      <w:iCs/>
      <w:smallCaps/>
      <w:spacing w:val="5"/>
    </w:rPr>
  </w:style>
  <w:style w:type="paragraph" w:styleId="TOCHeading">
    <w:name w:val="TOC Heading"/>
    <w:basedOn w:val="Heading1"/>
    <w:next w:val="Normal"/>
    <w:uiPriority w:val="99"/>
    <w:semiHidden/>
    <w:qFormat/>
    <w:rsid w:val="00E3639A"/>
    <w:pPr>
      <w:outlineLvl w:val="9"/>
    </w:pPr>
    <w:rPr>
      <w:color w:val="474747" w:themeColor="accent3" w:themeShade="BF"/>
    </w:rPr>
  </w:style>
  <w:style w:type="numbering" w:styleId="111111">
    <w:name w:val="Outline List 2"/>
    <w:basedOn w:val="NoList"/>
    <w:uiPriority w:val="99"/>
    <w:semiHidden/>
    <w:rsid w:val="005C3CED"/>
    <w:pPr>
      <w:numPr>
        <w:numId w:val="6"/>
      </w:numPr>
    </w:pPr>
  </w:style>
  <w:style w:type="numbering" w:styleId="1ai">
    <w:name w:val="Outline List 1"/>
    <w:basedOn w:val="NoList"/>
    <w:uiPriority w:val="99"/>
    <w:semiHidden/>
    <w:rsid w:val="005C3CED"/>
    <w:pPr>
      <w:numPr>
        <w:numId w:val="7"/>
      </w:numPr>
    </w:pPr>
  </w:style>
  <w:style w:type="numbering" w:styleId="ArticleSection">
    <w:name w:val="Outline List 3"/>
    <w:basedOn w:val="NoList"/>
    <w:uiPriority w:val="99"/>
    <w:semiHidden/>
    <w:rsid w:val="005C3CED"/>
    <w:pPr>
      <w:numPr>
        <w:numId w:val="8"/>
      </w:numPr>
    </w:pPr>
  </w:style>
  <w:style w:type="paragraph" w:styleId="Bibliography">
    <w:name w:val="Bibliography"/>
    <w:basedOn w:val="Normal"/>
    <w:next w:val="Normal"/>
    <w:uiPriority w:val="99"/>
    <w:semiHidden/>
    <w:unhideWhenUsed/>
    <w:rsid w:val="005C3CED"/>
  </w:style>
  <w:style w:type="paragraph" w:styleId="BlockText">
    <w:name w:val="Block Text"/>
    <w:basedOn w:val="Normal"/>
    <w:uiPriority w:val="99"/>
    <w:semiHidden/>
    <w:rsid w:val="005C3C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5C3CED"/>
    <w:pPr>
      <w:spacing w:after="120"/>
    </w:pPr>
  </w:style>
  <w:style w:type="character" w:customStyle="1" w:styleId="BodyTextChar">
    <w:name w:val="Body Text Char"/>
    <w:basedOn w:val="DefaultParagraphFont"/>
    <w:link w:val="BodyText"/>
    <w:rsid w:val="005C3CED"/>
    <w:rPr>
      <w:sz w:val="24"/>
      <w:lang w:val="bg-BG"/>
    </w:rPr>
  </w:style>
  <w:style w:type="paragraph" w:styleId="BodyText2">
    <w:name w:val="Body Text 2"/>
    <w:basedOn w:val="Normal"/>
    <w:link w:val="BodyText2Char"/>
    <w:uiPriority w:val="99"/>
    <w:semiHidden/>
    <w:rsid w:val="005C3CED"/>
    <w:pPr>
      <w:spacing w:after="120" w:line="480" w:lineRule="auto"/>
    </w:pPr>
  </w:style>
  <w:style w:type="character" w:customStyle="1" w:styleId="BodyText2Char">
    <w:name w:val="Body Text 2 Char"/>
    <w:basedOn w:val="DefaultParagraphFont"/>
    <w:link w:val="BodyText2"/>
    <w:rsid w:val="005C3CED"/>
    <w:rPr>
      <w:sz w:val="24"/>
      <w:lang w:val="bg-BG"/>
    </w:rPr>
  </w:style>
  <w:style w:type="paragraph" w:styleId="BodyText3">
    <w:name w:val="Body Text 3"/>
    <w:basedOn w:val="Normal"/>
    <w:link w:val="BodyText3Char"/>
    <w:uiPriority w:val="99"/>
    <w:semiHidden/>
    <w:rsid w:val="005C3CED"/>
    <w:pPr>
      <w:spacing w:after="120"/>
    </w:pPr>
    <w:rPr>
      <w:sz w:val="16"/>
      <w:szCs w:val="16"/>
    </w:rPr>
  </w:style>
  <w:style w:type="character" w:customStyle="1" w:styleId="BodyText3Char">
    <w:name w:val="Body Text 3 Char"/>
    <w:basedOn w:val="DefaultParagraphFont"/>
    <w:link w:val="BodyText3"/>
    <w:rsid w:val="005C3CED"/>
    <w:rPr>
      <w:sz w:val="16"/>
      <w:szCs w:val="16"/>
      <w:lang w:val="bg-BG"/>
    </w:rPr>
  </w:style>
  <w:style w:type="paragraph" w:styleId="BodyTextFirstIndent">
    <w:name w:val="Body Text First Indent"/>
    <w:basedOn w:val="BodyText"/>
    <w:link w:val="BodyTextFirstIndentChar"/>
    <w:uiPriority w:val="99"/>
    <w:semiHidden/>
    <w:rsid w:val="005C3CED"/>
    <w:pPr>
      <w:spacing w:after="0"/>
      <w:ind w:firstLine="360"/>
    </w:pPr>
  </w:style>
  <w:style w:type="character" w:customStyle="1" w:styleId="BodyTextFirstIndentChar">
    <w:name w:val="Body Text First Indent Char"/>
    <w:basedOn w:val="BodyTextChar"/>
    <w:link w:val="BodyTextFirstIndent"/>
    <w:rsid w:val="005C3CED"/>
    <w:rPr>
      <w:sz w:val="24"/>
      <w:lang w:val="bg-BG"/>
    </w:rPr>
  </w:style>
  <w:style w:type="paragraph" w:styleId="BodyTextIndent">
    <w:name w:val="Body Text Indent"/>
    <w:basedOn w:val="Normal"/>
    <w:link w:val="BodyTextIndentChar"/>
    <w:uiPriority w:val="99"/>
    <w:semiHidden/>
    <w:rsid w:val="005C3CED"/>
    <w:pPr>
      <w:spacing w:after="120"/>
      <w:ind w:left="283"/>
    </w:pPr>
  </w:style>
  <w:style w:type="character" w:customStyle="1" w:styleId="BodyTextIndentChar">
    <w:name w:val="Body Text Indent Char"/>
    <w:basedOn w:val="DefaultParagraphFont"/>
    <w:link w:val="BodyTextIndent"/>
    <w:rsid w:val="005C3CED"/>
    <w:rPr>
      <w:sz w:val="24"/>
      <w:lang w:val="bg-BG"/>
    </w:rPr>
  </w:style>
  <w:style w:type="paragraph" w:styleId="BodyTextFirstIndent2">
    <w:name w:val="Body Text First Indent 2"/>
    <w:basedOn w:val="BodyTextIndent"/>
    <w:link w:val="BodyTextFirstIndent2Char"/>
    <w:uiPriority w:val="99"/>
    <w:semiHidden/>
    <w:rsid w:val="005C3CED"/>
    <w:pPr>
      <w:spacing w:after="0"/>
      <w:ind w:left="360" w:firstLine="360"/>
    </w:pPr>
  </w:style>
  <w:style w:type="character" w:customStyle="1" w:styleId="BodyTextFirstIndent2Char">
    <w:name w:val="Body Text First Indent 2 Char"/>
    <w:basedOn w:val="BodyTextIndentChar"/>
    <w:link w:val="BodyTextFirstIndent2"/>
    <w:rsid w:val="005C3CED"/>
    <w:rPr>
      <w:sz w:val="24"/>
      <w:lang w:val="bg-BG"/>
    </w:rPr>
  </w:style>
  <w:style w:type="paragraph" w:styleId="BodyTextIndent2">
    <w:name w:val="Body Text Indent 2"/>
    <w:basedOn w:val="Normal"/>
    <w:link w:val="BodyTextIndent2Char"/>
    <w:uiPriority w:val="99"/>
    <w:semiHidden/>
    <w:rsid w:val="005C3CED"/>
    <w:pPr>
      <w:spacing w:after="120" w:line="480" w:lineRule="auto"/>
      <w:ind w:left="283"/>
    </w:pPr>
  </w:style>
  <w:style w:type="character" w:customStyle="1" w:styleId="BodyTextIndent2Char">
    <w:name w:val="Body Text Indent 2 Char"/>
    <w:basedOn w:val="DefaultParagraphFont"/>
    <w:link w:val="BodyTextIndent2"/>
    <w:rsid w:val="005C3CED"/>
    <w:rPr>
      <w:sz w:val="24"/>
      <w:lang w:val="bg-BG"/>
    </w:rPr>
  </w:style>
  <w:style w:type="paragraph" w:styleId="BodyTextIndent3">
    <w:name w:val="Body Text Indent 3"/>
    <w:basedOn w:val="Normal"/>
    <w:link w:val="BodyTextIndent3Char"/>
    <w:uiPriority w:val="99"/>
    <w:semiHidden/>
    <w:rsid w:val="005C3CED"/>
    <w:pPr>
      <w:spacing w:after="120"/>
      <w:ind w:left="283"/>
    </w:pPr>
    <w:rPr>
      <w:sz w:val="16"/>
      <w:szCs w:val="16"/>
    </w:rPr>
  </w:style>
  <w:style w:type="character" w:customStyle="1" w:styleId="BodyTextIndent3Char">
    <w:name w:val="Body Text Indent 3 Char"/>
    <w:basedOn w:val="DefaultParagraphFont"/>
    <w:link w:val="BodyTextIndent3"/>
    <w:rsid w:val="005C3CED"/>
    <w:rPr>
      <w:sz w:val="16"/>
      <w:szCs w:val="16"/>
      <w:lang w:val="bg-BG"/>
    </w:rPr>
  </w:style>
  <w:style w:type="paragraph" w:styleId="Caption">
    <w:name w:val="caption"/>
    <w:basedOn w:val="Normal"/>
    <w:next w:val="Normal"/>
    <w:uiPriority w:val="99"/>
    <w:semiHidden/>
    <w:qFormat/>
    <w:rsid w:val="005C3CED"/>
    <w:pPr>
      <w:spacing w:after="200"/>
    </w:pPr>
    <w:rPr>
      <w:b/>
      <w:bCs/>
      <w:color w:val="0072BC" w:themeColor="accent1"/>
      <w:sz w:val="18"/>
      <w:szCs w:val="18"/>
    </w:rPr>
  </w:style>
  <w:style w:type="paragraph" w:styleId="Closing">
    <w:name w:val="Closing"/>
    <w:basedOn w:val="Normal"/>
    <w:link w:val="ClosingChar"/>
    <w:uiPriority w:val="99"/>
    <w:semiHidden/>
    <w:rsid w:val="005C3CED"/>
    <w:pPr>
      <w:ind w:left="4252"/>
    </w:pPr>
  </w:style>
  <w:style w:type="character" w:customStyle="1" w:styleId="ClosingChar">
    <w:name w:val="Closing Char"/>
    <w:basedOn w:val="DefaultParagraphFont"/>
    <w:link w:val="Closing"/>
    <w:rsid w:val="005C3CED"/>
    <w:rPr>
      <w:sz w:val="24"/>
      <w:lang w:val="bg-BG"/>
    </w:rPr>
  </w:style>
  <w:style w:type="table" w:styleId="ColorfulGrid">
    <w:name w:val="Colorful Grid"/>
    <w:basedOn w:val="TableNormal"/>
    <w:uiPriority w:val="99"/>
    <w:semiHidden/>
    <w:rsid w:val="005C3CE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5C3CE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5C3CE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5C3CE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5C3CE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5C3CE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5C3CE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5C3CE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5C3CE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5C3CE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5C3CE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5C3CE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5C3CE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5C3CE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5C3CE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5C3CE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5C3CE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5C3CE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5C3CE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5C3CE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5C3CE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5C3CE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5C3CE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5C3CE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5C3CE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5C3CE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5C3CE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5C3CE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5C3CED"/>
  </w:style>
  <w:style w:type="character" w:customStyle="1" w:styleId="DateChar">
    <w:name w:val="Date Char"/>
    <w:basedOn w:val="DefaultParagraphFont"/>
    <w:link w:val="Date"/>
    <w:rsid w:val="005C3CED"/>
    <w:rPr>
      <w:sz w:val="24"/>
      <w:lang w:val="bg-BG"/>
    </w:rPr>
  </w:style>
  <w:style w:type="paragraph" w:styleId="E-mailSignature">
    <w:name w:val="E-mail Signature"/>
    <w:basedOn w:val="Normal"/>
    <w:link w:val="E-mailSignatureChar"/>
    <w:uiPriority w:val="99"/>
    <w:semiHidden/>
    <w:rsid w:val="005C3CED"/>
  </w:style>
  <w:style w:type="character" w:customStyle="1" w:styleId="E-mailSignatureChar">
    <w:name w:val="E-mail Signature Char"/>
    <w:basedOn w:val="DefaultParagraphFont"/>
    <w:link w:val="E-mailSignature"/>
    <w:rsid w:val="005C3CED"/>
    <w:rPr>
      <w:sz w:val="24"/>
      <w:lang w:val="bg-BG"/>
    </w:rPr>
  </w:style>
  <w:style w:type="paragraph" w:styleId="EnvelopeAddress">
    <w:name w:val="envelope address"/>
    <w:basedOn w:val="Normal"/>
    <w:uiPriority w:val="99"/>
    <w:semiHidden/>
    <w:rsid w:val="005C3CE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5C3CED"/>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5C3CED"/>
  </w:style>
  <w:style w:type="paragraph" w:styleId="HTMLAddress">
    <w:name w:val="HTML Address"/>
    <w:basedOn w:val="Normal"/>
    <w:link w:val="HTMLAddressChar"/>
    <w:uiPriority w:val="99"/>
    <w:semiHidden/>
    <w:rsid w:val="005C3CED"/>
    <w:rPr>
      <w:i/>
      <w:iCs/>
    </w:rPr>
  </w:style>
  <w:style w:type="character" w:customStyle="1" w:styleId="HTMLAddressChar">
    <w:name w:val="HTML Address Char"/>
    <w:basedOn w:val="DefaultParagraphFont"/>
    <w:link w:val="HTMLAddress"/>
    <w:rsid w:val="005C3CED"/>
    <w:rPr>
      <w:i/>
      <w:iCs/>
      <w:sz w:val="24"/>
      <w:lang w:val="bg-BG"/>
    </w:rPr>
  </w:style>
  <w:style w:type="character" w:styleId="HTMLCite">
    <w:name w:val="HTML Cite"/>
    <w:basedOn w:val="DefaultParagraphFont"/>
    <w:uiPriority w:val="99"/>
    <w:semiHidden/>
    <w:rsid w:val="005C3CED"/>
    <w:rPr>
      <w:i/>
      <w:iCs/>
    </w:rPr>
  </w:style>
  <w:style w:type="character" w:styleId="HTMLCode">
    <w:name w:val="HTML Code"/>
    <w:basedOn w:val="DefaultParagraphFont"/>
    <w:uiPriority w:val="99"/>
    <w:semiHidden/>
    <w:rsid w:val="005C3CED"/>
    <w:rPr>
      <w:rFonts w:ascii="Consolas" w:hAnsi="Consolas" w:cs="Consolas"/>
      <w:sz w:val="20"/>
      <w:szCs w:val="20"/>
    </w:rPr>
  </w:style>
  <w:style w:type="character" w:styleId="HTMLDefinition">
    <w:name w:val="HTML Definition"/>
    <w:basedOn w:val="DefaultParagraphFont"/>
    <w:uiPriority w:val="99"/>
    <w:semiHidden/>
    <w:rsid w:val="005C3CED"/>
    <w:rPr>
      <w:i/>
      <w:iCs/>
    </w:rPr>
  </w:style>
  <w:style w:type="character" w:styleId="HTMLKeyboard">
    <w:name w:val="HTML Keyboard"/>
    <w:basedOn w:val="DefaultParagraphFont"/>
    <w:uiPriority w:val="99"/>
    <w:semiHidden/>
    <w:rsid w:val="005C3CED"/>
    <w:rPr>
      <w:rFonts w:ascii="Consolas" w:hAnsi="Consolas" w:cs="Consolas"/>
      <w:sz w:val="20"/>
      <w:szCs w:val="20"/>
    </w:rPr>
  </w:style>
  <w:style w:type="paragraph" w:styleId="HTMLPreformatted">
    <w:name w:val="HTML Preformatted"/>
    <w:basedOn w:val="Normal"/>
    <w:link w:val="HTMLPreformattedChar"/>
    <w:uiPriority w:val="99"/>
    <w:semiHidden/>
    <w:rsid w:val="005C3CED"/>
    <w:rPr>
      <w:rFonts w:ascii="Consolas" w:hAnsi="Consolas" w:cs="Consolas"/>
      <w:sz w:val="20"/>
      <w:szCs w:val="20"/>
    </w:rPr>
  </w:style>
  <w:style w:type="character" w:customStyle="1" w:styleId="HTMLPreformattedChar">
    <w:name w:val="HTML Preformatted Char"/>
    <w:basedOn w:val="DefaultParagraphFont"/>
    <w:link w:val="HTMLPreformatted"/>
    <w:rsid w:val="005C3CED"/>
    <w:rPr>
      <w:rFonts w:ascii="Consolas" w:hAnsi="Consolas" w:cs="Consolas"/>
      <w:sz w:val="20"/>
      <w:szCs w:val="20"/>
      <w:lang w:val="bg-BG"/>
    </w:rPr>
  </w:style>
  <w:style w:type="character" w:styleId="HTMLSample">
    <w:name w:val="HTML Sample"/>
    <w:basedOn w:val="DefaultParagraphFont"/>
    <w:uiPriority w:val="99"/>
    <w:semiHidden/>
    <w:rsid w:val="005C3CED"/>
    <w:rPr>
      <w:rFonts w:ascii="Consolas" w:hAnsi="Consolas" w:cs="Consolas"/>
      <w:sz w:val="24"/>
      <w:szCs w:val="24"/>
    </w:rPr>
  </w:style>
  <w:style w:type="character" w:styleId="HTMLTypewriter">
    <w:name w:val="HTML Typewriter"/>
    <w:basedOn w:val="DefaultParagraphFont"/>
    <w:uiPriority w:val="99"/>
    <w:semiHidden/>
    <w:rsid w:val="005C3CED"/>
    <w:rPr>
      <w:rFonts w:ascii="Consolas" w:hAnsi="Consolas" w:cs="Consolas"/>
      <w:sz w:val="20"/>
      <w:szCs w:val="20"/>
    </w:rPr>
  </w:style>
  <w:style w:type="character" w:styleId="HTMLVariable">
    <w:name w:val="HTML Variable"/>
    <w:basedOn w:val="DefaultParagraphFont"/>
    <w:uiPriority w:val="99"/>
    <w:semiHidden/>
    <w:rsid w:val="005C3CED"/>
    <w:rPr>
      <w:i/>
      <w:iCs/>
    </w:rPr>
  </w:style>
  <w:style w:type="paragraph" w:styleId="Index1">
    <w:name w:val="index 1"/>
    <w:basedOn w:val="Normal"/>
    <w:next w:val="Normal"/>
    <w:autoRedefine/>
    <w:uiPriority w:val="99"/>
    <w:semiHidden/>
    <w:rsid w:val="005C3CED"/>
    <w:pPr>
      <w:ind w:left="240" w:hanging="240"/>
    </w:pPr>
  </w:style>
  <w:style w:type="paragraph" w:styleId="Index2">
    <w:name w:val="index 2"/>
    <w:basedOn w:val="Normal"/>
    <w:next w:val="Normal"/>
    <w:autoRedefine/>
    <w:uiPriority w:val="99"/>
    <w:semiHidden/>
    <w:rsid w:val="005C3CED"/>
    <w:pPr>
      <w:ind w:left="480" w:hanging="240"/>
    </w:pPr>
  </w:style>
  <w:style w:type="paragraph" w:styleId="Index3">
    <w:name w:val="index 3"/>
    <w:basedOn w:val="Normal"/>
    <w:next w:val="Normal"/>
    <w:autoRedefine/>
    <w:uiPriority w:val="99"/>
    <w:semiHidden/>
    <w:rsid w:val="005C3CED"/>
    <w:pPr>
      <w:ind w:left="720" w:hanging="240"/>
    </w:pPr>
  </w:style>
  <w:style w:type="paragraph" w:styleId="Index4">
    <w:name w:val="index 4"/>
    <w:basedOn w:val="Normal"/>
    <w:next w:val="Normal"/>
    <w:autoRedefine/>
    <w:uiPriority w:val="99"/>
    <w:semiHidden/>
    <w:rsid w:val="005C3CED"/>
    <w:pPr>
      <w:ind w:left="960" w:hanging="240"/>
    </w:pPr>
  </w:style>
  <w:style w:type="paragraph" w:styleId="Index5">
    <w:name w:val="index 5"/>
    <w:basedOn w:val="Normal"/>
    <w:next w:val="Normal"/>
    <w:autoRedefine/>
    <w:uiPriority w:val="99"/>
    <w:semiHidden/>
    <w:rsid w:val="005C3CED"/>
    <w:pPr>
      <w:ind w:left="1200" w:hanging="240"/>
    </w:pPr>
  </w:style>
  <w:style w:type="paragraph" w:styleId="Index6">
    <w:name w:val="index 6"/>
    <w:basedOn w:val="Normal"/>
    <w:next w:val="Normal"/>
    <w:autoRedefine/>
    <w:uiPriority w:val="99"/>
    <w:semiHidden/>
    <w:rsid w:val="005C3CED"/>
    <w:pPr>
      <w:ind w:left="1440" w:hanging="240"/>
    </w:pPr>
  </w:style>
  <w:style w:type="paragraph" w:styleId="Index7">
    <w:name w:val="index 7"/>
    <w:basedOn w:val="Normal"/>
    <w:next w:val="Normal"/>
    <w:autoRedefine/>
    <w:uiPriority w:val="99"/>
    <w:semiHidden/>
    <w:rsid w:val="005C3CED"/>
    <w:pPr>
      <w:ind w:left="1680" w:hanging="240"/>
    </w:pPr>
  </w:style>
  <w:style w:type="paragraph" w:styleId="Index8">
    <w:name w:val="index 8"/>
    <w:basedOn w:val="Normal"/>
    <w:next w:val="Normal"/>
    <w:autoRedefine/>
    <w:uiPriority w:val="99"/>
    <w:semiHidden/>
    <w:rsid w:val="005C3CED"/>
    <w:pPr>
      <w:ind w:left="1920" w:hanging="240"/>
    </w:pPr>
  </w:style>
  <w:style w:type="paragraph" w:styleId="Index9">
    <w:name w:val="index 9"/>
    <w:basedOn w:val="Normal"/>
    <w:next w:val="Normal"/>
    <w:autoRedefine/>
    <w:uiPriority w:val="99"/>
    <w:semiHidden/>
    <w:rsid w:val="005C3CED"/>
    <w:pPr>
      <w:ind w:left="2160" w:hanging="240"/>
    </w:pPr>
  </w:style>
  <w:style w:type="paragraph" w:styleId="IndexHeading">
    <w:name w:val="index heading"/>
    <w:basedOn w:val="Normal"/>
    <w:next w:val="Index1"/>
    <w:uiPriority w:val="99"/>
    <w:semiHidden/>
    <w:rsid w:val="005C3CED"/>
    <w:rPr>
      <w:rFonts w:asciiTheme="majorHAnsi" w:eastAsiaTheme="majorEastAsia" w:hAnsiTheme="majorHAnsi" w:cstheme="majorBidi"/>
      <w:b/>
      <w:bCs/>
    </w:rPr>
  </w:style>
  <w:style w:type="table" w:styleId="LightGrid">
    <w:name w:val="Light Grid"/>
    <w:basedOn w:val="TableNormal"/>
    <w:uiPriority w:val="99"/>
    <w:semiHidden/>
    <w:rsid w:val="005C3C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5C3CE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5C3CE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5C3CE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5C3CE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5C3CE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5C3CE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5C3C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5C3CE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5C3CE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5C3CE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5C3CE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5C3CE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5C3CE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5C3C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5C3CE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5C3CE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5C3CE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5C3CE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5C3CE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5C3CE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5C3CED"/>
  </w:style>
  <w:style w:type="paragraph" w:styleId="List">
    <w:name w:val="List"/>
    <w:basedOn w:val="Normal"/>
    <w:uiPriority w:val="99"/>
    <w:semiHidden/>
    <w:rsid w:val="005C3CED"/>
    <w:pPr>
      <w:ind w:left="283" w:hanging="283"/>
      <w:contextualSpacing/>
    </w:pPr>
  </w:style>
  <w:style w:type="paragraph" w:styleId="List2">
    <w:name w:val="List 2"/>
    <w:basedOn w:val="Normal"/>
    <w:uiPriority w:val="99"/>
    <w:semiHidden/>
    <w:rsid w:val="005C3CED"/>
    <w:pPr>
      <w:ind w:left="566" w:hanging="283"/>
      <w:contextualSpacing/>
    </w:pPr>
  </w:style>
  <w:style w:type="paragraph" w:styleId="List3">
    <w:name w:val="List 3"/>
    <w:basedOn w:val="Normal"/>
    <w:uiPriority w:val="99"/>
    <w:semiHidden/>
    <w:rsid w:val="005C3CED"/>
    <w:pPr>
      <w:ind w:left="849" w:hanging="283"/>
      <w:contextualSpacing/>
    </w:pPr>
  </w:style>
  <w:style w:type="paragraph" w:styleId="List4">
    <w:name w:val="List 4"/>
    <w:basedOn w:val="Normal"/>
    <w:uiPriority w:val="99"/>
    <w:semiHidden/>
    <w:rsid w:val="005C3CED"/>
    <w:pPr>
      <w:ind w:left="1132" w:hanging="283"/>
      <w:contextualSpacing/>
    </w:pPr>
  </w:style>
  <w:style w:type="paragraph" w:styleId="List5">
    <w:name w:val="List 5"/>
    <w:basedOn w:val="Normal"/>
    <w:uiPriority w:val="99"/>
    <w:semiHidden/>
    <w:rsid w:val="005C3CED"/>
    <w:pPr>
      <w:ind w:left="1415" w:hanging="283"/>
      <w:contextualSpacing/>
    </w:pPr>
  </w:style>
  <w:style w:type="paragraph" w:styleId="ListBullet2">
    <w:name w:val="List Bullet 2"/>
    <w:basedOn w:val="Normal"/>
    <w:uiPriority w:val="99"/>
    <w:semiHidden/>
    <w:rsid w:val="005C3CED"/>
    <w:pPr>
      <w:numPr>
        <w:numId w:val="1"/>
      </w:numPr>
      <w:contextualSpacing/>
    </w:pPr>
  </w:style>
  <w:style w:type="paragraph" w:styleId="ListBullet3">
    <w:name w:val="List Bullet 3"/>
    <w:basedOn w:val="Normal"/>
    <w:uiPriority w:val="99"/>
    <w:semiHidden/>
    <w:rsid w:val="005C3CED"/>
    <w:pPr>
      <w:numPr>
        <w:numId w:val="2"/>
      </w:numPr>
      <w:contextualSpacing/>
    </w:pPr>
  </w:style>
  <w:style w:type="paragraph" w:styleId="ListBullet4">
    <w:name w:val="List Bullet 4"/>
    <w:basedOn w:val="Normal"/>
    <w:uiPriority w:val="99"/>
    <w:semiHidden/>
    <w:rsid w:val="005C3CED"/>
    <w:pPr>
      <w:numPr>
        <w:numId w:val="9"/>
      </w:numPr>
      <w:contextualSpacing/>
    </w:pPr>
  </w:style>
  <w:style w:type="paragraph" w:styleId="ListBullet5">
    <w:name w:val="List Bullet 5"/>
    <w:basedOn w:val="Normal"/>
    <w:uiPriority w:val="99"/>
    <w:semiHidden/>
    <w:rsid w:val="005C3CED"/>
    <w:pPr>
      <w:numPr>
        <w:numId w:val="3"/>
      </w:numPr>
      <w:contextualSpacing/>
    </w:pPr>
  </w:style>
  <w:style w:type="paragraph" w:styleId="ListContinue">
    <w:name w:val="List Continue"/>
    <w:basedOn w:val="Normal"/>
    <w:uiPriority w:val="99"/>
    <w:semiHidden/>
    <w:rsid w:val="005C3CED"/>
    <w:pPr>
      <w:spacing w:after="120"/>
      <w:ind w:left="283"/>
      <w:contextualSpacing/>
    </w:pPr>
  </w:style>
  <w:style w:type="paragraph" w:styleId="ListContinue2">
    <w:name w:val="List Continue 2"/>
    <w:basedOn w:val="Normal"/>
    <w:uiPriority w:val="99"/>
    <w:semiHidden/>
    <w:rsid w:val="005C3CED"/>
    <w:pPr>
      <w:spacing w:after="120"/>
      <w:ind w:left="566"/>
      <w:contextualSpacing/>
    </w:pPr>
  </w:style>
  <w:style w:type="paragraph" w:styleId="ListContinue3">
    <w:name w:val="List Continue 3"/>
    <w:basedOn w:val="Normal"/>
    <w:uiPriority w:val="99"/>
    <w:semiHidden/>
    <w:rsid w:val="005C3CED"/>
    <w:pPr>
      <w:spacing w:after="120"/>
      <w:ind w:left="849"/>
      <w:contextualSpacing/>
    </w:pPr>
  </w:style>
  <w:style w:type="paragraph" w:styleId="ListContinue4">
    <w:name w:val="List Continue 4"/>
    <w:basedOn w:val="Normal"/>
    <w:uiPriority w:val="99"/>
    <w:semiHidden/>
    <w:rsid w:val="005C3CED"/>
    <w:pPr>
      <w:spacing w:after="120"/>
      <w:ind w:left="1132"/>
      <w:contextualSpacing/>
    </w:pPr>
  </w:style>
  <w:style w:type="paragraph" w:styleId="ListContinue5">
    <w:name w:val="List Continue 5"/>
    <w:basedOn w:val="Normal"/>
    <w:uiPriority w:val="99"/>
    <w:semiHidden/>
    <w:rsid w:val="005C3CED"/>
    <w:pPr>
      <w:spacing w:after="120"/>
      <w:ind w:left="1415"/>
      <w:contextualSpacing/>
    </w:pPr>
  </w:style>
  <w:style w:type="paragraph" w:styleId="ListNumber">
    <w:name w:val="List Number"/>
    <w:basedOn w:val="Normal"/>
    <w:uiPriority w:val="99"/>
    <w:semiHidden/>
    <w:rsid w:val="005C3CED"/>
    <w:pPr>
      <w:numPr>
        <w:numId w:val="4"/>
      </w:numPr>
      <w:contextualSpacing/>
    </w:pPr>
  </w:style>
  <w:style w:type="paragraph" w:styleId="ListNumber2">
    <w:name w:val="List Number 2"/>
    <w:basedOn w:val="Normal"/>
    <w:uiPriority w:val="99"/>
    <w:semiHidden/>
    <w:rsid w:val="005C3CED"/>
    <w:pPr>
      <w:numPr>
        <w:numId w:val="10"/>
      </w:numPr>
      <w:contextualSpacing/>
    </w:pPr>
  </w:style>
  <w:style w:type="paragraph" w:styleId="ListNumber3">
    <w:name w:val="List Number 3"/>
    <w:basedOn w:val="Normal"/>
    <w:uiPriority w:val="99"/>
    <w:semiHidden/>
    <w:rsid w:val="005C3CED"/>
    <w:pPr>
      <w:numPr>
        <w:numId w:val="11"/>
      </w:numPr>
      <w:contextualSpacing/>
    </w:pPr>
  </w:style>
  <w:style w:type="paragraph" w:styleId="ListNumber4">
    <w:name w:val="List Number 4"/>
    <w:basedOn w:val="Normal"/>
    <w:uiPriority w:val="99"/>
    <w:semiHidden/>
    <w:rsid w:val="005C3CED"/>
    <w:pPr>
      <w:numPr>
        <w:numId w:val="12"/>
      </w:numPr>
      <w:contextualSpacing/>
    </w:pPr>
  </w:style>
  <w:style w:type="paragraph" w:styleId="ListNumber5">
    <w:name w:val="List Number 5"/>
    <w:basedOn w:val="Normal"/>
    <w:uiPriority w:val="99"/>
    <w:semiHidden/>
    <w:rsid w:val="005C3CED"/>
    <w:pPr>
      <w:numPr>
        <w:numId w:val="13"/>
      </w:numPr>
      <w:contextualSpacing/>
    </w:pPr>
  </w:style>
  <w:style w:type="paragraph" w:styleId="MacroText">
    <w:name w:val="macro"/>
    <w:link w:val="MacroTextChar"/>
    <w:uiPriority w:val="99"/>
    <w:semiHidden/>
    <w:rsid w:val="005C3CED"/>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rsid w:val="005C3CED"/>
    <w:rPr>
      <w:rFonts w:ascii="Consolas" w:hAnsi="Consolas" w:cs="Consolas"/>
      <w:sz w:val="20"/>
      <w:szCs w:val="20"/>
      <w:lang w:val="bg-BG"/>
    </w:rPr>
  </w:style>
  <w:style w:type="table" w:styleId="MediumGrid1">
    <w:name w:val="Medium Grid 1"/>
    <w:basedOn w:val="TableNormal"/>
    <w:uiPriority w:val="99"/>
    <w:semiHidden/>
    <w:rsid w:val="005C3C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5C3CE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5C3CE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5C3CE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5C3CE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5C3CE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5C3CE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5C3C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5C3C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5C3C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5C3C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5C3C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5C3C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5C3C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5C3C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5C3CE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5C3CE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5C3CE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5C3CE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5C3CE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5C3CE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5C3CE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5C3C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5C3CE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5C3CE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5C3CE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5C3CE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5C3CE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5C3CE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5C3C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5C3C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5C3C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5C3C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5C3C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5C3C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5C3C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C3C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5C3CED"/>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9"/>
    <w:semiHidden/>
    <w:rsid w:val="005C3CED"/>
    <w:rPr>
      <w:rFonts w:ascii="Times New Roman" w:hAnsi="Times New Roman" w:cs="Times New Roman"/>
      <w:szCs w:val="24"/>
    </w:rPr>
  </w:style>
  <w:style w:type="paragraph" w:styleId="NormalIndent">
    <w:name w:val="Normal Indent"/>
    <w:basedOn w:val="Normal"/>
    <w:uiPriority w:val="99"/>
    <w:semiHidden/>
    <w:rsid w:val="005C3CED"/>
    <w:pPr>
      <w:ind w:left="720"/>
    </w:pPr>
  </w:style>
  <w:style w:type="paragraph" w:styleId="NoteHeading">
    <w:name w:val="Note Heading"/>
    <w:basedOn w:val="Normal"/>
    <w:next w:val="Normal"/>
    <w:link w:val="NoteHeadingChar"/>
    <w:uiPriority w:val="99"/>
    <w:semiHidden/>
    <w:rsid w:val="005C3CED"/>
  </w:style>
  <w:style w:type="character" w:customStyle="1" w:styleId="NoteHeadingChar">
    <w:name w:val="Note Heading Char"/>
    <w:basedOn w:val="DefaultParagraphFont"/>
    <w:link w:val="NoteHeading"/>
    <w:rsid w:val="005C3CED"/>
    <w:rPr>
      <w:sz w:val="24"/>
      <w:lang w:val="bg-BG"/>
    </w:rPr>
  </w:style>
  <w:style w:type="character" w:styleId="PlaceholderText">
    <w:name w:val="Placeholder Text"/>
    <w:basedOn w:val="DefaultParagraphFont"/>
    <w:uiPriority w:val="99"/>
    <w:semiHidden/>
    <w:rsid w:val="005C3CED"/>
    <w:rPr>
      <w:color w:val="808080"/>
    </w:rPr>
  </w:style>
  <w:style w:type="paragraph" w:styleId="PlainText">
    <w:name w:val="Plain Text"/>
    <w:basedOn w:val="Normal"/>
    <w:link w:val="PlainTextChar"/>
    <w:uiPriority w:val="99"/>
    <w:semiHidden/>
    <w:rsid w:val="005C3CED"/>
    <w:rPr>
      <w:rFonts w:ascii="Consolas" w:hAnsi="Consolas" w:cs="Consolas"/>
      <w:sz w:val="21"/>
      <w:szCs w:val="21"/>
    </w:rPr>
  </w:style>
  <w:style w:type="character" w:customStyle="1" w:styleId="PlainTextChar">
    <w:name w:val="Plain Text Char"/>
    <w:basedOn w:val="DefaultParagraphFont"/>
    <w:link w:val="PlainText"/>
    <w:rsid w:val="005C3CED"/>
    <w:rPr>
      <w:rFonts w:ascii="Consolas" w:hAnsi="Consolas" w:cs="Consolas"/>
      <w:sz w:val="21"/>
      <w:szCs w:val="21"/>
      <w:lang w:val="bg-BG"/>
    </w:rPr>
  </w:style>
  <w:style w:type="paragraph" w:styleId="Salutation">
    <w:name w:val="Salutation"/>
    <w:basedOn w:val="Normal"/>
    <w:next w:val="Normal"/>
    <w:link w:val="SalutationChar"/>
    <w:uiPriority w:val="99"/>
    <w:semiHidden/>
    <w:rsid w:val="005C3CED"/>
  </w:style>
  <w:style w:type="character" w:customStyle="1" w:styleId="SalutationChar">
    <w:name w:val="Salutation Char"/>
    <w:basedOn w:val="DefaultParagraphFont"/>
    <w:link w:val="Salutation"/>
    <w:rsid w:val="005C3CED"/>
    <w:rPr>
      <w:sz w:val="24"/>
      <w:lang w:val="bg-BG"/>
    </w:rPr>
  </w:style>
  <w:style w:type="paragraph" w:styleId="Signature">
    <w:name w:val="Signature"/>
    <w:basedOn w:val="Normal"/>
    <w:link w:val="SignatureChar"/>
    <w:uiPriority w:val="99"/>
    <w:semiHidden/>
    <w:rsid w:val="005C3CED"/>
    <w:pPr>
      <w:ind w:left="4252"/>
    </w:pPr>
  </w:style>
  <w:style w:type="character" w:customStyle="1" w:styleId="SignatureChar">
    <w:name w:val="Signature Char"/>
    <w:basedOn w:val="DefaultParagraphFont"/>
    <w:link w:val="Signature"/>
    <w:rsid w:val="005C3CED"/>
    <w:rPr>
      <w:sz w:val="24"/>
      <w:lang w:val="bg-BG"/>
    </w:rPr>
  </w:style>
  <w:style w:type="table" w:styleId="Table3Deffects1">
    <w:name w:val="Table 3D effects 1"/>
    <w:basedOn w:val="TableNormal"/>
    <w:uiPriority w:val="99"/>
    <w:semiHidden/>
    <w:rsid w:val="005C3CED"/>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C3CED"/>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C3CED"/>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C3CED"/>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C3CED"/>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C3CED"/>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C3CED"/>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C3CED"/>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C3CED"/>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C3CED"/>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C3CED"/>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C3CED"/>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C3CED"/>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C3CED"/>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C3CED"/>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C3CED"/>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C3CE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E363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5C3CED"/>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C3CED"/>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C3CED"/>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C3CED"/>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C3CED"/>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C3CED"/>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C3CED"/>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C3CE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C3CED"/>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C3CED"/>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C3CED"/>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C3CED"/>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C3CED"/>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C3CED"/>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C3CED"/>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C3CED"/>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C3CED"/>
    <w:pPr>
      <w:ind w:left="240" w:hanging="240"/>
    </w:pPr>
  </w:style>
  <w:style w:type="paragraph" w:styleId="TableofFigures">
    <w:name w:val="table of figures"/>
    <w:basedOn w:val="Normal"/>
    <w:next w:val="Normal"/>
    <w:uiPriority w:val="99"/>
    <w:semiHidden/>
    <w:rsid w:val="005C3CED"/>
  </w:style>
  <w:style w:type="table" w:styleId="TableProfessional">
    <w:name w:val="Table Professional"/>
    <w:basedOn w:val="TableNormal"/>
    <w:uiPriority w:val="99"/>
    <w:semiHidden/>
    <w:rsid w:val="005C3CED"/>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C3CED"/>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C3CED"/>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C3CED"/>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C3CED"/>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C3CED"/>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C3CE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C3CED"/>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C3CED"/>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C3CED"/>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3639A"/>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E3639A"/>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3639A"/>
    <w:pPr>
      <w:spacing w:after="60"/>
      <w:ind w:left="680" w:right="340" w:hanging="340"/>
    </w:pPr>
  </w:style>
  <w:style w:type="paragraph" w:styleId="TOC3">
    <w:name w:val="toc 3"/>
    <w:basedOn w:val="Normal"/>
    <w:next w:val="Normal"/>
    <w:autoRedefine/>
    <w:uiPriority w:val="99"/>
    <w:semiHidden/>
    <w:rsid w:val="00E3639A"/>
    <w:pPr>
      <w:spacing w:after="60"/>
      <w:ind w:left="1020" w:right="340" w:hanging="340"/>
    </w:pPr>
  </w:style>
  <w:style w:type="paragraph" w:styleId="TOC4">
    <w:name w:val="toc 4"/>
    <w:basedOn w:val="Normal"/>
    <w:next w:val="Normal"/>
    <w:autoRedefine/>
    <w:uiPriority w:val="99"/>
    <w:semiHidden/>
    <w:rsid w:val="00E3639A"/>
    <w:pPr>
      <w:tabs>
        <w:tab w:val="right" w:leader="dot" w:pos="9017"/>
      </w:tabs>
      <w:spacing w:after="60"/>
      <w:ind w:left="1361" w:right="340" w:hanging="340"/>
    </w:pPr>
  </w:style>
  <w:style w:type="paragraph" w:styleId="TOC5">
    <w:name w:val="toc 5"/>
    <w:basedOn w:val="Normal"/>
    <w:next w:val="Normal"/>
    <w:autoRedefine/>
    <w:uiPriority w:val="99"/>
    <w:semiHidden/>
    <w:rsid w:val="00E3639A"/>
    <w:pPr>
      <w:spacing w:after="60"/>
      <w:ind w:left="1701" w:right="340" w:hanging="340"/>
    </w:pPr>
  </w:style>
  <w:style w:type="paragraph" w:styleId="TOC6">
    <w:name w:val="toc 6"/>
    <w:basedOn w:val="Normal"/>
    <w:next w:val="Normal"/>
    <w:autoRedefine/>
    <w:uiPriority w:val="99"/>
    <w:semiHidden/>
    <w:rsid w:val="005C3CED"/>
    <w:pPr>
      <w:spacing w:after="100"/>
      <w:ind w:left="1200"/>
    </w:pPr>
  </w:style>
  <w:style w:type="paragraph" w:styleId="TOC7">
    <w:name w:val="toc 7"/>
    <w:basedOn w:val="Normal"/>
    <w:next w:val="Normal"/>
    <w:autoRedefine/>
    <w:uiPriority w:val="99"/>
    <w:semiHidden/>
    <w:rsid w:val="005C3CED"/>
    <w:pPr>
      <w:spacing w:after="100"/>
      <w:ind w:left="1440"/>
    </w:pPr>
  </w:style>
  <w:style w:type="paragraph" w:styleId="TOC8">
    <w:name w:val="toc 8"/>
    <w:basedOn w:val="Normal"/>
    <w:next w:val="Normal"/>
    <w:autoRedefine/>
    <w:uiPriority w:val="99"/>
    <w:semiHidden/>
    <w:rsid w:val="005C3CED"/>
    <w:pPr>
      <w:spacing w:after="100"/>
      <w:ind w:left="1680"/>
    </w:pPr>
  </w:style>
  <w:style w:type="paragraph" w:styleId="TOC9">
    <w:name w:val="toc 9"/>
    <w:basedOn w:val="Normal"/>
    <w:next w:val="Normal"/>
    <w:autoRedefine/>
    <w:uiPriority w:val="99"/>
    <w:semiHidden/>
    <w:rsid w:val="005C3CED"/>
    <w:pPr>
      <w:spacing w:after="100"/>
      <w:ind w:left="1920"/>
    </w:pPr>
  </w:style>
  <w:style w:type="paragraph" w:customStyle="1" w:styleId="OpiHA">
    <w:name w:val="Opi_H_A"/>
    <w:basedOn w:val="ECHRHeading1"/>
    <w:next w:val="OpiPara"/>
    <w:uiPriority w:val="41"/>
    <w:qFormat/>
    <w:rsid w:val="00E3639A"/>
    <w:pPr>
      <w:tabs>
        <w:tab w:val="clear" w:pos="357"/>
      </w:tabs>
      <w:outlineLvl w:val="1"/>
    </w:pPr>
    <w:rPr>
      <w:b/>
    </w:rPr>
  </w:style>
  <w:style w:type="character" w:customStyle="1" w:styleId="JUNAMES">
    <w:name w:val="JU_NAMES"/>
    <w:uiPriority w:val="17"/>
    <w:qFormat/>
    <w:rsid w:val="00E3639A"/>
    <w:rPr>
      <w:caps w:val="0"/>
      <w:smallCaps/>
    </w:rPr>
  </w:style>
  <w:style w:type="character" w:customStyle="1" w:styleId="JuITMark">
    <w:name w:val="Ju_ITMark"/>
    <w:basedOn w:val="DefaultParagraphFont"/>
    <w:uiPriority w:val="38"/>
    <w:qFormat/>
    <w:rsid w:val="00E3639A"/>
    <w:rPr>
      <w:vanish/>
      <w:color w:val="339966"/>
      <w:sz w:val="14"/>
    </w:rPr>
  </w:style>
  <w:style w:type="paragraph" w:customStyle="1" w:styleId="OpiTranslation">
    <w:name w:val="Opi_Translation"/>
    <w:basedOn w:val="Normal"/>
    <w:next w:val="OpiPara"/>
    <w:uiPriority w:val="40"/>
    <w:qFormat/>
    <w:rsid w:val="00E3639A"/>
    <w:pPr>
      <w:jc w:val="center"/>
      <w:outlineLvl w:val="0"/>
    </w:pPr>
    <w:rPr>
      <w:i/>
    </w:rPr>
  </w:style>
  <w:style w:type="paragraph" w:customStyle="1" w:styleId="DecHTitle">
    <w:name w:val="Dec_H_Title"/>
    <w:basedOn w:val="ECHRTitleCentre1"/>
    <w:uiPriority w:val="7"/>
    <w:semiHidden/>
    <w:rsid w:val="00E3639A"/>
  </w:style>
  <w:style w:type="paragraph" w:customStyle="1" w:styleId="JuCourt">
    <w:name w:val="Ju_Court"/>
    <w:basedOn w:val="Normal"/>
    <w:next w:val="Normal"/>
    <w:uiPriority w:val="16"/>
    <w:qFormat/>
    <w:rsid w:val="00E3639A"/>
    <w:pPr>
      <w:tabs>
        <w:tab w:val="left" w:pos="907"/>
        <w:tab w:val="left" w:pos="1701"/>
        <w:tab w:val="right" w:pos="7371"/>
      </w:tabs>
      <w:spacing w:before="240"/>
      <w:ind w:left="397" w:hanging="397"/>
      <w:jc w:val="left"/>
    </w:pPr>
  </w:style>
  <w:style w:type="paragraph" w:customStyle="1" w:styleId="ECHRHeading1">
    <w:name w:val="ECHR_Heading_1"/>
    <w:aliases w:val="Ju_H_I_Roman"/>
    <w:basedOn w:val="Heading1"/>
    <w:next w:val="ECHRPara"/>
    <w:qFormat/>
    <w:rsid w:val="00E3639A"/>
    <w:pPr>
      <w:keepNext/>
      <w:keepLines/>
      <w:tabs>
        <w:tab w:val="left" w:pos="357"/>
      </w:tabs>
      <w:spacing w:before="360" w:after="240"/>
      <w:ind w:left="357" w:hanging="357"/>
      <w:contextualSpacing w:val="0"/>
    </w:pPr>
    <w:rPr>
      <w:b w:val="0"/>
      <w:color w:val="auto"/>
      <w:sz w:val="24"/>
    </w:rPr>
  </w:style>
  <w:style w:type="paragraph" w:customStyle="1" w:styleId="ECHRHeading3">
    <w:name w:val="ECHR_Heading_3"/>
    <w:aliases w:val="Ju_H_1."/>
    <w:basedOn w:val="Heading3"/>
    <w:next w:val="ECHRPara"/>
    <w:link w:val="JuH1Char"/>
    <w:qFormat/>
    <w:rsid w:val="00E3639A"/>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qFormat/>
    <w:rsid w:val="00E3639A"/>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3639A"/>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3639A"/>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E3639A"/>
    <w:pPr>
      <w:keepNext/>
      <w:keepLines/>
      <w:spacing w:before="240" w:after="120"/>
      <w:ind w:left="1236"/>
    </w:pPr>
    <w:rPr>
      <w:sz w:val="20"/>
    </w:rPr>
  </w:style>
  <w:style w:type="paragraph" w:customStyle="1" w:styleId="DecList">
    <w:name w:val="Dec_List"/>
    <w:basedOn w:val="Normal"/>
    <w:uiPriority w:val="9"/>
    <w:semiHidden/>
    <w:rsid w:val="00E3639A"/>
    <w:pPr>
      <w:spacing w:before="240"/>
      <w:ind w:left="284"/>
    </w:pPr>
  </w:style>
  <w:style w:type="paragraph" w:customStyle="1" w:styleId="OpiH1">
    <w:name w:val="Opi_H_1"/>
    <w:basedOn w:val="ECHRHeading2"/>
    <w:uiPriority w:val="42"/>
    <w:qFormat/>
    <w:rsid w:val="00E3639A"/>
    <w:pPr>
      <w:ind w:left="635" w:hanging="357"/>
      <w:outlineLvl w:val="2"/>
    </w:pPr>
  </w:style>
  <w:style w:type="paragraph" w:customStyle="1" w:styleId="OpiHa0">
    <w:name w:val="Opi_H_a"/>
    <w:basedOn w:val="ECHRHeading3"/>
    <w:uiPriority w:val="43"/>
    <w:qFormat/>
    <w:rsid w:val="00E3639A"/>
    <w:pPr>
      <w:ind w:left="833" w:hanging="357"/>
      <w:outlineLvl w:val="3"/>
    </w:pPr>
    <w:rPr>
      <w:b/>
      <w:i w:val="0"/>
      <w:sz w:val="20"/>
    </w:rPr>
  </w:style>
  <w:style w:type="paragraph" w:customStyle="1" w:styleId="OpiHi">
    <w:name w:val="Opi_H_i"/>
    <w:basedOn w:val="ECHRHeading4"/>
    <w:uiPriority w:val="44"/>
    <w:qFormat/>
    <w:rsid w:val="00E3639A"/>
    <w:pPr>
      <w:ind w:left="1037" w:hanging="357"/>
      <w:outlineLvl w:val="4"/>
    </w:pPr>
    <w:rPr>
      <w:b w:val="0"/>
      <w:i/>
    </w:rPr>
  </w:style>
  <w:style w:type="table" w:customStyle="1" w:styleId="ECHRListTable">
    <w:name w:val="ECHR_List_Table"/>
    <w:basedOn w:val="TableNormal"/>
    <w:uiPriority w:val="99"/>
    <w:rsid w:val="00E3639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har">
    <w:name w:val="Ju_Para Char"/>
    <w:basedOn w:val="DefaultParagraphFont"/>
    <w:locked/>
    <w:rsid w:val="00D40D30"/>
    <w:rPr>
      <w:sz w:val="24"/>
      <w:lang w:val="bg-BG" w:eastAsia="bg-BG" w:bidi="bg-BG"/>
    </w:rPr>
  </w:style>
  <w:style w:type="character" w:customStyle="1" w:styleId="JuQuotChar">
    <w:name w:val="Ju_Quot Char"/>
    <w:basedOn w:val="JuParaChar"/>
    <w:link w:val="ECHRParaQuote"/>
    <w:rsid w:val="003C6038"/>
    <w:rPr>
      <w:rFonts w:eastAsiaTheme="minorEastAsia"/>
      <w:sz w:val="20"/>
      <w:lang w:val="bg-BG" w:eastAsia="bg-BG" w:bidi="bg-BG"/>
    </w:rPr>
  </w:style>
  <w:style w:type="character" w:customStyle="1" w:styleId="JuHAChar">
    <w:name w:val="Ju_H_A Char"/>
    <w:basedOn w:val="DefaultParagraphFont"/>
    <w:link w:val="ECHRHeading2"/>
    <w:rsid w:val="003C6038"/>
    <w:rPr>
      <w:rFonts w:asciiTheme="majorHAnsi" w:eastAsiaTheme="majorEastAsia" w:hAnsiTheme="majorHAnsi" w:cstheme="majorBidi"/>
      <w:b/>
      <w:bCs/>
      <w:sz w:val="24"/>
      <w:szCs w:val="26"/>
    </w:rPr>
  </w:style>
  <w:style w:type="character" w:customStyle="1" w:styleId="JuH1Char">
    <w:name w:val="Ju_H_1. Char"/>
    <w:basedOn w:val="JuHAChar"/>
    <w:link w:val="ECHRHeading3"/>
    <w:rsid w:val="003C6038"/>
    <w:rPr>
      <w:rFonts w:asciiTheme="majorHAnsi" w:eastAsiaTheme="majorEastAsia" w:hAnsiTheme="majorHAnsi" w:cstheme="majorBidi"/>
      <w:b w:val="0"/>
      <w:bCs/>
      <w:i/>
      <w:sz w:val="24"/>
      <w:szCs w:val="26"/>
    </w:rPr>
  </w:style>
  <w:style w:type="character" w:customStyle="1" w:styleId="textcolumn">
    <w:name w:val="textcolumn"/>
    <w:basedOn w:val="DefaultParagraphFont"/>
    <w:rsid w:val="00497DBE"/>
  </w:style>
  <w:style w:type="character" w:customStyle="1" w:styleId="originatingbody">
    <w:name w:val="originatingbody"/>
    <w:basedOn w:val="DefaultParagraphFont"/>
    <w:rsid w:val="00497DBE"/>
  </w:style>
  <w:style w:type="character" w:customStyle="1" w:styleId="datecolumn">
    <w:name w:val="datecolumn"/>
    <w:basedOn w:val="DefaultParagraphFont"/>
    <w:rsid w:val="00497DBE"/>
  </w:style>
  <w:style w:type="character" w:customStyle="1" w:styleId="wordhighlighted">
    <w:name w:val="wordhighlighted"/>
    <w:basedOn w:val="DefaultParagraphFont"/>
    <w:rsid w:val="00186F4A"/>
  </w:style>
  <w:style w:type="paragraph" w:customStyle="1" w:styleId="Default">
    <w:name w:val="Default"/>
    <w:rsid w:val="00DA24A3"/>
    <w:pPr>
      <w:autoSpaceDE w:val="0"/>
      <w:autoSpaceDN w:val="0"/>
      <w:adjustRightInd w:val="0"/>
    </w:pPr>
    <w:rPr>
      <w:rFonts w:ascii="Times New Roman" w:eastAsia="Times New Roman" w:hAnsi="Times New Roman" w:cs="Times New Roman"/>
      <w:color w:val="000000"/>
      <w:sz w:val="24"/>
      <w:szCs w:val="24"/>
    </w:rPr>
  </w:style>
  <w:style w:type="paragraph" w:customStyle="1" w:styleId="RCparajust">
    <w:name w:val="RC_para_just"/>
    <w:basedOn w:val="Normal"/>
    <w:link w:val="RCparajustCharChar"/>
    <w:rsid w:val="001526EC"/>
    <w:pPr>
      <w:spacing w:before="240"/>
    </w:pPr>
    <w:rPr>
      <w:rFonts w:ascii="Verdana" w:eastAsia="Times New Roman" w:hAnsi="Verdana" w:cs="Times New Roman"/>
      <w:sz w:val="20"/>
      <w:szCs w:val="20"/>
    </w:rPr>
  </w:style>
  <w:style w:type="character" w:customStyle="1" w:styleId="RCparajustCharChar">
    <w:name w:val="RC_para_just Char Char"/>
    <w:basedOn w:val="DefaultParagraphFont"/>
    <w:link w:val="RCparajust"/>
    <w:rsid w:val="001526EC"/>
    <w:rPr>
      <w:rFonts w:ascii="Verdana" w:eastAsia="Times New Roman" w:hAnsi="Verdana" w:cs="Times New Roman"/>
      <w:sz w:val="20"/>
      <w:szCs w:val="20"/>
      <w:lang w:val="bg-BG" w:eastAsia="bg-BG"/>
    </w:rPr>
  </w:style>
  <w:style w:type="paragraph" w:customStyle="1" w:styleId="LtrBody">
    <w:name w:val="Ltr_Body"/>
    <w:basedOn w:val="Normal"/>
    <w:rsid w:val="0099252D"/>
    <w:pPr>
      <w:ind w:firstLine="567"/>
    </w:pPr>
    <w:rPr>
      <w:rFonts w:ascii="Times New Roman" w:eastAsia="Times New Roman" w:hAnsi="Times New Roman" w:cs="Times New Roman"/>
      <w:szCs w:val="20"/>
    </w:rPr>
  </w:style>
  <w:style w:type="character" w:customStyle="1" w:styleId="column01">
    <w:name w:val="column01"/>
    <w:basedOn w:val="DefaultParagraphFont"/>
    <w:rsid w:val="008F5888"/>
  </w:style>
  <w:style w:type="character" w:customStyle="1" w:styleId="csshitselected">
    <w:name w:val="csshitselected"/>
    <w:basedOn w:val="DefaultParagraphFont"/>
    <w:rsid w:val="008F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647">
      <w:bodyDiv w:val="1"/>
      <w:marLeft w:val="0"/>
      <w:marRight w:val="0"/>
      <w:marTop w:val="0"/>
      <w:marBottom w:val="0"/>
      <w:divBdr>
        <w:top w:val="none" w:sz="0" w:space="0" w:color="auto"/>
        <w:left w:val="none" w:sz="0" w:space="0" w:color="auto"/>
        <w:bottom w:val="none" w:sz="0" w:space="0" w:color="auto"/>
        <w:right w:val="none" w:sz="0" w:space="0" w:color="auto"/>
      </w:divBdr>
      <w:divsChild>
        <w:div w:id="938831700">
          <w:marLeft w:val="0"/>
          <w:marRight w:val="0"/>
          <w:marTop w:val="0"/>
          <w:marBottom w:val="0"/>
          <w:divBdr>
            <w:top w:val="none" w:sz="0" w:space="0" w:color="auto"/>
            <w:left w:val="none" w:sz="0" w:space="0" w:color="auto"/>
            <w:bottom w:val="none" w:sz="0" w:space="0" w:color="auto"/>
            <w:right w:val="none" w:sz="0" w:space="0" w:color="auto"/>
          </w:divBdr>
          <w:divsChild>
            <w:div w:id="1850295005">
              <w:marLeft w:val="0"/>
              <w:marRight w:val="0"/>
              <w:marTop w:val="0"/>
              <w:marBottom w:val="0"/>
              <w:divBdr>
                <w:top w:val="none" w:sz="0" w:space="0" w:color="auto"/>
                <w:left w:val="none" w:sz="0" w:space="0" w:color="auto"/>
                <w:bottom w:val="none" w:sz="0" w:space="0" w:color="auto"/>
                <w:right w:val="none" w:sz="0" w:space="0" w:color="auto"/>
              </w:divBdr>
              <w:divsChild>
                <w:div w:id="38097188">
                  <w:marLeft w:val="0"/>
                  <w:marRight w:val="0"/>
                  <w:marTop w:val="0"/>
                  <w:marBottom w:val="0"/>
                  <w:divBdr>
                    <w:top w:val="none" w:sz="0" w:space="0" w:color="auto"/>
                    <w:left w:val="none" w:sz="0" w:space="0" w:color="auto"/>
                    <w:bottom w:val="none" w:sz="0" w:space="0" w:color="auto"/>
                    <w:right w:val="none" w:sz="0" w:space="0" w:color="auto"/>
                  </w:divBdr>
                  <w:divsChild>
                    <w:div w:id="414401667">
                      <w:marLeft w:val="0"/>
                      <w:marRight w:val="0"/>
                      <w:marTop w:val="0"/>
                      <w:marBottom w:val="0"/>
                      <w:divBdr>
                        <w:top w:val="none" w:sz="0" w:space="0" w:color="auto"/>
                        <w:left w:val="none" w:sz="0" w:space="0" w:color="auto"/>
                        <w:bottom w:val="none" w:sz="0" w:space="0" w:color="auto"/>
                        <w:right w:val="none" w:sz="0" w:space="0" w:color="auto"/>
                      </w:divBdr>
                      <w:divsChild>
                        <w:div w:id="2099859699">
                          <w:marLeft w:val="0"/>
                          <w:marRight w:val="0"/>
                          <w:marTop w:val="0"/>
                          <w:marBottom w:val="0"/>
                          <w:divBdr>
                            <w:top w:val="none" w:sz="0" w:space="0" w:color="auto"/>
                            <w:left w:val="none" w:sz="0" w:space="0" w:color="auto"/>
                            <w:bottom w:val="none" w:sz="0" w:space="0" w:color="auto"/>
                            <w:right w:val="none" w:sz="0" w:space="0" w:color="auto"/>
                          </w:divBdr>
                          <w:divsChild>
                            <w:div w:id="1242368931">
                              <w:marLeft w:val="0"/>
                              <w:marRight w:val="0"/>
                              <w:marTop w:val="0"/>
                              <w:marBottom w:val="0"/>
                              <w:divBdr>
                                <w:top w:val="none" w:sz="0" w:space="0" w:color="auto"/>
                                <w:left w:val="none" w:sz="0" w:space="0" w:color="auto"/>
                                <w:bottom w:val="none" w:sz="0" w:space="0" w:color="auto"/>
                                <w:right w:val="none" w:sz="0" w:space="0" w:color="auto"/>
                              </w:divBdr>
                              <w:divsChild>
                                <w:div w:id="257829522">
                                  <w:marLeft w:val="0"/>
                                  <w:marRight w:val="0"/>
                                  <w:marTop w:val="0"/>
                                  <w:marBottom w:val="0"/>
                                  <w:divBdr>
                                    <w:top w:val="none" w:sz="0" w:space="0" w:color="auto"/>
                                    <w:left w:val="none" w:sz="0" w:space="0" w:color="auto"/>
                                    <w:bottom w:val="none" w:sz="0" w:space="0" w:color="auto"/>
                                    <w:right w:val="none" w:sz="0" w:space="0" w:color="auto"/>
                                  </w:divBdr>
                                  <w:divsChild>
                                    <w:div w:id="856624800">
                                      <w:marLeft w:val="0"/>
                                      <w:marRight w:val="0"/>
                                      <w:marTop w:val="0"/>
                                      <w:marBottom w:val="0"/>
                                      <w:divBdr>
                                        <w:top w:val="none" w:sz="0" w:space="0" w:color="auto"/>
                                        <w:left w:val="none" w:sz="0" w:space="0" w:color="auto"/>
                                        <w:bottom w:val="none" w:sz="0" w:space="0" w:color="auto"/>
                                        <w:right w:val="none" w:sz="0" w:space="0" w:color="auto"/>
                                      </w:divBdr>
                                      <w:divsChild>
                                        <w:div w:id="1486509754">
                                          <w:marLeft w:val="0"/>
                                          <w:marRight w:val="0"/>
                                          <w:marTop w:val="0"/>
                                          <w:marBottom w:val="0"/>
                                          <w:divBdr>
                                            <w:top w:val="none" w:sz="0" w:space="0" w:color="auto"/>
                                            <w:left w:val="none" w:sz="0" w:space="0" w:color="auto"/>
                                            <w:bottom w:val="none" w:sz="0" w:space="0" w:color="auto"/>
                                            <w:right w:val="none" w:sz="0" w:space="0" w:color="auto"/>
                                          </w:divBdr>
                                          <w:divsChild>
                                            <w:div w:id="1706903614">
                                              <w:marLeft w:val="0"/>
                                              <w:marRight w:val="0"/>
                                              <w:marTop w:val="0"/>
                                              <w:marBottom w:val="0"/>
                                              <w:divBdr>
                                                <w:top w:val="none" w:sz="0" w:space="0" w:color="auto"/>
                                                <w:left w:val="none" w:sz="0" w:space="0" w:color="auto"/>
                                                <w:bottom w:val="none" w:sz="0" w:space="0" w:color="auto"/>
                                                <w:right w:val="none" w:sz="0" w:space="0" w:color="auto"/>
                                              </w:divBdr>
                                              <w:divsChild>
                                                <w:div w:id="243533730">
                                                  <w:marLeft w:val="0"/>
                                                  <w:marRight w:val="0"/>
                                                  <w:marTop w:val="0"/>
                                                  <w:marBottom w:val="0"/>
                                                  <w:divBdr>
                                                    <w:top w:val="none" w:sz="0" w:space="0" w:color="auto"/>
                                                    <w:left w:val="none" w:sz="0" w:space="0" w:color="auto"/>
                                                    <w:bottom w:val="none" w:sz="0" w:space="0" w:color="auto"/>
                                                    <w:right w:val="none" w:sz="0" w:space="0" w:color="auto"/>
                                                  </w:divBdr>
                                                </w:div>
                                              </w:divsChild>
                                            </w:div>
                                            <w:div w:id="1278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47264">
      <w:bodyDiv w:val="1"/>
      <w:marLeft w:val="0"/>
      <w:marRight w:val="0"/>
      <w:marTop w:val="0"/>
      <w:marBottom w:val="0"/>
      <w:divBdr>
        <w:top w:val="none" w:sz="0" w:space="0" w:color="auto"/>
        <w:left w:val="none" w:sz="0" w:space="0" w:color="auto"/>
        <w:bottom w:val="none" w:sz="0" w:space="0" w:color="auto"/>
        <w:right w:val="none" w:sz="0" w:space="0" w:color="auto"/>
      </w:divBdr>
      <w:divsChild>
        <w:div w:id="819076812">
          <w:marLeft w:val="0"/>
          <w:marRight w:val="0"/>
          <w:marTop w:val="0"/>
          <w:marBottom w:val="0"/>
          <w:divBdr>
            <w:top w:val="none" w:sz="0" w:space="0" w:color="auto"/>
            <w:left w:val="none" w:sz="0" w:space="0" w:color="auto"/>
            <w:bottom w:val="none" w:sz="0" w:space="0" w:color="auto"/>
            <w:right w:val="none" w:sz="0" w:space="0" w:color="auto"/>
          </w:divBdr>
          <w:divsChild>
            <w:div w:id="1015690111">
              <w:marLeft w:val="0"/>
              <w:marRight w:val="0"/>
              <w:marTop w:val="0"/>
              <w:marBottom w:val="0"/>
              <w:divBdr>
                <w:top w:val="none" w:sz="0" w:space="0" w:color="auto"/>
                <w:left w:val="none" w:sz="0" w:space="0" w:color="auto"/>
                <w:bottom w:val="none" w:sz="0" w:space="0" w:color="auto"/>
                <w:right w:val="none" w:sz="0" w:space="0" w:color="auto"/>
              </w:divBdr>
              <w:divsChild>
                <w:div w:id="13459948">
                  <w:marLeft w:val="0"/>
                  <w:marRight w:val="0"/>
                  <w:marTop w:val="0"/>
                  <w:marBottom w:val="0"/>
                  <w:divBdr>
                    <w:top w:val="none" w:sz="0" w:space="0" w:color="auto"/>
                    <w:left w:val="none" w:sz="0" w:space="0" w:color="auto"/>
                    <w:bottom w:val="none" w:sz="0" w:space="0" w:color="auto"/>
                    <w:right w:val="none" w:sz="0" w:space="0" w:color="auto"/>
                  </w:divBdr>
                  <w:divsChild>
                    <w:div w:id="1339650616">
                      <w:marLeft w:val="0"/>
                      <w:marRight w:val="0"/>
                      <w:marTop w:val="0"/>
                      <w:marBottom w:val="0"/>
                      <w:divBdr>
                        <w:top w:val="none" w:sz="0" w:space="0" w:color="auto"/>
                        <w:left w:val="none" w:sz="0" w:space="0" w:color="auto"/>
                        <w:bottom w:val="none" w:sz="0" w:space="0" w:color="auto"/>
                        <w:right w:val="none" w:sz="0" w:space="0" w:color="auto"/>
                      </w:divBdr>
                      <w:divsChild>
                        <w:div w:id="1555845107">
                          <w:marLeft w:val="0"/>
                          <w:marRight w:val="0"/>
                          <w:marTop w:val="0"/>
                          <w:marBottom w:val="0"/>
                          <w:divBdr>
                            <w:top w:val="none" w:sz="0" w:space="0" w:color="auto"/>
                            <w:left w:val="none" w:sz="0" w:space="0" w:color="auto"/>
                            <w:bottom w:val="none" w:sz="0" w:space="0" w:color="auto"/>
                            <w:right w:val="none" w:sz="0" w:space="0" w:color="auto"/>
                          </w:divBdr>
                          <w:divsChild>
                            <w:div w:id="12955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74534">
      <w:bodyDiv w:val="1"/>
      <w:marLeft w:val="0"/>
      <w:marRight w:val="0"/>
      <w:marTop w:val="0"/>
      <w:marBottom w:val="0"/>
      <w:divBdr>
        <w:top w:val="none" w:sz="0" w:space="0" w:color="auto"/>
        <w:left w:val="none" w:sz="0" w:space="0" w:color="auto"/>
        <w:bottom w:val="none" w:sz="0" w:space="0" w:color="auto"/>
        <w:right w:val="none" w:sz="0" w:space="0" w:color="auto"/>
      </w:divBdr>
    </w:div>
    <w:div w:id="2027825249">
      <w:bodyDiv w:val="1"/>
      <w:marLeft w:val="0"/>
      <w:marRight w:val="0"/>
      <w:marTop w:val="0"/>
      <w:marBottom w:val="0"/>
      <w:divBdr>
        <w:top w:val="none" w:sz="0" w:space="0" w:color="auto"/>
        <w:left w:val="none" w:sz="0" w:space="0" w:color="auto"/>
        <w:bottom w:val="none" w:sz="0" w:space="0" w:color="auto"/>
        <w:right w:val="none" w:sz="0" w:space="0" w:color="auto"/>
      </w:divBdr>
      <w:divsChild>
        <w:div w:id="2133084635">
          <w:marLeft w:val="0"/>
          <w:marRight w:val="0"/>
          <w:marTop w:val="0"/>
          <w:marBottom w:val="0"/>
          <w:divBdr>
            <w:top w:val="none" w:sz="0" w:space="0" w:color="auto"/>
            <w:left w:val="none" w:sz="0" w:space="0" w:color="auto"/>
            <w:bottom w:val="none" w:sz="0" w:space="0" w:color="auto"/>
            <w:right w:val="none" w:sz="0" w:space="0" w:color="auto"/>
          </w:divBdr>
          <w:divsChild>
            <w:div w:id="1403331626">
              <w:marLeft w:val="0"/>
              <w:marRight w:val="0"/>
              <w:marTop w:val="0"/>
              <w:marBottom w:val="0"/>
              <w:divBdr>
                <w:top w:val="none" w:sz="0" w:space="0" w:color="auto"/>
                <w:left w:val="none" w:sz="0" w:space="0" w:color="auto"/>
                <w:bottom w:val="none" w:sz="0" w:space="0" w:color="auto"/>
                <w:right w:val="none" w:sz="0" w:space="0" w:color="auto"/>
              </w:divBdr>
              <w:divsChild>
                <w:div w:id="951788265">
                  <w:marLeft w:val="0"/>
                  <w:marRight w:val="0"/>
                  <w:marTop w:val="0"/>
                  <w:marBottom w:val="0"/>
                  <w:divBdr>
                    <w:top w:val="none" w:sz="0" w:space="0" w:color="auto"/>
                    <w:left w:val="none" w:sz="0" w:space="0" w:color="auto"/>
                    <w:bottom w:val="none" w:sz="0" w:space="0" w:color="auto"/>
                    <w:right w:val="none" w:sz="0" w:space="0" w:color="auto"/>
                  </w:divBdr>
                  <w:divsChild>
                    <w:div w:id="1577351838">
                      <w:marLeft w:val="0"/>
                      <w:marRight w:val="0"/>
                      <w:marTop w:val="0"/>
                      <w:marBottom w:val="0"/>
                      <w:divBdr>
                        <w:top w:val="none" w:sz="0" w:space="0" w:color="auto"/>
                        <w:left w:val="none" w:sz="0" w:space="0" w:color="auto"/>
                        <w:bottom w:val="none" w:sz="0" w:space="0" w:color="auto"/>
                        <w:right w:val="none" w:sz="0" w:space="0" w:color="auto"/>
                      </w:divBdr>
                      <w:divsChild>
                        <w:div w:id="1346784464">
                          <w:marLeft w:val="0"/>
                          <w:marRight w:val="0"/>
                          <w:marTop w:val="0"/>
                          <w:marBottom w:val="0"/>
                          <w:divBdr>
                            <w:top w:val="none" w:sz="0" w:space="0" w:color="auto"/>
                            <w:left w:val="none" w:sz="0" w:space="0" w:color="auto"/>
                            <w:bottom w:val="none" w:sz="0" w:space="0" w:color="auto"/>
                            <w:right w:val="none" w:sz="0" w:space="0" w:color="auto"/>
                          </w:divBdr>
                          <w:divsChild>
                            <w:div w:id="8523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20888</Words>
  <Characters>119065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2016-09-16T12:32:00Z</dcterms:created>
  <dcterms:modified xsi:type="dcterms:W3CDTF">2016-09-16T12:32:00Z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