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CFF50" w14:textId="77777777" w:rsidR="00944170" w:rsidRPr="0033595F" w:rsidRDefault="00944170" w:rsidP="00EC5260">
      <w:pPr>
        <w:jc w:val="center"/>
      </w:pPr>
      <w:bookmarkStart w:id="0" w:name="_GoBack"/>
      <w:bookmarkEnd w:id="0"/>
    </w:p>
    <w:p w14:paraId="244B6C57" w14:textId="77777777" w:rsidR="00944170" w:rsidRDefault="00944170" w:rsidP="00EC5260">
      <w:pPr>
        <w:jc w:val="center"/>
      </w:pPr>
    </w:p>
    <w:p w14:paraId="7C881BFF" w14:textId="77777777" w:rsidR="00944170" w:rsidRDefault="00944170" w:rsidP="00EC5260">
      <w:pPr>
        <w:jc w:val="center"/>
      </w:pPr>
    </w:p>
    <w:p w14:paraId="0CA6F00A" w14:textId="4E60439A" w:rsidR="00944170" w:rsidRDefault="00C1757B" w:rsidP="00EC5260">
      <w:pPr>
        <w:jc w:val="center"/>
      </w:pPr>
      <w:r>
        <w:t>ГОЛЯМА КАМАРА</w:t>
      </w:r>
    </w:p>
    <w:p w14:paraId="7B536068" w14:textId="77777777" w:rsidR="00944170" w:rsidRDefault="00944170" w:rsidP="00EC5260">
      <w:pPr>
        <w:jc w:val="center"/>
      </w:pPr>
    </w:p>
    <w:p w14:paraId="48A67F80" w14:textId="77777777" w:rsidR="00944170" w:rsidRDefault="00944170" w:rsidP="00EC5260">
      <w:pPr>
        <w:jc w:val="center"/>
      </w:pPr>
    </w:p>
    <w:p w14:paraId="367625F2" w14:textId="77777777" w:rsidR="00944170" w:rsidRDefault="00944170" w:rsidP="00EC5260">
      <w:pPr>
        <w:jc w:val="center"/>
      </w:pPr>
    </w:p>
    <w:p w14:paraId="6D9A8396" w14:textId="77777777" w:rsidR="00944170" w:rsidRDefault="00944170" w:rsidP="00EC5260">
      <w:pPr>
        <w:jc w:val="center"/>
      </w:pPr>
    </w:p>
    <w:p w14:paraId="5BB7070E" w14:textId="77777777" w:rsidR="00EC5260" w:rsidRPr="00DC1F02" w:rsidRDefault="00EC5260" w:rsidP="00EC5260">
      <w:pPr>
        <w:jc w:val="center"/>
      </w:pPr>
    </w:p>
    <w:p w14:paraId="17967DC7" w14:textId="7CD8E56F" w:rsidR="00EC5260" w:rsidRPr="00DC1F02" w:rsidRDefault="00EC5260" w:rsidP="00EC5260">
      <w:pPr>
        <w:jc w:val="center"/>
        <w:rPr>
          <w:b/>
        </w:rPr>
      </w:pPr>
      <w:bookmarkStart w:id="1" w:name="To"/>
      <w:r>
        <w:rPr>
          <w:b/>
        </w:rPr>
        <w:t xml:space="preserve">ДЕЛО </w:t>
      </w:r>
      <w:bookmarkEnd w:id="1"/>
      <w:r>
        <w:rPr>
          <w:b/>
        </w:rPr>
        <w:t xml:space="preserve">ANHEUSER-BUSCH INC. </w:t>
      </w:r>
      <w:r w:rsidR="00CC6DEE">
        <w:rPr>
          <w:b/>
        </w:rPr>
        <w:t>срещу</w:t>
      </w:r>
      <w:r>
        <w:rPr>
          <w:b/>
        </w:rPr>
        <w:t xml:space="preserve"> </w:t>
      </w:r>
      <w:r w:rsidR="00CC6DEE">
        <w:rPr>
          <w:b/>
        </w:rPr>
        <w:t>ПОРТУГАЛИЯ</w:t>
      </w:r>
    </w:p>
    <w:p w14:paraId="0363FF08" w14:textId="77777777" w:rsidR="00EC5260" w:rsidRPr="00DC1F02" w:rsidRDefault="00EC5260" w:rsidP="00EC5260">
      <w:pPr>
        <w:jc w:val="center"/>
      </w:pPr>
    </w:p>
    <w:p w14:paraId="2E3B912D" w14:textId="77777777" w:rsidR="00944170" w:rsidRDefault="00EC5260" w:rsidP="00944170">
      <w:pPr>
        <w:jc w:val="center"/>
        <w:rPr>
          <w:i/>
        </w:rPr>
      </w:pPr>
      <w:r>
        <w:rPr>
          <w:i/>
        </w:rPr>
        <w:t>(Жалба № 73049/01)</w:t>
      </w:r>
    </w:p>
    <w:p w14:paraId="3E3D38D3" w14:textId="77777777" w:rsidR="00944170" w:rsidRDefault="00944170" w:rsidP="00944170">
      <w:pPr>
        <w:jc w:val="center"/>
        <w:rPr>
          <w:i/>
        </w:rPr>
      </w:pPr>
    </w:p>
    <w:p w14:paraId="4DB9C973" w14:textId="77777777" w:rsidR="00944170" w:rsidRDefault="00944170" w:rsidP="00944170">
      <w:pPr>
        <w:jc w:val="center"/>
        <w:rPr>
          <w:i/>
        </w:rPr>
      </w:pPr>
    </w:p>
    <w:p w14:paraId="6B720F99" w14:textId="77777777" w:rsidR="00944170" w:rsidRDefault="00944170" w:rsidP="00944170">
      <w:pPr>
        <w:jc w:val="center"/>
        <w:rPr>
          <w:i/>
        </w:rPr>
      </w:pPr>
    </w:p>
    <w:p w14:paraId="11CD6416" w14:textId="77777777" w:rsidR="00944170" w:rsidRDefault="00944170" w:rsidP="00944170">
      <w:pPr>
        <w:jc w:val="center"/>
        <w:rPr>
          <w:i/>
        </w:rPr>
      </w:pPr>
    </w:p>
    <w:p w14:paraId="0F854B14" w14:textId="77777777" w:rsidR="00944170" w:rsidRDefault="00944170" w:rsidP="00944170">
      <w:pPr>
        <w:jc w:val="center"/>
        <w:rPr>
          <w:i/>
        </w:rPr>
      </w:pPr>
    </w:p>
    <w:p w14:paraId="079E02C1" w14:textId="77777777" w:rsidR="00944170" w:rsidRDefault="00944170" w:rsidP="00944170">
      <w:pPr>
        <w:jc w:val="center"/>
        <w:rPr>
          <w:i/>
        </w:rPr>
      </w:pPr>
    </w:p>
    <w:p w14:paraId="53DC5A56" w14:textId="77777777" w:rsidR="00944170" w:rsidRDefault="00944170" w:rsidP="00944170">
      <w:pPr>
        <w:jc w:val="center"/>
        <w:rPr>
          <w:i/>
        </w:rPr>
      </w:pPr>
    </w:p>
    <w:p w14:paraId="4782863C" w14:textId="77777777" w:rsidR="00944170" w:rsidRDefault="00944170" w:rsidP="00944170">
      <w:pPr>
        <w:jc w:val="center"/>
        <w:rPr>
          <w:i/>
        </w:rPr>
      </w:pPr>
    </w:p>
    <w:p w14:paraId="75648256" w14:textId="77777777" w:rsidR="00944170" w:rsidRDefault="00944170" w:rsidP="00944170">
      <w:pPr>
        <w:jc w:val="center"/>
        <w:rPr>
          <w:i/>
        </w:rPr>
      </w:pPr>
    </w:p>
    <w:p w14:paraId="2BE91594" w14:textId="77777777" w:rsidR="00944170" w:rsidRDefault="00944170" w:rsidP="00944170">
      <w:pPr>
        <w:jc w:val="center"/>
        <w:rPr>
          <w:i/>
        </w:rPr>
      </w:pPr>
    </w:p>
    <w:p w14:paraId="27ED9DD1" w14:textId="77777777" w:rsidR="00944170" w:rsidRDefault="00944170" w:rsidP="00944170">
      <w:pPr>
        <w:jc w:val="center"/>
      </w:pPr>
      <w:r>
        <w:t>РЕШЕНИЕ</w:t>
      </w:r>
    </w:p>
    <w:p w14:paraId="61CC269A" w14:textId="77777777" w:rsidR="00944170" w:rsidRDefault="00944170" w:rsidP="00944170">
      <w:pPr>
        <w:jc w:val="center"/>
      </w:pPr>
    </w:p>
    <w:p w14:paraId="6FF1CD51" w14:textId="77777777" w:rsidR="00944170" w:rsidRDefault="00944170" w:rsidP="00944170">
      <w:pPr>
        <w:jc w:val="center"/>
      </w:pPr>
    </w:p>
    <w:p w14:paraId="2A5E816E" w14:textId="77777777" w:rsidR="00944170" w:rsidRDefault="00944170" w:rsidP="00944170">
      <w:pPr>
        <w:jc w:val="center"/>
      </w:pPr>
    </w:p>
    <w:p w14:paraId="06982D1C" w14:textId="77777777" w:rsidR="00944170" w:rsidRDefault="00944170" w:rsidP="00944170">
      <w:pPr>
        <w:jc w:val="center"/>
      </w:pPr>
      <w:r>
        <w:t>СТРАСБУРГ</w:t>
      </w:r>
    </w:p>
    <w:p w14:paraId="17073DFA" w14:textId="77777777" w:rsidR="00944170" w:rsidRDefault="00944170" w:rsidP="00944170">
      <w:pPr>
        <w:jc w:val="center"/>
      </w:pPr>
    </w:p>
    <w:p w14:paraId="0BE15925" w14:textId="27E6CF08" w:rsidR="00944170" w:rsidRDefault="00AE7E4B" w:rsidP="00944170">
      <w:pPr>
        <w:jc w:val="center"/>
      </w:pPr>
      <w:r>
        <w:t>11 януари 2007 г.</w:t>
      </w:r>
    </w:p>
    <w:p w14:paraId="5F259231" w14:textId="77777777" w:rsidR="00944170" w:rsidRDefault="00944170" w:rsidP="00944170">
      <w:pPr>
        <w:jc w:val="center"/>
      </w:pPr>
    </w:p>
    <w:p w14:paraId="3F665305" w14:textId="77777777" w:rsidR="00944170" w:rsidRDefault="00944170" w:rsidP="00944170">
      <w:pPr>
        <w:jc w:val="center"/>
      </w:pPr>
    </w:p>
    <w:p w14:paraId="538BABE6" w14:textId="77777777" w:rsidR="00033BB0" w:rsidRDefault="00033BB0">
      <w:pPr>
        <w:pStyle w:val="JuCase"/>
        <w:sectPr w:rsidR="00033BB0" w:rsidSect="00033BB0">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evenPage"/>
          <w:pgSz w:w="11906" w:h="16838" w:code="9"/>
          <w:pgMar w:top="2274" w:right="2274" w:bottom="2274" w:left="2274" w:header="1701" w:footer="720" w:gutter="0"/>
          <w:cols w:space="720"/>
          <w:titlePg/>
          <w:docGrid w:linePitch="326"/>
        </w:sectPr>
      </w:pPr>
    </w:p>
    <w:p w14:paraId="304E8287" w14:textId="479972F6" w:rsidR="00CD49A7" w:rsidRPr="00DC1F02" w:rsidRDefault="00944170">
      <w:pPr>
        <w:pStyle w:val="JuCase"/>
      </w:pPr>
      <w:r>
        <w:lastRenderedPageBreak/>
        <w:t xml:space="preserve">По делото Anheuser-Busch Inc. </w:t>
      </w:r>
      <w:r w:rsidR="00CC6DEE">
        <w:t>срещу Португалия</w:t>
      </w:r>
      <w:r>
        <w:t>,</w:t>
      </w:r>
    </w:p>
    <w:p w14:paraId="4EF24511" w14:textId="40EE451F" w:rsidR="005803E1" w:rsidRPr="00DC1F02" w:rsidRDefault="00CD49A7" w:rsidP="005803E1">
      <w:pPr>
        <w:pStyle w:val="JuPara"/>
      </w:pPr>
      <w:r>
        <w:t xml:space="preserve">Европейският съд по правата на човека, заседаващ </w:t>
      </w:r>
      <w:r w:rsidR="00CC6DEE">
        <w:t>като</w:t>
      </w:r>
      <w:r>
        <w:t xml:space="preserve"> Голяма </w:t>
      </w:r>
      <w:r w:rsidR="00CC6DEE">
        <w:t>к</w:t>
      </w:r>
      <w:r>
        <w:t>амара в състав:</w:t>
      </w:r>
    </w:p>
    <w:p w14:paraId="3F5076B7" w14:textId="1047BAD1" w:rsidR="00CD49A7" w:rsidRPr="00352BD6" w:rsidRDefault="00352BD6">
      <w:pPr>
        <w:pStyle w:val="JuJudges"/>
      </w:pPr>
      <w:r>
        <w:tab/>
        <w:t>Луциус Вилдхабер (Luzius Wildhaber),</w:t>
      </w:r>
      <w:r>
        <w:rPr>
          <w:i/>
        </w:rPr>
        <w:t xml:space="preserve"> </w:t>
      </w:r>
      <w:r w:rsidR="0070057E">
        <w:rPr>
          <w:i/>
        </w:rPr>
        <w:t>п</w:t>
      </w:r>
      <w:r>
        <w:rPr>
          <w:i/>
        </w:rPr>
        <w:t>редседател</w:t>
      </w:r>
      <w:r>
        <w:t>,</w:t>
      </w:r>
      <w:r>
        <w:rPr>
          <w:i/>
        </w:rPr>
        <w:br/>
      </w:r>
      <w:r w:rsidR="00CC6DEE">
        <w:rPr>
          <w:i/>
        </w:rPr>
        <w:tab/>
      </w:r>
      <w:r>
        <w:rPr>
          <w:i/>
        </w:rPr>
        <w:t>Христос Розакис</w:t>
      </w:r>
      <w:r w:rsidR="0070057E">
        <w:t xml:space="preserve"> </w:t>
      </w:r>
      <w:r>
        <w:t>(Christos Rozakis),</w:t>
      </w:r>
      <w:r>
        <w:rPr>
          <w:i/>
        </w:rPr>
        <w:br/>
      </w:r>
      <w:r w:rsidR="00CC6DEE">
        <w:rPr>
          <w:i/>
        </w:rPr>
        <w:tab/>
      </w:r>
      <w:r>
        <w:rPr>
          <w:i/>
        </w:rPr>
        <w:t>Николас Браца</w:t>
      </w:r>
      <w:r>
        <w:tab/>
      </w:r>
      <w:r w:rsidR="0070057E">
        <w:t xml:space="preserve"> </w:t>
      </w:r>
      <w:r>
        <w:t>(Nicolas Bratza),</w:t>
      </w:r>
      <w:r>
        <w:br/>
      </w:r>
      <w:r w:rsidR="00CC6DEE">
        <w:tab/>
      </w:r>
      <w:r>
        <w:t>П</w:t>
      </w:r>
      <w:r w:rsidR="0070057E">
        <w:t>ее</w:t>
      </w:r>
      <w:r>
        <w:t>р Лоренцен</w:t>
      </w:r>
      <w:r w:rsidR="0070057E">
        <w:t xml:space="preserve"> </w:t>
      </w:r>
      <w:r>
        <w:t>(Peer Lorenzen),</w:t>
      </w:r>
      <w:r>
        <w:br/>
      </w:r>
      <w:r w:rsidR="00CC6DEE">
        <w:tab/>
      </w:r>
      <w:r>
        <w:t>Джовани Бонело</w:t>
      </w:r>
      <w:r w:rsidR="008F06D8">
        <w:t xml:space="preserve"> </w:t>
      </w:r>
      <w:r>
        <w:t>(Giovanni Bonello),</w:t>
      </w:r>
      <w:r>
        <w:rPr>
          <w:i/>
        </w:rPr>
        <w:br/>
      </w:r>
      <w:r>
        <w:tab/>
        <w:t>Лу</w:t>
      </w:r>
      <w:r w:rsidR="008F06D8">
        <w:t>ц</w:t>
      </w:r>
      <w:r>
        <w:t>иус Кафлиш (Lucius Caflisch),</w:t>
      </w:r>
      <w:r>
        <w:rPr>
          <w:i/>
        </w:rPr>
        <w:br/>
      </w:r>
      <w:r>
        <w:tab/>
        <w:t>Лук</w:t>
      </w:r>
      <w:r w:rsidR="008F06D8">
        <w:t>ис</w:t>
      </w:r>
      <w:r>
        <w:t xml:space="preserve"> Лукайде</w:t>
      </w:r>
      <w:r w:rsidR="008F06D8">
        <w:t>с</w:t>
      </w:r>
      <w:r>
        <w:t xml:space="preserve"> (Loukis Loucaides),</w:t>
      </w:r>
      <w:r>
        <w:rPr>
          <w:i/>
        </w:rPr>
        <w:br/>
      </w:r>
      <w:r>
        <w:tab/>
        <w:t>Ирен</w:t>
      </w:r>
      <w:r w:rsidR="008F06D8">
        <w:t>е</w:t>
      </w:r>
      <w:r>
        <w:t>у Кабрал Барето (Ireneu Cabral Barreto),</w:t>
      </w:r>
      <w:r>
        <w:rPr>
          <w:i/>
        </w:rPr>
        <w:br/>
      </w:r>
      <w:r>
        <w:tab/>
        <w:t>Корнелиу Б</w:t>
      </w:r>
      <w:r w:rsidR="007F5F74">
        <w:t>ъ</w:t>
      </w:r>
      <w:r>
        <w:t>рсан (Corneliu Bîrsan),</w:t>
      </w:r>
      <w:r>
        <w:rPr>
          <w:i/>
        </w:rPr>
        <w:br/>
      </w:r>
      <w:r>
        <w:tab/>
      </w:r>
      <w:r w:rsidR="007F5F74">
        <w:t xml:space="preserve">Хосеп </w:t>
      </w:r>
      <w:r>
        <w:t>Касадевал (Josep Casadevall),</w:t>
      </w:r>
      <w:r>
        <w:rPr>
          <w:i/>
        </w:rPr>
        <w:br/>
      </w:r>
      <w:r>
        <w:tab/>
        <w:t>Раит Марусте (Rait Maruste),</w:t>
      </w:r>
      <w:r>
        <w:rPr>
          <w:i/>
        </w:rPr>
        <w:br/>
      </w:r>
      <w:r>
        <w:tab/>
        <w:t>Елизабет Щайнер (Elisabeth Steiner),</w:t>
      </w:r>
      <w:r>
        <w:rPr>
          <w:i/>
        </w:rPr>
        <w:br/>
      </w:r>
      <w:r>
        <w:tab/>
        <w:t>Станислав Павловши (Stanislav Pavlovschi),</w:t>
      </w:r>
      <w:r>
        <w:rPr>
          <w:i/>
        </w:rPr>
        <w:br/>
      </w:r>
      <w:r>
        <w:tab/>
        <w:t>Лех Гарлицки (Lech Garlicki),</w:t>
      </w:r>
      <w:r>
        <w:rPr>
          <w:i/>
        </w:rPr>
        <w:br/>
      </w:r>
      <w:r>
        <w:tab/>
        <w:t>Канлар Ха</w:t>
      </w:r>
      <w:r w:rsidR="007F5F74">
        <w:t>д</w:t>
      </w:r>
      <w:r>
        <w:t>жиев (Khanlar Hajiyev),</w:t>
      </w:r>
      <w:r>
        <w:rPr>
          <w:i/>
        </w:rPr>
        <w:br/>
      </w:r>
      <w:r>
        <w:tab/>
        <w:t>Давид Тор Бьоргвинсон (Davíd Thór Björgvinsson),</w:t>
      </w:r>
      <w:r>
        <w:rPr>
          <w:i/>
        </w:rPr>
        <w:br/>
      </w:r>
      <w:r>
        <w:tab/>
        <w:t>Драголюб Попович (Dragoljub Popović),</w:t>
      </w:r>
      <w:r>
        <w:rPr>
          <w:i/>
        </w:rPr>
        <w:t xml:space="preserve"> </w:t>
      </w:r>
      <w:r w:rsidR="007F5F74">
        <w:rPr>
          <w:i/>
        </w:rPr>
        <w:t>с</w:t>
      </w:r>
      <w:r>
        <w:rPr>
          <w:i/>
        </w:rPr>
        <w:t>ъдии</w:t>
      </w:r>
      <w:r>
        <w:t>,</w:t>
      </w:r>
      <w:r>
        <w:rPr>
          <w:i/>
        </w:rPr>
        <w:br/>
      </w:r>
      <w:r>
        <w:t xml:space="preserve">и Ерик Фриберг (Erik Fribergh), </w:t>
      </w:r>
      <w:r w:rsidR="007F5F74">
        <w:rPr>
          <w:i/>
        </w:rPr>
        <w:t>с</w:t>
      </w:r>
      <w:r>
        <w:rPr>
          <w:i/>
        </w:rPr>
        <w:t>екретар</w:t>
      </w:r>
      <w:r>
        <w:t>,</w:t>
      </w:r>
    </w:p>
    <w:p w14:paraId="0CE726A5" w14:textId="03DD2EB7" w:rsidR="00CD49A7" w:rsidRPr="00DC1F02" w:rsidRDefault="00CD49A7">
      <w:pPr>
        <w:pStyle w:val="JuPara"/>
      </w:pPr>
      <w:r>
        <w:t>След закрито заседание, проведено на 28 юни и на 29 ноември 2006г.,</w:t>
      </w:r>
    </w:p>
    <w:p w14:paraId="1AC24B74" w14:textId="159E8B6B" w:rsidR="00CD49A7" w:rsidRPr="00DC1F02" w:rsidRDefault="00CD49A7">
      <w:pPr>
        <w:pStyle w:val="JuPara"/>
      </w:pPr>
      <w:r>
        <w:t>Постанов</w:t>
      </w:r>
      <w:r w:rsidR="007F5F74">
        <w:t>и</w:t>
      </w:r>
      <w:r>
        <w:t xml:space="preserve"> следното решение, прието на последната от гореспоменатите дати:</w:t>
      </w:r>
    </w:p>
    <w:p w14:paraId="2AD56DDE" w14:textId="77777777" w:rsidR="00CD49A7" w:rsidRPr="00DC1F02" w:rsidRDefault="00CD49A7">
      <w:pPr>
        <w:pStyle w:val="JuHHead"/>
      </w:pPr>
      <w:r>
        <w:t>ПРОЦЕДУРА</w:t>
      </w:r>
    </w:p>
    <w:p w14:paraId="58E4B77C" w14:textId="5EAE89BB" w:rsidR="002B2821" w:rsidRPr="00DC1F02" w:rsidRDefault="005F29D6" w:rsidP="00085109">
      <w:pPr>
        <w:pStyle w:val="JuPara"/>
      </w:pPr>
      <w:r>
        <w:fldChar w:fldCharType="begin"/>
      </w:r>
      <w:r>
        <w:instrText xml:space="preserve"> SEQ level0 \*arabic </w:instrText>
      </w:r>
      <w:r>
        <w:fldChar w:fldCharType="separate"/>
      </w:r>
      <w:r w:rsidR="00CF6F43">
        <w:rPr>
          <w:noProof/>
        </w:rPr>
        <w:t>1</w:t>
      </w:r>
      <w:r>
        <w:rPr>
          <w:noProof/>
        </w:rPr>
        <w:fldChar w:fldCharType="end"/>
      </w:r>
      <w:r w:rsidR="00E57E8B">
        <w:t>.  Делото е образувано по жалба (№ 73049/01) срещу Република Португалия, подадена в Съда на основание чл. 34 от Конвенцията за защита на правата на човека и основните свободи (</w:t>
      </w:r>
      <w:r w:rsidR="0039597D">
        <w:t>„</w:t>
      </w:r>
      <w:r w:rsidR="00E57E8B">
        <w:t>Конвенцията</w:t>
      </w:r>
      <w:r w:rsidR="0039597D">
        <w:t>“</w:t>
      </w:r>
      <w:r w:rsidR="00E57E8B">
        <w:t>) от американската компания "Anheuser-Busch Inc." (</w:t>
      </w:r>
      <w:r w:rsidR="0039597D">
        <w:t xml:space="preserve">дружеството </w:t>
      </w:r>
      <w:r w:rsidR="00E57E8B">
        <w:t>жалбоподател) на 23 юли 2001 г.</w:t>
      </w:r>
    </w:p>
    <w:p w14:paraId="59600815" w14:textId="59048106" w:rsidR="00CD49A7" w:rsidRPr="00DC1F02" w:rsidRDefault="005F29D6">
      <w:pPr>
        <w:pStyle w:val="JuPara"/>
      </w:pPr>
      <w:r>
        <w:fldChar w:fldCharType="begin"/>
      </w:r>
      <w:r>
        <w:instrText xml:space="preserve"> SEQ level0 \*arabic </w:instrText>
      </w:r>
      <w:r>
        <w:fldChar w:fldCharType="separate"/>
      </w:r>
      <w:r w:rsidR="00CF6F43">
        <w:rPr>
          <w:noProof/>
        </w:rPr>
        <w:t>2</w:t>
      </w:r>
      <w:r>
        <w:rPr>
          <w:noProof/>
        </w:rPr>
        <w:fldChar w:fldCharType="end"/>
      </w:r>
      <w:r w:rsidR="00E57E8B">
        <w:t>.  </w:t>
      </w:r>
      <w:r w:rsidR="0039597D" w:rsidDel="0039597D">
        <w:t xml:space="preserve"> </w:t>
      </w:r>
      <w:r w:rsidR="0039597D">
        <w:t xml:space="preserve">Дружеството </w:t>
      </w:r>
      <w:r w:rsidR="00E57E8B">
        <w:t xml:space="preserve">жалбоподател се представлява от </w:t>
      </w:r>
      <w:r w:rsidR="0039597D">
        <w:t>г</w:t>
      </w:r>
      <w:r w:rsidR="00E57E8B">
        <w:t xml:space="preserve">-н D. Ohlgart и </w:t>
      </w:r>
      <w:r w:rsidR="0039597D">
        <w:t>г</w:t>
      </w:r>
      <w:r w:rsidR="00E57E8B">
        <w:t xml:space="preserve">-н B. Goebel от </w:t>
      </w:r>
      <w:r w:rsidR="0039597D">
        <w:t>а</w:t>
      </w:r>
      <w:r w:rsidR="00E57E8B">
        <w:t xml:space="preserve">двокатска кантора "Lovells International Law Office", Мадрид (Испания). Португалското правителство („Правителството”) се представлява от правителствения агент </w:t>
      </w:r>
      <w:r w:rsidR="0039597D">
        <w:t>г</w:t>
      </w:r>
      <w:r w:rsidR="00E57E8B">
        <w:t xml:space="preserve">-н J. Miguel, </w:t>
      </w:r>
      <w:r w:rsidR="0039597D">
        <w:t>з</w:t>
      </w:r>
      <w:r w:rsidR="00E57E8B">
        <w:t>аместник</w:t>
      </w:r>
      <w:r w:rsidR="0039597D">
        <w:t>-главен прокурор</w:t>
      </w:r>
      <w:r w:rsidR="00E57E8B">
        <w:t>.</w:t>
      </w:r>
    </w:p>
    <w:p w14:paraId="5422E704" w14:textId="5F9F1D14" w:rsidR="00033BB0" w:rsidRDefault="005F29D6" w:rsidP="00B354BB">
      <w:pPr>
        <w:pStyle w:val="JuPara"/>
      </w:pPr>
      <w:r>
        <w:fldChar w:fldCharType="begin"/>
      </w:r>
      <w:r>
        <w:instrText xml:space="preserve"> SEQ level0 \*arabic </w:instrText>
      </w:r>
      <w:r>
        <w:fldChar w:fldCharType="separate"/>
      </w:r>
      <w:r w:rsidR="00CF6F43">
        <w:rPr>
          <w:noProof/>
        </w:rPr>
        <w:t>3</w:t>
      </w:r>
      <w:r>
        <w:rPr>
          <w:noProof/>
        </w:rPr>
        <w:fldChar w:fldCharType="end"/>
      </w:r>
      <w:r w:rsidR="00E57E8B">
        <w:t xml:space="preserve">.  В </w:t>
      </w:r>
      <w:r w:rsidR="007B60F6">
        <w:t xml:space="preserve">жалбата си дружеството </w:t>
      </w:r>
      <w:r w:rsidR="00E57E8B">
        <w:t xml:space="preserve">жалбоподател твърди, че е налице нарушение на правото </w:t>
      </w:r>
      <w:r w:rsidR="007B60F6">
        <w:t xml:space="preserve">му </w:t>
      </w:r>
      <w:r w:rsidR="00E57E8B">
        <w:t xml:space="preserve">на мирно ползване на притежанията </w:t>
      </w:r>
      <w:r w:rsidR="007B60F6">
        <w:t>му</w:t>
      </w:r>
      <w:r w:rsidR="00E57E8B">
        <w:t xml:space="preserve"> в резултат на лишаване от правото да използва дадена търговска марка.</w:t>
      </w:r>
    </w:p>
    <w:p w14:paraId="5A05790A" w14:textId="58036E13" w:rsidR="002B2821" w:rsidRPr="00DC1F02" w:rsidRDefault="005F29D6" w:rsidP="00B354BB">
      <w:pPr>
        <w:pStyle w:val="JuPara"/>
      </w:pPr>
      <w:r>
        <w:fldChar w:fldCharType="begin"/>
      </w:r>
      <w:r>
        <w:instrText xml:space="preserve"> SEQ level0 \*arabic </w:instrText>
      </w:r>
      <w:r>
        <w:fldChar w:fldCharType="separate"/>
      </w:r>
      <w:r w:rsidR="00CF6F43">
        <w:rPr>
          <w:noProof/>
        </w:rPr>
        <w:t>4</w:t>
      </w:r>
      <w:r>
        <w:rPr>
          <w:noProof/>
        </w:rPr>
        <w:fldChar w:fldCharType="end"/>
      </w:r>
      <w:r w:rsidR="00E57E8B">
        <w:t xml:space="preserve">.  Жалбата е разпределена на </w:t>
      </w:r>
      <w:r w:rsidR="007B60F6">
        <w:t>Т</w:t>
      </w:r>
      <w:r w:rsidR="00E57E8B">
        <w:t>рето отделение на Съда (</w:t>
      </w:r>
      <w:r w:rsidR="007B60F6">
        <w:t>п</w:t>
      </w:r>
      <w:r w:rsidR="00E57E8B">
        <w:t xml:space="preserve">равило 52 § 1 от Правилника на Съда). В рамките на това </w:t>
      </w:r>
      <w:r w:rsidR="007B60F6">
        <w:t>о</w:t>
      </w:r>
      <w:r w:rsidR="00E57E8B">
        <w:t xml:space="preserve">тделение е </w:t>
      </w:r>
      <w:r w:rsidR="007B60F6">
        <w:t xml:space="preserve">определен </w:t>
      </w:r>
      <w:r w:rsidR="007B60F6">
        <w:lastRenderedPageBreak/>
        <w:t>съставът</w:t>
      </w:r>
      <w:r w:rsidR="00E57E8B">
        <w:t>, ко</w:t>
      </w:r>
      <w:r w:rsidR="007B60F6">
        <w:t>й</w:t>
      </w:r>
      <w:r w:rsidR="00E57E8B">
        <w:t xml:space="preserve">то ще разглежда делото (чл. 27 § 1 от Конвенцията) </w:t>
      </w:r>
      <w:r w:rsidR="007B60F6">
        <w:t xml:space="preserve">съгласно </w:t>
      </w:r>
      <w:r w:rsidR="00E57E8B">
        <w:t>Правило 26 § 1.</w:t>
      </w:r>
    </w:p>
    <w:p w14:paraId="1F0166C0" w14:textId="73CCC349" w:rsidR="006C5078" w:rsidRPr="00DC1F02" w:rsidRDefault="005F29D6">
      <w:pPr>
        <w:pStyle w:val="JuPara"/>
      </w:pPr>
      <w:r>
        <w:fldChar w:fldCharType="begin"/>
      </w:r>
      <w:r>
        <w:instrText xml:space="preserve"> SEQ level0 \*arabic </w:instrText>
      </w:r>
      <w:r>
        <w:fldChar w:fldCharType="separate"/>
      </w:r>
      <w:r w:rsidR="00CF6F43">
        <w:rPr>
          <w:noProof/>
        </w:rPr>
        <w:t>5</w:t>
      </w:r>
      <w:r>
        <w:rPr>
          <w:noProof/>
        </w:rPr>
        <w:fldChar w:fldCharType="end"/>
      </w:r>
      <w:r w:rsidR="00E57E8B">
        <w:t>.  На 1 ноември 2004</w:t>
      </w:r>
      <w:r w:rsidR="0099389C">
        <w:t xml:space="preserve"> </w:t>
      </w:r>
      <w:r w:rsidR="00E57E8B">
        <w:t>г. Съдът променя състава на отделения</w:t>
      </w:r>
      <w:r w:rsidR="0099389C">
        <w:t>та си</w:t>
      </w:r>
      <w:r w:rsidR="00E57E8B">
        <w:t xml:space="preserve">  (</w:t>
      </w:r>
      <w:r w:rsidR="0099389C">
        <w:t>п</w:t>
      </w:r>
      <w:r w:rsidR="00E57E8B">
        <w:t>равило 25 § 1). Това дело е разпределено на новосъ</w:t>
      </w:r>
      <w:r w:rsidR="00533B8F">
        <w:t>здад</w:t>
      </w:r>
      <w:r w:rsidR="00E57E8B">
        <w:t xml:space="preserve">еното Второ </w:t>
      </w:r>
      <w:r w:rsidR="0099389C">
        <w:t>о</w:t>
      </w:r>
      <w:r w:rsidR="00E57E8B">
        <w:t>тделение (</w:t>
      </w:r>
      <w:r w:rsidR="0099389C">
        <w:t>п</w:t>
      </w:r>
      <w:r w:rsidR="00E57E8B">
        <w:t>равило 52 § 1).</w:t>
      </w:r>
    </w:p>
    <w:p w14:paraId="13CF9FBB" w14:textId="37C7D7C5" w:rsidR="002B2821" w:rsidRPr="00DC1F02" w:rsidRDefault="005F29D6" w:rsidP="002B2821">
      <w:pPr>
        <w:pStyle w:val="JuPara"/>
      </w:pPr>
      <w:r>
        <w:fldChar w:fldCharType="begin"/>
      </w:r>
      <w:r>
        <w:instrText xml:space="preserve"> SEQ level0 \*arabic </w:instrText>
      </w:r>
      <w:r>
        <w:fldChar w:fldCharType="separate"/>
      </w:r>
      <w:r w:rsidR="00CF6F43">
        <w:rPr>
          <w:noProof/>
        </w:rPr>
        <w:t>6</w:t>
      </w:r>
      <w:r>
        <w:rPr>
          <w:noProof/>
        </w:rPr>
        <w:fldChar w:fldCharType="end"/>
      </w:r>
      <w:r w:rsidR="00E57E8B">
        <w:t xml:space="preserve">.  На 11 януари 2005 г., след изслушване, на което се разглежда въпроса за допустимостта </w:t>
      </w:r>
      <w:r w:rsidR="0099389C">
        <w:t>и основателността</w:t>
      </w:r>
      <w:r w:rsidR="00E57E8B">
        <w:t xml:space="preserve"> </w:t>
      </w:r>
      <w:r w:rsidR="0099389C">
        <w:t xml:space="preserve">ѝ </w:t>
      </w:r>
      <w:r w:rsidR="00E57E8B">
        <w:t>(</w:t>
      </w:r>
      <w:r w:rsidR="0099389C">
        <w:t>п</w:t>
      </w:r>
      <w:r w:rsidR="00E57E8B">
        <w:t xml:space="preserve">равило 54 § 3), </w:t>
      </w:r>
      <w:r w:rsidR="0099389C">
        <w:t>жалбата</w:t>
      </w:r>
      <w:r w:rsidR="00E57E8B">
        <w:t xml:space="preserve"> е обявена за допустима от състав на същото отделение.</w:t>
      </w:r>
    </w:p>
    <w:p w14:paraId="1F2F8374" w14:textId="5317CF26" w:rsidR="002B2821" w:rsidRPr="00DC1F02" w:rsidRDefault="005F29D6" w:rsidP="002B2821">
      <w:pPr>
        <w:pStyle w:val="JuPara"/>
      </w:pPr>
      <w:r>
        <w:fldChar w:fldCharType="begin"/>
      </w:r>
      <w:r>
        <w:instrText xml:space="preserve"> SEQ level0 \*arabic </w:instrText>
      </w:r>
      <w:r>
        <w:fldChar w:fldCharType="separate"/>
      </w:r>
      <w:r w:rsidR="00CF6F43">
        <w:rPr>
          <w:noProof/>
        </w:rPr>
        <w:t>7</w:t>
      </w:r>
      <w:r>
        <w:rPr>
          <w:noProof/>
        </w:rPr>
        <w:fldChar w:fldCharType="end"/>
      </w:r>
      <w:r w:rsidR="002B2821">
        <w:t xml:space="preserve">.  На 11 октомври 2005 г. </w:t>
      </w:r>
      <w:r w:rsidR="003F467F">
        <w:t>състав</w:t>
      </w:r>
      <w:r w:rsidR="002B2821">
        <w:t xml:space="preserve"> на това отделение </w:t>
      </w:r>
      <w:r w:rsidR="00545597">
        <w:t>с членове</w:t>
      </w:r>
      <w:r w:rsidR="002B2821">
        <w:t xml:space="preserve"> </w:t>
      </w:r>
      <w:r w:rsidR="00545597">
        <w:t>–</w:t>
      </w:r>
      <w:r w:rsidR="002B2821">
        <w:t xml:space="preserve"> Жан-Пол Коста (Jean-Paul Costa), </w:t>
      </w:r>
      <w:r w:rsidR="003F467F">
        <w:t>п</w:t>
      </w:r>
      <w:r w:rsidR="002B2821">
        <w:t>редседател, Андраш Бака (András Baka), Иренеу Кабрал Барето (Ireneu Cabral Barreto), Карел Юнгвирт (Karel Jungwiert), Володимир Буткевич (Volodymyr Butkevych), Антонела Муларони (Antonella Mularoni) и Дан</w:t>
      </w:r>
      <w:r w:rsidR="004965CF">
        <w:t>у</w:t>
      </w:r>
      <w:r w:rsidR="002B2821">
        <w:t>т</w:t>
      </w:r>
      <w:r w:rsidR="00533B8F">
        <w:t>е</w:t>
      </w:r>
      <w:r w:rsidR="002B2821">
        <w:t xml:space="preserve"> </w:t>
      </w:r>
      <w:r w:rsidR="004965CF">
        <w:t>Й</w:t>
      </w:r>
      <w:r w:rsidR="002B2821">
        <w:t>осиен (</w:t>
      </w:r>
      <w:r w:rsidR="002B2821">
        <w:rPr>
          <w:rFonts w:ascii="Times New (W1)" w:hAnsi="Times New (W1)"/>
        </w:rPr>
        <w:t>Danutė</w:t>
      </w:r>
      <w:r w:rsidR="002B2821">
        <w:t xml:space="preserve"> </w:t>
      </w:r>
      <w:r w:rsidR="002B2821">
        <w:rPr>
          <w:rStyle w:val="JupChar"/>
        </w:rPr>
        <w:t>Jočienė</w:t>
      </w:r>
      <w:r w:rsidR="002B2821">
        <w:t>), както и Стенли Н</w:t>
      </w:r>
      <w:r w:rsidR="004965CF">
        <w:t>а</w:t>
      </w:r>
      <w:r w:rsidR="002B2821">
        <w:t>йсмит (Stanley Naismith), заместник-секретар на отделението, се произнася с решение, в ко</w:t>
      </w:r>
      <w:r w:rsidR="00545597">
        <w:t>е</w:t>
      </w:r>
      <w:r w:rsidR="002B2821">
        <w:t xml:space="preserve">то поддържа становището, с пет на два гласа, че не е имало нарушение на </w:t>
      </w:r>
      <w:r w:rsidR="00545597">
        <w:t>ч</w:t>
      </w:r>
      <w:r w:rsidR="002B2821">
        <w:t xml:space="preserve">лен 1 от Протокол № </w:t>
      </w:r>
      <w:r w:rsidR="00545597">
        <w:t>1</w:t>
      </w:r>
      <w:r w:rsidR="002B2821">
        <w:t>. Съвместно</w:t>
      </w:r>
      <w:r w:rsidR="00545597">
        <w:t>то</w:t>
      </w:r>
      <w:r w:rsidR="002B2821">
        <w:t xml:space="preserve"> особено мнение </w:t>
      </w:r>
      <w:r w:rsidR="00545597">
        <w:t>на</w:t>
      </w:r>
      <w:r w:rsidR="002B2821">
        <w:t xml:space="preserve"> съдия Коста (Costa) и съдия Кабрал Барето (Cabral Barreto) е приложено към </w:t>
      </w:r>
      <w:r w:rsidR="00545597">
        <w:t>р</w:t>
      </w:r>
      <w:r w:rsidR="002B2821">
        <w:t>ешението.</w:t>
      </w:r>
    </w:p>
    <w:p w14:paraId="7CD2CDA8" w14:textId="0F4B3320" w:rsidR="002B2821" w:rsidRPr="00DC1F02" w:rsidRDefault="005F29D6" w:rsidP="002B2821">
      <w:pPr>
        <w:pStyle w:val="JuPara"/>
      </w:pPr>
      <w:r>
        <w:fldChar w:fldCharType="begin"/>
      </w:r>
      <w:r>
        <w:instrText xml:space="preserve"> SEQ level0 \*arabic </w:instrText>
      </w:r>
      <w:r>
        <w:fldChar w:fldCharType="separate"/>
      </w:r>
      <w:r w:rsidR="00CF6F43">
        <w:rPr>
          <w:noProof/>
        </w:rPr>
        <w:t>8</w:t>
      </w:r>
      <w:r>
        <w:rPr>
          <w:noProof/>
        </w:rPr>
        <w:fldChar w:fldCharType="end"/>
      </w:r>
      <w:r w:rsidR="002B2821">
        <w:t xml:space="preserve">.  На 11 януари 2006 г. </w:t>
      </w:r>
      <w:r w:rsidR="0023284E">
        <w:t xml:space="preserve">дружеството </w:t>
      </w:r>
      <w:r w:rsidR="002B2821">
        <w:t xml:space="preserve">жалбоподател иска отнасянето на случая до Голямата камара в съответствие с </w:t>
      </w:r>
      <w:r w:rsidR="0023284E">
        <w:t>ч</w:t>
      </w:r>
      <w:r w:rsidR="002B2821">
        <w:t>лен 43 от Конвенцията. Състав на Голямата камара уважава искането на 15 февруари 2006 г.</w:t>
      </w:r>
    </w:p>
    <w:p w14:paraId="3E28A20A" w14:textId="1168EE19" w:rsidR="002B2821" w:rsidRPr="00DC1F02" w:rsidRDefault="005F29D6" w:rsidP="002B2821">
      <w:pPr>
        <w:pStyle w:val="JuPara"/>
      </w:pPr>
      <w:r>
        <w:fldChar w:fldCharType="begin"/>
      </w:r>
      <w:r>
        <w:instrText xml:space="preserve"> SEQ level0 \*arabic </w:instrText>
      </w:r>
      <w:r>
        <w:fldChar w:fldCharType="separate"/>
      </w:r>
      <w:r w:rsidR="00CF6F43">
        <w:rPr>
          <w:noProof/>
        </w:rPr>
        <w:t>9</w:t>
      </w:r>
      <w:r>
        <w:rPr>
          <w:noProof/>
        </w:rPr>
        <w:fldChar w:fldCharType="end"/>
      </w:r>
      <w:r w:rsidR="002B2821">
        <w:t xml:space="preserve">.  Съставът на Голямата камара е определен в съответствие с разпоредбите на чл. 27 §§ 2 и 3 от Конвенцията и </w:t>
      </w:r>
      <w:r w:rsidR="0023284E">
        <w:t>п</w:t>
      </w:r>
      <w:r w:rsidR="002B2821">
        <w:t>равило 24. В окончателните разисквания Джовани Бонело (Giovanni Bonello) и Драголюб Попович (Dragoljub Popović), заместващи съдии, заменят Жан-Пол Коста (Jean-Paul Costa) и Бо</w:t>
      </w:r>
      <w:r w:rsidR="00FE6AE4">
        <w:t>щя</w:t>
      </w:r>
      <w:r w:rsidR="002B2821">
        <w:t>н М. Зупанчич (Boštjan M. Zupančič), които не са в състояние да участват в по-нататъшното разглеждане на делото (чл</w:t>
      </w:r>
      <w:r w:rsidR="00E75AED">
        <w:t>.</w:t>
      </w:r>
      <w:r w:rsidR="002B2821">
        <w:t xml:space="preserve"> 24 § 3). Луци</w:t>
      </w:r>
      <w:r w:rsidR="00E75AED">
        <w:t>ус</w:t>
      </w:r>
      <w:r w:rsidR="002B2821">
        <w:t xml:space="preserve"> Кафлиш (Lucius Caflisch) остава в състава и след изтичането на неговия мандат в съответствие с </w:t>
      </w:r>
      <w:r w:rsidR="00E75AED">
        <w:t>ч</w:t>
      </w:r>
      <w:r w:rsidR="002B2821">
        <w:t xml:space="preserve">лен 23 § 7 от Конвенцията и </w:t>
      </w:r>
      <w:r w:rsidR="00E75AED">
        <w:t>п</w:t>
      </w:r>
      <w:r w:rsidR="002B2821">
        <w:t>равило 24 § 4.</w:t>
      </w:r>
    </w:p>
    <w:p w14:paraId="37DD24C9" w14:textId="26187343" w:rsidR="002B2821" w:rsidRPr="00DC1F02" w:rsidRDefault="005F29D6" w:rsidP="002B2821">
      <w:pPr>
        <w:pStyle w:val="JuPara"/>
      </w:pPr>
      <w:r>
        <w:fldChar w:fldCharType="begin"/>
      </w:r>
      <w:r>
        <w:instrText xml:space="preserve"> SEQ level0 \*arabic </w:instrText>
      </w:r>
      <w:r>
        <w:fldChar w:fldCharType="separate"/>
      </w:r>
      <w:r w:rsidR="00CF6F43">
        <w:rPr>
          <w:noProof/>
        </w:rPr>
        <w:t>10</w:t>
      </w:r>
      <w:r>
        <w:rPr>
          <w:noProof/>
        </w:rPr>
        <w:fldChar w:fldCharType="end"/>
      </w:r>
      <w:r w:rsidR="002B2821">
        <w:t xml:space="preserve">.  Както </w:t>
      </w:r>
      <w:r w:rsidR="00E75AED">
        <w:t xml:space="preserve">дружеството </w:t>
      </w:r>
      <w:r w:rsidR="002B2821">
        <w:t>жалбоподател, така и Правителството пода</w:t>
      </w:r>
      <w:r w:rsidR="00E75AED">
        <w:t>ват</w:t>
      </w:r>
      <w:r w:rsidR="002B2821">
        <w:t xml:space="preserve"> становищата си по </w:t>
      </w:r>
      <w:r w:rsidR="00E75AED">
        <w:t>основателността</w:t>
      </w:r>
      <w:r w:rsidR="002B2821">
        <w:t xml:space="preserve"> на жалбата. </w:t>
      </w:r>
    </w:p>
    <w:p w14:paraId="39D913FA" w14:textId="2168D1BE" w:rsidR="00CD49A7" w:rsidRPr="00DC1F02" w:rsidRDefault="005F29D6">
      <w:pPr>
        <w:pStyle w:val="JuPara"/>
      </w:pPr>
      <w:r>
        <w:fldChar w:fldCharType="begin"/>
      </w:r>
      <w:r>
        <w:instrText xml:space="preserve"> SEQ level0 \*arabic </w:instrText>
      </w:r>
      <w:r>
        <w:fldChar w:fldCharType="separate"/>
      </w:r>
      <w:r w:rsidR="00CF6F43">
        <w:rPr>
          <w:noProof/>
        </w:rPr>
        <w:t>11</w:t>
      </w:r>
      <w:r>
        <w:rPr>
          <w:noProof/>
        </w:rPr>
        <w:fldChar w:fldCharType="end"/>
      </w:r>
      <w:r w:rsidR="002B2821">
        <w:t xml:space="preserve">.  Проведено е открито съдебно заседание в Сградата </w:t>
      </w:r>
      <w:r w:rsidR="00C44F91">
        <w:t xml:space="preserve">на Съда </w:t>
      </w:r>
      <w:r w:rsidR="002B2821">
        <w:t>по правата на човека в Страсбург на 28 юни 2006 г. (</w:t>
      </w:r>
      <w:r w:rsidR="00C44F91">
        <w:t>п</w:t>
      </w:r>
      <w:r w:rsidR="002B2821">
        <w:t>равило 59 § 3).</w:t>
      </w:r>
    </w:p>
    <w:p w14:paraId="57E0394E" w14:textId="77777777" w:rsidR="00CD49A7" w:rsidRPr="00DC1F02" w:rsidRDefault="00CD49A7">
      <w:pPr>
        <w:pStyle w:val="JuPara"/>
      </w:pPr>
    </w:p>
    <w:p w14:paraId="50035D38" w14:textId="2449DD40" w:rsidR="00CD49A7" w:rsidRPr="00DC1F02" w:rsidRDefault="00CD49A7" w:rsidP="00F92A55">
      <w:pPr>
        <w:pStyle w:val="JuPara"/>
        <w:keepNext/>
        <w:keepLines/>
      </w:pPr>
      <w:r>
        <w:t>Пред Съда се яв</w:t>
      </w:r>
      <w:r w:rsidR="00C44F91">
        <w:t>яват</w:t>
      </w:r>
      <w:r>
        <w:t>:</w:t>
      </w:r>
    </w:p>
    <w:p w14:paraId="2C1C1F29" w14:textId="5148C739" w:rsidR="00CD49A7" w:rsidRPr="00DC1F02" w:rsidRDefault="00CD49A7" w:rsidP="00F92A55">
      <w:pPr>
        <w:pStyle w:val="JuCourt"/>
        <w:keepLines/>
      </w:pPr>
      <w:r>
        <w:t>(a)  </w:t>
      </w:r>
      <w:r w:rsidR="002E1A66">
        <w:rPr>
          <w:i/>
        </w:rPr>
        <w:t>з</w:t>
      </w:r>
      <w:r w:rsidR="00C44F91">
        <w:rPr>
          <w:i/>
        </w:rPr>
        <w:t>а</w:t>
      </w:r>
      <w:r>
        <w:rPr>
          <w:i/>
        </w:rPr>
        <w:t xml:space="preserve"> Правителството</w:t>
      </w:r>
      <w:r>
        <w:br/>
      </w:r>
      <w:r w:rsidR="00C44F91">
        <w:t>г</w:t>
      </w:r>
      <w:r>
        <w:t xml:space="preserve">-н </w:t>
      </w:r>
      <w:r>
        <w:rPr>
          <w:rStyle w:val="JuNames"/>
        </w:rPr>
        <w:t>J. Miguel</w:t>
      </w:r>
      <w:r>
        <w:t xml:space="preserve">, </w:t>
      </w:r>
      <w:r w:rsidR="00C44F91">
        <w:t>заместник-главен прокурор</w:t>
      </w:r>
      <w:r>
        <w:t xml:space="preserve">, </w:t>
      </w:r>
      <w:r>
        <w:tab/>
      </w:r>
      <w:r w:rsidR="00C44F91">
        <w:rPr>
          <w:i/>
        </w:rPr>
        <w:t>агент</w:t>
      </w:r>
      <w:r>
        <w:t>,</w:t>
      </w:r>
      <w:r>
        <w:br/>
      </w:r>
      <w:r w:rsidR="00C44F91">
        <w:t>г</w:t>
      </w:r>
      <w:r>
        <w:t xml:space="preserve">-н </w:t>
      </w:r>
      <w:r>
        <w:rPr>
          <w:rStyle w:val="JuNames"/>
        </w:rPr>
        <w:t>A. Campinos</w:t>
      </w:r>
      <w:r>
        <w:t xml:space="preserve">, </w:t>
      </w:r>
      <w:r w:rsidR="002E1A66">
        <w:t>д</w:t>
      </w:r>
      <w:r>
        <w:t xml:space="preserve">иректор на Националния институт </w:t>
      </w:r>
      <w:r w:rsidR="00425B3C">
        <w:t>за</w:t>
      </w:r>
      <w:r>
        <w:t xml:space="preserve"> индустриална собственост,</w:t>
      </w:r>
      <w:r>
        <w:tab/>
      </w:r>
      <w:r w:rsidR="002E1A66">
        <w:rPr>
          <w:i/>
        </w:rPr>
        <w:t>адвокат</w:t>
      </w:r>
      <w:r>
        <w:t>;</w:t>
      </w:r>
      <w:r>
        <w:br/>
      </w:r>
    </w:p>
    <w:p w14:paraId="4DE43E5C" w14:textId="4AA4E2D4" w:rsidR="00CD49A7" w:rsidRPr="00DC1F02" w:rsidRDefault="00CD49A7" w:rsidP="00F92A55">
      <w:pPr>
        <w:pStyle w:val="JuCourt"/>
        <w:keepLines/>
      </w:pPr>
      <w:r>
        <w:lastRenderedPageBreak/>
        <w:t>(b)  </w:t>
      </w:r>
      <w:r w:rsidR="002E1A66">
        <w:rPr>
          <w:i/>
        </w:rPr>
        <w:t>за</w:t>
      </w:r>
      <w:r>
        <w:rPr>
          <w:i/>
        </w:rPr>
        <w:t xml:space="preserve"> </w:t>
      </w:r>
      <w:r w:rsidR="002E1A66">
        <w:rPr>
          <w:i/>
        </w:rPr>
        <w:t xml:space="preserve">дружеството </w:t>
      </w:r>
      <w:r>
        <w:rPr>
          <w:i/>
        </w:rPr>
        <w:t>жалбоподател</w:t>
      </w:r>
      <w:r>
        <w:br/>
      </w:r>
      <w:r w:rsidR="002E1A66">
        <w:t>г</w:t>
      </w:r>
      <w:r>
        <w:t xml:space="preserve">-н </w:t>
      </w:r>
      <w:r>
        <w:rPr>
          <w:rStyle w:val="JuNames"/>
        </w:rPr>
        <w:t>B. Goebel</w:t>
      </w:r>
      <w:r>
        <w:t>,</w:t>
      </w:r>
      <w:r>
        <w:tab/>
      </w:r>
      <w:r>
        <w:br/>
      </w:r>
      <w:r w:rsidR="002E1A66">
        <w:t>г</w:t>
      </w:r>
      <w:r>
        <w:t xml:space="preserve">-н </w:t>
      </w:r>
      <w:r>
        <w:rPr>
          <w:rStyle w:val="JuNames"/>
        </w:rPr>
        <w:t>D. Ohlgart</w:t>
      </w:r>
      <w:r>
        <w:t>,</w:t>
      </w:r>
      <w:r>
        <w:tab/>
      </w:r>
      <w:r>
        <w:br/>
      </w:r>
      <w:r w:rsidR="002E1A66">
        <w:t>г</w:t>
      </w:r>
      <w:r>
        <w:t xml:space="preserve">-жа </w:t>
      </w:r>
      <w:r w:rsidR="002E1A66">
        <w:t xml:space="preserve"> </w:t>
      </w:r>
      <w:r>
        <w:rPr>
          <w:rStyle w:val="JuNames"/>
        </w:rPr>
        <w:t>C. Schulte</w:t>
      </w:r>
      <w:r>
        <w:t>, адвокати,</w:t>
      </w:r>
      <w:r>
        <w:tab/>
      </w:r>
      <w:r w:rsidR="005E16CE">
        <w:rPr>
          <w:i/>
        </w:rPr>
        <w:t>адвокат</w:t>
      </w:r>
      <w:r>
        <w:t>,</w:t>
      </w:r>
      <w:r>
        <w:br/>
      </w:r>
      <w:r w:rsidR="005E16CE">
        <w:t>г</w:t>
      </w:r>
      <w:r>
        <w:t xml:space="preserve">-н </w:t>
      </w:r>
      <w:r>
        <w:rPr>
          <w:rStyle w:val="JuNames"/>
        </w:rPr>
        <w:t>J. Pimenta</w:t>
      </w:r>
      <w:r>
        <w:t>, адвокат,</w:t>
      </w:r>
      <w:r>
        <w:tab/>
      </w:r>
      <w:r>
        <w:br/>
      </w:r>
      <w:r w:rsidR="005E16CE">
        <w:t>г</w:t>
      </w:r>
      <w:r>
        <w:t xml:space="preserve">-н </w:t>
      </w:r>
      <w:r>
        <w:rPr>
          <w:rStyle w:val="JuNames"/>
        </w:rPr>
        <w:t>F.Z. Hellwig</w:t>
      </w:r>
      <w:r>
        <w:t xml:space="preserve">, </w:t>
      </w:r>
      <w:r w:rsidR="005E16CE">
        <w:t>с</w:t>
      </w:r>
      <w:r>
        <w:t>тарши юрисконсулт</w:t>
      </w:r>
      <w:r w:rsidR="005E16CE">
        <w:t>,</w:t>
      </w:r>
      <w:r>
        <w:t xml:space="preserve"> </w:t>
      </w:r>
      <w:r>
        <w:br/>
      </w:r>
      <w:r w:rsidR="005E16CE">
        <w:tab/>
      </w:r>
      <w:r w:rsidR="005E16CE">
        <w:tab/>
      </w:r>
      <w:r>
        <w:t>Anheuser-Busch Inc.,</w:t>
      </w:r>
      <w:r>
        <w:tab/>
      </w:r>
      <w:r w:rsidR="005E16CE">
        <w:rPr>
          <w:i/>
        </w:rPr>
        <w:t>с</w:t>
      </w:r>
      <w:r>
        <w:rPr>
          <w:i/>
        </w:rPr>
        <w:t>ъветници</w:t>
      </w:r>
      <w:r>
        <w:t>.</w:t>
      </w:r>
    </w:p>
    <w:p w14:paraId="483940CA" w14:textId="77777777" w:rsidR="00CD49A7" w:rsidRPr="00DC1F02" w:rsidRDefault="00CD49A7">
      <w:pPr>
        <w:pStyle w:val="JuPara"/>
      </w:pPr>
    </w:p>
    <w:p w14:paraId="57775867" w14:textId="26C0EBFC" w:rsidR="00CD49A7" w:rsidRPr="00DC1F02" w:rsidRDefault="00CD49A7">
      <w:pPr>
        <w:pStyle w:val="JuPara"/>
      </w:pPr>
      <w:r>
        <w:t xml:space="preserve">Съдът изслушва </w:t>
      </w:r>
      <w:r w:rsidR="005E16CE">
        <w:t>обръщенията на</w:t>
      </w:r>
      <w:r>
        <w:t xml:space="preserve"> </w:t>
      </w:r>
      <w:r w:rsidR="005E16CE">
        <w:t>г</w:t>
      </w:r>
      <w:r>
        <w:t xml:space="preserve">-н </w:t>
      </w:r>
      <w:r w:rsidR="00C730E8">
        <w:rPr>
          <w:lang w:val="en-US"/>
        </w:rPr>
        <w:t>Goebel</w:t>
      </w:r>
      <w:r>
        <w:t xml:space="preserve"> и </w:t>
      </w:r>
      <w:r w:rsidR="00C730E8">
        <w:rPr>
          <w:lang w:val="en-US"/>
        </w:rPr>
        <w:t>г</w:t>
      </w:r>
      <w:r>
        <w:t xml:space="preserve">-н </w:t>
      </w:r>
      <w:r w:rsidR="00C730E8">
        <w:rPr>
          <w:lang w:val="en-US"/>
        </w:rPr>
        <w:t>Miguel</w:t>
      </w:r>
      <w:r>
        <w:t xml:space="preserve"> и техните отговори на зададените въпроси.</w:t>
      </w:r>
    </w:p>
    <w:p w14:paraId="18874B26" w14:textId="77777777" w:rsidR="00CD49A7" w:rsidRPr="00DC1F02" w:rsidRDefault="00CD49A7" w:rsidP="00F92A55">
      <w:pPr>
        <w:pStyle w:val="JuHHead"/>
      </w:pPr>
      <w:r>
        <w:t>ФАКТИТЕ</w:t>
      </w:r>
    </w:p>
    <w:p w14:paraId="195AC194" w14:textId="77777777" w:rsidR="00CD49A7" w:rsidRPr="00DC1F02" w:rsidRDefault="00CD49A7" w:rsidP="00F92A55">
      <w:pPr>
        <w:pStyle w:val="JuHIRoman"/>
      </w:pPr>
      <w:r>
        <w:t>I. ОБСТОЯТЕЛСТВАТА ПО ДЕЛОТО</w:t>
      </w:r>
    </w:p>
    <w:p w14:paraId="49C11D43" w14:textId="2F1D7B24" w:rsidR="00A66D56" w:rsidRPr="00DC1F02" w:rsidRDefault="005F29D6" w:rsidP="00A66D56">
      <w:pPr>
        <w:pStyle w:val="JuPara"/>
        <w:rPr>
          <w:noProof/>
        </w:rPr>
      </w:pPr>
      <w:r>
        <w:fldChar w:fldCharType="begin"/>
      </w:r>
      <w:r>
        <w:instrText xml:space="preserve"> SEQ level0 \*arabic </w:instrText>
      </w:r>
      <w:r>
        <w:fldChar w:fldCharType="separate"/>
      </w:r>
      <w:r w:rsidR="00CF6F43">
        <w:rPr>
          <w:noProof/>
        </w:rPr>
        <w:t>12</w:t>
      </w:r>
      <w:r>
        <w:rPr>
          <w:noProof/>
        </w:rPr>
        <w:fldChar w:fldCharType="end"/>
      </w:r>
      <w:r w:rsidR="00E57E8B">
        <w:t>.  </w:t>
      </w:r>
      <w:r w:rsidR="00C730E8">
        <w:rPr>
          <w:lang w:val="en-US"/>
        </w:rPr>
        <w:t xml:space="preserve">Дружеството </w:t>
      </w:r>
      <w:r w:rsidR="00E57E8B">
        <w:t>жалбоподател е американско публично дружество, чието седалище е в Сейнт Луис, Мисури (Съединени американски щати). Тя произвежда и продава бира с марката "Budweiser" в редица страни по света.</w:t>
      </w:r>
    </w:p>
    <w:p w14:paraId="108C6CA8" w14:textId="77777777" w:rsidR="003357F6" w:rsidRPr="00DC1F02" w:rsidRDefault="003357F6" w:rsidP="003357F6">
      <w:pPr>
        <w:pStyle w:val="JuHA"/>
      </w:pPr>
      <w:r>
        <w:t>A.  Предистория на делото</w:t>
      </w:r>
    </w:p>
    <w:p w14:paraId="76313049" w14:textId="0AB22816" w:rsidR="00E71F84" w:rsidRPr="00DC1F02" w:rsidRDefault="005F29D6" w:rsidP="0034600E">
      <w:pPr>
        <w:pStyle w:val="JuPara"/>
      </w:pPr>
      <w:r>
        <w:fldChar w:fldCharType="begin"/>
      </w:r>
      <w:r>
        <w:instrText xml:space="preserve"> SEQ level0 \*arabic </w:instrText>
      </w:r>
      <w:r>
        <w:fldChar w:fldCharType="separate"/>
      </w:r>
      <w:r w:rsidR="00CF6F43">
        <w:rPr>
          <w:noProof/>
        </w:rPr>
        <w:t>13</w:t>
      </w:r>
      <w:r>
        <w:rPr>
          <w:noProof/>
        </w:rPr>
        <w:fldChar w:fldCharType="end"/>
      </w:r>
      <w:r w:rsidR="00A66D56">
        <w:t>.  </w:t>
      </w:r>
      <w:r w:rsidR="00721E5E">
        <w:t xml:space="preserve">Дружеството </w:t>
      </w:r>
      <w:r w:rsidR="00A66D56">
        <w:t>жалбоподател продава бира в Съединените американски щати под търговската марка “Budweiser” поне от 1876 г. Т</w:t>
      </w:r>
      <w:r w:rsidR="00721E5E">
        <w:t>о</w:t>
      </w:r>
      <w:r w:rsidR="00A66D56">
        <w:t xml:space="preserve"> пробива на </w:t>
      </w:r>
      <w:r w:rsidR="00721E5E">
        <w:t>е</w:t>
      </w:r>
      <w:r w:rsidR="00A66D56">
        <w:t>вропейските пазари през осемдесетте години и твърди, че е започнал</w:t>
      </w:r>
      <w:r w:rsidR="00721E5E">
        <w:t>о</w:t>
      </w:r>
      <w:r w:rsidR="00A66D56">
        <w:t xml:space="preserve"> да продава бирата “Budweiser” в Португалия през юли 1986 г.</w:t>
      </w:r>
    </w:p>
    <w:p w14:paraId="581656C1" w14:textId="47BC34CC" w:rsidR="00E71F84" w:rsidRPr="00DC1F02" w:rsidRDefault="005F29D6" w:rsidP="0034600E">
      <w:pPr>
        <w:pStyle w:val="JuPara"/>
      </w:pPr>
      <w:r>
        <w:fldChar w:fldCharType="begin"/>
      </w:r>
      <w:r>
        <w:instrText xml:space="preserve"> SEQ level0 \*arabic </w:instrText>
      </w:r>
      <w:r>
        <w:fldChar w:fldCharType="separate"/>
      </w:r>
      <w:r w:rsidR="00CF6F43">
        <w:rPr>
          <w:noProof/>
        </w:rPr>
        <w:t>14</w:t>
      </w:r>
      <w:r>
        <w:rPr>
          <w:noProof/>
        </w:rPr>
        <w:fldChar w:fldCharType="end"/>
      </w:r>
      <w:r w:rsidR="0034600E">
        <w:t xml:space="preserve">.  Решението на </w:t>
      </w:r>
      <w:r w:rsidR="00721E5E">
        <w:t xml:space="preserve">дружеството </w:t>
      </w:r>
      <w:r w:rsidR="0034600E">
        <w:t>жалбоподател да разшири продажб</w:t>
      </w:r>
      <w:r w:rsidR="00252EAD">
        <w:t>ите</w:t>
      </w:r>
      <w:r w:rsidR="0034600E">
        <w:t xml:space="preserve"> на сво</w:t>
      </w:r>
      <w:r w:rsidR="00252EAD">
        <w:t>я</w:t>
      </w:r>
      <w:r w:rsidR="0034600E">
        <w:t>т</w:t>
      </w:r>
      <w:r w:rsidR="00252EAD">
        <w:t>а</w:t>
      </w:r>
      <w:r w:rsidR="0034600E">
        <w:t xml:space="preserve"> бир</w:t>
      </w:r>
      <w:r w:rsidR="00252EAD">
        <w:t>а</w:t>
      </w:r>
      <w:r w:rsidR="0034600E">
        <w:t xml:space="preserve"> в Европа води до конфликт с тогава чехословашката, а сега чешката компания, наречена "Budějovický Budvar". Компанията "Budějovický Budvar" произвежда бира в град </w:t>
      </w:r>
      <w:r w:rsidR="00252EAD">
        <w:t>Ческе Будьовице</w:t>
      </w:r>
      <w:r w:rsidR="0034600E">
        <w:t xml:space="preserve"> в Бохемия (Чехия), която също се нарича "Budweiser". Терминът произлиза от "Budweis", немското наименование на града. </w:t>
      </w:r>
      <w:r w:rsidR="00EA1200">
        <w:t xml:space="preserve">Дружеството </w:t>
      </w:r>
      <w:r w:rsidR="0034600E">
        <w:t>жалбоподател твърди, че "Budějovický Budvar" предлага бира на пазара под името "Budweiser" едва от 1895 г., докато от друга страна "Budějovický Budvar" твърди, че е имала правото да използва това наименование от 1265 г., когато кралят на Бохемия</w:t>
      </w:r>
      <w:r w:rsidR="00987E83">
        <w:t>,</w:t>
      </w:r>
      <w:r w:rsidR="0034600E">
        <w:t xml:space="preserve"> </w:t>
      </w:r>
      <w:r w:rsidR="00EA1200">
        <w:t xml:space="preserve">Отокар </w:t>
      </w:r>
      <w:r w:rsidR="0034600E">
        <w:t xml:space="preserve">II, предоставя правото за производство на бира на редица независими пивовари в </w:t>
      </w:r>
      <w:r w:rsidR="00987E83">
        <w:t>Ческе Будьовице</w:t>
      </w:r>
      <w:r w:rsidR="0034600E">
        <w:t xml:space="preserve"> (</w:t>
      </w:r>
      <w:r w:rsidR="00987E83">
        <w:t xml:space="preserve">"Budweis" </w:t>
      </w:r>
      <w:r w:rsidR="0034600E">
        <w:t xml:space="preserve">на немски език). Пивоварите използват специална техника, а бирата, произвеждана по този метод става известна с термина "Budweiser", точно както бирата, </w:t>
      </w:r>
      <w:r w:rsidR="0034600E">
        <w:lastRenderedPageBreak/>
        <w:t>произвеждана с помощта на методите на друг чешки град - Plzeň (на немски - Пилзен), става известна като "Pilsner".</w:t>
      </w:r>
    </w:p>
    <w:p w14:paraId="6C0B1C3A" w14:textId="75B12A05" w:rsidR="00A457F5" w:rsidRPr="00DC1F02" w:rsidRDefault="005F29D6" w:rsidP="0034600E">
      <w:pPr>
        <w:pStyle w:val="JuPara"/>
      </w:pPr>
      <w:r>
        <w:fldChar w:fldCharType="begin"/>
      </w:r>
      <w:r>
        <w:instrText xml:space="preserve"> SEQ level0 \*arabic </w:instrText>
      </w:r>
      <w:r>
        <w:fldChar w:fldCharType="separate"/>
      </w:r>
      <w:r w:rsidR="00CF6F43">
        <w:rPr>
          <w:noProof/>
        </w:rPr>
        <w:t>15</w:t>
      </w:r>
      <w:r>
        <w:rPr>
          <w:noProof/>
        </w:rPr>
        <w:fldChar w:fldCharType="end"/>
      </w:r>
      <w:r w:rsidR="0034600E">
        <w:t xml:space="preserve">.  Според информацията, представена пред Съда, </w:t>
      </w:r>
      <w:r w:rsidR="001C2BC8">
        <w:t xml:space="preserve">дружеството </w:t>
      </w:r>
      <w:r w:rsidR="0034600E">
        <w:t>жалбоподател сключ</w:t>
      </w:r>
      <w:r w:rsidR="001C2BC8">
        <w:t>в</w:t>
      </w:r>
      <w:r w:rsidR="0034600E">
        <w:t xml:space="preserve">а две споразумения през 1911 г. и през 1939 г. с "Budějovický Budvar", свързани с разпространението и продажбата на бирата "Budweiser" в Съединените щати. </w:t>
      </w:r>
      <w:r w:rsidR="001C2BC8">
        <w:t>Т</w:t>
      </w:r>
      <w:r w:rsidR="0034600E">
        <w:t xml:space="preserve">ези споразумения </w:t>
      </w:r>
      <w:r w:rsidR="001C2BC8">
        <w:t xml:space="preserve">обаче </w:t>
      </w:r>
      <w:r w:rsidR="0034600E">
        <w:t xml:space="preserve">не разглеждат въпроса за правото да се използва наименованието "Budweiser" в Европа. В резултат на това двете компании са въвлечени в поредица съдебни производства </w:t>
      </w:r>
      <w:r w:rsidR="001C2BC8">
        <w:t xml:space="preserve">във връзка с </w:t>
      </w:r>
      <w:r w:rsidR="0034600E">
        <w:t>правото да се използва терминът "Budweiser" в различни европейски страни, включително и в Португалия.</w:t>
      </w:r>
    </w:p>
    <w:p w14:paraId="0146CF6A" w14:textId="77777777" w:rsidR="0034600E" w:rsidRPr="00DC1F02" w:rsidRDefault="0034600E" w:rsidP="0034600E">
      <w:pPr>
        <w:pStyle w:val="JuHA"/>
      </w:pPr>
      <w:r>
        <w:t>B.  Заявление за регистрация на търговската марка в Португалия</w:t>
      </w:r>
    </w:p>
    <w:p w14:paraId="148FD02E" w14:textId="1A76146E" w:rsidR="00E71F84" w:rsidRPr="00DC1F02" w:rsidRDefault="0034600E" w:rsidP="00F06838">
      <w:pPr>
        <w:pStyle w:val="JuParaChar"/>
      </w:pPr>
      <w:r w:rsidRPr="00DC1F02">
        <w:rPr>
          <w:noProof/>
        </w:rPr>
        <w:fldChar w:fldCharType="begin"/>
      </w:r>
      <w:r w:rsidRPr="00DC1F02">
        <w:rPr>
          <w:noProof/>
        </w:rPr>
        <w:instrText xml:space="preserve"> SEQ level0 \*arabic </w:instrText>
      </w:r>
      <w:r w:rsidRPr="00DC1F02">
        <w:rPr>
          <w:noProof/>
        </w:rPr>
        <w:fldChar w:fldCharType="separate"/>
      </w:r>
      <w:r w:rsidR="00CF6F43">
        <w:rPr>
          <w:noProof/>
        </w:rPr>
        <w:t>16</w:t>
      </w:r>
      <w:r w:rsidRPr="00DC1F02">
        <w:rPr>
          <w:noProof/>
        </w:rPr>
        <w:fldChar w:fldCharType="end"/>
      </w:r>
      <w:r>
        <w:t xml:space="preserve">.  На 19 май 1981 г. </w:t>
      </w:r>
      <w:r w:rsidR="001C2BC8">
        <w:t xml:space="preserve">дружеството </w:t>
      </w:r>
      <w:r>
        <w:t xml:space="preserve">жалбоподател подава заявление </w:t>
      </w:r>
      <w:r w:rsidR="00425B3C">
        <w:t xml:space="preserve">в </w:t>
      </w:r>
      <w:r>
        <w:t>Националния институт за индустриална собственост (NIIP) за регистрира</w:t>
      </w:r>
      <w:r w:rsidR="00425B3C">
        <w:t>не на</w:t>
      </w:r>
      <w:r>
        <w:t xml:space="preserve"> "Budweiser" като търговска марка в регистъра на промишлената собственост. NIIP не уважава молбата веднага, защото същата е в противоречие с "Budĕjovický Budvar", която твърди, че от 1968 г. "Budweiser Bier" е регистрирана на нейно име като наименование на мястото </w:t>
      </w:r>
      <w:r w:rsidR="00250E28">
        <w:t>ѝ</w:t>
      </w:r>
      <w:r>
        <w:t xml:space="preserve"> на произход. "Budějovický Budvar" е осъществила регистрацията съгласно условията на Лисабон</w:t>
      </w:r>
      <w:r w:rsidR="00250E28">
        <w:t>ската спогодба</w:t>
      </w:r>
      <w:r>
        <w:t xml:space="preserve"> </w:t>
      </w:r>
      <w:r w:rsidR="00250E28">
        <w:t>от</w:t>
      </w:r>
      <w:r>
        <w:t xml:space="preserve"> 31 октомври 1958 г. за </w:t>
      </w:r>
      <w:r w:rsidR="00250E28">
        <w:t>з</w:t>
      </w:r>
      <w:r>
        <w:t>а</w:t>
      </w:r>
      <w:r w:rsidR="00250E28">
        <w:t>крила</w:t>
      </w:r>
      <w:r>
        <w:t xml:space="preserve"> на наименованията за произход и тяхната международна регистрация (вж</w:t>
      </w:r>
      <w:r w:rsidR="008A2B8C">
        <w:t>.</w:t>
      </w:r>
      <w:r>
        <w:t xml:space="preserve"> параграф 33 по-долу).</w:t>
      </w:r>
    </w:p>
    <w:p w14:paraId="6C3230CD" w14:textId="19A1CA09" w:rsidR="0050052B" w:rsidRPr="00DC1F02" w:rsidRDefault="005F29D6" w:rsidP="007414BE">
      <w:pPr>
        <w:pStyle w:val="Jup"/>
      </w:pPr>
      <w:r>
        <w:fldChar w:fldCharType="begin"/>
      </w:r>
      <w:r>
        <w:instrText xml:space="preserve"> SEQ level0 \*arabic </w:instrText>
      </w:r>
      <w:r>
        <w:fldChar w:fldCharType="separate"/>
      </w:r>
      <w:r w:rsidR="00CF6F43">
        <w:rPr>
          <w:noProof/>
        </w:rPr>
        <w:t>17</w:t>
      </w:r>
      <w:r>
        <w:rPr>
          <w:noProof/>
        </w:rPr>
        <w:fldChar w:fldCharType="end"/>
      </w:r>
      <w:r w:rsidR="007414BE">
        <w:t xml:space="preserve">.  През 1980 г. се провеждат преговори с цел разрешаване на спора между </w:t>
      </w:r>
      <w:r w:rsidR="008A2B8C">
        <w:t xml:space="preserve">дружеството </w:t>
      </w:r>
      <w:r w:rsidR="007414BE">
        <w:t xml:space="preserve">жалбоподател и "Budějovický Budvar". Според </w:t>
      </w:r>
      <w:r w:rsidR="008A2B8C">
        <w:t xml:space="preserve">дружеството </w:t>
      </w:r>
      <w:r w:rsidR="007414BE">
        <w:t xml:space="preserve">жалбоподател преговорите през 1982 г. дори са довели до изготвянето на споразумение във връзка с употребата на търговската марка "Budweiser" в Португалия и други европейски страни. Въпреки това преговорите в крайна сметка се провалят и през юни 1989 г. </w:t>
      </w:r>
      <w:r w:rsidR="008D56B2">
        <w:t xml:space="preserve">дружеството </w:t>
      </w:r>
      <w:r w:rsidR="007414BE">
        <w:t>жалбоподател дава инструкции на адвокатите си в Португалия да започнат съдебно производство.</w:t>
      </w:r>
    </w:p>
    <w:p w14:paraId="5C8727BD" w14:textId="1C1EA1B9" w:rsidR="00A66D56" w:rsidRPr="00DC1F02" w:rsidRDefault="00F104C9" w:rsidP="00A66D56">
      <w:pPr>
        <w:pStyle w:val="JuParaChar"/>
        <w:rPr>
          <w:noProof/>
        </w:rPr>
      </w:pPr>
      <w:r w:rsidRPr="00DC1F02">
        <w:rPr>
          <w:noProof/>
        </w:rPr>
        <w:fldChar w:fldCharType="begin"/>
      </w:r>
      <w:r w:rsidRPr="00DC1F02">
        <w:rPr>
          <w:noProof/>
        </w:rPr>
        <w:instrText xml:space="preserve"> SEQ level0 \*arabic </w:instrText>
      </w:r>
      <w:r w:rsidRPr="00DC1F02">
        <w:rPr>
          <w:noProof/>
        </w:rPr>
        <w:fldChar w:fldCharType="separate"/>
      </w:r>
      <w:r w:rsidR="00CF6F43">
        <w:rPr>
          <w:noProof/>
        </w:rPr>
        <w:t>18</w:t>
      </w:r>
      <w:r w:rsidRPr="00DC1F02">
        <w:rPr>
          <w:noProof/>
        </w:rPr>
        <w:fldChar w:fldCharType="end"/>
      </w:r>
      <w:r>
        <w:t>.  След това</w:t>
      </w:r>
      <w:r w:rsidR="008D56B2">
        <w:t>,</w:t>
      </w:r>
      <w:r>
        <w:t xml:space="preserve"> на 10 ноември 1989 г.</w:t>
      </w:r>
      <w:r w:rsidR="008D56B2">
        <w:t>,</w:t>
      </w:r>
      <w:r>
        <w:t xml:space="preserve"> </w:t>
      </w:r>
      <w:r w:rsidR="008D56B2">
        <w:t xml:space="preserve">дружеството </w:t>
      </w:r>
      <w:r>
        <w:t xml:space="preserve">жалбоподател </w:t>
      </w:r>
      <w:r w:rsidR="008D56B2">
        <w:t xml:space="preserve">подава искане </w:t>
      </w:r>
      <w:r w:rsidR="00416C1E">
        <w:t>до</w:t>
      </w:r>
      <w:r>
        <w:t xml:space="preserve"> </w:t>
      </w:r>
      <w:r w:rsidR="008D56B2">
        <w:t>п</w:t>
      </w:r>
      <w:r>
        <w:t xml:space="preserve">ървоинстанционния съд в Лисабон с молба да бъде издадено нареждане за анулиране на регистрацията "Budějovický Budvar". На компанията "Budějovický Budvar"е изпратена призовка, но същата не </w:t>
      </w:r>
      <w:r w:rsidR="00416C1E">
        <w:t>се възползва от правото си на защита</w:t>
      </w:r>
      <w:r>
        <w:t xml:space="preserve">. С решение от 8 март 1995 г. (което поради липса на обжалване е влязло в сила), </w:t>
      </w:r>
      <w:r w:rsidR="00416C1E">
        <w:t>п</w:t>
      </w:r>
      <w:r>
        <w:t xml:space="preserve">ървоинстанционният съд в Лисабон уважава искането на </w:t>
      </w:r>
      <w:r w:rsidR="00416C1E">
        <w:t xml:space="preserve">дружеството </w:t>
      </w:r>
      <w:r>
        <w:t>жалбоподател с мотива, че продуктът, за който се отнася регистрацията, а именно бирата, известна като "Budweiser Bier ", не е наименование за произход и не назовава първоизточника. Първоинстанционният съд отбелязва, че съгласно условията на Лисабонск</w:t>
      </w:r>
      <w:r w:rsidR="00416C1E">
        <w:t>а</w:t>
      </w:r>
      <w:r>
        <w:t>т</w:t>
      </w:r>
      <w:r w:rsidR="00416C1E">
        <w:t>а</w:t>
      </w:r>
      <w:r>
        <w:t xml:space="preserve"> </w:t>
      </w:r>
      <w:r w:rsidR="00416C1E">
        <w:t>спогодба</w:t>
      </w:r>
      <w:r>
        <w:t xml:space="preserve"> от 31 октомври 1958 г. тази защита е ограничена до географското </w:t>
      </w:r>
      <w:r>
        <w:lastRenderedPageBreak/>
        <w:t xml:space="preserve">наименование на страната, областта или местността, които служат за обозначаване на произхождащия от там продукт, </w:t>
      </w:r>
      <w:r w:rsidR="009979DE">
        <w:t xml:space="preserve">чиито </w:t>
      </w:r>
      <w:r>
        <w:t>качество и характеристики се дължат изключително или основно на географската среда, което включва природни и човешки фактори. “Budweiser” не попада в тази категория. Ето защо регистрацията е прекратена.</w:t>
      </w:r>
    </w:p>
    <w:p w14:paraId="480C5840" w14:textId="7ABB4D44" w:rsidR="00233948" w:rsidRPr="00DC1F02" w:rsidRDefault="005F29D6" w:rsidP="00A66D56">
      <w:pPr>
        <w:pStyle w:val="JuParaChar"/>
        <w:rPr>
          <w:noProof/>
        </w:rPr>
      </w:pPr>
      <w:r>
        <w:fldChar w:fldCharType="begin"/>
      </w:r>
      <w:r>
        <w:instrText xml:space="preserve"> SEQ level0 \*arabic </w:instrText>
      </w:r>
      <w:r>
        <w:fldChar w:fldCharType="separate"/>
      </w:r>
      <w:r w:rsidR="00CF6F43">
        <w:rPr>
          <w:noProof/>
        </w:rPr>
        <w:t>19</w:t>
      </w:r>
      <w:r>
        <w:rPr>
          <w:noProof/>
        </w:rPr>
        <w:fldChar w:fldCharType="end"/>
      </w:r>
      <w:r w:rsidR="00A66D56">
        <w:t xml:space="preserve">.  След отмяната на наименованието за произход и въпреки факта, че "Budějovický Budvar" оспорва заявлението за регистрация в рамките на процедурата за възражение, на 20 юни 1995 г. NIIP регистрира търговската марка "Budweiser" на името на </w:t>
      </w:r>
      <w:r w:rsidR="009979DE">
        <w:t xml:space="preserve">дружеството </w:t>
      </w:r>
      <w:r w:rsidR="00A66D56">
        <w:t>жалбоподател в решение, публикувано на 8 ноември 1995 г.</w:t>
      </w:r>
    </w:p>
    <w:p w14:paraId="1CA259E2" w14:textId="73DE641A" w:rsidR="00233948" w:rsidRPr="00DC1F02" w:rsidRDefault="00233948" w:rsidP="00233948">
      <w:pPr>
        <w:pStyle w:val="JuHA"/>
      </w:pPr>
      <w:r>
        <w:t>С.  </w:t>
      </w:r>
      <w:r w:rsidR="00C2521A">
        <w:t>П</w:t>
      </w:r>
      <w:r>
        <w:t>роизводств</w:t>
      </w:r>
      <w:r w:rsidR="00C2521A">
        <w:t>а</w:t>
      </w:r>
      <w:r>
        <w:t xml:space="preserve"> </w:t>
      </w:r>
      <w:r w:rsidR="00C2521A">
        <w:t>пред</w:t>
      </w:r>
      <w:r>
        <w:t xml:space="preserve"> португалските съдилища</w:t>
      </w:r>
    </w:p>
    <w:p w14:paraId="1B5EE348" w14:textId="56E32EDF" w:rsidR="00A66D56" w:rsidRPr="00DC1F02" w:rsidRDefault="00AD155F" w:rsidP="00A66D56">
      <w:pPr>
        <w:pStyle w:val="JuParaChar"/>
      </w:pPr>
      <w:r w:rsidRPr="00DC1F02">
        <w:rPr>
          <w:noProof/>
        </w:rPr>
        <w:fldChar w:fldCharType="begin"/>
      </w:r>
      <w:r w:rsidRPr="00DC1F02">
        <w:rPr>
          <w:noProof/>
        </w:rPr>
        <w:instrText xml:space="preserve"> SEQ level0 \*arabic </w:instrText>
      </w:r>
      <w:r w:rsidRPr="00DC1F02">
        <w:rPr>
          <w:noProof/>
        </w:rPr>
        <w:fldChar w:fldCharType="separate"/>
      </w:r>
      <w:r w:rsidR="00CF6F43">
        <w:rPr>
          <w:noProof/>
        </w:rPr>
        <w:t>20</w:t>
      </w:r>
      <w:r w:rsidRPr="00DC1F02">
        <w:rPr>
          <w:noProof/>
        </w:rPr>
        <w:fldChar w:fldCharType="end"/>
      </w:r>
      <w:r>
        <w:t xml:space="preserve">.  На 8 февруари 1996 г. компанията "Budějovický Budvar" обжалва решението на NIIP пред </w:t>
      </w:r>
      <w:r w:rsidR="00C2521A">
        <w:t>п</w:t>
      </w:r>
      <w:r>
        <w:t>ървоинстанционния съд в Лисабон по силата на спо</w:t>
      </w:r>
      <w:r w:rsidR="00C2521A">
        <w:t>годба</w:t>
      </w:r>
      <w:r>
        <w:t xml:space="preserve"> между правителствата на Република Португалия и Чехословашката социалистическа република за за</w:t>
      </w:r>
      <w:r w:rsidR="00C2521A">
        <w:t>крила</w:t>
      </w:r>
      <w:r>
        <w:t xml:space="preserve"> на означенията на произход, наименованията за произход и други географски и сходни наименования (</w:t>
      </w:r>
      <w:r w:rsidR="00C2521A">
        <w:t>„д</w:t>
      </w:r>
      <w:r>
        <w:t>вустранн</w:t>
      </w:r>
      <w:r w:rsidR="00C2521A">
        <w:t>ата спогодба“</w:t>
      </w:r>
      <w:r>
        <w:t xml:space="preserve">), подписано в Лисабон на 10 януари 1986 г. и влязло в сила на 7 март 1987 г. след публикуването му в Държавен вестник. Както се изисква по закон, </w:t>
      </w:r>
      <w:r w:rsidR="0074730B">
        <w:t xml:space="preserve">дружеството </w:t>
      </w:r>
      <w:r>
        <w:t>жалбоподател е поканен</w:t>
      </w:r>
      <w:r w:rsidR="0074730B">
        <w:t>о</w:t>
      </w:r>
      <w:r>
        <w:t xml:space="preserve"> от съда да вземе участие в производството като заинтересована страна. През юни 1996 г. на </w:t>
      </w:r>
      <w:r w:rsidR="0074730B">
        <w:t xml:space="preserve">дружеството </w:t>
      </w:r>
      <w:r>
        <w:t>жалбоподател е връчена призовка, подадена от компанията "Budějovický Budvar".</w:t>
      </w:r>
    </w:p>
    <w:p w14:paraId="22421321" w14:textId="2F87972D" w:rsidR="00A66D56" w:rsidRPr="00DC1F02" w:rsidRDefault="005F29D6" w:rsidP="00A66D56">
      <w:pPr>
        <w:pStyle w:val="JuPara"/>
      </w:pPr>
      <w:r>
        <w:fldChar w:fldCharType="begin"/>
      </w:r>
      <w:r>
        <w:instrText xml:space="preserve"> SEQ level0 \*arabic </w:instrText>
      </w:r>
      <w:r>
        <w:fldChar w:fldCharType="separate"/>
      </w:r>
      <w:r w:rsidR="00CF6F43">
        <w:rPr>
          <w:noProof/>
        </w:rPr>
        <w:t>21</w:t>
      </w:r>
      <w:r>
        <w:rPr>
          <w:noProof/>
        </w:rPr>
        <w:fldChar w:fldCharType="end"/>
      </w:r>
      <w:r w:rsidR="00A66D56">
        <w:t>.  С решение от 18</w:t>
      </w:r>
      <w:r w:rsidR="0074730B">
        <w:t xml:space="preserve"> </w:t>
      </w:r>
      <w:r w:rsidR="00A66D56">
        <w:t xml:space="preserve">юли 1998 г. </w:t>
      </w:r>
      <w:r w:rsidR="0074730B">
        <w:t>п</w:t>
      </w:r>
      <w:r w:rsidR="00A66D56">
        <w:t xml:space="preserve">ървоинстанционният съд в Лисабон отхвърля жалбата. Той </w:t>
      </w:r>
      <w:r w:rsidR="00284FCD">
        <w:t>констатира</w:t>
      </w:r>
      <w:r w:rsidR="00A66D56">
        <w:t>, че единственото допустимо право на защита на интелектуалната собственост съгласно португалското право и двустранн</w:t>
      </w:r>
      <w:r w:rsidR="004A32D1">
        <w:t>а</w:t>
      </w:r>
      <w:r w:rsidR="00A66D56">
        <w:t>т</w:t>
      </w:r>
      <w:r w:rsidR="004A32D1">
        <w:t>а</w:t>
      </w:r>
      <w:r w:rsidR="00A66D56">
        <w:t xml:space="preserve"> спо</w:t>
      </w:r>
      <w:r w:rsidR="004A32D1">
        <w:t>годба</w:t>
      </w:r>
      <w:r w:rsidR="00A66D56">
        <w:t xml:space="preserve"> (ко</w:t>
      </w:r>
      <w:r w:rsidR="004A32D1">
        <w:t>я</w:t>
      </w:r>
      <w:r w:rsidR="00A66D56">
        <w:t xml:space="preserve">то според Съда вече не е в сила поради факта, че една от договарящите страни </w:t>
      </w:r>
      <w:r w:rsidR="004A32D1">
        <w:t>–</w:t>
      </w:r>
      <w:r w:rsidR="00A66D56">
        <w:t xml:space="preserve"> Чехословакия престава да съществува) е наименованието на мястото за произход "Českobudějovický Budvar", а не на търговската марка "Budweiser". В допълнение той </w:t>
      </w:r>
      <w:r w:rsidR="004A32D1">
        <w:t>констатира</w:t>
      </w:r>
      <w:r w:rsidR="00A66D56">
        <w:t xml:space="preserve">, че не съществува риск от объркване между наименованието за произход и търговската марка на </w:t>
      </w:r>
      <w:r w:rsidR="004A32D1">
        <w:t xml:space="preserve">дружеството </w:t>
      </w:r>
      <w:r w:rsidR="00A66D56">
        <w:t>жалбоподател, която по-голямата част от потребителите считат за американска бира.</w:t>
      </w:r>
    </w:p>
    <w:p w14:paraId="5BE4A7E3" w14:textId="14C455B2" w:rsidR="00094A9F" w:rsidRPr="00DC1F02" w:rsidRDefault="005F29D6" w:rsidP="00A66D56">
      <w:pPr>
        <w:pStyle w:val="JuPara"/>
        <w:rPr>
          <w:noProof/>
        </w:rPr>
      </w:pPr>
      <w:r>
        <w:fldChar w:fldCharType="begin"/>
      </w:r>
      <w:r>
        <w:instrText xml:space="preserve"> SEQ</w:instrText>
      </w:r>
      <w:r>
        <w:instrText xml:space="preserve"> level0 \*arabic </w:instrText>
      </w:r>
      <w:r>
        <w:fldChar w:fldCharType="separate"/>
      </w:r>
      <w:r w:rsidR="00CF6F43">
        <w:rPr>
          <w:noProof/>
        </w:rPr>
        <w:t>22</w:t>
      </w:r>
      <w:r>
        <w:rPr>
          <w:noProof/>
        </w:rPr>
        <w:fldChar w:fldCharType="end"/>
      </w:r>
      <w:r w:rsidR="00A66D56">
        <w:t xml:space="preserve">.  Компанията "Budějovický Budvar" обжалва това решение пред Апелативния съд в Лисабон, </w:t>
      </w:r>
      <w:r w:rsidR="004D7D99">
        <w:t>като твърди</w:t>
      </w:r>
      <w:r w:rsidR="00A66D56">
        <w:t xml:space="preserve">, </w:t>
      </w:r>
      <w:r w:rsidR="00A66D56">
        <w:rPr>
          <w:i/>
          <w:noProof/>
        </w:rPr>
        <w:t>inter alia</w:t>
      </w:r>
      <w:r w:rsidR="00A66D56">
        <w:t xml:space="preserve">, нарушение на </w:t>
      </w:r>
      <w:r w:rsidR="004D7D99">
        <w:t>ч</w:t>
      </w:r>
      <w:r w:rsidR="00A66D56">
        <w:t xml:space="preserve">лен 189 § 1, т. (l) и (j) от Кодекса за индустриалната собственост. С решение от 21 октомври 1999 г. Апелативният съд в Лисабон отменя обжалваното решение и нарежда на NIIP да откаже да регистрира "Budweiser" като търговска марка. Апелативният съд не счита, че е налице нарушение на </w:t>
      </w:r>
      <w:r w:rsidR="004D7D99">
        <w:t>ч</w:t>
      </w:r>
      <w:r w:rsidR="00A66D56">
        <w:t xml:space="preserve">лен 189 § 1 (л) от Кодекса за индустриалната собственост, тъй като изразът "Budweiser" не е в състояние да подведе </w:t>
      </w:r>
      <w:r w:rsidR="00A66D56">
        <w:lastRenderedPageBreak/>
        <w:t xml:space="preserve">португалската общественост по отношение на произхода на въпросната бира. Въпреки това той </w:t>
      </w:r>
      <w:r w:rsidR="00794E74">
        <w:t>констатира</w:t>
      </w:r>
      <w:r w:rsidR="00A66D56">
        <w:t>, че една такава регистрация би нарушила двустранн</w:t>
      </w:r>
      <w:r w:rsidR="00794E74">
        <w:t>а</w:t>
      </w:r>
      <w:r w:rsidR="00A66D56">
        <w:t>т</w:t>
      </w:r>
      <w:r w:rsidR="00794E74">
        <w:t>а</w:t>
      </w:r>
      <w:r w:rsidR="00A66D56">
        <w:t xml:space="preserve"> спо</w:t>
      </w:r>
      <w:r w:rsidR="00794E74">
        <w:t>годба</w:t>
      </w:r>
      <w:r w:rsidR="00A66D56">
        <w:t xml:space="preserve"> и следователно </w:t>
      </w:r>
      <w:r w:rsidR="00794E74">
        <w:t>ч</w:t>
      </w:r>
      <w:r w:rsidR="00A66D56">
        <w:t>лен 189 § 1 (й) от Кодекса за индустриалната собственост. В тази връзка отбелязва, че двустранн</w:t>
      </w:r>
      <w:r w:rsidR="00794E74">
        <w:t>а</w:t>
      </w:r>
      <w:r w:rsidR="00A66D56">
        <w:t>т</w:t>
      </w:r>
      <w:r w:rsidR="00794E74">
        <w:t>а</w:t>
      </w:r>
      <w:r w:rsidR="00A66D56">
        <w:t xml:space="preserve"> спо</w:t>
      </w:r>
      <w:r w:rsidR="00794E74">
        <w:t>годба</w:t>
      </w:r>
      <w:r w:rsidR="00A66D56">
        <w:t xml:space="preserve"> e останал</w:t>
      </w:r>
      <w:r w:rsidR="00794E74">
        <w:t>а</w:t>
      </w:r>
      <w:r w:rsidR="00A66D56">
        <w:t xml:space="preserve"> в сила след размяната на вербални ноти между Чешкото и португалското правителство (вж</w:t>
      </w:r>
      <w:r w:rsidR="00794E74">
        <w:t>.</w:t>
      </w:r>
      <w:r w:rsidR="00A66D56">
        <w:t xml:space="preserve"> параграф 25 по-долу) и е включен</w:t>
      </w:r>
      <w:r w:rsidR="00794E74">
        <w:t>а</w:t>
      </w:r>
      <w:r w:rsidR="00A66D56">
        <w:t xml:space="preserve"> в националното законодателство по силата на </w:t>
      </w:r>
      <w:r w:rsidR="00794E74">
        <w:t>ч</w:t>
      </w:r>
      <w:r w:rsidR="00A66D56">
        <w:t>лен 8 от Конституцията, който съдържа клауза международното право да влезе в сила в португалската правна система.</w:t>
      </w:r>
    </w:p>
    <w:p w14:paraId="6E099391" w14:textId="7F6CEF79" w:rsidR="00A66D56" w:rsidRPr="00DC1F02" w:rsidRDefault="005F29D6" w:rsidP="00A66D56">
      <w:pPr>
        <w:pStyle w:val="JuParaChar"/>
      </w:pPr>
      <w:r>
        <w:fldChar w:fldCharType="begin"/>
      </w:r>
      <w:r>
        <w:instrText xml:space="preserve"> SEQ level0 \*arabic </w:instrText>
      </w:r>
      <w:r>
        <w:fldChar w:fldCharType="separate"/>
      </w:r>
      <w:r w:rsidR="00CF6F43">
        <w:rPr>
          <w:noProof/>
        </w:rPr>
        <w:t>23</w:t>
      </w:r>
      <w:r>
        <w:rPr>
          <w:noProof/>
        </w:rPr>
        <w:fldChar w:fldCharType="end"/>
      </w:r>
      <w:r w:rsidR="00A66D56">
        <w:t>.  </w:t>
      </w:r>
      <w:r w:rsidR="00D03058">
        <w:t xml:space="preserve">Дружеството </w:t>
      </w:r>
      <w:r w:rsidR="00A66D56">
        <w:t xml:space="preserve">жалбоподател обжалва </w:t>
      </w:r>
      <w:r w:rsidR="00D03058">
        <w:t>на правно основание</w:t>
      </w:r>
      <w:r w:rsidR="00A66D56">
        <w:t xml:space="preserve"> пред Върховния съд, като твърди, наред с другото, че оспорваното решение противоречи на Споразумението от 15 април 1994 г. относно свързаните с търговията аспекти на правата върху интелектуалната собственост (</w:t>
      </w:r>
      <w:r w:rsidR="00D03058">
        <w:t>„</w:t>
      </w:r>
      <w:r w:rsidR="00A66D56">
        <w:t>Споразумението TRIPs</w:t>
      </w:r>
      <w:r w:rsidR="00D03058">
        <w:t>“</w:t>
      </w:r>
      <w:r w:rsidR="00A66D56">
        <w:t>), което установява правилото, че регистрация</w:t>
      </w:r>
      <w:r w:rsidR="00600660">
        <w:t>та</w:t>
      </w:r>
      <w:r w:rsidR="00A66D56">
        <w:t xml:space="preserve"> дава приоритет</w:t>
      </w:r>
      <w:r w:rsidR="00600660">
        <w:t>,</w:t>
      </w:r>
      <w:r w:rsidR="00A66D56">
        <w:t xml:space="preserve"> по-</w:t>
      </w:r>
      <w:r w:rsidR="00600660">
        <w:t>конкретно</w:t>
      </w:r>
      <w:r w:rsidR="00A66D56">
        <w:t xml:space="preserve"> </w:t>
      </w:r>
      <w:r w:rsidR="00600660">
        <w:t xml:space="preserve">в </w:t>
      </w:r>
      <w:r w:rsidR="00A66D56">
        <w:t xml:space="preserve">членове 2 и 24 § 5. </w:t>
      </w:r>
      <w:r w:rsidR="00600660">
        <w:t xml:space="preserve">Дружеството </w:t>
      </w:r>
      <w:r w:rsidR="00A66D56">
        <w:t>жалбоподател твърди също така, че във всеки случай защитеното наименование за произход "Českobudějovický Budvar" не съответства на немския израз "Budweiser", така че двустранн</w:t>
      </w:r>
      <w:r w:rsidR="00E85370">
        <w:t>а</w:t>
      </w:r>
      <w:r w:rsidR="00A66D56">
        <w:t>т</w:t>
      </w:r>
      <w:r w:rsidR="00E85370">
        <w:t>а</w:t>
      </w:r>
      <w:r w:rsidR="00A66D56">
        <w:t xml:space="preserve"> спо</w:t>
      </w:r>
      <w:r w:rsidR="00E85370">
        <w:t>годба</w:t>
      </w:r>
      <w:r w:rsidR="00A66D56">
        <w:t xml:space="preserve"> не може да се използва, за да оспори неговото заявление за регистрация. </w:t>
      </w:r>
      <w:r w:rsidR="00E85370">
        <w:t xml:space="preserve">Дружеството </w:t>
      </w:r>
      <w:r w:rsidR="00A66D56">
        <w:t xml:space="preserve">жалбоподател твърди, че дори да се предположи, че </w:t>
      </w:r>
      <w:r w:rsidR="00E85370">
        <w:t xml:space="preserve">немският </w:t>
      </w:r>
      <w:r w:rsidR="00A66D56">
        <w:t>израз "Budweiser" е точен превод на чешкото наименование за произход, двустранн</w:t>
      </w:r>
      <w:r w:rsidR="00E85370">
        <w:t>а</w:t>
      </w:r>
      <w:r w:rsidR="00A66D56">
        <w:t>т</w:t>
      </w:r>
      <w:r w:rsidR="00E85370">
        <w:t>а</w:t>
      </w:r>
      <w:r w:rsidR="00A66D56">
        <w:t xml:space="preserve"> спо</w:t>
      </w:r>
      <w:r w:rsidR="00E85370">
        <w:t>годба</w:t>
      </w:r>
      <w:r w:rsidR="00A66D56">
        <w:t xml:space="preserve"> се прилага само за преводи между португалски и чешки, а не за преводи на други езици. На последно място </w:t>
      </w:r>
      <w:r w:rsidR="00E85370">
        <w:t xml:space="preserve">дружеството </w:t>
      </w:r>
      <w:r w:rsidR="00A66D56">
        <w:t>жалбоподател твърди, че двустранн</w:t>
      </w:r>
      <w:r w:rsidR="005B4B42">
        <w:t>а</w:t>
      </w:r>
      <w:r w:rsidR="00A66D56">
        <w:t>т</w:t>
      </w:r>
      <w:r w:rsidR="005B4B42">
        <w:t>а</w:t>
      </w:r>
      <w:r w:rsidR="00A66D56">
        <w:t xml:space="preserve"> спо</w:t>
      </w:r>
      <w:r w:rsidR="005B4B42">
        <w:t>годба</w:t>
      </w:r>
      <w:r w:rsidR="00A66D56">
        <w:t xml:space="preserve"> е противоконституционн</w:t>
      </w:r>
      <w:r w:rsidR="005B4B42">
        <w:t>а</w:t>
      </w:r>
      <w:r w:rsidR="00A66D56">
        <w:t xml:space="preserve"> поради формалния недостатък, който се състои в това, че е прието от </w:t>
      </w:r>
      <w:r w:rsidR="005B4B42">
        <w:t>п</w:t>
      </w:r>
      <w:r w:rsidR="00A66D56">
        <w:t xml:space="preserve">равителството, а не от </w:t>
      </w:r>
      <w:r w:rsidR="005B4B42">
        <w:t>п</w:t>
      </w:r>
      <w:r w:rsidR="00A66D56">
        <w:t>арламента, в нарушение на членове 161 и 165 от Конституцията, регулиращи парламентарния суверенитет.</w:t>
      </w:r>
    </w:p>
    <w:p w14:paraId="006F154B" w14:textId="6C002526" w:rsidR="00A66D56" w:rsidRPr="00DC1F02" w:rsidRDefault="00B33AD0" w:rsidP="00A66D56">
      <w:pPr>
        <w:pStyle w:val="JuPara"/>
      </w:pPr>
      <w:r w:rsidRPr="00DC1F02">
        <w:rPr>
          <w:noProof/>
        </w:rPr>
        <w:fldChar w:fldCharType="begin"/>
      </w:r>
      <w:r w:rsidRPr="00DC1F02">
        <w:rPr>
          <w:noProof/>
        </w:rPr>
        <w:instrText xml:space="preserve"> SEQ level0 \*arabic </w:instrText>
      </w:r>
      <w:r w:rsidRPr="00DC1F02">
        <w:rPr>
          <w:noProof/>
        </w:rPr>
        <w:fldChar w:fldCharType="separate"/>
      </w:r>
      <w:r w:rsidR="00CF6F43">
        <w:rPr>
          <w:noProof/>
        </w:rPr>
        <w:t>24</w:t>
      </w:r>
      <w:r w:rsidRPr="00DC1F02">
        <w:rPr>
          <w:noProof/>
        </w:rPr>
        <w:fldChar w:fldCharType="end"/>
      </w:r>
      <w:r>
        <w:t xml:space="preserve">.  Върховният съд отхвърля жалбата </w:t>
      </w:r>
      <w:r w:rsidR="00C4233C">
        <w:t>на правно основание</w:t>
      </w:r>
      <w:r>
        <w:t xml:space="preserve"> </w:t>
      </w:r>
      <w:r w:rsidR="00C4233C">
        <w:t>с</w:t>
      </w:r>
      <w:r>
        <w:t xml:space="preserve"> решение от 23 януари 2001 г., което достига до знанието на </w:t>
      </w:r>
      <w:r w:rsidR="00C4233C">
        <w:t xml:space="preserve">дружеството </w:t>
      </w:r>
      <w:r>
        <w:t>жалбоподател на 30 януари 2001</w:t>
      </w:r>
      <w:r w:rsidR="00C4233C">
        <w:t xml:space="preserve"> г</w:t>
      </w:r>
      <w:r>
        <w:t>.</w:t>
      </w:r>
    </w:p>
    <w:p w14:paraId="40909C36" w14:textId="7800FBA5" w:rsidR="00A66D56" w:rsidRPr="00DC1F02" w:rsidRDefault="00A66D56" w:rsidP="00A66D56">
      <w:pPr>
        <w:pStyle w:val="JuPara"/>
        <w:rPr>
          <w:noProof/>
        </w:rPr>
      </w:pPr>
      <w:r>
        <w:t xml:space="preserve">По отношение на Споразумението TRIPs Върховният съд </w:t>
      </w:r>
      <w:r w:rsidR="00C93BF1">
        <w:t xml:space="preserve">в началото </w:t>
      </w:r>
      <w:r>
        <w:t xml:space="preserve">отбелязва, че разпоредбата, на която се позовава </w:t>
      </w:r>
      <w:r w:rsidR="00C93BF1">
        <w:t xml:space="preserve">дружеството </w:t>
      </w:r>
      <w:r>
        <w:t>жалбоподател</w:t>
      </w:r>
      <w:r w:rsidR="00C93BF1">
        <w:t>,</w:t>
      </w:r>
      <w:r>
        <w:t xml:space="preserve"> изисква </w:t>
      </w:r>
      <w:r w:rsidR="00C93BF1">
        <w:t xml:space="preserve">то </w:t>
      </w:r>
      <w:r>
        <w:t>да е действал</w:t>
      </w:r>
      <w:r w:rsidR="00C93BF1">
        <w:t>о</w:t>
      </w:r>
      <w:r>
        <w:t xml:space="preserve"> добросъвестно, </w:t>
      </w:r>
      <w:r w:rsidR="00C93BF1">
        <w:t>след което</w:t>
      </w:r>
      <w:r>
        <w:t xml:space="preserve"> </w:t>
      </w:r>
      <w:r w:rsidR="00A77D08">
        <w:t>заявява</w:t>
      </w:r>
      <w:r>
        <w:t xml:space="preserve">, че </w:t>
      </w:r>
      <w:r w:rsidR="00A77D08">
        <w:t xml:space="preserve">дружеството </w:t>
      </w:r>
      <w:r>
        <w:t>жалбоподател не е посочил</w:t>
      </w:r>
      <w:r w:rsidR="00A77D08">
        <w:t>о</w:t>
      </w:r>
      <w:r>
        <w:t xml:space="preserve"> в заявлението си за регистрация никаква фактическа информация, която да демонстрира добросъвестните </w:t>
      </w:r>
      <w:r w:rsidR="00A77D08">
        <w:t>му</w:t>
      </w:r>
      <w:r>
        <w:t xml:space="preserve"> намерения. Във всеки случай </w:t>
      </w:r>
      <w:r w:rsidR="00A77D08">
        <w:t>действието на</w:t>
      </w:r>
      <w:r>
        <w:t xml:space="preserve"> </w:t>
      </w:r>
      <w:r w:rsidR="00A77D08">
        <w:t>ч</w:t>
      </w:r>
      <w:r>
        <w:t xml:space="preserve">лен 65 </w:t>
      </w:r>
      <w:r w:rsidR="00A77D08">
        <w:t>от</w:t>
      </w:r>
      <w:r>
        <w:t xml:space="preserve"> Споразумението TRIPs е так</w:t>
      </w:r>
      <w:r w:rsidR="00A77D08">
        <w:t>о</w:t>
      </w:r>
      <w:r>
        <w:t>в</w:t>
      </w:r>
      <w:r w:rsidR="00A77D08">
        <w:t>а</w:t>
      </w:r>
      <w:r>
        <w:t>, че той не е задължителен съгласно португалското право до 1 януари 1996 г., т</w:t>
      </w:r>
      <w:r w:rsidR="00F65509">
        <w:t>.</w:t>
      </w:r>
      <w:r>
        <w:t>е</w:t>
      </w:r>
      <w:r w:rsidR="00F65509">
        <w:t>.</w:t>
      </w:r>
      <w:r>
        <w:t xml:space="preserve"> след влизането в сила на двустранн</w:t>
      </w:r>
      <w:r w:rsidR="00F65509">
        <w:t>а</w:t>
      </w:r>
      <w:r>
        <w:t>т</w:t>
      </w:r>
      <w:r w:rsidR="00F65509">
        <w:t>а</w:t>
      </w:r>
      <w:r>
        <w:t xml:space="preserve"> спо</w:t>
      </w:r>
      <w:r w:rsidR="00F65509">
        <w:t>годба</w:t>
      </w:r>
      <w:r>
        <w:t xml:space="preserve"> от 1986 г. Ето защо Върховният съд </w:t>
      </w:r>
      <w:r w:rsidR="00F65509">
        <w:t>констатира</w:t>
      </w:r>
      <w:r>
        <w:t>, че Споразумението TRIP</w:t>
      </w:r>
      <w:r w:rsidR="00F65509">
        <w:rPr>
          <w:lang w:val="en-US"/>
        </w:rPr>
        <w:t>s</w:t>
      </w:r>
      <w:r>
        <w:t xml:space="preserve"> не може да има предимство пред двустранн</w:t>
      </w:r>
      <w:r w:rsidR="00F65509">
        <w:t>а</w:t>
      </w:r>
      <w:r>
        <w:t>т</w:t>
      </w:r>
      <w:r w:rsidR="00F65509">
        <w:t>а</w:t>
      </w:r>
      <w:r>
        <w:t xml:space="preserve"> спо</w:t>
      </w:r>
      <w:r w:rsidR="00F65509">
        <w:t>годба</w:t>
      </w:r>
      <w:r>
        <w:t>.</w:t>
      </w:r>
    </w:p>
    <w:p w14:paraId="06C5A5C7" w14:textId="4C332D2C" w:rsidR="00A66D56" w:rsidRPr="00DC1F02" w:rsidRDefault="00A66D56" w:rsidP="00A66D56">
      <w:pPr>
        <w:pStyle w:val="JuPara"/>
        <w:rPr>
          <w:noProof/>
        </w:rPr>
      </w:pPr>
      <w:r>
        <w:t>Що се отнася до тълкуването на двустранн</w:t>
      </w:r>
      <w:r w:rsidR="00F65509">
        <w:t>а</w:t>
      </w:r>
      <w:r>
        <w:t>т</w:t>
      </w:r>
      <w:r w:rsidR="00F65509">
        <w:t>а</w:t>
      </w:r>
      <w:r>
        <w:t xml:space="preserve"> спо</w:t>
      </w:r>
      <w:r w:rsidR="00F65509">
        <w:t>годба</w:t>
      </w:r>
      <w:r>
        <w:t xml:space="preserve">, Върховният съд счита, че намерението на двете </w:t>
      </w:r>
      <w:r w:rsidR="00F65509">
        <w:t>Д</w:t>
      </w:r>
      <w:r>
        <w:t xml:space="preserve">оговарящи държави при </w:t>
      </w:r>
      <w:r>
        <w:lastRenderedPageBreak/>
        <w:t xml:space="preserve">подписването </w:t>
      </w:r>
      <w:r w:rsidR="00F7109E">
        <w:t xml:space="preserve">ѝ </w:t>
      </w:r>
      <w:r>
        <w:t>безспорно е било да защитят чрез взаимни договорености съответните си национални продукти, включително когато с</w:t>
      </w:r>
      <w:r w:rsidR="001F0D6A">
        <w:t>е</w:t>
      </w:r>
      <w:r>
        <w:t xml:space="preserve"> използва</w:t>
      </w:r>
      <w:r w:rsidR="001F0D6A">
        <w:t>т</w:t>
      </w:r>
      <w:r>
        <w:t xml:space="preserve"> наименования</w:t>
      </w:r>
      <w:r w:rsidR="001F0D6A">
        <w:t xml:space="preserve"> </w:t>
      </w:r>
      <w:r>
        <w:t xml:space="preserve">в превод. Наименованието за произход "Českobudějovický Budvar", което става "Budweis" или "Budweiss" на немски език, указва продукт от района </w:t>
      </w:r>
      <w:r w:rsidR="001F0D6A">
        <w:t>на Ческе</w:t>
      </w:r>
      <w:r>
        <w:t xml:space="preserve"> </w:t>
      </w:r>
      <w:r w:rsidR="001F0D6A">
        <w:t>Будьовице</w:t>
      </w:r>
      <w:r>
        <w:t xml:space="preserve"> в Бохемия. </w:t>
      </w:r>
      <w:r w:rsidR="001F0D6A">
        <w:t xml:space="preserve">Следователно то </w:t>
      </w:r>
      <w:r>
        <w:t>е защитено от двустранн</w:t>
      </w:r>
      <w:r w:rsidR="001F0D6A">
        <w:t>а</w:t>
      </w:r>
      <w:r>
        <w:t>т</w:t>
      </w:r>
      <w:r w:rsidR="001F0D6A">
        <w:t>а</w:t>
      </w:r>
      <w:r>
        <w:t xml:space="preserve"> спо</w:t>
      </w:r>
      <w:r w:rsidR="001F0D6A">
        <w:t>годба</w:t>
      </w:r>
      <w:r>
        <w:t>.</w:t>
      </w:r>
    </w:p>
    <w:p w14:paraId="67758048" w14:textId="1C139850" w:rsidR="00A66D56" w:rsidRPr="00DC1F02" w:rsidRDefault="00A66D56" w:rsidP="00A66D56">
      <w:pPr>
        <w:pStyle w:val="JuPara"/>
        <w:rPr>
          <w:noProof/>
        </w:rPr>
      </w:pPr>
      <w:r>
        <w:t xml:space="preserve">На последно място процедурата, с която </w:t>
      </w:r>
      <w:r w:rsidR="00F7109E">
        <w:t>е била приета</w:t>
      </w:r>
      <w:r w:rsidR="00F7109E" w:rsidDel="00F7109E">
        <w:t xml:space="preserve"> </w:t>
      </w:r>
      <w:r w:rsidR="00F7109E">
        <w:t>спогодбата</w:t>
      </w:r>
      <w:r>
        <w:t>, не противоречи на членове 161 и 165 от Конституцията, тъй като не се отнася до област, в ко</w:t>
      </w:r>
      <w:r w:rsidR="00F7109E">
        <w:t>я</w:t>
      </w:r>
      <w:r>
        <w:t xml:space="preserve">то </w:t>
      </w:r>
      <w:r w:rsidR="00F7109E">
        <w:t>п</w:t>
      </w:r>
      <w:r>
        <w:t>арламентът има изключителна компетентност.</w:t>
      </w:r>
    </w:p>
    <w:p w14:paraId="21C744D1" w14:textId="77777777" w:rsidR="00A66D56" w:rsidRPr="00DC1F02" w:rsidRDefault="00A66D56" w:rsidP="00A66D56">
      <w:pPr>
        <w:pStyle w:val="JuHIRoman"/>
      </w:pPr>
      <w:r>
        <w:t>II.  ПРИЛОЖИМО ВЪТРЕШНО И МЕЖДУНАРОДНО ПРАВО И ПРАКТИКА</w:t>
      </w:r>
    </w:p>
    <w:p w14:paraId="74A7C6A9" w14:textId="77777777" w:rsidR="00D212E7" w:rsidRDefault="00D212E7" w:rsidP="00D212E7">
      <w:pPr>
        <w:pStyle w:val="JuHA"/>
        <w:rPr>
          <w:noProof/>
        </w:rPr>
      </w:pPr>
      <w:r>
        <w:t>A.  Международно право</w:t>
      </w:r>
    </w:p>
    <w:p w14:paraId="637D3F33" w14:textId="09A292FD" w:rsidR="00A66D56" w:rsidRPr="00DC1F02" w:rsidRDefault="003405BB" w:rsidP="003405BB">
      <w:pPr>
        <w:pStyle w:val="JuH1"/>
      </w:pPr>
      <w:r>
        <w:t>1.  Двустранн</w:t>
      </w:r>
      <w:r w:rsidR="00F7109E">
        <w:t>а</w:t>
      </w:r>
      <w:r>
        <w:t xml:space="preserve"> спо</w:t>
      </w:r>
      <w:r w:rsidR="00F7109E">
        <w:t>годба</w:t>
      </w:r>
      <w:r>
        <w:t xml:space="preserve"> от 1986 г.</w:t>
      </w:r>
    </w:p>
    <w:p w14:paraId="56EE6077" w14:textId="08B40D54" w:rsidR="00A66D56" w:rsidRPr="00DC1F02" w:rsidRDefault="005F29D6" w:rsidP="00A66D56">
      <w:pPr>
        <w:pStyle w:val="JuPara"/>
      </w:pPr>
      <w:r>
        <w:fldChar w:fldCharType="begin"/>
      </w:r>
      <w:r>
        <w:instrText xml:space="preserve"> SEQ level0 \*arabic </w:instrText>
      </w:r>
      <w:r>
        <w:fldChar w:fldCharType="separate"/>
      </w:r>
      <w:r w:rsidR="00CF6F43">
        <w:rPr>
          <w:noProof/>
        </w:rPr>
        <w:t>25</w:t>
      </w:r>
      <w:r>
        <w:rPr>
          <w:noProof/>
        </w:rPr>
        <w:fldChar w:fldCharType="end"/>
      </w:r>
      <w:r w:rsidR="00A66D56">
        <w:t xml:space="preserve">.  Споразумението между правителствата на Република Португалия и </w:t>
      </w:r>
      <w:r w:rsidR="00521402">
        <w:t>Ч</w:t>
      </w:r>
      <w:r w:rsidR="00A66D56">
        <w:t>ехословашката социалистическа република за за</w:t>
      </w:r>
      <w:r w:rsidR="00521402">
        <w:t>крила</w:t>
      </w:r>
      <w:r w:rsidR="00A66D56">
        <w:t xml:space="preserve"> на означенията на произход, наименованията за произход и други географски и сходни наименования е подписано в Лисабон през 1986 г. и влиза в сила на 7 март 1987 г. Във вербална нота  (</w:t>
      </w:r>
      <w:r w:rsidR="00A66D56">
        <w:rPr>
          <w:i/>
        </w:rPr>
        <w:t>note verbale</w:t>
      </w:r>
      <w:r w:rsidR="00A66D56">
        <w:t xml:space="preserve">) от 21 март 1994 г. </w:t>
      </w:r>
      <w:r w:rsidR="00521402">
        <w:t>м</w:t>
      </w:r>
      <w:r w:rsidR="00A66D56">
        <w:t xml:space="preserve">инистърът на външните работи на Чехия посочва, че Република Чехия ще стане правоприемник на Чехословакия като </w:t>
      </w:r>
      <w:r w:rsidR="00521402">
        <w:t>Д</w:t>
      </w:r>
      <w:r w:rsidR="00A66D56">
        <w:t>оговаряща страна по спо</w:t>
      </w:r>
      <w:r w:rsidR="00521402">
        <w:t>годбата</w:t>
      </w:r>
      <w:r w:rsidR="00A66D56">
        <w:t xml:space="preserve">. С вербална нота от 23 май 1994 г. </w:t>
      </w:r>
      <w:r w:rsidR="00842E1E">
        <w:t>м</w:t>
      </w:r>
      <w:r w:rsidR="00A66D56">
        <w:t xml:space="preserve">инистърът на външните работи на Португалия </w:t>
      </w:r>
      <w:r w:rsidR="001B3BBA">
        <w:t>изразява съгласие</w:t>
      </w:r>
      <w:r w:rsidR="00A66D56">
        <w:t xml:space="preserve"> от името на Португалската република.</w:t>
      </w:r>
    </w:p>
    <w:p w14:paraId="11F7A660" w14:textId="2B3DCFCA" w:rsidR="00A66D56" w:rsidRPr="00DC1F02" w:rsidRDefault="005F29D6" w:rsidP="00A66D56">
      <w:pPr>
        <w:pStyle w:val="JuPara"/>
        <w:rPr>
          <w:noProof/>
        </w:rPr>
      </w:pPr>
      <w:r>
        <w:fldChar w:fldCharType="begin"/>
      </w:r>
      <w:r>
        <w:instrText xml:space="preserve"> SEQ level0 \*arabic </w:instrText>
      </w:r>
      <w:r>
        <w:fldChar w:fldCharType="separate"/>
      </w:r>
      <w:r w:rsidR="00CF6F43">
        <w:rPr>
          <w:noProof/>
        </w:rPr>
        <w:t>26</w:t>
      </w:r>
      <w:r>
        <w:rPr>
          <w:noProof/>
        </w:rPr>
        <w:fldChar w:fldCharType="end"/>
      </w:r>
      <w:r w:rsidR="00A66D56">
        <w:t xml:space="preserve">.  Член 5 </w:t>
      </w:r>
      <w:r w:rsidR="001B3BBA">
        <w:t>от</w:t>
      </w:r>
      <w:r w:rsidR="00A66D56">
        <w:t xml:space="preserve"> спо</w:t>
      </w:r>
      <w:r w:rsidR="001B3BBA">
        <w:t>годбата</w:t>
      </w:r>
      <w:r w:rsidR="00A66D56">
        <w:t xml:space="preserve"> от 1986 г. гарантира, </w:t>
      </w:r>
      <w:r w:rsidR="00A66D56">
        <w:rPr>
          <w:i/>
          <w:noProof/>
        </w:rPr>
        <w:t>inter alia</w:t>
      </w:r>
      <w:r w:rsidR="00A66D56">
        <w:t>:</w:t>
      </w:r>
    </w:p>
    <w:p w14:paraId="64B66EFD" w14:textId="18D5F1C4" w:rsidR="00A66D56" w:rsidRPr="00DC1F02" w:rsidRDefault="00743F8E" w:rsidP="00A66D56">
      <w:pPr>
        <w:pStyle w:val="JuQuot"/>
        <w:rPr>
          <w:noProof/>
        </w:rPr>
      </w:pPr>
      <w:r>
        <w:t>„</w:t>
      </w:r>
      <w:r w:rsidR="00A66D56">
        <w:t xml:space="preserve">1. Ако дадено име или </w:t>
      </w:r>
      <w:r>
        <w:t>означение</w:t>
      </w:r>
      <w:r w:rsidR="00A66D56">
        <w:t>, защитено съгласно настоящ</w:t>
      </w:r>
      <w:r>
        <w:t>а</w:t>
      </w:r>
      <w:r w:rsidR="00A66D56">
        <w:t>т</w:t>
      </w:r>
      <w:r>
        <w:t>а</w:t>
      </w:r>
      <w:r w:rsidR="00A66D56">
        <w:t xml:space="preserve"> спо</w:t>
      </w:r>
      <w:r>
        <w:t>годба</w:t>
      </w:r>
      <w:r w:rsidR="00A66D56">
        <w:t>, се използва в търговски или индустриални дейности в нарушение на разпоредбите на настоящ</w:t>
      </w:r>
      <w:r>
        <w:t>а</w:t>
      </w:r>
      <w:r w:rsidR="00A66D56">
        <w:t>т</w:t>
      </w:r>
      <w:r>
        <w:t>а</w:t>
      </w:r>
      <w:r w:rsidR="00A66D56">
        <w:t xml:space="preserve"> спо</w:t>
      </w:r>
      <w:r>
        <w:t>годба</w:t>
      </w:r>
      <w:r w:rsidR="00A66D56">
        <w:t xml:space="preserve"> за продукти, ...  </w:t>
      </w:r>
      <w:r w:rsidR="00ED6F93">
        <w:t>се прил</w:t>
      </w:r>
      <w:r w:rsidR="00CE7CA6">
        <w:t>аг</w:t>
      </w:r>
      <w:r w:rsidR="00ED6F93">
        <w:t xml:space="preserve">ат </w:t>
      </w:r>
      <w:r w:rsidR="00A66D56">
        <w:t xml:space="preserve">всички съдебни или административни средства за правна защита съгласно законодателството на </w:t>
      </w:r>
      <w:r w:rsidR="00ED6F93">
        <w:t>Д</w:t>
      </w:r>
      <w:r w:rsidR="00A66D56">
        <w:t>оговарящата държава, в ко</w:t>
      </w:r>
      <w:r w:rsidR="00ED6F93">
        <w:t>я</w:t>
      </w:r>
      <w:r w:rsidR="00A66D56">
        <w:t xml:space="preserve">то се търси защита с цел предотвратяване на нелоялната конкуренция или използването на незаконни </w:t>
      </w:r>
      <w:r w:rsidR="00ED6F93">
        <w:t>означе</w:t>
      </w:r>
      <w:r w:rsidR="00A66D56">
        <w:t>ния</w:t>
      </w:r>
      <w:r w:rsidR="00CE7CA6">
        <w:t>,</w:t>
      </w:r>
      <w:r w:rsidR="00A66D56">
        <w:t xml:space="preserve"> по силата на спо</w:t>
      </w:r>
      <w:r w:rsidR="00ED6F93">
        <w:t>годбата</w:t>
      </w:r>
      <w:r w:rsidR="00A66D56">
        <w:t xml:space="preserve">, за да се ограничи </w:t>
      </w:r>
      <w:r w:rsidR="00CE7CA6">
        <w:t>такова използване</w:t>
      </w:r>
      <w:r w:rsidR="00A66D56">
        <w:t>.</w:t>
      </w:r>
    </w:p>
    <w:p w14:paraId="45CCD001" w14:textId="42A03C05" w:rsidR="00A66D56" w:rsidRPr="00DC1F02" w:rsidRDefault="00A66D56" w:rsidP="00A66D56">
      <w:pPr>
        <w:pStyle w:val="JuQuot"/>
      </w:pPr>
      <w:r>
        <w:t xml:space="preserve">2.  Разпоредбите на този </w:t>
      </w:r>
      <w:r w:rsidR="00CE7CA6">
        <w:t>ч</w:t>
      </w:r>
      <w:r>
        <w:t>лен важат също и когато гореспоменатите имена или обозначения се използват в превод ...</w:t>
      </w:r>
      <w:r w:rsidR="00CE7CA6">
        <w:t>“</w:t>
      </w:r>
    </w:p>
    <w:p w14:paraId="5D548603" w14:textId="519D4A16" w:rsidR="00A66D56" w:rsidRPr="00DC1F02" w:rsidRDefault="00A66D56" w:rsidP="00A66D56">
      <w:pPr>
        <w:pStyle w:val="JuPara"/>
        <w:rPr>
          <w:noProof/>
        </w:rPr>
      </w:pPr>
      <w:r>
        <w:t xml:space="preserve">В Приложение А към </w:t>
      </w:r>
      <w:r w:rsidR="00CE7CA6">
        <w:t xml:space="preserve">спогодбата </w:t>
      </w:r>
      <w:r>
        <w:t xml:space="preserve">сред защитените наименования за произход се изброяват и </w:t>
      </w:r>
      <w:r w:rsidR="0051585F">
        <w:t xml:space="preserve">означенията </w:t>
      </w:r>
      <w:r>
        <w:t>“Českobudějovické</w:t>
      </w:r>
      <w:r>
        <w:rPr>
          <w:i/>
          <w:noProof/>
        </w:rPr>
        <w:t xml:space="preserve"> </w:t>
      </w:r>
      <w:r>
        <w:t>pivo” и “Českobudějovický</w:t>
      </w:r>
      <w:r>
        <w:rPr>
          <w:i/>
          <w:noProof/>
        </w:rPr>
        <w:t xml:space="preserve"> </w:t>
      </w:r>
      <w:r>
        <w:t>Budvar”</w:t>
      </w:r>
      <w:r w:rsidR="0051585F">
        <w:t>.</w:t>
      </w:r>
      <w:r>
        <w:t xml:space="preserve"> </w:t>
      </w:r>
    </w:p>
    <w:p w14:paraId="0EA5FE27" w14:textId="7864D760" w:rsidR="004A69F6" w:rsidRPr="00DC1F02" w:rsidRDefault="009151AC" w:rsidP="00A66D56">
      <w:pPr>
        <w:pStyle w:val="JuPara"/>
        <w:rPr>
          <w:noProof/>
        </w:rPr>
      </w:pPr>
      <w:r w:rsidRPr="00DC1F02">
        <w:rPr>
          <w:noProof/>
        </w:rPr>
        <w:fldChar w:fldCharType="begin"/>
      </w:r>
      <w:r w:rsidRPr="00DC1F02">
        <w:rPr>
          <w:noProof/>
        </w:rPr>
        <w:instrText xml:space="preserve"> SEQ level0 \*arabic </w:instrText>
      </w:r>
      <w:r w:rsidRPr="00DC1F02">
        <w:rPr>
          <w:noProof/>
        </w:rPr>
        <w:fldChar w:fldCharType="separate"/>
      </w:r>
      <w:r w:rsidR="00CF6F43">
        <w:rPr>
          <w:noProof/>
        </w:rPr>
        <w:t>27</w:t>
      </w:r>
      <w:r w:rsidRPr="00DC1F02">
        <w:rPr>
          <w:noProof/>
        </w:rPr>
        <w:fldChar w:fldCharType="end"/>
      </w:r>
      <w:r>
        <w:t xml:space="preserve">.  Според </w:t>
      </w:r>
      <w:r w:rsidR="0051585F">
        <w:t xml:space="preserve">дружеството </w:t>
      </w:r>
      <w:r>
        <w:t>жалбоподател Чехословакия е подписала подобни спо</w:t>
      </w:r>
      <w:r w:rsidR="0051585F">
        <w:t>годби</w:t>
      </w:r>
      <w:r>
        <w:t xml:space="preserve"> с две други държави-членки на Съвета на Европа, </w:t>
      </w:r>
      <w:r w:rsidR="0051585F">
        <w:t xml:space="preserve">а </w:t>
      </w:r>
      <w:r w:rsidR="0051585F">
        <w:lastRenderedPageBreak/>
        <w:t>именно</w:t>
      </w:r>
      <w:r>
        <w:t xml:space="preserve"> </w:t>
      </w:r>
      <w:r w:rsidR="0051585F">
        <w:t>с</w:t>
      </w:r>
      <w:r>
        <w:t xml:space="preserve"> Австрия и Швейцария. Спо</w:t>
      </w:r>
      <w:r w:rsidR="0051585F">
        <w:t>годбата</w:t>
      </w:r>
      <w:r>
        <w:t xml:space="preserve"> между Чехословакия и Швейцария е подписан</w:t>
      </w:r>
      <w:r w:rsidR="0051585F">
        <w:t>а</w:t>
      </w:r>
      <w:r>
        <w:t xml:space="preserve"> на 16 ноември 1973 г. и влиза в сила на 14 януари 1976 г. Спо</w:t>
      </w:r>
      <w:r w:rsidR="0051585F">
        <w:t>годбата</w:t>
      </w:r>
      <w:r>
        <w:t xml:space="preserve"> между Чехословакия и Австрия е подписан</w:t>
      </w:r>
      <w:r w:rsidR="00287D5C">
        <w:t>а</w:t>
      </w:r>
      <w:r>
        <w:t xml:space="preserve"> на 11 юни 1976 г. и влиза в сила на 26 февруари 1981 г.</w:t>
      </w:r>
    </w:p>
    <w:p w14:paraId="1113E893" w14:textId="77777777" w:rsidR="00A66D56" w:rsidRPr="00DC1F02" w:rsidRDefault="009151AC" w:rsidP="00A66D56">
      <w:pPr>
        <w:pStyle w:val="JuH1"/>
        <w:rPr>
          <w:noProof/>
        </w:rPr>
      </w:pPr>
      <w:r>
        <w:t>2.  Парижката Конвенция</w:t>
      </w:r>
    </w:p>
    <w:p w14:paraId="43CE110A" w14:textId="7F79208D" w:rsidR="00A66D56" w:rsidRPr="00DC1F02" w:rsidRDefault="005F29D6" w:rsidP="00A66D56">
      <w:pPr>
        <w:pStyle w:val="JuPara"/>
      </w:pPr>
      <w:r>
        <w:fldChar w:fldCharType="begin"/>
      </w:r>
      <w:r>
        <w:instrText xml:space="preserve"> SEQ level0 \*arabic </w:instrText>
      </w:r>
      <w:r>
        <w:fldChar w:fldCharType="separate"/>
      </w:r>
      <w:r w:rsidR="00CF6F43">
        <w:rPr>
          <w:noProof/>
        </w:rPr>
        <w:t>28</w:t>
      </w:r>
      <w:r>
        <w:rPr>
          <w:noProof/>
        </w:rPr>
        <w:fldChar w:fldCharType="end"/>
      </w:r>
      <w:r w:rsidR="00A66D56">
        <w:t>.  Парижката конвенция от 20 март 1883 г. за за</w:t>
      </w:r>
      <w:r w:rsidR="0076005C">
        <w:t>крил</w:t>
      </w:r>
      <w:r w:rsidR="00A66D56">
        <w:t xml:space="preserve">а на индустриалната собственост, която впоследствие е </w:t>
      </w:r>
      <w:r w:rsidR="004A2D29">
        <w:t xml:space="preserve">преработвана </w:t>
      </w:r>
      <w:r w:rsidR="00A66D56">
        <w:t xml:space="preserve">многократно по различни поводи (най-скорошният от които е в Стокхолм на 14 юли 1967 г., ООН, Серия „Договори“, 1972 г., том 828, стр. 305 и следващите) създава </w:t>
      </w:r>
      <w:r w:rsidR="00A42769">
        <w:t>С</w:t>
      </w:r>
      <w:r w:rsidR="00A66D56">
        <w:t>ъюз за защита на индустриалната собственост</w:t>
      </w:r>
      <w:r w:rsidR="00A42769">
        <w:t xml:space="preserve"> – </w:t>
      </w:r>
      <w:r w:rsidR="00A66D56">
        <w:t>израз, който обхваща промишлените дизайни, търговските марки, наименованията за произход и означенията на източника. Целта на Парижката конвенция е да се предотврати дискриминацията на чуждите граждани; тя определя редица правила от много общ характер, които разглеждат процесуалните и материално-правните аспекти на правото в областта на индустриалната собственост. Тя дава възможност на собствениците на търговски марки, чрез еднократна регистрация, да получат защита в различните държави-членки на Съюза. Т</w:t>
      </w:r>
      <w:r w:rsidR="00A42769">
        <w:t>я</w:t>
      </w:r>
      <w:r w:rsidR="00A66D56">
        <w:t xml:space="preserve"> също така установява правилото за предимство, което дава за определен период от време, право </w:t>
      </w:r>
      <w:r w:rsidR="00513358">
        <w:t xml:space="preserve">на приоритет </w:t>
      </w:r>
      <w:r w:rsidR="00A66D56">
        <w:t xml:space="preserve">на заявление за защита на правата върху интелектуалната собственост в една от </w:t>
      </w:r>
      <w:r w:rsidR="00513358">
        <w:t>Д</w:t>
      </w:r>
      <w:r w:rsidR="00A66D56">
        <w:t>оговарящите държави п</w:t>
      </w:r>
      <w:r w:rsidR="00513358">
        <w:t>ред</w:t>
      </w:r>
      <w:r w:rsidR="00A66D56">
        <w:t xml:space="preserve"> заявления, впоследствие подадени в друга </w:t>
      </w:r>
      <w:r w:rsidR="00513358">
        <w:t>Д</w:t>
      </w:r>
      <w:r w:rsidR="00A66D56">
        <w:t xml:space="preserve">оговаряща държава. Системата, въведена от </w:t>
      </w:r>
      <w:r w:rsidR="00513358">
        <w:t>тази</w:t>
      </w:r>
      <w:r w:rsidR="00A66D56">
        <w:t xml:space="preserve"> конвенция се прилага от Световната организация за интелектуална собственост (СОИС) със седалище в Женева (Швейцария).</w:t>
      </w:r>
    </w:p>
    <w:p w14:paraId="53708AF7" w14:textId="67BEFFF7" w:rsidR="00A66D56" w:rsidRPr="00DC1F02" w:rsidRDefault="005F29D6" w:rsidP="00A66D56">
      <w:pPr>
        <w:pStyle w:val="JuPara"/>
        <w:rPr>
          <w:noProof/>
        </w:rPr>
      </w:pPr>
      <w:r>
        <w:fldChar w:fldCharType="begin"/>
      </w:r>
      <w:r>
        <w:instrText xml:space="preserve"> SEQ level0 \*arabic </w:instrText>
      </w:r>
      <w:r>
        <w:fldChar w:fldCharType="separate"/>
      </w:r>
      <w:r w:rsidR="00CF6F43">
        <w:rPr>
          <w:noProof/>
        </w:rPr>
        <w:t>29</w:t>
      </w:r>
      <w:r>
        <w:rPr>
          <w:noProof/>
        </w:rPr>
        <w:fldChar w:fldCharType="end"/>
      </w:r>
      <w:r w:rsidR="00A66D56">
        <w:t>.  </w:t>
      </w:r>
      <w:r w:rsidR="00513358">
        <w:t>В</w:t>
      </w:r>
      <w:r w:rsidR="00A66D56">
        <w:t xml:space="preserve"> конкретния случай са от значение следните разпоредби на Парижката конвенция</w:t>
      </w:r>
      <w:r w:rsidR="00513358">
        <w:t>:</w:t>
      </w:r>
    </w:p>
    <w:p w14:paraId="1F9019DF" w14:textId="77777777" w:rsidR="000C0DE3" w:rsidRPr="00DC1F02" w:rsidRDefault="000C0DE3" w:rsidP="000C0DE3">
      <w:pPr>
        <w:pStyle w:val="JuHArticle"/>
      </w:pPr>
      <w:r>
        <w:t>Член 4</w:t>
      </w:r>
    </w:p>
    <w:p w14:paraId="763D4851" w14:textId="454A20CE" w:rsidR="00A66D56" w:rsidRPr="00DC1F02" w:rsidRDefault="00A66D56" w:rsidP="00A66D56">
      <w:pPr>
        <w:pStyle w:val="JuQuot"/>
        <w:rPr>
          <w:noProof/>
        </w:rPr>
      </w:pPr>
      <w:r>
        <w:t xml:space="preserve">"А. (1) </w:t>
      </w:r>
      <w:r w:rsidR="00A47DC5" w:rsidRPr="00A47DC5">
        <w:t xml:space="preserve">Този, който правилно е подал молба за </w:t>
      </w:r>
      <w:r w:rsidR="006A0D3F">
        <w:t>…</w:t>
      </w:r>
      <w:r w:rsidR="00A47DC5" w:rsidRPr="00A47DC5">
        <w:t xml:space="preserve"> </w:t>
      </w:r>
      <w:r w:rsidR="006A0D3F">
        <w:t xml:space="preserve">регистрация на … </w:t>
      </w:r>
      <w:r w:rsidR="00A47DC5" w:rsidRPr="00A47DC5">
        <w:t>индустриал</w:t>
      </w:r>
      <w:r w:rsidR="006A0D3F">
        <w:t>е</w:t>
      </w:r>
      <w:r w:rsidR="00A47DC5" w:rsidRPr="00A47DC5">
        <w:t xml:space="preserve">н </w:t>
      </w:r>
      <w:r w:rsidR="006A0D3F">
        <w:t>дизайн</w:t>
      </w:r>
      <w:r w:rsidR="00A47DC5" w:rsidRPr="00A47DC5">
        <w:t xml:space="preserve"> </w:t>
      </w:r>
      <w:r w:rsidR="002D4155">
        <w:t>или на</w:t>
      </w:r>
      <w:r w:rsidR="00A47DC5" w:rsidRPr="00A47DC5">
        <w:t xml:space="preserve"> търговска марка в една от страните на Съюза, той или н</w:t>
      </w:r>
      <w:r w:rsidR="002D4155">
        <w:t>еговият представител ще се полз</w:t>
      </w:r>
      <w:r w:rsidR="00A47DC5" w:rsidRPr="00A47DC5">
        <w:t>ват при извършването на подаването в другите страни от правото на приоритет в сроковете, определени по-долу</w:t>
      </w:r>
      <w:r w:rsidR="002D4155">
        <w:t>.</w:t>
      </w:r>
    </w:p>
    <w:p w14:paraId="280C3022" w14:textId="14F7293C" w:rsidR="00A66D56" w:rsidRPr="00DC1F02" w:rsidRDefault="00A66D56" w:rsidP="00A66D56">
      <w:pPr>
        <w:pStyle w:val="JuQuot"/>
        <w:rPr>
          <w:noProof/>
        </w:rPr>
      </w:pPr>
      <w:r>
        <w:t xml:space="preserve">(2) </w:t>
      </w:r>
      <w:r w:rsidR="002D4155" w:rsidRPr="002D4155">
        <w:t>Признава се за пораждащо право на приоритет всяко подаване, което има значение на правилно национално подаване, по силата на вътрешния закон на всяка държава-членка на Съюза, или по силата на двустранни или многостранни договори, сключени между страните</w:t>
      </w:r>
      <w:r w:rsidR="002D4155">
        <w:t>-</w:t>
      </w:r>
      <w:r w:rsidR="002D4155" w:rsidRPr="002D4155">
        <w:t xml:space="preserve">членки на </w:t>
      </w:r>
      <w:r w:rsidR="005B1509" w:rsidRPr="002D4155">
        <w:t>Съюза</w:t>
      </w:r>
      <w:r w:rsidR="005B1509">
        <w:t>.</w:t>
      </w:r>
    </w:p>
    <w:p w14:paraId="769F409F" w14:textId="325EB869" w:rsidR="00A66D56" w:rsidRPr="00DC1F02" w:rsidRDefault="00A66D56" w:rsidP="00A66D56">
      <w:pPr>
        <w:pStyle w:val="JuQuot"/>
        <w:rPr>
          <w:noProof/>
        </w:rPr>
      </w:pPr>
      <w:r>
        <w:t xml:space="preserve">(3) </w:t>
      </w:r>
      <w:r w:rsidR="005B1509" w:rsidRPr="005B1509">
        <w:t>Под правилно извършено подаване трябва да се разбира всяко подаване, с което може да се установи датата, на която е представена молбата в съответната страна, независимо от по- нататъшната съдба на тази молба</w:t>
      </w:r>
      <w:r>
        <w:t>.</w:t>
      </w:r>
    </w:p>
    <w:p w14:paraId="567EFD69" w14:textId="4090C2E3" w:rsidR="00A66D56" w:rsidRPr="00DC1F02" w:rsidRDefault="00A66D56" w:rsidP="00A66D56">
      <w:pPr>
        <w:pStyle w:val="JuQuot"/>
        <w:rPr>
          <w:noProof/>
        </w:rPr>
      </w:pPr>
      <w:r>
        <w:t xml:space="preserve">B. </w:t>
      </w:r>
      <w:r w:rsidR="005B1509" w:rsidRPr="005B1509">
        <w:t>Ето защо по-късно извършеното в една от страните</w:t>
      </w:r>
      <w:r w:rsidR="005B1509">
        <w:t>-</w:t>
      </w:r>
      <w:r w:rsidR="005B1509" w:rsidRPr="005B1509">
        <w:t>членки на Съюза подаване, преди изтичането на тези срокове, не може да бъде обезсилено от действия, и</w:t>
      </w:r>
      <w:r w:rsidR="007F451D">
        <w:t>звършвани през интервала, в частност</w:t>
      </w:r>
      <w:r w:rsidR="005B1509" w:rsidRPr="005B1509">
        <w:t xml:space="preserve"> </w:t>
      </w:r>
      <w:r w:rsidR="007F451D">
        <w:t>от друго подаване,</w:t>
      </w:r>
      <w:r w:rsidR="005B1509" w:rsidRPr="005B1509">
        <w:t xml:space="preserve"> </w:t>
      </w:r>
      <w:r w:rsidR="007F451D">
        <w:t>…</w:t>
      </w:r>
      <w:r w:rsidR="005B1509" w:rsidRPr="005B1509">
        <w:t xml:space="preserve"> от употребата на марката, като тези акт</w:t>
      </w:r>
      <w:r w:rsidR="007F451D">
        <w:t>ове</w:t>
      </w:r>
      <w:r w:rsidR="005B1509" w:rsidRPr="005B1509">
        <w:t xml:space="preserve"> не пораждат никакво право за трети лица, </w:t>
      </w:r>
      <w:r w:rsidR="005B1509" w:rsidRPr="005B1509">
        <w:lastRenderedPageBreak/>
        <w:t>нито лично владение. Придобитите от трети лица права преди деня на първата молба, която служи като основа на правото на приоритет, се запазват по силата на вътрешното законодателство на всяка от страните</w:t>
      </w:r>
      <w:r w:rsidR="007F451D">
        <w:t>-</w:t>
      </w:r>
      <w:r w:rsidR="005B1509" w:rsidRPr="005B1509">
        <w:t>членки на Съюза</w:t>
      </w:r>
      <w:r>
        <w:t>.</w:t>
      </w:r>
    </w:p>
    <w:p w14:paraId="60CC837A" w14:textId="3D408DAA" w:rsidR="00A66D56" w:rsidRPr="00DC1F02" w:rsidRDefault="00A66D56" w:rsidP="00A66D56">
      <w:pPr>
        <w:pStyle w:val="JuQuot"/>
        <w:rPr>
          <w:noProof/>
        </w:rPr>
      </w:pPr>
      <w:r>
        <w:t xml:space="preserve">C. (1) </w:t>
      </w:r>
      <w:r w:rsidR="007F451D" w:rsidRPr="007F451D">
        <w:t xml:space="preserve">Сроковете за приоритет, поменати по-горе, </w:t>
      </w:r>
      <w:r w:rsidR="00D8049E">
        <w:t>са …</w:t>
      </w:r>
      <w:r w:rsidR="007F451D" w:rsidRPr="007F451D">
        <w:t xml:space="preserve"> </w:t>
      </w:r>
      <w:r w:rsidR="00D8049E">
        <w:t>шест</w:t>
      </w:r>
      <w:r w:rsidR="007F451D" w:rsidRPr="007F451D">
        <w:t xml:space="preserve"> месеца за индустриалните </w:t>
      </w:r>
      <w:r w:rsidR="00D8049E">
        <w:t>дизайни</w:t>
      </w:r>
      <w:r w:rsidR="007F451D" w:rsidRPr="007F451D">
        <w:t xml:space="preserve"> и търговски</w:t>
      </w:r>
      <w:r w:rsidR="00D8049E">
        <w:t>те</w:t>
      </w:r>
      <w:r w:rsidR="007F451D" w:rsidRPr="007F451D">
        <w:t xml:space="preserve"> марки</w:t>
      </w:r>
      <w:r>
        <w:t>.</w:t>
      </w:r>
    </w:p>
    <w:p w14:paraId="20DCD376" w14:textId="708798BC" w:rsidR="00A66D56" w:rsidRPr="00DC1F02" w:rsidRDefault="00A66D56" w:rsidP="00A66D56">
      <w:pPr>
        <w:pStyle w:val="JuQuot"/>
        <w:rPr>
          <w:noProof/>
        </w:rPr>
      </w:pPr>
      <w:r>
        <w:t>...</w:t>
      </w:r>
      <w:r w:rsidR="00D8049E">
        <w:t>“</w:t>
      </w:r>
    </w:p>
    <w:p w14:paraId="52A91E2C" w14:textId="77777777" w:rsidR="000C0DE3" w:rsidRPr="00DC1F02" w:rsidRDefault="000C0DE3" w:rsidP="000C0DE3">
      <w:pPr>
        <w:pStyle w:val="JuHArticle"/>
        <w:rPr>
          <w:i/>
          <w:noProof/>
        </w:rPr>
      </w:pPr>
      <w:r>
        <w:t xml:space="preserve">Член 6 </w:t>
      </w:r>
      <w:r>
        <w:rPr>
          <w:i/>
          <w:noProof/>
        </w:rPr>
        <w:t>bis</w:t>
      </w:r>
    </w:p>
    <w:p w14:paraId="3CF762B0" w14:textId="4EB4366B" w:rsidR="000C0DE3" w:rsidRPr="00DC1F02" w:rsidRDefault="00D8049E" w:rsidP="000C0DE3">
      <w:pPr>
        <w:pStyle w:val="JuQuot"/>
      </w:pPr>
      <w:r>
        <w:t>„</w:t>
      </w:r>
      <w:r w:rsidR="00BF49DB">
        <w:t xml:space="preserve">(1) </w:t>
      </w:r>
      <w:r w:rsidRPr="00D8049E">
        <w:t>Държавите</w:t>
      </w:r>
      <w:r>
        <w:t>-</w:t>
      </w:r>
      <w:r w:rsidRPr="00D8049E">
        <w:t>членки на Съюза се задължават да отказват или обезсилват било служебно, ако законодателството на страната позволява това, било по молба на заинтересувания регистрацията и забранят употребата на една фабрична или търговска марка, която възпроизвежда, имитира или подвежда, което може да доведе до заблуда по една марка, която компетентната в страната на регистрацията или на употребата власт смята за всеобщо известна като марка на лице, прието от настоящата Конвенция за не</w:t>
      </w:r>
      <w:r w:rsidR="005D3A7B">
        <w:t>и</w:t>
      </w:r>
      <w:r w:rsidRPr="00D8049E">
        <w:t>н ползвател, и която марка се изпол</w:t>
      </w:r>
      <w:r w:rsidR="005D3A7B">
        <w:t>з</w:t>
      </w:r>
      <w:r w:rsidRPr="00D8049E">
        <w:t>ва за идентични или подобни артикули. Същото важи и за случаи, когато съществената част на марката възпроизвежда такава всеизвестна марка или е имитация, която може да доведе до заблуда</w:t>
      </w:r>
      <w:r w:rsidR="00BF49DB">
        <w:t>.</w:t>
      </w:r>
    </w:p>
    <w:p w14:paraId="7991D892" w14:textId="7298759E" w:rsidR="00BF49DB" w:rsidRPr="00DC1F02" w:rsidRDefault="00E71F84" w:rsidP="000C0DE3">
      <w:pPr>
        <w:pStyle w:val="JuQuot"/>
      </w:pPr>
      <w:r>
        <w:t>...</w:t>
      </w:r>
      <w:r w:rsidR="005D3A7B">
        <w:t>“</w:t>
      </w:r>
    </w:p>
    <w:p w14:paraId="6B2E42B0" w14:textId="3BACC21B" w:rsidR="00CB3538" w:rsidRPr="00DC1F02" w:rsidRDefault="005F29D6" w:rsidP="00B776CD">
      <w:pPr>
        <w:pStyle w:val="JuPara"/>
      </w:pPr>
      <w:r>
        <w:fldChar w:fldCharType="begin"/>
      </w:r>
      <w:r>
        <w:instrText xml:space="preserve"> SEQ level0 \*arabic </w:instrText>
      </w:r>
      <w:r>
        <w:fldChar w:fldCharType="separate"/>
      </w:r>
      <w:r w:rsidR="00CF6F43">
        <w:rPr>
          <w:noProof/>
        </w:rPr>
        <w:t>30</w:t>
      </w:r>
      <w:r>
        <w:rPr>
          <w:noProof/>
        </w:rPr>
        <w:fldChar w:fldCharType="end"/>
      </w:r>
      <w:r w:rsidR="00B776CD">
        <w:t xml:space="preserve">.  Португалия, Чехословакия (наследена от Чешката република) и Съединените американски щати са </w:t>
      </w:r>
      <w:r w:rsidR="005D3A7B">
        <w:t xml:space="preserve">Договарящи </w:t>
      </w:r>
      <w:r w:rsidR="00B776CD">
        <w:t>страни по Парижката конвенция към момента на настъпването на това събитие.</w:t>
      </w:r>
    </w:p>
    <w:p w14:paraId="68C13845" w14:textId="77777777" w:rsidR="00A66D56" w:rsidRPr="00DC1F02" w:rsidRDefault="00B776CD" w:rsidP="00A66D56">
      <w:pPr>
        <w:pStyle w:val="JuH1"/>
      </w:pPr>
      <w:r>
        <w:t>3.  Мадридската спогодба и Мадридският протокол</w:t>
      </w:r>
    </w:p>
    <w:p w14:paraId="5798A347" w14:textId="78A27EC3" w:rsidR="00A66D56" w:rsidRPr="00DC1F02" w:rsidRDefault="005F29D6" w:rsidP="00A66D56">
      <w:pPr>
        <w:pStyle w:val="JuPara"/>
      </w:pPr>
      <w:r>
        <w:fldChar w:fldCharType="begin"/>
      </w:r>
      <w:r>
        <w:instrText xml:space="preserve"> SEQ level0 \*arabic </w:instrText>
      </w:r>
      <w:r>
        <w:fldChar w:fldCharType="separate"/>
      </w:r>
      <w:r w:rsidR="00CF6F43">
        <w:rPr>
          <w:noProof/>
        </w:rPr>
        <w:t>31</w:t>
      </w:r>
      <w:r>
        <w:rPr>
          <w:noProof/>
        </w:rPr>
        <w:fldChar w:fldCharType="end"/>
      </w:r>
      <w:r w:rsidR="00A66D56">
        <w:t xml:space="preserve">.  Мадридската спогодба от 1891 г. </w:t>
      </w:r>
      <w:r w:rsidR="00B50E36">
        <w:t>за</w:t>
      </w:r>
      <w:r w:rsidR="00A66D56">
        <w:t xml:space="preserve"> международната регистрация на търговски марки и Мадридският протокол от 27 юни 1989 г. създават и </w:t>
      </w:r>
      <w:r w:rsidR="00B50E36">
        <w:t>уреждат</w:t>
      </w:r>
      <w:r w:rsidR="00A66D56">
        <w:t xml:space="preserve"> система за международна регистрация на търговските марки, ко</w:t>
      </w:r>
      <w:r w:rsidR="00B50E36">
        <w:t>я</w:t>
      </w:r>
      <w:r w:rsidR="00A66D56">
        <w:t xml:space="preserve">то се администрира от Международното бюро на СОИС (WIPO). Мадридската спогодба е </w:t>
      </w:r>
      <w:r w:rsidR="003A4F9B">
        <w:t xml:space="preserve">преработена </w:t>
      </w:r>
      <w:r w:rsidR="00A66D56">
        <w:t xml:space="preserve">в Брюксел (1900 г.), Вашингтон (1911 г.), Хага (1925 г.), Лондон (1934 г.), Ница (1957 г.) и Стокхолм (1967 г.). Мадридският Протокол от 1989 г. създава </w:t>
      </w:r>
      <w:r w:rsidR="003A4F9B">
        <w:t>„</w:t>
      </w:r>
      <w:r w:rsidR="00A66D56">
        <w:t>Мадридския съюз</w:t>
      </w:r>
      <w:r w:rsidR="003A4F9B">
        <w:t>“</w:t>
      </w:r>
      <w:r w:rsidR="00A66D56">
        <w:t>, съставен от държавите, страни по Мадридск</w:t>
      </w:r>
      <w:r w:rsidR="003A4F9B">
        <w:t>а</w:t>
      </w:r>
      <w:r w:rsidR="00A66D56">
        <w:t>т</w:t>
      </w:r>
      <w:r w:rsidR="003A4F9B">
        <w:t>а</w:t>
      </w:r>
      <w:r w:rsidR="00A66D56">
        <w:t xml:space="preserve"> </w:t>
      </w:r>
      <w:r w:rsidR="003A4F9B">
        <w:t>спогодба,</w:t>
      </w:r>
      <w:r w:rsidR="00A66D56">
        <w:t xml:space="preserve"> и договарящите страни по Мадридския протокол. Португалия става страна по спо</w:t>
      </w:r>
      <w:r w:rsidR="003A4F9B">
        <w:t>годбата</w:t>
      </w:r>
      <w:r w:rsidR="00A66D56">
        <w:t xml:space="preserve"> на 31 октомври 1893 г. Съединените щати не са ратифицирали това споразумение. Те ратифицират Протокола на 2 ноември 2003 г.</w:t>
      </w:r>
    </w:p>
    <w:p w14:paraId="15BCD06F" w14:textId="2D2F0E0F" w:rsidR="00A66D56" w:rsidRPr="00DC1F02" w:rsidRDefault="005F29D6" w:rsidP="00A66D56">
      <w:pPr>
        <w:pStyle w:val="JuParaChar"/>
      </w:pPr>
      <w:r>
        <w:fldChar w:fldCharType="begin"/>
      </w:r>
      <w:r>
        <w:instrText xml:space="preserve"> SEQ level0 \*arabic </w:instrText>
      </w:r>
      <w:r>
        <w:fldChar w:fldCharType="separate"/>
      </w:r>
      <w:r w:rsidR="00CF6F43">
        <w:rPr>
          <w:noProof/>
        </w:rPr>
        <w:t>32</w:t>
      </w:r>
      <w:r>
        <w:rPr>
          <w:noProof/>
        </w:rPr>
        <w:fldChar w:fldCharType="end"/>
      </w:r>
      <w:r w:rsidR="00A66D56">
        <w:t>.  Системата, създадена от Мадридската спогодба се прилага за членовете на Мадридския съюз и предоставя на собствениците на търговски марки средство за осигуряване на защита в различните страни чрез ед</w:t>
      </w:r>
      <w:r w:rsidR="00CC64EC">
        <w:t>ин</w:t>
      </w:r>
      <w:r w:rsidR="00A66D56">
        <w:t xml:space="preserve">но заявление за регистрация в национален или регионален регистър. Съгласно тази система регистрацията на международна търговската марка има същия ефект в съответните държави, както заявката за регистрация на търговската марка или регистрацията на търговската марка от собственика директно във всяка отделна страна. Ако регистърът на търговските марки на дадена държава-членка не </w:t>
      </w:r>
      <w:r w:rsidR="00A66D56">
        <w:lastRenderedPageBreak/>
        <w:t xml:space="preserve">отказва защита в рамките на определен </w:t>
      </w:r>
      <w:r w:rsidR="00CC64EC">
        <w:t>срок</w:t>
      </w:r>
      <w:r w:rsidR="00A66D56">
        <w:t xml:space="preserve">, търговската марка се ползва </w:t>
      </w:r>
      <w:r w:rsidR="00CC64EC">
        <w:t xml:space="preserve">със </w:t>
      </w:r>
      <w:r w:rsidR="00A66D56">
        <w:t>същата защита, както ако тя е регистрирана директно в регистъра.</w:t>
      </w:r>
    </w:p>
    <w:p w14:paraId="0794EC8C" w14:textId="22D805AF" w:rsidR="00127366" w:rsidRPr="00DC1F02" w:rsidRDefault="00127366" w:rsidP="00A66D56">
      <w:pPr>
        <w:pStyle w:val="JuH1"/>
        <w:rPr>
          <w:noProof/>
        </w:rPr>
      </w:pPr>
      <w:r>
        <w:t>4. Лисабон</w:t>
      </w:r>
      <w:r w:rsidR="00FC60B5">
        <w:t>ска спогодба</w:t>
      </w:r>
      <w:r>
        <w:t xml:space="preserve"> </w:t>
      </w:r>
      <w:r w:rsidR="00FC60B5">
        <w:t xml:space="preserve">от </w:t>
      </w:r>
      <w:r>
        <w:t>31 октомври 1958 г.</w:t>
      </w:r>
    </w:p>
    <w:p w14:paraId="77436F81" w14:textId="0553AD87" w:rsidR="00127366" w:rsidRPr="00DC1F02" w:rsidRDefault="005F29D6" w:rsidP="00086070">
      <w:pPr>
        <w:pStyle w:val="JuPara"/>
      </w:pPr>
      <w:r>
        <w:fldChar w:fldCharType="begin"/>
      </w:r>
      <w:r>
        <w:instrText xml:space="preserve"> SEQ level0 \*arabic </w:instrText>
      </w:r>
      <w:r>
        <w:fldChar w:fldCharType="separate"/>
      </w:r>
      <w:r w:rsidR="00CF6F43">
        <w:rPr>
          <w:noProof/>
        </w:rPr>
        <w:t>33</w:t>
      </w:r>
      <w:r>
        <w:rPr>
          <w:noProof/>
        </w:rPr>
        <w:fldChar w:fldCharType="end"/>
      </w:r>
      <w:r w:rsidR="00127366">
        <w:t>.  Лисабон</w:t>
      </w:r>
      <w:r w:rsidR="0002049F">
        <w:t>ската спогодба</w:t>
      </w:r>
      <w:r w:rsidR="00127366">
        <w:t xml:space="preserve"> за закрила на наименованията за произход и тяхната международна регистрация е подписан</w:t>
      </w:r>
      <w:r w:rsidR="00485A83">
        <w:t>а</w:t>
      </w:r>
      <w:r w:rsidR="00127366">
        <w:t xml:space="preserve"> в Лисабон на 31 октомври 1958 г., </w:t>
      </w:r>
      <w:r w:rsidR="00485A83">
        <w:t>преработена</w:t>
      </w:r>
      <w:r w:rsidR="00127366">
        <w:t xml:space="preserve"> в Стокхолм на 14 юли 1967 г. и изменен</w:t>
      </w:r>
      <w:r w:rsidR="00485A83">
        <w:t>а</w:t>
      </w:r>
      <w:r w:rsidR="00127366">
        <w:t xml:space="preserve"> на 28 септември 1979 г. Тя дава възможност на </w:t>
      </w:r>
      <w:r w:rsidR="00485A83">
        <w:t>Д</w:t>
      </w:r>
      <w:r w:rsidR="00127366">
        <w:t xml:space="preserve">оговарящите държави да поискат от другите </w:t>
      </w:r>
      <w:r w:rsidR="00485A83">
        <w:t>Д</w:t>
      </w:r>
      <w:r w:rsidR="00127366">
        <w:t xml:space="preserve">оговарящи държави да защитят наименованията за произход на някои продукти, ако те са признати и защитени като такива в страната на произход и регистрирани от Международното бюро на СОИС. Както Португалия, така и Република Чехия, като наследник на Чехословакия, са страни по </w:t>
      </w:r>
      <w:r w:rsidR="00485A83">
        <w:t xml:space="preserve">тази </w:t>
      </w:r>
      <w:r w:rsidR="00127366">
        <w:t>спо</w:t>
      </w:r>
      <w:r w:rsidR="00485A83">
        <w:t>годба</w:t>
      </w:r>
      <w:r w:rsidR="00127366">
        <w:t>.</w:t>
      </w:r>
    </w:p>
    <w:p w14:paraId="71198DFD" w14:textId="082BD3F4" w:rsidR="00A66D56" w:rsidRPr="00DC1F02" w:rsidRDefault="00706AFD" w:rsidP="00A66D56">
      <w:pPr>
        <w:pStyle w:val="JuH1"/>
      </w:pPr>
      <w:r>
        <w:t xml:space="preserve">5.  Споразумението TRIPs за свързаните с търговията аспекти на правата </w:t>
      </w:r>
      <w:r w:rsidR="000D3A1A">
        <w:t xml:space="preserve">върху </w:t>
      </w:r>
      <w:r>
        <w:t>интелектуалната собственост</w:t>
      </w:r>
    </w:p>
    <w:p w14:paraId="7C6912ED" w14:textId="2D6DD4B5" w:rsidR="00627C6A" w:rsidRDefault="005F29D6" w:rsidP="00A66D56">
      <w:pPr>
        <w:pStyle w:val="JuPara"/>
      </w:pPr>
      <w:r>
        <w:fldChar w:fldCharType="begin"/>
      </w:r>
      <w:r>
        <w:instrText xml:space="preserve"> SEQ level0 \*arabic </w:instrText>
      </w:r>
      <w:r>
        <w:fldChar w:fldCharType="separate"/>
      </w:r>
      <w:r w:rsidR="00CF6F43">
        <w:rPr>
          <w:noProof/>
        </w:rPr>
        <w:t>34</w:t>
      </w:r>
      <w:r>
        <w:rPr>
          <w:noProof/>
        </w:rPr>
        <w:fldChar w:fldCharType="end"/>
      </w:r>
      <w:r w:rsidR="00A66D56">
        <w:t xml:space="preserve">.  Споразумението за свързаните с търговията аспекти на правата </w:t>
      </w:r>
      <w:r w:rsidR="000D3A1A">
        <w:t xml:space="preserve">върху </w:t>
      </w:r>
      <w:r w:rsidR="00A66D56">
        <w:t>интелектуалната собственост е сключено в рамките на Уругвайския кръг от преговори, ко</w:t>
      </w:r>
      <w:r w:rsidR="000E3AD5">
        <w:t>й</w:t>
      </w:r>
      <w:r w:rsidR="00A66D56">
        <w:t xml:space="preserve">то довежда до подписването през април 1994 г. на споразуменията на Световната търговска организация (СТО) в Маракеш, които влизат в сила на 1 януари 1995 година. Целта на </w:t>
      </w:r>
      <w:r w:rsidR="000E3AD5">
        <w:t>това</w:t>
      </w:r>
      <w:r w:rsidR="00A66D56">
        <w:t xml:space="preserve"> споразумение е да се интегрира системата за за</w:t>
      </w:r>
      <w:r w:rsidR="000E3AD5">
        <w:t>крил</w:t>
      </w:r>
      <w:r w:rsidR="00A66D56">
        <w:t>а на интелектуалната собственост в системата за регулиране на световната търговия, прилагана от СТО. Държавите-членки на СТО се ангажират да спазват материално-правните разпоредби на Париж</w:t>
      </w:r>
      <w:r w:rsidR="00D06654">
        <w:t>кото споразумение</w:t>
      </w:r>
      <w:r w:rsidR="00A66D56">
        <w:t>.</w:t>
      </w:r>
    </w:p>
    <w:p w14:paraId="6607FD37" w14:textId="657AE416" w:rsidR="00A66D56" w:rsidRPr="00DC1F02" w:rsidRDefault="005F29D6" w:rsidP="00A66D56">
      <w:pPr>
        <w:pStyle w:val="JuPara"/>
      </w:pPr>
      <w:r>
        <w:fldChar w:fldCharType="begin"/>
      </w:r>
      <w:r>
        <w:instrText xml:space="preserve"> SEQ level0 \*arabic </w:instrText>
      </w:r>
      <w:r>
        <w:fldChar w:fldCharType="separate"/>
      </w:r>
      <w:r w:rsidR="00CF6F43">
        <w:rPr>
          <w:noProof/>
        </w:rPr>
        <w:t>35</w:t>
      </w:r>
      <w:r>
        <w:rPr>
          <w:noProof/>
        </w:rPr>
        <w:fldChar w:fldCharType="end"/>
      </w:r>
      <w:r w:rsidR="00A66D56">
        <w:t xml:space="preserve">.  Разпоредбите на Споразумението TRIPs, </w:t>
      </w:r>
      <w:r w:rsidR="00D06654">
        <w:t xml:space="preserve">приложими </w:t>
      </w:r>
      <w:r w:rsidR="00A66D56">
        <w:t>по настоящото дело, са след</w:t>
      </w:r>
      <w:r w:rsidR="00D06654">
        <w:t>ните</w:t>
      </w:r>
      <w:r w:rsidR="00A66D56">
        <w:t>:</w:t>
      </w:r>
    </w:p>
    <w:p w14:paraId="5B8A0F34" w14:textId="77777777" w:rsidR="00A66D56" w:rsidRPr="00DC1F02" w:rsidRDefault="00A66D56" w:rsidP="00A66D56">
      <w:pPr>
        <w:pStyle w:val="JuHArticle"/>
      </w:pPr>
      <w:r>
        <w:t xml:space="preserve">Член 2 </w:t>
      </w:r>
      <w:r>
        <w:br/>
        <w:t>(Конвенции за интелектуалната собственост)</w:t>
      </w:r>
    </w:p>
    <w:p w14:paraId="5A763121" w14:textId="0FFD6148" w:rsidR="00A66D56" w:rsidRPr="00DC1F02" w:rsidRDefault="00D06654" w:rsidP="00A66D56">
      <w:pPr>
        <w:pStyle w:val="JuQuot"/>
        <w:rPr>
          <w:noProof/>
        </w:rPr>
      </w:pPr>
      <w:r>
        <w:t>„</w:t>
      </w:r>
      <w:r w:rsidR="0057622F">
        <w:t>1.  </w:t>
      </w:r>
      <w:r w:rsidRPr="00D06654">
        <w:t>Относно части II</w:t>
      </w:r>
      <w:r>
        <w:t xml:space="preserve"> [Стандарти, разглеждащи наличието, обхвата и използването на правата върху интелектуалната собственост]</w:t>
      </w:r>
      <w:r w:rsidRPr="00D06654">
        <w:t xml:space="preserve">, III </w:t>
      </w:r>
      <w:r w:rsidR="006E4E10">
        <w:t xml:space="preserve">[Прилагане на правата върху интелектуална собственост] </w:t>
      </w:r>
      <w:r w:rsidRPr="00D06654">
        <w:t xml:space="preserve">и IV </w:t>
      </w:r>
      <w:r w:rsidR="006E4E10">
        <w:t xml:space="preserve">[Придобиване и поддържане на правата върху интелектуалната собственост и свързаните с тях </w:t>
      </w:r>
      <w:r w:rsidR="00B30453">
        <w:rPr>
          <w:i/>
        </w:rPr>
        <w:t xml:space="preserve">inter partes </w:t>
      </w:r>
      <w:r w:rsidR="006E4E10">
        <w:t xml:space="preserve">процедури] </w:t>
      </w:r>
      <w:r w:rsidRPr="00D06654">
        <w:t>от това споразумение страните членки следва да действат в съответствие с членове от 1 до 12 и чл. 19 от Парижката конвенция (1967</w:t>
      </w:r>
      <w:r w:rsidR="006E4E10">
        <w:t xml:space="preserve"> г.</w:t>
      </w:r>
      <w:r w:rsidRPr="00D06654">
        <w:t>)</w:t>
      </w:r>
      <w:r w:rsidR="0057622F">
        <w:t>.</w:t>
      </w:r>
    </w:p>
    <w:p w14:paraId="0347A6C5" w14:textId="0689CFC4" w:rsidR="00614024" w:rsidRPr="00DC1F02" w:rsidRDefault="00E71F84" w:rsidP="00A66D56">
      <w:pPr>
        <w:pStyle w:val="JuQuot"/>
        <w:rPr>
          <w:noProof/>
        </w:rPr>
      </w:pPr>
      <w:r>
        <w:t>...</w:t>
      </w:r>
      <w:r w:rsidR="00B30453">
        <w:t>“</w:t>
      </w:r>
    </w:p>
    <w:p w14:paraId="6ED576A1" w14:textId="6FF4460D" w:rsidR="00614024" w:rsidRPr="00DC1F02" w:rsidRDefault="00614024" w:rsidP="00614024">
      <w:pPr>
        <w:pStyle w:val="JuHArticle"/>
        <w:rPr>
          <w:noProof/>
        </w:rPr>
      </w:pPr>
      <w:r>
        <w:t>Член 16</w:t>
      </w:r>
      <w:r>
        <w:br/>
        <w:t>(Предостав</w:t>
      </w:r>
      <w:r w:rsidR="00730948">
        <w:rPr>
          <w:lang w:val="en-US"/>
        </w:rPr>
        <w:t>я</w:t>
      </w:r>
      <w:r>
        <w:t>ни права)</w:t>
      </w:r>
    </w:p>
    <w:p w14:paraId="0E34FEFF" w14:textId="5D3BDDD4" w:rsidR="00614024" w:rsidRPr="00DC1F02" w:rsidRDefault="00730948" w:rsidP="00614024">
      <w:pPr>
        <w:pStyle w:val="JuQuot"/>
      </w:pPr>
      <w:r>
        <w:t>„</w:t>
      </w:r>
      <w:r w:rsidR="001B5133">
        <w:t>1. </w:t>
      </w:r>
      <w:r w:rsidRPr="00730948">
        <w:t xml:space="preserve">Притежателят на регистрирана търговска марка има изключителното право да попречи на трети страни, които не притежават съгласието на притежателя, да използват в процес на търговия идентични или сходни знаци за стоки или услуги, </w:t>
      </w:r>
      <w:r w:rsidRPr="00730948">
        <w:lastRenderedPageBreak/>
        <w:t>които са идентични или сходни със стоките и услугите с регистрираната търговска марка, когато подобно използване ще доведе до вероятност от объркване. В случай на използване на идентичен знак за идентични стоки или услуги следва да се предполага вероятност от объркване. Описаните по-горе права не накърняват каквито и да било съществуващи преди това права, нито трябва да влияят върху възможността страните членки да осигурят достъпност на правата въз основа на използването</w:t>
      </w:r>
      <w:r w:rsidR="001B5133">
        <w:t>.</w:t>
      </w:r>
    </w:p>
    <w:p w14:paraId="22273476" w14:textId="5CB9E561" w:rsidR="00A66D56" w:rsidRPr="00DC1F02" w:rsidRDefault="00A66D56" w:rsidP="00A66D56">
      <w:pPr>
        <w:pStyle w:val="JuQuot"/>
        <w:rPr>
          <w:noProof/>
        </w:rPr>
      </w:pPr>
      <w:r>
        <w:t>...</w:t>
      </w:r>
      <w:r w:rsidR="00730948">
        <w:t>“</w:t>
      </w:r>
    </w:p>
    <w:p w14:paraId="551452B5" w14:textId="77777777" w:rsidR="00614024" w:rsidRPr="00DC1F02" w:rsidRDefault="00614024" w:rsidP="00614024">
      <w:pPr>
        <w:pStyle w:val="JuHArticle"/>
        <w:rPr>
          <w:noProof/>
        </w:rPr>
      </w:pPr>
      <w:r>
        <w:t>Член 17</w:t>
      </w:r>
      <w:r>
        <w:br/>
        <w:t>(Изключения)</w:t>
      </w:r>
    </w:p>
    <w:p w14:paraId="07B5BA4E" w14:textId="186AAEB6" w:rsidR="00614024" w:rsidRPr="00DC1F02" w:rsidRDefault="00730948" w:rsidP="00614024">
      <w:pPr>
        <w:pStyle w:val="JuQuot"/>
      </w:pPr>
      <w:r>
        <w:t>„</w:t>
      </w:r>
      <w:r w:rsidR="00A8351B" w:rsidRPr="00A8351B">
        <w:t>Страните членки могат да предоставят ограничени изключения на правата, предоставяни от една търговска марка, като например честно използване на описателни условия, при условие че такива изключения отчитат законните интереси на притежателя на търговската марка и на трети страни</w:t>
      </w:r>
      <w:r w:rsidR="00063A33">
        <w:t>.</w:t>
      </w:r>
      <w:r>
        <w:t>“</w:t>
      </w:r>
    </w:p>
    <w:p w14:paraId="61B8FFED" w14:textId="77777777" w:rsidR="00A66D56" w:rsidRPr="00DC1F02" w:rsidRDefault="00A66D56" w:rsidP="00A66D56">
      <w:pPr>
        <w:pStyle w:val="JuHArticle"/>
      </w:pPr>
      <w:r>
        <w:t>Член 24 § 5</w:t>
      </w:r>
      <w:r>
        <w:br/>
        <w:t>(Международни преговори; Изключения)</w:t>
      </w:r>
    </w:p>
    <w:p w14:paraId="7A9FC637" w14:textId="4FBD416D" w:rsidR="00E63216" w:rsidRPr="00E63216" w:rsidRDefault="00E63216" w:rsidP="00E63216">
      <w:pPr>
        <w:pStyle w:val="JuQuot"/>
        <w:rPr>
          <w:lang w:val="en-US"/>
        </w:rPr>
      </w:pPr>
      <w:r>
        <w:t>„</w:t>
      </w:r>
      <w:r w:rsidRPr="00E63216">
        <w:rPr>
          <w:szCs w:val="24"/>
          <w:lang w:val="en-US" w:eastAsia="en-US" w:bidi="ar-SA"/>
        </w:rPr>
        <w:t xml:space="preserve"> </w:t>
      </w:r>
      <w:r w:rsidRPr="00E63216">
        <w:rPr>
          <w:lang w:val="en-US"/>
        </w:rPr>
        <w:t>Когато една търговска марка е заявена или регистрирана добросъвестно или когато правата за една търговска марка са придобити добросъвестно или:</w:t>
      </w:r>
    </w:p>
    <w:p w14:paraId="5E84364C" w14:textId="77777777" w:rsidR="00E63216" w:rsidRPr="00E63216" w:rsidRDefault="00E63216" w:rsidP="00E63216">
      <w:pPr>
        <w:pStyle w:val="JuQuot"/>
        <w:rPr>
          <w:lang w:val="en-US"/>
        </w:rPr>
      </w:pPr>
      <w:r w:rsidRPr="00E63216">
        <w:rPr>
          <w:lang w:val="en-US"/>
        </w:rPr>
        <w:t>(а) преди датата на прилагане на тези разпоредби в тази страна членка, както е означено в Част VI, или</w:t>
      </w:r>
    </w:p>
    <w:p w14:paraId="31CF9E8A" w14:textId="77777777" w:rsidR="00E63216" w:rsidRDefault="00E63216" w:rsidP="00E63216">
      <w:pPr>
        <w:pStyle w:val="JuQuot"/>
        <w:rPr>
          <w:lang w:val="en-US"/>
        </w:rPr>
      </w:pPr>
      <w:r w:rsidRPr="00E63216">
        <w:rPr>
          <w:lang w:val="en-US"/>
        </w:rPr>
        <w:t xml:space="preserve">(б) преди географското означение да е поставено под закрила в страната на произхода му, </w:t>
      </w:r>
    </w:p>
    <w:p w14:paraId="1123E771" w14:textId="72BA5808" w:rsidR="00E63216" w:rsidRPr="00570092" w:rsidRDefault="00E63216" w:rsidP="00E63216">
      <w:pPr>
        <w:pStyle w:val="JuQuot"/>
      </w:pPr>
      <w:r w:rsidRPr="00E63216">
        <w:rPr>
          <w:lang w:val="en-US"/>
        </w:rPr>
        <w:t>приетите мерки за изпълнение на този раздел не накърняват правото за регистриране или валидността на регистрацията на дадена търговска марка</w:t>
      </w:r>
      <w:r>
        <w:t xml:space="preserve"> …</w:t>
      </w:r>
      <w:r w:rsidRPr="00E63216">
        <w:rPr>
          <w:lang w:val="en-US"/>
        </w:rPr>
        <w:t xml:space="preserve"> въз основа на това, че такава търговска марка е идентична или сходна с дадено географско </w:t>
      </w:r>
      <w:proofErr w:type="gramStart"/>
      <w:r w:rsidRPr="00E63216">
        <w:rPr>
          <w:lang w:val="en-US"/>
        </w:rPr>
        <w:t>означение</w:t>
      </w:r>
      <w:r>
        <w:t>.“</w:t>
      </w:r>
      <w:proofErr w:type="gramEnd"/>
    </w:p>
    <w:p w14:paraId="740D4052" w14:textId="32B7CC0A" w:rsidR="00A66D56" w:rsidRPr="00DC1F02" w:rsidRDefault="00A66D56" w:rsidP="00570092">
      <w:pPr>
        <w:pStyle w:val="JuQuot"/>
        <w:rPr>
          <w:noProof/>
        </w:rPr>
      </w:pPr>
    </w:p>
    <w:p w14:paraId="3B698EF0" w14:textId="77777777" w:rsidR="00A66D56" w:rsidRPr="00DC1F02" w:rsidRDefault="00A66D56" w:rsidP="00A66D56">
      <w:pPr>
        <w:pStyle w:val="JuHArticle"/>
      </w:pPr>
      <w:r>
        <w:t>Член 65 § 1</w:t>
      </w:r>
      <w:r>
        <w:br/>
        <w:t>(Преходни разпоредби)</w:t>
      </w:r>
    </w:p>
    <w:p w14:paraId="5B9D5E7C" w14:textId="6848308E" w:rsidR="00A66D56" w:rsidRPr="00DC1F02" w:rsidRDefault="00774C16" w:rsidP="00A66D56">
      <w:pPr>
        <w:pStyle w:val="JuQuot"/>
        <w:rPr>
          <w:noProof/>
        </w:rPr>
      </w:pPr>
      <w:r>
        <w:t>„</w:t>
      </w:r>
      <w:r w:rsidRPr="00774C16">
        <w:rPr>
          <w:sz w:val="24"/>
        </w:rPr>
        <w:t xml:space="preserve"> </w:t>
      </w:r>
      <w:r w:rsidRPr="00774C16">
        <w:t xml:space="preserve">В зависимост от разпоредбите на ал. 2, 3 и 4 </w:t>
      </w:r>
      <w:r>
        <w:t xml:space="preserve">[които предвиждат по-дълги срокове] </w:t>
      </w:r>
      <w:r w:rsidRPr="00774C16">
        <w:t>нито една страна членка не следва да бъде задължена да прилага разпоредбите от това споразумение преди изтичане на общия срок от една година след датата на влизане в сила на Споразумението за СТO</w:t>
      </w:r>
      <w:r w:rsidR="00A66D56">
        <w:t>.</w:t>
      </w:r>
    </w:p>
    <w:p w14:paraId="3F3E97F5" w14:textId="77777777" w:rsidR="00FC1382" w:rsidRPr="00DC1F02" w:rsidRDefault="00FC1382" w:rsidP="00A66D56">
      <w:pPr>
        <w:pStyle w:val="JuHA"/>
        <w:rPr>
          <w:noProof/>
        </w:rPr>
      </w:pPr>
      <w:r>
        <w:t>B.  Правото на общността</w:t>
      </w:r>
    </w:p>
    <w:p w14:paraId="5F5874D5" w14:textId="763C36C8" w:rsidR="00FC1382" w:rsidRPr="00DC1F02" w:rsidRDefault="00C470EC" w:rsidP="00FC1382">
      <w:pPr>
        <w:pStyle w:val="JuPara"/>
      </w:pPr>
      <w:fldSimple w:instr=" SEQ level0 \*arabic ">
        <w:r w:rsidR="00CF6F43">
          <w:rPr>
            <w:noProof/>
          </w:rPr>
          <w:t>36</w:t>
        </w:r>
      </w:fldSimple>
      <w:r w:rsidR="00FC1382">
        <w:t>.  Правото на Европейския съюз съдържа различни инструменти, предназначени за регулиране и защита на интелектуалната собственост, включително търговски марки. Инструментът, който е най-</w:t>
      </w:r>
      <w:r w:rsidR="007C6EF1">
        <w:t xml:space="preserve">приложим </w:t>
      </w:r>
      <w:r w:rsidR="00FC1382">
        <w:t>в конкретния случай</w:t>
      </w:r>
      <w:r w:rsidR="007C6EF1">
        <w:t>,</w:t>
      </w:r>
      <w:r w:rsidR="00FC1382">
        <w:t xml:space="preserve"> е Регламент (ЕО) № 40/941 </w:t>
      </w:r>
      <w:r w:rsidR="001218E1">
        <w:t xml:space="preserve">на Съвета </w:t>
      </w:r>
      <w:r w:rsidR="00FC1382">
        <w:t xml:space="preserve">от 20 декември 1993 г. относно търговските марки на Общността, който установява правото на търговска марка </w:t>
      </w:r>
      <w:r w:rsidR="005A3205">
        <w:t>на</w:t>
      </w:r>
      <w:r w:rsidR="00FC1382">
        <w:t xml:space="preserve"> Общността и предоставя някои права на лицата за регистрация. Неговата цел е да се насърчи развитието, </w:t>
      </w:r>
      <w:r w:rsidR="00FC1382">
        <w:lastRenderedPageBreak/>
        <w:t xml:space="preserve">разширяването и правилното функциониране на вътрешния пазар, като се позволи на предприятията от Общността да идентифицират свои продукти или услуги в Европейския съюз по </w:t>
      </w:r>
      <w:r w:rsidR="00115CF0">
        <w:t>единен</w:t>
      </w:r>
      <w:r w:rsidR="00FC1382">
        <w:t xml:space="preserve"> начин. За тази цел е създадена Службата за хармонизация </w:t>
      </w:r>
      <w:r w:rsidR="00C0205B">
        <w:t>във</w:t>
      </w:r>
      <w:r w:rsidR="00FC1382">
        <w:t xml:space="preserve"> вътрешния пазар (OHIM) (за търговските марки и дизайн</w:t>
      </w:r>
      <w:r w:rsidR="00E31AF3">
        <w:t>и</w:t>
      </w:r>
      <w:r w:rsidR="00FC1382">
        <w:t xml:space="preserve"> </w:t>
      </w:r>
      <w:r w:rsidR="00E31AF3">
        <w:t>–</w:t>
      </w:r>
      <w:r w:rsidR="00FC1382">
        <w:t xml:space="preserve"> </w:t>
      </w:r>
      <w:r w:rsidR="00E31AF3">
        <w:t>ч</w:t>
      </w:r>
      <w:r w:rsidR="00FC1382">
        <w:t>лен 2). Тя е със седалище в Аликанте (Испания). Заявленията за регистрация на търговск</w:t>
      </w:r>
      <w:r w:rsidR="00E31AF3">
        <w:t>а</w:t>
      </w:r>
      <w:r w:rsidR="00FC1382">
        <w:t xml:space="preserve"> марк</w:t>
      </w:r>
      <w:r w:rsidR="00E31AF3">
        <w:t>а</w:t>
      </w:r>
      <w:r w:rsidR="00FC1382">
        <w:t xml:space="preserve"> </w:t>
      </w:r>
      <w:r w:rsidR="00E31AF3">
        <w:t>на</w:t>
      </w:r>
      <w:r w:rsidR="00FC1382">
        <w:t xml:space="preserve"> Общността се изпращат на Службата за хармонизация </w:t>
      </w:r>
      <w:r w:rsidR="005A3205">
        <w:t>във</w:t>
      </w:r>
      <w:r w:rsidR="00FC1382">
        <w:t xml:space="preserve"> вътрешния пазар (OHIM), която решава дали да ги </w:t>
      </w:r>
      <w:r w:rsidR="005A3205">
        <w:t xml:space="preserve">одобри </w:t>
      </w:r>
      <w:r w:rsidR="00FC1382">
        <w:t xml:space="preserve">или да ги отхвърли. </w:t>
      </w:r>
      <w:r w:rsidR="005A3205">
        <w:t>Нейните</w:t>
      </w:r>
      <w:r w:rsidR="00FC1382">
        <w:t xml:space="preserve"> решения </w:t>
      </w:r>
      <w:r w:rsidR="005A3205">
        <w:t xml:space="preserve">подлежат на обжалване пред </w:t>
      </w:r>
      <w:r w:rsidR="00FC1382">
        <w:t>апелативния съ</w:t>
      </w:r>
      <w:r w:rsidR="007B74AF">
        <w:t>с</w:t>
      </w:r>
      <w:r w:rsidR="005A3205">
        <w:t>т</w:t>
      </w:r>
      <w:r w:rsidR="007B74AF">
        <w:t>ав</w:t>
      </w:r>
      <w:r w:rsidR="00FC1382">
        <w:t xml:space="preserve"> на OHIM и от там </w:t>
      </w:r>
      <w:r w:rsidR="00C0205B">
        <w:t xml:space="preserve">пред </w:t>
      </w:r>
      <w:r w:rsidR="00FC1382">
        <w:t>(членове 57-63).</w:t>
      </w:r>
    </w:p>
    <w:p w14:paraId="5F86FF9F" w14:textId="200737CE" w:rsidR="00E71F84" w:rsidRPr="00DC1F02" w:rsidRDefault="00C470EC" w:rsidP="00FC1382">
      <w:pPr>
        <w:pStyle w:val="JuPara"/>
      </w:pPr>
      <w:fldSimple w:instr=" SEQ level0 \*arabic ">
        <w:r w:rsidR="00CF6F43">
          <w:rPr>
            <w:noProof/>
          </w:rPr>
          <w:t>37</w:t>
        </w:r>
      </w:fldSimple>
      <w:r w:rsidR="00FC1382">
        <w:t>.  </w:t>
      </w:r>
      <w:r w:rsidR="007B74AF">
        <w:t>В ч</w:t>
      </w:r>
      <w:r w:rsidR="00FC1382">
        <w:t>л</w:t>
      </w:r>
      <w:r w:rsidR="007B74AF">
        <w:t>.</w:t>
      </w:r>
      <w:r w:rsidR="00FC1382">
        <w:t xml:space="preserve"> 24 от Регламента, който е озаглавен </w:t>
      </w:r>
      <w:r w:rsidR="007B74AF">
        <w:t>„</w:t>
      </w:r>
      <w:r w:rsidR="00FC1382">
        <w:t>Заявление</w:t>
      </w:r>
      <w:r w:rsidR="007B74AF">
        <w:t>то</w:t>
      </w:r>
      <w:r w:rsidR="00FC1382">
        <w:t xml:space="preserve"> за търговски марки </w:t>
      </w:r>
      <w:r w:rsidR="007B74AF">
        <w:t>на</w:t>
      </w:r>
      <w:r w:rsidR="00FC1382">
        <w:t xml:space="preserve"> Общността като обект на собственост</w:t>
      </w:r>
      <w:r w:rsidR="007B74AF">
        <w:t>“,</w:t>
      </w:r>
      <w:r w:rsidR="00FC1382">
        <w:t xml:space="preserve"> </w:t>
      </w:r>
      <w:r w:rsidR="007B74AF">
        <w:t xml:space="preserve">се </w:t>
      </w:r>
      <w:r w:rsidR="00FC1382">
        <w:t xml:space="preserve">посочва, че разпоредбите, отнасящи се търговските марки на Общността се прилагат също и за заявленията за регистрация. Тези разпоредби включват </w:t>
      </w:r>
      <w:r w:rsidR="008913D1">
        <w:t>ч</w:t>
      </w:r>
      <w:r w:rsidR="00FC1382">
        <w:t>л</w:t>
      </w:r>
      <w:r w:rsidR="008913D1">
        <w:t>.</w:t>
      </w:r>
      <w:r w:rsidR="00FC1382">
        <w:t xml:space="preserve"> 17 (Прехвърляне), </w:t>
      </w:r>
      <w:r w:rsidR="008913D1">
        <w:t>ч</w:t>
      </w:r>
      <w:r w:rsidR="00FC1382">
        <w:t>л</w:t>
      </w:r>
      <w:r w:rsidR="008913D1">
        <w:t>.</w:t>
      </w:r>
      <w:r w:rsidR="00FC1382">
        <w:t xml:space="preserve"> 19 (Вещни права), </w:t>
      </w:r>
      <w:r w:rsidR="008913D1">
        <w:t>ч</w:t>
      </w:r>
      <w:r w:rsidR="00FC1382">
        <w:t>л</w:t>
      </w:r>
      <w:r w:rsidR="008913D1">
        <w:t>.</w:t>
      </w:r>
      <w:r w:rsidR="00FC1382">
        <w:t xml:space="preserve"> 20 (</w:t>
      </w:r>
      <w:r w:rsidR="008913D1">
        <w:t>Принудително изпълнение</w:t>
      </w:r>
      <w:r w:rsidR="00FC1382">
        <w:t xml:space="preserve">) и </w:t>
      </w:r>
      <w:r w:rsidR="008913D1">
        <w:t>ч</w:t>
      </w:r>
      <w:r w:rsidR="00FC1382">
        <w:t>л</w:t>
      </w:r>
      <w:r w:rsidR="008913D1">
        <w:t>.</w:t>
      </w:r>
      <w:r w:rsidR="00FC1382">
        <w:t xml:space="preserve"> 22 (Лицензиране). По силата на </w:t>
      </w:r>
      <w:r w:rsidR="008913D1">
        <w:t>ч</w:t>
      </w:r>
      <w:r w:rsidR="00FC1382">
        <w:t>л</w:t>
      </w:r>
      <w:r w:rsidR="008913D1">
        <w:t>.</w:t>
      </w:r>
      <w:r w:rsidR="00FC1382">
        <w:t xml:space="preserve"> 9 § 3 заявлението за регистрация може също да учреди иск за обезщетение.</w:t>
      </w:r>
    </w:p>
    <w:p w14:paraId="59095459" w14:textId="57F7CD5B" w:rsidR="00FC1382" w:rsidRPr="00DC1F02" w:rsidRDefault="00C470EC" w:rsidP="00FC1382">
      <w:pPr>
        <w:pStyle w:val="JuPara"/>
      </w:pPr>
      <w:fldSimple w:instr=" SEQ level0 \*arabic ">
        <w:r w:rsidR="00CF6F43">
          <w:rPr>
            <w:noProof/>
          </w:rPr>
          <w:t>38</w:t>
        </w:r>
      </w:fldSimple>
      <w:r w:rsidR="00FC1382">
        <w:t>.  </w:t>
      </w:r>
      <w:r w:rsidR="00B3500F">
        <w:t>Н</w:t>
      </w:r>
      <w:r w:rsidR="00FC1382">
        <w:t xml:space="preserve">акрая </w:t>
      </w:r>
      <w:r w:rsidR="00B3500F">
        <w:t>ч</w:t>
      </w:r>
      <w:r w:rsidR="00FC1382">
        <w:t>л</w:t>
      </w:r>
      <w:r w:rsidR="00B3500F">
        <w:t>.</w:t>
      </w:r>
      <w:r w:rsidR="00FC1382">
        <w:t xml:space="preserve"> 17 § 2 от Хартата за основните права (</w:t>
      </w:r>
      <w:r w:rsidR="00B3500F">
        <w:t>ч</w:t>
      </w:r>
      <w:r w:rsidR="00FC1382">
        <w:t xml:space="preserve">лен II-77 от </w:t>
      </w:r>
      <w:r w:rsidR="00B3500F">
        <w:t>п</w:t>
      </w:r>
      <w:r w:rsidR="00FC1382">
        <w:t>роектодоговора за създаване на Конституция на Европа, подписан на 29 октомври 2004 г., който все още не е в сила)</w:t>
      </w:r>
      <w:r w:rsidR="00B3500F">
        <w:t>,</w:t>
      </w:r>
      <w:r w:rsidR="00FC1382">
        <w:t xml:space="preserve"> който гарантира правото на собственост, предвижда: </w:t>
      </w:r>
      <w:r w:rsidR="00B3500F">
        <w:t>„</w:t>
      </w:r>
      <w:r w:rsidR="00FC1382">
        <w:t>Интелектуалната собственост е защитена.</w:t>
      </w:r>
      <w:r w:rsidR="00B3500F">
        <w:t>“</w:t>
      </w:r>
    </w:p>
    <w:p w14:paraId="55F5AF26" w14:textId="77777777" w:rsidR="00A66D56" w:rsidRPr="00DC1F02" w:rsidRDefault="00A66D56" w:rsidP="00A66D56">
      <w:pPr>
        <w:pStyle w:val="JuHA"/>
      </w:pPr>
      <w:r>
        <w:t>C.  Сравнително право</w:t>
      </w:r>
    </w:p>
    <w:p w14:paraId="4D4D3652" w14:textId="4EE533F2" w:rsidR="00A66D56" w:rsidRPr="00DC1F02" w:rsidRDefault="00C470EC" w:rsidP="00A66D56">
      <w:pPr>
        <w:pStyle w:val="JuParaChar"/>
        <w:rPr>
          <w:noProof/>
        </w:rPr>
      </w:pPr>
      <w:fldSimple w:instr=" SEQ level0 \*arabic ">
        <w:r w:rsidR="00CF6F43">
          <w:rPr>
            <w:noProof/>
          </w:rPr>
          <w:t>39</w:t>
        </w:r>
      </w:fldSimple>
      <w:r w:rsidR="00A66D56">
        <w:t xml:space="preserve">.  В съответствие с приложимите международни актове, законодателството на повечето държави-членки на Съвета на Европа </w:t>
      </w:r>
      <w:r w:rsidR="00954E90">
        <w:t xml:space="preserve">третира </w:t>
      </w:r>
      <w:r w:rsidR="00A66D56">
        <w:t>регистрацията като следствие от придобиването на право</w:t>
      </w:r>
      <w:r w:rsidR="00954E90">
        <w:t>то</w:t>
      </w:r>
      <w:r w:rsidR="00A66D56">
        <w:t xml:space="preserve"> на търговска марка. Въпреки това по-голямата част от държавите разглеждат заявлението за регистрация на търговската марка </w:t>
      </w:r>
      <w:r w:rsidR="00954E90">
        <w:t>и</w:t>
      </w:r>
      <w:r w:rsidR="00A66D56">
        <w:t xml:space="preserve"> като предоставящо определени права. В повечето случаи, след като бъде регистрирана, търговската марка се счита за валидна от датата на подаване на заявлението за регистрация (система за ретроспективна защита чрез регистрация). Датата на подаване на заявлението също определя приоритет в системата на международните търговски марки. На последно място в някои страни заявката за регистрация на търговска марка може да бъде предмет на временна регистрация, докато в други страни т</w:t>
      </w:r>
      <w:r w:rsidR="00097C00">
        <w:t>я</w:t>
      </w:r>
      <w:r w:rsidR="00A66D56">
        <w:t xml:space="preserve"> може да бъде предмет на прехвърляне на права, прехвърляне на </w:t>
      </w:r>
      <w:r w:rsidR="000452EC">
        <w:t xml:space="preserve">гаранция </w:t>
      </w:r>
      <w:r w:rsidR="00A66D56">
        <w:t xml:space="preserve">или лиценз и (при условие че търговската марка впоследствие е регистрирана) </w:t>
      </w:r>
      <w:r w:rsidR="00097C00">
        <w:t xml:space="preserve">да </w:t>
      </w:r>
      <w:r w:rsidR="000452EC">
        <w:t>породи</w:t>
      </w:r>
      <w:r w:rsidR="00A66D56">
        <w:t xml:space="preserve"> право на обезщетение в случай на неправомерно използване от трети страни.</w:t>
      </w:r>
    </w:p>
    <w:p w14:paraId="2629C8C0" w14:textId="6F1C98CE" w:rsidR="00A66D56" w:rsidRPr="00DC1F02" w:rsidRDefault="00C470EC" w:rsidP="00A66D56">
      <w:pPr>
        <w:pStyle w:val="JuParaChar"/>
        <w:rPr>
          <w:noProof/>
        </w:rPr>
      </w:pPr>
      <w:fldSimple w:instr=" SEQ level0 \*arabic ">
        <w:r w:rsidR="00CF6F43">
          <w:rPr>
            <w:noProof/>
          </w:rPr>
          <w:t>40</w:t>
        </w:r>
      </w:fldSimple>
      <w:r w:rsidR="00A66D56">
        <w:t xml:space="preserve">.  В повечето страни регистрацията се предхожда от публикуване на известие за заявлението и процедура, при която заинтересованите страни могат да се противопоставят на регистрацията в състезателно </w:t>
      </w:r>
      <w:r w:rsidR="00A66D56">
        <w:lastRenderedPageBreak/>
        <w:t xml:space="preserve">производство. Въпреки това в някои страни, регистрацията се извършва автоматично, ако компетентният орган е удовлетворен, че </w:t>
      </w:r>
      <w:r w:rsidR="00EF1A77">
        <w:t>з</w:t>
      </w:r>
      <w:r w:rsidR="00A66D56">
        <w:t xml:space="preserve">аявлението отговаря на формалните и материалните изисквания. И в двата случая, в съответствие с приложимите международни правила, искането за отмяна на дадена търговска марка или обявяването </w:t>
      </w:r>
      <w:r w:rsidR="00EF1A77">
        <w:t>ѝ</w:t>
      </w:r>
      <w:r w:rsidR="00A66D56">
        <w:t xml:space="preserve"> за невалидна може да бъде подадено в рамките на определен </w:t>
      </w:r>
      <w:r w:rsidR="00EF1A77">
        <w:t>срок</w:t>
      </w:r>
      <w:r w:rsidR="00A66D56">
        <w:t xml:space="preserve">. Тези действия могат да се базират на основания като например валидно </w:t>
      </w:r>
      <w:r w:rsidR="008B16AF">
        <w:t xml:space="preserve">предходно </w:t>
      </w:r>
      <w:r w:rsidR="00A66D56">
        <w:t>право</w:t>
      </w:r>
      <w:r w:rsidR="008B16AF">
        <w:t>,</w:t>
      </w:r>
      <w:r w:rsidR="00A66D56">
        <w:t xml:space="preserve"> </w:t>
      </w:r>
      <w:r w:rsidR="008B16AF">
        <w:t xml:space="preserve">предходно </w:t>
      </w:r>
      <w:r w:rsidR="00A66D56">
        <w:t>заявление, право на международен приоритет или невъзможност за използване на търговската марка за определен период.</w:t>
      </w:r>
    </w:p>
    <w:p w14:paraId="2C0722E0" w14:textId="39EFA3FE" w:rsidR="00A66D56" w:rsidRPr="00DC1F02" w:rsidRDefault="0057622F" w:rsidP="00A66D56">
      <w:pPr>
        <w:pStyle w:val="JuHA"/>
      </w:pPr>
      <w:r>
        <w:t xml:space="preserve">D. </w:t>
      </w:r>
      <w:r w:rsidR="008B16AF">
        <w:t xml:space="preserve">Вътрешно право </w:t>
      </w:r>
    </w:p>
    <w:p w14:paraId="28D1BCE6" w14:textId="1AD44797" w:rsidR="00A66D56" w:rsidRPr="00DC1F02" w:rsidRDefault="00C470EC" w:rsidP="00A66D56">
      <w:pPr>
        <w:pStyle w:val="JuPara"/>
      </w:pPr>
      <w:fldSimple w:instr=" SEQ level0 \*arabic ">
        <w:r w:rsidR="00CF6F43">
          <w:rPr>
            <w:noProof/>
          </w:rPr>
          <w:t>41</w:t>
        </w:r>
      </w:fldSimple>
      <w:r w:rsidR="00A66D56">
        <w:t>.  Материалното и процесуално</w:t>
      </w:r>
      <w:r w:rsidR="002E4A1A">
        <w:t>то</w:t>
      </w:r>
      <w:r w:rsidR="00A66D56">
        <w:t xml:space="preserve"> право за индустриалната собственост към момента на настъпване на фактите се съдържат в два последователни кодекса за индустриалната собственост, първият въведен със Законодателно </w:t>
      </w:r>
      <w:r w:rsidR="002E4A1A">
        <w:t>п</w:t>
      </w:r>
      <w:r w:rsidR="00A66D56">
        <w:t xml:space="preserve">остановление № 30679 от 24 август 1940 г., а вторият </w:t>
      </w:r>
      <w:r w:rsidR="002E4A1A">
        <w:t xml:space="preserve">– </w:t>
      </w:r>
      <w:r w:rsidR="00A66D56">
        <w:t>със Законодателн</w:t>
      </w:r>
      <w:r w:rsidR="002E4A1A">
        <w:t>о</w:t>
      </w:r>
      <w:r w:rsidR="00A66D56">
        <w:t xml:space="preserve"> </w:t>
      </w:r>
      <w:r w:rsidR="002E4A1A">
        <w:t>постановление</w:t>
      </w:r>
      <w:r w:rsidR="00A66D56">
        <w:t xml:space="preserve"> № 16/95 от 24 януари 1995 г. </w:t>
      </w:r>
      <w:r w:rsidR="002E4A1A">
        <w:t xml:space="preserve">Вторият </w:t>
      </w:r>
      <w:r w:rsidR="00A66D56">
        <w:t>е кодекс</w:t>
      </w:r>
      <w:r w:rsidR="000B5EA2">
        <w:t>ът</w:t>
      </w:r>
      <w:r w:rsidR="00A66D56">
        <w:t>, който прилагат националните съдилища в настоящия случай.</w:t>
      </w:r>
    </w:p>
    <w:p w14:paraId="11488F03" w14:textId="13864C6C" w:rsidR="00A66D56" w:rsidRPr="00DC1F02" w:rsidRDefault="00C470EC" w:rsidP="00A66D56">
      <w:pPr>
        <w:pStyle w:val="JuPara"/>
      </w:pPr>
      <w:fldSimple w:instr=" SEQ level0 \*arabic ">
        <w:r w:rsidR="00CF6F43">
          <w:rPr>
            <w:noProof/>
          </w:rPr>
          <w:t>42</w:t>
        </w:r>
      </w:fldSimple>
      <w:r w:rsidR="00A66D56">
        <w:t>.  Кодексът от 1995 г. предвижда право на приоритет, идентично с това, посочено в Парижката конвенция (</w:t>
      </w:r>
      <w:r w:rsidR="000B5EA2">
        <w:t>ч</w:t>
      </w:r>
      <w:r w:rsidR="00A66D56">
        <w:t xml:space="preserve">лен 170). Приоритетът се определя в зависимост от датата на подаване на </w:t>
      </w:r>
      <w:r w:rsidR="000B5EA2">
        <w:t>з</w:t>
      </w:r>
      <w:r w:rsidR="00A66D56">
        <w:t>аявлението за регистрация (</w:t>
      </w:r>
      <w:r w:rsidR="000B5EA2">
        <w:t>ч</w:t>
      </w:r>
      <w:r w:rsidR="00A66D56">
        <w:t>лен 11). По силата на член</w:t>
      </w:r>
      <w:r w:rsidR="000B5EA2">
        <w:t>ове</w:t>
      </w:r>
      <w:r w:rsidR="00A66D56">
        <w:t xml:space="preserve"> 29 и 30, заявлението за самата регистрация може да бъде предмет на прехвърляне на права</w:t>
      </w:r>
      <w:r w:rsidR="000B5EA2">
        <w:t>,</w:t>
      </w:r>
      <w:r w:rsidR="00A66D56">
        <w:t xml:space="preserve"> със или без компенсация, или лиценз.</w:t>
      </w:r>
    </w:p>
    <w:p w14:paraId="27A31632" w14:textId="3938AFEE" w:rsidR="005D4E23" w:rsidRPr="00DC1F02" w:rsidRDefault="00C470EC" w:rsidP="00467081">
      <w:pPr>
        <w:pStyle w:val="JuPara"/>
      </w:pPr>
      <w:fldSimple w:instr=" SEQ level0 \*arabic ">
        <w:r w:rsidR="00CF6F43">
          <w:rPr>
            <w:noProof/>
          </w:rPr>
          <w:t>43</w:t>
        </w:r>
      </w:fldSimple>
      <w:r w:rsidR="00467081">
        <w:t xml:space="preserve">.  Останалите разпоредби </w:t>
      </w:r>
      <w:r w:rsidR="000B5EA2">
        <w:t xml:space="preserve">от </w:t>
      </w:r>
      <w:r w:rsidR="00467081">
        <w:t xml:space="preserve">Кодекса, </w:t>
      </w:r>
      <w:r w:rsidR="000B5EA2">
        <w:t xml:space="preserve">приложими към </w:t>
      </w:r>
      <w:r w:rsidR="00467081">
        <w:t xml:space="preserve">настоящото дело, гласят </w:t>
      </w:r>
      <w:r w:rsidR="000B5EA2">
        <w:t>следното</w:t>
      </w:r>
      <w:r w:rsidR="00467081">
        <w:t>.</w:t>
      </w:r>
    </w:p>
    <w:p w14:paraId="3697472B" w14:textId="77777777" w:rsidR="00467081" w:rsidRPr="00DC1F02" w:rsidRDefault="00467081" w:rsidP="00467081">
      <w:pPr>
        <w:pStyle w:val="JuHArticle"/>
      </w:pPr>
      <w:r>
        <w:t>Член 7</w:t>
      </w:r>
    </w:p>
    <w:p w14:paraId="64920FA4" w14:textId="4EC1FD86" w:rsidR="00BD2F63" w:rsidRPr="00DC1F02" w:rsidRDefault="000B5EA2" w:rsidP="00467081">
      <w:pPr>
        <w:pStyle w:val="JuQuot"/>
      </w:pPr>
      <w:r>
        <w:t>„</w:t>
      </w:r>
      <w:r w:rsidR="00467081">
        <w:t>1.  Удостоверението за регистрация се издава на заинтересованото лице един месец след изтичане на срока за обжалване или - ако е подадена такава жалба - след като бъде постановено окончателно съдебно решение.</w:t>
      </w:r>
    </w:p>
    <w:p w14:paraId="526EEA4F" w14:textId="2C4166F2" w:rsidR="00467081" w:rsidRPr="00DC1F02" w:rsidRDefault="00467081" w:rsidP="00467081">
      <w:pPr>
        <w:pStyle w:val="JuQuot"/>
      </w:pPr>
      <w:r>
        <w:t>2.  </w:t>
      </w:r>
      <w:r w:rsidR="00860386">
        <w:t xml:space="preserve">Удостоверението </w:t>
      </w:r>
      <w:r>
        <w:t>се издава на притежателя или на неговия представител след представяне на квитанция.</w:t>
      </w:r>
      <w:r w:rsidR="00860386">
        <w:t>“</w:t>
      </w:r>
    </w:p>
    <w:p w14:paraId="041FA97A" w14:textId="77777777" w:rsidR="00467081" w:rsidRPr="00DC1F02" w:rsidRDefault="00467081" w:rsidP="00467081">
      <w:pPr>
        <w:pStyle w:val="JuHArticle"/>
      </w:pPr>
      <w:r>
        <w:t>Член 38</w:t>
      </w:r>
    </w:p>
    <w:p w14:paraId="4DB55974" w14:textId="6427FFA1" w:rsidR="00467081" w:rsidRPr="00DC1F02" w:rsidRDefault="00860386" w:rsidP="00467081">
      <w:pPr>
        <w:pStyle w:val="JuQuot"/>
      </w:pPr>
      <w:r>
        <w:t>„</w:t>
      </w:r>
      <w:r w:rsidR="00467081">
        <w:t>Жалба срещу решение на Националния институт за индустриална собственост може да бъде подадена от заявителя, от лицето, което е подало възражение</w:t>
      </w:r>
      <w:r>
        <w:t>,</w:t>
      </w:r>
      <w:r w:rsidR="00467081">
        <w:t xml:space="preserve"> или от всяко друго лице, което може да е пряко засегнато от решението.</w:t>
      </w:r>
      <w:r>
        <w:t>“</w:t>
      </w:r>
    </w:p>
    <w:p w14:paraId="41359075" w14:textId="77777777" w:rsidR="00467081" w:rsidRPr="00DC1F02" w:rsidRDefault="00467081" w:rsidP="00467081">
      <w:pPr>
        <w:pStyle w:val="JuHArticle"/>
      </w:pPr>
      <w:r>
        <w:t>Член 39</w:t>
      </w:r>
    </w:p>
    <w:p w14:paraId="3EF39FC3" w14:textId="71DBC8DD" w:rsidR="00467081" w:rsidRPr="00DC1F02" w:rsidRDefault="00860386" w:rsidP="00467081">
      <w:pPr>
        <w:pStyle w:val="JuQuot"/>
      </w:pPr>
      <w:r>
        <w:t>„</w:t>
      </w:r>
      <w:r w:rsidR="00467081">
        <w:t xml:space="preserve">Жалбите трябва да бъдат подадени в срок от три месеца </w:t>
      </w:r>
      <w:r>
        <w:t xml:space="preserve">от </w:t>
      </w:r>
      <w:r w:rsidR="00467081">
        <w:t xml:space="preserve">датата на публикуване на решението в </w:t>
      </w:r>
      <w:r>
        <w:t>б</w:t>
      </w:r>
      <w:r w:rsidR="00467081">
        <w:t xml:space="preserve">юлетина </w:t>
      </w:r>
      <w:r>
        <w:t>з</w:t>
      </w:r>
      <w:r w:rsidR="00467081">
        <w:t xml:space="preserve">а индустриална собственост (IPB) или </w:t>
      </w:r>
      <w:r w:rsidR="008365CA">
        <w:t>–</w:t>
      </w:r>
      <w:r w:rsidR="00467081">
        <w:t xml:space="preserve"> ако тази дата е по-ранна </w:t>
      </w:r>
      <w:r w:rsidR="008365CA">
        <w:t>–</w:t>
      </w:r>
      <w:r w:rsidR="00467081">
        <w:t xml:space="preserve"> </w:t>
      </w:r>
      <w:r w:rsidR="008365CA">
        <w:t xml:space="preserve">от </w:t>
      </w:r>
      <w:r w:rsidR="00467081">
        <w:t>датата на получаване на заверено копие от решението.</w:t>
      </w:r>
      <w:r w:rsidR="008365CA">
        <w:t>“</w:t>
      </w:r>
    </w:p>
    <w:p w14:paraId="2344CBB7" w14:textId="77777777" w:rsidR="00467081" w:rsidRPr="00DC1F02" w:rsidRDefault="00467081" w:rsidP="00467081">
      <w:pPr>
        <w:pStyle w:val="JuHArticle"/>
      </w:pPr>
      <w:r>
        <w:lastRenderedPageBreak/>
        <w:t>Член 189</w:t>
      </w:r>
    </w:p>
    <w:p w14:paraId="2147F716" w14:textId="2CE36038" w:rsidR="00C40584" w:rsidRPr="00DC1F02" w:rsidRDefault="008365CA" w:rsidP="00467081">
      <w:pPr>
        <w:pStyle w:val="JuQuot"/>
      </w:pPr>
      <w:r>
        <w:t>„</w:t>
      </w:r>
      <w:r w:rsidR="00467081">
        <w:t xml:space="preserve">1.  Регистрация </w:t>
      </w:r>
      <w:r>
        <w:t>се</w:t>
      </w:r>
      <w:r w:rsidR="00467081">
        <w:t xml:space="preserve"> отказ</w:t>
      </w:r>
      <w:r>
        <w:t>ва</w:t>
      </w:r>
      <w:r w:rsidR="00467081">
        <w:t xml:space="preserve"> също </w:t>
      </w:r>
      <w:r>
        <w:t>н</w:t>
      </w:r>
      <w:r w:rsidR="00467081">
        <w:t xml:space="preserve">а търговска марка, ... </w:t>
      </w:r>
      <w:r>
        <w:t xml:space="preserve">която </w:t>
      </w:r>
      <w:r w:rsidR="00467081">
        <w:t>съдържа един или повече от изброените компоненти:</w:t>
      </w:r>
    </w:p>
    <w:p w14:paraId="60DEC508" w14:textId="77777777" w:rsidR="00467081" w:rsidRPr="00DC1F02" w:rsidRDefault="00E71F84" w:rsidP="00467081">
      <w:pPr>
        <w:pStyle w:val="JuQuot"/>
      </w:pPr>
      <w:r>
        <w:t>...</w:t>
      </w:r>
    </w:p>
    <w:p w14:paraId="5D39AD07" w14:textId="29EF059C" w:rsidR="00467081" w:rsidRPr="00DC1F02" w:rsidRDefault="00467081" w:rsidP="00467081">
      <w:pPr>
        <w:pStyle w:val="JuQuot"/>
      </w:pPr>
      <w:r>
        <w:t>j) изражения или форми, които са в противоречие с морала, националното законодателство или законодателството на Общността</w:t>
      </w:r>
      <w:r w:rsidR="002D494F">
        <w:t>,</w:t>
      </w:r>
      <w:r>
        <w:t xml:space="preserve"> или </w:t>
      </w:r>
      <w:r w:rsidR="002D494F">
        <w:t>с</w:t>
      </w:r>
      <w:r>
        <w:t xml:space="preserve"> обществения ред;</w:t>
      </w:r>
    </w:p>
    <w:p w14:paraId="08AFDFAE" w14:textId="71B546A3" w:rsidR="00467081" w:rsidRPr="00DC1F02" w:rsidRDefault="00467081" w:rsidP="00467081">
      <w:pPr>
        <w:pStyle w:val="JuQuot"/>
      </w:pPr>
      <w:r>
        <w:t>(l) знаци, които могат да доведат потребителите до заблуждение, по-специално по отношение на естеството, качеството, използването или географския източник на продукта или услугата, за ко</w:t>
      </w:r>
      <w:r w:rsidR="002D494F">
        <w:t>и</w:t>
      </w:r>
      <w:r>
        <w:t xml:space="preserve">то </w:t>
      </w:r>
      <w:r w:rsidR="002D494F">
        <w:t xml:space="preserve">се отнася </w:t>
      </w:r>
      <w:r>
        <w:t>търговската марка;</w:t>
      </w:r>
    </w:p>
    <w:p w14:paraId="5E24CC88" w14:textId="5263C803" w:rsidR="00467081" w:rsidRPr="00DC1F02" w:rsidRDefault="00E71F84" w:rsidP="00467081">
      <w:pPr>
        <w:pStyle w:val="JuQuot"/>
      </w:pPr>
      <w:r>
        <w:t>...</w:t>
      </w:r>
      <w:r w:rsidR="002D494F">
        <w:t>“</w:t>
      </w:r>
    </w:p>
    <w:p w14:paraId="44C771B2" w14:textId="4FEED131" w:rsidR="00A66D56" w:rsidRPr="00DC1F02" w:rsidRDefault="00A67EBC" w:rsidP="00A66D56">
      <w:pPr>
        <w:pStyle w:val="JuPara"/>
      </w:pPr>
      <w:r w:rsidRPr="00DC1F02">
        <w:rPr>
          <w:noProof/>
        </w:rPr>
        <w:fldChar w:fldCharType="begin"/>
      </w:r>
      <w:r w:rsidRPr="00DC1F02">
        <w:rPr>
          <w:noProof/>
        </w:rPr>
        <w:instrText xml:space="preserve"> SEQ level0 \*arabic </w:instrText>
      </w:r>
      <w:r w:rsidRPr="00DC1F02">
        <w:rPr>
          <w:noProof/>
        </w:rPr>
        <w:fldChar w:fldCharType="separate"/>
      </w:r>
      <w:r w:rsidR="00CF6F43">
        <w:rPr>
          <w:noProof/>
        </w:rPr>
        <w:t>44</w:t>
      </w:r>
      <w:r w:rsidRPr="00DC1F02">
        <w:rPr>
          <w:noProof/>
        </w:rPr>
        <w:fldChar w:fldCharType="end"/>
      </w:r>
      <w:r>
        <w:t xml:space="preserve">.  Жалби срещу решение на NIIP за регистрация на търговски марки се подават в </w:t>
      </w:r>
      <w:r w:rsidR="002D494F">
        <w:t xml:space="preserve">Гражданския </w:t>
      </w:r>
      <w:r>
        <w:t>съд на Лисабон (</w:t>
      </w:r>
      <w:r w:rsidR="002D494F">
        <w:t>ч</w:t>
      </w:r>
      <w:r>
        <w:t>лен 2 от Законодателн</w:t>
      </w:r>
      <w:r w:rsidR="002D494F">
        <w:t>о</w:t>
      </w:r>
      <w:r>
        <w:t xml:space="preserve"> </w:t>
      </w:r>
      <w:r w:rsidR="002D494F">
        <w:t>постановление</w:t>
      </w:r>
      <w:r>
        <w:t xml:space="preserve"> № 16/95). </w:t>
      </w:r>
      <w:r w:rsidR="007003F5">
        <w:t>В к</w:t>
      </w:r>
      <w:r>
        <w:t>одекс</w:t>
      </w:r>
      <w:r w:rsidR="007003F5">
        <w:t>а</w:t>
      </w:r>
      <w:r>
        <w:t xml:space="preserve"> не </w:t>
      </w:r>
      <w:r w:rsidR="007003F5">
        <w:t xml:space="preserve">се </w:t>
      </w:r>
      <w:r>
        <w:t xml:space="preserve">посочва дали </w:t>
      </w:r>
      <w:r w:rsidR="007003F5">
        <w:t xml:space="preserve">имат </w:t>
      </w:r>
      <w:r w:rsidR="001300AD">
        <w:t>суспензивен ефект</w:t>
      </w:r>
      <w:r>
        <w:t>.</w:t>
      </w:r>
    </w:p>
    <w:p w14:paraId="32618FE8" w14:textId="7D0313BF" w:rsidR="00A66D56" w:rsidRPr="00DC1F02" w:rsidRDefault="00C470EC" w:rsidP="00A66D56">
      <w:pPr>
        <w:pStyle w:val="JuPara"/>
        <w:rPr>
          <w:noProof/>
        </w:rPr>
      </w:pPr>
      <w:fldSimple w:instr=" SEQ level0 \*arabic ">
        <w:r w:rsidR="00CF6F43">
          <w:rPr>
            <w:noProof/>
          </w:rPr>
          <w:t>45</w:t>
        </w:r>
      </w:fldSimple>
      <w:r w:rsidR="00A66D56">
        <w:t>.  С решение от 10 май 2001 г. (Colectânea де Jurisprudência [колекция Съдебна практика], 2001 г., том III, стр. 85) Лисабонският апелативен съд прие</w:t>
      </w:r>
      <w:r w:rsidR="00D673A9">
        <w:t>ма</w:t>
      </w:r>
      <w:r w:rsidR="00A66D56">
        <w:t xml:space="preserve">, че самото подаване на заявление за регистрация предоставя на заявителя </w:t>
      </w:r>
      <w:r w:rsidR="00D673A9">
        <w:t>„</w:t>
      </w:r>
      <w:r w:rsidR="00A66D56">
        <w:t>правно очакване</w:t>
      </w:r>
      <w:r w:rsidR="00D673A9">
        <w:t>“ (</w:t>
      </w:r>
      <w:r w:rsidR="00A66D56">
        <w:rPr>
          <w:i/>
          <w:noProof/>
        </w:rPr>
        <w:t>expectativa jurídica</w:t>
      </w:r>
      <w:r w:rsidR="00D673A9">
        <w:t>)</w:t>
      </w:r>
      <w:r w:rsidR="00A66D56">
        <w:t xml:space="preserve">, което оправдава правната му защита. Член 5 от новия Кодекс за индустриалната собственост, който е приет със Законодателно постановление № 36/2003 от 5 март 2003 г. и влиза в сила на 1 юли 2003 г., предвижда </w:t>
      </w:r>
      <w:r w:rsidR="00D11152">
        <w:t>„</w:t>
      </w:r>
      <w:r w:rsidR="00A66D56">
        <w:t>временна защита</w:t>
      </w:r>
      <w:r w:rsidR="00D11152">
        <w:t>“</w:t>
      </w:r>
      <w:r w:rsidR="00A66D56">
        <w:t xml:space="preserve"> на търговската марка, дори преди нейната регистрация и дава право на заявителя да предяви иск за вреди въз основа на това.</w:t>
      </w:r>
    </w:p>
    <w:p w14:paraId="63DA93BE" w14:textId="77777777" w:rsidR="00A66D56" w:rsidRPr="00DC1F02" w:rsidRDefault="00A66D56" w:rsidP="00A66D56">
      <w:pPr>
        <w:pStyle w:val="JuHHead"/>
      </w:pPr>
      <w:r>
        <w:t>ПРАВОТО</w:t>
      </w:r>
    </w:p>
    <w:p w14:paraId="5362BF68" w14:textId="40A35CB9" w:rsidR="00627C6A" w:rsidRDefault="00A66D56" w:rsidP="00A66D56">
      <w:pPr>
        <w:pStyle w:val="JuHIRoman"/>
        <w:tabs>
          <w:tab w:val="clear" w:pos="357"/>
          <w:tab w:val="left" w:pos="284"/>
        </w:tabs>
        <w:ind w:left="284" w:hanging="284"/>
        <w:rPr>
          <w:noProof/>
        </w:rPr>
      </w:pPr>
      <w:r>
        <w:t>ТВЪРДЯ</w:t>
      </w:r>
      <w:r w:rsidR="00D11152">
        <w:t>НО</w:t>
      </w:r>
      <w:r>
        <w:t xml:space="preserve"> НАРУШЕНИЕ НА ЧЛЕН 1 ОТ ПРОТОКОЛ № 1</w:t>
      </w:r>
    </w:p>
    <w:p w14:paraId="0E55DB64" w14:textId="26A1C23B" w:rsidR="00A66D56" w:rsidRPr="00DC1F02" w:rsidRDefault="00C470EC" w:rsidP="00A66D56">
      <w:pPr>
        <w:pStyle w:val="JuPara"/>
        <w:rPr>
          <w:noProof/>
        </w:rPr>
      </w:pPr>
      <w:fldSimple w:instr=" SEQ level0 \*arabic ">
        <w:r w:rsidR="00CF6F43">
          <w:rPr>
            <w:noProof/>
          </w:rPr>
          <w:t>46</w:t>
        </w:r>
      </w:fldSimple>
      <w:r w:rsidR="00A66D56">
        <w:t>.  </w:t>
      </w:r>
      <w:r w:rsidR="00D11152">
        <w:t xml:space="preserve">Дружеството </w:t>
      </w:r>
      <w:r w:rsidR="00A66D56">
        <w:t xml:space="preserve">жалбоподател се оплаква от нарушение на правото </w:t>
      </w:r>
      <w:r w:rsidR="00CD5F5C">
        <w:t>му н</w:t>
      </w:r>
      <w:r w:rsidR="00A66D56">
        <w:t xml:space="preserve">а мирно ползване на притежанията </w:t>
      </w:r>
      <w:r w:rsidR="00CD5F5C">
        <w:t>му</w:t>
      </w:r>
      <w:r w:rsidR="00A66D56">
        <w:t xml:space="preserve">. </w:t>
      </w:r>
      <w:r w:rsidR="00CD5F5C">
        <w:t>Като о</w:t>
      </w:r>
      <w:r w:rsidR="00A66D56">
        <w:t xml:space="preserve">тбелязва, че търговската марка представлява </w:t>
      </w:r>
      <w:r w:rsidR="00CD5F5C">
        <w:t>„</w:t>
      </w:r>
      <w:r w:rsidR="00A66D56">
        <w:t>притежание</w:t>
      </w:r>
      <w:r w:rsidR="00CD5F5C">
        <w:t>“</w:t>
      </w:r>
      <w:r w:rsidR="00A66D56">
        <w:t xml:space="preserve"> по смисъла на </w:t>
      </w:r>
      <w:r w:rsidR="00CD5F5C">
        <w:t>ч</w:t>
      </w:r>
      <w:r w:rsidR="00A66D56">
        <w:t xml:space="preserve">лен 1 от Протокол № 1, </w:t>
      </w:r>
      <w:r w:rsidR="00CD5F5C">
        <w:t xml:space="preserve">дружеството </w:t>
      </w:r>
      <w:r w:rsidR="00A66D56">
        <w:t>жалбоподател заявява, че е бил</w:t>
      </w:r>
      <w:r w:rsidR="00CD5F5C">
        <w:t>о</w:t>
      </w:r>
      <w:r w:rsidR="00A66D56">
        <w:t xml:space="preserve"> лишен</w:t>
      </w:r>
      <w:r w:rsidR="00CD5F5C">
        <w:t>о</w:t>
      </w:r>
      <w:r w:rsidR="00A66D56">
        <w:t xml:space="preserve"> от това </w:t>
      </w:r>
      <w:r w:rsidR="00CD5F5C">
        <w:t xml:space="preserve">притежание </w:t>
      </w:r>
      <w:r w:rsidR="00A66D56">
        <w:t>чрез прилагането на двустранно с</w:t>
      </w:r>
      <w:r w:rsidR="00CD5F5C">
        <w:t>поразумение</w:t>
      </w:r>
      <w:r w:rsidR="00A66D56">
        <w:t>, което влиза в сила, след като т</w:t>
      </w:r>
      <w:r w:rsidR="00CD5F5C">
        <w:t>о</w:t>
      </w:r>
      <w:r w:rsidR="00A66D56">
        <w:t xml:space="preserve"> е подал</w:t>
      </w:r>
      <w:r w:rsidR="00CD5F5C">
        <w:t>о</w:t>
      </w:r>
      <w:r w:rsidR="00A66D56">
        <w:t xml:space="preserve"> своето заявление за регистрация на търговската марка. Т</w:t>
      </w:r>
      <w:r w:rsidR="0060168E">
        <w:t>о</w:t>
      </w:r>
      <w:r w:rsidR="00A66D56">
        <w:t xml:space="preserve"> твърди, че решението на Върховния съд </w:t>
      </w:r>
      <w:r w:rsidR="0060168E">
        <w:t xml:space="preserve">трябва </w:t>
      </w:r>
      <w:r w:rsidR="00A66D56">
        <w:t xml:space="preserve">да се разглежда като отчуждаване (тъй като възпрепятства </w:t>
      </w:r>
      <w:r w:rsidR="00471E5E">
        <w:t xml:space="preserve">дружеството </w:t>
      </w:r>
      <w:r w:rsidR="00A66D56">
        <w:t>жалбоподател да ползва защита на своето право върху интелектуалната собственост), а не е осъществено в името на общия интерес. Член 1 от Протокол №1 гласи след</w:t>
      </w:r>
      <w:r w:rsidR="004505A5">
        <w:t>ното</w:t>
      </w:r>
      <w:r w:rsidR="00A66D56">
        <w:t>:</w:t>
      </w:r>
    </w:p>
    <w:p w14:paraId="0ECE404E" w14:textId="07BA517A" w:rsidR="00A66D56" w:rsidRPr="00DC1F02" w:rsidRDefault="004505A5" w:rsidP="00A66D56">
      <w:pPr>
        <w:pStyle w:val="JuQuot"/>
      </w:pPr>
      <w:r>
        <w:lastRenderedPageBreak/>
        <w:t>„</w:t>
      </w:r>
      <w:r w:rsidR="00A66D56">
        <w:t>Всяко физическо или юридическо лице има право мирно да се ползва от своите притежания. Никой не може да бъде лиш</w:t>
      </w:r>
      <w:r>
        <w:t>е</w:t>
      </w:r>
      <w:r w:rsidR="00A66D56">
        <w:t xml:space="preserve">н от своите притежания освен в интерес на обществото и съгласно условията, предвидени в закона и </w:t>
      </w:r>
      <w:r>
        <w:t>в</w:t>
      </w:r>
      <w:r w:rsidR="00A66D56">
        <w:t xml:space="preserve"> общите принципи на международното право.</w:t>
      </w:r>
    </w:p>
    <w:p w14:paraId="1985B3ED" w14:textId="11D46AE6" w:rsidR="00A66D56" w:rsidRPr="00DC1F02" w:rsidRDefault="00A66D56" w:rsidP="00A66D56">
      <w:pPr>
        <w:pStyle w:val="JuQuot"/>
      </w:pPr>
      <w:r>
        <w:t xml:space="preserve">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w:t>
      </w:r>
      <w:r w:rsidR="00917FCF">
        <w:t xml:space="preserve">на </w:t>
      </w:r>
      <w:r>
        <w:t>плащането на данъци или други постъпления или глоби.</w:t>
      </w:r>
      <w:r w:rsidR="004505A5">
        <w:t>“</w:t>
      </w:r>
    </w:p>
    <w:p w14:paraId="3954386E" w14:textId="1D15A82A" w:rsidR="009A77FC" w:rsidRPr="00DC1F02" w:rsidRDefault="00A66D56" w:rsidP="00A66D56">
      <w:pPr>
        <w:pStyle w:val="JuHA"/>
        <w:rPr>
          <w:noProof/>
        </w:rPr>
      </w:pPr>
      <w:r>
        <w:t xml:space="preserve">A.  Решението на </w:t>
      </w:r>
      <w:r w:rsidR="00917FCF">
        <w:t>състава</w:t>
      </w:r>
    </w:p>
    <w:p w14:paraId="6F05A9AD" w14:textId="69A0ED93" w:rsidR="00FA2109" w:rsidRPr="00DC1F02" w:rsidRDefault="00C470EC" w:rsidP="009A77FC">
      <w:pPr>
        <w:pStyle w:val="JuPara"/>
      </w:pPr>
      <w:fldSimple w:instr=" SEQ level0 \*arabic ">
        <w:r w:rsidR="00CF6F43">
          <w:rPr>
            <w:noProof/>
          </w:rPr>
          <w:t>47</w:t>
        </w:r>
      </w:fldSimple>
      <w:r w:rsidR="009A77FC">
        <w:t>.  </w:t>
      </w:r>
      <w:r w:rsidR="00917FCF">
        <w:t xml:space="preserve">Съставът </w:t>
      </w:r>
      <w:r w:rsidR="009A77FC">
        <w:t xml:space="preserve">приема, че не е имало нарушение на </w:t>
      </w:r>
      <w:r w:rsidR="00917FCF">
        <w:t>ч</w:t>
      </w:r>
      <w:r w:rsidR="009A77FC">
        <w:t xml:space="preserve">лен 1 от Протокол № 1. </w:t>
      </w:r>
      <w:r w:rsidR="00917FCF">
        <w:t>В началото на решението си той</w:t>
      </w:r>
      <w:r w:rsidR="009A77FC">
        <w:t xml:space="preserve"> отбелязва, че </w:t>
      </w:r>
      <w:r w:rsidR="00917FCF">
        <w:t xml:space="preserve">макар че </w:t>
      </w:r>
      <w:r w:rsidR="009A77FC">
        <w:t xml:space="preserve">интелектуалната собственост като такава безспорно се ползва от защитата на тази разпоредба, възниква </w:t>
      </w:r>
      <w:r w:rsidR="00B072D8">
        <w:t>въпрос</w:t>
      </w:r>
      <w:r w:rsidR="009A77FC">
        <w:t xml:space="preserve"> дали самата заявка за регистрация на търговска марка също е обхваната от </w:t>
      </w:r>
      <w:r w:rsidR="00B072D8">
        <w:t>ч</w:t>
      </w:r>
      <w:r w:rsidR="009A77FC">
        <w:t xml:space="preserve">лен 1 </w:t>
      </w:r>
      <w:r w:rsidR="00B072D8">
        <w:t>от</w:t>
      </w:r>
      <w:r w:rsidR="009A77FC">
        <w:t xml:space="preserve"> Протокол № 1. В тази връзка се признава, че правното положение на даден кандидат за регистрация на търговска марка безспорно води до финансови интереси, включително правото на предимство пр</w:t>
      </w:r>
      <w:r w:rsidR="00B072D8">
        <w:t>ед</w:t>
      </w:r>
      <w:r w:rsidR="009A77FC">
        <w:t xml:space="preserve"> следващи заявки за регистрация. Заявлението за регистрация представлява имуществен интерес, който се ползва с </w:t>
      </w:r>
      <w:r w:rsidR="00EA2C6C">
        <w:t xml:space="preserve">известна степен на </w:t>
      </w:r>
      <w:r w:rsidR="009A77FC">
        <w:t>правна защита (вж</w:t>
      </w:r>
      <w:r w:rsidR="00EA2C6C">
        <w:t>.</w:t>
      </w:r>
      <w:r w:rsidR="009A77FC">
        <w:t xml:space="preserve"> параграфи 43 и 45-48 от </w:t>
      </w:r>
      <w:r w:rsidR="00EA2C6C">
        <w:t>р</w:t>
      </w:r>
      <w:r w:rsidR="009A77FC">
        <w:t xml:space="preserve">ешението на </w:t>
      </w:r>
      <w:r w:rsidR="00EA2C6C">
        <w:t>състава</w:t>
      </w:r>
      <w:r w:rsidR="009A77FC">
        <w:t>).</w:t>
      </w:r>
    </w:p>
    <w:p w14:paraId="474B4A42" w14:textId="0EAF6378" w:rsidR="003524A3" w:rsidRPr="00DC1F02" w:rsidRDefault="00C470EC" w:rsidP="009A77FC">
      <w:pPr>
        <w:pStyle w:val="JuPara"/>
      </w:pPr>
      <w:fldSimple w:instr=" SEQ level0 \*arabic ">
        <w:r w:rsidR="00CF6F43">
          <w:rPr>
            <w:noProof/>
          </w:rPr>
          <w:t>48</w:t>
        </w:r>
      </w:fldSimple>
      <w:r w:rsidR="009A77FC">
        <w:t>.  </w:t>
      </w:r>
      <w:r w:rsidR="00EA2C6C">
        <w:t>Съставът обаче</w:t>
      </w:r>
      <w:r w:rsidR="009A77FC">
        <w:t xml:space="preserve"> отново подчертава, че </w:t>
      </w:r>
      <w:r w:rsidR="00EA2C6C">
        <w:t>ч</w:t>
      </w:r>
      <w:r w:rsidR="009A77FC">
        <w:t>лен 1 от Протокол № 1 се прилага само за съществуващите притежания на даден</w:t>
      </w:r>
      <w:r w:rsidR="00EA2C6C">
        <w:t>о</w:t>
      </w:r>
      <w:r w:rsidR="009A77FC">
        <w:t xml:space="preserve"> </w:t>
      </w:r>
      <w:r w:rsidR="00EA2C6C">
        <w:t>лице</w:t>
      </w:r>
      <w:r w:rsidR="009A77FC">
        <w:t xml:space="preserve">. Така например надеждата, че едно отдавна </w:t>
      </w:r>
      <w:r w:rsidR="00EA2C6C">
        <w:t>погасено</w:t>
      </w:r>
      <w:r w:rsidR="009A77FC">
        <w:t xml:space="preserve"> право на собственост може да бъде възродено, не може да се разглежда като </w:t>
      </w:r>
      <w:r w:rsidR="00680C88">
        <w:t>„</w:t>
      </w:r>
      <w:r w:rsidR="009A77FC">
        <w:t>притежание</w:t>
      </w:r>
      <w:r w:rsidR="00680C88">
        <w:t>“ като</w:t>
      </w:r>
      <w:r w:rsidR="009A77FC">
        <w:t xml:space="preserve"> същото </w:t>
      </w:r>
      <w:r w:rsidR="00680C88">
        <w:t>важи</w:t>
      </w:r>
      <w:r w:rsidR="009A77FC">
        <w:t xml:space="preserve"> за услов</w:t>
      </w:r>
      <w:r w:rsidR="00680C88">
        <w:t>е</w:t>
      </w:r>
      <w:r w:rsidR="009A77FC">
        <w:t>н иск, който е изтекъл в резултат на неизпълнение на условието (вж</w:t>
      </w:r>
      <w:r w:rsidR="009E6C3D">
        <w:t>.</w:t>
      </w:r>
      <w:r w:rsidR="009A77FC">
        <w:t xml:space="preserve"> параграф 49 от решението на </w:t>
      </w:r>
      <w:r w:rsidR="009E6C3D">
        <w:t>състава</w:t>
      </w:r>
      <w:r w:rsidR="009A77FC">
        <w:t>).</w:t>
      </w:r>
    </w:p>
    <w:p w14:paraId="2E6C9BEC" w14:textId="738D9501" w:rsidR="0040325A" w:rsidRPr="00DC1F02" w:rsidRDefault="00C470EC" w:rsidP="009A77FC">
      <w:pPr>
        <w:pStyle w:val="JuPara"/>
      </w:pPr>
      <w:fldSimple w:instr=" SEQ level0 \*arabic ">
        <w:r w:rsidR="00CF6F43">
          <w:rPr>
            <w:noProof/>
          </w:rPr>
          <w:t>49</w:t>
        </w:r>
      </w:fldSimple>
      <w:r w:rsidR="009A77FC">
        <w:t xml:space="preserve">.  Що се отнася до конкретния случай, </w:t>
      </w:r>
      <w:r w:rsidR="009E6C3D">
        <w:t>съставът</w:t>
      </w:r>
      <w:r w:rsidR="009A77FC">
        <w:t xml:space="preserve"> отбелязва, че </w:t>
      </w:r>
      <w:r w:rsidR="009E6C3D">
        <w:t xml:space="preserve">дружеството </w:t>
      </w:r>
      <w:r w:rsidR="009A77FC">
        <w:t>жалбоподател не може да бъде сигурн</w:t>
      </w:r>
      <w:r w:rsidR="009E6C3D">
        <w:t>о</w:t>
      </w:r>
      <w:r w:rsidR="009A77FC">
        <w:t xml:space="preserve">, че е собственик на въпросната търговска марка до окончателната </w:t>
      </w:r>
      <w:r w:rsidR="009E6C3D">
        <w:t>ѝ</w:t>
      </w:r>
      <w:r w:rsidR="009A77FC">
        <w:t xml:space="preserve"> регистрация и дори тогава, само при условие че трета страна не е направила възражение, както позволява приложимото законодателство. С други думи </w:t>
      </w:r>
      <w:r w:rsidR="00F67AE0">
        <w:t xml:space="preserve">дружеството </w:t>
      </w:r>
      <w:r w:rsidR="009A77FC">
        <w:t xml:space="preserve">жалбоподател има условно право, което обаче е </w:t>
      </w:r>
      <w:r w:rsidR="00F67AE0">
        <w:t>погасено</w:t>
      </w:r>
      <w:r w:rsidR="009A77FC">
        <w:t xml:space="preserve"> със задна дата </w:t>
      </w:r>
      <w:r w:rsidR="00F67AE0">
        <w:t>поради</w:t>
      </w:r>
      <w:r w:rsidR="009A77FC">
        <w:t xml:space="preserve"> неудовлетворяване на условието, а именно, че не наруша</w:t>
      </w:r>
      <w:r w:rsidR="00F67AE0">
        <w:t>ва</w:t>
      </w:r>
      <w:r w:rsidR="009A77FC">
        <w:t xml:space="preserve"> правата на трети лица. Ето защо </w:t>
      </w:r>
      <w:r w:rsidR="00F67AE0">
        <w:t>съставът</w:t>
      </w:r>
      <w:r w:rsidR="009A77FC">
        <w:t xml:space="preserve"> заключава, че макар и да е ясно, че една търговска марка </w:t>
      </w:r>
      <w:r w:rsidR="00B25B6D">
        <w:t>представлява</w:t>
      </w:r>
      <w:r w:rsidR="009A77FC">
        <w:t xml:space="preserve"> </w:t>
      </w:r>
      <w:r w:rsidR="00B25B6D">
        <w:t>„</w:t>
      </w:r>
      <w:r w:rsidR="009A77FC">
        <w:t>притежани</w:t>
      </w:r>
      <w:r w:rsidR="00B25B6D">
        <w:t>е“</w:t>
      </w:r>
      <w:r w:rsidR="009A77FC">
        <w:t xml:space="preserve"> по смисъла на </w:t>
      </w:r>
      <w:r w:rsidR="00B25B6D">
        <w:t>ч</w:t>
      </w:r>
      <w:r w:rsidR="009A77FC">
        <w:t xml:space="preserve">лен 1 от Протокол № 1, това е така едва след окончателната регистрация на търговската марка в съответствие с правилата, които са в сила за съответната държава. Преди такава регистрация </w:t>
      </w:r>
      <w:r w:rsidR="00B25B6D">
        <w:t>заявителят</w:t>
      </w:r>
      <w:r w:rsidR="009A77FC">
        <w:t xml:space="preserve"> има надеждата да придобие так</w:t>
      </w:r>
      <w:r w:rsidR="002E6FF0">
        <w:t>о</w:t>
      </w:r>
      <w:r w:rsidR="009A77FC">
        <w:t xml:space="preserve">ва </w:t>
      </w:r>
      <w:r w:rsidR="002E6FF0">
        <w:t>„</w:t>
      </w:r>
      <w:r w:rsidR="009A77FC">
        <w:t>притежани</w:t>
      </w:r>
      <w:r w:rsidR="002E6FF0">
        <w:t>е“</w:t>
      </w:r>
      <w:r w:rsidR="009A77FC">
        <w:t xml:space="preserve">, но не и </w:t>
      </w:r>
      <w:r w:rsidR="002E6FF0">
        <w:t xml:space="preserve">правно </w:t>
      </w:r>
      <w:r w:rsidR="009A77FC">
        <w:t>защитен</w:t>
      </w:r>
      <w:r w:rsidR="002E6FF0">
        <w:t>о</w:t>
      </w:r>
      <w:r w:rsidR="009A77FC">
        <w:t xml:space="preserve"> легитимн</w:t>
      </w:r>
      <w:r w:rsidR="002E6FF0">
        <w:t>о</w:t>
      </w:r>
      <w:r w:rsidR="009A77FC">
        <w:t xml:space="preserve"> очакван</w:t>
      </w:r>
      <w:r w:rsidR="002E6FF0">
        <w:t>е</w:t>
      </w:r>
      <w:r w:rsidR="009A77FC">
        <w:t>. Съответно, когато двустранн</w:t>
      </w:r>
      <w:r w:rsidR="00E21618">
        <w:t>а</w:t>
      </w:r>
      <w:r w:rsidR="009A77FC">
        <w:t>т</w:t>
      </w:r>
      <w:r w:rsidR="00E21618">
        <w:t>а</w:t>
      </w:r>
      <w:r w:rsidR="009A77FC">
        <w:t xml:space="preserve"> спо</w:t>
      </w:r>
      <w:r w:rsidR="00E21618">
        <w:t>годба</w:t>
      </w:r>
      <w:r w:rsidR="009A77FC">
        <w:t xml:space="preserve"> влиза в сила на 7 март 1987 г., </w:t>
      </w:r>
      <w:r w:rsidR="00E21618">
        <w:t xml:space="preserve">дружеството </w:t>
      </w:r>
      <w:r w:rsidR="009A77FC">
        <w:t xml:space="preserve">жалбоподател </w:t>
      </w:r>
      <w:r w:rsidR="00E21618">
        <w:t>няма</w:t>
      </w:r>
      <w:r w:rsidR="009A77FC">
        <w:t xml:space="preserve"> </w:t>
      </w:r>
      <w:r w:rsidR="00E21618">
        <w:t>„</w:t>
      </w:r>
      <w:r w:rsidR="009A77FC">
        <w:t>притежани</w:t>
      </w:r>
      <w:r w:rsidR="00E21618">
        <w:t>е“</w:t>
      </w:r>
      <w:r w:rsidR="009A77FC">
        <w:t xml:space="preserve">. Начинът, по който </w:t>
      </w:r>
      <w:r w:rsidR="00E21618">
        <w:t xml:space="preserve">е била приложена от португалските </w:t>
      </w:r>
      <w:r w:rsidR="00E21618">
        <w:lastRenderedPageBreak/>
        <w:t xml:space="preserve">съдилища </w:t>
      </w:r>
      <w:r w:rsidR="009A77FC">
        <w:t>двустранн</w:t>
      </w:r>
      <w:r w:rsidR="00E21618">
        <w:t>а</w:t>
      </w:r>
      <w:r w:rsidR="009A77FC">
        <w:t>т</w:t>
      </w:r>
      <w:r w:rsidR="00E21618">
        <w:t>а</w:t>
      </w:r>
      <w:r w:rsidR="009A77FC">
        <w:t xml:space="preserve"> </w:t>
      </w:r>
      <w:r w:rsidR="00E21618">
        <w:t>спогодба</w:t>
      </w:r>
      <w:r w:rsidR="009A77FC">
        <w:t xml:space="preserve"> следователно не може да представлява намеса в право на </w:t>
      </w:r>
      <w:r w:rsidR="00E21618">
        <w:t xml:space="preserve">дружеството </w:t>
      </w:r>
      <w:r w:rsidR="009A77FC">
        <w:t>жалбоподател (вж</w:t>
      </w:r>
      <w:r w:rsidR="00E21618">
        <w:t>.</w:t>
      </w:r>
      <w:r w:rsidR="009A77FC">
        <w:t xml:space="preserve"> параграфи 50-52 от решението на </w:t>
      </w:r>
      <w:r w:rsidR="00E21618">
        <w:t>състава</w:t>
      </w:r>
      <w:r w:rsidR="009A77FC">
        <w:t>).</w:t>
      </w:r>
    </w:p>
    <w:p w14:paraId="17A66D53" w14:textId="199A2CD2" w:rsidR="00A66D56" w:rsidRPr="00DC1F02" w:rsidRDefault="00F350CF" w:rsidP="00A66D56">
      <w:pPr>
        <w:pStyle w:val="JuHA"/>
        <w:rPr>
          <w:noProof/>
        </w:rPr>
      </w:pPr>
      <w:r>
        <w:t>В.  Из</w:t>
      </w:r>
      <w:r w:rsidR="00A81753">
        <w:t>ложе</w:t>
      </w:r>
      <w:r>
        <w:t>нията на страните</w:t>
      </w:r>
    </w:p>
    <w:p w14:paraId="66BCD2A8" w14:textId="4AB625AB" w:rsidR="00A66D56" w:rsidRPr="00DC1F02" w:rsidRDefault="00A66D56" w:rsidP="00A66D56">
      <w:pPr>
        <w:pStyle w:val="JuH1"/>
      </w:pPr>
      <w:r>
        <w:t>1.  </w:t>
      </w:r>
      <w:r w:rsidR="00A81753">
        <w:t xml:space="preserve">Дружеството </w:t>
      </w:r>
      <w:r>
        <w:t>жалбоподател</w:t>
      </w:r>
    </w:p>
    <w:p w14:paraId="74EA5823" w14:textId="2DB0A145" w:rsidR="00627C6A" w:rsidRDefault="00C470EC" w:rsidP="009A77FC">
      <w:pPr>
        <w:pStyle w:val="JuPara"/>
        <w:rPr>
          <w:noProof/>
        </w:rPr>
      </w:pPr>
      <w:fldSimple w:instr=" SEQ level0 \*arabic ">
        <w:r w:rsidR="00CF6F43">
          <w:rPr>
            <w:noProof/>
          </w:rPr>
          <w:t>50</w:t>
        </w:r>
      </w:fldSimple>
      <w:r w:rsidR="00A66D56">
        <w:t>.  </w:t>
      </w:r>
      <w:r w:rsidR="000F337F">
        <w:t xml:space="preserve">Дружеството </w:t>
      </w:r>
      <w:r w:rsidR="00A66D56">
        <w:t xml:space="preserve">жалбоподател оспорва констатациите на </w:t>
      </w:r>
      <w:r w:rsidR="000F337F">
        <w:t>състава</w:t>
      </w:r>
      <w:r w:rsidR="00A66D56">
        <w:t xml:space="preserve">, макар че се съгласява, че </w:t>
      </w:r>
      <w:r w:rsidR="000F337F">
        <w:t>ч</w:t>
      </w:r>
      <w:r w:rsidR="00A66D56">
        <w:t xml:space="preserve">лен 1 от Протокол № 1 е приложим </w:t>
      </w:r>
      <w:r w:rsidR="000F337F">
        <w:t>към</w:t>
      </w:r>
      <w:r w:rsidR="00A66D56">
        <w:t xml:space="preserve"> интелектуалната собственост като цяло и в частност </w:t>
      </w:r>
      <w:r w:rsidR="000F337F">
        <w:t>към</w:t>
      </w:r>
      <w:r w:rsidR="00A66D56">
        <w:t xml:space="preserve"> търговските марки. Т</w:t>
      </w:r>
      <w:r w:rsidR="000F337F">
        <w:t>о</w:t>
      </w:r>
      <w:r w:rsidR="00A66D56">
        <w:t xml:space="preserve"> твърди, че </w:t>
      </w:r>
      <w:r w:rsidR="000F337F">
        <w:t>съставът</w:t>
      </w:r>
      <w:r w:rsidR="00A66D56">
        <w:t xml:space="preserve"> все пак не е успял да направи логич</w:t>
      </w:r>
      <w:r w:rsidR="006D0698">
        <w:t>ните</w:t>
      </w:r>
      <w:r w:rsidR="00A66D56">
        <w:t xml:space="preserve"> </w:t>
      </w:r>
      <w:r w:rsidR="006D0698">
        <w:t>изводи</w:t>
      </w:r>
      <w:r w:rsidR="00A66D56">
        <w:t xml:space="preserve"> от </w:t>
      </w:r>
      <w:r w:rsidR="006D0698">
        <w:t xml:space="preserve">неговите </w:t>
      </w:r>
      <w:r w:rsidR="00A66D56">
        <w:t xml:space="preserve">мотиви, свързани с финансовите интереси, които са заложени </w:t>
      </w:r>
      <w:r w:rsidR="006D0698">
        <w:t xml:space="preserve">при </w:t>
      </w:r>
      <w:r w:rsidR="00A66D56">
        <w:t>една заявка за регистрация. Т</w:t>
      </w:r>
      <w:r w:rsidR="006D0698">
        <w:t>о</w:t>
      </w:r>
      <w:r w:rsidR="00A66D56">
        <w:t xml:space="preserve"> твърди, че заявлението за регистрация има материална стойност и следователно е </w:t>
      </w:r>
      <w:r w:rsidR="006D0698">
        <w:t>„</w:t>
      </w:r>
      <w:r w:rsidR="00A66D56">
        <w:t>притежание</w:t>
      </w:r>
      <w:r w:rsidR="006D0698">
        <w:t>“</w:t>
      </w:r>
      <w:r w:rsidR="00A66D56">
        <w:t xml:space="preserve"> по смисъла на </w:t>
      </w:r>
      <w:r w:rsidR="006D0698">
        <w:t>ч</w:t>
      </w:r>
      <w:r w:rsidR="00A66D56">
        <w:t xml:space="preserve">лен 1 от Протокол № 1, тъй като съгласно съдебната практика на Съда понятието </w:t>
      </w:r>
      <w:r w:rsidR="006D0698">
        <w:t>„</w:t>
      </w:r>
      <w:r w:rsidR="00A66D56">
        <w:t>собственост</w:t>
      </w:r>
      <w:r w:rsidR="006D0698">
        <w:t>“</w:t>
      </w:r>
      <w:r w:rsidR="00A66D56">
        <w:t xml:space="preserve">, което има самостоятелно значение, не се ограничава само до собствеността върху физически стоки, </w:t>
      </w:r>
      <w:r w:rsidR="00C008A3">
        <w:t xml:space="preserve">а </w:t>
      </w:r>
      <w:r w:rsidR="00A66D56">
        <w:t>включва и някои други права и интереси, които представляват активи.</w:t>
      </w:r>
    </w:p>
    <w:p w14:paraId="5D442023" w14:textId="70BCCC14" w:rsidR="00E71F84" w:rsidRPr="00DC1F02" w:rsidRDefault="00C470EC" w:rsidP="009A77FC">
      <w:pPr>
        <w:pStyle w:val="JuPara"/>
      </w:pPr>
      <w:fldSimple w:instr=" SEQ level0 \*arabic ">
        <w:r w:rsidR="00CF6F43">
          <w:rPr>
            <w:noProof/>
          </w:rPr>
          <w:t>51</w:t>
        </w:r>
      </w:fldSimple>
      <w:r w:rsidR="009A77FC">
        <w:t>.  </w:t>
      </w:r>
      <w:r w:rsidR="00C008A3">
        <w:t xml:space="preserve">Дружеството </w:t>
      </w:r>
      <w:r w:rsidR="009A77FC">
        <w:t xml:space="preserve">жалбоподател </w:t>
      </w:r>
      <w:r w:rsidR="00C008A3">
        <w:t>посочва</w:t>
      </w:r>
      <w:r w:rsidR="009A77FC">
        <w:t>, че основните характеристики на понятието собственост, като например правото на прехвърляне и правото на преотстъпване, присъства</w:t>
      </w:r>
      <w:r w:rsidR="00C008A3">
        <w:t>т</w:t>
      </w:r>
      <w:r w:rsidR="009A77FC">
        <w:t xml:space="preserve"> в конкретния случай и в заявленията за регистрация на търговска марка. В допълнение въпросната търговска марка е добре позната на потребителите, което само по себе си означава, че е актив, защитен от </w:t>
      </w:r>
      <w:r w:rsidR="00C008A3">
        <w:t>ч</w:t>
      </w:r>
      <w:r w:rsidR="009A77FC">
        <w:t xml:space="preserve">лен 1 </w:t>
      </w:r>
      <w:r w:rsidR="00C008A3">
        <w:t>от</w:t>
      </w:r>
      <w:r w:rsidR="009A77FC">
        <w:t xml:space="preserve"> Протокол № 1. В тази връзка </w:t>
      </w:r>
      <w:r w:rsidR="00C008A3">
        <w:t xml:space="preserve">дружеството </w:t>
      </w:r>
      <w:r w:rsidR="009A77FC">
        <w:t xml:space="preserve">жалбоподател се позовава на </w:t>
      </w:r>
      <w:r w:rsidR="00737EDB">
        <w:t>р</w:t>
      </w:r>
      <w:r w:rsidR="009A77FC">
        <w:t xml:space="preserve">ешението </w:t>
      </w:r>
      <w:r w:rsidR="009A77FC">
        <w:rPr>
          <w:i/>
        </w:rPr>
        <w:t>Iatridis v. Greece</w:t>
      </w:r>
      <w:r w:rsidR="009A77FC">
        <w:t xml:space="preserve">, в което Съдът </w:t>
      </w:r>
      <w:r w:rsidR="00737EDB">
        <w:t>констатира</w:t>
      </w:r>
      <w:r w:rsidR="009A77FC">
        <w:t xml:space="preserve">, че клиентелата на лятно кино представлява актив, защитен от </w:t>
      </w:r>
      <w:r w:rsidR="00737EDB">
        <w:t>ч</w:t>
      </w:r>
      <w:r w:rsidR="009A77FC">
        <w:t xml:space="preserve">лен 1 </w:t>
      </w:r>
      <w:r w:rsidR="00737EDB">
        <w:t>от</w:t>
      </w:r>
      <w:r w:rsidR="009A77FC">
        <w:t xml:space="preserve"> Протокол № 1 (вж</w:t>
      </w:r>
      <w:r w:rsidR="00737EDB">
        <w:t>.</w:t>
      </w:r>
      <w:r w:rsidR="009A77FC">
        <w:t xml:space="preserve"> </w:t>
      </w:r>
      <w:r w:rsidR="009A77FC">
        <w:rPr>
          <w:i/>
        </w:rPr>
        <w:t xml:space="preserve">Iatridis v. Greece </w:t>
      </w:r>
      <w:r w:rsidR="009A77FC">
        <w:t>[</w:t>
      </w:r>
      <w:r w:rsidR="00737EDB">
        <w:t>ГО</w:t>
      </w:r>
      <w:r w:rsidR="009A77FC">
        <w:t>], № 31107/96, § 54, ЕСПЧ 1999</w:t>
      </w:r>
      <w:r w:rsidR="009A77FC">
        <w:noBreakHyphen/>
        <w:t>II).</w:t>
      </w:r>
    </w:p>
    <w:p w14:paraId="1991CE70" w14:textId="58A0116C" w:rsidR="00E71F84" w:rsidRPr="00DC1F02" w:rsidRDefault="00C470EC" w:rsidP="009A77FC">
      <w:pPr>
        <w:pStyle w:val="JuPara"/>
      </w:pPr>
      <w:fldSimple w:instr=" SEQ level0 \*arabic ">
        <w:r w:rsidR="00CF6F43">
          <w:rPr>
            <w:noProof/>
          </w:rPr>
          <w:t>52</w:t>
        </w:r>
      </w:fldSimple>
      <w:r w:rsidR="009A77FC">
        <w:t>.  Считано от датата на подаване</w:t>
      </w:r>
      <w:r w:rsidR="00737EDB">
        <w:t>то му</w:t>
      </w:r>
      <w:r w:rsidR="009A77FC">
        <w:t xml:space="preserve"> заявлението за регистрация предоставя на заявителя и </w:t>
      </w:r>
      <w:r w:rsidR="00C530DE">
        <w:t xml:space="preserve">неотменимо </w:t>
      </w:r>
      <w:r w:rsidR="009A77FC">
        <w:t xml:space="preserve">право </w:t>
      </w:r>
      <w:r w:rsidR="00C530DE">
        <w:t>н</w:t>
      </w:r>
      <w:r w:rsidR="009A77FC">
        <w:t xml:space="preserve">а изключителна защита. Ако заявлението отговаря на всички законови условия, както в случая на </w:t>
      </w:r>
      <w:r w:rsidR="00510FEF">
        <w:t xml:space="preserve">дружеството </w:t>
      </w:r>
      <w:r w:rsidR="009A77FC">
        <w:t>жалбоподател, по-</w:t>
      </w:r>
      <w:r w:rsidR="00A4753B">
        <w:t xml:space="preserve">конкретно </w:t>
      </w:r>
      <w:r w:rsidR="009A77FC">
        <w:t>що се отнася до липсата на конфликт между вече съществуващите права, то NIIP, като компетентен национален орган, е длъжна да регистрира търговската марка и н</w:t>
      </w:r>
      <w:r w:rsidR="00A4753B">
        <w:t>яма</w:t>
      </w:r>
      <w:r w:rsidR="009A77FC">
        <w:t xml:space="preserve"> право на преценка по въпроса. В съответствие с правилото за приоритет една от характерните черти на правата на собственост, обвързани с една заявка за регистрация на търговска марка</w:t>
      </w:r>
      <w:r w:rsidR="00D04CD3">
        <w:t>,</w:t>
      </w:r>
      <w:r w:rsidR="009A77FC">
        <w:t xml:space="preserve"> е легитимното очакване, че заявлението няма да бъде отменено от правото върху интелектуална собственост на трето лице, възникнало след като заявката за регистрация е била подадена. </w:t>
      </w:r>
      <w:r w:rsidR="00D04CD3">
        <w:t xml:space="preserve">Дружеството </w:t>
      </w:r>
      <w:r w:rsidR="009A77FC">
        <w:t>жалбоподател има подобн</w:t>
      </w:r>
      <w:r w:rsidR="00D04CD3">
        <w:t>о</w:t>
      </w:r>
      <w:r w:rsidR="009A77FC">
        <w:t xml:space="preserve"> </w:t>
      </w:r>
      <w:r w:rsidR="00D04CD3">
        <w:t>легитимно</w:t>
      </w:r>
      <w:r w:rsidR="009A77FC">
        <w:t xml:space="preserve"> очакван</w:t>
      </w:r>
      <w:r w:rsidR="00D04CD3">
        <w:t>е</w:t>
      </w:r>
      <w:r w:rsidR="009A77FC">
        <w:t xml:space="preserve">, </w:t>
      </w:r>
      <w:r w:rsidR="00D04CD3">
        <w:t xml:space="preserve">както </w:t>
      </w:r>
      <w:r w:rsidR="009A77FC">
        <w:t xml:space="preserve">всъщност </w:t>
      </w:r>
      <w:r w:rsidR="00D04CD3">
        <w:t xml:space="preserve">са признали и </w:t>
      </w:r>
      <w:r w:rsidR="009A77FC">
        <w:t xml:space="preserve">съдиите, които са </w:t>
      </w:r>
      <w:r w:rsidR="009A77FC">
        <w:lastRenderedPageBreak/>
        <w:t>изразили особено мнение, приложен</w:t>
      </w:r>
      <w:r w:rsidR="003A2CB9">
        <w:t>о</w:t>
      </w:r>
      <w:r w:rsidR="009A77FC">
        <w:t xml:space="preserve"> към решението на </w:t>
      </w:r>
      <w:r w:rsidR="003A2CB9">
        <w:t>състава</w:t>
      </w:r>
      <w:r w:rsidR="009A77FC">
        <w:t xml:space="preserve">. Констатациите на </w:t>
      </w:r>
      <w:r w:rsidR="003A2CB9">
        <w:t xml:space="preserve">състава </w:t>
      </w:r>
      <w:r w:rsidR="009A77FC">
        <w:t xml:space="preserve">също </w:t>
      </w:r>
      <w:r w:rsidR="003A2CB9">
        <w:t xml:space="preserve">така </w:t>
      </w:r>
      <w:r w:rsidR="009A77FC">
        <w:t>са несъвместими с предходната съдебна практика на Съда във връзка с концепцията за легитимн</w:t>
      </w:r>
      <w:r w:rsidR="00F17A83">
        <w:t>о</w:t>
      </w:r>
      <w:r w:rsidR="009A77FC">
        <w:t xml:space="preserve"> очакван</w:t>
      </w:r>
      <w:r w:rsidR="00F17A83">
        <w:t>е</w:t>
      </w:r>
      <w:r w:rsidR="009A77FC">
        <w:t xml:space="preserve">, изложена например в </w:t>
      </w:r>
      <w:r w:rsidR="00F17A83">
        <w:t>р</w:t>
      </w:r>
      <w:r w:rsidR="009A77FC">
        <w:t xml:space="preserve">ешението </w:t>
      </w:r>
      <w:r w:rsidR="009A77FC">
        <w:rPr>
          <w:i/>
        </w:rPr>
        <w:t>Pine Valley Developments Ltd and Others v. Ireland</w:t>
      </w:r>
      <w:r w:rsidR="009A77FC">
        <w:t xml:space="preserve"> (29 ноември 1991 г., серия A № 222) и </w:t>
      </w:r>
      <w:r w:rsidR="009A77FC">
        <w:rPr>
          <w:i/>
        </w:rPr>
        <w:t>Beyeler v. Italy</w:t>
      </w:r>
      <w:r w:rsidR="009A77FC">
        <w:t xml:space="preserve"> ([</w:t>
      </w:r>
      <w:r w:rsidR="00F17A83">
        <w:t>ГО</w:t>
      </w:r>
      <w:r w:rsidR="009A77FC">
        <w:t>]</w:t>
      </w:r>
      <w:r w:rsidR="00F17A83">
        <w:t>“</w:t>
      </w:r>
      <w:r w:rsidR="009A77FC">
        <w:t>, №. 33202/96, ЕСЧП 2000-I).</w:t>
      </w:r>
    </w:p>
    <w:p w14:paraId="09A94B80" w14:textId="2373ED80" w:rsidR="00830FC4" w:rsidRPr="00DC1F02" w:rsidRDefault="00C470EC" w:rsidP="009A77FC">
      <w:pPr>
        <w:pStyle w:val="JuPara"/>
      </w:pPr>
      <w:fldSimple w:instr=" SEQ level0 \*arabic ">
        <w:r w:rsidR="00CF6F43">
          <w:rPr>
            <w:noProof/>
          </w:rPr>
          <w:t>53</w:t>
        </w:r>
      </w:fldSimple>
      <w:r w:rsidR="009A77FC">
        <w:t xml:space="preserve">.  По-нататък в писмените си </w:t>
      </w:r>
      <w:r w:rsidR="00F17A83">
        <w:t xml:space="preserve">изложения </w:t>
      </w:r>
      <w:r w:rsidR="009A77FC">
        <w:t xml:space="preserve">до Голямата камара </w:t>
      </w:r>
      <w:r w:rsidR="00F17A83">
        <w:t xml:space="preserve">дружеството </w:t>
      </w:r>
      <w:r w:rsidR="009A77FC">
        <w:t xml:space="preserve">жалбоподател отбелязва, че </w:t>
      </w:r>
      <w:r w:rsidR="00F17A83">
        <w:t>съставът</w:t>
      </w:r>
      <w:r w:rsidR="009A77FC">
        <w:t xml:space="preserve"> е пренебрегнал важен въпрос, а именно факта, че не</w:t>
      </w:r>
      <w:r w:rsidR="00EA07A0">
        <w:t>гова</w:t>
      </w:r>
      <w:r w:rsidR="009A77FC">
        <w:t xml:space="preserve">та търговска марка "Budweiser" вече е достигнала етап на регистрация, когато е отменена от Върховния съд. </w:t>
      </w:r>
      <w:r w:rsidR="00EA07A0">
        <w:t xml:space="preserve">Дружеството </w:t>
      </w:r>
      <w:r w:rsidR="009A77FC">
        <w:t xml:space="preserve">жалбоподател обяснява, че на 20 юни 1995 г. от NIIP </w:t>
      </w:r>
      <w:r w:rsidR="00EA07A0">
        <w:t>му</w:t>
      </w:r>
      <w:r w:rsidR="009A77FC">
        <w:t xml:space="preserve"> е издадено удостоверение за регистрация, с което се доказва, че съгласно португалското право т</w:t>
      </w:r>
      <w:r w:rsidR="00EA07A0">
        <w:t>о</w:t>
      </w:r>
      <w:r w:rsidR="009A77FC">
        <w:t xml:space="preserve"> е собственик на търговската марка.</w:t>
      </w:r>
    </w:p>
    <w:p w14:paraId="3EC21271" w14:textId="182452FF" w:rsidR="00C02BB4" w:rsidRPr="00DC1F02" w:rsidRDefault="00C470EC" w:rsidP="009A77FC">
      <w:pPr>
        <w:pStyle w:val="JuPara"/>
      </w:pPr>
      <w:fldSimple w:instr=" SEQ level0 \*arabic ">
        <w:r w:rsidR="00CF6F43">
          <w:rPr>
            <w:noProof/>
          </w:rPr>
          <w:t>54</w:t>
        </w:r>
      </w:fldSimple>
      <w:r w:rsidR="009A77FC">
        <w:t xml:space="preserve">.  Тъй като от момента на депозиране на заявлението си за регистрация на търговската марка  </w:t>
      </w:r>
      <w:r w:rsidR="00EA07A0">
        <w:t xml:space="preserve">дружеството </w:t>
      </w:r>
      <w:r w:rsidR="009A77FC">
        <w:t>жалбоподател е имал</w:t>
      </w:r>
      <w:r w:rsidR="00450E10">
        <w:t>о</w:t>
      </w:r>
      <w:r w:rsidR="009A77FC">
        <w:t xml:space="preserve"> право на защита по </w:t>
      </w:r>
      <w:r w:rsidR="00450E10">
        <w:t>ч</w:t>
      </w:r>
      <w:r w:rsidR="009A77FC">
        <w:t xml:space="preserve">лен 1 от Протокол № 1, </w:t>
      </w:r>
      <w:r w:rsidR="00450E10">
        <w:t>действието</w:t>
      </w:r>
      <w:r w:rsidR="009A77FC">
        <w:t xml:space="preserve"> на решението на Върховния съд от 23 януари 2001 г. </w:t>
      </w:r>
      <w:r w:rsidR="00450E10">
        <w:t>е да го</w:t>
      </w:r>
      <w:r w:rsidR="009A77FC">
        <w:t xml:space="preserve"> лиш</w:t>
      </w:r>
      <w:r w:rsidR="00450E10">
        <w:t>и</w:t>
      </w:r>
      <w:r w:rsidR="009A77FC">
        <w:t xml:space="preserve"> от не</w:t>
      </w:r>
      <w:r w:rsidR="00450E10">
        <w:t>гов</w:t>
      </w:r>
      <w:r w:rsidR="009A77FC">
        <w:t xml:space="preserve">ата собственост. Това вмешателство в правата </w:t>
      </w:r>
      <w:r w:rsidR="00D60892">
        <w:t>му</w:t>
      </w:r>
      <w:r w:rsidR="009A77FC">
        <w:t xml:space="preserve"> не е </w:t>
      </w:r>
      <w:r w:rsidR="00356EB7">
        <w:t xml:space="preserve">регламентирано </w:t>
      </w:r>
      <w:r w:rsidR="009A77FC">
        <w:t>по закон, тъй като тълкуването на Върховния съд на двустранн</w:t>
      </w:r>
      <w:r w:rsidR="00356EB7">
        <w:t>а</w:t>
      </w:r>
      <w:r w:rsidR="009A77FC">
        <w:t>т</w:t>
      </w:r>
      <w:r w:rsidR="00356EB7">
        <w:t>а</w:t>
      </w:r>
      <w:r w:rsidR="009A77FC">
        <w:t xml:space="preserve"> спо</w:t>
      </w:r>
      <w:r w:rsidR="00356EB7">
        <w:t>годба</w:t>
      </w:r>
      <w:r w:rsidR="009A77FC">
        <w:t xml:space="preserve"> е погрешно и противоречи на основните принципи на международното право. Португалските съдилища неправилно постановяват, че двустранн</w:t>
      </w:r>
      <w:r w:rsidR="00356EB7">
        <w:t>а</w:t>
      </w:r>
      <w:r w:rsidR="009A77FC">
        <w:t>т</w:t>
      </w:r>
      <w:r w:rsidR="00356EB7">
        <w:t>а</w:t>
      </w:r>
      <w:r w:rsidR="009A77FC">
        <w:t xml:space="preserve"> спо</w:t>
      </w:r>
      <w:r w:rsidR="00356EB7">
        <w:t>годба</w:t>
      </w:r>
      <w:r w:rsidR="009A77FC">
        <w:t xml:space="preserve"> </w:t>
      </w:r>
      <w:r w:rsidR="004D7046">
        <w:t xml:space="preserve">позволява </w:t>
      </w:r>
      <w:r w:rsidR="009A77FC">
        <w:t xml:space="preserve">защита на наименованията за произход, посочени в Приложение А, когато въпросните продукти са с имена в превод на друг език, </w:t>
      </w:r>
      <w:r w:rsidR="004D7046">
        <w:t>а</w:t>
      </w:r>
      <w:r w:rsidR="009A77FC">
        <w:t xml:space="preserve"> реално в </w:t>
      </w:r>
      <w:r w:rsidR="004D7046">
        <w:t>спогодбата</w:t>
      </w:r>
      <w:r w:rsidR="009A77FC">
        <w:t xml:space="preserve"> са застъпени само преводи на португалски и чешки. </w:t>
      </w:r>
      <w:r w:rsidR="004D7046">
        <w:t xml:space="preserve">Дружеството </w:t>
      </w:r>
      <w:r w:rsidR="009A77FC">
        <w:t xml:space="preserve">жалбоподател посочва </w:t>
      </w:r>
      <w:r w:rsidR="004D7046">
        <w:t>също</w:t>
      </w:r>
      <w:r w:rsidR="009A77FC">
        <w:t>, че съгласно принципите на международното право активите, принадлежащи на чужди граждани</w:t>
      </w:r>
      <w:r w:rsidR="00DE0059">
        <w:t>,</w:t>
      </w:r>
      <w:r w:rsidR="009A77FC">
        <w:t xml:space="preserve"> могат да бъдат отчуждавани само </w:t>
      </w:r>
      <w:r w:rsidR="00DE0059">
        <w:t>в</w:t>
      </w:r>
      <w:r w:rsidR="009A77FC">
        <w:t xml:space="preserve"> замяна </w:t>
      </w:r>
      <w:r w:rsidR="00DE0059">
        <w:t>на</w:t>
      </w:r>
      <w:r w:rsidR="009A77FC">
        <w:t xml:space="preserve"> </w:t>
      </w:r>
      <w:r w:rsidR="00DE0059">
        <w:t>обезщетение</w:t>
      </w:r>
      <w:r w:rsidR="009A77FC">
        <w:t>.</w:t>
      </w:r>
    </w:p>
    <w:p w14:paraId="364A4195" w14:textId="5C74B4F0" w:rsidR="00F11D94" w:rsidRPr="00DC1F02" w:rsidRDefault="00C470EC" w:rsidP="00F11D94">
      <w:pPr>
        <w:pStyle w:val="JuParaChar"/>
        <w:rPr>
          <w:noProof/>
        </w:rPr>
      </w:pPr>
      <w:fldSimple w:instr=" SEQ level0 \*arabic ">
        <w:r w:rsidR="00CF6F43">
          <w:rPr>
            <w:noProof/>
          </w:rPr>
          <w:t>55</w:t>
        </w:r>
      </w:fldSimple>
      <w:r w:rsidR="009A77FC">
        <w:t>.  Т</w:t>
      </w:r>
      <w:r w:rsidR="001A6133">
        <w:t>о</w:t>
      </w:r>
      <w:r w:rsidR="009A77FC">
        <w:t xml:space="preserve"> добавя, че дори да се предположи, че намесата е била предвидена от закона, тя не е преследвала легитимн</w:t>
      </w:r>
      <w:r w:rsidR="001A6133">
        <w:t>а</w:t>
      </w:r>
      <w:r w:rsidR="009A77FC">
        <w:t xml:space="preserve"> цел. Националните съдилища не са цитирали риска от объркване, </w:t>
      </w:r>
      <w:r w:rsidR="001A6133">
        <w:t xml:space="preserve">твърдян </w:t>
      </w:r>
      <w:r w:rsidR="009A77FC">
        <w:t xml:space="preserve">от португалското правителство, между търговската марка "Budweiser" и съответните наименования за произход, </w:t>
      </w:r>
      <w:r w:rsidR="001A6133">
        <w:t xml:space="preserve">а </w:t>
      </w:r>
      <w:r w:rsidR="009A77FC">
        <w:t xml:space="preserve">вместо това са се позовали единствено на </w:t>
      </w:r>
      <w:r w:rsidR="001A6133">
        <w:t>ч</w:t>
      </w:r>
      <w:r w:rsidR="009A77FC">
        <w:t>лен 189 § 1 (j) от Кодекса за индустриалната собственост. Освен това намесата е била несъразмерна, тъй като не е успяла да постигне необходимия справедлив баланс между общия интерес и правото на физическите лица. Във връзка с това т</w:t>
      </w:r>
      <w:r w:rsidR="00775D57">
        <w:t>о</w:t>
      </w:r>
      <w:r w:rsidR="009A77FC">
        <w:t xml:space="preserve"> посочва също, че не е получил</w:t>
      </w:r>
      <w:r w:rsidR="00775D57">
        <w:t>о</w:t>
      </w:r>
      <w:r w:rsidR="009A77FC">
        <w:t xml:space="preserve"> обезщетение за </w:t>
      </w:r>
      <w:r w:rsidR="003243B7">
        <w:t xml:space="preserve">пропуснатото </w:t>
      </w:r>
      <w:r w:rsidR="009A77FC">
        <w:t>ползван</w:t>
      </w:r>
      <w:r w:rsidR="00775D57">
        <w:t>е</w:t>
      </w:r>
      <w:r w:rsidR="009A77FC">
        <w:t xml:space="preserve"> </w:t>
      </w:r>
      <w:r w:rsidR="00775D57">
        <w:t>на</w:t>
      </w:r>
      <w:r w:rsidR="009A77FC">
        <w:t xml:space="preserve"> </w:t>
      </w:r>
      <w:r w:rsidR="003243B7">
        <w:t xml:space="preserve">неговата </w:t>
      </w:r>
      <w:r w:rsidR="009A77FC">
        <w:t>търговска марка, независимо от факта, че н</w:t>
      </w:r>
      <w:r w:rsidR="003243B7">
        <w:t xml:space="preserve">е </w:t>
      </w:r>
      <w:r w:rsidR="009A77FC">
        <w:t xml:space="preserve">са налице изключителни обстоятелства, които да оправдаят липсата на плащане. Освен това конфликтите между търговските марки и </w:t>
      </w:r>
      <w:r w:rsidR="003243B7">
        <w:t>означенията за</w:t>
      </w:r>
      <w:r w:rsidR="009A77FC">
        <w:t xml:space="preserve"> </w:t>
      </w:r>
      <w:r w:rsidR="003243B7">
        <w:t>произход</w:t>
      </w:r>
      <w:r w:rsidR="009A77FC">
        <w:t xml:space="preserve"> сега са често срещано явление и са предоставени средства по силата на международното право, за да бъдат удовлетворително разрешени. Решението на Върховния съд да се даде предимство на двустранн</w:t>
      </w:r>
      <w:r w:rsidR="00044DED">
        <w:t>а</w:t>
      </w:r>
      <w:r w:rsidR="009A77FC">
        <w:t>т</w:t>
      </w:r>
      <w:r w:rsidR="00044DED">
        <w:t>а</w:t>
      </w:r>
      <w:r w:rsidR="009A77FC">
        <w:t xml:space="preserve"> спо</w:t>
      </w:r>
      <w:r w:rsidR="00044DED">
        <w:t>годба</w:t>
      </w:r>
      <w:r w:rsidR="009A77FC">
        <w:t xml:space="preserve"> от 1986 </w:t>
      </w:r>
      <w:r w:rsidR="009A77FC">
        <w:lastRenderedPageBreak/>
        <w:t>г. спрямо предшествуващото го заявление за регистрация на търговската марка "Budweiser" е в противоречие с международното право, по-</w:t>
      </w:r>
      <w:r w:rsidR="00044DED">
        <w:t xml:space="preserve">конкретно със </w:t>
      </w:r>
      <w:r w:rsidR="009A77FC">
        <w:t>Споразумението TRIPs и съответните директиви на Общността.</w:t>
      </w:r>
    </w:p>
    <w:p w14:paraId="59C2C45F" w14:textId="77777777" w:rsidR="00A66D56" w:rsidRPr="00DC1F02" w:rsidRDefault="00A66D56" w:rsidP="00A66D56">
      <w:pPr>
        <w:pStyle w:val="JuH1"/>
      </w:pPr>
      <w:r>
        <w:t>2.  Правителството</w:t>
      </w:r>
    </w:p>
    <w:p w14:paraId="1FF46926" w14:textId="22E9EF15" w:rsidR="008B5B92" w:rsidRPr="00DC1F02" w:rsidRDefault="00C470EC" w:rsidP="00A25BB2">
      <w:pPr>
        <w:pStyle w:val="JuPara"/>
      </w:pPr>
      <w:fldSimple w:instr=" SEQ level0 \*arabic ">
        <w:r w:rsidR="00CF6F43">
          <w:rPr>
            <w:noProof/>
          </w:rPr>
          <w:t>56</w:t>
        </w:r>
      </w:fldSimple>
      <w:r w:rsidR="00A25BB2">
        <w:t xml:space="preserve">.  Правителството приканва Голямата камара да </w:t>
      </w:r>
      <w:r w:rsidR="00A71A45">
        <w:t xml:space="preserve">подкрепи </w:t>
      </w:r>
      <w:r w:rsidR="00A25BB2">
        <w:t xml:space="preserve">решението на </w:t>
      </w:r>
      <w:r w:rsidR="00A71A45">
        <w:t xml:space="preserve">състава </w:t>
      </w:r>
      <w:r w:rsidR="00A25BB2">
        <w:t xml:space="preserve">и да потвърди, че не е имало нарушение на </w:t>
      </w:r>
      <w:r w:rsidR="00A71A45">
        <w:t>ч</w:t>
      </w:r>
      <w:r w:rsidR="00A25BB2">
        <w:t xml:space="preserve">лен 1 от Протокол № 1. То подчертава отново, че тази разпоредба не се прилага по отношение на правното положение на </w:t>
      </w:r>
      <w:r w:rsidR="00A71A45">
        <w:t xml:space="preserve">дружеството </w:t>
      </w:r>
      <w:r w:rsidR="00A25BB2">
        <w:t xml:space="preserve">жалбоподател като кандидат за регистрация на търговска марка. Според </w:t>
      </w:r>
      <w:r w:rsidR="00563026">
        <w:t>Правителството,</w:t>
      </w:r>
      <w:r w:rsidR="00A25BB2">
        <w:t xml:space="preserve"> в съответствие с приложимото право, търговската марка се превръща в </w:t>
      </w:r>
      <w:r w:rsidR="00563026">
        <w:t>„притежание“</w:t>
      </w:r>
      <w:r w:rsidR="00A25BB2">
        <w:t xml:space="preserve"> по смисъла на </w:t>
      </w:r>
      <w:r w:rsidR="00563026">
        <w:t>ч</w:t>
      </w:r>
      <w:r w:rsidR="00A25BB2">
        <w:t xml:space="preserve">лен 1 от Протокол № 1 само при окончателната </w:t>
      </w:r>
      <w:r w:rsidR="00563026">
        <w:t>ѝ</w:t>
      </w:r>
      <w:r w:rsidR="00A25BB2">
        <w:t xml:space="preserve"> регистрация. Преди това кандидатът за регистрация дори не притежава легитимно очакване. В тази връзка </w:t>
      </w:r>
      <w:r w:rsidR="00563026">
        <w:t>П</w:t>
      </w:r>
      <w:r w:rsidR="00A25BB2">
        <w:t>равителството посоч</w:t>
      </w:r>
      <w:r w:rsidR="00563026">
        <w:t>ва</w:t>
      </w:r>
      <w:r w:rsidR="00A25BB2">
        <w:t xml:space="preserve"> практиката на Съда, като приема, че </w:t>
      </w:r>
      <w:r w:rsidR="00563026">
        <w:t>ч</w:t>
      </w:r>
      <w:r w:rsidR="00A25BB2">
        <w:t xml:space="preserve">лен 1 от Протокол № 1 защитава само </w:t>
      </w:r>
      <w:r w:rsidR="00563026">
        <w:t>„</w:t>
      </w:r>
      <w:r w:rsidR="00A25BB2">
        <w:t>съществуващи</w:t>
      </w:r>
      <w:r w:rsidR="00563026">
        <w:t>“</w:t>
      </w:r>
      <w:r w:rsidR="00A25BB2">
        <w:t xml:space="preserve"> притежания.</w:t>
      </w:r>
    </w:p>
    <w:p w14:paraId="7E729B36" w14:textId="578F8CFB" w:rsidR="008D0FE7" w:rsidRPr="00DC1F02" w:rsidRDefault="00C470EC" w:rsidP="00A25BB2">
      <w:pPr>
        <w:pStyle w:val="JuPara"/>
      </w:pPr>
      <w:fldSimple w:instr=" SEQ level0 \*arabic ">
        <w:r w:rsidR="00CF6F43">
          <w:rPr>
            <w:noProof/>
          </w:rPr>
          <w:t>57</w:t>
        </w:r>
      </w:fldSimple>
      <w:r w:rsidR="00A25BB2">
        <w:t xml:space="preserve">.  Правителството добавя, че правото на </w:t>
      </w:r>
      <w:r w:rsidR="00563026">
        <w:t xml:space="preserve">дружеството </w:t>
      </w:r>
      <w:r w:rsidR="00A25BB2">
        <w:t xml:space="preserve">жалбоподател </w:t>
      </w:r>
      <w:r w:rsidR="001D1DE9">
        <w:t>н</w:t>
      </w:r>
      <w:r w:rsidR="00A25BB2">
        <w:t>а ползва</w:t>
      </w:r>
      <w:r w:rsidR="001D1DE9">
        <w:t>не на</w:t>
      </w:r>
      <w:r w:rsidR="00A25BB2">
        <w:t xml:space="preserve"> търговската марка винаги е бил</w:t>
      </w:r>
      <w:r w:rsidR="001D1DE9">
        <w:t>о</w:t>
      </w:r>
      <w:r w:rsidR="00A25BB2">
        <w:t xml:space="preserve"> несигурно и е било повод за спорове. Когато е подадено заявлението за регистрация на 19 май 1981 г., правото да се използва терминът "Budweiser" вече е било регистрирано от компанията "Budějovický Budvar", което обяснява защо NIIP не е обработила веднага заявлението. В тази връзка Правителството подчертава, че когато е бил</w:t>
      </w:r>
      <w:r w:rsidR="001D1DE9">
        <w:t>а</w:t>
      </w:r>
      <w:r w:rsidR="00A25BB2">
        <w:t xml:space="preserve"> подписан</w:t>
      </w:r>
      <w:r w:rsidR="001D1DE9">
        <w:t>а</w:t>
      </w:r>
      <w:r w:rsidR="00A25BB2">
        <w:t xml:space="preserve"> двустранн</w:t>
      </w:r>
      <w:r w:rsidR="001D1DE9">
        <w:t>а</w:t>
      </w:r>
      <w:r w:rsidR="00A25BB2">
        <w:t>т</w:t>
      </w:r>
      <w:r w:rsidR="001D1DE9">
        <w:t>а</w:t>
      </w:r>
      <w:r w:rsidR="00A25BB2">
        <w:t xml:space="preserve"> спо</w:t>
      </w:r>
      <w:r w:rsidR="001D1DE9">
        <w:t>годба</w:t>
      </w:r>
      <w:r w:rsidR="00A25BB2">
        <w:t xml:space="preserve"> между Португалия и Чехия през 1986 г., само компанията "Budějovický Budvar" е имала право да използва термина "Budweiser" (като наименование за произход). Освен това компанията "Budějovický Budvar" веднага е обжалвала решението на NIIP от 1995 г. за регистрация на търговската марка и е предприела нужните действия, за да спечели делото. Ето защо Правителството твърди, че </w:t>
      </w:r>
      <w:r w:rsidR="00E13E84">
        <w:t xml:space="preserve">дружеството </w:t>
      </w:r>
      <w:r w:rsidR="00A25BB2">
        <w:t xml:space="preserve">жалбоподател в нито един момент </w:t>
      </w:r>
      <w:r w:rsidR="002E5E88">
        <w:t xml:space="preserve">от този период </w:t>
      </w:r>
      <w:r w:rsidR="00A25BB2">
        <w:t>не е бил</w:t>
      </w:r>
      <w:r w:rsidR="002E5E88">
        <w:t>о</w:t>
      </w:r>
      <w:r w:rsidR="00A25BB2">
        <w:t xml:space="preserve"> в състояние да претендира за </w:t>
      </w:r>
      <w:r w:rsidR="002E5E88">
        <w:t>„</w:t>
      </w:r>
      <w:r w:rsidR="00A25BB2">
        <w:t>легитимн</w:t>
      </w:r>
      <w:r w:rsidR="002E5E88">
        <w:t>о</w:t>
      </w:r>
      <w:r w:rsidR="00A25BB2">
        <w:t xml:space="preserve"> очакван</w:t>
      </w:r>
      <w:r w:rsidR="002E5E88">
        <w:t>е“</w:t>
      </w:r>
      <w:r w:rsidR="00A25BB2">
        <w:t>, ко</w:t>
      </w:r>
      <w:r w:rsidR="002E5E88">
        <w:t>е</w:t>
      </w:r>
      <w:r w:rsidR="00A25BB2">
        <w:t xml:space="preserve">то би </w:t>
      </w:r>
      <w:r w:rsidR="002E5E88">
        <w:t>ѝ</w:t>
      </w:r>
      <w:r w:rsidR="00A25BB2">
        <w:t xml:space="preserve"> дал</w:t>
      </w:r>
      <w:r w:rsidR="002E5E88">
        <w:t>о</w:t>
      </w:r>
      <w:r w:rsidR="00A25BB2">
        <w:t xml:space="preserve"> правото да се ползва от защитата на </w:t>
      </w:r>
      <w:r w:rsidR="002E5E88">
        <w:t>ч</w:t>
      </w:r>
      <w:r w:rsidR="00A25BB2">
        <w:t>лен 1 от Протокол № 1.</w:t>
      </w:r>
    </w:p>
    <w:p w14:paraId="0DB9609B" w14:textId="1F89F689" w:rsidR="007A4D6F" w:rsidRPr="00DC1F02" w:rsidRDefault="00C470EC" w:rsidP="00A25BB2">
      <w:pPr>
        <w:pStyle w:val="JuPara"/>
      </w:pPr>
      <w:fldSimple w:instr=" SEQ level0 \*arabic ">
        <w:r w:rsidR="00CF6F43">
          <w:rPr>
            <w:noProof/>
          </w:rPr>
          <w:t>58</w:t>
        </w:r>
      </w:fldSimple>
      <w:r w:rsidR="00A25BB2">
        <w:t xml:space="preserve">.  По отношение на въпроса за правото на прехвърляне и преотстъпване, Правителството заявява, че макар и да е било възможно да се прехвърлят и преотстъпват заявленията за регистрация на търговски марки след влизането в сила на Кодекса за индустриалната собственост от 1995 г. </w:t>
      </w:r>
      <w:r w:rsidR="002E5E88">
        <w:t>–</w:t>
      </w:r>
      <w:r w:rsidR="00A25BB2">
        <w:t xml:space="preserve"> макар и </w:t>
      </w:r>
      <w:r w:rsidR="00854F94">
        <w:t xml:space="preserve">не </w:t>
      </w:r>
      <w:r w:rsidR="00A25BB2">
        <w:t xml:space="preserve">преди това </w:t>
      </w:r>
      <w:r w:rsidR="00854F94">
        <w:t>–</w:t>
      </w:r>
      <w:r w:rsidR="00A25BB2">
        <w:t xml:space="preserve"> процедурата на практика е имала незначителна, дори и символична икономическа стойност. В действителност такива сделки обикновено са резултат от спор между две компании заради заявление за регистрация на търговска марка, като прехвърлянето на това заявление служи за разрешаване на спора. Според из</w:t>
      </w:r>
      <w:r w:rsidR="002628E2">
        <w:t>лож</w:t>
      </w:r>
      <w:r w:rsidR="00A25BB2">
        <w:t xml:space="preserve">ението на Правителството тази практика </w:t>
      </w:r>
      <w:r w:rsidR="00A25BB2">
        <w:lastRenderedPageBreak/>
        <w:t xml:space="preserve">обикновено подкрепя становището, че </w:t>
      </w:r>
      <w:r w:rsidR="002628E2">
        <w:t>ч</w:t>
      </w:r>
      <w:r w:rsidR="00A25BB2">
        <w:t>лен 1 от Протокол № 1 не е приложим към подобни заявления.</w:t>
      </w:r>
    </w:p>
    <w:p w14:paraId="1BBBC2B3" w14:textId="78E89E6D" w:rsidR="00DC55AB" w:rsidRPr="00DC1F02" w:rsidRDefault="00C470EC" w:rsidP="00A25BB2">
      <w:pPr>
        <w:pStyle w:val="JuPara"/>
      </w:pPr>
      <w:fldSimple w:instr=" SEQ level0 \*arabic ">
        <w:r w:rsidR="00CF6F43">
          <w:rPr>
            <w:noProof/>
          </w:rPr>
          <w:t>59</w:t>
        </w:r>
      </w:fldSimple>
      <w:r w:rsidR="00A25BB2">
        <w:t xml:space="preserve">.  Във връзка с твърдението на </w:t>
      </w:r>
      <w:r w:rsidR="002628E2">
        <w:t xml:space="preserve">дружеството </w:t>
      </w:r>
      <w:r w:rsidR="00A25BB2">
        <w:t>жалбоподател в писмени</w:t>
      </w:r>
      <w:r w:rsidR="002628E2">
        <w:t>те</w:t>
      </w:r>
      <w:r w:rsidR="00A25BB2">
        <w:t xml:space="preserve"> </w:t>
      </w:r>
      <w:r w:rsidR="002628E2">
        <w:t xml:space="preserve">му </w:t>
      </w:r>
      <w:r w:rsidR="00A25BB2">
        <w:t xml:space="preserve">изложения до Голямата камара, че NIIP е издала удостоверение за регистрация, Правителството заявява, че от гледна точка на закона самото издаване на </w:t>
      </w:r>
      <w:r w:rsidR="00CE60C7">
        <w:t xml:space="preserve">удостоверение </w:t>
      </w:r>
      <w:r w:rsidR="00A25BB2">
        <w:t xml:space="preserve">не </w:t>
      </w:r>
      <w:r w:rsidR="00CE60C7">
        <w:t>помага н</w:t>
      </w:r>
      <w:r w:rsidR="00A25BB2">
        <w:t xml:space="preserve">а положението на </w:t>
      </w:r>
      <w:r w:rsidR="00CE60C7">
        <w:t xml:space="preserve">дружеството </w:t>
      </w:r>
      <w:r w:rsidR="00A25BB2">
        <w:t xml:space="preserve">жалбоподател. Правителството отбелязва, че </w:t>
      </w:r>
      <w:r w:rsidR="00CE60C7">
        <w:t xml:space="preserve">приложимите </w:t>
      </w:r>
      <w:r w:rsidR="00A25BB2">
        <w:t xml:space="preserve">разпоредби, </w:t>
      </w:r>
      <w:r w:rsidR="00CE60C7">
        <w:t>в частност</w:t>
      </w:r>
      <w:r w:rsidR="00A25BB2">
        <w:t xml:space="preserve"> </w:t>
      </w:r>
      <w:r w:rsidR="00CE60C7">
        <w:t>ч</w:t>
      </w:r>
      <w:r w:rsidR="00A25BB2">
        <w:t>лен 7 § 1 от Кодекса за индустриалната собственост, ясно посочват, че компетентните органи могат да издадат такъв сертификат</w:t>
      </w:r>
      <w:r w:rsidR="00CE60C7">
        <w:t>,</w:t>
      </w:r>
      <w:r w:rsidR="00A25BB2">
        <w:t xml:space="preserve"> едва когато съдебното решение по заявлението за регистрация е влязло в сила. Независимо че на </w:t>
      </w:r>
      <w:r w:rsidR="00CE60C7">
        <w:t xml:space="preserve">дружеството </w:t>
      </w:r>
      <w:r w:rsidR="00A25BB2">
        <w:t>жалбоподател по невнимание е издадено удостоверение от компетентните органи, т</w:t>
      </w:r>
      <w:r w:rsidR="00720347">
        <w:t>о</w:t>
      </w:r>
      <w:r w:rsidR="00A25BB2">
        <w:t xml:space="preserve"> все пак е била наясно, че това удостоверение по закон няма никаква стойност, нещо повече </w:t>
      </w:r>
      <w:r w:rsidR="00720347">
        <w:t>–</w:t>
      </w:r>
      <w:r w:rsidR="00A25BB2">
        <w:t xml:space="preserve"> използването на това удостоверение в Португалия </w:t>
      </w:r>
      <w:r w:rsidR="00720347">
        <w:t>е</w:t>
      </w:r>
      <w:r w:rsidR="00A25BB2">
        <w:t xml:space="preserve"> административно нарушение, което се наказва със същите наказания както </w:t>
      </w:r>
      <w:r w:rsidR="00D3333E">
        <w:t xml:space="preserve">дребно нарушение </w:t>
      </w:r>
      <w:r w:rsidR="00A25BB2">
        <w:t>съгласно разпоредбите на вътрешното право.</w:t>
      </w:r>
    </w:p>
    <w:p w14:paraId="0D28FCD6" w14:textId="774DDC82" w:rsidR="00627C6A" w:rsidRDefault="00C470EC" w:rsidP="00A25BB2">
      <w:pPr>
        <w:pStyle w:val="JuPara"/>
      </w:pPr>
      <w:fldSimple w:instr=" SEQ level0 \*arabic ">
        <w:r w:rsidR="00CF6F43">
          <w:rPr>
            <w:noProof/>
          </w:rPr>
          <w:t>60</w:t>
        </w:r>
      </w:fldSimple>
      <w:r w:rsidR="00A25BB2">
        <w:t xml:space="preserve">.  Правителството твърди, че решението на Върховния съд не би могло да се използва за лишаване на </w:t>
      </w:r>
      <w:r w:rsidR="00D3333E">
        <w:t xml:space="preserve">дружеството </w:t>
      </w:r>
      <w:r w:rsidR="00A25BB2">
        <w:t xml:space="preserve">жалбоподател от </w:t>
      </w:r>
      <w:r w:rsidR="00D3333E">
        <w:t>„</w:t>
      </w:r>
      <w:r w:rsidR="00A25BB2">
        <w:t>притежани</w:t>
      </w:r>
      <w:r w:rsidR="00D3333E">
        <w:t>е“</w:t>
      </w:r>
      <w:r w:rsidR="00A25BB2">
        <w:t xml:space="preserve"> по смисъла на </w:t>
      </w:r>
      <w:r w:rsidR="00D3333E">
        <w:t>ч</w:t>
      </w:r>
      <w:r w:rsidR="00A25BB2">
        <w:t xml:space="preserve">лен 1 от Протокол № 1. </w:t>
      </w:r>
      <w:r w:rsidR="00D3333E">
        <w:t>Тълкуването</w:t>
      </w:r>
      <w:r w:rsidR="00A25BB2">
        <w:t xml:space="preserve"> на двустранн</w:t>
      </w:r>
      <w:r w:rsidR="00D3333E">
        <w:t>а</w:t>
      </w:r>
      <w:r w:rsidR="00A25BB2">
        <w:t>т</w:t>
      </w:r>
      <w:r w:rsidR="00D3333E">
        <w:t>а</w:t>
      </w:r>
      <w:r w:rsidR="00A25BB2">
        <w:t xml:space="preserve"> спо</w:t>
      </w:r>
      <w:r w:rsidR="00D3333E">
        <w:t>годба</w:t>
      </w:r>
      <w:r w:rsidR="00A25BB2">
        <w:t xml:space="preserve"> от националните съдилища не може да бъде отменена от Съда, без това да го превърне в </w:t>
      </w:r>
      <w:r w:rsidR="00D3333E">
        <w:t>с</w:t>
      </w:r>
      <w:r w:rsidR="00A25BB2">
        <w:t>ъд от четвърта инстанция, което противоречи на целта и духа на Конвенцията.</w:t>
      </w:r>
    </w:p>
    <w:p w14:paraId="78784CDE" w14:textId="4987D4CE" w:rsidR="00847C3B" w:rsidRPr="00DC1F02" w:rsidRDefault="00C470EC" w:rsidP="00A25BB2">
      <w:pPr>
        <w:pStyle w:val="JuParaChar"/>
        <w:rPr>
          <w:noProof/>
        </w:rPr>
      </w:pPr>
      <w:fldSimple w:instr=" SEQ level0 \*arabic ">
        <w:r w:rsidR="00CF6F43">
          <w:rPr>
            <w:noProof/>
          </w:rPr>
          <w:t>61</w:t>
        </w:r>
      </w:fldSimple>
      <w:r w:rsidR="00A25BB2">
        <w:t xml:space="preserve">.  Дори да се предположи, че е имало вмешателство в дадено право на </w:t>
      </w:r>
      <w:r w:rsidR="008551B4">
        <w:t xml:space="preserve">дружеството </w:t>
      </w:r>
      <w:r w:rsidR="00A25BB2">
        <w:t xml:space="preserve">жалбоподател, това вмешателство, според </w:t>
      </w:r>
      <w:r w:rsidR="008551B4">
        <w:t xml:space="preserve">изложението </w:t>
      </w:r>
      <w:r w:rsidR="00A25BB2">
        <w:t xml:space="preserve">на Правителството, представлява контрол </w:t>
      </w:r>
      <w:r w:rsidR="008551B4">
        <w:t>върху</w:t>
      </w:r>
      <w:r w:rsidR="00A25BB2">
        <w:t xml:space="preserve"> използването на имуществото, а не лишаване от притежания. Във всеки случай това вмешателство е предвидено в закона, а именно в двустранн</w:t>
      </w:r>
      <w:r w:rsidR="008551B4">
        <w:t>а</w:t>
      </w:r>
      <w:r w:rsidR="00A25BB2">
        <w:t>т</w:t>
      </w:r>
      <w:r w:rsidR="008551B4">
        <w:t>а</w:t>
      </w:r>
      <w:r w:rsidR="00A25BB2">
        <w:t xml:space="preserve"> спо</w:t>
      </w:r>
      <w:r w:rsidR="008551B4">
        <w:t>годба</w:t>
      </w:r>
      <w:r w:rsidR="00A25BB2">
        <w:t xml:space="preserve"> от 1986 г., ко</w:t>
      </w:r>
      <w:r w:rsidR="008551B4">
        <w:t>я</w:t>
      </w:r>
      <w:r w:rsidR="00A25BB2">
        <w:t xml:space="preserve">то </w:t>
      </w:r>
      <w:r w:rsidR="008551B4">
        <w:t>е</w:t>
      </w:r>
      <w:r w:rsidR="00A25BB2">
        <w:t xml:space="preserve"> част от португалското вътрешно право. Освен това то е преследвало легитимна цел: решението на португалския съд по двустранн</w:t>
      </w:r>
      <w:r w:rsidR="008551B4">
        <w:t>а</w:t>
      </w:r>
      <w:r w:rsidR="00A25BB2">
        <w:t>т</w:t>
      </w:r>
      <w:r w:rsidR="008551B4">
        <w:t>а</w:t>
      </w:r>
      <w:r w:rsidR="00A25BB2">
        <w:t xml:space="preserve"> спо</w:t>
      </w:r>
      <w:r w:rsidR="008551B4">
        <w:t>годба</w:t>
      </w:r>
      <w:r w:rsidR="00A25BB2">
        <w:t xml:space="preserve"> </w:t>
      </w:r>
      <w:r w:rsidR="00EE1FD2">
        <w:t>има за цел</w:t>
      </w:r>
      <w:r w:rsidR="00A25BB2">
        <w:t xml:space="preserve"> най-вече да гарантира съответствие с националното законодателство, </w:t>
      </w:r>
      <w:r w:rsidR="00EE1FD2">
        <w:t>особено що</w:t>
      </w:r>
      <w:r w:rsidR="00A25BB2">
        <w:t xml:space="preserve"> се касае до международните задължения на португалската държава, но също</w:t>
      </w:r>
      <w:r w:rsidR="00EE1FD2">
        <w:t xml:space="preserve"> и</w:t>
      </w:r>
      <w:r w:rsidR="00A25BB2">
        <w:t xml:space="preserve"> да избегн</w:t>
      </w:r>
      <w:r w:rsidR="00EE1FD2">
        <w:t>е</w:t>
      </w:r>
      <w:r w:rsidR="00A25BB2">
        <w:t xml:space="preserve"> </w:t>
      </w:r>
      <w:r w:rsidR="00EE1FD2">
        <w:t>опасност</w:t>
      </w:r>
      <w:r w:rsidR="00A25BB2">
        <w:t xml:space="preserve"> от объркване във връзка с </w:t>
      </w:r>
      <w:r w:rsidR="00334FCB">
        <w:t>произхода</w:t>
      </w:r>
      <w:r w:rsidR="00A25BB2">
        <w:t xml:space="preserve"> на даден продукт. В тази връзка Правителството изразява становище, че въпреки че португалските съдилища не са се позовали на </w:t>
      </w:r>
      <w:r w:rsidR="00334FCB">
        <w:t>ч</w:t>
      </w:r>
      <w:r w:rsidR="00A25BB2">
        <w:t xml:space="preserve">лен 189 § 1 (l) от Кодекса за индустриалната собственост като основание за отказа на заявлението за регистрация на търговската марка, от решението на Върховния съд става ясно, че в мотивите си той е взел предвид също и риска от объркване с чешкото наименование за произход. Правителството добавя, че всяко евентуално вмешателство, ако е имало такова, е било съвсем пропорционално. </w:t>
      </w:r>
      <w:r w:rsidR="00334FCB">
        <w:t>Като о</w:t>
      </w:r>
      <w:r w:rsidR="00A25BB2">
        <w:t>тбелязва</w:t>
      </w:r>
      <w:r w:rsidR="00334FCB">
        <w:t>,</w:t>
      </w:r>
      <w:r w:rsidR="00A25BB2">
        <w:t xml:space="preserve"> че държавата се радва на широка свобода на преценка, когато определя обществения интерес, Правителството отбелязва, че държавата има право да определя </w:t>
      </w:r>
      <w:r w:rsidR="00A25BB2">
        <w:lastRenderedPageBreak/>
        <w:t>условията, при които дадена търговска марка ще бъде допустима за регистрация. По-</w:t>
      </w:r>
      <w:r w:rsidR="003359E7">
        <w:t>конкретно</w:t>
      </w:r>
      <w:r w:rsidR="00A25BB2">
        <w:t xml:space="preserve"> тя има свободата да реши</w:t>
      </w:r>
      <w:r w:rsidR="003359E7">
        <w:t>,</w:t>
      </w:r>
      <w:r w:rsidR="00A25BB2">
        <w:t xml:space="preserve"> </w:t>
      </w:r>
      <w:r w:rsidR="003359E7">
        <w:t>че</w:t>
      </w:r>
      <w:r w:rsidR="00A25BB2">
        <w:t xml:space="preserve"> трябва да бъдат защитени интересите на трети страни съгласно процедура, предвидена от закона. В конкретния случай националните съдилища просто </w:t>
      </w:r>
      <w:r w:rsidR="003359E7">
        <w:t xml:space="preserve">са </w:t>
      </w:r>
      <w:r w:rsidR="00A25BB2">
        <w:t>тълкува</w:t>
      </w:r>
      <w:r w:rsidR="003359E7">
        <w:t>ли</w:t>
      </w:r>
      <w:r w:rsidR="00A25BB2">
        <w:t xml:space="preserve"> и прил</w:t>
      </w:r>
      <w:r w:rsidR="003359E7">
        <w:t>ожили</w:t>
      </w:r>
      <w:r w:rsidR="00A25BB2">
        <w:t xml:space="preserve"> съответното вътрешно законодателство. </w:t>
      </w:r>
      <w:r w:rsidR="00BA0505">
        <w:t xml:space="preserve">Дружеството </w:t>
      </w:r>
      <w:r w:rsidR="00A25BB2">
        <w:t xml:space="preserve">жалбоподател не може да </w:t>
      </w:r>
      <w:r w:rsidR="00BA0505">
        <w:t xml:space="preserve">заведе </w:t>
      </w:r>
      <w:r w:rsidR="00A25BB2">
        <w:t xml:space="preserve">иск за компенсации под формата на обезщетение за загубите, които, както подчертава Правителството, не е </w:t>
      </w:r>
      <w:r w:rsidR="00A30490">
        <w:t xml:space="preserve">твърдяло </w:t>
      </w:r>
      <w:r w:rsidR="00A25BB2">
        <w:t>в нито един етап от националното производство.</w:t>
      </w:r>
    </w:p>
    <w:p w14:paraId="3A29EA84" w14:textId="77777777" w:rsidR="00A66D56" w:rsidRPr="00DC1F02" w:rsidRDefault="00F350CF" w:rsidP="00A66D56">
      <w:pPr>
        <w:pStyle w:val="JuHA"/>
        <w:rPr>
          <w:noProof/>
        </w:rPr>
      </w:pPr>
      <w:bookmarkStart w:id="2" w:name="HIT1"/>
      <w:r>
        <w:t>С. Преценката на Съда</w:t>
      </w:r>
    </w:p>
    <w:p w14:paraId="7516AC2E" w14:textId="77777777" w:rsidR="00A25BB2" w:rsidRPr="00DC1F02" w:rsidRDefault="00A25BB2" w:rsidP="00A25BB2">
      <w:pPr>
        <w:pStyle w:val="JuH1"/>
      </w:pPr>
      <w:r>
        <w:t>1.  Общите принципи</w:t>
      </w:r>
    </w:p>
    <w:p w14:paraId="01D865F0" w14:textId="4F2AE4C6" w:rsidR="00E71F84" w:rsidRPr="00DC1F02" w:rsidRDefault="00C470EC" w:rsidP="00A25BB2">
      <w:pPr>
        <w:pStyle w:val="JuPara"/>
      </w:pPr>
      <w:fldSimple w:instr=" SEQ level0 \*arabic ">
        <w:r w:rsidR="00CF6F43">
          <w:rPr>
            <w:noProof/>
          </w:rPr>
          <w:t>62</w:t>
        </w:r>
      </w:fldSimple>
      <w:r w:rsidR="00A25BB2">
        <w:t xml:space="preserve">.  Член 1 от Протокол № 1, който гарантира правото на защита на имуществото, съдържа три отделни правила: </w:t>
      </w:r>
      <w:r w:rsidR="00A30490">
        <w:t>„</w:t>
      </w:r>
      <w:r w:rsidR="00A25BB2">
        <w:t xml:space="preserve">първото правило, посочено в първото изречение на първата алинея, има общ характер и провъзгласява принципа на мирно ползване на притежанията; второто правило, съдържащо се във второто изречение от първата алинея, се отнася до лишаването от притежания и го подчинява на определени условия; третото правило, посочено във втората алинея, признава, че </w:t>
      </w:r>
      <w:r w:rsidR="00AD630C">
        <w:t>Д</w:t>
      </w:r>
      <w:r w:rsidR="00A25BB2">
        <w:t xml:space="preserve">оговорящите държави имат право, наред с други неща, да контролират ползването на притежанията в съответствие с общия интерес ... </w:t>
      </w:r>
      <w:r w:rsidR="00AD630C">
        <w:t>Т</w:t>
      </w:r>
      <w:r w:rsidR="00A25BB2">
        <w:t xml:space="preserve">ези три правила </w:t>
      </w:r>
      <w:r w:rsidR="00AD630C">
        <w:t xml:space="preserve">обаче </w:t>
      </w:r>
      <w:r w:rsidR="00A25BB2">
        <w:t xml:space="preserve">не са </w:t>
      </w:r>
      <w:r w:rsidR="00AD630C">
        <w:t>„</w:t>
      </w:r>
      <w:r w:rsidR="00A25BB2">
        <w:t>разграничени</w:t>
      </w:r>
      <w:r w:rsidR="00AD630C">
        <w:t>“</w:t>
      </w:r>
      <w:r w:rsidR="00A25BB2">
        <w:t xml:space="preserve"> в смисъл на несвързани. Второто и третото правило се занимават с конкретни случаи на намеса в правото на мирно ползване на собствеността </w:t>
      </w:r>
      <w:r w:rsidR="00AD630C">
        <w:t xml:space="preserve">и следователно </w:t>
      </w:r>
      <w:r w:rsidR="00A25BB2">
        <w:t>трябва да се тълкуват в светлината на общия принцип, установен в първото правило (вж</w:t>
      </w:r>
      <w:r w:rsidR="00AD630C">
        <w:t>.</w:t>
      </w:r>
      <w:r w:rsidR="00A25BB2">
        <w:t xml:space="preserve">, наред с други </w:t>
      </w:r>
      <w:r w:rsidR="00AD630C">
        <w:t>източници,</w:t>
      </w:r>
      <w:r w:rsidR="00A25BB2">
        <w:t xml:space="preserve"> </w:t>
      </w:r>
      <w:r w:rsidR="00A25BB2">
        <w:rPr>
          <w:i/>
        </w:rPr>
        <w:t>James and Others v. the United Kingdom</w:t>
      </w:r>
      <w:r w:rsidR="00A25BB2">
        <w:t xml:space="preserve">, 21 февруари 1986 г., § 37, серия А, №98, в което Съдът потвърждава някои от принципите, установени в решението му по делото </w:t>
      </w:r>
      <w:r w:rsidR="00A25BB2">
        <w:rPr>
          <w:i/>
        </w:rPr>
        <w:t>Sporrong and Lönnroth v. Sweden</w:t>
      </w:r>
      <w:r w:rsidR="00A25BB2">
        <w:t>, 23 септември 1982 г., § 61, Серия A № 52; ; вж</w:t>
      </w:r>
      <w:r w:rsidR="0088001F">
        <w:t>.</w:t>
      </w:r>
      <w:r w:rsidR="00A25BB2">
        <w:t xml:space="preserve"> също </w:t>
      </w:r>
      <w:r w:rsidR="00A25BB2">
        <w:rPr>
          <w:rStyle w:val="ju-005fpara--char"/>
          <w:i/>
        </w:rPr>
        <w:t>Beyeler</w:t>
      </w:r>
      <w:r w:rsidR="00A25BB2">
        <w:rPr>
          <w:rStyle w:val="ju-005fpara--char"/>
        </w:rPr>
        <w:t>,</w:t>
      </w:r>
      <w:r w:rsidR="00A25BB2">
        <w:rPr>
          <w:rStyle w:val="ju-005fpara--char"/>
          <w:i/>
        </w:rPr>
        <w:t xml:space="preserve"> </w:t>
      </w:r>
      <w:r w:rsidR="00A25BB2">
        <w:t>цитирано по-горе, § 98).</w:t>
      </w:r>
    </w:p>
    <w:p w14:paraId="65CB5A2A" w14:textId="179402F9" w:rsidR="00F61C68" w:rsidRPr="00DC1F02" w:rsidRDefault="00C470EC" w:rsidP="00A25BB2">
      <w:pPr>
        <w:pStyle w:val="JuPara"/>
        <w:rPr>
          <w:noProof/>
        </w:rPr>
      </w:pPr>
      <w:fldSimple w:instr=" SEQ level0 \*arabic ">
        <w:r w:rsidR="00CF6F43">
          <w:rPr>
            <w:noProof/>
          </w:rPr>
          <w:t>63</w:t>
        </w:r>
      </w:fldSimple>
      <w:r w:rsidR="00A25BB2">
        <w:t>.  </w:t>
      </w:r>
      <w:r w:rsidR="0088001F">
        <w:t>П</w:t>
      </w:r>
      <w:r w:rsidR="00A25BB2">
        <w:t xml:space="preserve">онятието </w:t>
      </w:r>
      <w:r w:rsidR="0088001F">
        <w:t>„</w:t>
      </w:r>
      <w:r w:rsidR="00A25BB2">
        <w:t>притежания</w:t>
      </w:r>
      <w:r w:rsidR="0088001F">
        <w:t>“</w:t>
      </w:r>
      <w:r w:rsidR="00A25BB2">
        <w:t>, посочен</w:t>
      </w:r>
      <w:r w:rsidR="0088001F">
        <w:t>о</w:t>
      </w:r>
      <w:r w:rsidR="00A25BB2">
        <w:t xml:space="preserve"> в първата част на </w:t>
      </w:r>
      <w:r w:rsidR="0088001F">
        <w:t>ч</w:t>
      </w:r>
      <w:r w:rsidR="00A25BB2">
        <w:t xml:space="preserve">лен 1 от Протокол № 1 има самостоятелно значение, което не се ограничава до собственост на физически стоки и е независимо от официалната </w:t>
      </w:r>
      <w:r w:rsidR="0088001F">
        <w:t>квали</w:t>
      </w:r>
      <w:r w:rsidR="00A25BB2">
        <w:t>фикация на вътрешното право: някои други права и интереси, които представляват активи</w:t>
      </w:r>
      <w:r w:rsidR="005E5212">
        <w:t>,</w:t>
      </w:r>
      <w:r w:rsidR="00A25BB2">
        <w:t xml:space="preserve"> също може да се разглеждат като </w:t>
      </w:r>
      <w:r w:rsidR="005E5212">
        <w:t>„</w:t>
      </w:r>
      <w:r w:rsidR="00A25BB2">
        <w:t>право на собственост</w:t>
      </w:r>
      <w:r w:rsidR="005E5212">
        <w:t>“,</w:t>
      </w:r>
      <w:r w:rsidR="00A25BB2">
        <w:t xml:space="preserve"> </w:t>
      </w:r>
      <w:r w:rsidR="005E5212">
        <w:t>а оттук и</w:t>
      </w:r>
      <w:r w:rsidR="00A25BB2">
        <w:t xml:space="preserve"> като </w:t>
      </w:r>
      <w:r w:rsidR="005E5212">
        <w:t>„</w:t>
      </w:r>
      <w:r w:rsidR="00A25BB2">
        <w:t>притежания</w:t>
      </w:r>
      <w:r w:rsidR="005E5212">
        <w:t>“</w:t>
      </w:r>
      <w:r w:rsidR="00A25BB2">
        <w:t xml:space="preserve"> по смисъла на тази разпоредба. Въпросът, който трябва да бъде разгледан във вс</w:t>
      </w:r>
      <w:r w:rsidR="005E5212">
        <w:t>ич</w:t>
      </w:r>
      <w:r w:rsidR="00A25BB2">
        <w:t>ки случа</w:t>
      </w:r>
      <w:r w:rsidR="005E5212">
        <w:t>и</w:t>
      </w:r>
      <w:r w:rsidR="00A25BB2">
        <w:t xml:space="preserve">, е дали обстоятелствата по случая, разглеждани като цяло, предоставят на кандидата </w:t>
      </w:r>
      <w:r w:rsidR="005E5212">
        <w:t xml:space="preserve">право на </w:t>
      </w:r>
      <w:r w:rsidR="00A25BB2">
        <w:t>материал</w:t>
      </w:r>
      <w:r w:rsidR="005E5212">
        <w:t>е</w:t>
      </w:r>
      <w:r w:rsidR="00A25BB2">
        <w:t xml:space="preserve">н интерес, защитен от </w:t>
      </w:r>
      <w:r w:rsidR="00880666">
        <w:t>ч</w:t>
      </w:r>
      <w:r w:rsidR="00A25BB2">
        <w:t xml:space="preserve">лен 1 </w:t>
      </w:r>
      <w:r w:rsidR="00880666">
        <w:t>от</w:t>
      </w:r>
      <w:r w:rsidR="00A25BB2">
        <w:t xml:space="preserve"> Протокол № 1 (вж</w:t>
      </w:r>
      <w:r w:rsidR="00880666">
        <w:t>.</w:t>
      </w:r>
      <w:r w:rsidR="00A25BB2">
        <w:t xml:space="preserve"> </w:t>
      </w:r>
      <w:r w:rsidR="00A25BB2">
        <w:rPr>
          <w:i/>
          <w:noProof/>
        </w:rPr>
        <w:t>Iatridis</w:t>
      </w:r>
      <w:r w:rsidR="00A25BB2">
        <w:t xml:space="preserve">, § 54, </w:t>
      </w:r>
      <w:r w:rsidR="00A25BB2">
        <w:rPr>
          <w:i/>
          <w:noProof/>
        </w:rPr>
        <w:t>Beyeler</w:t>
      </w:r>
      <w:r w:rsidR="00A25BB2">
        <w:t xml:space="preserve">, § 100 </w:t>
      </w:r>
      <w:r w:rsidR="00880666">
        <w:t xml:space="preserve">– и двете цитирани по-горе, </w:t>
      </w:r>
      <w:r w:rsidR="00A25BB2">
        <w:t xml:space="preserve">и </w:t>
      </w:r>
      <w:r w:rsidR="00A25BB2">
        <w:rPr>
          <w:i/>
          <w:noProof/>
        </w:rPr>
        <w:t>Broniowski v. Poland</w:t>
      </w:r>
      <w:r w:rsidR="00A25BB2">
        <w:t xml:space="preserve"> [</w:t>
      </w:r>
      <w:r w:rsidR="00880666">
        <w:t>ГО</w:t>
      </w:r>
      <w:r w:rsidR="00A25BB2">
        <w:t>], № 31443/96, § 129, ЕСПЧ  2004</w:t>
      </w:r>
      <w:r w:rsidR="00A25BB2">
        <w:noBreakHyphen/>
        <w:t>V).</w:t>
      </w:r>
    </w:p>
    <w:p w14:paraId="454EDD05" w14:textId="72F16F83" w:rsidR="00E71F84" w:rsidRPr="00DC1F02" w:rsidRDefault="00C470EC" w:rsidP="00A25BB2">
      <w:pPr>
        <w:pStyle w:val="JuPara"/>
      </w:pPr>
      <w:fldSimple w:instr=" SEQ level0 \*arabic ">
        <w:r w:rsidR="00CF6F43">
          <w:rPr>
            <w:noProof/>
          </w:rPr>
          <w:t>64</w:t>
        </w:r>
      </w:fldSimple>
      <w:r w:rsidR="00A25BB2">
        <w:t>.  Член 1 от Протокол № 1 се прилага само за съществуващите притежания на даден</w:t>
      </w:r>
      <w:r w:rsidR="00880666">
        <w:t>о</w:t>
      </w:r>
      <w:r w:rsidR="00A25BB2">
        <w:t xml:space="preserve"> </w:t>
      </w:r>
      <w:r w:rsidR="00880666">
        <w:t>лице</w:t>
      </w:r>
      <w:r w:rsidR="00A25BB2">
        <w:t xml:space="preserve">. По този начин бъдещите приходи не може да се считат, че представляват </w:t>
      </w:r>
      <w:r w:rsidR="00044970">
        <w:t>„</w:t>
      </w:r>
      <w:r w:rsidR="00A25BB2">
        <w:t>притежания</w:t>
      </w:r>
      <w:r w:rsidR="00044970">
        <w:t>“</w:t>
      </w:r>
      <w:r w:rsidR="00A25BB2">
        <w:t xml:space="preserve">, освен ако вече не са спечелени или ако определено са дължими. Освен това надеждата, че едно отдавна </w:t>
      </w:r>
      <w:r w:rsidR="00044970">
        <w:t xml:space="preserve">погасено </w:t>
      </w:r>
      <w:r w:rsidR="00A25BB2">
        <w:t xml:space="preserve">право на собственост може да бъде </w:t>
      </w:r>
      <w:r w:rsidR="00044970">
        <w:t>възстановено</w:t>
      </w:r>
      <w:r w:rsidR="00A25BB2">
        <w:t xml:space="preserve">, не може да се разглежда като </w:t>
      </w:r>
      <w:r w:rsidR="00044970">
        <w:t>„</w:t>
      </w:r>
      <w:r w:rsidR="00A25BB2">
        <w:t>притежание</w:t>
      </w:r>
      <w:r w:rsidR="00044970">
        <w:t>“</w:t>
      </w:r>
      <w:r w:rsidR="00A25BB2">
        <w:t xml:space="preserve">, </w:t>
      </w:r>
      <w:r w:rsidR="00044970">
        <w:t xml:space="preserve">като </w:t>
      </w:r>
      <w:r w:rsidR="00A25BB2">
        <w:t xml:space="preserve">същото </w:t>
      </w:r>
      <w:r w:rsidR="00044970">
        <w:t>важи</w:t>
      </w:r>
      <w:r w:rsidR="00A25BB2">
        <w:t xml:space="preserve"> за услов</w:t>
      </w:r>
      <w:r w:rsidR="00044970">
        <w:t>е</w:t>
      </w:r>
      <w:r w:rsidR="00A25BB2">
        <w:t>н иск, който е изтекъл в резултат на неизпълнение на условието (вж</w:t>
      </w:r>
      <w:r w:rsidR="00044970">
        <w:t>.</w:t>
      </w:r>
      <w:r w:rsidR="00A25BB2">
        <w:t xml:space="preserve"> </w:t>
      </w:r>
      <w:r w:rsidR="00A25BB2">
        <w:rPr>
          <w:i/>
          <w:noProof/>
        </w:rPr>
        <w:t>Gratzinger and Gratzingerova v. the Czech Republic</w:t>
      </w:r>
      <w:r w:rsidR="00A25BB2">
        <w:t xml:space="preserve">) </w:t>
      </w:r>
      <w:r w:rsidR="00044970">
        <w:t xml:space="preserve">(РД) </w:t>
      </w:r>
      <w:r w:rsidR="00A25BB2">
        <w:t>[</w:t>
      </w:r>
      <w:r w:rsidR="00044970">
        <w:t>ГО</w:t>
      </w:r>
      <w:r w:rsidR="00A25BB2">
        <w:t>], № 39794/98, § 69, ЕСПЧ 2002-VII).</w:t>
      </w:r>
    </w:p>
    <w:p w14:paraId="7D81D889" w14:textId="1D95FA4D" w:rsidR="00E71F84" w:rsidRPr="00DC1F02" w:rsidRDefault="00C470EC" w:rsidP="00A25BB2">
      <w:pPr>
        <w:pStyle w:val="JuPara"/>
      </w:pPr>
      <w:fldSimple w:instr=" SEQ level0 \*arabic ">
        <w:r w:rsidR="00CF6F43">
          <w:rPr>
            <w:noProof/>
          </w:rPr>
          <w:t>65</w:t>
        </w:r>
      </w:fldSimple>
      <w:r w:rsidR="00A25BB2">
        <w:t xml:space="preserve">.  Въпреки това при определени обстоятелства </w:t>
      </w:r>
      <w:r w:rsidR="00DA54E9">
        <w:t>„</w:t>
      </w:r>
      <w:r w:rsidR="00A25BB2">
        <w:t>легитимните очаквания</w:t>
      </w:r>
      <w:r w:rsidR="00DA54E9">
        <w:t>“</w:t>
      </w:r>
      <w:r w:rsidR="00A25BB2">
        <w:t xml:space="preserve"> за получаване на </w:t>
      </w:r>
      <w:r w:rsidR="00DA54E9">
        <w:t>„</w:t>
      </w:r>
      <w:r w:rsidR="00A25BB2">
        <w:t>актив</w:t>
      </w:r>
      <w:r w:rsidR="00DA54E9">
        <w:t>“</w:t>
      </w:r>
      <w:r w:rsidR="00A25BB2">
        <w:t xml:space="preserve"> може също да се ползват от защитата на </w:t>
      </w:r>
      <w:r w:rsidR="00DA54E9">
        <w:t>ч</w:t>
      </w:r>
      <w:r w:rsidR="00A25BB2">
        <w:t xml:space="preserve">лен 1 от Протокол № 1. По този начин, там където </w:t>
      </w:r>
      <w:r w:rsidR="00DA54E9">
        <w:rPr>
          <w:lang w:val="en-US"/>
        </w:rPr>
        <w:t>правото на собственост</w:t>
      </w:r>
      <w:r w:rsidR="00A25BB2">
        <w:t xml:space="preserve"> е под формата на </w:t>
      </w:r>
      <w:r w:rsidR="00352D35">
        <w:t>твърдение</w:t>
      </w:r>
      <w:r w:rsidR="00A25BB2">
        <w:t xml:space="preserve">, лицето, на което това право е дадено, може да се разглежда като имащо </w:t>
      </w:r>
      <w:r w:rsidR="00352D35">
        <w:t>„</w:t>
      </w:r>
      <w:r w:rsidR="00A25BB2">
        <w:t>легитимни очаквания</w:t>
      </w:r>
      <w:r w:rsidR="00352D35">
        <w:t>“</w:t>
      </w:r>
      <w:r w:rsidR="00A25BB2">
        <w:t xml:space="preserve">, ако има достатъчно основание за </w:t>
      </w:r>
      <w:r w:rsidR="00352D35">
        <w:t xml:space="preserve">това право </w:t>
      </w:r>
      <w:r w:rsidR="00A25BB2">
        <w:t xml:space="preserve">в националното законодателство, например </w:t>
      </w:r>
      <w:r w:rsidR="00352D35">
        <w:t xml:space="preserve">когато </w:t>
      </w:r>
      <w:r w:rsidR="00A25BB2">
        <w:t>има у</w:t>
      </w:r>
      <w:r w:rsidR="00352D35">
        <w:t>становена</w:t>
      </w:r>
      <w:r w:rsidR="00A25BB2">
        <w:t xml:space="preserve"> съдебна практика в националните съдилища, потвърждаваща съществуването му (вж</w:t>
      </w:r>
      <w:r w:rsidR="00352D35">
        <w:t>.</w:t>
      </w:r>
      <w:r w:rsidR="00A25BB2">
        <w:t xml:space="preserve"> </w:t>
      </w:r>
      <w:r w:rsidR="00A25BB2">
        <w:rPr>
          <w:i/>
        </w:rPr>
        <w:t>Kopecký v. Slovakia</w:t>
      </w:r>
      <w:r w:rsidR="00A25BB2">
        <w:t xml:space="preserve">  [</w:t>
      </w:r>
      <w:r w:rsidR="00352D35">
        <w:t>ГО</w:t>
      </w:r>
      <w:r w:rsidR="00A25BB2">
        <w:t xml:space="preserve">], № 44912/98, § 52, ЕСПЧ 2004-IX). Въпреки това не може да се каже, че възниква легитимно очакване, </w:t>
      </w:r>
      <w:r w:rsidR="00352D35">
        <w:t>когато</w:t>
      </w:r>
      <w:r w:rsidR="00A25BB2">
        <w:t xml:space="preserve"> е налице спор относно правилното тълкуване и прилагане на вътрешното </w:t>
      </w:r>
      <w:r w:rsidR="00352D35">
        <w:t>право</w:t>
      </w:r>
      <w:r w:rsidR="00A25BB2">
        <w:t>, а твърденията на жалбоподателя впоследствие са отхвърлени от националните съдилища (вж</w:t>
      </w:r>
      <w:r w:rsidR="00352D35">
        <w:t>.</w:t>
      </w:r>
      <w:r w:rsidR="00A25BB2">
        <w:t xml:space="preserve"> </w:t>
      </w:r>
      <w:r w:rsidR="00A25BB2">
        <w:rPr>
          <w:i/>
        </w:rPr>
        <w:t>Kopecký</w:t>
      </w:r>
      <w:r w:rsidR="00A25BB2">
        <w:t>, цитирано по-горе, § 50).</w:t>
      </w:r>
    </w:p>
    <w:p w14:paraId="795D0A29" w14:textId="77777777" w:rsidR="00A25BB2" w:rsidRPr="00DC1F02" w:rsidRDefault="00A25BB2" w:rsidP="00A25BB2">
      <w:pPr>
        <w:pStyle w:val="JuH1"/>
      </w:pPr>
      <w:r>
        <w:t>2.  Приложение на тези принципи в настоящия случай</w:t>
      </w:r>
    </w:p>
    <w:p w14:paraId="015BB39F" w14:textId="1DB00BEE" w:rsidR="00A25BB2" w:rsidRPr="00DC1F02" w:rsidRDefault="008B5400" w:rsidP="00A25BB2">
      <w:pPr>
        <w:pStyle w:val="JuHa0"/>
      </w:pPr>
      <w:r>
        <w:t xml:space="preserve">(a) Приложим ли е член 1 от </w:t>
      </w:r>
      <w:r w:rsidR="00151689">
        <w:t>П</w:t>
      </w:r>
      <w:r>
        <w:t>ротокол № 1</w:t>
      </w:r>
    </w:p>
    <w:p w14:paraId="36067D74" w14:textId="77777777" w:rsidR="00627C6A" w:rsidRDefault="007B7A94" w:rsidP="00A25BB2">
      <w:pPr>
        <w:pStyle w:val="JuHi"/>
      </w:pPr>
      <w:r>
        <w:t>(i)  Интелектуалната собственост като цяло</w:t>
      </w:r>
    </w:p>
    <w:p w14:paraId="3207A8CE" w14:textId="43F9A044" w:rsidR="00E71F84" w:rsidRPr="00DC1F02" w:rsidRDefault="00C470EC" w:rsidP="00A25BB2">
      <w:pPr>
        <w:pStyle w:val="JuPara"/>
      </w:pPr>
      <w:fldSimple w:instr=" SEQ level0 \*arabic ">
        <w:r w:rsidR="00CF6F43">
          <w:rPr>
            <w:noProof/>
          </w:rPr>
          <w:t>66</w:t>
        </w:r>
      </w:fldSimple>
      <w:r w:rsidR="00A25BB2">
        <w:t>. </w:t>
      </w:r>
      <w:r w:rsidR="00151689">
        <w:t>П</w:t>
      </w:r>
      <w:r w:rsidR="00A25BB2">
        <w:t xml:space="preserve">ървият въпрос, който възниква във връзка с приложимостта на </w:t>
      </w:r>
      <w:r w:rsidR="00151689">
        <w:t>ч</w:t>
      </w:r>
      <w:r w:rsidR="00A25BB2">
        <w:t xml:space="preserve">лен 1 от Протокол № 1 </w:t>
      </w:r>
      <w:r w:rsidR="00151689">
        <w:t xml:space="preserve">в настоящия случай </w:t>
      </w:r>
      <w:r w:rsidR="00A25BB2">
        <w:t xml:space="preserve">е дали тази разпоредба се отнася до интелектуалната собственост като такава. </w:t>
      </w:r>
      <w:r w:rsidR="00151689">
        <w:t>Р</w:t>
      </w:r>
      <w:r w:rsidR="00A25BB2">
        <w:t>ешение</w:t>
      </w:r>
      <w:r w:rsidR="00151689">
        <w:t>то на състава</w:t>
      </w:r>
      <w:r w:rsidR="00A25BB2">
        <w:t>, че тя се отнася до интелектуалната собственост (вж</w:t>
      </w:r>
      <w:r w:rsidR="00151689">
        <w:t>.</w:t>
      </w:r>
      <w:r w:rsidR="00A25BB2">
        <w:t xml:space="preserve"> параграф 43 от решението на </w:t>
      </w:r>
      <w:r w:rsidR="00151689">
        <w:t>отделението</w:t>
      </w:r>
      <w:r w:rsidR="00A25BB2">
        <w:t>) се позовава на съдебната практика на Европейската комисия по правата на човека (вж</w:t>
      </w:r>
      <w:r w:rsidR="0016344A">
        <w:t>.</w:t>
      </w:r>
      <w:r w:rsidR="00A25BB2">
        <w:t xml:space="preserve"> </w:t>
      </w:r>
      <w:r w:rsidR="00A25BB2">
        <w:rPr>
          <w:i/>
        </w:rPr>
        <w:t>Smith Kline and French Laboratories Ltd v. the Netherlands</w:t>
      </w:r>
      <w:r w:rsidR="00A25BB2">
        <w:t xml:space="preserve">,  № 12633/87, </w:t>
      </w:r>
      <w:r w:rsidR="0016344A">
        <w:t xml:space="preserve">решение на Комисията </w:t>
      </w:r>
      <w:r w:rsidR="00A25BB2">
        <w:t>от 4</w:t>
      </w:r>
      <w:r w:rsidR="0016344A">
        <w:t xml:space="preserve"> </w:t>
      </w:r>
      <w:r w:rsidR="00A25BB2">
        <w:t>октомври 1990 г., Решения и доклади №66, стр. 70).</w:t>
      </w:r>
    </w:p>
    <w:p w14:paraId="6AE3A7B9" w14:textId="73686780" w:rsidR="00A25BB2" w:rsidRPr="00DC1F02" w:rsidRDefault="00C470EC" w:rsidP="00A25BB2">
      <w:pPr>
        <w:pStyle w:val="JuPara"/>
      </w:pPr>
      <w:fldSimple w:instr=" SEQ level0 \*arabic ">
        <w:r w:rsidR="00CF6F43">
          <w:rPr>
            <w:noProof/>
          </w:rPr>
          <w:t>67</w:t>
        </w:r>
      </w:fldSimple>
      <w:r w:rsidR="00A25BB2">
        <w:t>.  Съдът отбелязва, че институциите по Конвенцията са призова</w:t>
      </w:r>
      <w:r w:rsidR="0016344A">
        <w:t>ва</w:t>
      </w:r>
      <w:r w:rsidR="00A25BB2">
        <w:t xml:space="preserve">ни да се произнесат по въпросите на интелектуалната собственост само в много редки случаи. В посоченото по-горе дело </w:t>
      </w:r>
      <w:r w:rsidR="00A25BB2">
        <w:rPr>
          <w:i/>
        </w:rPr>
        <w:t>Smith Kline and French Laboratories Ltd</w:t>
      </w:r>
      <w:r w:rsidR="00A25BB2">
        <w:t xml:space="preserve"> Комисията посочва след</w:t>
      </w:r>
      <w:r w:rsidR="0016344A">
        <w:t>ното</w:t>
      </w:r>
      <w:r w:rsidR="00A25BB2">
        <w:t>:</w:t>
      </w:r>
    </w:p>
    <w:p w14:paraId="3AA64996" w14:textId="06632320" w:rsidR="00796D65" w:rsidRPr="00DC1F02" w:rsidRDefault="0016344A" w:rsidP="00A25BB2">
      <w:pPr>
        <w:pStyle w:val="JuQuot"/>
      </w:pPr>
      <w:r>
        <w:t>„</w:t>
      </w:r>
      <w:r w:rsidR="00796D65">
        <w:t xml:space="preserve">Комисията отбелязва, че съгласно холандското законодателство, притежателят на патента е посочен като </w:t>
      </w:r>
      <w:r w:rsidR="0085304B">
        <w:t xml:space="preserve">собственик </w:t>
      </w:r>
      <w:r w:rsidR="00796D65">
        <w:t>на патент</w:t>
      </w:r>
      <w:r w:rsidR="0085304B">
        <w:t>а</w:t>
      </w:r>
      <w:r w:rsidR="00796D65">
        <w:t xml:space="preserve"> и при спазване на разпоредбите на Закона за патентите, патенти</w:t>
      </w:r>
      <w:r w:rsidR="00116832">
        <w:t>те</w:t>
      </w:r>
      <w:r w:rsidR="00796D65">
        <w:t xml:space="preserve"> се считат за лично имущество, което може да се прехвърля и преотстъпва. Комисията констатира, че патентите съответно попадат в обхвата на понятието </w:t>
      </w:r>
      <w:r w:rsidR="00116832">
        <w:t>„</w:t>
      </w:r>
      <w:r w:rsidR="00796D65">
        <w:t>притежания</w:t>
      </w:r>
      <w:r w:rsidR="00116832">
        <w:t>“</w:t>
      </w:r>
      <w:r w:rsidR="00796D65">
        <w:t xml:space="preserve"> в </w:t>
      </w:r>
      <w:r w:rsidR="00116832">
        <w:t>ч</w:t>
      </w:r>
      <w:r w:rsidR="00796D65">
        <w:t>лен 1 от Протокол № 1.</w:t>
      </w:r>
      <w:r w:rsidR="00116832">
        <w:t>“</w:t>
      </w:r>
    </w:p>
    <w:p w14:paraId="1861D031" w14:textId="0F390F0D" w:rsidR="00E71F84" w:rsidRPr="00DC1F02" w:rsidRDefault="00C470EC" w:rsidP="00A25BB2">
      <w:pPr>
        <w:pStyle w:val="JuPara"/>
      </w:pPr>
      <w:fldSimple w:instr=" SEQ level0 \*arabic ">
        <w:r w:rsidR="00CF6F43">
          <w:rPr>
            <w:noProof/>
          </w:rPr>
          <w:t>68</w:t>
        </w:r>
      </w:fldSimple>
      <w:r w:rsidR="00A25BB2">
        <w:t xml:space="preserve">.  Комисията следва това решение </w:t>
      </w:r>
      <w:r w:rsidR="00116832">
        <w:t>в</w:t>
      </w:r>
      <w:r w:rsidR="00A25BB2">
        <w:t xml:space="preserve"> делото </w:t>
      </w:r>
      <w:r w:rsidR="00A25BB2">
        <w:rPr>
          <w:i/>
        </w:rPr>
        <w:t xml:space="preserve">Lenzing AG v. the United Kingdom </w:t>
      </w:r>
      <w:r w:rsidR="00A25BB2">
        <w:t xml:space="preserve">(№ 38817/97, решение на Комисията от 9 септември 1998 г., </w:t>
      </w:r>
      <w:r w:rsidR="00116832">
        <w:t>недокладвано</w:t>
      </w:r>
      <w:r w:rsidR="00A25BB2">
        <w:t xml:space="preserve">), </w:t>
      </w:r>
      <w:r w:rsidR="00D67227">
        <w:t xml:space="preserve">в </w:t>
      </w:r>
      <w:r w:rsidR="00A25BB2">
        <w:t xml:space="preserve">което </w:t>
      </w:r>
      <w:r w:rsidR="00D67227">
        <w:t xml:space="preserve">също се </w:t>
      </w:r>
      <w:r w:rsidR="00A25BB2">
        <w:t xml:space="preserve">разглежда патент. Въпреки това тя обяснява, че в този случай </w:t>
      </w:r>
      <w:r w:rsidR="00D67227">
        <w:t>„</w:t>
      </w:r>
      <w:r w:rsidR="00A25BB2">
        <w:t>притежание</w:t>
      </w:r>
      <w:r w:rsidR="00D67227">
        <w:t>“</w:t>
      </w:r>
      <w:r w:rsidR="00A25BB2">
        <w:t xml:space="preserve"> е не патента сам по себе си, а жалбите, направени от </w:t>
      </w:r>
      <w:r w:rsidR="00D67227">
        <w:t xml:space="preserve">дружеството </w:t>
      </w:r>
      <w:r w:rsidR="00A25BB2">
        <w:t>жалбоподател по граждански производства, в които т</w:t>
      </w:r>
      <w:r w:rsidR="00D67227">
        <w:t>о</w:t>
      </w:r>
      <w:r w:rsidR="00A25BB2">
        <w:t xml:space="preserve"> </w:t>
      </w:r>
      <w:r w:rsidR="00934765">
        <w:t>има за цел да предизвика</w:t>
      </w:r>
      <w:r w:rsidR="00A25BB2">
        <w:t xml:space="preserve"> промени в британската система за регистриране на патенти. В заключение Комисията отбелязва, че не е имало намеса в правото на </w:t>
      </w:r>
      <w:r w:rsidR="00934765">
        <w:t xml:space="preserve">дружеството </w:t>
      </w:r>
      <w:r w:rsidR="00A25BB2">
        <w:t>жалбоподател на мирно ползване на не</w:t>
      </w:r>
      <w:r w:rsidR="00934765">
        <w:t>гов</w:t>
      </w:r>
      <w:r w:rsidR="00A25BB2">
        <w:t xml:space="preserve">ите притежания, тъй като </w:t>
      </w:r>
      <w:r w:rsidR="00934765">
        <w:t xml:space="preserve">му </w:t>
      </w:r>
      <w:r w:rsidR="00A25BB2">
        <w:t>е била дадена възможност да изложи своите искания, свързани с патента пред съд с пълна юрисдикция.</w:t>
      </w:r>
    </w:p>
    <w:p w14:paraId="7B7CB353" w14:textId="691FCFE8" w:rsidR="00B5637F" w:rsidRPr="00DC1F02" w:rsidRDefault="00C470EC" w:rsidP="00B5637F">
      <w:pPr>
        <w:pStyle w:val="JuParaChar"/>
      </w:pPr>
      <w:fldSimple w:instr=" SEQ level0 \*arabic ">
        <w:r w:rsidR="00CF6F43">
          <w:rPr>
            <w:noProof/>
          </w:rPr>
          <w:t>69</w:t>
        </w:r>
      </w:fldSimple>
      <w:r w:rsidR="00A25BB2">
        <w:t xml:space="preserve">.  В </w:t>
      </w:r>
      <w:r w:rsidR="00A25BB2">
        <w:rPr>
          <w:i/>
          <w:noProof/>
        </w:rPr>
        <w:t>British-American Tobacco Company Ltd</w:t>
      </w:r>
      <w:r w:rsidR="00A25BB2">
        <w:t xml:space="preserve"> </w:t>
      </w:r>
      <w:r w:rsidR="00A25BB2">
        <w:rPr>
          <w:i/>
          <w:noProof/>
        </w:rPr>
        <w:t>v. the Netherlands</w:t>
      </w:r>
      <w:r w:rsidR="00A25BB2">
        <w:t xml:space="preserve"> Комисията изразява становището, че </w:t>
      </w:r>
      <w:r w:rsidR="00934765">
        <w:t>ч</w:t>
      </w:r>
      <w:r w:rsidR="00A25BB2">
        <w:t>лен 1 от Протокол № 1 не е приложим по отношение на заявлени</w:t>
      </w:r>
      <w:r w:rsidR="00934765">
        <w:t>е</w:t>
      </w:r>
      <w:r w:rsidR="00A25BB2">
        <w:t xml:space="preserve"> за патент, отхвърлен</w:t>
      </w:r>
      <w:r w:rsidR="00934765">
        <w:t>о</w:t>
      </w:r>
      <w:r w:rsidR="00A25BB2">
        <w:t xml:space="preserve"> от компетентния национален орган. То гласи след</w:t>
      </w:r>
      <w:r w:rsidR="00766E81">
        <w:t>ното</w:t>
      </w:r>
      <w:r w:rsidR="00A25BB2">
        <w:t>:</w:t>
      </w:r>
    </w:p>
    <w:p w14:paraId="79F87AF3" w14:textId="11D77AE0" w:rsidR="00B5637F" w:rsidRPr="00DC1F02" w:rsidRDefault="00766E81" w:rsidP="00B5637F">
      <w:pPr>
        <w:pStyle w:val="JuQuot"/>
      </w:pPr>
      <w:r>
        <w:t>„</w:t>
      </w:r>
      <w:r w:rsidR="00B5637F">
        <w:t xml:space="preserve">... </w:t>
      </w:r>
      <w:r>
        <w:t xml:space="preserve">дружеството </w:t>
      </w:r>
      <w:r w:rsidR="00B5637F">
        <w:t xml:space="preserve">жалбоподател не успява да си осигури ефективна защита за своето изобретение с помощта на патент. Впоследствие на компанията е отказано правото на защита на интелектуалната </w:t>
      </w:r>
      <w:r>
        <w:t xml:space="preserve">ѝ </w:t>
      </w:r>
      <w:r w:rsidR="00B5637F">
        <w:t>собственост, но не е била лишена от съществуващата си собственост.</w:t>
      </w:r>
      <w:r>
        <w:t>“</w:t>
      </w:r>
      <w:r w:rsidR="00B5637F">
        <w:t xml:space="preserve"> (</w:t>
      </w:r>
      <w:r>
        <w:t>в</w:t>
      </w:r>
      <w:r w:rsidR="00B5637F">
        <w:t>ж</w:t>
      </w:r>
      <w:r>
        <w:t>.</w:t>
      </w:r>
      <w:r w:rsidR="00B5637F">
        <w:t xml:space="preserve"> </w:t>
      </w:r>
      <w:r w:rsidR="00B5637F">
        <w:rPr>
          <w:i/>
          <w:noProof/>
        </w:rPr>
        <w:t>British-American Tobacco Company Ltd v. the Netherlands</w:t>
      </w:r>
      <w:r w:rsidR="00B5637F">
        <w:t>, 20 ноември 1995 г., становище на Комисията, §§ 71-72, Серия A № 331)</w:t>
      </w:r>
    </w:p>
    <w:p w14:paraId="4C91A999" w14:textId="6D449348" w:rsidR="00E71F84" w:rsidRPr="00DC1F02" w:rsidRDefault="00B5425E" w:rsidP="00A25BB2">
      <w:pPr>
        <w:pStyle w:val="JuPara"/>
      </w:pPr>
      <w:r>
        <w:t xml:space="preserve">Както отбелязва </w:t>
      </w:r>
      <w:r w:rsidR="00766E81">
        <w:t xml:space="preserve">състава </w:t>
      </w:r>
      <w:r>
        <w:t>в решение</w:t>
      </w:r>
      <w:r w:rsidR="00766E81">
        <w:t>то си</w:t>
      </w:r>
      <w:r>
        <w:t xml:space="preserve">, по делото </w:t>
      </w:r>
      <w:r>
        <w:rPr>
          <w:i/>
        </w:rPr>
        <w:t>British-American Tobacco Company Ltd</w:t>
      </w:r>
      <w:r>
        <w:t xml:space="preserve"> Съдът решава да не разглежда отделно въпроса дали заявлението за патент представлява </w:t>
      </w:r>
      <w:r w:rsidR="00766E81">
        <w:t>„</w:t>
      </w:r>
      <w:r>
        <w:t>притежание</w:t>
      </w:r>
      <w:r w:rsidR="00766E81">
        <w:t>“</w:t>
      </w:r>
      <w:r>
        <w:t xml:space="preserve">, което попада в обхвата на защитата, предоставена от </w:t>
      </w:r>
      <w:r w:rsidR="00766E81">
        <w:t>ч</w:t>
      </w:r>
      <w:r>
        <w:t xml:space="preserve">лен 1 </w:t>
      </w:r>
      <w:r w:rsidR="00766E81">
        <w:t>от</w:t>
      </w:r>
      <w:r>
        <w:t xml:space="preserve"> Протокол № 1 (цитиран по-горе, § 91), тъй като вече е разгледал положението </w:t>
      </w:r>
      <w:r w:rsidR="00641788">
        <w:t>във връзка с</w:t>
      </w:r>
      <w:r>
        <w:t xml:space="preserve"> </w:t>
      </w:r>
      <w:r w:rsidR="00641788">
        <w:t>ч</w:t>
      </w:r>
      <w:r>
        <w:t>лен 6 § 1 от Конвенцията.</w:t>
      </w:r>
    </w:p>
    <w:p w14:paraId="0B242D06" w14:textId="434F1459" w:rsidR="00E71F84" w:rsidRPr="00DC1F02" w:rsidRDefault="00C470EC" w:rsidP="00A25BB2">
      <w:pPr>
        <w:pStyle w:val="JuPara"/>
      </w:pPr>
      <w:fldSimple w:instr=" SEQ level0 \*arabic ">
        <w:r w:rsidR="00CF6F43">
          <w:rPr>
            <w:noProof/>
          </w:rPr>
          <w:t>70</w:t>
        </w:r>
      </w:fldSimple>
      <w:r w:rsidR="00A25BB2">
        <w:t>.  </w:t>
      </w:r>
      <w:r w:rsidR="00641788">
        <w:t>В</w:t>
      </w:r>
      <w:r w:rsidR="00A25BB2">
        <w:t xml:space="preserve"> </w:t>
      </w:r>
      <w:r w:rsidR="00A25BB2">
        <w:rPr>
          <w:i/>
        </w:rPr>
        <w:t>Hiro Balani v. Spain</w:t>
      </w:r>
      <w:r w:rsidR="00A25BB2">
        <w:t xml:space="preserve"> въпросът за приложимостта на </w:t>
      </w:r>
      <w:r w:rsidR="00641788">
        <w:t>ч</w:t>
      </w:r>
      <w:r w:rsidR="00A25BB2">
        <w:t xml:space="preserve">лен 1 от Протокол № 1 към интелектуалната собственост не се разглежда. Съдът все пак </w:t>
      </w:r>
      <w:r w:rsidR="00641788">
        <w:t xml:space="preserve">констатира </w:t>
      </w:r>
      <w:r w:rsidR="00A25BB2">
        <w:t xml:space="preserve">нарушение на </w:t>
      </w:r>
      <w:r w:rsidR="00641788">
        <w:t>ч</w:t>
      </w:r>
      <w:r w:rsidR="00A25BB2">
        <w:t xml:space="preserve">лен 6 § 1 от Конвенцията по отношение на решението на испанския Върховен съд да не разглежда основание за обжалване от страна на </w:t>
      </w:r>
      <w:r w:rsidR="00641788">
        <w:t xml:space="preserve">дружеството </w:t>
      </w:r>
      <w:r w:rsidR="00A25BB2">
        <w:t>жалбоподател, в което се твърди неспазване на приоритетното правило (вж</w:t>
      </w:r>
      <w:r w:rsidR="00A406B5">
        <w:t>.</w:t>
      </w:r>
      <w:r w:rsidR="00A25BB2">
        <w:t xml:space="preserve"> </w:t>
      </w:r>
      <w:r w:rsidR="00A25BB2">
        <w:rPr>
          <w:i/>
        </w:rPr>
        <w:t>Hiro Balani v. Spain</w:t>
      </w:r>
      <w:r w:rsidR="00A25BB2">
        <w:t>, 9 декември 1994 г., § 28, Серия A № 303-B).</w:t>
      </w:r>
    </w:p>
    <w:p w14:paraId="05DFFBE0" w14:textId="71A504D2" w:rsidR="00E71F84" w:rsidRPr="00DC1F02" w:rsidRDefault="00C470EC" w:rsidP="00A25BB2">
      <w:pPr>
        <w:pStyle w:val="JuPara"/>
      </w:pPr>
      <w:fldSimple w:instr=" SEQ level0 \*arabic ">
        <w:r w:rsidR="00CF6F43">
          <w:rPr>
            <w:noProof/>
          </w:rPr>
          <w:t>71</w:t>
        </w:r>
      </w:fldSimple>
      <w:r w:rsidR="00A25BB2">
        <w:t>.  В по-скорошно решение</w:t>
      </w:r>
      <w:r w:rsidR="00E617A6">
        <w:t>,</w:t>
      </w:r>
      <w:r w:rsidR="00A25BB2">
        <w:t xml:space="preserve"> </w:t>
      </w:r>
      <w:r w:rsidR="00A25BB2">
        <w:rPr>
          <w:i/>
        </w:rPr>
        <w:t>Melnychuk v. Ukraine</w:t>
      </w:r>
      <w:r w:rsidR="00A25BB2">
        <w:t>, което се отнася до твърд</w:t>
      </w:r>
      <w:r w:rsidR="00E617A6">
        <w:t>яно</w:t>
      </w:r>
      <w:r w:rsidR="00A25BB2">
        <w:t xml:space="preserve"> нарушение на авторските права на жалбоподателя, Съдът потвърждава, че </w:t>
      </w:r>
      <w:r w:rsidR="00E617A6">
        <w:t>ч</w:t>
      </w:r>
      <w:r w:rsidR="00A25BB2">
        <w:t xml:space="preserve">лен 1 от Протокол № 1 е приложим за интелектуалната собственост. Съдът </w:t>
      </w:r>
      <w:r w:rsidR="00E617A6">
        <w:t>обаче</w:t>
      </w:r>
      <w:r w:rsidR="00A25BB2">
        <w:t xml:space="preserve"> изразява становището, че обстоятелството, че държавата, чрез своята съдебна система, е предоставила форум за определяне на правата и задълженията на жалбоподателя, не ангажира автоматично нейната отговорност по тази разпоредба, дори ако при изключителни обстоятелства държавата носи отговорност за загуби, причинени от произволни </w:t>
      </w:r>
      <w:r w:rsidR="00B7363C">
        <w:t>решения</w:t>
      </w:r>
      <w:r w:rsidR="00A25BB2">
        <w:t>. Съдът отбелязва, че в разглеждания случай</w:t>
      </w:r>
      <w:r w:rsidR="00B7363C">
        <w:t xml:space="preserve"> това не е така</w:t>
      </w:r>
      <w:r w:rsidR="00A25BB2">
        <w:t xml:space="preserve">, тъй като националните съдилища са действали в </w:t>
      </w:r>
      <w:r w:rsidR="00A25BB2">
        <w:lastRenderedPageBreak/>
        <w:t xml:space="preserve">съответствие с </w:t>
      </w:r>
      <w:r w:rsidR="00B7363C">
        <w:t>вътрешното право</w:t>
      </w:r>
      <w:r w:rsidR="00A25BB2">
        <w:t xml:space="preserve"> </w:t>
      </w:r>
      <w:r w:rsidR="00B7363C">
        <w:t>и са дали</w:t>
      </w:r>
      <w:r w:rsidR="00A25BB2">
        <w:t xml:space="preserve"> пълна обосновка на решенията си. По този начин тяхната оценка не е опорочена от произволна или явна необоснованост, която е в противоречие с </w:t>
      </w:r>
      <w:r w:rsidR="00B7363C">
        <w:t>ч</w:t>
      </w:r>
      <w:r w:rsidR="00A25BB2">
        <w:t>лен 1 от Протокол № 1 (вж</w:t>
      </w:r>
      <w:r w:rsidR="00B7363C">
        <w:t>.</w:t>
      </w:r>
      <w:r w:rsidR="00A25BB2">
        <w:t xml:space="preserve"> </w:t>
      </w:r>
      <w:r w:rsidR="00A25BB2">
        <w:rPr>
          <w:i/>
        </w:rPr>
        <w:t>Melnychuk v. Ukraine</w:t>
      </w:r>
      <w:r w:rsidR="00A25BB2">
        <w:t xml:space="preserve"> (</w:t>
      </w:r>
      <w:r w:rsidR="00B7363C">
        <w:t>РД</w:t>
      </w:r>
      <w:r w:rsidR="00A25BB2">
        <w:t>), № 28743/03,</w:t>
      </w:r>
      <w:r w:rsidR="00A25BB2">
        <w:rPr>
          <w:i/>
        </w:rPr>
        <w:t xml:space="preserve"> </w:t>
      </w:r>
      <w:r w:rsidR="00A25BB2">
        <w:t>ЕСЧП 2005</w:t>
      </w:r>
      <w:r w:rsidR="00A25BB2">
        <w:noBreakHyphen/>
        <w:t>IX; вж</w:t>
      </w:r>
      <w:r w:rsidR="00DA4C83">
        <w:t>.</w:t>
      </w:r>
      <w:r w:rsidR="00A25BB2">
        <w:t xml:space="preserve"> също </w:t>
      </w:r>
      <w:r w:rsidR="00A25BB2">
        <w:rPr>
          <w:rStyle w:val="ju-005fpara--char"/>
          <w:i/>
        </w:rPr>
        <w:t xml:space="preserve">Breierova and Others v. the Czech Republic </w:t>
      </w:r>
      <w:r w:rsidR="00A25BB2">
        <w:t>№ 57321/00</w:t>
      </w:r>
      <w:r w:rsidR="00DA4C83">
        <w:t>,</w:t>
      </w:r>
      <w:r w:rsidR="00A25BB2">
        <w:t xml:space="preserve"> 8 октомври 2002 г.).</w:t>
      </w:r>
    </w:p>
    <w:p w14:paraId="7CCE78CB" w14:textId="63085448" w:rsidR="00AA0725" w:rsidRPr="00DC1F02" w:rsidRDefault="00C470EC" w:rsidP="00A25BB2">
      <w:pPr>
        <w:pStyle w:val="JuPara"/>
      </w:pPr>
      <w:fldSimple w:instr=" SEQ level0 \*arabic ">
        <w:r w:rsidR="00CF6F43">
          <w:rPr>
            <w:noProof/>
          </w:rPr>
          <w:t>72</w:t>
        </w:r>
      </w:fldSimple>
      <w:r w:rsidR="00A25BB2">
        <w:t>.  </w:t>
      </w:r>
      <w:r w:rsidR="00DA4C83">
        <w:t>С оглед</w:t>
      </w:r>
      <w:r w:rsidR="00A25BB2">
        <w:t xml:space="preserve"> на посочените по-горе решения, Голямата камара е съгласна със заключението на </w:t>
      </w:r>
      <w:r w:rsidR="00DA4C83">
        <w:t>състава</w:t>
      </w:r>
      <w:r w:rsidR="00A25BB2">
        <w:t xml:space="preserve">, че </w:t>
      </w:r>
      <w:r w:rsidR="00DA4C83">
        <w:t>ч</w:t>
      </w:r>
      <w:r w:rsidR="00A25BB2">
        <w:t xml:space="preserve">лен 1 от Протокол № 1 е приложим за интелектуалната собственост като цяло. Остава да се провери дали това заключение важи и за </w:t>
      </w:r>
      <w:r w:rsidR="00DA4C83">
        <w:t xml:space="preserve">самите </w:t>
      </w:r>
      <w:r w:rsidR="00A25BB2">
        <w:t>заявления за регистрация на търговска марка.</w:t>
      </w:r>
    </w:p>
    <w:p w14:paraId="17FCFB56" w14:textId="77777777" w:rsidR="00A25BB2" w:rsidRPr="00DC1F02" w:rsidRDefault="00194615" w:rsidP="00A25BB2">
      <w:pPr>
        <w:pStyle w:val="JuHi"/>
      </w:pPr>
      <w:r>
        <w:t>(ii) Заявления за регистрация</w:t>
      </w:r>
    </w:p>
    <w:p w14:paraId="5F42C1D2" w14:textId="0B383467" w:rsidR="00A25BB2" w:rsidRPr="00DC1F02" w:rsidRDefault="00C470EC" w:rsidP="00A25BB2">
      <w:pPr>
        <w:pStyle w:val="JuPara"/>
      </w:pPr>
      <w:fldSimple w:instr=" SEQ level0 \*arabic ">
        <w:r w:rsidR="00CF6F43">
          <w:rPr>
            <w:noProof/>
          </w:rPr>
          <w:t>73</w:t>
        </w:r>
      </w:fldSimple>
      <w:r w:rsidR="00A25BB2">
        <w:t xml:space="preserve">.  До голяма степен в съответствие с </w:t>
      </w:r>
      <w:r w:rsidR="00DA4C83">
        <w:t xml:space="preserve">изложенията </w:t>
      </w:r>
      <w:r w:rsidR="00A25BB2">
        <w:t xml:space="preserve">на Правителството, </w:t>
      </w:r>
      <w:r w:rsidR="00DA4C83">
        <w:t xml:space="preserve">съставът </w:t>
      </w:r>
      <w:r w:rsidR="00A25BB2">
        <w:t>посочва в решението си, че:</w:t>
      </w:r>
    </w:p>
    <w:p w14:paraId="1F127C3E" w14:textId="7663C1A6" w:rsidR="00A25BB2" w:rsidRPr="00DC1F02" w:rsidRDefault="00DA4C83" w:rsidP="00A25BB2">
      <w:pPr>
        <w:pStyle w:val="JuQuot"/>
      </w:pPr>
      <w:r>
        <w:t>„</w:t>
      </w:r>
      <w:r w:rsidR="00EF2B4F">
        <w:t xml:space="preserve">... макар да е ясно, че една търговска марка </w:t>
      </w:r>
      <w:r w:rsidR="00E4648B">
        <w:t>представлява</w:t>
      </w:r>
      <w:r w:rsidR="00EF2B4F">
        <w:t xml:space="preserve"> </w:t>
      </w:r>
      <w:r w:rsidR="00E4648B">
        <w:t>„</w:t>
      </w:r>
      <w:r w:rsidR="00EF2B4F">
        <w:t>притежани</w:t>
      </w:r>
      <w:r w:rsidR="00E4648B">
        <w:t>е“</w:t>
      </w:r>
      <w:r w:rsidR="00EF2B4F">
        <w:t xml:space="preserve"> по смисъла на </w:t>
      </w:r>
      <w:r w:rsidR="00E4648B">
        <w:t>ч</w:t>
      </w:r>
      <w:r w:rsidR="00EF2B4F">
        <w:t xml:space="preserve">лен 1 от Протокол № 1, това е така, едва след окончателната регистрация на търговската марка, в съответствие с правилата, които са в сила за съответната държава. Преди такава регистрация </w:t>
      </w:r>
      <w:r w:rsidR="00E4648B">
        <w:t xml:space="preserve">дружеството </w:t>
      </w:r>
      <w:r w:rsidR="00EF2B4F">
        <w:t>жалбоподател</w:t>
      </w:r>
      <w:r w:rsidR="00E4648B">
        <w:t xml:space="preserve"> естествено </w:t>
      </w:r>
      <w:r w:rsidR="00EF2B4F">
        <w:t>има надежда да придобие так</w:t>
      </w:r>
      <w:r w:rsidR="009877BC">
        <w:t>ова</w:t>
      </w:r>
      <w:r w:rsidR="00EF2B4F">
        <w:t xml:space="preserve"> </w:t>
      </w:r>
      <w:r w:rsidR="009877BC">
        <w:t>„</w:t>
      </w:r>
      <w:r w:rsidR="00EF2B4F">
        <w:t>притежани</w:t>
      </w:r>
      <w:r w:rsidR="009877BC">
        <w:t>е“</w:t>
      </w:r>
      <w:r w:rsidR="00EF2B4F">
        <w:t>, но не и законно</w:t>
      </w:r>
      <w:r w:rsidR="009877BC">
        <w:t xml:space="preserve"> </w:t>
      </w:r>
      <w:r w:rsidR="00EF2B4F">
        <w:t>защитен</w:t>
      </w:r>
      <w:r w:rsidR="009877BC">
        <w:t>о</w:t>
      </w:r>
      <w:r w:rsidR="00EF2B4F">
        <w:t xml:space="preserve"> легитимн</w:t>
      </w:r>
      <w:r w:rsidR="009877BC">
        <w:t>о</w:t>
      </w:r>
      <w:r w:rsidR="00EF2B4F">
        <w:t xml:space="preserve"> очакван</w:t>
      </w:r>
      <w:r w:rsidR="009877BC">
        <w:t>е</w:t>
      </w:r>
      <w:r w:rsidR="00EF2B4F">
        <w:t>.</w:t>
      </w:r>
      <w:r w:rsidR="009877BC">
        <w:t>“</w:t>
      </w:r>
      <w:r w:rsidR="00EF2B4F">
        <w:t xml:space="preserve"> (§ 52)</w:t>
      </w:r>
    </w:p>
    <w:p w14:paraId="23352008" w14:textId="7CAE7AA0" w:rsidR="00236BB2" w:rsidRPr="00DC1F02" w:rsidRDefault="00C470EC" w:rsidP="00A25BB2">
      <w:pPr>
        <w:pStyle w:val="JuPara"/>
      </w:pPr>
      <w:fldSimple w:instr=" SEQ level0 \*arabic ">
        <w:r w:rsidR="00CF6F43">
          <w:rPr>
            <w:noProof/>
          </w:rPr>
          <w:t>74</w:t>
        </w:r>
      </w:fldSimple>
      <w:r w:rsidR="00A25BB2">
        <w:t>.  </w:t>
      </w:r>
      <w:r w:rsidR="009877BC">
        <w:t xml:space="preserve">Съставът </w:t>
      </w:r>
      <w:r w:rsidR="00A25BB2">
        <w:t>приема, че правното положение на даден кандидат за регистрация на дадена търговска марка има някои финансови последици, включително тези, свързани с прехвърлянето на правата (евентуално срещу компенсаци</w:t>
      </w:r>
      <w:r w:rsidR="009877BC">
        <w:t>я</w:t>
      </w:r>
      <w:r w:rsidR="00A25BB2">
        <w:t xml:space="preserve">) или даване на лиценз и тези, които произтичат от предоставения приоритет на заявлението за регистрация, спрямо последващи заявления. Въпреки това, като се позовава на посоченото по-горе </w:t>
      </w:r>
      <w:r w:rsidR="00934EEB">
        <w:t>р</w:t>
      </w:r>
      <w:r w:rsidR="00A25BB2">
        <w:t xml:space="preserve">ешение </w:t>
      </w:r>
      <w:r w:rsidR="00A25BB2">
        <w:rPr>
          <w:i/>
        </w:rPr>
        <w:t>Gratzinger and Gratzingerova</w:t>
      </w:r>
      <w:r w:rsidR="00A25BB2">
        <w:t xml:space="preserve">, </w:t>
      </w:r>
      <w:r w:rsidR="00934EEB">
        <w:t>съставът</w:t>
      </w:r>
      <w:r w:rsidR="00A25BB2">
        <w:t xml:space="preserve"> </w:t>
      </w:r>
      <w:r w:rsidR="00934EEB">
        <w:t>констатира следното</w:t>
      </w:r>
      <w:r w:rsidR="00A25BB2">
        <w:t>:</w:t>
      </w:r>
    </w:p>
    <w:p w14:paraId="481A8DA6" w14:textId="34CCDF40" w:rsidR="00EF2B4F" w:rsidRPr="00DC1F02" w:rsidRDefault="00934EEB" w:rsidP="00A25BB2">
      <w:pPr>
        <w:pStyle w:val="JuQuot"/>
      </w:pPr>
      <w:r>
        <w:t>„</w:t>
      </w:r>
      <w:r w:rsidR="00EF2B4F">
        <w:t xml:space="preserve">... </w:t>
      </w:r>
      <w:r>
        <w:t xml:space="preserve">дружеството </w:t>
      </w:r>
      <w:r w:rsidR="00EF2B4F">
        <w:t>жалбоподател не може да бъде сигурн</w:t>
      </w:r>
      <w:r>
        <w:t>о</w:t>
      </w:r>
      <w:r w:rsidR="00EF2B4F">
        <w:t xml:space="preserve">, че е собственик на въпросната търговска марка до окончателната </w:t>
      </w:r>
      <w:r>
        <w:t>ѝ</w:t>
      </w:r>
      <w:r w:rsidR="00EF2B4F">
        <w:t xml:space="preserve"> регистрация и дори тогава, само при условие че трета страна не е направила възражение, както позволява приложимото законодателство. С други думи </w:t>
      </w:r>
      <w:r>
        <w:t xml:space="preserve">дружеството </w:t>
      </w:r>
      <w:r w:rsidR="00EF2B4F">
        <w:t xml:space="preserve">жалбоподател има условно право, което е </w:t>
      </w:r>
      <w:r w:rsidR="00FD2880">
        <w:t xml:space="preserve">погасено </w:t>
      </w:r>
      <w:r w:rsidR="00EF2B4F">
        <w:t xml:space="preserve">със задна дата </w:t>
      </w:r>
      <w:r w:rsidR="00FD2880">
        <w:t>поради</w:t>
      </w:r>
      <w:r w:rsidR="00EF2B4F">
        <w:t xml:space="preserve"> неудовлетворяване на условието, а именно, че не е нарушил</w:t>
      </w:r>
      <w:r w:rsidR="00FD2880">
        <w:t>о</w:t>
      </w:r>
      <w:r w:rsidR="00EF2B4F">
        <w:t xml:space="preserve"> правата на трети лица.</w:t>
      </w:r>
      <w:r w:rsidR="00FD2880">
        <w:t>“</w:t>
      </w:r>
      <w:r w:rsidR="00EF2B4F">
        <w:t xml:space="preserve"> (§ 50)</w:t>
      </w:r>
    </w:p>
    <w:p w14:paraId="3DB902BB" w14:textId="7589CBAB" w:rsidR="001A1697" w:rsidRPr="00A56B4B" w:rsidRDefault="00C470EC" w:rsidP="00A25BB2">
      <w:pPr>
        <w:pStyle w:val="JuPara"/>
      </w:pPr>
      <w:fldSimple w:instr=" SEQ level0 \*arabic ">
        <w:r w:rsidR="00CF6F43">
          <w:rPr>
            <w:noProof/>
          </w:rPr>
          <w:t>75</w:t>
        </w:r>
      </w:fldSimple>
      <w:r w:rsidR="00A25BB2">
        <w:t xml:space="preserve">.  Съдът счита, че </w:t>
      </w:r>
      <w:r w:rsidR="00FD2880">
        <w:t>е редно да</w:t>
      </w:r>
      <w:r w:rsidR="00A25BB2">
        <w:t xml:space="preserve"> разгледа дали обстоятелствата по делото </w:t>
      </w:r>
      <w:r w:rsidR="00FD2880">
        <w:t>в тяхната цялост дават на</w:t>
      </w:r>
      <w:r w:rsidR="00A25BB2">
        <w:t xml:space="preserve"> жалбоподател</w:t>
      </w:r>
      <w:r w:rsidR="00FD2880">
        <w:t>я</w:t>
      </w:r>
      <w:r w:rsidR="001B43CA">
        <w:t xml:space="preserve"> право на </w:t>
      </w:r>
      <w:r w:rsidR="0005731A">
        <w:t>материален интерес</w:t>
      </w:r>
      <w:r w:rsidR="00A25BB2">
        <w:t xml:space="preserve">, защитен от член 1 </w:t>
      </w:r>
      <w:r w:rsidR="0005731A">
        <w:t>от</w:t>
      </w:r>
      <w:r w:rsidR="00A25BB2">
        <w:t xml:space="preserve"> Протокол № 1. В тази връзка Съдът отбелязва още в самото начало, че въпросът дали </w:t>
      </w:r>
      <w:r w:rsidR="0005731A">
        <w:t xml:space="preserve">дружеството </w:t>
      </w:r>
      <w:r w:rsidR="00A25BB2">
        <w:t xml:space="preserve">жалбоподател става собственик на търговската марка "Budweiser" на 20 юни 1995 г., когато </w:t>
      </w:r>
      <w:r w:rsidR="0005731A">
        <w:t xml:space="preserve">му </w:t>
      </w:r>
      <w:r w:rsidR="00A25BB2">
        <w:t xml:space="preserve">е било издадено удостоверение за регистрация от NIIP </w:t>
      </w:r>
      <w:r w:rsidR="0005731A">
        <w:t>–</w:t>
      </w:r>
      <w:r w:rsidR="00A25BB2">
        <w:t xml:space="preserve"> </w:t>
      </w:r>
      <w:r w:rsidR="0005731A">
        <w:t>въпрос</w:t>
      </w:r>
      <w:r w:rsidR="00A25BB2">
        <w:t>, ко</w:t>
      </w:r>
      <w:r w:rsidR="0005731A">
        <w:t>й</w:t>
      </w:r>
      <w:r w:rsidR="00A25BB2">
        <w:t xml:space="preserve">то се оспорва </w:t>
      </w:r>
      <w:r w:rsidR="0005731A">
        <w:t>подробно</w:t>
      </w:r>
      <w:r w:rsidR="00A25BB2">
        <w:t xml:space="preserve"> от страните в съдебното заседание пред Голямата камара </w:t>
      </w:r>
      <w:r w:rsidR="0005731A">
        <w:t>–</w:t>
      </w:r>
      <w:r w:rsidR="00A25BB2">
        <w:t xml:space="preserve"> в крайна сметка е от второстепенно значение, </w:t>
      </w:r>
      <w:r w:rsidR="003F135B">
        <w:t>тъй като</w:t>
      </w:r>
      <w:r w:rsidR="00A25BB2">
        <w:t xml:space="preserve"> издаването на удостоверение</w:t>
      </w:r>
      <w:r w:rsidR="003F135B">
        <w:t>то</w:t>
      </w:r>
      <w:r w:rsidR="00A25BB2">
        <w:t xml:space="preserve"> на </w:t>
      </w:r>
      <w:r w:rsidR="003F135B">
        <w:t xml:space="preserve">дружеството </w:t>
      </w:r>
      <w:r w:rsidR="00A25BB2">
        <w:lastRenderedPageBreak/>
        <w:t xml:space="preserve">жалбоподател е в нарушение на разпоредбите на </w:t>
      </w:r>
      <w:r w:rsidR="003F135B">
        <w:t>ч</w:t>
      </w:r>
      <w:r w:rsidR="00A25BB2">
        <w:t>лен 7 от Кодекса за индустриалната собственост (вж</w:t>
      </w:r>
      <w:r w:rsidR="003F135B">
        <w:t>.</w:t>
      </w:r>
      <w:r w:rsidR="00A25BB2">
        <w:t xml:space="preserve"> параграф 43 по-горе) и следователно не може да промени неговия характер на </w:t>
      </w:r>
      <w:r w:rsidR="003F135B">
        <w:t>„</w:t>
      </w:r>
      <w:r w:rsidR="00A25BB2">
        <w:t>притежание</w:t>
      </w:r>
      <w:r w:rsidR="003F135B">
        <w:t>“</w:t>
      </w:r>
      <w:r w:rsidR="00A25BB2">
        <w:t xml:space="preserve">, </w:t>
      </w:r>
      <w:r w:rsidR="003F135B">
        <w:t xml:space="preserve">за </w:t>
      </w:r>
      <w:r w:rsidR="00A25BB2">
        <w:t xml:space="preserve">което </w:t>
      </w:r>
      <w:r w:rsidR="003F135B">
        <w:t xml:space="preserve">дружеството </w:t>
      </w:r>
      <w:r w:rsidR="00A25BB2">
        <w:t>жалбоподател предявява претенции</w:t>
      </w:r>
      <w:r w:rsidR="00EA6DBC">
        <w:t>,</w:t>
      </w:r>
      <w:r w:rsidR="00A25BB2">
        <w:t xml:space="preserve"> или действителността на цялостната </w:t>
      </w:r>
      <w:r w:rsidR="00EA6DBC">
        <w:t xml:space="preserve">му </w:t>
      </w:r>
      <w:r w:rsidR="00A25BB2">
        <w:t xml:space="preserve">правна позиция за целите на </w:t>
      </w:r>
      <w:r w:rsidR="00EA6DBC">
        <w:t>ч</w:t>
      </w:r>
      <w:r w:rsidR="00A25BB2">
        <w:t>лен 1 от Протокол № 1.</w:t>
      </w:r>
    </w:p>
    <w:p w14:paraId="7DAA8936" w14:textId="34758D04" w:rsidR="004570D4" w:rsidRPr="00DC1F02" w:rsidRDefault="00C470EC" w:rsidP="00A25BB2">
      <w:pPr>
        <w:pStyle w:val="JuPara"/>
      </w:pPr>
      <w:fldSimple w:instr=" SEQ level0 \*arabic ">
        <w:r w:rsidR="00CF6F43">
          <w:rPr>
            <w:noProof/>
          </w:rPr>
          <w:t>76</w:t>
        </w:r>
      </w:fldSimple>
      <w:r w:rsidR="00A25BB2">
        <w:t xml:space="preserve">.  С оглед на това Съдът взема под внимание множеството финансови права и интереси, които възникват въз основа на </w:t>
      </w:r>
      <w:r w:rsidR="00EA6DBC">
        <w:t xml:space="preserve">заявлението </w:t>
      </w:r>
      <w:r w:rsidR="00A25BB2">
        <w:t xml:space="preserve">за регистрация на търговска марка. </w:t>
      </w:r>
      <w:r w:rsidR="00EA6DBC">
        <w:t>Той</w:t>
      </w:r>
      <w:r w:rsidR="00A25BB2">
        <w:t xml:space="preserve"> е съглас</w:t>
      </w:r>
      <w:r w:rsidR="00EA6DBC">
        <w:t>е</w:t>
      </w:r>
      <w:r w:rsidR="00A25BB2">
        <w:t>н с</w:t>
      </w:r>
      <w:r w:rsidR="00EA6DBC">
        <w:t>ъс състава</w:t>
      </w:r>
      <w:r w:rsidR="00A25BB2">
        <w:t xml:space="preserve">, че подобни заявления могат да доведат до различни правни сделки, като например споразумение за </w:t>
      </w:r>
      <w:r w:rsidR="005E6BF9">
        <w:t>покупко-</w:t>
      </w:r>
      <w:r w:rsidR="00EA6DBC">
        <w:t xml:space="preserve">продажба или лиценз </w:t>
      </w:r>
      <w:r w:rsidR="005E6BF9">
        <w:t xml:space="preserve">срещу </w:t>
      </w:r>
      <w:r w:rsidR="00A25BB2">
        <w:t>компенсации</w:t>
      </w:r>
      <w:r w:rsidR="005E6BF9">
        <w:t>,</w:t>
      </w:r>
      <w:r w:rsidR="00A25BB2">
        <w:t xml:space="preserve"> и притежават </w:t>
      </w:r>
      <w:r w:rsidR="005E6BF9">
        <w:t>–</w:t>
      </w:r>
      <w:r w:rsidR="00A25BB2">
        <w:t xml:space="preserve"> или са в състояние да притежават </w:t>
      </w:r>
      <w:r w:rsidR="005E6BF9">
        <w:t>–</w:t>
      </w:r>
      <w:r w:rsidR="00A25BB2">
        <w:t xml:space="preserve"> значителна финансова стойност. Във връзка с </w:t>
      </w:r>
      <w:r w:rsidR="005E6BF9">
        <w:t xml:space="preserve">изложението </w:t>
      </w:r>
      <w:r w:rsidR="00A25BB2">
        <w:t>на Правителството, че разглеждането на заявления за регистрация на търговска марка имат само незначителна или символична стойност, се отбел</w:t>
      </w:r>
      <w:r w:rsidR="00FD67EA">
        <w:t>язва</w:t>
      </w:r>
      <w:r w:rsidR="00A25BB2">
        <w:t xml:space="preserve">, че при условията на пазарна икономика, стойността зависи от редица фактори и не е възможно да се твърди, от самото начало, че прехвърлянето на правата на заявление за регистрация на търговска марка няма да има финансова стойност. В настоящия случай, както дружеството жалбоподател не пропуска да изтъкне, въпросната търговска марка притежава определена финансова стойност </w:t>
      </w:r>
      <w:r w:rsidR="00FD67EA">
        <w:t>поради</w:t>
      </w:r>
      <w:r w:rsidR="00A25BB2">
        <w:t xml:space="preserve"> международна</w:t>
      </w:r>
      <w:r w:rsidR="00FD67EA">
        <w:t>та си</w:t>
      </w:r>
      <w:r w:rsidR="00A25BB2">
        <w:t xml:space="preserve"> известност.</w:t>
      </w:r>
    </w:p>
    <w:p w14:paraId="125ECF30" w14:textId="3B4CC1B8" w:rsidR="00D02ADF" w:rsidRPr="00DC1F02" w:rsidRDefault="00C470EC" w:rsidP="00A25BB2">
      <w:pPr>
        <w:pStyle w:val="JuPara"/>
      </w:pPr>
      <w:fldSimple w:instr=" SEQ level0 \*arabic ">
        <w:r w:rsidR="00CF6F43">
          <w:rPr>
            <w:noProof/>
          </w:rPr>
          <w:t>77</w:t>
        </w:r>
      </w:fldSimple>
      <w:r w:rsidR="00A25BB2">
        <w:t xml:space="preserve">.  Страните спорят за това дали, преди влизането в сила на новия </w:t>
      </w:r>
      <w:r w:rsidR="00FD67EA">
        <w:t>К</w:t>
      </w:r>
      <w:r w:rsidR="00A25BB2">
        <w:t xml:space="preserve">одекс за индустриалната собственост от 2003 г., е било възможно съгласно португалското право да се получи обезщетение за незаконно или неправомерно използване от трети лица на дадена търговска марка, по отношение на която има подадено </w:t>
      </w:r>
      <w:r w:rsidR="009F46CF">
        <w:t xml:space="preserve">и нерешено </w:t>
      </w:r>
      <w:r w:rsidR="00A25BB2">
        <w:t xml:space="preserve">заявление за регистрация. От своя страна Съдът счита, че </w:t>
      </w:r>
      <w:r w:rsidR="009F46CF">
        <w:t>с оглед</w:t>
      </w:r>
      <w:r w:rsidR="00A25BB2">
        <w:t xml:space="preserve"> на решението на Апелативният съд в Лисабон от 10 май 2001 г. такава възможност не може да бъде изцяло изключена.</w:t>
      </w:r>
    </w:p>
    <w:p w14:paraId="5A3F0D92" w14:textId="6AF2A2C7" w:rsidR="003F2F17" w:rsidRPr="00DC1F02" w:rsidRDefault="00C470EC" w:rsidP="00A25BB2">
      <w:pPr>
        <w:pStyle w:val="JuPara"/>
      </w:pPr>
      <w:fldSimple w:instr=" SEQ level0 \*arabic ">
        <w:r w:rsidR="00CF6F43">
          <w:rPr>
            <w:noProof/>
          </w:rPr>
          <w:t>78</w:t>
        </w:r>
      </w:fldSimple>
      <w:r w:rsidR="00A25BB2">
        <w:t xml:space="preserve">.  Тези елементи </w:t>
      </w:r>
      <w:r w:rsidR="00B24733">
        <w:t>в своята цялост</w:t>
      </w:r>
      <w:r w:rsidR="00A25BB2">
        <w:t xml:space="preserve"> предполагат, че правното положение на </w:t>
      </w:r>
      <w:r w:rsidR="00B24733">
        <w:t xml:space="preserve">дружеството </w:t>
      </w:r>
      <w:r w:rsidR="00A25BB2">
        <w:t xml:space="preserve">жалбоподател като кандидат за регистрация на търговската марка попада в рамките на </w:t>
      </w:r>
      <w:r w:rsidR="00B24733">
        <w:t>ч</w:t>
      </w:r>
      <w:r w:rsidR="00A25BB2">
        <w:t xml:space="preserve">лен 1 от Протокол № 1, тъй като това води до интереси от  характер. Вярно е, че регистрацията на търговската марка </w:t>
      </w:r>
      <w:r w:rsidR="00B24733">
        <w:t>–</w:t>
      </w:r>
      <w:r w:rsidR="00A25BB2">
        <w:t xml:space="preserve"> и</w:t>
      </w:r>
      <w:r w:rsidR="00B24733">
        <w:t xml:space="preserve"> </w:t>
      </w:r>
      <w:r w:rsidR="00A25BB2">
        <w:t xml:space="preserve">по-голямата защита, която </w:t>
      </w:r>
      <w:r w:rsidR="00B24733">
        <w:t>тя ѝ</w:t>
      </w:r>
      <w:r w:rsidR="00A25BB2">
        <w:t xml:space="preserve"> предоставя </w:t>
      </w:r>
      <w:r w:rsidR="00B24733">
        <w:t>–</w:t>
      </w:r>
      <w:r w:rsidR="00A25BB2">
        <w:t xml:space="preserve"> ще стане окончателна, само ако търговската марка не нарушава законните права на трети лица, така че в този смисъл правата, свързани с искането за регистрация</w:t>
      </w:r>
      <w:r w:rsidR="000D4D01">
        <w:t>,</w:t>
      </w:r>
      <w:r w:rsidR="00A25BB2">
        <w:t xml:space="preserve"> са условни. Независимо от това, когато </w:t>
      </w:r>
      <w:r w:rsidR="000D4D01">
        <w:t xml:space="preserve">дружеството </w:t>
      </w:r>
      <w:r w:rsidR="00A25BB2">
        <w:t>жалбоподател подава заявлението си за регистрация, т</w:t>
      </w:r>
      <w:r w:rsidR="000D4D01">
        <w:t>о</w:t>
      </w:r>
      <w:r w:rsidR="00A25BB2">
        <w:t xml:space="preserve"> има право да очаква, че </w:t>
      </w:r>
      <w:r w:rsidR="000D4D01">
        <w:t xml:space="preserve">заявлението </w:t>
      </w:r>
      <w:r w:rsidR="00A25BB2">
        <w:t xml:space="preserve">ще бъде </w:t>
      </w:r>
      <w:r w:rsidR="000D4D01">
        <w:t>разгледано</w:t>
      </w:r>
      <w:r w:rsidR="00A25BB2">
        <w:t xml:space="preserve"> </w:t>
      </w:r>
      <w:r w:rsidR="000D4D01">
        <w:t>по смисъла</w:t>
      </w:r>
      <w:r w:rsidR="00A25BB2">
        <w:t xml:space="preserve"> на приложимото законодателство, ако отговаря на други</w:t>
      </w:r>
      <w:r w:rsidR="000D4D01">
        <w:t>те</w:t>
      </w:r>
      <w:r w:rsidR="00A25BB2">
        <w:t xml:space="preserve"> </w:t>
      </w:r>
      <w:r w:rsidR="000D4D01">
        <w:t xml:space="preserve">приложими </w:t>
      </w:r>
      <w:r w:rsidR="00A25BB2">
        <w:t xml:space="preserve">материални и процесуални условия. Следователно </w:t>
      </w:r>
      <w:r w:rsidR="000D4D01">
        <w:t xml:space="preserve">дружеството </w:t>
      </w:r>
      <w:r w:rsidR="00A25BB2">
        <w:t xml:space="preserve">жалбоподател притежава набор от </w:t>
      </w:r>
      <w:r w:rsidR="009D10C8">
        <w:t xml:space="preserve">собственически </w:t>
      </w:r>
      <w:r w:rsidR="00A25BB2">
        <w:t xml:space="preserve">права </w:t>
      </w:r>
      <w:r w:rsidR="009D10C8">
        <w:t>–</w:t>
      </w:r>
      <w:r w:rsidR="00A25BB2">
        <w:t xml:space="preserve"> свързани с неговото заявление за регистрация на търговска марка </w:t>
      </w:r>
      <w:r w:rsidR="009D10C8">
        <w:t>–</w:t>
      </w:r>
      <w:r w:rsidR="00A25BB2">
        <w:t xml:space="preserve"> които са признати съгласно португалското право, въпреки че биха могли да бъдат </w:t>
      </w:r>
      <w:r w:rsidR="009D10C8">
        <w:lastRenderedPageBreak/>
        <w:t xml:space="preserve">отменени </w:t>
      </w:r>
      <w:r w:rsidR="00A25BB2">
        <w:t xml:space="preserve">при определени условия. Това е достатъчно, за да </w:t>
      </w:r>
      <w:r w:rsidR="009D10C8">
        <w:t>бъде ч</w:t>
      </w:r>
      <w:r w:rsidR="00A25BB2">
        <w:t xml:space="preserve">лен 1 от Протокол № 1 приложим в конкретния случай и да </w:t>
      </w:r>
      <w:r w:rsidR="000420C3">
        <w:t>задължи</w:t>
      </w:r>
      <w:r w:rsidR="00A25BB2">
        <w:t xml:space="preserve"> Съда </w:t>
      </w:r>
      <w:r w:rsidR="000420C3">
        <w:t xml:space="preserve">да </w:t>
      </w:r>
      <w:r w:rsidR="00A25BB2">
        <w:t xml:space="preserve">разгледа въпроса дали </w:t>
      </w:r>
      <w:r w:rsidR="000420C3">
        <w:t xml:space="preserve">дружеството </w:t>
      </w:r>
      <w:r w:rsidR="00A25BB2">
        <w:t xml:space="preserve">жалбоподател може да претендира, че е имала </w:t>
      </w:r>
      <w:r w:rsidR="000420C3">
        <w:t>„</w:t>
      </w:r>
      <w:r w:rsidR="00A25BB2">
        <w:t>легитимно очакване</w:t>
      </w:r>
      <w:r w:rsidR="000420C3">
        <w:t>“</w:t>
      </w:r>
      <w:r w:rsidR="00A25BB2">
        <w:t>.</w:t>
      </w:r>
    </w:p>
    <w:p w14:paraId="3FF88F87" w14:textId="77777777" w:rsidR="00A25BB2" w:rsidRPr="00DC1F02" w:rsidRDefault="004E3B9A" w:rsidP="00A25BB2">
      <w:pPr>
        <w:pStyle w:val="JuHa0"/>
      </w:pPr>
      <w:r>
        <w:t>(b) Дали е имало намеса</w:t>
      </w:r>
    </w:p>
    <w:p w14:paraId="3DA700B0" w14:textId="2C611127" w:rsidR="00627C6A" w:rsidRDefault="00C470EC" w:rsidP="00A25BB2">
      <w:pPr>
        <w:pStyle w:val="JuPara"/>
      </w:pPr>
      <w:fldSimple w:instr=" SEQ level0 \*arabic ">
        <w:r w:rsidR="00CF6F43">
          <w:rPr>
            <w:noProof/>
          </w:rPr>
          <w:t>79</w:t>
        </w:r>
      </w:fldSimple>
      <w:r w:rsidR="00A25BB2">
        <w:t xml:space="preserve">.  Съдът е </w:t>
      </w:r>
      <w:r w:rsidR="000420C3">
        <w:t>констатирал</w:t>
      </w:r>
      <w:r w:rsidR="00A25BB2">
        <w:t xml:space="preserve">, че член 1 от Протокол № 1 е приложим в този случай. Сега трябва да провери дали е имало намеса в правата на </w:t>
      </w:r>
      <w:r w:rsidR="00872624">
        <w:t xml:space="preserve">дружеството </w:t>
      </w:r>
      <w:r w:rsidR="00A25BB2">
        <w:t xml:space="preserve">жалбоподател </w:t>
      </w:r>
      <w:r w:rsidR="00872624">
        <w:t>н</w:t>
      </w:r>
      <w:r w:rsidR="00A25BB2">
        <w:t>а мирно ползване на нейните притежания.</w:t>
      </w:r>
    </w:p>
    <w:p w14:paraId="4AD24730" w14:textId="4E56FE00" w:rsidR="00A74193" w:rsidRPr="00DC1F02" w:rsidRDefault="00C470EC" w:rsidP="00A25BB2">
      <w:pPr>
        <w:pStyle w:val="JuPara"/>
      </w:pPr>
      <w:fldSimple w:instr=" SEQ level0 \*arabic ">
        <w:r w:rsidR="00CF6F43">
          <w:rPr>
            <w:noProof/>
          </w:rPr>
          <w:t>80</w:t>
        </w:r>
      </w:fldSimple>
      <w:r w:rsidR="00A25BB2">
        <w:t>.  </w:t>
      </w:r>
      <w:r w:rsidR="00872624">
        <w:t xml:space="preserve">Дружеството </w:t>
      </w:r>
      <w:r w:rsidR="00A25BB2">
        <w:t xml:space="preserve">жалбоподател твърди, че намесата произтича от решение на Върховния съд от 23 януари 2001 г., което </w:t>
      </w:r>
      <w:r w:rsidR="00872624">
        <w:t xml:space="preserve">е </w:t>
      </w:r>
      <w:r w:rsidR="00A25BB2">
        <w:t>добав</w:t>
      </w:r>
      <w:r w:rsidR="00872624">
        <w:t>ило</w:t>
      </w:r>
      <w:r w:rsidR="00A25BB2">
        <w:t xml:space="preserve"> по-голяма тежест на двустранн</w:t>
      </w:r>
      <w:r w:rsidR="00872624">
        <w:t>а</w:t>
      </w:r>
      <w:r w:rsidR="00A25BB2">
        <w:t>т</w:t>
      </w:r>
      <w:r w:rsidR="00872624">
        <w:t>а</w:t>
      </w:r>
      <w:r w:rsidR="00A25BB2">
        <w:t xml:space="preserve"> спо</w:t>
      </w:r>
      <w:r w:rsidR="00872624">
        <w:t>годба</w:t>
      </w:r>
      <w:r w:rsidR="00A25BB2">
        <w:t xml:space="preserve"> от 1986 г., отколкото по-ранното заявление за регистрация на търговската марка "Budweiser". Точно това решение ефективно лишава </w:t>
      </w:r>
      <w:r w:rsidR="00B00220">
        <w:t xml:space="preserve">дружеството </w:t>
      </w:r>
      <w:r w:rsidR="00A25BB2">
        <w:t xml:space="preserve">жалбоподател от правото </w:t>
      </w:r>
      <w:r w:rsidR="00B00220">
        <w:t>му</w:t>
      </w:r>
      <w:r w:rsidR="00A25BB2">
        <w:t xml:space="preserve"> на собственост върху търговската марка при обстоятелства, които според не</w:t>
      </w:r>
      <w:r w:rsidR="00B00220">
        <w:t>гов</w:t>
      </w:r>
      <w:r w:rsidR="00A25BB2">
        <w:t xml:space="preserve">ите твърдения са нарушили съответните международни инструменти и </w:t>
      </w:r>
      <w:r w:rsidR="00B00220">
        <w:t>ч</w:t>
      </w:r>
      <w:r w:rsidR="00A25BB2">
        <w:t xml:space="preserve">лен 1 от Протокол № 1 </w:t>
      </w:r>
      <w:r w:rsidR="00B00220">
        <w:t xml:space="preserve">поради </w:t>
      </w:r>
      <w:r w:rsidR="00A25BB2">
        <w:t>неспазване на приоритетното правило. Ако не беше приложен</w:t>
      </w:r>
      <w:r w:rsidR="008511E6">
        <w:t>а</w:t>
      </w:r>
      <w:r w:rsidR="00A25BB2">
        <w:t xml:space="preserve"> двустранн</w:t>
      </w:r>
      <w:r w:rsidR="008511E6">
        <w:t>а</w:t>
      </w:r>
      <w:r w:rsidR="00A25BB2">
        <w:t>т</w:t>
      </w:r>
      <w:r w:rsidR="008511E6">
        <w:t>а</w:t>
      </w:r>
      <w:r w:rsidR="00A25BB2">
        <w:t xml:space="preserve"> </w:t>
      </w:r>
      <w:r w:rsidR="008511E6">
        <w:t>с</w:t>
      </w:r>
      <w:r w:rsidR="00A25BB2">
        <w:t>по</w:t>
      </w:r>
      <w:r w:rsidR="008511E6">
        <w:t>годба</w:t>
      </w:r>
      <w:r w:rsidR="00A25BB2">
        <w:t xml:space="preserve">, заявлението за регистрация на </w:t>
      </w:r>
      <w:r w:rsidR="008511E6">
        <w:t xml:space="preserve">дружеството </w:t>
      </w:r>
      <w:r w:rsidR="00A25BB2">
        <w:t>жалбоподател задължително щеше да бъде прието, тъй като отговаря на всички други приложими законови условия.</w:t>
      </w:r>
    </w:p>
    <w:p w14:paraId="0001E1D2" w14:textId="6245F70E" w:rsidR="00E4200F" w:rsidRPr="00DC1F02" w:rsidRDefault="00C470EC" w:rsidP="00A25BB2">
      <w:pPr>
        <w:pStyle w:val="JuPara"/>
      </w:pPr>
      <w:fldSimple w:instr=" SEQ level0 \*arabic ">
        <w:r w:rsidR="00CF6F43">
          <w:rPr>
            <w:noProof/>
          </w:rPr>
          <w:t>81</w:t>
        </w:r>
      </w:fldSimple>
      <w:r w:rsidR="00A25BB2">
        <w:t>.  Следователно въпросът пред Съда е дали решението да се прилагат разпоредбите на двустранн</w:t>
      </w:r>
      <w:r w:rsidR="008511E6">
        <w:t>а</w:t>
      </w:r>
      <w:r w:rsidR="00A25BB2">
        <w:t>т</w:t>
      </w:r>
      <w:r w:rsidR="008511E6">
        <w:t>а</w:t>
      </w:r>
      <w:r w:rsidR="00A25BB2">
        <w:t xml:space="preserve"> спо</w:t>
      </w:r>
      <w:r w:rsidR="008511E6">
        <w:t>годба</w:t>
      </w:r>
      <w:r w:rsidR="00A25BB2">
        <w:t xml:space="preserve"> от 1986 г. към заявлението за регистрация, подадено през 1981 г.</w:t>
      </w:r>
      <w:r w:rsidR="008511E6">
        <w:t>,</w:t>
      </w:r>
      <w:r w:rsidR="00A25BB2">
        <w:t xml:space="preserve"> може да представлява намеса в правото на </w:t>
      </w:r>
      <w:r w:rsidR="008511E6">
        <w:t xml:space="preserve">дружеството </w:t>
      </w:r>
      <w:r w:rsidR="00A25BB2">
        <w:t>жалбоподател да се ползва мирно от своите притежания.</w:t>
      </w:r>
    </w:p>
    <w:p w14:paraId="6340DF8C" w14:textId="42B54774" w:rsidR="00E9721D" w:rsidRDefault="00C470EC" w:rsidP="00A25BB2">
      <w:pPr>
        <w:pStyle w:val="JuPara"/>
        <w:rPr>
          <w:szCs w:val="24"/>
        </w:rPr>
      </w:pPr>
      <w:fldSimple w:instr=" SEQ level0 \*arabic ">
        <w:r w:rsidR="00CF6F43">
          <w:rPr>
            <w:noProof/>
          </w:rPr>
          <w:t>82</w:t>
        </w:r>
      </w:fldSimple>
      <w:r w:rsidR="00A25BB2">
        <w:t>.  Във връзка с това Съдът отново подчертава, че при определени обстоятелства прилагане</w:t>
      </w:r>
      <w:r w:rsidR="008511E6">
        <w:t>то</w:t>
      </w:r>
      <w:r w:rsidR="00A25BB2">
        <w:t xml:space="preserve"> със задна дата </w:t>
      </w:r>
      <w:r w:rsidR="00453616">
        <w:t xml:space="preserve">на законодателство, чието действие </w:t>
      </w:r>
      <w:r w:rsidR="00A25BB2">
        <w:t>лиш</w:t>
      </w:r>
      <w:r w:rsidR="00453616">
        <w:t>ава</w:t>
      </w:r>
      <w:r w:rsidR="00A25BB2">
        <w:t xml:space="preserve"> някого от съществуващи преди това </w:t>
      </w:r>
      <w:r w:rsidR="00453616">
        <w:t>„</w:t>
      </w:r>
      <w:r w:rsidR="00A25BB2">
        <w:t>актив</w:t>
      </w:r>
      <w:r w:rsidR="00453616">
        <w:t>“</w:t>
      </w:r>
      <w:r w:rsidR="00A25BB2">
        <w:t>, ко</w:t>
      </w:r>
      <w:r w:rsidR="00453616">
        <w:t>й</w:t>
      </w:r>
      <w:r w:rsidR="00A25BB2">
        <w:t xml:space="preserve">то </w:t>
      </w:r>
      <w:r w:rsidR="00453616">
        <w:t>е</w:t>
      </w:r>
      <w:r w:rsidR="00A25BB2">
        <w:t xml:space="preserve"> част от неговите </w:t>
      </w:r>
      <w:r w:rsidR="00453616">
        <w:t>„</w:t>
      </w:r>
      <w:r w:rsidR="00A25BB2">
        <w:t>притежания</w:t>
      </w:r>
      <w:r w:rsidR="00453616">
        <w:t>“,</w:t>
      </w:r>
      <w:r w:rsidR="00A25BB2">
        <w:t xml:space="preserve"> може да представлява намеса, която може да наруши справедливия баланс, който трябва да се поддържа между необходимото за обществения интерес, от една страна, и защитата на правото на мирно ползване на притежанията от друга страна (вж</w:t>
      </w:r>
      <w:r w:rsidR="00453616">
        <w:t>.</w:t>
      </w:r>
      <w:r w:rsidR="00A25BB2">
        <w:t xml:space="preserve">, наред </w:t>
      </w:r>
      <w:r w:rsidR="00453616">
        <w:t>с</w:t>
      </w:r>
      <w:r w:rsidR="00A25BB2">
        <w:t xml:space="preserve"> други и</w:t>
      </w:r>
      <w:r w:rsidR="00453616">
        <w:t>зточници</w:t>
      </w:r>
      <w:r w:rsidR="00A25BB2">
        <w:t xml:space="preserve"> </w:t>
      </w:r>
      <w:r w:rsidR="00A25BB2">
        <w:rPr>
          <w:i/>
        </w:rPr>
        <w:t xml:space="preserve">Maurice v. France </w:t>
      </w:r>
      <w:r w:rsidR="00A25BB2">
        <w:t>[</w:t>
      </w:r>
      <w:r w:rsidR="00453616">
        <w:t>ГО</w:t>
      </w:r>
      <w:r w:rsidR="00A25BB2">
        <w:t>], № 11810/03, §§ 90 и 93, ЕСПЧ 2005-IX). Това важи и за случаите, в които спорът е между частни лица и държавата не е страна в производство</w:t>
      </w:r>
      <w:r w:rsidR="005775F2">
        <w:t>то</w:t>
      </w:r>
      <w:r w:rsidR="00A25BB2">
        <w:t xml:space="preserve"> (вж</w:t>
      </w:r>
      <w:r w:rsidR="005775F2">
        <w:t>.</w:t>
      </w:r>
      <w:r w:rsidR="00A25BB2">
        <w:t xml:space="preserve"> </w:t>
      </w:r>
      <w:r w:rsidR="00A25BB2">
        <w:rPr>
          <w:i/>
        </w:rPr>
        <w:t>Lecarpentier v. France</w:t>
      </w:r>
      <w:r w:rsidR="00A25BB2">
        <w:t>, , № 67847/01, §§ 48, 51 и 52, 14 февруари 2006 г.</w:t>
      </w:r>
      <w:r w:rsidR="005775F2">
        <w:t>;</w:t>
      </w:r>
      <w:r w:rsidR="00A25BB2">
        <w:t xml:space="preserve"> </w:t>
      </w:r>
      <w:r w:rsidR="005775F2">
        <w:t>вж. също в</w:t>
      </w:r>
      <w:r w:rsidR="00A25BB2">
        <w:t xml:space="preserve">ъв връзка с </w:t>
      </w:r>
      <w:r w:rsidR="005775F2">
        <w:t>ч</w:t>
      </w:r>
      <w:r w:rsidR="00A25BB2">
        <w:t xml:space="preserve">лен 6 от Конвенцията </w:t>
      </w:r>
      <w:r w:rsidR="00A25BB2">
        <w:rPr>
          <w:i/>
        </w:rPr>
        <w:t>Cabourdin v. France</w:t>
      </w:r>
      <w:r w:rsidR="00A25BB2">
        <w:t>, № 60796/00, §§ 28-30</w:t>
      </w:r>
      <w:r w:rsidR="005775F2">
        <w:t>,</w:t>
      </w:r>
      <w:r w:rsidR="00A25BB2">
        <w:t xml:space="preserve"> 11 април 2006 г.).</w:t>
      </w:r>
    </w:p>
    <w:p w14:paraId="4ACCE8C8" w14:textId="075D6249" w:rsidR="00E71F84" w:rsidRPr="00DC1F02" w:rsidRDefault="00E9721D" w:rsidP="00A25BB2">
      <w:pPr>
        <w:pStyle w:val="JuPara"/>
      </w:pPr>
      <w:r>
        <w:rPr>
          <w:szCs w:val="24"/>
        </w:rPr>
        <w:fldChar w:fldCharType="begin"/>
      </w:r>
      <w:r>
        <w:rPr>
          <w:szCs w:val="24"/>
        </w:rPr>
        <w:instrText xml:space="preserve"> SEQ level0 \*arabic </w:instrText>
      </w:r>
      <w:r>
        <w:rPr>
          <w:szCs w:val="24"/>
        </w:rPr>
        <w:fldChar w:fldCharType="separate"/>
      </w:r>
      <w:r w:rsidR="00CF6F43">
        <w:rPr>
          <w:noProof/>
          <w:szCs w:val="24"/>
        </w:rPr>
        <w:t>83</w:t>
      </w:r>
      <w:r>
        <w:rPr>
          <w:szCs w:val="24"/>
        </w:rPr>
        <w:fldChar w:fldCharType="end"/>
      </w:r>
      <w:r>
        <w:t>.  Въпреки това Съдът отбелязва, че в настоящия случай</w:t>
      </w:r>
      <w:r w:rsidR="005775F2">
        <w:t xml:space="preserve"> дружеството </w:t>
      </w:r>
      <w:r>
        <w:t>жалбоподател се оплаква основно от начина, по който националните съдилища тълкуват и прилагат вътрешното право в съдебно производство за едно и също наименование между двама конкурентни жалбоподатели, като по-</w:t>
      </w:r>
      <w:r w:rsidR="00735F23">
        <w:t xml:space="preserve">конкретно </w:t>
      </w:r>
      <w:r>
        <w:t xml:space="preserve">се твърди, че </w:t>
      </w:r>
      <w:r>
        <w:lastRenderedPageBreak/>
        <w:t>съдилищата неправилно са приложили със задна дата двустранн</w:t>
      </w:r>
      <w:r w:rsidR="00735F23">
        <w:t>а</w:t>
      </w:r>
      <w:r>
        <w:t>т</w:t>
      </w:r>
      <w:r w:rsidR="00735F23">
        <w:t>а</w:t>
      </w:r>
      <w:r>
        <w:t xml:space="preserve"> спо</w:t>
      </w:r>
      <w:r w:rsidR="00735F23">
        <w:t>годба</w:t>
      </w:r>
      <w:r>
        <w:t>, а не закон, който ги лишава от предварително съществуващите им притежания. Съдът отбелязва, че дори в случа</w:t>
      </w:r>
      <w:r w:rsidR="00735F23">
        <w:t>й</w:t>
      </w:r>
      <w:r>
        <w:t xml:space="preserve"> на спорове между физически лица и фирми, задълженията на държавата по силата на </w:t>
      </w:r>
      <w:r w:rsidR="00FD5128">
        <w:t>ч</w:t>
      </w:r>
      <w:r>
        <w:t xml:space="preserve">лен 1 от Протокол № 1 </w:t>
      </w:r>
      <w:r w:rsidR="00FD5128">
        <w:t>предполагат</w:t>
      </w:r>
      <w:r>
        <w:t xml:space="preserve"> вземането на необходимите мерки за защита на правото на собственост. По-</w:t>
      </w:r>
      <w:r w:rsidR="00FD5128">
        <w:t>конкретно</w:t>
      </w:r>
      <w:r>
        <w:t xml:space="preserve"> държавата е длъжна да предостави на страните по спора такива съдебни процедури, които предлагат необходимите процедурни гаранции и следователно дават възможност на националните съдилища и трибунали да се произнесат ефективно и справедливо с оглед на приложимото право. Въпреки това Съдът отново подчертава, че неговата компетентност да провери дали вътрешното право е било правилно тълкувано и приложено е ограничена и че неговата функция не е да заеме мястото на националните съдилища</w:t>
      </w:r>
      <w:r w:rsidR="00FD5128">
        <w:t xml:space="preserve"> – </w:t>
      </w:r>
      <w:r>
        <w:t>неговата роля по-скоро е да гарантира, че решенията на тези съдилища не са опорочени от произвол</w:t>
      </w:r>
      <w:r w:rsidR="00D05C37">
        <w:t>ност</w:t>
      </w:r>
      <w:r>
        <w:t xml:space="preserve"> или </w:t>
      </w:r>
      <w:r w:rsidR="004310EB">
        <w:t>друга</w:t>
      </w:r>
      <w:r w:rsidR="00D05C37">
        <w:t xml:space="preserve"> </w:t>
      </w:r>
      <w:r>
        <w:t>явн</w:t>
      </w:r>
      <w:r w:rsidR="004310EB">
        <w:t>а</w:t>
      </w:r>
      <w:r>
        <w:t xml:space="preserve"> неосновател</w:t>
      </w:r>
      <w:r w:rsidR="004310EB">
        <w:t>ност</w:t>
      </w:r>
      <w:r>
        <w:t xml:space="preserve">. Това е особено вярно, когато, както в този случай, </w:t>
      </w:r>
      <w:r w:rsidR="004310EB">
        <w:t>казусът касае</w:t>
      </w:r>
      <w:r w:rsidR="002B40B9">
        <w:t xml:space="preserve"> трудни </w:t>
      </w:r>
      <w:r>
        <w:t>въпрос</w:t>
      </w:r>
      <w:r w:rsidR="002B40B9">
        <w:t>и</w:t>
      </w:r>
      <w:r>
        <w:t xml:space="preserve"> </w:t>
      </w:r>
      <w:r w:rsidR="002B40B9">
        <w:t xml:space="preserve">за тълкуване </w:t>
      </w:r>
      <w:r>
        <w:t xml:space="preserve">на вътрешното право. Съдът </w:t>
      </w:r>
      <w:r w:rsidR="002B40B9">
        <w:t xml:space="preserve">отново посочва </w:t>
      </w:r>
      <w:r>
        <w:t xml:space="preserve">своята установена съдебна практика, според която съгласно </w:t>
      </w:r>
      <w:r w:rsidR="002B40B9">
        <w:t>ч</w:t>
      </w:r>
      <w:r>
        <w:t xml:space="preserve">лен 19 от Конвенцията, негово задължение е да осигури спазването на </w:t>
      </w:r>
      <w:r w:rsidR="002B40B9">
        <w:t>ангажиментите</w:t>
      </w:r>
      <w:r>
        <w:t xml:space="preserve">, поети от </w:t>
      </w:r>
      <w:r w:rsidR="002B40B9">
        <w:t>Д</w:t>
      </w:r>
      <w:r>
        <w:t xml:space="preserve">оговарящите страни по </w:t>
      </w:r>
      <w:r w:rsidR="002B40B9">
        <w:t>К</w:t>
      </w:r>
      <w:r>
        <w:t>онвенцията. По-</w:t>
      </w:r>
      <w:r w:rsidR="002B40B9">
        <w:t>конкретно</w:t>
      </w:r>
      <w:r>
        <w:t xml:space="preserve"> неговата функция не е да разглежда фактически или правни грешки, за които се твърди, че са извършени от националните съдилища, освен ако и доколкото същите може да са нарушили права и свободи, защитени от Конвенцията (вж</w:t>
      </w:r>
      <w:r w:rsidR="00C51771">
        <w:t>.</w:t>
      </w:r>
      <w:r>
        <w:t xml:space="preserve"> </w:t>
      </w:r>
      <w:r>
        <w:rPr>
          <w:i/>
        </w:rPr>
        <w:t>García Ruiz v. Spain</w:t>
      </w:r>
      <w:r>
        <w:t xml:space="preserve"> [</w:t>
      </w:r>
      <w:r w:rsidR="00C51771">
        <w:t>ГО</w:t>
      </w:r>
      <w:r>
        <w:t>], № 30544/96, § 28, ЕСПЧ 1999-I).</w:t>
      </w:r>
    </w:p>
    <w:p w14:paraId="320B3013" w14:textId="664390C9" w:rsidR="00A52151" w:rsidRPr="00DC1F02" w:rsidRDefault="00C470EC" w:rsidP="00A25BB2">
      <w:pPr>
        <w:pStyle w:val="JuPara"/>
      </w:pPr>
      <w:fldSimple w:instr=" SEQ level0 \*arabic ">
        <w:r w:rsidR="00CF6F43">
          <w:rPr>
            <w:noProof/>
          </w:rPr>
          <w:t>84</w:t>
        </w:r>
      </w:fldSimple>
      <w:r w:rsidR="00A25BB2">
        <w:t>.  Съдът отбелязва на първо място</w:t>
      </w:r>
      <w:r w:rsidR="00C51771">
        <w:t>, че</w:t>
      </w:r>
      <w:r w:rsidR="00A25BB2">
        <w:t xml:space="preserve"> настоящото дело се различава от случаите, при които е установено, че е имало ретроспективна намеса от страна на законодателя по отношение правото на собственост на една от страните (вж</w:t>
      </w:r>
      <w:r w:rsidR="00C51771">
        <w:t>.</w:t>
      </w:r>
      <w:r w:rsidR="00A25BB2">
        <w:t xml:space="preserve"> като най-скорошни решения  </w:t>
      </w:r>
      <w:r w:rsidR="00A25BB2">
        <w:rPr>
          <w:i/>
        </w:rPr>
        <w:t>Maurice</w:t>
      </w:r>
      <w:r w:rsidR="00A25BB2">
        <w:t xml:space="preserve"> and </w:t>
      </w:r>
      <w:r w:rsidR="00A25BB2">
        <w:rPr>
          <w:i/>
        </w:rPr>
        <w:t>Lecarpentier</w:t>
      </w:r>
      <w:r w:rsidR="00C51771">
        <w:rPr>
          <w:i/>
        </w:rPr>
        <w:t>,</w:t>
      </w:r>
      <w:r w:rsidR="00C51771">
        <w:t xml:space="preserve"> цитирано по-горе;</w:t>
      </w:r>
      <w:r w:rsidR="00A25BB2">
        <w:t xml:space="preserve"> вж</w:t>
      </w:r>
      <w:r w:rsidR="00C51771">
        <w:t>.</w:t>
      </w:r>
      <w:r w:rsidR="00A25BB2">
        <w:t xml:space="preserve"> също </w:t>
      </w:r>
      <w:r w:rsidR="00A25BB2">
        <w:rPr>
          <w:i/>
        </w:rPr>
        <w:t>Pressos Compania Naviera S.A. and Others v. Belgium</w:t>
      </w:r>
      <w:r w:rsidR="00A25BB2">
        <w:t xml:space="preserve">, 20 ноември 1995 г., Серия A № 332). Причината за това е, че в конкретния случай самият въпрос дали законодателството е приложено ретроспективно сам по себе си е проблем, </w:t>
      </w:r>
      <w:r w:rsidR="000D4792">
        <w:t xml:space="preserve">докато </w:t>
      </w:r>
      <w:r w:rsidR="00A25BB2">
        <w:t xml:space="preserve">в посочените по-горе случаи </w:t>
      </w:r>
      <w:r w:rsidR="000D4792">
        <w:t xml:space="preserve">ретроспективното действие на законодателството е </w:t>
      </w:r>
      <w:r w:rsidR="00A25BB2">
        <w:t xml:space="preserve">не само безспорно, </w:t>
      </w:r>
      <w:r w:rsidR="000D4792">
        <w:t>но</w:t>
      </w:r>
      <w:r w:rsidR="00A25BB2">
        <w:t xml:space="preserve"> и умишлено. В действителност не е било установено, че </w:t>
      </w:r>
      <w:r w:rsidR="00B356F0">
        <w:t xml:space="preserve">дружеството </w:t>
      </w:r>
      <w:r w:rsidR="00A25BB2">
        <w:t>жалбоподател е имал</w:t>
      </w:r>
      <w:r w:rsidR="00B356F0">
        <w:t>о</w:t>
      </w:r>
      <w:r w:rsidR="00A25BB2">
        <w:t xml:space="preserve"> право на приоритет по отношение на търговската марка "Budweiser", когато двустранн</w:t>
      </w:r>
      <w:r w:rsidR="00B356F0">
        <w:t>а</w:t>
      </w:r>
      <w:r w:rsidR="00A25BB2">
        <w:t>т</w:t>
      </w:r>
      <w:r w:rsidR="00B356F0">
        <w:t>а</w:t>
      </w:r>
      <w:r w:rsidR="00A25BB2">
        <w:t xml:space="preserve"> спо</w:t>
      </w:r>
      <w:r w:rsidR="00B356F0">
        <w:t>годба</w:t>
      </w:r>
      <w:r w:rsidR="00A25BB2">
        <w:t>, за ко</w:t>
      </w:r>
      <w:r w:rsidR="00B356F0">
        <w:t>я</w:t>
      </w:r>
      <w:r w:rsidR="00A25BB2">
        <w:t>то се твърди, че е приложен</w:t>
      </w:r>
      <w:r w:rsidR="00B356F0">
        <w:t>а</w:t>
      </w:r>
      <w:r w:rsidR="00A25BB2">
        <w:t xml:space="preserve"> ретроспективно</w:t>
      </w:r>
      <w:r w:rsidR="00B356F0">
        <w:t>,</w:t>
      </w:r>
      <w:r w:rsidR="00A25BB2">
        <w:t xml:space="preserve"> е влязл</w:t>
      </w:r>
      <w:r w:rsidR="00B356F0">
        <w:t>а</w:t>
      </w:r>
      <w:r w:rsidR="00A25BB2">
        <w:t xml:space="preserve"> в сила. В тази връзка Съдът отбелязва, че единствената влязла в сила регистрация, която е съществувала, когато двустранн</w:t>
      </w:r>
      <w:r w:rsidR="00B356F0">
        <w:t>а</w:t>
      </w:r>
      <w:r w:rsidR="00A25BB2">
        <w:t>т</w:t>
      </w:r>
      <w:r w:rsidR="00B356F0">
        <w:t>а</w:t>
      </w:r>
      <w:r w:rsidR="00A25BB2">
        <w:t xml:space="preserve"> спо</w:t>
      </w:r>
      <w:r w:rsidR="00B356F0">
        <w:t>годба</w:t>
      </w:r>
      <w:r w:rsidR="00A25BB2">
        <w:t xml:space="preserve"> влиза в сила на 7 март 1987 г.</w:t>
      </w:r>
      <w:r w:rsidR="00B356F0">
        <w:t>,</w:t>
      </w:r>
      <w:r w:rsidR="00A25BB2">
        <w:t xml:space="preserve"> е тази на наименованията за произход, които са били регистрирани на името на компанията "Budějovický Budvar" по силата на Лисабон</w:t>
      </w:r>
      <w:r w:rsidR="00FF3D48">
        <w:t>ската спогодба</w:t>
      </w:r>
      <w:r w:rsidR="00A25BB2">
        <w:t xml:space="preserve"> от 31 октомври 1958 г. Макар да е вярно, че тази </w:t>
      </w:r>
      <w:r w:rsidR="00A25BB2">
        <w:lastRenderedPageBreak/>
        <w:t>регистрация впоследствие е отменена (вж</w:t>
      </w:r>
      <w:r w:rsidR="00FF3D48">
        <w:t>.</w:t>
      </w:r>
      <w:r w:rsidR="00A25BB2">
        <w:t xml:space="preserve"> параграф 18 по-горе), Съдът не може да се занимава с това какви последствия е имало заличаването на регистрацията върху приоритетното право, предоставено на търговската марка.</w:t>
      </w:r>
    </w:p>
    <w:p w14:paraId="7240268F" w14:textId="128705D5" w:rsidR="00E71F84" w:rsidRPr="00DC1F02" w:rsidRDefault="00C470EC" w:rsidP="00A25BB2">
      <w:pPr>
        <w:pStyle w:val="JuPara"/>
      </w:pPr>
      <w:fldSimple w:instr=" SEQ level0 \*arabic ">
        <w:r w:rsidR="00CF6F43">
          <w:rPr>
            <w:noProof/>
          </w:rPr>
          <w:t>85</w:t>
        </w:r>
      </w:fldSimple>
      <w:r w:rsidR="004A6E02">
        <w:t>.  Това са въпроси, чи</w:t>
      </w:r>
      <w:r w:rsidR="00FF3D48">
        <w:t>е</w:t>
      </w:r>
      <w:r w:rsidR="004A6E02">
        <w:t xml:space="preserve">то подобаващо място е пред националните съдилища. В своето решение от 23 януари 2001 г. Върховният съд постановява отхвърляне на довода на </w:t>
      </w:r>
      <w:r w:rsidR="00FF3D48">
        <w:t xml:space="preserve">дружеството </w:t>
      </w:r>
      <w:r w:rsidR="004A6E02">
        <w:t>жалбоподател въз основа на твърд</w:t>
      </w:r>
      <w:r w:rsidR="00FF3D48">
        <w:t>яно</w:t>
      </w:r>
      <w:r w:rsidR="004A6E02">
        <w:t xml:space="preserve"> нарушение на приоритетното правило. В отсъствието на произвол</w:t>
      </w:r>
      <w:r w:rsidR="00117502">
        <w:t>ност</w:t>
      </w:r>
      <w:r w:rsidR="004A6E02">
        <w:t xml:space="preserve"> или явна неоснова</w:t>
      </w:r>
      <w:r w:rsidR="00117502">
        <w:t>тел</w:t>
      </w:r>
      <w:r w:rsidR="004A6E02">
        <w:t>ност Съдът не може да постави под съмнение заключенията на Върховния съд по т</w:t>
      </w:r>
      <w:r w:rsidR="00117502">
        <w:t>о</w:t>
      </w:r>
      <w:r w:rsidR="004A6E02">
        <w:t xml:space="preserve">зи </w:t>
      </w:r>
      <w:r w:rsidR="00117502">
        <w:t>въпрос</w:t>
      </w:r>
      <w:r w:rsidR="004A6E02">
        <w:t>.</w:t>
      </w:r>
    </w:p>
    <w:p w14:paraId="22143E1A" w14:textId="0EC2483E" w:rsidR="00102D33" w:rsidRPr="00E10840" w:rsidRDefault="00C470EC" w:rsidP="00A25BB2">
      <w:pPr>
        <w:pStyle w:val="JuPara"/>
      </w:pPr>
      <w:fldSimple w:instr=" SEQ level0 \*arabic ">
        <w:r w:rsidR="00CF6F43">
          <w:rPr>
            <w:noProof/>
          </w:rPr>
          <w:t>86</w:t>
        </w:r>
      </w:fldSimple>
      <w:r w:rsidR="00A25BB2">
        <w:t>.  Също така не е задача на Съда да преразглежда тълкуването от Върховния съд на двустранн</w:t>
      </w:r>
      <w:r w:rsidR="00117502">
        <w:t>а</w:t>
      </w:r>
      <w:r w:rsidR="00A25BB2">
        <w:t>т</w:t>
      </w:r>
      <w:r w:rsidR="00117502">
        <w:t>а</w:t>
      </w:r>
      <w:r w:rsidR="00A25BB2">
        <w:t xml:space="preserve"> спо</w:t>
      </w:r>
      <w:r w:rsidR="00117502">
        <w:t>годба</w:t>
      </w:r>
      <w:r w:rsidR="00A25BB2">
        <w:t xml:space="preserve">, оспорвано от </w:t>
      </w:r>
      <w:r w:rsidR="00117502">
        <w:t xml:space="preserve">дружеството </w:t>
      </w:r>
      <w:r w:rsidR="00A25BB2">
        <w:t xml:space="preserve">жалбоподател. Съдът отбелязва само, че на </w:t>
      </w:r>
      <w:r w:rsidR="00117502">
        <w:t xml:space="preserve">дружеството </w:t>
      </w:r>
      <w:r w:rsidR="00A25BB2">
        <w:t>жалбоподател е дадена възможност, по време на производството в португалските съдилища, да укаже как тълкува т</w:t>
      </w:r>
      <w:r w:rsidR="00CA2E19">
        <w:t>ази</w:t>
      </w:r>
      <w:r w:rsidR="00A25BB2">
        <w:t xml:space="preserve"> спо</w:t>
      </w:r>
      <w:r w:rsidR="00CA2E19">
        <w:t>годба</w:t>
      </w:r>
      <w:r w:rsidR="00A25BB2">
        <w:t xml:space="preserve"> и </w:t>
      </w:r>
      <w:r w:rsidR="00CA2E19">
        <w:t>останалото</w:t>
      </w:r>
      <w:r w:rsidR="00A25BB2">
        <w:t xml:space="preserve"> законодателство, което счита за приложимо към не</w:t>
      </w:r>
      <w:r w:rsidR="00CA2E19">
        <w:t>гов</w:t>
      </w:r>
      <w:r w:rsidR="00A25BB2">
        <w:t>ия случай</w:t>
      </w:r>
      <w:r w:rsidR="00CA2E19">
        <w:t>,</w:t>
      </w:r>
      <w:r w:rsidR="00A25BB2">
        <w:t xml:space="preserve"> и да информира португалските съдилища за решението, което счита за най-уместно във връзка с правния въпрос, повдигнат от това дело. Изправен пред противоречивите аргументи на две частни </w:t>
      </w:r>
      <w:r w:rsidR="0021584A">
        <w:t>страни</w:t>
      </w:r>
      <w:r w:rsidR="00A25BB2">
        <w:t xml:space="preserve">, свързани с правото да се използва наименованието "Budweiser" като търговска марка или наименование за произход, Върховният съд достига до своето решение въз основа на материалите, които счита за приложими и достатъчни за решаването на спора, след като изслушва представените от заинтересованите страни изявления. Съдът не намира основание </w:t>
      </w:r>
      <w:r w:rsidR="008E3469">
        <w:t>да направи извода</w:t>
      </w:r>
      <w:r w:rsidR="00A25BB2">
        <w:t xml:space="preserve">, че решението на Върховния съд е </w:t>
      </w:r>
      <w:r w:rsidR="008E3469">
        <w:t>повлияно от</w:t>
      </w:r>
      <w:r w:rsidR="00A25BB2">
        <w:t xml:space="preserve"> елемент на произволност или </w:t>
      </w:r>
      <w:r w:rsidR="008E3469">
        <w:t>друга</w:t>
      </w:r>
      <w:r w:rsidR="00A25BB2">
        <w:t xml:space="preserve"> явн</w:t>
      </w:r>
      <w:r w:rsidR="008E3469">
        <w:t>а</w:t>
      </w:r>
      <w:r w:rsidR="00A25BB2">
        <w:t xml:space="preserve"> неоснователно</w:t>
      </w:r>
      <w:r w:rsidR="008E3469">
        <w:t>ст</w:t>
      </w:r>
      <w:r w:rsidR="00A25BB2">
        <w:t>.</w:t>
      </w:r>
    </w:p>
    <w:p w14:paraId="7D9F328D" w14:textId="27110120" w:rsidR="00E71F84" w:rsidRPr="00DC1F02" w:rsidRDefault="00C470EC" w:rsidP="00A25BB2">
      <w:pPr>
        <w:pStyle w:val="JuPara"/>
      </w:pPr>
      <w:fldSimple w:instr=" SEQ level0 \*arabic ">
        <w:r w:rsidR="00CF6F43">
          <w:rPr>
            <w:noProof/>
          </w:rPr>
          <w:t>87</w:t>
        </w:r>
      </w:fldSimple>
      <w:r w:rsidR="00A25BB2">
        <w:t>.  </w:t>
      </w:r>
      <w:r w:rsidR="008E3469">
        <w:t>С оглед</w:t>
      </w:r>
      <w:r w:rsidR="00A25BB2">
        <w:t xml:space="preserve"> на изложеното по-горе, Съдът заключава, че решението на Върховния съд в настоящия случай не представлява намеса в правото на </w:t>
      </w:r>
      <w:r w:rsidR="008E3469">
        <w:t xml:space="preserve">дружеството </w:t>
      </w:r>
      <w:r w:rsidR="00A25BB2">
        <w:t xml:space="preserve">жалбоподател мирно да се ползва от своите притежания. Следователно не е налице нарушение на </w:t>
      </w:r>
      <w:r w:rsidR="008E3469">
        <w:t>ч</w:t>
      </w:r>
      <w:r w:rsidR="00A25BB2">
        <w:t>лен 1 от Протокол № 1.</w:t>
      </w:r>
    </w:p>
    <w:bookmarkEnd w:id="2"/>
    <w:p w14:paraId="5F633385" w14:textId="041910EC" w:rsidR="00A66D56" w:rsidRPr="00DC1F02" w:rsidRDefault="00A66D56" w:rsidP="00A66D56">
      <w:pPr>
        <w:pStyle w:val="JuHHead"/>
      </w:pPr>
      <w:r>
        <w:t>ПО ТЕЗИ СЪОБРАЖЕНИЯ СЪДЪТ</w:t>
      </w:r>
    </w:p>
    <w:p w14:paraId="7BBC6F85" w14:textId="51846A70" w:rsidR="00A66D56" w:rsidRPr="00DC1F02" w:rsidRDefault="00A66D56" w:rsidP="000D5717">
      <w:pPr>
        <w:pStyle w:val="JuList"/>
        <w:ind w:left="285" w:firstLine="0"/>
      </w:pPr>
      <w:r>
        <w:rPr>
          <w:i/>
          <w:noProof/>
        </w:rPr>
        <w:t>Поддържа</w:t>
      </w:r>
      <w:r>
        <w:t xml:space="preserve"> становището с петнадесет </w:t>
      </w:r>
      <w:r w:rsidR="00667B5C">
        <w:t>на</w:t>
      </w:r>
      <w:r>
        <w:t xml:space="preserve"> два</w:t>
      </w:r>
      <w:r w:rsidR="00667B5C">
        <w:t xml:space="preserve"> гласа</w:t>
      </w:r>
      <w:r>
        <w:t xml:space="preserve">, че не е налице нарушение на </w:t>
      </w:r>
      <w:r w:rsidR="00667B5C">
        <w:t>ч</w:t>
      </w:r>
      <w:r>
        <w:t>лен 1 от Протокол № 1</w:t>
      </w:r>
      <w:r w:rsidR="00667B5C">
        <w:t>.</w:t>
      </w:r>
    </w:p>
    <w:p w14:paraId="070F4B57" w14:textId="3C388831" w:rsidR="00E71F84" w:rsidRPr="00DC1F02" w:rsidRDefault="00217024" w:rsidP="00E71F84">
      <w:pPr>
        <w:pStyle w:val="JuParaLast"/>
      </w:pPr>
      <w:r>
        <w:t xml:space="preserve">Изготвено на английски и френски език и </w:t>
      </w:r>
      <w:r w:rsidR="00667B5C">
        <w:t xml:space="preserve">постановено </w:t>
      </w:r>
      <w:r>
        <w:t xml:space="preserve">в открито съдебно заседание в Сградата </w:t>
      </w:r>
      <w:r w:rsidR="00667B5C">
        <w:t xml:space="preserve">на Съда </w:t>
      </w:r>
      <w:r>
        <w:t>по правата на човека в Страсбург на 11 януари 2007 г.</w:t>
      </w:r>
    </w:p>
    <w:p w14:paraId="70C9EC32" w14:textId="77777777" w:rsidR="00E71F84" w:rsidRPr="004E0C7A" w:rsidRDefault="00E71F84" w:rsidP="00E71F84">
      <w:pPr>
        <w:pStyle w:val="JuSigned"/>
        <w:keepNext/>
        <w:keepLines/>
        <w:rPr>
          <w:rStyle w:val="JuNames"/>
        </w:rPr>
      </w:pPr>
      <w:r>
        <w:lastRenderedPageBreak/>
        <w:tab/>
        <w:t xml:space="preserve"> Ерик Фриберг (Erik F</w:t>
      </w:r>
      <w:r>
        <w:rPr>
          <w:rStyle w:val="JuNames"/>
          <w:smallCaps w:val="0"/>
        </w:rPr>
        <w:t>ribergh)</w:t>
      </w:r>
      <w:r>
        <w:tab/>
        <w:t xml:space="preserve">Луциус Вилдхабер (Luzius </w:t>
      </w:r>
      <w:r>
        <w:rPr>
          <w:rStyle w:val="JuNames"/>
        </w:rPr>
        <w:t>W</w:t>
      </w:r>
      <w:r>
        <w:rPr>
          <w:rStyle w:val="JuNames"/>
          <w:smallCaps w:val="0"/>
        </w:rPr>
        <w:t>ildhaber)</w:t>
      </w:r>
      <w:r>
        <w:rPr>
          <w:rStyle w:val="JuNames"/>
        </w:rPr>
        <w:br/>
      </w:r>
      <w:r>
        <w:tab/>
        <w:t>Секретар</w:t>
      </w:r>
      <w:r>
        <w:tab/>
        <w:t>Председател</w:t>
      </w:r>
      <w:r>
        <w:rPr>
          <w:rStyle w:val="JuNames"/>
        </w:rPr>
        <w:br/>
      </w:r>
    </w:p>
    <w:p w14:paraId="0D771EB9" w14:textId="1A8AE593" w:rsidR="00F21B99" w:rsidRPr="00EB160F" w:rsidRDefault="00F21B99" w:rsidP="00F21B99">
      <w:pPr>
        <w:pStyle w:val="JuParaLast"/>
      </w:pPr>
      <w:r>
        <w:t xml:space="preserve">В съответствие с чл. 45 § 2 от Конвенцията и </w:t>
      </w:r>
      <w:r w:rsidR="00667B5C">
        <w:t>п</w:t>
      </w:r>
      <w:r>
        <w:t xml:space="preserve">равило 74 § 2 от Правилника на Съда </w:t>
      </w:r>
      <w:r w:rsidR="00667B5C">
        <w:t xml:space="preserve">към настоящото решение са приложени </w:t>
      </w:r>
      <w:r>
        <w:t>следните отделни мнения:</w:t>
      </w:r>
    </w:p>
    <w:p w14:paraId="2DE249B1" w14:textId="4353E914" w:rsidR="00F21B99" w:rsidRPr="00EB160F" w:rsidRDefault="00F21B99" w:rsidP="00F21B99">
      <w:pPr>
        <w:pStyle w:val="JuPara"/>
      </w:pPr>
      <w:r>
        <w:t xml:space="preserve">(а) </w:t>
      </w:r>
      <w:r w:rsidR="00667B5C">
        <w:t>съвместно</w:t>
      </w:r>
      <w:r>
        <w:t xml:space="preserve"> съвпадащо мнение </w:t>
      </w:r>
      <w:r w:rsidR="00667B5C">
        <w:t xml:space="preserve">на </w:t>
      </w:r>
      <w:r>
        <w:t xml:space="preserve">съдии </w:t>
      </w:r>
      <w:r w:rsidR="00667B5C">
        <w:t xml:space="preserve">Щайнер </w:t>
      </w:r>
      <w:r>
        <w:t>(Steiner) и Хаджиев (Hajiyev)</w:t>
      </w:r>
    </w:p>
    <w:p w14:paraId="5D31E4C4" w14:textId="72B8AEEA" w:rsidR="00F21B99" w:rsidRPr="00EB160F" w:rsidRDefault="00F21B99" w:rsidP="00F21B99">
      <w:pPr>
        <w:pStyle w:val="JuPara"/>
      </w:pPr>
      <w:r>
        <w:t xml:space="preserve">b) </w:t>
      </w:r>
      <w:r w:rsidR="00667B5C">
        <w:t>съвместно</w:t>
      </w:r>
      <w:r>
        <w:t xml:space="preserve"> особено мнение </w:t>
      </w:r>
      <w:r w:rsidR="00667B5C">
        <w:t>на</w:t>
      </w:r>
      <w:r>
        <w:t xml:space="preserve"> съдии Кафлиш (Caflisch) и Кабрал Барето (Cabral Barreto)</w:t>
      </w:r>
      <w:r w:rsidR="00D64ED8">
        <w:t>.</w:t>
      </w:r>
    </w:p>
    <w:p w14:paraId="5E220865" w14:textId="77777777" w:rsidR="00F21B99" w:rsidRDefault="00F21B99" w:rsidP="00F21B99">
      <w:pPr>
        <w:pStyle w:val="JuInitialled"/>
      </w:pPr>
      <w:r>
        <w:t>L.W.</w:t>
      </w:r>
      <w:r>
        <w:br/>
        <w:t>E.F.</w:t>
      </w:r>
    </w:p>
    <w:p w14:paraId="5AA8F8AF" w14:textId="77777777" w:rsidR="00D27DE3" w:rsidRPr="00EB160F" w:rsidRDefault="00D27DE3" w:rsidP="00F21B99">
      <w:pPr>
        <w:pStyle w:val="JuInitialled"/>
      </w:pPr>
    </w:p>
    <w:p w14:paraId="1F59444B" w14:textId="77777777" w:rsidR="00D27DE3" w:rsidRDefault="00D27DE3" w:rsidP="00972CB2">
      <w:pPr>
        <w:pStyle w:val="OpiHHead"/>
        <w:sectPr w:rsidR="00D27DE3" w:rsidSect="00033BB0">
          <w:headerReference w:type="even" r:id="rId13"/>
          <w:headerReference w:type="default" r:id="rId14"/>
          <w:footnotePr>
            <w:numRestart w:val="eachPage"/>
          </w:footnotePr>
          <w:type w:val="oddPage"/>
          <w:pgSz w:w="11906" w:h="16838" w:code="9"/>
          <w:pgMar w:top="2274" w:right="2274" w:bottom="2274" w:left="2274" w:header="1701" w:footer="720" w:gutter="0"/>
          <w:cols w:space="720"/>
          <w:docGrid w:linePitch="326"/>
        </w:sectPr>
      </w:pPr>
    </w:p>
    <w:p w14:paraId="3E9DA83E" w14:textId="412EE369" w:rsidR="00972CB2" w:rsidRPr="0026275F" w:rsidRDefault="007D4F16" w:rsidP="00972CB2">
      <w:pPr>
        <w:pStyle w:val="OpiHHead"/>
      </w:pPr>
      <w:r>
        <w:lastRenderedPageBreak/>
        <w:t>СЪВМЕСТНО</w:t>
      </w:r>
      <w:r w:rsidR="00972CB2">
        <w:t xml:space="preserve"> СЪВПАДАЩО МНЕНИЕ </w:t>
      </w:r>
      <w:r>
        <w:t>НА</w:t>
      </w:r>
      <w:r w:rsidR="00972CB2">
        <w:t xml:space="preserve"> СЪДИИ </w:t>
      </w:r>
      <w:r>
        <w:t xml:space="preserve">ЩАЙНЕР </w:t>
      </w:r>
      <w:r w:rsidR="00972CB2">
        <w:t>(STEINER) И ХАДЖИЕВ (HAJIYEV)</w:t>
      </w:r>
    </w:p>
    <w:p w14:paraId="414C38CD" w14:textId="5A45EF73" w:rsidR="00627C6A" w:rsidRDefault="00A6491D" w:rsidP="00972CB2">
      <w:pPr>
        <w:pStyle w:val="OpiPara"/>
      </w:pPr>
      <w:r>
        <w:t xml:space="preserve">1.  Ние се съгласяваме с мнозинството, че не е имало нарушение на </w:t>
      </w:r>
      <w:r w:rsidR="007D4F16">
        <w:t>ч</w:t>
      </w:r>
      <w:r>
        <w:t xml:space="preserve">лен 1 от Протокол № 1, но въз основа на други основания. По наше мнение </w:t>
      </w:r>
      <w:r w:rsidR="001377DD">
        <w:t>ч</w:t>
      </w:r>
      <w:r>
        <w:t xml:space="preserve">лен 1 от Протокол № 1 като цяло се прилага </w:t>
      </w:r>
      <w:r w:rsidR="001377DD">
        <w:t>към</w:t>
      </w:r>
      <w:r>
        <w:t xml:space="preserve"> интелектуалната собственост. Това е прието от двете страни, но в миналото никога не е имало ясно деклариране на този принцип от Съда.</w:t>
      </w:r>
    </w:p>
    <w:p w14:paraId="242BE7FE" w14:textId="0B68BDCD" w:rsidR="00627C6A" w:rsidRDefault="00A6491D" w:rsidP="00972CB2">
      <w:pPr>
        <w:pStyle w:val="OpiPara"/>
      </w:pPr>
      <w:r>
        <w:t xml:space="preserve">2.  Ето защо ние се съгласяваме, че </w:t>
      </w:r>
      <w:r w:rsidR="00036595">
        <w:t>ч</w:t>
      </w:r>
      <w:r>
        <w:t>лен 1 от Протокол № 1 е приложим за интелектуалната собственост като цяло, както и за надлежно регистриран</w:t>
      </w:r>
      <w:r w:rsidR="00036595">
        <w:t>ите</w:t>
      </w:r>
      <w:r>
        <w:t xml:space="preserve"> търговск</w:t>
      </w:r>
      <w:r w:rsidR="00036595">
        <w:t>и</w:t>
      </w:r>
      <w:r>
        <w:t xml:space="preserve"> марк</w:t>
      </w:r>
      <w:r w:rsidR="00036595">
        <w:t>и</w:t>
      </w:r>
      <w:r>
        <w:t>.</w:t>
      </w:r>
    </w:p>
    <w:p w14:paraId="436FB4BE" w14:textId="05CE7721" w:rsidR="00972CB2" w:rsidRDefault="00A6491D" w:rsidP="00972CB2">
      <w:pPr>
        <w:pStyle w:val="OpiPara"/>
      </w:pPr>
      <w:r>
        <w:t xml:space="preserve">3.  Но дали това важи за елементарно заявление за регистрация на търговска марка? Следващата стъпка за нас беше да решим, дали кандидатът за регистрация на търговска марка има </w:t>
      </w:r>
      <w:r w:rsidR="00D234A1">
        <w:t>„</w:t>
      </w:r>
      <w:r>
        <w:t>притежание</w:t>
      </w:r>
      <w:r w:rsidR="00D234A1">
        <w:t>“</w:t>
      </w:r>
      <w:r>
        <w:t xml:space="preserve"> по смисъла на </w:t>
      </w:r>
      <w:r w:rsidR="00D234A1">
        <w:t>ч</w:t>
      </w:r>
      <w:r>
        <w:t xml:space="preserve">лен 1 от Протокол № 1. За да се ползва от защитата на </w:t>
      </w:r>
      <w:r w:rsidR="00D234A1">
        <w:t>ч</w:t>
      </w:r>
      <w:r>
        <w:t xml:space="preserve">лен 1 от Протокол № 1, </w:t>
      </w:r>
      <w:r w:rsidR="00D234A1">
        <w:t xml:space="preserve">дружеството </w:t>
      </w:r>
      <w:r>
        <w:t xml:space="preserve">жалбоподател трябва да има </w:t>
      </w:r>
      <w:r w:rsidR="00256931">
        <w:t>твърдение</w:t>
      </w:r>
      <w:r>
        <w:t>, по отношение на ко</w:t>
      </w:r>
      <w:r w:rsidR="00256931">
        <w:t>е</w:t>
      </w:r>
      <w:r>
        <w:t xml:space="preserve">то </w:t>
      </w:r>
      <w:r w:rsidR="00256931">
        <w:t xml:space="preserve">да </w:t>
      </w:r>
      <w:r>
        <w:t xml:space="preserve">може да твърди, че най-малко има </w:t>
      </w:r>
      <w:r w:rsidR="00256931">
        <w:t>„</w:t>
      </w:r>
      <w:r>
        <w:t>легитимн</w:t>
      </w:r>
      <w:r w:rsidR="00256931">
        <w:t>о</w:t>
      </w:r>
      <w:r>
        <w:t xml:space="preserve"> очакван</w:t>
      </w:r>
      <w:r w:rsidR="00256931">
        <w:t>е“</w:t>
      </w:r>
      <w:r>
        <w:t>, че ще бъде осъществено. Това очакване би следвало да бъде по-конкретно от обикновена надежда и да се основава на законова разпоредба или нормативен акт, като например съдебно решение.</w:t>
      </w:r>
    </w:p>
    <w:p w14:paraId="2F75C314" w14:textId="3D50A960" w:rsidR="00627C6A" w:rsidRDefault="00A6491D" w:rsidP="00972CB2">
      <w:pPr>
        <w:pStyle w:val="OpiPara"/>
      </w:pPr>
      <w:r>
        <w:t xml:space="preserve">4.  В конкретния случай, както </w:t>
      </w:r>
      <w:r w:rsidR="00256931">
        <w:t xml:space="preserve">правилно е отбелязано в </w:t>
      </w:r>
      <w:r>
        <w:t xml:space="preserve">решението на </w:t>
      </w:r>
      <w:r w:rsidR="00256931">
        <w:t>състава</w:t>
      </w:r>
      <w:r>
        <w:t>, има силни икономически интереси, свързани с прилагането на търговската марка. Нека посоча един пример от правото на Общността</w:t>
      </w:r>
      <w:r w:rsidR="009578BB">
        <w:t xml:space="preserve"> - </w:t>
      </w:r>
      <w:r>
        <w:t xml:space="preserve"> Регламент № 40/941 относно търговските марки </w:t>
      </w:r>
      <w:r w:rsidR="009578BB">
        <w:t>на</w:t>
      </w:r>
      <w:r>
        <w:t xml:space="preserve"> Общността, посочва че заявлението за търговска марка трябва да се разглежда като </w:t>
      </w:r>
      <w:r w:rsidR="009578BB">
        <w:t>„</w:t>
      </w:r>
      <w:r>
        <w:t>предметна собственост</w:t>
      </w:r>
      <w:r w:rsidR="009578BB">
        <w:t>“</w:t>
      </w:r>
      <w:r>
        <w:t xml:space="preserve">. По силата на вътрешното законодателство на повечето държави (включително и Португалия), един такъв предмет може да се прехвърля, да се предоставя като </w:t>
      </w:r>
      <w:r w:rsidR="001C0FEF">
        <w:rPr>
          <w:lang w:val="en-US"/>
        </w:rPr>
        <w:t>гаранция</w:t>
      </w:r>
      <w:r>
        <w:t xml:space="preserve">, </w:t>
      </w:r>
      <w:r w:rsidR="001C0FEF">
        <w:t xml:space="preserve">да се </w:t>
      </w:r>
      <w:r>
        <w:t>лиценз</w:t>
      </w:r>
      <w:r w:rsidR="001C0FEF">
        <w:t>ира</w:t>
      </w:r>
      <w:r>
        <w:t xml:space="preserve"> и т</w:t>
      </w:r>
      <w:r w:rsidR="001C0FEF">
        <w:t>.</w:t>
      </w:r>
      <w:r>
        <w:t xml:space="preserve">н. Това означава, че заявлението за търговската марка има някаква търговска стойност, независимо от факта, че заявлението за регистрация </w:t>
      </w:r>
      <w:r w:rsidR="001C0FEF">
        <w:t>може да не е</w:t>
      </w:r>
      <w:r>
        <w:t xml:space="preserve"> успешно. В такава сделка заявлението се купува и продава с придружаващия го търговски риск. Купувачът купува </w:t>
      </w:r>
      <w:r w:rsidR="008A67E4">
        <w:t>със съз</w:t>
      </w:r>
      <w:r>
        <w:t>нанието, че търговската марка не може да бъде регистрирана. Той приема търговския риск от такава транзакция. Търговската стойност на заявлението зависи от търговския риск за всеки отделен случай и по-</w:t>
      </w:r>
      <w:r w:rsidR="005C2489">
        <w:t xml:space="preserve">конкретно </w:t>
      </w:r>
      <w:r>
        <w:t>от шансовете на търговската марка да бъде регистрирана.</w:t>
      </w:r>
    </w:p>
    <w:p w14:paraId="53C998E0" w14:textId="5E59140B" w:rsidR="00972CB2" w:rsidRDefault="00A6491D" w:rsidP="00972CB2">
      <w:pPr>
        <w:pStyle w:val="OpiPara"/>
      </w:pPr>
      <w:r>
        <w:t xml:space="preserve">5.  Дали тези елементи са достатъчни, за да придадат на заявлението за търговска марка статут на </w:t>
      </w:r>
      <w:r w:rsidR="005C2489">
        <w:t>„</w:t>
      </w:r>
      <w:r>
        <w:t>легитимно очакване</w:t>
      </w:r>
      <w:r w:rsidR="005C2489">
        <w:t>“</w:t>
      </w:r>
      <w:r>
        <w:t>?</w:t>
      </w:r>
    </w:p>
    <w:p w14:paraId="77FAB592" w14:textId="5DE8E675" w:rsidR="00972CB2" w:rsidRDefault="00A6491D" w:rsidP="00972CB2">
      <w:pPr>
        <w:pStyle w:val="OpiPara"/>
      </w:pPr>
      <w:r>
        <w:t xml:space="preserve">6.  По наше мнение не са достатъчни по четири основни причини. На първо място правото, претендирано от </w:t>
      </w:r>
      <w:r w:rsidR="005C2489">
        <w:t xml:space="preserve">дружеството </w:t>
      </w:r>
      <w:r>
        <w:t>жалбоподател</w:t>
      </w:r>
      <w:r w:rsidR="005C2489">
        <w:t>,</w:t>
      </w:r>
      <w:r>
        <w:t xml:space="preserve"> е условно. Както подчертава </w:t>
      </w:r>
      <w:r w:rsidR="005C2489">
        <w:t xml:space="preserve">състава </w:t>
      </w:r>
      <w:r>
        <w:t>в решение</w:t>
      </w:r>
      <w:r w:rsidR="005C2489">
        <w:t>то си</w:t>
      </w:r>
      <w:r>
        <w:t>:</w:t>
      </w:r>
    </w:p>
    <w:p w14:paraId="681486F7" w14:textId="3FE7B29C" w:rsidR="00627C6A" w:rsidRDefault="00182FF5" w:rsidP="00972CB2">
      <w:pPr>
        <w:pStyle w:val="JuQuot"/>
        <w:rPr>
          <w:noProof/>
        </w:rPr>
      </w:pPr>
      <w:r>
        <w:t>„</w:t>
      </w:r>
      <w:r w:rsidR="0013506C">
        <w:t xml:space="preserve">... </w:t>
      </w:r>
      <w:r>
        <w:t xml:space="preserve">Дружеството </w:t>
      </w:r>
      <w:r w:rsidR="0013506C">
        <w:t>жалбоподател не може да бъде сигурн</w:t>
      </w:r>
      <w:r>
        <w:t>о</w:t>
      </w:r>
      <w:r w:rsidR="0013506C">
        <w:t xml:space="preserve">, че е собственик на въпросната търговска марка до окончателната </w:t>
      </w:r>
      <w:r>
        <w:t>ѝ</w:t>
      </w:r>
      <w:r w:rsidR="0013506C">
        <w:t xml:space="preserve"> регистрация и дори тогава, само при условие че трета страна не е направила възражение.</w:t>
      </w:r>
      <w:r>
        <w:t>“</w:t>
      </w:r>
    </w:p>
    <w:p w14:paraId="768AA558" w14:textId="1907A393" w:rsidR="00627C6A" w:rsidRDefault="00972CB2" w:rsidP="00D27DE3">
      <w:pPr>
        <w:pStyle w:val="OpiPara"/>
        <w:rPr>
          <w:noProof/>
        </w:rPr>
      </w:pPr>
      <w:r>
        <w:lastRenderedPageBreak/>
        <w:t xml:space="preserve">С други думи </w:t>
      </w:r>
      <w:r w:rsidR="00182FF5">
        <w:t xml:space="preserve">дружеството </w:t>
      </w:r>
      <w:r>
        <w:t xml:space="preserve">жалбоподател има условното право, което е </w:t>
      </w:r>
      <w:r w:rsidR="00182FF5">
        <w:t xml:space="preserve">погасено </w:t>
      </w:r>
      <w:r>
        <w:t xml:space="preserve">със задна дата </w:t>
      </w:r>
      <w:r w:rsidR="007B0E71">
        <w:t>поради</w:t>
      </w:r>
      <w:r>
        <w:t xml:space="preserve"> неудовлетворяване на условието, а именно, че не е нарушил</w:t>
      </w:r>
      <w:r w:rsidR="007B0E71">
        <w:t>о</w:t>
      </w:r>
      <w:r>
        <w:t xml:space="preserve"> правата на трети лица (параграф 50 от </w:t>
      </w:r>
      <w:r w:rsidR="007B0E71">
        <w:t>р</w:t>
      </w:r>
      <w:r>
        <w:t>ешение</w:t>
      </w:r>
      <w:r w:rsidR="007B0E71">
        <w:t>то</w:t>
      </w:r>
      <w:r>
        <w:t xml:space="preserve"> на </w:t>
      </w:r>
      <w:r w:rsidR="007B0E71">
        <w:t>състава</w:t>
      </w:r>
      <w:r>
        <w:t xml:space="preserve">). Нашата установена съдебна практика отрича </w:t>
      </w:r>
      <w:r w:rsidR="00A758F7">
        <w:t>свойството</w:t>
      </w:r>
      <w:r>
        <w:t xml:space="preserve"> </w:t>
      </w:r>
      <w:r w:rsidR="00A758F7">
        <w:t>„</w:t>
      </w:r>
      <w:r>
        <w:t>притежание</w:t>
      </w:r>
      <w:r w:rsidR="00A758F7">
        <w:t>“</w:t>
      </w:r>
      <w:r>
        <w:t xml:space="preserve"> </w:t>
      </w:r>
      <w:r w:rsidR="00A758F7">
        <w:t>на</w:t>
      </w:r>
      <w:r>
        <w:t xml:space="preserve"> условен иск, който е изтекъл в резултат на неизпълнение на условието. Следва да се отбележи, че не всяко заявление за търговска марка </w:t>
      </w:r>
      <w:r w:rsidR="00A758F7">
        <w:t>завършва с</w:t>
      </w:r>
      <w:r>
        <w:t xml:space="preserve"> регистрация </w:t>
      </w:r>
      <w:r w:rsidR="00A758F7">
        <w:t>и</w:t>
      </w:r>
      <w:r>
        <w:t xml:space="preserve"> много заявления мо</w:t>
      </w:r>
      <w:r w:rsidR="00A758F7">
        <w:t>же и</w:t>
      </w:r>
      <w:r>
        <w:t xml:space="preserve"> </w:t>
      </w:r>
      <w:r w:rsidR="005E7E15">
        <w:t xml:space="preserve">никога </w:t>
      </w:r>
      <w:r>
        <w:t xml:space="preserve">да </w:t>
      </w:r>
      <w:r w:rsidR="00A758F7">
        <w:t xml:space="preserve">не </w:t>
      </w:r>
      <w:r>
        <w:t>бъдат регистрирани. С други думи заявлението за регистрация на търговска марка е съвсем очевидно условно право: като условието е търговската марка да отговаря на условията за регистрация.</w:t>
      </w:r>
    </w:p>
    <w:p w14:paraId="3FF60539" w14:textId="696F453C" w:rsidR="00627C6A" w:rsidRDefault="00A6491D" w:rsidP="00972CB2">
      <w:pPr>
        <w:pStyle w:val="OpiPara"/>
        <w:rPr>
          <w:noProof/>
        </w:rPr>
      </w:pPr>
      <w:r>
        <w:t>7.  На второ място при подаване</w:t>
      </w:r>
      <w:r w:rsidR="000C2FFA">
        <w:t>то</w:t>
      </w:r>
      <w:r>
        <w:t xml:space="preserve"> на своето заявление на търговска марка "Anheuser-Busch" е знаела, че "Budĕjovický Budvar" вероятно ще се противопостави на заявлението, дори без намесата на последващи събития като </w:t>
      </w:r>
      <w:r w:rsidR="000C2FFA">
        <w:t>спогодбата</w:t>
      </w:r>
      <w:r>
        <w:t xml:space="preserve"> от 1986 г. между Португалия и Чехословакия. През 1981 г., когато е направено заявлението за регистрация на търговската марка, правото на използване на търговската марка "Budweiser" вече се е обсъждало в световен мащаб между </w:t>
      </w:r>
      <w:r w:rsidR="000C2FFA">
        <w:t xml:space="preserve">дружеството </w:t>
      </w:r>
      <w:r>
        <w:t>жалбоподател и компанията "Budějovický Budvar". Както бе посочено по-горе, по това време вече съществуват висящи съдебни дела в цяла Европа. Както признава сам</w:t>
      </w:r>
      <w:r w:rsidR="0047480B">
        <w:t>о</w:t>
      </w:r>
      <w:r>
        <w:t>т</w:t>
      </w:r>
      <w:r w:rsidR="0047480B">
        <w:t>о</w:t>
      </w:r>
      <w:r>
        <w:t xml:space="preserve"> </w:t>
      </w:r>
      <w:r w:rsidR="0047480B">
        <w:t xml:space="preserve">дружество </w:t>
      </w:r>
      <w:r>
        <w:t xml:space="preserve">жалбоподател, между "Anheuser-Busch" и компанията "Budějovický Budvar" са били започнали преговори с оглед постигането на споразумение относно използването на търговската марка "Budweiser". При подобни обстоятелства може да се спори, че претенцията на </w:t>
      </w:r>
      <w:r w:rsidR="0047480B">
        <w:t xml:space="preserve">дружеството </w:t>
      </w:r>
      <w:r>
        <w:t xml:space="preserve">жалбоподател далеч не е представлявала актив, по отношение на който </w:t>
      </w:r>
      <w:r w:rsidR="0047480B">
        <w:t xml:space="preserve">то </w:t>
      </w:r>
      <w:r>
        <w:t xml:space="preserve">може да претендира, че има </w:t>
      </w:r>
      <w:r w:rsidR="0047480B">
        <w:t>„</w:t>
      </w:r>
      <w:r>
        <w:t>легитимни очаквания</w:t>
      </w:r>
      <w:r w:rsidR="0047480B">
        <w:t>“ за</w:t>
      </w:r>
      <w:r>
        <w:t xml:space="preserve"> реализиран</w:t>
      </w:r>
      <w:r w:rsidR="0047480B">
        <w:t>е</w:t>
      </w:r>
      <w:r>
        <w:t>. Бихме искали да посочим, че тази ситуация вече е съществувала преди влизането в сила на двустранн</w:t>
      </w:r>
      <w:r w:rsidR="000B5B94">
        <w:t>а</w:t>
      </w:r>
      <w:r>
        <w:t>т</w:t>
      </w:r>
      <w:r w:rsidR="000B5B94">
        <w:t>а</w:t>
      </w:r>
      <w:r>
        <w:t xml:space="preserve"> спо</w:t>
      </w:r>
      <w:r w:rsidR="000B5B94">
        <w:t>годба</w:t>
      </w:r>
      <w:r>
        <w:t xml:space="preserve"> от 1986 г.</w:t>
      </w:r>
    </w:p>
    <w:p w14:paraId="5C33370B" w14:textId="0F3EF22C" w:rsidR="00627C6A" w:rsidRDefault="00A6491D" w:rsidP="00972CB2">
      <w:pPr>
        <w:pStyle w:val="OpiPara"/>
      </w:pPr>
      <w:r>
        <w:t>8.  На трето място може</w:t>
      </w:r>
      <w:r w:rsidR="000B5B94">
        <w:t>ше</w:t>
      </w:r>
      <w:r>
        <w:t xml:space="preserve"> да </w:t>
      </w:r>
      <w:r w:rsidR="000B5B94">
        <w:t>има</w:t>
      </w:r>
      <w:r>
        <w:t xml:space="preserve"> проблем, както </w:t>
      </w:r>
      <w:r w:rsidR="000B5B94">
        <w:t>в</w:t>
      </w:r>
      <w:r>
        <w:t xml:space="preserve"> </w:t>
      </w:r>
      <w:r>
        <w:rPr>
          <w:i/>
          <w:noProof/>
        </w:rPr>
        <w:t>Beyeler v. Italy</w:t>
      </w:r>
      <w:r>
        <w:t xml:space="preserve"> ([</w:t>
      </w:r>
      <w:r w:rsidR="000B5B94">
        <w:t>ГО</w:t>
      </w:r>
      <w:r>
        <w:t>], № 33202/96, ЕСПЧ 2000-I)</w:t>
      </w:r>
      <w:r w:rsidR="000B5B94">
        <w:t>,</w:t>
      </w:r>
      <w:r>
        <w:t xml:space="preserve"> </w:t>
      </w:r>
      <w:r w:rsidR="000B5B94">
        <w:t xml:space="preserve">ако </w:t>
      </w:r>
      <w:r>
        <w:t xml:space="preserve">приложимите разпоредби на вътрешното право не са достатъчно достъпни, точни и предвидими. </w:t>
      </w:r>
      <w:r>
        <w:br/>
        <w:t xml:space="preserve"> В този случай Съдът разглежда дали обстоятелството, че вътрешното право е оставило отворен срока за упражняване на </w:t>
      </w:r>
      <w:r w:rsidR="002E0C13">
        <w:t xml:space="preserve">правото за </w:t>
      </w:r>
      <w:r>
        <w:t xml:space="preserve">преимуществено изкупуване от държавата в случай на непълна декларация, без обаче да се посочва как един такъв пропуск може впоследствие да се поправи, може да представлява нарушение на </w:t>
      </w:r>
      <w:r w:rsidR="002E0C13">
        <w:t>ч</w:t>
      </w:r>
      <w:r>
        <w:t xml:space="preserve">лен 1 от Протокол № 1. </w:t>
      </w:r>
      <w:r w:rsidR="002E0C13">
        <w:t>Т</w:t>
      </w:r>
      <w:r>
        <w:t>акава ситуация може наистина да доведе до заключението, че вмешателството в правото на мирно ползване на нечие притежание би било непредвидимо или произволно и следователно несъвместимо с принципа на законност. В конкретния случай разглеждаме ситуация, при която заявлението за търговска марка, подадено от компанията "Anheuser-Busch"</w:t>
      </w:r>
      <w:r w:rsidR="002E0C13">
        <w:t>,</w:t>
      </w:r>
      <w:r>
        <w:t xml:space="preserve"> може да се оспорва неопределено време. </w:t>
      </w:r>
      <w:r w:rsidR="00326A7D">
        <w:t>Но</w:t>
      </w:r>
      <w:r>
        <w:t xml:space="preserve"> </w:t>
      </w:r>
      <w:r w:rsidR="00326A7D">
        <w:t>това не е направено</w:t>
      </w:r>
      <w:r>
        <w:t xml:space="preserve">. Както сочи решението на </w:t>
      </w:r>
      <w:r w:rsidR="00326A7D">
        <w:t>състава</w:t>
      </w:r>
      <w:r>
        <w:t xml:space="preserve">, </w:t>
      </w:r>
      <w:r w:rsidR="00326A7D">
        <w:t xml:space="preserve">приложимото </w:t>
      </w:r>
      <w:r>
        <w:t xml:space="preserve">португалско законодателство ясно, точно и </w:t>
      </w:r>
      <w:r>
        <w:lastRenderedPageBreak/>
        <w:t xml:space="preserve">резонно предоставя конкретен срок от три месеца, в който трети лица биха могли да възразят срещу регистрацията на дадена търговска марка. Ето защо не е налице нарушение на </w:t>
      </w:r>
      <w:r w:rsidR="00DE7DAE">
        <w:t>ч</w:t>
      </w:r>
      <w:r>
        <w:t>лен 1 от Протокол № 1 въз основа на евентуален процедурен проблем.</w:t>
      </w:r>
    </w:p>
    <w:p w14:paraId="33D38AF2" w14:textId="309372C8" w:rsidR="00972CB2" w:rsidRPr="00AE5CB4" w:rsidRDefault="00A6491D" w:rsidP="00D27DE3">
      <w:pPr>
        <w:pStyle w:val="OpiPara"/>
      </w:pPr>
      <w:r>
        <w:t xml:space="preserve">9.  На четвърто място може също така да се каже, че напротив </w:t>
      </w:r>
      <w:r w:rsidR="00DE7DAE">
        <w:t>–</w:t>
      </w:r>
      <w:r>
        <w:t xml:space="preserve"> критериите за регистрация, на които е разчитала "Anheuser-Busch" не са били ясни. Съмненията </w:t>
      </w:r>
      <w:r w:rsidR="00261C16">
        <w:t xml:space="preserve">във връзка с </w:t>
      </w:r>
      <w:r>
        <w:t>правилното тълкуване на критериите за регистрация и сложността на това да се анализират различните разглеждани международни инструменти означава</w:t>
      </w:r>
      <w:r w:rsidR="00261C16">
        <w:t>т</w:t>
      </w:r>
      <w:r>
        <w:t xml:space="preserve">, че никога не е било предрешено, че заявлението за търговската марка на "Anheuser-Busch" ще </w:t>
      </w:r>
      <w:r w:rsidR="00261C16">
        <w:t>бъде регистрирано</w:t>
      </w:r>
      <w:r>
        <w:t>, с други думи не е имало оправдано п</w:t>
      </w:r>
      <w:r w:rsidR="00261C16">
        <w:t>озовав</w:t>
      </w:r>
      <w:r>
        <w:t xml:space="preserve">ане </w:t>
      </w:r>
      <w:r w:rsidR="00261C16">
        <w:t>на</w:t>
      </w:r>
      <w:r>
        <w:t xml:space="preserve"> даден правен акт, който има солидна правна основа (вж</w:t>
      </w:r>
      <w:r w:rsidR="00F41A0F">
        <w:t>.</w:t>
      </w:r>
      <w:r>
        <w:t xml:space="preserve"> в тази връзка решението </w:t>
      </w:r>
      <w:r>
        <w:rPr>
          <w:i/>
        </w:rPr>
        <w:t>Pine Valley Developments Ltd and Others v. Ireland</w:t>
      </w:r>
      <w:r w:rsidR="00F41A0F">
        <w:t>,</w:t>
      </w:r>
      <w:r>
        <w:t xml:space="preserve"> 29 ноември 1991 г., Серия A № 222).</w:t>
      </w:r>
    </w:p>
    <w:p w14:paraId="5586399C" w14:textId="7AF6392C" w:rsidR="00972CB2" w:rsidRPr="0026275F" w:rsidRDefault="00A6491D" w:rsidP="00972CB2">
      <w:pPr>
        <w:pStyle w:val="OpiPara"/>
      </w:pPr>
      <w:r>
        <w:t xml:space="preserve">10.  Четирите споменати по-горе причини ни водят до заключението, че не е имало достатъчно основание в националното законодателство или в установената практика на националните съдилища, което да позволи на </w:t>
      </w:r>
      <w:r w:rsidR="00F41A0F">
        <w:t xml:space="preserve">дружеството </w:t>
      </w:r>
      <w:r>
        <w:t>жалбоподател да твърди, че е имал</w:t>
      </w:r>
      <w:r w:rsidR="00F41A0F">
        <w:t>о</w:t>
      </w:r>
      <w:r>
        <w:t xml:space="preserve"> </w:t>
      </w:r>
      <w:r w:rsidR="00F41A0F">
        <w:t>„</w:t>
      </w:r>
      <w:r>
        <w:t>легитимн</w:t>
      </w:r>
      <w:r w:rsidR="00F41A0F">
        <w:t>о</w:t>
      </w:r>
      <w:r>
        <w:t xml:space="preserve"> очакван</w:t>
      </w:r>
      <w:r w:rsidR="00F41A0F">
        <w:t>е“</w:t>
      </w:r>
      <w:r>
        <w:t>, защитен</w:t>
      </w:r>
      <w:r w:rsidR="00F41A0F">
        <w:t>о</w:t>
      </w:r>
      <w:r>
        <w:t xml:space="preserve"> по силата на </w:t>
      </w:r>
      <w:r w:rsidR="00F41A0F">
        <w:t>ч</w:t>
      </w:r>
      <w:r>
        <w:t xml:space="preserve">лен 1 от Протокол № 1. Както </w:t>
      </w:r>
      <w:r w:rsidR="00F41A0F">
        <w:t xml:space="preserve">посочва </w:t>
      </w:r>
      <w:r>
        <w:t xml:space="preserve">Съдът в </w:t>
      </w:r>
      <w:r>
        <w:rPr>
          <w:i/>
        </w:rPr>
        <w:t>Kopecký v. Slovakia</w:t>
      </w:r>
      <w:r>
        <w:t xml:space="preserve"> ([</w:t>
      </w:r>
      <w:r w:rsidR="00F41A0F">
        <w:t>ГО</w:t>
      </w:r>
      <w:r>
        <w:t xml:space="preserve">], № 44912/98, § 52, ЕСПЧ 2004-IX).: </w:t>
      </w:r>
      <w:r w:rsidR="00A10825">
        <w:t>„</w:t>
      </w:r>
      <w:r>
        <w:t xml:space="preserve">... </w:t>
      </w:r>
      <w:r w:rsidR="00A10825">
        <w:t>к</w:t>
      </w:r>
      <w:r>
        <w:t xml:space="preserve">огато собственическият интерес се съдържа в естеството на иска, той може да се разглежда като </w:t>
      </w:r>
      <w:r w:rsidR="00A10825">
        <w:t>„</w:t>
      </w:r>
      <w:r>
        <w:t>актив</w:t>
      </w:r>
      <w:r w:rsidR="00A10825">
        <w:t>“</w:t>
      </w:r>
      <w:r>
        <w:t xml:space="preserve">, само когато има достатъчно основание в националното законодателство, например, </w:t>
      </w:r>
      <w:r w:rsidR="00A10825">
        <w:t>когато</w:t>
      </w:r>
      <w:r>
        <w:t xml:space="preserve"> </w:t>
      </w:r>
      <w:r w:rsidR="0039707E">
        <w:t xml:space="preserve">има </w:t>
      </w:r>
      <w:r>
        <w:t>установена съдебна практика на националните съдилища</w:t>
      </w:r>
      <w:r w:rsidR="0039707E">
        <w:t>, която</w:t>
      </w:r>
      <w:r>
        <w:t xml:space="preserve"> го потвърждава.</w:t>
      </w:r>
      <w:r w:rsidR="00A10825">
        <w:t>“</w:t>
      </w:r>
    </w:p>
    <w:p w14:paraId="195CEB64" w14:textId="77777777" w:rsidR="00972CB2" w:rsidRPr="00011B3D" w:rsidRDefault="00972CB2" w:rsidP="00F21B99">
      <w:pPr>
        <w:pStyle w:val="JuPara"/>
        <w:sectPr w:rsidR="00972CB2" w:rsidRPr="00011B3D" w:rsidSect="00D27DE3">
          <w:headerReference w:type="even" r:id="rId15"/>
          <w:headerReference w:type="default" r:id="rId16"/>
          <w:headerReference w:type="first" r:id="rId17"/>
          <w:footnotePr>
            <w:numRestart w:val="eachPage"/>
          </w:footnotePr>
          <w:type w:val="oddPage"/>
          <w:pgSz w:w="11906" w:h="16838" w:code="9"/>
          <w:pgMar w:top="2274" w:right="2274" w:bottom="2274" w:left="2274" w:header="1701" w:footer="720" w:gutter="0"/>
          <w:cols w:space="720"/>
          <w:titlePg/>
          <w:docGrid w:linePitch="326"/>
        </w:sectPr>
      </w:pPr>
    </w:p>
    <w:p w14:paraId="1CBF2D61" w14:textId="336684FB" w:rsidR="00354CEA" w:rsidRDefault="0039707E" w:rsidP="00354CEA">
      <w:pPr>
        <w:pStyle w:val="OpiHHead"/>
      </w:pPr>
      <w:r>
        <w:lastRenderedPageBreak/>
        <w:t>СЪВМЕСТНО</w:t>
      </w:r>
      <w:r w:rsidR="00354CEA">
        <w:t xml:space="preserve"> ОСОБЕНО МНЕНИЕ </w:t>
      </w:r>
      <w:r>
        <w:t>НА</w:t>
      </w:r>
      <w:r w:rsidR="00354CEA">
        <w:t xml:space="preserve"> СЪДИИ CAFLISCH И CABRAL BARRETO</w:t>
      </w:r>
    </w:p>
    <w:p w14:paraId="6D3C91BE" w14:textId="3E5D8E9C" w:rsidR="00354CEA" w:rsidRPr="008173F5" w:rsidRDefault="00354CEA" w:rsidP="00354CEA">
      <w:pPr>
        <w:pStyle w:val="OpiPara"/>
      </w:pPr>
      <w:r>
        <w:t xml:space="preserve">1.  Ние сме съгласни с констатацията на съдиите от мнозинството, че </w:t>
      </w:r>
      <w:r w:rsidR="0039707E">
        <w:t>ч</w:t>
      </w:r>
      <w:r>
        <w:t xml:space="preserve">лен 1 от Протокол № 1 е приложим в този случай. Но бихме предпочели подход, основаващ се на предпоставката, че </w:t>
      </w:r>
      <w:r w:rsidR="0039707E">
        <w:t>жалбоподателите</w:t>
      </w:r>
      <w:r>
        <w:t xml:space="preserve"> в съответния момент са се възползвали от </w:t>
      </w:r>
      <w:r w:rsidR="0039707E">
        <w:t>„</w:t>
      </w:r>
      <w:r>
        <w:t>легитимно очакване</w:t>
      </w:r>
      <w:r w:rsidR="0039707E">
        <w:t>“</w:t>
      </w:r>
      <w:r>
        <w:t xml:space="preserve"> </w:t>
      </w:r>
      <w:r w:rsidR="008649F1">
        <w:t>съгласно дефиницията</w:t>
      </w:r>
      <w:r>
        <w:t xml:space="preserve"> </w:t>
      </w:r>
      <w:r w:rsidR="008649F1">
        <w:t>на</w:t>
      </w:r>
      <w:r>
        <w:t xml:space="preserve"> Съда (вж</w:t>
      </w:r>
      <w:r w:rsidR="008649F1">
        <w:t>.</w:t>
      </w:r>
      <w:r>
        <w:t xml:space="preserve"> </w:t>
      </w:r>
      <w:r>
        <w:rPr>
          <w:i/>
        </w:rPr>
        <w:t>Pine Valley Developments Ltd and Others</w:t>
      </w:r>
      <w:r>
        <w:t xml:space="preserve"> </w:t>
      </w:r>
      <w:r>
        <w:rPr>
          <w:i/>
        </w:rPr>
        <w:t>v.</w:t>
      </w:r>
      <w:r>
        <w:t xml:space="preserve"> </w:t>
      </w:r>
      <w:r>
        <w:rPr>
          <w:i/>
        </w:rPr>
        <w:t>Ireland</w:t>
      </w:r>
      <w:r w:rsidR="008649F1">
        <w:t>,</w:t>
      </w:r>
      <w:r>
        <w:t xml:space="preserve"> 29 ноември 1991 г., серия A № 222).</w:t>
      </w:r>
    </w:p>
    <w:p w14:paraId="47B00602" w14:textId="37C676D9" w:rsidR="00354CEA" w:rsidRPr="008173F5" w:rsidRDefault="00354CEA" w:rsidP="00354CEA">
      <w:pPr>
        <w:pStyle w:val="OpiPara"/>
      </w:pPr>
      <w:r>
        <w:t>2.  </w:t>
      </w:r>
      <w:r w:rsidR="008649F1">
        <w:t xml:space="preserve">Наистина има </w:t>
      </w:r>
      <w:r>
        <w:t xml:space="preserve">различни </w:t>
      </w:r>
      <w:r w:rsidR="008649F1">
        <w:t>споразумения</w:t>
      </w:r>
      <w:r>
        <w:t xml:space="preserve"> и </w:t>
      </w:r>
      <w:r w:rsidR="008649F1">
        <w:t>вътрешни закони, които</w:t>
      </w:r>
      <w:r>
        <w:t xml:space="preserve"> предоставят временна защита на търговските марки, считано от датата на подаването им пред компетентния орган, </w:t>
      </w:r>
      <w:r w:rsidR="008649F1">
        <w:t xml:space="preserve">който </w:t>
      </w:r>
      <w:r>
        <w:t xml:space="preserve">в настоящия случай </w:t>
      </w:r>
      <w:r w:rsidR="008649F1">
        <w:t>е</w:t>
      </w:r>
      <w:r>
        <w:t xml:space="preserve"> Националният институт за индустриална собственост (NIIP). Подаването на заявление дава някаква степен на приоритет и защита на търговската марка до нейната окончателна регистрация, която може да отнеме известно време. В конкретния случай регистрацията е окончателно отказана въз основа на съответното законодателство, а именно </w:t>
      </w:r>
      <w:r w:rsidR="002E0F75">
        <w:t>п</w:t>
      </w:r>
      <w:r>
        <w:t xml:space="preserve">ортугалският </w:t>
      </w:r>
      <w:r w:rsidR="002E0F75">
        <w:t>К</w:t>
      </w:r>
      <w:r>
        <w:t xml:space="preserve">одекс за индустриалната собственост, в своята версия от 24 януари 1995 г. Член 189 от този кодекс предвижда, че </w:t>
      </w:r>
      <w:r w:rsidR="002E0F75">
        <w:t>„</w:t>
      </w:r>
      <w:r>
        <w:t xml:space="preserve">[р]егистрация </w:t>
      </w:r>
      <w:r w:rsidR="00C01559">
        <w:t>се</w:t>
      </w:r>
      <w:r>
        <w:t xml:space="preserve"> отказ</w:t>
      </w:r>
      <w:r w:rsidR="00C01559">
        <w:t>в</w:t>
      </w:r>
      <w:r>
        <w:t>а</w:t>
      </w:r>
      <w:r w:rsidR="00C01559">
        <w:t xml:space="preserve"> и на марка</w:t>
      </w:r>
      <w:r>
        <w:t xml:space="preserve">, ... </w:t>
      </w:r>
      <w:r w:rsidR="00C01559">
        <w:t xml:space="preserve">която </w:t>
      </w:r>
      <w:r>
        <w:t>съдържа ... изрази ..., които са в противоречие с ... националното ... законодателство</w:t>
      </w:r>
      <w:r w:rsidR="00C01559">
        <w:t>“</w:t>
      </w:r>
      <w:r>
        <w:t>, като това законодателство включва двустранн</w:t>
      </w:r>
      <w:r w:rsidR="00C01559">
        <w:t>а</w:t>
      </w:r>
      <w:r>
        <w:t>т</w:t>
      </w:r>
      <w:r w:rsidR="00C01559">
        <w:t>а</w:t>
      </w:r>
      <w:r>
        <w:t xml:space="preserve"> спо</w:t>
      </w:r>
      <w:r w:rsidR="00C01559">
        <w:t>годба</w:t>
      </w:r>
      <w:r>
        <w:t xml:space="preserve"> от 1986 г. между Чехословакия и Португалия, ко</w:t>
      </w:r>
      <w:r w:rsidR="00C01559">
        <w:t>я</w:t>
      </w:r>
      <w:r>
        <w:t>то вече е станал</w:t>
      </w:r>
      <w:r w:rsidR="00C01559">
        <w:t>а</w:t>
      </w:r>
      <w:r>
        <w:t xml:space="preserve"> част от португалското право.</w:t>
      </w:r>
    </w:p>
    <w:p w14:paraId="46E3486D" w14:textId="1A4358A5" w:rsidR="00354CEA" w:rsidRPr="008173F5" w:rsidRDefault="00354CEA" w:rsidP="00354CEA">
      <w:pPr>
        <w:pStyle w:val="OpiPara"/>
      </w:pPr>
      <w:r>
        <w:t>3.  </w:t>
      </w:r>
      <w:r w:rsidR="00C01559">
        <w:t xml:space="preserve">Понятия </w:t>
      </w:r>
      <w:r>
        <w:t xml:space="preserve">като удостоверения за клиентела, репутация и урбанизация са нематериални по своя характер; въпреки това те са </w:t>
      </w:r>
      <w:r w:rsidR="00C01559">
        <w:t>„</w:t>
      </w:r>
      <w:r>
        <w:t>права</w:t>
      </w:r>
      <w:r w:rsidR="00C01559">
        <w:t>“</w:t>
      </w:r>
      <w:r>
        <w:t>, т</w:t>
      </w:r>
      <w:r w:rsidR="00C01559">
        <w:t>.</w:t>
      </w:r>
      <w:r>
        <w:t>е</w:t>
      </w:r>
      <w:r w:rsidR="00C01559">
        <w:t>.</w:t>
      </w:r>
      <w:r>
        <w:t xml:space="preserve"> </w:t>
      </w:r>
      <w:r w:rsidR="00C01559">
        <w:t>„</w:t>
      </w:r>
      <w:r>
        <w:t>защитени от закона интереси</w:t>
      </w:r>
      <w:r w:rsidR="00C01559">
        <w:t>“</w:t>
      </w:r>
      <w:r>
        <w:t>, ка</w:t>
      </w:r>
      <w:r w:rsidR="00C01559">
        <w:t>к</w:t>
      </w:r>
      <w:r>
        <w:t>то е призна</w:t>
      </w:r>
      <w:r w:rsidR="00C01559">
        <w:t>л</w:t>
      </w:r>
      <w:r>
        <w:t xml:space="preserve"> </w:t>
      </w:r>
      <w:r w:rsidR="00C01559">
        <w:t>и</w:t>
      </w:r>
      <w:r>
        <w:t xml:space="preserve"> Съд</w:t>
      </w:r>
      <w:r w:rsidR="00C01559">
        <w:t>ът</w:t>
      </w:r>
      <w:r>
        <w:t xml:space="preserve">. В настоящото решение Съдът разширява своето признаване на заявленията за регистрация на търговска марка, които </w:t>
      </w:r>
      <w:r w:rsidR="00750CF9">
        <w:t>следователно</w:t>
      </w:r>
      <w:r>
        <w:t xml:space="preserve"> се ползват със статута на </w:t>
      </w:r>
      <w:r w:rsidR="00750CF9">
        <w:t>„</w:t>
      </w:r>
      <w:r>
        <w:t>притежания</w:t>
      </w:r>
      <w:r w:rsidR="00750CF9">
        <w:t>“</w:t>
      </w:r>
      <w:r>
        <w:t xml:space="preserve"> по смисъла на </w:t>
      </w:r>
      <w:r w:rsidR="00750CF9">
        <w:t>ч</w:t>
      </w:r>
      <w:r>
        <w:t xml:space="preserve">лен 1 от Протокол № 1. Ние сме съгласни със Съда, но бихме предпочели да поддържаме становището, че подаването на заявление за регистрация на търговска марка създава </w:t>
      </w:r>
      <w:r w:rsidR="00750CF9">
        <w:t>„</w:t>
      </w:r>
      <w:r>
        <w:t>легитимн</w:t>
      </w:r>
      <w:r w:rsidR="00750CF9">
        <w:t>о</w:t>
      </w:r>
      <w:r>
        <w:t xml:space="preserve"> очакван</w:t>
      </w:r>
      <w:r w:rsidR="00750CF9">
        <w:t>е“</w:t>
      </w:r>
      <w:r>
        <w:t xml:space="preserve"> по смисъла на съдебната практика </w:t>
      </w:r>
      <w:r w:rsidR="00750CF9">
        <w:t>по</w:t>
      </w:r>
      <w:r>
        <w:t xml:space="preserve"> </w:t>
      </w:r>
      <w:r w:rsidR="00750CF9">
        <w:t>ч</w:t>
      </w:r>
      <w:r>
        <w:t>лен 1.</w:t>
      </w:r>
    </w:p>
    <w:p w14:paraId="185E654D" w14:textId="77777777" w:rsidR="00354CEA" w:rsidRPr="008173F5" w:rsidRDefault="00354CEA" w:rsidP="00354CEA">
      <w:pPr>
        <w:pStyle w:val="OpiPara"/>
      </w:pPr>
      <w:r>
        <w:t>4.  Нашето виждане по същество се основава на следните елементи:</w:t>
      </w:r>
    </w:p>
    <w:p w14:paraId="7860FD6E" w14:textId="79AA30D3" w:rsidR="00354CEA" w:rsidRPr="008173F5" w:rsidRDefault="00FA2428" w:rsidP="00354CEA">
      <w:pPr>
        <w:pStyle w:val="OpiPara"/>
      </w:pPr>
      <w:r>
        <w:t>(i) Самите португалски съдилища поддържат становището, че подаването на заявление за регистрация на търговска марка създава “</w:t>
      </w:r>
      <w:r>
        <w:rPr>
          <w:i/>
        </w:rPr>
        <w:t>expectativa jurídica</w:t>
      </w:r>
      <w:r>
        <w:t xml:space="preserve">” </w:t>
      </w:r>
      <w:r w:rsidR="00371F9F">
        <w:t>–</w:t>
      </w:r>
      <w:r>
        <w:t xml:space="preserve"> </w:t>
      </w:r>
      <w:r w:rsidR="00371F9F">
        <w:t>понятие</w:t>
      </w:r>
      <w:r>
        <w:t>, ко</w:t>
      </w:r>
      <w:r w:rsidR="00371F9F">
        <w:t>е</w:t>
      </w:r>
      <w:r>
        <w:t xml:space="preserve">то </w:t>
      </w:r>
      <w:r w:rsidR="00371F9F">
        <w:t>на практика</w:t>
      </w:r>
      <w:r>
        <w:t xml:space="preserve"> </w:t>
      </w:r>
      <w:r w:rsidR="00371F9F">
        <w:t>съвпада с „</w:t>
      </w:r>
      <w:r>
        <w:t>легитимн</w:t>
      </w:r>
      <w:r w:rsidR="00371F9F">
        <w:t>о</w:t>
      </w:r>
      <w:r>
        <w:t xml:space="preserve"> очакван</w:t>
      </w:r>
      <w:r w:rsidR="00371F9F">
        <w:t>е“</w:t>
      </w:r>
      <w:r>
        <w:t>.</w:t>
      </w:r>
    </w:p>
    <w:p w14:paraId="3BE76996" w14:textId="77777777" w:rsidR="00354CEA" w:rsidRPr="008173F5" w:rsidRDefault="00FA2428" w:rsidP="00354CEA">
      <w:pPr>
        <w:pStyle w:val="OpiPara"/>
      </w:pPr>
      <w:r>
        <w:t>(ii) Исканията за регистрация могат да бъдат прехвърляни или да бъдат предмет на лицензионни споразумения.</w:t>
      </w:r>
    </w:p>
    <w:p w14:paraId="37CA6673" w14:textId="795A7FBB" w:rsidR="00E00E40" w:rsidRDefault="00FA2428" w:rsidP="00354CEA">
      <w:pPr>
        <w:pStyle w:val="OpiPara"/>
      </w:pPr>
      <w:r>
        <w:t xml:space="preserve">(iii) Въз основа на заявлението за регистрация търговската марка придобива икономическа стойност, както на национално, така и на международно ниво. Тя е защитена от вмешателство на трети страни, </w:t>
      </w:r>
      <w:r>
        <w:lastRenderedPageBreak/>
        <w:t xml:space="preserve">като всяка намеса води до задължение за компенсация </w:t>
      </w:r>
      <w:r w:rsidR="0040462A">
        <w:t>и</w:t>
      </w:r>
      <w:r>
        <w:t xml:space="preserve"> се ползва с </w:t>
      </w:r>
      <w:r w:rsidR="0040462A">
        <w:t xml:space="preserve">предимство </w:t>
      </w:r>
      <w:r>
        <w:t>пр</w:t>
      </w:r>
      <w:r w:rsidR="002B6449">
        <w:t>ед</w:t>
      </w:r>
      <w:r>
        <w:t xml:space="preserve"> последващи искания на трети страни, т</w:t>
      </w:r>
      <w:r w:rsidR="002B6449">
        <w:t>.</w:t>
      </w:r>
      <w:r>
        <w:t>е</w:t>
      </w:r>
      <w:r w:rsidR="002B6449">
        <w:t>.</w:t>
      </w:r>
      <w:r>
        <w:t xml:space="preserve"> очакване, че кандидатът няма да бъде лишен от търговската марка при последващи заявления за регистрация.</w:t>
      </w:r>
    </w:p>
    <w:p w14:paraId="6AC92423" w14:textId="574B12BA" w:rsidR="00354CEA" w:rsidRPr="008173F5" w:rsidRDefault="00354CEA" w:rsidP="00354CEA">
      <w:pPr>
        <w:pStyle w:val="OpiPara"/>
      </w:pPr>
      <w:r>
        <w:t xml:space="preserve">(iv) NIIP няма право на преценка дали да предостави или да откаже регистрация, когато са изпълнени законовите условия, съществуващи към момента на подаване на заявлението за регистрация </w:t>
      </w:r>
      <w:r w:rsidR="002B6449">
        <w:t>във вида им</w:t>
      </w:r>
      <w:r>
        <w:t xml:space="preserve"> до 1986 г., когато се появява двустранн</w:t>
      </w:r>
      <w:r w:rsidR="002B6449">
        <w:t>а</w:t>
      </w:r>
      <w:r>
        <w:t>т</w:t>
      </w:r>
      <w:r w:rsidR="002B6449">
        <w:t>а</w:t>
      </w:r>
      <w:r>
        <w:t xml:space="preserve"> спо</w:t>
      </w:r>
      <w:r w:rsidR="002B6449">
        <w:t>годба</w:t>
      </w:r>
      <w:r>
        <w:t xml:space="preserve">. В действителност </w:t>
      </w:r>
      <w:r w:rsidR="00B17D98">
        <w:t>предимството</w:t>
      </w:r>
      <w:r>
        <w:t xml:space="preserve">, придружаващо подадената (но все още нерегистрирана) търговска марка би се </w:t>
      </w:r>
      <w:r w:rsidR="00B17D98">
        <w:t>изпразнило от съдържание</w:t>
      </w:r>
      <w:r>
        <w:t xml:space="preserve">, ако </w:t>
      </w:r>
      <w:r w:rsidR="00B17D98">
        <w:t>може</w:t>
      </w:r>
      <w:r>
        <w:t xml:space="preserve"> да бъде анулирано по всяко време чрез въвеждането на ново законодателство</w:t>
      </w:r>
    </w:p>
    <w:p w14:paraId="417C552A" w14:textId="5C2D68C8" w:rsidR="00354CEA" w:rsidRPr="008173F5" w:rsidRDefault="00354CEA" w:rsidP="00354CEA">
      <w:pPr>
        <w:pStyle w:val="OpiPara"/>
      </w:pPr>
      <w:r>
        <w:t>5.  Посочените по-горе елементи ни водят до извода, че подаването на заявление за регистрация на търговска марка, за разлика от самата регистрация, създава права в полза на жалбоподателя, по-</w:t>
      </w:r>
      <w:r w:rsidR="00876A33">
        <w:t xml:space="preserve">конкретно </w:t>
      </w:r>
      <w:r>
        <w:t xml:space="preserve">право на регистрация на търговската марка. Това право има </w:t>
      </w:r>
      <w:r w:rsidRPr="00570092">
        <w:rPr>
          <w:i/>
        </w:rPr>
        <w:t>условен</w:t>
      </w:r>
      <w:r>
        <w:t xml:space="preserve"> характер; то зависи от изпълнението на законовите изисквания за регистрация, съществуващи към момента на подаване на заявлението. С други думи тук става въпрос за </w:t>
      </w:r>
      <w:r w:rsidR="00876A33">
        <w:t>„</w:t>
      </w:r>
      <w:r>
        <w:t>легитимн</w:t>
      </w:r>
      <w:r w:rsidR="00876A33">
        <w:t>о</w:t>
      </w:r>
      <w:r>
        <w:t xml:space="preserve"> очакван</w:t>
      </w:r>
      <w:r w:rsidR="00876A33">
        <w:t>е“</w:t>
      </w:r>
      <w:r>
        <w:t xml:space="preserve">, а не за </w:t>
      </w:r>
      <w:r w:rsidR="00876A33">
        <w:t>„</w:t>
      </w:r>
      <w:r>
        <w:t>притежани</w:t>
      </w:r>
      <w:r w:rsidR="00876A33">
        <w:t>е“</w:t>
      </w:r>
      <w:r>
        <w:t xml:space="preserve"> (“</w:t>
      </w:r>
      <w:r>
        <w:rPr>
          <w:i/>
        </w:rPr>
        <w:t>bien</w:t>
      </w:r>
      <w:r>
        <w:t xml:space="preserve">”) по смисъла на </w:t>
      </w:r>
      <w:r w:rsidR="00876A33">
        <w:t>ч</w:t>
      </w:r>
      <w:r>
        <w:t>лен 1 от Протокол № 1. Според съдебната практика на Съда обаче това очакване не може да бъде отменено от последващо национално законодателство, дори ако последното се основава на международно договорно право.</w:t>
      </w:r>
    </w:p>
    <w:p w14:paraId="59DC0F3D" w14:textId="2702544F" w:rsidR="00354CEA" w:rsidRPr="008173F5" w:rsidRDefault="00354CEA" w:rsidP="00354CEA">
      <w:pPr>
        <w:pStyle w:val="OpiPara"/>
      </w:pPr>
      <w:r>
        <w:t>6.  След като беше установено</w:t>
      </w:r>
      <w:r w:rsidR="00680D0A">
        <w:t>,</w:t>
      </w:r>
      <w:r>
        <w:t xml:space="preserve"> (i) че </w:t>
      </w:r>
      <w:r w:rsidR="00680D0A">
        <w:t xml:space="preserve">дружеството </w:t>
      </w:r>
      <w:r>
        <w:t>жалбоподател се е ползвал</w:t>
      </w:r>
      <w:r w:rsidR="00680D0A">
        <w:t>о</w:t>
      </w:r>
      <w:r>
        <w:t xml:space="preserve"> с </w:t>
      </w:r>
      <w:r w:rsidR="00C63680">
        <w:t>„</w:t>
      </w:r>
      <w:r>
        <w:t>легитимн</w:t>
      </w:r>
      <w:r w:rsidR="00C63680">
        <w:t>о</w:t>
      </w:r>
      <w:r>
        <w:t xml:space="preserve"> очакван</w:t>
      </w:r>
      <w:r w:rsidR="00C63680">
        <w:t>е“</w:t>
      </w:r>
      <w:r>
        <w:t xml:space="preserve"> и (ii) е бил</w:t>
      </w:r>
      <w:r w:rsidR="00C63680">
        <w:t>о</w:t>
      </w:r>
      <w:r>
        <w:t xml:space="preserve"> защитен</w:t>
      </w:r>
      <w:r w:rsidR="00C63680">
        <w:t>о</w:t>
      </w:r>
      <w:r>
        <w:t xml:space="preserve"> от </w:t>
      </w:r>
      <w:r w:rsidR="00C63680">
        <w:t>ч</w:t>
      </w:r>
      <w:r>
        <w:t xml:space="preserve">лен 1 </w:t>
      </w:r>
      <w:r w:rsidR="00C63680">
        <w:t>от</w:t>
      </w:r>
      <w:r>
        <w:t xml:space="preserve"> Протокол № 1, остава да се види дали е бил</w:t>
      </w:r>
      <w:r w:rsidR="00C63680">
        <w:t>о</w:t>
      </w:r>
      <w:r>
        <w:t xml:space="preserve"> лишен</w:t>
      </w:r>
      <w:r w:rsidR="00C63680">
        <w:t>о</w:t>
      </w:r>
      <w:r>
        <w:t xml:space="preserve"> от т</w:t>
      </w:r>
      <w:r w:rsidR="00C63680">
        <w:t>ова</w:t>
      </w:r>
      <w:r>
        <w:t xml:space="preserve"> си очакван</w:t>
      </w:r>
      <w:r w:rsidR="00C63680">
        <w:t>е</w:t>
      </w:r>
      <w:r>
        <w:t xml:space="preserve"> вследствие действията на португалските държавни органи, които са били в противоречие с </w:t>
      </w:r>
      <w:r w:rsidR="001109CD">
        <w:t>ч</w:t>
      </w:r>
      <w:r>
        <w:t>лен 1.</w:t>
      </w:r>
    </w:p>
    <w:p w14:paraId="6A416EF9" w14:textId="495501D7" w:rsidR="00354CEA" w:rsidRPr="008173F5" w:rsidRDefault="00354CEA" w:rsidP="00354CEA">
      <w:pPr>
        <w:pStyle w:val="OpiPara"/>
        <w:rPr>
          <w:rFonts w:ascii="Times New (W1)" w:hAnsi="Times New (W1)"/>
        </w:rPr>
      </w:pPr>
      <w:r>
        <w:t>7.  За по-голямата част от Съда (вж</w:t>
      </w:r>
      <w:r w:rsidR="001109CD">
        <w:t>.</w:t>
      </w:r>
      <w:r>
        <w:t xml:space="preserve"> параграф 83 от решението), в конкретния случай става въпрос </w:t>
      </w:r>
      <w:r w:rsidR="001109CD">
        <w:t>„</w:t>
      </w:r>
      <w:r>
        <w:t>главно [за] начина, по който националните съдилища тълкуват и прилагат вътрешното право в съдебно производство между двама конкурентни жалбоподатели</w:t>
      </w:r>
      <w:r w:rsidR="001109CD">
        <w:t>“</w:t>
      </w:r>
      <w:r>
        <w:t xml:space="preserve"> и следователно </w:t>
      </w:r>
      <w:r w:rsidR="001109CD">
        <w:t xml:space="preserve">той </w:t>
      </w:r>
      <w:r>
        <w:t xml:space="preserve">трябва да бъде разграничен (параграф 82) от дела като </w:t>
      </w:r>
      <w:r>
        <w:rPr>
          <w:i/>
        </w:rPr>
        <w:t>Maurice</w:t>
      </w:r>
      <w:r>
        <w:t xml:space="preserve"> </w:t>
      </w:r>
      <w:r>
        <w:rPr>
          <w:i/>
        </w:rPr>
        <w:t>v.</w:t>
      </w:r>
      <w:r>
        <w:t xml:space="preserve"> </w:t>
      </w:r>
      <w:r>
        <w:rPr>
          <w:i/>
        </w:rPr>
        <w:t>France</w:t>
      </w:r>
      <w:r>
        <w:t xml:space="preserve"> ([</w:t>
      </w:r>
      <w:r w:rsidR="001109CD">
        <w:t>ГО</w:t>
      </w:r>
      <w:r>
        <w:t>], №</w:t>
      </w:r>
      <w:r>
        <w:rPr>
          <w:rFonts w:ascii="Times New (W1)" w:hAnsi="Times New (W1)"/>
          <w:vertAlign w:val="superscript"/>
        </w:rPr>
        <w:t xml:space="preserve"> </w:t>
      </w:r>
      <w:r>
        <w:rPr>
          <w:rFonts w:ascii="Times New (W1)" w:hAnsi="Times New (W1)"/>
        </w:rPr>
        <w:t xml:space="preserve">11810/03, ЕСЧП 2005-IX), и </w:t>
      </w:r>
      <w:r>
        <w:rPr>
          <w:rFonts w:ascii="Times New (W1)" w:hAnsi="Times New (W1)"/>
          <w:i/>
        </w:rPr>
        <w:t>Lecarpentier v.</w:t>
      </w:r>
      <w:r>
        <w:rPr>
          <w:rFonts w:ascii="Times New (W1)" w:hAnsi="Times New (W1)"/>
        </w:rPr>
        <w:t xml:space="preserve"> </w:t>
      </w:r>
      <w:r>
        <w:rPr>
          <w:rFonts w:ascii="Times New (W1)" w:hAnsi="Times New (W1)"/>
          <w:i/>
        </w:rPr>
        <w:t>France</w:t>
      </w:r>
      <w:r>
        <w:rPr>
          <w:rFonts w:ascii="Times New (W1)" w:hAnsi="Times New (W1)"/>
        </w:rPr>
        <w:t xml:space="preserve"> (№</w:t>
      </w:r>
      <w:r>
        <w:rPr>
          <w:rFonts w:ascii="Times New (W1)" w:hAnsi="Times New (W1)"/>
          <w:vertAlign w:val="superscript"/>
        </w:rPr>
        <w:t xml:space="preserve"> </w:t>
      </w:r>
      <w:r>
        <w:rPr>
          <w:rFonts w:ascii="Times New (W1)" w:hAnsi="Times New (W1)"/>
        </w:rPr>
        <w:t xml:space="preserve">67847/01, 14 февруари 2006 г.). За </w:t>
      </w:r>
      <w:r w:rsidR="001109CD">
        <w:rPr>
          <w:rFonts w:ascii="Times New (W1)" w:hAnsi="Times New (W1)"/>
        </w:rPr>
        <w:t>мнозинството</w:t>
      </w:r>
      <w:r>
        <w:rPr>
          <w:rFonts w:ascii="Times New (W1)" w:hAnsi="Times New (W1)"/>
        </w:rPr>
        <w:t xml:space="preserve"> от Съда настоящият спор е по-скоро спор между частни </w:t>
      </w:r>
      <w:r w:rsidR="00B56402">
        <w:rPr>
          <w:rFonts w:ascii="Times New (W1)" w:hAnsi="Times New (W1)"/>
        </w:rPr>
        <w:t>страни</w:t>
      </w:r>
      <w:r>
        <w:rPr>
          <w:rFonts w:ascii="Times New (W1)" w:hAnsi="Times New (W1)"/>
        </w:rPr>
        <w:t xml:space="preserve">, отколкото спор между </w:t>
      </w:r>
      <w:r w:rsidR="00B56402">
        <w:rPr>
          <w:rFonts w:ascii="Times New (W1)" w:hAnsi="Times New (W1)"/>
        </w:rPr>
        <w:t>ф</w:t>
      </w:r>
      <w:r>
        <w:rPr>
          <w:rFonts w:ascii="Times New (W1)" w:hAnsi="Times New (W1)"/>
        </w:rPr>
        <w:t xml:space="preserve">изическо лице и държавата, с други думи </w:t>
      </w:r>
      <w:r w:rsidR="00B56402">
        <w:rPr>
          <w:rFonts w:ascii="Times New (W1)" w:hAnsi="Times New (W1)"/>
        </w:rPr>
        <w:t xml:space="preserve">– </w:t>
      </w:r>
      <w:r>
        <w:rPr>
          <w:rFonts w:ascii="Times New (W1)" w:hAnsi="Times New (W1)"/>
        </w:rPr>
        <w:t xml:space="preserve">въпреки че по-голямата част от Съда не е изразила такова изрично становище </w:t>
      </w:r>
      <w:r w:rsidR="00B56402">
        <w:rPr>
          <w:rFonts w:ascii="Times New (W1)" w:hAnsi="Times New (W1)"/>
        </w:rPr>
        <w:t>–</w:t>
      </w:r>
      <w:r>
        <w:rPr>
          <w:rFonts w:ascii="Times New (W1)" w:hAnsi="Times New (W1)"/>
        </w:rPr>
        <w:t xml:space="preserve"> ситуация</w:t>
      </w:r>
      <w:r w:rsidR="00B56402">
        <w:rPr>
          <w:rFonts w:ascii="Times New (W1)" w:hAnsi="Times New (W1)"/>
        </w:rPr>
        <w:t>, която</w:t>
      </w:r>
      <w:r>
        <w:rPr>
          <w:rFonts w:ascii="Times New (W1)" w:hAnsi="Times New (W1)"/>
        </w:rPr>
        <w:t xml:space="preserve"> се доближава до тази, която би трябвало да се разглежда в рамките на </w:t>
      </w:r>
      <w:r w:rsidR="00B56402">
        <w:rPr>
          <w:rFonts w:ascii="Times New (W1)" w:hAnsi="Times New (W1)"/>
        </w:rPr>
        <w:t>ч</w:t>
      </w:r>
      <w:r>
        <w:rPr>
          <w:rFonts w:ascii="Times New (W1)" w:hAnsi="Times New (W1)"/>
        </w:rPr>
        <w:t>лен 6: единственият съществен въпрос тук (вж</w:t>
      </w:r>
      <w:r w:rsidR="00B56402">
        <w:rPr>
          <w:rFonts w:ascii="Times New (W1)" w:hAnsi="Times New (W1)"/>
        </w:rPr>
        <w:t>.</w:t>
      </w:r>
      <w:r>
        <w:rPr>
          <w:rFonts w:ascii="Times New (W1)" w:hAnsi="Times New (W1)"/>
        </w:rPr>
        <w:t xml:space="preserve"> параграф 85 от решението) е дали е имало </w:t>
      </w:r>
      <w:r w:rsidR="00B56402">
        <w:rPr>
          <w:rFonts w:ascii="Times New (W1)" w:hAnsi="Times New (W1)"/>
        </w:rPr>
        <w:t>„</w:t>
      </w:r>
      <w:r>
        <w:rPr>
          <w:rFonts w:ascii="Times New (W1)" w:hAnsi="Times New (W1)"/>
        </w:rPr>
        <w:t>произвол</w:t>
      </w:r>
      <w:r w:rsidR="00B56402">
        <w:rPr>
          <w:rFonts w:ascii="Times New (W1)" w:hAnsi="Times New (W1)"/>
        </w:rPr>
        <w:t>ност</w:t>
      </w:r>
      <w:r>
        <w:rPr>
          <w:rFonts w:ascii="Times New (W1)" w:hAnsi="Times New (W1)"/>
        </w:rPr>
        <w:t xml:space="preserve"> или явна нео</w:t>
      </w:r>
      <w:r w:rsidR="00B56402">
        <w:rPr>
          <w:rFonts w:ascii="Times New (W1)" w:hAnsi="Times New (W1)"/>
        </w:rPr>
        <w:t>с</w:t>
      </w:r>
      <w:r>
        <w:rPr>
          <w:rFonts w:ascii="Times New (W1)" w:hAnsi="Times New (W1)"/>
        </w:rPr>
        <w:t>нова</w:t>
      </w:r>
      <w:r w:rsidR="00B56402">
        <w:rPr>
          <w:rFonts w:ascii="Times New (W1)" w:hAnsi="Times New (W1)"/>
        </w:rPr>
        <w:t>тел</w:t>
      </w:r>
      <w:r>
        <w:rPr>
          <w:rFonts w:ascii="Times New (W1)" w:hAnsi="Times New (W1)"/>
        </w:rPr>
        <w:t>ност</w:t>
      </w:r>
      <w:r w:rsidR="00B56402">
        <w:rPr>
          <w:rFonts w:ascii="Times New (W1)" w:hAnsi="Times New (W1)"/>
        </w:rPr>
        <w:t>“</w:t>
      </w:r>
      <w:r>
        <w:rPr>
          <w:rFonts w:ascii="Times New (W1)" w:hAnsi="Times New (W1)"/>
        </w:rPr>
        <w:t xml:space="preserve"> от страна на органите на португалската държава. </w:t>
      </w:r>
      <w:r w:rsidR="00B56402">
        <w:rPr>
          <w:rFonts w:ascii="Times New (W1)" w:hAnsi="Times New (W1)"/>
        </w:rPr>
        <w:t>Мнозинството</w:t>
      </w:r>
      <w:r>
        <w:rPr>
          <w:rFonts w:ascii="Times New (W1)" w:hAnsi="Times New (W1)"/>
        </w:rPr>
        <w:t xml:space="preserve"> от Съда достига до заключението, че няма такива.</w:t>
      </w:r>
    </w:p>
    <w:p w14:paraId="6B4B4229" w14:textId="359D2314" w:rsidR="00E00E40" w:rsidRDefault="00354CEA" w:rsidP="00354CEA">
      <w:pPr>
        <w:pStyle w:val="OpiPara"/>
        <w:rPr>
          <w:rFonts w:ascii="Times New (W1)" w:hAnsi="Times New (W1)"/>
        </w:rPr>
      </w:pPr>
      <w:r>
        <w:rPr>
          <w:rFonts w:ascii="Times New (W1)" w:hAnsi="Times New (W1)"/>
        </w:rPr>
        <w:t xml:space="preserve">8.  По наше мнение мотивите на Съда са както спорни, така и противоречиви. </w:t>
      </w:r>
      <w:r w:rsidR="00C96035">
        <w:rPr>
          <w:rFonts w:ascii="Times New (W1)" w:hAnsi="Times New (W1)"/>
        </w:rPr>
        <w:t xml:space="preserve">Делото </w:t>
      </w:r>
      <w:r>
        <w:rPr>
          <w:rFonts w:ascii="Times New (W1)" w:hAnsi="Times New (W1)"/>
        </w:rPr>
        <w:t xml:space="preserve">противопоставя </w:t>
      </w:r>
      <w:r w:rsidR="00090E30">
        <w:rPr>
          <w:rFonts w:ascii="Times New (W1)" w:hAnsi="Times New (W1)"/>
        </w:rPr>
        <w:t xml:space="preserve">жалбоподател физическо лице </w:t>
      </w:r>
      <w:r w:rsidR="00090E30">
        <w:rPr>
          <w:rFonts w:ascii="Times New (W1)" w:hAnsi="Times New (W1)"/>
        </w:rPr>
        <w:lastRenderedPageBreak/>
        <w:t>и</w:t>
      </w:r>
      <w:r>
        <w:rPr>
          <w:rFonts w:ascii="Times New (W1)" w:hAnsi="Times New (W1)"/>
        </w:rPr>
        <w:t xml:space="preserve"> държава; оплакването на </w:t>
      </w:r>
      <w:r w:rsidR="00090E30">
        <w:rPr>
          <w:rFonts w:ascii="Times New (W1)" w:hAnsi="Times New (W1)"/>
        </w:rPr>
        <w:t xml:space="preserve">дружеството </w:t>
      </w:r>
      <w:r>
        <w:rPr>
          <w:rFonts w:ascii="Times New (W1)" w:hAnsi="Times New (W1)"/>
        </w:rPr>
        <w:t>жалбоподател е, че е бил</w:t>
      </w:r>
      <w:r w:rsidR="00090E30">
        <w:rPr>
          <w:rFonts w:ascii="Times New (W1)" w:hAnsi="Times New (W1)"/>
        </w:rPr>
        <w:t>о</w:t>
      </w:r>
      <w:r>
        <w:rPr>
          <w:rFonts w:ascii="Times New (W1)" w:hAnsi="Times New (W1)"/>
        </w:rPr>
        <w:t xml:space="preserve"> лишен</w:t>
      </w:r>
      <w:r w:rsidR="00090E30">
        <w:rPr>
          <w:rFonts w:ascii="Times New (W1)" w:hAnsi="Times New (W1)"/>
        </w:rPr>
        <w:t>о</w:t>
      </w:r>
      <w:r>
        <w:rPr>
          <w:rFonts w:ascii="Times New (W1)" w:hAnsi="Times New (W1)"/>
        </w:rPr>
        <w:t xml:space="preserve"> от </w:t>
      </w:r>
      <w:r w:rsidR="00090E30">
        <w:rPr>
          <w:rFonts w:ascii="Times New (W1)" w:hAnsi="Times New (W1)"/>
        </w:rPr>
        <w:t>„</w:t>
      </w:r>
      <w:r>
        <w:rPr>
          <w:rFonts w:ascii="Times New (W1)" w:hAnsi="Times New (W1)"/>
        </w:rPr>
        <w:t>притежание</w:t>
      </w:r>
      <w:r w:rsidR="00090E30">
        <w:rPr>
          <w:rFonts w:ascii="Times New (W1)" w:hAnsi="Times New (W1)"/>
        </w:rPr>
        <w:t>“</w:t>
      </w:r>
      <w:r>
        <w:rPr>
          <w:rFonts w:ascii="Times New (W1)" w:hAnsi="Times New (W1)"/>
        </w:rPr>
        <w:t xml:space="preserve"> или </w:t>
      </w:r>
      <w:r w:rsidR="00090E30">
        <w:rPr>
          <w:rFonts w:ascii="Times New (W1)" w:hAnsi="Times New (W1)"/>
        </w:rPr>
        <w:t>„</w:t>
      </w:r>
      <w:r>
        <w:rPr>
          <w:rFonts w:ascii="Times New (W1)" w:hAnsi="Times New (W1)"/>
        </w:rPr>
        <w:t>легитимн</w:t>
      </w:r>
      <w:r w:rsidR="00090E30">
        <w:rPr>
          <w:rFonts w:ascii="Times New (W1)" w:hAnsi="Times New (W1)"/>
        </w:rPr>
        <w:t>о</w:t>
      </w:r>
      <w:r>
        <w:rPr>
          <w:rFonts w:ascii="Times New (W1)" w:hAnsi="Times New (W1)"/>
        </w:rPr>
        <w:t xml:space="preserve"> очакван</w:t>
      </w:r>
      <w:r w:rsidR="00090E30">
        <w:rPr>
          <w:rFonts w:ascii="Times New (W1)" w:hAnsi="Times New (W1)"/>
        </w:rPr>
        <w:t>е“</w:t>
      </w:r>
      <w:r>
        <w:rPr>
          <w:rFonts w:ascii="Times New (W1)" w:hAnsi="Times New (W1)"/>
        </w:rPr>
        <w:t xml:space="preserve"> от страна на португалските съдилища. Следователно делото </w:t>
      </w:r>
      <w:r>
        <w:rPr>
          <w:rFonts w:ascii="Times New (W1)" w:hAnsi="Times New (W1)"/>
          <w:i/>
        </w:rPr>
        <w:t>не</w:t>
      </w:r>
      <w:r>
        <w:rPr>
          <w:rFonts w:ascii="Times New (W1)" w:hAnsi="Times New (W1)"/>
        </w:rPr>
        <w:t xml:space="preserve"> се отнася до </w:t>
      </w:r>
      <w:r w:rsidR="00090E30">
        <w:rPr>
          <w:rFonts w:ascii="Times New (W1)" w:hAnsi="Times New (W1)"/>
        </w:rPr>
        <w:t>„</w:t>
      </w:r>
      <w:r>
        <w:rPr>
          <w:rFonts w:ascii="Times New (W1)" w:hAnsi="Times New (W1)"/>
        </w:rPr>
        <w:t>частен</w:t>
      </w:r>
      <w:r w:rsidR="00090E30">
        <w:rPr>
          <w:rFonts w:ascii="Times New (W1)" w:hAnsi="Times New (W1)"/>
        </w:rPr>
        <w:t>“</w:t>
      </w:r>
      <w:r>
        <w:rPr>
          <w:rFonts w:ascii="Times New (W1)" w:hAnsi="Times New (W1)"/>
        </w:rPr>
        <w:t xml:space="preserve"> конфликт между частни компании. </w:t>
      </w:r>
      <w:r w:rsidR="00090E30">
        <w:rPr>
          <w:rFonts w:ascii="Times New (W1)" w:hAnsi="Times New (W1)"/>
        </w:rPr>
        <w:t>Мнозинството</w:t>
      </w:r>
      <w:r>
        <w:rPr>
          <w:rFonts w:ascii="Times New (W1)" w:hAnsi="Times New (W1)"/>
        </w:rPr>
        <w:t xml:space="preserve"> от Съда неправилно счита за правилно обратното и реално гледа на проблема като нещо </w:t>
      </w:r>
      <w:r w:rsidR="00090E30">
        <w:rPr>
          <w:rFonts w:ascii="Times New (W1)" w:hAnsi="Times New (W1)"/>
        </w:rPr>
        <w:t>близко до</w:t>
      </w:r>
      <w:r>
        <w:rPr>
          <w:rFonts w:ascii="Times New (W1)" w:hAnsi="Times New (W1)"/>
        </w:rPr>
        <w:t xml:space="preserve"> </w:t>
      </w:r>
      <w:r w:rsidR="00090E30">
        <w:rPr>
          <w:rFonts w:ascii="Times New (W1)" w:hAnsi="Times New (W1)"/>
        </w:rPr>
        <w:t>ч</w:t>
      </w:r>
      <w:r>
        <w:rPr>
          <w:rFonts w:ascii="Times New (W1)" w:hAnsi="Times New (W1)"/>
        </w:rPr>
        <w:t xml:space="preserve">лен 6. А </w:t>
      </w:r>
      <w:r w:rsidR="00C448D0">
        <w:rPr>
          <w:rFonts w:ascii="Times New (W1)" w:hAnsi="Times New (W1)"/>
        </w:rPr>
        <w:t xml:space="preserve">дори това да беше така, и </w:t>
      </w:r>
      <w:r>
        <w:rPr>
          <w:rFonts w:ascii="Times New (W1)" w:hAnsi="Times New (W1)"/>
        </w:rPr>
        <w:t>именно там се крие противоречието</w:t>
      </w:r>
      <w:r w:rsidR="00C448D0">
        <w:rPr>
          <w:rFonts w:ascii="Times New (W1)" w:hAnsi="Times New (W1)"/>
        </w:rPr>
        <w:t>,</w:t>
      </w:r>
      <w:r>
        <w:rPr>
          <w:rFonts w:ascii="Times New (W1)" w:hAnsi="Times New (W1)"/>
        </w:rPr>
        <w:t xml:space="preserve"> защо тогава се занимава изобщо с обстоен анализ (вж</w:t>
      </w:r>
      <w:r w:rsidR="00C448D0">
        <w:rPr>
          <w:rFonts w:ascii="Times New (W1)" w:hAnsi="Times New (W1)"/>
        </w:rPr>
        <w:t>.</w:t>
      </w:r>
      <w:r>
        <w:rPr>
          <w:rFonts w:ascii="Times New (W1)" w:hAnsi="Times New (W1)"/>
        </w:rPr>
        <w:t xml:space="preserve"> параграфи 66-78 от решението) </w:t>
      </w:r>
      <w:r w:rsidR="00C448D0">
        <w:rPr>
          <w:rFonts w:ascii="Times New (W1)" w:hAnsi="Times New (W1)"/>
        </w:rPr>
        <w:t>н</w:t>
      </w:r>
      <w:r>
        <w:rPr>
          <w:rFonts w:ascii="Times New (W1)" w:hAnsi="Times New (W1)"/>
        </w:rPr>
        <w:t xml:space="preserve">а приложимостта на </w:t>
      </w:r>
      <w:r w:rsidR="00C448D0">
        <w:rPr>
          <w:rFonts w:ascii="Times New (W1)" w:hAnsi="Times New (W1)"/>
        </w:rPr>
        <w:t>ч</w:t>
      </w:r>
      <w:r>
        <w:rPr>
          <w:rFonts w:ascii="Times New (W1)" w:hAnsi="Times New (W1)"/>
        </w:rPr>
        <w:t>лен 1 от Протокол № 1?</w:t>
      </w:r>
    </w:p>
    <w:p w14:paraId="41361AD4" w14:textId="5F9864FD" w:rsidR="00354CEA" w:rsidRPr="008173F5" w:rsidRDefault="00354CEA" w:rsidP="00354CEA">
      <w:pPr>
        <w:pStyle w:val="OpiPara"/>
        <w:rPr>
          <w:rFonts w:ascii="Times New (W1)" w:hAnsi="Times New (W1)"/>
        </w:rPr>
      </w:pPr>
      <w:r>
        <w:rPr>
          <w:rFonts w:ascii="Times New (W1)" w:hAnsi="Times New (W1)"/>
        </w:rPr>
        <w:t xml:space="preserve">9.  При преценката дали е имало незаконна намеса в </w:t>
      </w:r>
      <w:r w:rsidR="00C448D0">
        <w:rPr>
          <w:rFonts w:ascii="Times New (W1)" w:hAnsi="Times New (W1)"/>
        </w:rPr>
        <w:t>„</w:t>
      </w:r>
      <w:r>
        <w:rPr>
          <w:rFonts w:ascii="Times New (W1)" w:hAnsi="Times New (W1)"/>
        </w:rPr>
        <w:t>легитимн</w:t>
      </w:r>
      <w:r w:rsidR="00C448D0">
        <w:rPr>
          <w:rFonts w:ascii="Times New (W1)" w:hAnsi="Times New (W1)"/>
        </w:rPr>
        <w:t>о</w:t>
      </w:r>
      <w:r>
        <w:rPr>
          <w:rFonts w:ascii="Times New (W1)" w:hAnsi="Times New (W1)"/>
        </w:rPr>
        <w:t>т</w:t>
      </w:r>
      <w:r w:rsidR="00C448D0">
        <w:rPr>
          <w:rFonts w:ascii="Times New (W1)" w:hAnsi="Times New (W1)"/>
        </w:rPr>
        <w:t>о</w:t>
      </w:r>
      <w:r>
        <w:rPr>
          <w:rFonts w:ascii="Times New (W1)" w:hAnsi="Times New (W1)"/>
        </w:rPr>
        <w:t xml:space="preserve"> очакван</w:t>
      </w:r>
      <w:r w:rsidR="00C448D0">
        <w:rPr>
          <w:rFonts w:ascii="Times New (W1)" w:hAnsi="Times New (W1)"/>
        </w:rPr>
        <w:t>е“</w:t>
      </w:r>
      <w:r>
        <w:rPr>
          <w:rFonts w:ascii="Times New (W1)" w:hAnsi="Times New (W1)"/>
        </w:rPr>
        <w:t xml:space="preserve"> на </w:t>
      </w:r>
      <w:r w:rsidR="00C448D0">
        <w:rPr>
          <w:rFonts w:ascii="Times New (W1)" w:hAnsi="Times New (W1)"/>
        </w:rPr>
        <w:t xml:space="preserve">дружеството </w:t>
      </w:r>
      <w:r>
        <w:rPr>
          <w:rFonts w:ascii="Times New (W1)" w:hAnsi="Times New (W1)"/>
        </w:rPr>
        <w:t xml:space="preserve">жалбоподател следва да се вземат предвид следните </w:t>
      </w:r>
      <w:r w:rsidR="00C448D0">
        <w:rPr>
          <w:rFonts w:ascii="Times New (W1)" w:hAnsi="Times New (W1)"/>
        </w:rPr>
        <w:t>въпроси</w:t>
      </w:r>
      <w:r>
        <w:rPr>
          <w:rFonts w:ascii="Times New (W1)" w:hAnsi="Times New (W1)"/>
        </w:rPr>
        <w:t>:</w:t>
      </w:r>
    </w:p>
    <w:p w14:paraId="53AFFB46" w14:textId="5B3F12EC" w:rsidR="00354CEA" w:rsidRPr="008173F5" w:rsidRDefault="00D82588" w:rsidP="00354CEA">
      <w:pPr>
        <w:pStyle w:val="OpiPara"/>
        <w:rPr>
          <w:rFonts w:ascii="Times New (W1)" w:hAnsi="Times New (W1)"/>
        </w:rPr>
      </w:pPr>
      <w:r>
        <w:rPr>
          <w:rFonts w:ascii="Times New (W1)" w:hAnsi="Times New (W1)"/>
        </w:rPr>
        <w:t xml:space="preserve">- Изглежда съмнително, че актът на </w:t>
      </w:r>
      <w:r w:rsidR="00540CDA">
        <w:rPr>
          <w:rFonts w:ascii="Times New (W1)" w:hAnsi="Times New (W1)"/>
        </w:rPr>
        <w:t>лишаване от собственост</w:t>
      </w:r>
      <w:r>
        <w:rPr>
          <w:rFonts w:ascii="Times New (W1)" w:hAnsi="Times New (W1)"/>
        </w:rPr>
        <w:t xml:space="preserve">, породен от </w:t>
      </w:r>
      <w:r w:rsidR="00540CDA">
        <w:rPr>
          <w:rFonts w:ascii="Times New (W1)" w:hAnsi="Times New (W1)"/>
        </w:rPr>
        <w:t>п</w:t>
      </w:r>
      <w:r>
        <w:rPr>
          <w:rFonts w:ascii="Times New (W1)" w:hAnsi="Times New (W1)"/>
        </w:rPr>
        <w:t xml:space="preserve">ортугалския Кодекс за индустриалната собственост, </w:t>
      </w:r>
      <w:r w:rsidR="00540CDA">
        <w:rPr>
          <w:rFonts w:ascii="Times New (W1)" w:hAnsi="Times New (W1)"/>
        </w:rPr>
        <w:t>в</w:t>
      </w:r>
      <w:r>
        <w:rPr>
          <w:rFonts w:ascii="Times New (W1)" w:hAnsi="Times New (W1)"/>
        </w:rPr>
        <w:t>следствие на двустранн</w:t>
      </w:r>
      <w:r w:rsidR="00540CDA">
        <w:rPr>
          <w:rFonts w:ascii="Times New (W1)" w:hAnsi="Times New (W1)"/>
        </w:rPr>
        <w:t>а</w:t>
      </w:r>
      <w:r>
        <w:rPr>
          <w:rFonts w:ascii="Times New (W1)" w:hAnsi="Times New (W1)"/>
        </w:rPr>
        <w:t>т</w:t>
      </w:r>
      <w:r w:rsidR="00540CDA">
        <w:rPr>
          <w:rFonts w:ascii="Times New (W1)" w:hAnsi="Times New (W1)"/>
        </w:rPr>
        <w:t>а</w:t>
      </w:r>
      <w:r>
        <w:rPr>
          <w:rFonts w:ascii="Times New (W1)" w:hAnsi="Times New (W1)"/>
        </w:rPr>
        <w:t xml:space="preserve"> спо</w:t>
      </w:r>
      <w:r w:rsidR="00540CDA">
        <w:rPr>
          <w:rFonts w:ascii="Times New (W1)" w:hAnsi="Times New (W1)"/>
        </w:rPr>
        <w:t>годба</w:t>
      </w:r>
      <w:r>
        <w:rPr>
          <w:rFonts w:ascii="Times New (W1)" w:hAnsi="Times New (W1)"/>
        </w:rPr>
        <w:t xml:space="preserve"> от 1986 г., наистина е извършен в </w:t>
      </w:r>
      <w:r w:rsidR="00540CDA">
        <w:rPr>
          <w:rFonts w:ascii="Times New (W1)" w:hAnsi="Times New (W1)"/>
        </w:rPr>
        <w:t xml:space="preserve">обществен </w:t>
      </w:r>
      <w:r>
        <w:rPr>
          <w:rFonts w:ascii="Times New (W1)" w:hAnsi="Times New (W1)"/>
        </w:rPr>
        <w:t>интерес.</w:t>
      </w:r>
    </w:p>
    <w:p w14:paraId="2147987A" w14:textId="52BBCD40" w:rsidR="00354CEA" w:rsidRPr="008173F5" w:rsidRDefault="00D82588" w:rsidP="00354CEA">
      <w:pPr>
        <w:pStyle w:val="OpiPara"/>
        <w:rPr>
          <w:rFonts w:ascii="Times New (W1)" w:hAnsi="Times New (W1)"/>
        </w:rPr>
      </w:pPr>
      <w:r>
        <w:rPr>
          <w:rFonts w:ascii="Times New (W1)" w:hAnsi="Times New (W1)"/>
        </w:rPr>
        <w:t xml:space="preserve">- Ако също като нас човек предположи, че кандидатът за регистрация на търговска марка се ползва с </w:t>
      </w:r>
      <w:r w:rsidR="00540CDA">
        <w:rPr>
          <w:rFonts w:ascii="Times New (W1)" w:hAnsi="Times New (W1)"/>
        </w:rPr>
        <w:t>„</w:t>
      </w:r>
      <w:r>
        <w:rPr>
          <w:rFonts w:ascii="Times New (W1)" w:hAnsi="Times New (W1)"/>
        </w:rPr>
        <w:t>легитимн</w:t>
      </w:r>
      <w:r w:rsidR="00540CDA">
        <w:rPr>
          <w:rFonts w:ascii="Times New (W1)" w:hAnsi="Times New (W1)"/>
        </w:rPr>
        <w:t>о</w:t>
      </w:r>
      <w:r>
        <w:rPr>
          <w:rFonts w:ascii="Times New (W1)" w:hAnsi="Times New (W1)"/>
        </w:rPr>
        <w:t xml:space="preserve"> очакван</w:t>
      </w:r>
      <w:r w:rsidR="00540CDA">
        <w:rPr>
          <w:rFonts w:ascii="Times New (W1)" w:hAnsi="Times New (W1)"/>
        </w:rPr>
        <w:t>е“</w:t>
      </w:r>
      <w:r>
        <w:rPr>
          <w:rFonts w:ascii="Times New (W1)" w:hAnsi="Times New (W1)"/>
        </w:rPr>
        <w:t>, защитен</w:t>
      </w:r>
      <w:r w:rsidR="00540CDA">
        <w:rPr>
          <w:rFonts w:ascii="Times New (W1)" w:hAnsi="Times New (W1)"/>
        </w:rPr>
        <w:t>о</w:t>
      </w:r>
      <w:r>
        <w:rPr>
          <w:rFonts w:ascii="Times New (W1)" w:hAnsi="Times New (W1)"/>
        </w:rPr>
        <w:t xml:space="preserve"> от </w:t>
      </w:r>
      <w:r w:rsidR="00540CDA">
        <w:rPr>
          <w:rFonts w:ascii="Times New (W1)" w:hAnsi="Times New (W1)"/>
        </w:rPr>
        <w:t>ч</w:t>
      </w:r>
      <w:r>
        <w:rPr>
          <w:rFonts w:ascii="Times New (W1)" w:hAnsi="Times New (W1)"/>
        </w:rPr>
        <w:t>лен 1 на Протокол № 1, това очакване и по-</w:t>
      </w:r>
      <w:r w:rsidR="001F0117">
        <w:rPr>
          <w:rFonts w:ascii="Times New (W1)" w:hAnsi="Times New (W1)"/>
        </w:rPr>
        <w:t>конкретно</w:t>
      </w:r>
      <w:r>
        <w:rPr>
          <w:rFonts w:ascii="Times New (W1)" w:hAnsi="Times New (W1)"/>
        </w:rPr>
        <w:t xml:space="preserve"> присъщото му приоритетно право е </w:t>
      </w:r>
      <w:r w:rsidR="001F0117">
        <w:rPr>
          <w:rFonts w:ascii="Times New (W1)" w:hAnsi="Times New (W1)"/>
        </w:rPr>
        <w:t>унищож</w:t>
      </w:r>
      <w:r>
        <w:rPr>
          <w:rFonts w:ascii="Times New (W1)" w:hAnsi="Times New (W1)"/>
        </w:rPr>
        <w:t xml:space="preserve">ено чрез прилагането със задна дата на </w:t>
      </w:r>
      <w:r w:rsidR="001F0117">
        <w:rPr>
          <w:rFonts w:ascii="Times New (W1)" w:hAnsi="Times New (W1)"/>
        </w:rPr>
        <w:t>спогодбата</w:t>
      </w:r>
      <w:r>
        <w:rPr>
          <w:rFonts w:ascii="Times New (W1)" w:hAnsi="Times New (W1)"/>
        </w:rPr>
        <w:t xml:space="preserve"> от 1986 г.</w:t>
      </w:r>
    </w:p>
    <w:p w14:paraId="52B15750" w14:textId="0D50CB12" w:rsidR="00354CEA" w:rsidRPr="008173F5" w:rsidRDefault="00D82588" w:rsidP="00354CEA">
      <w:pPr>
        <w:pStyle w:val="OpiPara"/>
        <w:rPr>
          <w:rFonts w:ascii="Times New (W1)" w:hAnsi="Times New (W1)"/>
        </w:rPr>
      </w:pPr>
      <w:r>
        <w:rPr>
          <w:rFonts w:ascii="Times New (W1)" w:hAnsi="Times New (W1)"/>
        </w:rPr>
        <w:t xml:space="preserve">- Като чужда компания, жалбоподателят е защитен от </w:t>
      </w:r>
      <w:r w:rsidR="001F0117">
        <w:rPr>
          <w:rFonts w:ascii="Times New (W1)" w:hAnsi="Times New (W1)"/>
        </w:rPr>
        <w:t>„</w:t>
      </w:r>
      <w:r>
        <w:rPr>
          <w:rFonts w:ascii="Times New (W1)" w:hAnsi="Times New (W1)"/>
        </w:rPr>
        <w:t>общите принципи на международното право</w:t>
      </w:r>
      <w:r w:rsidR="001F0117">
        <w:rPr>
          <w:rFonts w:ascii="Times New (W1)" w:hAnsi="Times New (W1)"/>
        </w:rPr>
        <w:t>“</w:t>
      </w:r>
      <w:r>
        <w:rPr>
          <w:rFonts w:ascii="Times New (W1)" w:hAnsi="Times New (W1)"/>
        </w:rPr>
        <w:t>, посочени в алинея първа от Протокол № 1, като например принцип</w:t>
      </w:r>
      <w:r w:rsidR="001F0117">
        <w:rPr>
          <w:rFonts w:ascii="Times New (W1)" w:hAnsi="Times New (W1)"/>
        </w:rPr>
        <w:t>а</w:t>
      </w:r>
      <w:r>
        <w:rPr>
          <w:rFonts w:ascii="Times New (W1)" w:hAnsi="Times New (W1)"/>
        </w:rPr>
        <w:t xml:space="preserve"> на недискриминация и правилото, изискващо бързо, адекватно и ефективно обезщетение, ко</w:t>
      </w:r>
      <w:r w:rsidR="001F0117">
        <w:rPr>
          <w:rFonts w:ascii="Times New (W1)" w:hAnsi="Times New (W1)"/>
        </w:rPr>
        <w:t>е</w:t>
      </w:r>
      <w:r>
        <w:rPr>
          <w:rFonts w:ascii="Times New (W1)" w:hAnsi="Times New (W1)"/>
        </w:rPr>
        <w:t xml:space="preserve">то </w:t>
      </w:r>
      <w:r w:rsidR="001F0117">
        <w:rPr>
          <w:rFonts w:ascii="Times New (W1)" w:hAnsi="Times New (W1)"/>
        </w:rPr>
        <w:t>е</w:t>
      </w:r>
      <w:r>
        <w:rPr>
          <w:rFonts w:ascii="Times New (W1)" w:hAnsi="Times New (W1)"/>
        </w:rPr>
        <w:t xml:space="preserve"> пренебрегнат</w:t>
      </w:r>
      <w:r w:rsidR="00D066A5">
        <w:rPr>
          <w:rFonts w:ascii="Times New (W1)" w:hAnsi="Times New (W1)"/>
        </w:rPr>
        <w:t>о</w:t>
      </w:r>
      <w:r>
        <w:rPr>
          <w:rFonts w:ascii="Times New (W1)" w:hAnsi="Times New (W1)"/>
        </w:rPr>
        <w:t xml:space="preserve"> в настоящия случай.</w:t>
      </w:r>
    </w:p>
    <w:p w14:paraId="786F6D7A" w14:textId="6B6B2E56" w:rsidR="00354CEA" w:rsidRDefault="00354CEA" w:rsidP="00354CEA">
      <w:pPr>
        <w:pStyle w:val="OpiPara"/>
        <w:rPr>
          <w:rFonts w:ascii="Times New (W1)" w:hAnsi="Times New (W1)"/>
        </w:rPr>
      </w:pPr>
      <w:r>
        <w:rPr>
          <w:rFonts w:ascii="Times New (W1)" w:hAnsi="Times New (W1)"/>
        </w:rPr>
        <w:t xml:space="preserve">Горните съображения ни водят до заключението, че е налице незаконна намеса в </w:t>
      </w:r>
      <w:r w:rsidR="00D066A5">
        <w:rPr>
          <w:rFonts w:ascii="Times New (W1)" w:hAnsi="Times New (W1)"/>
        </w:rPr>
        <w:t>„</w:t>
      </w:r>
      <w:r>
        <w:rPr>
          <w:rFonts w:ascii="Times New (W1)" w:hAnsi="Times New (W1)"/>
        </w:rPr>
        <w:t>легитимн</w:t>
      </w:r>
      <w:r w:rsidR="00D066A5">
        <w:rPr>
          <w:rFonts w:ascii="Times New (W1)" w:hAnsi="Times New (W1)"/>
        </w:rPr>
        <w:t>о</w:t>
      </w:r>
      <w:r>
        <w:rPr>
          <w:rFonts w:ascii="Times New (W1)" w:hAnsi="Times New (W1)"/>
        </w:rPr>
        <w:t>т</w:t>
      </w:r>
      <w:r w:rsidR="00D066A5">
        <w:rPr>
          <w:rFonts w:ascii="Times New (W1)" w:hAnsi="Times New (W1)"/>
        </w:rPr>
        <w:t>о</w:t>
      </w:r>
      <w:r>
        <w:rPr>
          <w:rFonts w:ascii="Times New (W1)" w:hAnsi="Times New (W1)"/>
        </w:rPr>
        <w:t xml:space="preserve"> очакван</w:t>
      </w:r>
      <w:r w:rsidR="00D066A5">
        <w:rPr>
          <w:rFonts w:ascii="Times New (W1)" w:hAnsi="Times New (W1)"/>
        </w:rPr>
        <w:t>е“</w:t>
      </w:r>
      <w:r>
        <w:rPr>
          <w:rFonts w:ascii="Times New (W1)" w:hAnsi="Times New (W1)"/>
        </w:rPr>
        <w:t xml:space="preserve"> на </w:t>
      </w:r>
      <w:r w:rsidR="00D066A5">
        <w:rPr>
          <w:rFonts w:ascii="Times New (W1)" w:hAnsi="Times New (W1)"/>
        </w:rPr>
        <w:t xml:space="preserve">дружеството </w:t>
      </w:r>
      <w:r>
        <w:rPr>
          <w:rFonts w:ascii="Times New (W1)" w:hAnsi="Times New (W1)"/>
        </w:rPr>
        <w:t xml:space="preserve">жалбоподател и съответно, че е налице нарушение на </w:t>
      </w:r>
      <w:r w:rsidR="00D066A5">
        <w:rPr>
          <w:rFonts w:ascii="Times New (W1)" w:hAnsi="Times New (W1)"/>
        </w:rPr>
        <w:t>ч</w:t>
      </w:r>
      <w:r>
        <w:rPr>
          <w:rFonts w:ascii="Times New (W1)" w:hAnsi="Times New (W1)"/>
        </w:rPr>
        <w:t>лен 1 от Протокол № 1.</w:t>
      </w:r>
    </w:p>
    <w:p w14:paraId="65C7E438" w14:textId="632D6954" w:rsidR="00354CEA" w:rsidRPr="008173F5" w:rsidRDefault="00354CEA" w:rsidP="00354CEA">
      <w:pPr>
        <w:pStyle w:val="OpiPara"/>
        <w:rPr>
          <w:rFonts w:ascii="Times New (W1)" w:hAnsi="Times New (W1)"/>
        </w:rPr>
      </w:pPr>
      <w:r>
        <w:rPr>
          <w:rFonts w:ascii="Times New (W1)" w:hAnsi="Times New (W1)"/>
        </w:rPr>
        <w:t>10.  Чрез сключването на двустранн</w:t>
      </w:r>
      <w:r w:rsidR="00D066A5">
        <w:rPr>
          <w:rFonts w:ascii="Times New (W1)" w:hAnsi="Times New (W1)"/>
        </w:rPr>
        <w:t>а</w:t>
      </w:r>
      <w:r>
        <w:rPr>
          <w:rFonts w:ascii="Times New (W1)" w:hAnsi="Times New (W1)"/>
        </w:rPr>
        <w:t>т</w:t>
      </w:r>
      <w:r w:rsidR="00D066A5">
        <w:rPr>
          <w:rFonts w:ascii="Times New (W1)" w:hAnsi="Times New (W1)"/>
        </w:rPr>
        <w:t>а</w:t>
      </w:r>
      <w:r>
        <w:rPr>
          <w:rFonts w:ascii="Times New (W1)" w:hAnsi="Times New (W1)"/>
        </w:rPr>
        <w:t xml:space="preserve"> спо</w:t>
      </w:r>
      <w:r w:rsidR="00D066A5">
        <w:rPr>
          <w:rFonts w:ascii="Times New (W1)" w:hAnsi="Times New (W1)"/>
        </w:rPr>
        <w:t>годба</w:t>
      </w:r>
      <w:r>
        <w:rPr>
          <w:rFonts w:ascii="Times New (W1)" w:hAnsi="Times New (W1)"/>
        </w:rPr>
        <w:t xml:space="preserve"> от 1986 г. и прилагането </w:t>
      </w:r>
      <w:r w:rsidR="00D066A5">
        <w:rPr>
          <w:rFonts w:ascii="Times New (W1)" w:hAnsi="Times New (W1)"/>
        </w:rPr>
        <w:t xml:space="preserve">ѝ </w:t>
      </w:r>
      <w:r>
        <w:rPr>
          <w:rFonts w:ascii="Times New (W1)" w:hAnsi="Times New (W1)"/>
        </w:rPr>
        <w:t xml:space="preserve">със задна дата португалските власти обективно са причинили щети на </w:t>
      </w:r>
      <w:r w:rsidR="00D066A5">
        <w:rPr>
          <w:rFonts w:ascii="Times New (W1)" w:hAnsi="Times New (W1)"/>
        </w:rPr>
        <w:t xml:space="preserve">дружеството </w:t>
      </w:r>
      <w:r>
        <w:rPr>
          <w:rFonts w:ascii="Times New (W1)" w:hAnsi="Times New (W1)"/>
        </w:rPr>
        <w:t xml:space="preserve">жалбоподател. Въпросът дали са ги причинили съзнателно или не </w:t>
      </w:r>
      <w:r w:rsidR="00D066A5">
        <w:rPr>
          <w:rFonts w:ascii="Times New (W1)" w:hAnsi="Times New (W1)"/>
        </w:rPr>
        <w:t xml:space="preserve">е </w:t>
      </w:r>
      <w:r>
        <w:rPr>
          <w:rFonts w:ascii="Times New (W1)" w:hAnsi="Times New (W1)"/>
        </w:rPr>
        <w:t>може</w:t>
      </w:r>
      <w:r w:rsidR="00D066A5">
        <w:rPr>
          <w:rFonts w:ascii="Times New (W1)" w:hAnsi="Times New (W1)"/>
        </w:rPr>
        <w:t>л</w:t>
      </w:r>
      <w:r>
        <w:rPr>
          <w:rFonts w:ascii="Times New (W1)" w:hAnsi="Times New (W1)"/>
        </w:rPr>
        <w:t xml:space="preserve"> да се отрази </w:t>
      </w:r>
      <w:r w:rsidR="00D066A5">
        <w:rPr>
          <w:rFonts w:ascii="Times New (W1)" w:hAnsi="Times New (W1)"/>
        </w:rPr>
        <w:t>върху</w:t>
      </w:r>
      <w:r>
        <w:rPr>
          <w:rFonts w:ascii="Times New (W1)" w:hAnsi="Times New (W1)"/>
        </w:rPr>
        <w:t xml:space="preserve"> размера на присъдените вреди, в случай че Съдът </w:t>
      </w:r>
      <w:r w:rsidR="009D0C11">
        <w:rPr>
          <w:rFonts w:ascii="Times New (W1)" w:hAnsi="Times New (W1)"/>
        </w:rPr>
        <w:t xml:space="preserve">беше отсъдил </w:t>
      </w:r>
      <w:r>
        <w:rPr>
          <w:rFonts w:ascii="Times New (W1)" w:hAnsi="Times New (W1)"/>
        </w:rPr>
        <w:t xml:space="preserve">в полза на </w:t>
      </w:r>
      <w:r w:rsidR="009D0C11">
        <w:rPr>
          <w:rFonts w:ascii="Times New (W1)" w:hAnsi="Times New (W1)"/>
        </w:rPr>
        <w:t xml:space="preserve">дружеството </w:t>
      </w:r>
      <w:r>
        <w:rPr>
          <w:rFonts w:ascii="Times New (W1)" w:hAnsi="Times New (W1)"/>
        </w:rPr>
        <w:t xml:space="preserve">жалбоподател. Тъй като Съдът не е отсъдил в полза на </w:t>
      </w:r>
      <w:r w:rsidR="007B072E">
        <w:rPr>
          <w:rFonts w:ascii="Times New (W1)" w:hAnsi="Times New (W1)"/>
        </w:rPr>
        <w:t xml:space="preserve">дружеството </w:t>
      </w:r>
      <w:r>
        <w:rPr>
          <w:rFonts w:ascii="Times New (W1)" w:hAnsi="Times New (W1)"/>
        </w:rPr>
        <w:t>жалбоподател, въпросът остава нерешен.</w:t>
      </w:r>
    </w:p>
    <w:sectPr w:rsidR="00354CEA" w:rsidRPr="008173F5" w:rsidSect="00D27DE3">
      <w:headerReference w:type="even" r:id="rId18"/>
      <w:headerReference w:type="default" r:id="rId19"/>
      <w:headerReference w:type="first" r:id="rId20"/>
      <w:footnotePr>
        <w:numRestart w:val="eachPage"/>
      </w:footnotePr>
      <w:type w:val="evenPage"/>
      <w:pgSz w:w="11906" w:h="16838"/>
      <w:pgMar w:top="2274" w:right="2274" w:bottom="2274" w:left="2274" w:header="1701"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81D55" w14:textId="77777777" w:rsidR="00C470EC" w:rsidRDefault="00C470EC">
      <w:r>
        <w:separator/>
      </w:r>
    </w:p>
  </w:endnote>
  <w:endnote w:type="continuationSeparator" w:id="0">
    <w:p w14:paraId="2EAA1349" w14:textId="77777777" w:rsidR="00C470EC" w:rsidRDefault="00C4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659C" w14:textId="77777777" w:rsidR="005F29D6" w:rsidRDefault="005F29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1489" w14:textId="77777777" w:rsidR="005F29D6" w:rsidRDefault="005F29D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7276E" w14:textId="77777777" w:rsidR="005F29D6" w:rsidRDefault="005F29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79FA" w14:textId="77777777" w:rsidR="00C470EC" w:rsidRDefault="00C470EC">
      <w:r>
        <w:separator/>
      </w:r>
    </w:p>
  </w:footnote>
  <w:footnote w:type="continuationSeparator" w:id="0">
    <w:p w14:paraId="658080DB" w14:textId="77777777" w:rsidR="00C470EC" w:rsidRDefault="00C470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6AA04" w14:textId="77777777" w:rsidR="001109CD" w:rsidRPr="00011B3D" w:rsidRDefault="001109CD">
    <w:pPr>
      <w:pStyle w:val="JuHeader"/>
    </w:pPr>
    <w:r>
      <w:rPr>
        <w:rStyle w:val="PageNumber"/>
      </w:rPr>
      <w:fldChar w:fldCharType="begin"/>
    </w:r>
    <w:r w:rsidRPr="00011B3D">
      <w:rPr>
        <w:rStyle w:val="PageNumber"/>
      </w:rPr>
      <w:instrText xml:space="preserve"> PAGE </w:instrText>
    </w:r>
    <w:r>
      <w:rPr>
        <w:rStyle w:val="PageNumber"/>
      </w:rPr>
      <w:fldChar w:fldCharType="separate"/>
    </w:r>
    <w:r>
      <w:rPr>
        <w:rStyle w:val="PageNumber"/>
        <w:noProof/>
      </w:rPr>
      <w:t>4</w:t>
    </w:r>
    <w:r>
      <w:rPr>
        <w:rStyle w:val="PageNumber"/>
      </w:rPr>
      <w:fldChar w:fldCharType="end"/>
    </w:r>
    <w:r>
      <w:tab/>
      <w:t>РЕШЕНИЕ ПО ДЕЛОТО 'ANHEUSER-BUSCH INC." срещу ПОРТУГАЛИЯ /'ANHEUSER-BUSCH INC. v. PORTUGAL'</w:t>
    </w:r>
    <w: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DE69" w14:textId="1EA4900E" w:rsidR="001109CD" w:rsidRPr="00D27DE3" w:rsidRDefault="001109CD">
    <w:pPr>
      <w:pStyle w:val="Header"/>
      <w:rPr>
        <w:rStyle w:val="PageNumber"/>
      </w:rPr>
    </w:pPr>
    <w:r>
      <w:tab/>
      <w:t>РЕШЕНИЕ ANHEUSER-BUSCH INC. срещу ПОРТУГАЛИЯ –</w:t>
    </w:r>
    <w:r>
      <w:rPr>
        <w:rStyle w:val="PageNumber"/>
      </w:rPr>
      <w:t xml:space="preserve"> </w:t>
    </w:r>
    <w:r>
      <w:tab/>
    </w:r>
    <w:r>
      <w:rPr>
        <w:rStyle w:val="PageNumber"/>
      </w:rPr>
      <w:fldChar w:fldCharType="begin"/>
    </w:r>
    <w:r w:rsidRPr="00D27DE3">
      <w:rPr>
        <w:rStyle w:val="PageNumber"/>
      </w:rPr>
      <w:instrText xml:space="preserve"> PAGE </w:instrText>
    </w:r>
    <w:r>
      <w:rPr>
        <w:rStyle w:val="PageNumber"/>
      </w:rPr>
      <w:fldChar w:fldCharType="separate"/>
    </w:r>
    <w:r w:rsidR="005F29D6">
      <w:rPr>
        <w:rStyle w:val="PageNumber"/>
        <w:noProof/>
      </w:rPr>
      <w:t>35</w:t>
    </w:r>
    <w:r>
      <w:rPr>
        <w:rStyle w:val="PageNumber"/>
      </w:rPr>
      <w:fldChar w:fldCharType="end"/>
    </w:r>
  </w:p>
  <w:p w14:paraId="54804845" w14:textId="040C6ED7" w:rsidR="001109CD" w:rsidRDefault="001109CD" w:rsidP="00570092">
    <w:pPr>
      <w:pStyle w:val="Header"/>
      <w:jc w:val="center"/>
    </w:pPr>
    <w:r>
      <w:rPr>
        <w:rStyle w:val="PageNumber"/>
      </w:rPr>
      <w:t>СЪВМЕСТНО ОСОБЕНО МНЕНИЕ НА СЪДИИ CAFLISCH И CABRAL BARRETO</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87CE" w14:textId="78A7A5F9" w:rsidR="001109CD" w:rsidRDefault="001109CD">
    <w:pPr>
      <w:pStyle w:val="Header"/>
    </w:pPr>
    <w:r>
      <w:rPr>
        <w:rStyle w:val="PageNumber"/>
      </w:rPr>
      <w:fldChar w:fldCharType="begin"/>
    </w:r>
    <w:r>
      <w:rPr>
        <w:rStyle w:val="PageNumber"/>
      </w:rPr>
      <w:instrText xml:space="preserve"> PAGE </w:instrText>
    </w:r>
    <w:r>
      <w:rPr>
        <w:rStyle w:val="PageNumber"/>
      </w:rPr>
      <w:fldChar w:fldCharType="separate"/>
    </w:r>
    <w:r w:rsidR="005F29D6">
      <w:rPr>
        <w:rStyle w:val="PageNumber"/>
        <w:noProof/>
      </w:rPr>
      <w:t>34</w:t>
    </w:r>
    <w:r>
      <w:rPr>
        <w:rStyle w:val="PageNumber"/>
      </w:rPr>
      <w:fldChar w:fldCharType="end"/>
    </w:r>
    <w:r>
      <w:tab/>
      <w:t>РЕШЕНИЕ ANHEUSER-BUSCH INC. срещу ПОРТУГАЛИЯ</w: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EF80F" w14:textId="77777777" w:rsidR="005F29D6" w:rsidRDefault="005F29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A603" w14:textId="77777777" w:rsidR="001109CD" w:rsidRDefault="001109CD">
    <w:pPr>
      <w:pStyle w:val="Header"/>
    </w:pPr>
    <w:r>
      <w:rPr>
        <w:noProof/>
        <w:lang w:val="en-US" w:eastAsia="en-US" w:bidi="ar-SA"/>
      </w:rPr>
      <w:drawing>
        <wp:inline distT="0" distB="0" distL="0" distR="0" wp14:anchorId="66EB69F5" wp14:editId="704CBD2F">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5FD5" w14:textId="06DE49BE" w:rsidR="001109CD" w:rsidRPr="00011B3D" w:rsidRDefault="001109CD" w:rsidP="00183165">
    <w:pPr>
      <w:pStyle w:val="JuHeader"/>
    </w:pPr>
    <w:r>
      <w:rPr>
        <w:rStyle w:val="PageNumber"/>
      </w:rPr>
      <w:fldChar w:fldCharType="begin"/>
    </w:r>
    <w:r w:rsidRPr="00011B3D">
      <w:rPr>
        <w:rStyle w:val="PageNumber"/>
      </w:rPr>
      <w:instrText xml:space="preserve"> PAGE </w:instrText>
    </w:r>
    <w:r>
      <w:rPr>
        <w:rStyle w:val="PageNumber"/>
      </w:rPr>
      <w:fldChar w:fldCharType="separate"/>
    </w:r>
    <w:r w:rsidR="005F29D6">
      <w:rPr>
        <w:rStyle w:val="PageNumber"/>
        <w:noProof/>
      </w:rPr>
      <w:t>20</w:t>
    </w:r>
    <w:r>
      <w:rPr>
        <w:rStyle w:val="PageNumber"/>
      </w:rPr>
      <w:fldChar w:fldCharType="end"/>
    </w:r>
    <w:r>
      <w:rPr>
        <w:rStyle w:val="PageNumber"/>
      </w:rPr>
      <w:t xml:space="preserve"> </w:t>
    </w:r>
    <w:r>
      <w:rPr>
        <w:rStyle w:val="PageNumber"/>
      </w:rPr>
      <w:tab/>
    </w:r>
    <w:r>
      <w:t>ANHEUSER-BUSCH INC. срещу ПОРТУГАЛИЯ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7705" w14:textId="018BFB6A" w:rsidR="001109CD" w:rsidRDefault="001109CD">
    <w:pPr>
      <w:pStyle w:val="Header"/>
    </w:pPr>
    <w:r>
      <w:tab/>
      <w:t xml:space="preserve">ANHEUSER-BUSCH INC. срещу ПОРТУГАЛИЯ </w:t>
    </w:r>
    <w:r>
      <w:tab/>
    </w:r>
    <w:r>
      <w:rPr>
        <w:rStyle w:val="PageNumber"/>
      </w:rPr>
      <w:fldChar w:fldCharType="begin"/>
    </w:r>
    <w:r>
      <w:rPr>
        <w:rStyle w:val="PageNumber"/>
      </w:rPr>
      <w:instrText xml:space="preserve"> PAGE </w:instrText>
    </w:r>
    <w:r>
      <w:rPr>
        <w:rStyle w:val="PageNumber"/>
      </w:rPr>
      <w:fldChar w:fldCharType="separate"/>
    </w:r>
    <w:r w:rsidR="005F29D6">
      <w:rPr>
        <w:rStyle w:val="PageNumber"/>
        <w:noProof/>
      </w:rPr>
      <w:t>21</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A6BE" w14:textId="0B6B5FCC" w:rsidR="001109CD" w:rsidRDefault="001109CD">
    <w:pPr>
      <w:pStyle w:val="JuHeader"/>
    </w:pPr>
    <w:r>
      <w:rPr>
        <w:rStyle w:val="PageNumber"/>
      </w:rPr>
      <w:fldChar w:fldCharType="begin"/>
    </w:r>
    <w:r w:rsidRPr="00D27DE3">
      <w:rPr>
        <w:rStyle w:val="PageNumber"/>
      </w:rPr>
      <w:instrText xml:space="preserve"> PAGE </w:instrText>
    </w:r>
    <w:r>
      <w:rPr>
        <w:rStyle w:val="PageNumber"/>
      </w:rPr>
      <w:fldChar w:fldCharType="separate"/>
    </w:r>
    <w:r w:rsidR="005F29D6">
      <w:rPr>
        <w:rStyle w:val="PageNumber"/>
        <w:noProof/>
      </w:rPr>
      <w:t>32</w:t>
    </w:r>
    <w:r>
      <w:rPr>
        <w:rStyle w:val="PageNumber"/>
      </w:rPr>
      <w:fldChar w:fldCharType="end"/>
    </w:r>
    <w:r>
      <w:tab/>
      <w:t xml:space="preserve">РЕШЕНИЕ ANHEUSER-BUSCH INC. срещу ПОРТУГАЛИЯ  – </w:t>
    </w:r>
  </w:p>
  <w:p w14:paraId="36576403" w14:textId="2A026AB4" w:rsidR="001109CD" w:rsidRPr="00D27DE3" w:rsidRDefault="001109CD" w:rsidP="00570092">
    <w:pPr>
      <w:pStyle w:val="JuHeader"/>
      <w:jc w:val="center"/>
    </w:pPr>
    <w:r>
      <w:t>СЪВМЕСТНО СЪВПАДАЩО МНЕНИЕ НА СЪДИИ STEINER И HAJIYEV</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6C7C" w14:textId="099AA824" w:rsidR="001109CD" w:rsidRPr="00011B3D" w:rsidRDefault="001109CD">
    <w:pPr>
      <w:pStyle w:val="Header"/>
      <w:rPr>
        <w:rStyle w:val="PageNumber"/>
      </w:rPr>
    </w:pPr>
    <w:r>
      <w:tab/>
      <w:t>РЕШЕНИЕ ANHEUSER-BUSCH INC. срещу ПОРТУГАЛИЯ –</w:t>
    </w:r>
    <w:r>
      <w:rPr>
        <w:rStyle w:val="PageNumber"/>
      </w:rPr>
      <w:t xml:space="preserve"> </w:t>
    </w:r>
    <w:r>
      <w:tab/>
    </w:r>
    <w:r>
      <w:rPr>
        <w:rStyle w:val="PageNumber"/>
      </w:rPr>
      <w:fldChar w:fldCharType="begin"/>
    </w:r>
    <w:r w:rsidRPr="00011B3D">
      <w:rPr>
        <w:rStyle w:val="PageNumber"/>
      </w:rPr>
      <w:instrText xml:space="preserve"> PAGE </w:instrText>
    </w:r>
    <w:r>
      <w:rPr>
        <w:rStyle w:val="PageNumber"/>
      </w:rPr>
      <w:fldChar w:fldCharType="separate"/>
    </w:r>
    <w:r w:rsidR="005F29D6">
      <w:rPr>
        <w:rStyle w:val="PageNumber"/>
        <w:noProof/>
      </w:rPr>
      <w:t>33</w:t>
    </w:r>
    <w:r>
      <w:rPr>
        <w:rStyle w:val="PageNumber"/>
      </w:rPr>
      <w:fldChar w:fldCharType="end"/>
    </w:r>
  </w:p>
  <w:p w14:paraId="51C0AA83" w14:textId="7B73B093" w:rsidR="001109CD" w:rsidRDefault="001109CD">
    <w:pPr>
      <w:pStyle w:val="Header"/>
    </w:pPr>
    <w:r>
      <w:tab/>
    </w:r>
    <w:r>
      <w:rPr>
        <w:rStyle w:val="PageNumber"/>
      </w:rPr>
      <w:t>СЪВМЕСТНО СЪВПАДАЩО МНЕНИЕ НА СЪДИИ CAFLISCH И CABRAL BARRETO</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3EA8" w14:textId="062A95E8" w:rsidR="001109CD" w:rsidRDefault="001109CD">
    <w:pPr>
      <w:pStyle w:val="Header"/>
    </w:pPr>
    <w:r>
      <w:tab/>
      <w:t>РЕШЕНИЕ ANHEUSER-BUSCH INC. срещу ПОРТУГАЛИЯ</w:t>
    </w:r>
    <w:r>
      <w:tab/>
    </w:r>
    <w:r>
      <w:rPr>
        <w:rStyle w:val="PageNumber"/>
      </w:rPr>
      <w:fldChar w:fldCharType="begin"/>
    </w:r>
    <w:r>
      <w:rPr>
        <w:rStyle w:val="PageNumber"/>
      </w:rPr>
      <w:instrText xml:space="preserve"> PAGE </w:instrText>
    </w:r>
    <w:r>
      <w:rPr>
        <w:rStyle w:val="PageNumber"/>
      </w:rPr>
      <w:fldChar w:fldCharType="separate"/>
    </w:r>
    <w:r w:rsidR="005F29D6">
      <w:rPr>
        <w:rStyle w:val="PageNumber"/>
        <w:noProof/>
      </w:rPr>
      <w:t>31</w:t>
    </w:r>
    <w:r>
      <w:rPr>
        <w:rStyle w:val="PageNumber"/>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F22D" w14:textId="0A410B78" w:rsidR="001109CD" w:rsidRPr="00011B3D" w:rsidRDefault="001109CD" w:rsidP="00570092">
    <w:pPr>
      <w:pStyle w:val="JuHeader"/>
      <w:jc w:val="center"/>
    </w:pPr>
    <w:r>
      <w:t xml:space="preserve">РЕШЕНИЕ ANHEUSER-BUSCH INC. </w:t>
    </w:r>
    <w:r w:rsidR="00C96035">
      <w:t>срещу ПОРТУГАЛИЯ</w:t>
    </w:r>
    <w:r>
      <w:t xml:space="preserve"> –</w:t>
    </w:r>
  </w:p>
  <w:p w14:paraId="69838E9F" w14:textId="4C202609" w:rsidR="001109CD" w:rsidRDefault="00C96035" w:rsidP="00570092">
    <w:pPr>
      <w:pStyle w:val="JuHeader"/>
      <w:jc w:val="center"/>
    </w:pPr>
    <w:r>
      <w:rPr>
        <w:rStyle w:val="PageNumber"/>
      </w:rPr>
      <w:t>СЪВМЕСТНО</w:t>
    </w:r>
    <w:r w:rsidR="001109CD">
      <w:rPr>
        <w:rStyle w:val="PageNumber"/>
      </w:rPr>
      <w:t xml:space="preserve"> ОСОБЕНО МНЕНИЕ </w:t>
    </w:r>
    <w:r>
      <w:rPr>
        <w:rStyle w:val="PageNumber"/>
      </w:rPr>
      <w:t>НА</w:t>
    </w:r>
    <w:r w:rsidR="001109CD">
      <w:rPr>
        <w:rStyle w:val="PageNumber"/>
      </w:rPr>
      <w:t xml:space="preserve"> СЪДИИ CAFLISCH И CABRAL BARRETO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12DA"/>
    <w:rsid w:val="00001CBE"/>
    <w:rsid w:val="00002952"/>
    <w:rsid w:val="00011786"/>
    <w:rsid w:val="00011B3D"/>
    <w:rsid w:val="0001289C"/>
    <w:rsid w:val="00014DFC"/>
    <w:rsid w:val="0002049F"/>
    <w:rsid w:val="00025724"/>
    <w:rsid w:val="00027ED5"/>
    <w:rsid w:val="00032EB9"/>
    <w:rsid w:val="00033BB0"/>
    <w:rsid w:val="00034429"/>
    <w:rsid w:val="00036595"/>
    <w:rsid w:val="000419B5"/>
    <w:rsid w:val="000420C3"/>
    <w:rsid w:val="00042CA9"/>
    <w:rsid w:val="000434CB"/>
    <w:rsid w:val="00044970"/>
    <w:rsid w:val="00044DED"/>
    <w:rsid w:val="000452EC"/>
    <w:rsid w:val="000463CB"/>
    <w:rsid w:val="00046E75"/>
    <w:rsid w:val="00051AAB"/>
    <w:rsid w:val="0005656F"/>
    <w:rsid w:val="0005731A"/>
    <w:rsid w:val="00057743"/>
    <w:rsid w:val="00061A26"/>
    <w:rsid w:val="0006295E"/>
    <w:rsid w:val="00063251"/>
    <w:rsid w:val="00063A33"/>
    <w:rsid w:val="00084AB7"/>
    <w:rsid w:val="00085109"/>
    <w:rsid w:val="00086070"/>
    <w:rsid w:val="00090E30"/>
    <w:rsid w:val="00092A7A"/>
    <w:rsid w:val="00094672"/>
    <w:rsid w:val="00094A9F"/>
    <w:rsid w:val="00097C00"/>
    <w:rsid w:val="000A2F8D"/>
    <w:rsid w:val="000A42E4"/>
    <w:rsid w:val="000B5B94"/>
    <w:rsid w:val="000B5EA2"/>
    <w:rsid w:val="000C0DE3"/>
    <w:rsid w:val="000C2FFA"/>
    <w:rsid w:val="000C5228"/>
    <w:rsid w:val="000C5744"/>
    <w:rsid w:val="000D29EB"/>
    <w:rsid w:val="000D3A1A"/>
    <w:rsid w:val="000D4792"/>
    <w:rsid w:val="000D4D01"/>
    <w:rsid w:val="000D5717"/>
    <w:rsid w:val="000D578B"/>
    <w:rsid w:val="000D6A2E"/>
    <w:rsid w:val="000E336B"/>
    <w:rsid w:val="000E361C"/>
    <w:rsid w:val="000E3AD5"/>
    <w:rsid w:val="000E68C4"/>
    <w:rsid w:val="000F059C"/>
    <w:rsid w:val="000F1AE4"/>
    <w:rsid w:val="000F337F"/>
    <w:rsid w:val="000F5861"/>
    <w:rsid w:val="001015CC"/>
    <w:rsid w:val="00102D33"/>
    <w:rsid w:val="001109CD"/>
    <w:rsid w:val="00111434"/>
    <w:rsid w:val="0011341B"/>
    <w:rsid w:val="00115CF0"/>
    <w:rsid w:val="00116832"/>
    <w:rsid w:val="00117502"/>
    <w:rsid w:val="001218E1"/>
    <w:rsid w:val="00124DE8"/>
    <w:rsid w:val="00125305"/>
    <w:rsid w:val="00127366"/>
    <w:rsid w:val="001300AD"/>
    <w:rsid w:val="00131951"/>
    <w:rsid w:val="0013506C"/>
    <w:rsid w:val="00136071"/>
    <w:rsid w:val="001377DD"/>
    <w:rsid w:val="00140CAF"/>
    <w:rsid w:val="001414BB"/>
    <w:rsid w:val="001426DC"/>
    <w:rsid w:val="00144AB4"/>
    <w:rsid w:val="00151689"/>
    <w:rsid w:val="00157C7F"/>
    <w:rsid w:val="00162A83"/>
    <w:rsid w:val="0016344A"/>
    <w:rsid w:val="00165859"/>
    <w:rsid w:val="00171496"/>
    <w:rsid w:val="0018204A"/>
    <w:rsid w:val="00182FF5"/>
    <w:rsid w:val="00183165"/>
    <w:rsid w:val="00186E0A"/>
    <w:rsid w:val="001930C6"/>
    <w:rsid w:val="001935C3"/>
    <w:rsid w:val="00194615"/>
    <w:rsid w:val="001A02A0"/>
    <w:rsid w:val="001A1697"/>
    <w:rsid w:val="001A17FE"/>
    <w:rsid w:val="001A32A2"/>
    <w:rsid w:val="001A513C"/>
    <w:rsid w:val="001A6133"/>
    <w:rsid w:val="001A7654"/>
    <w:rsid w:val="001B32BD"/>
    <w:rsid w:val="001B34D2"/>
    <w:rsid w:val="001B3BBA"/>
    <w:rsid w:val="001B4042"/>
    <w:rsid w:val="001B43CA"/>
    <w:rsid w:val="001B5133"/>
    <w:rsid w:val="001C0FEF"/>
    <w:rsid w:val="001C163A"/>
    <w:rsid w:val="001C2BC8"/>
    <w:rsid w:val="001C32E8"/>
    <w:rsid w:val="001C3AAC"/>
    <w:rsid w:val="001C44DF"/>
    <w:rsid w:val="001C6EEF"/>
    <w:rsid w:val="001C7965"/>
    <w:rsid w:val="001D0D67"/>
    <w:rsid w:val="001D1DE9"/>
    <w:rsid w:val="001D5F98"/>
    <w:rsid w:val="001E1D47"/>
    <w:rsid w:val="001E44AA"/>
    <w:rsid w:val="001F0117"/>
    <w:rsid w:val="001F0D6A"/>
    <w:rsid w:val="001F361D"/>
    <w:rsid w:val="00200F06"/>
    <w:rsid w:val="00210401"/>
    <w:rsid w:val="002127C6"/>
    <w:rsid w:val="00212C51"/>
    <w:rsid w:val="0021532B"/>
    <w:rsid w:val="0021584A"/>
    <w:rsid w:val="00217024"/>
    <w:rsid w:val="0022264B"/>
    <w:rsid w:val="0022373E"/>
    <w:rsid w:val="002307D6"/>
    <w:rsid w:val="002326E6"/>
    <w:rsid w:val="0023284E"/>
    <w:rsid w:val="00233948"/>
    <w:rsid w:val="00236BB2"/>
    <w:rsid w:val="002409F7"/>
    <w:rsid w:val="00241852"/>
    <w:rsid w:val="00244408"/>
    <w:rsid w:val="00250556"/>
    <w:rsid w:val="00250E28"/>
    <w:rsid w:val="00252EAD"/>
    <w:rsid w:val="00254A78"/>
    <w:rsid w:val="00256931"/>
    <w:rsid w:val="0026074E"/>
    <w:rsid w:val="00261C16"/>
    <w:rsid w:val="00262552"/>
    <w:rsid w:val="002628E2"/>
    <w:rsid w:val="00267BF8"/>
    <w:rsid w:val="00270316"/>
    <w:rsid w:val="00274A4C"/>
    <w:rsid w:val="00277253"/>
    <w:rsid w:val="00277C0B"/>
    <w:rsid w:val="00283F8B"/>
    <w:rsid w:val="00284FCD"/>
    <w:rsid w:val="00287D5C"/>
    <w:rsid w:val="00297E24"/>
    <w:rsid w:val="002A2D7F"/>
    <w:rsid w:val="002A3C23"/>
    <w:rsid w:val="002B0B17"/>
    <w:rsid w:val="002B2821"/>
    <w:rsid w:val="002B40B9"/>
    <w:rsid w:val="002B6449"/>
    <w:rsid w:val="002B6DFC"/>
    <w:rsid w:val="002C02FA"/>
    <w:rsid w:val="002C1DE0"/>
    <w:rsid w:val="002C5328"/>
    <w:rsid w:val="002C5768"/>
    <w:rsid w:val="002C5B21"/>
    <w:rsid w:val="002C605E"/>
    <w:rsid w:val="002D4155"/>
    <w:rsid w:val="002D494F"/>
    <w:rsid w:val="002D5258"/>
    <w:rsid w:val="002E0C13"/>
    <w:rsid w:val="002E0F75"/>
    <w:rsid w:val="002E1A66"/>
    <w:rsid w:val="002E4A1A"/>
    <w:rsid w:val="002E5E88"/>
    <w:rsid w:val="002E6614"/>
    <w:rsid w:val="002E6FF0"/>
    <w:rsid w:val="00300195"/>
    <w:rsid w:val="00303086"/>
    <w:rsid w:val="00304A2B"/>
    <w:rsid w:val="00310041"/>
    <w:rsid w:val="00310A22"/>
    <w:rsid w:val="00310FE1"/>
    <w:rsid w:val="00315C82"/>
    <w:rsid w:val="003243B7"/>
    <w:rsid w:val="0032554A"/>
    <w:rsid w:val="00325F44"/>
    <w:rsid w:val="00326A7D"/>
    <w:rsid w:val="00327DED"/>
    <w:rsid w:val="00330A08"/>
    <w:rsid w:val="003318AA"/>
    <w:rsid w:val="00334456"/>
    <w:rsid w:val="00334FCB"/>
    <w:rsid w:val="003357F6"/>
    <w:rsid w:val="0033595F"/>
    <w:rsid w:val="003359E7"/>
    <w:rsid w:val="003405BB"/>
    <w:rsid w:val="0034128A"/>
    <w:rsid w:val="00344C6A"/>
    <w:rsid w:val="0034600E"/>
    <w:rsid w:val="0035144C"/>
    <w:rsid w:val="00352356"/>
    <w:rsid w:val="003524A3"/>
    <w:rsid w:val="00352BD6"/>
    <w:rsid w:val="00352D35"/>
    <w:rsid w:val="003536AC"/>
    <w:rsid w:val="00354CEA"/>
    <w:rsid w:val="00356EB7"/>
    <w:rsid w:val="00357C0E"/>
    <w:rsid w:val="0036125A"/>
    <w:rsid w:val="00363772"/>
    <w:rsid w:val="00365206"/>
    <w:rsid w:val="00371F9F"/>
    <w:rsid w:val="003729A9"/>
    <w:rsid w:val="0038408F"/>
    <w:rsid w:val="00390D9E"/>
    <w:rsid w:val="00390FB8"/>
    <w:rsid w:val="0039117A"/>
    <w:rsid w:val="00393EF3"/>
    <w:rsid w:val="0039597D"/>
    <w:rsid w:val="0039707E"/>
    <w:rsid w:val="003A06AB"/>
    <w:rsid w:val="003A06B4"/>
    <w:rsid w:val="003A2CB9"/>
    <w:rsid w:val="003A4F9B"/>
    <w:rsid w:val="003B0A62"/>
    <w:rsid w:val="003B1C76"/>
    <w:rsid w:val="003B2B05"/>
    <w:rsid w:val="003B35DA"/>
    <w:rsid w:val="003B52E1"/>
    <w:rsid w:val="003C5662"/>
    <w:rsid w:val="003C79DD"/>
    <w:rsid w:val="003D3E93"/>
    <w:rsid w:val="003E5B66"/>
    <w:rsid w:val="003F135B"/>
    <w:rsid w:val="003F2F17"/>
    <w:rsid w:val="003F3D87"/>
    <w:rsid w:val="003F467F"/>
    <w:rsid w:val="003F4C8D"/>
    <w:rsid w:val="003F59BE"/>
    <w:rsid w:val="003F7075"/>
    <w:rsid w:val="003F78BE"/>
    <w:rsid w:val="004000F8"/>
    <w:rsid w:val="00400C6F"/>
    <w:rsid w:val="00401442"/>
    <w:rsid w:val="0040325A"/>
    <w:rsid w:val="0040462A"/>
    <w:rsid w:val="00406C9B"/>
    <w:rsid w:val="00414CBF"/>
    <w:rsid w:val="00416C1E"/>
    <w:rsid w:val="0041737B"/>
    <w:rsid w:val="00417D6C"/>
    <w:rsid w:val="00420899"/>
    <w:rsid w:val="00425B3C"/>
    <w:rsid w:val="00427E39"/>
    <w:rsid w:val="004310EB"/>
    <w:rsid w:val="00437166"/>
    <w:rsid w:val="0045058E"/>
    <w:rsid w:val="004505A5"/>
    <w:rsid w:val="0045091A"/>
    <w:rsid w:val="00450E10"/>
    <w:rsid w:val="00451843"/>
    <w:rsid w:val="00453616"/>
    <w:rsid w:val="00453CED"/>
    <w:rsid w:val="00454AA9"/>
    <w:rsid w:val="004570D4"/>
    <w:rsid w:val="00467081"/>
    <w:rsid w:val="00467FAE"/>
    <w:rsid w:val="00471E5E"/>
    <w:rsid w:val="0047286F"/>
    <w:rsid w:val="0047480B"/>
    <w:rsid w:val="0047789D"/>
    <w:rsid w:val="00480C7C"/>
    <w:rsid w:val="00485A83"/>
    <w:rsid w:val="00491A47"/>
    <w:rsid w:val="004947D3"/>
    <w:rsid w:val="004959E1"/>
    <w:rsid w:val="004961A8"/>
    <w:rsid w:val="004965CF"/>
    <w:rsid w:val="004A002C"/>
    <w:rsid w:val="004A2D29"/>
    <w:rsid w:val="004A31AB"/>
    <w:rsid w:val="004A32D1"/>
    <w:rsid w:val="004A69F6"/>
    <w:rsid w:val="004A6E02"/>
    <w:rsid w:val="004B0F29"/>
    <w:rsid w:val="004B44BE"/>
    <w:rsid w:val="004B4F40"/>
    <w:rsid w:val="004B54D0"/>
    <w:rsid w:val="004C365C"/>
    <w:rsid w:val="004D0248"/>
    <w:rsid w:val="004D7046"/>
    <w:rsid w:val="004D7D99"/>
    <w:rsid w:val="004E0C7A"/>
    <w:rsid w:val="004E3B9A"/>
    <w:rsid w:val="004E7C0A"/>
    <w:rsid w:val="004F1150"/>
    <w:rsid w:val="004F18AE"/>
    <w:rsid w:val="004F1FB8"/>
    <w:rsid w:val="004F47D2"/>
    <w:rsid w:val="004F57BD"/>
    <w:rsid w:val="004F7D53"/>
    <w:rsid w:val="0050052B"/>
    <w:rsid w:val="005043C8"/>
    <w:rsid w:val="00510C79"/>
    <w:rsid w:val="00510FEF"/>
    <w:rsid w:val="00511C37"/>
    <w:rsid w:val="00513358"/>
    <w:rsid w:val="00513B3E"/>
    <w:rsid w:val="0051585F"/>
    <w:rsid w:val="00521402"/>
    <w:rsid w:val="00522B87"/>
    <w:rsid w:val="00532C04"/>
    <w:rsid w:val="00532CCE"/>
    <w:rsid w:val="00533B8F"/>
    <w:rsid w:val="00540CDA"/>
    <w:rsid w:val="00542F56"/>
    <w:rsid w:val="00545597"/>
    <w:rsid w:val="00551DAB"/>
    <w:rsid w:val="00553DBB"/>
    <w:rsid w:val="00555B69"/>
    <w:rsid w:val="005568EA"/>
    <w:rsid w:val="00557F6C"/>
    <w:rsid w:val="00562B05"/>
    <w:rsid w:val="00563026"/>
    <w:rsid w:val="00565F28"/>
    <w:rsid w:val="00570092"/>
    <w:rsid w:val="0057622F"/>
    <w:rsid w:val="005775F2"/>
    <w:rsid w:val="00580360"/>
    <w:rsid w:val="005803E1"/>
    <w:rsid w:val="0058158C"/>
    <w:rsid w:val="00582FA9"/>
    <w:rsid w:val="00584E9F"/>
    <w:rsid w:val="00587536"/>
    <w:rsid w:val="00587722"/>
    <w:rsid w:val="005877BE"/>
    <w:rsid w:val="005A30F4"/>
    <w:rsid w:val="005A3205"/>
    <w:rsid w:val="005A65C4"/>
    <w:rsid w:val="005B1509"/>
    <w:rsid w:val="005B4B42"/>
    <w:rsid w:val="005B708A"/>
    <w:rsid w:val="005C043F"/>
    <w:rsid w:val="005C1E8D"/>
    <w:rsid w:val="005C2489"/>
    <w:rsid w:val="005C50B9"/>
    <w:rsid w:val="005D3A7B"/>
    <w:rsid w:val="005D4B19"/>
    <w:rsid w:val="005D4E23"/>
    <w:rsid w:val="005D6004"/>
    <w:rsid w:val="005D7DF4"/>
    <w:rsid w:val="005E16CE"/>
    <w:rsid w:val="005E377E"/>
    <w:rsid w:val="005E3AF5"/>
    <w:rsid w:val="005E4A13"/>
    <w:rsid w:val="005E5212"/>
    <w:rsid w:val="005E6BF9"/>
    <w:rsid w:val="005E7826"/>
    <w:rsid w:val="005E7E15"/>
    <w:rsid w:val="005F29D6"/>
    <w:rsid w:val="005F7E04"/>
    <w:rsid w:val="00600660"/>
    <w:rsid w:val="0060168E"/>
    <w:rsid w:val="0060220C"/>
    <w:rsid w:val="00602749"/>
    <w:rsid w:val="00606DAD"/>
    <w:rsid w:val="00610E14"/>
    <w:rsid w:val="006138E0"/>
    <w:rsid w:val="00614024"/>
    <w:rsid w:val="00614451"/>
    <w:rsid w:val="00617D5F"/>
    <w:rsid w:val="00627C6A"/>
    <w:rsid w:val="0063046B"/>
    <w:rsid w:val="0064104C"/>
    <w:rsid w:val="00641788"/>
    <w:rsid w:val="00642EB9"/>
    <w:rsid w:val="00652E54"/>
    <w:rsid w:val="00654C70"/>
    <w:rsid w:val="00656708"/>
    <w:rsid w:val="006579E0"/>
    <w:rsid w:val="00661E25"/>
    <w:rsid w:val="00667B5C"/>
    <w:rsid w:val="00677A1B"/>
    <w:rsid w:val="00680C88"/>
    <w:rsid w:val="00680D0A"/>
    <w:rsid w:val="00682202"/>
    <w:rsid w:val="00690681"/>
    <w:rsid w:val="0069419B"/>
    <w:rsid w:val="006A0D3F"/>
    <w:rsid w:val="006A1EDD"/>
    <w:rsid w:val="006A4BBC"/>
    <w:rsid w:val="006A61D8"/>
    <w:rsid w:val="006B1B60"/>
    <w:rsid w:val="006B4FE9"/>
    <w:rsid w:val="006C0B0E"/>
    <w:rsid w:val="006C4288"/>
    <w:rsid w:val="006C47C9"/>
    <w:rsid w:val="006C5078"/>
    <w:rsid w:val="006C5FC5"/>
    <w:rsid w:val="006C7F61"/>
    <w:rsid w:val="006D0698"/>
    <w:rsid w:val="006D0CBC"/>
    <w:rsid w:val="006E41C3"/>
    <w:rsid w:val="006E4E10"/>
    <w:rsid w:val="006E5350"/>
    <w:rsid w:val="006E638B"/>
    <w:rsid w:val="006F4251"/>
    <w:rsid w:val="007003F5"/>
    <w:rsid w:val="0070057E"/>
    <w:rsid w:val="0070184F"/>
    <w:rsid w:val="007023ED"/>
    <w:rsid w:val="00706AFD"/>
    <w:rsid w:val="00716079"/>
    <w:rsid w:val="00717954"/>
    <w:rsid w:val="00717DF3"/>
    <w:rsid w:val="00717E34"/>
    <w:rsid w:val="00720347"/>
    <w:rsid w:val="00721E5E"/>
    <w:rsid w:val="00722AB4"/>
    <w:rsid w:val="00725397"/>
    <w:rsid w:val="0072703B"/>
    <w:rsid w:val="00730948"/>
    <w:rsid w:val="00732028"/>
    <w:rsid w:val="00735F23"/>
    <w:rsid w:val="00737EDB"/>
    <w:rsid w:val="007411BB"/>
    <w:rsid w:val="007414BE"/>
    <w:rsid w:val="00743A40"/>
    <w:rsid w:val="00743F8E"/>
    <w:rsid w:val="0074730B"/>
    <w:rsid w:val="00750CF9"/>
    <w:rsid w:val="00752AA4"/>
    <w:rsid w:val="007553E9"/>
    <w:rsid w:val="0076005C"/>
    <w:rsid w:val="007615F8"/>
    <w:rsid w:val="00761BE3"/>
    <w:rsid w:val="0076293B"/>
    <w:rsid w:val="007663F7"/>
    <w:rsid w:val="00766C4E"/>
    <w:rsid w:val="00766E81"/>
    <w:rsid w:val="00770F44"/>
    <w:rsid w:val="00772C1C"/>
    <w:rsid w:val="00773F66"/>
    <w:rsid w:val="00774C16"/>
    <w:rsid w:val="00775D57"/>
    <w:rsid w:val="007815D2"/>
    <w:rsid w:val="00794E74"/>
    <w:rsid w:val="0079559F"/>
    <w:rsid w:val="00795FAF"/>
    <w:rsid w:val="00796D65"/>
    <w:rsid w:val="007A2D73"/>
    <w:rsid w:val="007A4D6F"/>
    <w:rsid w:val="007A6330"/>
    <w:rsid w:val="007B072E"/>
    <w:rsid w:val="007B0E71"/>
    <w:rsid w:val="007B120E"/>
    <w:rsid w:val="007B5600"/>
    <w:rsid w:val="007B60F6"/>
    <w:rsid w:val="007B74AF"/>
    <w:rsid w:val="007B753F"/>
    <w:rsid w:val="007B7A94"/>
    <w:rsid w:val="007C0019"/>
    <w:rsid w:val="007C2FBA"/>
    <w:rsid w:val="007C6EF1"/>
    <w:rsid w:val="007D1102"/>
    <w:rsid w:val="007D11AD"/>
    <w:rsid w:val="007D1350"/>
    <w:rsid w:val="007D2983"/>
    <w:rsid w:val="007D3D2D"/>
    <w:rsid w:val="007D4F16"/>
    <w:rsid w:val="007E10F3"/>
    <w:rsid w:val="007E753F"/>
    <w:rsid w:val="007E77F4"/>
    <w:rsid w:val="007E7A20"/>
    <w:rsid w:val="007F0FA8"/>
    <w:rsid w:val="007F451D"/>
    <w:rsid w:val="007F5E2D"/>
    <w:rsid w:val="007F5F74"/>
    <w:rsid w:val="00804042"/>
    <w:rsid w:val="0080469C"/>
    <w:rsid w:val="00805A7A"/>
    <w:rsid w:val="00807258"/>
    <w:rsid w:val="00813095"/>
    <w:rsid w:val="00813DBB"/>
    <w:rsid w:val="008216E4"/>
    <w:rsid w:val="008230A0"/>
    <w:rsid w:val="00823BFA"/>
    <w:rsid w:val="00825EA2"/>
    <w:rsid w:val="008270A3"/>
    <w:rsid w:val="00830FC4"/>
    <w:rsid w:val="00832DF5"/>
    <w:rsid w:val="008357FB"/>
    <w:rsid w:val="008365CA"/>
    <w:rsid w:val="008379CA"/>
    <w:rsid w:val="00837B91"/>
    <w:rsid w:val="00842E1E"/>
    <w:rsid w:val="008462BB"/>
    <w:rsid w:val="00847C3B"/>
    <w:rsid w:val="008511E6"/>
    <w:rsid w:val="00852AE6"/>
    <w:rsid w:val="0085304B"/>
    <w:rsid w:val="00853668"/>
    <w:rsid w:val="00854F94"/>
    <w:rsid w:val="008551B4"/>
    <w:rsid w:val="00860360"/>
    <w:rsid w:val="00860386"/>
    <w:rsid w:val="008649F1"/>
    <w:rsid w:val="008653ED"/>
    <w:rsid w:val="00870608"/>
    <w:rsid w:val="00872624"/>
    <w:rsid w:val="00874016"/>
    <w:rsid w:val="00874975"/>
    <w:rsid w:val="00874E53"/>
    <w:rsid w:val="00876A33"/>
    <w:rsid w:val="0088001F"/>
    <w:rsid w:val="00880666"/>
    <w:rsid w:val="008913D1"/>
    <w:rsid w:val="008A2B8C"/>
    <w:rsid w:val="008A3FF0"/>
    <w:rsid w:val="008A67E4"/>
    <w:rsid w:val="008B16AF"/>
    <w:rsid w:val="008B2534"/>
    <w:rsid w:val="008B403D"/>
    <w:rsid w:val="008B4BAB"/>
    <w:rsid w:val="008B5400"/>
    <w:rsid w:val="008B5667"/>
    <w:rsid w:val="008B5B92"/>
    <w:rsid w:val="008B5D8B"/>
    <w:rsid w:val="008B70D3"/>
    <w:rsid w:val="008C590F"/>
    <w:rsid w:val="008C63CD"/>
    <w:rsid w:val="008D0FE7"/>
    <w:rsid w:val="008D2758"/>
    <w:rsid w:val="008D56B2"/>
    <w:rsid w:val="008D673A"/>
    <w:rsid w:val="008D72C8"/>
    <w:rsid w:val="008E205D"/>
    <w:rsid w:val="008E3469"/>
    <w:rsid w:val="008E36F2"/>
    <w:rsid w:val="008E60D0"/>
    <w:rsid w:val="008F06D8"/>
    <w:rsid w:val="008F10B9"/>
    <w:rsid w:val="00903086"/>
    <w:rsid w:val="009151AC"/>
    <w:rsid w:val="00917FCF"/>
    <w:rsid w:val="00933875"/>
    <w:rsid w:val="00933D13"/>
    <w:rsid w:val="00934765"/>
    <w:rsid w:val="00934EEB"/>
    <w:rsid w:val="00935C00"/>
    <w:rsid w:val="00944170"/>
    <w:rsid w:val="00944537"/>
    <w:rsid w:val="009517A4"/>
    <w:rsid w:val="00952B55"/>
    <w:rsid w:val="00953A8C"/>
    <w:rsid w:val="00954E90"/>
    <w:rsid w:val="009561DE"/>
    <w:rsid w:val="009578BB"/>
    <w:rsid w:val="009607CB"/>
    <w:rsid w:val="00967B02"/>
    <w:rsid w:val="00967C28"/>
    <w:rsid w:val="00972168"/>
    <w:rsid w:val="00972CB2"/>
    <w:rsid w:val="00974FC3"/>
    <w:rsid w:val="0097796E"/>
    <w:rsid w:val="009861BB"/>
    <w:rsid w:val="00986C30"/>
    <w:rsid w:val="009877BC"/>
    <w:rsid w:val="00987E83"/>
    <w:rsid w:val="00990F5A"/>
    <w:rsid w:val="0099389C"/>
    <w:rsid w:val="0099598E"/>
    <w:rsid w:val="009979DE"/>
    <w:rsid w:val="00997AEB"/>
    <w:rsid w:val="009A0233"/>
    <w:rsid w:val="009A209D"/>
    <w:rsid w:val="009A23BF"/>
    <w:rsid w:val="009A30AE"/>
    <w:rsid w:val="009A5B3A"/>
    <w:rsid w:val="009A5CE0"/>
    <w:rsid w:val="009A656B"/>
    <w:rsid w:val="009A75ED"/>
    <w:rsid w:val="009A77FC"/>
    <w:rsid w:val="009B0735"/>
    <w:rsid w:val="009B07B3"/>
    <w:rsid w:val="009B2675"/>
    <w:rsid w:val="009B32B8"/>
    <w:rsid w:val="009B541E"/>
    <w:rsid w:val="009B6707"/>
    <w:rsid w:val="009D0C11"/>
    <w:rsid w:val="009D0F48"/>
    <w:rsid w:val="009D10C8"/>
    <w:rsid w:val="009D1636"/>
    <w:rsid w:val="009D3696"/>
    <w:rsid w:val="009D4945"/>
    <w:rsid w:val="009D4B38"/>
    <w:rsid w:val="009E2325"/>
    <w:rsid w:val="009E3C56"/>
    <w:rsid w:val="009E6C3D"/>
    <w:rsid w:val="009E74F1"/>
    <w:rsid w:val="009E793B"/>
    <w:rsid w:val="009F1092"/>
    <w:rsid w:val="009F46CF"/>
    <w:rsid w:val="009F51A4"/>
    <w:rsid w:val="00A043AA"/>
    <w:rsid w:val="00A04619"/>
    <w:rsid w:val="00A10825"/>
    <w:rsid w:val="00A16383"/>
    <w:rsid w:val="00A16917"/>
    <w:rsid w:val="00A25BB2"/>
    <w:rsid w:val="00A27654"/>
    <w:rsid w:val="00A27D16"/>
    <w:rsid w:val="00A30490"/>
    <w:rsid w:val="00A30CA7"/>
    <w:rsid w:val="00A33FF4"/>
    <w:rsid w:val="00A406B5"/>
    <w:rsid w:val="00A412BB"/>
    <w:rsid w:val="00A42769"/>
    <w:rsid w:val="00A442B3"/>
    <w:rsid w:val="00A457F5"/>
    <w:rsid w:val="00A4753B"/>
    <w:rsid w:val="00A47DC5"/>
    <w:rsid w:val="00A52151"/>
    <w:rsid w:val="00A53A1D"/>
    <w:rsid w:val="00A54018"/>
    <w:rsid w:val="00A5569F"/>
    <w:rsid w:val="00A56B4B"/>
    <w:rsid w:val="00A6491D"/>
    <w:rsid w:val="00A658BB"/>
    <w:rsid w:val="00A66D56"/>
    <w:rsid w:val="00A67EBC"/>
    <w:rsid w:val="00A67F41"/>
    <w:rsid w:val="00A71641"/>
    <w:rsid w:val="00A71A45"/>
    <w:rsid w:val="00A74193"/>
    <w:rsid w:val="00A758F7"/>
    <w:rsid w:val="00A76F5E"/>
    <w:rsid w:val="00A77D08"/>
    <w:rsid w:val="00A812A6"/>
    <w:rsid w:val="00A81753"/>
    <w:rsid w:val="00A8351B"/>
    <w:rsid w:val="00A837AF"/>
    <w:rsid w:val="00A8386C"/>
    <w:rsid w:val="00A85CDA"/>
    <w:rsid w:val="00A92917"/>
    <w:rsid w:val="00A940A3"/>
    <w:rsid w:val="00A94E4B"/>
    <w:rsid w:val="00AA0725"/>
    <w:rsid w:val="00AB0413"/>
    <w:rsid w:val="00AB193C"/>
    <w:rsid w:val="00AB343C"/>
    <w:rsid w:val="00AB4BC1"/>
    <w:rsid w:val="00AB6613"/>
    <w:rsid w:val="00AC3706"/>
    <w:rsid w:val="00AC7350"/>
    <w:rsid w:val="00AD155F"/>
    <w:rsid w:val="00AD28DC"/>
    <w:rsid w:val="00AD58F4"/>
    <w:rsid w:val="00AD630C"/>
    <w:rsid w:val="00AE3C2C"/>
    <w:rsid w:val="00AE4833"/>
    <w:rsid w:val="00AE6D87"/>
    <w:rsid w:val="00AE7E4B"/>
    <w:rsid w:val="00AF139E"/>
    <w:rsid w:val="00AF28D1"/>
    <w:rsid w:val="00AF7B52"/>
    <w:rsid w:val="00B00220"/>
    <w:rsid w:val="00B01DDA"/>
    <w:rsid w:val="00B072D8"/>
    <w:rsid w:val="00B17D98"/>
    <w:rsid w:val="00B17EC7"/>
    <w:rsid w:val="00B24733"/>
    <w:rsid w:val="00B25B6D"/>
    <w:rsid w:val="00B30453"/>
    <w:rsid w:val="00B32222"/>
    <w:rsid w:val="00B33AD0"/>
    <w:rsid w:val="00B342A2"/>
    <w:rsid w:val="00B3500F"/>
    <w:rsid w:val="00B354BB"/>
    <w:rsid w:val="00B356F0"/>
    <w:rsid w:val="00B359C6"/>
    <w:rsid w:val="00B42356"/>
    <w:rsid w:val="00B50E36"/>
    <w:rsid w:val="00B51759"/>
    <w:rsid w:val="00B5425E"/>
    <w:rsid w:val="00B5637F"/>
    <w:rsid w:val="00B56402"/>
    <w:rsid w:val="00B63D0D"/>
    <w:rsid w:val="00B64520"/>
    <w:rsid w:val="00B714BC"/>
    <w:rsid w:val="00B71C55"/>
    <w:rsid w:val="00B7363C"/>
    <w:rsid w:val="00B77432"/>
    <w:rsid w:val="00B776CD"/>
    <w:rsid w:val="00B818EB"/>
    <w:rsid w:val="00B8310C"/>
    <w:rsid w:val="00B85FD6"/>
    <w:rsid w:val="00B95490"/>
    <w:rsid w:val="00B95FF8"/>
    <w:rsid w:val="00B966FE"/>
    <w:rsid w:val="00B97214"/>
    <w:rsid w:val="00BA0505"/>
    <w:rsid w:val="00BA30DB"/>
    <w:rsid w:val="00BA50ED"/>
    <w:rsid w:val="00BB084C"/>
    <w:rsid w:val="00BB7666"/>
    <w:rsid w:val="00BC1B17"/>
    <w:rsid w:val="00BC23D0"/>
    <w:rsid w:val="00BC4B7A"/>
    <w:rsid w:val="00BD2F63"/>
    <w:rsid w:val="00BE1D82"/>
    <w:rsid w:val="00BE3796"/>
    <w:rsid w:val="00BF49DB"/>
    <w:rsid w:val="00BF7D73"/>
    <w:rsid w:val="00C004B5"/>
    <w:rsid w:val="00C008A3"/>
    <w:rsid w:val="00C01559"/>
    <w:rsid w:val="00C0205B"/>
    <w:rsid w:val="00C02BB4"/>
    <w:rsid w:val="00C10DB6"/>
    <w:rsid w:val="00C10EDE"/>
    <w:rsid w:val="00C1286A"/>
    <w:rsid w:val="00C16682"/>
    <w:rsid w:val="00C1757B"/>
    <w:rsid w:val="00C2521A"/>
    <w:rsid w:val="00C25969"/>
    <w:rsid w:val="00C30333"/>
    <w:rsid w:val="00C31DE2"/>
    <w:rsid w:val="00C40584"/>
    <w:rsid w:val="00C40616"/>
    <w:rsid w:val="00C4233C"/>
    <w:rsid w:val="00C448D0"/>
    <w:rsid w:val="00C44F91"/>
    <w:rsid w:val="00C46F70"/>
    <w:rsid w:val="00C470EC"/>
    <w:rsid w:val="00C5119F"/>
    <w:rsid w:val="00C51771"/>
    <w:rsid w:val="00C51932"/>
    <w:rsid w:val="00C530DE"/>
    <w:rsid w:val="00C53609"/>
    <w:rsid w:val="00C63680"/>
    <w:rsid w:val="00C6661D"/>
    <w:rsid w:val="00C72EC2"/>
    <w:rsid w:val="00C730E8"/>
    <w:rsid w:val="00C75E9E"/>
    <w:rsid w:val="00C810FF"/>
    <w:rsid w:val="00C82831"/>
    <w:rsid w:val="00C83AA5"/>
    <w:rsid w:val="00C86549"/>
    <w:rsid w:val="00C868E0"/>
    <w:rsid w:val="00C87A61"/>
    <w:rsid w:val="00C90D98"/>
    <w:rsid w:val="00C93BF1"/>
    <w:rsid w:val="00C96035"/>
    <w:rsid w:val="00C96A0A"/>
    <w:rsid w:val="00CA01CD"/>
    <w:rsid w:val="00CA278A"/>
    <w:rsid w:val="00CA2E19"/>
    <w:rsid w:val="00CA7C70"/>
    <w:rsid w:val="00CB1790"/>
    <w:rsid w:val="00CB3538"/>
    <w:rsid w:val="00CB42E4"/>
    <w:rsid w:val="00CB478B"/>
    <w:rsid w:val="00CB785E"/>
    <w:rsid w:val="00CC3CA8"/>
    <w:rsid w:val="00CC55DB"/>
    <w:rsid w:val="00CC5B5E"/>
    <w:rsid w:val="00CC64EC"/>
    <w:rsid w:val="00CC6DEE"/>
    <w:rsid w:val="00CD49A7"/>
    <w:rsid w:val="00CD590A"/>
    <w:rsid w:val="00CD5F5C"/>
    <w:rsid w:val="00CE0465"/>
    <w:rsid w:val="00CE293A"/>
    <w:rsid w:val="00CE60C7"/>
    <w:rsid w:val="00CE7CA6"/>
    <w:rsid w:val="00CF2AC0"/>
    <w:rsid w:val="00CF6F43"/>
    <w:rsid w:val="00CF7895"/>
    <w:rsid w:val="00D02611"/>
    <w:rsid w:val="00D02ADF"/>
    <w:rsid w:val="00D03058"/>
    <w:rsid w:val="00D04CD3"/>
    <w:rsid w:val="00D05C37"/>
    <w:rsid w:val="00D06654"/>
    <w:rsid w:val="00D066A5"/>
    <w:rsid w:val="00D06D76"/>
    <w:rsid w:val="00D11152"/>
    <w:rsid w:val="00D212E7"/>
    <w:rsid w:val="00D234A1"/>
    <w:rsid w:val="00D2445B"/>
    <w:rsid w:val="00D26391"/>
    <w:rsid w:val="00D27DE3"/>
    <w:rsid w:val="00D3333E"/>
    <w:rsid w:val="00D35E1B"/>
    <w:rsid w:val="00D454BB"/>
    <w:rsid w:val="00D518EB"/>
    <w:rsid w:val="00D60892"/>
    <w:rsid w:val="00D64ED8"/>
    <w:rsid w:val="00D65E34"/>
    <w:rsid w:val="00D67227"/>
    <w:rsid w:val="00D673A9"/>
    <w:rsid w:val="00D7080A"/>
    <w:rsid w:val="00D71FB9"/>
    <w:rsid w:val="00D7498A"/>
    <w:rsid w:val="00D751F4"/>
    <w:rsid w:val="00D8049E"/>
    <w:rsid w:val="00D82588"/>
    <w:rsid w:val="00D84301"/>
    <w:rsid w:val="00D90F55"/>
    <w:rsid w:val="00D931F1"/>
    <w:rsid w:val="00D95900"/>
    <w:rsid w:val="00D9768C"/>
    <w:rsid w:val="00DA4C83"/>
    <w:rsid w:val="00DA54E9"/>
    <w:rsid w:val="00DB5A0C"/>
    <w:rsid w:val="00DC1F02"/>
    <w:rsid w:val="00DC20FF"/>
    <w:rsid w:val="00DC4292"/>
    <w:rsid w:val="00DC55AB"/>
    <w:rsid w:val="00DC70F0"/>
    <w:rsid w:val="00DE0059"/>
    <w:rsid w:val="00DE2A62"/>
    <w:rsid w:val="00DE5D14"/>
    <w:rsid w:val="00DE7DAE"/>
    <w:rsid w:val="00DF4846"/>
    <w:rsid w:val="00DF77DA"/>
    <w:rsid w:val="00E00599"/>
    <w:rsid w:val="00E00E40"/>
    <w:rsid w:val="00E021AF"/>
    <w:rsid w:val="00E107C0"/>
    <w:rsid w:val="00E10840"/>
    <w:rsid w:val="00E10A8C"/>
    <w:rsid w:val="00E1150E"/>
    <w:rsid w:val="00E13E84"/>
    <w:rsid w:val="00E14708"/>
    <w:rsid w:val="00E20B61"/>
    <w:rsid w:val="00E21618"/>
    <w:rsid w:val="00E21EFE"/>
    <w:rsid w:val="00E31AF3"/>
    <w:rsid w:val="00E3417B"/>
    <w:rsid w:val="00E4118D"/>
    <w:rsid w:val="00E4200F"/>
    <w:rsid w:val="00E431D5"/>
    <w:rsid w:val="00E44CB4"/>
    <w:rsid w:val="00E4648B"/>
    <w:rsid w:val="00E50E93"/>
    <w:rsid w:val="00E526BE"/>
    <w:rsid w:val="00E57E8B"/>
    <w:rsid w:val="00E6120C"/>
    <w:rsid w:val="00E617A6"/>
    <w:rsid w:val="00E63216"/>
    <w:rsid w:val="00E65554"/>
    <w:rsid w:val="00E65CE8"/>
    <w:rsid w:val="00E71F84"/>
    <w:rsid w:val="00E73435"/>
    <w:rsid w:val="00E75112"/>
    <w:rsid w:val="00E755C2"/>
    <w:rsid w:val="00E75AED"/>
    <w:rsid w:val="00E829AB"/>
    <w:rsid w:val="00E85370"/>
    <w:rsid w:val="00E9311D"/>
    <w:rsid w:val="00E95550"/>
    <w:rsid w:val="00E9721D"/>
    <w:rsid w:val="00EA07A0"/>
    <w:rsid w:val="00EA1200"/>
    <w:rsid w:val="00EA2C6C"/>
    <w:rsid w:val="00EA2E59"/>
    <w:rsid w:val="00EA3C92"/>
    <w:rsid w:val="00EA57CA"/>
    <w:rsid w:val="00EA6DBC"/>
    <w:rsid w:val="00EA7E45"/>
    <w:rsid w:val="00EB6C88"/>
    <w:rsid w:val="00EB77E2"/>
    <w:rsid w:val="00EC045D"/>
    <w:rsid w:val="00EC371F"/>
    <w:rsid w:val="00EC4FA8"/>
    <w:rsid w:val="00EC5260"/>
    <w:rsid w:val="00EC7FD0"/>
    <w:rsid w:val="00ED1D39"/>
    <w:rsid w:val="00ED6F93"/>
    <w:rsid w:val="00ED6FAE"/>
    <w:rsid w:val="00EE18A8"/>
    <w:rsid w:val="00EE1A1E"/>
    <w:rsid w:val="00EE1FD2"/>
    <w:rsid w:val="00EF1A77"/>
    <w:rsid w:val="00EF2B4F"/>
    <w:rsid w:val="00EF550A"/>
    <w:rsid w:val="00F06838"/>
    <w:rsid w:val="00F104C9"/>
    <w:rsid w:val="00F11D94"/>
    <w:rsid w:val="00F12015"/>
    <w:rsid w:val="00F13BF1"/>
    <w:rsid w:val="00F176B2"/>
    <w:rsid w:val="00F17804"/>
    <w:rsid w:val="00F17A83"/>
    <w:rsid w:val="00F21B99"/>
    <w:rsid w:val="00F25938"/>
    <w:rsid w:val="00F33667"/>
    <w:rsid w:val="00F350CF"/>
    <w:rsid w:val="00F41A0F"/>
    <w:rsid w:val="00F42695"/>
    <w:rsid w:val="00F43833"/>
    <w:rsid w:val="00F46DED"/>
    <w:rsid w:val="00F47869"/>
    <w:rsid w:val="00F505F3"/>
    <w:rsid w:val="00F512F3"/>
    <w:rsid w:val="00F55FD5"/>
    <w:rsid w:val="00F578E8"/>
    <w:rsid w:val="00F61C68"/>
    <w:rsid w:val="00F64B5A"/>
    <w:rsid w:val="00F65509"/>
    <w:rsid w:val="00F67AE0"/>
    <w:rsid w:val="00F7109E"/>
    <w:rsid w:val="00F74367"/>
    <w:rsid w:val="00F7439E"/>
    <w:rsid w:val="00F80D28"/>
    <w:rsid w:val="00F843B7"/>
    <w:rsid w:val="00F87F77"/>
    <w:rsid w:val="00F92A55"/>
    <w:rsid w:val="00F93B0F"/>
    <w:rsid w:val="00FA0F31"/>
    <w:rsid w:val="00FA2109"/>
    <w:rsid w:val="00FA2428"/>
    <w:rsid w:val="00FA439A"/>
    <w:rsid w:val="00FA4ABD"/>
    <w:rsid w:val="00FA53F7"/>
    <w:rsid w:val="00FA6385"/>
    <w:rsid w:val="00FA7B2F"/>
    <w:rsid w:val="00FB04B5"/>
    <w:rsid w:val="00FB0EA1"/>
    <w:rsid w:val="00FB45FF"/>
    <w:rsid w:val="00FB4A91"/>
    <w:rsid w:val="00FB6A21"/>
    <w:rsid w:val="00FC1382"/>
    <w:rsid w:val="00FC37D0"/>
    <w:rsid w:val="00FC45CB"/>
    <w:rsid w:val="00FC60B5"/>
    <w:rsid w:val="00FC6F49"/>
    <w:rsid w:val="00FD0C44"/>
    <w:rsid w:val="00FD2880"/>
    <w:rsid w:val="00FD5128"/>
    <w:rsid w:val="00FD5502"/>
    <w:rsid w:val="00FD67EA"/>
    <w:rsid w:val="00FE0123"/>
    <w:rsid w:val="00FE2FB2"/>
    <w:rsid w:val="00FE3FF1"/>
    <w:rsid w:val="00FE405A"/>
    <w:rsid w:val="00FE6AE4"/>
    <w:rsid w:val="00FF3D48"/>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6C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link w:val="HeaderChar"/>
    <w:uiPriority w:val="99"/>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paragraph" w:customStyle="1" w:styleId="JuParaChar">
    <w:name w:val="Ju_Para Char"/>
    <w:basedOn w:val="Normal"/>
    <w:rsid w:val="00A66D56"/>
    <w:pPr>
      <w:ind w:firstLine="284"/>
      <w:jc w:val="both"/>
    </w:pPr>
    <w:rPr>
      <w:snapToGrid w:val="0"/>
      <w:szCs w:val="24"/>
    </w:rPr>
  </w:style>
  <w:style w:type="paragraph" w:customStyle="1" w:styleId="Jup">
    <w:name w:val="Ju p"/>
    <w:basedOn w:val="JuPara"/>
    <w:link w:val="JupChar"/>
    <w:rsid w:val="002B2821"/>
  </w:style>
  <w:style w:type="character" w:customStyle="1" w:styleId="JupChar">
    <w:name w:val="Ju p Char"/>
    <w:link w:val="Jup"/>
    <w:rsid w:val="002B2821"/>
    <w:rPr>
      <w:sz w:val="24"/>
      <w:lang w:val="bg-BG" w:eastAsia="bg-BG" w:bidi="bg-BG"/>
    </w:rPr>
  </w:style>
  <w:style w:type="paragraph" w:customStyle="1" w:styleId="JuQuotChar">
    <w:name w:val="Ju_Quot Char"/>
    <w:basedOn w:val="JuPara"/>
    <w:link w:val="JuQuotCharChar"/>
    <w:rsid w:val="00467081"/>
    <w:pPr>
      <w:spacing w:before="120" w:after="120"/>
      <w:ind w:left="425" w:firstLine="142"/>
    </w:pPr>
    <w:rPr>
      <w:sz w:val="20"/>
    </w:rPr>
  </w:style>
  <w:style w:type="character" w:customStyle="1" w:styleId="JuQuotCharChar">
    <w:name w:val="Ju_Quot Char Char"/>
    <w:basedOn w:val="DefaultParagraphFont"/>
    <w:link w:val="JuQuotChar"/>
    <w:rsid w:val="00467081"/>
    <w:rPr>
      <w:lang w:val="bg-BG" w:eastAsia="bg-BG" w:bidi="bg-BG"/>
    </w:rPr>
  </w:style>
  <w:style w:type="character" w:customStyle="1" w:styleId="ju-005fpara--char">
    <w:name w:val="ju-005fpara--char"/>
    <w:basedOn w:val="DefaultParagraphFont"/>
    <w:rsid w:val="00A25BB2"/>
  </w:style>
  <w:style w:type="paragraph" w:styleId="NormalWeb">
    <w:name w:val="Normal (Web)"/>
    <w:basedOn w:val="Normal"/>
    <w:semiHidden/>
    <w:unhideWhenUsed/>
    <w:rsid w:val="00E63216"/>
    <w:rPr>
      <w:szCs w:val="24"/>
    </w:rPr>
  </w:style>
  <w:style w:type="character" w:customStyle="1" w:styleId="HeaderChar">
    <w:name w:val="Header Char"/>
    <w:basedOn w:val="DefaultParagraphFont"/>
    <w:link w:val="Header"/>
    <w:uiPriority w:val="99"/>
    <w:rsid w:val="00BE1D8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7406">
      <w:bodyDiv w:val="1"/>
      <w:marLeft w:val="0"/>
      <w:marRight w:val="0"/>
      <w:marTop w:val="0"/>
      <w:marBottom w:val="0"/>
      <w:divBdr>
        <w:top w:val="none" w:sz="0" w:space="0" w:color="auto"/>
        <w:left w:val="none" w:sz="0" w:space="0" w:color="auto"/>
        <w:bottom w:val="none" w:sz="0" w:space="0" w:color="auto"/>
        <w:right w:val="none" w:sz="0" w:space="0" w:color="auto"/>
      </w:divBdr>
    </w:div>
    <w:div w:id="5675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12637</Words>
  <Characters>72036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2016-05-27T08:34:00Z</dcterms:created>
  <dcterms:modified xsi:type="dcterms:W3CDTF">2016-05-27T08:34:00Z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