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7D" w:rsidRDefault="00B2287D" w:rsidP="00287FA5">
      <w:pPr>
        <w:jc w:val="right"/>
        <w:rPr>
          <w:i/>
          <w:u w:val="single"/>
        </w:rPr>
      </w:pPr>
    </w:p>
    <w:p w:rsidR="00B2287D" w:rsidRDefault="00B2287D" w:rsidP="00287FA5">
      <w:pPr>
        <w:jc w:val="right"/>
        <w:rPr>
          <w:i/>
          <w:u w:val="single"/>
        </w:rPr>
      </w:pPr>
    </w:p>
    <w:p w:rsidR="000D0FBE" w:rsidRPr="00287FA5" w:rsidRDefault="00287FA5" w:rsidP="00287FA5">
      <w:pPr>
        <w:jc w:val="right"/>
        <w:rPr>
          <w:i/>
          <w:u w:val="single"/>
        </w:rPr>
      </w:pPr>
      <w:r>
        <w:rPr>
          <w:i/>
          <w:u w:val="single"/>
        </w:rPr>
        <w:t>Превод от английски език</w:t>
      </w:r>
    </w:p>
    <w:p w:rsidR="000D0FBE" w:rsidRPr="00FA41BB" w:rsidRDefault="000D0FBE" w:rsidP="00B2287D">
      <w:pPr>
        <w:rPr>
          <w:b/>
        </w:rPr>
      </w:pPr>
    </w:p>
    <w:p w:rsidR="000D0FBE" w:rsidRPr="00FA41BB" w:rsidRDefault="000D0FBE" w:rsidP="000D0FBE">
      <w:pPr>
        <w:jc w:val="center"/>
      </w:pPr>
      <w:r>
        <w:t>ЧЕТВЪРТО ОТДЕЛЕНИЕ</w:t>
      </w:r>
    </w:p>
    <w:p w:rsidR="000D0FBE" w:rsidRPr="00FA41BB" w:rsidRDefault="000D0FBE" w:rsidP="000D0FBE">
      <w:pPr>
        <w:jc w:val="center"/>
        <w:rPr>
          <w:b/>
        </w:rPr>
      </w:pPr>
      <w:bookmarkStart w:id="0" w:name="To"/>
    </w:p>
    <w:p w:rsidR="000D0FBE" w:rsidRDefault="000D0FBE" w:rsidP="000D0FBE">
      <w:pPr>
        <w:jc w:val="center"/>
        <w:rPr>
          <w:b/>
        </w:rPr>
      </w:pPr>
    </w:p>
    <w:p w:rsidR="000D0FBE" w:rsidRPr="00FA41BB" w:rsidRDefault="000D0FBE" w:rsidP="00287FA5">
      <w:pPr>
        <w:rPr>
          <w:b/>
        </w:rPr>
      </w:pPr>
    </w:p>
    <w:p w:rsidR="0096287A" w:rsidRDefault="000D0FBE" w:rsidP="000D0FBE">
      <w:pPr>
        <w:jc w:val="center"/>
        <w:rPr>
          <w:b/>
        </w:rPr>
      </w:pPr>
      <w:r>
        <w:rPr>
          <w:b/>
        </w:rPr>
        <w:t xml:space="preserve">ДЕЛО </w:t>
      </w:r>
      <w:bookmarkEnd w:id="0"/>
      <w:r>
        <w:rPr>
          <w:b/>
        </w:rPr>
        <w:t>ÜNSPED PAKET SERVİSİ SAN. VE TİC. A.Ş</w:t>
      </w:r>
      <w:r w:rsidR="0096287A">
        <w:rPr>
          <w:b/>
        </w:rPr>
        <w:t>.</w:t>
      </w:r>
    </w:p>
    <w:p w:rsidR="000D0FBE" w:rsidRPr="00FA41BB" w:rsidRDefault="000D0FBE" w:rsidP="000D0FBE">
      <w:pPr>
        <w:jc w:val="center"/>
        <w:rPr>
          <w:b/>
        </w:rPr>
      </w:pPr>
      <w:r>
        <w:rPr>
          <w:b/>
        </w:rPr>
        <w:t>СРЕЩУ БЪЛГАРИЯ</w:t>
      </w:r>
    </w:p>
    <w:p w:rsidR="000D0FBE" w:rsidRPr="00FA41BB" w:rsidRDefault="000D0FBE" w:rsidP="000D0FBE">
      <w:pPr>
        <w:jc w:val="center"/>
        <w:rPr>
          <w:b/>
        </w:rPr>
      </w:pPr>
    </w:p>
    <w:p w:rsidR="000D0FBE" w:rsidRPr="00FA41BB" w:rsidRDefault="000D0FBE" w:rsidP="000D0FBE">
      <w:pPr>
        <w:jc w:val="center"/>
        <w:rPr>
          <w:i/>
        </w:rPr>
      </w:pPr>
      <w:r>
        <w:rPr>
          <w:i/>
        </w:rPr>
        <w:t xml:space="preserve">(Жалба </w:t>
      </w:r>
      <w:r>
        <w:rPr>
          <w:i/>
          <w:cs/>
        </w:rPr>
        <w:t xml:space="preserve">№ </w:t>
      </w:r>
      <w:r>
        <w:rPr>
          <w:i/>
        </w:rPr>
        <w:t>3503/08)</w:t>
      </w:r>
    </w:p>
    <w:p w:rsidR="000D0FBE" w:rsidRPr="00FA41BB" w:rsidRDefault="000D0FBE" w:rsidP="000D0FBE">
      <w:pPr>
        <w:jc w:val="center"/>
        <w:rPr>
          <w:b/>
        </w:rPr>
      </w:pPr>
    </w:p>
    <w:p w:rsidR="000D0FBE" w:rsidRPr="00FA41BB" w:rsidRDefault="000D0FBE" w:rsidP="00EA2131"/>
    <w:p w:rsidR="000D0FBE" w:rsidRPr="00FA41BB" w:rsidRDefault="000D0FBE" w:rsidP="000D0FBE">
      <w:pPr>
        <w:jc w:val="center"/>
      </w:pPr>
      <w:r>
        <w:t>РЕШЕНИЕ</w:t>
      </w:r>
    </w:p>
    <w:p w:rsidR="000D0FBE" w:rsidRPr="00FA41BB" w:rsidRDefault="000D0FBE" w:rsidP="000D0FBE">
      <w:pPr>
        <w:jc w:val="center"/>
        <w:rPr>
          <w:i/>
        </w:rPr>
      </w:pPr>
      <w:r>
        <w:rPr>
          <w:i/>
        </w:rPr>
        <w:t>(</w:t>
      </w:r>
      <w:r w:rsidR="00A276F3">
        <w:rPr>
          <w:i/>
        </w:rPr>
        <w:t>по същество</w:t>
      </w:r>
      <w:r>
        <w:rPr>
          <w:i/>
        </w:rPr>
        <w:t>)</w:t>
      </w:r>
    </w:p>
    <w:p w:rsidR="000D0FBE" w:rsidRDefault="000D0FBE" w:rsidP="000D0FBE">
      <w:pPr>
        <w:jc w:val="center"/>
      </w:pPr>
    </w:p>
    <w:p w:rsidR="000D0FBE" w:rsidRPr="00FA41BB" w:rsidRDefault="000D0FBE" w:rsidP="000D0FBE">
      <w:pPr>
        <w:jc w:val="center"/>
      </w:pPr>
    </w:p>
    <w:p w:rsidR="000D0FBE" w:rsidRPr="00FA41BB" w:rsidRDefault="000D0FBE" w:rsidP="000D0FBE">
      <w:pPr>
        <w:jc w:val="center"/>
      </w:pPr>
    </w:p>
    <w:p w:rsidR="000D0FBE" w:rsidRPr="00FA41BB" w:rsidRDefault="000D0FBE" w:rsidP="000D0FBE">
      <w:pPr>
        <w:jc w:val="center"/>
      </w:pPr>
      <w:r>
        <w:t>СТРАСБУРГ</w:t>
      </w:r>
    </w:p>
    <w:p w:rsidR="000D0FBE" w:rsidRPr="00FA41BB" w:rsidRDefault="000D0FBE" w:rsidP="000D0FBE">
      <w:pPr>
        <w:jc w:val="center"/>
      </w:pPr>
    </w:p>
    <w:p w:rsidR="000D0FBE" w:rsidRPr="00FA41BB" w:rsidRDefault="000D0FBE" w:rsidP="000D0FBE">
      <w:pPr>
        <w:jc w:val="center"/>
      </w:pPr>
      <w:r>
        <w:t>13 октомври 2015 г.</w:t>
      </w:r>
    </w:p>
    <w:p w:rsidR="000D0FBE" w:rsidRDefault="000D0FBE" w:rsidP="000D0FBE">
      <w:pPr>
        <w:jc w:val="center"/>
      </w:pPr>
    </w:p>
    <w:p w:rsidR="000D0FBE" w:rsidRPr="00FA41BB" w:rsidRDefault="000D0FBE" w:rsidP="000D0FBE">
      <w:pPr>
        <w:jc w:val="center"/>
      </w:pPr>
    </w:p>
    <w:p w:rsidR="000D0FBE" w:rsidRPr="00FA41BB" w:rsidRDefault="000D0FBE" w:rsidP="000D0FBE">
      <w:pPr>
        <w:jc w:val="center"/>
      </w:pPr>
    </w:p>
    <w:p w:rsidR="000D0FBE" w:rsidRPr="000F52BF" w:rsidRDefault="000D0FBE" w:rsidP="000D0FBE">
      <w:pPr>
        <w:jc w:val="left"/>
        <w:rPr>
          <w:i/>
        </w:rPr>
      </w:pPr>
      <w:r>
        <w:rPr>
          <w:i/>
        </w:rPr>
        <w:t>Това решение ще стане окончателно при условията на чл. 44, ал. 2 от Конвенцията. Може да бъде предмет на редакционни промени.</w:t>
      </w:r>
    </w:p>
    <w:p w:rsidR="000D0FBE" w:rsidRDefault="000D0FBE" w:rsidP="000D0FBE">
      <w:pPr>
        <w:pStyle w:val="JuCase"/>
        <w:sectPr w:rsidR="000D0FBE" w:rsidSect="00B228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1531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D0FBE" w:rsidRPr="00FA41BB" w:rsidRDefault="000D0FBE" w:rsidP="000D0FBE">
      <w:pPr>
        <w:pStyle w:val="JuCase"/>
        <w:rPr>
          <w:bCs/>
        </w:rPr>
      </w:pPr>
      <w:r>
        <w:lastRenderedPageBreak/>
        <w:t xml:space="preserve">По делото на </w:t>
      </w:r>
      <w:proofErr w:type="spellStart"/>
      <w:r>
        <w:t>Ünsped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TiC</w:t>
      </w:r>
      <w:proofErr w:type="spellEnd"/>
      <w:r>
        <w:t>. A.Ş. срещу България</w:t>
      </w:r>
    </w:p>
    <w:p w:rsidR="000D0FBE" w:rsidRPr="00A276F3" w:rsidRDefault="000D0FBE" w:rsidP="000D0FBE">
      <w:pPr>
        <w:pStyle w:val="ECHRPara"/>
      </w:pPr>
      <w:r>
        <w:t>Европейският съд по правата на човека (Четвърто отделение), заседаващ в състав, състоящ се от следните лица:</w:t>
      </w:r>
    </w:p>
    <w:p w:rsidR="000D0FBE" w:rsidRPr="00FA41BB" w:rsidRDefault="000D0FBE" w:rsidP="000D0FBE">
      <w:pPr>
        <w:pStyle w:val="ECHRDecisionBody"/>
      </w:pPr>
      <w:r>
        <w:tab/>
      </w:r>
      <w:proofErr w:type="spellStart"/>
      <w:r>
        <w:t>Гуидо</w:t>
      </w:r>
      <w:proofErr w:type="spellEnd"/>
      <w:r>
        <w:t xml:space="preserve"> </w:t>
      </w:r>
      <w:proofErr w:type="spellStart"/>
      <w:r>
        <w:t>Раймонди</w:t>
      </w:r>
      <w:proofErr w:type="spellEnd"/>
      <w:r>
        <w:t xml:space="preserve"> (</w:t>
      </w:r>
      <w:proofErr w:type="spellStart"/>
      <w:r>
        <w:t>Guido</w:t>
      </w:r>
      <w:proofErr w:type="spellEnd"/>
      <w:r>
        <w:t xml:space="preserve"> </w:t>
      </w:r>
      <w:proofErr w:type="spellStart"/>
      <w:r>
        <w:t>Raimondi</w:t>
      </w:r>
      <w:proofErr w:type="spellEnd"/>
      <w:r>
        <w:t xml:space="preserve">), </w:t>
      </w:r>
      <w:r>
        <w:rPr>
          <w:i/>
        </w:rPr>
        <w:t>Председател,,</w:t>
      </w:r>
      <w:r>
        <w:br/>
      </w:r>
      <w:r>
        <w:tab/>
      </w:r>
      <w:proofErr w:type="spellStart"/>
      <w:r>
        <w:t>Пейви</w:t>
      </w:r>
      <w:proofErr w:type="spellEnd"/>
      <w:r>
        <w:t xml:space="preserve"> </w:t>
      </w:r>
      <w:proofErr w:type="spellStart"/>
      <w:r>
        <w:t>Хирвеле</w:t>
      </w:r>
      <w:proofErr w:type="spellEnd"/>
      <w:r>
        <w:t xml:space="preserve"> (</w:t>
      </w:r>
      <w:proofErr w:type="spellStart"/>
      <w:r>
        <w:t>Päivi</w:t>
      </w:r>
      <w:proofErr w:type="spellEnd"/>
      <w:r>
        <w:t xml:space="preserve"> </w:t>
      </w:r>
      <w:proofErr w:type="spellStart"/>
      <w:r>
        <w:t>Hirvelä</w:t>
      </w:r>
      <w:proofErr w:type="spellEnd"/>
      <w:r>
        <w:t>),</w:t>
      </w:r>
      <w:r>
        <w:br/>
      </w:r>
      <w:r>
        <w:tab/>
        <w:t xml:space="preserve">Георге </w:t>
      </w:r>
      <w:proofErr w:type="spellStart"/>
      <w:r>
        <w:t>Николау</w:t>
      </w:r>
      <w:proofErr w:type="spellEnd"/>
      <w:r>
        <w:t xml:space="preserve"> (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Nicolaou</w:t>
      </w:r>
      <w:proofErr w:type="spellEnd"/>
      <w:r>
        <w:t>),</w:t>
      </w:r>
      <w:r>
        <w:br/>
      </w:r>
      <w:r>
        <w:tab/>
        <w:t xml:space="preserve">Нона </w:t>
      </w:r>
      <w:proofErr w:type="spellStart"/>
      <w:r>
        <w:t>Цоцориа</w:t>
      </w:r>
      <w:proofErr w:type="spellEnd"/>
      <w:r>
        <w:t xml:space="preserve"> (</w:t>
      </w:r>
      <w:proofErr w:type="spellStart"/>
      <w:r>
        <w:t>Nona</w:t>
      </w:r>
      <w:proofErr w:type="spellEnd"/>
      <w:r>
        <w:t xml:space="preserve"> </w:t>
      </w:r>
      <w:proofErr w:type="spellStart"/>
      <w:r>
        <w:t>Tsotsoria</w:t>
      </w:r>
      <w:proofErr w:type="spellEnd"/>
      <w:r>
        <w:t>),</w:t>
      </w:r>
      <w:r>
        <w:br/>
      </w:r>
      <w:r>
        <w:tab/>
      </w:r>
      <w:proofErr w:type="spellStart"/>
      <w:r>
        <w:t>Кшищоф</w:t>
      </w:r>
      <w:proofErr w:type="spellEnd"/>
      <w:r>
        <w:t xml:space="preserve"> </w:t>
      </w:r>
      <w:proofErr w:type="spellStart"/>
      <w:r>
        <w:t>Войтичек</w:t>
      </w:r>
      <w:proofErr w:type="spellEnd"/>
      <w:r>
        <w:t xml:space="preserve"> (</w:t>
      </w:r>
      <w:proofErr w:type="spellStart"/>
      <w:r>
        <w:t>Krzysztof</w:t>
      </w:r>
      <w:proofErr w:type="spellEnd"/>
      <w:r>
        <w:t xml:space="preserve"> </w:t>
      </w:r>
      <w:proofErr w:type="spellStart"/>
      <w:r>
        <w:t>Wojtyczek</w:t>
      </w:r>
      <w:proofErr w:type="spellEnd"/>
      <w:r>
        <w:t>),</w:t>
      </w:r>
      <w: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br/>
      </w:r>
      <w:r>
        <w:tab/>
        <w:t>Йонко Грозев (</w:t>
      </w:r>
      <w:proofErr w:type="spellStart"/>
      <w:r>
        <w:t>Yonko</w:t>
      </w:r>
      <w:proofErr w:type="spellEnd"/>
      <w:r>
        <w:t xml:space="preserve"> </w:t>
      </w:r>
      <w:proofErr w:type="spellStart"/>
      <w:r>
        <w:t>Grozev</w:t>
      </w:r>
      <w:proofErr w:type="spellEnd"/>
      <w:r>
        <w:t>),</w:t>
      </w:r>
      <w:r>
        <w:rPr>
          <w:i/>
        </w:rPr>
        <w:t xml:space="preserve"> съдии,</w:t>
      </w:r>
      <w:r>
        <w:br/>
        <w:t xml:space="preserve">и </w:t>
      </w:r>
      <w:proofErr w:type="spellStart"/>
      <w:r>
        <w:t>Фатош</w:t>
      </w:r>
      <w:proofErr w:type="spellEnd"/>
      <w:r>
        <w:t xml:space="preserve"> </w:t>
      </w:r>
      <w:proofErr w:type="spellStart"/>
      <w:r>
        <w:t>Араджъ</w:t>
      </w:r>
      <w:proofErr w:type="spellEnd"/>
      <w:r>
        <w:t xml:space="preserve"> (</w:t>
      </w:r>
      <w:proofErr w:type="spellStart"/>
      <w:r>
        <w:t>Fatoş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), </w:t>
      </w:r>
      <w:r>
        <w:rPr>
          <w:i/>
        </w:rPr>
        <w:t>секретар на отделението,</w:t>
      </w:r>
    </w:p>
    <w:p w:rsidR="000D0FBE" w:rsidRPr="00FA41BB" w:rsidRDefault="000D0FBE" w:rsidP="000D0FBE">
      <w:pPr>
        <w:pStyle w:val="ECHRPara"/>
      </w:pPr>
      <w:r>
        <w:t>След закрито заседание, проведено на 22 септември 2015 г.,</w:t>
      </w:r>
    </w:p>
    <w:p w:rsidR="000D0FBE" w:rsidRPr="00FA41BB" w:rsidRDefault="000D0FBE" w:rsidP="000D0FBE">
      <w:pPr>
        <w:pStyle w:val="ECHRPara"/>
      </w:pPr>
      <w:r>
        <w:t>Постановява следното решение, прието на същата дата:</w:t>
      </w:r>
    </w:p>
    <w:p w:rsidR="000D0FBE" w:rsidRPr="00FA41BB" w:rsidRDefault="000D0FBE" w:rsidP="000D0FBE">
      <w:pPr>
        <w:pStyle w:val="ECHRTitle1"/>
      </w:pPr>
      <w:r>
        <w:t>ПРОЦЕДУРА</w:t>
      </w:r>
    </w:p>
    <w:p w:rsidR="000D0FBE" w:rsidRPr="00FA41BB" w:rsidRDefault="000D0FBE" w:rsidP="000D0FBE">
      <w:pPr>
        <w:pStyle w:val="ECHRPara"/>
      </w:pPr>
      <w:fldSimple w:instr=" SEQ level0 \*arabic \r1 ">
        <w:r>
          <w:t>1</w:t>
        </w:r>
      </w:fldSimple>
      <w:r>
        <w:t>.  Делото е образувано по жалба (</w:t>
      </w:r>
      <w:r>
        <w:rPr>
          <w:cs/>
        </w:rPr>
        <w:t xml:space="preserve">№ </w:t>
      </w:r>
      <w:r>
        <w:t xml:space="preserve">3503/08) срещу Република България, подадена в Съда на основание чл. 34 от Конвенцията за защита на правата на човека и основните свободи ("Конвенцията") от </w:t>
      </w:r>
      <w:proofErr w:type="spellStart"/>
      <w:r>
        <w:t>Ünsped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TiC</w:t>
      </w:r>
      <w:proofErr w:type="spellEnd"/>
      <w:r>
        <w:t>. A.Ş. ("дружеството жалбоподател"), турско дружество, на 16 януари 2008 г.</w:t>
      </w:r>
    </w:p>
    <w:p w:rsidR="000D0FBE" w:rsidRPr="00FA41BB" w:rsidRDefault="000D0FBE" w:rsidP="000D0FBE">
      <w:pPr>
        <w:pStyle w:val="ECHRPara"/>
      </w:pPr>
      <w:fldSimple w:instr=" SEQ level0 \*arabic ">
        <w:r>
          <w:t>2</w:t>
        </w:r>
      </w:fldSimple>
      <w:r>
        <w:t>.  Дружеств</w:t>
      </w:r>
      <w:r w:rsidR="00B2287D">
        <w:t>ото-</w:t>
      </w:r>
      <w:r>
        <w:t>жалбоподател е представлявано от г-н М. Октай, адвокат, практикуващ в Истанбул. Българското правителство (</w:t>
      </w:r>
      <w:r>
        <w:rPr>
          <w:cs/>
        </w:rPr>
        <w:t>„</w:t>
      </w:r>
      <w:r>
        <w:t>Правителството</w:t>
      </w:r>
      <w:r>
        <w:rPr>
          <w:cs/>
        </w:rPr>
        <w:t>”</w:t>
      </w:r>
      <w:r>
        <w:t>) се представлява от правителствения агент г-жа М. Димова от Министерство на правосъдието.</w:t>
      </w:r>
    </w:p>
    <w:p w:rsidR="000D0FBE" w:rsidRPr="00FA41BB" w:rsidRDefault="000D0FBE" w:rsidP="000D0FBE">
      <w:pPr>
        <w:pStyle w:val="ECHRPara"/>
      </w:pPr>
      <w:fldSimple w:instr=" SEQ level0 \*arabic ">
        <w:r>
          <w:t>3</w:t>
        </w:r>
      </w:fldSimple>
      <w:r>
        <w:t>.  Дружеството</w:t>
      </w:r>
      <w:r w:rsidR="00B2287D">
        <w:t>-</w:t>
      </w:r>
      <w:r>
        <w:t>жалбоподател се оплаква по-конкретно от отнемане на неговия камион в производство, по което то не е страна.</w:t>
      </w:r>
    </w:p>
    <w:p w:rsidR="000D0FBE" w:rsidRPr="00FA41BB" w:rsidRDefault="000D0FBE" w:rsidP="000D0FBE">
      <w:pPr>
        <w:pStyle w:val="ECHRPara"/>
      </w:pPr>
      <w:fldSimple w:instr=" SEQ level0 \*arabic ">
        <w:r>
          <w:t>4</w:t>
        </w:r>
      </w:fldSimple>
      <w:r>
        <w:t xml:space="preserve">.  На 2 юли 2013 г. жалбата е </w:t>
      </w:r>
      <w:r w:rsidR="00864E56">
        <w:t xml:space="preserve">комуникирана </w:t>
      </w:r>
      <w:r>
        <w:t>на Правителството.</w:t>
      </w:r>
    </w:p>
    <w:p w:rsidR="000D0FBE" w:rsidRPr="00FA41BB" w:rsidRDefault="000D0FBE" w:rsidP="000D0FBE">
      <w:pPr>
        <w:pStyle w:val="ECHRPara"/>
      </w:pPr>
      <w:fldSimple w:instr=" SEQ level0 \*arabic ">
        <w:r>
          <w:t>5</w:t>
        </w:r>
      </w:fldSimple>
      <w:r>
        <w:t xml:space="preserve">.  На 8 юли 2013 г. турското </w:t>
      </w:r>
      <w:r w:rsidR="00864E56">
        <w:t>п</w:t>
      </w:r>
      <w:r>
        <w:t>равителство е информирано за правото си да вземе участие в производството в съответствие с чл. 36, § 1 от Конвенцията и чл. 44 § 1 от Правилника на Съда. То избира да не се възползва от това право.</w:t>
      </w:r>
    </w:p>
    <w:p w:rsidR="000D0FBE" w:rsidRPr="00FA41BB" w:rsidRDefault="000D0FBE" w:rsidP="000D0FBE">
      <w:pPr>
        <w:pStyle w:val="ECHRTitle1"/>
      </w:pPr>
      <w:r>
        <w:t>ФАКТИТЕ</w:t>
      </w:r>
    </w:p>
    <w:p w:rsidR="000D0FBE" w:rsidRPr="00FA41BB" w:rsidRDefault="000D0FBE" w:rsidP="000D0FBE">
      <w:pPr>
        <w:pStyle w:val="ECHRHeading1"/>
      </w:pPr>
      <w:r>
        <w:t>I.  ОБСТОЯТЕЛСТВА ПО ДЕЛОТО</w:t>
      </w:r>
    </w:p>
    <w:p w:rsidR="000D0FBE" w:rsidRPr="00FA41BB" w:rsidRDefault="000D0FBE" w:rsidP="000D0FBE">
      <w:pPr>
        <w:pStyle w:val="ECHRPara"/>
      </w:pPr>
      <w:fldSimple w:instr=" SEQ level0 \*arabic ">
        <w:r>
          <w:t>6</w:t>
        </w:r>
      </w:fldSimple>
      <w:r>
        <w:t>.  Дру</w:t>
      </w:r>
      <w:r w:rsidR="000F67BD">
        <w:t>жеството-</w:t>
      </w:r>
      <w:r>
        <w:t xml:space="preserve">жалбоподател се занимава с логистични услуги. На 23 юни 2007 г. един от камионите на дружеството е спрян за проверка </w:t>
      </w:r>
      <w:r>
        <w:lastRenderedPageBreak/>
        <w:t xml:space="preserve">на митница Ямбол. Българските власти откриват и изземат следните вещества от кабината и ремаркето: 500 060 таблетки (на обща стойност от </w:t>
      </w:r>
      <w:r w:rsidR="00B2287D">
        <w:t>24 </w:t>
      </w:r>
      <w:r>
        <w:t>584</w:t>
      </w:r>
      <w:r w:rsidR="00B2287D">
        <w:t>.</w:t>
      </w:r>
      <w:r>
        <w:t xml:space="preserve">2 български лева (BGN) или 12 200 евро (EUR)); 3 564 грама бели таблетки (на обща стойност от около 40 EUR), които включват </w:t>
      </w:r>
      <w:proofErr w:type="spellStart"/>
      <w:r>
        <w:t>ефедрин</w:t>
      </w:r>
      <w:proofErr w:type="spellEnd"/>
      <w:r>
        <w:t xml:space="preserve"> </w:t>
      </w:r>
      <w:proofErr w:type="spellStart"/>
      <w:r>
        <w:t>хидрохлорид</w:t>
      </w:r>
      <w:proofErr w:type="spellEnd"/>
      <w:r>
        <w:t xml:space="preserve">, и 6 880 хапчета, които включват тестостерон </w:t>
      </w:r>
      <w:proofErr w:type="spellStart"/>
      <w:r>
        <w:t>енантат</w:t>
      </w:r>
      <w:proofErr w:type="spellEnd"/>
      <w:r>
        <w:t xml:space="preserve"> (на обща стойност от около 15 000 </w:t>
      </w:r>
      <w:r w:rsidR="000F67BD">
        <w:rPr>
          <w:lang w:val="en-US"/>
        </w:rPr>
        <w:t>EUR</w:t>
      </w:r>
      <w:r>
        <w:t xml:space="preserve">). Камионът също е иззет като веществено доказателство. </w:t>
      </w:r>
      <w:r w:rsidR="00E11348">
        <w:t xml:space="preserve">Образувано </w:t>
      </w:r>
      <w:r>
        <w:t>е наказателно производство срещу шофьора на камиона.</w:t>
      </w:r>
    </w:p>
    <w:p w:rsidR="000D0FBE" w:rsidRPr="00FA41BB" w:rsidRDefault="000D0FBE" w:rsidP="000D0FBE">
      <w:pPr>
        <w:pStyle w:val="ECHRPara"/>
      </w:pPr>
      <w:fldSimple w:instr=" SEQ level0 \*arabic ">
        <w:r>
          <w:t>7</w:t>
        </w:r>
      </w:fldSimple>
      <w:r>
        <w:t xml:space="preserve">.  На 26 юни 2007 г. </w:t>
      </w:r>
      <w:r w:rsidR="000F67BD">
        <w:t>дружеството-</w:t>
      </w:r>
      <w:r>
        <w:t>жалбоподател иска от Окръжна прокуратура - Ямбол да</w:t>
      </w:r>
      <w:r w:rsidR="00864E56">
        <w:t xml:space="preserve"> му</w:t>
      </w:r>
      <w:r>
        <w:t xml:space="preserve"> върне </w:t>
      </w:r>
      <w:r w:rsidR="00864E56">
        <w:t>камиона</w:t>
      </w:r>
      <w:r>
        <w:t>. Прокурорът отхвърля искането с мотива, че камионът трябва да бъде задържан като веществено доказателство до края на наказателното производство (</w:t>
      </w:r>
      <w:r w:rsidR="00E80A1D">
        <w:t>виж</w:t>
      </w:r>
      <w:r>
        <w:t xml:space="preserve"> параграф 23 по-долу).</w:t>
      </w:r>
    </w:p>
    <w:p w:rsidR="000D0FBE" w:rsidRPr="00FA41BB" w:rsidRDefault="000D0FBE" w:rsidP="000D0FBE">
      <w:pPr>
        <w:pStyle w:val="ECHRPara"/>
      </w:pPr>
      <w:fldSimple w:instr=" SEQ level0 \*arabic ">
        <w:r>
          <w:t>8</w:t>
        </w:r>
      </w:fldSimple>
      <w:r>
        <w:t xml:space="preserve">.  На 3 август 2007 г. </w:t>
      </w:r>
      <w:r w:rsidR="00F04B3A">
        <w:t>дружеството-</w:t>
      </w:r>
      <w:r>
        <w:t xml:space="preserve">жалбоподател отново се обръща към Окръжна прокуратура - Ямбол с молба камионът да бъде върнат в съответствие с чл. 111 от Наказателно-процесуалния кодекс. По-конкретно, </w:t>
      </w:r>
      <w:r w:rsidR="00F04B3A">
        <w:t>дружеството-</w:t>
      </w:r>
      <w:r>
        <w:t xml:space="preserve">жалбоподател твърди, че: не е имало скрито отделение в камиона; водачът е злоупотребил с положението си; задържането на камиона вече не е оправдано, тъй като </w:t>
      </w:r>
      <w:proofErr w:type="spellStart"/>
      <w:r>
        <w:t>криминалистична</w:t>
      </w:r>
      <w:proofErr w:type="spellEnd"/>
      <w:r>
        <w:t xml:space="preserve"> експертиза вече е била изготвена; стойността на камиона (около 83 000 EUR) е над три пъти повече от стойността на </w:t>
      </w:r>
      <w:r w:rsidR="004E52BE">
        <w:t>веществата</w:t>
      </w:r>
      <w:r w:rsidR="00864E56">
        <w:t xml:space="preserve"> </w:t>
      </w:r>
      <w:r>
        <w:t>и затова камионът не може да бъде отнет в съответствие с чл. 242</w:t>
      </w:r>
      <w:r w:rsidR="004E52BE">
        <w:t>, ал.</w:t>
      </w:r>
      <w:r>
        <w:t xml:space="preserve"> 8 от Наказателния кодекс (</w:t>
      </w:r>
      <w:r w:rsidR="00E80A1D">
        <w:t>вижте</w:t>
      </w:r>
      <w:r>
        <w:t xml:space="preserve"> параграф 16 по-долу); и накрая, дружеството претърпява сериозни загуби поради изземването на камиона. По време на това искане делото вече не е в прокуратурата, тъй като е било </w:t>
      </w:r>
      <w:r w:rsidR="004B78E7">
        <w:t>изпратено на</w:t>
      </w:r>
      <w:r>
        <w:t xml:space="preserve"> съд</w:t>
      </w:r>
      <w:r w:rsidR="00864E56">
        <w:t>а</w:t>
      </w:r>
      <w:r>
        <w:t>, така че Окръжна прокуратура - Ямбол не отговаря на искането.</w:t>
      </w:r>
    </w:p>
    <w:p w:rsidR="000D0FBE" w:rsidRPr="00FA41BB" w:rsidRDefault="000D0FBE" w:rsidP="000D0FBE">
      <w:pPr>
        <w:pStyle w:val="ECHRPara"/>
      </w:pPr>
      <w:fldSimple w:instr=" SEQ level0 \*arabic ">
        <w:r>
          <w:t>9</w:t>
        </w:r>
      </w:fldSimple>
      <w:r>
        <w:t>.  Междувременно шофьорът на камиона сключва споразумение с прокур</w:t>
      </w:r>
      <w:r w:rsidR="00864E56">
        <w:t>атурата</w:t>
      </w:r>
      <w:r>
        <w:t>. Условията на споразумението включват една година и половина лишаване от свобода за шофьора и отнемане на камиона.</w:t>
      </w:r>
    </w:p>
    <w:p w:rsidR="000D0FBE" w:rsidRPr="00FA41BB" w:rsidRDefault="000D0FBE" w:rsidP="000D0FBE">
      <w:pPr>
        <w:pStyle w:val="ECHRPara"/>
      </w:pPr>
      <w:fldSimple w:instr=" SEQ level0 \*arabic ">
        <w:r>
          <w:t>10</w:t>
        </w:r>
      </w:fldSimple>
      <w:r>
        <w:t xml:space="preserve">.  На 8 август 2007 г. </w:t>
      </w:r>
      <w:r w:rsidR="00F04B3A">
        <w:t>дружеството-</w:t>
      </w:r>
      <w:r>
        <w:t>жалбоподател иска от съд</w:t>
      </w:r>
      <w:r w:rsidR="00F95F08">
        <w:t>а</w:t>
      </w:r>
      <w:r>
        <w:t xml:space="preserve">, компетентен да одобри споразумението за решаване на делото, да не отнема неговия камион. </w:t>
      </w:r>
      <w:r w:rsidR="00F04B3A">
        <w:t>Дружеството-</w:t>
      </w:r>
      <w:r>
        <w:t xml:space="preserve">жалбоподател подчертава по-конкретно своята невъзможност да участва в наказателното производство срещу шофьора и да заяви своята позиция. Освен това то посочва, </w:t>
      </w:r>
      <w:r w:rsidR="00F04B3A">
        <w:t>че тъ</w:t>
      </w:r>
      <w:r>
        <w:t xml:space="preserve">й като стойността на неговия камион е три пъти по-висока от стойността на контрабандните стоки, съгласно съответното национално законодателство превозното средство не трябва да бъде </w:t>
      </w:r>
      <w:r w:rsidR="00C06171">
        <w:t xml:space="preserve">отнемано в полза на държавата </w:t>
      </w:r>
      <w:r>
        <w:t>(</w:t>
      </w:r>
      <w:r w:rsidR="00E80A1D">
        <w:t>вижте</w:t>
      </w:r>
      <w:r>
        <w:t xml:space="preserve"> параграф 16 по-долу).</w:t>
      </w:r>
    </w:p>
    <w:p w:rsidR="000D0FBE" w:rsidRPr="00FA41BB" w:rsidRDefault="000D0FBE" w:rsidP="000D0FBE">
      <w:pPr>
        <w:pStyle w:val="ECHRPara"/>
      </w:pPr>
      <w:fldSimple w:instr=" SEQ level0 \*arabic ">
        <w:r>
          <w:t>11</w:t>
        </w:r>
      </w:fldSimple>
      <w:r>
        <w:t>.  На 14 август 2007 г. Окръжен съд - Ямбол потвърждава  споразумението за решаване на делото в съответствие с чл. 382</w:t>
      </w:r>
      <w:r w:rsidR="00BC02EE">
        <w:t>, ал.</w:t>
      </w:r>
      <w:r>
        <w:t xml:space="preserve"> 7 от Наказателно-процесуалния кодекс (</w:t>
      </w:r>
      <w:r w:rsidR="00E80A1D">
        <w:t>виж</w:t>
      </w:r>
      <w:r>
        <w:t xml:space="preserve"> параграф 22 по-долу)</w:t>
      </w:r>
      <w:r w:rsidR="00864E56">
        <w:t>.</w:t>
      </w:r>
      <w:r>
        <w:t xml:space="preserve"> В рамките на споразумението шофьорът признава, че е виновен за контрабандата по чл. 242</w:t>
      </w:r>
      <w:r w:rsidR="00BC02EE">
        <w:t xml:space="preserve">, ал. </w:t>
      </w:r>
      <w:r>
        <w:t>1</w:t>
      </w:r>
      <w:r w:rsidR="00BC02EE">
        <w:t>,</w:t>
      </w:r>
      <w:r>
        <w:t xml:space="preserve"> (г) и 242</w:t>
      </w:r>
      <w:r w:rsidR="00BC02EE">
        <w:t xml:space="preserve">, ал. </w:t>
      </w:r>
      <w:r>
        <w:t xml:space="preserve"> 3 от Наказателния кодекс </w:t>
      </w:r>
      <w:r>
        <w:lastRenderedPageBreak/>
        <w:t>и приема отнемането на превозените наркотици и камиона по силата на чл. 242</w:t>
      </w:r>
      <w:r w:rsidR="00BC02EE">
        <w:t xml:space="preserve">, ал. </w:t>
      </w:r>
      <w:r>
        <w:t xml:space="preserve"> 7 и </w:t>
      </w:r>
      <w:r w:rsidR="00BC02EE">
        <w:t xml:space="preserve">ал. </w:t>
      </w:r>
      <w:r>
        <w:t xml:space="preserve">8 от Наказателния кодекс. Решението не подлежи на обжалване и влиза в сила </w:t>
      </w:r>
      <w:r w:rsidR="00BC02EE">
        <w:t xml:space="preserve">в </w:t>
      </w:r>
      <w:r>
        <w:t>същия ден.</w:t>
      </w:r>
    </w:p>
    <w:p w:rsidR="000D0FBE" w:rsidRPr="00FA41BB" w:rsidRDefault="000D0FBE" w:rsidP="000D0FBE">
      <w:pPr>
        <w:pStyle w:val="ECHRPara"/>
      </w:pPr>
      <w:fldSimple w:instr=" SEQ level0 \*arabic ">
        <w:r>
          <w:t>12</w:t>
        </w:r>
      </w:fldSimple>
      <w:r>
        <w:t xml:space="preserve">.  На 26 май 2008 г. </w:t>
      </w:r>
      <w:r w:rsidR="00F04B3A">
        <w:t>дружеството-</w:t>
      </w:r>
      <w:r>
        <w:t>жалбоподател предявява иск пред Втора правоприлагаща служба на Истанбул ("Службата") срещу шофьора на камиона, търсейки обезщетение. Службата установява, че шофьорът е длъжен да заплати 110 116</w:t>
      </w:r>
      <w:r w:rsidR="00F04B3A">
        <w:t>.</w:t>
      </w:r>
      <w:r>
        <w:t xml:space="preserve">75 EUR </w:t>
      </w:r>
      <w:r w:rsidR="00F04B3A">
        <w:t>на дружеството-</w:t>
      </w:r>
      <w:r>
        <w:t xml:space="preserve">жалбоподател за вредите, които неговите действия са причинили. </w:t>
      </w:r>
      <w:r w:rsidR="00F04B3A">
        <w:t>Въпреки това дружеството-</w:t>
      </w:r>
      <w:r>
        <w:t xml:space="preserve">жалбоподател не успява да вземе каквато и да било част от тази сума, тъй като шофьорът на камиона няма </w:t>
      </w:r>
      <w:r w:rsidR="00864E56">
        <w:t>средства</w:t>
      </w:r>
      <w:r>
        <w:t xml:space="preserve"> към момента.</w:t>
      </w:r>
    </w:p>
    <w:p w:rsidR="000D0FBE" w:rsidRPr="00FA41BB" w:rsidRDefault="000D0FBE" w:rsidP="000D0FBE">
      <w:pPr>
        <w:pStyle w:val="ECHRHeading1"/>
      </w:pPr>
      <w:r>
        <w:t>II.  ПРИЛОЖИМО ВЪТРЕШНО ПРАВО И ПРАКТИКА</w:t>
      </w:r>
    </w:p>
    <w:p w:rsidR="000D0FBE" w:rsidRPr="00FA41BB" w:rsidRDefault="000D0FBE" w:rsidP="000D0FBE">
      <w:pPr>
        <w:pStyle w:val="ECHRHeading2"/>
      </w:pPr>
      <w:r>
        <w:t>A. Наказателна отговорност и контрабанда</w:t>
      </w:r>
    </w:p>
    <w:p w:rsidR="000D0FBE" w:rsidRPr="00FA41BB" w:rsidRDefault="000D0FBE" w:rsidP="000D0FBE">
      <w:pPr>
        <w:pStyle w:val="ECHRHeading3"/>
      </w:pPr>
      <w:r>
        <w:t>Наказателен кодекс</w:t>
      </w:r>
    </w:p>
    <w:p w:rsidR="000D0FBE" w:rsidRPr="00FA41BB" w:rsidRDefault="000D0FBE" w:rsidP="000D0FBE">
      <w:pPr>
        <w:pStyle w:val="ECHRPara"/>
      </w:pPr>
      <w:fldSimple w:instr=" SEQ level0 \*arabic ">
        <w:r>
          <w:t>13</w:t>
        </w:r>
      </w:fldSimple>
      <w:r>
        <w:t>.  Чл. 35 гласи, че наказателната отговорност е лична. Наказание може да се наложи само на лице, извършило предвидено в закона престъпление. Наказанието е съответно на престъплението и се налага само от съд.</w:t>
      </w:r>
    </w:p>
    <w:p w:rsidR="000D0FBE" w:rsidRPr="00FA41BB" w:rsidRDefault="000D0FBE" w:rsidP="000D0FBE">
      <w:pPr>
        <w:pStyle w:val="ECHRPara"/>
      </w:pPr>
      <w:fldSimple w:instr=" SEQ level0 \*arabic ">
        <w:r>
          <w:t>14</w:t>
        </w:r>
      </w:fldSimple>
      <w:r>
        <w:t>.  Член 242</w:t>
      </w:r>
      <w:r w:rsidR="001B6F75">
        <w:t xml:space="preserve">, ал. </w:t>
      </w:r>
      <w:r>
        <w:t>1</w:t>
      </w:r>
      <w:r w:rsidR="001B6F75">
        <w:t>,</w:t>
      </w:r>
      <w:r>
        <w:t xml:space="preserve"> (</w:t>
      </w:r>
      <w:r w:rsidR="006B51E2">
        <w:t>д</w:t>
      </w:r>
      <w:r>
        <w:t>) гласи, че лице, което пренесе през границите на</w:t>
      </w:r>
      <w:r w:rsidR="006B51E2">
        <w:t xml:space="preserve"> страната </w:t>
      </w:r>
      <w:r>
        <w:t>стоки</w:t>
      </w:r>
      <w:r w:rsidR="006B51E2" w:rsidRPr="006B51E2">
        <w:t xml:space="preserve"> </w:t>
      </w:r>
      <w:r w:rsidR="006B51E2">
        <w:t>за търговски или производствени цели в големи размери</w:t>
      </w:r>
      <w:r>
        <w:t xml:space="preserve">, </w:t>
      </w:r>
      <w:r w:rsidR="006B51E2">
        <w:t>без знанието и разрешението на митниците</w:t>
      </w:r>
      <w:r>
        <w:t>, носи отговорност за престъплението квалифицирана контрабанда, което се наказва с до десет години лишаване от свобода и глоба от 20 000 до 100</w:t>
      </w:r>
      <w:r w:rsidR="005B7F9B">
        <w:t> </w:t>
      </w:r>
      <w:r>
        <w:t>000</w:t>
      </w:r>
      <w:r w:rsidR="005B7F9B">
        <w:t xml:space="preserve"> лева.</w:t>
      </w:r>
    </w:p>
    <w:p w:rsidR="000D0FBE" w:rsidRPr="00C175D5" w:rsidRDefault="000D0FBE" w:rsidP="000D0FBE">
      <w:pPr>
        <w:pStyle w:val="ECHRPara"/>
      </w:pPr>
      <w:fldSimple w:instr=" SEQ level0 \*arabic ">
        <w:r>
          <w:t>15</w:t>
        </w:r>
      </w:fldSimple>
      <w:r>
        <w:t>.  Чл. 242</w:t>
      </w:r>
      <w:r w:rsidR="001B6F75">
        <w:t xml:space="preserve">, ал. </w:t>
      </w:r>
      <w:r>
        <w:t xml:space="preserve">3 гласи, че пренасянето през границата на страната на </w:t>
      </w:r>
      <w:proofErr w:type="spellStart"/>
      <w:r>
        <w:t>прекурсори</w:t>
      </w:r>
      <w:proofErr w:type="spellEnd"/>
      <w:r>
        <w:t xml:space="preserve"> или съоръжения и материали за производство на наркотични вещества е престъпление, което се наказва с лишаване от свобода от две до десет години и глоба от 50 000 до 100 000 </w:t>
      </w:r>
      <w:r w:rsidR="005B7F9B">
        <w:t>лева.</w:t>
      </w:r>
    </w:p>
    <w:p w:rsidR="000D0FBE" w:rsidRPr="00FA41BB" w:rsidRDefault="000D0FBE" w:rsidP="000D0FBE">
      <w:pPr>
        <w:pStyle w:val="ECHRHeading2"/>
      </w:pPr>
      <w:r>
        <w:t>Б. Отнемане на имущество, което не принадлежи на дееца</w:t>
      </w:r>
    </w:p>
    <w:p w:rsidR="000D0FBE" w:rsidRPr="00FA41BB" w:rsidRDefault="000D0FBE" w:rsidP="000D0FBE">
      <w:pPr>
        <w:pStyle w:val="ECHRHeading3"/>
      </w:pPr>
      <w:r>
        <w:t>Наказателен кодекс</w:t>
      </w:r>
    </w:p>
    <w:p w:rsidR="000D0FBE" w:rsidRPr="00FA41BB" w:rsidRDefault="000D0FBE" w:rsidP="000D0FBE">
      <w:pPr>
        <w:pStyle w:val="ECHRPara"/>
      </w:pPr>
      <w:fldSimple w:instr=" SEQ level0 \*arabic ">
        <w:r>
          <w:t>16</w:t>
        </w:r>
      </w:fldSimple>
      <w:r>
        <w:t>.  Чл. 242</w:t>
      </w:r>
      <w:r w:rsidR="004626D3">
        <w:t xml:space="preserve">, ал. </w:t>
      </w:r>
      <w:r>
        <w:t>8 гласи, че превозното средство, послужило за превозването  през границите на държавата на</w:t>
      </w:r>
      <w:r w:rsidR="00F04B3A" w:rsidRPr="00A276F3">
        <w:t xml:space="preserve"> </w:t>
      </w:r>
      <w:r w:rsidR="00F04B3A">
        <w:t>контрабандните стоки</w:t>
      </w:r>
      <w:r>
        <w:t>, се отнема в полза на държавата и когато не е собственост на дееца, освен ако стойността на превозното средство явно не съответства на тежестта на престъплението.</w:t>
      </w:r>
    </w:p>
    <w:p w:rsidR="000D0FBE" w:rsidRPr="00FA41BB" w:rsidRDefault="000D0FBE" w:rsidP="000D0FBE">
      <w:pPr>
        <w:pStyle w:val="ECHRPara"/>
      </w:pPr>
      <w:fldSimple w:instr=" SEQ level0 \*arabic ">
        <w:r>
          <w:t>17</w:t>
        </w:r>
      </w:fldSimple>
      <w:r>
        <w:t>.  В редица дела, предявени или от осъденото лице, или от прокурора, националните съдилища разглеждат пропорционалността на отнемането на превозното средство, което принадлежи на трето лице и е било използван</w:t>
      </w:r>
      <w:r w:rsidR="006B51E2">
        <w:t>о</w:t>
      </w:r>
      <w:r>
        <w:t xml:space="preserve"> в извършването на престъпление. Те стигат до </w:t>
      </w:r>
      <w:r>
        <w:lastRenderedPageBreak/>
        <w:t xml:space="preserve">заключението, че в много случаи отнемането не е било оправдано (реш. </w:t>
      </w:r>
      <w:r>
        <w:rPr>
          <w:cs/>
        </w:rPr>
        <w:t xml:space="preserve">№ </w:t>
      </w:r>
      <w:r>
        <w:t xml:space="preserve">274 от 20 декември 2008 по в.н.о.х.д. </w:t>
      </w:r>
      <w:r>
        <w:rPr>
          <w:cs/>
        </w:rPr>
        <w:t>№</w:t>
      </w:r>
      <w:r>
        <w:t xml:space="preserve"> 560/2008, ПАС; реш. </w:t>
      </w:r>
      <w:r>
        <w:rPr>
          <w:cs/>
        </w:rPr>
        <w:t xml:space="preserve">№ </w:t>
      </w:r>
      <w:r>
        <w:t xml:space="preserve">163 от 3 април 2009 по к.н.д. </w:t>
      </w:r>
      <w:r>
        <w:rPr>
          <w:cs/>
        </w:rPr>
        <w:t xml:space="preserve">№ </w:t>
      </w:r>
      <w:r>
        <w:t xml:space="preserve">130/2009, ВКС, I н.о.; реш. </w:t>
      </w:r>
      <w:r>
        <w:rPr>
          <w:cs/>
        </w:rPr>
        <w:t xml:space="preserve">№ </w:t>
      </w:r>
      <w:r>
        <w:t xml:space="preserve">298 от 5 януари 2009 по в.н.о.х.д. </w:t>
      </w:r>
      <w:r>
        <w:rPr>
          <w:cs/>
        </w:rPr>
        <w:t xml:space="preserve">№ </w:t>
      </w:r>
      <w:r>
        <w:t xml:space="preserve">590/2008, ПАС; реш. </w:t>
      </w:r>
      <w:r>
        <w:rPr>
          <w:cs/>
        </w:rPr>
        <w:t xml:space="preserve">№ </w:t>
      </w:r>
      <w:r>
        <w:t xml:space="preserve">215 от 11 май 2012 по н.д. </w:t>
      </w:r>
      <w:r>
        <w:rPr>
          <w:cs/>
        </w:rPr>
        <w:t xml:space="preserve">№ </w:t>
      </w:r>
      <w:r>
        <w:t xml:space="preserve">1742б2011, III н.о., НК; реш. </w:t>
      </w:r>
      <w:r>
        <w:rPr>
          <w:cs/>
        </w:rPr>
        <w:t xml:space="preserve">№ </w:t>
      </w:r>
      <w:r>
        <w:t xml:space="preserve">152 от 21 ноември 2008 по в.н.о.х.д. </w:t>
      </w:r>
      <w:r>
        <w:rPr>
          <w:cs/>
        </w:rPr>
        <w:t xml:space="preserve">№ </w:t>
      </w:r>
      <w:r>
        <w:t xml:space="preserve">211/2008, БАС; и реш. </w:t>
      </w:r>
      <w:r>
        <w:rPr>
          <w:cs/>
        </w:rPr>
        <w:t>№</w:t>
      </w:r>
      <w:r>
        <w:t xml:space="preserve"> 215 от 11 май 2012 по н.д. </w:t>
      </w:r>
      <w:r>
        <w:rPr>
          <w:cs/>
        </w:rPr>
        <w:t xml:space="preserve">№ </w:t>
      </w:r>
      <w:r>
        <w:t>174/2011, III н.о., НК).</w:t>
      </w:r>
    </w:p>
    <w:p w:rsidR="000D0FBE" w:rsidRPr="00FA41BB" w:rsidRDefault="000D0FBE" w:rsidP="000D0FBE">
      <w:pPr>
        <w:pStyle w:val="ECHRPara"/>
      </w:pPr>
      <w:fldSimple w:instr=" SEQ level0 \*arabic ">
        <w:r>
          <w:t>18</w:t>
        </w:r>
      </w:fldSimple>
      <w:r>
        <w:t>.  Що се отнася конкретно до смисъла, който националните съдилища дават за квалифициращото изключение на задължителното отнемане по чл. 242</w:t>
      </w:r>
      <w:r w:rsidR="004B0D03">
        <w:t xml:space="preserve">, ал. </w:t>
      </w:r>
      <w:r>
        <w:t xml:space="preserve"> 8 от Наказателния кодекс, което е че "стойността на превозното средство явно не съответства на тежестта на престъплението", той е уточнен в редица решения (</w:t>
      </w:r>
      <w:r w:rsidR="00E80A1D">
        <w:t>виж</w:t>
      </w:r>
      <w:r>
        <w:t xml:space="preserve"> по-конкретно реш. </w:t>
      </w:r>
      <w:r>
        <w:rPr>
          <w:cs/>
        </w:rPr>
        <w:t xml:space="preserve">№ </w:t>
      </w:r>
      <w:r>
        <w:t xml:space="preserve">496 от 1 декември 2010 по н.д. </w:t>
      </w:r>
      <w:r>
        <w:rPr>
          <w:cs/>
        </w:rPr>
        <w:t xml:space="preserve">№ </w:t>
      </w:r>
      <w:r>
        <w:t xml:space="preserve">471/2010, ВКС, I н.о.; реш. </w:t>
      </w:r>
      <w:r>
        <w:rPr>
          <w:cs/>
        </w:rPr>
        <w:t xml:space="preserve">№ </w:t>
      </w:r>
      <w:r>
        <w:t xml:space="preserve">54 от 6 февруари 2009 по н.д. </w:t>
      </w:r>
      <w:r>
        <w:rPr>
          <w:cs/>
        </w:rPr>
        <w:t>№</w:t>
      </w:r>
      <w:r>
        <w:t xml:space="preserve"> 625/2008, ВКС, II н.о.; и реш. </w:t>
      </w:r>
      <w:r>
        <w:rPr>
          <w:cs/>
        </w:rPr>
        <w:t xml:space="preserve">№ </w:t>
      </w:r>
      <w:r>
        <w:t xml:space="preserve">150 от 5 юли 2012 по в.н.о.х.д. </w:t>
      </w:r>
      <w:r>
        <w:rPr>
          <w:cs/>
        </w:rPr>
        <w:t>№</w:t>
      </w:r>
      <w:r>
        <w:t xml:space="preserve"> 129/2012, </w:t>
      </w:r>
      <w:proofErr w:type="spellStart"/>
      <w:r>
        <w:t>ВтАС</w:t>
      </w:r>
      <w:proofErr w:type="spellEnd"/>
      <w:r>
        <w:t>). Въпреки че не е разработен последователен стандарт по този въпрос, националните съдилища са установили, че "стойността на превозното средство явно превишава стойността на транспортираните стоки", когато стойността на превозното средство варира между това да е минимално по-висока, почти половината по-висока, до 10</w:t>
      </w:r>
      <w:r w:rsidR="00416A84">
        <w:t>.</w:t>
      </w:r>
      <w:r>
        <w:t xml:space="preserve">7 пъти по-висока от транспортираните стоки. Когато стигат до такова заключение, съдилищата отменят отнемането на въпросните превозни средства като </w:t>
      </w:r>
      <w:r w:rsidR="0031567A">
        <w:t>противоречащо на разпоредбата на чл</w:t>
      </w:r>
      <w:r>
        <w:t>. 242</w:t>
      </w:r>
      <w:r w:rsidR="00BA6243">
        <w:t>, ал.</w:t>
      </w:r>
      <w:r w:rsidR="0031567A">
        <w:t xml:space="preserve"> </w:t>
      </w:r>
      <w:r>
        <w:t>8 от Наказателния кодекс, а превозните средства с</w:t>
      </w:r>
      <w:r w:rsidR="0031567A">
        <w:t>е</w:t>
      </w:r>
      <w:r>
        <w:t xml:space="preserve"> вр</w:t>
      </w:r>
      <w:r w:rsidR="0031567A">
        <w:t>ъщат</w:t>
      </w:r>
      <w:r>
        <w:t xml:space="preserve"> на собствениците им.</w:t>
      </w:r>
    </w:p>
    <w:p w:rsidR="000D0FBE" w:rsidRPr="00FA41BB" w:rsidRDefault="000D0FBE" w:rsidP="000D0FBE">
      <w:pPr>
        <w:pStyle w:val="ECHRPara"/>
      </w:pPr>
      <w:fldSimple w:instr=" SEQ level0 \*arabic ">
        <w:r>
          <w:t>19</w:t>
        </w:r>
      </w:fldSimple>
      <w:r>
        <w:t>.  В някои други дела (</w:t>
      </w:r>
      <w:r w:rsidR="00E80A1D">
        <w:t>виж</w:t>
      </w:r>
      <w:r>
        <w:t xml:space="preserve"> реш. </w:t>
      </w:r>
      <w:r>
        <w:rPr>
          <w:cs/>
        </w:rPr>
        <w:t xml:space="preserve">№ </w:t>
      </w:r>
      <w:r>
        <w:t xml:space="preserve">67 от 19 март 2009 по в.н.о.х.д. </w:t>
      </w:r>
      <w:r>
        <w:rPr>
          <w:cs/>
        </w:rPr>
        <w:t>№</w:t>
      </w:r>
      <w:r>
        <w:t xml:space="preserve"> 59/2013, ПАС, и реш. </w:t>
      </w:r>
      <w:r>
        <w:rPr>
          <w:cs/>
        </w:rPr>
        <w:t xml:space="preserve">№ </w:t>
      </w:r>
      <w:r>
        <w:t xml:space="preserve">54 от 6 февруари 2009 по н.д. </w:t>
      </w:r>
      <w:r>
        <w:rPr>
          <w:cs/>
        </w:rPr>
        <w:t xml:space="preserve">№ </w:t>
      </w:r>
      <w:r>
        <w:t xml:space="preserve">625/2008, ВКС, II н.ом) националните съдилища приемат, че в допълнение към стойността на превозното средство и на контрабандните стоки, при определяне дали да се </w:t>
      </w:r>
      <w:r w:rsidR="00E7140B">
        <w:t>постанови</w:t>
      </w:r>
      <w:r>
        <w:t xml:space="preserve"> отнемане на превозното средство по силата на чл. 242</w:t>
      </w:r>
      <w:r w:rsidR="00FE2A42">
        <w:t>, ал.</w:t>
      </w:r>
      <w:r w:rsidR="0031567A">
        <w:t xml:space="preserve"> </w:t>
      </w:r>
      <w:r>
        <w:t xml:space="preserve">8 от Наказателния кодекс, съдилища трябва да вземат предвид също така </w:t>
      </w:r>
      <w:r w:rsidR="0031567A">
        <w:t xml:space="preserve">обществената </w:t>
      </w:r>
      <w:r>
        <w:t>опасност</w:t>
      </w:r>
      <w:r w:rsidR="0031567A">
        <w:t xml:space="preserve"> на деянието и дееца</w:t>
      </w:r>
      <w:r>
        <w:t>.</w:t>
      </w:r>
    </w:p>
    <w:p w:rsidR="000D0FBE" w:rsidRPr="00FA41BB" w:rsidRDefault="000D0FBE" w:rsidP="000D0FBE">
      <w:pPr>
        <w:pStyle w:val="ECHRPara"/>
      </w:pPr>
      <w:fldSimple w:instr=" SEQ level0 \*arabic ">
        <w:r>
          <w:t>20</w:t>
        </w:r>
      </w:fldSimple>
      <w:r>
        <w:t>.  Независимо от това, в редица други дела (</w:t>
      </w:r>
      <w:r w:rsidR="00E80A1D">
        <w:t>вижте</w:t>
      </w:r>
      <w:r>
        <w:t xml:space="preserve"> реш. </w:t>
      </w:r>
      <w:r>
        <w:rPr>
          <w:cs/>
        </w:rPr>
        <w:t xml:space="preserve">№ </w:t>
      </w:r>
      <w:r>
        <w:t xml:space="preserve">540 от 4 януари 2010 по н.д. </w:t>
      </w:r>
      <w:r>
        <w:rPr>
          <w:cs/>
        </w:rPr>
        <w:t xml:space="preserve">№ </w:t>
      </w:r>
      <w:r>
        <w:t xml:space="preserve">635/2009, ВКС, II н.о.; реш. </w:t>
      </w:r>
      <w:r>
        <w:rPr>
          <w:cs/>
        </w:rPr>
        <w:t xml:space="preserve">№ </w:t>
      </w:r>
      <w:r>
        <w:t xml:space="preserve">226 от 4 декември 2013 по в.н.о.х.д. </w:t>
      </w:r>
      <w:r>
        <w:rPr>
          <w:cs/>
        </w:rPr>
        <w:t xml:space="preserve">№ </w:t>
      </w:r>
      <w:r>
        <w:t xml:space="preserve">442/2013, ПАС; реш. </w:t>
      </w:r>
      <w:r>
        <w:rPr>
          <w:cs/>
        </w:rPr>
        <w:t xml:space="preserve">№ </w:t>
      </w:r>
      <w:r>
        <w:t xml:space="preserve">72 от 12 февруари 2014 по в.ч.н.д. </w:t>
      </w:r>
      <w:r>
        <w:rPr>
          <w:cs/>
        </w:rPr>
        <w:t xml:space="preserve">№ </w:t>
      </w:r>
      <w:r>
        <w:t xml:space="preserve">15/2014, ПАС; реш. </w:t>
      </w:r>
      <w:r>
        <w:rPr>
          <w:cs/>
        </w:rPr>
        <w:t xml:space="preserve">№ </w:t>
      </w:r>
      <w:r>
        <w:t xml:space="preserve">527 от 29 декември 2008 по н.д. </w:t>
      </w:r>
      <w:r>
        <w:rPr>
          <w:cs/>
        </w:rPr>
        <w:t xml:space="preserve">№ </w:t>
      </w:r>
      <w:r>
        <w:t xml:space="preserve">554/2008, ВКС, II н.о.; и реш. </w:t>
      </w:r>
      <w:r>
        <w:rPr>
          <w:cs/>
        </w:rPr>
        <w:t xml:space="preserve">№ </w:t>
      </w:r>
      <w:r>
        <w:t xml:space="preserve">202 от 20 декември 2012 по в.н.о.х.д. </w:t>
      </w:r>
      <w:r>
        <w:rPr>
          <w:cs/>
        </w:rPr>
        <w:t xml:space="preserve">№ </w:t>
      </w:r>
      <w:r>
        <w:t>241/2012, БАС) националните съдилища не вземат предвид каквито и да било други аспекти, свързани с тежестта на престъплението, освен стойността на превозното средство и стоките. В тези случаи, като стойността на превозното средство е по-ниска от тази на контрабандните стоки, съдилищата установяват, че няма основания за отм</w:t>
      </w:r>
      <w:r w:rsidR="00E7140B">
        <w:t xml:space="preserve">яна </w:t>
      </w:r>
      <w:r>
        <w:t>на отнемането съгласно чл. 242</w:t>
      </w:r>
      <w:r w:rsidR="004E2EA3">
        <w:t xml:space="preserve">, ал. </w:t>
      </w:r>
      <w:r>
        <w:t>8 от Наказателния кодекс.</w:t>
      </w:r>
    </w:p>
    <w:p w:rsidR="000D0FBE" w:rsidRPr="00FA41BB" w:rsidRDefault="000D0FBE" w:rsidP="000D0FBE">
      <w:pPr>
        <w:pStyle w:val="ECHRHeading2"/>
      </w:pPr>
      <w:r>
        <w:lastRenderedPageBreak/>
        <w:t>В. Отнемане на имущество, което принадлежи на дееца</w:t>
      </w:r>
    </w:p>
    <w:p w:rsidR="000D0FBE" w:rsidRPr="00FA41BB" w:rsidRDefault="000D0FBE" w:rsidP="000D0FBE">
      <w:pPr>
        <w:pStyle w:val="ECHRHeading3"/>
      </w:pPr>
      <w:r>
        <w:t>Наказателен кодекс</w:t>
      </w:r>
    </w:p>
    <w:p w:rsidR="000D0FBE" w:rsidRPr="00FA41BB" w:rsidRDefault="000D0FBE" w:rsidP="000D0FBE">
      <w:pPr>
        <w:pStyle w:val="ECHRPara"/>
      </w:pPr>
      <w:fldSimple w:instr=" SEQ level0 \*arabic ">
        <w:r>
          <w:t>21</w:t>
        </w:r>
      </w:fldSimple>
      <w:r>
        <w:t xml:space="preserve">.  По силата на редица разпоредби на Наказателния кодекс, държавата може да отнема вещи, при условие че те принадлежат на </w:t>
      </w:r>
      <w:r w:rsidR="00E7140B">
        <w:t>дееца.</w:t>
      </w:r>
      <w:r>
        <w:t xml:space="preserve"> По-конкретно, чл. 44 съдържа обща разпоредба, свързана с отнемане на имущество на </w:t>
      </w:r>
      <w:r w:rsidR="005C7A6B">
        <w:t>дееца</w:t>
      </w:r>
      <w:r>
        <w:t xml:space="preserve">; чл. 53, § 1 (а) гласи, че независимо от наказателната отговорност на извършителя, вещите, които </w:t>
      </w:r>
      <w:r w:rsidR="00E7140B">
        <w:t xml:space="preserve">му </w:t>
      </w:r>
      <w:r>
        <w:t>принадлежат</w:t>
      </w:r>
      <w:r w:rsidR="00E7140B">
        <w:t>,</w:t>
      </w:r>
      <w:r>
        <w:t xml:space="preserve"> предназначени или послужили за извършване на престъплението, се отнемат, а чл. 280, § 3 гласи, че превозното средство, които е послужило за превоз на едно или повече лица през границите на държавата без разрешение или чрез места, които не</w:t>
      </w:r>
      <w:r w:rsidR="002B04B6">
        <w:t xml:space="preserve"> са</w:t>
      </w:r>
      <w:r>
        <w:t xml:space="preserve"> определени за тази цел, се отнема, ако то принадлежи на </w:t>
      </w:r>
      <w:r w:rsidR="005C7A6B">
        <w:t>дееца</w:t>
      </w:r>
      <w:r>
        <w:t>.</w:t>
      </w:r>
    </w:p>
    <w:p w:rsidR="000D0FBE" w:rsidRPr="00FA41BB" w:rsidRDefault="000D0FBE" w:rsidP="000D0FBE">
      <w:pPr>
        <w:pStyle w:val="ECHRHeading2"/>
      </w:pPr>
      <w:r>
        <w:t>Г. Споразумение за решаване на делото</w:t>
      </w:r>
    </w:p>
    <w:p w:rsidR="000D0FBE" w:rsidRPr="00FA41BB" w:rsidRDefault="000D0FBE" w:rsidP="000D0FBE">
      <w:pPr>
        <w:pStyle w:val="ECHRHeading3"/>
      </w:pPr>
      <w:r>
        <w:t>Наказателно-процесуален кодекс</w:t>
      </w:r>
    </w:p>
    <w:p w:rsidR="000D0FBE" w:rsidRPr="00FA41BB" w:rsidRDefault="000D0FBE" w:rsidP="000D0FBE">
      <w:pPr>
        <w:pStyle w:val="ECHRPara"/>
      </w:pPr>
      <w:fldSimple w:instr=" SEQ level0 \*arabic ">
        <w:r>
          <w:t>22</w:t>
        </w:r>
      </w:fldSimple>
      <w:r>
        <w:t>.  </w:t>
      </w:r>
      <w:hyperlink r:id="rId14" w:tooltip="Препратки" w:history="1"/>
      <w:r w:rsidR="001934C3">
        <w:t xml:space="preserve">Съгласно </w:t>
      </w:r>
      <w:r>
        <w:t xml:space="preserve">чл. 381, след приключване на разследването по предложение на прокурора или на </w:t>
      </w:r>
      <w:r w:rsidR="001934C3">
        <w:t>защитника</w:t>
      </w:r>
      <w:r>
        <w:t xml:space="preserve"> може да бъде изготвено споразумение за решаване на делото. Чл. 382 гласи, че споразумението, ако е взаимно приемливо, се </w:t>
      </w:r>
      <w:r w:rsidR="001934C3">
        <w:t xml:space="preserve">одобрява </w:t>
      </w:r>
      <w:r>
        <w:t xml:space="preserve">от съдия в рамките на седем дни от </w:t>
      </w:r>
      <w:r w:rsidR="001934C3">
        <w:t xml:space="preserve">внасянето </w:t>
      </w:r>
      <w:r>
        <w:t xml:space="preserve">му </w:t>
      </w:r>
      <w:r w:rsidR="001934C3">
        <w:t xml:space="preserve">в съда, </w:t>
      </w:r>
      <w:r>
        <w:t>на заседание в присъствието на прокурора, защит</w:t>
      </w:r>
      <w:r w:rsidR="001934C3">
        <w:t>ника</w:t>
      </w:r>
      <w:r>
        <w:t xml:space="preserve"> и обвиняемия. След като съдът установи, че обвиняемият разбира обвинението, признава своята вина, разбира последиците от споразумението и ги приема и се е съгласил с всичко</w:t>
      </w:r>
      <w:r w:rsidR="00FA00A8">
        <w:t xml:space="preserve"> </w:t>
      </w:r>
      <w:r>
        <w:t>доброволно, той одобрява споразумението, ако то не противоречи на закона и</w:t>
      </w:r>
      <w:r w:rsidR="00FA00A8">
        <w:t xml:space="preserve"> морала</w:t>
      </w:r>
      <w:r>
        <w:t xml:space="preserve">. Решението на съда може да се обжалва. </w:t>
      </w:r>
      <w:hyperlink r:id="rId15" w:tooltip="Препратки" w:history="1"/>
      <w:r>
        <w:t>Според чл. 383, одобреното от съда споразумение за решаване на делото има последиците на влязла в сила присъда.</w:t>
      </w:r>
    </w:p>
    <w:p w:rsidR="000D0FBE" w:rsidRPr="00FA41BB" w:rsidRDefault="000D0FBE" w:rsidP="000D0FBE">
      <w:pPr>
        <w:pStyle w:val="ECHRHeading2"/>
      </w:pPr>
      <w:r>
        <w:t>Д. Задържане на веществени доказателства по време на наказателното производство</w:t>
      </w:r>
    </w:p>
    <w:p w:rsidR="000D0FBE" w:rsidRPr="00FA41BB" w:rsidRDefault="000D0FBE" w:rsidP="000D0FBE">
      <w:pPr>
        <w:pStyle w:val="ECHRHeading3"/>
      </w:pPr>
      <w:r>
        <w:t>Наказателно-процесуален кодекс</w:t>
      </w:r>
    </w:p>
    <w:p w:rsidR="000D0FBE" w:rsidRPr="00FA41BB" w:rsidRDefault="000D0FBE" w:rsidP="000D0FBE">
      <w:pPr>
        <w:pStyle w:val="ECHRPara"/>
      </w:pPr>
      <w:fldSimple w:instr=" SEQ level0 \*arabic ">
        <w:r>
          <w:t>23</w:t>
        </w:r>
      </w:fldSimple>
      <w:r>
        <w:t xml:space="preserve">.  Чл. 111 гласи, че веществените доказателства се пазят, докато завърши наказателното производство. Те може да бъдат върнати на </w:t>
      </w:r>
      <w:proofErr w:type="spellStart"/>
      <w:r>
        <w:t>правоимащите</w:t>
      </w:r>
      <w:proofErr w:type="spellEnd"/>
      <w:r>
        <w:t xml:space="preserve"> по-рано, ако това не пречи на установяването на фактите. Отказът на прокурора да върне доказателствата може да бъде обжалван пред съответния първоинстанционен съд, чието решение е окончателно.</w:t>
      </w:r>
    </w:p>
    <w:p w:rsidR="000D0FBE" w:rsidRPr="00FA41BB" w:rsidRDefault="000D0FBE" w:rsidP="000D0FBE">
      <w:pPr>
        <w:pStyle w:val="ECHRHeading2"/>
      </w:pPr>
      <w:r>
        <w:lastRenderedPageBreak/>
        <w:t>Е. Възобновяване на наказателно производство</w:t>
      </w:r>
    </w:p>
    <w:p w:rsidR="000D0FBE" w:rsidRPr="00FA41BB" w:rsidRDefault="000D0FBE" w:rsidP="000D0FBE">
      <w:pPr>
        <w:pStyle w:val="ECHRHeading3"/>
      </w:pPr>
      <w:r>
        <w:t>Наказателно-процесуален кодекс</w:t>
      </w:r>
    </w:p>
    <w:p w:rsidR="000D0FBE" w:rsidRPr="00FA41BB" w:rsidRDefault="000D0FBE" w:rsidP="000D0FBE">
      <w:pPr>
        <w:pStyle w:val="ECHRPara"/>
      </w:pPr>
      <w:fldSimple w:instr=" SEQ level0 \*arabic ">
        <w:r>
          <w:t>24</w:t>
        </w:r>
      </w:fldSimple>
      <w:r>
        <w:t>.  Прокурорът или осъден</w:t>
      </w:r>
      <w:r w:rsidR="00FA00A8">
        <w:t xml:space="preserve">ият </w:t>
      </w:r>
      <w:r>
        <w:t>мо</w:t>
      </w:r>
      <w:r w:rsidR="00FA00A8">
        <w:t>гат</w:t>
      </w:r>
      <w:r>
        <w:t xml:space="preserve"> да поискат възобновяване на производството</w:t>
      </w:r>
      <w:r w:rsidR="008C7A3B">
        <w:t xml:space="preserve">, съгласно </w:t>
      </w:r>
      <w:r>
        <w:t>чл. 420.</w:t>
      </w:r>
    </w:p>
    <w:p w:rsidR="000D0FBE" w:rsidRPr="00FA41BB" w:rsidRDefault="000D0FBE" w:rsidP="000D0FBE">
      <w:pPr>
        <w:pStyle w:val="ECHRHeading2"/>
      </w:pPr>
      <w:r>
        <w:t xml:space="preserve">Ж. </w:t>
      </w:r>
      <w:r w:rsidR="003F41FC">
        <w:t>Н</w:t>
      </w:r>
      <w:r>
        <w:t>епозволено увреждане</w:t>
      </w:r>
    </w:p>
    <w:p w:rsidR="000D0FBE" w:rsidRPr="00FA41BB" w:rsidRDefault="000D0FBE" w:rsidP="000D0FBE">
      <w:pPr>
        <w:pStyle w:val="ECHRHeading3"/>
      </w:pPr>
      <w:r>
        <w:t>Закон за задълженията и договорите</w:t>
      </w:r>
    </w:p>
    <w:p w:rsidR="000D0FBE" w:rsidRPr="00FA41BB" w:rsidRDefault="000D0FBE" w:rsidP="000D0FBE">
      <w:pPr>
        <w:pStyle w:val="ECHRPara"/>
      </w:pPr>
      <w:fldSimple w:instr=" SEQ level0 \*arabic ">
        <w:r>
          <w:t>25</w:t>
        </w:r>
      </w:fldSimple>
      <w:r>
        <w:t xml:space="preserve">.  Общите правила за непозволено увреждане са </w:t>
      </w:r>
      <w:r w:rsidR="00CE13A7">
        <w:t xml:space="preserve">уредени </w:t>
      </w:r>
      <w:r>
        <w:t xml:space="preserve">в чл. 45 до </w:t>
      </w:r>
      <w:r w:rsidR="00CE13A7">
        <w:t xml:space="preserve">чл. </w:t>
      </w:r>
      <w:r>
        <w:t>54 от Закона за задълженията и договорите за 1950 г. ("ЗЗД от 1950 г."). Чл. 45(1) гласи, че всеки е длъжен да поправи вредите, които виновно е причинил другиму.</w:t>
      </w:r>
    </w:p>
    <w:p w:rsidR="000D0FBE" w:rsidRPr="00FA41BB" w:rsidRDefault="000D0FBE" w:rsidP="000D0FBE">
      <w:pPr>
        <w:pStyle w:val="ECHRHeading2"/>
      </w:pPr>
      <w:r>
        <w:t xml:space="preserve">З. Възстановяване </w:t>
      </w:r>
      <w:r w:rsidR="00CE13A7">
        <w:t xml:space="preserve">на </w:t>
      </w:r>
      <w:r>
        <w:t xml:space="preserve">конфискувано имущество </w:t>
      </w:r>
      <w:r w:rsidR="00CE13A7">
        <w:t>по гражданско-правен ред</w:t>
      </w:r>
    </w:p>
    <w:p w:rsidR="000D0FBE" w:rsidRPr="00FA41BB" w:rsidRDefault="000D0FBE" w:rsidP="000D0FBE">
      <w:pPr>
        <w:pStyle w:val="ECHRHeading3"/>
      </w:pPr>
      <w:r>
        <w:t>Закон за собствеността</w:t>
      </w:r>
    </w:p>
    <w:p w:rsidR="000D0FBE" w:rsidRPr="00FA09E4" w:rsidRDefault="000D0FBE" w:rsidP="000D0FBE">
      <w:pPr>
        <w:pStyle w:val="ECHRPara"/>
      </w:pPr>
      <w:fldSimple w:instr=" SEQ level0 \*arabic ">
        <w:r>
          <w:t>26</w:t>
        </w:r>
      </w:fldSimple>
      <w:r>
        <w:t>.  Чл. 108 от Закона за собствеността от 1951 г. гласи, че собственикът може да иска своята вещ от всяко лице, което я владее или държи, без да има основание за това. Тълкувайки тази разпоредба в контекста на конфискувано имущество в наказателното производство, бившия</w:t>
      </w:r>
      <w:r w:rsidR="00CE13A7">
        <w:t>т</w:t>
      </w:r>
      <w:r>
        <w:t xml:space="preserve"> Върховен съд приема, че не е възможно да се оспори конфискация, наредена от наказателен съд, чрез иск по чл. 108 от Закона за собствеността (реш. </w:t>
      </w:r>
      <w:r>
        <w:rPr>
          <w:cs/>
        </w:rPr>
        <w:t xml:space="preserve">№ </w:t>
      </w:r>
      <w:r>
        <w:t xml:space="preserve">1184 от 9 май 1977 г. по гр. д. </w:t>
      </w:r>
      <w:r>
        <w:rPr>
          <w:cs/>
        </w:rPr>
        <w:t xml:space="preserve">№ </w:t>
      </w:r>
      <w:r>
        <w:t>2259/1976 г., ВС, I г. о.).</w:t>
      </w:r>
    </w:p>
    <w:p w:rsidR="000D0FBE" w:rsidRPr="00FA09E4" w:rsidRDefault="00CE13A7" w:rsidP="000D0FBE">
      <w:pPr>
        <w:pStyle w:val="ECHRTitle1"/>
      </w:pPr>
      <w:r>
        <w:t>ПРАВОТО</w:t>
      </w:r>
    </w:p>
    <w:p w:rsidR="000D0FBE" w:rsidRPr="00FA41BB" w:rsidRDefault="000D0FBE" w:rsidP="000D0FBE">
      <w:pPr>
        <w:pStyle w:val="ECHRHeading1"/>
      </w:pPr>
      <w:r>
        <w:t xml:space="preserve">I. ТВЪРДЕНИ НАРУШЕНИЯ НА ЧЛ. 1 ОТ ПРОТОКОЛ </w:t>
      </w:r>
      <w:r w:rsidR="00416A84" w:rsidRPr="00416A84">
        <w:rPr>
          <w:bCs w:val="0"/>
        </w:rPr>
        <w:t>№</w:t>
      </w:r>
      <w:r w:rsidR="00416A84">
        <w:t xml:space="preserve"> </w:t>
      </w:r>
      <w:r>
        <w:t>1 ОТ КОНВЕНЦИЯТА</w:t>
      </w:r>
    </w:p>
    <w:p w:rsidR="000D0FBE" w:rsidRPr="00FA41BB" w:rsidRDefault="000D0FBE" w:rsidP="000D0FBE">
      <w:pPr>
        <w:pStyle w:val="ECHRPara"/>
      </w:pPr>
      <w:fldSimple w:instr=" SEQ level0 \*arabic ">
        <w:r>
          <w:t>27</w:t>
        </w:r>
      </w:fldSimple>
      <w:r>
        <w:t>.  </w:t>
      </w:r>
      <w:r w:rsidR="00087484">
        <w:t>Дружеството-</w:t>
      </w:r>
      <w:r>
        <w:t xml:space="preserve">жалбоподател твърди, че конфискацията на неговия камион в производство, по което не е било страна, е нарушила правото му на мирно ползване на притежанията му, </w:t>
      </w:r>
      <w:r w:rsidR="00CF2DAF">
        <w:t>защитено от</w:t>
      </w:r>
      <w:r>
        <w:t xml:space="preserve"> чл. 1 от Протокол </w:t>
      </w:r>
      <w:r>
        <w:rPr>
          <w:cs/>
        </w:rPr>
        <w:t xml:space="preserve">№ </w:t>
      </w:r>
      <w:r>
        <w:t>1 към Конвенцията, който гласи следното:</w:t>
      </w:r>
    </w:p>
    <w:p w:rsidR="000D0FBE" w:rsidRPr="00FA41BB" w:rsidRDefault="000D0FBE">
      <w:pPr>
        <w:pStyle w:val="ECHRParaQuote"/>
      </w:pPr>
      <w:r>
        <w:t>"</w:t>
      </w:r>
      <w:proofErr w:type="spellStart"/>
      <w:r>
        <w:t>Βсяко</w:t>
      </w:r>
      <w:proofErr w:type="spellEnd"/>
      <w: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0D0FBE" w:rsidRPr="00FA41BB" w:rsidRDefault="000D0FBE" w:rsidP="000D0FBE">
      <w:pPr>
        <w:pStyle w:val="ECHRParaQuote"/>
      </w:pPr>
      <w:r>
        <w:lastRenderedPageBreak/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0D0FBE" w:rsidRPr="00FA41BB" w:rsidRDefault="000D0FBE" w:rsidP="000D0FBE">
      <w:pPr>
        <w:pStyle w:val="ECHRHeading2"/>
      </w:pPr>
      <w:r>
        <w:t>A.  Допустимост</w:t>
      </w:r>
    </w:p>
    <w:p w:rsidR="000D0FBE" w:rsidRPr="00FA41BB" w:rsidRDefault="000D0FBE" w:rsidP="000D0FBE">
      <w:pPr>
        <w:pStyle w:val="ECHRHeading3"/>
      </w:pPr>
      <w:r>
        <w:t>1.  Становища на страните</w:t>
      </w:r>
    </w:p>
    <w:p w:rsidR="000D0FBE" w:rsidRPr="00FA41BB" w:rsidRDefault="000D0FBE" w:rsidP="000D0FBE">
      <w:pPr>
        <w:pStyle w:val="ECHRPara"/>
      </w:pPr>
      <w:fldSimple w:instr=" SEQ level0 \*arabic ">
        <w:r>
          <w:t>28</w:t>
        </w:r>
      </w:fldSimple>
      <w:r>
        <w:t xml:space="preserve">.  Правителството </w:t>
      </w:r>
      <w:r w:rsidR="00CF2DAF">
        <w:t>прави възражение</w:t>
      </w:r>
      <w:r>
        <w:t xml:space="preserve"> за недопустимост на основание, </w:t>
      </w:r>
      <w:r w:rsidR="00087484">
        <w:t>че дружеството-</w:t>
      </w:r>
      <w:r>
        <w:t>жалбоподател не е изчерп</w:t>
      </w:r>
      <w:r w:rsidR="008C7A3B">
        <w:t>и</w:t>
      </w:r>
      <w:r>
        <w:t xml:space="preserve">ло </w:t>
      </w:r>
      <w:r w:rsidR="00CF2DAF">
        <w:t>вътрешноправните</w:t>
      </w:r>
      <w:r>
        <w:t xml:space="preserve"> средства за защита. </w:t>
      </w:r>
      <w:r w:rsidR="00CF2DAF">
        <w:t>На първо място</w:t>
      </w:r>
      <w:r>
        <w:t xml:space="preserve">, </w:t>
      </w:r>
      <w:r w:rsidR="00CF2DAF">
        <w:t xml:space="preserve">правителството </w:t>
      </w:r>
      <w:r>
        <w:t xml:space="preserve">твърди, </w:t>
      </w:r>
      <w:r w:rsidR="00087484">
        <w:t>че дружеството-</w:t>
      </w:r>
      <w:r>
        <w:t xml:space="preserve">жалбоподател не е обжалвало отказа на прокурора за </w:t>
      </w:r>
      <w:r w:rsidR="00CF2DAF">
        <w:t xml:space="preserve">връщане </w:t>
      </w:r>
      <w:r>
        <w:t xml:space="preserve">на камиона, докато наказателното производство срещу шофьора е </w:t>
      </w:r>
      <w:r w:rsidR="00CF2DAF">
        <w:t xml:space="preserve">било </w:t>
      </w:r>
      <w:r>
        <w:t xml:space="preserve">висящо (за съответното национално законодателство, </w:t>
      </w:r>
      <w:r w:rsidR="00E80A1D">
        <w:t>вижте</w:t>
      </w:r>
      <w:r>
        <w:t xml:space="preserve"> параграф 23 по-горе). </w:t>
      </w:r>
      <w:r w:rsidR="00CF2DAF">
        <w:t>На второ място</w:t>
      </w:r>
      <w:r>
        <w:t xml:space="preserve">, </w:t>
      </w:r>
      <w:r w:rsidR="00087484">
        <w:t>дружеството-</w:t>
      </w:r>
      <w:r>
        <w:t xml:space="preserve">жалбоподател не е поискало от прокуратурата да </w:t>
      </w:r>
      <w:r w:rsidR="00CF2DAF">
        <w:t xml:space="preserve"> </w:t>
      </w:r>
      <w:r w:rsidR="00F7615D">
        <w:t>по</w:t>
      </w:r>
      <w:r w:rsidR="00CF2DAF">
        <w:t xml:space="preserve">иска </w:t>
      </w:r>
      <w:r>
        <w:t>възобновяване на делото</w:t>
      </w:r>
      <w:r w:rsidR="00CF2DAF">
        <w:t xml:space="preserve"> в частта относно</w:t>
      </w:r>
      <w:r>
        <w:t xml:space="preserve"> отнемането на камиона (за съответното национално законодателство, </w:t>
      </w:r>
      <w:r w:rsidR="00E80A1D">
        <w:t>вижте</w:t>
      </w:r>
      <w:r>
        <w:t xml:space="preserve"> параграф 24 по-горе). На последно място, </w:t>
      </w:r>
      <w:r w:rsidR="00087484">
        <w:t>дружеството-</w:t>
      </w:r>
      <w:r>
        <w:t xml:space="preserve">жалбоподател не е предявило иск за вреди срещу шофьора, чиито действия са били </w:t>
      </w:r>
      <w:r w:rsidR="00F7615D">
        <w:t>причина з</w:t>
      </w:r>
      <w:r>
        <w:t xml:space="preserve">а отнемането на камиона (за съответното национално законодателство, </w:t>
      </w:r>
      <w:r w:rsidR="00E80A1D">
        <w:t>вижте</w:t>
      </w:r>
      <w:r>
        <w:t xml:space="preserve"> параграф 25 по-горе).</w:t>
      </w:r>
    </w:p>
    <w:p w:rsidR="000D0FBE" w:rsidRPr="00FA41BB" w:rsidRDefault="000D0FBE" w:rsidP="000D0FBE">
      <w:pPr>
        <w:pStyle w:val="ECHRPara"/>
      </w:pPr>
      <w:fldSimple w:instr=" SEQ level0 \*arabic ">
        <w:r>
          <w:t>29</w:t>
        </w:r>
      </w:fldSimple>
      <w:r>
        <w:t>.  </w:t>
      </w:r>
      <w:r w:rsidR="00087484">
        <w:t>Дружеството-</w:t>
      </w:r>
      <w:r>
        <w:t xml:space="preserve">жалбоподател оспорва тези твърдения. По-конкретно то посочва по отношение на първия аргумент, че жалбата срещу отказа на прокуратурата да </w:t>
      </w:r>
      <w:r w:rsidR="00B77373">
        <w:t xml:space="preserve">върне </w:t>
      </w:r>
      <w:r>
        <w:t xml:space="preserve">камиона е щяла да бъде безсмислена, тъй като камионът в крайна сметка е конфискуван в края на наказателното производство със споразумение за решаване на делото с прокуратурата, </w:t>
      </w:r>
      <w:r w:rsidR="00087484">
        <w:t>по което дружеството-</w:t>
      </w:r>
      <w:r>
        <w:t xml:space="preserve">жалбоподател не е страна. По отношение на третия аргумента на Правителството по-горе, </w:t>
      </w:r>
      <w:r w:rsidR="00087484">
        <w:t>дружеството-</w:t>
      </w:r>
      <w:r>
        <w:t>жалбоподател подчертава, че въпреки че завежда дело срещу шофьора в Турция и съответните органи отсъждат в негова полза, то не успява да вземе каквито и да било пари от шофьора, тъй като последният няма активи към момента (</w:t>
      </w:r>
      <w:r w:rsidR="00E80A1D">
        <w:t>вижте</w:t>
      </w:r>
      <w:r>
        <w:t xml:space="preserve"> параграф 12 по-горе).</w:t>
      </w:r>
    </w:p>
    <w:p w:rsidR="000D0FBE" w:rsidRPr="00FA41BB" w:rsidRDefault="000D0FBE" w:rsidP="000D0FBE">
      <w:pPr>
        <w:pStyle w:val="ECHRHeading3"/>
      </w:pPr>
      <w:r>
        <w:t>2.  Преценка на Съда</w:t>
      </w:r>
    </w:p>
    <w:p w:rsidR="000D0FBE" w:rsidRPr="00FA41BB" w:rsidRDefault="000D0FBE" w:rsidP="000D0FBE">
      <w:pPr>
        <w:pStyle w:val="ECHRPara"/>
      </w:pPr>
      <w:fldSimple w:instr=" SEQ level0 \*arabic ">
        <w:r>
          <w:t>30</w:t>
        </w:r>
      </w:fldSimple>
      <w:r>
        <w:t>.  Що се отнася до първото възражение на Правителството за неизчерпване</w:t>
      </w:r>
      <w:r w:rsidR="0064063F">
        <w:t xml:space="preserve"> не вътрешноправните средства за защита</w:t>
      </w:r>
      <w:r>
        <w:t xml:space="preserve">, Съдът отбелязва, че </w:t>
      </w:r>
      <w:r w:rsidR="00C5037D">
        <w:t xml:space="preserve">националното </w:t>
      </w:r>
      <w:r>
        <w:t xml:space="preserve">законодателство, по-конкретно чл. 111 от Наказателно-процесуалния кодекс, предвижда </w:t>
      </w:r>
      <w:proofErr w:type="spellStart"/>
      <w:r w:rsidR="00C5037D">
        <w:t>едноинстанционен</w:t>
      </w:r>
      <w:proofErr w:type="spellEnd"/>
      <w:r w:rsidR="00C5037D">
        <w:t xml:space="preserve"> </w:t>
      </w:r>
      <w:r>
        <w:t xml:space="preserve">съдебен контрол на прокурорски отказ </w:t>
      </w:r>
      <w:r w:rsidR="00F7615D">
        <w:t xml:space="preserve">за връщане на </w:t>
      </w:r>
      <w:r>
        <w:t>иззети вещи във висящо наказателно производство (</w:t>
      </w:r>
      <w:r w:rsidR="00E80A1D">
        <w:t>вижте</w:t>
      </w:r>
      <w:r>
        <w:t xml:space="preserve"> параграф 23 по-горе). </w:t>
      </w:r>
      <w:r w:rsidR="00087484">
        <w:t>Дружеството-</w:t>
      </w:r>
      <w:r>
        <w:t xml:space="preserve">жалбоподател не се опитва да </w:t>
      </w:r>
      <w:r w:rsidR="00C5037D">
        <w:t xml:space="preserve">инициира </w:t>
      </w:r>
      <w:r>
        <w:t xml:space="preserve">такова производство след </w:t>
      </w:r>
      <w:r w:rsidR="00C5037D">
        <w:t xml:space="preserve">постановения от прокурора </w:t>
      </w:r>
      <w:r>
        <w:t xml:space="preserve">отказ за връщане на </w:t>
      </w:r>
      <w:r>
        <w:lastRenderedPageBreak/>
        <w:t>конфискуван</w:t>
      </w:r>
      <w:r w:rsidR="00C5037D">
        <w:t>ото имущество</w:t>
      </w:r>
      <w:r>
        <w:t xml:space="preserve">. Съдът намира, че този пропуск е без значение с оглед на обстоятелствата по делото предвид факта, </w:t>
      </w:r>
      <w:r w:rsidR="00087484">
        <w:t>че жалбата на дружеството-</w:t>
      </w:r>
      <w:r>
        <w:t>жалбоподател пред Съда е за отнемането на камиона, ко</w:t>
      </w:r>
      <w:r w:rsidR="00C5037D">
        <w:t>е</w:t>
      </w:r>
      <w:r>
        <w:t xml:space="preserve">то е наложено с </w:t>
      </w:r>
      <w:r w:rsidR="00C5037D">
        <w:t xml:space="preserve">окончателния </w:t>
      </w:r>
      <w:r>
        <w:t xml:space="preserve">акт </w:t>
      </w:r>
      <w:r w:rsidR="00C5037D">
        <w:t>по</w:t>
      </w:r>
      <w:r>
        <w:t xml:space="preserve"> наказателното производство срещу шофьор</w:t>
      </w:r>
      <w:r w:rsidR="00C5037D">
        <w:t>а</w:t>
      </w:r>
      <w:r>
        <w:t xml:space="preserve">. Законовата възможност, посочена от Правителството, е можело да постигне само временното </w:t>
      </w:r>
      <w:r w:rsidR="00C5037D">
        <w:t xml:space="preserve">връщане </w:t>
      </w:r>
      <w:r>
        <w:t>на конфис</w:t>
      </w:r>
      <w:r w:rsidR="00107CFE">
        <w:t>кувания камион</w:t>
      </w:r>
      <w:r>
        <w:t xml:space="preserve">, докато наказателното производство е висящо, но е нямало да засегне </w:t>
      </w:r>
      <w:r w:rsidR="008D008E">
        <w:t xml:space="preserve">крайния </w:t>
      </w:r>
      <w:r>
        <w:t xml:space="preserve">резултат </w:t>
      </w:r>
      <w:r w:rsidR="008D008E">
        <w:t>на</w:t>
      </w:r>
      <w:r>
        <w:t xml:space="preserve"> наказателното производство срещу шофьора, </w:t>
      </w:r>
      <w:r w:rsidR="008D008E">
        <w:t xml:space="preserve">от </w:t>
      </w:r>
      <w:r w:rsidR="00107CFE">
        <w:t>ко</w:t>
      </w:r>
      <w:r w:rsidR="00F7615D">
        <w:t>ето</w:t>
      </w:r>
      <w:r w:rsidR="00107CFE">
        <w:t xml:space="preserve"> дружеството-</w:t>
      </w:r>
      <w:r>
        <w:t xml:space="preserve">жалбоподател се оплаква. Това производство приключва с одобрено от съда споразумение за решаване на делото, по реда на което камионът е отнет с позоваване на приложимата </w:t>
      </w:r>
      <w:proofErr w:type="spellStart"/>
      <w:r w:rsidR="00F7615D">
        <w:t>наказателн</w:t>
      </w:r>
      <w:r w:rsidR="00CD5C10">
        <w:t>оправна</w:t>
      </w:r>
      <w:proofErr w:type="spellEnd"/>
      <w:r w:rsidR="00F7615D">
        <w:t xml:space="preserve"> </w:t>
      </w:r>
      <w:r>
        <w:t xml:space="preserve">разпоредба </w:t>
      </w:r>
      <w:r w:rsidR="00F7615D">
        <w:t xml:space="preserve"> </w:t>
      </w:r>
      <w:r w:rsidR="00863893">
        <w:t xml:space="preserve">– </w:t>
      </w:r>
      <w:r>
        <w:t>чл. 242</w:t>
      </w:r>
      <w:r w:rsidR="00863893">
        <w:t>, ал.</w:t>
      </w:r>
      <w:r>
        <w:t xml:space="preserve"> 8 от Наказателния кодекс. Следователно жалбата срещу отказа на прокурора да </w:t>
      </w:r>
      <w:r w:rsidR="00863893">
        <w:t xml:space="preserve">върне </w:t>
      </w:r>
      <w:r>
        <w:t>вещта, докато производството е висящо, не може да се разглежда като ефективно средство за защита в този случай.</w:t>
      </w:r>
    </w:p>
    <w:p w:rsidR="000D0FBE" w:rsidRPr="00FA41BB" w:rsidRDefault="000D0FBE" w:rsidP="000D0FBE">
      <w:pPr>
        <w:pStyle w:val="ECHRPara"/>
        <w:rPr>
          <w:i/>
        </w:rPr>
      </w:pPr>
      <w:fldSimple w:instr=" SEQ level0 \*arabic ">
        <w:r>
          <w:t>31</w:t>
        </w:r>
      </w:fldSimple>
      <w:r>
        <w:t>.  По отношение на второто възражение на Правителството за неизчерпване</w:t>
      </w:r>
      <w:r w:rsidR="001D1ACB">
        <w:t xml:space="preserve"> на вътрешноправните средства за защита</w:t>
      </w:r>
      <w:r>
        <w:t xml:space="preserve">, Съдът отбелязва, че съгласно </w:t>
      </w:r>
      <w:r w:rsidR="00570AD9">
        <w:t>националното законодателство</w:t>
      </w:r>
      <w:r>
        <w:t>, само прокурорът или осъден</w:t>
      </w:r>
      <w:r w:rsidR="00F7615D">
        <w:t>ият</w:t>
      </w:r>
      <w:r>
        <w:t xml:space="preserve"> мо</w:t>
      </w:r>
      <w:r w:rsidR="00F7615D">
        <w:t xml:space="preserve">гат </w:t>
      </w:r>
      <w:r>
        <w:t xml:space="preserve">да </w:t>
      </w:r>
      <w:r w:rsidR="00570AD9">
        <w:t xml:space="preserve">поискат </w:t>
      </w:r>
      <w:r>
        <w:t>възобновяване на наказателното производство, но не и трети лица (</w:t>
      </w:r>
      <w:r w:rsidR="00E80A1D">
        <w:t>вижте</w:t>
      </w:r>
      <w:r>
        <w:t xml:space="preserve"> параграф 24 по-горе). Що се отнася до твърдението на Правителството, </w:t>
      </w:r>
      <w:r w:rsidR="00107CFE">
        <w:t>че дружеството-</w:t>
      </w:r>
      <w:r>
        <w:t>жалбоподател, трета страна за това производство, е можело да поиска от прокуратурата да потърси възобновяване на дел</w:t>
      </w:r>
      <w:r w:rsidR="00107CFE">
        <w:t>ото с оглед на това дружеството-</w:t>
      </w:r>
      <w:r>
        <w:t xml:space="preserve">жалбоподател да възстанови собствеността си, Съдът отбелязва, че такава ситуация е </w:t>
      </w:r>
      <w:r w:rsidR="00CD5C10">
        <w:t>не</w:t>
      </w:r>
      <w:r>
        <w:t>съвместима с изискванията на Конвенцията за директен достъп до съд, имайки предвид, че възобновяването би зависело от волята на прокуратурата (</w:t>
      </w:r>
      <w:r w:rsidR="00E80A1D">
        <w:t>вижте</w:t>
      </w:r>
      <w:r>
        <w:t xml:space="preserve"> </w:t>
      </w:r>
      <w:r w:rsidRPr="00416A84">
        <w:rPr>
          <w:i/>
        </w:rPr>
        <w:t>Станев срещу България</w:t>
      </w:r>
      <w:r>
        <w:t xml:space="preserve"> [GC], </w:t>
      </w:r>
      <w:r>
        <w:rPr>
          <w:cs/>
        </w:rPr>
        <w:t xml:space="preserve">№ </w:t>
      </w:r>
      <w:r>
        <w:t>36760/06, § 237, ЕСПЧ 2012 г.). Следователно, това също не може да се смята за ефективно средство за защита.</w:t>
      </w:r>
    </w:p>
    <w:p w:rsidR="000D0FBE" w:rsidRPr="00FA41BB" w:rsidRDefault="000D0FBE" w:rsidP="000D0FBE">
      <w:pPr>
        <w:pStyle w:val="ECHRPara"/>
      </w:pPr>
      <w:fldSimple w:instr=" SEQ level0 \*arabic ">
        <w:r>
          <w:t>32</w:t>
        </w:r>
      </w:fldSimple>
      <w:r>
        <w:t xml:space="preserve">.  На последно място, що се отнася до възможността за възстановяване на стойността на камиона от чрез </w:t>
      </w:r>
      <w:r w:rsidR="007800E8">
        <w:t>предявяване на иск</w:t>
      </w:r>
      <w:r>
        <w:t xml:space="preserve"> за непозволено увреждане срещу шофьора, </w:t>
      </w:r>
      <w:r w:rsidR="00D30748">
        <w:t>изтъкната от Правителството</w:t>
      </w:r>
      <w:r>
        <w:t xml:space="preserve"> в третия аргумент </w:t>
      </w:r>
      <w:r w:rsidR="00D30748">
        <w:t>за недопустимост</w:t>
      </w:r>
      <w:r>
        <w:t xml:space="preserve">, Съдът отбелязва, </w:t>
      </w:r>
      <w:r w:rsidR="00107CFE">
        <w:t>че дружеството-</w:t>
      </w:r>
      <w:r>
        <w:t xml:space="preserve">жалбоподател </w:t>
      </w:r>
      <w:r w:rsidR="00D30748">
        <w:t>е инициирало дело</w:t>
      </w:r>
      <w:r>
        <w:t xml:space="preserve"> срещу шофьора, за да се опита да възстанови стойността на отнетия камион (</w:t>
      </w:r>
      <w:r w:rsidR="00E80A1D">
        <w:t>вижте</w:t>
      </w:r>
      <w:r>
        <w:t xml:space="preserve"> параграф 12 по-горе). Това производство </w:t>
      </w:r>
      <w:r w:rsidR="00B044FE">
        <w:t xml:space="preserve">се оказва </w:t>
      </w:r>
      <w:r>
        <w:t xml:space="preserve">неуспешно, тъй като водачът не е имал </w:t>
      </w:r>
      <w:r w:rsidR="00CD5C10">
        <w:t>приходи</w:t>
      </w:r>
      <w:r>
        <w:t xml:space="preserve"> към момента. Във всеки случай Съдът отбелязва, че дори и в ситуациите, когато държавата конфискува </w:t>
      </w:r>
      <w:r w:rsidR="00B044FE">
        <w:t xml:space="preserve">вещите, предмет или средство на престъплението, </w:t>
      </w:r>
      <w:r>
        <w:t xml:space="preserve">или имущество, придобито от престъпление, тя може да лиши някого от неговата собственост само в съответствие с изискванията на чл. 1 от Протокол </w:t>
      </w:r>
      <w:r>
        <w:rPr>
          <w:cs/>
        </w:rPr>
        <w:t xml:space="preserve">№ </w:t>
      </w:r>
      <w:r>
        <w:t xml:space="preserve">1 към Конвенцията, които включват необходимите </w:t>
      </w:r>
      <w:r w:rsidR="00B044FE">
        <w:t xml:space="preserve">процесуални </w:t>
      </w:r>
      <w:r>
        <w:t>гаранции (</w:t>
      </w:r>
      <w:r w:rsidR="00E80A1D">
        <w:t>вижте</w:t>
      </w:r>
      <w:r>
        <w:t xml:space="preserve"> </w:t>
      </w:r>
      <w:r>
        <w:rPr>
          <w:i/>
        </w:rPr>
        <w:t>AGOSI v. 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24 октомври 1986 г., § 55 и § 62, Серия А, </w:t>
      </w:r>
      <w:r>
        <w:rPr>
          <w:cs/>
        </w:rPr>
        <w:t xml:space="preserve">№ </w:t>
      </w:r>
      <w:r>
        <w:t xml:space="preserve">108, където Съдът постановява, че приложимите вътрешни процедури </w:t>
      </w:r>
      <w:r>
        <w:lastRenderedPageBreak/>
        <w:t>трябва да гарантират или разумно да бъде взето под вним</w:t>
      </w:r>
      <w:r w:rsidR="00107CFE">
        <w:t>ание поведението на дружеството-</w:t>
      </w:r>
      <w:r>
        <w:t xml:space="preserve">жалбоподател, или да му се позволи разумна възможност да изложи гледната си точка; </w:t>
      </w:r>
      <w:r w:rsidR="00E80A1D">
        <w:t>вижте</w:t>
      </w:r>
      <w:r>
        <w:t xml:space="preserve"> също </w:t>
      </w:r>
      <w:proofErr w:type="spellStart"/>
      <w:r>
        <w:rPr>
          <w:i/>
        </w:rPr>
        <w:t>Phillips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</w:t>
      </w:r>
      <w:r>
        <w:rPr>
          <w:cs/>
        </w:rPr>
        <w:t xml:space="preserve">№ </w:t>
      </w:r>
      <w:r>
        <w:t>41087/98, § 43, ЕСПЧ 2001</w:t>
      </w:r>
      <w:r w:rsidR="00107CFE" w:rsidRPr="00A276F3">
        <w:t>-</w:t>
      </w:r>
      <w:r>
        <w:t>VII, и</w:t>
      </w:r>
      <w:r w:rsidR="00107CFE" w:rsidRPr="00A276F3">
        <w:t xml:space="preserve"> </w:t>
      </w:r>
      <w:proofErr w:type="spellStart"/>
      <w:r>
        <w:rPr>
          <w:i/>
        </w:rPr>
        <w:t>Grayson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Barnham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>,</w:t>
      </w:r>
      <w:r w:rsidR="00107CFE" w:rsidRPr="00A276F3">
        <w:t xml:space="preserve"> </w:t>
      </w:r>
      <w:proofErr w:type="spellStart"/>
      <w:r w:rsidR="00107CFE">
        <w:rPr>
          <w:lang w:val="en-US"/>
        </w:rPr>
        <w:t>nos</w:t>
      </w:r>
      <w:proofErr w:type="spellEnd"/>
      <w:r w:rsidR="00107CFE" w:rsidRPr="00A276F3">
        <w:t>.</w:t>
      </w:r>
      <w:r>
        <w:t xml:space="preserve"> </w:t>
      </w:r>
      <w:r>
        <w:rPr>
          <w:cs/>
        </w:rPr>
        <w:t xml:space="preserve">№ </w:t>
      </w:r>
      <w:r>
        <w:t xml:space="preserve">19955/05 и 15085/06, § 45, 23 </w:t>
      </w:r>
      <w:r w:rsidR="00107CFE">
        <w:t>септември 2008</w:t>
      </w:r>
      <w:r>
        <w:t xml:space="preserve">г.). В </w:t>
      </w:r>
      <w:r w:rsidR="009E0C1B">
        <w:t xml:space="preserve">настоящия </w:t>
      </w:r>
      <w:r>
        <w:t xml:space="preserve">случай държавата е в основата на конфискацията и </w:t>
      </w:r>
      <w:r w:rsidR="009E0C1B">
        <w:t xml:space="preserve">националното </w:t>
      </w:r>
      <w:r>
        <w:t xml:space="preserve">право и практика не предвиждат никакви процедури, </w:t>
      </w:r>
      <w:r w:rsidR="00107CFE">
        <w:t>чрез които дружеството-</w:t>
      </w:r>
      <w:r>
        <w:t xml:space="preserve">жалбоподател да може да защити правото си на собственост. Поради това Съдът </w:t>
      </w:r>
      <w:r w:rsidR="00107CFE">
        <w:t>постановява</w:t>
      </w:r>
      <w:r>
        <w:t xml:space="preserve">, че държавата не може да се освободи </w:t>
      </w:r>
      <w:r w:rsidR="009E0C1B">
        <w:t xml:space="preserve">от произтичащата </w:t>
      </w:r>
      <w:r>
        <w:t xml:space="preserve">по силата на Конвенцията отговорност за </w:t>
      </w:r>
      <w:r w:rsidR="00372352">
        <w:t xml:space="preserve">осигуряване </w:t>
      </w:r>
      <w:r>
        <w:t xml:space="preserve"> на такава процедура като </w:t>
      </w:r>
      <w:r w:rsidR="00372352">
        <w:t xml:space="preserve">предлага </w:t>
      </w:r>
      <w:r>
        <w:t>лицето, което не е съдено за престъплението, водещо до конфискацията, да търси възстановяване на своето имущество от трето лице.</w:t>
      </w:r>
    </w:p>
    <w:p w:rsidR="000D0FBE" w:rsidRPr="00FA41BB" w:rsidRDefault="000D0FBE" w:rsidP="000D0FBE">
      <w:pPr>
        <w:pStyle w:val="ECHRPara"/>
      </w:pPr>
      <w:fldSimple w:instr=" SEQ level0 \*arabic ">
        <w:r>
          <w:t>33</w:t>
        </w:r>
      </w:fldSimple>
      <w:r>
        <w:t xml:space="preserve">.  Съдът отбелязва, че оплакването не е явно необосновано по смисъла на чл. 35, § 3 (а) </w:t>
      </w:r>
      <w:r w:rsidR="00335FAA">
        <w:t xml:space="preserve">от </w:t>
      </w:r>
      <w:r>
        <w:t>Конвенцията или недопустимо на каквото и да било друго основание. Следователно то трябва да бъде обявено за допустимо.</w:t>
      </w:r>
    </w:p>
    <w:p w:rsidR="000D0FBE" w:rsidRPr="00FA41BB" w:rsidRDefault="000D0FBE" w:rsidP="000D0FBE">
      <w:pPr>
        <w:pStyle w:val="ECHRHeading2"/>
      </w:pPr>
      <w:r>
        <w:t xml:space="preserve">Б. </w:t>
      </w:r>
      <w:r w:rsidR="000C0534">
        <w:t>По същество</w:t>
      </w:r>
    </w:p>
    <w:p w:rsidR="000D0FBE" w:rsidRPr="00FA41BB" w:rsidRDefault="000D0FBE" w:rsidP="000D0FBE">
      <w:pPr>
        <w:pStyle w:val="ECHRHeading3"/>
      </w:pPr>
      <w:r>
        <w:t>1.  Становища на страните</w:t>
      </w:r>
    </w:p>
    <w:p w:rsidR="000D0FBE" w:rsidRPr="00FA41BB" w:rsidRDefault="000D0FBE" w:rsidP="000D0FBE">
      <w:pPr>
        <w:pStyle w:val="ECHRPara"/>
      </w:pPr>
      <w:fldSimple w:instr=" SEQ level0 \*arabic ">
        <w:r>
          <w:t>34</w:t>
        </w:r>
      </w:fldSimple>
      <w:r>
        <w:t xml:space="preserve">.  Правителството твърди, че </w:t>
      </w:r>
      <w:r w:rsidR="009F6F62">
        <w:t>съгласно</w:t>
      </w:r>
      <w:r>
        <w:t xml:space="preserve"> втория параграф на чл. 1 от Протокол </w:t>
      </w:r>
      <w:r>
        <w:rPr>
          <w:cs/>
        </w:rPr>
        <w:t xml:space="preserve">№ </w:t>
      </w:r>
      <w:r>
        <w:t xml:space="preserve">1 към Конвенцията, държавите имат право да контролират ползването на притежанията в съответствие с общия интерес чрез прилагане на съответните закони. </w:t>
      </w:r>
      <w:r w:rsidR="00820EF3">
        <w:t>Държавите</w:t>
      </w:r>
      <w:r>
        <w:t xml:space="preserve"> има</w:t>
      </w:r>
      <w:r w:rsidR="00820EF3">
        <w:t>т</w:t>
      </w:r>
      <w:r>
        <w:t xml:space="preserve"> широка свобода на преценка в това отношение. Географското положение на България като маршрут за трафик на наркотици на Балканите и задълженията на страната към Европейския съюз са определящи за държавната политика в областта на борбата с тази незаконна търговия. Високата степен на опасност за обществото от контрабанда на наркотици обяснява разширяването на гражданската отговорност, свързана с престъплението контрабанда, до имущество, принадлежащо на трети лица. Прилагането на чл. 242</w:t>
      </w:r>
      <w:r w:rsidR="009F6F62">
        <w:t>, ал.</w:t>
      </w:r>
      <w:r w:rsidR="00CD5C10">
        <w:t xml:space="preserve"> </w:t>
      </w:r>
      <w:r>
        <w:t>8 от Наказателния кодекс в случая е законно, оправдано и пропорционално на преследваната цел.</w:t>
      </w:r>
    </w:p>
    <w:p w:rsidR="000D0FBE" w:rsidRPr="00FA41BB" w:rsidRDefault="000D0FBE" w:rsidP="000D0FBE">
      <w:pPr>
        <w:pStyle w:val="ECHRPara"/>
      </w:pPr>
      <w:fldSimple w:instr=" SEQ level0 \*arabic ">
        <w:r>
          <w:t>35</w:t>
        </w:r>
      </w:fldSimple>
      <w:r>
        <w:t>.  </w:t>
      </w:r>
      <w:r w:rsidR="00E4406F">
        <w:t>Дружеството-</w:t>
      </w:r>
      <w:r>
        <w:t>жалбоподател повтаря твърдението си, че отнемането на неговия камион е нарушила правото му на собственост.</w:t>
      </w:r>
    </w:p>
    <w:p w:rsidR="000D0FBE" w:rsidRPr="00FA41BB" w:rsidRDefault="000D0FBE" w:rsidP="000D0FBE">
      <w:pPr>
        <w:pStyle w:val="ECHRHeading3"/>
      </w:pPr>
      <w:r>
        <w:t>2.  Преценка на Съда</w:t>
      </w:r>
    </w:p>
    <w:p w:rsidR="000D0FBE" w:rsidRPr="00FA41BB" w:rsidRDefault="000D0FBE" w:rsidP="000D0FBE">
      <w:pPr>
        <w:pStyle w:val="ECHRHeading4"/>
      </w:pPr>
      <w:r>
        <w:t>(а)  Общи принципи</w:t>
      </w:r>
    </w:p>
    <w:p w:rsidR="000D0FBE" w:rsidRPr="00FA41BB" w:rsidRDefault="000D0FBE" w:rsidP="000D0FBE">
      <w:pPr>
        <w:pStyle w:val="ECHRPara"/>
        <w:rPr>
          <w:i/>
        </w:rPr>
      </w:pPr>
      <w:fldSimple w:instr=" SEQ level0 \*arabic ">
        <w:r>
          <w:t>36</w:t>
        </w:r>
      </w:fldSimple>
      <w:r>
        <w:t xml:space="preserve">.  Според установената практика на Съда, чл. 1 от Протокол </w:t>
      </w:r>
      <w:r>
        <w:rPr>
          <w:cs/>
        </w:rPr>
        <w:t xml:space="preserve">№ </w:t>
      </w:r>
      <w:r>
        <w:t xml:space="preserve">1 към Конвенцията се състои от три отделни правила. Първото правило, </w:t>
      </w:r>
      <w:r>
        <w:lastRenderedPageBreak/>
        <w:t xml:space="preserve">което </w:t>
      </w:r>
      <w:r w:rsidR="009F6F62">
        <w:t>е залегнало</w:t>
      </w:r>
      <w:r>
        <w:t xml:space="preserve"> в първото изречение на първия параграф и което е от общ характер, определя принципа на мирно ползване на притежанията. Второто правило във второто изречение на същия параграф </w:t>
      </w:r>
      <w:r w:rsidR="009F6F62">
        <w:t xml:space="preserve">се отнася до </w:t>
      </w:r>
      <w:r>
        <w:t>лишаване</w:t>
      </w:r>
      <w:r w:rsidR="009F6F62">
        <w:t>то</w:t>
      </w:r>
      <w:r>
        <w:t xml:space="preserve"> от </w:t>
      </w:r>
      <w:bookmarkStart w:id="1" w:name="HIT5"/>
      <w:bookmarkEnd w:id="1"/>
      <w:r>
        <w:t>притежани</w:t>
      </w:r>
      <w:r w:rsidR="009F6F62">
        <w:t>я</w:t>
      </w:r>
      <w:r>
        <w:t xml:space="preserve"> и го прави предмет на определени условия. Трет</w:t>
      </w:r>
      <w:r w:rsidR="009F6F62">
        <w:t>ото правило</w:t>
      </w:r>
      <w:r>
        <w:t>, съдържащ</w:t>
      </w:r>
      <w:r w:rsidR="009F6F62">
        <w:t>о</w:t>
      </w:r>
      <w:r>
        <w:t xml:space="preserve"> се във втория параграф, признава, че държавите имат право да контролират ползването на притежанията в съответствие с общия интерес или </w:t>
      </w:r>
      <w:r w:rsidR="009F6F62">
        <w:t xml:space="preserve">с оглед </w:t>
      </w:r>
      <w:r>
        <w:t xml:space="preserve">прилагане на закони, </w:t>
      </w:r>
      <w:r w:rsidR="009F6F62">
        <w:t>за осигуряване,</w:t>
      </w:r>
      <w:r>
        <w:t xml:space="preserve"> наред с други неща</w:t>
      </w:r>
      <w:r w:rsidR="009F6F62">
        <w:t>,</w:t>
      </w:r>
      <w:r>
        <w:t xml:space="preserve"> и плащането на глоби. Съдът многократно е постановявал, че второто и третото правило трябва да се тълкуват в светлината на общия принцип, изложен в първото правило  (</w:t>
      </w:r>
      <w:r w:rsidR="00E80A1D">
        <w:t>вижте</w:t>
      </w:r>
      <w:r>
        <w:t xml:space="preserve"> наред с много други дела </w:t>
      </w:r>
      <w:r>
        <w:rPr>
          <w:i/>
        </w:rPr>
        <w:t xml:space="preserve">AGOSI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24 октомври 1986 г., § 48, Серия A </w:t>
      </w:r>
      <w:r>
        <w:rPr>
          <w:cs/>
        </w:rPr>
        <w:t xml:space="preserve">№ </w:t>
      </w:r>
      <w:r>
        <w:t>108</w:t>
      </w:r>
      <w:r>
        <w:rPr>
          <w:i/>
        </w:rPr>
        <w:t xml:space="preserve">; Air </w:t>
      </w:r>
      <w:proofErr w:type="spellStart"/>
      <w:r>
        <w:rPr>
          <w:i/>
        </w:rPr>
        <w:t>Canada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5 май 1995 г., § 30, Серия A </w:t>
      </w:r>
      <w:r>
        <w:rPr>
          <w:cs/>
        </w:rPr>
        <w:t xml:space="preserve">№ </w:t>
      </w:r>
      <w:r>
        <w:t>316</w:t>
      </w:r>
      <w:r w:rsidR="00E4406F">
        <w:t>-</w:t>
      </w:r>
      <w:r>
        <w:t>A</w:t>
      </w:r>
      <w:r>
        <w:rPr>
          <w:i/>
        </w:rPr>
        <w:t xml:space="preserve">; </w:t>
      </w:r>
      <w:proofErr w:type="spellStart"/>
      <w:r>
        <w:rPr>
          <w:i/>
        </w:rPr>
        <w:t>Bowler</w:t>
      </w:r>
      <w:proofErr w:type="spellEnd"/>
      <w:r>
        <w:rPr>
          <w:i/>
        </w:rPr>
        <w:t xml:space="preserve"> International </w:t>
      </w:r>
      <w:proofErr w:type="spellStart"/>
      <w:r>
        <w:rPr>
          <w:i/>
        </w:rPr>
        <w:t>Unit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France</w:t>
      </w:r>
      <w:proofErr w:type="spellEnd"/>
      <w:r>
        <w:t xml:space="preserve">, </w:t>
      </w:r>
      <w:r w:rsidRPr="00E80A1D">
        <w:rPr>
          <w:szCs w:val="24"/>
          <w:cs/>
        </w:rPr>
        <w:t xml:space="preserve">№ </w:t>
      </w:r>
      <w:r>
        <w:t>1946/06, § 35, 23 юли 2009 г.).</w:t>
      </w:r>
    </w:p>
    <w:p w:rsidR="000D0FBE" w:rsidRPr="00FA41BB" w:rsidRDefault="000D0FBE" w:rsidP="000D0FBE">
      <w:pPr>
        <w:pStyle w:val="ECHRPara"/>
        <w:rPr>
          <w:i/>
        </w:rPr>
      </w:pPr>
      <w:fldSimple w:instr=" SEQ level0 \*arabic ">
        <w:r>
          <w:t>37</w:t>
        </w:r>
      </w:fldSimple>
      <w:r>
        <w:t xml:space="preserve">.  Съдът подчертава, че съгласно чл. 1 от Протокол </w:t>
      </w:r>
      <w:r>
        <w:rPr>
          <w:cs/>
        </w:rPr>
        <w:t xml:space="preserve">№ </w:t>
      </w:r>
      <w:r>
        <w:t>1 всяка намеса от публичен орган в мирното ползване на притежанията трябва да бъде законосъобразна (</w:t>
      </w:r>
      <w:r w:rsidR="00E80A1D">
        <w:t>виж</w:t>
      </w:r>
      <w:r>
        <w:t xml:space="preserve"> </w:t>
      </w:r>
      <w:proofErr w:type="spellStart"/>
      <w:r>
        <w:rPr>
          <w:i/>
        </w:rPr>
        <w:t>Iatridis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Greece</w:t>
      </w:r>
      <w:proofErr w:type="spellEnd"/>
      <w:r>
        <w:t xml:space="preserve"> [GC], </w:t>
      </w:r>
      <w:r>
        <w:rPr>
          <w:cs/>
        </w:rPr>
        <w:t xml:space="preserve">№ </w:t>
      </w:r>
      <w:r>
        <w:fldChar w:fldCharType="begin"/>
      </w:r>
      <w:r>
        <w:instrText xml:space="preserve"> HYPERLINK "http://hudoc.echr.coe.int/sites/eng/Pages/search.aspx" \l "{\"appno\":[\"31107/96\"]}" \t "_blank" </w:instrText>
      </w:r>
      <w:r>
        <w:fldChar w:fldCharType="separate"/>
      </w:r>
      <w:r>
        <w:t>31107/96</w:t>
      </w:r>
      <w:r>
        <w:fldChar w:fldCharType="end"/>
      </w:r>
      <w:r>
        <w:t>, § 58, ЕСПЧ 1999-II). Това означава първо, че мерките трябва да имат основание във вътрешното право. Това също така се отнася до качеството на въпросн</w:t>
      </w:r>
      <w:r w:rsidR="005B745A">
        <w:t>ото законодателство</w:t>
      </w:r>
      <w:r>
        <w:t>, като се изисква то да бъде достъп</w:t>
      </w:r>
      <w:r w:rsidR="005B745A">
        <w:t>но</w:t>
      </w:r>
      <w:r>
        <w:t xml:space="preserve"> за заинтересованите лица</w:t>
      </w:r>
      <w:r w:rsidR="00372352">
        <w:t xml:space="preserve"> </w:t>
      </w:r>
      <w:r>
        <w:t>и последиците от неговото прилагане да са предвидими (</w:t>
      </w:r>
      <w:r w:rsidR="00E80A1D">
        <w:t>виж</w:t>
      </w:r>
      <w:r>
        <w:t xml:space="preserve"> </w:t>
      </w:r>
      <w:proofErr w:type="spellStart"/>
      <w:r>
        <w:rPr>
          <w:i/>
        </w:rPr>
        <w:t>Beyeler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Italy</w:t>
      </w:r>
      <w:proofErr w:type="spellEnd"/>
      <w:r>
        <w:rPr>
          <w:i/>
        </w:rPr>
        <w:t xml:space="preserve"> </w:t>
      </w:r>
      <w:r>
        <w:t xml:space="preserve">[GC], </w:t>
      </w:r>
      <w:r>
        <w:rPr>
          <w:cs/>
        </w:rPr>
        <w:t xml:space="preserve">№ </w:t>
      </w:r>
      <w:r>
        <w:t>33202/96, § 109, ЕСПЧ 2000-I). Изискването за "</w:t>
      </w:r>
      <w:r w:rsidR="00F33396">
        <w:t>законосъобразност</w:t>
      </w:r>
      <w:r>
        <w:t xml:space="preserve">" по смисъла на Конвенцията също изисква съвместимост с принципите на правовата държава, които </w:t>
      </w:r>
      <w:r w:rsidR="00372352">
        <w:t>из</w:t>
      </w:r>
      <w:r>
        <w:t>ключват произвол</w:t>
      </w:r>
      <w:r w:rsidR="00372352">
        <w:t>а</w:t>
      </w:r>
      <w:r>
        <w:t xml:space="preserve"> (</w:t>
      </w:r>
      <w:r w:rsidR="00E80A1D">
        <w:t>вижте</w:t>
      </w:r>
      <w:r>
        <w:t xml:space="preserve"> </w:t>
      </w:r>
      <w:proofErr w:type="spellStart"/>
      <w:r>
        <w:rPr>
          <w:i/>
        </w:rPr>
        <w:t>East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West</w:t>
      </w:r>
      <w:proofErr w:type="spellEnd"/>
      <w:r>
        <w:rPr>
          <w:i/>
        </w:rPr>
        <w:t xml:space="preserve"> Alliance Limited</w:t>
      </w:r>
      <w:r>
        <w:t xml:space="preserve"> </w:t>
      </w:r>
      <w:r>
        <w:rPr>
          <w:i/>
        </w:rPr>
        <w:t xml:space="preserve">v. </w:t>
      </w:r>
      <w:proofErr w:type="spellStart"/>
      <w:r>
        <w:rPr>
          <w:i/>
        </w:rPr>
        <w:t>Ukraine</w:t>
      </w:r>
      <w:proofErr w:type="spellEnd"/>
      <w:r>
        <w:t xml:space="preserve">, </w:t>
      </w:r>
      <w:r w:rsidR="00E80A1D" w:rsidRPr="00E80A1D">
        <w:rPr>
          <w:szCs w:val="24"/>
          <w:cs/>
        </w:rPr>
        <w:t xml:space="preserve">№ </w:t>
      </w:r>
      <w:r>
        <w:t xml:space="preserve">19336/04, § 167, 23 </w:t>
      </w:r>
      <w:r w:rsidR="00E80A1D">
        <w:t>януари</w:t>
      </w:r>
      <w:r>
        <w:t xml:space="preserve"> 2014).</w:t>
      </w:r>
    </w:p>
    <w:p w:rsidR="000D0FBE" w:rsidRPr="00FA41BB" w:rsidRDefault="000D0FBE">
      <w:pPr>
        <w:pStyle w:val="ECHRPara"/>
      </w:pPr>
      <w:fldSimple w:instr=" SEQ level0 \*arabic ">
        <w:r>
          <w:t>38</w:t>
        </w:r>
      </w:fldSimple>
      <w:r>
        <w:t>.  Освен това</w:t>
      </w:r>
      <w:r w:rsidR="00E4406F">
        <w:t>,</w:t>
      </w:r>
      <w:r>
        <w:t xml:space="preserve"> всяка намеса в мирното ползване на притежания трябва да постигне "справедлив баланс" между общ</w:t>
      </w:r>
      <w:r w:rsidR="00372352">
        <w:t xml:space="preserve">ествения </w:t>
      </w:r>
      <w:r w:rsidR="00F33396">
        <w:t xml:space="preserve">интерес </w:t>
      </w:r>
      <w:r w:rsidR="00372352">
        <w:t xml:space="preserve">  </w:t>
      </w:r>
      <w:r>
        <w:t xml:space="preserve">и </w:t>
      </w:r>
      <w:r w:rsidR="00C5705A">
        <w:t>защитата на правата на индивида</w:t>
      </w:r>
      <w:r>
        <w:t xml:space="preserve">. Когато притежания, които са били използвани неправомерно, се конфискуват, този баланс зависи от много фактори, </w:t>
      </w:r>
      <w:r w:rsidR="00F33396">
        <w:t>включително</w:t>
      </w:r>
      <w:r>
        <w:t xml:space="preserve"> поведението на собственика (</w:t>
      </w:r>
      <w:r w:rsidR="00E80A1D">
        <w:t>виж</w:t>
      </w:r>
      <w:r>
        <w:t xml:space="preserve"> </w:t>
      </w:r>
      <w:proofErr w:type="spellStart"/>
      <w:r>
        <w:rPr>
          <w:i/>
        </w:rPr>
        <w:t>Yildirim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Italy</w:t>
      </w:r>
      <w:proofErr w:type="spellEnd"/>
      <w:r>
        <w:t xml:space="preserve"> (решение за допустимост), </w:t>
      </w:r>
      <w:r>
        <w:rPr>
          <w:cs/>
        </w:rPr>
        <w:t xml:space="preserve">№ </w:t>
      </w:r>
      <w:r>
        <w:t xml:space="preserve">38602/02, 10 април 2003 г.). В такива случаи националните органи </w:t>
      </w:r>
      <w:r w:rsidR="00C5705A">
        <w:t>са</w:t>
      </w:r>
      <w:r>
        <w:t xml:space="preserve"> призова</w:t>
      </w:r>
      <w:r w:rsidR="00C5705A">
        <w:t>ни</w:t>
      </w:r>
      <w:r>
        <w:t xml:space="preserve"> да вземат предвид степента на вина или грижи на собственика на имуществото или най-малко връзката между поведение</w:t>
      </w:r>
      <w:r w:rsidR="00C5705A">
        <w:t>то му</w:t>
      </w:r>
      <w:r>
        <w:t xml:space="preserve"> и престъплението (</w:t>
      </w:r>
      <w:r w:rsidR="00E80A1D">
        <w:t>вижте</w:t>
      </w:r>
      <w:r>
        <w:t xml:space="preserve"> </w:t>
      </w:r>
      <w:proofErr w:type="spellStart"/>
      <w:r>
        <w:rPr>
          <w:i/>
        </w:rPr>
        <w:t>Yildirim</w:t>
      </w:r>
      <w:proofErr w:type="spellEnd"/>
      <w:r>
        <w:t xml:space="preserve">, цитирано по-горе). В допълнение, въпреки че чл. 1 от Протокол </w:t>
      </w:r>
      <w:r>
        <w:rPr>
          <w:cs/>
        </w:rPr>
        <w:t xml:space="preserve">№ </w:t>
      </w:r>
      <w:r>
        <w:t xml:space="preserve">1 не съдържа изрично процесуално </w:t>
      </w:r>
      <w:r w:rsidR="00372352">
        <w:t>задължение</w:t>
      </w:r>
      <w:r>
        <w:t xml:space="preserve">, </w:t>
      </w:r>
      <w:r w:rsidR="000137D6">
        <w:t>той следва да се тълкува в смисъл, че на лицата</w:t>
      </w:r>
      <w:r>
        <w:t xml:space="preserve">, засегнати от </w:t>
      </w:r>
      <w:r w:rsidR="000137D6">
        <w:t>намеса в правото им мирно да се ползват от своите притежания</w:t>
      </w:r>
      <w:r>
        <w:t xml:space="preserve">, </w:t>
      </w:r>
      <w:r w:rsidR="000137D6">
        <w:t xml:space="preserve">следва </w:t>
      </w:r>
      <w:r>
        <w:t xml:space="preserve">да се предостави достатъчна възможност да изложат </w:t>
      </w:r>
      <w:r w:rsidR="000137D6">
        <w:t>аргументите си</w:t>
      </w:r>
      <w:r>
        <w:t xml:space="preserve"> пред </w:t>
      </w:r>
      <w:r w:rsidR="000137D6">
        <w:t xml:space="preserve">компетентните </w:t>
      </w:r>
      <w:r>
        <w:t xml:space="preserve">органи за целите на ефективно оспорване на </w:t>
      </w:r>
      <w:r w:rsidR="000137D6">
        <w:t xml:space="preserve">наложените </w:t>
      </w:r>
      <w:r>
        <w:t>мерки,</w:t>
      </w:r>
      <w:r w:rsidR="00372352">
        <w:t xml:space="preserve"> </w:t>
      </w:r>
      <w:r w:rsidR="000137D6">
        <w:t>с оглед тяхната законосъобразност, обоснованост или наличие на произвол</w:t>
      </w:r>
      <w:r>
        <w:t xml:space="preserve"> (</w:t>
      </w:r>
      <w:r w:rsidR="00E80A1D">
        <w:t>вижте</w:t>
      </w:r>
      <w:r>
        <w:t xml:space="preserve"> </w:t>
      </w:r>
      <w:proofErr w:type="spellStart"/>
      <w:r>
        <w:rPr>
          <w:i/>
        </w:rPr>
        <w:t>Yildirim</w:t>
      </w:r>
      <w:proofErr w:type="spellEnd"/>
      <w:r>
        <w:t xml:space="preserve">, цитирано по-горе; </w:t>
      </w:r>
      <w:r w:rsidR="00E80A1D">
        <w:t>вижте</w:t>
      </w:r>
      <w:r>
        <w:t xml:space="preserve"> също </w:t>
      </w:r>
      <w:r>
        <w:rPr>
          <w:i/>
        </w:rPr>
        <w:t>AGOSI</w:t>
      </w:r>
      <w:r>
        <w:t xml:space="preserve">, цитирано по-горе, стр. 18-19, §§ 54-55, и стр. 20-21, §§ 58-60, и </w:t>
      </w:r>
      <w:r>
        <w:rPr>
          <w:i/>
        </w:rPr>
        <w:t>Air </w:t>
      </w:r>
      <w:proofErr w:type="spellStart"/>
      <w:r>
        <w:rPr>
          <w:i/>
        </w:rPr>
        <w:t>Canada</w:t>
      </w:r>
      <w:proofErr w:type="spellEnd"/>
      <w:r>
        <w:t xml:space="preserve">, цитирано по-горе, </w:t>
      </w:r>
      <w:r>
        <w:lastRenderedPageBreak/>
        <w:t xml:space="preserve">стр. 18, § 46; </w:t>
      </w:r>
      <w:r w:rsidR="00E80A1D">
        <w:t>вижте</w:t>
      </w:r>
      <w:r>
        <w:t xml:space="preserve"> също, </w:t>
      </w:r>
      <w:proofErr w:type="spellStart"/>
      <w:r>
        <w:rPr>
          <w:i/>
        </w:rPr>
        <w:t>mutatis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mutandis</w:t>
      </w:r>
      <w:proofErr w:type="spellEnd"/>
      <w:r>
        <w:t xml:space="preserve">, </w:t>
      </w:r>
      <w:proofErr w:type="spellStart"/>
      <w:r>
        <w:rPr>
          <w:i/>
        </w:rPr>
        <w:t>Arcuri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> 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Italy</w:t>
      </w:r>
      <w:proofErr w:type="spellEnd"/>
      <w:r>
        <w:t xml:space="preserve"> (решение за допустимост), </w:t>
      </w:r>
      <w:r>
        <w:rPr>
          <w:cs/>
        </w:rPr>
        <w:t xml:space="preserve">№ </w:t>
      </w:r>
      <w:r>
        <w:t xml:space="preserve">52024/99, ЕСПЧ 2001-VII, и </w:t>
      </w:r>
      <w:proofErr w:type="spellStart"/>
      <w:r>
        <w:rPr>
          <w:i/>
        </w:rPr>
        <w:t>Riela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Italy</w:t>
      </w:r>
      <w:proofErr w:type="spellEnd"/>
      <w:r>
        <w:t xml:space="preserve"> (решение за допустимост), </w:t>
      </w:r>
      <w:r>
        <w:rPr>
          <w:cs/>
        </w:rPr>
        <w:t xml:space="preserve">№ </w:t>
      </w:r>
      <w:r>
        <w:t xml:space="preserve">52439/99, 4 септември 2001 г.). Проверявайки дали горното условие е </w:t>
      </w:r>
      <w:r w:rsidR="000957B3">
        <w:t>изпълнено</w:t>
      </w:r>
      <w:r>
        <w:t>, Съдът трябва да направи цялостен преглед на приложимите процедури (</w:t>
      </w:r>
      <w:r w:rsidR="00E80A1D">
        <w:t>вижте</w:t>
      </w:r>
      <w:r>
        <w:t xml:space="preserve"> </w:t>
      </w:r>
      <w:r>
        <w:rPr>
          <w:i/>
        </w:rPr>
        <w:t xml:space="preserve">AGOSI, </w:t>
      </w:r>
      <w:r>
        <w:t xml:space="preserve">цитирано по-горе, § 55, Серия A </w:t>
      </w:r>
      <w:r>
        <w:rPr>
          <w:cs/>
        </w:rPr>
        <w:t xml:space="preserve">№ </w:t>
      </w:r>
      <w:r>
        <w:t xml:space="preserve">108; </w:t>
      </w:r>
      <w:proofErr w:type="spellStart"/>
      <w:r>
        <w:rPr>
          <w:i/>
        </w:rPr>
        <w:t>Bowler</w:t>
      </w:r>
      <w:proofErr w:type="spellEnd"/>
      <w:r>
        <w:rPr>
          <w:i/>
        </w:rPr>
        <w:t xml:space="preserve"> International </w:t>
      </w:r>
      <w:proofErr w:type="spellStart"/>
      <w:r>
        <w:rPr>
          <w:i/>
        </w:rPr>
        <w:t>Unit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France</w:t>
      </w:r>
      <w:proofErr w:type="spellEnd"/>
      <w:r>
        <w:t xml:space="preserve">, </w:t>
      </w:r>
      <w:r>
        <w:rPr>
          <w:cs/>
        </w:rPr>
        <w:t xml:space="preserve">№ </w:t>
      </w:r>
      <w:r>
        <w:t>1946/06, §§ 44</w:t>
      </w:r>
      <w:r>
        <w:noBreakHyphen/>
        <w:t xml:space="preserve">45, 23 юли 2009 г.; </w:t>
      </w:r>
      <w:proofErr w:type="spellStart"/>
      <w:r>
        <w:rPr>
          <w:i/>
        </w:rPr>
        <w:t>Jokela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Finland</w:t>
      </w:r>
      <w:proofErr w:type="spellEnd"/>
      <w:r>
        <w:t xml:space="preserve">, </w:t>
      </w:r>
      <w:r>
        <w:rPr>
          <w:cs/>
        </w:rPr>
        <w:t xml:space="preserve">№ </w:t>
      </w:r>
      <w:r>
        <w:t>28856/95, § 45, ЕСПЧ  2002</w:t>
      </w:r>
      <w:r>
        <w:noBreakHyphen/>
        <w:t xml:space="preserve">IV; </w:t>
      </w:r>
      <w:proofErr w:type="spellStart"/>
      <w:r>
        <w:rPr>
          <w:i/>
        </w:rPr>
        <w:t>Denisova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Moiseyeva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Russia</w:t>
      </w:r>
      <w:proofErr w:type="spellEnd"/>
      <w:r>
        <w:t xml:space="preserve">, </w:t>
      </w:r>
      <w:r>
        <w:rPr>
          <w:cs/>
        </w:rPr>
        <w:t xml:space="preserve">№ </w:t>
      </w:r>
      <w:r>
        <w:t xml:space="preserve">16903/03, § 59, 1 април 2010 г.). Необходимият баланс </w:t>
      </w:r>
      <w:r w:rsidR="00C5705A">
        <w:t xml:space="preserve">ще е нарушен </w:t>
      </w:r>
      <w:r>
        <w:t>ако въпросното лице е трябвало да понесе индивидуална и прекомерна тежест (</w:t>
      </w:r>
      <w:r w:rsidR="00E80A1D">
        <w:t>вижте</w:t>
      </w:r>
      <w:r>
        <w:t xml:space="preserve"> </w:t>
      </w:r>
      <w:proofErr w:type="spellStart"/>
      <w:r>
        <w:rPr>
          <w:i/>
        </w:rPr>
        <w:t>Sporrong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Lönnroth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Sweden</w:t>
      </w:r>
      <w:proofErr w:type="spellEnd"/>
      <w:r>
        <w:t xml:space="preserve">, 23 септември 1982 г., §§ 69 и 73, Серия А, </w:t>
      </w:r>
      <w:r>
        <w:rPr>
          <w:cs/>
        </w:rPr>
        <w:t xml:space="preserve">№ </w:t>
      </w:r>
      <w:r>
        <w:t>52).</w:t>
      </w:r>
    </w:p>
    <w:p w:rsidR="000D0FBE" w:rsidRPr="00FA41BB" w:rsidRDefault="000D0FBE" w:rsidP="000D0FBE">
      <w:pPr>
        <w:pStyle w:val="ECHRHeading4"/>
      </w:pPr>
      <w:r>
        <w:t xml:space="preserve">(б) Приложение на тези принципи в </w:t>
      </w:r>
      <w:r w:rsidR="000F71AF">
        <w:t xml:space="preserve">настоящия случай </w:t>
      </w:r>
    </w:p>
    <w:p w:rsidR="000D0FBE" w:rsidRPr="00FA41BB" w:rsidRDefault="000D0FBE" w:rsidP="000D0FBE">
      <w:pPr>
        <w:pStyle w:val="ECHRHeading5"/>
      </w:pPr>
      <w:r>
        <w:t>(i) Дали е имало намеса</w:t>
      </w:r>
    </w:p>
    <w:p w:rsidR="000D0FBE" w:rsidRPr="00FA41BB" w:rsidRDefault="000D0FBE" w:rsidP="000D0FBE">
      <w:pPr>
        <w:pStyle w:val="ECHRPara"/>
      </w:pPr>
      <w:fldSimple w:instr=" SEQ level0 \*arabic ">
        <w:r>
          <w:t>39</w:t>
        </w:r>
      </w:fldSimple>
      <w:r>
        <w:t>.  Между страните няма спор, че конфискацията на камиона на дружеството</w:t>
      </w:r>
      <w:r w:rsidR="00B74C04">
        <w:t>-</w:t>
      </w:r>
      <w:r>
        <w:t xml:space="preserve">жалбоподател представлява намеса в </w:t>
      </w:r>
      <w:r w:rsidR="00B74C04">
        <w:t xml:space="preserve">правото му на собственост </w:t>
      </w:r>
      <w:r>
        <w:t xml:space="preserve">по </w:t>
      </w:r>
      <w:r w:rsidR="00B74C04">
        <w:t xml:space="preserve">смисъла на </w:t>
      </w:r>
      <w:r>
        <w:t xml:space="preserve">чл. 1 от Протокол </w:t>
      </w:r>
      <w:r>
        <w:rPr>
          <w:cs/>
        </w:rPr>
        <w:t xml:space="preserve">№ </w:t>
      </w:r>
      <w:r>
        <w:t xml:space="preserve">1 към Конвенцията. Страните обаче не постигат съгласие за това дали </w:t>
      </w:r>
      <w:r w:rsidR="00B74C04">
        <w:t xml:space="preserve">тя </w:t>
      </w:r>
      <w:r>
        <w:t xml:space="preserve">представлява лишаване от собственост по </w:t>
      </w:r>
      <w:r w:rsidR="00B74C04">
        <w:t xml:space="preserve">смисъла </w:t>
      </w:r>
      <w:r>
        <w:t xml:space="preserve">на първия параграф на чл. 1 от Протокол </w:t>
      </w:r>
      <w:r>
        <w:rPr>
          <w:cs/>
        </w:rPr>
        <w:t xml:space="preserve">№ </w:t>
      </w:r>
      <w:r>
        <w:t>1 или контрол върху ползването на притежанията в съответствие с втория параграф на тази разпоредба.</w:t>
      </w:r>
    </w:p>
    <w:p w:rsidR="000D0FBE" w:rsidRPr="00FA41BB" w:rsidRDefault="000D0FBE" w:rsidP="000D0FBE">
      <w:pPr>
        <w:pStyle w:val="ECHRPara"/>
        <w:rPr>
          <w:i/>
        </w:rPr>
      </w:pPr>
      <w:fldSimple w:instr=" SEQ level0 \*arabic ">
        <w:r>
          <w:t>40</w:t>
        </w:r>
      </w:fldSimple>
      <w:r>
        <w:t xml:space="preserve">.  Съдът счита, че не е необходимо да разрешава този проблем, защото принципите, ръководещи въпроса за </w:t>
      </w:r>
      <w:r w:rsidR="000F6943">
        <w:t>обоснованост</w:t>
      </w:r>
      <w:r>
        <w:t xml:space="preserve">, по същество са едни и същи, включително </w:t>
      </w:r>
      <w:r w:rsidR="000F6943">
        <w:t xml:space="preserve"> изискването</w:t>
      </w:r>
      <w:r>
        <w:t xml:space="preserve"> намесата да е законосъобразна и в интерес на обществото, както и да постига справедлив баланс между </w:t>
      </w:r>
      <w:r w:rsidR="00C5705A">
        <w:t xml:space="preserve">обществения </w:t>
      </w:r>
      <w:r>
        <w:t>и</w:t>
      </w:r>
      <w:r w:rsidR="00EE42AC">
        <w:t>нтерес и правата на дружеството-</w:t>
      </w:r>
      <w:r>
        <w:t>жалбоподател (</w:t>
      </w:r>
      <w:r w:rsidR="00E80A1D">
        <w:t>вижте</w:t>
      </w:r>
      <w:r>
        <w:t xml:space="preserve"> за подобен подход </w:t>
      </w:r>
      <w:proofErr w:type="spellStart"/>
      <w:r>
        <w:rPr>
          <w:i/>
        </w:rPr>
        <w:t>Denisova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Moiseyeva</w:t>
      </w:r>
      <w:proofErr w:type="spellEnd"/>
      <w:r>
        <w:t>, цитирано по-горе, § 55).</w:t>
      </w:r>
    </w:p>
    <w:p w:rsidR="000D0FBE" w:rsidRPr="00FA41BB" w:rsidRDefault="000D0FBE" w:rsidP="000D0FBE">
      <w:pPr>
        <w:pStyle w:val="ECHRHeading5"/>
      </w:pPr>
      <w:r>
        <w:t>(ii) Дали намесата е била оправдана</w:t>
      </w:r>
    </w:p>
    <w:p w:rsidR="000D0FBE" w:rsidRPr="00FA41BB" w:rsidRDefault="000D0FBE" w:rsidP="000D0FBE">
      <w:pPr>
        <w:pStyle w:val="ECHRPara"/>
      </w:pPr>
      <w:fldSimple w:instr=" SEQ level0 \*arabic ">
        <w:r>
          <w:t>41</w:t>
        </w:r>
      </w:fldSimple>
      <w:r>
        <w:t>.  Пр</w:t>
      </w:r>
      <w:r w:rsidR="00C5705A">
        <w:t>еценявайки д</w:t>
      </w:r>
      <w:r>
        <w:t>али намесата в конкретния случай изпълн</w:t>
      </w:r>
      <w:r w:rsidR="00EE42AC">
        <w:t>ява изискването на Конвенцията з</w:t>
      </w:r>
      <w:r>
        <w:t>а "</w:t>
      </w:r>
      <w:r w:rsidR="00587CF0">
        <w:t>законосъобразност</w:t>
      </w:r>
      <w:r>
        <w:t xml:space="preserve">", Съдът отбелязва, че </w:t>
      </w:r>
      <w:r w:rsidR="001B23D5">
        <w:t xml:space="preserve">отнемането </w:t>
      </w:r>
      <w:r>
        <w:t>е резултат от прилагането на вътрешното право, по-конкретно чл. 242</w:t>
      </w:r>
      <w:r w:rsidR="00587CF0">
        <w:t>, ал.</w:t>
      </w:r>
      <w:r>
        <w:t xml:space="preserve"> 8 от Наказателния кодекс (</w:t>
      </w:r>
      <w:r w:rsidR="00E80A1D">
        <w:t>вижте</w:t>
      </w:r>
      <w:r>
        <w:t xml:space="preserve"> параграф 16 по-горе). Съгласно тази разпоредба и нейното тълкуване от националните съдилища (</w:t>
      </w:r>
      <w:r w:rsidR="00E80A1D">
        <w:t>вижте</w:t>
      </w:r>
      <w:r>
        <w:t xml:space="preserve"> параграфи 16, 18, 19 и 20 по-горе), превозно средство, което е служило за извършването на престъплението </w:t>
      </w:r>
      <w:r w:rsidR="001B23D5">
        <w:t>контрабанда</w:t>
      </w:r>
      <w:r>
        <w:t xml:space="preserve">, се </w:t>
      </w:r>
      <w:r w:rsidR="001B23D5">
        <w:t>отнема в полза на държавата</w:t>
      </w:r>
      <w:r>
        <w:t xml:space="preserve">, освен ако стойността му явно не съответства на тази на </w:t>
      </w:r>
      <w:r w:rsidR="00587CF0">
        <w:t>контрабандните стоки</w:t>
      </w:r>
      <w:r>
        <w:t xml:space="preserve">. Въз основа на </w:t>
      </w:r>
      <w:r w:rsidR="00587CF0">
        <w:t xml:space="preserve">текста на законовата разпоредба </w:t>
      </w:r>
      <w:r>
        <w:t xml:space="preserve">и свързаната с нея съдебна практика, Съдът приема, че </w:t>
      </w:r>
      <w:r w:rsidR="00587CF0">
        <w:t xml:space="preserve">тя </w:t>
      </w:r>
      <w:r>
        <w:t>достатъчно достъпна, точна и предвидима.</w:t>
      </w:r>
    </w:p>
    <w:p w:rsidR="000D0FBE" w:rsidRPr="00FA41BB" w:rsidRDefault="000D0FBE" w:rsidP="000D0FBE">
      <w:pPr>
        <w:pStyle w:val="ECHRPara"/>
      </w:pPr>
      <w:fldSimple w:instr=" SEQ level0 \*arabic ">
        <w:r>
          <w:t>42</w:t>
        </w:r>
      </w:fldSimple>
      <w:r>
        <w:t>.  Що се отнася до начина, по който националният съд прилага тази законова разпоредба, Съдът отбелязва, че въпреки че може и трябва да упражнява определен контрол по този въпрос</w:t>
      </w:r>
      <w:r w:rsidR="002D6CB6">
        <w:t xml:space="preserve"> след</w:t>
      </w:r>
      <w:r>
        <w:t xml:space="preserve"> като неспазването на националното законодателство води до нарушение на чл. 1 от Протокол </w:t>
      </w:r>
      <w:r>
        <w:rPr>
          <w:cs/>
        </w:rPr>
        <w:t xml:space="preserve">№ </w:t>
      </w:r>
      <w:r>
        <w:t>1, обхват</w:t>
      </w:r>
      <w:r w:rsidR="002D6CB6">
        <w:t>ът</w:t>
      </w:r>
      <w:r>
        <w:t xml:space="preserve"> на неговата </w:t>
      </w:r>
      <w:r w:rsidR="001B23D5">
        <w:t xml:space="preserve">проверка </w:t>
      </w:r>
      <w:r>
        <w:t xml:space="preserve">е предмет на ограниченията, присъщи на </w:t>
      </w:r>
      <w:r w:rsidR="002D6CB6">
        <w:t xml:space="preserve">субсидиарния </w:t>
      </w:r>
      <w:r>
        <w:t>характер на Конвенцията; в този смисъл Съдът не може да постави под въпрос начина, по който националните съдилища тълкуват и прилагат националното право, освен в случаите на явно неспазване или произвол (</w:t>
      </w:r>
      <w:r w:rsidR="00E80A1D">
        <w:t>вижте</w:t>
      </w:r>
      <w:r>
        <w:t xml:space="preserve"> </w:t>
      </w:r>
      <w:proofErr w:type="spellStart"/>
      <w:r>
        <w:rPr>
          <w:i/>
        </w:rPr>
        <w:t>Микроинтелект</w:t>
      </w:r>
      <w:proofErr w:type="spellEnd"/>
      <w:r>
        <w:rPr>
          <w:i/>
        </w:rPr>
        <w:t xml:space="preserve"> ООД срещу България</w:t>
      </w:r>
      <w:r>
        <w:t xml:space="preserve">, </w:t>
      </w:r>
      <w:r>
        <w:rPr>
          <w:cs/>
        </w:rPr>
        <w:t xml:space="preserve">№ </w:t>
      </w:r>
      <w:r>
        <w:t xml:space="preserve">34129/03, § 39, 4 март 2014 г.). Той отбелязва в тази връзка, че в настоящия случай стойността на камиона </w:t>
      </w:r>
      <w:r>
        <w:rPr>
          <w:cs/>
        </w:rPr>
        <w:t xml:space="preserve">– </w:t>
      </w:r>
      <w:r>
        <w:t xml:space="preserve">около 83 000 </w:t>
      </w:r>
      <w:r w:rsidR="001B23D5">
        <w:t>евро,</w:t>
      </w:r>
      <w:r>
        <w:t xml:space="preserve"> </w:t>
      </w:r>
      <w:r w:rsidR="001B23D5">
        <w:t>съгласно назначената</w:t>
      </w:r>
      <w:r>
        <w:t xml:space="preserve"> експертиза по време на наказателното производство срещу шофьора </w:t>
      </w:r>
      <w:r>
        <w:rPr>
          <w:cs/>
        </w:rPr>
        <w:t xml:space="preserve">– </w:t>
      </w:r>
      <w:r w:rsidR="002D6CB6">
        <w:t>надвишава повече от</w:t>
      </w:r>
      <w:r>
        <w:t xml:space="preserve"> три пъти стойността на контрабандните </w:t>
      </w:r>
      <w:r w:rsidR="002D6CB6">
        <w:t xml:space="preserve">стоки </w:t>
      </w:r>
      <w:r>
        <w:t xml:space="preserve">(като последната се оценява на около 27 000 </w:t>
      </w:r>
      <w:r w:rsidR="001B23D5">
        <w:t>евро</w:t>
      </w:r>
      <w:r>
        <w:t xml:space="preserve">). </w:t>
      </w:r>
      <w:r w:rsidR="00EE42AC">
        <w:t>Въпреки че дружеството-</w:t>
      </w:r>
      <w:r>
        <w:t xml:space="preserve">жалбоподател моли </w:t>
      </w:r>
      <w:r w:rsidR="001B23D5">
        <w:t xml:space="preserve">решаващия </w:t>
      </w:r>
      <w:r>
        <w:t>съд</w:t>
      </w:r>
      <w:r w:rsidR="001B23D5">
        <w:t>,</w:t>
      </w:r>
      <w:r>
        <w:t xml:space="preserve"> да не </w:t>
      </w:r>
      <w:r w:rsidR="001B23D5">
        <w:t>отнема</w:t>
      </w:r>
      <w:r>
        <w:t xml:space="preserve"> камиона, като изрично се позовава на тази законова разпоредба (</w:t>
      </w:r>
      <w:r w:rsidR="00E80A1D">
        <w:t>вижте</w:t>
      </w:r>
      <w:r>
        <w:t xml:space="preserve"> параграф 10 по-горе), националният съд не </w:t>
      </w:r>
      <w:r w:rsidR="003F5B98">
        <w:t xml:space="preserve">се произнася по </w:t>
      </w:r>
      <w:r>
        <w:t xml:space="preserve">това искане. Всъщност не изглежда националният съд да е преценил в който и да било момент дали стойността на превозното средство значително надвишава тази на контрабандните </w:t>
      </w:r>
      <w:r w:rsidR="003F5B98">
        <w:t>стоки</w:t>
      </w:r>
      <w:r>
        <w:t xml:space="preserve">, въпреки че това е изискване </w:t>
      </w:r>
      <w:r w:rsidR="003F5B98">
        <w:t xml:space="preserve">на </w:t>
      </w:r>
      <w:r>
        <w:t>националното законодателство.</w:t>
      </w:r>
    </w:p>
    <w:p w:rsidR="000D0FBE" w:rsidRPr="00FA41BB" w:rsidRDefault="000D0FBE" w:rsidP="000D0FBE">
      <w:pPr>
        <w:pStyle w:val="ECHRPara"/>
      </w:pPr>
      <w:fldSimple w:instr=" SEQ level0 \*arabic ">
        <w:r>
          <w:t>43</w:t>
        </w:r>
      </w:fldSimple>
      <w:r>
        <w:t xml:space="preserve">.  Съдът не счита за необходимо да се произнася по въпроса за </w:t>
      </w:r>
      <w:r w:rsidR="000D2786">
        <w:t>законосъобразността</w:t>
      </w:r>
      <w:r>
        <w:t xml:space="preserve">, защото при всички положения той установява, че </w:t>
      </w:r>
      <w:r w:rsidR="001B23D5">
        <w:t xml:space="preserve">отнемането </w:t>
      </w:r>
      <w:r w:rsidR="00EE42AC">
        <w:t>на камиона на дружеството-</w:t>
      </w:r>
      <w:r>
        <w:t>жалбоподател е несъвместим</w:t>
      </w:r>
      <w:r w:rsidR="001B23D5">
        <w:t>о</w:t>
      </w:r>
      <w:r>
        <w:t xml:space="preserve"> с чл. 1 от Протокол </w:t>
      </w:r>
      <w:r>
        <w:rPr>
          <w:cs/>
        </w:rPr>
        <w:t xml:space="preserve">№ </w:t>
      </w:r>
      <w:r>
        <w:t>1 към Конвенцията на друг</w:t>
      </w:r>
      <w:r w:rsidR="000D2786">
        <w:t>и</w:t>
      </w:r>
      <w:r>
        <w:t xml:space="preserve"> основани</w:t>
      </w:r>
      <w:r w:rsidR="000D2786">
        <w:t>я</w:t>
      </w:r>
      <w:r>
        <w:t xml:space="preserve"> (</w:t>
      </w:r>
      <w:r w:rsidR="00E80A1D">
        <w:t>вижте</w:t>
      </w:r>
      <w:r>
        <w:t xml:space="preserve"> за същия подход в контекста на други разпоредби на Конвенцията, изискващи пропорционалност на намесата </w:t>
      </w:r>
      <w:r w:rsidR="000D2786">
        <w:t xml:space="preserve">с оглед на </w:t>
      </w:r>
      <w:r>
        <w:t xml:space="preserve">преследваната цел, </w:t>
      </w:r>
      <w:proofErr w:type="spellStart"/>
      <w:r>
        <w:rPr>
          <w:i/>
        </w:rPr>
        <w:t>Funke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France</w:t>
      </w:r>
      <w:proofErr w:type="spellEnd"/>
      <w:r>
        <w:t xml:space="preserve">, 25 февруари 1993 г., § 51, Серия A </w:t>
      </w:r>
      <w:r w:rsidRPr="00E80A1D">
        <w:rPr>
          <w:szCs w:val="24"/>
          <w:cs/>
        </w:rPr>
        <w:t>№</w:t>
      </w:r>
      <w:r w:rsidRPr="00E80A1D">
        <w:rPr>
          <w:szCs w:val="24"/>
        </w:rPr>
        <w:t> </w:t>
      </w:r>
      <w:r>
        <w:t>256</w:t>
      </w:r>
      <w:r w:rsidR="00EE42AC" w:rsidRPr="00A276F3">
        <w:t>-</w:t>
      </w:r>
      <w:r>
        <w:t xml:space="preserve">A; </w:t>
      </w:r>
      <w:proofErr w:type="spellStart"/>
      <w:r>
        <w:rPr>
          <w:i/>
        </w:rPr>
        <w:t>Manoussakis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Greece</w:t>
      </w:r>
      <w:proofErr w:type="spellEnd"/>
      <w:r>
        <w:t>, решение от 26 септември 1996 г., Доклади за решения и определения 1996</w:t>
      </w:r>
      <w:r w:rsidR="00261F33" w:rsidRPr="00A276F3">
        <w:t>-</w:t>
      </w:r>
      <w:r>
        <w:t xml:space="preserve">IV, стр. 1362, § 38). Съдът ще разгледа оплакванията на жалбоподателя, че националното законодателство не изпълнява изискването на Конвенцията за "справедлив баланс" от гледна точка на </w:t>
      </w:r>
      <w:r w:rsidR="001B23D5">
        <w:t>въпроса</w:t>
      </w:r>
      <w:r w:rsidR="00725DCB">
        <w:t>,</w:t>
      </w:r>
      <w:r>
        <w:t xml:space="preserve"> дали намесата е </w:t>
      </w:r>
      <w:r w:rsidR="00725DCB">
        <w:t xml:space="preserve">била </w:t>
      </w:r>
      <w:r>
        <w:t>необходима за постигането на преследваната легитимна цел (</w:t>
      </w:r>
      <w:r w:rsidR="00E80A1D">
        <w:t>виж</w:t>
      </w:r>
      <w:r>
        <w:t xml:space="preserve"> за подобен подход </w:t>
      </w:r>
      <w:proofErr w:type="spellStart"/>
      <w:r>
        <w:rPr>
          <w:i/>
        </w:rPr>
        <w:t>Микроинтелект</w:t>
      </w:r>
      <w:proofErr w:type="spellEnd"/>
      <w:r>
        <w:t xml:space="preserve">, цитирано по-горе, § 39, в което жалбоподателят е притежавал конфискуван алкохол и не е имал на разположение процедура за представяне на позицията си; виж също, </w:t>
      </w:r>
      <w:proofErr w:type="spellStart"/>
      <w:r>
        <w:rPr>
          <w:i/>
        </w:rPr>
        <w:t>mutatis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mutandis</w:t>
      </w:r>
      <w:proofErr w:type="spellEnd"/>
      <w:r>
        <w:t xml:space="preserve">, </w:t>
      </w:r>
      <w:r>
        <w:rPr>
          <w:i/>
        </w:rPr>
        <w:t>Йорданова и други срещу България</w:t>
      </w:r>
      <w:r>
        <w:t xml:space="preserve">, </w:t>
      </w:r>
      <w:r>
        <w:rPr>
          <w:cs/>
        </w:rPr>
        <w:t xml:space="preserve">№ </w:t>
      </w:r>
      <w:r>
        <w:t>25446/06, § 108, 24 април 2012 г.).</w:t>
      </w:r>
    </w:p>
    <w:p w:rsidR="000D0FBE" w:rsidRPr="00FA41BB" w:rsidRDefault="000D0FBE" w:rsidP="000D0FBE">
      <w:pPr>
        <w:pStyle w:val="ECHRPara"/>
      </w:pPr>
      <w:fldSimple w:instr=" SEQ level0 \*arabic ">
        <w:r>
          <w:t>44</w:t>
        </w:r>
      </w:fldSimple>
      <w:r>
        <w:t xml:space="preserve">.  Съдът се съгласява с Правителството, че </w:t>
      </w:r>
      <w:r w:rsidR="001B23D5">
        <w:t xml:space="preserve">отнемането </w:t>
      </w:r>
      <w:r>
        <w:t xml:space="preserve">преследва легитимна цел в обществен интерес </w:t>
      </w:r>
      <w:r>
        <w:rPr>
          <w:cs/>
        </w:rPr>
        <w:t>–</w:t>
      </w:r>
      <w:r w:rsidR="00324256">
        <w:rPr>
          <w:rFonts w:hint="cs"/>
          <w:cs/>
        </w:rPr>
        <w:t xml:space="preserve"> </w:t>
      </w:r>
      <w:r>
        <w:t>борбата с незаконния трафик на наркотици (</w:t>
      </w:r>
      <w:r w:rsidR="00E80A1D">
        <w:t>вижте</w:t>
      </w:r>
      <w:r>
        <w:t xml:space="preserve">, </w:t>
      </w:r>
      <w:proofErr w:type="spellStart"/>
      <w:r>
        <w:rPr>
          <w:i/>
        </w:rPr>
        <w:t>mutatis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mutandis</w:t>
      </w:r>
      <w:proofErr w:type="spellEnd"/>
      <w:r>
        <w:t xml:space="preserve">, по въпроса на целта, </w:t>
      </w:r>
      <w:r w:rsidR="00D301AA">
        <w:t>преследвана</w:t>
      </w:r>
      <w:r>
        <w:t xml:space="preserve"> с процедурата по заповед за конфискация по силата на британското </w:t>
      </w:r>
      <w:r>
        <w:lastRenderedPageBreak/>
        <w:t xml:space="preserve">законодателство в контекста на борбата с трафика на наркотици, </w:t>
      </w:r>
      <w:proofErr w:type="spellStart"/>
      <w:r>
        <w:rPr>
          <w:i/>
        </w:rPr>
        <w:t>Phillips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 xml:space="preserve">, </w:t>
      </w:r>
      <w:r>
        <w:rPr>
          <w:cs/>
        </w:rPr>
        <w:t xml:space="preserve">№ </w:t>
      </w:r>
      <w:r>
        <w:t>41087/98, § 52, ЕСПЧ 2001VII).</w:t>
      </w:r>
    </w:p>
    <w:p w:rsidR="000D0FBE" w:rsidRPr="00FA41BB" w:rsidRDefault="000D0FBE" w:rsidP="000D0FBE">
      <w:pPr>
        <w:pStyle w:val="ECHRPara"/>
      </w:pPr>
      <w:fldSimple w:instr=" SEQ level0 \*arabic ">
        <w:r>
          <w:t>45</w:t>
        </w:r>
      </w:fldSimple>
      <w:r>
        <w:t>.  </w:t>
      </w:r>
      <w:r w:rsidR="00324256">
        <w:t xml:space="preserve">Преценявайки </w:t>
      </w:r>
      <w:r>
        <w:t xml:space="preserve">дали има разумна връзка на пропорционалност между </w:t>
      </w:r>
      <w:r w:rsidR="00324256">
        <w:t xml:space="preserve">отнемането </w:t>
      </w:r>
      <w:r>
        <w:t xml:space="preserve">и преследваната цел, Съдът отбелязва, че националните съдилища не </w:t>
      </w:r>
      <w:r w:rsidR="00BC7BE5">
        <w:t xml:space="preserve">са разгледали </w:t>
      </w:r>
      <w:r>
        <w:t xml:space="preserve">законосъобразността на </w:t>
      </w:r>
      <w:r w:rsidR="00324256">
        <w:t xml:space="preserve">отнемането </w:t>
      </w:r>
      <w:r>
        <w:t>съгласно националното законодателство (</w:t>
      </w:r>
      <w:r w:rsidR="00E80A1D">
        <w:t>вижте</w:t>
      </w:r>
      <w:r>
        <w:t xml:space="preserve"> параграф 42 по-горе). Нито пък </w:t>
      </w:r>
      <w:r w:rsidR="00BC7BE5">
        <w:t xml:space="preserve">са преценили </w:t>
      </w:r>
      <w:r>
        <w:t xml:space="preserve">поведението на собственика на конфискувания камион или връзката между поведението на последния и престъплението. Няма доказателства пред Съда, </w:t>
      </w:r>
      <w:r w:rsidR="00324256">
        <w:t xml:space="preserve">сочещи </w:t>
      </w:r>
      <w:r>
        <w:t>че собственикът е можело или трябвало да знае за извършването н</w:t>
      </w:r>
      <w:r w:rsidR="00D301AA">
        <w:t>а престъпление</w:t>
      </w:r>
      <w:r w:rsidR="00324256">
        <w:t>,</w:t>
      </w:r>
      <w:r w:rsidR="00D301AA">
        <w:t xml:space="preserve"> и на </w:t>
      </w:r>
      <w:r w:rsidR="00BC7BE5">
        <w:t>него очевидно не му</w:t>
      </w:r>
      <w:r>
        <w:t xml:space="preserve"> е дадена възможност да изложи гледната си точка. Наистина, </w:t>
      </w:r>
      <w:r w:rsidR="00DA2FF3">
        <w:t xml:space="preserve">в националното законодателство не е предвидена </w:t>
      </w:r>
      <w:r>
        <w:t xml:space="preserve">възможност за </w:t>
      </w:r>
      <w:r w:rsidR="00DA2FF3">
        <w:t>такава процедура</w:t>
      </w:r>
      <w:r>
        <w:t xml:space="preserve">, но все пак </w:t>
      </w:r>
      <w:r w:rsidR="00DA2FF3">
        <w:t xml:space="preserve">разглеждането на твърденията на жалбоподателя </w:t>
      </w:r>
      <w:r>
        <w:t>е необходимо по силата на Конвенцията, така че властите да могат да оценят пропорционалността на конфискацията (</w:t>
      </w:r>
      <w:r w:rsidR="00E80A1D">
        <w:t>вижте</w:t>
      </w:r>
      <w:r>
        <w:t xml:space="preserve"> параграф 38 по-горе). Следователно, липсата на </w:t>
      </w:r>
      <w:r w:rsidR="00DA2FF3">
        <w:t>такъв анализ</w:t>
      </w:r>
      <w:r>
        <w:t xml:space="preserve"> по силата на приложимото законодателство</w:t>
      </w:r>
      <w:r w:rsidR="00DA2FF3">
        <w:t>, не е дала</w:t>
      </w:r>
      <w:r>
        <w:t xml:space="preserve"> възможност да се постигне "справедлив баланс" между различните засегнати интереси.</w:t>
      </w:r>
    </w:p>
    <w:p w:rsidR="000D0FBE" w:rsidRPr="00FA41BB" w:rsidRDefault="000D0FBE">
      <w:pPr>
        <w:pStyle w:val="ECHRPara"/>
      </w:pPr>
      <w:fldSimple w:instr=" SEQ level0 \*arabic ">
        <w:r>
          <w:t>46</w:t>
        </w:r>
      </w:fldSimple>
      <w:r>
        <w:t>.  </w:t>
      </w:r>
      <w:r w:rsidR="00D301AA">
        <w:t>В заключение</w:t>
      </w:r>
      <w:r>
        <w:t xml:space="preserve"> и най-</w:t>
      </w:r>
      <w:r w:rsidR="00D301AA">
        <w:t>важно</w:t>
      </w:r>
      <w:r>
        <w:t xml:space="preserve"> е, че Правителството не </w:t>
      </w:r>
      <w:r w:rsidR="008452E1">
        <w:t>доказва</w:t>
      </w:r>
      <w:r>
        <w:t xml:space="preserve">, че </w:t>
      </w:r>
      <w:r w:rsidR="00324256">
        <w:t xml:space="preserve">отнемането </w:t>
      </w:r>
      <w:r>
        <w:t>е извършен</w:t>
      </w:r>
      <w:r w:rsidR="00324256">
        <w:t>о</w:t>
      </w:r>
      <w:r>
        <w:t xml:space="preserve"> съгласно процедура, </w:t>
      </w:r>
      <w:r w:rsidR="00D301AA">
        <w:t>в която дружеството-</w:t>
      </w:r>
      <w:r>
        <w:t xml:space="preserve">жалбоподател </w:t>
      </w:r>
      <w:r w:rsidR="008452E1">
        <w:t xml:space="preserve">е имало възможност </w:t>
      </w:r>
      <w:r>
        <w:t xml:space="preserve">да изложи своята </w:t>
      </w:r>
      <w:r w:rsidR="008452E1">
        <w:t xml:space="preserve">позиция </w:t>
      </w:r>
      <w:r>
        <w:t xml:space="preserve"> пред националните власти, или че всъщност такава процедура съществува на национално равнище. </w:t>
      </w:r>
      <w:r w:rsidR="00D301AA">
        <w:t>Тъй като дружеството-</w:t>
      </w:r>
      <w:r>
        <w:t xml:space="preserve">жалбоподател не е жертва на престъплението, а трета страна, засегната от наказателното производство срещу шофьора, не е налице основание то да се намеси в това производство. Съдът счита, че отнемането би било в съответствие с изискванията на Конвенцията, само ако е извършено в съответствие с процедура, която осигурява подходящи гаранции срещу произвол (сравнете и съпоставете настоящото дело с </w:t>
      </w:r>
      <w:proofErr w:type="spellStart"/>
      <w:r>
        <w:rPr>
          <w:i/>
        </w:rPr>
        <w:t>Phillips</w:t>
      </w:r>
      <w:proofErr w:type="spellEnd"/>
      <w:r>
        <w:t xml:space="preserve">, цитирано по-горе, § 43, където Съдът приема, че процедура за конфискация е съвместима с изискванията на Конвенцията за "справедлив процес" и "мирно ползване на притежанията", </w:t>
      </w:r>
      <w:r w:rsidR="00D301AA">
        <w:t xml:space="preserve">тъй като е </w:t>
      </w:r>
      <w:r w:rsidR="00E810C4">
        <w:t xml:space="preserve">разгледана </w:t>
      </w:r>
      <w:r w:rsidR="00D301AA">
        <w:t xml:space="preserve">от съд </w:t>
      </w:r>
      <w:r w:rsidR="00E810C4">
        <w:t xml:space="preserve">в рамките на </w:t>
      </w:r>
      <w:r>
        <w:t xml:space="preserve">съдебно производство, което включва публично заседание, предварително оповестяване на тезата на обвинението и възможност за жалбоподателя да представи </w:t>
      </w:r>
      <w:r w:rsidR="00324256">
        <w:t xml:space="preserve">писмени </w:t>
      </w:r>
      <w:r w:rsidR="00FB75D0">
        <w:t xml:space="preserve">и гласни </w:t>
      </w:r>
      <w:r>
        <w:t>доказателств</w:t>
      </w:r>
      <w:r w:rsidR="00324256">
        <w:t>а</w:t>
      </w:r>
      <w:r>
        <w:t xml:space="preserve">; съпоставете също с делото </w:t>
      </w:r>
      <w:r>
        <w:rPr>
          <w:i/>
        </w:rPr>
        <w:t>AGOSI</w:t>
      </w:r>
      <w:r>
        <w:t xml:space="preserve">, цитирано по-горе, § 62, където Съдът постановява, че британската система гарантира, че </w:t>
      </w:r>
      <w:r w:rsidR="00FB75D0">
        <w:t>в достатъчна степен е взето предвид</w:t>
      </w:r>
      <w:r w:rsidR="00D911B7">
        <w:t xml:space="preserve">  поведението на дружеството-</w:t>
      </w:r>
      <w:r>
        <w:t xml:space="preserve">жалбоподател и то </w:t>
      </w:r>
      <w:r w:rsidR="00FB75D0">
        <w:t xml:space="preserve">е получило </w:t>
      </w:r>
      <w:r>
        <w:t xml:space="preserve">разумна възможност да представи </w:t>
      </w:r>
      <w:r w:rsidR="00FB75D0">
        <w:t>своето становище</w:t>
      </w:r>
      <w:r>
        <w:t xml:space="preserve">). В тази връзка също така Съдът се позовава </w:t>
      </w:r>
      <w:r w:rsidR="00910D02">
        <w:t xml:space="preserve">на </w:t>
      </w:r>
      <w:r>
        <w:t xml:space="preserve">заключението си </w:t>
      </w:r>
      <w:r w:rsidR="00910D02">
        <w:t>по делото</w:t>
      </w:r>
      <w:r>
        <w:t xml:space="preserve"> </w:t>
      </w:r>
      <w:proofErr w:type="spellStart"/>
      <w:r>
        <w:rPr>
          <w:i/>
        </w:rPr>
        <w:t>Hentrich</w:t>
      </w:r>
      <w:proofErr w:type="spellEnd"/>
      <w:r>
        <w:t>, цитирано по-горе, § 49, където установява, че жалбоподател</w:t>
      </w:r>
      <w:r w:rsidR="002573C9">
        <w:t>ката</w:t>
      </w:r>
      <w:r>
        <w:t xml:space="preserve"> "</w:t>
      </w:r>
      <w:r w:rsidR="00910D02">
        <w:t>е понесл</w:t>
      </w:r>
      <w:r w:rsidR="002573C9">
        <w:t>а</w:t>
      </w:r>
      <w:r w:rsidR="00910D02">
        <w:t xml:space="preserve"> </w:t>
      </w:r>
      <w:r>
        <w:t xml:space="preserve">индивидуална и прекомерна тежест, която </w:t>
      </w:r>
      <w:r w:rsidR="00910D02">
        <w:t>може да се счете</w:t>
      </w:r>
      <w:r>
        <w:t xml:space="preserve"> за легитимна, само ако тя е имала възможността </w:t>
      </w:r>
      <w:r>
        <w:rPr>
          <w:cs/>
        </w:rPr>
        <w:t xml:space="preserve">– </w:t>
      </w:r>
      <w:r>
        <w:t xml:space="preserve">която </w:t>
      </w:r>
      <w:r>
        <w:lastRenderedPageBreak/>
        <w:t xml:space="preserve">ѝ е отказана </w:t>
      </w:r>
      <w:r>
        <w:rPr>
          <w:cs/>
        </w:rPr>
        <w:t xml:space="preserve">– </w:t>
      </w:r>
      <w:r>
        <w:t xml:space="preserve">ефективно </w:t>
      </w:r>
      <w:r w:rsidR="00910D02">
        <w:t xml:space="preserve">да </w:t>
      </w:r>
      <w:r>
        <w:t>обжалва  мярката, предприета срещу нея ... и че справедливият баланс, който трябва да се постигне между защитата на правото на собственост и изискванията на общ</w:t>
      </w:r>
      <w:r w:rsidR="002573C9">
        <w:t xml:space="preserve">ествения </w:t>
      </w:r>
      <w:r>
        <w:t>интерес, следователно е нарушен". Както беше посочено по-горе, в настоящия случай за дружеств</w:t>
      </w:r>
      <w:r w:rsidR="00D911B7">
        <w:t>ото-</w:t>
      </w:r>
      <w:r>
        <w:t xml:space="preserve">жалбоподател не е имало на разположение вътрешна процедура, с която да изложи своята гледна точка пред </w:t>
      </w:r>
      <w:r w:rsidR="00910D02">
        <w:t xml:space="preserve">компетентните </w:t>
      </w:r>
      <w:r>
        <w:t>органи.</w:t>
      </w:r>
    </w:p>
    <w:p w:rsidR="000D0FBE" w:rsidRPr="00FA41BB" w:rsidRDefault="000D0FBE">
      <w:pPr>
        <w:pStyle w:val="ECHRPara"/>
      </w:pPr>
      <w:fldSimple w:instr=" SEQ level0 \*arabic ">
        <w:r>
          <w:t>47</w:t>
        </w:r>
      </w:fldSimple>
      <w:r>
        <w:t xml:space="preserve">.  С оглед на изложените по-горе съображения, Съдът намира, </w:t>
      </w:r>
      <w:r w:rsidR="00D911B7">
        <w:t>че дружеството-</w:t>
      </w:r>
      <w:r>
        <w:t xml:space="preserve">жалбоподател е понесло индивидуална и прекомерна тежест, която </w:t>
      </w:r>
      <w:r w:rsidR="008C42C1">
        <w:t xml:space="preserve"> би могла да се счете за легитимна</w:t>
      </w:r>
      <w:r>
        <w:t>, само ако то е имало възможността да оспори ефективно отнемане</w:t>
      </w:r>
      <w:r w:rsidR="008C42C1">
        <w:t>то</w:t>
      </w:r>
      <w:r>
        <w:t xml:space="preserve"> на имуществото му в резултат от наказателното производство, по което то не е страна; </w:t>
      </w:r>
      <w:r w:rsidR="00D911B7">
        <w:t>дружеството-</w:t>
      </w:r>
      <w:r>
        <w:t xml:space="preserve">жалбоподател обаче не е имало такава възможност и затова справедливият баланс, който трябва да бъде постигнат между защитата на правото на жалбоподателя на собственост и изискванията на общия интерес, </w:t>
      </w:r>
      <w:r w:rsidR="008C42C1">
        <w:t>не е бил спазен</w:t>
      </w:r>
      <w:r>
        <w:t xml:space="preserve"> в нарушение на чл. 1 от Протокол </w:t>
      </w:r>
      <w:r>
        <w:rPr>
          <w:cs/>
        </w:rPr>
        <w:t xml:space="preserve">№ </w:t>
      </w:r>
      <w:r>
        <w:t>1 към Конвенцията (</w:t>
      </w:r>
      <w:r w:rsidR="00E80A1D">
        <w:t>вижте</w:t>
      </w:r>
      <w:r>
        <w:t xml:space="preserve"> също така </w:t>
      </w:r>
      <w:proofErr w:type="spellStart"/>
      <w:r>
        <w:rPr>
          <w:i/>
        </w:rPr>
        <w:t>Denisova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Moiseyeva</w:t>
      </w:r>
      <w:proofErr w:type="spellEnd"/>
      <w:r>
        <w:t xml:space="preserve">, цитирано по-горе, § 64, и </w:t>
      </w:r>
      <w:proofErr w:type="spellStart"/>
      <w:r>
        <w:rPr>
          <w:i/>
        </w:rPr>
        <w:t>Микроинтелект</w:t>
      </w:r>
      <w:proofErr w:type="spellEnd"/>
      <w:r>
        <w:rPr>
          <w:i/>
        </w:rPr>
        <w:t xml:space="preserve"> ООД срещу България</w:t>
      </w:r>
      <w:r>
        <w:t xml:space="preserve">, </w:t>
      </w:r>
      <w:r>
        <w:rPr>
          <w:cs/>
        </w:rPr>
        <w:t xml:space="preserve">№ </w:t>
      </w:r>
      <w:r>
        <w:t>34129/03, § 47, последното изречение, и § 49, 4 март 2014 г.).</w:t>
      </w:r>
    </w:p>
    <w:p w:rsidR="000D0FBE" w:rsidRPr="00FA41BB" w:rsidRDefault="000D0FBE" w:rsidP="000D0FBE">
      <w:pPr>
        <w:pStyle w:val="ECHRHeading1"/>
      </w:pPr>
      <w:r>
        <w:t>II.  </w:t>
      </w:r>
      <w:r w:rsidR="008C42C1">
        <w:t xml:space="preserve">ТВЪРДЯНО </w:t>
      </w:r>
      <w:r>
        <w:t>НАРУШЕНЕ НА ЧЛ. 6 § 1 ОТ КОНВЕНЦИЯТА</w:t>
      </w:r>
    </w:p>
    <w:p w:rsidR="000D0FBE" w:rsidRPr="00FA41BB" w:rsidRDefault="000D0FBE" w:rsidP="000D0FBE">
      <w:pPr>
        <w:pStyle w:val="ECHRPara"/>
      </w:pPr>
      <w:fldSimple w:instr=" SEQ level0 \*arabic ">
        <w:r>
          <w:t>48</w:t>
        </w:r>
      </w:fldSimple>
      <w:r>
        <w:t>.  </w:t>
      </w:r>
      <w:r w:rsidR="00D911B7">
        <w:t>Дружеството-</w:t>
      </w:r>
      <w:r>
        <w:t xml:space="preserve">жалбоподател се оплаква, че не е имало достъп до съд, за да изложи </w:t>
      </w:r>
      <w:r w:rsidR="00004B0D">
        <w:t>становището си</w:t>
      </w:r>
      <w:r>
        <w:t>, отстоявайки правата си на собственост. Дружеството се позовава на чл.</w:t>
      </w:r>
      <w:r w:rsidR="00657DB8">
        <w:t xml:space="preserve"> 6 §</w:t>
      </w:r>
      <w:r>
        <w:t xml:space="preserve"> 1 от Конвенцията, който в </w:t>
      </w:r>
      <w:r w:rsidR="00D911B7">
        <w:t>приложимата</w:t>
      </w:r>
      <w:r>
        <w:t xml:space="preserve"> си част гласи следното:</w:t>
      </w:r>
    </w:p>
    <w:p w:rsidR="000D0FBE" w:rsidRPr="00FA41BB" w:rsidRDefault="000D0FBE" w:rsidP="000D0FBE">
      <w:pPr>
        <w:pStyle w:val="ECHRParaQuote"/>
      </w:pPr>
      <w:r>
        <w:t>"Всяко лице, при решаването на правен спор относно неговите граждански права и задължения..., има право на справедливо ... гледане ... от ... съд ..."</w:t>
      </w:r>
    </w:p>
    <w:p w:rsidR="000D0FBE" w:rsidRPr="00FA41BB" w:rsidRDefault="000D0FBE" w:rsidP="000D0FBE">
      <w:pPr>
        <w:pStyle w:val="ECHRPara"/>
      </w:pPr>
      <w:fldSimple w:instr=" SEQ level0 \*arabic ">
        <w:r>
          <w:t>49</w:t>
        </w:r>
      </w:fldSimple>
      <w:r>
        <w:t xml:space="preserve">.  Правителството не посочва национална процедура, </w:t>
      </w:r>
      <w:r w:rsidR="0075036C">
        <w:t xml:space="preserve">в рамките на </w:t>
      </w:r>
      <w:r w:rsidR="00D911B7">
        <w:t>която дружеството-</w:t>
      </w:r>
      <w:r>
        <w:t xml:space="preserve">жалбоподател може да се опита да защити своите права на собственост в съда. Нито пък се опитва да обясни или оправдае тази липса на достъп до съд освен с позоваване на тежестта на престъплението, по отношение на което е </w:t>
      </w:r>
      <w:r w:rsidR="002573C9">
        <w:t>отнет к</w:t>
      </w:r>
      <w:r>
        <w:t>амион</w:t>
      </w:r>
      <w:r w:rsidR="002573C9">
        <w:t>ът</w:t>
      </w:r>
      <w:r>
        <w:t>.</w:t>
      </w:r>
    </w:p>
    <w:p w:rsidR="000D0FBE" w:rsidRPr="00FA41BB" w:rsidRDefault="000D0FBE" w:rsidP="000D0FBE">
      <w:pPr>
        <w:pStyle w:val="ECHRPara"/>
      </w:pPr>
      <w:fldSimple w:instr=" SEQ level0 \*arabic ">
        <w:r>
          <w:t>50</w:t>
        </w:r>
      </w:fldSimple>
      <w:r>
        <w:t>.  Съдът отбелязва, че това оплакване е свързано с разгледаното по-горе и също трябва да бъде обявено за допустимо.</w:t>
      </w:r>
    </w:p>
    <w:p w:rsidR="000D0FBE" w:rsidRDefault="000D0FBE" w:rsidP="000D0FBE">
      <w:pPr>
        <w:pStyle w:val="ECHRPara"/>
      </w:pPr>
      <w:fldSimple w:instr=" SEQ level0 \*arabic ">
        <w:r>
          <w:t>51</w:t>
        </w:r>
      </w:fldSimple>
      <w:r>
        <w:t xml:space="preserve">.  Като взема предвид констатацията, свързана с чл. 1 от Протокол </w:t>
      </w:r>
      <w:r>
        <w:rPr>
          <w:cs/>
        </w:rPr>
        <w:t xml:space="preserve">№ </w:t>
      </w:r>
      <w:r>
        <w:t>1 към Конвенцията (</w:t>
      </w:r>
      <w:r w:rsidR="00E80A1D">
        <w:t>вижте</w:t>
      </w:r>
      <w:r>
        <w:t xml:space="preserve"> параграфи 46 и 47 по-горе), Съдът счита, че не е необходимо да се разглежда</w:t>
      </w:r>
      <w:r w:rsidR="00D911B7">
        <w:t>,</w:t>
      </w:r>
      <w:r>
        <w:t xml:space="preserve"> дали в този случай е налице нарушение на чл. 6, § 1 (</w:t>
      </w:r>
      <w:r w:rsidR="00E80A1D">
        <w:t>вижте</w:t>
      </w:r>
      <w:r w:rsidR="00D911B7">
        <w:t>,</w:t>
      </w:r>
      <w:r>
        <w:t xml:space="preserve"> за подобен подход</w:t>
      </w:r>
      <w:r w:rsidR="00D911B7">
        <w:t>,</w:t>
      </w:r>
      <w:r>
        <w:t xml:space="preserve"> </w:t>
      </w:r>
      <w:proofErr w:type="spellStart"/>
      <w:r>
        <w:rPr>
          <w:i/>
        </w:rPr>
        <w:t>Bowler</w:t>
      </w:r>
      <w:proofErr w:type="spellEnd"/>
      <w:r>
        <w:rPr>
          <w:i/>
        </w:rPr>
        <w:t xml:space="preserve"> International </w:t>
      </w:r>
      <w:proofErr w:type="spellStart"/>
      <w:r>
        <w:rPr>
          <w:i/>
        </w:rPr>
        <w:t>Unit</w:t>
      </w:r>
      <w:proofErr w:type="spellEnd"/>
      <w:r>
        <w:t xml:space="preserve">, §§ 62 и 63, и </w:t>
      </w:r>
      <w:proofErr w:type="spellStart"/>
      <w:r>
        <w:rPr>
          <w:i/>
        </w:rPr>
        <w:t>Микроинтелект</w:t>
      </w:r>
      <w:proofErr w:type="spellEnd"/>
      <w:r>
        <w:t>, § 54, и двете цитирани по-горе).</w:t>
      </w:r>
    </w:p>
    <w:p w:rsidR="000D0FBE" w:rsidRPr="00FA41BB" w:rsidRDefault="000D0FBE" w:rsidP="000D0FBE">
      <w:pPr>
        <w:pStyle w:val="ECHRHeading1"/>
        <w:keepNext w:val="0"/>
        <w:keepLines w:val="0"/>
      </w:pPr>
      <w:r>
        <w:t>III.  </w:t>
      </w:r>
      <w:r w:rsidR="00680ED1">
        <w:t xml:space="preserve">ПРИЛОЖЕНИЕ </w:t>
      </w:r>
      <w:r>
        <w:t>НА ЧЛ. 41 ОТ КОНВЕНЦИЯТА</w:t>
      </w:r>
    </w:p>
    <w:p w:rsidR="000D0FBE" w:rsidRPr="00FA41BB" w:rsidRDefault="000D0FBE" w:rsidP="000D0FBE">
      <w:pPr>
        <w:pStyle w:val="ECHRPara"/>
      </w:pPr>
      <w:fldSimple w:instr=" SEQ level0 \*arabic ">
        <w:r>
          <w:t>52</w:t>
        </w:r>
      </w:fldSimple>
      <w:r>
        <w:t>.  Чл. 41 от Конвенцията гласи:</w:t>
      </w:r>
    </w:p>
    <w:p w:rsidR="000D0FBE" w:rsidRPr="00FA41BB" w:rsidRDefault="000D0FBE" w:rsidP="000D0FBE">
      <w:pPr>
        <w:pStyle w:val="ECHRParaQuote"/>
      </w:pPr>
      <w:r>
        <w:t xml:space="preserve">"Ако Съдът установи нарушение на Конвенцията или на Протоколите към нея и ако вътрешното право на съответната </w:t>
      </w:r>
      <w:proofErr w:type="spellStart"/>
      <w:r>
        <w:t>Βисокодоговаряща</w:t>
      </w:r>
      <w:proofErr w:type="spellEnd"/>
      <w: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страна."</w:t>
      </w:r>
    </w:p>
    <w:p w:rsidR="000D0FBE" w:rsidRPr="00FA41BB" w:rsidRDefault="000D0FBE" w:rsidP="000D0FBE">
      <w:pPr>
        <w:pStyle w:val="ECHRHeading2"/>
      </w:pPr>
      <w:r>
        <w:t>Вреди</w:t>
      </w:r>
    </w:p>
    <w:p w:rsidR="000D0FBE" w:rsidRPr="00FA41BB" w:rsidRDefault="000D0FBE" w:rsidP="000D0FBE">
      <w:pPr>
        <w:pStyle w:val="ECHRPara"/>
      </w:pPr>
      <w:fldSimple w:instr=" SEQ level0 \*arabic ">
        <w:r>
          <w:t>53</w:t>
        </w:r>
      </w:fldSimple>
      <w:r>
        <w:t>.  </w:t>
      </w:r>
      <w:r w:rsidR="00FB0EB2">
        <w:t>Дружеството-</w:t>
      </w:r>
      <w:r>
        <w:t xml:space="preserve">жалбоподател претендира </w:t>
      </w:r>
      <w:r w:rsidR="00FF45B8">
        <w:t xml:space="preserve">сума в размер на </w:t>
      </w:r>
      <w:r w:rsidR="00AE2AEE">
        <w:t>110</w:t>
      </w:r>
      <w:r w:rsidR="00FB0EB2">
        <w:t xml:space="preserve"> </w:t>
      </w:r>
      <w:r>
        <w:t>116</w:t>
      </w:r>
      <w:r w:rsidR="00FB0EB2">
        <w:t>.</w:t>
      </w:r>
      <w:r>
        <w:t xml:space="preserve">75 </w:t>
      </w:r>
      <w:r w:rsidR="00FB0EB2">
        <w:rPr>
          <w:lang w:val="en-US"/>
        </w:rPr>
        <w:t>EUR</w:t>
      </w:r>
      <w:r>
        <w:t xml:space="preserve"> за претърпени имуществени и неимуществени вреди, без да уточнява повече подробности. По-конкретно, то е представило документ, показващ, че това е размерът на вредите, които Правоприлагащата служба на Истанбул установява през декември 2011 г., че шоф</w:t>
      </w:r>
      <w:r w:rsidR="00FB0EB2">
        <w:t>ьорът е причинил на дружеството-</w:t>
      </w:r>
      <w:r>
        <w:t>жалбоподател, като е предизвиквал с действията си отнемането на неговия камион (</w:t>
      </w:r>
      <w:r w:rsidR="00E80A1D">
        <w:t>вижте</w:t>
      </w:r>
      <w:r>
        <w:t xml:space="preserve"> параграф 12 по-горе).</w:t>
      </w:r>
    </w:p>
    <w:p w:rsidR="000D0FBE" w:rsidRPr="00FA41BB" w:rsidRDefault="000D0FBE" w:rsidP="000D0FBE">
      <w:pPr>
        <w:pStyle w:val="ECHRPara"/>
      </w:pPr>
      <w:fldSimple w:instr=" SEQ level0 \*arabic ">
        <w:r>
          <w:t>54</w:t>
        </w:r>
      </w:fldSimple>
      <w:r>
        <w:t xml:space="preserve">.  Правителството твърди, че сумата е прекомерна. То освен това посочва, че експертната оценка на пазарната стойност на сравним камион, използвана по време на </w:t>
      </w:r>
      <w:r w:rsidR="00FF45B8">
        <w:t xml:space="preserve">националното </w:t>
      </w:r>
      <w:r>
        <w:t xml:space="preserve">наказателно производство срещу шофьора, е 83 000 </w:t>
      </w:r>
      <w:r w:rsidR="00FB0EB2">
        <w:rPr>
          <w:lang w:val="en-US"/>
        </w:rPr>
        <w:t>EUR</w:t>
      </w:r>
      <w:r>
        <w:t xml:space="preserve">. То също така посочва, че всяко справедливо обезщетение трябва да </w:t>
      </w:r>
      <w:r w:rsidR="006B1230">
        <w:t>отчита</w:t>
      </w:r>
      <w:r>
        <w:t xml:space="preserve"> всички неблагоприятни последствия за жалбоподателя в резултат единствено на установеното нарушение и не трябва да надвишава размера на обезщетението в подобни случаи.</w:t>
      </w:r>
    </w:p>
    <w:p w:rsidR="000D0FBE" w:rsidRPr="00FA41BB" w:rsidRDefault="000D0FBE">
      <w:pPr>
        <w:pStyle w:val="ECHRPara"/>
      </w:pPr>
      <w:fldSimple w:instr=" SEQ level0 \*arabic ">
        <w:r>
          <w:t>55</w:t>
        </w:r>
      </w:fldSimple>
      <w:r>
        <w:t>.  Съдът счита, че този въпрос не е готов за реш</w:t>
      </w:r>
      <w:r w:rsidR="00B61D54">
        <w:t>аване</w:t>
      </w:r>
      <w:r>
        <w:t xml:space="preserve">. В съответствие с това той се запазва и се определя последващата процедура, като  </w:t>
      </w:r>
      <w:r w:rsidR="00B61D54">
        <w:t xml:space="preserve">следва да се </w:t>
      </w:r>
      <w:r>
        <w:t>вземе предвид всяко споразумение, което може да бъде постигнато между страните (чл. 75 § 1 от Правилника на Съда).</w:t>
      </w:r>
    </w:p>
    <w:p w:rsidR="000D0FBE" w:rsidRPr="00FA41BB" w:rsidRDefault="000D0FBE" w:rsidP="000D0FBE">
      <w:pPr>
        <w:pStyle w:val="ECHRTitle1"/>
      </w:pPr>
      <w:r>
        <w:t>ПО ТЕЗИ СЪОБРАЖЕНИЯ СЪДЪТ ЕДИНОДУШНО</w:t>
      </w:r>
    </w:p>
    <w:p w:rsidR="000D0FBE" w:rsidRPr="00FA41BB" w:rsidRDefault="000D0FBE" w:rsidP="000D0FBE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D0FBE" w:rsidRPr="00FA41BB" w:rsidRDefault="000D0FBE" w:rsidP="000D0FBE">
      <w:pPr>
        <w:pStyle w:val="JuList"/>
        <w:ind w:left="0" w:firstLine="0"/>
      </w:pPr>
    </w:p>
    <w:p w:rsidR="000D0FBE" w:rsidRPr="00FA41BB" w:rsidRDefault="000D0FBE" w:rsidP="000D0FBE">
      <w:pPr>
        <w:pStyle w:val="JuList"/>
      </w:pPr>
      <w:r>
        <w:t>2.  </w:t>
      </w:r>
      <w:r>
        <w:rPr>
          <w:i/>
        </w:rPr>
        <w:t>Приема</w:t>
      </w:r>
      <w:r>
        <w:t xml:space="preserve">, че е налице нарушение на чл. 1 от Протокол </w:t>
      </w:r>
      <w:r>
        <w:rPr>
          <w:cs/>
        </w:rPr>
        <w:t xml:space="preserve">№ </w:t>
      </w:r>
      <w:r>
        <w:t>1 от Конвенцията;</w:t>
      </w:r>
    </w:p>
    <w:p w:rsidR="000D0FBE" w:rsidRPr="00FA41BB" w:rsidRDefault="000D0FBE" w:rsidP="000D0FBE">
      <w:pPr>
        <w:pStyle w:val="JuList"/>
      </w:pPr>
    </w:p>
    <w:p w:rsidR="000D0FBE" w:rsidRPr="00FA41BB" w:rsidRDefault="000D0FBE" w:rsidP="000D0FBE">
      <w:pPr>
        <w:pStyle w:val="JuList"/>
      </w:pPr>
      <w:r>
        <w:t>3.  </w:t>
      </w:r>
      <w:r>
        <w:rPr>
          <w:i/>
        </w:rPr>
        <w:t>Приема</w:t>
      </w:r>
      <w:r>
        <w:t>, че не е необходимо да  разглежда оплакването по чл. 6 § 1 от Конвенцията;</w:t>
      </w:r>
    </w:p>
    <w:p w:rsidR="000D0FBE" w:rsidRPr="00FA41BB" w:rsidRDefault="000D0FBE" w:rsidP="000D0FBE">
      <w:pPr>
        <w:pStyle w:val="JuList"/>
      </w:pPr>
    </w:p>
    <w:p w:rsidR="000D0FBE" w:rsidRPr="00FA41BB" w:rsidRDefault="000D0FBE" w:rsidP="000D0FBE">
      <w:pPr>
        <w:pStyle w:val="JuList"/>
      </w:pPr>
      <w:r>
        <w:t>4.  </w:t>
      </w:r>
      <w:r>
        <w:rPr>
          <w:i/>
        </w:rPr>
        <w:t>Приема</w:t>
      </w:r>
      <w:r>
        <w:t>, че въпросът за прилагането на чл. 41 от Конвенцията не е готов за решаване и съответно:</w:t>
      </w:r>
    </w:p>
    <w:p w:rsidR="000D0FBE" w:rsidRPr="00FA41BB" w:rsidRDefault="000D0FBE" w:rsidP="000D0FBE">
      <w:pPr>
        <w:pStyle w:val="JuLista"/>
      </w:pPr>
      <w:r>
        <w:lastRenderedPageBreak/>
        <w:t xml:space="preserve">(а) </w:t>
      </w:r>
      <w:r w:rsidR="00A669E3">
        <w:rPr>
          <w:i/>
        </w:rPr>
        <w:t>отлага</w:t>
      </w:r>
      <w:r>
        <w:t xml:space="preserve"> посочения въпрос в цялост;</w:t>
      </w:r>
    </w:p>
    <w:p w:rsidR="000D0FBE" w:rsidRPr="00FA41BB" w:rsidRDefault="000D0FBE" w:rsidP="000D0FBE">
      <w:pPr>
        <w:pStyle w:val="JuLista"/>
      </w:pPr>
      <w:r>
        <w:t xml:space="preserve">(б) </w:t>
      </w:r>
      <w:r>
        <w:rPr>
          <w:i/>
        </w:rPr>
        <w:t>приканва</w:t>
      </w:r>
      <w:r>
        <w:t xml:space="preserve"> страните да представят в срок от три месеца от датата, на която решението стане окончателно в съответствие с чл. 44, § 2 от Конвенцията, писмените си становища по въпроса и по-конкретно да уведомят Съда за </w:t>
      </w:r>
      <w:r w:rsidRPr="00495D67">
        <w:t>всяко споразумение, което могат да постигнат;</w:t>
      </w:r>
    </w:p>
    <w:p w:rsidR="000D0FBE" w:rsidRPr="00FA41BB" w:rsidRDefault="000D0FBE" w:rsidP="000D0FBE">
      <w:pPr>
        <w:pStyle w:val="JuLista"/>
        <w:keepNext/>
        <w:keepLines/>
      </w:pPr>
      <w:r>
        <w:t xml:space="preserve">(в) </w:t>
      </w:r>
      <w:r w:rsidR="00A669E3">
        <w:rPr>
          <w:i/>
        </w:rPr>
        <w:t>отлага</w:t>
      </w:r>
      <w:r w:rsidR="00A669E3">
        <w:t xml:space="preserve"> </w:t>
      </w:r>
      <w:r>
        <w:t xml:space="preserve">по-нататъшната процедура и </w:t>
      </w:r>
      <w:r>
        <w:rPr>
          <w:i/>
        </w:rPr>
        <w:t>упълномощава</w:t>
      </w:r>
      <w:r>
        <w:t xml:space="preserve"> Председателя на Камарата с правомощия да определя същата, ако е необходимо.</w:t>
      </w:r>
    </w:p>
    <w:p w:rsidR="000D0FBE" w:rsidRPr="00FA41BB" w:rsidRDefault="000D0FBE" w:rsidP="000D0FBE">
      <w:pPr>
        <w:pStyle w:val="JuParaLast"/>
      </w:pPr>
      <w:r>
        <w:t xml:space="preserve">Изготвено на английски език и оповестено писмено на </w:t>
      </w:r>
      <w:r w:rsidR="00AE2AEE" w:rsidRPr="00A276F3">
        <w:t>1</w:t>
      </w:r>
      <w:r>
        <w:t>3 октомври 2015 г., в съответствие с Правило 77, §§ 2 и 3 от Правилника на Съда.</w:t>
      </w:r>
    </w:p>
    <w:p w:rsidR="00495D67" w:rsidRPr="00AE2AEE" w:rsidRDefault="000D0FBE" w:rsidP="00495D67">
      <w:pPr>
        <w:pStyle w:val="JuSigned"/>
      </w:pPr>
      <w:r>
        <w:tab/>
      </w:r>
      <w:proofErr w:type="spellStart"/>
      <w:r>
        <w:t>Fatoş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(</w:t>
      </w:r>
      <w:proofErr w:type="spellStart"/>
      <w:r>
        <w:t>Фатош</w:t>
      </w:r>
      <w:proofErr w:type="spellEnd"/>
      <w:r>
        <w:t xml:space="preserve"> </w:t>
      </w:r>
      <w:proofErr w:type="spellStart"/>
      <w:r>
        <w:t>Араджъ</w:t>
      </w:r>
      <w:proofErr w:type="spellEnd"/>
      <w:r>
        <w:t>)</w:t>
      </w:r>
      <w:r>
        <w:tab/>
      </w:r>
      <w:proofErr w:type="spellStart"/>
      <w:r>
        <w:t>Guido</w:t>
      </w:r>
      <w:proofErr w:type="spellEnd"/>
      <w:r>
        <w:t xml:space="preserve"> </w:t>
      </w:r>
      <w:proofErr w:type="spellStart"/>
      <w:r>
        <w:t>Raimond</w:t>
      </w:r>
      <w:bookmarkStart w:id="2" w:name="_GoBack"/>
      <w:bookmarkEnd w:id="2"/>
      <w:r>
        <w:t>i</w:t>
      </w:r>
      <w:proofErr w:type="spellEnd"/>
      <w:r>
        <w:t xml:space="preserve"> (</w:t>
      </w:r>
      <w:proofErr w:type="spellStart"/>
      <w:r>
        <w:t>Гуидо</w:t>
      </w:r>
      <w:proofErr w:type="spellEnd"/>
      <w:r>
        <w:t xml:space="preserve"> </w:t>
      </w:r>
      <w:proofErr w:type="spellStart"/>
      <w:r>
        <w:t>Раймонди</w:t>
      </w:r>
      <w:proofErr w:type="spellEnd"/>
      <w:r>
        <w:t>)</w:t>
      </w:r>
      <w:r>
        <w:br/>
      </w:r>
      <w:r>
        <w:tab/>
        <w:t>Секретар на отделението</w:t>
      </w:r>
      <w:r>
        <w:tab/>
        <w:t>Председател</w:t>
      </w:r>
    </w:p>
    <w:sectPr w:rsidR="00495D67" w:rsidRPr="00AE2AEE" w:rsidSect="000D0FBE">
      <w:headerReference w:type="even" r:id="rId16"/>
      <w:headerReference w:type="default" r:id="rId17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4F" w:rsidRDefault="00DF014F" w:rsidP="000D0FBE">
      <w:r>
        <w:separator/>
      </w:r>
    </w:p>
  </w:endnote>
  <w:endnote w:type="continuationSeparator" w:id="0">
    <w:p w:rsidR="00DF014F" w:rsidRDefault="00DF014F" w:rsidP="000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60" w:rsidRDefault="00106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A" w:rsidRDefault="00F04B3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02BB2">
      <w:rPr>
        <w:noProof/>
      </w:rPr>
      <w:t>15</w:t>
    </w:r>
    <w:r>
      <w:fldChar w:fldCharType="end"/>
    </w:r>
  </w:p>
  <w:p w:rsidR="00F04B3A" w:rsidRDefault="00F04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BE" w:rsidRPr="00150BFA" w:rsidRDefault="002500FD" w:rsidP="000D0FBE">
    <w:pPr>
      <w:jc w:val="center"/>
    </w:pPr>
    <w:r>
      <w:rPr>
        <w:noProof/>
      </w:rPr>
      <w:drawing>
        <wp:inline distT="0" distB="0" distL="0" distR="0">
          <wp:extent cx="767715" cy="621030"/>
          <wp:effectExtent l="0" t="0" r="0" b="0"/>
          <wp:docPr id="2" name="Picture 32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FBE" w:rsidRDefault="000D0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4F" w:rsidRDefault="00DF014F" w:rsidP="000D0FBE">
      <w:r>
        <w:separator/>
      </w:r>
    </w:p>
  </w:footnote>
  <w:footnote w:type="continuationSeparator" w:id="0">
    <w:p w:rsidR="00DF014F" w:rsidRDefault="00DF014F" w:rsidP="000D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FC" w:rsidRDefault="003F41F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F41FC" w:rsidRDefault="003F4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BE" w:rsidRPr="00DE15E0" w:rsidRDefault="000D0FBE" w:rsidP="000D0FB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BE" w:rsidRPr="00A45145" w:rsidRDefault="002500FD" w:rsidP="000D0FBE">
    <w:pPr>
      <w:jc w:val="center"/>
    </w:pPr>
    <w:r>
      <w:rPr>
        <w:noProof/>
      </w:rPr>
      <w:drawing>
        <wp:inline distT="0" distB="0" distL="0" distR="0">
          <wp:extent cx="2959100" cy="1216025"/>
          <wp:effectExtent l="0" t="0" r="0" b="0"/>
          <wp:docPr id="1" name="Picture 2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FBE" w:rsidRDefault="000D0F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BE" w:rsidRPr="00FF2306" w:rsidRDefault="000D0FBE" w:rsidP="000D0FBE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BB2">
      <w:rPr>
        <w:rStyle w:val="PageNumber"/>
        <w:noProof/>
      </w:rPr>
      <w:t>16</w:t>
    </w:r>
    <w:r>
      <w:rPr>
        <w:rStyle w:val="PageNumber"/>
      </w:rPr>
      <w:fldChar w:fldCharType="end"/>
    </w:r>
    <w:r>
      <w:tab/>
      <w:t xml:space="preserve">РЕШЕНИЕ ÜNSPED PAKET SERVİSİ SAN. VE TİC. A.Ş. СРЕЩУ БЪЛГАРИЯ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BE" w:rsidRPr="00D60D87" w:rsidRDefault="000D0FBE" w:rsidP="000D0FBE">
    <w:pPr>
      <w:pStyle w:val="ECHRHeader"/>
    </w:pPr>
    <w:r>
      <w:tab/>
      <w:t xml:space="preserve">РЕШЕНИЕ ÜNSPED PAKET SERVİSİ SAN. VE TİC. A.Ş. СРЕЩУ БЪЛГАРИЯ </w:t>
    </w:r>
    <w:r w:rsidR="00EA2131">
      <w:t xml:space="preserve">    </w:t>
    </w:r>
    <w:r w:rsidR="000D42DE">
      <w:t>ПО СЪЩЕСТВО)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BB2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DB92CFA"/>
    <w:multiLevelType w:val="hybridMultilevel"/>
    <w:tmpl w:val="513A807C"/>
    <w:lvl w:ilvl="0" w:tplc="2CA4F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8F6F926" w:tentative="1">
      <w:start w:val="1"/>
      <w:numFmt w:val="lowerLetter"/>
      <w:lvlText w:val="%2."/>
      <w:lvlJc w:val="left"/>
      <w:pPr>
        <w:ind w:left="1440" w:hanging="360"/>
      </w:pPr>
    </w:lvl>
    <w:lvl w:ilvl="2" w:tplc="BE2421DE" w:tentative="1">
      <w:start w:val="1"/>
      <w:numFmt w:val="lowerRoman"/>
      <w:lvlText w:val="%3."/>
      <w:lvlJc w:val="right"/>
      <w:pPr>
        <w:ind w:left="2160" w:hanging="180"/>
      </w:pPr>
    </w:lvl>
    <w:lvl w:ilvl="3" w:tplc="C2F8198E" w:tentative="1">
      <w:start w:val="1"/>
      <w:numFmt w:val="decimal"/>
      <w:lvlText w:val="%4."/>
      <w:lvlJc w:val="left"/>
      <w:pPr>
        <w:ind w:left="2880" w:hanging="360"/>
      </w:pPr>
    </w:lvl>
    <w:lvl w:ilvl="4" w:tplc="B3A4345E" w:tentative="1">
      <w:start w:val="1"/>
      <w:numFmt w:val="lowerLetter"/>
      <w:lvlText w:val="%5."/>
      <w:lvlJc w:val="left"/>
      <w:pPr>
        <w:ind w:left="3600" w:hanging="360"/>
      </w:pPr>
    </w:lvl>
    <w:lvl w:ilvl="5" w:tplc="7CBCC9D6" w:tentative="1">
      <w:start w:val="1"/>
      <w:numFmt w:val="lowerRoman"/>
      <w:lvlText w:val="%6."/>
      <w:lvlJc w:val="right"/>
      <w:pPr>
        <w:ind w:left="4320" w:hanging="180"/>
      </w:pPr>
    </w:lvl>
    <w:lvl w:ilvl="6" w:tplc="CE3C7586" w:tentative="1">
      <w:start w:val="1"/>
      <w:numFmt w:val="decimal"/>
      <w:lvlText w:val="%7."/>
      <w:lvlJc w:val="left"/>
      <w:pPr>
        <w:ind w:left="5040" w:hanging="360"/>
      </w:pPr>
    </w:lvl>
    <w:lvl w:ilvl="7" w:tplc="FC480F76" w:tentative="1">
      <w:start w:val="1"/>
      <w:numFmt w:val="lowerLetter"/>
      <w:lvlText w:val="%8."/>
      <w:lvlJc w:val="left"/>
      <w:pPr>
        <w:ind w:left="5760" w:hanging="360"/>
      </w:pPr>
    </w:lvl>
    <w:lvl w:ilvl="8" w:tplc="95E87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0324D93"/>
    <w:multiLevelType w:val="hybridMultilevel"/>
    <w:tmpl w:val="F7D68528"/>
    <w:lvl w:ilvl="0" w:tplc="B372B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44FF0C" w:tentative="1">
      <w:start w:val="1"/>
      <w:numFmt w:val="lowerLetter"/>
      <w:lvlText w:val="%2."/>
      <w:lvlJc w:val="left"/>
      <w:pPr>
        <w:ind w:left="1440" w:hanging="360"/>
      </w:pPr>
    </w:lvl>
    <w:lvl w:ilvl="2" w:tplc="30E4ECC6" w:tentative="1">
      <w:start w:val="1"/>
      <w:numFmt w:val="lowerRoman"/>
      <w:lvlText w:val="%3."/>
      <w:lvlJc w:val="right"/>
      <w:pPr>
        <w:ind w:left="2160" w:hanging="180"/>
      </w:pPr>
    </w:lvl>
    <w:lvl w:ilvl="3" w:tplc="F61E942E" w:tentative="1">
      <w:start w:val="1"/>
      <w:numFmt w:val="decimal"/>
      <w:lvlText w:val="%4."/>
      <w:lvlJc w:val="left"/>
      <w:pPr>
        <w:ind w:left="2880" w:hanging="360"/>
      </w:pPr>
    </w:lvl>
    <w:lvl w:ilvl="4" w:tplc="3D929846" w:tentative="1">
      <w:start w:val="1"/>
      <w:numFmt w:val="lowerLetter"/>
      <w:lvlText w:val="%5."/>
      <w:lvlJc w:val="left"/>
      <w:pPr>
        <w:ind w:left="3600" w:hanging="360"/>
      </w:pPr>
    </w:lvl>
    <w:lvl w:ilvl="5" w:tplc="6122E2D6" w:tentative="1">
      <w:start w:val="1"/>
      <w:numFmt w:val="lowerRoman"/>
      <w:lvlText w:val="%6."/>
      <w:lvlJc w:val="right"/>
      <w:pPr>
        <w:ind w:left="4320" w:hanging="180"/>
      </w:pPr>
    </w:lvl>
    <w:lvl w:ilvl="6" w:tplc="D41CEB98" w:tentative="1">
      <w:start w:val="1"/>
      <w:numFmt w:val="decimal"/>
      <w:lvlText w:val="%7."/>
      <w:lvlJc w:val="left"/>
      <w:pPr>
        <w:ind w:left="5040" w:hanging="360"/>
      </w:pPr>
    </w:lvl>
    <w:lvl w:ilvl="7" w:tplc="C33A1E3C" w:tentative="1">
      <w:start w:val="1"/>
      <w:numFmt w:val="lowerLetter"/>
      <w:lvlText w:val="%8."/>
      <w:lvlJc w:val="left"/>
      <w:pPr>
        <w:ind w:left="5760" w:hanging="360"/>
      </w:pPr>
    </w:lvl>
    <w:lvl w:ilvl="8" w:tplc="54C0A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0B42C89"/>
    <w:multiLevelType w:val="hybridMultilevel"/>
    <w:tmpl w:val="CFB02226"/>
    <w:lvl w:ilvl="0" w:tplc="FF0E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3828ECC" w:tentative="1">
      <w:start w:val="1"/>
      <w:numFmt w:val="lowerLetter"/>
      <w:lvlText w:val="%2."/>
      <w:lvlJc w:val="left"/>
      <w:pPr>
        <w:ind w:left="1440" w:hanging="360"/>
      </w:pPr>
    </w:lvl>
    <w:lvl w:ilvl="2" w:tplc="B7025EAE" w:tentative="1">
      <w:start w:val="1"/>
      <w:numFmt w:val="lowerRoman"/>
      <w:lvlText w:val="%3."/>
      <w:lvlJc w:val="right"/>
      <w:pPr>
        <w:ind w:left="2160" w:hanging="180"/>
      </w:pPr>
    </w:lvl>
    <w:lvl w:ilvl="3" w:tplc="BDA883EC" w:tentative="1">
      <w:start w:val="1"/>
      <w:numFmt w:val="decimal"/>
      <w:lvlText w:val="%4."/>
      <w:lvlJc w:val="left"/>
      <w:pPr>
        <w:ind w:left="2880" w:hanging="360"/>
      </w:pPr>
    </w:lvl>
    <w:lvl w:ilvl="4" w:tplc="5BB6ADE8" w:tentative="1">
      <w:start w:val="1"/>
      <w:numFmt w:val="lowerLetter"/>
      <w:lvlText w:val="%5."/>
      <w:lvlJc w:val="left"/>
      <w:pPr>
        <w:ind w:left="3600" w:hanging="360"/>
      </w:pPr>
    </w:lvl>
    <w:lvl w:ilvl="5" w:tplc="0D5E1986" w:tentative="1">
      <w:start w:val="1"/>
      <w:numFmt w:val="lowerRoman"/>
      <w:lvlText w:val="%6."/>
      <w:lvlJc w:val="right"/>
      <w:pPr>
        <w:ind w:left="4320" w:hanging="180"/>
      </w:pPr>
    </w:lvl>
    <w:lvl w:ilvl="6" w:tplc="784A433E" w:tentative="1">
      <w:start w:val="1"/>
      <w:numFmt w:val="decimal"/>
      <w:lvlText w:val="%7."/>
      <w:lvlJc w:val="left"/>
      <w:pPr>
        <w:ind w:left="5040" w:hanging="360"/>
      </w:pPr>
    </w:lvl>
    <w:lvl w:ilvl="7" w:tplc="EE421DA2" w:tentative="1">
      <w:start w:val="1"/>
      <w:numFmt w:val="lowerLetter"/>
      <w:lvlText w:val="%8."/>
      <w:lvlJc w:val="left"/>
      <w:pPr>
        <w:ind w:left="5760" w:hanging="360"/>
      </w:pPr>
    </w:lvl>
    <w:lvl w:ilvl="8" w:tplc="16D6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D1F59D2"/>
    <w:multiLevelType w:val="hybridMultilevel"/>
    <w:tmpl w:val="4582FBFC"/>
    <w:lvl w:ilvl="0" w:tplc="3D8EFF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BE032F6" w:tentative="1">
      <w:start w:val="1"/>
      <w:numFmt w:val="lowerLetter"/>
      <w:lvlText w:val="%2."/>
      <w:lvlJc w:val="left"/>
      <w:pPr>
        <w:ind w:left="1440" w:hanging="360"/>
      </w:pPr>
    </w:lvl>
    <w:lvl w:ilvl="2" w:tplc="676AEB50" w:tentative="1">
      <w:start w:val="1"/>
      <w:numFmt w:val="lowerRoman"/>
      <w:lvlText w:val="%3."/>
      <w:lvlJc w:val="right"/>
      <w:pPr>
        <w:ind w:left="2160" w:hanging="180"/>
      </w:pPr>
    </w:lvl>
    <w:lvl w:ilvl="3" w:tplc="080285AE" w:tentative="1">
      <w:start w:val="1"/>
      <w:numFmt w:val="decimal"/>
      <w:lvlText w:val="%4."/>
      <w:lvlJc w:val="left"/>
      <w:pPr>
        <w:ind w:left="2880" w:hanging="360"/>
      </w:pPr>
    </w:lvl>
    <w:lvl w:ilvl="4" w:tplc="E4C051AE" w:tentative="1">
      <w:start w:val="1"/>
      <w:numFmt w:val="lowerLetter"/>
      <w:lvlText w:val="%5."/>
      <w:lvlJc w:val="left"/>
      <w:pPr>
        <w:ind w:left="3600" w:hanging="360"/>
      </w:pPr>
    </w:lvl>
    <w:lvl w:ilvl="5" w:tplc="05A04D14" w:tentative="1">
      <w:start w:val="1"/>
      <w:numFmt w:val="lowerRoman"/>
      <w:lvlText w:val="%6."/>
      <w:lvlJc w:val="right"/>
      <w:pPr>
        <w:ind w:left="4320" w:hanging="180"/>
      </w:pPr>
    </w:lvl>
    <w:lvl w:ilvl="6" w:tplc="6FBACE9E" w:tentative="1">
      <w:start w:val="1"/>
      <w:numFmt w:val="decimal"/>
      <w:lvlText w:val="%7."/>
      <w:lvlJc w:val="left"/>
      <w:pPr>
        <w:ind w:left="5040" w:hanging="360"/>
      </w:pPr>
    </w:lvl>
    <w:lvl w:ilvl="7" w:tplc="3E6ABA38" w:tentative="1">
      <w:start w:val="1"/>
      <w:numFmt w:val="lowerLetter"/>
      <w:lvlText w:val="%8."/>
      <w:lvlJc w:val="left"/>
      <w:pPr>
        <w:ind w:left="5760" w:hanging="360"/>
      </w:pPr>
    </w:lvl>
    <w:lvl w:ilvl="8" w:tplc="A028B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="Times New Roman" w:hAnsi="Times New Roman" w:hint="default"/>
        <w:strike w:val="0"/>
        <w:dstrike w:val="0"/>
        <w:color w:val="000000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6FD4624"/>
    <w:multiLevelType w:val="hybridMultilevel"/>
    <w:tmpl w:val="F8A68542"/>
    <w:lvl w:ilvl="0" w:tplc="FCF601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EA16A6" w:tentative="1">
      <w:start w:val="1"/>
      <w:numFmt w:val="lowerLetter"/>
      <w:lvlText w:val="%2."/>
      <w:lvlJc w:val="left"/>
      <w:pPr>
        <w:ind w:left="1440" w:hanging="360"/>
      </w:pPr>
    </w:lvl>
    <w:lvl w:ilvl="2" w:tplc="30FCA092" w:tentative="1">
      <w:start w:val="1"/>
      <w:numFmt w:val="lowerRoman"/>
      <w:lvlText w:val="%3."/>
      <w:lvlJc w:val="right"/>
      <w:pPr>
        <w:ind w:left="2160" w:hanging="180"/>
      </w:pPr>
    </w:lvl>
    <w:lvl w:ilvl="3" w:tplc="96F47672" w:tentative="1">
      <w:start w:val="1"/>
      <w:numFmt w:val="decimal"/>
      <w:lvlText w:val="%4."/>
      <w:lvlJc w:val="left"/>
      <w:pPr>
        <w:ind w:left="2880" w:hanging="360"/>
      </w:pPr>
    </w:lvl>
    <w:lvl w:ilvl="4" w:tplc="5F469624" w:tentative="1">
      <w:start w:val="1"/>
      <w:numFmt w:val="lowerLetter"/>
      <w:lvlText w:val="%5."/>
      <w:lvlJc w:val="left"/>
      <w:pPr>
        <w:ind w:left="3600" w:hanging="360"/>
      </w:pPr>
    </w:lvl>
    <w:lvl w:ilvl="5" w:tplc="4A24D5D6" w:tentative="1">
      <w:start w:val="1"/>
      <w:numFmt w:val="lowerRoman"/>
      <w:lvlText w:val="%6."/>
      <w:lvlJc w:val="right"/>
      <w:pPr>
        <w:ind w:left="4320" w:hanging="180"/>
      </w:pPr>
    </w:lvl>
    <w:lvl w:ilvl="6" w:tplc="0D04CCCA" w:tentative="1">
      <w:start w:val="1"/>
      <w:numFmt w:val="decimal"/>
      <w:lvlText w:val="%7."/>
      <w:lvlJc w:val="left"/>
      <w:pPr>
        <w:ind w:left="5040" w:hanging="360"/>
      </w:pPr>
    </w:lvl>
    <w:lvl w:ilvl="7" w:tplc="137850BE" w:tentative="1">
      <w:start w:val="1"/>
      <w:numFmt w:val="lowerLetter"/>
      <w:lvlText w:val="%8."/>
      <w:lvlJc w:val="left"/>
      <w:pPr>
        <w:ind w:left="5760" w:hanging="360"/>
      </w:pPr>
    </w:lvl>
    <w:lvl w:ilvl="8" w:tplc="19C04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D1241"/>
    <w:multiLevelType w:val="hybridMultilevel"/>
    <w:tmpl w:val="F6D86CC2"/>
    <w:lvl w:ilvl="0" w:tplc="07E43588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E8D24E2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81D4367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4829AC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68CE7E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EC8AC1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37E333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2C2C3F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904B47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="Times New Roman" w:hAnsi="Times New Roman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1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L4_1AppNatList" w:val="Turkish"/>
    <w:docVar w:name="NBEMMDOC" w:val="0"/>
    <w:docVar w:name="SignForeName" w:val="0"/>
  </w:docVars>
  <w:rsids>
    <w:rsidRoot w:val="00B437DC"/>
    <w:rsid w:val="00004B0D"/>
    <w:rsid w:val="000137D6"/>
    <w:rsid w:val="00087484"/>
    <w:rsid w:val="000957B3"/>
    <w:rsid w:val="000C0534"/>
    <w:rsid w:val="000C4BE6"/>
    <w:rsid w:val="000D0FBE"/>
    <w:rsid w:val="000D2786"/>
    <w:rsid w:val="000D42DE"/>
    <w:rsid w:val="000F67BD"/>
    <w:rsid w:val="000F6943"/>
    <w:rsid w:val="000F71AF"/>
    <w:rsid w:val="00106E60"/>
    <w:rsid w:val="00107CFE"/>
    <w:rsid w:val="00110105"/>
    <w:rsid w:val="001934C3"/>
    <w:rsid w:val="001B23D5"/>
    <w:rsid w:val="001B6F75"/>
    <w:rsid w:val="001D1ACB"/>
    <w:rsid w:val="0024217C"/>
    <w:rsid w:val="002500FD"/>
    <w:rsid w:val="002573C9"/>
    <w:rsid w:val="00261F33"/>
    <w:rsid w:val="00287FA5"/>
    <w:rsid w:val="002B04B6"/>
    <w:rsid w:val="002B2E97"/>
    <w:rsid w:val="002C02B2"/>
    <w:rsid w:val="002D6CB6"/>
    <w:rsid w:val="0031567A"/>
    <w:rsid w:val="00324256"/>
    <w:rsid w:val="00335FAA"/>
    <w:rsid w:val="00372352"/>
    <w:rsid w:val="00375AE5"/>
    <w:rsid w:val="003F41FC"/>
    <w:rsid w:val="003F5B98"/>
    <w:rsid w:val="00416A84"/>
    <w:rsid w:val="004626D3"/>
    <w:rsid w:val="00476CE3"/>
    <w:rsid w:val="00495D67"/>
    <w:rsid w:val="004B0D03"/>
    <w:rsid w:val="004B78E7"/>
    <w:rsid w:val="004E2EA3"/>
    <w:rsid w:val="004E52BE"/>
    <w:rsid w:val="00522F55"/>
    <w:rsid w:val="00561A82"/>
    <w:rsid w:val="00570AD9"/>
    <w:rsid w:val="00587CF0"/>
    <w:rsid w:val="005B2083"/>
    <w:rsid w:val="005B745A"/>
    <w:rsid w:val="005B7F9B"/>
    <w:rsid w:val="005C7A6B"/>
    <w:rsid w:val="0064063F"/>
    <w:rsid w:val="00657DB8"/>
    <w:rsid w:val="00680ED1"/>
    <w:rsid w:val="006B1230"/>
    <w:rsid w:val="006B51E2"/>
    <w:rsid w:val="00725DCB"/>
    <w:rsid w:val="0075036C"/>
    <w:rsid w:val="007714C1"/>
    <w:rsid w:val="007800E8"/>
    <w:rsid w:val="00811FE8"/>
    <w:rsid w:val="00820EF3"/>
    <w:rsid w:val="008452E1"/>
    <w:rsid w:val="00863893"/>
    <w:rsid w:val="00864E56"/>
    <w:rsid w:val="008967DF"/>
    <w:rsid w:val="008C3534"/>
    <w:rsid w:val="008C42C1"/>
    <w:rsid w:val="008C7A3B"/>
    <w:rsid w:val="008D008E"/>
    <w:rsid w:val="00910D02"/>
    <w:rsid w:val="0096287A"/>
    <w:rsid w:val="009C3A72"/>
    <w:rsid w:val="009E0C1B"/>
    <w:rsid w:val="009F6F62"/>
    <w:rsid w:val="00A276F3"/>
    <w:rsid w:val="00A669E3"/>
    <w:rsid w:val="00AE2AEE"/>
    <w:rsid w:val="00B044FE"/>
    <w:rsid w:val="00B2287D"/>
    <w:rsid w:val="00B437DC"/>
    <w:rsid w:val="00B46E3D"/>
    <w:rsid w:val="00B61D54"/>
    <w:rsid w:val="00B74C04"/>
    <w:rsid w:val="00B77373"/>
    <w:rsid w:val="00BA6243"/>
    <w:rsid w:val="00BC02EE"/>
    <w:rsid w:val="00BC7BE5"/>
    <w:rsid w:val="00BD6997"/>
    <w:rsid w:val="00C06171"/>
    <w:rsid w:val="00C175D5"/>
    <w:rsid w:val="00C5037D"/>
    <w:rsid w:val="00C5705A"/>
    <w:rsid w:val="00CA5933"/>
    <w:rsid w:val="00CD5C10"/>
    <w:rsid w:val="00CE13A7"/>
    <w:rsid w:val="00CF2DAF"/>
    <w:rsid w:val="00D301AA"/>
    <w:rsid w:val="00D30748"/>
    <w:rsid w:val="00D911B7"/>
    <w:rsid w:val="00DA2FF3"/>
    <w:rsid w:val="00DF014F"/>
    <w:rsid w:val="00E11348"/>
    <w:rsid w:val="00E14240"/>
    <w:rsid w:val="00E4406F"/>
    <w:rsid w:val="00E7140B"/>
    <w:rsid w:val="00E80A1D"/>
    <w:rsid w:val="00E810C4"/>
    <w:rsid w:val="00EA2131"/>
    <w:rsid w:val="00EE42AC"/>
    <w:rsid w:val="00F02BB2"/>
    <w:rsid w:val="00F04B3A"/>
    <w:rsid w:val="00F17CA9"/>
    <w:rsid w:val="00F315FE"/>
    <w:rsid w:val="00F33396"/>
    <w:rsid w:val="00F54465"/>
    <w:rsid w:val="00F7615D"/>
    <w:rsid w:val="00F95F08"/>
    <w:rsid w:val="00FA00A8"/>
    <w:rsid w:val="00FB0EB2"/>
    <w:rsid w:val="00FB75D0"/>
    <w:rsid w:val="00FE2A42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13921"/>
    <w:pPr>
      <w:jc w:val="both"/>
    </w:pPr>
    <w:rPr>
      <w:rFonts w:eastAsia="MS Mincho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13921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13921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13921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13921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13921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13921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3921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3921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3921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921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013921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013921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013921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013921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013921"/>
    <w:rPr>
      <w:sz w:val="22"/>
    </w:rPr>
  </w:style>
  <w:style w:type="character" w:customStyle="1" w:styleId="NoSpacingChar">
    <w:name w:val="No Spacing Char"/>
    <w:link w:val="NoSpacing"/>
    <w:semiHidden/>
    <w:rsid w:val="00013921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13921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013921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013921"/>
  </w:style>
  <w:style w:type="paragraph" w:customStyle="1" w:styleId="JuParaSub">
    <w:name w:val="Ju_Para_Sub"/>
    <w:basedOn w:val="ECHRPara"/>
    <w:uiPriority w:val="13"/>
    <w:qFormat/>
    <w:rsid w:val="00013921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13921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13921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OpiParaSub">
    <w:name w:val="Opi_Para_Sub"/>
    <w:basedOn w:val="JuParaSub"/>
    <w:uiPriority w:val="47"/>
    <w:qFormat/>
    <w:rsid w:val="00013921"/>
  </w:style>
  <w:style w:type="paragraph" w:customStyle="1" w:styleId="OpiQuot">
    <w:name w:val="Opi_Quot"/>
    <w:basedOn w:val="ECHRParaQuote"/>
    <w:uiPriority w:val="48"/>
    <w:qFormat/>
    <w:rsid w:val="00013921"/>
  </w:style>
  <w:style w:type="paragraph" w:customStyle="1" w:styleId="OpiQuotSub">
    <w:name w:val="Opi_Quot_Sub"/>
    <w:basedOn w:val="JuQuotSub"/>
    <w:uiPriority w:val="49"/>
    <w:qFormat/>
    <w:rsid w:val="00013921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013921"/>
    <w:pPr>
      <w:spacing w:after="240"/>
      <w:jc w:val="center"/>
      <w:outlineLvl w:val="0"/>
    </w:pPr>
  </w:style>
  <w:style w:type="paragraph" w:customStyle="1" w:styleId="JuTitle">
    <w:name w:val="Ju_Title"/>
    <w:basedOn w:val="Normal"/>
    <w:next w:val="ECHRPara"/>
    <w:uiPriority w:val="3"/>
    <w:rsid w:val="00013921"/>
    <w:pPr>
      <w:spacing w:before="720" w:after="240"/>
      <w:jc w:val="center"/>
      <w:outlineLvl w:val="0"/>
    </w:pPr>
    <w:rPr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013921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013921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13921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13921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13921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13921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13921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013921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013921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13921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rsid w:val="0001392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013921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013921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13921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013921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013921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character" w:customStyle="1" w:styleId="JUNAMES">
    <w:name w:val="JU_NAMES"/>
    <w:uiPriority w:val="17"/>
    <w:qFormat/>
    <w:rsid w:val="00013921"/>
    <w:rPr>
      <w:smallCaps/>
      <w:lang w:val="bg-BG" w:eastAsia="bg-BG"/>
    </w:rPr>
  </w:style>
  <w:style w:type="paragraph" w:customStyle="1" w:styleId="JuCase">
    <w:name w:val="Ju_Case"/>
    <w:basedOn w:val="Normal"/>
    <w:next w:val="ECHRPara"/>
    <w:uiPriority w:val="10"/>
    <w:rsid w:val="00013921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013921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013921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013921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013921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13921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013921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99"/>
    <w:rsid w:val="00013921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013921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013921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0139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921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013921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013921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013921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013921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013921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013921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1392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013921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013921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013921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13921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013921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013921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01392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013921"/>
    <w:pPr>
      <w:spacing w:before="120" w:after="60"/>
      <w:ind w:left="340" w:right="340" w:hanging="340"/>
    </w:pPr>
    <w:rPr>
      <w:color w:val="0D0D0D"/>
    </w:rPr>
  </w:style>
  <w:style w:type="paragraph" w:styleId="TOC2">
    <w:name w:val="toc 2"/>
    <w:basedOn w:val="Normal"/>
    <w:next w:val="Normal"/>
    <w:autoRedefine/>
    <w:uiPriority w:val="99"/>
    <w:semiHidden/>
    <w:rsid w:val="00013921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013921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013921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013921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013921"/>
    <w:pPr>
      <w:outlineLvl w:val="9"/>
    </w:pPr>
    <w:rPr>
      <w:color w:val="474747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013921"/>
    <w:pPr>
      <w:spacing w:before="120"/>
    </w:pPr>
    <w:rPr>
      <w:rFonts w:eastAsia="MS Gothic"/>
      <w:b/>
      <w:bCs/>
      <w:color w:val="474747"/>
      <w:szCs w:val="24"/>
    </w:rPr>
  </w:style>
  <w:style w:type="paragraph" w:customStyle="1" w:styleId="ECHRParaQuote">
    <w:name w:val="ECHR_Para_Quote"/>
    <w:aliases w:val="Ju_Quot"/>
    <w:basedOn w:val="Normal"/>
    <w:link w:val="JuQuotChar"/>
    <w:uiPriority w:val="14"/>
    <w:qFormat/>
    <w:rsid w:val="00013921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013921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13921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013921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013921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013921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013921"/>
    <w:pPr>
      <w:keepNext/>
      <w:keepLines/>
      <w:spacing w:before="240"/>
      <w:ind w:firstLine="284"/>
    </w:pPr>
  </w:style>
  <w:style w:type="paragraph" w:customStyle="1" w:styleId="OpiTranslation">
    <w:name w:val="Opi_Translation"/>
    <w:basedOn w:val="Normal"/>
    <w:next w:val="OpiPara"/>
    <w:uiPriority w:val="40"/>
    <w:qFormat/>
    <w:rsid w:val="00013921"/>
    <w:pPr>
      <w:jc w:val="center"/>
      <w:outlineLvl w:val="0"/>
    </w:pPr>
    <w:rPr>
      <w:i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013921"/>
    <w:pPr>
      <w:ind w:left="346" w:firstLine="0"/>
    </w:pPr>
  </w:style>
  <w:style w:type="paragraph" w:customStyle="1" w:styleId="DecHTitle">
    <w:name w:val="Dec_H_Title"/>
    <w:basedOn w:val="ECHRTitleCentre1"/>
    <w:uiPriority w:val="7"/>
    <w:rsid w:val="00013921"/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link w:val="CommentText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014566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014566"/>
    <w:rPr>
      <w:rFonts w:eastAsia="MS Mincho"/>
      <w:sz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JuCourt">
    <w:name w:val="Ju_Court"/>
    <w:basedOn w:val="Normal"/>
    <w:next w:val="Normal"/>
    <w:uiPriority w:val="16"/>
    <w:qFormat/>
    <w:rsid w:val="00013921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character" w:customStyle="1" w:styleId="JuITMark">
    <w:name w:val="Ju_ITMark"/>
    <w:uiPriority w:val="38"/>
    <w:qFormat/>
    <w:rsid w:val="00013921"/>
    <w:rPr>
      <w:color w:val="000000"/>
      <w:sz w:val="14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13921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013921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</w:style>
  <w:style w:type="numbering" w:styleId="1ai">
    <w:name w:val="Outline List 1"/>
    <w:basedOn w:val="NoList"/>
    <w:uiPriority w:val="99"/>
    <w:semiHidden/>
    <w:rsid w:val="00014566"/>
  </w:style>
  <w:style w:type="numbering" w:styleId="ArticleSection">
    <w:name w:val="Outline List 3"/>
    <w:basedOn w:val="NoList"/>
    <w:uiPriority w:val="99"/>
    <w:semiHidden/>
    <w:rsid w:val="00014566"/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014566"/>
    <w:rPr>
      <w:color w:val="808080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character" w:customStyle="1" w:styleId="ECHRParaChar">
    <w:name w:val="ECHR_Para Char"/>
    <w:aliases w:val="Ju_Para Char"/>
    <w:link w:val="ECHRPara"/>
    <w:uiPriority w:val="12"/>
    <w:rsid w:val="00765F42"/>
    <w:rPr>
      <w:rFonts w:eastAsia="MS Mincho"/>
      <w:sz w:val="24"/>
      <w:lang w:val="bg-BG" w:eastAsia="bg-BG"/>
    </w:rPr>
  </w:style>
  <w:style w:type="paragraph" w:customStyle="1" w:styleId="DecList">
    <w:name w:val="Dec_List"/>
    <w:basedOn w:val="Normal"/>
    <w:uiPriority w:val="9"/>
    <w:rsid w:val="00013921"/>
    <w:pPr>
      <w:spacing w:before="240"/>
      <w:ind w:left="284"/>
    </w:pPr>
  </w:style>
  <w:style w:type="paragraph" w:customStyle="1" w:styleId="JuListi">
    <w:name w:val="Ju_List_i"/>
    <w:basedOn w:val="Normal"/>
    <w:next w:val="JuLista"/>
    <w:uiPriority w:val="28"/>
    <w:qFormat/>
    <w:rsid w:val="00013921"/>
    <w:pPr>
      <w:ind w:left="794"/>
    </w:pPr>
  </w:style>
  <w:style w:type="paragraph" w:customStyle="1" w:styleId="OpiH1">
    <w:name w:val="Opi_H_1"/>
    <w:basedOn w:val="ECHRHeading2"/>
    <w:uiPriority w:val="42"/>
    <w:qFormat/>
    <w:rsid w:val="00013921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013921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13921"/>
    <w:pPr>
      <w:ind w:left="1037" w:hanging="357"/>
      <w:outlineLvl w:val="4"/>
    </w:pPr>
    <w:rPr>
      <w:b w:val="0"/>
      <w:i/>
    </w:rPr>
  </w:style>
  <w:style w:type="character" w:customStyle="1" w:styleId="JuQuotChar">
    <w:name w:val="Ju_Quot Char"/>
    <w:link w:val="ECHRParaQuote"/>
    <w:uiPriority w:val="14"/>
    <w:rsid w:val="005D464C"/>
    <w:rPr>
      <w:rFonts w:eastAsia="MS Mincho"/>
      <w:sz w:val="20"/>
      <w:lang w:val="bg-BG" w:eastAsia="bg-BG"/>
    </w:rPr>
  </w:style>
  <w:style w:type="paragraph" w:customStyle="1" w:styleId="DummyStyle">
    <w:name w:val="Dummy_Style"/>
    <w:basedOn w:val="Normal"/>
    <w:semiHidden/>
    <w:qFormat/>
    <w:rsid w:val="00013921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z(2263857,0)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z(2263430,0)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3344-1A13-4EB0-96A9-0ACB358A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38068</CharactersWithSpaces>
  <SharedDoc>false</SharedDoc>
  <HLinks>
    <vt:vector size="18" baseType="variant">
      <vt:variant>
        <vt:i4>5636177</vt:i4>
      </vt:variant>
      <vt:variant>
        <vt:i4>117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{"appno":["31107/96"]}</vt:lpwstr>
      </vt:variant>
      <vt:variant>
        <vt:i4>4128871</vt:i4>
      </vt:variant>
      <vt:variant>
        <vt:i4>69</vt:i4>
      </vt:variant>
      <vt:variant>
        <vt:i4>0</vt:i4>
      </vt:variant>
      <vt:variant>
        <vt:i4>5</vt:i4>
      </vt:variant>
      <vt:variant>
        <vt:lpwstr>javascript:z(2263857,0)</vt:lpwstr>
      </vt:variant>
      <vt:variant>
        <vt:lpwstr/>
      </vt:variant>
      <vt:variant>
        <vt:i4>3407969</vt:i4>
      </vt:variant>
      <vt:variant>
        <vt:i4>66</vt:i4>
      </vt:variant>
      <vt:variant>
        <vt:i4>0</vt:i4>
      </vt:variant>
      <vt:variant>
        <vt:i4>5</vt:i4>
      </vt:variant>
      <vt:variant>
        <vt:lpwstr>javascript:z(2263430,0)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2015-11-10T14:51:00Z</dcterms:created>
  <dcterms:modified xsi:type="dcterms:W3CDTF">2015-11-11T13:46:00Z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