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FF" w:rsidRPr="00D06BC5" w:rsidRDefault="00A61CFF" w:rsidP="00604E3D">
      <w:pPr>
        <w:jc w:val="center"/>
      </w:pPr>
      <w:bookmarkStart w:id="0" w:name="To"/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tabs>
          <w:tab w:val="left" w:pos="5529"/>
        </w:tabs>
        <w:jc w:val="center"/>
      </w:pPr>
      <w:r w:rsidRPr="00D06BC5">
        <w:t>ПЕТО ОТДЕЛЕНИЕ</w:t>
      </w:r>
      <w:bookmarkStart w:id="1" w:name="_GoBack"/>
      <w:bookmarkEnd w:id="1"/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470981" w:rsidRPr="00D06BC5" w:rsidRDefault="00470981" w:rsidP="00604E3D">
      <w:pPr>
        <w:jc w:val="center"/>
        <w:rPr>
          <w:b/>
        </w:rPr>
      </w:pPr>
      <w:r w:rsidRPr="00D06BC5">
        <w:rPr>
          <w:b/>
        </w:rPr>
        <w:t xml:space="preserve">ДЕЛО </w:t>
      </w:r>
      <w:bookmarkEnd w:id="0"/>
      <w:r w:rsidRPr="00D06BC5">
        <w:rPr>
          <w:b/>
        </w:rPr>
        <w:t>ДИМИТРОВИ СРЕЩУ БЪЛГАРИЯ</w:t>
      </w:r>
    </w:p>
    <w:p w:rsidR="00470981" w:rsidRPr="00D06BC5" w:rsidRDefault="00470981" w:rsidP="00604E3D">
      <w:pPr>
        <w:jc w:val="center"/>
      </w:pPr>
    </w:p>
    <w:p w:rsidR="00470981" w:rsidRPr="00D06BC5" w:rsidRDefault="00470981" w:rsidP="00604E3D">
      <w:pPr>
        <w:jc w:val="center"/>
        <w:rPr>
          <w:i/>
        </w:rPr>
      </w:pPr>
      <w:r w:rsidRPr="00D06BC5">
        <w:rPr>
          <w:i/>
        </w:rPr>
        <w:t>(Жалба № 12655/09)</w:t>
      </w: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DA25A1" w:rsidRPr="00D06BC5" w:rsidRDefault="00A61CFF" w:rsidP="00604E3D">
      <w:pPr>
        <w:jc w:val="center"/>
        <w:rPr>
          <w:szCs w:val="24"/>
        </w:rPr>
      </w:pPr>
      <w:r w:rsidRPr="00D06BC5">
        <w:t>РЕШЕНИЕ</w:t>
      </w:r>
    </w:p>
    <w:p w:rsidR="00470981" w:rsidRPr="00D06BC5" w:rsidRDefault="00DA25A1" w:rsidP="00604E3D">
      <w:pPr>
        <w:jc w:val="center"/>
        <w:rPr>
          <w:szCs w:val="24"/>
        </w:rPr>
      </w:pPr>
      <w:r w:rsidRPr="00D06BC5">
        <w:t>(Справедливо обезщетение)</w:t>
      </w:r>
    </w:p>
    <w:p w:rsidR="00A61CFF" w:rsidRPr="00D06BC5" w:rsidRDefault="00A61CFF" w:rsidP="00604E3D">
      <w:pPr>
        <w:jc w:val="center"/>
        <w:rPr>
          <w:szCs w:val="24"/>
        </w:rPr>
      </w:pPr>
    </w:p>
    <w:p w:rsidR="00A61CFF" w:rsidRPr="00D06BC5" w:rsidRDefault="00A61CFF" w:rsidP="00604E3D">
      <w:pPr>
        <w:jc w:val="center"/>
        <w:rPr>
          <w:szCs w:val="24"/>
        </w:rPr>
      </w:pPr>
    </w:p>
    <w:p w:rsidR="00A61CFF" w:rsidRPr="00D06BC5" w:rsidRDefault="00A61CFF" w:rsidP="00604E3D">
      <w:pPr>
        <w:jc w:val="center"/>
        <w:rPr>
          <w:szCs w:val="24"/>
        </w:rPr>
      </w:pPr>
      <w:r w:rsidRPr="00D06BC5">
        <w:t>СТРАСБУРГ</w:t>
      </w:r>
    </w:p>
    <w:p w:rsidR="00A61CFF" w:rsidRPr="00D06BC5" w:rsidRDefault="00A61CFF" w:rsidP="00604E3D">
      <w:pPr>
        <w:jc w:val="center"/>
        <w:rPr>
          <w:szCs w:val="24"/>
        </w:rPr>
      </w:pPr>
    </w:p>
    <w:p w:rsidR="00A61CFF" w:rsidRPr="00D06BC5" w:rsidRDefault="00A61CFF" w:rsidP="00604E3D">
      <w:pPr>
        <w:jc w:val="center"/>
        <w:rPr>
          <w:szCs w:val="24"/>
        </w:rPr>
      </w:pPr>
      <w:r w:rsidRPr="00D06BC5">
        <w:t>21 юли 2016 г.</w:t>
      </w: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A61CFF" w:rsidRPr="00D06BC5" w:rsidRDefault="00A61CFF" w:rsidP="00604E3D">
      <w:pPr>
        <w:jc w:val="center"/>
      </w:pPr>
    </w:p>
    <w:p w:rsidR="00EB11C6" w:rsidRPr="00D06BC5" w:rsidRDefault="00A61CFF" w:rsidP="00604E3D">
      <w:pPr>
        <w:rPr>
          <w:szCs w:val="24"/>
        </w:rPr>
      </w:pPr>
      <w:r w:rsidRPr="00D06BC5">
        <w:rPr>
          <w:i/>
          <w:sz w:val="22"/>
        </w:rPr>
        <w:t>Това решение ще стане окончателно при условията на чл. 44, ал. 2 от Конвенцията. Може да бъде предмет на редакционни промени.</w:t>
      </w:r>
    </w:p>
    <w:p w:rsidR="00A61CFF" w:rsidRPr="00D06BC5" w:rsidRDefault="00A61CFF" w:rsidP="00604E3D">
      <w:pPr>
        <w:pStyle w:val="JuCase"/>
        <w:sectPr w:rsidR="00A61CFF" w:rsidRPr="00D06BC5" w:rsidSect="00A61C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470981" w:rsidRPr="00D06BC5" w:rsidRDefault="00470981" w:rsidP="00604E3D">
      <w:pPr>
        <w:pStyle w:val="JuCase"/>
        <w:rPr>
          <w:b w:val="0"/>
          <w:bCs/>
        </w:rPr>
      </w:pPr>
      <w:r w:rsidRPr="00D06BC5">
        <w:lastRenderedPageBreak/>
        <w:t>По делото на Димитрови срещу България,</w:t>
      </w:r>
    </w:p>
    <w:p w:rsidR="00470981" w:rsidRPr="00D06BC5" w:rsidRDefault="00470981" w:rsidP="00604E3D">
      <w:pPr>
        <w:pStyle w:val="ECHRPara"/>
        <w:rPr>
          <w:b/>
        </w:rPr>
      </w:pPr>
      <w:r w:rsidRPr="00D06BC5">
        <w:t>Европейският съд по правата на човека (Пето отделение), заседаващ в състав, състоящ се от следните лица:</w:t>
      </w:r>
    </w:p>
    <w:p w:rsidR="00470981" w:rsidRPr="00D06BC5" w:rsidRDefault="00A61CFF" w:rsidP="00604E3D">
      <w:pPr>
        <w:pStyle w:val="ECHRDecisionBody"/>
      </w:pPr>
      <w:r w:rsidRPr="00D06BC5">
        <w:tab/>
        <w:t xml:space="preserve">Ангелика Нусбергер (Angelika Nußberger), </w:t>
      </w:r>
      <w:r w:rsidRPr="00D06BC5">
        <w:rPr>
          <w:i/>
        </w:rPr>
        <w:t>председател</w:t>
      </w:r>
      <w:r w:rsidRPr="00D06BC5">
        <w:t>,</w:t>
      </w:r>
      <w:r w:rsidRPr="00D06BC5">
        <w:br/>
      </w:r>
      <w:r w:rsidRPr="00D06BC5">
        <w:tab/>
        <w:t>Гана Юдкивска (Ganna Yudkivska),</w:t>
      </w:r>
      <w:r w:rsidRPr="00D06BC5">
        <w:br/>
      </w:r>
      <w:r w:rsidRPr="00D06BC5">
        <w:tab/>
        <w:t>Фарис Вехабович (Faris Vehabović),</w:t>
      </w:r>
      <w:r w:rsidRPr="00D06BC5">
        <w:br/>
      </w:r>
      <w:r w:rsidRPr="00D06BC5">
        <w:tab/>
        <w:t>Шифра О’Лиъри (Síofra O’Leary),</w:t>
      </w:r>
      <w:r w:rsidRPr="00D06BC5">
        <w:br/>
      </w:r>
      <w:r w:rsidRPr="00D06BC5">
        <w:tab/>
        <w:t>Карло Ранцони (Carlo Ranzoni),</w:t>
      </w:r>
      <w:r w:rsidRPr="00D06BC5">
        <w:br/>
      </w:r>
      <w:r w:rsidRPr="00D06BC5">
        <w:tab/>
        <w:t xml:space="preserve">Мартинш Митс (Mārtiņš Mits), </w:t>
      </w:r>
      <w:r w:rsidRPr="00D06BC5">
        <w:rPr>
          <w:i/>
        </w:rPr>
        <w:t>съдии</w:t>
      </w:r>
      <w:r w:rsidRPr="00D06BC5">
        <w:t>,</w:t>
      </w:r>
      <w:r w:rsidRPr="00D06BC5">
        <w:br/>
      </w:r>
      <w:r w:rsidRPr="00D06BC5">
        <w:tab/>
        <w:t xml:space="preserve">Павлина Панова (Pavlina Panova), </w:t>
      </w:r>
      <w:r w:rsidRPr="00D06BC5">
        <w:rPr>
          <w:i/>
        </w:rPr>
        <w:t>ad hoc</w:t>
      </w:r>
      <w:r w:rsidRPr="00D06BC5">
        <w:t xml:space="preserve"> съдия</w:t>
      </w:r>
      <w:r w:rsidRPr="00D06BC5">
        <w:br/>
        <w:t xml:space="preserve">и Клаудия Вестердийк (Claudia Westerdiek), </w:t>
      </w:r>
      <w:r w:rsidRPr="00D06BC5">
        <w:rPr>
          <w:i/>
        </w:rPr>
        <w:t>секретар на отделението</w:t>
      </w:r>
      <w:r w:rsidRPr="00D06BC5">
        <w:t>,</w:t>
      </w:r>
    </w:p>
    <w:p w:rsidR="00BB5A92" w:rsidRPr="00D06BC5" w:rsidRDefault="00470981" w:rsidP="00604E3D">
      <w:pPr>
        <w:pStyle w:val="ECHRPara"/>
      </w:pPr>
      <w:r w:rsidRPr="00D06BC5">
        <w:t>След закрито заседание, проведено на 28 юни 2016 г.,</w:t>
      </w:r>
    </w:p>
    <w:p w:rsidR="00470981" w:rsidRPr="00D06BC5" w:rsidRDefault="00BB5A92" w:rsidP="00604E3D">
      <w:pPr>
        <w:pStyle w:val="ECHRPara"/>
      </w:pPr>
      <w:r w:rsidRPr="00D06BC5">
        <w:t>Постановява следното решение, прието на същата дата:</w:t>
      </w:r>
    </w:p>
    <w:p w:rsidR="00470981" w:rsidRPr="00D06BC5" w:rsidRDefault="00470981" w:rsidP="00604E3D">
      <w:pPr>
        <w:pStyle w:val="ECHRTitle1"/>
      </w:pPr>
      <w:r w:rsidRPr="00D06BC5">
        <w:t>ПРОЦЕДУРА</w:t>
      </w:r>
    </w:p>
    <w:p w:rsidR="00DA25A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1</w:t>
      </w:r>
      <w:r w:rsidRPr="00D06BC5">
        <w:rPr>
          <w:noProof/>
        </w:rPr>
        <w:fldChar w:fldCharType="end"/>
      </w:r>
      <w:r w:rsidR="00DA25A1" w:rsidRPr="00D06BC5">
        <w:t>.  Делото е образувано по жалба (№ 12655/09) срещу Република България, подадена в Съда на основание чл. 34 от Конвенцията за защита на правата на човека и основните свободи ("Конвенцията") от двама български граждани, г-жа Ангелина Недялкова Димитрова и г-н Константин Константинов Димитров ("жалбоподателите"), на 23 януари 2009 г.</w:t>
      </w:r>
    </w:p>
    <w:p w:rsidR="003730CF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</w:t>
      </w:r>
      <w:r w:rsidRPr="00D06BC5">
        <w:rPr>
          <w:noProof/>
        </w:rPr>
        <w:fldChar w:fldCharType="end"/>
      </w:r>
      <w:r w:rsidR="003730CF" w:rsidRPr="00D06BC5">
        <w:t>.  Жалбоподателите са представлявани от г-н Л. Ангелов, адвокат, практикуващ в София. Българското правителство („Правителството”) се представлява от правителствения агент г-жа М. Димова от Министерство на правосъдието.</w:t>
      </w:r>
    </w:p>
    <w:p w:rsidR="00604E3D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3</w:t>
      </w:r>
      <w:r w:rsidRPr="00D06BC5">
        <w:rPr>
          <w:noProof/>
        </w:rPr>
        <w:fldChar w:fldCharType="end"/>
      </w:r>
      <w:r w:rsidR="003730CF" w:rsidRPr="00D06BC5">
        <w:t xml:space="preserve">.  С решение, постановено на 3 март 2015 г. ( “основното решение”), Съдът приема, че държавата-ответник несправедливо е конфискувала собственост на жалбоподателите в нарушение на чл. 1 от Протокол № 1. Той установява по-конкретно, че </w:t>
      </w:r>
      <w:r w:rsidR="00507A76" w:rsidRPr="00D06BC5">
        <w:t>отнемането</w:t>
      </w:r>
      <w:r w:rsidR="003730CF" w:rsidRPr="00D06BC5">
        <w:t xml:space="preserve"> на собствеността на жалбоподателите не е успяло да изпълни изискването за законосъобразност, тъй като законодателство, на което е било основано, датиращо от 1973 г. и междувременно отменено, не осигурява достатъчна степен на правна защита срещу произвол и неговите последици не са предвидими. Съдът констатира също така, че не е доказано, че намесата в правата на жалбоподателите преследва легитимна цел (вж. </w:t>
      </w:r>
      <w:r w:rsidR="003730CF" w:rsidRPr="00D06BC5">
        <w:rPr>
          <w:i/>
        </w:rPr>
        <w:t>Димитрови срещу България</w:t>
      </w:r>
      <w:r w:rsidR="003730CF" w:rsidRPr="00D06BC5">
        <w:t>, № 12655/09, §§ 44-55, 3 март 2015 г.).</w:t>
      </w:r>
    </w:p>
    <w:p w:rsidR="0047098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4</w:t>
      </w:r>
      <w:r w:rsidRPr="00D06BC5">
        <w:rPr>
          <w:noProof/>
        </w:rPr>
        <w:fldChar w:fldCharType="end"/>
      </w:r>
      <w:r w:rsidR="00DA25A1" w:rsidRPr="00D06BC5">
        <w:t xml:space="preserve">.  По чл. 41 от Конвенцията, жалбоподателите търсят справедливо обезщетение. Отсъждайки обаче, че въпросът за прилагането на чл. 41 не е готов за решение по отношение на имуществените вреди, Съдът го запазва и приканва Правителството и жалбоподателите да представят в </w:t>
      </w:r>
      <w:r w:rsidR="00DA25A1" w:rsidRPr="00D06BC5">
        <w:lastRenderedPageBreak/>
        <w:t>срок от четири месеца от влизането на решението му сила писмени становища по въпроса и по-конкретно да го уведомяват за всяко евентуално постигнато споразумение (пак там, § 60, и точка 3 от диспозитива).</w:t>
      </w:r>
    </w:p>
    <w:p w:rsidR="0047098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5</w:t>
      </w:r>
      <w:r w:rsidRPr="00D06BC5">
        <w:rPr>
          <w:noProof/>
        </w:rPr>
        <w:fldChar w:fldCharType="end"/>
      </w:r>
      <w:r w:rsidR="00DA25A1" w:rsidRPr="00D06BC5">
        <w:t>.  И жалбоподателите, и Правителството подават такива становища.</w:t>
      </w:r>
    </w:p>
    <w:p w:rsidR="00DA25A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6</w:t>
      </w:r>
      <w:r w:rsidRPr="00D06BC5">
        <w:rPr>
          <w:noProof/>
        </w:rPr>
        <w:fldChar w:fldCharType="end"/>
      </w:r>
      <w:r w:rsidR="00DA25A1" w:rsidRPr="00D06BC5">
        <w:t xml:space="preserve">.  На 12 април 2015 г. г-н Йонко Грозев, съдията, избран от името на България, се оттегля от участие в делото (чл. 28 § 3 от Правилника на Съда). Съответно на 4 май 2016 г. председателят на отделението избира г-жа Павлина Панова като </w:t>
      </w:r>
      <w:r w:rsidR="00DA25A1" w:rsidRPr="00D06BC5">
        <w:rPr>
          <w:i/>
        </w:rPr>
        <w:t>ad hoc</w:t>
      </w:r>
      <w:r w:rsidR="00DA25A1" w:rsidRPr="00D06BC5">
        <w:t xml:space="preserve"> съдия от списъка на петте лица, определени от Република България като допустими да действат като такъв съдия (чл. 26 § 4 от Конвенцията и чл. 29 § 1 (а) от Правилника на Съда).</w:t>
      </w:r>
    </w:p>
    <w:p w:rsidR="00470981" w:rsidRPr="00D06BC5" w:rsidRDefault="00470981" w:rsidP="00604E3D">
      <w:pPr>
        <w:pStyle w:val="ECHRTitle1"/>
      </w:pPr>
      <w:r w:rsidRPr="00D06BC5">
        <w:t>ЗАКОНЪТ</w:t>
      </w:r>
    </w:p>
    <w:p w:rsidR="00DA25A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7</w:t>
      </w:r>
      <w:r w:rsidRPr="00D06BC5">
        <w:rPr>
          <w:noProof/>
        </w:rPr>
        <w:fldChar w:fldCharType="end"/>
      </w:r>
      <w:r w:rsidR="00DA25A1" w:rsidRPr="00D06BC5">
        <w:t>.  Чл. 41 от Конвенцията гласи:</w:t>
      </w:r>
    </w:p>
    <w:p w:rsidR="00DA25A1" w:rsidRPr="00D06BC5" w:rsidRDefault="00DA25A1" w:rsidP="00604E3D">
      <w:pPr>
        <w:pStyle w:val="ECHRParaQuote"/>
      </w:pPr>
      <w:r w:rsidRPr="00D06BC5">
        <w:t xml:space="preserve">“Ако Съдът установи нарушение на Конвенцията или на  </w:t>
      </w:r>
      <w:r w:rsidRPr="00D06BC5">
        <w:br/>
        <w:t xml:space="preserve">Протоколите към нея и ако вътрешното право на съответната </w:t>
      </w:r>
      <w:r w:rsidR="00D06BC5" w:rsidRPr="00D06BC5">
        <w:t>Βисокодоговаряща</w:t>
      </w:r>
      <w:r w:rsidRPr="00D06BC5">
        <w:t xml:space="preserve"> страна допуска само частично обезщетение, Съдът, ако е необходимо, постановява предоставянето на справедливо обезщетение на потърпевшата страна.”</w:t>
      </w:r>
    </w:p>
    <w:p w:rsidR="00DA25A1" w:rsidRPr="00D06BC5" w:rsidRDefault="00DA25A1" w:rsidP="00604E3D">
      <w:pPr>
        <w:pStyle w:val="ECHRHeading2"/>
      </w:pPr>
      <w:r w:rsidRPr="00D06BC5">
        <w:t>А. Обезщетение за вреди</w:t>
      </w:r>
    </w:p>
    <w:p w:rsidR="007352F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8</w:t>
      </w:r>
      <w:r w:rsidRPr="00D06BC5">
        <w:rPr>
          <w:noProof/>
        </w:rPr>
        <w:fldChar w:fldCharType="end"/>
      </w:r>
      <w:r w:rsidR="00DA25A1" w:rsidRPr="00D06BC5">
        <w:t xml:space="preserve">.  В § 17 от основното решение Съдът отбелязва, че следните имоти са били конфискувани от жалбоподателите: апартамент във Варна и апартамент, офис, гараж и идеална част от парцел в София. В допълнение на жалбоподателите е било разпоредено от националните съдилища да заплатят в полза на държавата паричната стойност на вила в курорта Боровец и на автомобил, </w:t>
      </w:r>
      <w:r w:rsidR="00966454" w:rsidRPr="00D06BC5">
        <w:t xml:space="preserve">тъй </w:t>
      </w:r>
      <w:r w:rsidR="00DA25A1" w:rsidRPr="00D06BC5">
        <w:t>като и двете междувременно са били прехвърлени на частни лица.</w:t>
      </w:r>
    </w:p>
    <w:p w:rsidR="004E73E0" w:rsidRPr="00D06BC5" w:rsidRDefault="004E73E0" w:rsidP="00604E3D">
      <w:pPr>
        <w:pStyle w:val="ECHRHeading3"/>
      </w:pPr>
      <w:r w:rsidRPr="00D06BC5">
        <w:t>1.  Тези на страните</w:t>
      </w:r>
    </w:p>
    <w:p w:rsidR="00763988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9</w:t>
        </w:r>
      </w:fldSimple>
      <w:r w:rsidR="008974A5" w:rsidRPr="00D06BC5">
        <w:t xml:space="preserve">.  В производството, предхождащо основното решение (вж. § 58 от това решение), жалбоподателите претендират първо актуалната стойност на своите конфискувани имоти. Те представят докладите на експерт, назначен в националното съдебно производство, с което е разпоредена конфискацията, оценяващи към 2005 г., когато са съставени докладите, стойността на апартамента в Варна на 71 800 лв., което е равно на приблизително 36 820 евро, а стойността на апартамента, офиса и гаража в София на 601 400 лв., което е равно на 308 410 евро. Жалбоподателите претендират тези суми. Те постоянно са </w:t>
      </w:r>
      <w:r w:rsidR="008974A5" w:rsidRPr="00D06BC5">
        <w:lastRenderedPageBreak/>
        <w:t>заявявали, че не желаят възстановяване на въпросните имоти, тъй като по-конкретно тези в София не са били поддържани и са в лошо състояние.</w:t>
      </w:r>
    </w:p>
    <w:p w:rsidR="00DA25A1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10</w:t>
        </w:r>
      </w:fldSimple>
      <w:r w:rsidR="008974A5" w:rsidRPr="00D06BC5">
        <w:t>.  Жалбоподателите претендират сумата, която е било разпоредено да заплатят за вилата и автомобила</w:t>
      </w:r>
      <w:r w:rsidR="000875F4" w:rsidRPr="00D06BC5">
        <w:t xml:space="preserve"> (вж. параграф 8 по-горе). Те</w:t>
      </w:r>
      <w:r w:rsidR="008974A5" w:rsidRPr="00D06BC5">
        <w:t xml:space="preserve"> представят доказателства, които показват, че през 2010 г. са изпл</w:t>
      </w:r>
      <w:r w:rsidR="000875F4" w:rsidRPr="00D06BC5">
        <w:t>атили по тази причина на държав</w:t>
      </w:r>
      <w:r w:rsidR="008974A5" w:rsidRPr="00D06BC5">
        <w:t xml:space="preserve">ата 178 815 лв., което е равно на 91 230 евро, което също включва 14 019,34 лв., което е равно на 7 150 евро, за съдебни такси и други разходи (вж. § 20 от основното решение). Последната сума е присъдена на жалбоподателите от Съда </w:t>
      </w:r>
      <w:r w:rsidR="00614C1D" w:rsidRPr="00D06BC5">
        <w:t>в частта относно</w:t>
      </w:r>
      <w:r w:rsidR="008974A5" w:rsidRPr="00D06BC5">
        <w:t xml:space="preserve"> разходи и разноски (вж. § 69 от основното решение).</w:t>
      </w:r>
    </w:p>
    <w:p w:rsidR="00763988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11</w:t>
        </w:r>
      </w:fldSimple>
      <w:r w:rsidR="008974A5" w:rsidRPr="00D06BC5">
        <w:t>.  Жалбоподателите не претендират каквито и да било имуществени вреди по отношение на идеалната част от парцел, който също е бил конфискуван от тях, нито пък посочват пропуснати ползи за това, че са били възпрепятствани да използват своето имущество.</w:t>
      </w:r>
    </w:p>
    <w:p w:rsidR="003C7A99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12</w:t>
        </w:r>
      </w:fldSimple>
      <w:r w:rsidR="008974A5" w:rsidRPr="00D06BC5">
        <w:t>.  След основното решение, жалбоподателите потвърждават своите претенции за имуществени вреди.</w:t>
      </w:r>
    </w:p>
    <w:p w:rsidR="005A0A67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13</w:t>
        </w:r>
      </w:fldSimple>
      <w:r w:rsidR="008974A5" w:rsidRPr="00D06BC5">
        <w:t>.  Правителството оспорва претенциите на жалбоподателите, като ги смята за необосновани и недоказани. То е на мнение, че установяването на нарушение на правата на жалбоподателите не означава автоматично и задължително присъждане на обезщетение. Ако Съдът установи, че обезщетение е необходимо, Правителството призовава за минимална сума.</w:t>
      </w:r>
    </w:p>
    <w:p w:rsidR="005A0A67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14</w:t>
        </w:r>
      </w:fldSimple>
      <w:r w:rsidR="008974A5" w:rsidRPr="00D06BC5">
        <w:t>.  Правителството посочва в допълнение, че след основното решение е било на разположение на жалбоподателите да поискат възобновяване на вътрешното съдебно производство, в което съдилищата са разпоредили конфискацията на имуществото им.</w:t>
      </w:r>
    </w:p>
    <w:p w:rsidR="00763988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15</w:t>
        </w:r>
      </w:fldSimple>
      <w:r w:rsidR="008974A5" w:rsidRPr="00D06BC5">
        <w:t>.  Накрая страните информират Съда, че не е постигнато споразумение между тях.</w:t>
      </w:r>
    </w:p>
    <w:p w:rsidR="004E73E0" w:rsidRPr="00D06BC5" w:rsidRDefault="004E73E0" w:rsidP="00604E3D">
      <w:pPr>
        <w:pStyle w:val="ECHRHeading3"/>
      </w:pPr>
      <w:r w:rsidRPr="00D06BC5">
        <w:t>2.  Преценка на Съда</w:t>
      </w:r>
    </w:p>
    <w:p w:rsidR="007D595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16</w:t>
      </w:r>
      <w:r w:rsidRPr="00D06BC5">
        <w:rPr>
          <w:noProof/>
        </w:rPr>
        <w:fldChar w:fldCharType="end"/>
      </w:r>
      <w:r w:rsidR="00E87C11" w:rsidRPr="00D06BC5">
        <w:t xml:space="preserve">.  Като предварителна бележка по отношение на аргумента на Правителството, че жалбоподателите е трябвало да поискат възобновяване на вътрешното производство (вж. параграф 14 по-горе), Съдът отбелязва, че правилото, че вътрешните правни средства за защита трябва да бъдат изчерпани, не се отнася до претенции за справедливо обезщетение, подадени до него по чл. 41 (вж. </w:t>
      </w:r>
      <w:r w:rsidR="00E87C11" w:rsidRPr="00D06BC5">
        <w:rPr>
          <w:i/>
        </w:rPr>
        <w:t>Salah v. the Netherlands</w:t>
      </w:r>
      <w:r w:rsidR="00E87C11" w:rsidRPr="00D06BC5">
        <w:t>, № 8196/02, § 67, ЕСПЧ 2006</w:t>
      </w:r>
      <w:r w:rsidR="00E87C11" w:rsidRPr="00D06BC5">
        <w:noBreakHyphen/>
        <w:t>IX (откъси)).</w:t>
      </w:r>
    </w:p>
    <w:p w:rsidR="003B4242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17</w:t>
      </w:r>
      <w:r w:rsidRPr="00D06BC5">
        <w:rPr>
          <w:noProof/>
        </w:rPr>
        <w:fldChar w:fldCharType="end"/>
      </w:r>
      <w:r w:rsidR="009D1B7E" w:rsidRPr="00D06BC5">
        <w:t xml:space="preserve">.  Съдът подчертава, че съдебно решение, в което той констатира нарушение на Конвенцията, налага на държавата-ответник правно задължение да сложи край на това нарушение и да поправи последиците от него по такъв начин, че да възстанови доколкото е възможно съществуващото положение преди нарушението (вж. </w:t>
      </w:r>
      <w:r w:rsidR="009D1B7E" w:rsidRPr="00D06BC5">
        <w:rPr>
          <w:i/>
        </w:rPr>
        <w:t>Iatridis v. Greece</w:t>
      </w:r>
      <w:r w:rsidR="009D1B7E" w:rsidRPr="00D06BC5">
        <w:t xml:space="preserve"> (справедливо обезщетение) [GC], № 31107/96, § 32, ЕСПЧ 2000</w:t>
      </w:r>
      <w:r w:rsidR="009D1B7E" w:rsidRPr="00D06BC5">
        <w:noBreakHyphen/>
        <w:t>XI).</w:t>
      </w:r>
    </w:p>
    <w:p w:rsidR="009D1B7E" w:rsidRPr="00D06BC5" w:rsidRDefault="004B7C55" w:rsidP="00604E3D">
      <w:pPr>
        <w:pStyle w:val="ECHRPara"/>
        <w:rPr>
          <w:szCs w:val="24"/>
        </w:rPr>
      </w:pPr>
      <w:fldSimple w:instr=" SEQ level0 \*arabic ">
        <w:r w:rsidR="00604E3D" w:rsidRPr="00D06BC5">
          <w:rPr>
            <w:noProof/>
          </w:rPr>
          <w:t>18</w:t>
        </w:r>
      </w:fldSimple>
      <w:r w:rsidR="008974A5" w:rsidRPr="00D06BC5">
        <w:t xml:space="preserve">.  Основанието, на което Съдът процедира по отношение на имуществените вреди, зависи от естеството на установените нарушения. Незаконното и произволно лишаване от собственост по принцип оправдава </w:t>
      </w:r>
      <w:r w:rsidR="008974A5" w:rsidRPr="00D06BC5">
        <w:rPr>
          <w:i/>
        </w:rPr>
        <w:t>restitutio in integrum</w:t>
      </w:r>
      <w:r w:rsidR="008974A5" w:rsidRPr="00D06BC5">
        <w:t xml:space="preserve">, а в случай на неуспех от страна на държавата-ответник да приведе в изпълнение това – изплащане на сума, отразяваща стойността на взетата собственост (вж. </w:t>
      </w:r>
      <w:r w:rsidR="008974A5" w:rsidRPr="00D06BC5">
        <w:rPr>
          <w:i/>
        </w:rPr>
        <w:t>Papamichalopoulos and Others v. Greece</w:t>
      </w:r>
      <w:r w:rsidR="008974A5" w:rsidRPr="00D06BC5">
        <w:t xml:space="preserve"> (чл. 50), 31 октомври 1995 г., §§ 36-39, Серия A № 330</w:t>
      </w:r>
      <w:r w:rsidR="008974A5" w:rsidRPr="00D06BC5">
        <w:noBreakHyphen/>
        <w:t xml:space="preserve">B; </w:t>
      </w:r>
      <w:r w:rsidR="008974A5" w:rsidRPr="00D06BC5">
        <w:rPr>
          <w:i/>
        </w:rPr>
        <w:t>Brumărescu v. Romania</w:t>
      </w:r>
      <w:r w:rsidR="008974A5" w:rsidRPr="00D06BC5">
        <w:t xml:space="preserve"> (справедливо обезщетение) [GC], № 28342/95, §§ 21-24, ЕСПЧ 2001</w:t>
      </w:r>
      <w:r w:rsidR="008974A5" w:rsidRPr="00D06BC5">
        <w:noBreakHyphen/>
        <w:t xml:space="preserve">I; и </w:t>
      </w:r>
      <w:r w:rsidR="008974A5" w:rsidRPr="00D06BC5">
        <w:rPr>
          <w:i/>
        </w:rPr>
        <w:t xml:space="preserve">Кехая и други срещу България </w:t>
      </w:r>
      <w:r w:rsidR="008974A5" w:rsidRPr="00D06BC5">
        <w:t>(справедливо обезщетение), № 47797/99 и 68698/01, § 19, 14 юни 2007 г.).</w:t>
      </w:r>
    </w:p>
    <w:p w:rsidR="00341C50" w:rsidRPr="00D06BC5" w:rsidRDefault="00C42C59" w:rsidP="00604E3D">
      <w:pPr>
        <w:pStyle w:val="ECHRPara"/>
        <w:rPr>
          <w:i/>
          <w:szCs w:val="24"/>
        </w:rPr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19</w:t>
      </w:r>
      <w:r w:rsidRPr="00D06BC5">
        <w:rPr>
          <w:noProof/>
        </w:rPr>
        <w:fldChar w:fldCharType="end"/>
      </w:r>
      <w:r w:rsidR="00341C50" w:rsidRPr="00D06BC5">
        <w:t xml:space="preserve">.  В настоящия случай Съдът приема, че намесата в правата на собственост на жалбоподателите не успява да отговори на изискването за законосъобразност по смисъла на чл. 1 от Протокол № 1 и не преследва легитимна цел (вж. параграф 3 по-горе). Съответно държавата-ответник следва да обезщети жалбоподателите за загубата на тяхната собственост (вж. например, в допълнение към делата, цитирани в предходния параграф, забележките на Съда, макар </w:t>
      </w:r>
      <w:r w:rsidR="00341C50" w:rsidRPr="00D06BC5">
        <w:rPr>
          <w:i/>
        </w:rPr>
        <w:t>obiter</w:t>
      </w:r>
      <w:r w:rsidR="00341C50" w:rsidRPr="00D06BC5">
        <w:t xml:space="preserve">, във </w:t>
      </w:r>
      <w:r w:rsidR="00341C50" w:rsidRPr="00D06BC5">
        <w:rPr>
          <w:i/>
        </w:rPr>
        <w:t xml:space="preserve">Former King of Greece and Others v. Greece </w:t>
      </w:r>
      <w:r w:rsidR="00341C50" w:rsidRPr="00D06BC5">
        <w:t>[GC] (справедливо обезщетение), № 25701/94, §§ 75</w:t>
      </w:r>
      <w:r w:rsidR="00341C50" w:rsidRPr="00D06BC5">
        <w:noBreakHyphen/>
        <w:t xml:space="preserve">78, 28 ноември 2002 г., а също и </w:t>
      </w:r>
      <w:r w:rsidR="00341C50" w:rsidRPr="00D06BC5">
        <w:rPr>
          <w:i/>
        </w:rPr>
        <w:t>Тодорова и други срещу България</w:t>
      </w:r>
      <w:r w:rsidR="00341C50" w:rsidRPr="00D06BC5">
        <w:t xml:space="preserve"> (справедливо обезщетение), № 48380/99, 51362/99, 60036/00 и 73465/01, §§ 9-11, 24 април 2008 г.).</w:t>
      </w:r>
    </w:p>
    <w:p w:rsidR="006353A3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20</w:t>
      </w:r>
      <w:r w:rsidRPr="00D06BC5">
        <w:rPr>
          <w:noProof/>
        </w:rPr>
        <w:fldChar w:fldCharType="end"/>
      </w:r>
      <w:r w:rsidR="004F3E40" w:rsidRPr="00D06BC5">
        <w:t xml:space="preserve">.  Жалбоподателите твърдят, че не желаят </w:t>
      </w:r>
      <w:r w:rsidR="004F3E40" w:rsidRPr="00D06BC5">
        <w:rPr>
          <w:i/>
        </w:rPr>
        <w:t>restitutio in integrum</w:t>
      </w:r>
      <w:r w:rsidR="004F3E40" w:rsidRPr="00D06BC5">
        <w:t>, защот</w:t>
      </w:r>
      <w:r w:rsidR="001E2B43" w:rsidRPr="00D06BC5">
        <w:t>о по-конкретно имотите в София</w:t>
      </w:r>
      <w:r w:rsidR="004F3E40" w:rsidRPr="00D06BC5">
        <w:t xml:space="preserve"> не са били поддържани и са загубили голяма част от своята стойност (вж. параграф 9 по-горе). Правителството от своя страна настоява за никакво или минимално обезщетение (вж. параграф 13 по-горе). В допълнение за Съда е важн</w:t>
      </w:r>
      <w:r w:rsidR="001111CE" w:rsidRPr="00D06BC5">
        <w:t>о, че страните не са успели да п</w:t>
      </w:r>
      <w:r w:rsidR="004F3E40" w:rsidRPr="00D06BC5">
        <w:t>остигнат приятелско споразумение (вж. параграф 15 по-горе), с помощта на което Правителството е могло да предложи поне частично възстановяване.</w:t>
      </w:r>
    </w:p>
    <w:p w:rsidR="00A035B6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21</w:t>
      </w:r>
      <w:r w:rsidRPr="00D06BC5">
        <w:rPr>
          <w:noProof/>
        </w:rPr>
        <w:fldChar w:fldCharType="end"/>
      </w:r>
      <w:r w:rsidR="00CC184F" w:rsidRPr="00D06BC5">
        <w:t xml:space="preserve">.  Съответно, при обстоятелствата в настоящия случай и предвид факта, че жалбоподателите не са претендирали </w:t>
      </w:r>
      <w:r w:rsidR="00CC184F" w:rsidRPr="00D06BC5">
        <w:rPr>
          <w:i/>
        </w:rPr>
        <w:t>restitutio in integrum</w:t>
      </w:r>
      <w:r w:rsidR="00CC184F" w:rsidRPr="00D06BC5">
        <w:t>, Съдът приема, че държавата-ответник трябва да им плати парично обезщетение, разумно отговарящо на пазарната стойност на техните конфискувани имоти.</w:t>
      </w:r>
    </w:p>
    <w:p w:rsidR="00D10123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22</w:t>
        </w:r>
      </w:fldSimple>
      <w:r w:rsidR="008974A5" w:rsidRPr="00D06BC5">
        <w:t>.  Що се отнася до размера на това обезщетение, единствената оценка на въпросната собственост, която е на разположение на Съда, е тази, представена от жалбоподателите, изготвена през 2005 г. (вж. параграф 9 по-горе и § 58 от основното решение). При липса на алтернатива, предоставена от Правителството, Съдът ще процедира въз основа на тази оценка.</w:t>
      </w:r>
    </w:p>
    <w:p w:rsidR="00924F37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23</w:t>
        </w:r>
      </w:fldSimple>
      <w:r w:rsidR="008974A5" w:rsidRPr="00D06BC5">
        <w:t>.  Съответно Съдът приема, че при липса на алтернатива, предоставена от Правителството, последното трябва да плати на жалбоподателите, според заключенията на гореспоменатите доклади, изготвени в контекста на вътрешното производство, 36 820 евро за апартамента във Варна и 308 410 евро за имотите в София, или общо 345 230 евро.</w:t>
      </w:r>
    </w:p>
    <w:p w:rsidR="00924F37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24</w:t>
        </w:r>
      </w:fldSimple>
      <w:r w:rsidR="008974A5" w:rsidRPr="00D06BC5">
        <w:t>.  Правителството трябва също така да възстанови на жалбоподателите допълнителната сума, платена от тях за стойността на имотите, които са били прехвърлени на трети лица преди конфискацията, а именно 84 080 евро (общата сума от 91 230 евро, платена от тях, минус 7 150 евро, присъдени от Съда в основното решение по позицията за разходи и разноски - вж. параграф 10 по-горе и §§ 17, 58 и 69 от основното решение).</w:t>
      </w:r>
    </w:p>
    <w:p w:rsidR="0032670C" w:rsidRPr="00D06BC5" w:rsidRDefault="004B7C55" w:rsidP="00604E3D">
      <w:pPr>
        <w:pStyle w:val="ECHRPara"/>
      </w:pPr>
      <w:fldSimple w:instr=" SEQ level0 \*arabic ">
        <w:r w:rsidR="00604E3D" w:rsidRPr="00D06BC5">
          <w:rPr>
            <w:noProof/>
          </w:rPr>
          <w:t>25</w:t>
        </w:r>
      </w:fldSimple>
      <w:r w:rsidR="008974A5" w:rsidRPr="00D06BC5">
        <w:t>.  Цялата сума, присъдена от Съда по този начин, е 429 310 евро. Към това следва да се добавят всички данъци, които може да бъдат начислени.</w:t>
      </w:r>
    </w:p>
    <w:p w:rsidR="00DA25A1" w:rsidRPr="00D06BC5" w:rsidRDefault="00DA25A1" w:rsidP="00604E3D">
      <w:pPr>
        <w:pStyle w:val="ECHRHeading2"/>
      </w:pPr>
      <w:r w:rsidRPr="00D06BC5">
        <w:t>Б. Разходи и разноски</w:t>
      </w:r>
    </w:p>
    <w:p w:rsidR="00DA25A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26</w:t>
      </w:r>
      <w:r w:rsidRPr="00D06BC5">
        <w:rPr>
          <w:noProof/>
        </w:rPr>
        <w:fldChar w:fldCharType="end"/>
      </w:r>
      <w:r w:rsidR="00DA25A1" w:rsidRPr="00D06BC5">
        <w:t>.  За производството по чл. 41 от Конвенцията жалбоподателите претендират 1 500 евро за работата на адвоката, ангажиран от тях – г-н Л. Ангелов. В подкрепа на това твърдение те представят договор за правно представителство. Те искат всяка сума, присъдена по тази позиция, да се преведе директно по банковата сметка на г-н Ангелов.</w:t>
      </w:r>
    </w:p>
    <w:p w:rsidR="009C791C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27</w:t>
      </w:r>
      <w:r w:rsidRPr="00D06BC5">
        <w:rPr>
          <w:noProof/>
        </w:rPr>
        <w:fldChar w:fldCharType="end"/>
      </w:r>
      <w:r w:rsidR="004057D1" w:rsidRPr="00D06BC5">
        <w:t>.  Правителството не коментира.</w:t>
      </w:r>
    </w:p>
    <w:p w:rsidR="003730CF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28</w:t>
      </w:r>
      <w:r w:rsidRPr="00D06BC5">
        <w:rPr>
          <w:noProof/>
        </w:rPr>
        <w:fldChar w:fldCharType="end"/>
      </w:r>
      <w:r w:rsidR="009C791C" w:rsidRPr="00D06BC5">
        <w:t>.  Според съдебната практика на Съда, жалбоподателят има право на възстановяване на разходи и разноски само доколкото е доказано, че те са били действително и необходимо направени и са в разумен размер.</w:t>
      </w:r>
    </w:p>
    <w:p w:rsidR="003730CF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29</w:t>
      </w:r>
      <w:r w:rsidRPr="00D06BC5">
        <w:rPr>
          <w:noProof/>
        </w:rPr>
        <w:fldChar w:fldCharType="end"/>
      </w:r>
      <w:r w:rsidR="003730CF" w:rsidRPr="00D06BC5">
        <w:t>.  В настоящото дело, като взима предвид наличните документи и горепосочените критерии, Съдът присъжда на жалбоподателите сумата от 500 евро по тази позиция. По искане на жалбоподателите, тази сума трябва да бъде платена директно на техния законен представител.</w:t>
      </w:r>
    </w:p>
    <w:p w:rsidR="00DA25A1" w:rsidRPr="00D06BC5" w:rsidRDefault="00DA25A1" w:rsidP="00604E3D">
      <w:pPr>
        <w:pStyle w:val="ECHRHeading2"/>
      </w:pPr>
      <w:r w:rsidRPr="00D06BC5">
        <w:t>В. Лихва за забава</w:t>
      </w:r>
    </w:p>
    <w:p w:rsidR="00470981" w:rsidRPr="00D06BC5" w:rsidRDefault="00C42C59" w:rsidP="00604E3D">
      <w:pPr>
        <w:pStyle w:val="ECHRPara"/>
      </w:pPr>
      <w:r w:rsidRPr="00D06BC5">
        <w:fldChar w:fldCharType="begin"/>
      </w:r>
      <w:r w:rsidRPr="00D06BC5">
        <w:instrText xml:space="preserve"> SEQ level0 \*arabic </w:instrText>
      </w:r>
      <w:r w:rsidRPr="00D06BC5">
        <w:fldChar w:fldCharType="separate"/>
      </w:r>
      <w:r w:rsidR="00604E3D" w:rsidRPr="00D06BC5">
        <w:rPr>
          <w:noProof/>
        </w:rPr>
        <w:t>30</w:t>
      </w:r>
      <w:r w:rsidRPr="00D06BC5">
        <w:rPr>
          <w:noProof/>
        </w:rPr>
        <w:fldChar w:fldCharType="end"/>
      </w:r>
      <w:r w:rsidR="00661916" w:rsidRPr="00D06BC5">
        <w:t>.  Съдът счита за уместно лихвата за забава да бъде обвързана с пределната ставка по заеми на Европейската централна банка, към която се добавят три процентни пункта.</w:t>
      </w:r>
    </w:p>
    <w:p w:rsidR="00470981" w:rsidRPr="00D06BC5" w:rsidRDefault="00450E83" w:rsidP="00604E3D">
      <w:pPr>
        <w:pStyle w:val="ECHRTitle1"/>
      </w:pPr>
      <w:r w:rsidRPr="00D06BC5">
        <w:t>ПО ТЕЗИ СЪОБРАЖЕНИЯ СЪДЪТ ЕДИНОДУШНО</w:t>
      </w:r>
    </w:p>
    <w:p w:rsidR="0032670C" w:rsidRPr="00D06BC5" w:rsidRDefault="00DA25A1" w:rsidP="00604E3D">
      <w:pPr>
        <w:pStyle w:val="JuList"/>
      </w:pPr>
      <w:r w:rsidRPr="00D06BC5">
        <w:t>1.  </w:t>
      </w:r>
      <w:r w:rsidRPr="00D06BC5">
        <w:rPr>
          <w:i/>
        </w:rPr>
        <w:t>Приема,</w:t>
      </w:r>
    </w:p>
    <w:p w:rsidR="00DA25A1" w:rsidRPr="00D06BC5" w:rsidRDefault="0032670C" w:rsidP="00604E3D">
      <w:pPr>
        <w:pStyle w:val="JuLista"/>
      </w:pPr>
      <w:r w:rsidRPr="00D06BC5">
        <w:t>(а) че държавата-ответник трябва да заплати на жалбоподателите в срок от три месеца от датата, на която решението стане окончателно в съответствие с чл. 44, § 2 от Конвенцията, следните суми, които се изчисляват в български лева по курса към датата на плащането:</w:t>
      </w:r>
    </w:p>
    <w:p w:rsidR="0032670C" w:rsidRPr="00D06BC5" w:rsidRDefault="0032670C" w:rsidP="00604E3D">
      <w:pPr>
        <w:pStyle w:val="JuListi"/>
      </w:pPr>
      <w:r w:rsidRPr="00D06BC5">
        <w:t>(i) 429 310 евро (четиристотин двадесет и девет хиляди триста и десет евро) плюс всякакви данъци, които биха могли да се начислят, по отношение на имуществени вреди;</w:t>
      </w:r>
    </w:p>
    <w:p w:rsidR="0032670C" w:rsidRPr="00D06BC5" w:rsidRDefault="003730CF" w:rsidP="00604E3D">
      <w:pPr>
        <w:pStyle w:val="JuListi"/>
      </w:pPr>
      <w:r w:rsidRPr="00D06BC5">
        <w:t xml:space="preserve">(ii) 500 (петстотин евро) плюс всякакви данъци, които биха могли да се начислят на жалбоподателите, по отношение на разходи и разноски, които трябва да бъдат </w:t>
      </w:r>
      <w:r w:rsidR="002B5DA5" w:rsidRPr="00D06BC5">
        <w:t>преведени</w:t>
      </w:r>
      <w:r w:rsidRPr="00D06BC5">
        <w:t xml:space="preserve"> директно по банковата сметка на адвоката на жалбоподателите;</w:t>
      </w:r>
    </w:p>
    <w:p w:rsidR="003730CF" w:rsidRPr="00D06BC5" w:rsidRDefault="003730CF" w:rsidP="00604E3D">
      <w:pPr>
        <w:pStyle w:val="JuLista"/>
      </w:pPr>
      <w:r w:rsidRPr="00D06BC5">
        <w:t>(б) че от изтичането на упоменатия по-горе тримесечен срок до плащането се дължи проста лихва върху горепосочените суми в размер, равен на пределната ставка по заеми на Европейската централна банка по време на периода на забава, към която се добавят три процентни пункта;</w:t>
      </w:r>
    </w:p>
    <w:p w:rsidR="00DA25A1" w:rsidRPr="00D06BC5" w:rsidRDefault="00DA25A1" w:rsidP="00604E3D">
      <w:pPr>
        <w:pStyle w:val="JuList"/>
      </w:pPr>
    </w:p>
    <w:p w:rsidR="00470981" w:rsidRPr="00D06BC5" w:rsidRDefault="0032670C" w:rsidP="00604E3D">
      <w:pPr>
        <w:pStyle w:val="JuList"/>
        <w:keepNext/>
        <w:keepLines/>
      </w:pPr>
      <w:r w:rsidRPr="00D06BC5">
        <w:t>2.  </w:t>
      </w:r>
      <w:r w:rsidRPr="00D06BC5">
        <w:rPr>
          <w:i/>
        </w:rPr>
        <w:t>Отхвърля</w:t>
      </w:r>
      <w:r w:rsidRPr="00D06BC5">
        <w:t xml:space="preserve"> останалата част от иска на жалбоподателите за справедливо обезщетение.</w:t>
      </w:r>
    </w:p>
    <w:p w:rsidR="00470981" w:rsidRPr="00D06BC5" w:rsidRDefault="00470981" w:rsidP="00604E3D">
      <w:pPr>
        <w:pStyle w:val="JuParaLast"/>
      </w:pPr>
      <w:r w:rsidRPr="00D06BC5">
        <w:t>Изготвено на английски език и оповестено писмено на 21 юли 2016 г., в съответствие с чл. 77 §§ 2 и 3 от Правилника на Съда.</w:t>
      </w:r>
    </w:p>
    <w:p w:rsidR="00EB447C" w:rsidRPr="00D06BC5" w:rsidRDefault="00F64A6B" w:rsidP="00604E3D">
      <w:pPr>
        <w:pStyle w:val="JuSigned"/>
      </w:pPr>
      <w:r w:rsidRPr="00D06BC5">
        <w:t>Клаудия Вестердийк (Claudia Westerdiek)</w:t>
      </w:r>
      <w:r w:rsidRPr="00D06BC5">
        <w:tab/>
        <w:t>Ангелика Нусбергер (Angelika Nußberger)</w:t>
      </w:r>
      <w:r w:rsidRPr="00D06BC5">
        <w:br/>
      </w:r>
      <w:r w:rsidRPr="00D06BC5">
        <w:tab/>
        <w:t>Секретар</w:t>
      </w:r>
      <w:r w:rsidRPr="00D06BC5">
        <w:tab/>
        <w:t>Председател</w:t>
      </w:r>
    </w:p>
    <w:sectPr w:rsidR="00EB447C" w:rsidRPr="00D06BC5" w:rsidSect="00A61CFF">
      <w:headerReference w:type="even" r:id="rId14"/>
      <w:headerReference w:type="default" r:id="rId15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55" w:rsidRDefault="004B7C55" w:rsidP="00470981">
      <w:r>
        <w:separator/>
      </w:r>
    </w:p>
  </w:endnote>
  <w:endnote w:type="continuationSeparator" w:id="0">
    <w:p w:rsidR="004B7C55" w:rsidRDefault="004B7C55" w:rsidP="004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5D" w:rsidRDefault="00584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5D" w:rsidRDefault="00584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FF" w:rsidRPr="00150BFA" w:rsidRDefault="00A61CFF" w:rsidP="0020718E">
    <w:pPr>
      <w:jc w:val="center"/>
    </w:pPr>
    <w:r>
      <w:rPr>
        <w:noProof/>
        <w:lang w:val="en-US" w:eastAsia="en-US" w:bidi="ar-SA"/>
      </w:rPr>
      <w:drawing>
        <wp:inline distT="0" distB="0" distL="0" distR="0" wp14:anchorId="38E4FC94" wp14:editId="43BA7DE0">
          <wp:extent cx="771525" cy="619125"/>
          <wp:effectExtent l="0" t="0" r="9525" b="9525"/>
          <wp:docPr id="11" name="Picture 1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CFF" w:rsidRDefault="00A61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55" w:rsidRDefault="004B7C55" w:rsidP="00470981">
      <w:r>
        <w:separator/>
      </w:r>
    </w:p>
  </w:footnote>
  <w:footnote w:type="continuationSeparator" w:id="0">
    <w:p w:rsidR="004B7C55" w:rsidRDefault="004B7C55" w:rsidP="0047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5D" w:rsidRDefault="00584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C2" w:rsidRPr="00874819" w:rsidRDefault="007377C2" w:rsidP="00A61CFF">
    <w:pPr>
      <w:pStyle w:val="ECHRHeader"/>
      <w:jc w:val="cent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FF" w:rsidRPr="00A45145" w:rsidRDefault="00A61CFF" w:rsidP="00A45145">
    <w:pPr>
      <w:jc w:val="center"/>
    </w:pPr>
    <w:r>
      <w:rPr>
        <w:noProof/>
        <w:lang w:val="en-US" w:eastAsia="en-US" w:bidi="ar-SA"/>
      </w:rPr>
      <w:drawing>
        <wp:inline distT="0" distB="0" distL="0" distR="0" wp14:anchorId="618722B9" wp14:editId="184C0EEB">
          <wp:extent cx="2962275" cy="1219200"/>
          <wp:effectExtent l="0" t="0" r="9525" b="0"/>
          <wp:docPr id="6" name="Picture 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5A1" w:rsidRDefault="00DA25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FF" w:rsidRPr="00660DC0" w:rsidRDefault="00A61CFF" w:rsidP="00660DC0">
    <w:pPr>
      <w:pStyle w:val="ECHR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C59">
      <w:rPr>
        <w:rStyle w:val="PageNumber"/>
        <w:noProof/>
      </w:rPr>
      <w:t>4</w:t>
    </w:r>
    <w:r>
      <w:rPr>
        <w:rStyle w:val="PageNumber"/>
      </w:rPr>
      <w:fldChar w:fldCharType="end"/>
    </w:r>
    <w:r>
      <w:tab/>
      <w:t>РЕШЕНИЕ ДИМИТРОВИ СРЕЩУ БЪЛГАРИЯ (СПРАВЕДЛИВО ОБЕЗЩЕТЕНИЕ)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FF" w:rsidRPr="00874819" w:rsidRDefault="00A61CFF" w:rsidP="00874819">
    <w:pPr>
      <w:pStyle w:val="ECHRHeader"/>
      <w:rPr>
        <w:rStyle w:val="PageNumber"/>
      </w:rPr>
    </w:pPr>
    <w:r>
      <w:tab/>
      <w:t>РЕШЕНИЕ ДИМИТРОВИ СРЕЩУ БЪЛГАРИЯ (СПРАВЕДЛИВО ОБЕЗЩЕТЕНИЕ)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C59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A298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A25C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1E2A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A66C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244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7AB4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E70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61E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A4A6C79"/>
    <w:multiLevelType w:val="multilevel"/>
    <w:tmpl w:val="2FC04DAE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0072BC" w:themeColor="background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3A5857"/>
    <w:multiLevelType w:val="multilevel"/>
    <w:tmpl w:val="8BD6362E"/>
    <w:lvl w:ilvl="0">
      <w:start w:val="1"/>
      <w:numFmt w:val="upperRoman"/>
      <w:suff w:val="nothing"/>
      <w:lvlText w:val="%1.  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suff w:val="nothing"/>
      <w:lvlText w:val="(%5)  "/>
      <w:lvlJc w:val="left"/>
      <w:pPr>
        <w:ind w:left="136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B92CFA"/>
    <w:multiLevelType w:val="hybridMultilevel"/>
    <w:tmpl w:val="513A807C"/>
    <w:lvl w:ilvl="0" w:tplc="EAA8F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33365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B35A03"/>
    <w:multiLevelType w:val="multilevel"/>
    <w:tmpl w:val="BC84849E"/>
    <w:lvl w:ilvl="0">
      <w:start w:val="1"/>
      <w:numFmt w:val="lowerLetter"/>
      <w:suff w:val="nothing"/>
      <w:lvlText w:val="(%1)  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5053EB"/>
    <w:multiLevelType w:val="multilevel"/>
    <w:tmpl w:val="941CA410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suff w:val="nothing"/>
      <w:lvlText w:val="(%5)  "/>
      <w:lvlJc w:val="left"/>
      <w:pPr>
        <w:ind w:left="119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9ED3C69"/>
    <w:multiLevelType w:val="multilevel"/>
    <w:tmpl w:val="FF7A8054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3D29CF"/>
    <w:multiLevelType w:val="multilevel"/>
    <w:tmpl w:val="10F4A786"/>
    <w:lvl w:ilvl="0">
      <w:start w:val="1"/>
      <w:numFmt w:val="decimal"/>
      <w:suff w:val="nothing"/>
      <w:lvlText w:val="%1.  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suff w:val="nothing"/>
      <w:lvlText w:val="(%2)  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suff w:val="nothing"/>
      <w:lvlText w:val="(%3)  "/>
      <w:lvlJc w:val="left"/>
      <w:pPr>
        <w:ind w:left="680" w:firstLine="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324D93"/>
    <w:multiLevelType w:val="hybridMultilevel"/>
    <w:tmpl w:val="F7D68528"/>
    <w:lvl w:ilvl="0" w:tplc="569AD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77587"/>
    <w:multiLevelType w:val="multilevel"/>
    <w:tmpl w:val="49549606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58756B5"/>
    <w:multiLevelType w:val="multilevel"/>
    <w:tmpl w:val="F8A6854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B3FB9"/>
    <w:multiLevelType w:val="multilevel"/>
    <w:tmpl w:val="7A6AC2C8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Roman"/>
      <w:lvlText w:val="%7"/>
      <w:lvlJc w:val="left"/>
      <w:pPr>
        <w:tabs>
          <w:tab w:val="num" w:pos="1985"/>
        </w:tabs>
        <w:ind w:left="1985" w:hanging="227"/>
      </w:pPr>
      <w:rPr>
        <w:rFonts w:ascii="Symbol" w:hAnsi="Symbol" w:hint="default"/>
        <w:strike w:val="0"/>
        <w:dstrike w:val="0"/>
        <w:color w:val="auto"/>
        <w:sz w:val="28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9959AD"/>
    <w:multiLevelType w:val="multilevel"/>
    <w:tmpl w:val="E102B54A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hint="default"/>
        <w:color w:val="0072BC" w:themeColor="background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B42C89"/>
    <w:multiLevelType w:val="hybridMultilevel"/>
    <w:tmpl w:val="CFB02226"/>
    <w:lvl w:ilvl="0" w:tplc="52584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506C"/>
    <w:multiLevelType w:val="multilevel"/>
    <w:tmpl w:val="F288E2FE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74D47F6"/>
    <w:multiLevelType w:val="multilevel"/>
    <w:tmpl w:val="29C02C80"/>
    <w:lvl w:ilvl="0">
      <w:start w:val="1"/>
      <w:numFmt w:val="decimal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D47DE"/>
    <w:multiLevelType w:val="multilevel"/>
    <w:tmpl w:val="F7F2C62E"/>
    <w:lvl w:ilvl="0">
      <w:start w:val="1"/>
      <w:numFmt w:val="decimal"/>
      <w:lvlText w:val="%1."/>
      <w:lvlJc w:val="left"/>
      <w:pPr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5D472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85438D"/>
    <w:multiLevelType w:val="multilevel"/>
    <w:tmpl w:val="73BC578A"/>
    <w:lvl w:ilvl="0">
      <w:start w:val="1"/>
      <w:numFmt w:val="upperRoman"/>
      <w:suff w:val="nothing"/>
      <w:lvlText w:val="%1.  "/>
      <w:lvlJc w:val="left"/>
      <w:pPr>
        <w:ind w:left="227" w:hanging="227"/>
      </w:pPr>
      <w:rPr>
        <w:rFonts w:hint="default"/>
      </w:rPr>
    </w:lvl>
    <w:lvl w:ilvl="1">
      <w:start w:val="1"/>
      <w:numFmt w:val="upperLetter"/>
      <w:suff w:val="nothing"/>
      <w:lvlText w:val="%2.  "/>
      <w:lvlJc w:val="left"/>
      <w:pPr>
        <w:ind w:left="510" w:hanging="283"/>
      </w:pPr>
      <w:rPr>
        <w:rFonts w:hint="default"/>
      </w:rPr>
    </w:lvl>
    <w:lvl w:ilvl="2">
      <w:start w:val="1"/>
      <w:numFmt w:val="decimal"/>
      <w:suff w:val="nothing"/>
      <w:lvlText w:val="%3.  "/>
      <w:lvlJc w:val="left"/>
      <w:pPr>
        <w:ind w:left="794" w:hanging="284"/>
      </w:pPr>
      <w:rPr>
        <w:rFonts w:hint="default"/>
      </w:rPr>
    </w:lvl>
    <w:lvl w:ilvl="3">
      <w:start w:val="1"/>
      <w:numFmt w:val="lowerLetter"/>
      <w:suff w:val="nothing"/>
      <w:lvlText w:val="(%4)  "/>
      <w:lvlJc w:val="left"/>
      <w:pPr>
        <w:ind w:left="1077" w:hanging="283"/>
      </w:pPr>
      <w:rPr>
        <w:rFonts w:hint="default"/>
      </w:rPr>
    </w:lvl>
    <w:lvl w:ilvl="4">
      <w:start w:val="1"/>
      <w:numFmt w:val="lowerRoman"/>
      <w:lvlText w:val="(%5)  "/>
      <w:lvlJc w:val="left"/>
      <w:pPr>
        <w:ind w:left="1304" w:hanging="227"/>
      </w:pPr>
      <w:rPr>
        <w:rFonts w:hint="default"/>
      </w:rPr>
    </w:lvl>
    <w:lvl w:ilvl="5">
      <w:start w:val="1"/>
      <w:numFmt w:val="lowerLetter"/>
      <w:suff w:val="nothing"/>
      <w:lvlText w:val="(%6  "/>
      <w:lvlJc w:val="left"/>
      <w:pPr>
        <w:ind w:left="1644" w:hanging="340"/>
      </w:pPr>
      <w:rPr>
        <w:rFonts w:ascii="Symbol" w:hAnsi="Symbol" w:hint="default"/>
      </w:rPr>
    </w:lvl>
    <w:lvl w:ilvl="6">
      <w:start w:val="1"/>
      <w:numFmt w:val="bullet"/>
      <w:suff w:val="space"/>
      <w:lvlText w:val=""/>
      <w:lvlJc w:val="left"/>
      <w:pPr>
        <w:ind w:left="1814" w:hanging="17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3377FF"/>
    <w:multiLevelType w:val="multilevel"/>
    <w:tmpl w:val="EDC8B6A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4E25784"/>
    <w:multiLevelType w:val="multilevel"/>
    <w:tmpl w:val="165083BE"/>
    <w:lvl w:ilvl="0">
      <w:start w:val="1"/>
      <w:numFmt w:val="decimal"/>
      <w:suff w:val="nothing"/>
      <w:lvlText w:val="%1.  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suff w:val="nothing"/>
      <w:lvlText w:val="(%2)  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suff w:val="nothing"/>
      <w:lvlText w:val="(%3)  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0B61A5"/>
    <w:multiLevelType w:val="multilevel"/>
    <w:tmpl w:val="11FA262C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Wingdings 3" w:hAnsi="Wingdings 3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2F4708"/>
    <w:multiLevelType w:val="multilevel"/>
    <w:tmpl w:val="8BD6362E"/>
    <w:lvl w:ilvl="0">
      <w:start w:val="1"/>
      <w:numFmt w:val="upperRoman"/>
      <w:suff w:val="nothing"/>
      <w:lvlText w:val="%1.  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suff w:val="nothing"/>
      <w:lvlText w:val="(%5)  "/>
      <w:lvlJc w:val="left"/>
      <w:pPr>
        <w:ind w:left="136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D1F59D2"/>
    <w:multiLevelType w:val="hybridMultilevel"/>
    <w:tmpl w:val="4582FBFC"/>
    <w:lvl w:ilvl="0" w:tplc="0D90B7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02EFE"/>
    <w:multiLevelType w:val="multilevel"/>
    <w:tmpl w:val="F42CEE5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284" w:firstLine="0"/>
      </w:pPr>
      <w:rPr>
        <w:rFonts w:hint="default"/>
      </w:rPr>
    </w:lvl>
    <w:lvl w:ilvl="2">
      <w:start w:val="1"/>
      <w:numFmt w:val="lowerRoman"/>
      <w:suff w:val="nothing"/>
      <w:lvlText w:val="(%3)  "/>
      <w:lvlJc w:val="left"/>
      <w:pPr>
        <w:ind w:left="680" w:firstLine="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8C0CF9"/>
    <w:multiLevelType w:val="multilevel"/>
    <w:tmpl w:val="090EC1BE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06B6FCB"/>
    <w:multiLevelType w:val="multilevel"/>
    <w:tmpl w:val="067E4BA6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2FB1EA6"/>
    <w:multiLevelType w:val="multilevel"/>
    <w:tmpl w:val="B1545D7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4812F33"/>
    <w:multiLevelType w:val="multilevel"/>
    <w:tmpl w:val="CD6E7908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none"/>
      <w:lvlText w:val="%7–"/>
      <w:lvlJc w:val="left"/>
      <w:pPr>
        <w:tabs>
          <w:tab w:val="num" w:pos="1985"/>
        </w:tabs>
        <w:ind w:left="1985" w:hanging="227"/>
      </w:pPr>
      <w:rPr>
        <w:rFonts w:asciiTheme="majorHAnsi" w:hAnsiTheme="majorHAnsi" w:hint="default"/>
        <w:color w:val="000000" w:themeColor="text1"/>
        <w:sz w:val="28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asciiTheme="majorHAnsi" w:hAnsiTheme="majorHAnsi" w:hint="default"/>
        <w:strike w:val="0"/>
        <w:dstrike w:val="0"/>
        <w:color w:val="000000" w:themeColor="text1"/>
        <w:sz w:val="28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8580374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7B5D2C"/>
    <w:multiLevelType w:val="multilevel"/>
    <w:tmpl w:val="0A7CB2D0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1FE1C04"/>
    <w:multiLevelType w:val="multilevel"/>
    <w:tmpl w:val="BEDA27C0"/>
    <w:lvl w:ilvl="0">
      <w:start w:val="1"/>
      <w:numFmt w:val="upperRoman"/>
      <w:suff w:val="nothing"/>
      <w:lvlText w:val="%1.  "/>
      <w:lvlJc w:val="left"/>
      <w:pPr>
        <w:ind w:left="227" w:hanging="227"/>
      </w:pPr>
      <w:rPr>
        <w:rFonts w:hint="default"/>
      </w:rPr>
    </w:lvl>
    <w:lvl w:ilvl="1">
      <w:start w:val="1"/>
      <w:numFmt w:val="upperLetter"/>
      <w:suff w:val="nothing"/>
      <w:lvlText w:val="%2.  "/>
      <w:lvlJc w:val="left"/>
      <w:pPr>
        <w:ind w:left="510" w:hanging="283"/>
      </w:pPr>
      <w:rPr>
        <w:rFonts w:hint="default"/>
      </w:rPr>
    </w:lvl>
    <w:lvl w:ilvl="2">
      <w:start w:val="1"/>
      <w:numFmt w:val="decimal"/>
      <w:suff w:val="nothing"/>
      <w:lvlText w:val="%3.  "/>
      <w:lvlJc w:val="left"/>
      <w:pPr>
        <w:ind w:left="794" w:hanging="284"/>
      </w:pPr>
      <w:rPr>
        <w:rFonts w:hint="default"/>
      </w:rPr>
    </w:lvl>
    <w:lvl w:ilvl="3">
      <w:start w:val="1"/>
      <w:numFmt w:val="lowerLetter"/>
      <w:suff w:val="nothing"/>
      <w:lvlText w:val="(%4)  "/>
      <w:lvlJc w:val="left"/>
      <w:pPr>
        <w:ind w:left="1077" w:hanging="283"/>
      </w:pPr>
      <w:rPr>
        <w:rFonts w:hint="default"/>
      </w:rPr>
    </w:lvl>
    <w:lvl w:ilvl="4">
      <w:start w:val="1"/>
      <w:numFmt w:val="lowerRoman"/>
      <w:suff w:val="nothing"/>
      <w:lvlText w:val="(%5)  "/>
      <w:lvlJc w:val="left"/>
      <w:pPr>
        <w:ind w:left="1304" w:hanging="227"/>
      </w:pPr>
      <w:rPr>
        <w:rFonts w:hint="default"/>
      </w:rPr>
    </w:lvl>
    <w:lvl w:ilvl="5">
      <w:start w:val="1"/>
      <w:numFmt w:val="lowerLetter"/>
      <w:suff w:val="nothing"/>
      <w:lvlText w:val="(%6)  "/>
      <w:lvlJc w:val="left"/>
      <w:pPr>
        <w:ind w:left="1644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814" w:hanging="170"/>
      </w:pPr>
      <w:rPr>
        <w:rFonts w:ascii="Symbol" w:hAnsi="Symbol" w:hint="default"/>
        <w:color w:val="000000" w:themeColor="text1"/>
      </w:rPr>
    </w:lvl>
    <w:lvl w:ilvl="7">
      <w:start w:val="1"/>
      <w:numFmt w:val="bullet"/>
      <w:lvlText w:val=""/>
      <w:lvlJc w:val="left"/>
      <w:pPr>
        <w:ind w:left="1985" w:hanging="171"/>
      </w:pPr>
      <w:rPr>
        <w:rFonts w:ascii="Wingdings" w:hAnsi="Wingdings" w:hint="default"/>
        <w:color w:val="000000" w:themeColor="tex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6FD4624"/>
    <w:multiLevelType w:val="hybridMultilevel"/>
    <w:tmpl w:val="F8A68542"/>
    <w:lvl w:ilvl="0" w:tplc="7CD2FB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D797CA4"/>
    <w:multiLevelType w:val="multilevel"/>
    <w:tmpl w:val="A1CE0A3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340" w:firstLine="0"/>
      </w:pPr>
      <w:rPr>
        <w:rFonts w:hint="default"/>
      </w:rPr>
    </w:lvl>
    <w:lvl w:ilvl="2">
      <w:start w:val="1"/>
      <w:numFmt w:val="lowerRoman"/>
      <w:suff w:val="nothing"/>
      <w:lvlText w:val="(%3)  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4DD17BC"/>
    <w:multiLevelType w:val="multilevel"/>
    <w:tmpl w:val="EC58AD9E"/>
    <w:lvl w:ilvl="0">
      <w:start w:val="1"/>
      <w:numFmt w:val="upperRoman"/>
      <w:lvlText w:val="%1."/>
      <w:lvlJc w:val="left"/>
      <w:pPr>
        <w:ind w:left="346" w:hanging="34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34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lowerRoman"/>
      <w:lvlText w:val="%7"/>
      <w:lvlJc w:val="left"/>
      <w:pPr>
        <w:tabs>
          <w:tab w:val="num" w:pos="1985"/>
        </w:tabs>
        <w:ind w:left="1985" w:hanging="227"/>
      </w:pPr>
      <w:rPr>
        <w:rFonts w:asciiTheme="minorHAnsi" w:hAnsiTheme="minorHAnsi" w:hint="default"/>
        <w:strike w:val="0"/>
        <w:dstrike w:val="0"/>
        <w:color w:val="auto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41"/>
  </w:num>
  <w:num w:numId="5">
    <w:abstractNumId w:val="37"/>
  </w:num>
  <w:num w:numId="6">
    <w:abstractNumId w:val="25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4"/>
  </w:num>
  <w:num w:numId="14">
    <w:abstractNumId w:val="19"/>
  </w:num>
  <w:num w:numId="15">
    <w:abstractNumId w:val="23"/>
  </w:num>
  <w:num w:numId="16">
    <w:abstractNumId w:val="39"/>
  </w:num>
  <w:num w:numId="17">
    <w:abstractNumId w:val="33"/>
  </w:num>
  <w:num w:numId="18">
    <w:abstractNumId w:val="34"/>
  </w:num>
  <w:num w:numId="19">
    <w:abstractNumId w:val="22"/>
  </w:num>
  <w:num w:numId="20">
    <w:abstractNumId w:val="13"/>
  </w:num>
  <w:num w:numId="21">
    <w:abstractNumId w:val="17"/>
  </w:num>
  <w:num w:numId="22">
    <w:abstractNumId w:val="36"/>
  </w:num>
  <w:num w:numId="23">
    <w:abstractNumId w:val="32"/>
  </w:num>
  <w:num w:numId="24">
    <w:abstractNumId w:val="35"/>
  </w:num>
  <w:num w:numId="25">
    <w:abstractNumId w:val="42"/>
  </w:num>
  <w:num w:numId="26">
    <w:abstractNumId w:val="20"/>
  </w:num>
  <w:num w:numId="27">
    <w:abstractNumId w:val="8"/>
  </w:num>
  <w:num w:numId="28">
    <w:abstractNumId w:val="29"/>
  </w:num>
  <w:num w:numId="29">
    <w:abstractNumId w:val="14"/>
  </w:num>
  <w:num w:numId="30">
    <w:abstractNumId w:val="3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9"/>
  </w:num>
  <w:num w:numId="34">
    <w:abstractNumId w:val="30"/>
  </w:num>
  <w:num w:numId="35">
    <w:abstractNumId w:val="26"/>
  </w:num>
  <w:num w:numId="36">
    <w:abstractNumId w:val="27"/>
  </w:num>
  <w:num w:numId="37">
    <w:abstractNumId w:val="1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0"/>
  </w:num>
  <w:num w:numId="41">
    <w:abstractNumId w:val="21"/>
  </w:num>
  <w:num w:numId="42">
    <w:abstractNumId w:val="31"/>
  </w:num>
  <w:num w:numId="43">
    <w:abstractNumId w:val="28"/>
  </w:num>
  <w:num w:numId="44">
    <w:abstractNumId w:val="24"/>
  </w:num>
  <w:num w:numId="45">
    <w:abstractNumId w:val="40"/>
  </w:num>
  <w:num w:numId="46">
    <w:abstractNumId w:val="1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  <w:num w:numId="50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SignForeName" w:val="0"/>
  </w:docVars>
  <w:rsids>
    <w:rsidRoot w:val="00DA25A1"/>
    <w:rsid w:val="000041F8"/>
    <w:rsid w:val="000042A8"/>
    <w:rsid w:val="00004308"/>
    <w:rsid w:val="00005173"/>
    <w:rsid w:val="00005BF0"/>
    <w:rsid w:val="00007154"/>
    <w:rsid w:val="000103AE"/>
    <w:rsid w:val="00011D69"/>
    <w:rsid w:val="00012AD3"/>
    <w:rsid w:val="000131D8"/>
    <w:rsid w:val="00015C2D"/>
    <w:rsid w:val="00015F00"/>
    <w:rsid w:val="00022C1D"/>
    <w:rsid w:val="00023448"/>
    <w:rsid w:val="00034987"/>
    <w:rsid w:val="00040170"/>
    <w:rsid w:val="000602DF"/>
    <w:rsid w:val="00061B05"/>
    <w:rsid w:val="00062DAD"/>
    <w:rsid w:val="000632D5"/>
    <w:rsid w:val="000644EE"/>
    <w:rsid w:val="000742C6"/>
    <w:rsid w:val="0008055F"/>
    <w:rsid w:val="000875F4"/>
    <w:rsid w:val="000925AD"/>
    <w:rsid w:val="000960EA"/>
    <w:rsid w:val="000A24EB"/>
    <w:rsid w:val="000A3F8F"/>
    <w:rsid w:val="000A48A4"/>
    <w:rsid w:val="000B6923"/>
    <w:rsid w:val="000C52F5"/>
    <w:rsid w:val="000C5F3C"/>
    <w:rsid w:val="000C688D"/>
    <w:rsid w:val="000C6DCC"/>
    <w:rsid w:val="000D0465"/>
    <w:rsid w:val="000D47AA"/>
    <w:rsid w:val="000D721F"/>
    <w:rsid w:val="000E069B"/>
    <w:rsid w:val="000E0E82"/>
    <w:rsid w:val="000E1DC5"/>
    <w:rsid w:val="000E223F"/>
    <w:rsid w:val="000E7D45"/>
    <w:rsid w:val="000F1301"/>
    <w:rsid w:val="000F7851"/>
    <w:rsid w:val="0010075D"/>
    <w:rsid w:val="00104E23"/>
    <w:rsid w:val="0010756C"/>
    <w:rsid w:val="001111CE"/>
    <w:rsid w:val="00111B0C"/>
    <w:rsid w:val="00120D6C"/>
    <w:rsid w:val="00123DCD"/>
    <w:rsid w:val="001257EC"/>
    <w:rsid w:val="00133D33"/>
    <w:rsid w:val="00134D64"/>
    <w:rsid w:val="00135A30"/>
    <w:rsid w:val="0013612C"/>
    <w:rsid w:val="00137FF6"/>
    <w:rsid w:val="00141650"/>
    <w:rsid w:val="00162A12"/>
    <w:rsid w:val="00166530"/>
    <w:rsid w:val="00182E68"/>
    <w:rsid w:val="001832BD"/>
    <w:rsid w:val="001847D6"/>
    <w:rsid w:val="001943B5"/>
    <w:rsid w:val="00195134"/>
    <w:rsid w:val="001A145B"/>
    <w:rsid w:val="001A24A9"/>
    <w:rsid w:val="001A301A"/>
    <w:rsid w:val="001A674C"/>
    <w:rsid w:val="001B3B24"/>
    <w:rsid w:val="001C0F98"/>
    <w:rsid w:val="001C2A42"/>
    <w:rsid w:val="001C509C"/>
    <w:rsid w:val="001D13C8"/>
    <w:rsid w:val="001D63ED"/>
    <w:rsid w:val="001D7348"/>
    <w:rsid w:val="001E035B"/>
    <w:rsid w:val="001E0961"/>
    <w:rsid w:val="001E2B43"/>
    <w:rsid w:val="001E3EAE"/>
    <w:rsid w:val="001E6F32"/>
    <w:rsid w:val="001F2145"/>
    <w:rsid w:val="001F6262"/>
    <w:rsid w:val="001F67B0"/>
    <w:rsid w:val="001F7B3D"/>
    <w:rsid w:val="00204F41"/>
    <w:rsid w:val="00205F9F"/>
    <w:rsid w:val="00210338"/>
    <w:rsid w:val="002115FC"/>
    <w:rsid w:val="0021279B"/>
    <w:rsid w:val="0021423C"/>
    <w:rsid w:val="0021618D"/>
    <w:rsid w:val="00222F14"/>
    <w:rsid w:val="00227663"/>
    <w:rsid w:val="00230D00"/>
    <w:rsid w:val="00231DF7"/>
    <w:rsid w:val="00231FD1"/>
    <w:rsid w:val="002323DC"/>
    <w:rsid w:val="002339E0"/>
    <w:rsid w:val="00233CF8"/>
    <w:rsid w:val="0023575D"/>
    <w:rsid w:val="00237148"/>
    <w:rsid w:val="0024222D"/>
    <w:rsid w:val="00244B0E"/>
    <w:rsid w:val="00244F6C"/>
    <w:rsid w:val="00250533"/>
    <w:rsid w:val="002532C5"/>
    <w:rsid w:val="00260C03"/>
    <w:rsid w:val="0026540E"/>
    <w:rsid w:val="0026596C"/>
    <w:rsid w:val="00275123"/>
    <w:rsid w:val="00277C9A"/>
    <w:rsid w:val="00282240"/>
    <w:rsid w:val="002948AD"/>
    <w:rsid w:val="002A01CC"/>
    <w:rsid w:val="002A54AD"/>
    <w:rsid w:val="002A61B1"/>
    <w:rsid w:val="002A663C"/>
    <w:rsid w:val="002B444B"/>
    <w:rsid w:val="002B5887"/>
    <w:rsid w:val="002B5DA5"/>
    <w:rsid w:val="002C0E27"/>
    <w:rsid w:val="002C3040"/>
    <w:rsid w:val="002D022D"/>
    <w:rsid w:val="002D24BB"/>
    <w:rsid w:val="002D55E9"/>
    <w:rsid w:val="002E2B2A"/>
    <w:rsid w:val="002F2AF7"/>
    <w:rsid w:val="002F5752"/>
    <w:rsid w:val="002F7E1C"/>
    <w:rsid w:val="003005B9"/>
    <w:rsid w:val="0030092E"/>
    <w:rsid w:val="00301A75"/>
    <w:rsid w:val="00302F70"/>
    <w:rsid w:val="0030336F"/>
    <w:rsid w:val="0030375E"/>
    <w:rsid w:val="00312A30"/>
    <w:rsid w:val="00320F72"/>
    <w:rsid w:val="0032463E"/>
    <w:rsid w:val="00326224"/>
    <w:rsid w:val="0032670C"/>
    <w:rsid w:val="00337EE4"/>
    <w:rsid w:val="00340FFD"/>
    <w:rsid w:val="00341C50"/>
    <w:rsid w:val="003506B1"/>
    <w:rsid w:val="00356AC7"/>
    <w:rsid w:val="003609FA"/>
    <w:rsid w:val="003710C8"/>
    <w:rsid w:val="003730CF"/>
    <w:rsid w:val="003750BE"/>
    <w:rsid w:val="00384F4D"/>
    <w:rsid w:val="00387B9D"/>
    <w:rsid w:val="0039364F"/>
    <w:rsid w:val="003948AE"/>
    <w:rsid w:val="00395193"/>
    <w:rsid w:val="00396686"/>
    <w:rsid w:val="0039778E"/>
    <w:rsid w:val="003A49FF"/>
    <w:rsid w:val="003B282C"/>
    <w:rsid w:val="003B4242"/>
    <w:rsid w:val="003B4941"/>
    <w:rsid w:val="003C5714"/>
    <w:rsid w:val="003C6B9F"/>
    <w:rsid w:val="003C6E2A"/>
    <w:rsid w:val="003C7A99"/>
    <w:rsid w:val="003D0299"/>
    <w:rsid w:val="003D7CBE"/>
    <w:rsid w:val="003E6D80"/>
    <w:rsid w:val="003F05FA"/>
    <w:rsid w:val="003F244A"/>
    <w:rsid w:val="003F30B8"/>
    <w:rsid w:val="003F4C45"/>
    <w:rsid w:val="003F5F7B"/>
    <w:rsid w:val="003F7D64"/>
    <w:rsid w:val="00401EE3"/>
    <w:rsid w:val="004057D1"/>
    <w:rsid w:val="0040782D"/>
    <w:rsid w:val="00414300"/>
    <w:rsid w:val="004222D6"/>
    <w:rsid w:val="00425C67"/>
    <w:rsid w:val="00427E7A"/>
    <w:rsid w:val="00432C6F"/>
    <w:rsid w:val="00432EB8"/>
    <w:rsid w:val="00436C49"/>
    <w:rsid w:val="00445366"/>
    <w:rsid w:val="00447F5B"/>
    <w:rsid w:val="00450E83"/>
    <w:rsid w:val="00461DB0"/>
    <w:rsid w:val="00463926"/>
    <w:rsid w:val="00464C9A"/>
    <w:rsid w:val="00470981"/>
    <w:rsid w:val="00474F3D"/>
    <w:rsid w:val="00477E3A"/>
    <w:rsid w:val="00483E5F"/>
    <w:rsid w:val="00485FF9"/>
    <w:rsid w:val="004907F0"/>
    <w:rsid w:val="00491232"/>
    <w:rsid w:val="0049140B"/>
    <w:rsid w:val="004923A5"/>
    <w:rsid w:val="00496BFB"/>
    <w:rsid w:val="004A15C7"/>
    <w:rsid w:val="004B013B"/>
    <w:rsid w:val="004B112B"/>
    <w:rsid w:val="004B1B99"/>
    <w:rsid w:val="004B7C55"/>
    <w:rsid w:val="004C01E4"/>
    <w:rsid w:val="004C086C"/>
    <w:rsid w:val="004C1F56"/>
    <w:rsid w:val="004C27BC"/>
    <w:rsid w:val="004D15F3"/>
    <w:rsid w:val="004D5311"/>
    <w:rsid w:val="004D5DCC"/>
    <w:rsid w:val="004E09EE"/>
    <w:rsid w:val="004E73E0"/>
    <w:rsid w:val="004F10AF"/>
    <w:rsid w:val="004F11A4"/>
    <w:rsid w:val="004F2389"/>
    <w:rsid w:val="004F304D"/>
    <w:rsid w:val="004F3AFB"/>
    <w:rsid w:val="004F3E40"/>
    <w:rsid w:val="004F5A33"/>
    <w:rsid w:val="004F61BE"/>
    <w:rsid w:val="004F66B1"/>
    <w:rsid w:val="00506A60"/>
    <w:rsid w:val="00507A76"/>
    <w:rsid w:val="00511C07"/>
    <w:rsid w:val="00516863"/>
    <w:rsid w:val="005173A6"/>
    <w:rsid w:val="00520BAA"/>
    <w:rsid w:val="00525208"/>
    <w:rsid w:val="005257A5"/>
    <w:rsid w:val="005264C0"/>
    <w:rsid w:val="00526A8A"/>
    <w:rsid w:val="00531DF2"/>
    <w:rsid w:val="005442EE"/>
    <w:rsid w:val="00547353"/>
    <w:rsid w:val="0054746C"/>
    <w:rsid w:val="005474E7"/>
    <w:rsid w:val="005512A3"/>
    <w:rsid w:val="005578CE"/>
    <w:rsid w:val="00562781"/>
    <w:rsid w:val="00567D2A"/>
    <w:rsid w:val="0057271C"/>
    <w:rsid w:val="00572845"/>
    <w:rsid w:val="00573B6B"/>
    <w:rsid w:val="0057690A"/>
    <w:rsid w:val="0058425D"/>
    <w:rsid w:val="00592772"/>
    <w:rsid w:val="0059574A"/>
    <w:rsid w:val="005A0A67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E53F5"/>
    <w:rsid w:val="005F093F"/>
    <w:rsid w:val="005F51E1"/>
    <w:rsid w:val="00604E3D"/>
    <w:rsid w:val="00605D35"/>
    <w:rsid w:val="00611C80"/>
    <w:rsid w:val="00614C1D"/>
    <w:rsid w:val="00620692"/>
    <w:rsid w:val="0062381B"/>
    <w:rsid w:val="006242CA"/>
    <w:rsid w:val="00627507"/>
    <w:rsid w:val="00633717"/>
    <w:rsid w:val="006344E1"/>
    <w:rsid w:val="006353A3"/>
    <w:rsid w:val="006545C4"/>
    <w:rsid w:val="00660DC0"/>
    <w:rsid w:val="00661916"/>
    <w:rsid w:val="00661971"/>
    <w:rsid w:val="00661CE8"/>
    <w:rsid w:val="006623D9"/>
    <w:rsid w:val="0066550C"/>
    <w:rsid w:val="006703AE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B7411"/>
    <w:rsid w:val="006C23D4"/>
    <w:rsid w:val="006C2F54"/>
    <w:rsid w:val="006C7BB0"/>
    <w:rsid w:val="006D3237"/>
    <w:rsid w:val="006D58F5"/>
    <w:rsid w:val="006E2E37"/>
    <w:rsid w:val="006E3CF1"/>
    <w:rsid w:val="006E64D0"/>
    <w:rsid w:val="006E7E80"/>
    <w:rsid w:val="006F07D3"/>
    <w:rsid w:val="006F1EB9"/>
    <w:rsid w:val="006F48CA"/>
    <w:rsid w:val="006F64DD"/>
    <w:rsid w:val="0071437E"/>
    <w:rsid w:val="00715127"/>
    <w:rsid w:val="00715E8E"/>
    <w:rsid w:val="00723580"/>
    <w:rsid w:val="00723755"/>
    <w:rsid w:val="0073136C"/>
    <w:rsid w:val="00731F0F"/>
    <w:rsid w:val="00733250"/>
    <w:rsid w:val="007352F1"/>
    <w:rsid w:val="007377C2"/>
    <w:rsid w:val="00741404"/>
    <w:rsid w:val="007449E5"/>
    <w:rsid w:val="00747FF0"/>
    <w:rsid w:val="00751B73"/>
    <w:rsid w:val="00763988"/>
    <w:rsid w:val="00764D4E"/>
    <w:rsid w:val="00765A1F"/>
    <w:rsid w:val="007703F0"/>
    <w:rsid w:val="00775B6D"/>
    <w:rsid w:val="00776D68"/>
    <w:rsid w:val="007850EE"/>
    <w:rsid w:val="00785B95"/>
    <w:rsid w:val="007874D7"/>
    <w:rsid w:val="00790E96"/>
    <w:rsid w:val="00793366"/>
    <w:rsid w:val="007A6B09"/>
    <w:rsid w:val="007A716F"/>
    <w:rsid w:val="007B270A"/>
    <w:rsid w:val="007B3C9B"/>
    <w:rsid w:val="007C0695"/>
    <w:rsid w:val="007C419A"/>
    <w:rsid w:val="007C4CC8"/>
    <w:rsid w:val="007C5426"/>
    <w:rsid w:val="007C5798"/>
    <w:rsid w:val="007C79F5"/>
    <w:rsid w:val="007D4832"/>
    <w:rsid w:val="007D5951"/>
    <w:rsid w:val="007E21B2"/>
    <w:rsid w:val="007E2495"/>
    <w:rsid w:val="007E2C4E"/>
    <w:rsid w:val="007F1905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47A93"/>
    <w:rsid w:val="00851B7B"/>
    <w:rsid w:val="00851EF9"/>
    <w:rsid w:val="008577FD"/>
    <w:rsid w:val="00860B03"/>
    <w:rsid w:val="0086497A"/>
    <w:rsid w:val="008713A1"/>
    <w:rsid w:val="00874819"/>
    <w:rsid w:val="008754AB"/>
    <w:rsid w:val="0088060C"/>
    <w:rsid w:val="00883C63"/>
    <w:rsid w:val="00884888"/>
    <w:rsid w:val="00893576"/>
    <w:rsid w:val="00893E73"/>
    <w:rsid w:val="008974A5"/>
    <w:rsid w:val="008A3EAD"/>
    <w:rsid w:val="008A6B5B"/>
    <w:rsid w:val="008B02DC"/>
    <w:rsid w:val="008B57CE"/>
    <w:rsid w:val="008C26DE"/>
    <w:rsid w:val="008C512E"/>
    <w:rsid w:val="008D2225"/>
    <w:rsid w:val="008D4752"/>
    <w:rsid w:val="008E271C"/>
    <w:rsid w:val="008E418E"/>
    <w:rsid w:val="008E5BC6"/>
    <w:rsid w:val="008E5C19"/>
    <w:rsid w:val="008E6A25"/>
    <w:rsid w:val="008F5193"/>
    <w:rsid w:val="008F7C83"/>
    <w:rsid w:val="009013A7"/>
    <w:rsid w:val="009017FB"/>
    <w:rsid w:val="009017FC"/>
    <w:rsid w:val="00902502"/>
    <w:rsid w:val="0090506B"/>
    <w:rsid w:val="009050C9"/>
    <w:rsid w:val="009066FC"/>
    <w:rsid w:val="009140A3"/>
    <w:rsid w:val="009144A2"/>
    <w:rsid w:val="0091510C"/>
    <w:rsid w:val="00924F37"/>
    <w:rsid w:val="009259AC"/>
    <w:rsid w:val="00926F38"/>
    <w:rsid w:val="00934301"/>
    <w:rsid w:val="00936CD1"/>
    <w:rsid w:val="00941747"/>
    <w:rsid w:val="00941EFB"/>
    <w:rsid w:val="00947AFB"/>
    <w:rsid w:val="00951D7D"/>
    <w:rsid w:val="009630C7"/>
    <w:rsid w:val="00966454"/>
    <w:rsid w:val="00972B55"/>
    <w:rsid w:val="009743B7"/>
    <w:rsid w:val="00974C64"/>
    <w:rsid w:val="00975D2B"/>
    <w:rsid w:val="0098228B"/>
    <w:rsid w:val="009828DA"/>
    <w:rsid w:val="00985BAB"/>
    <w:rsid w:val="009905C7"/>
    <w:rsid w:val="00990DA2"/>
    <w:rsid w:val="00993913"/>
    <w:rsid w:val="009B1B5F"/>
    <w:rsid w:val="009B6673"/>
    <w:rsid w:val="009C191B"/>
    <w:rsid w:val="009C2BD6"/>
    <w:rsid w:val="009C40C2"/>
    <w:rsid w:val="009C791C"/>
    <w:rsid w:val="009D1B7E"/>
    <w:rsid w:val="009D5483"/>
    <w:rsid w:val="009E1F32"/>
    <w:rsid w:val="009E776C"/>
    <w:rsid w:val="00A025BE"/>
    <w:rsid w:val="00A035B6"/>
    <w:rsid w:val="00A1726E"/>
    <w:rsid w:val="00A204CF"/>
    <w:rsid w:val="00A22A01"/>
    <w:rsid w:val="00A23D49"/>
    <w:rsid w:val="00A27004"/>
    <w:rsid w:val="00A30C29"/>
    <w:rsid w:val="00A34DD6"/>
    <w:rsid w:val="00A36819"/>
    <w:rsid w:val="00A36989"/>
    <w:rsid w:val="00A41BAE"/>
    <w:rsid w:val="00A43628"/>
    <w:rsid w:val="00A43FA7"/>
    <w:rsid w:val="00A54192"/>
    <w:rsid w:val="00A6035E"/>
    <w:rsid w:val="00A6144C"/>
    <w:rsid w:val="00A61CFF"/>
    <w:rsid w:val="00A66617"/>
    <w:rsid w:val="00A671F8"/>
    <w:rsid w:val="00A673A4"/>
    <w:rsid w:val="00A724AE"/>
    <w:rsid w:val="00A73329"/>
    <w:rsid w:val="00A80CBB"/>
    <w:rsid w:val="00A82359"/>
    <w:rsid w:val="00A8269D"/>
    <w:rsid w:val="00A865D2"/>
    <w:rsid w:val="00A94C20"/>
    <w:rsid w:val="00A976C2"/>
    <w:rsid w:val="00AA227F"/>
    <w:rsid w:val="00AA3BC7"/>
    <w:rsid w:val="00AA754A"/>
    <w:rsid w:val="00AB099E"/>
    <w:rsid w:val="00AB4328"/>
    <w:rsid w:val="00AE0A2E"/>
    <w:rsid w:val="00AE354C"/>
    <w:rsid w:val="00AF4B07"/>
    <w:rsid w:val="00AF6186"/>
    <w:rsid w:val="00AF7A3A"/>
    <w:rsid w:val="00B12124"/>
    <w:rsid w:val="00B160DB"/>
    <w:rsid w:val="00B1628C"/>
    <w:rsid w:val="00B20836"/>
    <w:rsid w:val="00B235BB"/>
    <w:rsid w:val="00B27A44"/>
    <w:rsid w:val="00B30BBF"/>
    <w:rsid w:val="00B33C03"/>
    <w:rsid w:val="00B44E56"/>
    <w:rsid w:val="00B46543"/>
    <w:rsid w:val="00B47D33"/>
    <w:rsid w:val="00B52BE0"/>
    <w:rsid w:val="00B54133"/>
    <w:rsid w:val="00B575C6"/>
    <w:rsid w:val="00B701ED"/>
    <w:rsid w:val="00B771A0"/>
    <w:rsid w:val="00B7729B"/>
    <w:rsid w:val="00B8086C"/>
    <w:rsid w:val="00B861B4"/>
    <w:rsid w:val="00B86DFE"/>
    <w:rsid w:val="00B90990"/>
    <w:rsid w:val="00B922FF"/>
    <w:rsid w:val="00B9281E"/>
    <w:rsid w:val="00B93925"/>
    <w:rsid w:val="00B9488E"/>
    <w:rsid w:val="00B95187"/>
    <w:rsid w:val="00BA2D55"/>
    <w:rsid w:val="00BA71B1"/>
    <w:rsid w:val="00BB0637"/>
    <w:rsid w:val="00BB345F"/>
    <w:rsid w:val="00BB5A92"/>
    <w:rsid w:val="00BB68EA"/>
    <w:rsid w:val="00BC1C27"/>
    <w:rsid w:val="00BC51AA"/>
    <w:rsid w:val="00BC6BBF"/>
    <w:rsid w:val="00BD0589"/>
    <w:rsid w:val="00BD1572"/>
    <w:rsid w:val="00BE14E3"/>
    <w:rsid w:val="00BE1959"/>
    <w:rsid w:val="00BE3774"/>
    <w:rsid w:val="00BE41E5"/>
    <w:rsid w:val="00BF4109"/>
    <w:rsid w:val="00BF4CC3"/>
    <w:rsid w:val="00C054C7"/>
    <w:rsid w:val="00C057B5"/>
    <w:rsid w:val="00C12505"/>
    <w:rsid w:val="00C22687"/>
    <w:rsid w:val="00C32E4D"/>
    <w:rsid w:val="00C333A0"/>
    <w:rsid w:val="00C36A81"/>
    <w:rsid w:val="00C41974"/>
    <w:rsid w:val="00C42C59"/>
    <w:rsid w:val="00C53F4A"/>
    <w:rsid w:val="00C54125"/>
    <w:rsid w:val="00C55B54"/>
    <w:rsid w:val="00C6098E"/>
    <w:rsid w:val="00C6152C"/>
    <w:rsid w:val="00C65B1B"/>
    <w:rsid w:val="00C67498"/>
    <w:rsid w:val="00C716C6"/>
    <w:rsid w:val="00C74810"/>
    <w:rsid w:val="00C7595B"/>
    <w:rsid w:val="00C90D68"/>
    <w:rsid w:val="00C939FE"/>
    <w:rsid w:val="00CA4BDA"/>
    <w:rsid w:val="00CB1F66"/>
    <w:rsid w:val="00CB2951"/>
    <w:rsid w:val="00CC184F"/>
    <w:rsid w:val="00CC2B38"/>
    <w:rsid w:val="00CC3817"/>
    <w:rsid w:val="00CC6265"/>
    <w:rsid w:val="00CD0F31"/>
    <w:rsid w:val="00CD282B"/>
    <w:rsid w:val="00CD4C35"/>
    <w:rsid w:val="00CD7369"/>
    <w:rsid w:val="00CE0B0E"/>
    <w:rsid w:val="00CE3831"/>
    <w:rsid w:val="00D00ABB"/>
    <w:rsid w:val="00D02EEC"/>
    <w:rsid w:val="00D03551"/>
    <w:rsid w:val="00D06A63"/>
    <w:rsid w:val="00D06BC5"/>
    <w:rsid w:val="00D07E0E"/>
    <w:rsid w:val="00D10123"/>
    <w:rsid w:val="00D11478"/>
    <w:rsid w:val="00D15BE2"/>
    <w:rsid w:val="00D15ED0"/>
    <w:rsid w:val="00D21B3E"/>
    <w:rsid w:val="00D21FED"/>
    <w:rsid w:val="00D24251"/>
    <w:rsid w:val="00D24358"/>
    <w:rsid w:val="00D343E2"/>
    <w:rsid w:val="00D361A2"/>
    <w:rsid w:val="00D3746A"/>
    <w:rsid w:val="00D40F74"/>
    <w:rsid w:val="00D423AD"/>
    <w:rsid w:val="00D44C2E"/>
    <w:rsid w:val="00D45414"/>
    <w:rsid w:val="00D46926"/>
    <w:rsid w:val="00D47BEB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46CE"/>
    <w:rsid w:val="00D977B6"/>
    <w:rsid w:val="00DA25A1"/>
    <w:rsid w:val="00DA4A31"/>
    <w:rsid w:val="00DA7B04"/>
    <w:rsid w:val="00DB36C2"/>
    <w:rsid w:val="00DC169B"/>
    <w:rsid w:val="00DC299E"/>
    <w:rsid w:val="00DC2AB9"/>
    <w:rsid w:val="00DC63F0"/>
    <w:rsid w:val="00DD64D5"/>
    <w:rsid w:val="00DD6EE5"/>
    <w:rsid w:val="00DE11BD"/>
    <w:rsid w:val="00DE386C"/>
    <w:rsid w:val="00DE4D35"/>
    <w:rsid w:val="00DF098B"/>
    <w:rsid w:val="00DF11C4"/>
    <w:rsid w:val="00DF210C"/>
    <w:rsid w:val="00DF4951"/>
    <w:rsid w:val="00DF4B6A"/>
    <w:rsid w:val="00E02C09"/>
    <w:rsid w:val="00E0309B"/>
    <w:rsid w:val="00E04D59"/>
    <w:rsid w:val="00E07DA1"/>
    <w:rsid w:val="00E123CB"/>
    <w:rsid w:val="00E20E13"/>
    <w:rsid w:val="00E21DBC"/>
    <w:rsid w:val="00E275D7"/>
    <w:rsid w:val="00E27DBE"/>
    <w:rsid w:val="00E32AB1"/>
    <w:rsid w:val="00E36C71"/>
    <w:rsid w:val="00E40404"/>
    <w:rsid w:val="00E4448F"/>
    <w:rsid w:val="00E459C6"/>
    <w:rsid w:val="00E47589"/>
    <w:rsid w:val="00E64915"/>
    <w:rsid w:val="00E661D4"/>
    <w:rsid w:val="00E70091"/>
    <w:rsid w:val="00E712C7"/>
    <w:rsid w:val="00E720F5"/>
    <w:rsid w:val="00E76D47"/>
    <w:rsid w:val="00E847BF"/>
    <w:rsid w:val="00E849F7"/>
    <w:rsid w:val="00E85166"/>
    <w:rsid w:val="00E87C11"/>
    <w:rsid w:val="00E90302"/>
    <w:rsid w:val="00E97396"/>
    <w:rsid w:val="00EA185E"/>
    <w:rsid w:val="00EA592A"/>
    <w:rsid w:val="00EB11C6"/>
    <w:rsid w:val="00EB14E4"/>
    <w:rsid w:val="00EB32A5"/>
    <w:rsid w:val="00EB34ED"/>
    <w:rsid w:val="00EB447C"/>
    <w:rsid w:val="00EB7BE0"/>
    <w:rsid w:val="00EC315E"/>
    <w:rsid w:val="00EC3F26"/>
    <w:rsid w:val="00ED077C"/>
    <w:rsid w:val="00ED1190"/>
    <w:rsid w:val="00ED6544"/>
    <w:rsid w:val="00ED702A"/>
    <w:rsid w:val="00EE0277"/>
    <w:rsid w:val="00EE3E00"/>
    <w:rsid w:val="00EE5DD2"/>
    <w:rsid w:val="00F00A79"/>
    <w:rsid w:val="00F00E86"/>
    <w:rsid w:val="00F07C1E"/>
    <w:rsid w:val="00F105DB"/>
    <w:rsid w:val="00F12A6A"/>
    <w:rsid w:val="00F132BC"/>
    <w:rsid w:val="00F13D80"/>
    <w:rsid w:val="00F16AAA"/>
    <w:rsid w:val="00F21161"/>
    <w:rsid w:val="00F218EF"/>
    <w:rsid w:val="00F21BC7"/>
    <w:rsid w:val="00F266A2"/>
    <w:rsid w:val="00F32269"/>
    <w:rsid w:val="00F56A6F"/>
    <w:rsid w:val="00F5709C"/>
    <w:rsid w:val="00F64A6B"/>
    <w:rsid w:val="00F64EF1"/>
    <w:rsid w:val="00F6515C"/>
    <w:rsid w:val="00F705A6"/>
    <w:rsid w:val="00F73AFA"/>
    <w:rsid w:val="00F8765F"/>
    <w:rsid w:val="00F90767"/>
    <w:rsid w:val="00F925B4"/>
    <w:rsid w:val="00FA25E6"/>
    <w:rsid w:val="00FA4ECC"/>
    <w:rsid w:val="00FA685B"/>
    <w:rsid w:val="00FB0C01"/>
    <w:rsid w:val="00FC18F2"/>
    <w:rsid w:val="00FC237A"/>
    <w:rsid w:val="00FC39E5"/>
    <w:rsid w:val="00FC3A78"/>
    <w:rsid w:val="00FC5FCB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604E3D"/>
    <w:pPr>
      <w:jc w:val="both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604E3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604E3D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604E3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604E3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604E3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604E3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04E3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04E3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04E3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3D"/>
    <w:rPr>
      <w:rFonts w:ascii="Tahoma" w:eastAsiaTheme="minorEastAsia" w:hAnsi="Tahoma" w:cs="Tahoma"/>
      <w:sz w:val="16"/>
      <w:szCs w:val="16"/>
    </w:rPr>
  </w:style>
  <w:style w:type="character" w:styleId="BookTitle">
    <w:name w:val="Book Title"/>
    <w:uiPriority w:val="99"/>
    <w:semiHidden/>
    <w:qFormat/>
    <w:rsid w:val="00604E3D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604E3D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Footer"/>
    <w:uiPriority w:val="57"/>
    <w:semiHidden/>
    <w:rsid w:val="00604E3D"/>
    <w:pPr>
      <w:jc w:val="left"/>
    </w:pPr>
    <w:rPr>
      <w:sz w:val="8"/>
    </w:rPr>
  </w:style>
  <w:style w:type="character" w:styleId="Strong">
    <w:name w:val="Strong"/>
    <w:uiPriority w:val="99"/>
    <w:semiHidden/>
    <w:qFormat/>
    <w:rsid w:val="00604E3D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604E3D"/>
  </w:style>
  <w:style w:type="character" w:customStyle="1" w:styleId="NoSpacingChar">
    <w:name w:val="No Spacing Char"/>
    <w:basedOn w:val="DefaultParagraphFont"/>
    <w:link w:val="NoSpacing"/>
    <w:semiHidden/>
    <w:rsid w:val="00604E3D"/>
    <w:rPr>
      <w:rFonts w:eastAsiaTheme="minorEastAsia"/>
      <w:sz w:val="24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604E3D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Normal"/>
    <w:uiPriority w:val="5"/>
    <w:qFormat/>
    <w:rsid w:val="00604E3D"/>
    <w:pPr>
      <w:numPr>
        <w:numId w:val="13"/>
      </w:numPr>
      <w:jc w:val="left"/>
    </w:pPr>
    <w:rPr>
      <w:b/>
    </w:rPr>
  </w:style>
  <w:style w:type="paragraph" w:customStyle="1" w:styleId="OpiPara">
    <w:name w:val="Opi_Para"/>
    <w:basedOn w:val="ECHRPara"/>
    <w:uiPriority w:val="46"/>
    <w:semiHidden/>
    <w:qFormat/>
    <w:rsid w:val="00604E3D"/>
  </w:style>
  <w:style w:type="paragraph" w:customStyle="1" w:styleId="JuParaSub">
    <w:name w:val="Ju_Para_Sub"/>
    <w:basedOn w:val="ECHRPara"/>
    <w:uiPriority w:val="13"/>
    <w:qFormat/>
    <w:rsid w:val="00604E3D"/>
    <w:pPr>
      <w:ind w:left="284"/>
    </w:p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604E3D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qFormat/>
    <w:rsid w:val="00604E3D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OpiParaSub">
    <w:name w:val="Opi_Para_Sub"/>
    <w:basedOn w:val="JuParaSub"/>
    <w:uiPriority w:val="47"/>
    <w:semiHidden/>
    <w:qFormat/>
    <w:rsid w:val="00604E3D"/>
  </w:style>
  <w:style w:type="paragraph" w:customStyle="1" w:styleId="OpiQuot">
    <w:name w:val="Opi_Quot"/>
    <w:basedOn w:val="ECHRParaQuote"/>
    <w:uiPriority w:val="48"/>
    <w:semiHidden/>
    <w:qFormat/>
    <w:rsid w:val="00604E3D"/>
  </w:style>
  <w:style w:type="paragraph" w:customStyle="1" w:styleId="OpiQuotSub">
    <w:name w:val="Opi_Quot_Sub"/>
    <w:basedOn w:val="JuQuotSub"/>
    <w:uiPriority w:val="49"/>
    <w:semiHidden/>
    <w:qFormat/>
    <w:rsid w:val="00604E3D"/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604E3D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Title">
    <w:name w:val="Ju_Title"/>
    <w:basedOn w:val="Normal"/>
    <w:next w:val="ECHRPara"/>
    <w:uiPriority w:val="3"/>
    <w:qFormat/>
    <w:rsid w:val="00604E3D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4E3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604E3D"/>
    <w:rPr>
      <w:rFonts w:asciiTheme="majorHAnsi" w:eastAsiaTheme="majorEastAsia" w:hAnsiTheme="majorHAnsi" w:cstheme="majorBidi"/>
      <w:spacing w:val="5"/>
      <w:sz w:val="52"/>
      <w:szCs w:val="52"/>
      <w:lang w:bidi="bg-BG"/>
    </w:rPr>
  </w:style>
  <w:style w:type="paragraph" w:customStyle="1" w:styleId="JuQuotSub">
    <w:name w:val="Ju_Quot_Sub"/>
    <w:basedOn w:val="ECHRParaQuote"/>
    <w:uiPriority w:val="15"/>
    <w:qFormat/>
    <w:rsid w:val="00604E3D"/>
    <w:pPr>
      <w:ind w:left="567"/>
    </w:pPr>
  </w:style>
  <w:style w:type="paragraph" w:customStyle="1" w:styleId="JuInitialled">
    <w:name w:val="Ju_Initialled"/>
    <w:basedOn w:val="Normal"/>
    <w:uiPriority w:val="31"/>
    <w:qFormat/>
    <w:rsid w:val="00604E3D"/>
    <w:pPr>
      <w:tabs>
        <w:tab w:val="center" w:pos="6407"/>
      </w:tabs>
      <w:spacing w:before="720"/>
      <w:jc w:val="right"/>
    </w:p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604E3D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604E3D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604E3D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604E3D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604E3D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604E3D"/>
    <w:pPr>
      <w:keepNext/>
      <w:keepLines/>
      <w:spacing w:before="240" w:after="120"/>
      <w:ind w:left="1236"/>
    </w:pPr>
    <w:rPr>
      <w:sz w:val="20"/>
    </w:rPr>
  </w:style>
  <w:style w:type="paragraph" w:styleId="Header">
    <w:name w:val="header"/>
    <w:basedOn w:val="Normal"/>
    <w:link w:val="HeaderChar"/>
    <w:uiPriority w:val="57"/>
    <w:semiHidden/>
    <w:rsid w:val="00604E3D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604E3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604E3D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OpiHA">
    <w:name w:val="Opi_H_A"/>
    <w:basedOn w:val="ECHRHeading1"/>
    <w:next w:val="OpiPara"/>
    <w:uiPriority w:val="41"/>
    <w:semiHidden/>
    <w:qFormat/>
    <w:rsid w:val="00604E3D"/>
    <w:pPr>
      <w:tabs>
        <w:tab w:val="clear" w:pos="357"/>
      </w:tabs>
      <w:outlineLvl w:val="1"/>
    </w:pPr>
    <w:rPr>
      <w:b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604E3D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04E3D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character" w:customStyle="1" w:styleId="JUNAMES">
    <w:name w:val="JU_NAMES"/>
    <w:uiPriority w:val="17"/>
    <w:qFormat/>
    <w:rsid w:val="00604E3D"/>
    <w:rPr>
      <w:caps w:val="0"/>
      <w:smallCaps/>
    </w:rPr>
  </w:style>
  <w:style w:type="character" w:customStyle="1" w:styleId="JuITMark">
    <w:name w:val="Ju_ITMark"/>
    <w:basedOn w:val="DefaultParagraphFont"/>
    <w:uiPriority w:val="38"/>
    <w:qFormat/>
    <w:rsid w:val="00604E3D"/>
    <w:rPr>
      <w:vanish w:val="0"/>
      <w:color w:val="auto"/>
      <w:sz w:val="1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04E3D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OpiTranslation">
    <w:name w:val="Opi_Translation"/>
    <w:basedOn w:val="Normal"/>
    <w:next w:val="OpiPara"/>
    <w:uiPriority w:val="40"/>
    <w:semiHidden/>
    <w:qFormat/>
    <w:rsid w:val="00604E3D"/>
    <w:pPr>
      <w:jc w:val="center"/>
      <w:outlineLvl w:val="0"/>
    </w:pPr>
    <w:rPr>
      <w:i/>
    </w:rPr>
  </w:style>
  <w:style w:type="paragraph" w:customStyle="1" w:styleId="ECHRDecisionBody">
    <w:name w:val="ECHR_Decision_Body"/>
    <w:aliases w:val="Ju_Judges"/>
    <w:basedOn w:val="Normal"/>
    <w:uiPriority w:val="11"/>
    <w:qFormat/>
    <w:rsid w:val="00604E3D"/>
    <w:pPr>
      <w:tabs>
        <w:tab w:val="left" w:pos="567"/>
        <w:tab w:val="left" w:pos="1134"/>
      </w:tabs>
      <w:jc w:val="left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604E3D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604E3D"/>
    <w:pPr>
      <w:ind w:firstLine="284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604E3D"/>
    <w:rPr>
      <w:rFonts w:asciiTheme="majorHAnsi" w:eastAsiaTheme="majorEastAsia" w:hAnsiTheme="majorHAnsi" w:cstheme="majorBidi"/>
      <w:b/>
      <w:bCs/>
      <w:color w:val="808080"/>
      <w:sz w:val="24"/>
    </w:rPr>
  </w:style>
  <w:style w:type="paragraph" w:customStyle="1" w:styleId="JuList">
    <w:name w:val="Ju_List"/>
    <w:basedOn w:val="Normal"/>
    <w:uiPriority w:val="28"/>
    <w:qFormat/>
    <w:rsid w:val="00604E3D"/>
    <w:pPr>
      <w:ind w:left="340" w:hanging="340"/>
    </w:pPr>
  </w:style>
  <w:style w:type="paragraph" w:customStyle="1" w:styleId="JuSigned">
    <w:name w:val="Ju_Signed"/>
    <w:basedOn w:val="Normal"/>
    <w:next w:val="JuParaLast"/>
    <w:uiPriority w:val="32"/>
    <w:qFormat/>
    <w:rsid w:val="00604E3D"/>
    <w:pPr>
      <w:tabs>
        <w:tab w:val="center" w:pos="851"/>
        <w:tab w:val="center" w:pos="6407"/>
      </w:tabs>
      <w:spacing w:before="720"/>
      <w:jc w:val="left"/>
    </w:pPr>
  </w:style>
  <w:style w:type="character" w:styleId="SubtleEmphasis">
    <w:name w:val="Subtle Emphasis"/>
    <w:uiPriority w:val="99"/>
    <w:semiHidden/>
    <w:qFormat/>
    <w:rsid w:val="00604E3D"/>
    <w:rPr>
      <w:i/>
      <w:iCs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604E3D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Emphasis">
    <w:name w:val="Emphasis"/>
    <w:uiPriority w:val="99"/>
    <w:semiHidden/>
    <w:qFormat/>
    <w:rsid w:val="00604E3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604E3D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604E3D"/>
    <w:rPr>
      <w:sz w:val="24"/>
    </w:rPr>
  </w:style>
  <w:style w:type="character" w:styleId="FootnoteReference">
    <w:name w:val="footnote reference"/>
    <w:basedOn w:val="DefaultParagraphFont"/>
    <w:uiPriority w:val="99"/>
    <w:semiHidden/>
    <w:rsid w:val="00604E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0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E3D"/>
    <w:rPr>
      <w:rFonts w:eastAsiaTheme="minorEastAsia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04E3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bg-B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04E3D"/>
    <w:rPr>
      <w:rFonts w:asciiTheme="majorHAnsi" w:eastAsiaTheme="majorEastAsia" w:hAnsiTheme="majorHAnsi" w:cstheme="majorBidi"/>
      <w:i/>
      <w:iCs/>
      <w:sz w:val="24"/>
      <w:lang w:bidi="bg-B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04E3D"/>
    <w:rPr>
      <w:rFonts w:asciiTheme="majorHAnsi" w:eastAsiaTheme="majorEastAsia" w:hAnsiTheme="majorHAnsi" w:cstheme="majorBidi"/>
      <w:sz w:val="20"/>
      <w:szCs w:val="20"/>
      <w:lang w:bidi="bg-B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04E3D"/>
    <w:rPr>
      <w:rFonts w:asciiTheme="majorHAnsi" w:eastAsiaTheme="majorEastAsia" w:hAnsiTheme="majorHAnsi" w:cstheme="majorBidi"/>
      <w:i/>
      <w:iCs/>
      <w:spacing w:val="5"/>
      <w:sz w:val="20"/>
      <w:szCs w:val="20"/>
      <w:lang w:bidi="bg-BG"/>
    </w:rPr>
  </w:style>
  <w:style w:type="character" w:styleId="Hyperlink">
    <w:name w:val="Hyperlink"/>
    <w:basedOn w:val="DefaultParagraphFont"/>
    <w:uiPriority w:val="99"/>
    <w:semiHidden/>
    <w:rsid w:val="00604E3D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604E3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604E3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604E3D"/>
    <w:rPr>
      <w:rFonts w:eastAsiaTheme="minorEastAsia"/>
      <w:b/>
      <w:bCs/>
      <w:i/>
      <w:iCs/>
      <w:sz w:val="24"/>
      <w:lang w:bidi="bg-BG"/>
    </w:rPr>
  </w:style>
  <w:style w:type="character" w:styleId="IntenseReference">
    <w:name w:val="Intense Reference"/>
    <w:uiPriority w:val="99"/>
    <w:semiHidden/>
    <w:qFormat/>
    <w:rsid w:val="00604E3D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604E3D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604E3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04E3D"/>
    <w:rPr>
      <w:rFonts w:eastAsiaTheme="minorEastAsia"/>
      <w:i/>
      <w:iCs/>
      <w:sz w:val="24"/>
      <w:lang w:bidi="bg-BG"/>
    </w:rPr>
  </w:style>
  <w:style w:type="character" w:styleId="SubtleReference">
    <w:name w:val="Subtle Reference"/>
    <w:uiPriority w:val="99"/>
    <w:semiHidden/>
    <w:qFormat/>
    <w:rsid w:val="00604E3D"/>
    <w:rPr>
      <w:smallCaps/>
    </w:rPr>
  </w:style>
  <w:style w:type="table" w:styleId="TableGrid">
    <w:name w:val="Table Grid"/>
    <w:basedOn w:val="TableNormal"/>
    <w:uiPriority w:val="59"/>
    <w:rsid w:val="00604E3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604E3D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99"/>
    <w:semiHidden/>
    <w:rsid w:val="00604E3D"/>
    <w:pPr>
      <w:spacing w:after="60"/>
      <w:ind w:left="680" w:right="340" w:hanging="340"/>
    </w:pPr>
  </w:style>
  <w:style w:type="paragraph" w:styleId="TOC3">
    <w:name w:val="toc 3"/>
    <w:basedOn w:val="Normal"/>
    <w:next w:val="Normal"/>
    <w:autoRedefine/>
    <w:uiPriority w:val="99"/>
    <w:semiHidden/>
    <w:rsid w:val="00604E3D"/>
    <w:pPr>
      <w:spacing w:after="60"/>
      <w:ind w:left="1020" w:right="340" w:hanging="340"/>
    </w:pPr>
  </w:style>
  <w:style w:type="paragraph" w:styleId="TOC4">
    <w:name w:val="toc 4"/>
    <w:basedOn w:val="Normal"/>
    <w:next w:val="Normal"/>
    <w:autoRedefine/>
    <w:uiPriority w:val="99"/>
    <w:semiHidden/>
    <w:rsid w:val="00604E3D"/>
    <w:pPr>
      <w:tabs>
        <w:tab w:val="right" w:leader="dot" w:pos="9017"/>
      </w:tabs>
      <w:spacing w:after="60"/>
      <w:ind w:left="1361" w:right="340" w:hanging="340"/>
    </w:pPr>
  </w:style>
  <w:style w:type="paragraph" w:styleId="TOC5">
    <w:name w:val="toc 5"/>
    <w:basedOn w:val="Normal"/>
    <w:next w:val="Normal"/>
    <w:autoRedefine/>
    <w:uiPriority w:val="99"/>
    <w:semiHidden/>
    <w:rsid w:val="00604E3D"/>
    <w:pPr>
      <w:spacing w:after="60"/>
      <w:ind w:left="1701" w:right="340" w:hanging="340"/>
    </w:pPr>
  </w:style>
  <w:style w:type="paragraph" w:styleId="TOCHeading">
    <w:name w:val="TOC Heading"/>
    <w:basedOn w:val="Heading1"/>
    <w:next w:val="Normal"/>
    <w:uiPriority w:val="99"/>
    <w:semiHidden/>
    <w:qFormat/>
    <w:rsid w:val="00604E3D"/>
    <w:pPr>
      <w:outlineLvl w:val="9"/>
    </w:pPr>
    <w:rPr>
      <w:color w:val="474747" w:themeColor="accent3" w:themeShade="BF"/>
    </w:rPr>
  </w:style>
  <w:style w:type="table" w:customStyle="1" w:styleId="UGTable">
    <w:name w:val="UG_Table"/>
    <w:basedOn w:val="TableNormal"/>
    <w:uiPriority w:val="99"/>
    <w:rsid w:val="00572845"/>
    <w:rPr>
      <w:rFonts w:eastAsiaTheme="minorEastAsia"/>
      <w:sz w:val="20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3609FA"/>
    <w:rPr>
      <w:rFonts w:eastAsiaTheme="minorEastAsia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604E3D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ECHRParaQuote">
    <w:name w:val="ECHR_Para_Quote"/>
    <w:aliases w:val="Ju_Quot"/>
    <w:basedOn w:val="Normal"/>
    <w:uiPriority w:val="14"/>
    <w:qFormat/>
    <w:rsid w:val="00604E3D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604E3D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ParaLast">
    <w:name w:val="Ju_Para_Last"/>
    <w:basedOn w:val="Normal"/>
    <w:next w:val="ECHRPara"/>
    <w:uiPriority w:val="30"/>
    <w:qFormat/>
    <w:rsid w:val="00604E3D"/>
    <w:pPr>
      <w:keepNext/>
      <w:keepLines/>
      <w:spacing w:before="240"/>
      <w:ind w:firstLine="284"/>
    </w:pPr>
  </w:style>
  <w:style w:type="paragraph" w:customStyle="1" w:styleId="JuCase">
    <w:name w:val="Ju_Case"/>
    <w:basedOn w:val="Normal"/>
    <w:next w:val="ECHRPara"/>
    <w:uiPriority w:val="10"/>
    <w:rsid w:val="00604E3D"/>
    <w:pPr>
      <w:ind w:firstLine="284"/>
    </w:pPr>
    <w:rPr>
      <w:b/>
    </w:rPr>
  </w:style>
  <w:style w:type="paragraph" w:styleId="CommentText">
    <w:name w:val="annotation text"/>
    <w:basedOn w:val="Normal"/>
    <w:link w:val="CommentTextChar"/>
    <w:semiHidden/>
    <w:rsid w:val="0047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09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0981"/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81"/>
    <w:rPr>
      <w:rFonts w:eastAsiaTheme="minorEastAsia"/>
      <w:b/>
      <w:bCs/>
      <w:sz w:val="20"/>
      <w:szCs w:val="20"/>
    </w:rPr>
  </w:style>
  <w:style w:type="character" w:styleId="PageNumber">
    <w:name w:val="page number"/>
    <w:uiPriority w:val="99"/>
    <w:semiHidden/>
    <w:rsid w:val="00470981"/>
    <w:rPr>
      <w:sz w:val="18"/>
    </w:rPr>
  </w:style>
  <w:style w:type="paragraph" w:customStyle="1" w:styleId="JuLista">
    <w:name w:val="Ju_List_a"/>
    <w:basedOn w:val="JuList"/>
    <w:uiPriority w:val="28"/>
    <w:qFormat/>
    <w:rsid w:val="00604E3D"/>
    <w:pPr>
      <w:ind w:left="346" w:firstLine="0"/>
    </w:pPr>
  </w:style>
  <w:style w:type="paragraph" w:customStyle="1" w:styleId="JuListi">
    <w:name w:val="Ju_List_i"/>
    <w:basedOn w:val="Normal"/>
    <w:next w:val="JuLista"/>
    <w:uiPriority w:val="28"/>
    <w:qFormat/>
    <w:rsid w:val="00604E3D"/>
    <w:pPr>
      <w:ind w:left="794"/>
    </w:pPr>
  </w:style>
  <w:style w:type="character" w:styleId="CommentReference">
    <w:name w:val="annotation reference"/>
    <w:uiPriority w:val="99"/>
    <w:semiHidden/>
    <w:rsid w:val="00470981"/>
    <w:rPr>
      <w:sz w:val="16"/>
    </w:rPr>
  </w:style>
  <w:style w:type="character" w:styleId="EndnoteReference">
    <w:name w:val="endnote reference"/>
    <w:uiPriority w:val="99"/>
    <w:semiHidden/>
    <w:rsid w:val="0047098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7098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981"/>
    <w:rPr>
      <w:rFonts w:eastAsiaTheme="minorEastAsia"/>
      <w:sz w:val="20"/>
    </w:rPr>
  </w:style>
  <w:style w:type="character" w:styleId="FollowedHyperlink">
    <w:name w:val="FollowedHyperlink"/>
    <w:uiPriority w:val="99"/>
    <w:semiHidden/>
    <w:rsid w:val="00470981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709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981"/>
    <w:rPr>
      <w:rFonts w:ascii="Tahoma" w:eastAsiaTheme="minorEastAsia" w:hAnsi="Tahoma" w:cs="Tahoma"/>
      <w:sz w:val="20"/>
      <w:shd w:val="clear" w:color="auto" w:fill="000080"/>
    </w:rPr>
  </w:style>
  <w:style w:type="paragraph" w:styleId="ListBullet">
    <w:name w:val="List Bullet"/>
    <w:basedOn w:val="Normal"/>
    <w:uiPriority w:val="99"/>
    <w:semiHidden/>
    <w:rsid w:val="00470981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04E3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604E3D"/>
    <w:rPr>
      <w:rFonts w:asciiTheme="majorHAnsi" w:eastAsiaTheme="majorEastAsia" w:hAnsiTheme="majorHAnsi" w:cstheme="majorBidi"/>
      <w:i/>
      <w:iCs/>
      <w:spacing w:val="13"/>
      <w:sz w:val="24"/>
      <w:szCs w:val="24"/>
      <w:lang w:bidi="bg-BG"/>
    </w:rPr>
  </w:style>
  <w:style w:type="numbering" w:styleId="111111">
    <w:name w:val="Outline List 2"/>
    <w:basedOn w:val="NoList"/>
    <w:uiPriority w:val="99"/>
    <w:semiHidden/>
    <w:rsid w:val="00470981"/>
    <w:pPr>
      <w:numPr>
        <w:numId w:val="5"/>
      </w:numPr>
    </w:pPr>
  </w:style>
  <w:style w:type="numbering" w:styleId="1ai">
    <w:name w:val="Outline List 1"/>
    <w:basedOn w:val="NoList"/>
    <w:uiPriority w:val="99"/>
    <w:semiHidden/>
    <w:rsid w:val="00470981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rsid w:val="00470981"/>
    <w:pPr>
      <w:numPr>
        <w:numId w:val="7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rsid w:val="00470981"/>
  </w:style>
  <w:style w:type="paragraph" w:styleId="BlockText">
    <w:name w:val="Block Text"/>
    <w:basedOn w:val="Normal"/>
    <w:uiPriority w:val="99"/>
    <w:semiHidden/>
    <w:rsid w:val="0047098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4709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0981"/>
    <w:rPr>
      <w:rFonts w:eastAsiaTheme="minorEastAsia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4709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981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4709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981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7098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981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709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981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709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981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4709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981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709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981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47098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7098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981"/>
    <w:rPr>
      <w:rFonts w:eastAsiaTheme="minorEastAsia"/>
      <w:sz w:val="24"/>
    </w:rPr>
  </w:style>
  <w:style w:type="table" w:styleId="ColorfulGrid">
    <w:name w:val="Colorful Grid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470981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470981"/>
  </w:style>
  <w:style w:type="character" w:customStyle="1" w:styleId="DateChar">
    <w:name w:val="Date Char"/>
    <w:basedOn w:val="DefaultParagraphFont"/>
    <w:link w:val="Date"/>
    <w:uiPriority w:val="99"/>
    <w:semiHidden/>
    <w:rsid w:val="00470981"/>
    <w:rPr>
      <w:rFonts w:eastAsiaTheme="minorEastAsia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47098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981"/>
    <w:rPr>
      <w:rFonts w:eastAsiaTheme="minorEastAsia"/>
      <w:sz w:val="24"/>
    </w:rPr>
  </w:style>
  <w:style w:type="paragraph" w:styleId="EnvelopeAddress">
    <w:name w:val="envelope address"/>
    <w:basedOn w:val="Normal"/>
    <w:uiPriority w:val="99"/>
    <w:semiHidden/>
    <w:rsid w:val="0047098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470981"/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470981"/>
  </w:style>
  <w:style w:type="paragraph" w:styleId="HTMLAddress">
    <w:name w:val="HTML Address"/>
    <w:basedOn w:val="Normal"/>
    <w:link w:val="HTMLAddressChar"/>
    <w:uiPriority w:val="99"/>
    <w:semiHidden/>
    <w:rsid w:val="0047098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981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470981"/>
    <w:rPr>
      <w:i/>
      <w:iCs/>
    </w:rPr>
  </w:style>
  <w:style w:type="character" w:styleId="HTMLCode">
    <w:name w:val="HTML Code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70981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981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47098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7098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7098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47098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7098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7098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7098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7098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7098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7098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7098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7098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7098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4709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470981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470981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470981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470981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470981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470981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470981"/>
  </w:style>
  <w:style w:type="paragraph" w:styleId="List">
    <w:name w:val="List"/>
    <w:basedOn w:val="Normal"/>
    <w:uiPriority w:val="99"/>
    <w:semiHidden/>
    <w:rsid w:val="004709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4709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4709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4709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47098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470981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470981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rsid w:val="0047098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470981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4709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4709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4709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4709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4709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47098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rsid w:val="0047098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47098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47098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470981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rsid w:val="004709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981"/>
    <w:rPr>
      <w:rFonts w:ascii="Consolas" w:hAnsi="Consolas" w:cs="Consolas"/>
      <w:sz w:val="20"/>
      <w:szCs w:val="20"/>
      <w:lang w:val="bg-BG" w:eastAsia="bg-BG"/>
    </w:rPr>
  </w:style>
  <w:style w:type="table" w:styleId="MediumGrid1">
    <w:name w:val="Medium Grid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470981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47098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47098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4709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9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470981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4709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7098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981"/>
    <w:rPr>
      <w:rFonts w:eastAsiaTheme="minorEastAsia"/>
      <w:sz w:val="24"/>
    </w:rPr>
  </w:style>
  <w:style w:type="character" w:styleId="PlaceholderText">
    <w:name w:val="Placeholder Text"/>
    <w:basedOn w:val="DefaultParagraphFont"/>
    <w:uiPriority w:val="99"/>
    <w:semiHidden/>
    <w:rsid w:val="00470981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4709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981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709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981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47098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981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rsid w:val="00470981"/>
    <w:pPr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470981"/>
    <w:pPr>
      <w:suppressAutoHyphen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470981"/>
    <w:pPr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470981"/>
    <w:pPr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470981"/>
    <w:pPr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470981"/>
    <w:pPr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470981"/>
    <w:pPr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470981"/>
    <w:pPr>
      <w:suppressAutoHyphen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470981"/>
    <w:pPr>
      <w:suppressAutoHyphen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470981"/>
    <w:pPr>
      <w:suppressAutoHyphen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470981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470981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470981"/>
    <w:pPr>
      <w:suppressAutoHyphen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470981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470981"/>
    <w:pPr>
      <w:suppressAutoHyphen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470981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470981"/>
    <w:pPr>
      <w:suppressAutoHyphen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470981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7098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70981"/>
  </w:style>
  <w:style w:type="table" w:styleId="TableProfessional">
    <w:name w:val="Table Professional"/>
    <w:basedOn w:val="TableNormal"/>
    <w:uiPriority w:val="99"/>
    <w:semiHidden/>
    <w:rsid w:val="00470981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470981"/>
    <w:pPr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470981"/>
    <w:pPr>
      <w:suppressAutoHyphen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470981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470981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470981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4709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470981"/>
    <w:pPr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47098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7098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7098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70981"/>
    <w:pPr>
      <w:spacing w:after="100"/>
      <w:ind w:left="1920"/>
    </w:pPr>
  </w:style>
  <w:style w:type="paragraph" w:customStyle="1" w:styleId="DecHTitle">
    <w:name w:val="Dec_H_Title"/>
    <w:basedOn w:val="ECHRTitleCentre1"/>
    <w:uiPriority w:val="7"/>
    <w:qFormat/>
    <w:rsid w:val="00604E3D"/>
  </w:style>
  <w:style w:type="paragraph" w:customStyle="1" w:styleId="JuCourt">
    <w:name w:val="Ju_Court"/>
    <w:basedOn w:val="Normal"/>
    <w:next w:val="Normal"/>
    <w:uiPriority w:val="16"/>
    <w:qFormat/>
    <w:rsid w:val="00604E3D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DecList">
    <w:name w:val="Dec_List"/>
    <w:basedOn w:val="Normal"/>
    <w:uiPriority w:val="9"/>
    <w:qFormat/>
    <w:rsid w:val="00604E3D"/>
    <w:pPr>
      <w:spacing w:before="240"/>
      <w:ind w:left="284"/>
    </w:pPr>
  </w:style>
  <w:style w:type="paragraph" w:customStyle="1" w:styleId="OpiH1">
    <w:name w:val="Opi_H_1"/>
    <w:basedOn w:val="ECHRHeading2"/>
    <w:uiPriority w:val="42"/>
    <w:semiHidden/>
    <w:qFormat/>
    <w:rsid w:val="00604E3D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semiHidden/>
    <w:qFormat/>
    <w:rsid w:val="00604E3D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604E3D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Normal"/>
    <w:semiHidden/>
    <w:qFormat/>
    <w:rsid w:val="00604E3D"/>
    <w:rPr>
      <w:color w:val="00B050"/>
    </w:rPr>
  </w:style>
  <w:style w:type="character" w:customStyle="1" w:styleId="ECHRParaChar">
    <w:name w:val="ECHR_Para Char"/>
    <w:aliases w:val="Ju_Para Char"/>
    <w:link w:val="ECHRPara"/>
    <w:uiPriority w:val="12"/>
    <w:rsid w:val="004E09EE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684B-994F-4C2D-9606-3ADCAAB8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2016-11-21T07:50:00Z</dcterms:created>
  <dcterms:modified xsi:type="dcterms:W3CDTF">2016-11-21T07:56:00Z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