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84C" w:rsidRPr="000B7252" w:rsidRDefault="00E8284C" w:rsidP="00E8284C">
      <w:pPr>
        <w:jc w:val="center"/>
      </w:pPr>
      <w:bookmarkStart w:id="0" w:name="_GoBack"/>
      <w:bookmarkEnd w:id="0"/>
    </w:p>
    <w:p w:rsidR="00E8284C" w:rsidRPr="000B7252" w:rsidRDefault="00E8284C" w:rsidP="00E8284C">
      <w:pPr>
        <w:jc w:val="center"/>
        <w:rPr>
          <w:sz w:val="4"/>
          <w:szCs w:val="4"/>
        </w:rPr>
      </w:pPr>
    </w:p>
    <w:p w:rsidR="00E8284C" w:rsidRPr="000B7252" w:rsidRDefault="00E8284C" w:rsidP="00E8284C">
      <w:pPr>
        <w:pStyle w:val="DecHTitle"/>
      </w:pPr>
      <w:r>
        <w:rPr>
          <w:rStyle w:val="DecHTitle"/>
        </w:rPr>
        <w:t>ПЕТО ОТДЕЛЕНИЕ</w:t>
      </w:r>
    </w:p>
    <w:p w:rsidR="00E8284C" w:rsidRPr="000B7252" w:rsidRDefault="00481AC0" w:rsidP="00E8284C">
      <w:pPr>
        <w:pStyle w:val="DecHTitle"/>
      </w:pPr>
      <w:r>
        <w:rPr>
          <w:rStyle w:val="DecHTitle"/>
        </w:rPr>
        <w:t>РЕШЕНИЕ</w:t>
      </w:r>
    </w:p>
    <w:p w:rsidR="00E8284C" w:rsidRPr="000B7252" w:rsidRDefault="00E8284C" w:rsidP="00E8284C">
      <w:pPr>
        <w:pStyle w:val="ECHRTitleCentre2"/>
        <w:rPr>
          <w:i/>
        </w:rPr>
      </w:pPr>
      <w:r>
        <w:rPr>
          <w:rStyle w:val="ECHRTitleCentre2"/>
        </w:rPr>
        <w:t xml:space="preserve">Жалба </w:t>
      </w:r>
      <w:r>
        <w:rPr>
          <w:rStyle w:val="ECHRTitleCentre2"/>
          <w:cs/>
        </w:rPr>
        <w:t xml:space="preserve">№ </w:t>
      </w:r>
      <w:r>
        <w:rPr>
          <w:rStyle w:val="ECHRTitleCentre2"/>
        </w:rPr>
        <w:t>54833/07</w:t>
      </w:r>
      <w:r>
        <w:br/>
      </w:r>
      <w:r>
        <w:rPr>
          <w:rStyle w:val="ECHRTitleCentre2"/>
        </w:rPr>
        <w:t>Тодорка Петрова ДИМИТРОВА и други</w:t>
      </w:r>
      <w:r>
        <w:br/>
      </w:r>
      <w:r>
        <w:rPr>
          <w:rStyle w:val="ECHRTitleCentre2"/>
        </w:rPr>
        <w:t>срещу България</w:t>
      </w:r>
    </w:p>
    <w:p w:rsidR="00E8284C" w:rsidRPr="000B7252" w:rsidRDefault="00E8284C" w:rsidP="00E8284C">
      <w:pPr>
        <w:pStyle w:val="ECHRPara"/>
      </w:pPr>
      <w:r>
        <w:rPr>
          <w:rStyle w:val="ECHRPara"/>
        </w:rPr>
        <w:t xml:space="preserve">Европейският съд по правата на човека (Пето отделение), заседаващ на 3 ноември 2016 г. в </w:t>
      </w:r>
      <w:r w:rsidR="00481AC0">
        <w:rPr>
          <w:rStyle w:val="ECHRPara"/>
        </w:rPr>
        <w:t>състав</w:t>
      </w:r>
      <w:r>
        <w:rPr>
          <w:rStyle w:val="ECHRPara"/>
        </w:rPr>
        <w:t>:</w:t>
      </w:r>
    </w:p>
    <w:p w:rsidR="00E8284C" w:rsidRPr="000B7252" w:rsidRDefault="00E8284C" w:rsidP="00E8284C">
      <w:pPr>
        <w:pStyle w:val="ECHRDecisionBody"/>
      </w:pPr>
      <w:r>
        <w:rPr>
          <w:rStyle w:val="ECHRDecisionBody"/>
        </w:rPr>
        <w:tab/>
      </w:r>
      <w:proofErr w:type="spellStart"/>
      <w:r>
        <w:rPr>
          <w:rStyle w:val="ECHRDecisionBody"/>
        </w:rPr>
        <w:t>Ангелика</w:t>
      </w:r>
      <w:proofErr w:type="spellEnd"/>
      <w:r>
        <w:rPr>
          <w:rStyle w:val="ECHRDecisionBody"/>
        </w:rPr>
        <w:t xml:space="preserve"> </w:t>
      </w:r>
      <w:proofErr w:type="spellStart"/>
      <w:r>
        <w:rPr>
          <w:rStyle w:val="ECHRDecisionBody"/>
        </w:rPr>
        <w:t>Нусбергер</w:t>
      </w:r>
      <w:proofErr w:type="spellEnd"/>
      <w:r>
        <w:rPr>
          <w:rStyle w:val="ECHRDecisionBody"/>
        </w:rPr>
        <w:t xml:space="preserve"> (</w:t>
      </w:r>
      <w:proofErr w:type="spellStart"/>
      <w:r>
        <w:rPr>
          <w:rStyle w:val="ECHRDecisionBody"/>
        </w:rPr>
        <w:t>Angelika</w:t>
      </w:r>
      <w:proofErr w:type="spellEnd"/>
      <w:r>
        <w:rPr>
          <w:rStyle w:val="ECHRDecisionBody"/>
        </w:rPr>
        <w:t xml:space="preserve"> </w:t>
      </w:r>
      <w:proofErr w:type="spellStart"/>
      <w:r>
        <w:rPr>
          <w:rStyle w:val="ECHRDecisionBody"/>
        </w:rPr>
        <w:t>Nußberger</w:t>
      </w:r>
      <w:proofErr w:type="spellEnd"/>
      <w:r>
        <w:rPr>
          <w:rStyle w:val="ECHRDecisionBody"/>
        </w:rPr>
        <w:t xml:space="preserve">), </w:t>
      </w:r>
      <w:r>
        <w:rPr>
          <w:rStyle w:val="ECHRDecisionBody"/>
          <w:i/>
        </w:rPr>
        <w:t>председател,</w:t>
      </w:r>
      <w:r>
        <w:br/>
      </w:r>
      <w:r>
        <w:rPr>
          <w:rStyle w:val="ECHRDecisionBody"/>
        </w:rPr>
        <w:tab/>
        <w:t>Ери</w:t>
      </w:r>
      <w:r w:rsidR="00481AC0">
        <w:rPr>
          <w:rStyle w:val="ECHRDecisionBody"/>
        </w:rPr>
        <w:t>к</w:t>
      </w:r>
      <w:r>
        <w:rPr>
          <w:rStyle w:val="ECHRDecisionBody"/>
        </w:rPr>
        <w:t xml:space="preserve"> </w:t>
      </w:r>
      <w:proofErr w:type="spellStart"/>
      <w:r>
        <w:rPr>
          <w:rStyle w:val="ECHRDecisionBody"/>
        </w:rPr>
        <w:t>Мьозе</w:t>
      </w:r>
      <w:proofErr w:type="spellEnd"/>
      <w:r>
        <w:rPr>
          <w:rStyle w:val="ECHRDecisionBody"/>
        </w:rPr>
        <w:t xml:space="preserve"> (</w:t>
      </w:r>
      <w:proofErr w:type="spellStart"/>
      <w:r>
        <w:rPr>
          <w:rStyle w:val="ECHRDecisionBody"/>
        </w:rPr>
        <w:t>Erik</w:t>
      </w:r>
      <w:proofErr w:type="spellEnd"/>
      <w:r>
        <w:rPr>
          <w:rStyle w:val="ECHRDecisionBody"/>
        </w:rPr>
        <w:t xml:space="preserve"> </w:t>
      </w:r>
      <w:proofErr w:type="spellStart"/>
      <w:r>
        <w:rPr>
          <w:rStyle w:val="ECHRDecisionBody"/>
        </w:rPr>
        <w:t>Møse</w:t>
      </w:r>
      <w:proofErr w:type="spellEnd"/>
      <w:r>
        <w:rPr>
          <w:rStyle w:val="ECHRDecisionBody"/>
        </w:rPr>
        <w:t>),</w:t>
      </w:r>
      <w:r>
        <w:br/>
      </w:r>
      <w:r>
        <w:rPr>
          <w:rStyle w:val="ECHRDecisionBody"/>
        </w:rPr>
        <w:tab/>
      </w:r>
      <w:proofErr w:type="spellStart"/>
      <w:r w:rsidR="00481AC0">
        <w:rPr>
          <w:rStyle w:val="ECHRDecisionBody"/>
        </w:rPr>
        <w:t>Кх</w:t>
      </w:r>
      <w:r>
        <w:rPr>
          <w:rStyle w:val="ECHRDecisionBody"/>
        </w:rPr>
        <w:t>анлар</w:t>
      </w:r>
      <w:proofErr w:type="spellEnd"/>
      <w:r>
        <w:rPr>
          <w:rStyle w:val="ECHRDecisionBody"/>
        </w:rPr>
        <w:t xml:space="preserve"> Хаджиев (</w:t>
      </w:r>
      <w:proofErr w:type="spellStart"/>
      <w:r>
        <w:rPr>
          <w:rStyle w:val="ECHRDecisionBody"/>
        </w:rPr>
        <w:t>Khanlar</w:t>
      </w:r>
      <w:proofErr w:type="spellEnd"/>
      <w:r>
        <w:rPr>
          <w:rStyle w:val="ECHRDecisionBody"/>
        </w:rPr>
        <w:t xml:space="preserve"> </w:t>
      </w:r>
      <w:proofErr w:type="spellStart"/>
      <w:r>
        <w:rPr>
          <w:rStyle w:val="ECHRDecisionBody"/>
        </w:rPr>
        <w:t>Hajiyev</w:t>
      </w:r>
      <w:proofErr w:type="spellEnd"/>
      <w:r>
        <w:rPr>
          <w:rStyle w:val="ECHRDecisionBody"/>
        </w:rPr>
        <w:t>),</w:t>
      </w:r>
      <w:r>
        <w:br/>
      </w:r>
      <w:r>
        <w:rPr>
          <w:rStyle w:val="ECHRDecisionBody"/>
        </w:rPr>
        <w:tab/>
        <w:t xml:space="preserve">Андре </w:t>
      </w:r>
      <w:proofErr w:type="spellStart"/>
      <w:r>
        <w:rPr>
          <w:rStyle w:val="ECHRDecisionBody"/>
        </w:rPr>
        <w:t>Поточки</w:t>
      </w:r>
      <w:proofErr w:type="spellEnd"/>
      <w:r>
        <w:rPr>
          <w:rStyle w:val="ECHRDecisionBody"/>
        </w:rPr>
        <w:t xml:space="preserve"> (</w:t>
      </w:r>
      <w:proofErr w:type="spellStart"/>
      <w:r>
        <w:rPr>
          <w:rStyle w:val="ECHRDecisionBody"/>
        </w:rPr>
        <w:t>André</w:t>
      </w:r>
      <w:proofErr w:type="spellEnd"/>
      <w:r>
        <w:rPr>
          <w:rStyle w:val="ECHRDecisionBody"/>
        </w:rPr>
        <w:t xml:space="preserve"> </w:t>
      </w:r>
      <w:proofErr w:type="spellStart"/>
      <w:r>
        <w:rPr>
          <w:rStyle w:val="ECHRDecisionBody"/>
        </w:rPr>
        <w:t>Potocki</w:t>
      </w:r>
      <w:proofErr w:type="spellEnd"/>
      <w:r>
        <w:rPr>
          <w:rStyle w:val="ECHRDecisionBody"/>
        </w:rPr>
        <w:t>),</w:t>
      </w:r>
      <w:r>
        <w:br/>
      </w:r>
      <w:r>
        <w:rPr>
          <w:rStyle w:val="ECHRDecisionBody"/>
        </w:rPr>
        <w:tab/>
        <w:t>Йонко Грозев (</w:t>
      </w:r>
      <w:proofErr w:type="spellStart"/>
      <w:r>
        <w:rPr>
          <w:rStyle w:val="ECHRDecisionBody"/>
        </w:rPr>
        <w:t>Yonko</w:t>
      </w:r>
      <w:proofErr w:type="spellEnd"/>
      <w:r>
        <w:rPr>
          <w:rStyle w:val="ECHRDecisionBody"/>
        </w:rPr>
        <w:t xml:space="preserve"> </w:t>
      </w:r>
      <w:proofErr w:type="spellStart"/>
      <w:r>
        <w:rPr>
          <w:rStyle w:val="ECHRDecisionBody"/>
        </w:rPr>
        <w:t>Grozev</w:t>
      </w:r>
      <w:proofErr w:type="spellEnd"/>
      <w:r>
        <w:rPr>
          <w:rStyle w:val="ECHRDecisionBody"/>
        </w:rPr>
        <w:t>),</w:t>
      </w:r>
      <w:r>
        <w:br/>
      </w:r>
      <w:r>
        <w:rPr>
          <w:rStyle w:val="ECHRDecisionBody"/>
        </w:rPr>
        <w:tab/>
      </w:r>
      <w:proofErr w:type="spellStart"/>
      <w:r>
        <w:rPr>
          <w:rStyle w:val="ECHRDecisionBody"/>
        </w:rPr>
        <w:t>Шифра</w:t>
      </w:r>
      <w:proofErr w:type="spellEnd"/>
      <w:r>
        <w:rPr>
          <w:rStyle w:val="ECHRDecisionBody"/>
        </w:rPr>
        <w:t xml:space="preserve"> О</w:t>
      </w:r>
      <w:r>
        <w:rPr>
          <w:rStyle w:val="ECHRDecisionBody"/>
          <w:cs/>
        </w:rPr>
        <w:t>’</w:t>
      </w:r>
      <w:proofErr w:type="spellStart"/>
      <w:r>
        <w:rPr>
          <w:rStyle w:val="ECHRDecisionBody"/>
        </w:rPr>
        <w:t>Лиъри</w:t>
      </w:r>
      <w:proofErr w:type="spellEnd"/>
      <w:r>
        <w:rPr>
          <w:rStyle w:val="ECHRDecisionBody"/>
        </w:rPr>
        <w:t xml:space="preserve"> (</w:t>
      </w:r>
      <w:proofErr w:type="spellStart"/>
      <w:r>
        <w:rPr>
          <w:rStyle w:val="ECHRDecisionBody"/>
        </w:rPr>
        <w:t>Síofra</w:t>
      </w:r>
      <w:proofErr w:type="spellEnd"/>
      <w:r>
        <w:rPr>
          <w:rStyle w:val="ECHRDecisionBody"/>
        </w:rPr>
        <w:t xml:space="preserve"> O</w:t>
      </w:r>
      <w:r>
        <w:rPr>
          <w:rStyle w:val="ECHRDecisionBody"/>
          <w:cs/>
        </w:rPr>
        <w:t>’</w:t>
      </w:r>
      <w:proofErr w:type="spellStart"/>
      <w:r>
        <w:rPr>
          <w:rStyle w:val="ECHRDecisionBody"/>
        </w:rPr>
        <w:t>Leary</w:t>
      </w:r>
      <w:proofErr w:type="spellEnd"/>
      <w:r>
        <w:rPr>
          <w:rStyle w:val="ECHRDecisionBody"/>
        </w:rPr>
        <w:t>),</w:t>
      </w:r>
      <w:r>
        <w:br/>
      </w:r>
      <w:r>
        <w:rPr>
          <w:rStyle w:val="ECHRDecisionBody"/>
        </w:rPr>
        <w:tab/>
        <w:t xml:space="preserve">Карло </w:t>
      </w:r>
      <w:proofErr w:type="spellStart"/>
      <w:r>
        <w:rPr>
          <w:rStyle w:val="ECHRDecisionBody"/>
        </w:rPr>
        <w:t>Ранцони</w:t>
      </w:r>
      <w:proofErr w:type="spellEnd"/>
      <w:r>
        <w:rPr>
          <w:rStyle w:val="ECHRDecisionBody"/>
        </w:rPr>
        <w:t xml:space="preserve"> (</w:t>
      </w:r>
      <w:proofErr w:type="spellStart"/>
      <w:r>
        <w:rPr>
          <w:rStyle w:val="ECHRDecisionBody"/>
        </w:rPr>
        <w:t>Carlo</w:t>
      </w:r>
      <w:proofErr w:type="spellEnd"/>
      <w:r>
        <w:rPr>
          <w:rStyle w:val="ECHRDecisionBody"/>
        </w:rPr>
        <w:t xml:space="preserve"> </w:t>
      </w:r>
      <w:proofErr w:type="spellStart"/>
      <w:r>
        <w:rPr>
          <w:rStyle w:val="ECHRDecisionBody"/>
        </w:rPr>
        <w:t>Ranzoni</w:t>
      </w:r>
      <w:proofErr w:type="spellEnd"/>
      <w:r>
        <w:rPr>
          <w:rStyle w:val="ECHRDecisionBody"/>
        </w:rPr>
        <w:t>),</w:t>
      </w:r>
      <w:r>
        <w:rPr>
          <w:rStyle w:val="ECHRDecisionBody"/>
          <w:i/>
        </w:rPr>
        <w:t xml:space="preserve"> съдии,</w:t>
      </w:r>
      <w:r>
        <w:br/>
      </w:r>
      <w:r>
        <w:rPr>
          <w:rStyle w:val="ECHRDecisionBody"/>
        </w:rPr>
        <w:t xml:space="preserve">и Милан </w:t>
      </w:r>
      <w:proofErr w:type="spellStart"/>
      <w:r>
        <w:rPr>
          <w:rStyle w:val="ECHRDecisionBody"/>
        </w:rPr>
        <w:t>Бла</w:t>
      </w:r>
      <w:r w:rsidR="00481AC0">
        <w:rPr>
          <w:rStyle w:val="ECHRDecisionBody"/>
        </w:rPr>
        <w:t>с</w:t>
      </w:r>
      <w:r>
        <w:rPr>
          <w:rStyle w:val="ECHRDecisionBody"/>
        </w:rPr>
        <w:t>ко</w:t>
      </w:r>
      <w:proofErr w:type="spellEnd"/>
      <w:r>
        <w:rPr>
          <w:rStyle w:val="ECHRDecisionBody"/>
        </w:rPr>
        <w:t xml:space="preserve"> (</w:t>
      </w:r>
      <w:proofErr w:type="spellStart"/>
      <w:r>
        <w:rPr>
          <w:rStyle w:val="ECHRDecisionBody"/>
        </w:rPr>
        <w:t>Milan</w:t>
      </w:r>
      <w:proofErr w:type="spellEnd"/>
      <w:r>
        <w:rPr>
          <w:rStyle w:val="ECHRDecisionBody"/>
        </w:rPr>
        <w:t xml:space="preserve"> </w:t>
      </w:r>
      <w:proofErr w:type="spellStart"/>
      <w:r>
        <w:rPr>
          <w:rStyle w:val="ECHRDecisionBody"/>
        </w:rPr>
        <w:t>Blaško</w:t>
      </w:r>
      <w:proofErr w:type="spellEnd"/>
      <w:r>
        <w:rPr>
          <w:rStyle w:val="ECHRDecisionBody"/>
        </w:rPr>
        <w:t xml:space="preserve">), </w:t>
      </w:r>
      <w:r>
        <w:rPr>
          <w:rStyle w:val="ECHRDecisionBody"/>
          <w:i/>
        </w:rPr>
        <w:t>заместник-секретар на отделението,</w:t>
      </w:r>
    </w:p>
    <w:p w:rsidR="00E8284C" w:rsidRPr="000B7252" w:rsidRDefault="00E8284C" w:rsidP="00E8284C">
      <w:pPr>
        <w:pStyle w:val="ECHRPara"/>
      </w:pPr>
      <w:r>
        <w:rPr>
          <w:rStyle w:val="ECHRPara"/>
        </w:rPr>
        <w:t>Като взе предвид горната жалба, подадена на 30 ноември 2007 г.,</w:t>
      </w:r>
    </w:p>
    <w:p w:rsidR="00E8284C" w:rsidRPr="000B7252" w:rsidRDefault="00E8284C" w:rsidP="00E8284C">
      <w:pPr>
        <w:pStyle w:val="ECHRPara"/>
      </w:pPr>
      <w:r>
        <w:rPr>
          <w:rStyle w:val="ECHRPara"/>
        </w:rPr>
        <w:t xml:space="preserve">Като взе предвид </w:t>
      </w:r>
      <w:r w:rsidR="00DB37AD">
        <w:rPr>
          <w:rStyle w:val="ECHRPara"/>
        </w:rPr>
        <w:t xml:space="preserve">становището, </w:t>
      </w:r>
      <w:r>
        <w:rPr>
          <w:rStyle w:val="ECHRPara"/>
        </w:rPr>
        <w:t>представен</w:t>
      </w:r>
      <w:r w:rsidR="00DB37AD">
        <w:rPr>
          <w:rStyle w:val="ECHRPara"/>
        </w:rPr>
        <w:t>о</w:t>
      </w:r>
      <w:r>
        <w:rPr>
          <w:rStyle w:val="ECHRPara"/>
        </w:rPr>
        <w:t xml:space="preserve"> </w:t>
      </w:r>
      <w:r w:rsidR="00724CAD">
        <w:rPr>
          <w:rStyle w:val="ECHRPara"/>
        </w:rPr>
        <w:t xml:space="preserve">от </w:t>
      </w:r>
      <w:r>
        <w:rPr>
          <w:rStyle w:val="ECHRPara"/>
        </w:rPr>
        <w:t>Правителство</w:t>
      </w:r>
      <w:r w:rsidR="00724CAD">
        <w:rPr>
          <w:rStyle w:val="ECHRPara"/>
        </w:rPr>
        <w:t>то</w:t>
      </w:r>
      <w:r w:rsidR="00DB37AD">
        <w:rPr>
          <w:rStyle w:val="ECHRPara"/>
        </w:rPr>
        <w:t xml:space="preserve"> ответник</w:t>
      </w:r>
      <w:r>
        <w:rPr>
          <w:rStyle w:val="ECHRPara"/>
        </w:rPr>
        <w:t xml:space="preserve"> и становищ</w:t>
      </w:r>
      <w:r w:rsidR="00DB37AD">
        <w:rPr>
          <w:rStyle w:val="ECHRPara"/>
        </w:rPr>
        <w:t>ето</w:t>
      </w:r>
      <w:r>
        <w:rPr>
          <w:rStyle w:val="ECHRPara"/>
        </w:rPr>
        <w:t>, представен</w:t>
      </w:r>
      <w:r w:rsidR="00DB37AD">
        <w:rPr>
          <w:rStyle w:val="ECHRPara"/>
        </w:rPr>
        <w:t>о</w:t>
      </w:r>
      <w:r>
        <w:rPr>
          <w:rStyle w:val="ECHRPara"/>
        </w:rPr>
        <w:t xml:space="preserve"> в отговор от жалбоподателите,</w:t>
      </w:r>
    </w:p>
    <w:p w:rsidR="00E8284C" w:rsidRPr="000B7252" w:rsidRDefault="00E8284C" w:rsidP="00E8284C">
      <w:pPr>
        <w:pStyle w:val="ECHRPara"/>
      </w:pPr>
      <w:r>
        <w:rPr>
          <w:rStyle w:val="ECHRPara"/>
        </w:rPr>
        <w:t xml:space="preserve">След </w:t>
      </w:r>
      <w:r w:rsidR="00DB37AD">
        <w:rPr>
          <w:rStyle w:val="ECHRPara"/>
        </w:rPr>
        <w:t xml:space="preserve">проведено </w:t>
      </w:r>
      <w:r>
        <w:rPr>
          <w:rStyle w:val="ECHRPara"/>
        </w:rPr>
        <w:t>заседание</w:t>
      </w:r>
      <w:r w:rsidR="00DB37AD">
        <w:rPr>
          <w:rStyle w:val="ECHRPara"/>
        </w:rPr>
        <w:t>, постанови както</w:t>
      </w:r>
      <w:r>
        <w:rPr>
          <w:rStyle w:val="ECHRPara"/>
        </w:rPr>
        <w:t xml:space="preserve"> след</w:t>
      </w:r>
      <w:r w:rsidR="00DB37AD">
        <w:rPr>
          <w:rStyle w:val="ECHRPara"/>
        </w:rPr>
        <w:t>ва</w:t>
      </w:r>
      <w:r>
        <w:rPr>
          <w:rStyle w:val="ECHRPara"/>
        </w:rPr>
        <w:t>:</w:t>
      </w:r>
    </w:p>
    <w:p w:rsidR="00E8284C" w:rsidRPr="000B7252" w:rsidRDefault="00E8284C" w:rsidP="00E8284C">
      <w:pPr>
        <w:pStyle w:val="ECHRTitle1"/>
      </w:pPr>
      <w:r>
        <w:rPr>
          <w:rStyle w:val="ECHRTitle1"/>
        </w:rPr>
        <w:t>ФАКТИТЕ</w:t>
      </w:r>
    </w:p>
    <w:p w:rsidR="00E8284C" w:rsidRPr="000B7252" w:rsidRDefault="00E8284C" w:rsidP="00E8284C">
      <w:pPr>
        <w:pStyle w:val="ECHRPara"/>
      </w:pPr>
      <w:r>
        <w:rPr>
          <w:rStyle w:val="ECHRPara"/>
        </w:rPr>
        <w:t xml:space="preserve">1.  Жалбоподателите са български граждани. Техните данни са посочени в приложението. Жалбоподателите се представляват от г-н М. Екимджиев и г-жа М. Черничерска, адвокати, практикуващи в Пловдив. </w:t>
      </w:r>
      <w:r w:rsidR="004A511D">
        <w:rPr>
          <w:rStyle w:val="ECHRPara"/>
        </w:rPr>
        <w:t>Една от жалбоподателките</w:t>
      </w:r>
      <w:r>
        <w:rPr>
          <w:rStyle w:val="ECHRPara"/>
        </w:rPr>
        <w:t xml:space="preserve"> </w:t>
      </w:r>
      <w:r w:rsidR="00B054A8">
        <w:rPr>
          <w:rStyle w:val="ECHRPara"/>
        </w:rPr>
        <w:t xml:space="preserve"> е починал</w:t>
      </w:r>
      <w:r w:rsidR="004A511D">
        <w:rPr>
          <w:rStyle w:val="ECHRPara"/>
        </w:rPr>
        <w:t>а</w:t>
      </w:r>
      <w:r w:rsidR="00B054A8">
        <w:rPr>
          <w:rStyle w:val="ECHRPara"/>
        </w:rPr>
        <w:t xml:space="preserve"> </w:t>
      </w:r>
      <w:r>
        <w:rPr>
          <w:rStyle w:val="ECHRPara"/>
        </w:rPr>
        <w:t>през 2010 г. и нейните наследници, чиито имена също са посочени в приложението, изразяват желание да продължат производството вместо нея.</w:t>
      </w:r>
    </w:p>
    <w:p w:rsidR="00E8284C" w:rsidRPr="000B7252" w:rsidRDefault="00E8284C" w:rsidP="00E8284C">
      <w:pPr>
        <w:pStyle w:val="ECHRPara"/>
      </w:pPr>
      <w:r>
        <w:rPr>
          <w:rStyle w:val="ECHRPara"/>
        </w:rPr>
        <w:t>2.  Българското правителство (</w:t>
      </w:r>
      <w:r>
        <w:rPr>
          <w:rStyle w:val="ECHRPara"/>
          <w:cs/>
        </w:rPr>
        <w:t>„</w:t>
      </w:r>
      <w:r>
        <w:rPr>
          <w:rStyle w:val="ECHRPara"/>
        </w:rPr>
        <w:t>Правителството</w:t>
      </w:r>
      <w:r>
        <w:rPr>
          <w:rStyle w:val="ECHRPara"/>
          <w:cs/>
        </w:rPr>
        <w:t>”</w:t>
      </w:r>
      <w:r>
        <w:rPr>
          <w:rStyle w:val="ECHRPara"/>
        </w:rPr>
        <w:t>) се представлява от правителствения агент г-жа Л. Гюрова от Министерство на правосъдието.</w:t>
      </w:r>
    </w:p>
    <w:p w:rsidR="00E8284C" w:rsidRPr="000B7252" w:rsidRDefault="00E8284C" w:rsidP="00E8284C">
      <w:pPr>
        <w:pStyle w:val="ECHRHeading2"/>
      </w:pPr>
      <w:r>
        <w:rPr>
          <w:rStyle w:val="ECHRHeading2"/>
        </w:rPr>
        <w:lastRenderedPageBreak/>
        <w:t>А.  Обстоятелства</w:t>
      </w:r>
      <w:r w:rsidR="00B054A8">
        <w:rPr>
          <w:rStyle w:val="ECHRHeading2"/>
        </w:rPr>
        <w:t>та</w:t>
      </w:r>
      <w:r>
        <w:rPr>
          <w:rStyle w:val="ECHRHeading2"/>
        </w:rPr>
        <w:t xml:space="preserve"> по делото</w:t>
      </w:r>
    </w:p>
    <w:p w:rsidR="00E8284C" w:rsidRPr="000B7252" w:rsidRDefault="00E8284C" w:rsidP="00E8284C">
      <w:pPr>
        <w:pStyle w:val="ECHRPara"/>
      </w:pPr>
      <w:r>
        <w:rPr>
          <w:rStyle w:val="ECHRPara"/>
        </w:rPr>
        <w:t>3.  Фактите по делото, както са представени от страните, могат да бъдат обобщени по следния начин.</w:t>
      </w:r>
    </w:p>
    <w:p w:rsidR="00E8284C" w:rsidRPr="000B7252" w:rsidRDefault="00E8284C" w:rsidP="00E8284C">
      <w:pPr>
        <w:pStyle w:val="ECHRHeading3"/>
      </w:pPr>
      <w:r>
        <w:rPr>
          <w:rStyle w:val="ECHRHeading3"/>
        </w:rPr>
        <w:t>1.  </w:t>
      </w:r>
      <w:r w:rsidRPr="0031592E">
        <w:rPr>
          <w:rStyle w:val="ECHRHeading3"/>
        </w:rPr>
        <w:t>Реституция на собствеността</w:t>
      </w:r>
      <w:r>
        <w:rPr>
          <w:rStyle w:val="ECHRHeading3"/>
        </w:rPr>
        <w:t xml:space="preserve"> на жалбоподателите и производство </w:t>
      </w:r>
      <w:proofErr w:type="spellStart"/>
      <w:r>
        <w:rPr>
          <w:rStyle w:val="ECHRHeading3"/>
          <w:i w:val="0"/>
        </w:rPr>
        <w:t>rei</w:t>
      </w:r>
      <w:proofErr w:type="spellEnd"/>
      <w:r>
        <w:rPr>
          <w:rStyle w:val="ECHRHeading3"/>
          <w:i w:val="0"/>
        </w:rPr>
        <w:t xml:space="preserve"> </w:t>
      </w:r>
      <w:proofErr w:type="spellStart"/>
      <w:r>
        <w:rPr>
          <w:rStyle w:val="ECHRHeading3"/>
          <w:i w:val="0"/>
        </w:rPr>
        <w:t>vindicatio</w:t>
      </w:r>
      <w:proofErr w:type="spellEnd"/>
    </w:p>
    <w:p w:rsidR="00E8284C" w:rsidRPr="002906F3" w:rsidRDefault="00E8284C" w:rsidP="00E8284C">
      <w:pPr>
        <w:pStyle w:val="ECHRPara"/>
      </w:pPr>
      <w:r>
        <w:rPr>
          <w:rStyle w:val="ECHRPara"/>
        </w:rPr>
        <w:t>4.  </w:t>
      </w:r>
      <w:r w:rsidR="004A511D">
        <w:rPr>
          <w:rStyle w:val="ECHRPara"/>
        </w:rPr>
        <w:t xml:space="preserve">Наследодател </w:t>
      </w:r>
      <w:r>
        <w:rPr>
          <w:rStyle w:val="ECHRPara"/>
        </w:rPr>
        <w:t xml:space="preserve">на жалбоподателите </w:t>
      </w:r>
      <w:r w:rsidR="00966D15">
        <w:rPr>
          <w:rStyle w:val="ECHRPara"/>
        </w:rPr>
        <w:t xml:space="preserve">е </w:t>
      </w:r>
      <w:r>
        <w:rPr>
          <w:rStyle w:val="ECHRPara"/>
        </w:rPr>
        <w:t>притежава</w:t>
      </w:r>
      <w:r w:rsidR="00966D15">
        <w:rPr>
          <w:rStyle w:val="ECHRPara"/>
        </w:rPr>
        <w:t>л</w:t>
      </w:r>
      <w:r>
        <w:rPr>
          <w:rStyle w:val="ECHRPara"/>
        </w:rPr>
        <w:t xml:space="preserve"> земеделска земя в покрайнините на София, която е </w:t>
      </w:r>
      <w:r w:rsidRPr="00F95626">
        <w:rPr>
          <w:rStyle w:val="ECHRPara"/>
        </w:rPr>
        <w:t>колективизиран</w:t>
      </w:r>
      <w:r w:rsidR="00E250F4" w:rsidRPr="00F95626">
        <w:rPr>
          <w:rStyle w:val="ECHRPara"/>
        </w:rPr>
        <w:t>а</w:t>
      </w:r>
      <w:r>
        <w:rPr>
          <w:rStyle w:val="ECHRPara"/>
        </w:rPr>
        <w:t xml:space="preserve"> през 50-те години на 20 век. </w:t>
      </w:r>
      <w:r w:rsidR="002906F3">
        <w:rPr>
          <w:rStyle w:val="ECHRPara"/>
        </w:rPr>
        <w:t>П</w:t>
      </w:r>
      <w:r>
        <w:rPr>
          <w:rStyle w:val="ECHRPara"/>
        </w:rPr>
        <w:t xml:space="preserve">ървоначално </w:t>
      </w:r>
      <w:r w:rsidR="002906F3">
        <w:rPr>
          <w:rStyle w:val="ECHRPara"/>
        </w:rPr>
        <w:t xml:space="preserve">тя </w:t>
      </w:r>
      <w:r>
        <w:rPr>
          <w:rStyle w:val="ECHRPara"/>
        </w:rPr>
        <w:t xml:space="preserve">се управлява от земеделска кооперация, но </w:t>
      </w:r>
      <w:r w:rsidR="002906F3">
        <w:rPr>
          <w:rStyle w:val="ECHRPara"/>
        </w:rPr>
        <w:t>по-късно</w:t>
      </w:r>
      <w:r>
        <w:rPr>
          <w:rStyle w:val="ECHRPara"/>
        </w:rPr>
        <w:t xml:space="preserve"> заедно с друга земя, </w:t>
      </w:r>
      <w:r w:rsidR="00B95C29">
        <w:rPr>
          <w:rStyle w:val="ECHRPara"/>
        </w:rPr>
        <w:t>с</w:t>
      </w:r>
      <w:r>
        <w:rPr>
          <w:rStyle w:val="ECHRPara"/>
        </w:rPr>
        <w:t xml:space="preserve">е </w:t>
      </w:r>
      <w:r w:rsidR="002906F3" w:rsidRPr="002A416B">
        <w:rPr>
          <w:rStyle w:val="ECHRPara"/>
        </w:rPr>
        <w:t>предоставя</w:t>
      </w:r>
      <w:r>
        <w:rPr>
          <w:rStyle w:val="ECHRPara"/>
        </w:rPr>
        <w:t xml:space="preserve"> </w:t>
      </w:r>
      <w:r w:rsidR="00724CAD">
        <w:rPr>
          <w:rStyle w:val="ECHRPara"/>
        </w:rPr>
        <w:t>на</w:t>
      </w:r>
      <w:r>
        <w:rPr>
          <w:rStyle w:val="ECHRPara"/>
        </w:rPr>
        <w:t xml:space="preserve"> държавни филмови студия и става част </w:t>
      </w:r>
      <w:r w:rsidRPr="00DE7B20">
        <w:rPr>
          <w:rStyle w:val="ECHRPara"/>
        </w:rPr>
        <w:t xml:space="preserve">от </w:t>
      </w:r>
      <w:r w:rsidR="00DB2B08">
        <w:rPr>
          <w:rStyle w:val="ECHRPara"/>
        </w:rPr>
        <w:t xml:space="preserve"> тъй</w:t>
      </w:r>
      <w:r w:rsidR="00724CAD">
        <w:rPr>
          <w:rStyle w:val="ECHRPara"/>
        </w:rPr>
        <w:t xml:space="preserve"> наречения</w:t>
      </w:r>
      <w:r w:rsidRPr="00DE7B20">
        <w:rPr>
          <w:rStyle w:val="ECHRPara"/>
        </w:rPr>
        <w:t xml:space="preserve"> </w:t>
      </w:r>
      <w:r w:rsidRPr="002906F3">
        <w:rPr>
          <w:rStyle w:val="ECHRPara"/>
          <w:cs/>
        </w:rPr>
        <w:t>“</w:t>
      </w:r>
      <w:r w:rsidRPr="002906F3">
        <w:rPr>
          <w:rStyle w:val="ECHRPara"/>
        </w:rPr>
        <w:t>Национален филмов център Бояна</w:t>
      </w:r>
      <w:r w:rsidRPr="002906F3">
        <w:rPr>
          <w:rStyle w:val="ECHRPara"/>
          <w:cs/>
        </w:rPr>
        <w:t>”</w:t>
      </w:r>
      <w:r w:rsidRPr="002906F3">
        <w:rPr>
          <w:rStyle w:val="ECHRPara"/>
        </w:rPr>
        <w:t xml:space="preserve">. В началото на 90-те години на 20 век държавното предприятие, което управлява тези съоръжения, е преобразувано в държавно дружество, първоначално наречено </w:t>
      </w:r>
      <w:r w:rsidR="00D349E4">
        <w:rPr>
          <w:rStyle w:val="ECHRPara"/>
        </w:rPr>
        <w:t>„</w:t>
      </w:r>
      <w:r w:rsidRPr="002906F3">
        <w:rPr>
          <w:rStyle w:val="ECHRPara"/>
        </w:rPr>
        <w:t>Бояна Филм</w:t>
      </w:r>
      <w:r w:rsidR="00D349E4">
        <w:rPr>
          <w:rStyle w:val="ECHRPara"/>
        </w:rPr>
        <w:t>“</w:t>
      </w:r>
      <w:r w:rsidRPr="002906F3">
        <w:rPr>
          <w:rStyle w:val="ECHRPara"/>
        </w:rPr>
        <w:t xml:space="preserve"> ЕАД, а след приватизацията си през 2007 г. </w:t>
      </w:r>
      <w:r w:rsidR="00D349E4">
        <w:rPr>
          <w:rStyle w:val="ECHRPara"/>
        </w:rPr>
        <w:t>–</w:t>
      </w:r>
      <w:r w:rsidRPr="002906F3">
        <w:rPr>
          <w:rStyle w:val="ECHRPara"/>
        </w:rPr>
        <w:t xml:space="preserve"> </w:t>
      </w:r>
      <w:r w:rsidR="00D349E4">
        <w:rPr>
          <w:rStyle w:val="ECHRPara"/>
        </w:rPr>
        <w:t>„</w:t>
      </w:r>
      <w:r w:rsidRPr="002906F3">
        <w:rPr>
          <w:rStyle w:val="ECHRPara"/>
        </w:rPr>
        <w:t>Ню Бояна Филм</w:t>
      </w:r>
      <w:r w:rsidR="00D349E4">
        <w:rPr>
          <w:rStyle w:val="ECHRPara"/>
        </w:rPr>
        <w:t>“</w:t>
      </w:r>
      <w:r w:rsidRPr="002906F3">
        <w:rPr>
          <w:rStyle w:val="ECHRPara"/>
        </w:rPr>
        <w:t xml:space="preserve"> АД.</w:t>
      </w:r>
    </w:p>
    <w:p w:rsidR="00E8284C" w:rsidRPr="000B7252" w:rsidRDefault="00E8284C" w:rsidP="00E8284C">
      <w:pPr>
        <w:pStyle w:val="ECHRPara"/>
      </w:pPr>
      <w:r w:rsidRPr="002A416B">
        <w:rPr>
          <w:rStyle w:val="ECHRPara"/>
        </w:rPr>
        <w:t>5.  След приемането на Закона за собствеността и ползването на земеделските земи през</w:t>
      </w:r>
      <w:r w:rsidRPr="00587F67">
        <w:rPr>
          <w:rStyle w:val="ECHRPara"/>
        </w:rPr>
        <w:t xml:space="preserve"> 1991 г., който при определени условия предвижда възстановяване на </w:t>
      </w:r>
      <w:r w:rsidRPr="00F95626">
        <w:rPr>
          <w:rStyle w:val="ECHRPara"/>
        </w:rPr>
        <w:t>права на собственост върху</w:t>
      </w:r>
      <w:r>
        <w:rPr>
          <w:rStyle w:val="ECHRPara"/>
        </w:rPr>
        <w:t xml:space="preserve"> земеделска земя, на 14 март 1993 г. компетентният орган, който се занимава с </w:t>
      </w:r>
      <w:r w:rsidRPr="00F95626">
        <w:rPr>
          <w:rStyle w:val="ECHRPara"/>
        </w:rPr>
        <w:t>реституцията</w:t>
      </w:r>
      <w:r>
        <w:rPr>
          <w:rStyle w:val="ECHRPara"/>
        </w:rPr>
        <w:t xml:space="preserve"> - местната поземлена комисия - приема, че жалбоподателите имат право </w:t>
      </w:r>
      <w:r w:rsidRPr="00F95626">
        <w:rPr>
          <w:rStyle w:val="ECHRPara"/>
        </w:rPr>
        <w:t xml:space="preserve">на възстановяване в </w:t>
      </w:r>
      <w:r w:rsidRPr="007676B5">
        <w:rPr>
          <w:rStyle w:val="ECHRPara"/>
        </w:rPr>
        <w:t>на</w:t>
      </w:r>
      <w:r>
        <w:rPr>
          <w:rStyle w:val="ECHRPara"/>
        </w:rPr>
        <w:t xml:space="preserve"> целия парцел на техния предшественик</w:t>
      </w:r>
      <w:r w:rsidR="002A416B">
        <w:rPr>
          <w:rStyle w:val="ECHRPara"/>
        </w:rPr>
        <w:t>,</w:t>
      </w:r>
      <w:r>
        <w:rPr>
          <w:rStyle w:val="ECHRPara"/>
        </w:rPr>
        <w:t xml:space="preserve"> с общ</w:t>
      </w:r>
      <w:r w:rsidR="002A416B">
        <w:rPr>
          <w:rStyle w:val="ECHRPara"/>
        </w:rPr>
        <w:t>а</w:t>
      </w:r>
      <w:r>
        <w:rPr>
          <w:rStyle w:val="ECHRPara"/>
        </w:rPr>
        <w:t xml:space="preserve"> </w:t>
      </w:r>
      <w:r w:rsidR="002A416B">
        <w:rPr>
          <w:rStyle w:val="ECHRPara"/>
        </w:rPr>
        <w:t xml:space="preserve">площ </w:t>
      </w:r>
      <w:r>
        <w:rPr>
          <w:rStyle w:val="ECHRPara"/>
        </w:rPr>
        <w:t>от 4 900 кв. м.</w:t>
      </w:r>
    </w:p>
    <w:p w:rsidR="00E8284C" w:rsidRPr="000B7252" w:rsidRDefault="00E8284C" w:rsidP="00E8284C">
      <w:pPr>
        <w:pStyle w:val="ECHRPara"/>
      </w:pPr>
      <w:r>
        <w:rPr>
          <w:rStyle w:val="ECHRPara"/>
        </w:rPr>
        <w:t xml:space="preserve">6.  През 1996 г. жалбоподателите </w:t>
      </w:r>
      <w:r w:rsidR="006F00CB">
        <w:rPr>
          <w:rStyle w:val="ECHRPara"/>
        </w:rPr>
        <w:t>предявяват ревандикационен иск</w:t>
      </w:r>
      <w:r>
        <w:rPr>
          <w:rStyle w:val="ECHRPara"/>
        </w:rPr>
        <w:t xml:space="preserve"> срещу </w:t>
      </w:r>
      <w:r w:rsidR="00700B37">
        <w:rPr>
          <w:rStyle w:val="ECHRPara"/>
        </w:rPr>
        <w:t>„</w:t>
      </w:r>
      <w:r>
        <w:rPr>
          <w:rStyle w:val="ECHRPara"/>
        </w:rPr>
        <w:t>Бояна Филм</w:t>
      </w:r>
      <w:r w:rsidR="00700B37">
        <w:rPr>
          <w:rStyle w:val="ECHRPara"/>
        </w:rPr>
        <w:t>“</w:t>
      </w:r>
      <w:r>
        <w:rPr>
          <w:rStyle w:val="ECHRPara"/>
        </w:rPr>
        <w:t xml:space="preserve"> ЕАД. На 14 октомври 1998 г. Софийски районен съд удовлетворява частично </w:t>
      </w:r>
      <w:r w:rsidR="007676B5">
        <w:rPr>
          <w:rStyle w:val="ECHRPara"/>
        </w:rPr>
        <w:t xml:space="preserve">иска </w:t>
      </w:r>
      <w:r>
        <w:rPr>
          <w:rStyle w:val="ECHRPara"/>
        </w:rPr>
        <w:t xml:space="preserve">и осъжда дружеството да предаде </w:t>
      </w:r>
      <w:r w:rsidR="00871C20">
        <w:rPr>
          <w:rStyle w:val="ECHRPara"/>
        </w:rPr>
        <w:t>собствеността</w:t>
      </w:r>
      <w:r w:rsidR="006F00CB">
        <w:rPr>
          <w:rStyle w:val="ECHRPara"/>
        </w:rPr>
        <w:t xml:space="preserve"> </w:t>
      </w:r>
      <w:r>
        <w:rPr>
          <w:rStyle w:val="ECHRPara"/>
        </w:rPr>
        <w:t xml:space="preserve">на </w:t>
      </w:r>
      <w:r w:rsidR="006F00CB">
        <w:rPr>
          <w:rStyle w:val="ECHRPara"/>
        </w:rPr>
        <w:t xml:space="preserve">  </w:t>
      </w:r>
      <w:r>
        <w:rPr>
          <w:rStyle w:val="ECHRPara"/>
        </w:rPr>
        <w:t xml:space="preserve">2830 кв.м от парцела. Той </w:t>
      </w:r>
      <w:r w:rsidR="00700B37">
        <w:rPr>
          <w:rStyle w:val="ECHRPara"/>
        </w:rPr>
        <w:t>намира</w:t>
      </w:r>
      <w:r>
        <w:rPr>
          <w:rStyle w:val="ECHRPara"/>
        </w:rPr>
        <w:t>, че дружеството не притежава останалата част от земята, която е била заета от улица. Националният съд отбелязва, че правата на собственост на жалбоподателите са възстановени по силата на решението от 14 март 1993 г., докато дружеството, което не представ</w:t>
      </w:r>
      <w:r w:rsidR="00DC3D4F">
        <w:rPr>
          <w:rStyle w:val="ECHRPara"/>
        </w:rPr>
        <w:t>я</w:t>
      </w:r>
      <w:r>
        <w:rPr>
          <w:rStyle w:val="ECHRPara"/>
        </w:rPr>
        <w:t xml:space="preserve"> становище пред него, не успя</w:t>
      </w:r>
      <w:r w:rsidR="00DC3D4F">
        <w:rPr>
          <w:rStyle w:val="ECHRPara"/>
        </w:rPr>
        <w:t>ва</w:t>
      </w:r>
      <w:r>
        <w:rPr>
          <w:rStyle w:val="ECHRPara"/>
        </w:rPr>
        <w:t xml:space="preserve"> да докаже, че </w:t>
      </w:r>
      <w:r w:rsidRPr="00534292">
        <w:rPr>
          <w:rStyle w:val="ECHRPara"/>
        </w:rPr>
        <w:t xml:space="preserve">притежава земята </w:t>
      </w:r>
      <w:r w:rsidR="00534292" w:rsidRPr="009A3892">
        <w:rPr>
          <w:rStyle w:val="ECHRPara"/>
        </w:rPr>
        <w:t xml:space="preserve">въз основа </w:t>
      </w:r>
      <w:r w:rsidRPr="00534292">
        <w:rPr>
          <w:rStyle w:val="ECHRPara"/>
        </w:rPr>
        <w:t xml:space="preserve">на </w:t>
      </w:r>
      <w:r w:rsidRPr="00CD6A12">
        <w:rPr>
          <w:rStyle w:val="ECHRPara"/>
        </w:rPr>
        <w:t>валидни правни основания.</w:t>
      </w:r>
    </w:p>
    <w:p w:rsidR="00E8284C" w:rsidRPr="000B7252" w:rsidRDefault="00E8284C" w:rsidP="00E8284C">
      <w:pPr>
        <w:pStyle w:val="ECHRPara"/>
      </w:pPr>
      <w:r>
        <w:rPr>
          <w:rStyle w:val="ECHRPara"/>
        </w:rPr>
        <w:t>7.  Решението на Софийски районен съд, тъй като не е обжалвано, влиза в сила на 14 юли 1999 г.</w:t>
      </w:r>
    </w:p>
    <w:p w:rsidR="00E8284C" w:rsidRPr="000B7252" w:rsidRDefault="00E8284C" w:rsidP="00E8284C">
      <w:pPr>
        <w:pStyle w:val="ECHRPara"/>
      </w:pPr>
      <w:r>
        <w:rPr>
          <w:rStyle w:val="ECHRPara"/>
        </w:rPr>
        <w:t xml:space="preserve">8.  На 20 декември 1999 г. поземлената комисията издава друго решение, </w:t>
      </w:r>
      <w:r w:rsidR="00587F67">
        <w:rPr>
          <w:rStyle w:val="ECHRPara"/>
        </w:rPr>
        <w:t xml:space="preserve">с което </w:t>
      </w:r>
      <w:r>
        <w:rPr>
          <w:rStyle w:val="ECHRPara"/>
        </w:rPr>
        <w:t xml:space="preserve">възстановява </w:t>
      </w:r>
      <w:r w:rsidRPr="00534292">
        <w:rPr>
          <w:rStyle w:val="ECHRPara"/>
        </w:rPr>
        <w:t>правата на собственост</w:t>
      </w:r>
      <w:r>
        <w:rPr>
          <w:rStyle w:val="ECHRPara"/>
        </w:rPr>
        <w:t xml:space="preserve"> на жалбоподателите по отношение на 2 830 кв.м. от оригиналния им парцел и отказва реституция по отношение на останалата част. Жалбоподателите не обжалват това решение.</w:t>
      </w:r>
    </w:p>
    <w:p w:rsidR="00E8284C" w:rsidRPr="000B7252" w:rsidRDefault="00E8284C" w:rsidP="00E8284C">
      <w:pPr>
        <w:pStyle w:val="ECHRPara"/>
      </w:pPr>
      <w:r>
        <w:rPr>
          <w:rStyle w:val="ECHRPara"/>
        </w:rPr>
        <w:t xml:space="preserve">9.  През 2000 г. те завеждат изпълнително производство срещу </w:t>
      </w:r>
      <w:r w:rsidR="00C25E95">
        <w:rPr>
          <w:rStyle w:val="ECHRPara"/>
        </w:rPr>
        <w:t>„</w:t>
      </w:r>
      <w:r>
        <w:rPr>
          <w:rStyle w:val="ECHRPara"/>
        </w:rPr>
        <w:t>Бояна Филм</w:t>
      </w:r>
      <w:r w:rsidR="00C25E95">
        <w:rPr>
          <w:rStyle w:val="ECHRPara"/>
        </w:rPr>
        <w:t>“</w:t>
      </w:r>
      <w:r>
        <w:rPr>
          <w:rStyle w:val="ECHRPara"/>
        </w:rPr>
        <w:t xml:space="preserve"> ЕАД, с което искат изпълнение на решението от 14 октомври 1998 г. На два пъти, през август 2000 г. и декември 2002 г., съдия-изпълнител официално предава владението на парцела на </w:t>
      </w:r>
      <w:r>
        <w:rPr>
          <w:rStyle w:val="ECHRPara"/>
        </w:rPr>
        <w:lastRenderedPageBreak/>
        <w:t xml:space="preserve">жалбоподателите, като отбелязва границите му с колчета, забити в земята, и </w:t>
      </w:r>
      <w:r w:rsidR="00534292">
        <w:rPr>
          <w:rStyle w:val="ECHRPara"/>
        </w:rPr>
        <w:t xml:space="preserve">отстранява </w:t>
      </w:r>
      <w:r>
        <w:rPr>
          <w:rStyle w:val="ECHRPara"/>
        </w:rPr>
        <w:t xml:space="preserve">дружеството. Всеки път обаче дружеството </w:t>
      </w:r>
      <w:r w:rsidR="00377EA9">
        <w:rPr>
          <w:rStyle w:val="ECHRPara"/>
        </w:rPr>
        <w:t xml:space="preserve">премахва </w:t>
      </w:r>
      <w:r>
        <w:rPr>
          <w:rStyle w:val="ECHRPara"/>
        </w:rPr>
        <w:t>колчетата и продължава да ползва земята, която остава в оградената територия на филмовите студия.</w:t>
      </w:r>
    </w:p>
    <w:p w:rsidR="00E8284C" w:rsidRPr="000B7252" w:rsidRDefault="00E8284C" w:rsidP="00E8284C">
      <w:pPr>
        <w:pStyle w:val="ECHRHeading3"/>
      </w:pPr>
      <w:r>
        <w:rPr>
          <w:rStyle w:val="ECHRHeading3"/>
        </w:rPr>
        <w:t>2.  Други производства</w:t>
      </w:r>
    </w:p>
    <w:p w:rsidR="00E8284C" w:rsidRPr="000B7252" w:rsidRDefault="00E8284C" w:rsidP="00E8284C">
      <w:pPr>
        <w:pStyle w:val="ECHRPara"/>
      </w:pPr>
      <w:r>
        <w:rPr>
          <w:rStyle w:val="ECHRPara"/>
        </w:rPr>
        <w:t>10.  С</w:t>
      </w:r>
      <w:r w:rsidR="00B357CF">
        <w:rPr>
          <w:rStyle w:val="ECHRPara"/>
        </w:rPr>
        <w:t>ъс заповед</w:t>
      </w:r>
      <w:r>
        <w:rPr>
          <w:rStyle w:val="ECHRPara"/>
        </w:rPr>
        <w:t xml:space="preserve"> от 7 декември 2001 г. </w:t>
      </w:r>
      <w:r w:rsidR="00B3644D">
        <w:rPr>
          <w:rStyle w:val="ECHRPara"/>
        </w:rPr>
        <w:t xml:space="preserve">районният </w:t>
      </w:r>
      <w:r>
        <w:rPr>
          <w:rStyle w:val="ECHRPara"/>
        </w:rPr>
        <w:t xml:space="preserve">кмет разпорежда гореописаният парцел да се регистрира в кадастралните планове като собственост на жалбоподателите. През 2003 г. </w:t>
      </w:r>
      <w:r w:rsidR="009E4B85">
        <w:rPr>
          <w:rStyle w:val="ECHRPara"/>
        </w:rPr>
        <w:t>„</w:t>
      </w:r>
      <w:r>
        <w:rPr>
          <w:rStyle w:val="ECHRPara"/>
        </w:rPr>
        <w:t>Бояна Филм</w:t>
      </w:r>
      <w:r w:rsidR="009E4B85">
        <w:rPr>
          <w:rStyle w:val="ECHRPara"/>
        </w:rPr>
        <w:t>“</w:t>
      </w:r>
      <w:r>
        <w:rPr>
          <w:rStyle w:val="ECHRPara"/>
        </w:rPr>
        <w:t xml:space="preserve"> ЕАД оспорва тази заповед пред съда. Последвалото производство продължава до 31 януари 2012 г., като съдилищата отхвърлят оспорването на дружеството</w:t>
      </w:r>
      <w:r w:rsidR="009E4B85">
        <w:rPr>
          <w:rStyle w:val="ECHRPara"/>
        </w:rPr>
        <w:t xml:space="preserve"> и</w:t>
      </w:r>
      <w:r>
        <w:rPr>
          <w:rStyle w:val="ECHRPara"/>
        </w:rPr>
        <w:t xml:space="preserve"> </w:t>
      </w:r>
      <w:r w:rsidR="009E4B85">
        <w:rPr>
          <w:rStyle w:val="ECHRPara"/>
        </w:rPr>
        <w:t xml:space="preserve">намират </w:t>
      </w:r>
      <w:r>
        <w:rPr>
          <w:rStyle w:val="ECHRPara"/>
        </w:rPr>
        <w:t>по-конкретно, че тъй като решението от 14 октомври 1998 г. вече е признало правото на собственост на жалбоподателите върху въпросния парцел, предложеното изменение на кадастралния план е законно.</w:t>
      </w:r>
    </w:p>
    <w:p w:rsidR="00E8284C" w:rsidRPr="000B7252" w:rsidRDefault="00E8284C" w:rsidP="00E8284C">
      <w:pPr>
        <w:pStyle w:val="ECHRPara"/>
      </w:pPr>
      <w:r>
        <w:rPr>
          <w:rStyle w:val="ECHRPara"/>
        </w:rPr>
        <w:t xml:space="preserve">11.  През 2007 г. дружеството, вече </w:t>
      </w:r>
      <w:r w:rsidR="00E939AD">
        <w:rPr>
          <w:rStyle w:val="ECHRPara"/>
        </w:rPr>
        <w:t>наименувано „</w:t>
      </w:r>
      <w:r>
        <w:rPr>
          <w:rStyle w:val="ECHRPara"/>
        </w:rPr>
        <w:t>Ню Бояна Филм</w:t>
      </w:r>
      <w:r w:rsidR="00E939AD">
        <w:rPr>
          <w:rStyle w:val="ECHRPara"/>
        </w:rPr>
        <w:t>“</w:t>
      </w:r>
      <w:r>
        <w:rPr>
          <w:rStyle w:val="ECHRPara"/>
        </w:rPr>
        <w:t xml:space="preserve"> АД, завежда съдебно производство срещу жалбоподателите като иска да се обяви, че то е собственик на спорния парцел. След като се уверява въз основа на експертизи, че претендираният парцел е идентичен с този, който е бил предмет на предишното производство между същите страни, Софийски районен съд констатира в решение от 25 февруари 2009 г., че искът е недопустим, тъй като въпросът вече е решен с</w:t>
      </w:r>
      <w:r w:rsidR="000A005D">
        <w:rPr>
          <w:rStyle w:val="ECHRPara"/>
        </w:rPr>
        <w:t xml:space="preserve">ъс силата на </w:t>
      </w:r>
      <w:proofErr w:type="spellStart"/>
      <w:r w:rsidR="000A005D">
        <w:rPr>
          <w:rStyle w:val="ECHRPara"/>
        </w:rPr>
        <w:t>пресъдено</w:t>
      </w:r>
      <w:proofErr w:type="spellEnd"/>
      <w:r w:rsidR="000A005D">
        <w:rPr>
          <w:rStyle w:val="ECHRPara"/>
        </w:rPr>
        <w:t xml:space="preserve"> нещо</w:t>
      </w:r>
      <w:r>
        <w:rPr>
          <w:rStyle w:val="ECHRPara"/>
        </w:rPr>
        <w:t xml:space="preserve">. </w:t>
      </w:r>
      <w:r w:rsidR="00511462">
        <w:rPr>
          <w:rStyle w:val="ECHRPara"/>
        </w:rPr>
        <w:t>Р</w:t>
      </w:r>
      <w:r>
        <w:rPr>
          <w:rStyle w:val="ECHRPara"/>
        </w:rPr>
        <w:t>ешение</w:t>
      </w:r>
      <w:r w:rsidR="00511462">
        <w:rPr>
          <w:rStyle w:val="ECHRPara"/>
        </w:rPr>
        <w:t>то</w:t>
      </w:r>
      <w:r>
        <w:rPr>
          <w:rStyle w:val="ECHRPara"/>
        </w:rPr>
        <w:t xml:space="preserve"> влиза </w:t>
      </w:r>
      <w:r w:rsidR="001A1D07">
        <w:rPr>
          <w:rStyle w:val="ECHRPara"/>
        </w:rPr>
        <w:t>в сила</w:t>
      </w:r>
      <w:r>
        <w:rPr>
          <w:rStyle w:val="ECHRPara"/>
        </w:rPr>
        <w:t xml:space="preserve"> на 20 януари 2010 г.</w:t>
      </w:r>
    </w:p>
    <w:p w:rsidR="00E8284C" w:rsidRPr="000B7252" w:rsidRDefault="00E8284C" w:rsidP="00E8284C">
      <w:pPr>
        <w:pStyle w:val="ECHRPara"/>
      </w:pPr>
      <w:r>
        <w:rPr>
          <w:rStyle w:val="ECHRPara"/>
        </w:rPr>
        <w:t xml:space="preserve">12.  През декември 2010 г. органът, отговорен за поддържането на кадастралните планове - Агенцията по геодезия, картография и кадастър - приема нов план за района, посочвайки жалбоподателите като собствениците на </w:t>
      </w:r>
      <w:r w:rsidR="009737C3">
        <w:rPr>
          <w:rStyle w:val="ECHRPara"/>
        </w:rPr>
        <w:t xml:space="preserve">въпросния </w:t>
      </w:r>
      <w:r>
        <w:rPr>
          <w:rStyle w:val="ECHRPara"/>
        </w:rPr>
        <w:t xml:space="preserve">парцел. </w:t>
      </w:r>
      <w:r w:rsidR="00511462">
        <w:rPr>
          <w:rStyle w:val="ECHRPara"/>
        </w:rPr>
        <w:t>„</w:t>
      </w:r>
      <w:r>
        <w:rPr>
          <w:rStyle w:val="ECHRPara"/>
        </w:rPr>
        <w:t>Ню Бояна Филм</w:t>
      </w:r>
      <w:r w:rsidR="00511462">
        <w:rPr>
          <w:rStyle w:val="ECHRPara"/>
        </w:rPr>
        <w:t>“</w:t>
      </w:r>
      <w:r>
        <w:rPr>
          <w:rStyle w:val="ECHRPara"/>
        </w:rPr>
        <w:t xml:space="preserve"> АД подава молба планът да бъде изменен, за да се посочи, че собствеността на парцела е </w:t>
      </w:r>
      <w:r>
        <w:rPr>
          <w:rStyle w:val="ECHRPara"/>
          <w:cs/>
        </w:rPr>
        <w:t>“</w:t>
      </w:r>
      <w:r>
        <w:rPr>
          <w:rStyle w:val="ECHRPara"/>
        </w:rPr>
        <w:t>предмет на спор</w:t>
      </w:r>
      <w:r>
        <w:rPr>
          <w:rStyle w:val="ECHRPara"/>
          <w:cs/>
        </w:rPr>
        <w:t>”</w:t>
      </w:r>
      <w:r>
        <w:rPr>
          <w:rStyle w:val="ECHRPara"/>
        </w:rPr>
        <w:t xml:space="preserve">. Неговата молба е удовлетворена със заповед на </w:t>
      </w:r>
      <w:r w:rsidR="009737C3">
        <w:rPr>
          <w:rStyle w:val="ECHRPara"/>
        </w:rPr>
        <w:t xml:space="preserve">изпълнителния директор </w:t>
      </w:r>
      <w:r>
        <w:rPr>
          <w:rStyle w:val="ECHRPara"/>
        </w:rPr>
        <w:t xml:space="preserve">на Агенцията от 11 февруари 2011 г. Жалбоподателите оспорват тази заповед успешно, като националните съдилища посочват в своите решения, че собствеността на парцела </w:t>
      </w:r>
      <w:r w:rsidR="00A47F40">
        <w:rPr>
          <w:rStyle w:val="ECHRPara"/>
        </w:rPr>
        <w:t xml:space="preserve">не </w:t>
      </w:r>
      <w:r>
        <w:rPr>
          <w:rStyle w:val="ECHRPara"/>
        </w:rPr>
        <w:t xml:space="preserve">е </w:t>
      </w:r>
      <w:r>
        <w:rPr>
          <w:rStyle w:val="ECHRPara"/>
          <w:cs/>
        </w:rPr>
        <w:t>“</w:t>
      </w:r>
      <w:r>
        <w:rPr>
          <w:rStyle w:val="ECHRPara"/>
        </w:rPr>
        <w:t>предмет на спор</w:t>
      </w:r>
      <w:r>
        <w:rPr>
          <w:rStyle w:val="ECHRPara"/>
          <w:cs/>
        </w:rPr>
        <w:t>”</w:t>
      </w:r>
      <w:r>
        <w:rPr>
          <w:rStyle w:val="ECHRPara"/>
        </w:rPr>
        <w:t xml:space="preserve">, по-конкретно тъй като производството във връзка с изменения на кадастралния план, описано в параграф 10 по-горе, не е определящо за каквито и да </w:t>
      </w:r>
      <w:r w:rsidR="00A47F40">
        <w:rPr>
          <w:rStyle w:val="ECHRPara"/>
        </w:rPr>
        <w:t xml:space="preserve">е </w:t>
      </w:r>
      <w:r>
        <w:rPr>
          <w:rStyle w:val="ECHRPara"/>
        </w:rPr>
        <w:t xml:space="preserve">права на собственост на страните. Окончателното решение в тази серия </w:t>
      </w:r>
      <w:r w:rsidR="00A47F40">
        <w:rPr>
          <w:rStyle w:val="ECHRPara"/>
        </w:rPr>
        <w:t xml:space="preserve">от </w:t>
      </w:r>
      <w:r>
        <w:rPr>
          <w:rStyle w:val="ECHRPara"/>
        </w:rPr>
        <w:t xml:space="preserve">производства </w:t>
      </w:r>
      <w:r w:rsidR="00A47F40">
        <w:rPr>
          <w:rStyle w:val="ECHRPara"/>
        </w:rPr>
        <w:t>с</w:t>
      </w:r>
      <w:r>
        <w:rPr>
          <w:rStyle w:val="ECHRPara"/>
        </w:rPr>
        <w:t>е постанов</w:t>
      </w:r>
      <w:r w:rsidR="00A47F40">
        <w:rPr>
          <w:rStyle w:val="ECHRPara"/>
        </w:rPr>
        <w:t>ява</w:t>
      </w:r>
      <w:r>
        <w:rPr>
          <w:rStyle w:val="ECHRPara"/>
        </w:rPr>
        <w:t xml:space="preserve"> на 15 юли 2013 г. През ноември 2013 г. представителят на жалбоподателите е информиран, че кадастралните планове са изменени в съответствие с констатациите на съдилищата.</w:t>
      </w:r>
    </w:p>
    <w:p w:rsidR="00E8284C" w:rsidRPr="000B7252" w:rsidRDefault="00E8284C" w:rsidP="00E8284C">
      <w:pPr>
        <w:pStyle w:val="ECHRHeading2"/>
      </w:pPr>
      <w:r>
        <w:rPr>
          <w:rStyle w:val="ECHRHeading2"/>
        </w:rPr>
        <w:lastRenderedPageBreak/>
        <w:t>Б. Приложимо вътрешно право и практика</w:t>
      </w:r>
    </w:p>
    <w:p w:rsidR="00E8284C" w:rsidRPr="000B7252" w:rsidRDefault="00E8284C" w:rsidP="00E8284C">
      <w:pPr>
        <w:pStyle w:val="ECHRHeading3"/>
      </w:pPr>
      <w:r>
        <w:rPr>
          <w:rStyle w:val="ECHRHeading3"/>
        </w:rPr>
        <w:t>1.  Граждански процесуален кодекс</w:t>
      </w:r>
    </w:p>
    <w:p w:rsidR="00E8284C" w:rsidRPr="000B7252" w:rsidRDefault="00E8284C" w:rsidP="00E8284C">
      <w:pPr>
        <w:pStyle w:val="ECHRPara"/>
      </w:pPr>
      <w:r>
        <w:rPr>
          <w:rStyle w:val="ECHRPara"/>
        </w:rPr>
        <w:t xml:space="preserve">13.  Чл. 415, ал. 1 от Гражданския процесуален кодекс от 1952 г., в сила до 1 март 2008 г., </w:t>
      </w:r>
      <w:r w:rsidR="00F628F8">
        <w:rPr>
          <w:rStyle w:val="ECHRPara"/>
        </w:rPr>
        <w:t>предвижда</w:t>
      </w:r>
      <w:r>
        <w:rPr>
          <w:rStyle w:val="ECHRPara"/>
        </w:rPr>
        <w:t xml:space="preserve">, че в контекста на изпълнително производство, когато на лице е наредено да предаде недвижимо имущество, съдия-изпълнител </w:t>
      </w:r>
      <w:r w:rsidR="00F628F8">
        <w:rPr>
          <w:rStyle w:val="ECHRPara"/>
        </w:rPr>
        <w:t>отстранява</w:t>
      </w:r>
      <w:r>
        <w:rPr>
          <w:rStyle w:val="ECHRPara"/>
        </w:rPr>
        <w:t xml:space="preserve"> това лице от имота, ако е необходимо </w:t>
      </w:r>
      <w:r w:rsidR="00F628F8">
        <w:rPr>
          <w:rStyle w:val="ECHRPara"/>
        </w:rPr>
        <w:t>принудително</w:t>
      </w:r>
      <w:r>
        <w:rPr>
          <w:rStyle w:val="ECHRPara"/>
        </w:rPr>
        <w:t xml:space="preserve">, и официално </w:t>
      </w:r>
      <w:r w:rsidR="00647993">
        <w:rPr>
          <w:rStyle w:val="ECHRPara"/>
        </w:rPr>
        <w:t>въвежда във владение взискателя</w:t>
      </w:r>
      <w:r>
        <w:rPr>
          <w:rStyle w:val="ECHRPara"/>
        </w:rPr>
        <w:t xml:space="preserve">. </w:t>
      </w:r>
      <w:r w:rsidR="00296E0C">
        <w:rPr>
          <w:rStyle w:val="ECHRPara"/>
        </w:rPr>
        <w:t xml:space="preserve">Съгласно </w:t>
      </w:r>
      <w:r>
        <w:rPr>
          <w:rStyle w:val="ECHRPara"/>
        </w:rPr>
        <w:t xml:space="preserve">чл. 418 </w:t>
      </w:r>
      <w:r w:rsidR="00296E0C">
        <w:rPr>
          <w:rStyle w:val="ECHRPara"/>
        </w:rPr>
        <w:t xml:space="preserve">ако </w:t>
      </w:r>
      <w:r w:rsidR="00296E0C" w:rsidRPr="00296E0C">
        <w:t xml:space="preserve">изваденото от владение лице самоволно си възвърне владението върху имота, </w:t>
      </w:r>
      <w:r w:rsidR="00296E0C">
        <w:t>то трябва отново да бъде отстранено</w:t>
      </w:r>
      <w:r>
        <w:rPr>
          <w:rStyle w:val="ECHRPara"/>
        </w:rPr>
        <w:t xml:space="preserve">. Изрично </w:t>
      </w:r>
      <w:r w:rsidR="00296E0C">
        <w:rPr>
          <w:rStyle w:val="ECHRPara"/>
        </w:rPr>
        <w:t xml:space="preserve">е </w:t>
      </w:r>
      <w:r>
        <w:rPr>
          <w:rStyle w:val="ECHRPara"/>
        </w:rPr>
        <w:t xml:space="preserve">отбелязано, че в такъв случай лицето, отговорно за незаконно придобиване на владение, може да носи </w:t>
      </w:r>
      <w:r w:rsidR="00193A14">
        <w:rPr>
          <w:rStyle w:val="ECHRPara"/>
        </w:rPr>
        <w:t xml:space="preserve">също </w:t>
      </w:r>
      <w:r>
        <w:rPr>
          <w:rStyle w:val="ECHRPara"/>
        </w:rPr>
        <w:t>наказателна отговорност по чл. 323, ал. 2 от Наказателния кодекс.</w:t>
      </w:r>
    </w:p>
    <w:p w:rsidR="00E8284C" w:rsidRPr="000B7252" w:rsidRDefault="00E8284C" w:rsidP="00E8284C">
      <w:pPr>
        <w:pStyle w:val="ECHRPara"/>
      </w:pPr>
      <w:r>
        <w:rPr>
          <w:rStyle w:val="ECHRPara"/>
        </w:rPr>
        <w:t>14.  Подобни разпоредби се съдържат в чл. 522, ал. 1 и чл. 525 от актуалния Граждански процесуален кодекс.</w:t>
      </w:r>
    </w:p>
    <w:p w:rsidR="00E8284C" w:rsidRPr="000B7252" w:rsidRDefault="00E8284C" w:rsidP="00E8284C">
      <w:pPr>
        <w:pStyle w:val="ECHRHeading3"/>
        <w:tabs>
          <w:tab w:val="center" w:pos="3894"/>
        </w:tabs>
      </w:pPr>
      <w:r>
        <w:rPr>
          <w:rStyle w:val="ECHRHeading3"/>
        </w:rPr>
        <w:t>2.  Наказателен кодекс</w:t>
      </w:r>
    </w:p>
    <w:p w:rsidR="00E8284C" w:rsidRPr="000B7252" w:rsidRDefault="00E8284C" w:rsidP="00E8284C">
      <w:pPr>
        <w:pStyle w:val="ECHRPara"/>
      </w:pPr>
      <w:r>
        <w:rPr>
          <w:rStyle w:val="ECHRPara"/>
        </w:rPr>
        <w:t>15.  </w:t>
      </w:r>
      <w:r w:rsidR="007F14AE">
        <w:rPr>
          <w:rStyle w:val="ECHRPara"/>
        </w:rPr>
        <w:t xml:space="preserve">Съгласно </w:t>
      </w:r>
      <w:r>
        <w:rPr>
          <w:rStyle w:val="ECHRPara"/>
        </w:rPr>
        <w:t xml:space="preserve">чл. 323, ал. 2 от Наказателния кодекс от 1968 г. </w:t>
      </w:r>
      <w:r w:rsidR="00D05840" w:rsidRPr="00D05840">
        <w:t>самоволно</w:t>
      </w:r>
      <w:r w:rsidR="00154FF3">
        <w:t>то</w:t>
      </w:r>
      <w:r w:rsidR="00D05840" w:rsidRPr="00D05840">
        <w:t xml:space="preserve"> заем</w:t>
      </w:r>
      <w:r w:rsidR="00154FF3">
        <w:t>ане от лице на</w:t>
      </w:r>
      <w:r w:rsidR="00D05840" w:rsidRPr="00D05840">
        <w:t xml:space="preserve"> недвижим имот, от чието владение е отстранен</w:t>
      </w:r>
      <w:r w:rsidR="007B68C9">
        <w:rPr>
          <w:lang w:val="en-US"/>
        </w:rPr>
        <w:t>o</w:t>
      </w:r>
      <w:r w:rsidR="00D05840" w:rsidRPr="00D05840">
        <w:t xml:space="preserve"> по надлежен ред, </w:t>
      </w:r>
      <w:r>
        <w:rPr>
          <w:rStyle w:val="ECHRPara"/>
        </w:rPr>
        <w:t>е престъпление. Престъплението се наказва с лишаване от свобода до три години и глоба. Престъплението може да бъде извършено от представител на съответното лице (</w:t>
      </w:r>
      <w:r>
        <w:rPr>
          <w:rStyle w:val="ECHRPara"/>
          <w:i/>
        </w:rPr>
        <w:t xml:space="preserve">Решение </w:t>
      </w:r>
      <w:r>
        <w:rPr>
          <w:rStyle w:val="ECHRPara"/>
          <w:i/>
          <w:cs/>
        </w:rPr>
        <w:t xml:space="preserve">№ </w:t>
      </w:r>
      <w:r>
        <w:rPr>
          <w:rStyle w:val="ECHRPara"/>
          <w:i/>
        </w:rPr>
        <w:t xml:space="preserve">248 от 14.07.2011 г. на ВКС по н. д. </w:t>
      </w:r>
      <w:r>
        <w:rPr>
          <w:rStyle w:val="ECHRPara"/>
          <w:i/>
          <w:cs/>
        </w:rPr>
        <w:t xml:space="preserve">№ </w:t>
      </w:r>
      <w:r>
        <w:rPr>
          <w:rStyle w:val="ECHRPara"/>
          <w:i/>
        </w:rPr>
        <w:t>1302/2011 г., II н. о., НК</w:t>
      </w:r>
      <w:r>
        <w:rPr>
          <w:rStyle w:val="ECHRPara"/>
        </w:rPr>
        <w:t>).</w:t>
      </w:r>
    </w:p>
    <w:p w:rsidR="00E8284C" w:rsidRPr="000B7252" w:rsidRDefault="00E8284C" w:rsidP="00E8284C">
      <w:pPr>
        <w:pStyle w:val="ECHRHeading3"/>
      </w:pPr>
      <w:r>
        <w:rPr>
          <w:rStyle w:val="ECHRHeading3"/>
        </w:rPr>
        <w:t>3.  Закон за собствеността от 1951 г.</w:t>
      </w:r>
    </w:p>
    <w:p w:rsidR="00E8284C" w:rsidRPr="000B7252" w:rsidRDefault="00E8284C" w:rsidP="00E8284C">
      <w:pPr>
        <w:pStyle w:val="ECHRPara"/>
      </w:pPr>
      <w:r>
        <w:rPr>
          <w:rStyle w:val="ECHRPara"/>
        </w:rPr>
        <w:t>16.  </w:t>
      </w:r>
      <w:r w:rsidR="00971CE4">
        <w:rPr>
          <w:rStyle w:val="ECHRPara"/>
        </w:rPr>
        <w:t xml:space="preserve">Съгласно </w:t>
      </w:r>
      <w:r>
        <w:rPr>
          <w:rStyle w:val="ECHRPara"/>
        </w:rPr>
        <w:t>чл. 109</w:t>
      </w:r>
      <w:r w:rsidR="006D6A50">
        <w:rPr>
          <w:rStyle w:val="ECHRPara"/>
        </w:rPr>
        <w:t xml:space="preserve">, ал. </w:t>
      </w:r>
      <w:r>
        <w:rPr>
          <w:rStyle w:val="ECHRPara"/>
        </w:rPr>
        <w:t>1 от този закон собственикът може да иска прекратяване на всяко неоснователно действие, което му пречи да упражнява своето право на собственост.</w:t>
      </w:r>
    </w:p>
    <w:p w:rsidR="00E8284C" w:rsidRPr="000B7252" w:rsidRDefault="00E8284C" w:rsidP="00E8284C">
      <w:pPr>
        <w:pStyle w:val="ECHRPara"/>
      </w:pPr>
      <w:r>
        <w:rPr>
          <w:rStyle w:val="ECHRPara"/>
        </w:rPr>
        <w:t>17.  В тълкувателно решение от 1985 г. (</w:t>
      </w:r>
      <w:r>
        <w:rPr>
          <w:rStyle w:val="ECHRPara"/>
          <w:i/>
        </w:rPr>
        <w:t xml:space="preserve">Тълкувателно решение </w:t>
      </w:r>
      <w:r>
        <w:rPr>
          <w:rStyle w:val="ECHRPara"/>
          <w:i/>
          <w:cs/>
        </w:rPr>
        <w:t>№</w:t>
      </w:r>
      <w:r>
        <w:rPr>
          <w:rStyle w:val="ECHRPara"/>
          <w:i/>
        </w:rPr>
        <w:t xml:space="preserve"> 31/84 г. от 6.II.1985 г. по гр. д. </w:t>
      </w:r>
      <w:r>
        <w:rPr>
          <w:rStyle w:val="ECHRPara"/>
          <w:i/>
          <w:cs/>
        </w:rPr>
        <w:t xml:space="preserve">№ </w:t>
      </w:r>
      <w:r>
        <w:rPr>
          <w:rStyle w:val="ECHRPara"/>
          <w:i/>
        </w:rPr>
        <w:t>10/84 г., ОСГК</w:t>
      </w:r>
      <w:r>
        <w:rPr>
          <w:rStyle w:val="ECHRPara"/>
        </w:rPr>
        <w:t>) бившият Върховен съд обяснява, че такъв иск (</w:t>
      </w:r>
      <w:proofErr w:type="spellStart"/>
      <w:r>
        <w:rPr>
          <w:rStyle w:val="ECHRPara"/>
          <w:i/>
        </w:rPr>
        <w:t>actio</w:t>
      </w:r>
      <w:proofErr w:type="spellEnd"/>
      <w:r>
        <w:rPr>
          <w:rStyle w:val="ECHRPara"/>
          <w:i/>
        </w:rPr>
        <w:t xml:space="preserve"> </w:t>
      </w:r>
      <w:proofErr w:type="spellStart"/>
      <w:r>
        <w:rPr>
          <w:rStyle w:val="ECHRPara"/>
          <w:i/>
        </w:rPr>
        <w:t>negatoria</w:t>
      </w:r>
      <w:proofErr w:type="spellEnd"/>
      <w:r>
        <w:rPr>
          <w:rStyle w:val="ECHRPara"/>
        </w:rPr>
        <w:t xml:space="preserve">) осигурява защита срещу </w:t>
      </w:r>
      <w:r w:rsidRPr="000C3222">
        <w:rPr>
          <w:rStyle w:val="ECHRPara"/>
        </w:rPr>
        <w:t>нео</w:t>
      </w:r>
      <w:r w:rsidR="000C3222" w:rsidRPr="009A3892">
        <w:rPr>
          <w:rStyle w:val="ECHRPara"/>
        </w:rPr>
        <w:t>правдана</w:t>
      </w:r>
      <w:r>
        <w:rPr>
          <w:rStyle w:val="ECHRPara"/>
        </w:rPr>
        <w:t xml:space="preserve"> намеса - пряка или косвена - която би могла да попречи на собственика да използва своята собственост в пълна степен. Той посочва, че искът може да се използва за деклариране на такава намеса за не</w:t>
      </w:r>
      <w:r w:rsidR="0033322C">
        <w:rPr>
          <w:rStyle w:val="ECHRPara"/>
        </w:rPr>
        <w:t>правомерна</w:t>
      </w:r>
      <w:r>
        <w:rPr>
          <w:rStyle w:val="ECHRPara"/>
        </w:rPr>
        <w:t xml:space="preserve"> и да наложи на въпросните лица да я спрат и да отстранят въздействието ѝ.</w:t>
      </w:r>
    </w:p>
    <w:p w:rsidR="00E8284C" w:rsidRPr="000B7252" w:rsidRDefault="00E8284C" w:rsidP="00E8284C">
      <w:pPr>
        <w:pStyle w:val="ECHRPara"/>
      </w:pPr>
      <w:r>
        <w:rPr>
          <w:rStyle w:val="ECHRPara"/>
        </w:rPr>
        <w:t>18.  В редица случаи националните съдилища, които разглеждат искове по чл. 109</w:t>
      </w:r>
      <w:r w:rsidR="006D6A50">
        <w:rPr>
          <w:rStyle w:val="ECHRPara"/>
        </w:rPr>
        <w:t xml:space="preserve">, ал. </w:t>
      </w:r>
      <w:r>
        <w:rPr>
          <w:rStyle w:val="ECHRPara"/>
        </w:rPr>
        <w:t xml:space="preserve">1, разпореждат на ответниците да премахнат построени от тях огради, които затрудняват достъпа на ищците до собствените им имоти (например </w:t>
      </w:r>
      <w:r>
        <w:rPr>
          <w:rStyle w:val="ECHRPara"/>
          <w:i/>
        </w:rPr>
        <w:t xml:space="preserve">Решение </w:t>
      </w:r>
      <w:r>
        <w:rPr>
          <w:rStyle w:val="ECHRPara"/>
          <w:i/>
          <w:cs/>
        </w:rPr>
        <w:t xml:space="preserve">№ </w:t>
      </w:r>
      <w:r>
        <w:rPr>
          <w:rStyle w:val="ECHRPara"/>
          <w:i/>
        </w:rPr>
        <w:t xml:space="preserve">229 от 7.05.2009 г. на ВКС по гр. д. </w:t>
      </w:r>
      <w:r>
        <w:rPr>
          <w:rStyle w:val="ECHRPara"/>
          <w:i/>
          <w:cs/>
        </w:rPr>
        <w:t xml:space="preserve">№ </w:t>
      </w:r>
      <w:r>
        <w:rPr>
          <w:rStyle w:val="ECHRPara"/>
          <w:i/>
        </w:rPr>
        <w:t>511/2008 г., I г. о., ГК</w:t>
      </w:r>
      <w:r>
        <w:rPr>
          <w:rStyle w:val="ECHRPara"/>
        </w:rPr>
        <w:t>;</w:t>
      </w:r>
      <w:r>
        <w:rPr>
          <w:rStyle w:val="ECHRPara"/>
          <w:i/>
        </w:rPr>
        <w:t xml:space="preserve"> Решение </w:t>
      </w:r>
      <w:r>
        <w:rPr>
          <w:rStyle w:val="ECHRPara"/>
          <w:i/>
          <w:cs/>
        </w:rPr>
        <w:t xml:space="preserve">№ </w:t>
      </w:r>
      <w:r>
        <w:rPr>
          <w:rStyle w:val="ECHRPara"/>
          <w:i/>
        </w:rPr>
        <w:t xml:space="preserve">37 от 7.03.2014 г. на ВКС по гр. д. </w:t>
      </w:r>
      <w:r>
        <w:rPr>
          <w:rStyle w:val="ECHRPara"/>
          <w:i/>
          <w:cs/>
        </w:rPr>
        <w:t>№</w:t>
      </w:r>
      <w:r>
        <w:rPr>
          <w:rStyle w:val="ECHRPara"/>
          <w:i/>
        </w:rPr>
        <w:t> 4245/2013 г., I г. о., ГК</w:t>
      </w:r>
      <w:r>
        <w:rPr>
          <w:rStyle w:val="ECHRPara"/>
        </w:rPr>
        <w:t xml:space="preserve">; и </w:t>
      </w:r>
      <w:r>
        <w:rPr>
          <w:rStyle w:val="ECHRPara"/>
          <w:i/>
        </w:rPr>
        <w:t xml:space="preserve">Решение </w:t>
      </w:r>
      <w:r>
        <w:rPr>
          <w:rStyle w:val="ECHRPara"/>
          <w:i/>
          <w:cs/>
        </w:rPr>
        <w:t xml:space="preserve">№ </w:t>
      </w:r>
      <w:r>
        <w:rPr>
          <w:rStyle w:val="ECHRPara"/>
          <w:i/>
        </w:rPr>
        <w:t xml:space="preserve">74 от 9.07.2014 г. на ВКС по гр. д. </w:t>
      </w:r>
      <w:r>
        <w:rPr>
          <w:rStyle w:val="ECHRPara"/>
          <w:i/>
          <w:cs/>
        </w:rPr>
        <w:t>№</w:t>
      </w:r>
      <w:r>
        <w:rPr>
          <w:rStyle w:val="ECHRPara"/>
          <w:i/>
        </w:rPr>
        <w:t> 6580/2013 г., II г. о., ГК</w:t>
      </w:r>
      <w:r>
        <w:rPr>
          <w:rStyle w:val="ECHRPara"/>
        </w:rPr>
        <w:t>).</w:t>
      </w:r>
    </w:p>
    <w:p w:rsidR="00E8284C" w:rsidRPr="000B7252" w:rsidRDefault="00E8284C" w:rsidP="00E8284C">
      <w:pPr>
        <w:pStyle w:val="ECHRHeading3"/>
      </w:pPr>
      <w:r>
        <w:rPr>
          <w:rStyle w:val="ECHRHeading3"/>
        </w:rPr>
        <w:lastRenderedPageBreak/>
        <w:t>4.  Закон за задълженията и договорите от 1950 г.</w:t>
      </w:r>
    </w:p>
    <w:p w:rsidR="00E8284C" w:rsidRPr="000B7252" w:rsidRDefault="00E8284C" w:rsidP="00E8284C">
      <w:pPr>
        <w:pStyle w:val="ECHRPara"/>
      </w:pPr>
      <w:r>
        <w:rPr>
          <w:rStyle w:val="ECHRPara"/>
        </w:rPr>
        <w:t>19.  Чл. 59 от закона е общата разпоредба за не</w:t>
      </w:r>
      <w:r w:rsidR="00611200">
        <w:rPr>
          <w:rStyle w:val="ECHRPara"/>
        </w:rPr>
        <w:t>основателно</w:t>
      </w:r>
      <w:r>
        <w:rPr>
          <w:rStyle w:val="ECHRPara"/>
        </w:rPr>
        <w:t xml:space="preserve"> обогатяване. Имало е позовавания на него в редица случаи, свързани с незаконно възпрепятстване на ефективното упражняване на правото на собственост на ищец, </w:t>
      </w:r>
      <w:r w:rsidR="008D5C32">
        <w:rPr>
          <w:rStyle w:val="ECHRPara"/>
        </w:rPr>
        <w:t xml:space="preserve">а </w:t>
      </w:r>
      <w:r>
        <w:rPr>
          <w:rStyle w:val="ECHRPara"/>
        </w:rPr>
        <w:t>съдилищата по правило присъждат като обезщетение за вреди доказано</w:t>
      </w:r>
      <w:r w:rsidR="00074BC2">
        <w:rPr>
          <w:rStyle w:val="ECHRPara"/>
        </w:rPr>
        <w:t>то за</w:t>
      </w:r>
      <w:r>
        <w:rPr>
          <w:rStyle w:val="ECHRPara"/>
        </w:rPr>
        <w:t xml:space="preserve"> </w:t>
      </w:r>
      <w:r>
        <w:rPr>
          <w:rStyle w:val="ECHRPara"/>
          <w:cs/>
        </w:rPr>
        <w:t>“</w:t>
      </w:r>
      <w:r>
        <w:rPr>
          <w:rStyle w:val="ECHRPara"/>
        </w:rPr>
        <w:t>пазарен наем</w:t>
      </w:r>
      <w:r>
        <w:rPr>
          <w:rStyle w:val="ECHRPara"/>
          <w:cs/>
        </w:rPr>
        <w:t xml:space="preserve">” </w:t>
      </w:r>
      <w:r>
        <w:rPr>
          <w:rStyle w:val="ECHRPara"/>
        </w:rPr>
        <w:t xml:space="preserve">за имуществото за разглеждания период (наред с много други, </w:t>
      </w:r>
      <w:r>
        <w:rPr>
          <w:rStyle w:val="ECHRPara"/>
          <w:i/>
        </w:rPr>
        <w:t xml:space="preserve">Решение </w:t>
      </w:r>
      <w:r>
        <w:rPr>
          <w:rStyle w:val="ECHRPara"/>
          <w:i/>
          <w:cs/>
        </w:rPr>
        <w:t xml:space="preserve">№ </w:t>
      </w:r>
      <w:r>
        <w:rPr>
          <w:rStyle w:val="ECHRPara"/>
          <w:i/>
        </w:rPr>
        <w:t xml:space="preserve">1415 от 23.VIII.1995 г. по гр. д. </w:t>
      </w:r>
      <w:r>
        <w:rPr>
          <w:rStyle w:val="ECHRPara"/>
          <w:i/>
          <w:cs/>
        </w:rPr>
        <w:t xml:space="preserve">№ </w:t>
      </w:r>
      <w:r>
        <w:rPr>
          <w:rStyle w:val="ECHRPara"/>
          <w:i/>
        </w:rPr>
        <w:t>1519/95 г., IV г. о.</w:t>
      </w:r>
      <w:r>
        <w:rPr>
          <w:rStyle w:val="ECHRPara"/>
        </w:rPr>
        <w:t xml:space="preserve">; </w:t>
      </w:r>
      <w:r>
        <w:rPr>
          <w:rStyle w:val="ECHRPara"/>
          <w:i/>
        </w:rPr>
        <w:t xml:space="preserve">Решение </w:t>
      </w:r>
      <w:r>
        <w:rPr>
          <w:rStyle w:val="ECHRPara"/>
          <w:i/>
          <w:cs/>
        </w:rPr>
        <w:t xml:space="preserve">№ </w:t>
      </w:r>
      <w:r>
        <w:rPr>
          <w:rStyle w:val="ECHRPara"/>
          <w:i/>
        </w:rPr>
        <w:t xml:space="preserve">1937 от 24.XI.1995 г. по гр. д. </w:t>
      </w:r>
      <w:r>
        <w:rPr>
          <w:rStyle w:val="ECHRPara"/>
          <w:i/>
          <w:cs/>
        </w:rPr>
        <w:t xml:space="preserve">№ </w:t>
      </w:r>
      <w:r>
        <w:rPr>
          <w:rStyle w:val="ECHRPara"/>
          <w:i/>
        </w:rPr>
        <w:t>2368/94 г., IV г. о.</w:t>
      </w:r>
      <w:r>
        <w:rPr>
          <w:rStyle w:val="ECHRPara"/>
        </w:rPr>
        <w:t xml:space="preserve">; </w:t>
      </w:r>
      <w:r>
        <w:rPr>
          <w:rStyle w:val="ECHRPara"/>
          <w:i/>
        </w:rPr>
        <w:t xml:space="preserve">Решение </w:t>
      </w:r>
      <w:r>
        <w:rPr>
          <w:rStyle w:val="ECHRPara"/>
          <w:i/>
          <w:cs/>
        </w:rPr>
        <w:t xml:space="preserve">№ </w:t>
      </w:r>
      <w:r>
        <w:rPr>
          <w:rStyle w:val="ECHRPara"/>
          <w:i/>
        </w:rPr>
        <w:t xml:space="preserve">4 от 23.01.2009 г. на ВКС по гр. д. </w:t>
      </w:r>
      <w:r>
        <w:rPr>
          <w:rStyle w:val="ECHRPara"/>
          <w:i/>
          <w:cs/>
        </w:rPr>
        <w:t xml:space="preserve">№ </w:t>
      </w:r>
      <w:r>
        <w:rPr>
          <w:rStyle w:val="ECHRPara"/>
          <w:i/>
        </w:rPr>
        <w:t>5382/2007 г., II г. о.</w:t>
      </w:r>
      <w:r>
        <w:rPr>
          <w:rStyle w:val="ECHRPara"/>
        </w:rPr>
        <w:t xml:space="preserve">; </w:t>
      </w:r>
      <w:r>
        <w:rPr>
          <w:rStyle w:val="ECHRPara"/>
          <w:i/>
        </w:rPr>
        <w:t xml:space="preserve">Решение </w:t>
      </w:r>
      <w:r>
        <w:rPr>
          <w:rStyle w:val="ECHRPara"/>
          <w:i/>
          <w:cs/>
        </w:rPr>
        <w:t xml:space="preserve">№ </w:t>
      </w:r>
      <w:r>
        <w:rPr>
          <w:rStyle w:val="ECHRPara"/>
          <w:i/>
        </w:rPr>
        <w:t>90 от 8.07.2009 г. на ВКС по т. д. 3/2009 г., I г. о., ГК</w:t>
      </w:r>
      <w:r>
        <w:rPr>
          <w:rStyle w:val="ECHRPara"/>
        </w:rPr>
        <w:t xml:space="preserve">; и </w:t>
      </w:r>
      <w:r>
        <w:rPr>
          <w:rStyle w:val="ECHRPara"/>
          <w:i/>
        </w:rPr>
        <w:t xml:space="preserve">Решение </w:t>
      </w:r>
      <w:r>
        <w:rPr>
          <w:rStyle w:val="ECHRPara"/>
          <w:i/>
          <w:cs/>
        </w:rPr>
        <w:t xml:space="preserve">№ </w:t>
      </w:r>
      <w:r>
        <w:rPr>
          <w:rStyle w:val="ECHRPara"/>
          <w:i/>
        </w:rPr>
        <w:t xml:space="preserve">122 от 9.07.2014 г. на ВКС по гр. д. </w:t>
      </w:r>
      <w:r>
        <w:rPr>
          <w:rStyle w:val="ECHRPara"/>
          <w:i/>
          <w:cs/>
        </w:rPr>
        <w:t xml:space="preserve">№ </w:t>
      </w:r>
      <w:r>
        <w:rPr>
          <w:rStyle w:val="ECHRPara"/>
          <w:i/>
        </w:rPr>
        <w:t>1472/2011 г., IV г. о.</w:t>
      </w:r>
      <w:r>
        <w:rPr>
          <w:rStyle w:val="ECHRPara"/>
        </w:rPr>
        <w:t>).</w:t>
      </w:r>
    </w:p>
    <w:p w:rsidR="00E8284C" w:rsidRPr="000B7252" w:rsidRDefault="00E8284C" w:rsidP="00E8284C">
      <w:pPr>
        <w:pStyle w:val="ECHRTitle1"/>
      </w:pPr>
      <w:r>
        <w:rPr>
          <w:rStyle w:val="ECHRTitle1"/>
        </w:rPr>
        <w:t>ОПЛАКВАНИЯ</w:t>
      </w:r>
    </w:p>
    <w:p w:rsidR="00E8284C" w:rsidRPr="000B7252" w:rsidRDefault="00E8284C" w:rsidP="00E8284C">
      <w:pPr>
        <w:pStyle w:val="ECHRPara"/>
      </w:pPr>
      <w:r>
        <w:rPr>
          <w:rStyle w:val="ECHRPara"/>
        </w:rPr>
        <w:t xml:space="preserve">20.  Жалбоподателите се оплакват по чл. 6 § 1 от Конвенцията, че при приемането за разглеждане на иска на </w:t>
      </w:r>
      <w:r w:rsidR="00074BC2">
        <w:rPr>
          <w:rStyle w:val="ECHRPara"/>
        </w:rPr>
        <w:t>„</w:t>
      </w:r>
      <w:r>
        <w:rPr>
          <w:rStyle w:val="ECHRPara"/>
        </w:rPr>
        <w:t>Ню Бояна Филм</w:t>
      </w:r>
      <w:r w:rsidR="00074BC2">
        <w:rPr>
          <w:rStyle w:val="ECHRPara"/>
        </w:rPr>
        <w:t>“</w:t>
      </w:r>
      <w:r>
        <w:rPr>
          <w:rStyle w:val="ECHRPara"/>
        </w:rPr>
        <w:t xml:space="preserve"> АД за собствеността на спорния имот, описан в параграф 11 по-горе, националните съдилища са действали в нарушение на принципа на правна сигурност и зачитане на </w:t>
      </w:r>
      <w:r w:rsidR="00DA622F">
        <w:rPr>
          <w:rStyle w:val="ECHRPara"/>
        </w:rPr>
        <w:t xml:space="preserve">- силата на </w:t>
      </w:r>
      <w:proofErr w:type="spellStart"/>
      <w:r w:rsidR="00DA622F">
        <w:rPr>
          <w:rStyle w:val="ECHRPara"/>
        </w:rPr>
        <w:t>пресъдено</w:t>
      </w:r>
      <w:proofErr w:type="spellEnd"/>
      <w:r w:rsidR="00DA622F">
        <w:rPr>
          <w:rStyle w:val="ECHRPara"/>
        </w:rPr>
        <w:t xml:space="preserve"> нещо</w:t>
      </w:r>
      <w:r>
        <w:rPr>
          <w:rStyle w:val="ECHRPara"/>
        </w:rPr>
        <w:t xml:space="preserve"> на окончателни съдебни решения.</w:t>
      </w:r>
    </w:p>
    <w:p w:rsidR="00E8284C" w:rsidRPr="000B7252" w:rsidRDefault="00E8284C" w:rsidP="00E8284C">
      <w:pPr>
        <w:pStyle w:val="ECHRPara"/>
      </w:pPr>
      <w:r>
        <w:rPr>
          <w:rStyle w:val="ECHRPara"/>
        </w:rPr>
        <w:t xml:space="preserve">21.  Те също се оплакват, </w:t>
      </w:r>
      <w:r w:rsidR="00074BC2">
        <w:rPr>
          <w:rStyle w:val="ECHRPara"/>
        </w:rPr>
        <w:t xml:space="preserve">като се </w:t>
      </w:r>
      <w:r>
        <w:rPr>
          <w:rStyle w:val="ECHRPara"/>
        </w:rPr>
        <w:t>позовава</w:t>
      </w:r>
      <w:r w:rsidR="00074BC2">
        <w:rPr>
          <w:rStyle w:val="ECHRPara"/>
        </w:rPr>
        <w:t>т</w:t>
      </w:r>
      <w:r>
        <w:rPr>
          <w:rStyle w:val="ECHRPara"/>
        </w:rPr>
        <w:t xml:space="preserve"> на чл. 6 § 1 и чл. 13 от Конвенцията и чл. 1 от Протокол </w:t>
      </w:r>
      <w:r>
        <w:rPr>
          <w:rStyle w:val="ECHRPara"/>
          <w:cs/>
        </w:rPr>
        <w:t xml:space="preserve">№ </w:t>
      </w:r>
      <w:r>
        <w:rPr>
          <w:rStyle w:val="ECHRPara"/>
        </w:rPr>
        <w:t xml:space="preserve">1, че не са </w:t>
      </w:r>
      <w:r w:rsidR="00E43C8C">
        <w:rPr>
          <w:rStyle w:val="ECHRPara"/>
        </w:rPr>
        <w:t>могли</w:t>
      </w:r>
      <w:r>
        <w:rPr>
          <w:rStyle w:val="ECHRPara"/>
        </w:rPr>
        <w:t xml:space="preserve"> да влязат във владение на своя парцел в съответствие с решението на съда от 14 октомври 1998 г. и са били поставени в ситуация на продължителна несигурност по отношение на техните права на собственост.</w:t>
      </w:r>
    </w:p>
    <w:p w:rsidR="00E8284C" w:rsidRPr="000B7252" w:rsidRDefault="00E43C8C" w:rsidP="00E8284C">
      <w:pPr>
        <w:pStyle w:val="ECHRTitle1"/>
      </w:pPr>
      <w:r>
        <w:rPr>
          <w:rStyle w:val="ECHRTitle1"/>
        </w:rPr>
        <w:t>ПРАВОТО</w:t>
      </w:r>
    </w:p>
    <w:p w:rsidR="00E8284C" w:rsidRPr="000B7252" w:rsidRDefault="00E8284C" w:rsidP="00E8284C">
      <w:pPr>
        <w:pStyle w:val="ECHRHeading2"/>
      </w:pPr>
      <w:r>
        <w:rPr>
          <w:rStyle w:val="ECHRHeading2"/>
        </w:rPr>
        <w:t>I. Предварителен въпрос</w:t>
      </w:r>
    </w:p>
    <w:p w:rsidR="00E8284C" w:rsidRPr="000B7252" w:rsidRDefault="00E8284C" w:rsidP="00E8284C">
      <w:pPr>
        <w:pStyle w:val="ECHRPara"/>
      </w:pPr>
      <w:r>
        <w:rPr>
          <w:rStyle w:val="ECHRPara"/>
        </w:rPr>
        <w:t>22.  </w:t>
      </w:r>
      <w:r w:rsidR="00647993">
        <w:rPr>
          <w:rStyle w:val="ECHRPara"/>
        </w:rPr>
        <w:t>Една от жалбоподателите</w:t>
      </w:r>
      <w:r>
        <w:rPr>
          <w:rStyle w:val="ECHRPara"/>
        </w:rPr>
        <w:t xml:space="preserve">, г-жа Величка Петрова Стоянова, </w:t>
      </w:r>
      <w:r w:rsidR="00E43C8C">
        <w:rPr>
          <w:rStyle w:val="ECHRPara"/>
        </w:rPr>
        <w:t xml:space="preserve">почива </w:t>
      </w:r>
      <w:r>
        <w:rPr>
          <w:rStyle w:val="ECHRPara"/>
        </w:rPr>
        <w:t>през 2010 г., и нейните наследници г-жа Бойка Бориславова Ангелова и Петър Бориславов Тодоров</w:t>
      </w:r>
      <w:r w:rsidR="00E43C8C">
        <w:rPr>
          <w:rStyle w:val="ECHRPara"/>
        </w:rPr>
        <w:t>,</w:t>
      </w:r>
      <w:r>
        <w:rPr>
          <w:rStyle w:val="ECHRPara"/>
        </w:rPr>
        <w:t xml:space="preserve"> изразяват желание да </w:t>
      </w:r>
      <w:r w:rsidR="00E43C8C">
        <w:rPr>
          <w:rStyle w:val="ECHRPara"/>
        </w:rPr>
        <w:t xml:space="preserve">поддържат </w:t>
      </w:r>
      <w:r>
        <w:rPr>
          <w:rStyle w:val="ECHRPara"/>
        </w:rPr>
        <w:t xml:space="preserve">жалбата </w:t>
      </w:r>
      <w:r w:rsidR="00E43C8C">
        <w:rPr>
          <w:rStyle w:val="ECHRPara"/>
        </w:rPr>
        <w:t>от нейно име</w:t>
      </w:r>
      <w:r>
        <w:rPr>
          <w:rStyle w:val="ECHRPara"/>
        </w:rPr>
        <w:t xml:space="preserve"> (вж. параграф 1 по-горе и приложението). Не се оспорва, че те имат право да </w:t>
      </w:r>
      <w:r w:rsidR="00E43C8C">
        <w:rPr>
          <w:rStyle w:val="ECHRPara"/>
        </w:rPr>
        <w:t xml:space="preserve">го </w:t>
      </w:r>
      <w:r>
        <w:rPr>
          <w:rStyle w:val="ECHRPara"/>
        </w:rPr>
        <w:t xml:space="preserve">направят и Съдът не вижда причина да приеме друго (вж., наред с други, </w:t>
      </w:r>
      <w:proofErr w:type="spellStart"/>
      <w:r>
        <w:rPr>
          <w:rStyle w:val="ECHRPara"/>
          <w:i/>
        </w:rPr>
        <w:t>Streltsov</w:t>
      </w:r>
      <w:proofErr w:type="spellEnd"/>
      <w:r>
        <w:rPr>
          <w:rStyle w:val="ECHRPara"/>
          <w:i/>
        </w:rPr>
        <w:t xml:space="preserve"> and </w:t>
      </w:r>
      <w:proofErr w:type="spellStart"/>
      <w:r>
        <w:rPr>
          <w:rStyle w:val="ECHRPara"/>
          <w:i/>
        </w:rPr>
        <w:t>other</w:t>
      </w:r>
      <w:proofErr w:type="spellEnd"/>
      <w:r>
        <w:rPr>
          <w:rStyle w:val="ECHRPara"/>
          <w:i/>
        </w:rPr>
        <w:t xml:space="preserve"> </w:t>
      </w:r>
      <w:r>
        <w:rPr>
          <w:rStyle w:val="ECHRPara"/>
          <w:i/>
          <w:cs/>
        </w:rPr>
        <w:t>“</w:t>
      </w:r>
      <w:proofErr w:type="spellStart"/>
      <w:r>
        <w:rPr>
          <w:rStyle w:val="ECHRPara"/>
          <w:i/>
        </w:rPr>
        <w:t>Novocherkassk</w:t>
      </w:r>
      <w:proofErr w:type="spellEnd"/>
      <w:r>
        <w:rPr>
          <w:rStyle w:val="ECHRPara"/>
          <w:i/>
        </w:rPr>
        <w:t xml:space="preserve"> </w:t>
      </w:r>
      <w:proofErr w:type="spellStart"/>
      <w:r>
        <w:rPr>
          <w:rStyle w:val="ECHRPara"/>
          <w:i/>
        </w:rPr>
        <w:t>military</w:t>
      </w:r>
      <w:proofErr w:type="spellEnd"/>
      <w:r>
        <w:rPr>
          <w:rStyle w:val="ECHRPara"/>
          <w:i/>
        </w:rPr>
        <w:t xml:space="preserve"> </w:t>
      </w:r>
      <w:proofErr w:type="spellStart"/>
      <w:r>
        <w:rPr>
          <w:rStyle w:val="ECHRPara"/>
          <w:i/>
        </w:rPr>
        <w:t>pensioners</w:t>
      </w:r>
      <w:proofErr w:type="spellEnd"/>
      <w:r>
        <w:rPr>
          <w:rStyle w:val="ECHRPara"/>
          <w:i/>
          <w:cs/>
        </w:rPr>
        <w:t xml:space="preserve">” </w:t>
      </w:r>
      <w:r>
        <w:rPr>
          <w:rStyle w:val="ECHRPara"/>
          <w:i/>
        </w:rPr>
        <w:t xml:space="preserve">cases v. </w:t>
      </w:r>
      <w:proofErr w:type="spellStart"/>
      <w:r>
        <w:rPr>
          <w:rStyle w:val="ECHRPara"/>
          <w:i/>
        </w:rPr>
        <w:t>Russia</w:t>
      </w:r>
      <w:proofErr w:type="spellEnd"/>
      <w:r>
        <w:rPr>
          <w:rStyle w:val="ECHRPara"/>
        </w:rPr>
        <w:t xml:space="preserve">, </w:t>
      </w:r>
      <w:r>
        <w:rPr>
          <w:rStyle w:val="ECHRPara"/>
          <w:cs/>
        </w:rPr>
        <w:t xml:space="preserve">№ </w:t>
      </w:r>
      <w:r>
        <w:rPr>
          <w:rStyle w:val="ECHRPara"/>
        </w:rPr>
        <w:t xml:space="preserve">8549/06 </w:t>
      </w:r>
      <w:r w:rsidR="00100DE2">
        <w:rPr>
          <w:rStyle w:val="ECHRPara"/>
        </w:rPr>
        <w:t>и др.</w:t>
      </w:r>
      <w:r>
        <w:rPr>
          <w:rStyle w:val="ECHRPara"/>
        </w:rPr>
        <w:t>, § 36, 29 юли 2010 г.).</w:t>
      </w:r>
    </w:p>
    <w:p w:rsidR="00E8284C" w:rsidRPr="000B7252" w:rsidRDefault="00E8284C" w:rsidP="00E8284C">
      <w:pPr>
        <w:pStyle w:val="ECHRHeading2"/>
      </w:pPr>
      <w:r>
        <w:rPr>
          <w:rStyle w:val="ECHRHeading2"/>
        </w:rPr>
        <w:t xml:space="preserve">Б. Оплаквания по чл. 6 § 1 от Конвенцията и чл. 1 от Протокол </w:t>
      </w:r>
      <w:r>
        <w:rPr>
          <w:rStyle w:val="ECHRHeading2"/>
          <w:cs/>
        </w:rPr>
        <w:t xml:space="preserve">№ </w:t>
      </w:r>
      <w:r>
        <w:rPr>
          <w:rStyle w:val="ECHRHeading2"/>
        </w:rPr>
        <w:t>1</w:t>
      </w:r>
    </w:p>
    <w:p w:rsidR="00E8284C" w:rsidRPr="000B7252" w:rsidRDefault="00E8284C" w:rsidP="00E8284C">
      <w:pPr>
        <w:pStyle w:val="ECHRPara"/>
      </w:pPr>
      <w:r>
        <w:rPr>
          <w:rStyle w:val="ECHRPara"/>
        </w:rPr>
        <w:t xml:space="preserve">23.  Жалбоподателите повдигат оплаквания по чл. 6 § 1 и чл. 13 от Конвенцията и чл. 1 от Протокол </w:t>
      </w:r>
      <w:r>
        <w:rPr>
          <w:rStyle w:val="ECHRPara"/>
          <w:cs/>
        </w:rPr>
        <w:t xml:space="preserve">№ </w:t>
      </w:r>
      <w:r>
        <w:rPr>
          <w:rStyle w:val="ECHRPara"/>
        </w:rPr>
        <w:t xml:space="preserve">1 (вж. параграфи 20-21 по-горе). Съдът </w:t>
      </w:r>
      <w:r w:rsidR="00100DE2">
        <w:rPr>
          <w:rStyle w:val="ECHRPara"/>
        </w:rPr>
        <w:t>счита</w:t>
      </w:r>
      <w:r>
        <w:rPr>
          <w:rStyle w:val="ECHRPara"/>
        </w:rPr>
        <w:t xml:space="preserve">, че е достатъчно да разгледа оплакванията по чл. 6 § 1 и чл. 1 от Протокол </w:t>
      </w:r>
      <w:r>
        <w:rPr>
          <w:rStyle w:val="ECHRPara"/>
          <w:cs/>
        </w:rPr>
        <w:t xml:space="preserve">№ </w:t>
      </w:r>
      <w:r>
        <w:rPr>
          <w:rStyle w:val="ECHRPara"/>
        </w:rPr>
        <w:t>1.</w:t>
      </w:r>
    </w:p>
    <w:p w:rsidR="00E8284C" w:rsidRPr="000B7252" w:rsidRDefault="00E8284C" w:rsidP="00E8284C">
      <w:pPr>
        <w:pStyle w:val="ECHRPara"/>
      </w:pPr>
      <w:r>
        <w:rPr>
          <w:rStyle w:val="ECHRPara"/>
        </w:rPr>
        <w:t>Чл</w:t>
      </w:r>
      <w:r w:rsidR="00100DE2">
        <w:rPr>
          <w:rStyle w:val="ECHRPara"/>
        </w:rPr>
        <w:t>.</w:t>
      </w:r>
      <w:r>
        <w:rPr>
          <w:rStyle w:val="ECHRPara"/>
        </w:rPr>
        <w:t xml:space="preserve"> 6 § 1 от Конвенцията в </w:t>
      </w:r>
      <w:r w:rsidR="00100DE2">
        <w:rPr>
          <w:rStyle w:val="ECHRPara"/>
        </w:rPr>
        <w:t xml:space="preserve">приложимите </w:t>
      </w:r>
      <w:r>
        <w:rPr>
          <w:rStyle w:val="ECHRPara"/>
        </w:rPr>
        <w:t>си части гласи:</w:t>
      </w:r>
    </w:p>
    <w:p w:rsidR="00E8284C" w:rsidRPr="000B7252" w:rsidRDefault="00E8284C" w:rsidP="00E8284C">
      <w:pPr>
        <w:pStyle w:val="ECHRParaQuote"/>
      </w:pPr>
      <w:r>
        <w:rPr>
          <w:rStyle w:val="ECHRParaQuote"/>
        </w:rPr>
        <w:t>"Всяко лице, при решаването на правен спор относно неговите граждански права и задължения..., има право на справедливо ... гледане ... от ... съд ..."</w:t>
      </w:r>
    </w:p>
    <w:p w:rsidR="00E8284C" w:rsidRPr="000B7252" w:rsidRDefault="00E8284C" w:rsidP="00E8284C">
      <w:pPr>
        <w:pStyle w:val="ECHRPara"/>
      </w:pPr>
      <w:r>
        <w:rPr>
          <w:rStyle w:val="ECHRPara"/>
        </w:rPr>
        <w:t xml:space="preserve">Чл. 1 от Протокол </w:t>
      </w:r>
      <w:r>
        <w:rPr>
          <w:rStyle w:val="ECHRPara"/>
          <w:cs/>
        </w:rPr>
        <w:t xml:space="preserve">№ </w:t>
      </w:r>
      <w:r>
        <w:rPr>
          <w:rStyle w:val="ECHRPara"/>
        </w:rPr>
        <w:t>1 гласи:</w:t>
      </w:r>
    </w:p>
    <w:p w:rsidR="00E8284C" w:rsidRPr="000B7252" w:rsidRDefault="00E8284C" w:rsidP="00E8284C">
      <w:pPr>
        <w:pStyle w:val="ECHRParaQuote"/>
      </w:pPr>
      <w:r>
        <w:rPr>
          <w:rStyle w:val="ECHRParaQuote"/>
        </w:rPr>
        <w:t>"</w:t>
      </w:r>
      <w:proofErr w:type="spellStart"/>
      <w:r>
        <w:rPr>
          <w:rStyle w:val="ECHRParaQuote"/>
        </w:rPr>
        <w:t>Βсяко</w:t>
      </w:r>
      <w:proofErr w:type="spellEnd"/>
      <w:r>
        <w:rPr>
          <w:rStyle w:val="ECHRParaQuote"/>
        </w:rPr>
        <w:t xml:space="preserve"> физическо или юридическо лице има право мирно да се ползва от своите притежания. Никой не може да бъде лишен от своите притежания освен в интерес на обществото и съгласно условията, предвидени в закона и в общите принципи на международното право.</w:t>
      </w:r>
    </w:p>
    <w:p w:rsidR="00E8284C" w:rsidRPr="000B7252" w:rsidRDefault="00E8284C" w:rsidP="00E8284C">
      <w:pPr>
        <w:pStyle w:val="ECHRParaQuote"/>
      </w:pPr>
      <w:r>
        <w:rPr>
          <w:rStyle w:val="ECHRParaQuote"/>
        </w:rPr>
        <w:t>Предходните разпоредби не накърняват по никакъв начин правото на държавите да въвеждат такива закони, каквито сметнат за необходими за осъществяването на контрол върху ползването на притежанията в съответствие с общия интерес или за осигуряване на плащането на данъци или други постъпления или глоби."</w:t>
      </w:r>
    </w:p>
    <w:p w:rsidR="00E8284C" w:rsidRPr="000B7252" w:rsidRDefault="00E8284C" w:rsidP="00E8284C">
      <w:pPr>
        <w:pStyle w:val="ECHRHeading3"/>
      </w:pPr>
      <w:r>
        <w:rPr>
          <w:rStyle w:val="ECHRHeading3"/>
        </w:rPr>
        <w:t>1.  Аргументи на страните</w:t>
      </w:r>
    </w:p>
    <w:p w:rsidR="00E8284C" w:rsidRPr="000B7252" w:rsidRDefault="00E8284C" w:rsidP="00E8284C">
      <w:pPr>
        <w:pStyle w:val="ECHRPara"/>
      </w:pPr>
      <w:r>
        <w:rPr>
          <w:rStyle w:val="ECHRPara"/>
        </w:rPr>
        <w:t>24.  Правителството оспорва оплакванията като посочва, че в съдебното производство</w:t>
      </w:r>
      <w:r w:rsidR="00C97870">
        <w:rPr>
          <w:rStyle w:val="ECHRPara"/>
        </w:rPr>
        <w:t>,</w:t>
      </w:r>
      <w:r>
        <w:rPr>
          <w:rStyle w:val="ECHRPara"/>
        </w:rPr>
        <w:t xml:space="preserve"> след решението от 14 октомври 1998 г., националните съдилища надлежно </w:t>
      </w:r>
      <w:r w:rsidR="00C97870">
        <w:rPr>
          <w:rStyle w:val="ECHRPara"/>
        </w:rPr>
        <w:t>взимат</w:t>
      </w:r>
      <w:r>
        <w:rPr>
          <w:rStyle w:val="ECHRPara"/>
        </w:rPr>
        <w:t xml:space="preserve"> под внимание това решение и неговата задължителна сила за страните и не поставя</w:t>
      </w:r>
      <w:r w:rsidR="00C97870">
        <w:rPr>
          <w:rStyle w:val="ECHRPara"/>
        </w:rPr>
        <w:t>т</w:t>
      </w:r>
      <w:r>
        <w:rPr>
          <w:rStyle w:val="ECHRPara"/>
        </w:rPr>
        <w:t xml:space="preserve"> под въпрос неговата стабилност и окончателност. Правителството </w:t>
      </w:r>
      <w:r w:rsidR="00EA7920">
        <w:rPr>
          <w:rStyle w:val="ECHRPara"/>
        </w:rPr>
        <w:t>счита</w:t>
      </w:r>
      <w:r>
        <w:rPr>
          <w:rStyle w:val="ECHRPara"/>
        </w:rPr>
        <w:t xml:space="preserve">, че нито едно от съдебните производства, </w:t>
      </w:r>
      <w:r w:rsidR="00EA7920">
        <w:rPr>
          <w:rStyle w:val="ECHRPara"/>
        </w:rPr>
        <w:t xml:space="preserve">образувани </w:t>
      </w:r>
      <w:r>
        <w:rPr>
          <w:rStyle w:val="ECHRPara"/>
        </w:rPr>
        <w:t xml:space="preserve">след решението от 14 октомври 1998 г., не е попречило ефективно на жалбоподателите да ползват своите притежания, и твърди, че държавата не може да бъде държана отговорна за отказа на </w:t>
      </w:r>
      <w:r w:rsidR="00EA7920">
        <w:rPr>
          <w:rStyle w:val="ECHRPara"/>
        </w:rPr>
        <w:t>„</w:t>
      </w:r>
      <w:r>
        <w:rPr>
          <w:rStyle w:val="ECHRPara"/>
        </w:rPr>
        <w:t>Бояна Филм</w:t>
      </w:r>
      <w:r w:rsidR="00EA7920">
        <w:rPr>
          <w:rStyle w:val="ECHRPara"/>
        </w:rPr>
        <w:t>“</w:t>
      </w:r>
      <w:r>
        <w:rPr>
          <w:rStyle w:val="ECHRPara"/>
        </w:rPr>
        <w:t xml:space="preserve"> ЕАД, по-късно </w:t>
      </w:r>
      <w:r w:rsidR="00EA7920">
        <w:rPr>
          <w:rStyle w:val="ECHRPara"/>
        </w:rPr>
        <w:t>„</w:t>
      </w:r>
      <w:r>
        <w:rPr>
          <w:rStyle w:val="ECHRPara"/>
        </w:rPr>
        <w:t>Ню Бояна Филм</w:t>
      </w:r>
      <w:r w:rsidR="00EA7920">
        <w:rPr>
          <w:rStyle w:val="ECHRPara"/>
        </w:rPr>
        <w:t>“</w:t>
      </w:r>
      <w:r>
        <w:rPr>
          <w:rStyle w:val="ECHRPara"/>
        </w:rPr>
        <w:t xml:space="preserve"> АД, да приеме решението и неговата задължителна сила. Правителството също посочва, че държавата е създала ефективна правна рамка, </w:t>
      </w:r>
      <w:r w:rsidR="004C7971">
        <w:rPr>
          <w:rStyle w:val="ECHRPara"/>
        </w:rPr>
        <w:t>целяща да</w:t>
      </w:r>
      <w:r>
        <w:rPr>
          <w:rStyle w:val="ECHRPara"/>
        </w:rPr>
        <w:t xml:space="preserve"> гарантира правото на собственост, която жалбоподателите не са използвали адекватно, по-конкретно защото не са потърсили наказателно преследването на лицата, отговорни за извършването на </w:t>
      </w:r>
      <w:r w:rsidR="00892C7E">
        <w:rPr>
          <w:rStyle w:val="ECHRPara"/>
        </w:rPr>
        <w:t>деяние</w:t>
      </w:r>
      <w:r w:rsidR="009D6588">
        <w:rPr>
          <w:rStyle w:val="ECHRPara"/>
        </w:rPr>
        <w:t>, наказуемо</w:t>
      </w:r>
      <w:r w:rsidR="00892C7E">
        <w:rPr>
          <w:rStyle w:val="ECHRPara"/>
        </w:rPr>
        <w:t xml:space="preserve"> </w:t>
      </w:r>
      <w:r>
        <w:rPr>
          <w:rStyle w:val="ECHRPara"/>
        </w:rPr>
        <w:t>по чл. 323, ал. 2 от Наказателния кодекс, и не са предявили иск за обезщетение.</w:t>
      </w:r>
    </w:p>
    <w:p w:rsidR="00E8284C" w:rsidRPr="000B7252" w:rsidRDefault="00E8284C" w:rsidP="00E8284C">
      <w:pPr>
        <w:pStyle w:val="ECHRPara"/>
      </w:pPr>
      <w:r>
        <w:rPr>
          <w:rStyle w:val="ECHRPara"/>
        </w:rPr>
        <w:t xml:space="preserve">25.  Жалбоподателите не са съгласни и твърдят, че начинът, по който националните съдилища </w:t>
      </w:r>
      <w:r w:rsidR="002E5CCB">
        <w:rPr>
          <w:rStyle w:val="ECHRPara"/>
        </w:rPr>
        <w:t>са разгледали</w:t>
      </w:r>
      <w:r>
        <w:rPr>
          <w:rStyle w:val="ECHRPara"/>
        </w:rPr>
        <w:t xml:space="preserve"> производств</w:t>
      </w:r>
      <w:r w:rsidR="007965AD">
        <w:rPr>
          <w:rStyle w:val="ECHRPara"/>
        </w:rPr>
        <w:t>ата</w:t>
      </w:r>
      <w:r>
        <w:rPr>
          <w:rStyle w:val="ECHRPara"/>
        </w:rPr>
        <w:t xml:space="preserve">, </w:t>
      </w:r>
      <w:r w:rsidR="007965AD">
        <w:rPr>
          <w:rStyle w:val="ECHRPara"/>
        </w:rPr>
        <w:t xml:space="preserve">образувани </w:t>
      </w:r>
      <w:r>
        <w:rPr>
          <w:rStyle w:val="ECHRPara"/>
        </w:rPr>
        <w:t xml:space="preserve">от </w:t>
      </w:r>
      <w:r w:rsidR="007965AD">
        <w:rPr>
          <w:rStyle w:val="ECHRPara"/>
        </w:rPr>
        <w:t>„</w:t>
      </w:r>
      <w:r>
        <w:rPr>
          <w:rStyle w:val="ECHRPara"/>
        </w:rPr>
        <w:t>Бояна Филм</w:t>
      </w:r>
      <w:r w:rsidR="007965AD">
        <w:rPr>
          <w:rStyle w:val="ECHRPara"/>
        </w:rPr>
        <w:t>“</w:t>
      </w:r>
      <w:r>
        <w:rPr>
          <w:rStyle w:val="ECHRPara"/>
        </w:rPr>
        <w:t xml:space="preserve"> ЕАД означава, че на дружеството е било </w:t>
      </w:r>
      <w:r>
        <w:rPr>
          <w:rStyle w:val="ECHRPara"/>
          <w:cs/>
        </w:rPr>
        <w:t>“</w:t>
      </w:r>
      <w:r>
        <w:rPr>
          <w:rStyle w:val="ECHRPara"/>
        </w:rPr>
        <w:t>позволено</w:t>
      </w:r>
      <w:r>
        <w:rPr>
          <w:rStyle w:val="ECHRPara"/>
          <w:cs/>
        </w:rPr>
        <w:t xml:space="preserve">” </w:t>
      </w:r>
      <w:r>
        <w:rPr>
          <w:rStyle w:val="ECHRPara"/>
        </w:rPr>
        <w:t xml:space="preserve">да избегне изпълнението на решението от 14 октомври 1998 г. и системно да злоупотребява с правата си. Те </w:t>
      </w:r>
      <w:r w:rsidR="007965AD">
        <w:rPr>
          <w:rStyle w:val="ECHRPara"/>
        </w:rPr>
        <w:t>считат</w:t>
      </w:r>
      <w:r>
        <w:rPr>
          <w:rStyle w:val="ECHRPara"/>
        </w:rPr>
        <w:t xml:space="preserve">, </w:t>
      </w:r>
      <w:r w:rsidR="00393683">
        <w:rPr>
          <w:rStyle w:val="ECHRPara"/>
        </w:rPr>
        <w:t>изпълнителното производство</w:t>
      </w:r>
      <w:r>
        <w:rPr>
          <w:rStyle w:val="ECHRPara"/>
        </w:rPr>
        <w:t>, иницииран</w:t>
      </w:r>
      <w:r w:rsidR="00393683">
        <w:rPr>
          <w:rStyle w:val="ECHRPara"/>
        </w:rPr>
        <w:t>о</w:t>
      </w:r>
      <w:r>
        <w:rPr>
          <w:rStyle w:val="ECHRPara"/>
        </w:rPr>
        <w:t xml:space="preserve"> от тях след това решение (вж. параграф 9 по-горе), се ока</w:t>
      </w:r>
      <w:r w:rsidR="00393683">
        <w:rPr>
          <w:rStyle w:val="ECHRPara"/>
        </w:rPr>
        <w:t>зал</w:t>
      </w:r>
      <w:r w:rsidR="009D6588">
        <w:rPr>
          <w:rStyle w:val="ECHRPara"/>
        </w:rPr>
        <w:t>о</w:t>
      </w:r>
      <w:r>
        <w:rPr>
          <w:rStyle w:val="ECHRPara"/>
        </w:rPr>
        <w:t xml:space="preserve"> неефективн</w:t>
      </w:r>
      <w:r w:rsidR="009D6588">
        <w:rPr>
          <w:rStyle w:val="ECHRPara"/>
        </w:rPr>
        <w:t>о</w:t>
      </w:r>
      <w:r>
        <w:rPr>
          <w:rStyle w:val="ECHRPara"/>
        </w:rPr>
        <w:t xml:space="preserve"> и последващото производство е затруднило всеки опит от тяхна страна да използват парцела, тъй като се счита, че</w:t>
      </w:r>
      <w:r w:rsidR="00FE5F2A">
        <w:rPr>
          <w:rStyle w:val="ECHRPara"/>
        </w:rPr>
        <w:t xml:space="preserve"> </w:t>
      </w:r>
      <w:r>
        <w:rPr>
          <w:rStyle w:val="ECHRPara"/>
        </w:rPr>
        <w:t xml:space="preserve">е </w:t>
      </w:r>
      <w:r w:rsidR="00FE5F2A">
        <w:rPr>
          <w:rStyle w:val="ECHRPara"/>
        </w:rPr>
        <w:t>повдигна</w:t>
      </w:r>
      <w:r w:rsidR="009D6588">
        <w:rPr>
          <w:rStyle w:val="ECHRPara"/>
        </w:rPr>
        <w:t>т</w:t>
      </w:r>
      <w:r>
        <w:rPr>
          <w:rStyle w:val="ECHRPara"/>
        </w:rPr>
        <w:t xml:space="preserve"> </w:t>
      </w:r>
      <w:r>
        <w:rPr>
          <w:rStyle w:val="ECHRPara"/>
          <w:cs/>
        </w:rPr>
        <w:t>“</w:t>
      </w:r>
      <w:r>
        <w:rPr>
          <w:rStyle w:val="ECHRPara"/>
        </w:rPr>
        <w:t>спор</w:t>
      </w:r>
      <w:r>
        <w:rPr>
          <w:rStyle w:val="ECHRPara"/>
          <w:cs/>
        </w:rPr>
        <w:t xml:space="preserve">” </w:t>
      </w:r>
      <w:r>
        <w:rPr>
          <w:rStyle w:val="ECHRPara"/>
        </w:rPr>
        <w:t xml:space="preserve">по отношение на собствеността на парцела. Така жалбоподателите достигат до извода, че държавата не е изпълнила </w:t>
      </w:r>
      <w:r w:rsidR="00A9632A">
        <w:rPr>
          <w:rStyle w:val="ECHRPara"/>
        </w:rPr>
        <w:t xml:space="preserve">позитивните </w:t>
      </w:r>
      <w:r>
        <w:rPr>
          <w:rStyle w:val="ECHRPara"/>
        </w:rPr>
        <w:t xml:space="preserve">си задължения по чл. 1 от Протокол </w:t>
      </w:r>
      <w:r>
        <w:rPr>
          <w:rStyle w:val="ECHRPara"/>
          <w:cs/>
        </w:rPr>
        <w:t xml:space="preserve">№ </w:t>
      </w:r>
      <w:r>
        <w:rPr>
          <w:rStyle w:val="ECHRPara"/>
        </w:rPr>
        <w:t xml:space="preserve">1 да защити правото им на собственост, както е описано например в решенията на Съда по делата </w:t>
      </w:r>
      <w:proofErr w:type="spellStart"/>
      <w:r>
        <w:rPr>
          <w:rStyle w:val="ECHRPara"/>
          <w:i/>
        </w:rPr>
        <w:t>Kotov</w:t>
      </w:r>
      <w:proofErr w:type="spellEnd"/>
      <w:r>
        <w:rPr>
          <w:rStyle w:val="ECHRPara"/>
          <w:i/>
        </w:rPr>
        <w:t xml:space="preserve"> v. </w:t>
      </w:r>
      <w:proofErr w:type="spellStart"/>
      <w:r>
        <w:rPr>
          <w:rStyle w:val="ECHRPara"/>
          <w:i/>
        </w:rPr>
        <w:t>Russia</w:t>
      </w:r>
      <w:proofErr w:type="spellEnd"/>
      <w:r>
        <w:rPr>
          <w:rStyle w:val="ECHRPara"/>
        </w:rPr>
        <w:t xml:space="preserve"> [GC] (</w:t>
      </w:r>
      <w:r>
        <w:rPr>
          <w:rStyle w:val="ECHRPara"/>
          <w:cs/>
        </w:rPr>
        <w:t>№</w:t>
      </w:r>
      <w:r>
        <w:rPr>
          <w:rStyle w:val="ECHRPara"/>
        </w:rPr>
        <w:t xml:space="preserve"> 54522/00, § 3 април 2012 г.), и </w:t>
      </w:r>
      <w:proofErr w:type="spellStart"/>
      <w:r>
        <w:rPr>
          <w:rStyle w:val="ECHRPara"/>
          <w:i/>
        </w:rPr>
        <w:t>Ceni</w:t>
      </w:r>
      <w:proofErr w:type="spellEnd"/>
      <w:r>
        <w:rPr>
          <w:rStyle w:val="ECHRPara"/>
          <w:i/>
        </w:rPr>
        <w:t xml:space="preserve"> v. </w:t>
      </w:r>
      <w:proofErr w:type="spellStart"/>
      <w:r>
        <w:rPr>
          <w:rStyle w:val="ECHRPara"/>
          <w:i/>
        </w:rPr>
        <w:t>Italy</w:t>
      </w:r>
      <w:proofErr w:type="spellEnd"/>
      <w:r>
        <w:rPr>
          <w:rStyle w:val="ECHRPara"/>
        </w:rPr>
        <w:t xml:space="preserve"> (</w:t>
      </w:r>
      <w:r>
        <w:rPr>
          <w:rStyle w:val="ECHRPara"/>
          <w:cs/>
        </w:rPr>
        <w:t xml:space="preserve">№ </w:t>
      </w:r>
      <w:r>
        <w:rPr>
          <w:rStyle w:val="ECHRPara"/>
        </w:rPr>
        <w:t>25376/06, 4 февруари 2014 г.).</w:t>
      </w:r>
    </w:p>
    <w:p w:rsidR="00E8284C" w:rsidRPr="000B7252" w:rsidRDefault="00E8284C" w:rsidP="00E8284C">
      <w:pPr>
        <w:pStyle w:val="ECHRHeading3"/>
      </w:pPr>
      <w:r>
        <w:rPr>
          <w:rStyle w:val="ECHRHeading3"/>
        </w:rPr>
        <w:t>2.  Преценка</w:t>
      </w:r>
      <w:r w:rsidR="00883477">
        <w:rPr>
          <w:rStyle w:val="ECHRHeading3"/>
        </w:rPr>
        <w:t>та</w:t>
      </w:r>
      <w:r>
        <w:rPr>
          <w:rStyle w:val="ECHRHeading3"/>
        </w:rPr>
        <w:t xml:space="preserve"> на Съда</w:t>
      </w:r>
    </w:p>
    <w:p w:rsidR="00E8284C" w:rsidRPr="000B7252" w:rsidRDefault="00E8284C" w:rsidP="00E8284C">
      <w:pPr>
        <w:pStyle w:val="ECHRHeading4"/>
      </w:pPr>
      <w:r>
        <w:rPr>
          <w:rStyle w:val="ECHRHeading4"/>
        </w:rPr>
        <w:t xml:space="preserve">(а) Оплакване във връзка с </w:t>
      </w:r>
      <w:r w:rsidR="00566BBE">
        <w:rPr>
          <w:rStyle w:val="ECHRHeading4"/>
        </w:rPr>
        <w:t xml:space="preserve">действието </w:t>
      </w:r>
      <w:proofErr w:type="spellStart"/>
      <w:r>
        <w:rPr>
          <w:rStyle w:val="ECHRHeading4"/>
          <w:i/>
        </w:rPr>
        <w:t>res</w:t>
      </w:r>
      <w:proofErr w:type="spellEnd"/>
      <w:r>
        <w:rPr>
          <w:rStyle w:val="ECHRHeading4"/>
          <w:i/>
        </w:rPr>
        <w:t xml:space="preserve"> </w:t>
      </w:r>
      <w:proofErr w:type="spellStart"/>
      <w:r>
        <w:rPr>
          <w:rStyle w:val="ECHRHeading4"/>
          <w:i/>
        </w:rPr>
        <w:t>judicata</w:t>
      </w:r>
      <w:proofErr w:type="spellEnd"/>
      <w:r>
        <w:rPr>
          <w:rStyle w:val="ECHRHeading4"/>
        </w:rPr>
        <w:t xml:space="preserve"> на решението от 14 октомври 1998 г.</w:t>
      </w:r>
    </w:p>
    <w:p w:rsidR="00E8284C" w:rsidRPr="000B7252" w:rsidRDefault="00E8284C" w:rsidP="00E8284C">
      <w:pPr>
        <w:pStyle w:val="ECHRPara"/>
      </w:pPr>
      <w:r>
        <w:rPr>
          <w:rStyle w:val="ECHRPara"/>
        </w:rPr>
        <w:t xml:space="preserve">26.  Както Съдът заявява в предходни </w:t>
      </w:r>
      <w:r w:rsidR="00AB2FBF">
        <w:rPr>
          <w:rStyle w:val="ECHRPara"/>
        </w:rPr>
        <w:t>случаи</w:t>
      </w:r>
      <w:r>
        <w:rPr>
          <w:rStyle w:val="ECHRPara"/>
        </w:rPr>
        <w:t xml:space="preserve">, правото на справедлив процес по чл. 6 § 1 от Конвенцията, тълкувано в светлината на принципите </w:t>
      </w:r>
      <w:r w:rsidR="00AB2FBF">
        <w:rPr>
          <w:rStyle w:val="ECHRPara"/>
        </w:rPr>
        <w:t>з</w:t>
      </w:r>
      <w:r>
        <w:rPr>
          <w:rStyle w:val="ECHRPara"/>
        </w:rPr>
        <w:t xml:space="preserve">а върховенство на </w:t>
      </w:r>
      <w:r w:rsidR="00647993">
        <w:rPr>
          <w:rStyle w:val="ECHRPara"/>
        </w:rPr>
        <w:t xml:space="preserve">закона </w:t>
      </w:r>
      <w:r>
        <w:rPr>
          <w:rStyle w:val="ECHRPara"/>
        </w:rPr>
        <w:t>и правна сигурност, включва изискването когато съдилищата се произнес</w:t>
      </w:r>
      <w:r w:rsidR="00AB2FBF">
        <w:rPr>
          <w:rStyle w:val="ECHRPara"/>
        </w:rPr>
        <w:t>ат</w:t>
      </w:r>
      <w:r>
        <w:rPr>
          <w:rStyle w:val="ECHRPara"/>
        </w:rPr>
        <w:t xml:space="preserve"> окончателно по определен </w:t>
      </w:r>
      <w:r w:rsidR="00566BBE">
        <w:rPr>
          <w:rStyle w:val="ECHRPara"/>
        </w:rPr>
        <w:t>спор</w:t>
      </w:r>
      <w:r>
        <w:rPr>
          <w:rStyle w:val="ECHRPara"/>
        </w:rPr>
        <w:t xml:space="preserve">, тяхното решение да не се поставя под въпрос (вж. </w:t>
      </w:r>
      <w:proofErr w:type="spellStart"/>
      <w:r>
        <w:rPr>
          <w:rStyle w:val="ECHRPara"/>
          <w:i/>
        </w:rPr>
        <w:t>Brumarescu</w:t>
      </w:r>
      <w:proofErr w:type="spellEnd"/>
      <w:r>
        <w:rPr>
          <w:rStyle w:val="ECHRPara"/>
          <w:i/>
        </w:rPr>
        <w:t xml:space="preserve"> v. </w:t>
      </w:r>
      <w:proofErr w:type="spellStart"/>
      <w:r>
        <w:rPr>
          <w:rStyle w:val="ECHRPara"/>
          <w:i/>
        </w:rPr>
        <w:t>Romania</w:t>
      </w:r>
      <w:proofErr w:type="spellEnd"/>
      <w:r>
        <w:rPr>
          <w:rStyle w:val="ECHRPara"/>
        </w:rPr>
        <w:t xml:space="preserve"> [GC], </w:t>
      </w:r>
      <w:r>
        <w:rPr>
          <w:rStyle w:val="ECHRPara"/>
          <w:cs/>
        </w:rPr>
        <w:t xml:space="preserve">№ </w:t>
      </w:r>
      <w:r>
        <w:rPr>
          <w:rStyle w:val="ECHRPara"/>
        </w:rPr>
        <w:t xml:space="preserve">28342/95, § 61, ЕСПЧ 1999VII, и </w:t>
      </w:r>
      <w:r>
        <w:rPr>
          <w:rStyle w:val="ECHRPara"/>
          <w:i/>
        </w:rPr>
        <w:t>Кехая и други срещу България</w:t>
      </w:r>
      <w:r>
        <w:rPr>
          <w:rStyle w:val="ECHRPara"/>
        </w:rPr>
        <w:t xml:space="preserve">, </w:t>
      </w:r>
      <w:r>
        <w:rPr>
          <w:rStyle w:val="ECHRPara"/>
          <w:cs/>
        </w:rPr>
        <w:t>№</w:t>
      </w:r>
      <w:r>
        <w:rPr>
          <w:rStyle w:val="ECHRPara"/>
        </w:rPr>
        <w:t> 47797/99 и 68698/01, § 61, 12 януари 2006 г.).</w:t>
      </w:r>
    </w:p>
    <w:p w:rsidR="00E8284C" w:rsidRPr="000B7252" w:rsidRDefault="00E8284C" w:rsidP="00E8284C">
      <w:pPr>
        <w:pStyle w:val="ECHRPara"/>
      </w:pPr>
      <w:r>
        <w:rPr>
          <w:rStyle w:val="ECHRPara"/>
        </w:rPr>
        <w:t xml:space="preserve">27.  В конкретния случай </w:t>
      </w:r>
      <w:r w:rsidR="00AB2FBF">
        <w:rPr>
          <w:rStyle w:val="ECHRPara"/>
        </w:rPr>
        <w:t>„</w:t>
      </w:r>
      <w:r>
        <w:rPr>
          <w:rStyle w:val="ECHRPara"/>
        </w:rPr>
        <w:t>Ню Бояна Филм</w:t>
      </w:r>
      <w:r w:rsidR="00AB2FBF">
        <w:rPr>
          <w:rStyle w:val="ECHRPara"/>
        </w:rPr>
        <w:t>“</w:t>
      </w:r>
      <w:r>
        <w:rPr>
          <w:rStyle w:val="ECHRPara"/>
        </w:rPr>
        <w:t xml:space="preserve"> АД предявява иск</w:t>
      </w:r>
      <w:r w:rsidR="00A02FDA">
        <w:rPr>
          <w:rStyle w:val="ECHRPara"/>
        </w:rPr>
        <w:t>, с който</w:t>
      </w:r>
      <w:r>
        <w:rPr>
          <w:rStyle w:val="ECHRPara"/>
        </w:rPr>
        <w:t xml:space="preserve"> оспорва правата на собственост на жалбоподателите - въпрос, който вече </w:t>
      </w:r>
      <w:r w:rsidR="00A02FDA">
        <w:rPr>
          <w:rStyle w:val="ECHRPara"/>
        </w:rPr>
        <w:t xml:space="preserve">е </w:t>
      </w:r>
      <w:r w:rsidR="00D07A19">
        <w:rPr>
          <w:rStyle w:val="ECHRPara"/>
        </w:rPr>
        <w:t>раз</w:t>
      </w:r>
      <w:r w:rsidR="00A02FDA">
        <w:rPr>
          <w:rStyle w:val="ECHRPara"/>
        </w:rPr>
        <w:t xml:space="preserve">решен </w:t>
      </w:r>
      <w:r>
        <w:rPr>
          <w:rStyle w:val="ECHRPara"/>
        </w:rPr>
        <w:t>с</w:t>
      </w:r>
      <w:r w:rsidR="00D07A19">
        <w:rPr>
          <w:rStyle w:val="ECHRPara"/>
        </w:rPr>
        <w:t>ъс съдебното</w:t>
      </w:r>
      <w:r>
        <w:rPr>
          <w:rStyle w:val="ECHRPara"/>
        </w:rPr>
        <w:t xml:space="preserve"> решение от 14 октомври 1998 г. след производство между страните (вж. параграф 11 по-горе). Софийски</w:t>
      </w:r>
      <w:r w:rsidR="00D07A19">
        <w:rPr>
          <w:rStyle w:val="ECHRPara"/>
        </w:rPr>
        <w:t>ят</w:t>
      </w:r>
      <w:r>
        <w:rPr>
          <w:rStyle w:val="ECHRPara"/>
        </w:rPr>
        <w:t xml:space="preserve"> районен съд, който разглежда делото на първа инстанция, не събира доказателства по </w:t>
      </w:r>
      <w:r w:rsidR="000210A9">
        <w:rPr>
          <w:rStyle w:val="ECHRPara"/>
        </w:rPr>
        <w:t xml:space="preserve">съществото </w:t>
      </w:r>
      <w:r>
        <w:rPr>
          <w:rStyle w:val="ECHRPara"/>
        </w:rPr>
        <w:t xml:space="preserve">на иска на дружеството, а само се уверява въз основа на експертизи, че този иск се отнася до същия парцел. Неговите </w:t>
      </w:r>
      <w:r w:rsidR="000210A9">
        <w:rPr>
          <w:rStyle w:val="ECHRPara"/>
        </w:rPr>
        <w:t xml:space="preserve">констатации </w:t>
      </w:r>
      <w:r>
        <w:rPr>
          <w:rStyle w:val="ECHRPara"/>
        </w:rPr>
        <w:t>с</w:t>
      </w:r>
      <w:r w:rsidR="00D07A19">
        <w:rPr>
          <w:rStyle w:val="ECHRPara"/>
        </w:rPr>
        <w:t>а</w:t>
      </w:r>
      <w:r>
        <w:rPr>
          <w:rStyle w:val="ECHRPara"/>
        </w:rPr>
        <w:t xml:space="preserve"> потвър</w:t>
      </w:r>
      <w:r w:rsidR="0018267A">
        <w:rPr>
          <w:rStyle w:val="ECHRPara"/>
        </w:rPr>
        <w:t>д</w:t>
      </w:r>
      <w:r w:rsidR="00D07A19">
        <w:rPr>
          <w:rStyle w:val="ECHRPara"/>
        </w:rPr>
        <w:t>ени</w:t>
      </w:r>
      <w:r>
        <w:rPr>
          <w:rStyle w:val="ECHRPara"/>
        </w:rPr>
        <w:t xml:space="preserve"> при обжалване (вж. параграф 11 по-горе). Съдът не приема твърдението на жалбоподателите, че самият факт, че националните съдилища образуват въпросното производство, нарушава </w:t>
      </w:r>
      <w:r w:rsidR="00D07A19">
        <w:rPr>
          <w:rStyle w:val="ECHRPara"/>
        </w:rPr>
        <w:t xml:space="preserve">принципа </w:t>
      </w:r>
      <w:r>
        <w:rPr>
          <w:rStyle w:val="ECHRPara"/>
        </w:rPr>
        <w:t xml:space="preserve">за </w:t>
      </w:r>
      <w:proofErr w:type="spellStart"/>
      <w:r>
        <w:rPr>
          <w:rStyle w:val="ECHRPara"/>
          <w:i/>
        </w:rPr>
        <w:t>res</w:t>
      </w:r>
      <w:proofErr w:type="spellEnd"/>
      <w:r>
        <w:rPr>
          <w:rStyle w:val="ECHRPara"/>
          <w:i/>
        </w:rPr>
        <w:t xml:space="preserve"> </w:t>
      </w:r>
      <w:proofErr w:type="spellStart"/>
      <w:r>
        <w:rPr>
          <w:rStyle w:val="ECHRPara"/>
          <w:i/>
        </w:rPr>
        <w:t>judicata</w:t>
      </w:r>
      <w:proofErr w:type="spellEnd"/>
      <w:r>
        <w:rPr>
          <w:rStyle w:val="ECHRPara"/>
        </w:rPr>
        <w:t>, тъй като тези съдилища са длъжни да разгледат иска на дружеството</w:t>
      </w:r>
      <w:r w:rsidR="0018267A">
        <w:rPr>
          <w:rStyle w:val="ECHRPara"/>
        </w:rPr>
        <w:t>,</w:t>
      </w:r>
      <w:r>
        <w:rPr>
          <w:rStyle w:val="ECHRPara"/>
        </w:rPr>
        <w:t xml:space="preserve"> предвид неговото собствено право на достъп до съд, дори само за да </w:t>
      </w:r>
      <w:r w:rsidR="00D07A19">
        <w:rPr>
          <w:rStyle w:val="ECHRPara"/>
        </w:rPr>
        <w:t>се произнесат</w:t>
      </w:r>
      <w:r>
        <w:rPr>
          <w:rStyle w:val="ECHRPara"/>
        </w:rPr>
        <w:t xml:space="preserve"> по допустимостта на иска. Освен това съдилищата обявяват иска за недопустим именно защото поставения</w:t>
      </w:r>
      <w:r w:rsidR="00D07A19">
        <w:rPr>
          <w:rStyle w:val="ECHRPara"/>
        </w:rPr>
        <w:t>т</w:t>
      </w:r>
      <w:r>
        <w:rPr>
          <w:rStyle w:val="ECHRPara"/>
        </w:rPr>
        <w:t xml:space="preserve"> въпрос вече е </w:t>
      </w:r>
      <w:r w:rsidR="00D07A19">
        <w:rPr>
          <w:rStyle w:val="ECHRPara"/>
          <w:i/>
        </w:rPr>
        <w:t xml:space="preserve">разрешен със силата на </w:t>
      </w:r>
      <w:proofErr w:type="spellStart"/>
      <w:r w:rsidR="00D07A19">
        <w:rPr>
          <w:rStyle w:val="ECHRPara"/>
          <w:i/>
        </w:rPr>
        <w:t>пресъдено</w:t>
      </w:r>
      <w:proofErr w:type="spellEnd"/>
      <w:r w:rsidR="00D07A19">
        <w:rPr>
          <w:rStyle w:val="ECHRPara"/>
          <w:i/>
        </w:rPr>
        <w:t xml:space="preserve"> нещо</w:t>
      </w:r>
      <w:r>
        <w:rPr>
          <w:rStyle w:val="ECHRPara"/>
        </w:rPr>
        <w:t>.</w:t>
      </w:r>
    </w:p>
    <w:p w:rsidR="00E8284C" w:rsidRPr="000B7252" w:rsidRDefault="00E8284C" w:rsidP="00E8284C">
      <w:pPr>
        <w:pStyle w:val="ECHRPara"/>
      </w:pPr>
      <w:r>
        <w:rPr>
          <w:rStyle w:val="ECHRPara"/>
        </w:rPr>
        <w:t xml:space="preserve">28.  Следователно </w:t>
      </w:r>
      <w:r w:rsidR="005B2332">
        <w:rPr>
          <w:rStyle w:val="ECHRPara"/>
        </w:rPr>
        <w:t>това оплакване</w:t>
      </w:r>
      <w:r>
        <w:rPr>
          <w:rStyle w:val="ECHRPara"/>
        </w:rPr>
        <w:t xml:space="preserve"> е явно необоснован</w:t>
      </w:r>
      <w:r w:rsidR="005B2332">
        <w:rPr>
          <w:rStyle w:val="ECHRPara"/>
        </w:rPr>
        <w:t>о</w:t>
      </w:r>
      <w:r>
        <w:rPr>
          <w:rStyle w:val="ECHRPara"/>
        </w:rPr>
        <w:t xml:space="preserve"> и трябва да </w:t>
      </w:r>
      <w:r w:rsidR="005B2332">
        <w:rPr>
          <w:rStyle w:val="ECHRPara"/>
        </w:rPr>
        <w:t>бъде отхвърлено</w:t>
      </w:r>
      <w:r>
        <w:rPr>
          <w:rStyle w:val="ECHRPara"/>
        </w:rPr>
        <w:t xml:space="preserve"> в съответствие с чл. 35 §§ 3 (а) и 4 от Конвенцията.</w:t>
      </w:r>
    </w:p>
    <w:p w:rsidR="00E8284C" w:rsidRPr="000B7252" w:rsidRDefault="00E8284C" w:rsidP="00E8284C">
      <w:pPr>
        <w:pStyle w:val="ECHRHeading4"/>
      </w:pPr>
      <w:r>
        <w:rPr>
          <w:rStyle w:val="ECHRHeading4"/>
        </w:rPr>
        <w:t>(б) Оплакване</w:t>
      </w:r>
      <w:r w:rsidR="0034129D">
        <w:rPr>
          <w:rStyle w:val="ECHRHeading4"/>
        </w:rPr>
        <w:t xml:space="preserve"> относно</w:t>
      </w:r>
      <w:r>
        <w:rPr>
          <w:rStyle w:val="ECHRHeading4"/>
        </w:rPr>
        <w:t xml:space="preserve"> невъзможността на жалбоподателите да влязат във владение на своя парцел</w:t>
      </w:r>
    </w:p>
    <w:p w:rsidR="00E8284C" w:rsidRPr="000B7252" w:rsidRDefault="00E8284C" w:rsidP="00E8284C">
      <w:pPr>
        <w:pStyle w:val="ECHRPara"/>
      </w:pPr>
      <w:r>
        <w:rPr>
          <w:rStyle w:val="ECHRPara"/>
        </w:rPr>
        <w:t xml:space="preserve">29.  Това оплакване трябва да </w:t>
      </w:r>
      <w:r w:rsidR="0034129D">
        <w:rPr>
          <w:rStyle w:val="ECHRPara"/>
        </w:rPr>
        <w:t xml:space="preserve">се </w:t>
      </w:r>
      <w:r>
        <w:rPr>
          <w:rStyle w:val="ECHRPara"/>
        </w:rPr>
        <w:t>разгле</w:t>
      </w:r>
      <w:r w:rsidR="0034129D">
        <w:rPr>
          <w:rStyle w:val="ECHRPara"/>
        </w:rPr>
        <w:t>жда</w:t>
      </w:r>
      <w:r>
        <w:rPr>
          <w:rStyle w:val="ECHRPara"/>
        </w:rPr>
        <w:t xml:space="preserve"> по чл. 1 от Протокол </w:t>
      </w:r>
      <w:r>
        <w:rPr>
          <w:rStyle w:val="ECHRPara"/>
          <w:cs/>
        </w:rPr>
        <w:t xml:space="preserve">№ </w:t>
      </w:r>
      <w:r>
        <w:rPr>
          <w:rStyle w:val="ECHRPara"/>
        </w:rPr>
        <w:t>1 (вж. параграф 23 по-горе).</w:t>
      </w:r>
    </w:p>
    <w:p w:rsidR="00E8284C" w:rsidRPr="000B7252" w:rsidRDefault="00E8284C" w:rsidP="00E8284C">
      <w:pPr>
        <w:pStyle w:val="ECHRPara"/>
      </w:pPr>
      <w:r>
        <w:rPr>
          <w:rStyle w:val="ECHRPara"/>
        </w:rPr>
        <w:t xml:space="preserve">30.  В решението от 14 октомври 1998 г. </w:t>
      </w:r>
      <w:r w:rsidR="0034129D">
        <w:rPr>
          <w:rStyle w:val="ECHRPara"/>
        </w:rPr>
        <w:t>р</w:t>
      </w:r>
      <w:r>
        <w:rPr>
          <w:rStyle w:val="ECHRPara"/>
        </w:rPr>
        <w:t xml:space="preserve">айонният съд осъжда </w:t>
      </w:r>
      <w:r w:rsidR="0034129D">
        <w:rPr>
          <w:rStyle w:val="ECHRPara"/>
        </w:rPr>
        <w:t>„</w:t>
      </w:r>
      <w:r>
        <w:rPr>
          <w:rStyle w:val="ECHRPara"/>
        </w:rPr>
        <w:t>Бояна Филм</w:t>
      </w:r>
      <w:r w:rsidR="0034129D">
        <w:rPr>
          <w:rStyle w:val="ECHRPara"/>
        </w:rPr>
        <w:t>“</w:t>
      </w:r>
      <w:r>
        <w:rPr>
          <w:rStyle w:val="ECHRPara"/>
        </w:rPr>
        <w:t xml:space="preserve"> ЕАД да предаде владението на парцел с размер 2 830 кв.м. на жалбоподателите, които са признати за негови собственици (вж. параграф 6 по-горе). Все пак, въпреки че това решение </w:t>
      </w:r>
      <w:r w:rsidR="0034129D">
        <w:rPr>
          <w:rStyle w:val="ECHRPara"/>
        </w:rPr>
        <w:t>става окончателно</w:t>
      </w:r>
      <w:r>
        <w:rPr>
          <w:rStyle w:val="ECHRPara"/>
        </w:rPr>
        <w:t xml:space="preserve"> през юли 1999 г. (вж. параграф 7 по-горе), жалбоподателите не са </w:t>
      </w:r>
      <w:r w:rsidR="0034129D">
        <w:rPr>
          <w:rStyle w:val="ECHRPara"/>
        </w:rPr>
        <w:t>могли</w:t>
      </w:r>
      <w:r>
        <w:rPr>
          <w:rStyle w:val="ECHRPara"/>
        </w:rPr>
        <w:t xml:space="preserve"> да влязат във владение на парцела, тъй като той остава в оградената територия на филмовите студия.</w:t>
      </w:r>
    </w:p>
    <w:p w:rsidR="00E8284C" w:rsidRPr="000B7252" w:rsidRDefault="00E8284C" w:rsidP="00E8284C">
      <w:pPr>
        <w:pStyle w:val="ECHRPara"/>
      </w:pPr>
      <w:r>
        <w:rPr>
          <w:rStyle w:val="ECHRPara"/>
        </w:rPr>
        <w:t xml:space="preserve">31.  Жалбоподателите твърдят, че тази ситуация се дължи на неизпълнение от страна на държавата на </w:t>
      </w:r>
      <w:r w:rsidR="002E228C">
        <w:rPr>
          <w:rStyle w:val="ECHRPara"/>
        </w:rPr>
        <w:t xml:space="preserve">позитивните </w:t>
      </w:r>
      <w:r>
        <w:rPr>
          <w:rStyle w:val="ECHRPara"/>
        </w:rPr>
        <w:t xml:space="preserve">ѝ задължения по чл. 1 от Протокол </w:t>
      </w:r>
      <w:r>
        <w:rPr>
          <w:rStyle w:val="ECHRPara"/>
          <w:cs/>
        </w:rPr>
        <w:t xml:space="preserve">№ </w:t>
      </w:r>
      <w:r>
        <w:rPr>
          <w:rStyle w:val="ECHRPara"/>
        </w:rPr>
        <w:t xml:space="preserve">1 да защити правото им на собственост срещу частно </w:t>
      </w:r>
      <w:r w:rsidR="008C793F">
        <w:rPr>
          <w:rStyle w:val="ECHRPara"/>
        </w:rPr>
        <w:t>дружество</w:t>
      </w:r>
      <w:r>
        <w:rPr>
          <w:rStyle w:val="ECHRPara"/>
        </w:rPr>
        <w:t xml:space="preserve">. В същото време </w:t>
      </w:r>
      <w:r w:rsidR="00900340">
        <w:rPr>
          <w:rStyle w:val="ECHRPara"/>
        </w:rPr>
        <w:t xml:space="preserve">изглежда, че </w:t>
      </w:r>
      <w:r>
        <w:rPr>
          <w:rStyle w:val="ECHRPara"/>
        </w:rPr>
        <w:t xml:space="preserve">те </w:t>
      </w:r>
      <w:r w:rsidR="00DE0256">
        <w:rPr>
          <w:rStyle w:val="ECHRPara"/>
        </w:rPr>
        <w:t xml:space="preserve">се </w:t>
      </w:r>
      <w:r w:rsidR="002E228C">
        <w:rPr>
          <w:rStyle w:val="ECHRPara"/>
        </w:rPr>
        <w:t>оплакват</w:t>
      </w:r>
      <w:r w:rsidR="002E228C" w:rsidRPr="002E228C">
        <w:rPr>
          <w:rStyle w:val="ECHRPara"/>
        </w:rPr>
        <w:t xml:space="preserve"> </w:t>
      </w:r>
      <w:r w:rsidR="002E228C">
        <w:rPr>
          <w:rStyle w:val="ECHRPara"/>
        </w:rPr>
        <w:t>също</w:t>
      </w:r>
      <w:r>
        <w:rPr>
          <w:rStyle w:val="ECHRPara"/>
        </w:rPr>
        <w:t xml:space="preserve">, че държавните </w:t>
      </w:r>
      <w:r w:rsidR="00900340">
        <w:rPr>
          <w:rStyle w:val="ECHRPara"/>
        </w:rPr>
        <w:t xml:space="preserve">органи </w:t>
      </w:r>
      <w:r>
        <w:rPr>
          <w:rStyle w:val="ECHRPara"/>
        </w:rPr>
        <w:t xml:space="preserve">са пряко отговорни, защото както се твърди те </w:t>
      </w:r>
      <w:r>
        <w:rPr>
          <w:rStyle w:val="ECHRPara"/>
          <w:cs/>
        </w:rPr>
        <w:t>“</w:t>
      </w:r>
      <w:r w:rsidR="002E228C">
        <w:rPr>
          <w:rStyle w:val="ECHRPara"/>
          <w:cs/>
        </w:rPr>
        <w:t xml:space="preserve">са </w:t>
      </w:r>
      <w:r>
        <w:rPr>
          <w:rStyle w:val="ECHRPara"/>
        </w:rPr>
        <w:t>позвол</w:t>
      </w:r>
      <w:r w:rsidR="002E228C">
        <w:rPr>
          <w:rStyle w:val="ECHRPara"/>
        </w:rPr>
        <w:t>или</w:t>
      </w:r>
      <w:r>
        <w:rPr>
          <w:rStyle w:val="ECHRPara"/>
          <w:cs/>
        </w:rPr>
        <w:t xml:space="preserve">” </w:t>
      </w:r>
      <w:r>
        <w:rPr>
          <w:rStyle w:val="ECHRPara"/>
        </w:rPr>
        <w:t>на дружеството да избегне изпълнение и системно да злоупотребява с правата си (вж. параграф 25 по-горе).</w:t>
      </w:r>
    </w:p>
    <w:p w:rsidR="00E8284C" w:rsidRPr="000B7252" w:rsidRDefault="00E8284C" w:rsidP="00E8284C">
      <w:pPr>
        <w:pStyle w:val="ECHRPara"/>
      </w:pPr>
      <w:r>
        <w:rPr>
          <w:rStyle w:val="ECHRPara"/>
        </w:rPr>
        <w:t>32.  Що се отнася до пряка</w:t>
      </w:r>
      <w:r w:rsidR="00900340">
        <w:rPr>
          <w:rStyle w:val="ECHRPara"/>
        </w:rPr>
        <w:t>та</w:t>
      </w:r>
      <w:r>
        <w:rPr>
          <w:rStyle w:val="ECHRPara"/>
        </w:rPr>
        <w:t xml:space="preserve"> отговорност от страна на държавните </w:t>
      </w:r>
      <w:r w:rsidR="00900340">
        <w:rPr>
          <w:rStyle w:val="ECHRPara"/>
        </w:rPr>
        <w:t>органи</w:t>
      </w:r>
      <w:r>
        <w:rPr>
          <w:rStyle w:val="ECHRPara"/>
        </w:rPr>
        <w:t xml:space="preserve">, Съдът отбелязва, че по искане на жалбоподателите през 2000 г. </w:t>
      </w:r>
      <w:r w:rsidR="004414C4">
        <w:rPr>
          <w:rStyle w:val="ECHRPara"/>
        </w:rPr>
        <w:t>съдебен изпълнител</w:t>
      </w:r>
      <w:r>
        <w:rPr>
          <w:rStyle w:val="ECHRPara"/>
        </w:rPr>
        <w:t xml:space="preserve"> започва изпълнителното производство и на два пъти официално прехвърля владението на жалбоподателите, като </w:t>
      </w:r>
      <w:r w:rsidR="00C01A77">
        <w:rPr>
          <w:rStyle w:val="ECHRPara"/>
        </w:rPr>
        <w:t xml:space="preserve">отстранява </w:t>
      </w:r>
      <w:r>
        <w:rPr>
          <w:rStyle w:val="ECHRPara"/>
        </w:rPr>
        <w:t xml:space="preserve">дружеството от парцела в съответствие с процедурата, предвидена в </w:t>
      </w:r>
      <w:r w:rsidR="00C01A77">
        <w:rPr>
          <w:rStyle w:val="ECHRPara"/>
        </w:rPr>
        <w:t xml:space="preserve">приложимите </w:t>
      </w:r>
      <w:r>
        <w:rPr>
          <w:rStyle w:val="ECHRPara"/>
        </w:rPr>
        <w:t xml:space="preserve">разпоредби на Гражданския процесуален кодекс (вж. параграфи 9 и 13 по-горе). Както Правителството </w:t>
      </w:r>
      <w:r w:rsidR="00C01A77">
        <w:rPr>
          <w:rStyle w:val="ECHRPara"/>
        </w:rPr>
        <w:t xml:space="preserve">отбелязва </w:t>
      </w:r>
      <w:r>
        <w:rPr>
          <w:rStyle w:val="ECHRPara"/>
        </w:rPr>
        <w:t xml:space="preserve">(вж. параграф 24 по-горе), държавата не може да носи пряка отговорност за последващ отказ на дружеството да </w:t>
      </w:r>
      <w:r w:rsidR="00C01A77">
        <w:rPr>
          <w:rStyle w:val="ECHRPara"/>
        </w:rPr>
        <w:t>предостави н</w:t>
      </w:r>
      <w:r>
        <w:rPr>
          <w:rStyle w:val="ECHRPara"/>
        </w:rPr>
        <w:t>а жалбоподателите достъп до парцела.</w:t>
      </w:r>
    </w:p>
    <w:p w:rsidR="00E8284C" w:rsidRPr="000B7252" w:rsidRDefault="00E8284C" w:rsidP="00E8284C">
      <w:pPr>
        <w:pStyle w:val="ECHRPara"/>
      </w:pPr>
      <w:r>
        <w:rPr>
          <w:rStyle w:val="ECHRPara"/>
        </w:rPr>
        <w:t>33.  Освен това Съдът не може да приеме аргумента на жалбоподателите (вж. параграф 20 по-горе), че в образуваните</w:t>
      </w:r>
      <w:r w:rsidR="00697711" w:rsidRPr="00697711">
        <w:rPr>
          <w:rStyle w:val="ECHRPara"/>
        </w:rPr>
        <w:t xml:space="preserve"> </w:t>
      </w:r>
      <w:r w:rsidR="00697711">
        <w:rPr>
          <w:rStyle w:val="ECHRPara"/>
        </w:rPr>
        <w:t>след решението от 14 октомври 1998 г.</w:t>
      </w:r>
      <w:r>
        <w:rPr>
          <w:rStyle w:val="ECHRPara"/>
        </w:rPr>
        <w:t xml:space="preserve"> </w:t>
      </w:r>
      <w:r w:rsidR="00697711">
        <w:rPr>
          <w:rStyle w:val="ECHRPara"/>
        </w:rPr>
        <w:t xml:space="preserve">производства </w:t>
      </w:r>
      <w:r>
        <w:rPr>
          <w:rStyle w:val="ECHRPara"/>
        </w:rPr>
        <w:t xml:space="preserve">от </w:t>
      </w:r>
      <w:r w:rsidR="006D5B5F">
        <w:rPr>
          <w:rStyle w:val="ECHRPara"/>
        </w:rPr>
        <w:t>„</w:t>
      </w:r>
      <w:r>
        <w:rPr>
          <w:rStyle w:val="ECHRPara"/>
        </w:rPr>
        <w:t>Бояна Филм</w:t>
      </w:r>
      <w:r w:rsidR="006D5B5F">
        <w:rPr>
          <w:rStyle w:val="ECHRPara"/>
        </w:rPr>
        <w:t>“</w:t>
      </w:r>
      <w:r>
        <w:rPr>
          <w:rStyle w:val="ECHRPara"/>
        </w:rPr>
        <w:t xml:space="preserve"> ЕАД или жалбоподателите , националните съдилища са отговорни за възпрепятстване</w:t>
      </w:r>
      <w:r w:rsidR="00697711">
        <w:rPr>
          <w:rStyle w:val="ECHRPara"/>
        </w:rPr>
        <w:t>то</w:t>
      </w:r>
      <w:r>
        <w:rPr>
          <w:rStyle w:val="ECHRPara"/>
        </w:rPr>
        <w:t xml:space="preserve"> на ефективното ползване </w:t>
      </w:r>
      <w:r w:rsidR="00697711">
        <w:rPr>
          <w:rStyle w:val="ECHRPara"/>
        </w:rPr>
        <w:t xml:space="preserve">от </w:t>
      </w:r>
      <w:r>
        <w:rPr>
          <w:rStyle w:val="ECHRPara"/>
        </w:rPr>
        <w:t>жалбоподателите на техните притежания. Производството, в което дружеството и жалбоподателите оспорват изменения</w:t>
      </w:r>
      <w:r w:rsidR="00133CFF">
        <w:rPr>
          <w:rStyle w:val="ECHRPara"/>
        </w:rPr>
        <w:t>та в</w:t>
      </w:r>
      <w:r>
        <w:rPr>
          <w:rStyle w:val="ECHRPara"/>
        </w:rPr>
        <w:t xml:space="preserve"> съответните кадастрални планове, описан</w:t>
      </w:r>
      <w:r w:rsidR="00133CFF">
        <w:rPr>
          <w:rStyle w:val="ECHRPara"/>
        </w:rPr>
        <w:t>и</w:t>
      </w:r>
      <w:r>
        <w:rPr>
          <w:rStyle w:val="ECHRPara"/>
        </w:rPr>
        <w:t xml:space="preserve"> в параграфи 10 и 12 по-горе, не включва оспорване на правата на собственост на жалбоподателите, ясно установени в решението от 14 октомври 1998 г. Това е изрично отбелязано от националните съдилища (вж. параграф 12 по-горе). Съответно фактът, че това производство е </w:t>
      </w:r>
      <w:r w:rsidR="004414C4">
        <w:rPr>
          <w:rStyle w:val="ECHRPara"/>
        </w:rPr>
        <w:t>висящо</w:t>
      </w:r>
      <w:r>
        <w:rPr>
          <w:rStyle w:val="ECHRPara"/>
        </w:rPr>
        <w:t>, не</w:t>
      </w:r>
      <w:r w:rsidR="004414C4">
        <w:rPr>
          <w:rStyle w:val="ECHRPara"/>
        </w:rPr>
        <w:t xml:space="preserve"> би могло да</w:t>
      </w:r>
      <w:r w:rsidR="00DE0256">
        <w:rPr>
          <w:rStyle w:val="ECHRPara"/>
        </w:rPr>
        <w:t xml:space="preserve"> </w:t>
      </w:r>
      <w:r w:rsidR="00133CFF">
        <w:rPr>
          <w:rStyle w:val="ECHRPara"/>
        </w:rPr>
        <w:t>възпрепятства</w:t>
      </w:r>
      <w:r>
        <w:rPr>
          <w:rStyle w:val="ECHRPara"/>
        </w:rPr>
        <w:t xml:space="preserve"> </w:t>
      </w:r>
      <w:r w:rsidR="004414C4">
        <w:rPr>
          <w:rStyle w:val="ECHRPara"/>
        </w:rPr>
        <w:t xml:space="preserve">стремежа на </w:t>
      </w:r>
      <w:r>
        <w:rPr>
          <w:rStyle w:val="ECHRPara"/>
        </w:rPr>
        <w:t xml:space="preserve">жалбоподателите да ползват и </w:t>
      </w:r>
      <w:r w:rsidR="004414C4">
        <w:rPr>
          <w:rStyle w:val="ECHRPara"/>
        </w:rPr>
        <w:t xml:space="preserve">извличат ползи </w:t>
      </w:r>
      <w:r>
        <w:rPr>
          <w:rStyle w:val="ECHRPara"/>
        </w:rPr>
        <w:t xml:space="preserve"> от своя парцел. Що се отнася до производството, в което дружеството иска да се установи, че то е собственик на въпросния парцел (вж. параграф 11 по-горе), Съдът вече е отбеляза, че то </w:t>
      </w:r>
      <w:r w:rsidR="00254044">
        <w:rPr>
          <w:rStyle w:val="ECHRPara"/>
        </w:rPr>
        <w:t xml:space="preserve">е </w:t>
      </w:r>
      <w:r w:rsidR="00BC11D6">
        <w:rPr>
          <w:rStyle w:val="ECHRPara"/>
        </w:rPr>
        <w:t>прекрат</w:t>
      </w:r>
      <w:r w:rsidR="00254044">
        <w:rPr>
          <w:rStyle w:val="ECHRPara"/>
        </w:rPr>
        <w:t>ено</w:t>
      </w:r>
      <w:r w:rsidR="00BC11D6">
        <w:rPr>
          <w:rStyle w:val="ECHRPara"/>
        </w:rPr>
        <w:t xml:space="preserve"> </w:t>
      </w:r>
      <w:r>
        <w:rPr>
          <w:rStyle w:val="ECHRPara"/>
        </w:rPr>
        <w:t xml:space="preserve">с оглед на решението от 14 октомври 1998 г. Може да се твърди, че това производство води до </w:t>
      </w:r>
      <w:r>
        <w:rPr>
          <w:rStyle w:val="ECHRPara"/>
          <w:cs/>
        </w:rPr>
        <w:t>“</w:t>
      </w:r>
      <w:r>
        <w:rPr>
          <w:rStyle w:val="ECHRPara"/>
        </w:rPr>
        <w:t>спор</w:t>
      </w:r>
      <w:r>
        <w:rPr>
          <w:rStyle w:val="ECHRPara"/>
          <w:cs/>
        </w:rPr>
        <w:t>”</w:t>
      </w:r>
      <w:r>
        <w:rPr>
          <w:rStyle w:val="ECHRPara"/>
        </w:rPr>
        <w:t xml:space="preserve">кой притежава парцела на жалбоподателите, евентуално поставяйки жалбоподателите в ситуация на несигурност и възпрепятствайки каквато и да </w:t>
      </w:r>
      <w:r w:rsidR="00263676">
        <w:rPr>
          <w:rStyle w:val="ECHRPara"/>
        </w:rPr>
        <w:t xml:space="preserve">е </w:t>
      </w:r>
      <w:r>
        <w:rPr>
          <w:rStyle w:val="ECHRPara"/>
        </w:rPr>
        <w:t xml:space="preserve">продажба на земята. Националните съдилища обаче не могат да бъдат държани отговорни за това, </w:t>
      </w:r>
      <w:r w:rsidR="006673C1">
        <w:rPr>
          <w:rStyle w:val="ECHRPara"/>
        </w:rPr>
        <w:t>защото</w:t>
      </w:r>
      <w:r>
        <w:rPr>
          <w:rStyle w:val="ECHRPara"/>
        </w:rPr>
        <w:t xml:space="preserve"> както вече </w:t>
      </w:r>
      <w:r w:rsidR="00C364AB">
        <w:rPr>
          <w:rStyle w:val="ECHRPara"/>
        </w:rPr>
        <w:t xml:space="preserve">беше </w:t>
      </w:r>
      <w:r>
        <w:rPr>
          <w:rStyle w:val="ECHRPara"/>
        </w:rPr>
        <w:t xml:space="preserve">посочено (вж. параграф 27 по-горе), те не могат да откажат да разгледат допустимостта на иска на дружеството. Във всеки случай няма причина да се заключи, че съдилищата толерират или </w:t>
      </w:r>
      <w:r>
        <w:rPr>
          <w:rStyle w:val="ECHRPara"/>
          <w:cs/>
        </w:rPr>
        <w:t>“</w:t>
      </w:r>
      <w:r>
        <w:rPr>
          <w:rStyle w:val="ECHRPara"/>
        </w:rPr>
        <w:t>позволяват</w:t>
      </w:r>
      <w:r>
        <w:rPr>
          <w:rStyle w:val="ECHRPara"/>
          <w:cs/>
        </w:rPr>
        <w:t xml:space="preserve">” </w:t>
      </w:r>
      <w:r>
        <w:rPr>
          <w:rStyle w:val="ECHRPara"/>
        </w:rPr>
        <w:t xml:space="preserve">злоупотреба от страна на </w:t>
      </w:r>
      <w:r w:rsidR="006673C1">
        <w:rPr>
          <w:rStyle w:val="ECHRPara"/>
        </w:rPr>
        <w:t>„</w:t>
      </w:r>
      <w:r>
        <w:rPr>
          <w:rStyle w:val="ECHRPara"/>
        </w:rPr>
        <w:t>Бояна Филм</w:t>
      </w:r>
      <w:r w:rsidR="006673C1">
        <w:rPr>
          <w:rStyle w:val="ECHRPara"/>
        </w:rPr>
        <w:t>“</w:t>
      </w:r>
      <w:r>
        <w:rPr>
          <w:rStyle w:val="ECHRPara"/>
        </w:rPr>
        <w:t xml:space="preserve"> ЕАД, засягаща правата на жалбоподателите, както </w:t>
      </w:r>
      <w:r w:rsidR="006673C1">
        <w:rPr>
          <w:rStyle w:val="ECHRPara"/>
        </w:rPr>
        <w:t xml:space="preserve">те </w:t>
      </w:r>
      <w:r>
        <w:rPr>
          <w:rStyle w:val="ECHRPara"/>
        </w:rPr>
        <w:t>твърд</w:t>
      </w:r>
      <w:r w:rsidR="006673C1">
        <w:rPr>
          <w:rStyle w:val="ECHRPara"/>
        </w:rPr>
        <w:t>ят</w:t>
      </w:r>
      <w:r>
        <w:rPr>
          <w:rStyle w:val="ECHRPara"/>
        </w:rPr>
        <w:t xml:space="preserve"> (вж. параграф 25 по-горе).</w:t>
      </w:r>
    </w:p>
    <w:p w:rsidR="00E8284C" w:rsidRPr="000B7252" w:rsidRDefault="00E8284C" w:rsidP="00E8284C">
      <w:pPr>
        <w:pStyle w:val="ECHRPara"/>
      </w:pPr>
      <w:r>
        <w:rPr>
          <w:rStyle w:val="ECHRPara"/>
        </w:rPr>
        <w:t xml:space="preserve">34.  С оглед на гореизложеното Съдът заключва, че държавните </w:t>
      </w:r>
      <w:r w:rsidR="006673C1">
        <w:rPr>
          <w:rStyle w:val="ECHRPara"/>
        </w:rPr>
        <w:t xml:space="preserve">органи </w:t>
      </w:r>
      <w:r>
        <w:rPr>
          <w:rStyle w:val="ECHRPara"/>
        </w:rPr>
        <w:t xml:space="preserve">не могат да бъдат държани пряко отговорни за </w:t>
      </w:r>
      <w:r w:rsidR="00892347">
        <w:rPr>
          <w:rStyle w:val="ECHRPara"/>
        </w:rPr>
        <w:t xml:space="preserve">невъзможността </w:t>
      </w:r>
      <w:r>
        <w:rPr>
          <w:rStyle w:val="ECHRPara"/>
        </w:rPr>
        <w:t xml:space="preserve">на жалбоподателите да се ползват от своите притежания. Следователно остава да се </w:t>
      </w:r>
      <w:r w:rsidR="00A01004">
        <w:rPr>
          <w:rStyle w:val="ECHRPara"/>
        </w:rPr>
        <w:t xml:space="preserve">определи </w:t>
      </w:r>
      <w:r w:rsidR="00507F8D">
        <w:rPr>
          <w:rStyle w:val="ECHRPara"/>
        </w:rPr>
        <w:t xml:space="preserve">алтернативно, </w:t>
      </w:r>
      <w:r>
        <w:rPr>
          <w:rStyle w:val="ECHRPara"/>
        </w:rPr>
        <w:t xml:space="preserve">дали държавата не е изпълнила позитивните си задължения да осигури защита на жалбоподателите във връзка с действията на частно </w:t>
      </w:r>
      <w:r w:rsidR="00A01004">
        <w:rPr>
          <w:rStyle w:val="ECHRPara"/>
        </w:rPr>
        <w:t>дружество</w:t>
      </w:r>
      <w:r>
        <w:rPr>
          <w:rStyle w:val="ECHRPara"/>
        </w:rPr>
        <w:t xml:space="preserve">, а именно </w:t>
      </w:r>
      <w:r w:rsidR="00A01004">
        <w:rPr>
          <w:rStyle w:val="ECHRPara"/>
        </w:rPr>
        <w:t>„</w:t>
      </w:r>
      <w:r>
        <w:rPr>
          <w:rStyle w:val="ECHRPara"/>
        </w:rPr>
        <w:t>Бояна Филм</w:t>
      </w:r>
      <w:r w:rsidR="00A01004">
        <w:rPr>
          <w:rStyle w:val="ECHRPara"/>
        </w:rPr>
        <w:t>“</w:t>
      </w:r>
      <w:r>
        <w:rPr>
          <w:rStyle w:val="ECHRPara"/>
        </w:rPr>
        <w:t xml:space="preserve"> ЕАД.</w:t>
      </w:r>
    </w:p>
    <w:p w:rsidR="00E8284C" w:rsidRPr="000B7252" w:rsidRDefault="00E8284C" w:rsidP="00E8284C">
      <w:pPr>
        <w:pStyle w:val="ECHRPara"/>
      </w:pPr>
      <w:r>
        <w:rPr>
          <w:rStyle w:val="ECHRPara"/>
        </w:rPr>
        <w:t xml:space="preserve">35.  Съдът наскоро определи позитивните задълженията на държавите по чл. 1 от Протокол </w:t>
      </w:r>
      <w:r>
        <w:rPr>
          <w:rStyle w:val="ECHRPara"/>
          <w:cs/>
        </w:rPr>
        <w:t xml:space="preserve">№ </w:t>
      </w:r>
      <w:r>
        <w:rPr>
          <w:rStyle w:val="ECHRPara"/>
        </w:rPr>
        <w:t xml:space="preserve">1 в </w:t>
      </w:r>
      <w:r w:rsidR="00BA42DB">
        <w:rPr>
          <w:rStyle w:val="ECHRPara"/>
        </w:rPr>
        <w:t xml:space="preserve">случая </w:t>
      </w:r>
      <w:proofErr w:type="spellStart"/>
      <w:r>
        <w:rPr>
          <w:rStyle w:val="ECHRPara"/>
          <w:i/>
        </w:rPr>
        <w:t>Kotov</w:t>
      </w:r>
      <w:proofErr w:type="spellEnd"/>
      <w:r>
        <w:rPr>
          <w:rStyle w:val="ECHRPara"/>
        </w:rPr>
        <w:t xml:space="preserve"> (цитиран по-горе, §§ 109-15, с допълнителни препратки), приемайки по-конкретно (в § 113), че:</w:t>
      </w:r>
    </w:p>
    <w:p w:rsidR="00E8284C" w:rsidRPr="000B7252" w:rsidRDefault="00E8284C" w:rsidP="00E8284C">
      <w:pPr>
        <w:pStyle w:val="ECHRParaQuote"/>
      </w:pPr>
      <w:r>
        <w:rPr>
          <w:rStyle w:val="ECHRParaQuote"/>
          <w:cs/>
        </w:rPr>
        <w:t>“</w:t>
      </w:r>
      <w:r>
        <w:rPr>
          <w:rStyle w:val="ECHRParaQuote"/>
        </w:rPr>
        <w:t>[к]</w:t>
      </w:r>
      <w:proofErr w:type="spellStart"/>
      <w:r>
        <w:rPr>
          <w:rStyle w:val="ECHRParaQuote"/>
        </w:rPr>
        <w:t>огато</w:t>
      </w:r>
      <w:proofErr w:type="spellEnd"/>
      <w:r>
        <w:rPr>
          <w:rStyle w:val="ECHRParaQuote"/>
        </w:rPr>
        <w:t xml:space="preserve"> намеса в правото на мирно ползване на притежанията е извършена от частно лице, за държавата възниква позитивно задължение да гарантира в рамките на своето вътрешно законодателство, че правата на собственост са достатъчно защитени от закона и че са предоставени адекватни средства за защита, с които </w:t>
      </w:r>
      <w:r w:rsidR="00BA42DB">
        <w:rPr>
          <w:rStyle w:val="ECHRParaQuote"/>
        </w:rPr>
        <w:t xml:space="preserve">пострадалият </w:t>
      </w:r>
      <w:r>
        <w:rPr>
          <w:rStyle w:val="ECHRParaQuote"/>
        </w:rPr>
        <w:t xml:space="preserve">от намесата може да </w:t>
      </w:r>
      <w:r w:rsidR="00BA42DB">
        <w:rPr>
          <w:rStyle w:val="ECHRParaQuote"/>
        </w:rPr>
        <w:t>търси</w:t>
      </w:r>
      <w:r>
        <w:rPr>
          <w:rStyle w:val="ECHRParaQuote"/>
        </w:rPr>
        <w:t xml:space="preserve"> защит</w:t>
      </w:r>
      <w:r w:rsidR="005F6407">
        <w:rPr>
          <w:rStyle w:val="ECHRParaQuote"/>
        </w:rPr>
        <w:t>а на</w:t>
      </w:r>
      <w:r>
        <w:rPr>
          <w:rStyle w:val="ECHRParaQuote"/>
        </w:rPr>
        <w:t xml:space="preserve"> правата си, включително, когато е уместно, като претендира обезщетение за вреди по отношение на претърпени загуби.</w:t>
      </w:r>
      <w:r>
        <w:rPr>
          <w:rStyle w:val="ECHRParaQuote"/>
          <w:cs/>
        </w:rPr>
        <w:t>”</w:t>
      </w:r>
    </w:p>
    <w:p w:rsidR="00E8284C" w:rsidRPr="000B7252" w:rsidRDefault="00E8284C" w:rsidP="00E8284C">
      <w:pPr>
        <w:pStyle w:val="ECHRPara"/>
      </w:pPr>
      <w:r>
        <w:rPr>
          <w:rStyle w:val="ECHRPara"/>
        </w:rPr>
        <w:t xml:space="preserve">36.  В настоящия случай, въпреки че на два пъти е законно </w:t>
      </w:r>
      <w:r w:rsidR="00B8057C">
        <w:rPr>
          <w:rStyle w:val="ECHRPara"/>
        </w:rPr>
        <w:t>отстран</w:t>
      </w:r>
      <w:r w:rsidR="00FD7A76">
        <w:rPr>
          <w:rStyle w:val="ECHRPara"/>
        </w:rPr>
        <w:t>явано</w:t>
      </w:r>
      <w:r w:rsidR="00B8057C">
        <w:rPr>
          <w:rStyle w:val="ECHRPara"/>
        </w:rPr>
        <w:t xml:space="preserve"> </w:t>
      </w:r>
      <w:r>
        <w:rPr>
          <w:rStyle w:val="ECHRPara"/>
        </w:rPr>
        <w:t xml:space="preserve">от парцела, чието притежание е било официално прехвърлено на жалбоподателите, </w:t>
      </w:r>
      <w:r w:rsidR="00B8057C">
        <w:rPr>
          <w:rStyle w:val="ECHRPara"/>
        </w:rPr>
        <w:t>„</w:t>
      </w:r>
      <w:r>
        <w:rPr>
          <w:rStyle w:val="ECHRPara"/>
        </w:rPr>
        <w:t>Бояна Филм</w:t>
      </w:r>
      <w:r w:rsidR="00B8057C">
        <w:rPr>
          <w:rStyle w:val="ECHRPara"/>
        </w:rPr>
        <w:t>“</w:t>
      </w:r>
      <w:r>
        <w:rPr>
          <w:rStyle w:val="ECHRPara"/>
        </w:rPr>
        <w:t xml:space="preserve"> ЕАД отказва на жалбоподателите достъп до него, като го задържа в рамките оградената територия на филмовите студия (вж. параграф 9 по-горе).</w:t>
      </w:r>
    </w:p>
    <w:p w:rsidR="00E8284C" w:rsidRPr="000B7252" w:rsidRDefault="00E8284C" w:rsidP="00E8284C">
      <w:pPr>
        <w:pStyle w:val="ECHRPara"/>
      </w:pPr>
      <w:r>
        <w:rPr>
          <w:rStyle w:val="ECHRPara"/>
        </w:rPr>
        <w:t xml:space="preserve">37.  Доколкото достъпът на жалбоподателите до парцела е възпрепятстван от съществуващата ограда, жалбоподателите са могли да потърсят съдебна заповед за нейното отстраняване чрез </w:t>
      </w:r>
      <w:proofErr w:type="spellStart"/>
      <w:r>
        <w:rPr>
          <w:rStyle w:val="ECHRPara"/>
          <w:i/>
        </w:rPr>
        <w:t>actio</w:t>
      </w:r>
      <w:proofErr w:type="spellEnd"/>
      <w:r>
        <w:rPr>
          <w:rStyle w:val="ECHRPara"/>
          <w:i/>
        </w:rPr>
        <w:t xml:space="preserve"> </w:t>
      </w:r>
      <w:proofErr w:type="spellStart"/>
      <w:r>
        <w:rPr>
          <w:rStyle w:val="ECHRPara"/>
          <w:i/>
        </w:rPr>
        <w:t>negatoria</w:t>
      </w:r>
      <w:proofErr w:type="spellEnd"/>
      <w:r>
        <w:rPr>
          <w:rStyle w:val="ECHRPara"/>
        </w:rPr>
        <w:t>, както е предвидено в чл. 109</w:t>
      </w:r>
      <w:r w:rsidR="009D6588">
        <w:rPr>
          <w:rStyle w:val="ECHRPara"/>
        </w:rPr>
        <w:t xml:space="preserve">, ал. </w:t>
      </w:r>
      <w:r>
        <w:rPr>
          <w:rStyle w:val="ECHRPara"/>
        </w:rPr>
        <w:t>1 от Закона за собствеността. Нищо не предполага, че подобен иск би бил неефективен, и собственици, чи</w:t>
      </w:r>
      <w:r w:rsidR="0085150E">
        <w:rPr>
          <w:rStyle w:val="ECHRPara"/>
        </w:rPr>
        <w:t>и</w:t>
      </w:r>
      <w:r>
        <w:rPr>
          <w:rStyle w:val="ECHRPara"/>
        </w:rPr>
        <w:t xml:space="preserve">то достъп до техни имоти е бил възпрепятстван от огради, </w:t>
      </w:r>
      <w:r w:rsidR="0085150E">
        <w:rPr>
          <w:rStyle w:val="ECHRPara"/>
        </w:rPr>
        <w:t xml:space="preserve">са го използвали </w:t>
      </w:r>
      <w:r>
        <w:rPr>
          <w:rStyle w:val="ECHRPara"/>
        </w:rPr>
        <w:t>успешно (вж. параграфи 16-18 по-горе). Жалбоподателите обаче остават напълно пасивни в това отношение.</w:t>
      </w:r>
    </w:p>
    <w:p w:rsidR="00E8284C" w:rsidRPr="000B7252" w:rsidRDefault="00E8284C" w:rsidP="00E8284C">
      <w:pPr>
        <w:pStyle w:val="ECHRPara"/>
      </w:pPr>
      <w:r>
        <w:rPr>
          <w:rStyle w:val="ECHRPara"/>
        </w:rPr>
        <w:t>38.  </w:t>
      </w:r>
      <w:r w:rsidR="0026722D">
        <w:rPr>
          <w:rStyle w:val="ECHRPara"/>
        </w:rPr>
        <w:t>Освен това</w:t>
      </w:r>
      <w:r>
        <w:rPr>
          <w:rStyle w:val="ECHRPara"/>
        </w:rPr>
        <w:t xml:space="preserve"> вътрешното право предвижда други </w:t>
      </w:r>
      <w:r w:rsidR="00D56F87">
        <w:rPr>
          <w:rStyle w:val="ECHRPara"/>
        </w:rPr>
        <w:t xml:space="preserve">възможности </w:t>
      </w:r>
      <w:r>
        <w:rPr>
          <w:rStyle w:val="ECHRPara"/>
        </w:rPr>
        <w:t xml:space="preserve">за изпълнение на съдебното решение от 14 октомври 1998 г. Лицата, </w:t>
      </w:r>
      <w:r w:rsidR="00D56F87">
        <w:rPr>
          <w:rStyle w:val="ECHRPara"/>
        </w:rPr>
        <w:t>отговорни</w:t>
      </w:r>
      <w:r>
        <w:rPr>
          <w:rStyle w:val="ECHRPara"/>
        </w:rPr>
        <w:t xml:space="preserve"> за възпрепятстване достъпа на жалбоподателите до техния парцел, може да понесат наказателна отговорност по чл. 323, ал. 2 от Наказателния кодекс, който </w:t>
      </w:r>
      <w:r w:rsidR="00D56F87">
        <w:rPr>
          <w:rStyle w:val="ECHRPara"/>
        </w:rPr>
        <w:t>криминализира</w:t>
      </w:r>
      <w:r>
        <w:rPr>
          <w:rStyle w:val="ECHRPara"/>
        </w:rPr>
        <w:t xml:space="preserve"> </w:t>
      </w:r>
      <w:r w:rsidR="00873C11" w:rsidRPr="00D05840">
        <w:t>самоволно</w:t>
      </w:r>
      <w:r w:rsidR="00873C11">
        <w:t>то</w:t>
      </w:r>
      <w:r w:rsidR="00873C11" w:rsidRPr="00D05840">
        <w:t xml:space="preserve"> заем</w:t>
      </w:r>
      <w:r w:rsidR="00873C11">
        <w:t>ане от лице на</w:t>
      </w:r>
      <w:r w:rsidR="00873C11" w:rsidRPr="00D05840">
        <w:t xml:space="preserve"> недвижим имот, от чието владение</w:t>
      </w:r>
      <w:r w:rsidR="00D56F87">
        <w:t xml:space="preserve"> то е било</w:t>
      </w:r>
      <w:r w:rsidR="00873C11" w:rsidRPr="00D05840">
        <w:t xml:space="preserve"> отстранен по надлежен ред</w:t>
      </w:r>
      <w:r w:rsidR="00873C11">
        <w:rPr>
          <w:rStyle w:val="ECHRPara"/>
        </w:rPr>
        <w:t xml:space="preserve"> </w:t>
      </w:r>
      <w:r>
        <w:rPr>
          <w:rStyle w:val="ECHRPara"/>
        </w:rPr>
        <w:t>(вж. параграф 15 по-горе). Освен това жалбоподателите са могли да търсят обезщетение за вреди в резултат на това, че им е отказана възможността да използват своето имущество, по чл. 59 от Закона за задълженията и договорите (вж. параграф 19 по-горе).</w:t>
      </w:r>
    </w:p>
    <w:p w:rsidR="00E8284C" w:rsidRPr="000B7252" w:rsidRDefault="00E8284C" w:rsidP="00E8284C">
      <w:pPr>
        <w:pStyle w:val="ECHRPara"/>
      </w:pPr>
      <w:r>
        <w:rPr>
          <w:rStyle w:val="ECHRPara"/>
        </w:rPr>
        <w:t xml:space="preserve">39.  Съдът не вижда причина да се съмнява, че описаните по-горе </w:t>
      </w:r>
      <w:r w:rsidR="00013B5E">
        <w:rPr>
          <w:rStyle w:val="ECHRPara"/>
        </w:rPr>
        <w:t xml:space="preserve">правни възможности </w:t>
      </w:r>
      <w:r>
        <w:rPr>
          <w:rStyle w:val="ECHRPara"/>
        </w:rPr>
        <w:t xml:space="preserve">могат по принцип да предоставят адекватна защита на жалбоподателите, както се изисква по чл. 1 от Протокол </w:t>
      </w:r>
      <w:r>
        <w:rPr>
          <w:rStyle w:val="ECHRPara"/>
          <w:cs/>
        </w:rPr>
        <w:t xml:space="preserve">№ </w:t>
      </w:r>
      <w:r>
        <w:rPr>
          <w:rStyle w:val="ECHRPara"/>
        </w:rPr>
        <w:t xml:space="preserve">1. </w:t>
      </w:r>
      <w:proofErr w:type="spellStart"/>
      <w:r>
        <w:rPr>
          <w:rStyle w:val="ECHRPara"/>
          <w:i/>
        </w:rPr>
        <w:t>Actio</w:t>
      </w:r>
      <w:proofErr w:type="spellEnd"/>
      <w:r>
        <w:rPr>
          <w:rStyle w:val="ECHRPara"/>
          <w:i/>
        </w:rPr>
        <w:t xml:space="preserve"> </w:t>
      </w:r>
      <w:proofErr w:type="spellStart"/>
      <w:r>
        <w:rPr>
          <w:rStyle w:val="ECHRPara"/>
          <w:i/>
        </w:rPr>
        <w:t>negatoria</w:t>
      </w:r>
      <w:proofErr w:type="spellEnd"/>
      <w:r>
        <w:rPr>
          <w:rStyle w:val="ECHRPara"/>
        </w:rPr>
        <w:t xml:space="preserve"> би могъл да осигури на жалбоподателите достъп до техния парцел. Наказателна отговорност от страна на лицата, отговорни за възпрепятстване достъп</w:t>
      </w:r>
      <w:r w:rsidR="00013B5E">
        <w:rPr>
          <w:rStyle w:val="ECHRPara"/>
        </w:rPr>
        <w:t>а на жалбоподателите</w:t>
      </w:r>
      <w:r>
        <w:rPr>
          <w:rStyle w:val="ECHRPara"/>
        </w:rPr>
        <w:t>, е могла допълнително да накара ръководството на дружеството да изпълни решението от 14 октомври 1998 г. На</w:t>
      </w:r>
      <w:r w:rsidR="009E2F8F">
        <w:rPr>
          <w:rStyle w:val="ECHRPara"/>
        </w:rPr>
        <w:t>края</w:t>
      </w:r>
      <w:r w:rsidR="00013B5E">
        <w:rPr>
          <w:rStyle w:val="ECHRPara"/>
        </w:rPr>
        <w:t>,</w:t>
      </w:r>
      <w:r>
        <w:rPr>
          <w:rStyle w:val="ECHRPara"/>
        </w:rPr>
        <w:t xml:space="preserve"> възможността </w:t>
      </w:r>
      <w:r w:rsidR="009E2F8F">
        <w:rPr>
          <w:rStyle w:val="ECHRPara"/>
        </w:rPr>
        <w:t xml:space="preserve">да </w:t>
      </w:r>
      <w:proofErr w:type="spellStart"/>
      <w:r>
        <w:rPr>
          <w:rStyle w:val="ECHRPara"/>
        </w:rPr>
        <w:t>предява</w:t>
      </w:r>
      <w:r w:rsidR="009E2F8F">
        <w:rPr>
          <w:rStyle w:val="ECHRPara"/>
        </w:rPr>
        <w:t>т</w:t>
      </w:r>
      <w:proofErr w:type="spellEnd"/>
      <w:r>
        <w:rPr>
          <w:rStyle w:val="ECHRPara"/>
        </w:rPr>
        <w:t xml:space="preserve"> иск за обезщетение за вреди</w:t>
      </w:r>
      <w:r w:rsidR="00924C43">
        <w:rPr>
          <w:rStyle w:val="ECHRPara"/>
        </w:rPr>
        <w:t>,</w:t>
      </w:r>
      <w:r>
        <w:rPr>
          <w:rStyle w:val="ECHRPara"/>
        </w:rPr>
        <w:t xml:space="preserve"> е могла да обезщети жалбоподателите за претърпени загуби. Жалбоподателите не оспор</w:t>
      </w:r>
      <w:r w:rsidR="00924C43">
        <w:rPr>
          <w:rStyle w:val="ECHRPara"/>
        </w:rPr>
        <w:t>ват</w:t>
      </w:r>
      <w:r>
        <w:rPr>
          <w:rStyle w:val="ECHRPara"/>
        </w:rPr>
        <w:t xml:space="preserve"> ефективността на практика на въпросните средства за защита и не твърдят, че те по някаква причина не са били достъпни за тях.</w:t>
      </w:r>
    </w:p>
    <w:p w:rsidR="00E8284C" w:rsidRPr="000B7252" w:rsidRDefault="00E8284C" w:rsidP="00E8284C">
      <w:pPr>
        <w:pStyle w:val="ECHRPara"/>
      </w:pPr>
      <w:r>
        <w:rPr>
          <w:rStyle w:val="ECHRPara"/>
        </w:rPr>
        <w:t xml:space="preserve">40.  С оглед на това Съдът не вижда причина да се съмнява в </w:t>
      </w:r>
      <w:r w:rsidR="00924C43">
        <w:rPr>
          <w:rStyle w:val="ECHRPara"/>
        </w:rPr>
        <w:t xml:space="preserve">адекватността </w:t>
      </w:r>
      <w:r>
        <w:rPr>
          <w:rStyle w:val="ECHRPara"/>
        </w:rPr>
        <w:t xml:space="preserve">и ефективността на националната правна система </w:t>
      </w:r>
      <w:r w:rsidR="00013B5E">
        <w:rPr>
          <w:rStyle w:val="ECHRPara"/>
        </w:rPr>
        <w:t xml:space="preserve">да </w:t>
      </w:r>
      <w:r>
        <w:rPr>
          <w:rStyle w:val="ECHRPara"/>
        </w:rPr>
        <w:t>защит</w:t>
      </w:r>
      <w:r w:rsidR="00013B5E">
        <w:rPr>
          <w:rStyle w:val="ECHRPara"/>
        </w:rPr>
        <w:t>и</w:t>
      </w:r>
      <w:r>
        <w:rPr>
          <w:rStyle w:val="ECHRPara"/>
        </w:rPr>
        <w:t xml:space="preserve"> правата на собственост на жалбоподателите. </w:t>
      </w:r>
      <w:r w:rsidR="00924C43">
        <w:rPr>
          <w:rStyle w:val="ECHRPara"/>
        </w:rPr>
        <w:t>Следователно</w:t>
      </w:r>
      <w:r>
        <w:rPr>
          <w:rStyle w:val="ECHRPara"/>
        </w:rPr>
        <w:t xml:space="preserve"> държава</w:t>
      </w:r>
      <w:r w:rsidR="00924C43">
        <w:rPr>
          <w:rStyle w:val="ECHRPara"/>
        </w:rPr>
        <w:t>та-ответник</w:t>
      </w:r>
      <w:r>
        <w:rPr>
          <w:rStyle w:val="ECHRPara"/>
        </w:rPr>
        <w:t xml:space="preserve"> е спазила своите позитивни задължения по чл. 1 от Протокол </w:t>
      </w:r>
      <w:r>
        <w:rPr>
          <w:rStyle w:val="ECHRPara"/>
          <w:cs/>
        </w:rPr>
        <w:t xml:space="preserve">№ </w:t>
      </w:r>
      <w:r>
        <w:rPr>
          <w:rStyle w:val="ECHRPara"/>
        </w:rPr>
        <w:t xml:space="preserve">1, </w:t>
      </w:r>
      <w:r w:rsidR="00013B5E">
        <w:rPr>
          <w:rStyle w:val="ECHRPara"/>
        </w:rPr>
        <w:t xml:space="preserve">така </w:t>
      </w:r>
      <w:r>
        <w:rPr>
          <w:rStyle w:val="ECHRPara"/>
        </w:rPr>
        <w:t xml:space="preserve">както са </w:t>
      </w:r>
      <w:r w:rsidR="00013B5E">
        <w:rPr>
          <w:rStyle w:val="ECHRPara"/>
        </w:rPr>
        <w:t>описани</w:t>
      </w:r>
      <w:r>
        <w:rPr>
          <w:rStyle w:val="ECHRPara"/>
        </w:rPr>
        <w:t xml:space="preserve"> по-горе.</w:t>
      </w:r>
    </w:p>
    <w:p w:rsidR="00E8284C" w:rsidRPr="000B7252" w:rsidRDefault="00E8284C" w:rsidP="00E8284C">
      <w:pPr>
        <w:pStyle w:val="ECHRPara"/>
      </w:pPr>
      <w:r>
        <w:rPr>
          <w:rStyle w:val="ECHRPara"/>
        </w:rPr>
        <w:t xml:space="preserve">41.  Следователно Съдът </w:t>
      </w:r>
      <w:r w:rsidR="00924C43">
        <w:rPr>
          <w:rStyle w:val="ECHRPara"/>
        </w:rPr>
        <w:t>намира</w:t>
      </w:r>
      <w:r>
        <w:rPr>
          <w:rStyle w:val="ECHRPara"/>
        </w:rPr>
        <w:t>, че настоящ</w:t>
      </w:r>
      <w:r w:rsidR="008F00DD">
        <w:rPr>
          <w:rStyle w:val="ECHRPara"/>
        </w:rPr>
        <w:t xml:space="preserve">ото оплакване </w:t>
      </w:r>
      <w:r>
        <w:rPr>
          <w:rStyle w:val="ECHRPara"/>
        </w:rPr>
        <w:t>е явно необоснован</w:t>
      </w:r>
      <w:r w:rsidR="00924C43">
        <w:rPr>
          <w:rStyle w:val="ECHRPara"/>
        </w:rPr>
        <w:t>а</w:t>
      </w:r>
      <w:r>
        <w:rPr>
          <w:rStyle w:val="ECHRPara"/>
        </w:rPr>
        <w:t xml:space="preserve"> и трябва да </w:t>
      </w:r>
      <w:r w:rsidR="008F00DD">
        <w:rPr>
          <w:rStyle w:val="ECHRPara"/>
        </w:rPr>
        <w:t>бъде отхвърлено</w:t>
      </w:r>
      <w:r>
        <w:rPr>
          <w:rStyle w:val="ECHRPara"/>
        </w:rPr>
        <w:t xml:space="preserve"> в съответствие с чл. 35 §§ 3 (а) и 4 от Конвенцията.</w:t>
      </w:r>
    </w:p>
    <w:p w:rsidR="00E8284C" w:rsidRPr="000B7252" w:rsidRDefault="00E8284C" w:rsidP="00E8284C">
      <w:pPr>
        <w:pStyle w:val="JuParaLast"/>
      </w:pPr>
      <w:r>
        <w:rPr>
          <w:rStyle w:val="JuParaLast"/>
        </w:rPr>
        <w:t xml:space="preserve">По тези съображения </w:t>
      </w:r>
      <w:r w:rsidR="007876D3">
        <w:rPr>
          <w:rStyle w:val="JuParaLast"/>
        </w:rPr>
        <w:t>С</w:t>
      </w:r>
      <w:r>
        <w:rPr>
          <w:rStyle w:val="JuParaLast"/>
        </w:rPr>
        <w:t>ъдът единодушно</w:t>
      </w:r>
    </w:p>
    <w:p w:rsidR="00E8284C" w:rsidRPr="000B7252" w:rsidRDefault="00E8284C" w:rsidP="00E8284C">
      <w:pPr>
        <w:pStyle w:val="DecList"/>
      </w:pPr>
      <w:r>
        <w:rPr>
          <w:rStyle w:val="DecList"/>
          <w:i/>
        </w:rPr>
        <w:t>Приема</w:t>
      </w:r>
      <w:r>
        <w:rPr>
          <w:rStyle w:val="DecList"/>
        </w:rPr>
        <w:t xml:space="preserve">, че наследниците на покойната жалбоподателка, както са посочени в приложението, </w:t>
      </w:r>
      <w:r w:rsidR="007876D3">
        <w:rPr>
          <w:rStyle w:val="DecList"/>
        </w:rPr>
        <w:t>имат активна процесуална легитимация</w:t>
      </w:r>
      <w:r>
        <w:rPr>
          <w:rStyle w:val="DecList"/>
        </w:rPr>
        <w:t xml:space="preserve"> да </w:t>
      </w:r>
      <w:r w:rsidR="007876D3">
        <w:rPr>
          <w:rStyle w:val="DecList"/>
        </w:rPr>
        <w:t xml:space="preserve">поддържат </w:t>
      </w:r>
      <w:r>
        <w:rPr>
          <w:rStyle w:val="DecList"/>
        </w:rPr>
        <w:t>производството вместо нея;</w:t>
      </w:r>
    </w:p>
    <w:p w:rsidR="00E8284C" w:rsidRPr="000B7252" w:rsidRDefault="00E8284C" w:rsidP="00E8284C">
      <w:pPr>
        <w:pStyle w:val="DecList"/>
      </w:pPr>
      <w:r>
        <w:rPr>
          <w:rStyle w:val="DecList"/>
          <w:i/>
        </w:rPr>
        <w:t>Обявява</w:t>
      </w:r>
      <w:r>
        <w:rPr>
          <w:rStyle w:val="DecList"/>
        </w:rPr>
        <w:t xml:space="preserve"> жалбата за недопустима.</w:t>
      </w:r>
    </w:p>
    <w:p w:rsidR="00E8284C" w:rsidRPr="000B7252" w:rsidRDefault="00E8284C" w:rsidP="00E8284C">
      <w:pPr>
        <w:pStyle w:val="ECHRPara"/>
        <w:rPr>
          <w:sz w:val="2"/>
          <w:szCs w:val="2"/>
        </w:rPr>
      </w:pPr>
    </w:p>
    <w:p w:rsidR="00E8284C" w:rsidRPr="000B7252" w:rsidRDefault="00E8284C" w:rsidP="00E8284C">
      <w:pPr>
        <w:pStyle w:val="DecList"/>
      </w:pPr>
      <w:r>
        <w:rPr>
          <w:rStyle w:val="DecList"/>
        </w:rPr>
        <w:t xml:space="preserve">Изготвено на английски език и </w:t>
      </w:r>
      <w:r w:rsidR="00BE197A">
        <w:rPr>
          <w:rStyle w:val="DecList"/>
        </w:rPr>
        <w:t xml:space="preserve">оповестено </w:t>
      </w:r>
      <w:r>
        <w:rPr>
          <w:rStyle w:val="DecList"/>
        </w:rPr>
        <w:t>писмено на 24 ноември 2016 г.</w:t>
      </w:r>
    </w:p>
    <w:p w:rsidR="00E8284C" w:rsidRPr="000B7252" w:rsidRDefault="00E8284C" w:rsidP="00E8284C">
      <w:pPr>
        <w:pStyle w:val="JuSigned"/>
      </w:pPr>
      <w:r>
        <w:rPr>
          <w:rStyle w:val="JuSigned"/>
        </w:rPr>
        <w:tab/>
        <w:t xml:space="preserve">Милан </w:t>
      </w:r>
      <w:proofErr w:type="spellStart"/>
      <w:r>
        <w:rPr>
          <w:rStyle w:val="JuSigned"/>
        </w:rPr>
        <w:t>Бла</w:t>
      </w:r>
      <w:r w:rsidR="00BE197A">
        <w:rPr>
          <w:rStyle w:val="JuSigned"/>
        </w:rPr>
        <w:t>с</w:t>
      </w:r>
      <w:r>
        <w:rPr>
          <w:rStyle w:val="JuSigned"/>
        </w:rPr>
        <w:t>ко</w:t>
      </w:r>
      <w:proofErr w:type="spellEnd"/>
      <w:r>
        <w:rPr>
          <w:rStyle w:val="JuSigned"/>
        </w:rPr>
        <w:t xml:space="preserve"> </w:t>
      </w:r>
      <w:r>
        <w:rPr>
          <w:rStyle w:val="JuSigned"/>
        </w:rPr>
        <w:tab/>
      </w:r>
      <w:proofErr w:type="spellStart"/>
      <w:r>
        <w:rPr>
          <w:rStyle w:val="JuSigned"/>
        </w:rPr>
        <w:t>Ангелика</w:t>
      </w:r>
      <w:proofErr w:type="spellEnd"/>
      <w:r>
        <w:rPr>
          <w:rStyle w:val="JuSigned"/>
        </w:rPr>
        <w:t xml:space="preserve"> </w:t>
      </w:r>
      <w:proofErr w:type="spellStart"/>
      <w:r>
        <w:rPr>
          <w:rStyle w:val="JuSigned"/>
        </w:rPr>
        <w:t>Нусбергер</w:t>
      </w:r>
      <w:proofErr w:type="spellEnd"/>
      <w:r>
        <w:br/>
      </w:r>
      <w:r>
        <w:rPr>
          <w:rStyle w:val="JuSigned"/>
        </w:rPr>
        <w:tab/>
      </w:r>
      <w:r w:rsidR="00BE197A">
        <w:rPr>
          <w:rStyle w:val="JuSigned"/>
        </w:rPr>
        <w:t>з</w:t>
      </w:r>
      <w:r>
        <w:rPr>
          <w:rStyle w:val="JuSigned"/>
        </w:rPr>
        <w:t>аместник-секретар</w:t>
      </w:r>
      <w:r>
        <w:rPr>
          <w:rStyle w:val="JuSigned"/>
        </w:rPr>
        <w:tab/>
      </w:r>
      <w:r w:rsidR="00BE197A">
        <w:rPr>
          <w:rStyle w:val="JuSigned"/>
        </w:rPr>
        <w:t>п</w:t>
      </w:r>
      <w:r>
        <w:rPr>
          <w:rStyle w:val="JuSigned"/>
        </w:rPr>
        <w:t>редседател</w:t>
      </w:r>
    </w:p>
    <w:p w:rsidR="00E8284C" w:rsidRPr="000B7252" w:rsidRDefault="00E8284C" w:rsidP="00E8284C">
      <w:pPr>
        <w:pStyle w:val="JuTitle"/>
        <w:spacing w:before="360"/>
      </w:pPr>
      <w:r>
        <w:rPr>
          <w:rStyle w:val="JuTitle"/>
        </w:rPr>
        <w:t>Приложение</w:t>
      </w:r>
    </w:p>
    <w:p w:rsidR="00E8284C" w:rsidRPr="000B7252" w:rsidRDefault="00E8284C" w:rsidP="00E8284C">
      <w:pPr>
        <w:pStyle w:val="ListParagraph"/>
        <w:numPr>
          <w:ilvl w:val="0"/>
          <w:numId w:val="17"/>
        </w:numPr>
        <w:tabs>
          <w:tab w:val="left" w:pos="425"/>
        </w:tabs>
        <w:ind w:left="0" w:firstLine="0"/>
        <w:rPr>
          <w:szCs w:val="24"/>
        </w:rPr>
      </w:pPr>
      <w:r>
        <w:rPr>
          <w:rStyle w:val="ListParagraph"/>
        </w:rPr>
        <w:t>Тодорка Петрова ДИМИТРОВА, родена през 1936 г., живее в София;</w:t>
      </w:r>
    </w:p>
    <w:p w:rsidR="00E8284C" w:rsidRPr="000B7252" w:rsidRDefault="00E8284C" w:rsidP="00E8284C">
      <w:pPr>
        <w:pStyle w:val="ListParagraph"/>
        <w:numPr>
          <w:ilvl w:val="0"/>
          <w:numId w:val="17"/>
        </w:numPr>
        <w:tabs>
          <w:tab w:val="left" w:pos="425"/>
        </w:tabs>
        <w:ind w:left="426" w:hanging="426"/>
        <w:rPr>
          <w:szCs w:val="24"/>
        </w:rPr>
      </w:pPr>
      <w:r>
        <w:rPr>
          <w:rStyle w:val="ListParagraph"/>
        </w:rPr>
        <w:t>Милена Григорова БОГДАНОВА-КИРИЛОВА, родена през 1964 г., живее в София;</w:t>
      </w:r>
    </w:p>
    <w:p w:rsidR="00E8284C" w:rsidRPr="000B7252" w:rsidRDefault="00E8284C" w:rsidP="00E8284C">
      <w:pPr>
        <w:pStyle w:val="ListParagraph"/>
        <w:numPr>
          <w:ilvl w:val="0"/>
          <w:numId w:val="17"/>
        </w:numPr>
        <w:tabs>
          <w:tab w:val="left" w:pos="425"/>
        </w:tabs>
        <w:ind w:left="0" w:firstLine="0"/>
        <w:rPr>
          <w:szCs w:val="24"/>
        </w:rPr>
      </w:pPr>
      <w:r>
        <w:rPr>
          <w:rStyle w:val="ListParagraph"/>
        </w:rPr>
        <w:t>Виолета Петрова КУКЕВА, родена през 1941 г., живее в София;</w:t>
      </w:r>
    </w:p>
    <w:p w:rsidR="00E8284C" w:rsidRPr="000B7252" w:rsidRDefault="00E8284C" w:rsidP="00E8284C">
      <w:pPr>
        <w:pStyle w:val="ListParagraph"/>
        <w:numPr>
          <w:ilvl w:val="0"/>
          <w:numId w:val="17"/>
        </w:numPr>
        <w:tabs>
          <w:tab w:val="left" w:pos="425"/>
        </w:tabs>
        <w:ind w:left="0" w:firstLine="0"/>
        <w:rPr>
          <w:szCs w:val="24"/>
        </w:rPr>
      </w:pPr>
      <w:r>
        <w:rPr>
          <w:rStyle w:val="ListParagraph"/>
        </w:rPr>
        <w:t>Капка Григорова ПЕШКАЛОВА, родена през 1951 г., живее в София;</w:t>
      </w:r>
    </w:p>
    <w:p w:rsidR="00E8284C" w:rsidRPr="000B7252" w:rsidRDefault="00E8284C" w:rsidP="00E8284C">
      <w:pPr>
        <w:pStyle w:val="ListParagraph"/>
        <w:numPr>
          <w:ilvl w:val="0"/>
          <w:numId w:val="17"/>
        </w:numPr>
        <w:tabs>
          <w:tab w:val="left" w:pos="425"/>
        </w:tabs>
        <w:ind w:left="0" w:firstLine="0"/>
        <w:rPr>
          <w:szCs w:val="24"/>
        </w:rPr>
      </w:pPr>
      <w:r>
        <w:rPr>
          <w:rStyle w:val="ListParagraph"/>
        </w:rPr>
        <w:t>Емилия Борисова РАНГЕЛОВА, родена през 1950 г., живее в София;</w:t>
      </w:r>
    </w:p>
    <w:p w:rsidR="00E8284C" w:rsidRPr="000B7252" w:rsidRDefault="00E8284C" w:rsidP="00E8284C">
      <w:pPr>
        <w:pStyle w:val="ListParagraph"/>
        <w:numPr>
          <w:ilvl w:val="0"/>
          <w:numId w:val="17"/>
        </w:numPr>
        <w:tabs>
          <w:tab w:val="left" w:pos="425"/>
        </w:tabs>
        <w:ind w:left="0" w:firstLine="0"/>
        <w:rPr>
          <w:szCs w:val="24"/>
        </w:rPr>
      </w:pPr>
      <w:r>
        <w:rPr>
          <w:rStyle w:val="ListParagraph"/>
        </w:rPr>
        <w:t>Цветанка Христова СТОЯНОВА, родена през 1930 г., живее в София;</w:t>
      </w:r>
    </w:p>
    <w:p w:rsidR="00E8284C" w:rsidRPr="000B7252" w:rsidRDefault="00E8284C" w:rsidP="00E8284C">
      <w:pPr>
        <w:pStyle w:val="ListParagraph"/>
        <w:numPr>
          <w:ilvl w:val="0"/>
          <w:numId w:val="17"/>
        </w:numPr>
        <w:tabs>
          <w:tab w:val="left" w:pos="425"/>
        </w:tabs>
        <w:ind w:left="426" w:hanging="426"/>
        <w:rPr>
          <w:szCs w:val="24"/>
        </w:rPr>
      </w:pPr>
      <w:r>
        <w:rPr>
          <w:rStyle w:val="ListParagraph"/>
        </w:rPr>
        <w:t>Величка Петрова СТОЯНОВА, родена през 1933 г., починала през 2010 г., нейните наследници са Бойка Бориславова АНГЕЛОВА и Петър Бориславов ТОДОРОВ.</w:t>
      </w:r>
    </w:p>
    <w:p w:rsidR="00E8284C" w:rsidRPr="000B7252" w:rsidRDefault="00E8284C" w:rsidP="00E8284C"/>
    <w:sectPr w:rsidR="00E8284C" w:rsidRPr="000B7252" w:rsidSect="00E828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 w:code="9"/>
      <w:pgMar w:top="2274" w:right="2274" w:bottom="2274" w:left="2274" w:header="170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5FE" w:rsidRPr="00271261" w:rsidRDefault="008F15FE" w:rsidP="00E8284C">
      <w:r>
        <w:separator/>
      </w:r>
    </w:p>
  </w:endnote>
  <w:endnote w:type="continuationSeparator" w:id="0">
    <w:p w:rsidR="008F15FE" w:rsidRPr="00271261" w:rsidRDefault="008F15FE" w:rsidP="00E82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9A2" w:rsidRDefault="001609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9A2" w:rsidRDefault="001609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84C" w:rsidRPr="00271261" w:rsidRDefault="002953A6" w:rsidP="00E8284C">
    <w:pPr>
      <w:jc w:val="center"/>
    </w:pPr>
    <w:r>
      <w:rPr>
        <w:noProof/>
        <w:lang w:val="en-US" w:eastAsia="en-US"/>
      </w:rPr>
      <w:drawing>
        <wp:inline distT="0" distB="0" distL="0" distR="0">
          <wp:extent cx="767715" cy="621030"/>
          <wp:effectExtent l="0" t="0" r="0" b="0"/>
          <wp:docPr id="2" name="Picture 27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284C" w:rsidRPr="00271261" w:rsidRDefault="00E8284C" w:rsidP="00E8284C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5FE" w:rsidRPr="00271261" w:rsidRDefault="008F15FE" w:rsidP="00E8284C">
      <w:r>
        <w:separator/>
      </w:r>
    </w:p>
  </w:footnote>
  <w:footnote w:type="continuationSeparator" w:id="0">
    <w:p w:rsidR="008F15FE" w:rsidRPr="00271261" w:rsidRDefault="008F15FE" w:rsidP="00E82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84C" w:rsidRPr="00271261" w:rsidRDefault="00E8284C" w:rsidP="00E8284C">
    <w:pPr>
      <w:pStyle w:val="ECHR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609A2">
      <w:rPr>
        <w:rStyle w:val="PageNumber"/>
        <w:noProof/>
      </w:rPr>
      <w:t>10</w:t>
    </w:r>
    <w:r>
      <w:rPr>
        <w:rStyle w:val="PageNumber"/>
      </w:rPr>
      <w:fldChar w:fldCharType="end"/>
    </w:r>
    <w:r>
      <w:rPr>
        <w:rStyle w:val="ECHRHeader"/>
      </w:rPr>
      <w:tab/>
      <w:t>РЕШЕНИЕ ДИМИТРОВА И ДРУГИ СРЕЩУ БЪЛГАРИЯ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84C" w:rsidRPr="00271261" w:rsidRDefault="00E8284C" w:rsidP="00E8284C">
    <w:pPr>
      <w:pStyle w:val="ECHRHeader"/>
    </w:pPr>
    <w:r>
      <w:rPr>
        <w:rStyle w:val="ECHRHeader"/>
      </w:rPr>
      <w:tab/>
    </w:r>
    <w:r>
      <w:rPr>
        <w:rStyle w:val="ECHRHeader"/>
      </w:rPr>
      <w:t>РЕШЕНИЕ ДИМИТРОВА И ДРУГИ СРЕЩУ БЪЛГАРИЯ</w:t>
    </w:r>
    <w:r>
      <w:rPr>
        <w:rStyle w:val="ECHRHead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609A2">
      <w:rPr>
        <w:rStyle w:val="PageNumber"/>
        <w:noProof/>
      </w:rPr>
      <w:t>11</w:t>
    </w:r>
    <w:r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84C" w:rsidRPr="00271261" w:rsidRDefault="002953A6" w:rsidP="00E8284C">
    <w:pPr>
      <w:jc w:val="center"/>
    </w:pPr>
    <w:r>
      <w:rPr>
        <w:noProof/>
        <w:lang w:val="en-US" w:eastAsia="en-US"/>
      </w:rPr>
      <w:drawing>
        <wp:inline distT="0" distB="0" distL="0" distR="0">
          <wp:extent cx="2959100" cy="1216025"/>
          <wp:effectExtent l="0" t="0" r="0" b="0"/>
          <wp:docPr id="1" name="Picture 1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100" cy="1216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284C" w:rsidRPr="00271261" w:rsidRDefault="00E8284C" w:rsidP="00E8284C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87C151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1A2597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E0258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8C01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BCB4B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E6B42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124C6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8ADC3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C40F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9247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920C1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30B4E93"/>
    <w:multiLevelType w:val="hybridMultilevel"/>
    <w:tmpl w:val="D4565E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5C4D5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3BB25E0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6903243"/>
    <w:multiLevelType w:val="multilevel"/>
    <w:tmpl w:val="E884A926"/>
    <w:lvl w:ilvl="0">
      <w:start w:val="1"/>
      <w:numFmt w:val="decimal"/>
      <w:pStyle w:val="JuAppQues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4"/>
  </w:num>
  <w:num w:numId="2">
    <w:abstractNumId w:val="14"/>
  </w:num>
  <w:num w:numId="3">
    <w:abstractNumId w:val="13"/>
  </w:num>
  <w:num w:numId="4">
    <w:abstractNumId w:val="10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1"/>
  </w:num>
  <w:num w:numId="18">
    <w:abstractNumId w:val="14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evenAndOddHeaders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licationsApp" w:val="1"/>
    <w:docVar w:name="AppNatAutre" w:val="0"/>
    <w:docVar w:name="DocVarPREMATURE" w:val="0"/>
    <w:docVar w:name="EMM" w:val="0"/>
    <w:docVar w:name="ETRANSMISSION" w:val="BY E-TRANSMISSION ONLY"/>
    <w:docVar w:name="L4_1Annex" w:val="0"/>
    <w:docVar w:name="L4_1Anonymity" w:val="0"/>
    <w:docVar w:name="NBEMMDOC" w:val="0"/>
    <w:docVar w:name="Plural" w:val="3"/>
    <w:docVar w:name="SignForeName" w:val="0"/>
  </w:docVars>
  <w:rsids>
    <w:rsidRoot w:val="00E629CA"/>
    <w:rsid w:val="00013B5E"/>
    <w:rsid w:val="000210A9"/>
    <w:rsid w:val="0007399C"/>
    <w:rsid w:val="00074BC2"/>
    <w:rsid w:val="00076D6F"/>
    <w:rsid w:val="000A005D"/>
    <w:rsid w:val="000C3222"/>
    <w:rsid w:val="000F6C79"/>
    <w:rsid w:val="00100DE2"/>
    <w:rsid w:val="00116ADC"/>
    <w:rsid w:val="00133CFF"/>
    <w:rsid w:val="00154FF3"/>
    <w:rsid w:val="001609A2"/>
    <w:rsid w:val="0018267A"/>
    <w:rsid w:val="00193A14"/>
    <w:rsid w:val="001A1D07"/>
    <w:rsid w:val="001F4BEA"/>
    <w:rsid w:val="00254044"/>
    <w:rsid w:val="00263676"/>
    <w:rsid w:val="0026722D"/>
    <w:rsid w:val="002906F3"/>
    <w:rsid w:val="002953A6"/>
    <w:rsid w:val="00296E0C"/>
    <w:rsid w:val="002A416B"/>
    <w:rsid w:val="002E228C"/>
    <w:rsid w:val="002E5CCB"/>
    <w:rsid w:val="0031592E"/>
    <w:rsid w:val="0033322C"/>
    <w:rsid w:val="0034129D"/>
    <w:rsid w:val="003536C5"/>
    <w:rsid w:val="00377EA9"/>
    <w:rsid w:val="00393683"/>
    <w:rsid w:val="003C74D0"/>
    <w:rsid w:val="004414C4"/>
    <w:rsid w:val="00481AC0"/>
    <w:rsid w:val="004A511D"/>
    <w:rsid w:val="004C25C6"/>
    <w:rsid w:val="004C5115"/>
    <w:rsid w:val="004C7971"/>
    <w:rsid w:val="005047C3"/>
    <w:rsid w:val="00507F8D"/>
    <w:rsid w:val="00511462"/>
    <w:rsid w:val="00534292"/>
    <w:rsid w:val="00566BBE"/>
    <w:rsid w:val="00587F67"/>
    <w:rsid w:val="005B10CC"/>
    <w:rsid w:val="005B2332"/>
    <w:rsid w:val="005F613A"/>
    <w:rsid w:val="005F6407"/>
    <w:rsid w:val="00611200"/>
    <w:rsid w:val="00646EC8"/>
    <w:rsid w:val="00647993"/>
    <w:rsid w:val="00655204"/>
    <w:rsid w:val="006673C1"/>
    <w:rsid w:val="006736C1"/>
    <w:rsid w:val="00697711"/>
    <w:rsid w:val="00697E3A"/>
    <w:rsid w:val="006D5B5F"/>
    <w:rsid w:val="006D6A50"/>
    <w:rsid w:val="006F00CB"/>
    <w:rsid w:val="006F7CCE"/>
    <w:rsid w:val="00700B37"/>
    <w:rsid w:val="007116E2"/>
    <w:rsid w:val="00724CAD"/>
    <w:rsid w:val="007676B5"/>
    <w:rsid w:val="007876D3"/>
    <w:rsid w:val="007965AD"/>
    <w:rsid w:val="007B68C9"/>
    <w:rsid w:val="007F14AE"/>
    <w:rsid w:val="0085150E"/>
    <w:rsid w:val="00871C20"/>
    <w:rsid w:val="00873C11"/>
    <w:rsid w:val="00883477"/>
    <w:rsid w:val="00892347"/>
    <w:rsid w:val="00892C7E"/>
    <w:rsid w:val="008C793F"/>
    <w:rsid w:val="008D5C32"/>
    <w:rsid w:val="008F00DD"/>
    <w:rsid w:val="008F15FE"/>
    <w:rsid w:val="00900340"/>
    <w:rsid w:val="00924C43"/>
    <w:rsid w:val="0094430E"/>
    <w:rsid w:val="00947B54"/>
    <w:rsid w:val="00966D15"/>
    <w:rsid w:val="00971CE4"/>
    <w:rsid w:val="009737C3"/>
    <w:rsid w:val="009A3892"/>
    <w:rsid w:val="009D0000"/>
    <w:rsid w:val="009D22B1"/>
    <w:rsid w:val="009D6588"/>
    <w:rsid w:val="009E2F8F"/>
    <w:rsid w:val="009E4B85"/>
    <w:rsid w:val="00A01004"/>
    <w:rsid w:val="00A02FDA"/>
    <w:rsid w:val="00A47F40"/>
    <w:rsid w:val="00A9478D"/>
    <w:rsid w:val="00A9632A"/>
    <w:rsid w:val="00AB2FBF"/>
    <w:rsid w:val="00B054A8"/>
    <w:rsid w:val="00B357CF"/>
    <w:rsid w:val="00B3644D"/>
    <w:rsid w:val="00B7706C"/>
    <w:rsid w:val="00B8057C"/>
    <w:rsid w:val="00B95C29"/>
    <w:rsid w:val="00BA42DB"/>
    <w:rsid w:val="00BC11D6"/>
    <w:rsid w:val="00BD3C1D"/>
    <w:rsid w:val="00BE197A"/>
    <w:rsid w:val="00C01A77"/>
    <w:rsid w:val="00C25E95"/>
    <w:rsid w:val="00C364AB"/>
    <w:rsid w:val="00C97870"/>
    <w:rsid w:val="00CD6A12"/>
    <w:rsid w:val="00CF23F7"/>
    <w:rsid w:val="00D02794"/>
    <w:rsid w:val="00D05840"/>
    <w:rsid w:val="00D07A19"/>
    <w:rsid w:val="00D20BB1"/>
    <w:rsid w:val="00D349E4"/>
    <w:rsid w:val="00D56F87"/>
    <w:rsid w:val="00DA622F"/>
    <w:rsid w:val="00DB2B08"/>
    <w:rsid w:val="00DB37AD"/>
    <w:rsid w:val="00DC3D4F"/>
    <w:rsid w:val="00DE0256"/>
    <w:rsid w:val="00DE12D7"/>
    <w:rsid w:val="00DE7B20"/>
    <w:rsid w:val="00E250F4"/>
    <w:rsid w:val="00E43C8C"/>
    <w:rsid w:val="00E8284C"/>
    <w:rsid w:val="00E939AD"/>
    <w:rsid w:val="00EA7920"/>
    <w:rsid w:val="00EF6469"/>
    <w:rsid w:val="00F16F2E"/>
    <w:rsid w:val="00F628F8"/>
    <w:rsid w:val="00F95626"/>
    <w:rsid w:val="00FD7A76"/>
    <w:rsid w:val="00FE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57" w:unhideWhenUsed="1"/>
    <w:lsdException w:name="footer" w:semiHidden="1" w:uiPriority="57" w:unhideWhenUsed="1"/>
    <w:lsdException w:name="index heading" w:semiHidden="1" w:unhideWhenUsed="1"/>
    <w:lsdException w:name="caption" w:semiHidden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DD4F1F"/>
    <w:pPr>
      <w:jc w:val="both"/>
    </w:pPr>
    <w:rPr>
      <w:sz w:val="24"/>
      <w:szCs w:val="22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DD4F1F"/>
    <w:pPr>
      <w:spacing w:before="480"/>
      <w:contextualSpacing/>
      <w:outlineLvl w:val="0"/>
    </w:pPr>
    <w:rPr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DD4F1F"/>
    <w:pPr>
      <w:spacing w:before="200"/>
      <w:outlineLvl w:val="1"/>
    </w:pPr>
    <w:rPr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DD4F1F"/>
    <w:pPr>
      <w:spacing w:before="200" w:line="271" w:lineRule="auto"/>
      <w:outlineLvl w:val="2"/>
    </w:pPr>
    <w:rPr>
      <w:b/>
      <w:bCs/>
      <w:color w:val="5F5F5F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DD4F1F"/>
    <w:pPr>
      <w:spacing w:before="200"/>
      <w:outlineLvl w:val="3"/>
    </w:pPr>
    <w:rPr>
      <w:b/>
      <w:bCs/>
      <w:i/>
      <w:iCs/>
      <w:color w:val="777777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DD4F1F"/>
    <w:pPr>
      <w:spacing w:before="200"/>
      <w:outlineLvl w:val="4"/>
    </w:pPr>
    <w:rPr>
      <w:b/>
      <w:bCs/>
      <w:color w:val="808080"/>
      <w:sz w:val="22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DD4F1F"/>
    <w:pPr>
      <w:spacing w:line="271" w:lineRule="auto"/>
      <w:outlineLvl w:val="5"/>
    </w:pPr>
    <w:rPr>
      <w:b/>
      <w:bCs/>
      <w:i/>
      <w:iCs/>
      <w:color w:val="7F7F7F"/>
      <w:lang w:bidi="en-US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DD4F1F"/>
    <w:pPr>
      <w:outlineLvl w:val="6"/>
    </w:pPr>
    <w:rPr>
      <w:i/>
      <w:iCs/>
      <w:sz w:val="22"/>
      <w:lang w:bidi="en-US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DD4F1F"/>
    <w:pPr>
      <w:outlineLvl w:val="7"/>
    </w:pPr>
    <w:rPr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DD4F1F"/>
    <w:pPr>
      <w:outlineLvl w:val="8"/>
    </w:pPr>
    <w:rPr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Signed">
    <w:name w:val="Ju_Signed"/>
    <w:basedOn w:val="Normal"/>
    <w:next w:val="JuParaLast"/>
    <w:uiPriority w:val="32"/>
    <w:qFormat/>
    <w:rsid w:val="00DD4F1F"/>
    <w:pPr>
      <w:tabs>
        <w:tab w:val="center" w:pos="851"/>
        <w:tab w:val="center" w:pos="6407"/>
      </w:tabs>
      <w:spacing w:before="720"/>
      <w:jc w:val="left"/>
    </w:pPr>
  </w:style>
  <w:style w:type="paragraph" w:customStyle="1" w:styleId="ECHRPara">
    <w:name w:val="ECHR_Para"/>
    <w:aliases w:val="Ju_Para"/>
    <w:basedOn w:val="Normal"/>
    <w:link w:val="ECHRParaChar"/>
    <w:uiPriority w:val="12"/>
    <w:qFormat/>
    <w:rsid w:val="00DD4F1F"/>
    <w:pPr>
      <w:ind w:firstLine="284"/>
    </w:pPr>
  </w:style>
  <w:style w:type="character" w:styleId="PageNumber">
    <w:name w:val="page number"/>
    <w:uiPriority w:val="99"/>
    <w:semiHidden/>
    <w:rsid w:val="00E93FC7"/>
    <w:rPr>
      <w:sz w:val="18"/>
      <w:lang w:val="bg-BG" w:eastAsia="bg-BG"/>
    </w:rPr>
  </w:style>
  <w:style w:type="character" w:styleId="CommentReference">
    <w:name w:val="annotation reference"/>
    <w:uiPriority w:val="99"/>
    <w:semiHidden/>
    <w:rsid w:val="00E93FC7"/>
    <w:rPr>
      <w:sz w:val="16"/>
      <w:lang w:val="bg-BG" w:eastAsia="bg-BG"/>
    </w:rPr>
  </w:style>
  <w:style w:type="paragraph" w:styleId="CommentText">
    <w:name w:val="annotation text"/>
    <w:basedOn w:val="Normal"/>
    <w:link w:val="CommentTextChar"/>
    <w:semiHidden/>
    <w:rsid w:val="00E93FC7"/>
    <w:rPr>
      <w:sz w:val="20"/>
    </w:rPr>
  </w:style>
  <w:style w:type="character" w:customStyle="1" w:styleId="CommentTextChar">
    <w:name w:val="Comment Text Char"/>
    <w:link w:val="CommentText"/>
    <w:semiHidden/>
    <w:rsid w:val="00E93FC7"/>
    <w:rPr>
      <w:rFonts w:eastAsia="Times New Roman"/>
      <w:sz w:val="20"/>
      <w:lang w:val="bg-BG" w:eastAsia="bg-BG"/>
    </w:rPr>
  </w:style>
  <w:style w:type="paragraph" w:customStyle="1" w:styleId="DecHTitle">
    <w:name w:val="Dec_H_Title"/>
    <w:basedOn w:val="ECHRTitleCentre1"/>
    <w:uiPriority w:val="7"/>
    <w:qFormat/>
    <w:rsid w:val="00DD4F1F"/>
  </w:style>
  <w:style w:type="paragraph" w:customStyle="1" w:styleId="ECHRTitleCentre2">
    <w:name w:val="ECHR_Title_Centre_2"/>
    <w:aliases w:val="Dec_H_Case"/>
    <w:basedOn w:val="Normal"/>
    <w:next w:val="ECHRPara"/>
    <w:uiPriority w:val="8"/>
    <w:qFormat/>
    <w:rsid w:val="00DD4F1F"/>
    <w:pPr>
      <w:spacing w:after="240"/>
      <w:jc w:val="center"/>
      <w:outlineLvl w:val="0"/>
    </w:pPr>
  </w:style>
  <w:style w:type="paragraph" w:customStyle="1" w:styleId="JuTitle">
    <w:name w:val="Ju_Title"/>
    <w:basedOn w:val="Normal"/>
    <w:next w:val="ECHRPara"/>
    <w:uiPriority w:val="3"/>
    <w:qFormat/>
    <w:rsid w:val="00DD4F1F"/>
    <w:pPr>
      <w:spacing w:before="720" w:after="240"/>
      <w:jc w:val="center"/>
      <w:outlineLvl w:val="0"/>
    </w:pPr>
    <w:rPr>
      <w:b/>
      <w:caps/>
    </w:rPr>
  </w:style>
  <w:style w:type="paragraph" w:customStyle="1" w:styleId="ECHRHeader">
    <w:name w:val="ECHR_Header"/>
    <w:aliases w:val="Ju_Header"/>
    <w:basedOn w:val="Header"/>
    <w:uiPriority w:val="4"/>
    <w:qFormat/>
    <w:rsid w:val="00DD4F1F"/>
    <w:pPr>
      <w:tabs>
        <w:tab w:val="clear" w:pos="4536"/>
        <w:tab w:val="clear" w:pos="9072"/>
        <w:tab w:val="center" w:pos="3686"/>
        <w:tab w:val="right" w:pos="7371"/>
      </w:tabs>
      <w:jc w:val="left"/>
    </w:pPr>
    <w:rPr>
      <w:sz w:val="18"/>
    </w:rPr>
  </w:style>
  <w:style w:type="paragraph" w:styleId="Header">
    <w:name w:val="header"/>
    <w:basedOn w:val="Normal"/>
    <w:link w:val="HeaderChar"/>
    <w:uiPriority w:val="57"/>
    <w:semiHidden/>
    <w:rsid w:val="00DD4F1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57"/>
    <w:semiHidden/>
    <w:rsid w:val="00DD4F1F"/>
    <w:rPr>
      <w:sz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DD4F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4F1F"/>
    <w:rPr>
      <w:rFonts w:ascii="Tahoma" w:eastAsia="Times New Roman" w:hAnsi="Tahoma" w:cs="Tahoma"/>
      <w:sz w:val="16"/>
      <w:szCs w:val="16"/>
      <w:lang w:val="bg-BG" w:eastAsia="bg-BG"/>
    </w:rPr>
  </w:style>
  <w:style w:type="paragraph" w:customStyle="1" w:styleId="DummyStyle">
    <w:name w:val="Dummy_Style"/>
    <w:basedOn w:val="Normal"/>
    <w:semiHidden/>
    <w:qFormat/>
    <w:rsid w:val="00DD4F1F"/>
    <w:rPr>
      <w:color w:val="00B050"/>
    </w:rPr>
  </w:style>
  <w:style w:type="paragraph" w:customStyle="1" w:styleId="JuAppQuestion">
    <w:name w:val="Ju_App_Question"/>
    <w:basedOn w:val="Normal"/>
    <w:uiPriority w:val="5"/>
    <w:qFormat/>
    <w:rsid w:val="00DD4F1F"/>
    <w:pPr>
      <w:numPr>
        <w:numId w:val="19"/>
      </w:numPr>
      <w:jc w:val="left"/>
    </w:pPr>
    <w:rPr>
      <w:b/>
    </w:rPr>
  </w:style>
  <w:style w:type="paragraph" w:customStyle="1" w:styleId="ECHRParaQuote">
    <w:name w:val="ECHR_Para_Quote"/>
    <w:aliases w:val="Ju_Quot"/>
    <w:basedOn w:val="Normal"/>
    <w:uiPriority w:val="14"/>
    <w:qFormat/>
    <w:rsid w:val="00DD4F1F"/>
    <w:pPr>
      <w:spacing w:before="120" w:after="120"/>
      <w:ind w:left="425" w:firstLine="142"/>
    </w:pPr>
    <w:rPr>
      <w:sz w:val="20"/>
    </w:rPr>
  </w:style>
  <w:style w:type="paragraph" w:customStyle="1" w:styleId="JuCase">
    <w:name w:val="Ju_Case"/>
    <w:basedOn w:val="Normal"/>
    <w:next w:val="ECHRPara"/>
    <w:uiPriority w:val="10"/>
    <w:semiHidden/>
    <w:rsid w:val="00DD4F1F"/>
    <w:pPr>
      <w:ind w:firstLine="284"/>
    </w:pPr>
    <w:rPr>
      <w:b/>
    </w:rPr>
  </w:style>
  <w:style w:type="paragraph" w:customStyle="1" w:styleId="JuCourt">
    <w:name w:val="Ju_Court"/>
    <w:basedOn w:val="Normal"/>
    <w:next w:val="Normal"/>
    <w:uiPriority w:val="16"/>
    <w:qFormat/>
    <w:rsid w:val="00DD4F1F"/>
    <w:pPr>
      <w:tabs>
        <w:tab w:val="left" w:pos="907"/>
        <w:tab w:val="left" w:pos="1701"/>
        <w:tab w:val="right" w:pos="7371"/>
      </w:tabs>
      <w:spacing w:before="240"/>
      <w:ind w:left="397" w:hanging="397"/>
      <w:jc w:val="left"/>
    </w:pPr>
    <w:rPr>
      <w:lang w:bidi="en-US"/>
    </w:rPr>
  </w:style>
  <w:style w:type="paragraph" w:customStyle="1" w:styleId="JuHeaderLandscape">
    <w:name w:val="Ju_Header_Landscape"/>
    <w:basedOn w:val="ECHRHeader"/>
    <w:uiPriority w:val="4"/>
    <w:qFormat/>
    <w:rsid w:val="00DD4F1F"/>
    <w:pPr>
      <w:tabs>
        <w:tab w:val="clear" w:pos="3686"/>
        <w:tab w:val="clear" w:pos="7371"/>
        <w:tab w:val="center" w:pos="6146"/>
        <w:tab w:val="right" w:pos="12293"/>
      </w:tabs>
    </w:pPr>
  </w:style>
  <w:style w:type="paragraph" w:customStyle="1" w:styleId="JuInitialled">
    <w:name w:val="Ju_Initialled"/>
    <w:basedOn w:val="Normal"/>
    <w:uiPriority w:val="31"/>
    <w:qFormat/>
    <w:rsid w:val="00DD4F1F"/>
    <w:pPr>
      <w:tabs>
        <w:tab w:val="center" w:pos="6407"/>
      </w:tabs>
      <w:spacing w:before="720"/>
      <w:jc w:val="right"/>
    </w:pPr>
  </w:style>
  <w:style w:type="paragraph" w:customStyle="1" w:styleId="ECHRTitleCentre3">
    <w:name w:val="ECHR_Title_Centre_3"/>
    <w:aliases w:val="Ju_H_Article"/>
    <w:basedOn w:val="Normal"/>
    <w:next w:val="ECHRParaQuote"/>
    <w:uiPriority w:val="27"/>
    <w:qFormat/>
    <w:rsid w:val="00DD4F1F"/>
    <w:pPr>
      <w:keepNext/>
      <w:keepLines/>
      <w:spacing w:before="240" w:after="120"/>
      <w:jc w:val="center"/>
      <w:outlineLvl w:val="3"/>
    </w:pPr>
    <w:rPr>
      <w:b/>
      <w:sz w:val="20"/>
      <w:lang w:bidi="en-US"/>
    </w:rPr>
  </w:style>
  <w:style w:type="paragraph" w:customStyle="1" w:styleId="ECHRTitleCentre1">
    <w:name w:val="ECHR_Title_Centre_1"/>
    <w:aliases w:val="Opi_H_Head"/>
    <w:basedOn w:val="Normal"/>
    <w:next w:val="OpiPara"/>
    <w:uiPriority w:val="39"/>
    <w:qFormat/>
    <w:rsid w:val="00DD4F1F"/>
    <w:pPr>
      <w:keepNext/>
      <w:keepLines/>
      <w:spacing w:after="240"/>
      <w:jc w:val="center"/>
      <w:outlineLvl w:val="0"/>
    </w:pPr>
    <w:rPr>
      <w:sz w:val="28"/>
    </w:rPr>
  </w:style>
  <w:style w:type="character" w:customStyle="1" w:styleId="JuITMark">
    <w:name w:val="Ju_ITMark"/>
    <w:uiPriority w:val="38"/>
    <w:qFormat/>
    <w:rsid w:val="00DD4F1F"/>
    <w:rPr>
      <w:color w:val="000000"/>
      <w:sz w:val="14"/>
      <w:lang w:val="bg-BG" w:eastAsia="bg-BG"/>
    </w:rPr>
  </w:style>
  <w:style w:type="paragraph" w:customStyle="1" w:styleId="ECHRTitle1">
    <w:name w:val="ECHR_Title_1"/>
    <w:aliases w:val="Ju_H_Head"/>
    <w:basedOn w:val="Normal"/>
    <w:next w:val="ECHRPara"/>
    <w:uiPriority w:val="18"/>
    <w:qFormat/>
    <w:rsid w:val="00DD4F1F"/>
    <w:pPr>
      <w:keepNext/>
      <w:keepLines/>
      <w:spacing w:before="720" w:after="240"/>
      <w:outlineLvl w:val="0"/>
    </w:pPr>
    <w:rPr>
      <w:sz w:val="28"/>
    </w:rPr>
  </w:style>
  <w:style w:type="paragraph" w:customStyle="1" w:styleId="JuList">
    <w:name w:val="Ju_List"/>
    <w:basedOn w:val="Normal"/>
    <w:uiPriority w:val="28"/>
    <w:qFormat/>
    <w:rsid w:val="00DD4F1F"/>
    <w:pPr>
      <w:ind w:left="340" w:hanging="340"/>
    </w:pPr>
  </w:style>
  <w:style w:type="paragraph" w:customStyle="1" w:styleId="JuLista">
    <w:name w:val="Ju_List_a"/>
    <w:basedOn w:val="JuList"/>
    <w:uiPriority w:val="28"/>
    <w:qFormat/>
    <w:rsid w:val="00DD4F1F"/>
    <w:pPr>
      <w:ind w:left="346" w:firstLine="0"/>
    </w:pPr>
  </w:style>
  <w:style w:type="paragraph" w:customStyle="1" w:styleId="JuListi">
    <w:name w:val="Ju_List_i"/>
    <w:basedOn w:val="Normal"/>
    <w:next w:val="JuLista"/>
    <w:uiPriority w:val="28"/>
    <w:qFormat/>
    <w:rsid w:val="00DD4F1F"/>
    <w:pPr>
      <w:ind w:left="794"/>
    </w:pPr>
  </w:style>
  <w:style w:type="character" w:customStyle="1" w:styleId="JUNAMES">
    <w:name w:val="JU_NAMES"/>
    <w:uiPriority w:val="17"/>
    <w:qFormat/>
    <w:rsid w:val="00DD4F1F"/>
    <w:rPr>
      <w:smallCaps/>
      <w:lang w:val="bg-BG" w:eastAsia="bg-BG"/>
    </w:rPr>
  </w:style>
  <w:style w:type="paragraph" w:customStyle="1" w:styleId="JuParaSub">
    <w:name w:val="Ju_Para_Sub"/>
    <w:basedOn w:val="ECHRPara"/>
    <w:uiPriority w:val="13"/>
    <w:qFormat/>
    <w:rsid w:val="00DD4F1F"/>
    <w:pPr>
      <w:ind w:left="284"/>
    </w:pPr>
  </w:style>
  <w:style w:type="paragraph" w:customStyle="1" w:styleId="JuQuotSub">
    <w:name w:val="Ju_Quot_Sub"/>
    <w:basedOn w:val="ECHRParaQuote"/>
    <w:uiPriority w:val="15"/>
    <w:qFormat/>
    <w:rsid w:val="00DD4F1F"/>
    <w:pPr>
      <w:ind w:left="567"/>
    </w:pPr>
  </w:style>
  <w:style w:type="paragraph" w:customStyle="1" w:styleId="ECHRHeading1">
    <w:name w:val="ECHR_Heading_1"/>
    <w:aliases w:val="Ju_H_I_Roman"/>
    <w:basedOn w:val="Heading1"/>
    <w:next w:val="ECHRPara"/>
    <w:uiPriority w:val="19"/>
    <w:qFormat/>
    <w:rsid w:val="00DD4F1F"/>
    <w:pPr>
      <w:keepNext/>
      <w:keepLines/>
      <w:tabs>
        <w:tab w:val="left" w:pos="357"/>
      </w:tabs>
      <w:spacing w:before="360" w:after="240"/>
      <w:ind w:left="357" w:hanging="357"/>
      <w:contextualSpacing w:val="0"/>
    </w:pPr>
    <w:rPr>
      <w:b w:val="0"/>
      <w:color w:val="000000"/>
      <w:sz w:val="24"/>
    </w:rPr>
  </w:style>
  <w:style w:type="character" w:customStyle="1" w:styleId="Heading1Char">
    <w:name w:val="Heading 1 Char"/>
    <w:link w:val="Heading1"/>
    <w:uiPriority w:val="99"/>
    <w:semiHidden/>
    <w:rsid w:val="00DD4F1F"/>
    <w:rPr>
      <w:rFonts w:ascii="Times New Roman" w:eastAsia="Times New Roman" w:hAnsi="Times New Roman" w:cs="Times New Roman"/>
      <w:b/>
      <w:bCs/>
      <w:color w:val="333333"/>
      <w:sz w:val="28"/>
      <w:szCs w:val="28"/>
      <w:lang w:val="bg-BG" w:eastAsia="bg-BG"/>
    </w:rPr>
  </w:style>
  <w:style w:type="paragraph" w:customStyle="1" w:styleId="ECHRHeading2">
    <w:name w:val="ECHR_Heading_2"/>
    <w:aliases w:val="Ju_H_A"/>
    <w:basedOn w:val="Heading2"/>
    <w:next w:val="ECHRPara"/>
    <w:uiPriority w:val="20"/>
    <w:qFormat/>
    <w:rsid w:val="00DD4F1F"/>
    <w:pPr>
      <w:keepNext/>
      <w:keepLines/>
      <w:tabs>
        <w:tab w:val="left" w:pos="584"/>
      </w:tabs>
      <w:spacing w:before="360" w:after="240"/>
      <w:ind w:left="584" w:hanging="352"/>
    </w:pPr>
    <w:rPr>
      <w:color w:val="000000"/>
      <w:sz w:val="24"/>
    </w:rPr>
  </w:style>
  <w:style w:type="character" w:customStyle="1" w:styleId="Heading2Char">
    <w:name w:val="Heading 2 Char"/>
    <w:link w:val="Heading2"/>
    <w:uiPriority w:val="99"/>
    <w:semiHidden/>
    <w:rsid w:val="00DD4F1F"/>
    <w:rPr>
      <w:rFonts w:ascii="Times New Roman" w:eastAsia="Times New Roman" w:hAnsi="Times New Roman" w:cs="Times New Roman"/>
      <w:b/>
      <w:bCs/>
      <w:color w:val="4D4D4D"/>
      <w:sz w:val="26"/>
      <w:szCs w:val="26"/>
      <w:lang w:val="bg-BG" w:eastAsia="bg-BG"/>
    </w:rPr>
  </w:style>
  <w:style w:type="paragraph" w:customStyle="1" w:styleId="ECHRHeading3">
    <w:name w:val="ECHR_Heading_3"/>
    <w:aliases w:val="Ju_H_1."/>
    <w:basedOn w:val="Heading3"/>
    <w:next w:val="ECHRPara"/>
    <w:uiPriority w:val="21"/>
    <w:qFormat/>
    <w:rsid w:val="00DD4F1F"/>
    <w:pPr>
      <w:keepNext/>
      <w:keepLines/>
      <w:tabs>
        <w:tab w:val="left" w:pos="731"/>
      </w:tabs>
      <w:spacing w:before="240" w:after="120" w:line="240" w:lineRule="auto"/>
      <w:ind w:left="732" w:hanging="301"/>
    </w:pPr>
    <w:rPr>
      <w:b w:val="0"/>
      <w:i/>
      <w:color w:val="000000"/>
    </w:rPr>
  </w:style>
  <w:style w:type="character" w:customStyle="1" w:styleId="Heading3Char">
    <w:name w:val="Heading 3 Char"/>
    <w:link w:val="Heading3"/>
    <w:uiPriority w:val="99"/>
    <w:semiHidden/>
    <w:rsid w:val="00DD4F1F"/>
    <w:rPr>
      <w:rFonts w:ascii="Times New Roman" w:eastAsia="Times New Roman" w:hAnsi="Times New Roman" w:cs="Times New Roman"/>
      <w:b/>
      <w:bCs/>
      <w:color w:val="5F5F5F"/>
      <w:sz w:val="24"/>
      <w:lang w:val="bg-BG" w:eastAsia="bg-BG"/>
    </w:rPr>
  </w:style>
  <w:style w:type="paragraph" w:customStyle="1" w:styleId="ECHRHeading4">
    <w:name w:val="ECHR_Heading_4"/>
    <w:aliases w:val="Ju_H_a"/>
    <w:basedOn w:val="Heading4"/>
    <w:next w:val="ECHRPara"/>
    <w:uiPriority w:val="22"/>
    <w:qFormat/>
    <w:rsid w:val="00DD4F1F"/>
    <w:pPr>
      <w:keepNext/>
      <w:keepLines/>
      <w:tabs>
        <w:tab w:val="left" w:pos="975"/>
      </w:tabs>
      <w:spacing w:before="240" w:after="120"/>
      <w:ind w:left="975" w:hanging="340"/>
    </w:pPr>
    <w:rPr>
      <w:i w:val="0"/>
      <w:color w:val="000000"/>
      <w:sz w:val="20"/>
    </w:rPr>
  </w:style>
  <w:style w:type="character" w:customStyle="1" w:styleId="Heading4Char">
    <w:name w:val="Heading 4 Char"/>
    <w:link w:val="Heading4"/>
    <w:uiPriority w:val="99"/>
    <w:semiHidden/>
    <w:rsid w:val="00DD4F1F"/>
    <w:rPr>
      <w:rFonts w:ascii="Times New Roman" w:eastAsia="Times New Roman" w:hAnsi="Times New Roman" w:cs="Times New Roman"/>
      <w:b/>
      <w:bCs/>
      <w:i/>
      <w:iCs/>
      <w:color w:val="777777"/>
      <w:sz w:val="24"/>
      <w:lang w:val="bg-BG" w:eastAsia="bg-BG"/>
    </w:rPr>
  </w:style>
  <w:style w:type="paragraph" w:customStyle="1" w:styleId="ECHRHeading5">
    <w:name w:val="ECHR_Heading_5"/>
    <w:aliases w:val="Ju_H_i"/>
    <w:basedOn w:val="Heading5"/>
    <w:next w:val="ECHRPara"/>
    <w:uiPriority w:val="23"/>
    <w:qFormat/>
    <w:rsid w:val="00DD4F1F"/>
    <w:pPr>
      <w:keepNext/>
      <w:keepLines/>
      <w:tabs>
        <w:tab w:val="left" w:pos="1191"/>
      </w:tabs>
      <w:spacing w:before="240" w:after="120"/>
      <w:ind w:left="1190" w:hanging="357"/>
    </w:pPr>
    <w:rPr>
      <w:b w:val="0"/>
      <w:i/>
      <w:color w:val="000000"/>
      <w:sz w:val="20"/>
    </w:rPr>
  </w:style>
  <w:style w:type="character" w:customStyle="1" w:styleId="Heading5Char">
    <w:name w:val="Heading 5 Char"/>
    <w:link w:val="Heading5"/>
    <w:uiPriority w:val="99"/>
    <w:semiHidden/>
    <w:rsid w:val="00DD4F1F"/>
    <w:rPr>
      <w:rFonts w:ascii="Times New Roman" w:eastAsia="Times New Roman" w:hAnsi="Times New Roman" w:cs="Times New Roman"/>
      <w:b/>
      <w:bCs/>
      <w:color w:val="808080"/>
      <w:lang w:val="bg-BG" w:eastAsia="bg-BG"/>
    </w:rPr>
  </w:style>
  <w:style w:type="paragraph" w:customStyle="1" w:styleId="ECHRHeading6">
    <w:name w:val="ECHR_Heading_6"/>
    <w:aliases w:val="Ju_H_alpha"/>
    <w:basedOn w:val="Heading6"/>
    <w:next w:val="ECHRPara"/>
    <w:uiPriority w:val="24"/>
    <w:qFormat/>
    <w:rsid w:val="00DD4F1F"/>
    <w:pPr>
      <w:keepNext/>
      <w:keepLines/>
      <w:tabs>
        <w:tab w:val="left" w:pos="1372"/>
      </w:tabs>
      <w:spacing w:before="240" w:after="120" w:line="240" w:lineRule="auto"/>
      <w:ind w:left="1373" w:hanging="335"/>
    </w:pPr>
    <w:rPr>
      <w:b w:val="0"/>
      <w:i w:val="0"/>
      <w:color w:val="000000"/>
      <w:sz w:val="20"/>
    </w:rPr>
  </w:style>
  <w:style w:type="character" w:customStyle="1" w:styleId="Heading6Char">
    <w:name w:val="Heading 6 Char"/>
    <w:link w:val="Heading6"/>
    <w:uiPriority w:val="99"/>
    <w:semiHidden/>
    <w:rsid w:val="00DD4F1F"/>
    <w:rPr>
      <w:rFonts w:ascii="Times New Roman" w:eastAsia="Times New Roman" w:hAnsi="Times New Roman" w:cs="Times New Roman"/>
      <w:b/>
      <w:bCs/>
      <w:i/>
      <w:iCs/>
      <w:color w:val="7F7F7F"/>
      <w:sz w:val="24"/>
      <w:lang w:val="bg-BG" w:eastAsia="bg-BG" w:bidi="en-US"/>
    </w:rPr>
  </w:style>
  <w:style w:type="paragraph" w:customStyle="1" w:styleId="ECHRHeading7">
    <w:name w:val="ECHR_Heading_7"/>
    <w:aliases w:val="Ju_H_–"/>
    <w:basedOn w:val="Heading7"/>
    <w:next w:val="ECHRPara"/>
    <w:uiPriority w:val="25"/>
    <w:qFormat/>
    <w:rsid w:val="00DD4F1F"/>
    <w:pPr>
      <w:keepNext/>
      <w:keepLines/>
      <w:spacing w:before="240" w:after="120"/>
      <w:ind w:left="1236"/>
    </w:pPr>
    <w:rPr>
      <w:sz w:val="20"/>
    </w:rPr>
  </w:style>
  <w:style w:type="character" w:customStyle="1" w:styleId="Heading7Char">
    <w:name w:val="Heading 7 Char"/>
    <w:link w:val="Heading7"/>
    <w:uiPriority w:val="99"/>
    <w:semiHidden/>
    <w:rsid w:val="00DD4F1F"/>
    <w:rPr>
      <w:rFonts w:ascii="Times New Roman" w:eastAsia="Times New Roman" w:hAnsi="Times New Roman" w:cs="Times New Roman"/>
      <w:i/>
      <w:iCs/>
      <w:lang w:val="bg-BG" w:eastAsia="bg-BG" w:bidi="en-US"/>
    </w:rPr>
  </w:style>
  <w:style w:type="paragraph" w:customStyle="1" w:styleId="JuParaLast">
    <w:name w:val="Ju_Para_Last"/>
    <w:basedOn w:val="Normal"/>
    <w:next w:val="ECHRPara"/>
    <w:uiPriority w:val="30"/>
    <w:qFormat/>
    <w:rsid w:val="00DD4F1F"/>
    <w:pPr>
      <w:keepNext/>
      <w:keepLines/>
      <w:spacing w:before="240"/>
      <w:ind w:firstLine="284"/>
    </w:pPr>
  </w:style>
  <w:style w:type="paragraph" w:customStyle="1" w:styleId="DecList">
    <w:name w:val="Dec_List"/>
    <w:basedOn w:val="Normal"/>
    <w:uiPriority w:val="9"/>
    <w:qFormat/>
    <w:rsid w:val="00DD4F1F"/>
    <w:pPr>
      <w:spacing w:before="240"/>
      <w:ind w:left="284"/>
    </w:pPr>
  </w:style>
  <w:style w:type="paragraph" w:customStyle="1" w:styleId="ECHRDecisionBody">
    <w:name w:val="ECHR_Decision_Body"/>
    <w:aliases w:val="Ju_Judges"/>
    <w:basedOn w:val="Normal"/>
    <w:uiPriority w:val="11"/>
    <w:qFormat/>
    <w:rsid w:val="00DD4F1F"/>
    <w:pPr>
      <w:tabs>
        <w:tab w:val="left" w:pos="567"/>
        <w:tab w:val="left" w:pos="1134"/>
      </w:tabs>
      <w:jc w:val="left"/>
    </w:pPr>
  </w:style>
  <w:style w:type="paragraph" w:customStyle="1" w:styleId="OpiH1">
    <w:name w:val="Opi_H_1"/>
    <w:basedOn w:val="ECHRHeading2"/>
    <w:uiPriority w:val="42"/>
    <w:semiHidden/>
    <w:qFormat/>
    <w:rsid w:val="00DD4F1F"/>
    <w:pPr>
      <w:ind w:left="635" w:hanging="357"/>
      <w:outlineLvl w:val="2"/>
    </w:pPr>
  </w:style>
  <w:style w:type="paragraph" w:customStyle="1" w:styleId="OpiHa">
    <w:name w:val="Opi_H_a"/>
    <w:basedOn w:val="ECHRHeading3"/>
    <w:uiPriority w:val="43"/>
    <w:semiHidden/>
    <w:qFormat/>
    <w:rsid w:val="00DD4F1F"/>
    <w:pPr>
      <w:ind w:left="833" w:hanging="357"/>
      <w:outlineLvl w:val="3"/>
    </w:pPr>
    <w:rPr>
      <w:b/>
      <w:i w:val="0"/>
      <w:sz w:val="20"/>
    </w:rPr>
  </w:style>
  <w:style w:type="paragraph" w:customStyle="1" w:styleId="OpiHA0">
    <w:name w:val="Opi_H_A"/>
    <w:basedOn w:val="ECHRHeading1"/>
    <w:next w:val="OpiPara"/>
    <w:uiPriority w:val="41"/>
    <w:semiHidden/>
    <w:qFormat/>
    <w:rsid w:val="00DD4F1F"/>
    <w:pPr>
      <w:tabs>
        <w:tab w:val="clear" w:pos="357"/>
      </w:tabs>
      <w:outlineLvl w:val="1"/>
    </w:pPr>
    <w:rPr>
      <w:b/>
    </w:rPr>
  </w:style>
  <w:style w:type="paragraph" w:customStyle="1" w:styleId="OpiHi">
    <w:name w:val="Opi_H_i"/>
    <w:basedOn w:val="ECHRHeading4"/>
    <w:uiPriority w:val="44"/>
    <w:semiHidden/>
    <w:qFormat/>
    <w:rsid w:val="00DD4F1F"/>
    <w:pPr>
      <w:ind w:left="1037" w:hanging="357"/>
      <w:outlineLvl w:val="4"/>
    </w:pPr>
    <w:rPr>
      <w:b w:val="0"/>
      <w:i/>
    </w:rPr>
  </w:style>
  <w:style w:type="paragraph" w:customStyle="1" w:styleId="OpiPara">
    <w:name w:val="Opi_Para"/>
    <w:basedOn w:val="ECHRPara"/>
    <w:uiPriority w:val="46"/>
    <w:semiHidden/>
    <w:qFormat/>
    <w:rsid w:val="00DD4F1F"/>
  </w:style>
  <w:style w:type="paragraph" w:customStyle="1" w:styleId="OpiParaSub">
    <w:name w:val="Opi_Para_Sub"/>
    <w:basedOn w:val="JuParaSub"/>
    <w:uiPriority w:val="47"/>
    <w:semiHidden/>
    <w:qFormat/>
    <w:rsid w:val="00DD4F1F"/>
  </w:style>
  <w:style w:type="character" w:customStyle="1" w:styleId="Heading8Char">
    <w:name w:val="Heading 8 Char"/>
    <w:link w:val="Heading8"/>
    <w:uiPriority w:val="99"/>
    <w:semiHidden/>
    <w:rsid w:val="00DD4F1F"/>
    <w:rPr>
      <w:rFonts w:ascii="Times New Roman" w:eastAsia="Times New Roman" w:hAnsi="Times New Roman" w:cs="Times New Roman"/>
      <w:sz w:val="20"/>
      <w:szCs w:val="20"/>
      <w:lang w:val="bg-BG" w:eastAsia="bg-BG" w:bidi="en-US"/>
    </w:rPr>
  </w:style>
  <w:style w:type="character" w:customStyle="1" w:styleId="Heading9Char">
    <w:name w:val="Heading 9 Char"/>
    <w:link w:val="Heading9"/>
    <w:uiPriority w:val="99"/>
    <w:semiHidden/>
    <w:rsid w:val="00DD4F1F"/>
    <w:rPr>
      <w:rFonts w:ascii="Times New Roman" w:eastAsia="Times New Roman" w:hAnsi="Times New Roman" w:cs="Times New Roman"/>
      <w:i/>
      <w:iCs/>
      <w:spacing w:val="5"/>
      <w:sz w:val="20"/>
      <w:szCs w:val="20"/>
      <w:lang w:val="bg-BG" w:eastAsia="bg-BG" w:bidi="en-US"/>
    </w:rPr>
  </w:style>
  <w:style w:type="paragraph" w:styleId="Title">
    <w:name w:val="Title"/>
    <w:basedOn w:val="Normal"/>
    <w:next w:val="Normal"/>
    <w:link w:val="TitleChar"/>
    <w:uiPriority w:val="99"/>
    <w:semiHidden/>
    <w:qFormat/>
    <w:rsid w:val="00DD4F1F"/>
    <w:pPr>
      <w:pBdr>
        <w:bottom w:val="single" w:sz="4" w:space="1" w:color="auto"/>
      </w:pBdr>
      <w:contextualSpacing/>
    </w:pPr>
    <w:rPr>
      <w:spacing w:val="5"/>
      <w:sz w:val="52"/>
      <w:szCs w:val="52"/>
      <w:lang w:bidi="en-US"/>
    </w:rPr>
  </w:style>
  <w:style w:type="character" w:customStyle="1" w:styleId="TitleChar">
    <w:name w:val="Title Char"/>
    <w:link w:val="Title"/>
    <w:uiPriority w:val="99"/>
    <w:semiHidden/>
    <w:rsid w:val="00DD4F1F"/>
    <w:rPr>
      <w:rFonts w:ascii="Times New Roman" w:eastAsia="Times New Roman" w:hAnsi="Times New Roman" w:cs="Times New Roman"/>
      <w:spacing w:val="5"/>
      <w:sz w:val="52"/>
      <w:szCs w:val="52"/>
      <w:lang w:val="bg-BG" w:eastAsia="bg-BG" w:bidi="en-US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DD4F1F"/>
    <w:pPr>
      <w:spacing w:after="600"/>
    </w:pPr>
    <w:rPr>
      <w:i/>
      <w:iCs/>
      <w:spacing w:val="13"/>
      <w:szCs w:val="24"/>
      <w:lang w:bidi="en-US"/>
    </w:rPr>
  </w:style>
  <w:style w:type="character" w:customStyle="1" w:styleId="SubtitleChar">
    <w:name w:val="Subtitle Char"/>
    <w:link w:val="Subtitle"/>
    <w:uiPriority w:val="99"/>
    <w:semiHidden/>
    <w:rsid w:val="00DD4F1F"/>
    <w:rPr>
      <w:rFonts w:ascii="Times New Roman" w:eastAsia="Times New Roman" w:hAnsi="Times New Roman" w:cs="Times New Roman"/>
      <w:i/>
      <w:iCs/>
      <w:spacing w:val="13"/>
      <w:sz w:val="24"/>
      <w:szCs w:val="24"/>
      <w:lang w:val="bg-BG" w:eastAsia="bg-BG" w:bidi="en-US"/>
    </w:rPr>
  </w:style>
  <w:style w:type="character" w:styleId="Strong">
    <w:name w:val="Strong"/>
    <w:uiPriority w:val="99"/>
    <w:semiHidden/>
    <w:qFormat/>
    <w:rsid w:val="00DD4F1F"/>
    <w:rPr>
      <w:b/>
      <w:bCs/>
      <w:lang w:val="bg-BG" w:eastAsia="bg-BG"/>
    </w:rPr>
  </w:style>
  <w:style w:type="character" w:styleId="Emphasis">
    <w:name w:val="Emphasis"/>
    <w:uiPriority w:val="99"/>
    <w:semiHidden/>
    <w:qFormat/>
    <w:rsid w:val="00DD4F1F"/>
    <w:rPr>
      <w:b/>
      <w:bCs/>
      <w:i/>
      <w:iCs/>
      <w:spacing w:val="10"/>
      <w:bdr w:val="none" w:sz="0" w:space="0" w:color="auto"/>
      <w:lang w:val="bg-BG" w:eastAsia="bg-BG"/>
    </w:rPr>
  </w:style>
  <w:style w:type="paragraph" w:styleId="NoSpacing">
    <w:name w:val="No Spacing"/>
    <w:basedOn w:val="Normal"/>
    <w:link w:val="NoSpacingChar"/>
    <w:semiHidden/>
    <w:qFormat/>
    <w:rsid w:val="00DD4F1F"/>
    <w:rPr>
      <w:sz w:val="22"/>
    </w:rPr>
  </w:style>
  <w:style w:type="character" w:customStyle="1" w:styleId="NoSpacingChar">
    <w:name w:val="No Spacing Char"/>
    <w:link w:val="NoSpacing"/>
    <w:semiHidden/>
    <w:rsid w:val="00DD4F1F"/>
    <w:rPr>
      <w:rFonts w:eastAsia="Times New Roman"/>
      <w:lang w:val="bg-BG" w:eastAsia="bg-BG"/>
    </w:rPr>
  </w:style>
  <w:style w:type="paragraph" w:styleId="ListParagraph">
    <w:name w:val="List Paragraph"/>
    <w:basedOn w:val="Normal"/>
    <w:uiPriority w:val="99"/>
    <w:semiHidden/>
    <w:qFormat/>
    <w:rsid w:val="00DD4F1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semiHidden/>
    <w:qFormat/>
    <w:rsid w:val="00DD4F1F"/>
    <w:pPr>
      <w:spacing w:before="200"/>
      <w:ind w:left="360" w:right="360"/>
    </w:pPr>
    <w:rPr>
      <w:i/>
      <w:iCs/>
      <w:sz w:val="22"/>
      <w:lang w:bidi="en-US"/>
    </w:rPr>
  </w:style>
  <w:style w:type="character" w:customStyle="1" w:styleId="QuoteChar">
    <w:name w:val="Quote Char"/>
    <w:link w:val="Quote"/>
    <w:uiPriority w:val="99"/>
    <w:semiHidden/>
    <w:rsid w:val="00DD4F1F"/>
    <w:rPr>
      <w:rFonts w:eastAsia="Times New Roman"/>
      <w:i/>
      <w:iCs/>
      <w:lang w:val="bg-BG" w:eastAsia="bg-BG" w:bidi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DD4F1F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2"/>
      <w:lang w:bidi="en-US"/>
    </w:rPr>
  </w:style>
  <w:style w:type="character" w:customStyle="1" w:styleId="IntenseQuoteChar">
    <w:name w:val="Intense Quote Char"/>
    <w:link w:val="IntenseQuote"/>
    <w:uiPriority w:val="99"/>
    <w:semiHidden/>
    <w:rsid w:val="00DD4F1F"/>
    <w:rPr>
      <w:rFonts w:eastAsia="Times New Roman"/>
      <w:b/>
      <w:bCs/>
      <w:i/>
      <w:iCs/>
      <w:lang w:val="bg-BG" w:eastAsia="bg-BG" w:bidi="en-US"/>
    </w:rPr>
  </w:style>
  <w:style w:type="character" w:styleId="SubtleEmphasis">
    <w:name w:val="Subtle Emphasis"/>
    <w:uiPriority w:val="99"/>
    <w:semiHidden/>
    <w:qFormat/>
    <w:rsid w:val="00DD4F1F"/>
    <w:rPr>
      <w:i/>
      <w:iCs/>
      <w:lang w:val="bg-BG" w:eastAsia="bg-BG"/>
    </w:rPr>
  </w:style>
  <w:style w:type="character" w:styleId="IntenseEmphasis">
    <w:name w:val="Intense Emphasis"/>
    <w:uiPriority w:val="99"/>
    <w:semiHidden/>
    <w:qFormat/>
    <w:rsid w:val="00DD4F1F"/>
    <w:rPr>
      <w:b/>
      <w:bCs/>
      <w:lang w:val="bg-BG" w:eastAsia="bg-BG"/>
    </w:rPr>
  </w:style>
  <w:style w:type="character" w:styleId="SubtleReference">
    <w:name w:val="Subtle Reference"/>
    <w:uiPriority w:val="99"/>
    <w:semiHidden/>
    <w:qFormat/>
    <w:rsid w:val="00DD4F1F"/>
    <w:rPr>
      <w:smallCaps/>
      <w:lang w:val="bg-BG" w:eastAsia="bg-BG"/>
    </w:rPr>
  </w:style>
  <w:style w:type="character" w:styleId="IntenseReference">
    <w:name w:val="Intense Reference"/>
    <w:uiPriority w:val="99"/>
    <w:semiHidden/>
    <w:qFormat/>
    <w:rsid w:val="00DD4F1F"/>
    <w:rPr>
      <w:smallCaps/>
      <w:spacing w:val="5"/>
      <w:u w:val="single"/>
      <w:lang w:val="bg-BG" w:eastAsia="bg-BG"/>
    </w:rPr>
  </w:style>
  <w:style w:type="character" w:styleId="BookTitle">
    <w:name w:val="Book Title"/>
    <w:uiPriority w:val="99"/>
    <w:semiHidden/>
    <w:qFormat/>
    <w:rsid w:val="00DD4F1F"/>
    <w:rPr>
      <w:i/>
      <w:iCs/>
      <w:smallCaps/>
      <w:spacing w:val="5"/>
      <w:lang w:val="bg-BG" w:eastAsia="bg-BG"/>
    </w:rPr>
  </w:style>
  <w:style w:type="paragraph" w:styleId="TOCHeading">
    <w:name w:val="TOC Heading"/>
    <w:basedOn w:val="Normal"/>
    <w:next w:val="Normal"/>
    <w:uiPriority w:val="99"/>
    <w:semiHidden/>
    <w:qFormat/>
    <w:rsid w:val="00DD4F1F"/>
    <w:pPr>
      <w:keepNext/>
      <w:keepLines/>
      <w:spacing w:before="240"/>
      <w:contextualSpacing/>
      <w:jc w:val="center"/>
    </w:pPr>
    <w:rPr>
      <w:b/>
      <w:color w:val="474747"/>
      <w:sz w:val="28"/>
    </w:rPr>
  </w:style>
  <w:style w:type="numbering" w:styleId="111111">
    <w:name w:val="Outline List 2"/>
    <w:basedOn w:val="NoList"/>
    <w:uiPriority w:val="99"/>
    <w:semiHidden/>
    <w:unhideWhenUsed/>
    <w:rsid w:val="00E93FC7"/>
    <w:pPr>
      <w:numPr>
        <w:numId w:val="3"/>
      </w:numPr>
    </w:pPr>
  </w:style>
  <w:style w:type="numbering" w:styleId="1ai">
    <w:name w:val="Outline List 1"/>
    <w:basedOn w:val="NoList"/>
    <w:uiPriority w:val="99"/>
    <w:semiHidden/>
    <w:unhideWhenUsed/>
    <w:rsid w:val="00E93FC7"/>
    <w:pPr>
      <w:numPr>
        <w:numId w:val="4"/>
      </w:numPr>
    </w:pPr>
  </w:style>
  <w:style w:type="numbering" w:styleId="ArticleSection">
    <w:name w:val="Outline List 3"/>
    <w:basedOn w:val="NoList"/>
    <w:uiPriority w:val="99"/>
    <w:semiHidden/>
    <w:unhideWhenUsed/>
    <w:rsid w:val="00E93FC7"/>
    <w:pPr>
      <w:numPr>
        <w:numId w:val="5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E93FC7"/>
  </w:style>
  <w:style w:type="paragraph" w:styleId="BlockText">
    <w:name w:val="Block Text"/>
    <w:basedOn w:val="Normal"/>
    <w:uiPriority w:val="99"/>
    <w:semiHidden/>
    <w:unhideWhenUsed/>
    <w:rsid w:val="00E93FC7"/>
    <w:pPr>
      <w:pBdr>
        <w:top w:val="single" w:sz="2" w:space="10" w:color="0072BC" w:frame="1"/>
        <w:left w:val="single" w:sz="2" w:space="10" w:color="0072BC" w:frame="1"/>
        <w:bottom w:val="single" w:sz="2" w:space="10" w:color="0072BC" w:frame="1"/>
        <w:right w:val="single" w:sz="2" w:space="10" w:color="0072BC" w:frame="1"/>
      </w:pBdr>
      <w:ind w:left="1152" w:right="1152"/>
    </w:pPr>
    <w:rPr>
      <w:i/>
      <w:iCs/>
      <w:color w:val="0072BC"/>
    </w:rPr>
  </w:style>
  <w:style w:type="paragraph" w:styleId="BodyText">
    <w:name w:val="Body Text"/>
    <w:basedOn w:val="Normal"/>
    <w:link w:val="BodyTextChar"/>
    <w:uiPriority w:val="99"/>
    <w:semiHidden/>
    <w:unhideWhenUsed/>
    <w:rsid w:val="00E93FC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E93FC7"/>
    <w:rPr>
      <w:rFonts w:eastAsia="Times New Roman"/>
      <w:sz w:val="24"/>
      <w:lang w:val="bg-BG" w:eastAsia="bg-BG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93FC7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E93FC7"/>
    <w:rPr>
      <w:rFonts w:eastAsia="Times New Roman"/>
      <w:sz w:val="24"/>
      <w:lang w:val="bg-BG" w:eastAsia="bg-BG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93FC7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93FC7"/>
    <w:rPr>
      <w:rFonts w:eastAsia="Times New Roman"/>
      <w:sz w:val="16"/>
      <w:szCs w:val="16"/>
      <w:lang w:val="bg-BG" w:eastAsia="bg-BG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93FC7"/>
    <w:p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E93FC7"/>
    <w:rPr>
      <w:rFonts w:eastAsia="Times New Roman"/>
      <w:sz w:val="24"/>
      <w:lang w:val="bg-BG" w:eastAsia="bg-BG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93FC7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E93FC7"/>
    <w:rPr>
      <w:rFonts w:eastAsia="Times New Roman"/>
      <w:sz w:val="24"/>
      <w:lang w:val="bg-BG" w:eastAsia="bg-BG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93FC7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E93FC7"/>
    <w:rPr>
      <w:rFonts w:eastAsia="Times New Roman"/>
      <w:sz w:val="24"/>
      <w:lang w:val="bg-BG" w:eastAsia="bg-BG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93FC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E93FC7"/>
    <w:rPr>
      <w:rFonts w:eastAsia="Times New Roman"/>
      <w:sz w:val="24"/>
      <w:lang w:val="bg-BG" w:eastAsia="bg-BG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93FC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E93FC7"/>
    <w:rPr>
      <w:rFonts w:eastAsia="Times New Roman"/>
      <w:sz w:val="16"/>
      <w:szCs w:val="16"/>
      <w:lang w:val="bg-BG" w:eastAsia="bg-BG"/>
    </w:rPr>
  </w:style>
  <w:style w:type="paragraph" w:styleId="Caption">
    <w:name w:val="caption"/>
    <w:basedOn w:val="Normal"/>
    <w:next w:val="Normal"/>
    <w:uiPriority w:val="99"/>
    <w:semiHidden/>
    <w:qFormat/>
    <w:rsid w:val="00E93FC7"/>
    <w:pPr>
      <w:spacing w:after="200"/>
    </w:pPr>
    <w:rPr>
      <w:b/>
      <w:bCs/>
      <w:color w:val="0072BC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93FC7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E93FC7"/>
    <w:rPr>
      <w:rFonts w:eastAsia="Times New Roman"/>
      <w:sz w:val="24"/>
      <w:lang w:val="bg-BG" w:eastAsia="bg-BG"/>
    </w:rPr>
  </w:style>
  <w:style w:type="table" w:styleId="ColorfulGrid">
    <w:name w:val="Colorful Grid"/>
    <w:basedOn w:val="TableNormal"/>
    <w:uiPriority w:val="73"/>
    <w:semiHidden/>
    <w:rsid w:val="00E93FC7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0072BC"/>
      </w:rPr>
      <w:tblPr/>
      <w:tcPr>
        <w:shd w:val="clear" w:color="auto" w:fill="000000"/>
      </w:tcPr>
    </w:tblStylePr>
    <w:tblStylePr w:type="lastCol">
      <w:rPr>
        <w:color w:val="0072BC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semiHidden/>
    <w:rsid w:val="00E93FC7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BEE5FF"/>
    </w:tcPr>
    <w:tblStylePr w:type="firstRow">
      <w:rPr>
        <w:b/>
        <w:bCs/>
      </w:rPr>
      <w:tblPr/>
      <w:tcPr>
        <w:shd w:val="clear" w:color="auto" w:fill="7ECBFF"/>
      </w:tcPr>
    </w:tblStylePr>
    <w:tblStylePr w:type="lastRow">
      <w:rPr>
        <w:b/>
        <w:bCs/>
        <w:color w:val="000000"/>
      </w:rPr>
      <w:tblPr/>
      <w:tcPr>
        <w:shd w:val="clear" w:color="auto" w:fill="7ECBFF"/>
      </w:tcPr>
    </w:tblStylePr>
    <w:tblStylePr w:type="firstCol">
      <w:rPr>
        <w:color w:val="0072BC"/>
      </w:rPr>
      <w:tblPr/>
      <w:tcPr>
        <w:shd w:val="clear" w:color="auto" w:fill="00548C"/>
      </w:tcPr>
    </w:tblStylePr>
    <w:tblStylePr w:type="lastCol">
      <w:rPr>
        <w:color w:val="0072BC"/>
      </w:rPr>
      <w:tblPr/>
      <w:tcPr>
        <w:shd w:val="clear" w:color="auto" w:fill="00548C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styleId="ColorfulGrid-Accent2">
    <w:name w:val="Colorful Grid Accent 2"/>
    <w:basedOn w:val="TableNormal"/>
    <w:uiPriority w:val="73"/>
    <w:semiHidden/>
    <w:rsid w:val="00E93FC7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FFBFBF"/>
    </w:tcPr>
    <w:tblStylePr w:type="firstRow">
      <w:rPr>
        <w:b/>
        <w:bCs/>
      </w:rPr>
      <w:tblPr/>
      <w:tcPr>
        <w:shd w:val="clear" w:color="auto" w:fill="FF7F7F"/>
      </w:tcPr>
    </w:tblStylePr>
    <w:tblStylePr w:type="lastRow">
      <w:rPr>
        <w:b/>
        <w:bCs/>
        <w:color w:val="000000"/>
      </w:rPr>
      <w:tblPr/>
      <w:tcPr>
        <w:shd w:val="clear" w:color="auto" w:fill="FF7F7F"/>
      </w:tcPr>
    </w:tblStylePr>
    <w:tblStylePr w:type="firstCol">
      <w:rPr>
        <w:color w:val="0072BC"/>
      </w:rPr>
      <w:tblPr/>
      <w:tcPr>
        <w:shd w:val="clear" w:color="auto" w:fill="8F0000"/>
      </w:tcPr>
    </w:tblStylePr>
    <w:tblStylePr w:type="lastCol">
      <w:rPr>
        <w:color w:val="0072BC"/>
      </w:rPr>
      <w:tblPr/>
      <w:tcPr>
        <w:shd w:val="clear" w:color="auto" w:fill="8F0000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styleId="ColorfulGrid-Accent3">
    <w:name w:val="Colorful Grid Accent 3"/>
    <w:basedOn w:val="TableNormal"/>
    <w:uiPriority w:val="73"/>
    <w:semiHidden/>
    <w:rsid w:val="00E93FC7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ColorfulGrid-Accent4">
    <w:name w:val="Colorful Grid Accent 4"/>
    <w:basedOn w:val="TableNormal"/>
    <w:uiPriority w:val="73"/>
    <w:semiHidden/>
    <w:rsid w:val="00E93FC7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EAEAEA"/>
    </w:tcPr>
    <w:tblStylePr w:type="firstRow">
      <w:rPr>
        <w:b/>
        <w:bCs/>
      </w:rPr>
      <w:tblPr/>
      <w:tcPr>
        <w:shd w:val="clear" w:color="auto" w:fill="D5D5D5"/>
      </w:tcPr>
    </w:tblStylePr>
    <w:tblStylePr w:type="lastRow">
      <w:rPr>
        <w:b/>
        <w:bCs/>
        <w:color w:val="000000"/>
      </w:rPr>
      <w:tblPr/>
      <w:tcPr>
        <w:shd w:val="clear" w:color="auto" w:fill="D5D5D5"/>
      </w:tcPr>
    </w:tblStylePr>
    <w:tblStylePr w:type="firstCol">
      <w:rPr>
        <w:color w:val="0072BC"/>
      </w:rPr>
      <w:tblPr/>
      <w:tcPr>
        <w:shd w:val="clear" w:color="auto" w:fill="707070"/>
      </w:tcPr>
    </w:tblStylePr>
    <w:tblStylePr w:type="lastCol">
      <w:rPr>
        <w:color w:val="0072BC"/>
      </w:rPr>
      <w:tblPr/>
      <w:tcPr>
        <w:shd w:val="clear" w:color="auto" w:fill="707070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styleId="ColorfulGrid-Accent5">
    <w:name w:val="Colorful Grid Accent 5"/>
    <w:basedOn w:val="TableNormal"/>
    <w:uiPriority w:val="73"/>
    <w:semiHidden/>
    <w:rsid w:val="00E93FC7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ColorfulGrid-Accent6">
    <w:name w:val="Colorful Grid Accent 6"/>
    <w:basedOn w:val="TableNormal"/>
    <w:uiPriority w:val="73"/>
    <w:semiHidden/>
    <w:rsid w:val="00E93FC7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BDBDB"/>
    </w:tcPr>
    <w:tblStylePr w:type="firstRow">
      <w:rPr>
        <w:b/>
        <w:bCs/>
      </w:rPr>
      <w:tblPr/>
      <w:tcPr>
        <w:shd w:val="clear" w:color="auto" w:fill="B7B7B7"/>
      </w:tcPr>
    </w:tblStylePr>
    <w:tblStylePr w:type="lastRow">
      <w:rPr>
        <w:b/>
        <w:bCs/>
        <w:color w:val="000000"/>
      </w:rPr>
      <w:tblPr/>
      <w:tcPr>
        <w:shd w:val="clear" w:color="auto" w:fill="B7B7B7"/>
      </w:tcPr>
    </w:tblStylePr>
    <w:tblStylePr w:type="firstCol">
      <w:rPr>
        <w:color w:val="0072BC"/>
      </w:rPr>
      <w:tblPr/>
      <w:tcPr>
        <w:shd w:val="clear" w:color="auto" w:fill="393939"/>
      </w:tcPr>
    </w:tblStylePr>
    <w:tblStylePr w:type="lastCol">
      <w:rPr>
        <w:color w:val="0072BC"/>
      </w:rPr>
      <w:tblPr/>
      <w:tcPr>
        <w:shd w:val="clear" w:color="auto" w:fill="393939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styleId="ColorfulList">
    <w:name w:val="Colorful List"/>
    <w:basedOn w:val="TableNormal"/>
    <w:uiPriority w:val="72"/>
    <w:semiHidden/>
    <w:rsid w:val="00E93FC7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semiHidden/>
    <w:rsid w:val="00E93FC7"/>
    <w:rPr>
      <w:color w:val="000000"/>
    </w:rPr>
    <w:tblPr>
      <w:tblStyleRowBandSize w:val="1"/>
      <w:tblStyleColBandSize w:val="1"/>
    </w:tblPr>
    <w:tcPr>
      <w:shd w:val="clear" w:color="auto" w:fill="DFF2F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shd w:val="clear" w:color="auto" w:fill="BEE5FF"/>
      </w:tcPr>
    </w:tblStylePr>
  </w:style>
  <w:style w:type="table" w:styleId="ColorfulList-Accent2">
    <w:name w:val="Colorful List Accent 2"/>
    <w:basedOn w:val="TableNormal"/>
    <w:uiPriority w:val="72"/>
    <w:semiHidden/>
    <w:rsid w:val="00E93FC7"/>
    <w:rPr>
      <w:color w:val="000000"/>
    </w:rPr>
    <w:tblPr>
      <w:tblStyleRowBandSize w:val="1"/>
      <w:tblStyleColBandSize w:val="1"/>
    </w:tblPr>
    <w:tcPr>
      <w:shd w:val="clear" w:color="auto" w:fill="FFDFD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shd w:val="clear" w:color="auto" w:fill="FFBFBF"/>
      </w:tcPr>
    </w:tblStylePr>
  </w:style>
  <w:style w:type="table" w:styleId="ColorfulList-Accent3">
    <w:name w:val="Colorful List Accent 3"/>
    <w:basedOn w:val="TableNormal"/>
    <w:uiPriority w:val="72"/>
    <w:semiHidden/>
    <w:rsid w:val="00E93FC7"/>
    <w:rPr>
      <w:color w:val="000000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787878"/>
      </w:tcPr>
    </w:tblStylePr>
    <w:tblStylePr w:type="lastRow">
      <w:rPr>
        <w:b/>
        <w:bCs/>
        <w:color w:val="787878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styleId="ColorfulList-Accent4">
    <w:name w:val="Colorful List Accent 4"/>
    <w:basedOn w:val="TableNormal"/>
    <w:uiPriority w:val="72"/>
    <w:semiHidden/>
    <w:rsid w:val="00E93FC7"/>
    <w:rPr>
      <w:color w:val="000000"/>
    </w:rPr>
    <w:tblPr>
      <w:tblStyleRowBandSize w:val="1"/>
      <w:tblStyleColBandSize w:val="1"/>
    </w:tblPr>
    <w:tcPr>
      <w:shd w:val="clear" w:color="auto" w:fill="F4F4F4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shd w:val="clear" w:color="auto" w:fill="EAEAEA"/>
      </w:tcPr>
    </w:tblStylePr>
  </w:style>
  <w:style w:type="table" w:styleId="ColorfulList-Accent5">
    <w:name w:val="Colorful List Accent 5"/>
    <w:basedOn w:val="TableNormal"/>
    <w:uiPriority w:val="72"/>
    <w:semiHidden/>
    <w:rsid w:val="00E93FC7"/>
    <w:rPr>
      <w:color w:val="000000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3D3D3D"/>
      </w:tcPr>
    </w:tblStylePr>
    <w:tblStylePr w:type="lastRow">
      <w:rPr>
        <w:b/>
        <w:bCs/>
        <w:color w:val="3D3D3D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styleId="ColorfulList-Accent6">
    <w:name w:val="Colorful List Accent 6"/>
    <w:basedOn w:val="TableNormal"/>
    <w:uiPriority w:val="72"/>
    <w:semiHidden/>
    <w:rsid w:val="00E93FC7"/>
    <w:rPr>
      <w:color w:val="000000"/>
    </w:rPr>
    <w:tblPr>
      <w:tblStyleRowBandSize w:val="1"/>
      <w:tblStyleColBandSize w:val="1"/>
    </w:tblPr>
    <w:tcPr>
      <w:shd w:val="clear" w:color="auto" w:fill="EDEDED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shd w:val="clear" w:color="auto" w:fill="DBDBDB"/>
      </w:tcPr>
    </w:tblStylePr>
  </w:style>
  <w:style w:type="table" w:styleId="ColorfulShading">
    <w:name w:val="Colorful Shading"/>
    <w:basedOn w:val="TableNormal"/>
    <w:uiPriority w:val="71"/>
    <w:semiHidden/>
    <w:rsid w:val="00E93FC7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72BC"/>
        <w:insideV w:val="single" w:sz="4" w:space="0" w:color="0072BC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semiHidden/>
    <w:rsid w:val="00E93FC7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0072BC"/>
        <w:bottom w:val="single" w:sz="4" w:space="0" w:color="0072BC"/>
        <w:right w:val="single" w:sz="4" w:space="0" w:color="0072BC"/>
        <w:insideH w:val="single" w:sz="4" w:space="0" w:color="0072BC"/>
        <w:insideV w:val="single" w:sz="4" w:space="0" w:color="0072BC"/>
      </w:tblBorders>
    </w:tblPr>
    <w:tcPr>
      <w:shd w:val="clear" w:color="auto" w:fill="DFF2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447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4470"/>
          <w:insideV w:val="nil"/>
        </w:tcBorders>
        <w:shd w:val="clear" w:color="auto" w:fill="00447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/>
      </w:tcPr>
    </w:tblStylePr>
    <w:tblStylePr w:type="band1Vert">
      <w:tblPr/>
      <w:tcPr>
        <w:shd w:val="clear" w:color="auto" w:fill="7ECBFF"/>
      </w:tcPr>
    </w:tblStylePr>
    <w:tblStylePr w:type="band1Horz">
      <w:tblPr/>
      <w:tcPr>
        <w:shd w:val="clear" w:color="auto" w:fill="5EBF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semiHidden/>
    <w:rsid w:val="00E93FC7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0072BC"/>
        <w:insideV w:val="single" w:sz="4" w:space="0" w:color="0072BC"/>
      </w:tblBorders>
    </w:tblPr>
    <w:tcPr>
      <w:shd w:val="clear" w:color="auto" w:fill="FFDFD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73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730000"/>
          <w:insideV w:val="nil"/>
        </w:tcBorders>
        <w:shd w:val="clear" w:color="auto" w:fill="73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/>
      </w:tcPr>
    </w:tblStylePr>
    <w:tblStylePr w:type="band1Vert">
      <w:tblPr/>
      <w:tcPr>
        <w:shd w:val="clear" w:color="auto" w:fill="FF7F7F"/>
      </w:tcPr>
    </w:tblStylePr>
    <w:tblStylePr w:type="band1Horz">
      <w:tblPr/>
      <w:tcPr>
        <w:shd w:val="clear" w:color="auto" w:fill="FF606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semiHidden/>
    <w:rsid w:val="00E93FC7"/>
    <w:rPr>
      <w:color w:val="000000"/>
    </w:rPr>
    <w:tblPr>
      <w:tblStyleRowBandSize w:val="1"/>
      <w:tblStyleColBandSize w:val="1"/>
      <w:tblBorders>
        <w:top w:val="single" w:sz="24" w:space="0" w:color="969696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</w:style>
  <w:style w:type="table" w:styleId="ColorfulShading-Accent4">
    <w:name w:val="Colorful Shading Accent 4"/>
    <w:basedOn w:val="TableNormal"/>
    <w:uiPriority w:val="71"/>
    <w:semiHidden/>
    <w:rsid w:val="00E93FC7"/>
    <w:rPr>
      <w:color w:val="000000"/>
    </w:rPr>
    <w:tblPr>
      <w:tblStyleRowBandSize w:val="1"/>
      <w:tblStyleColBandSize w:val="1"/>
      <w:tblBorders>
        <w:top w:val="single" w:sz="24" w:space="0" w:color="5F5F5F"/>
        <w:left w:val="single" w:sz="4" w:space="0" w:color="969696"/>
        <w:bottom w:val="single" w:sz="4" w:space="0" w:color="969696"/>
        <w:right w:val="single" w:sz="4" w:space="0" w:color="969696"/>
        <w:insideH w:val="single" w:sz="4" w:space="0" w:color="0072BC"/>
        <w:insideV w:val="single" w:sz="4" w:space="0" w:color="0072BC"/>
      </w:tblBorders>
    </w:tblPr>
    <w:tcPr>
      <w:shd w:val="clear" w:color="auto" w:fill="F4F4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5A5A5A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5A5A5A"/>
          <w:insideV w:val="nil"/>
        </w:tcBorders>
        <w:shd w:val="clear" w:color="auto" w:fill="5A5A5A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CACA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semiHidden/>
    <w:rsid w:val="00E93FC7"/>
    <w:rPr>
      <w:color w:val="000000"/>
    </w:rPr>
    <w:tblPr>
      <w:tblStyleRowBandSize w:val="1"/>
      <w:tblStyleColBandSize w:val="1"/>
      <w:tblBorders>
        <w:top w:val="single" w:sz="24" w:space="0" w:color="4D4D4D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semiHidden/>
    <w:rsid w:val="00E93FC7"/>
    <w:rPr>
      <w:color w:val="000000"/>
    </w:rPr>
    <w:tblPr>
      <w:tblStyleRowBandSize w:val="1"/>
      <w:tblStyleColBandSize w:val="1"/>
      <w:tblBorders>
        <w:top w:val="single" w:sz="24" w:space="0" w:color="5F5F5F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0072BC"/>
        <w:insideV w:val="single" w:sz="4" w:space="0" w:color="0072BC"/>
      </w:tblBorders>
    </w:tblPr>
    <w:tcPr>
      <w:shd w:val="clear" w:color="auto" w:fill="ED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2E2E2E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2E2E2E"/>
          <w:insideV w:val="nil"/>
        </w:tcBorders>
        <w:shd w:val="clear" w:color="auto" w:fill="2E2E2E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/>
      </w:tcPr>
    </w:tblStylePr>
    <w:tblStylePr w:type="band1Vert">
      <w:tblPr/>
      <w:tcPr>
        <w:shd w:val="clear" w:color="auto" w:fill="B7B7B7"/>
      </w:tcPr>
    </w:tblStylePr>
    <w:tblStylePr w:type="band1Horz">
      <w:tblPr/>
      <w:tcPr>
        <w:shd w:val="clear" w:color="auto" w:fill="A6A6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FC7"/>
    <w:rPr>
      <w:b/>
      <w:bCs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93FC7"/>
    <w:rPr>
      <w:rFonts w:eastAsia="Times New Roman"/>
      <w:b/>
      <w:bCs/>
      <w:sz w:val="20"/>
      <w:szCs w:val="20"/>
      <w:lang w:val="bg-BG" w:eastAsia="bg-BG"/>
    </w:rPr>
  </w:style>
  <w:style w:type="table" w:styleId="DarkList">
    <w:name w:val="Dark List"/>
    <w:basedOn w:val="TableNormal"/>
    <w:uiPriority w:val="70"/>
    <w:semiHidden/>
    <w:rsid w:val="00E93FC7"/>
    <w:rPr>
      <w:color w:val="0072BC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semiHidden/>
    <w:rsid w:val="00E93FC7"/>
    <w:rPr>
      <w:color w:val="0072BC"/>
    </w:rPr>
    <w:tblPr>
      <w:tblStyleRowBandSize w:val="1"/>
      <w:tblStyleColBandSize w:val="1"/>
    </w:tblPr>
    <w:tcPr>
      <w:shd w:val="clear" w:color="auto" w:fill="0072B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385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548C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</w:style>
  <w:style w:type="table" w:styleId="DarkList-Accent2">
    <w:name w:val="Dark List Accent 2"/>
    <w:basedOn w:val="TableNormal"/>
    <w:uiPriority w:val="70"/>
    <w:semiHidden/>
    <w:rsid w:val="00E93FC7"/>
    <w:rPr>
      <w:color w:val="0072BC"/>
    </w:rPr>
    <w:tblPr>
      <w:tblStyleRowBandSize w:val="1"/>
      <w:tblStyleColBandSize w:val="1"/>
    </w:tblPr>
    <w:tcPr>
      <w:shd w:val="clear" w:color="auto" w:fill="C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5F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8F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</w:style>
  <w:style w:type="table" w:styleId="DarkList-Accent3">
    <w:name w:val="Dark List Accent 3"/>
    <w:basedOn w:val="TableNormal"/>
    <w:uiPriority w:val="70"/>
    <w:semiHidden/>
    <w:rsid w:val="00E93FC7"/>
    <w:rPr>
      <w:color w:val="0072BC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styleId="DarkList-Accent4">
    <w:name w:val="Dark List Accent 4"/>
    <w:basedOn w:val="TableNormal"/>
    <w:uiPriority w:val="70"/>
    <w:semiHidden/>
    <w:rsid w:val="00E93FC7"/>
    <w:rPr>
      <w:color w:val="0072BC"/>
    </w:rPr>
    <w:tblPr>
      <w:tblStyleRowBandSize w:val="1"/>
      <w:tblStyleColBandSize w:val="1"/>
    </w:tblPr>
    <w:tcPr>
      <w:shd w:val="clear" w:color="auto" w:fill="96969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4A4A4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70707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</w:style>
  <w:style w:type="table" w:styleId="DarkList-Accent5">
    <w:name w:val="Dark List Accent 5"/>
    <w:basedOn w:val="TableNormal"/>
    <w:uiPriority w:val="70"/>
    <w:semiHidden/>
    <w:rsid w:val="00E93FC7"/>
    <w:rPr>
      <w:color w:val="0072BC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styleId="DarkList-Accent6">
    <w:name w:val="Dark List Accent 6"/>
    <w:basedOn w:val="TableNormal"/>
    <w:uiPriority w:val="70"/>
    <w:semiHidden/>
    <w:rsid w:val="00E93FC7"/>
    <w:rPr>
      <w:color w:val="0072BC"/>
    </w:rPr>
    <w:tblPr>
      <w:tblStyleRowBandSize w:val="1"/>
      <w:tblStyleColBandSize w:val="1"/>
    </w:tblPr>
    <w:tcPr>
      <w:shd w:val="clear" w:color="auto" w:fill="4D4D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6262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393939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93FC7"/>
  </w:style>
  <w:style w:type="character" w:customStyle="1" w:styleId="DateChar">
    <w:name w:val="Date Char"/>
    <w:link w:val="Date"/>
    <w:uiPriority w:val="99"/>
    <w:semiHidden/>
    <w:rsid w:val="00E93FC7"/>
    <w:rPr>
      <w:rFonts w:eastAsia="Times New Roman"/>
      <w:sz w:val="24"/>
      <w:lang w:val="bg-BG" w:eastAsia="bg-BG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3FC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3FC7"/>
    <w:rPr>
      <w:rFonts w:ascii="Tahoma" w:eastAsia="Times New Roman" w:hAnsi="Tahoma" w:cs="Tahoma"/>
      <w:sz w:val="16"/>
      <w:szCs w:val="16"/>
      <w:lang w:val="bg-BG" w:eastAsia="bg-BG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93FC7"/>
  </w:style>
  <w:style w:type="character" w:customStyle="1" w:styleId="E-mailSignatureChar">
    <w:name w:val="E-mail Signature Char"/>
    <w:link w:val="E-mailSignature"/>
    <w:uiPriority w:val="99"/>
    <w:semiHidden/>
    <w:rsid w:val="00E93FC7"/>
    <w:rPr>
      <w:rFonts w:eastAsia="Times New Roman"/>
      <w:sz w:val="24"/>
      <w:lang w:val="bg-BG" w:eastAsia="bg-BG"/>
    </w:rPr>
  </w:style>
  <w:style w:type="character" w:styleId="EndnoteReference">
    <w:name w:val="endnote reference"/>
    <w:uiPriority w:val="99"/>
    <w:semiHidden/>
    <w:unhideWhenUsed/>
    <w:rsid w:val="00E93FC7"/>
    <w:rPr>
      <w:vertAlign w:val="superscript"/>
      <w:lang w:val="bg-BG"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3FC7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E93FC7"/>
    <w:rPr>
      <w:rFonts w:eastAsia="Times New Roman"/>
      <w:sz w:val="20"/>
      <w:szCs w:val="20"/>
      <w:lang w:val="bg-BG" w:eastAsia="bg-BG"/>
    </w:rPr>
  </w:style>
  <w:style w:type="paragraph" w:styleId="EnvelopeAddress">
    <w:name w:val="envelope address"/>
    <w:basedOn w:val="Normal"/>
    <w:uiPriority w:val="99"/>
    <w:semiHidden/>
    <w:unhideWhenUsed/>
    <w:rsid w:val="00E93FC7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93FC7"/>
    <w:rPr>
      <w:sz w:val="20"/>
      <w:szCs w:val="20"/>
    </w:rPr>
  </w:style>
  <w:style w:type="character" w:styleId="FollowedHyperlink">
    <w:name w:val="FollowedHyperlink"/>
    <w:uiPriority w:val="99"/>
    <w:semiHidden/>
    <w:unhideWhenUsed/>
    <w:rsid w:val="00E93FC7"/>
    <w:rPr>
      <w:color w:val="7030A0"/>
      <w:u w:val="single"/>
      <w:lang w:val="bg-BG" w:eastAsia="bg-BG"/>
    </w:rPr>
  </w:style>
  <w:style w:type="character" w:styleId="FootnoteReference">
    <w:name w:val="footnote reference"/>
    <w:uiPriority w:val="99"/>
    <w:semiHidden/>
    <w:rsid w:val="00DD4F1F"/>
    <w:rPr>
      <w:vertAlign w:val="superscript"/>
      <w:lang w:val="bg-BG" w:eastAsia="bg-BG"/>
    </w:rPr>
  </w:style>
  <w:style w:type="paragraph" w:styleId="FootnoteText">
    <w:name w:val="footnote text"/>
    <w:basedOn w:val="Normal"/>
    <w:link w:val="FootnoteTextChar"/>
    <w:uiPriority w:val="99"/>
    <w:semiHidden/>
    <w:rsid w:val="00DD4F1F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D4F1F"/>
    <w:rPr>
      <w:rFonts w:eastAsia="Times New Roman"/>
      <w:sz w:val="20"/>
      <w:szCs w:val="20"/>
      <w:lang w:val="bg-BG" w:eastAsia="bg-BG"/>
    </w:rPr>
  </w:style>
  <w:style w:type="character" w:styleId="HTMLAcronym">
    <w:name w:val="HTML Acronym"/>
    <w:basedOn w:val="DefaultParagraphFont"/>
    <w:uiPriority w:val="99"/>
    <w:semiHidden/>
    <w:unhideWhenUsed/>
    <w:rsid w:val="00E93FC7"/>
  </w:style>
  <w:style w:type="paragraph" w:styleId="HTMLAddress">
    <w:name w:val="HTML Address"/>
    <w:basedOn w:val="Normal"/>
    <w:link w:val="HTMLAddressChar"/>
    <w:uiPriority w:val="99"/>
    <w:semiHidden/>
    <w:unhideWhenUsed/>
    <w:rsid w:val="00E93FC7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E93FC7"/>
    <w:rPr>
      <w:rFonts w:eastAsia="Times New Roman"/>
      <w:i/>
      <w:iCs/>
      <w:sz w:val="24"/>
      <w:lang w:val="bg-BG" w:eastAsia="bg-BG"/>
    </w:rPr>
  </w:style>
  <w:style w:type="character" w:styleId="HTMLCite">
    <w:name w:val="HTML Cite"/>
    <w:uiPriority w:val="99"/>
    <w:semiHidden/>
    <w:unhideWhenUsed/>
    <w:rsid w:val="00E93FC7"/>
    <w:rPr>
      <w:i/>
      <w:iCs/>
      <w:lang w:val="bg-BG" w:eastAsia="bg-BG"/>
    </w:rPr>
  </w:style>
  <w:style w:type="character" w:styleId="HTMLCode">
    <w:name w:val="HTML Code"/>
    <w:uiPriority w:val="99"/>
    <w:semiHidden/>
    <w:unhideWhenUsed/>
    <w:rsid w:val="00E93FC7"/>
    <w:rPr>
      <w:rFonts w:ascii="Consolas" w:hAnsi="Consolas" w:cs="Consolas"/>
      <w:sz w:val="20"/>
      <w:szCs w:val="20"/>
      <w:lang w:val="bg-BG" w:eastAsia="bg-BG"/>
    </w:rPr>
  </w:style>
  <w:style w:type="character" w:styleId="HTMLDefinition">
    <w:name w:val="HTML Definition"/>
    <w:uiPriority w:val="99"/>
    <w:semiHidden/>
    <w:unhideWhenUsed/>
    <w:rsid w:val="00E93FC7"/>
    <w:rPr>
      <w:i/>
      <w:iCs/>
      <w:lang w:val="bg-BG" w:eastAsia="bg-BG"/>
    </w:rPr>
  </w:style>
  <w:style w:type="character" w:styleId="HTMLKeyboard">
    <w:name w:val="HTML Keyboard"/>
    <w:uiPriority w:val="99"/>
    <w:semiHidden/>
    <w:unhideWhenUsed/>
    <w:rsid w:val="00E93FC7"/>
    <w:rPr>
      <w:rFonts w:ascii="Consolas" w:hAnsi="Consolas" w:cs="Consolas"/>
      <w:sz w:val="20"/>
      <w:szCs w:val="20"/>
      <w:lang w:val="bg-BG" w:eastAsia="bg-BG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3FC7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E93FC7"/>
    <w:rPr>
      <w:rFonts w:ascii="Consolas" w:eastAsia="Times New Roman" w:hAnsi="Consolas" w:cs="Consolas"/>
      <w:sz w:val="20"/>
      <w:szCs w:val="20"/>
      <w:lang w:val="bg-BG" w:eastAsia="bg-BG"/>
    </w:rPr>
  </w:style>
  <w:style w:type="character" w:styleId="HTMLSample">
    <w:name w:val="HTML Sample"/>
    <w:uiPriority w:val="99"/>
    <w:semiHidden/>
    <w:unhideWhenUsed/>
    <w:rsid w:val="00E93FC7"/>
    <w:rPr>
      <w:rFonts w:ascii="Consolas" w:hAnsi="Consolas" w:cs="Consolas"/>
      <w:sz w:val="24"/>
      <w:szCs w:val="24"/>
      <w:lang w:val="bg-BG" w:eastAsia="bg-BG"/>
    </w:rPr>
  </w:style>
  <w:style w:type="character" w:styleId="HTMLTypewriter">
    <w:name w:val="HTML Typewriter"/>
    <w:uiPriority w:val="99"/>
    <w:semiHidden/>
    <w:unhideWhenUsed/>
    <w:rsid w:val="00E93FC7"/>
    <w:rPr>
      <w:rFonts w:ascii="Consolas" w:hAnsi="Consolas" w:cs="Consolas"/>
      <w:sz w:val="20"/>
      <w:szCs w:val="20"/>
      <w:lang w:val="bg-BG" w:eastAsia="bg-BG"/>
    </w:rPr>
  </w:style>
  <w:style w:type="character" w:styleId="HTMLVariable">
    <w:name w:val="HTML Variable"/>
    <w:uiPriority w:val="99"/>
    <w:semiHidden/>
    <w:unhideWhenUsed/>
    <w:rsid w:val="00E93FC7"/>
    <w:rPr>
      <w:i/>
      <w:iCs/>
      <w:lang w:val="bg-BG" w:eastAsia="bg-BG"/>
    </w:rPr>
  </w:style>
  <w:style w:type="character" w:styleId="Hyperlink">
    <w:name w:val="Hyperlink"/>
    <w:uiPriority w:val="99"/>
    <w:semiHidden/>
    <w:rsid w:val="00DD4F1F"/>
    <w:rPr>
      <w:color w:val="0072BC"/>
      <w:u w:val="single"/>
      <w:lang w:val="bg-BG" w:eastAsia="bg-BG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93FC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93FC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93FC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93FC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93FC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93FC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93FC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93FC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93FC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93FC7"/>
    <w:rPr>
      <w:b/>
      <w:bCs/>
    </w:rPr>
  </w:style>
  <w:style w:type="table" w:styleId="LightGrid">
    <w:name w:val="Light Grid"/>
    <w:basedOn w:val="TableNormal"/>
    <w:uiPriority w:val="62"/>
    <w:semiHidden/>
    <w:rsid w:val="00E93FC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E93FC7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1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  <w:shd w:val="clear" w:color="auto" w:fill="AFD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  <w:shd w:val="clear" w:color="auto" w:fill="AFDFFF"/>
      </w:tcPr>
    </w:tblStylePr>
    <w:tblStylePr w:type="band2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E93FC7"/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1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  <w:shd w:val="clear" w:color="auto" w:fill="FFB0B0"/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  <w:shd w:val="clear" w:color="auto" w:fill="FFB0B0"/>
      </w:tcPr>
    </w:tblStylePr>
    <w:tblStylePr w:type="band2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E93FC7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E93FC7"/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1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  <w:shd w:val="clear" w:color="auto" w:fill="E5E5E5"/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  <w:shd w:val="clear" w:color="auto" w:fill="E5E5E5"/>
      </w:tcPr>
    </w:tblStylePr>
    <w:tblStylePr w:type="band2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E93FC7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E93FC7"/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1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  <w:shd w:val="clear" w:color="auto" w:fill="D3D3D3"/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  <w:shd w:val="clear" w:color="auto" w:fill="D3D3D3"/>
      </w:tcPr>
    </w:tblStylePr>
    <w:tblStylePr w:type="band2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</w:tcPr>
    </w:tblStylePr>
  </w:style>
  <w:style w:type="table" w:styleId="LightList">
    <w:name w:val="Light List"/>
    <w:basedOn w:val="TableNormal"/>
    <w:uiPriority w:val="61"/>
    <w:semiHidden/>
    <w:rsid w:val="00E93FC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E93FC7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E93FC7"/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E93FC7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E93FC7"/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E93FC7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E93FC7"/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</w:style>
  <w:style w:type="table" w:styleId="LightShading">
    <w:name w:val="Light Shading"/>
    <w:basedOn w:val="TableNormal"/>
    <w:uiPriority w:val="60"/>
    <w:semiHidden/>
    <w:rsid w:val="00E93FC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semiHidden/>
    <w:rsid w:val="00E93FC7"/>
    <w:rPr>
      <w:color w:val="00548C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</w:style>
  <w:style w:type="table" w:styleId="LightShading-Accent2">
    <w:name w:val="Light Shading Accent 2"/>
    <w:basedOn w:val="TableNormal"/>
    <w:uiPriority w:val="60"/>
    <w:semiHidden/>
    <w:rsid w:val="00E93FC7"/>
    <w:rPr>
      <w:color w:val="8F0000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</w:style>
  <w:style w:type="table" w:styleId="LightShading-Accent3">
    <w:name w:val="Light Shading Accent 3"/>
    <w:basedOn w:val="TableNormal"/>
    <w:uiPriority w:val="60"/>
    <w:semiHidden/>
    <w:rsid w:val="00E93FC7"/>
    <w:rPr>
      <w:color w:val="474747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styleId="LightShading-Accent4">
    <w:name w:val="Light Shading Accent 4"/>
    <w:basedOn w:val="TableNormal"/>
    <w:uiPriority w:val="60"/>
    <w:semiHidden/>
    <w:rsid w:val="00E93FC7"/>
    <w:rPr>
      <w:color w:val="707070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</w:style>
  <w:style w:type="table" w:styleId="LightShading-Accent5">
    <w:name w:val="Light Shading Accent 5"/>
    <w:basedOn w:val="TableNormal"/>
    <w:uiPriority w:val="60"/>
    <w:semiHidden/>
    <w:rsid w:val="00E93FC7"/>
    <w:rPr>
      <w:color w:val="474747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styleId="LightShading-Accent6">
    <w:name w:val="Light Shading Accent 6"/>
    <w:basedOn w:val="TableNormal"/>
    <w:uiPriority w:val="60"/>
    <w:semiHidden/>
    <w:rsid w:val="00E93FC7"/>
    <w:rPr>
      <w:color w:val="393939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93FC7"/>
  </w:style>
  <w:style w:type="paragraph" w:styleId="List">
    <w:name w:val="List"/>
    <w:basedOn w:val="Normal"/>
    <w:uiPriority w:val="99"/>
    <w:semiHidden/>
    <w:unhideWhenUsed/>
    <w:rsid w:val="00E93FC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93FC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93FC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93FC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93FC7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93FC7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93FC7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93FC7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93FC7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93FC7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93FC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93FC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93FC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93FC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93FC7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E93FC7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93FC7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93FC7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93FC7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93FC7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E93F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bg-BG" w:eastAsia="bg-BG"/>
    </w:rPr>
  </w:style>
  <w:style w:type="character" w:customStyle="1" w:styleId="MacroTextChar">
    <w:name w:val="Macro Text Char"/>
    <w:link w:val="MacroText"/>
    <w:uiPriority w:val="99"/>
    <w:semiHidden/>
    <w:rsid w:val="00E93FC7"/>
    <w:rPr>
      <w:rFonts w:ascii="Consolas" w:eastAsia="Times New Roman" w:hAnsi="Consolas" w:cs="Consolas"/>
      <w:sz w:val="20"/>
      <w:szCs w:val="20"/>
      <w:lang w:val="bg-BG" w:eastAsia="bg-BG"/>
    </w:rPr>
  </w:style>
  <w:style w:type="table" w:styleId="MediumGrid1">
    <w:name w:val="Medium Grid 1"/>
    <w:basedOn w:val="TableNormal"/>
    <w:uiPriority w:val="67"/>
    <w:semiHidden/>
    <w:rsid w:val="00E93FC7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semiHidden/>
    <w:rsid w:val="00E93FC7"/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  <w:insideV w:val="single" w:sz="8" w:space="0" w:color="0D9FFF"/>
      </w:tblBorders>
    </w:tblPr>
    <w:tcPr>
      <w:shd w:val="clear" w:color="auto" w:fill="AFDF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styleId="MediumGrid1-Accent2">
    <w:name w:val="Medium Grid 1 Accent 2"/>
    <w:basedOn w:val="TableNormal"/>
    <w:uiPriority w:val="67"/>
    <w:semiHidden/>
    <w:rsid w:val="00E93FC7"/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  <w:insideV w:val="single" w:sz="8" w:space="0" w:color="FF1010"/>
      </w:tblBorders>
    </w:tblPr>
    <w:tcPr>
      <w:shd w:val="clear" w:color="auto" w:fill="FFB0B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styleId="MediumGrid1-Accent3">
    <w:name w:val="Medium Grid 1 Accent 3"/>
    <w:basedOn w:val="TableNormal"/>
    <w:uiPriority w:val="67"/>
    <w:semiHidden/>
    <w:rsid w:val="00E93FC7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MediumGrid1-Accent4">
    <w:name w:val="Medium Grid 1 Accent 4"/>
    <w:basedOn w:val="TableNormal"/>
    <w:uiPriority w:val="67"/>
    <w:semiHidden/>
    <w:rsid w:val="00E93FC7"/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</w:tblPr>
    <w:tcPr>
      <w:shd w:val="clear" w:color="auto" w:fill="E5E5E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styleId="MediumGrid1-Accent5">
    <w:name w:val="Medium Grid 1 Accent 5"/>
    <w:basedOn w:val="TableNormal"/>
    <w:uiPriority w:val="67"/>
    <w:semiHidden/>
    <w:rsid w:val="00E93FC7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MediumGrid1-Accent6">
    <w:name w:val="Medium Grid 1 Accent 6"/>
    <w:basedOn w:val="TableNormal"/>
    <w:uiPriority w:val="67"/>
    <w:semiHidden/>
    <w:rsid w:val="00E93FC7"/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  <w:insideV w:val="single" w:sz="8" w:space="0" w:color="797979"/>
      </w:tblBorders>
    </w:tblPr>
    <w:tcPr>
      <w:shd w:val="clear" w:color="auto" w:fill="D3D3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styleId="MediumGrid2">
    <w:name w:val="Medium Grid 2"/>
    <w:basedOn w:val="TableNormal"/>
    <w:uiPriority w:val="68"/>
    <w:semiHidden/>
    <w:rsid w:val="00E93FC7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0072BC"/>
      </w:tcPr>
    </w:tblStylePr>
  </w:style>
  <w:style w:type="table" w:styleId="MediumGrid2-Accent1">
    <w:name w:val="Medium Grid 2 Accent 1"/>
    <w:basedOn w:val="TableNormal"/>
    <w:uiPriority w:val="68"/>
    <w:semiHidden/>
    <w:rsid w:val="00E93FC7"/>
    <w:rPr>
      <w:color w:val="000000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cPr>
      <w:shd w:val="clear" w:color="auto" w:fill="AFDFFF"/>
    </w:tcPr>
    <w:tblStylePr w:type="firstRow">
      <w:rPr>
        <w:b/>
        <w:bCs/>
        <w:color w:val="000000"/>
      </w:rPr>
      <w:tblPr/>
      <w:tcPr>
        <w:shd w:val="clear" w:color="auto" w:fill="DFF2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tcBorders>
          <w:insideH w:val="single" w:sz="6" w:space="0" w:color="0072BC"/>
          <w:insideV w:val="single" w:sz="6" w:space="0" w:color="0072BC"/>
        </w:tcBorders>
        <w:shd w:val="clear" w:color="auto" w:fill="5EBFFF"/>
      </w:tcPr>
    </w:tblStylePr>
    <w:tblStylePr w:type="nwCell">
      <w:tblPr/>
      <w:tcPr>
        <w:shd w:val="clear" w:color="auto" w:fill="0072BC"/>
      </w:tcPr>
    </w:tblStylePr>
  </w:style>
  <w:style w:type="table" w:styleId="MediumGrid2-Accent2">
    <w:name w:val="Medium Grid 2 Accent 2"/>
    <w:basedOn w:val="TableNormal"/>
    <w:uiPriority w:val="68"/>
    <w:semiHidden/>
    <w:rsid w:val="00E93FC7"/>
    <w:rPr>
      <w:color w:val="000000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cPr>
      <w:shd w:val="clear" w:color="auto" w:fill="FFB0B0"/>
    </w:tcPr>
    <w:tblStylePr w:type="firstRow">
      <w:rPr>
        <w:b/>
        <w:bCs/>
        <w:color w:val="000000"/>
      </w:rPr>
      <w:tblPr/>
      <w:tcPr>
        <w:shd w:val="clear" w:color="auto" w:fill="FFDFD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tcBorders>
          <w:insideH w:val="single" w:sz="6" w:space="0" w:color="C00000"/>
          <w:insideV w:val="single" w:sz="6" w:space="0" w:color="C00000"/>
        </w:tcBorders>
        <w:shd w:val="clear" w:color="auto" w:fill="FF6060"/>
      </w:tcPr>
    </w:tblStylePr>
    <w:tblStylePr w:type="nwCell">
      <w:tblPr/>
      <w:tcPr>
        <w:shd w:val="clear" w:color="auto" w:fill="0072BC"/>
      </w:tcPr>
    </w:tblStylePr>
  </w:style>
  <w:style w:type="table" w:styleId="MediumGrid2-Accent3">
    <w:name w:val="Medium Grid 2 Accent 3"/>
    <w:basedOn w:val="TableNormal"/>
    <w:uiPriority w:val="68"/>
    <w:semiHidden/>
    <w:rsid w:val="00E93FC7"/>
    <w:rPr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styleId="MediumGrid2-Accent4">
    <w:name w:val="Medium Grid 2 Accent 4"/>
    <w:basedOn w:val="TableNormal"/>
    <w:uiPriority w:val="68"/>
    <w:semiHidden/>
    <w:rsid w:val="00E93FC7"/>
    <w:rPr>
      <w:color w:val="000000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cPr>
      <w:shd w:val="clear" w:color="auto" w:fill="E5E5E5"/>
    </w:tcPr>
    <w:tblStylePr w:type="firstRow">
      <w:rPr>
        <w:b/>
        <w:bCs/>
        <w:color w:val="000000"/>
      </w:rPr>
      <w:tblPr/>
      <w:tcPr>
        <w:shd w:val="clear" w:color="auto" w:fill="F4F4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tcBorders>
          <w:insideH w:val="single" w:sz="6" w:space="0" w:color="969696"/>
          <w:insideV w:val="single" w:sz="6" w:space="0" w:color="969696"/>
        </w:tcBorders>
        <w:shd w:val="clear" w:color="auto" w:fill="CACACA"/>
      </w:tcPr>
    </w:tblStylePr>
    <w:tblStylePr w:type="nwCell">
      <w:tblPr/>
      <w:tcPr>
        <w:shd w:val="clear" w:color="auto" w:fill="0072BC"/>
      </w:tcPr>
    </w:tblStylePr>
  </w:style>
  <w:style w:type="table" w:styleId="MediumGrid2-Accent5">
    <w:name w:val="Medium Grid 2 Accent 5"/>
    <w:basedOn w:val="TableNormal"/>
    <w:uiPriority w:val="68"/>
    <w:semiHidden/>
    <w:rsid w:val="00E93FC7"/>
    <w:rPr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styleId="MediumGrid2-Accent6">
    <w:name w:val="Medium Grid 2 Accent 6"/>
    <w:basedOn w:val="TableNormal"/>
    <w:uiPriority w:val="68"/>
    <w:semiHidden/>
    <w:rsid w:val="00E93FC7"/>
    <w:rPr>
      <w:color w:val="000000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cPr>
      <w:shd w:val="clear" w:color="auto" w:fill="D3D3D3"/>
    </w:tcPr>
    <w:tblStylePr w:type="firstRow">
      <w:rPr>
        <w:b/>
        <w:bCs/>
        <w:color w:val="000000"/>
      </w:rPr>
      <w:tblPr/>
      <w:tcPr>
        <w:shd w:val="clear" w:color="auto" w:fill="ED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tcBorders>
          <w:insideH w:val="single" w:sz="6" w:space="0" w:color="4D4D4D"/>
          <w:insideV w:val="single" w:sz="6" w:space="0" w:color="4D4D4D"/>
        </w:tcBorders>
        <w:shd w:val="clear" w:color="auto" w:fill="A6A6A6"/>
      </w:tcPr>
    </w:tblStylePr>
    <w:tblStylePr w:type="nwCell">
      <w:tblPr/>
      <w:tcPr>
        <w:shd w:val="clear" w:color="auto" w:fill="0072BC"/>
      </w:tcPr>
    </w:tblStylePr>
  </w:style>
  <w:style w:type="table" w:styleId="MediumGrid3">
    <w:name w:val="Medium Grid 3"/>
    <w:basedOn w:val="TableNormal"/>
    <w:uiPriority w:val="69"/>
    <w:semiHidden/>
    <w:rsid w:val="00E93FC7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semiHidden/>
    <w:rsid w:val="00E93FC7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AFDFFF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5EB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5EBFFF"/>
      </w:tcPr>
    </w:tblStylePr>
  </w:style>
  <w:style w:type="table" w:styleId="MediumGrid3-Accent2">
    <w:name w:val="Medium Grid 3 Accent 2"/>
    <w:basedOn w:val="TableNormal"/>
    <w:uiPriority w:val="69"/>
    <w:semiHidden/>
    <w:rsid w:val="00E93FC7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FFB0B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FF606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FF6060"/>
      </w:tcPr>
    </w:tblStylePr>
  </w:style>
  <w:style w:type="table" w:styleId="MediumGrid3-Accent3">
    <w:name w:val="Medium Grid 3 Accent 3"/>
    <w:basedOn w:val="TableNormal"/>
    <w:uiPriority w:val="69"/>
    <w:semiHidden/>
    <w:rsid w:val="00E93FC7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styleId="MediumGrid3-Accent4">
    <w:name w:val="Medium Grid 3 Accent 4"/>
    <w:basedOn w:val="TableNormal"/>
    <w:uiPriority w:val="69"/>
    <w:semiHidden/>
    <w:rsid w:val="00E93FC7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E5E5E5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CACACA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CACACA"/>
      </w:tcPr>
    </w:tblStylePr>
  </w:style>
  <w:style w:type="table" w:styleId="MediumGrid3-Accent5">
    <w:name w:val="Medium Grid 3 Accent 5"/>
    <w:basedOn w:val="TableNormal"/>
    <w:uiPriority w:val="69"/>
    <w:semiHidden/>
    <w:rsid w:val="00E93FC7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styleId="MediumGrid3-Accent6">
    <w:name w:val="Medium Grid 3 Accent 6"/>
    <w:basedOn w:val="TableNormal"/>
    <w:uiPriority w:val="69"/>
    <w:semiHidden/>
    <w:rsid w:val="00E93FC7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3D3D3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6A6A6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6A6A6"/>
      </w:tcPr>
    </w:tblStylePr>
  </w:style>
  <w:style w:type="table" w:styleId="MediumList1">
    <w:name w:val="Medium List 1"/>
    <w:basedOn w:val="TableNormal"/>
    <w:uiPriority w:val="65"/>
    <w:semiHidden/>
    <w:rsid w:val="00E93FC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semiHidden/>
    <w:rsid w:val="00E93FC7"/>
    <w:rPr>
      <w:color w:val="000000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0072BC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band1Vert">
      <w:tblPr/>
      <w:tcPr>
        <w:shd w:val="clear" w:color="auto" w:fill="AFDFFF"/>
      </w:tcPr>
    </w:tblStylePr>
    <w:tblStylePr w:type="band1Horz">
      <w:tblPr/>
      <w:tcPr>
        <w:shd w:val="clear" w:color="auto" w:fill="AFDFFF"/>
      </w:tcPr>
    </w:tblStylePr>
  </w:style>
  <w:style w:type="table" w:styleId="MediumList1-Accent2">
    <w:name w:val="Medium List 1 Accent 2"/>
    <w:basedOn w:val="TableNormal"/>
    <w:uiPriority w:val="65"/>
    <w:semiHidden/>
    <w:rsid w:val="00E93FC7"/>
    <w:rPr>
      <w:color w:val="000000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C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band1Vert">
      <w:tblPr/>
      <w:tcPr>
        <w:shd w:val="clear" w:color="auto" w:fill="FFB0B0"/>
      </w:tcPr>
    </w:tblStylePr>
    <w:tblStylePr w:type="band1Horz">
      <w:tblPr/>
      <w:tcPr>
        <w:shd w:val="clear" w:color="auto" w:fill="FFB0B0"/>
      </w:tcPr>
    </w:tblStylePr>
  </w:style>
  <w:style w:type="table" w:styleId="MediumList1-Accent3">
    <w:name w:val="Medium List 1 Accent 3"/>
    <w:basedOn w:val="TableNormal"/>
    <w:uiPriority w:val="65"/>
    <w:semiHidden/>
    <w:rsid w:val="00E93FC7"/>
    <w:rPr>
      <w:color w:val="000000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styleId="MediumList1-Accent4">
    <w:name w:val="Medium List 1 Accent 4"/>
    <w:basedOn w:val="TableNormal"/>
    <w:uiPriority w:val="65"/>
    <w:semiHidden/>
    <w:rsid w:val="00E93FC7"/>
    <w:rPr>
      <w:color w:val="000000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969696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band1Vert">
      <w:tblPr/>
      <w:tcPr>
        <w:shd w:val="clear" w:color="auto" w:fill="E5E5E5"/>
      </w:tcPr>
    </w:tblStylePr>
    <w:tblStylePr w:type="band1Horz">
      <w:tblPr/>
      <w:tcPr>
        <w:shd w:val="clear" w:color="auto" w:fill="E5E5E5"/>
      </w:tcPr>
    </w:tblStylePr>
  </w:style>
  <w:style w:type="table" w:styleId="MediumList1-Accent5">
    <w:name w:val="Medium List 1 Accent 5"/>
    <w:basedOn w:val="TableNormal"/>
    <w:uiPriority w:val="65"/>
    <w:semiHidden/>
    <w:rsid w:val="00E93FC7"/>
    <w:rPr>
      <w:color w:val="000000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styleId="MediumList1-Accent6">
    <w:name w:val="Medium List 1 Accent 6"/>
    <w:basedOn w:val="TableNormal"/>
    <w:uiPriority w:val="65"/>
    <w:semiHidden/>
    <w:rsid w:val="00E93FC7"/>
    <w:rPr>
      <w:color w:val="000000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4D4D4D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band1Vert">
      <w:tblPr/>
      <w:tcPr>
        <w:shd w:val="clear" w:color="auto" w:fill="D3D3D3"/>
      </w:tcPr>
    </w:tblStylePr>
    <w:tblStylePr w:type="band1Horz">
      <w:tblPr/>
      <w:tcPr>
        <w:shd w:val="clear" w:color="auto" w:fill="D3D3D3"/>
      </w:tcPr>
    </w:tblStylePr>
  </w:style>
  <w:style w:type="table" w:styleId="MediumList2">
    <w:name w:val="Medium List 2"/>
    <w:basedOn w:val="TableNormal"/>
    <w:uiPriority w:val="66"/>
    <w:semiHidden/>
    <w:rsid w:val="00E93FC7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E93FC7"/>
    <w:rPr>
      <w:color w:val="000000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E93FC7"/>
    <w:rPr>
      <w:color w:val="000000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C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C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E93FC7"/>
    <w:rPr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E93FC7"/>
    <w:rPr>
      <w:color w:val="000000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969696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969696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E93FC7"/>
    <w:rPr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E93FC7"/>
    <w:rPr>
      <w:color w:val="000000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4D4D4D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4D4D4D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E93FC7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E93FC7"/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E93FC7"/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E93FC7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E93FC7"/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E93FC7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E93FC7"/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E93F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E93F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E93F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E93F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E93F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E93F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E93F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93FC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E93FC7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NormalWeb">
    <w:name w:val="Normal (Web)"/>
    <w:basedOn w:val="Normal"/>
    <w:uiPriority w:val="99"/>
    <w:semiHidden/>
    <w:unhideWhenUsed/>
    <w:rsid w:val="00E93FC7"/>
    <w:rPr>
      <w:szCs w:val="24"/>
    </w:rPr>
  </w:style>
  <w:style w:type="paragraph" w:styleId="NormalIndent">
    <w:name w:val="Normal Indent"/>
    <w:basedOn w:val="Normal"/>
    <w:uiPriority w:val="99"/>
    <w:semiHidden/>
    <w:unhideWhenUsed/>
    <w:rsid w:val="00E93FC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93FC7"/>
  </w:style>
  <w:style w:type="character" w:customStyle="1" w:styleId="NoteHeadingChar">
    <w:name w:val="Note Heading Char"/>
    <w:link w:val="NoteHeading"/>
    <w:uiPriority w:val="99"/>
    <w:semiHidden/>
    <w:rsid w:val="00E93FC7"/>
    <w:rPr>
      <w:rFonts w:eastAsia="Times New Roman"/>
      <w:sz w:val="24"/>
      <w:lang w:val="bg-BG" w:eastAsia="bg-BG"/>
    </w:rPr>
  </w:style>
  <w:style w:type="character" w:styleId="PlaceholderText">
    <w:name w:val="Placeholder Text"/>
    <w:uiPriority w:val="99"/>
    <w:semiHidden/>
    <w:rsid w:val="00DD4F1F"/>
    <w:rPr>
      <w:color w:val="000000"/>
      <w:bdr w:val="none" w:sz="0" w:space="0" w:color="auto"/>
      <w:lang w:val="bg-BG" w:eastAsia="bg-BG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93FC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E93FC7"/>
    <w:rPr>
      <w:rFonts w:ascii="Consolas" w:eastAsia="Times New Roman" w:hAnsi="Consolas" w:cs="Consolas"/>
      <w:sz w:val="21"/>
      <w:szCs w:val="21"/>
      <w:lang w:val="bg-BG" w:eastAsia="bg-BG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93FC7"/>
  </w:style>
  <w:style w:type="character" w:customStyle="1" w:styleId="SalutationChar">
    <w:name w:val="Salutation Char"/>
    <w:link w:val="Salutation"/>
    <w:uiPriority w:val="99"/>
    <w:semiHidden/>
    <w:rsid w:val="00E93FC7"/>
    <w:rPr>
      <w:rFonts w:eastAsia="Times New Roman"/>
      <w:sz w:val="24"/>
      <w:lang w:val="bg-BG" w:eastAsia="bg-BG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93FC7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E93FC7"/>
    <w:rPr>
      <w:rFonts w:eastAsia="Times New Roman"/>
      <w:sz w:val="24"/>
      <w:lang w:val="bg-BG" w:eastAsia="bg-BG"/>
    </w:rPr>
  </w:style>
  <w:style w:type="table" w:styleId="Table3Deffects1">
    <w:name w:val="Table 3D effects 1"/>
    <w:basedOn w:val="TableNormal"/>
    <w:uiPriority w:val="99"/>
    <w:semiHidden/>
    <w:unhideWhenUsed/>
    <w:rsid w:val="00E93FC7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93FC7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93FC7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93FC7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93FC7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93FC7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93FC7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93FC7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93FC7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93FC7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93FC7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93FC7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93FC7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93FC7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semiHidden/>
    <w:rsid w:val="00DD4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E93FC7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93FC7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93FC7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93FC7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93FC7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93FC7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E93FC7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93FC7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93FC7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93FC7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93FC7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93FC7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93FC7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93FC7"/>
  </w:style>
  <w:style w:type="table" w:styleId="TableProfessional">
    <w:name w:val="Table Professional"/>
    <w:basedOn w:val="TableNormal"/>
    <w:uiPriority w:val="99"/>
    <w:semiHidden/>
    <w:unhideWhenUsed/>
    <w:rsid w:val="00E93FC7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93FC7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93FC7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93FC7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93FC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93FC7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93FC7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93FC7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DD4F1F"/>
    <w:pPr>
      <w:keepNext/>
      <w:keepLines/>
      <w:spacing w:before="240"/>
      <w:contextualSpacing/>
      <w:jc w:val="center"/>
    </w:pPr>
    <w:rPr>
      <w:b/>
      <w:bCs/>
      <w:color w:val="474747"/>
      <w:sz w:val="28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DD4F1F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9"/>
    <w:semiHidden/>
    <w:rsid w:val="00DD4F1F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9"/>
    <w:semiHidden/>
    <w:rsid w:val="00DD4F1F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9"/>
    <w:semiHidden/>
    <w:rsid w:val="00DD4F1F"/>
    <w:pPr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9"/>
    <w:semiHidden/>
    <w:rsid w:val="00DD4F1F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6">
    <w:name w:val="toc 6"/>
    <w:basedOn w:val="Normal"/>
    <w:next w:val="Normal"/>
    <w:autoRedefine/>
    <w:uiPriority w:val="99"/>
    <w:semiHidden/>
    <w:rsid w:val="00DD4F1F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9"/>
    <w:semiHidden/>
    <w:rsid w:val="00DD4F1F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E93FC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93FC7"/>
    <w:pPr>
      <w:spacing w:after="100"/>
      <w:ind w:left="1920"/>
    </w:pPr>
  </w:style>
  <w:style w:type="paragraph" w:customStyle="1" w:styleId="ECHRFooter">
    <w:name w:val="ECHR_Footer"/>
    <w:aliases w:val="Footer_ECHR"/>
    <w:basedOn w:val="Footer"/>
    <w:uiPriority w:val="57"/>
    <w:semiHidden/>
    <w:rsid w:val="00DD4F1F"/>
    <w:pPr>
      <w:jc w:val="left"/>
    </w:pPr>
    <w:rPr>
      <w:sz w:val="8"/>
    </w:rPr>
  </w:style>
  <w:style w:type="paragraph" w:customStyle="1" w:styleId="OpiQuot">
    <w:name w:val="Opi_Quot"/>
    <w:basedOn w:val="ECHRParaQuote"/>
    <w:uiPriority w:val="48"/>
    <w:semiHidden/>
    <w:qFormat/>
    <w:rsid w:val="00DD4F1F"/>
  </w:style>
  <w:style w:type="paragraph" w:styleId="Footer">
    <w:name w:val="footer"/>
    <w:basedOn w:val="Normal"/>
    <w:link w:val="FooterChar"/>
    <w:uiPriority w:val="57"/>
    <w:semiHidden/>
    <w:rsid w:val="00DD4F1F"/>
    <w:pPr>
      <w:tabs>
        <w:tab w:val="center" w:pos="4536"/>
        <w:tab w:val="right" w:pos="9696"/>
      </w:tabs>
      <w:ind w:left="-680" w:right="-680"/>
    </w:pPr>
  </w:style>
  <w:style w:type="character" w:customStyle="1" w:styleId="FooterChar">
    <w:name w:val="Footer Char"/>
    <w:link w:val="Footer"/>
    <w:uiPriority w:val="57"/>
    <w:semiHidden/>
    <w:rsid w:val="00DD4F1F"/>
    <w:rPr>
      <w:sz w:val="24"/>
      <w:lang w:val="bg-BG" w:eastAsia="bg-BG"/>
    </w:rPr>
  </w:style>
  <w:style w:type="paragraph" w:customStyle="1" w:styleId="ECHRFooterLine">
    <w:name w:val="ECHR_Footer_Line"/>
    <w:aliases w:val="Footer_Line"/>
    <w:basedOn w:val="Normal"/>
    <w:next w:val="ECHRFooter"/>
    <w:uiPriority w:val="57"/>
    <w:semiHidden/>
    <w:rsid w:val="00DD4F1F"/>
    <w:pPr>
      <w:pBdr>
        <w:top w:val="single" w:sz="6" w:space="1" w:color="5F5F5F"/>
      </w:pBdr>
      <w:tabs>
        <w:tab w:val="center" w:pos="4536"/>
        <w:tab w:val="right" w:pos="9696"/>
      </w:tabs>
      <w:ind w:left="-680" w:right="-680"/>
      <w:jc w:val="left"/>
    </w:pPr>
    <w:rPr>
      <w:color w:val="5F5F5F"/>
    </w:rPr>
  </w:style>
  <w:style w:type="table" w:customStyle="1" w:styleId="ECHRListTable">
    <w:name w:val="ECHR_List_Table"/>
    <w:basedOn w:val="TableNormal"/>
    <w:uiPriority w:val="99"/>
    <w:rsid w:val="00DD4F1F"/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paragraph" w:customStyle="1" w:styleId="OpiQuotSub">
    <w:name w:val="Opi_Quot_Sub"/>
    <w:basedOn w:val="JuQuotSub"/>
    <w:uiPriority w:val="49"/>
    <w:semiHidden/>
    <w:qFormat/>
    <w:rsid w:val="00DD4F1F"/>
  </w:style>
  <w:style w:type="paragraph" w:customStyle="1" w:styleId="OpiTranslation">
    <w:name w:val="Opi_Translation"/>
    <w:basedOn w:val="Normal"/>
    <w:next w:val="OpiPara"/>
    <w:uiPriority w:val="40"/>
    <w:semiHidden/>
    <w:qFormat/>
    <w:rsid w:val="00DD4F1F"/>
    <w:pPr>
      <w:jc w:val="center"/>
      <w:outlineLvl w:val="0"/>
    </w:pPr>
    <w:rPr>
      <w:i/>
    </w:rPr>
  </w:style>
  <w:style w:type="character" w:customStyle="1" w:styleId="ECHRParaChar">
    <w:name w:val="ECHR_Para Char"/>
    <w:aliases w:val="Ju_Para Char"/>
    <w:link w:val="ECHRPara"/>
    <w:uiPriority w:val="12"/>
    <w:rsid w:val="00E629CA"/>
    <w:rPr>
      <w:rFonts w:eastAsia="Times New Roman"/>
      <w:sz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C6150-6657-4F75-8261-28EB4BF7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3459</Words>
  <Characters>19721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2017-04-06T07:49:00Z</dcterms:created>
  <dcterms:modified xsi:type="dcterms:W3CDTF">2017-04-06T07:50:00Z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