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81" w:rsidRPr="00482A4B" w:rsidRDefault="00470981" w:rsidP="00482A4B">
      <w:pPr>
        <w:jc w:val="center"/>
      </w:pPr>
    </w:p>
    <w:p w:rsidR="00F34260" w:rsidRPr="00482A4B" w:rsidRDefault="00F34260" w:rsidP="00482A4B">
      <w:pPr>
        <w:jc w:val="center"/>
      </w:pPr>
    </w:p>
    <w:p w:rsidR="00F34260" w:rsidRPr="00482A4B" w:rsidRDefault="00F34260" w:rsidP="00482A4B">
      <w:pPr>
        <w:jc w:val="center"/>
      </w:pPr>
    </w:p>
    <w:p w:rsidR="00470981" w:rsidRPr="00482A4B" w:rsidRDefault="001824FA" w:rsidP="00482A4B">
      <w:pPr>
        <w:jc w:val="center"/>
      </w:pPr>
      <w:r>
        <w:t>ПЕТО ОТДЕЛЕНИЕ</w:t>
      </w:r>
    </w:p>
    <w:p w:rsidR="00F34260" w:rsidRPr="00482A4B" w:rsidRDefault="00F34260" w:rsidP="00482A4B">
      <w:pPr>
        <w:jc w:val="center"/>
      </w:pPr>
      <w:bookmarkStart w:id="0" w:name="To"/>
    </w:p>
    <w:p w:rsidR="00F34260" w:rsidRPr="00482A4B" w:rsidRDefault="00F34260" w:rsidP="00482A4B">
      <w:pPr>
        <w:jc w:val="center"/>
      </w:pPr>
    </w:p>
    <w:p w:rsidR="00F34260" w:rsidRPr="00482A4B" w:rsidRDefault="00F34260" w:rsidP="00482A4B">
      <w:pPr>
        <w:jc w:val="center"/>
      </w:pPr>
    </w:p>
    <w:p w:rsidR="00F34260" w:rsidRPr="00482A4B" w:rsidRDefault="00F34260" w:rsidP="00482A4B">
      <w:pPr>
        <w:jc w:val="center"/>
      </w:pPr>
    </w:p>
    <w:p w:rsidR="00CB354E" w:rsidRPr="00482A4B" w:rsidRDefault="00CB354E" w:rsidP="00482A4B">
      <w:pPr>
        <w:jc w:val="center"/>
      </w:pPr>
    </w:p>
    <w:p w:rsidR="00CB354E" w:rsidRPr="00482A4B" w:rsidRDefault="00CB354E" w:rsidP="00482A4B">
      <w:pPr>
        <w:jc w:val="center"/>
      </w:pPr>
    </w:p>
    <w:p w:rsidR="00470981" w:rsidRPr="00482A4B" w:rsidRDefault="00470981" w:rsidP="00482A4B">
      <w:pPr>
        <w:jc w:val="center"/>
        <w:rPr>
          <w:b/>
        </w:rPr>
      </w:pPr>
      <w:r>
        <w:rPr>
          <w:b/>
        </w:rPr>
        <w:t xml:space="preserve">ДЕЛО </w:t>
      </w:r>
      <w:bookmarkEnd w:id="0"/>
      <w:r>
        <w:rPr>
          <w:b/>
        </w:rPr>
        <w:t>ЙОРДАНОВА И ДРУГИ СРЕЩУ БЪЛГАРИЯ</w:t>
      </w:r>
    </w:p>
    <w:p w:rsidR="00470981" w:rsidRPr="00482A4B" w:rsidRDefault="00470981" w:rsidP="00482A4B">
      <w:pPr>
        <w:jc w:val="center"/>
      </w:pPr>
    </w:p>
    <w:p w:rsidR="00470981" w:rsidRPr="00482A4B" w:rsidRDefault="00470981" w:rsidP="00482A4B">
      <w:pPr>
        <w:jc w:val="center"/>
        <w:rPr>
          <w:i/>
        </w:rPr>
      </w:pPr>
      <w:r>
        <w:rPr>
          <w:i/>
        </w:rPr>
        <w:t>(Жалби № 61432/11 и 64318/11)</w:t>
      </w:r>
    </w:p>
    <w:p w:rsidR="00470981" w:rsidRPr="00482A4B" w:rsidRDefault="00470981" w:rsidP="00482A4B">
      <w:pPr>
        <w:jc w:val="center"/>
      </w:pPr>
    </w:p>
    <w:p w:rsidR="00CB354E" w:rsidRPr="00482A4B" w:rsidRDefault="00CB354E" w:rsidP="00482A4B">
      <w:pPr>
        <w:jc w:val="center"/>
      </w:pPr>
    </w:p>
    <w:p w:rsidR="00CB354E" w:rsidRPr="00482A4B" w:rsidRDefault="00CB354E" w:rsidP="00482A4B">
      <w:pPr>
        <w:jc w:val="center"/>
      </w:pPr>
    </w:p>
    <w:p w:rsidR="00CB354E" w:rsidRPr="00482A4B" w:rsidRDefault="00CB354E" w:rsidP="00482A4B">
      <w:pPr>
        <w:jc w:val="center"/>
      </w:pPr>
    </w:p>
    <w:p w:rsidR="00CB354E" w:rsidRPr="00482A4B" w:rsidRDefault="00CB354E" w:rsidP="00482A4B">
      <w:pPr>
        <w:jc w:val="center"/>
      </w:pPr>
    </w:p>
    <w:p w:rsidR="00482A4B" w:rsidRPr="00482A4B" w:rsidRDefault="00482A4B" w:rsidP="00482A4B">
      <w:pPr>
        <w:jc w:val="center"/>
      </w:pPr>
    </w:p>
    <w:p w:rsidR="00482A4B" w:rsidRPr="00482A4B" w:rsidRDefault="00482A4B" w:rsidP="00482A4B">
      <w:pPr>
        <w:jc w:val="center"/>
      </w:pPr>
    </w:p>
    <w:p w:rsidR="00482A4B" w:rsidRPr="00482A4B" w:rsidRDefault="00482A4B" w:rsidP="00482A4B">
      <w:pPr>
        <w:jc w:val="center"/>
      </w:pPr>
    </w:p>
    <w:p w:rsidR="00482A4B" w:rsidRPr="00482A4B" w:rsidRDefault="00482A4B" w:rsidP="00482A4B">
      <w:pPr>
        <w:jc w:val="center"/>
      </w:pPr>
    </w:p>
    <w:p w:rsidR="00CB354E" w:rsidRPr="00482A4B" w:rsidRDefault="00CB354E" w:rsidP="00482A4B">
      <w:pPr>
        <w:jc w:val="center"/>
      </w:pPr>
    </w:p>
    <w:p w:rsidR="00CB354E" w:rsidRPr="00482A4B" w:rsidRDefault="00CB354E" w:rsidP="00482A4B">
      <w:pPr>
        <w:jc w:val="center"/>
      </w:pPr>
    </w:p>
    <w:p w:rsidR="001824FA" w:rsidRPr="00482A4B" w:rsidRDefault="00F34260" w:rsidP="00482A4B">
      <w:pPr>
        <w:jc w:val="center"/>
        <w:rPr>
          <w:szCs w:val="24"/>
        </w:rPr>
      </w:pPr>
      <w:r>
        <w:t>РЕШЕНИЕ</w:t>
      </w:r>
    </w:p>
    <w:p w:rsidR="00470981" w:rsidRPr="00482A4B" w:rsidRDefault="001824FA" w:rsidP="00482A4B">
      <w:pPr>
        <w:jc w:val="center"/>
        <w:rPr>
          <w:szCs w:val="24"/>
        </w:rPr>
      </w:pPr>
      <w:r>
        <w:t>(</w:t>
      </w:r>
      <w:r>
        <w:rPr>
          <w:i/>
        </w:rPr>
        <w:t>Справедливо обезщетение</w:t>
      </w:r>
      <w:r>
        <w:t>)</w:t>
      </w:r>
    </w:p>
    <w:p w:rsidR="00F34260" w:rsidRPr="00482A4B" w:rsidRDefault="00F34260" w:rsidP="00482A4B">
      <w:pPr>
        <w:jc w:val="center"/>
        <w:rPr>
          <w:szCs w:val="24"/>
        </w:rPr>
      </w:pPr>
    </w:p>
    <w:p w:rsidR="00F34260" w:rsidRPr="00482A4B" w:rsidRDefault="00F34260" w:rsidP="00482A4B">
      <w:pPr>
        <w:jc w:val="center"/>
        <w:rPr>
          <w:szCs w:val="24"/>
        </w:rPr>
      </w:pPr>
    </w:p>
    <w:p w:rsidR="00482A4B" w:rsidRPr="00482A4B" w:rsidRDefault="00482A4B" w:rsidP="00482A4B">
      <w:pPr>
        <w:jc w:val="center"/>
        <w:rPr>
          <w:szCs w:val="24"/>
        </w:rPr>
      </w:pPr>
    </w:p>
    <w:p w:rsidR="00482A4B" w:rsidRPr="00482A4B" w:rsidRDefault="00482A4B" w:rsidP="00482A4B">
      <w:pPr>
        <w:jc w:val="center"/>
        <w:rPr>
          <w:szCs w:val="24"/>
        </w:rPr>
      </w:pPr>
    </w:p>
    <w:p w:rsidR="00F34260" w:rsidRPr="00482A4B" w:rsidRDefault="00F34260" w:rsidP="00482A4B">
      <w:pPr>
        <w:jc w:val="center"/>
        <w:rPr>
          <w:szCs w:val="24"/>
        </w:rPr>
      </w:pPr>
      <w:r>
        <w:t>СТРАСБУРГ</w:t>
      </w:r>
    </w:p>
    <w:p w:rsidR="00F34260" w:rsidRPr="00482A4B" w:rsidRDefault="00F34260" w:rsidP="00482A4B">
      <w:pPr>
        <w:jc w:val="center"/>
        <w:rPr>
          <w:szCs w:val="24"/>
        </w:rPr>
      </w:pPr>
    </w:p>
    <w:p w:rsidR="00F34260" w:rsidRPr="00482A4B" w:rsidRDefault="00F34260" w:rsidP="00482A4B">
      <w:pPr>
        <w:jc w:val="center"/>
        <w:rPr>
          <w:szCs w:val="24"/>
        </w:rPr>
      </w:pPr>
      <w:r>
        <w:t>11 юли 2019 г.</w:t>
      </w:r>
    </w:p>
    <w:p w:rsidR="00F34260" w:rsidRPr="00482A4B" w:rsidRDefault="00F34260" w:rsidP="00482A4B">
      <w:pPr>
        <w:jc w:val="center"/>
        <w:rPr>
          <w:szCs w:val="24"/>
        </w:rPr>
      </w:pPr>
    </w:p>
    <w:p w:rsidR="00F34260" w:rsidRPr="00482A4B" w:rsidRDefault="00F34260" w:rsidP="00482A4B">
      <w:pPr>
        <w:jc w:val="center"/>
        <w:rPr>
          <w:szCs w:val="24"/>
        </w:rPr>
      </w:pPr>
    </w:p>
    <w:p w:rsidR="00482A4B" w:rsidRPr="00482A4B" w:rsidRDefault="00482A4B" w:rsidP="00482A4B">
      <w:pPr>
        <w:jc w:val="center"/>
        <w:rPr>
          <w:szCs w:val="24"/>
        </w:rPr>
      </w:pPr>
    </w:p>
    <w:p w:rsidR="00FA0D0A" w:rsidRPr="00482A4B" w:rsidRDefault="00F34260" w:rsidP="00482A4B">
      <w:pPr>
        <w:rPr>
          <w:szCs w:val="24"/>
        </w:rPr>
      </w:pPr>
      <w:r>
        <w:rPr>
          <w:i/>
          <w:sz w:val="22"/>
        </w:rPr>
        <w:t>Настоящото решение е окончателно, но може да бъде предмет на редакционни промени.</w:t>
      </w:r>
    </w:p>
    <w:p w:rsidR="00F34260" w:rsidRPr="00482A4B" w:rsidRDefault="00F34260" w:rsidP="00482A4B">
      <w:pPr>
        <w:pStyle w:val="JuCase"/>
        <w:sectPr w:rsidR="00F34260" w:rsidRPr="00482A4B" w:rsidSect="00F342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470981" w:rsidRPr="00482A4B" w:rsidRDefault="00470981" w:rsidP="00482A4B">
      <w:pPr>
        <w:pStyle w:val="JuCase"/>
        <w:rPr>
          <w:b w:val="0"/>
          <w:bCs/>
        </w:rPr>
      </w:pPr>
      <w:r>
        <w:lastRenderedPageBreak/>
        <w:t>По делото Йорданова и други срещу България,</w:t>
      </w:r>
    </w:p>
    <w:p w:rsidR="00470981" w:rsidRPr="00482A4B" w:rsidRDefault="00470981" w:rsidP="00482A4B">
      <w:pPr>
        <w:pStyle w:val="ECHRPara"/>
        <w:rPr>
          <w:b/>
        </w:rPr>
      </w:pPr>
      <w:r>
        <w:t>Европейският съд по правата на човека (Пето отделение), заседаващ като комитет</w:t>
      </w:r>
      <w:r w:rsidR="00892124" w:rsidRPr="00D5055E">
        <w:t xml:space="preserve"> </w:t>
      </w:r>
      <w:r w:rsidR="00892124">
        <w:t>в състав</w:t>
      </w:r>
      <w:r>
        <w:t>:</w:t>
      </w:r>
    </w:p>
    <w:p w:rsidR="00470981" w:rsidRPr="00482A4B" w:rsidRDefault="00F34260" w:rsidP="00482A4B">
      <w:pPr>
        <w:pStyle w:val="ECHRDecisionBody"/>
      </w:pPr>
      <w:r>
        <w:tab/>
        <w:t>Гана Юдкивска (Ganna Yudkivska),</w:t>
      </w:r>
      <w:r>
        <w:rPr>
          <w:i/>
        </w:rPr>
        <w:t xml:space="preserve"> председател,</w:t>
      </w:r>
      <w:r>
        <w:br/>
      </w:r>
      <w:r>
        <w:tab/>
        <w:t>Шифра О’Лиъри (Síofra O’Leary),</w:t>
      </w:r>
      <w:r>
        <w:br/>
      </w:r>
      <w:r>
        <w:tab/>
        <w:t>Ладо Чантурия (Lado Chanturia),</w:t>
      </w:r>
      <w:r>
        <w:rPr>
          <w:i/>
        </w:rPr>
        <w:t xml:space="preserve"> съдии,</w:t>
      </w:r>
      <w:r>
        <w:br/>
        <w:t>и Милан Бла</w:t>
      </w:r>
      <w:r w:rsidR="00892124">
        <w:t>с</w:t>
      </w:r>
      <w:r>
        <w:t xml:space="preserve">ко (Milan Blaško), </w:t>
      </w:r>
      <w:r>
        <w:rPr>
          <w:i/>
        </w:rPr>
        <w:t>заместник-секретар на отделението,</w:t>
      </w:r>
    </w:p>
    <w:p w:rsidR="00470981" w:rsidRPr="00482A4B" w:rsidRDefault="00470981" w:rsidP="00482A4B">
      <w:pPr>
        <w:pStyle w:val="ECHRPara"/>
      </w:pPr>
      <w:r>
        <w:t>След закрито заседание, проведено на 18 юни 2019 г.,</w:t>
      </w:r>
    </w:p>
    <w:p w:rsidR="00470981" w:rsidRPr="00482A4B" w:rsidRDefault="00470981" w:rsidP="00482A4B">
      <w:pPr>
        <w:pStyle w:val="ECHRPara"/>
      </w:pPr>
      <w:r>
        <w:t>Постановява следното решение, прието на същата дата:</w:t>
      </w:r>
    </w:p>
    <w:p w:rsidR="00470981" w:rsidRPr="00482A4B" w:rsidRDefault="00470981" w:rsidP="00482A4B">
      <w:pPr>
        <w:pStyle w:val="ECHRTitle1"/>
      </w:pPr>
      <w:r>
        <w:t>ПРОЦЕДУРА</w:t>
      </w:r>
    </w:p>
    <w:p w:rsidR="00386BE8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1</w:t>
      </w:r>
      <w:r>
        <w:rPr>
          <w:noProof/>
        </w:rPr>
        <w:fldChar w:fldCharType="end"/>
      </w:r>
      <w:r w:rsidR="001824FA">
        <w:t>.  Делото е образувано по две жалби (№ 61432/11 и № 64318/11) срещу Република България, подаден</w:t>
      </w:r>
      <w:r w:rsidR="00892124">
        <w:t>и</w:t>
      </w:r>
      <w:r w:rsidR="001824FA">
        <w:t xml:space="preserve"> в Съда на основание чл. 34 от Конвенцията за защита правата на човека и основните свободи („Конвенцията“) от трима български граждани, г-жа Виолета Александрова Йорданова („първата жалбоподателка“), г-жа Тимка Александрова Русаманова („втората жалбоподателка“) и г-жа Румяна Страшимирова Телятинова („третата жалбоподателка“), на 15 септември 2011 г. Втората жалбоподателка е починала през 2013 г. и дъщеря ѝ, г-жа Светла Величкова Гогова, изразява желание да продължи жалбата ѝ вместо нея.</w:t>
      </w:r>
    </w:p>
    <w:p w:rsidR="00386BE8" w:rsidRPr="001B2C19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2</w:t>
      </w:r>
      <w:r>
        <w:rPr>
          <w:noProof/>
        </w:rPr>
        <w:fldChar w:fldCharType="end"/>
      </w:r>
      <w:r w:rsidR="00386BE8">
        <w:t xml:space="preserve">.  Първата и третата жалбоподателка и г-жа Гогова се представляват от г-жа С. Маргаритова-Вучкова, адвокат, практикуващ в София. Българското правителство („Правителството”) се представлява от г-жа М. Димова и г-жа И. Сотирова от </w:t>
      </w:r>
      <w:r w:rsidR="00386BE8" w:rsidRPr="001B2C19">
        <w:t>Министерство на правосъдието.</w:t>
      </w:r>
    </w:p>
    <w:p w:rsidR="00470981" w:rsidRPr="00482A4B" w:rsidRDefault="001824FA" w:rsidP="00482A4B">
      <w:pPr>
        <w:pStyle w:val="ECHRPara"/>
      </w:pPr>
      <w:r w:rsidRPr="001B2C19">
        <w:fldChar w:fldCharType="begin"/>
      </w:r>
      <w:r w:rsidRPr="004C16FA">
        <w:instrText xml:space="preserve"> SEQ level0 \*arabic </w:instrText>
      </w:r>
      <w:r w:rsidRPr="001B2C19">
        <w:fldChar w:fldCharType="separate"/>
      </w:r>
      <w:r w:rsidR="00482A4B" w:rsidRPr="001B2C19">
        <w:rPr>
          <w:noProof/>
        </w:rPr>
        <w:t>3</w:t>
      </w:r>
      <w:r w:rsidRPr="001B2C19">
        <w:fldChar w:fldCharType="end"/>
      </w:r>
      <w:r w:rsidRPr="001B2C19">
        <w:t>.  </w:t>
      </w:r>
      <w:r w:rsidR="001B2C19">
        <w:t>В</w:t>
      </w:r>
      <w:r w:rsidR="001B2C19" w:rsidRPr="001B2C19">
        <w:t xml:space="preserve"> </w:t>
      </w:r>
      <w:r w:rsidRPr="001B2C19">
        <w:t xml:space="preserve">решение, постановено на 19 юли 2018 г. („основното решение“, вж. </w:t>
      </w:r>
      <w:r w:rsidRPr="001B2C19">
        <w:rPr>
          <w:i/>
        </w:rPr>
        <w:t>Йорданова и други срещу България</w:t>
      </w:r>
      <w:r w:rsidRPr="001B2C19">
        <w:t xml:space="preserve"> [Комитет], № 61432/11 и 64318/11, 19 юли 2018 г.), Съдът </w:t>
      </w:r>
      <w:r w:rsidR="001C33E6">
        <w:t>намери</w:t>
      </w:r>
      <w:r w:rsidRPr="001B2C19">
        <w:t xml:space="preserve"> нарушение на чл. 1 от Протокол № 1 с мотива, че националните органи в продължение на много години не </w:t>
      </w:r>
      <w:r w:rsidR="001C33E6">
        <w:t>са успели</w:t>
      </w:r>
      <w:r w:rsidRPr="001B2C19">
        <w:t xml:space="preserve"> да завършат процедура, инициирана от жалбоподателките </w:t>
      </w:r>
      <w:r w:rsidR="001C33E6">
        <w:t>в съответствие със</w:t>
      </w:r>
      <w:r w:rsidRPr="001B2C19">
        <w:t xml:space="preserve"> законодателство, прието през 1997 г., която има за цел да осигури обезщетение за </w:t>
      </w:r>
      <w:r w:rsidR="001C33E6" w:rsidRPr="001B2C19">
        <w:t>отчуждени през 40-те години на 20 в</w:t>
      </w:r>
      <w:r w:rsidR="00F43C5D">
        <w:t>ек</w:t>
      </w:r>
      <w:r w:rsidR="001C33E6" w:rsidRPr="001C33E6">
        <w:t xml:space="preserve"> </w:t>
      </w:r>
      <w:r w:rsidR="001C33E6" w:rsidRPr="001B2C19">
        <w:t>имоти</w:t>
      </w:r>
      <w:r w:rsidRPr="001B2C19">
        <w:t xml:space="preserve">. През 1998 г. и 1999 г. са издадени административни </w:t>
      </w:r>
      <w:r w:rsidR="001C33E6">
        <w:t>актове</w:t>
      </w:r>
      <w:r w:rsidRPr="001B2C19">
        <w:t xml:space="preserve"> за </w:t>
      </w:r>
      <w:r w:rsidR="001C33E6">
        <w:t>обезщетяване на жалбоподателките</w:t>
      </w:r>
      <w:r w:rsidRPr="001B09AC">
        <w:t xml:space="preserve"> </w:t>
      </w:r>
      <w:r>
        <w:t>чрез акции в държавно дружество, наречено “Образование и наука” ЕАД („ОН</w:t>
      </w:r>
      <w:r w:rsidR="00F43C5D">
        <w:t>“ ЕАД</w:t>
      </w:r>
      <w:r>
        <w:t xml:space="preserve">) - печатница, занимаваща се наред с другото с отпечатването на учебници, а през 2003 г. са </w:t>
      </w:r>
      <w:r w:rsidR="001C33E6">
        <w:t>издадени</w:t>
      </w:r>
      <w:r>
        <w:t xml:space="preserve"> допълнителни </w:t>
      </w:r>
      <w:r w:rsidR="001C33E6">
        <w:t>актове</w:t>
      </w:r>
      <w:r>
        <w:t xml:space="preserve">, определящи </w:t>
      </w:r>
      <w:r w:rsidR="001C33E6">
        <w:t>броя</w:t>
      </w:r>
      <w:r>
        <w:t xml:space="preserve"> на акциите. Нито </w:t>
      </w:r>
      <w:r w:rsidR="0063355C">
        <w:t>един</w:t>
      </w:r>
      <w:r>
        <w:t xml:space="preserve"> от въпросните </w:t>
      </w:r>
      <w:r w:rsidR="0063355C">
        <w:t>актове обаче не е изпълнен</w:t>
      </w:r>
      <w:r>
        <w:t xml:space="preserve">, по-конкретно поради това, че </w:t>
      </w:r>
      <w:r w:rsidR="0063355C">
        <w:t>законова</w:t>
      </w:r>
      <w:r>
        <w:t xml:space="preserve"> разпоредба, приета през 2002 г., забранява </w:t>
      </w:r>
      <w:r w:rsidR="0063355C">
        <w:t>обезщетяването</w:t>
      </w:r>
      <w:r>
        <w:t xml:space="preserve"> </w:t>
      </w:r>
      <w:r>
        <w:lastRenderedPageBreak/>
        <w:t xml:space="preserve">чрез акции в редица дружества, включително </w:t>
      </w:r>
      <w:r w:rsidR="00F43C5D">
        <w:t>„</w:t>
      </w:r>
      <w:r>
        <w:t>ОН</w:t>
      </w:r>
      <w:r w:rsidR="00F43C5D">
        <w:t>“</w:t>
      </w:r>
      <w:r>
        <w:t xml:space="preserve"> ЕАД. </w:t>
      </w:r>
      <w:r w:rsidR="0063355C">
        <w:t xml:space="preserve">На жалбоподателите не е предложен </w:t>
      </w:r>
      <w:r w:rsidR="001C720A">
        <w:t>в</w:t>
      </w:r>
      <w:r>
        <w:t xml:space="preserve">алиден алтернативен </w:t>
      </w:r>
      <w:r w:rsidR="0063355C">
        <w:t>начин</w:t>
      </w:r>
      <w:r>
        <w:t xml:space="preserve"> на </w:t>
      </w:r>
      <w:r w:rsidR="0063355C">
        <w:t>обезщетяване</w:t>
      </w:r>
      <w:r>
        <w:t>.</w:t>
      </w:r>
    </w:p>
    <w:p w:rsidR="00470981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4</w:t>
      </w:r>
      <w:r>
        <w:rPr>
          <w:noProof/>
        </w:rPr>
        <w:fldChar w:fldCharType="end"/>
      </w:r>
      <w:r w:rsidR="001824FA">
        <w:t>.  </w:t>
      </w:r>
      <w:r w:rsidR="001B2C19">
        <w:t>Ж</w:t>
      </w:r>
      <w:r w:rsidR="001824FA">
        <w:t xml:space="preserve">албоподателите </w:t>
      </w:r>
      <w:r w:rsidR="00B71D19">
        <w:t>претендират</w:t>
      </w:r>
      <w:r w:rsidR="001824FA">
        <w:t xml:space="preserve"> справедливо обезщетение</w:t>
      </w:r>
      <w:r w:rsidR="001B2C19">
        <w:t xml:space="preserve"> по чл. 41 от Конвенцията</w:t>
      </w:r>
      <w:r w:rsidR="001824FA">
        <w:t>.</w:t>
      </w:r>
    </w:p>
    <w:p w:rsidR="00470981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5</w:t>
      </w:r>
      <w:r>
        <w:rPr>
          <w:noProof/>
        </w:rPr>
        <w:fldChar w:fldCharType="end"/>
      </w:r>
      <w:r w:rsidR="001824FA">
        <w:t xml:space="preserve">.  Тъй като въпросът за прилагането на чл. 41 от Конвенцията не </w:t>
      </w:r>
      <w:r w:rsidR="00732041">
        <w:t>беше</w:t>
      </w:r>
      <w:r w:rsidR="001824FA">
        <w:t xml:space="preserve"> готов за </w:t>
      </w:r>
      <w:r w:rsidR="00732041">
        <w:t>решаване по отношение на вредите</w:t>
      </w:r>
      <w:r w:rsidR="001824FA">
        <w:t xml:space="preserve">, Съдът </w:t>
      </w:r>
      <w:r w:rsidR="00732041">
        <w:t>го отложи и прикани</w:t>
      </w:r>
      <w:r w:rsidR="001824FA">
        <w:t xml:space="preserve"> Правителството и жалбоподателките да представят в срок от четири месеца своите писмени становища по въпроса и по-конкретно да уведомят Съда за всяко евентуално постигнато споразумение (пак там, §</w:t>
      </w:r>
      <w:r w:rsidR="00732041">
        <w:t>§</w:t>
      </w:r>
      <w:r w:rsidR="001824FA">
        <w:t xml:space="preserve"> 50-52, и точка 7 от диспозитива).</w:t>
      </w:r>
    </w:p>
    <w:p w:rsidR="00135EE4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6</w:t>
      </w:r>
      <w:r>
        <w:rPr>
          <w:noProof/>
        </w:rPr>
        <w:fldChar w:fldCharType="end"/>
      </w:r>
      <w:r w:rsidR="001824FA">
        <w:t>.  </w:t>
      </w:r>
      <w:r w:rsidR="00732041">
        <w:t>Ж</w:t>
      </w:r>
      <w:r w:rsidR="001824FA">
        <w:t>албоподатели</w:t>
      </w:r>
      <w:r w:rsidR="00732041">
        <w:t>те</w:t>
      </w:r>
      <w:r w:rsidR="001824FA">
        <w:t xml:space="preserve"> и Правителството </w:t>
      </w:r>
      <w:r w:rsidR="00732041">
        <w:t>представиха становища. Те информираха</w:t>
      </w:r>
      <w:r w:rsidR="001824FA">
        <w:t xml:space="preserve"> Съда, че не </w:t>
      </w:r>
      <w:r w:rsidR="00732041">
        <w:t>са успели</w:t>
      </w:r>
      <w:r w:rsidR="001824FA">
        <w:t xml:space="preserve"> да постигнат споразумение.</w:t>
      </w:r>
    </w:p>
    <w:p w:rsidR="00C02A51" w:rsidRPr="00482A4B" w:rsidRDefault="001B2C19" w:rsidP="00482A4B">
      <w:pPr>
        <w:pStyle w:val="ECHRTitle1"/>
      </w:pPr>
      <w:r>
        <w:t>ПРАВОТО</w:t>
      </w:r>
    </w:p>
    <w:p w:rsidR="001824FA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7</w:t>
      </w:r>
      <w:r>
        <w:rPr>
          <w:noProof/>
        </w:rPr>
        <w:fldChar w:fldCharType="end"/>
      </w:r>
      <w:r w:rsidR="001824FA">
        <w:t>.  Чл. 41 от Конвенцията гласи:</w:t>
      </w:r>
    </w:p>
    <w:p w:rsidR="001824FA" w:rsidRPr="00482A4B" w:rsidRDefault="001824FA" w:rsidP="00482A4B">
      <w:pPr>
        <w:pStyle w:val="ECHRParaQuote"/>
      </w:pPr>
      <w:r>
        <w:t>“Ако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страна.”</w:t>
      </w:r>
    </w:p>
    <w:p w:rsidR="001824FA" w:rsidRPr="00482A4B" w:rsidRDefault="001824FA" w:rsidP="00482A4B">
      <w:pPr>
        <w:pStyle w:val="ECHRHeading2"/>
      </w:pPr>
      <w:r>
        <w:t xml:space="preserve">А. </w:t>
      </w:r>
      <w:r w:rsidR="001B2C19">
        <w:t>В</w:t>
      </w:r>
      <w:r>
        <w:t>реди</w:t>
      </w:r>
    </w:p>
    <w:p w:rsidR="00A33ACB" w:rsidRPr="00482A4B" w:rsidRDefault="00A33ACB" w:rsidP="00482A4B">
      <w:pPr>
        <w:pStyle w:val="ECHRHeading3"/>
      </w:pPr>
      <w:r>
        <w:t>1.  Тези на страните</w:t>
      </w:r>
    </w:p>
    <w:p w:rsidR="00135EE4" w:rsidRPr="00482A4B" w:rsidRDefault="00482A4B" w:rsidP="00482A4B">
      <w:pPr>
        <w:pStyle w:val="ECHRHeading4"/>
      </w:pPr>
      <w:r>
        <w:t>(а) Първата и третата жалбоподателка и г-жа Гогова</w:t>
      </w:r>
    </w:p>
    <w:p w:rsidR="00135EE4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8</w:t>
      </w:r>
      <w:r>
        <w:rPr>
          <w:noProof/>
        </w:rPr>
        <w:fldChar w:fldCharType="end"/>
      </w:r>
      <w:r w:rsidR="00135EE4">
        <w:t xml:space="preserve">.  Признавайки „обществената функция“ на </w:t>
      </w:r>
      <w:r w:rsidR="00F43C5D">
        <w:t>„</w:t>
      </w:r>
      <w:r w:rsidR="00135EE4">
        <w:t>ОН</w:t>
      </w:r>
      <w:r w:rsidR="00F43C5D">
        <w:t>“</w:t>
      </w:r>
      <w:r w:rsidR="00135EE4">
        <w:t xml:space="preserve"> ЕАД, първата и третата жалбоподателка и наследницата на втората жалбоподателка</w:t>
      </w:r>
      <w:r w:rsidR="001B2C19">
        <w:t>,</w:t>
      </w:r>
      <w:r w:rsidR="00135EE4">
        <w:t xml:space="preserve"> г-жа Гогова</w:t>
      </w:r>
      <w:r w:rsidR="001B2C19">
        <w:t>,</w:t>
      </w:r>
      <w:r w:rsidR="00135EE4">
        <w:t xml:space="preserve"> заявяват, че не </w:t>
      </w:r>
      <w:r w:rsidR="00264B88">
        <w:t>претендират</w:t>
      </w:r>
      <w:r w:rsidR="001B2C19">
        <w:t xml:space="preserve"> </w:t>
      </w:r>
      <w:r w:rsidR="00135EE4">
        <w:t xml:space="preserve">изпълнението на </w:t>
      </w:r>
      <w:r w:rsidR="00264B88">
        <w:t>актовете</w:t>
      </w:r>
      <w:r w:rsidR="00135EE4">
        <w:t xml:space="preserve">, с които им се </w:t>
      </w:r>
      <w:r w:rsidR="00264B88">
        <w:t>предоставят</w:t>
      </w:r>
      <w:r w:rsidR="00135EE4">
        <w:t xml:space="preserve"> акции в </w:t>
      </w:r>
      <w:r w:rsidR="00F43C5D">
        <w:t>„</w:t>
      </w:r>
      <w:r w:rsidR="00135EE4">
        <w:t>ОН</w:t>
      </w:r>
      <w:r w:rsidR="00F43C5D">
        <w:t>“</w:t>
      </w:r>
      <w:r w:rsidR="00135EE4">
        <w:t xml:space="preserve"> ЕАД. </w:t>
      </w:r>
      <w:r w:rsidR="00264B88">
        <w:t>В</w:t>
      </w:r>
      <w:r w:rsidR="00135EE4">
        <w:t xml:space="preserve">место това </w:t>
      </w:r>
      <w:r w:rsidR="00264B88">
        <w:t xml:space="preserve">те </w:t>
      </w:r>
      <w:r w:rsidR="00135EE4">
        <w:t xml:space="preserve">претендират „пълната </w:t>
      </w:r>
      <w:r w:rsidR="00A11A75">
        <w:t>осъвременена</w:t>
      </w:r>
      <w:r w:rsidR="00135EE4">
        <w:t xml:space="preserve"> стойност“ или „разумната пазарна стойност“ на дължимото им обезщетение. Те изтъкват, че през 2003 г. </w:t>
      </w:r>
      <w:r w:rsidR="00264B88">
        <w:t xml:space="preserve">на </w:t>
      </w:r>
      <w:r w:rsidR="00135EE4">
        <w:t xml:space="preserve">първата и втората жалбоподателка </w:t>
      </w:r>
      <w:r w:rsidR="00264B88">
        <w:t>са определени</w:t>
      </w:r>
      <w:r w:rsidR="00135EE4">
        <w:t xml:space="preserve"> 579 акции във въпросното дружество, а </w:t>
      </w:r>
      <w:r w:rsidR="00264B88">
        <w:t xml:space="preserve">на </w:t>
      </w:r>
      <w:r w:rsidR="00135EE4">
        <w:t xml:space="preserve">третата жалбоподателка 263 акции; тези </w:t>
      </w:r>
      <w:r w:rsidR="00771E0C">
        <w:t>числа</w:t>
      </w:r>
      <w:r w:rsidR="00135EE4">
        <w:t xml:space="preserve"> са определени след изчисляване на стойността на национализираното имущество по формула, предвидена в законодателството за обезщетяване. Всяка акция има номинална стойност от 100 български лева  - равностойността на около 51 евро. Броят на акциите в </w:t>
      </w:r>
      <w:r w:rsidR="00F43C5D">
        <w:t>„</w:t>
      </w:r>
      <w:r w:rsidR="00135EE4">
        <w:t>ОН</w:t>
      </w:r>
      <w:r w:rsidR="00F43C5D">
        <w:t>“</w:t>
      </w:r>
      <w:r w:rsidR="00135EE4">
        <w:t xml:space="preserve"> ЕАД, непроменен през годините, е 32 286.</w:t>
      </w:r>
    </w:p>
    <w:p w:rsidR="003822EC" w:rsidRPr="00482A4B" w:rsidRDefault="0084658B" w:rsidP="00482A4B">
      <w:pPr>
        <w:pStyle w:val="ECHRPara"/>
      </w:pPr>
      <w:r>
        <w:rPr>
          <w:noProof/>
        </w:rPr>
        <w:lastRenderedPageBreak/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9</w:t>
      </w:r>
      <w:r>
        <w:rPr>
          <w:noProof/>
        </w:rPr>
        <w:fldChar w:fldCharType="end"/>
      </w:r>
      <w:r w:rsidR="003822EC">
        <w:t xml:space="preserve">.  Първата и третата жалбоподателка и г-жа Гогова твърдят въз основа на експертна оценка, която взема предвид </w:t>
      </w:r>
      <w:r w:rsidR="00264B88">
        <w:t>публично</w:t>
      </w:r>
      <w:r w:rsidR="003822EC">
        <w:t xml:space="preserve"> достъпна информация за </w:t>
      </w:r>
      <w:r w:rsidR="00F43C5D">
        <w:t>„</w:t>
      </w:r>
      <w:r w:rsidR="003822EC">
        <w:t>ОН</w:t>
      </w:r>
      <w:r w:rsidR="00F43C5D">
        <w:t>“</w:t>
      </w:r>
      <w:r w:rsidR="003822EC">
        <w:t xml:space="preserve"> ЕАД и цените на имотите, че текущата пазарна стойност на активите на дружеството </w:t>
      </w:r>
      <w:r w:rsidR="00264B88">
        <w:t>възлиза</w:t>
      </w:r>
      <w:r w:rsidR="003822EC">
        <w:t xml:space="preserve"> на 13 733 000 лева (7 024 000 евро). Освен това те твърдят, че тъй като един от елементите на формулата, предвидена в законодателството за обезщетяване, е средната месечна заплата, която се е увеличила от 2003 г. насам, стойността на дължимото им обезщетение и съответните акции в дружеството също биха се увеличили, ако трябва да бъдат преизчислени сега.</w:t>
      </w:r>
      <w:r w:rsidR="00264B88">
        <w:t xml:space="preserve"> Въз основа на тези съображения</w:t>
      </w:r>
      <w:r w:rsidR="003822EC">
        <w:t xml:space="preserve"> ангажираните от тях експерти изчисляват, че </w:t>
      </w:r>
      <w:r w:rsidR="00264B88">
        <w:t>актуалната</w:t>
      </w:r>
      <w:r w:rsidR="003822EC">
        <w:t xml:space="preserve"> „пазарна стойност“ на всяка от акциите за целите на обезщетението е 860 лв. (440 евро). Това означава, че първата жалбоподателка и г-жа Гогова имат право на обезщетение за своите акции в размер на 498 000 лева (254 700 евро), а третата жалбоподателка има право на 226 000 лева (115 600 000 евро). Първата и третата жалбоподателка и г-жа Гогова съответно претендират тези суми.</w:t>
      </w:r>
    </w:p>
    <w:p w:rsidR="003822EC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10</w:t>
      </w:r>
      <w:r>
        <w:rPr>
          <w:noProof/>
        </w:rPr>
        <w:fldChar w:fldCharType="end"/>
      </w:r>
      <w:r w:rsidR="00CE66A5">
        <w:t xml:space="preserve">.  В допълнение те претендират дивиденти, които биха получили, ако жалбоподателките </w:t>
      </w:r>
      <w:r w:rsidR="007102CA">
        <w:t>бяха</w:t>
      </w:r>
      <w:r w:rsidR="00CE66A5">
        <w:t xml:space="preserve"> признати за акционери в </w:t>
      </w:r>
      <w:r w:rsidR="00F43C5D">
        <w:t>„</w:t>
      </w:r>
      <w:r w:rsidR="00CE66A5">
        <w:t>ОН</w:t>
      </w:r>
      <w:r w:rsidR="00F43C5D">
        <w:t>“</w:t>
      </w:r>
      <w:r w:rsidR="00CE66A5">
        <w:t xml:space="preserve"> ЕАД през 2003 г. Те представят допълнителни експертизи</w:t>
      </w:r>
      <w:r w:rsidR="007102CA">
        <w:t>, основани</w:t>
      </w:r>
      <w:r w:rsidR="00CE66A5">
        <w:t xml:space="preserve"> на публично достъпните годишни доклади на </w:t>
      </w:r>
      <w:r w:rsidR="00F43C5D">
        <w:t>„</w:t>
      </w:r>
      <w:r w:rsidR="00CE66A5">
        <w:t>ОН</w:t>
      </w:r>
      <w:r w:rsidR="00F43C5D">
        <w:t>“</w:t>
      </w:r>
      <w:r w:rsidR="00CE66A5">
        <w:t xml:space="preserve"> ЕАД, в които се изчисляват дивидентите, съответстващи на техните акции. Към това те добавят лихва за забава, изчислена в съответствие с националните правила. </w:t>
      </w:r>
      <w:r w:rsidR="007102CA">
        <w:t>На тази основа</w:t>
      </w:r>
      <w:r w:rsidR="00CE66A5">
        <w:t xml:space="preserve"> първата жалбоподателка и г-жа Гогова претендират </w:t>
      </w:r>
      <w:r w:rsidR="003A130B">
        <w:t xml:space="preserve">по </w:t>
      </w:r>
      <w:r w:rsidR="00CE66A5">
        <w:t xml:space="preserve">8135 лв. (4160 евро) </w:t>
      </w:r>
      <w:r w:rsidR="007102CA">
        <w:t xml:space="preserve">за </w:t>
      </w:r>
      <w:r w:rsidR="00CE66A5">
        <w:t xml:space="preserve">дивиденти и 5811 лв. (2972 евро) лихва за всяка от тях, а третата жалбоподателка претендира 7390 лв. (3780 евро) </w:t>
      </w:r>
      <w:r w:rsidR="007102CA">
        <w:t xml:space="preserve">за </w:t>
      </w:r>
      <w:r w:rsidR="00CE66A5">
        <w:t>дивиденти и 5282 лв. (2701 евро) лихва.</w:t>
      </w:r>
    </w:p>
    <w:p w:rsidR="00EB3C29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11</w:t>
      </w:r>
      <w:r>
        <w:rPr>
          <w:noProof/>
        </w:rPr>
        <w:fldChar w:fldCharType="end"/>
      </w:r>
      <w:r w:rsidR="00EB3C29">
        <w:t>.  На последно място, първата и третата жалбоподателка и г-жа Гогова претендират по 5000 евро всяка за неимуществени вреди.</w:t>
      </w:r>
    </w:p>
    <w:p w:rsidR="00135EE4" w:rsidRPr="00482A4B" w:rsidRDefault="00482A4B" w:rsidP="00482A4B">
      <w:pPr>
        <w:pStyle w:val="ECHRHeading4"/>
      </w:pPr>
      <w:r>
        <w:t>(б) Правителството</w:t>
      </w:r>
    </w:p>
    <w:p w:rsidR="001824FA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12</w:t>
      </w:r>
      <w:r>
        <w:rPr>
          <w:noProof/>
        </w:rPr>
        <w:fldChar w:fldCharType="end"/>
      </w:r>
      <w:r w:rsidR="001824FA">
        <w:t>.  Правителството твърди, че претенциите по-горе са „</w:t>
      </w:r>
      <w:r w:rsidR="003D6832">
        <w:t>юридически</w:t>
      </w:r>
      <w:r w:rsidR="001824FA">
        <w:t xml:space="preserve"> и икономически необосновани“. То смята за недопустимо първата и третата жалбоподателка и г-жа Гогова да преизчисляват </w:t>
      </w:r>
      <w:r w:rsidR="003D6832">
        <w:t>дължимия им брой</w:t>
      </w:r>
      <w:r w:rsidR="001824FA">
        <w:t xml:space="preserve"> акции, като се има предвид, че </w:t>
      </w:r>
      <w:r w:rsidR="003D6832">
        <w:t>този брой е определен</w:t>
      </w:r>
      <w:r w:rsidR="001824FA">
        <w:t xml:space="preserve"> окончателно през 2003 г.</w:t>
      </w:r>
    </w:p>
    <w:p w:rsidR="00F14735" w:rsidRPr="00482A4B" w:rsidRDefault="0084658B" w:rsidP="00482A4B">
      <w:pPr>
        <w:pStyle w:val="ECHRPara"/>
        <w:rPr>
          <w:snapToGrid w:val="0"/>
        </w:rPr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13</w:t>
      </w:r>
      <w:r>
        <w:rPr>
          <w:noProof/>
        </w:rPr>
        <w:fldChar w:fldCharType="end"/>
      </w:r>
      <w:r w:rsidR="00F14735">
        <w:t>.  Правителството посоч</w:t>
      </w:r>
      <w:r w:rsidR="001B2C19">
        <w:t>ва</w:t>
      </w:r>
      <w:r w:rsidR="00F14735">
        <w:t xml:space="preserve">, че тъй като </w:t>
      </w:r>
      <w:r w:rsidR="00A11A75">
        <w:t xml:space="preserve">акциите на </w:t>
      </w:r>
      <w:r w:rsidR="00F43C5D">
        <w:t>„</w:t>
      </w:r>
      <w:r w:rsidR="00F14735">
        <w:t>ОН</w:t>
      </w:r>
      <w:r w:rsidR="00F43C5D">
        <w:t>“</w:t>
      </w:r>
      <w:r w:rsidR="00F14735">
        <w:t xml:space="preserve"> ЕАД </w:t>
      </w:r>
      <w:r w:rsidR="00A11A75">
        <w:t>не с</w:t>
      </w:r>
      <w:r w:rsidR="00F14735">
        <w:t xml:space="preserve">е търгуват и </w:t>
      </w:r>
      <w:r w:rsidR="007C1A6E">
        <w:t xml:space="preserve">всички </w:t>
      </w:r>
      <w:r w:rsidR="00F14735">
        <w:t xml:space="preserve">се притежават от държавата, </w:t>
      </w:r>
      <w:r w:rsidR="007C1A6E">
        <w:t>те</w:t>
      </w:r>
      <w:r w:rsidR="00F14735">
        <w:t xml:space="preserve"> не могат да имат „пазарна стойност“. Освен това то представя документ, издаден от дружеството, според който балансовата стойност на активите му (стойността им, вписана в баланса му) е 3 646 000 лева (1 186 500 евро). Това означава, че балансовата стойност на всяка от неговите </w:t>
      </w:r>
      <w:r w:rsidR="00F14735">
        <w:lastRenderedPageBreak/>
        <w:t xml:space="preserve">акции е около 113 лева (58 евро). Като се има предвид, че с оглед </w:t>
      </w:r>
      <w:r w:rsidR="007C1A6E">
        <w:t>изминалия период</w:t>
      </w:r>
      <w:r w:rsidR="00F14735">
        <w:t xml:space="preserve"> би било несправедливо Съдът</w:t>
      </w:r>
      <w:r w:rsidR="007C1A6E">
        <w:t xml:space="preserve"> да</w:t>
      </w:r>
      <w:r w:rsidR="00F14735">
        <w:t xml:space="preserve"> присъди номиналната стойност на акциите, дължими на жалбоподателките, Правителството предлага Съдът да присъди посочената по-горе балансова стойност (58 евро), като вземе предвид броя акции, </w:t>
      </w:r>
      <w:r w:rsidR="007C1A6E">
        <w:t>определени</w:t>
      </w:r>
      <w:r w:rsidR="00F14735">
        <w:t xml:space="preserve"> на жалбоподателките през 2003 г., а именно 579 акции на първата и втората жалбоподателка и 263 акции на третата жалбоподателка. Правителството изтъква, че в предходно подобно дело срещу България, също </w:t>
      </w:r>
      <w:r w:rsidR="007C1A6E">
        <w:t>засягащо</w:t>
      </w:r>
      <w:r w:rsidR="00F14735">
        <w:t xml:space="preserve"> продълж</w:t>
      </w:r>
      <w:r w:rsidR="007C1A6E">
        <w:t>ителен</w:t>
      </w:r>
      <w:r w:rsidR="00F14735">
        <w:t xml:space="preserve"> неуспех на държавата да предостави акции, </w:t>
      </w:r>
      <w:r w:rsidR="007C1A6E">
        <w:t>определени</w:t>
      </w:r>
      <w:r w:rsidR="00F14735">
        <w:t xml:space="preserve"> на жалбоподателите съгласно законодателството за обезщетяване, Съдът е присъдил номиналната стойност на тези акции (стойността, </w:t>
      </w:r>
      <w:r w:rsidR="007C1A6E">
        <w:t>обозначена върху акцията</w:t>
      </w:r>
      <w:r w:rsidR="00F14735">
        <w:t xml:space="preserve">, вж. </w:t>
      </w:r>
      <w:r w:rsidR="00F14735">
        <w:rPr>
          <w:i/>
        </w:rPr>
        <w:t>Неделчева и други срещу България</w:t>
      </w:r>
      <w:r w:rsidR="00F14735">
        <w:t xml:space="preserve"> (справедливо обезщетение), № 5516/05, § 13, 3 февруари 2015 г.).</w:t>
      </w:r>
    </w:p>
    <w:p w:rsidR="00F31DE3" w:rsidRPr="00482A4B" w:rsidRDefault="00F31DE3" w:rsidP="00482A4B">
      <w:pPr>
        <w:pStyle w:val="ECHRPara"/>
        <w:rPr>
          <w:snapToGrid w:val="0"/>
        </w:rPr>
      </w:pPr>
      <w:r w:rsidRPr="00482A4B">
        <w:rPr>
          <w:snapToGrid w:val="0"/>
        </w:rPr>
        <w:fldChar w:fldCharType="begin"/>
      </w:r>
      <w:r w:rsidRPr="00482A4B">
        <w:rPr>
          <w:snapToGrid w:val="0"/>
        </w:rPr>
        <w:instrText xml:space="preserve"> SEQ level0 \*arabic </w:instrText>
      </w:r>
      <w:r w:rsidRPr="00482A4B">
        <w:rPr>
          <w:snapToGrid w:val="0"/>
        </w:rPr>
        <w:fldChar w:fldCharType="separate"/>
      </w:r>
      <w:r w:rsidR="00482A4B" w:rsidRPr="00482A4B">
        <w:rPr>
          <w:noProof/>
          <w:snapToGrid w:val="0"/>
        </w:rPr>
        <w:t>14</w:t>
      </w:r>
      <w:r w:rsidRPr="00482A4B">
        <w:rPr>
          <w:snapToGrid w:val="0"/>
        </w:rPr>
        <w:fldChar w:fldCharType="end"/>
      </w:r>
      <w:r>
        <w:t>.  На последно място</w:t>
      </w:r>
      <w:r w:rsidR="007C1A6E">
        <w:t>,</w:t>
      </w:r>
      <w:r>
        <w:t xml:space="preserve"> Правителството оспорва претенциите </w:t>
      </w:r>
      <w:r w:rsidR="00CA4EA1">
        <w:t xml:space="preserve">за </w:t>
      </w:r>
      <w:r>
        <w:t>дивиденти и претенциите по отношение на неимуществени</w:t>
      </w:r>
      <w:r w:rsidR="00CA4EA1">
        <w:t>те</w:t>
      </w:r>
      <w:r>
        <w:t xml:space="preserve"> вреди.</w:t>
      </w:r>
    </w:p>
    <w:p w:rsidR="00A33ACB" w:rsidRPr="00482A4B" w:rsidRDefault="00A33ACB" w:rsidP="00482A4B">
      <w:pPr>
        <w:pStyle w:val="ECHRHeading3"/>
        <w:rPr>
          <w:snapToGrid w:val="0"/>
        </w:rPr>
      </w:pPr>
      <w:r>
        <w:t>2.  Преценка</w:t>
      </w:r>
      <w:r w:rsidR="007E78FE">
        <w:t>та</w:t>
      </w:r>
      <w:r>
        <w:t xml:space="preserve"> на Съда</w:t>
      </w:r>
    </w:p>
    <w:p w:rsidR="002A03A7" w:rsidRPr="00482A4B" w:rsidRDefault="002A03A7" w:rsidP="00482A4B">
      <w:pPr>
        <w:pStyle w:val="ECHRHeading4"/>
        <w:rPr>
          <w:snapToGrid w:val="0"/>
        </w:rPr>
      </w:pPr>
      <w:r>
        <w:t>(а) Имуществени вреди</w:t>
      </w:r>
    </w:p>
    <w:p w:rsidR="00F51A54" w:rsidRPr="00482A4B" w:rsidRDefault="00F51A54" w:rsidP="00482A4B">
      <w:pPr>
        <w:pStyle w:val="ECHRPara"/>
      </w:pPr>
      <w:r w:rsidRPr="00482A4B">
        <w:rPr>
          <w:snapToGrid w:val="0"/>
        </w:rPr>
        <w:fldChar w:fldCharType="begin"/>
      </w:r>
      <w:r w:rsidRPr="00482A4B">
        <w:rPr>
          <w:snapToGrid w:val="0"/>
        </w:rPr>
        <w:instrText xml:space="preserve"> SEQ level0 \*arabic </w:instrText>
      </w:r>
      <w:r w:rsidRPr="00482A4B">
        <w:rPr>
          <w:snapToGrid w:val="0"/>
        </w:rPr>
        <w:fldChar w:fldCharType="separate"/>
      </w:r>
      <w:r w:rsidR="00482A4B" w:rsidRPr="00482A4B">
        <w:rPr>
          <w:noProof/>
          <w:snapToGrid w:val="0"/>
        </w:rPr>
        <w:t>15</w:t>
      </w:r>
      <w:r w:rsidRPr="00482A4B">
        <w:rPr>
          <w:snapToGrid w:val="0"/>
        </w:rPr>
        <w:fldChar w:fldCharType="end"/>
      </w:r>
      <w:r>
        <w:t>.  Съдът отбелязва, че първата и третата жалбоподателка и наследницата на втората жалбоподателка</w:t>
      </w:r>
      <w:r w:rsidR="007E78FE">
        <w:t>,</w:t>
      </w:r>
      <w:r>
        <w:t xml:space="preserve"> г-жа Гогова</w:t>
      </w:r>
      <w:r w:rsidR="007E78FE">
        <w:t>,</w:t>
      </w:r>
      <w:r>
        <w:t xml:space="preserve"> не </w:t>
      </w:r>
      <w:r w:rsidR="0069538D">
        <w:t>претендират</w:t>
      </w:r>
      <w:r>
        <w:t xml:space="preserve"> </w:t>
      </w:r>
      <w:r w:rsidR="0069538D">
        <w:t>реалното</w:t>
      </w:r>
      <w:r>
        <w:t xml:space="preserve"> изпълнение на </w:t>
      </w:r>
      <w:r w:rsidR="0069538D">
        <w:t>актовете, определящи им</w:t>
      </w:r>
      <w:r>
        <w:t xml:space="preserve"> акции в </w:t>
      </w:r>
      <w:r w:rsidR="00F43C5D">
        <w:t>„</w:t>
      </w:r>
      <w:r>
        <w:t>ОН</w:t>
      </w:r>
      <w:r w:rsidR="00F43C5D">
        <w:t>“</w:t>
      </w:r>
      <w:r>
        <w:t xml:space="preserve"> ЕАД</w:t>
      </w:r>
      <w:r w:rsidR="0069538D">
        <w:t>,</w:t>
      </w:r>
      <w:r>
        <w:t xml:space="preserve"> и са готови да получат паричната равностойност на дължимото им обезщетение (вж. параграфи 8-9 по-горе). Правителството също предлага присъждане на парично обезщетение (вж. параграф 13 по-горе). Съответно</w:t>
      </w:r>
      <w:r w:rsidR="0069538D">
        <w:t>,</w:t>
      </w:r>
      <w:r>
        <w:t xml:space="preserve"> Съдът не вижда причина да настоява за изпълнение на въпросните </w:t>
      </w:r>
      <w:r w:rsidR="0069538D">
        <w:t>актове</w:t>
      </w:r>
      <w:r>
        <w:t xml:space="preserve"> (вж. освен това съображенията, представени в параграф 19 по-долу) и ще присъди парично обезщетение (вж. за подобен подход </w:t>
      </w:r>
      <w:r>
        <w:rPr>
          <w:i/>
        </w:rPr>
        <w:t>Велчева срещу България</w:t>
      </w:r>
      <w:r>
        <w:t xml:space="preserve"> (справедливо обезщетение), № 35355/08, § 13, 9 февруари 2017 г.).</w:t>
      </w:r>
    </w:p>
    <w:p w:rsidR="000125DB" w:rsidRPr="00482A4B" w:rsidRDefault="00A33ACB" w:rsidP="00482A4B">
      <w:pPr>
        <w:pStyle w:val="ECHRPara"/>
        <w:rPr>
          <w:snapToGrid w:val="0"/>
        </w:rPr>
      </w:pPr>
      <w:r w:rsidRPr="00482A4B">
        <w:rPr>
          <w:snapToGrid w:val="0"/>
        </w:rPr>
        <w:fldChar w:fldCharType="begin"/>
      </w:r>
      <w:r w:rsidRPr="00482A4B">
        <w:rPr>
          <w:snapToGrid w:val="0"/>
        </w:rPr>
        <w:instrText xml:space="preserve"> SEQ level0 \*arabic </w:instrText>
      </w:r>
      <w:r w:rsidRPr="00482A4B">
        <w:rPr>
          <w:snapToGrid w:val="0"/>
        </w:rPr>
        <w:fldChar w:fldCharType="separate"/>
      </w:r>
      <w:r w:rsidR="00482A4B" w:rsidRPr="00482A4B">
        <w:rPr>
          <w:noProof/>
          <w:snapToGrid w:val="0"/>
        </w:rPr>
        <w:t>16</w:t>
      </w:r>
      <w:r w:rsidRPr="00482A4B">
        <w:rPr>
          <w:snapToGrid w:val="0"/>
        </w:rPr>
        <w:fldChar w:fldCharType="end"/>
      </w:r>
      <w:r>
        <w:t xml:space="preserve">.  Съдът подчертава, че решение, в което той констатира нарушение на Конвенцията, налага на държавата-ответник правно задължение да сложи край на нарушението и да поправи последиците от него по такъв начин, че да възстанови доколкото е възможно съществуващото положение преди нарушението (вж. наред с много други решения </w:t>
      </w:r>
      <w:r>
        <w:rPr>
          <w:i/>
          <w:snapToGrid w:val="0"/>
        </w:rPr>
        <w:t>Brumărescu v. Romania</w:t>
      </w:r>
      <w:r>
        <w:t xml:space="preserve"> (справедливо обезщетение) [GC], № 28342/95, § 19, ЕСПЧ 2001</w:t>
      </w:r>
      <w:r>
        <w:noBreakHyphen/>
        <w:t xml:space="preserve">I; и </w:t>
      </w:r>
      <w:r>
        <w:rPr>
          <w:i/>
          <w:snapToGrid w:val="0"/>
        </w:rPr>
        <w:t xml:space="preserve">Vistiņš and Perepjolkins v. Latvia </w:t>
      </w:r>
      <w:r>
        <w:t>(справедливо обезщетение) [GC], № 71243/01, § 33, ЕСПЧ 2014 г.).</w:t>
      </w:r>
    </w:p>
    <w:p w:rsidR="00033CA7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17</w:t>
      </w:r>
      <w:r>
        <w:rPr>
          <w:noProof/>
        </w:rPr>
        <w:fldChar w:fldCharType="end"/>
      </w:r>
      <w:r w:rsidR="000125DB">
        <w:t>.  В конкретния случай Съдът констатира нарушение на чл. 1 от Протокол № 1 въз основа на продълж</w:t>
      </w:r>
      <w:r w:rsidR="0069538D">
        <w:t>ителния</w:t>
      </w:r>
      <w:r w:rsidR="000125DB">
        <w:t xml:space="preserve"> неуспех на националните власти да приключат процедурата по </w:t>
      </w:r>
      <w:r w:rsidR="000125DB">
        <w:lastRenderedPageBreak/>
        <w:t xml:space="preserve">обезщетение, инициирана от жалбоподателките. През 1998 г. и 1999 г. на жалбоподателките се присъждат акции в </w:t>
      </w:r>
      <w:r w:rsidR="00F43C5D">
        <w:t>„</w:t>
      </w:r>
      <w:r w:rsidR="000125DB">
        <w:t>ОН</w:t>
      </w:r>
      <w:r w:rsidR="00F43C5D">
        <w:t>“</w:t>
      </w:r>
      <w:r w:rsidR="000125DB">
        <w:t xml:space="preserve"> ЕАД като обезщетение за отчужденото имущество на техните </w:t>
      </w:r>
      <w:r w:rsidR="0069538D">
        <w:t>наследодатели</w:t>
      </w:r>
      <w:r w:rsidR="000125DB">
        <w:t xml:space="preserve">. През 2003 г. </w:t>
      </w:r>
      <w:r w:rsidR="0069538D">
        <w:t>точният брой</w:t>
      </w:r>
      <w:r w:rsidR="000125DB">
        <w:t xml:space="preserve"> на дължимите им акции е </w:t>
      </w:r>
      <w:r w:rsidR="004D4F88">
        <w:t>утвърден</w:t>
      </w:r>
      <w:r w:rsidR="000125DB">
        <w:t xml:space="preserve"> от министъра на образованието (вж. параграф 3 по-горе и §§ 7-10 и 14-16 от основното решение).</w:t>
      </w:r>
    </w:p>
    <w:p w:rsidR="00681269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18</w:t>
      </w:r>
      <w:r>
        <w:rPr>
          <w:noProof/>
        </w:rPr>
        <w:fldChar w:fldCharType="end"/>
      </w:r>
      <w:r w:rsidR="00033CA7">
        <w:t xml:space="preserve">.  Следователно Съдът </w:t>
      </w:r>
      <w:r w:rsidR="007E78FE">
        <w:t>счита</w:t>
      </w:r>
      <w:r w:rsidR="00033CA7">
        <w:t xml:space="preserve">, че ако нарушението на правата на жалбоподателките, констатирано в основното решение, не се </w:t>
      </w:r>
      <w:r w:rsidR="00C40703">
        <w:t>беш</w:t>
      </w:r>
      <w:r w:rsidR="00033CA7">
        <w:t>е случило, е разумно да се предположи, че жалбоподателките са щели да получат дължимото им обезщетение скоро след 2003 г.</w:t>
      </w:r>
    </w:p>
    <w:p w:rsidR="00A33ACB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19</w:t>
      </w:r>
      <w:r>
        <w:rPr>
          <w:noProof/>
        </w:rPr>
        <w:fldChar w:fldCharType="end"/>
      </w:r>
      <w:r w:rsidR="00555A40">
        <w:t xml:space="preserve">.  Съдът освен това отбелязва, че отказът на министъра на образованието да предостави на жалбоподателките присъдените им акции, се основава на </w:t>
      </w:r>
      <w:r w:rsidR="00C40703">
        <w:t>законова</w:t>
      </w:r>
      <w:r w:rsidR="00555A40">
        <w:t xml:space="preserve"> разпоредба, приета през 2002 г. и забраняваща </w:t>
      </w:r>
      <w:r w:rsidR="00C40703">
        <w:t>предоставянето</w:t>
      </w:r>
      <w:r w:rsidR="00555A40">
        <w:t xml:space="preserve"> на акции в </w:t>
      </w:r>
      <w:r w:rsidR="00F43C5D">
        <w:t>„</w:t>
      </w:r>
      <w:r w:rsidR="00555A40">
        <w:t>ОН</w:t>
      </w:r>
      <w:r w:rsidR="00F43C5D">
        <w:t>“</w:t>
      </w:r>
      <w:r w:rsidR="00555A40">
        <w:t xml:space="preserve"> ЕАД и други дружества като обезщетение за отчуждени преди това имоти (вж. § 24 от основното решение). Докато на национално ниво жалбоподателките правят няколко опита да си осигурят присъдените акции (пак там, §§ 20-21), в процедурата пред Съда те признават, че това не е било възможно. В своето становище по </w:t>
      </w:r>
      <w:r w:rsidR="007E78FE">
        <w:t xml:space="preserve">съществото </w:t>
      </w:r>
      <w:r w:rsidR="00555A40">
        <w:t xml:space="preserve">на </w:t>
      </w:r>
      <w:r w:rsidR="00C40703">
        <w:t>делото</w:t>
      </w:r>
      <w:r w:rsidR="007E78FE">
        <w:t xml:space="preserve"> </w:t>
      </w:r>
      <w:r w:rsidR="00555A40">
        <w:t xml:space="preserve">първата и третата жалбоподателка и г-жа Гогова </w:t>
      </w:r>
      <w:r w:rsidR="00C40703">
        <w:t>вместо тов</w:t>
      </w:r>
      <w:r w:rsidR="0075332E">
        <w:t xml:space="preserve">а </w:t>
      </w:r>
      <w:r w:rsidR="00AD3195">
        <w:t>укоряват</w:t>
      </w:r>
      <w:r w:rsidR="00555A40">
        <w:t xml:space="preserve"> нежеланието на министъра на образованието да намери алтернативно решение (пак там, § 35). В основното решение Съдът също изтъква този факт (пак там, § 42; вж. също </w:t>
      </w:r>
      <w:r w:rsidR="00555A40">
        <w:rPr>
          <w:i/>
        </w:rPr>
        <w:t>Неделчева и други срещу България</w:t>
      </w:r>
      <w:r w:rsidR="00555A40">
        <w:t>, № 5516/05, § 69, 28 май 2013 г., където Съдът отбелязва, че акциите, дължими на жалбоподателите, е можело да бъдат заменени с други активи).</w:t>
      </w:r>
    </w:p>
    <w:p w:rsidR="004022EE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20</w:t>
      </w:r>
      <w:r>
        <w:rPr>
          <w:noProof/>
        </w:rPr>
        <w:fldChar w:fldCharType="end"/>
      </w:r>
      <w:r w:rsidR="004022EE">
        <w:t xml:space="preserve">.  С оглед на горепосочените съображения Съдът намира за разумно да приеме, че ако обезщетението, дължимо на жалбоподателките, им е било предоставено на национално ниво, това не би означавало реалното прехвърляне на акции към тях, а замяната им с други активи като алтернативно решение. Както вече беше отбелязано, ако нарушението на правата на жалбоподателките не се </w:t>
      </w:r>
      <w:r w:rsidR="007E78FE">
        <w:t>б</w:t>
      </w:r>
      <w:r w:rsidR="004022EE">
        <w:t xml:space="preserve">е случило, подобна замяна е щяла да се случи скоро след 2003 г. Няма основание Съдът да заключи, че по това време стойността на </w:t>
      </w:r>
      <w:r w:rsidR="00AD3195">
        <w:t>такива</w:t>
      </w:r>
      <w:r w:rsidR="004022EE">
        <w:t xml:space="preserve"> активи би се различавала значително от стойността на обезщетението, дължимо на жалбоподателките, изчислено от експерт през 2003 г., а именно 57 932 лева (29 630 евро) общо за първата и втората жалбоподателка и 26 309 лева (13 466 евро) за третата жалбоподателка (вж. §§ 9 и 15 от основното решение).</w:t>
      </w:r>
    </w:p>
    <w:p w:rsidR="009C0EE3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21</w:t>
      </w:r>
      <w:r>
        <w:rPr>
          <w:noProof/>
        </w:rPr>
        <w:fldChar w:fldCharType="end"/>
      </w:r>
      <w:r w:rsidR="009C0EE3">
        <w:t xml:space="preserve">.  Съдът </w:t>
      </w:r>
      <w:r w:rsidR="007E78FE">
        <w:t xml:space="preserve">съответно </w:t>
      </w:r>
      <w:r w:rsidR="009C0EE3">
        <w:t>намира за неотнос</w:t>
      </w:r>
      <w:r w:rsidR="003D7DBE">
        <w:t>и</w:t>
      </w:r>
      <w:r w:rsidR="009C0EE3">
        <w:t xml:space="preserve">ми за своята преценка твърденията на първата и третата жалбоподателка и на г-жа Гогова относно текущата стойност на активите на </w:t>
      </w:r>
      <w:r w:rsidR="00F43C5D">
        <w:t>„</w:t>
      </w:r>
      <w:r w:rsidR="009C0EE3">
        <w:t>ОН</w:t>
      </w:r>
      <w:r w:rsidR="00F43C5D">
        <w:t>“</w:t>
      </w:r>
      <w:r w:rsidR="009C0EE3">
        <w:t xml:space="preserve"> ЕАД и всякаква </w:t>
      </w:r>
      <w:r w:rsidR="009C3743">
        <w:t>актуална</w:t>
      </w:r>
      <w:r w:rsidR="009C0EE3">
        <w:t xml:space="preserve"> „пазарна стойност“ на </w:t>
      </w:r>
      <w:r w:rsidR="009C3743">
        <w:t>определените</w:t>
      </w:r>
      <w:r w:rsidR="009C0EE3">
        <w:t xml:space="preserve"> им акции (вж. параграф 9 по-горе).</w:t>
      </w:r>
    </w:p>
    <w:p w:rsidR="00681269" w:rsidRPr="00482A4B" w:rsidRDefault="0084658B" w:rsidP="00482A4B">
      <w:pPr>
        <w:pStyle w:val="ECHRPara"/>
      </w:pPr>
      <w:r>
        <w:rPr>
          <w:noProof/>
        </w:rPr>
        <w:lastRenderedPageBreak/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22</w:t>
      </w:r>
      <w:r>
        <w:rPr>
          <w:noProof/>
        </w:rPr>
        <w:fldChar w:fldCharType="end"/>
      </w:r>
      <w:r w:rsidR="00555A40">
        <w:t xml:space="preserve">.  Повтаряйки още веднъж, че обезщетението за имуществени вреди съгласно чл. 41 от Конвенцията трябва да доведе до възможно най-близкото положение до това, което би съществувало, </w:t>
      </w:r>
      <w:r w:rsidR="005D66F2">
        <w:t>ако въпросното нарушение не се беше</w:t>
      </w:r>
      <w:r w:rsidR="00555A40">
        <w:t xml:space="preserve"> случило (вж. параграф 16 по-горе), Съдът присъжда на първата и третата жалбоподателка и на г-жа Гогова стойността на </w:t>
      </w:r>
      <w:r w:rsidR="005D66F2">
        <w:t>определеното</w:t>
      </w:r>
      <w:r w:rsidR="00555A40">
        <w:t xml:space="preserve"> им </w:t>
      </w:r>
      <w:r w:rsidR="007C7FB5">
        <w:t xml:space="preserve">през 2003 г. </w:t>
      </w:r>
      <w:r w:rsidR="00555A40">
        <w:t>обезщетение, а именно сумите, посочени в параграф 20 по-горе.</w:t>
      </w:r>
    </w:p>
    <w:p w:rsidR="00681269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23</w:t>
      </w:r>
      <w:r>
        <w:rPr>
          <w:noProof/>
        </w:rPr>
        <w:fldChar w:fldCharType="end"/>
      </w:r>
      <w:r w:rsidR="00D93121">
        <w:t xml:space="preserve">.  Освен това, отбелязвайки заключението си по-горе, че по всяка вероятност е </w:t>
      </w:r>
      <w:r w:rsidR="003D7DBE">
        <w:t xml:space="preserve">било </w:t>
      </w:r>
      <w:r w:rsidR="00D93121">
        <w:t xml:space="preserve">невъзможно жалбоподателките </w:t>
      </w:r>
      <w:r w:rsidR="00805C0E">
        <w:t xml:space="preserve">действително </w:t>
      </w:r>
      <w:r w:rsidR="00D93121">
        <w:t xml:space="preserve">да получат акции в </w:t>
      </w:r>
      <w:r w:rsidR="00F43C5D">
        <w:t>„</w:t>
      </w:r>
      <w:r w:rsidR="00D93121">
        <w:t>ОН</w:t>
      </w:r>
      <w:r w:rsidR="00F43C5D">
        <w:t>“</w:t>
      </w:r>
      <w:r w:rsidR="00D93121">
        <w:t xml:space="preserve"> ЕАД, Съдът не вижда основание да присъжда обезщетение за пропуснати дивиденти, както претендират първата и третата жалбоподателка и г-жа Гогова (вж. параграф 10 по-горе).</w:t>
      </w:r>
    </w:p>
    <w:p w:rsidR="00C04A3B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24</w:t>
      </w:r>
      <w:r>
        <w:rPr>
          <w:noProof/>
        </w:rPr>
        <w:fldChar w:fldCharType="end"/>
      </w:r>
      <w:r w:rsidR="006A57A1">
        <w:t xml:space="preserve">.  Той обаче </w:t>
      </w:r>
      <w:r w:rsidR="00367A10">
        <w:t>счита</w:t>
      </w:r>
      <w:r w:rsidR="006A57A1">
        <w:t>, че е оправдано да се добави към горните суми лихва като обезщетение за прекомерното забавяне на процедурата. Той е приел, че приложимият лихвен процент, който има за цел да компенсира загубата на стойност</w:t>
      </w:r>
      <w:r w:rsidR="006A5D05">
        <w:t>та</w:t>
      </w:r>
      <w:r w:rsidR="006A57A1">
        <w:t xml:space="preserve"> на </w:t>
      </w:r>
      <w:r w:rsidR="006A5D05">
        <w:t>обезщетението</w:t>
      </w:r>
      <w:r w:rsidR="006A57A1">
        <w:t xml:space="preserve"> във времето, следва да отразява националните икономически условия като равнищата на инфлация и лихвения процент през съответния период (вж. </w:t>
      </w:r>
      <w:r w:rsidR="006A57A1">
        <w:rPr>
          <w:i/>
        </w:rPr>
        <w:t>Runkee and White v. the United Kingdom</w:t>
      </w:r>
      <w:r w:rsidR="006A57A1">
        <w:t xml:space="preserve">, № 42949/98 и 53134/99, § 52, 10 май 2007 г., и </w:t>
      </w:r>
      <w:r w:rsidR="006A57A1">
        <w:rPr>
          <w:i/>
        </w:rPr>
        <w:t>Vaskrsić v. Slovenia</w:t>
      </w:r>
      <w:r w:rsidR="006A57A1">
        <w:t xml:space="preserve">, № 31371/12, § 98, 25 април 2017 г.). В скорошно дело срещу България Съдът намира, че е разумно да се прилага лихвен процент, равен на основния лихвен процент на Българската народна банка през съответния период плюс един процентен пункт (вж. </w:t>
      </w:r>
      <w:r w:rsidR="006A57A1">
        <w:rPr>
          <w:i/>
        </w:rPr>
        <w:t>Бояджиева и „Глория Интернешънъл Лимитид“ ЕООД срещу България</w:t>
      </w:r>
      <w:r w:rsidR="006A57A1">
        <w:t xml:space="preserve">, № 41299/09 и  11132/10, § 55, 5 юли 2018 г.). Той ще следва същия подход и в конкретния случай. </w:t>
      </w:r>
      <w:r w:rsidR="006A5D05">
        <w:t>Затова</w:t>
      </w:r>
      <w:r w:rsidR="006A57A1">
        <w:t xml:space="preserve"> той присъжда на първата жалбоподателка и наследницата на втората жалбоподателка</w:t>
      </w:r>
      <w:r w:rsidR="00367A10">
        <w:t>,</w:t>
      </w:r>
      <w:r w:rsidR="006A57A1">
        <w:t xml:space="preserve"> г-жа Гогова</w:t>
      </w:r>
      <w:r w:rsidR="00367A10">
        <w:t>,</w:t>
      </w:r>
      <w:r w:rsidR="006A57A1">
        <w:t xml:space="preserve"> общо 10 400 евро по </w:t>
      </w:r>
      <w:r w:rsidR="006A5D05">
        <w:t>това перо</w:t>
      </w:r>
      <w:r w:rsidR="006A57A1">
        <w:t>, а на третата жалбоподателка - 4700 евро.</w:t>
      </w:r>
    </w:p>
    <w:p w:rsidR="00ED3C4D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25</w:t>
      </w:r>
      <w:r>
        <w:rPr>
          <w:noProof/>
        </w:rPr>
        <w:fldChar w:fldCharType="end"/>
      </w:r>
      <w:r w:rsidR="00ED3C4D">
        <w:t xml:space="preserve">.  Следователно общото </w:t>
      </w:r>
      <w:r w:rsidR="00F561D5">
        <w:t>обезщетение</w:t>
      </w:r>
      <w:r w:rsidR="00ED3C4D">
        <w:t xml:space="preserve"> за имуществени вреди за първата жалбоподателка и г-жа Гогова е 40 030 евро или 20 015 евро за всяка от тях. Общото </w:t>
      </w:r>
      <w:r w:rsidR="00F561D5">
        <w:t>обезщетение</w:t>
      </w:r>
      <w:r w:rsidR="00ED3C4D">
        <w:t xml:space="preserve"> за третата жалбоподателка е 18 160 евро.</w:t>
      </w:r>
    </w:p>
    <w:p w:rsidR="002A03A7" w:rsidRPr="00482A4B" w:rsidRDefault="00DA104E" w:rsidP="00482A4B">
      <w:pPr>
        <w:pStyle w:val="ECHRHeading4"/>
      </w:pPr>
      <w:r>
        <w:t>(б) Неимуществени вреди</w:t>
      </w:r>
    </w:p>
    <w:p w:rsidR="00ED3C4D" w:rsidRPr="00482A4B" w:rsidRDefault="0084658B" w:rsidP="00482A4B">
      <w:pPr>
        <w:pStyle w:val="ECHRPara"/>
        <w:rPr>
          <w:b/>
          <w:bCs/>
        </w:rPr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26</w:t>
      </w:r>
      <w:r>
        <w:rPr>
          <w:noProof/>
        </w:rPr>
        <w:fldChar w:fldCharType="end"/>
      </w:r>
      <w:r w:rsidR="00ED3C4D">
        <w:t>.  На последно място</w:t>
      </w:r>
      <w:r w:rsidR="00A434D9">
        <w:t>,</w:t>
      </w:r>
      <w:r w:rsidR="00ED3C4D">
        <w:t xml:space="preserve"> Съдът е на мнение, че </w:t>
      </w:r>
      <w:r w:rsidR="00B74693">
        <w:t>намирането</w:t>
      </w:r>
      <w:r w:rsidR="00ED3C4D">
        <w:t xml:space="preserve"> на нарушение на чл. 1 от Протокол № 1 в основното решение представлява само по себе си достатъчно справедливо обезщетение за всякакви неимуществени вреди, понесени от жалбоподателките.</w:t>
      </w:r>
    </w:p>
    <w:p w:rsidR="001824FA" w:rsidRPr="00482A4B" w:rsidRDefault="001824FA" w:rsidP="00482A4B">
      <w:pPr>
        <w:pStyle w:val="ECHRHeading2"/>
      </w:pPr>
      <w:r>
        <w:lastRenderedPageBreak/>
        <w:t>Б. Разходи и разноски</w:t>
      </w:r>
    </w:p>
    <w:p w:rsidR="00797E1B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27</w:t>
      </w:r>
      <w:r>
        <w:rPr>
          <w:noProof/>
        </w:rPr>
        <w:fldChar w:fldCharType="end"/>
      </w:r>
      <w:r w:rsidR="001824FA">
        <w:t>.  Що се отнася до разходите и разноските, първата жалбоподателка претендира 1259 лева (644 евро), платени от нея за експертизите, представени в подкрепа на претенциите за справедливо обезщетение (вж. параграфи 9-10 по-горе) и за превод, а третата жалбоподателка претендира 1355.50 лв. (693 евро) за експертизи, превод и сканиране на документи. В подкрепа на тези претенции двете жалбоподателки представят съответните разписки.</w:t>
      </w:r>
    </w:p>
    <w:p w:rsidR="00797E1B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28</w:t>
      </w:r>
      <w:r>
        <w:rPr>
          <w:noProof/>
        </w:rPr>
        <w:fldChar w:fldCharType="end"/>
      </w:r>
      <w:r w:rsidR="00797E1B">
        <w:t xml:space="preserve">.  Първата и третата жалбоподателка и г-жа Гогова претендират допълнителни 1400 евро за работата, извършена от техния процесуален представител г-жа Маргаритова-Вучкова в производството за справедливо обезщетение. Те представят договор за представителство като посочват, че третата жалбоподателка вече е платила на г-жа Маргаритова-Вучкова 300 лв. (153 евро). Те молят всяка допълнителна сума, присъдена от Съда по </w:t>
      </w:r>
      <w:r w:rsidR="00B74693">
        <w:t>това перо</w:t>
      </w:r>
      <w:r w:rsidR="00797E1B">
        <w:t>, да бъде платена директно на техния представител.</w:t>
      </w:r>
    </w:p>
    <w:p w:rsidR="002A2994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29</w:t>
      </w:r>
      <w:r>
        <w:rPr>
          <w:noProof/>
        </w:rPr>
        <w:fldChar w:fldCharType="end"/>
      </w:r>
      <w:r w:rsidR="002A2994">
        <w:t>.  Правителството оспорва претенциите.</w:t>
      </w:r>
    </w:p>
    <w:p w:rsidR="002A2994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30</w:t>
      </w:r>
      <w:r>
        <w:rPr>
          <w:noProof/>
        </w:rPr>
        <w:fldChar w:fldCharType="end"/>
      </w:r>
      <w:r w:rsidR="002A2994">
        <w:t xml:space="preserve">.  Съдът като </w:t>
      </w:r>
      <w:r w:rsidR="00367A10">
        <w:t>намира</w:t>
      </w:r>
      <w:r w:rsidR="002A2994">
        <w:t xml:space="preserve">, че описаните в параграф 27 разходи и разноски са били действително и необходимо направени и са в разумен размер, удовлетворява тези претенции в пълен размер. </w:t>
      </w:r>
      <w:r w:rsidR="00B74693">
        <w:t>Затова</w:t>
      </w:r>
      <w:r w:rsidR="002A2994">
        <w:t xml:space="preserve"> той присъжда на първата жалбоподателка 644 евро, а на третата жалбоподателка - 693 евро. По отношение на процесуалното представителство в настоящото производство, като отбелязва, че третата жалбоподателка вече е платила на г-жа Маргаритова-Вучкова 153 евро, Съдът намира за основателно да присъди допълнителни 500 евро. По искане на първата и третата жалбоподателка, тази сума трябва да бъде платена директно на техния процесуален представител.</w:t>
      </w:r>
    </w:p>
    <w:p w:rsidR="001824FA" w:rsidRPr="00482A4B" w:rsidRDefault="001824FA" w:rsidP="00482A4B">
      <w:pPr>
        <w:pStyle w:val="ECHRHeading2"/>
      </w:pPr>
      <w:r>
        <w:t>В. Лихва за забава</w:t>
      </w:r>
    </w:p>
    <w:p w:rsidR="00470981" w:rsidRPr="00482A4B" w:rsidRDefault="0084658B" w:rsidP="00482A4B">
      <w:pPr>
        <w:pStyle w:val="ECHRPara"/>
      </w:pPr>
      <w:r>
        <w:rPr>
          <w:noProof/>
        </w:rPr>
        <w:fldChar w:fldCharType="begin"/>
      </w:r>
      <w:r>
        <w:rPr>
          <w:noProof/>
        </w:rPr>
        <w:instrText xml:space="preserve"> SEQ level0 \*arabic </w:instrText>
      </w:r>
      <w:r>
        <w:rPr>
          <w:noProof/>
        </w:rPr>
        <w:fldChar w:fldCharType="separate"/>
      </w:r>
      <w:r w:rsidR="00482A4B" w:rsidRPr="00482A4B">
        <w:rPr>
          <w:noProof/>
        </w:rPr>
        <w:t>31</w:t>
      </w:r>
      <w:r>
        <w:rPr>
          <w:noProof/>
        </w:rPr>
        <w:fldChar w:fldCharType="end"/>
      </w:r>
      <w:r w:rsidR="001824FA">
        <w:t>.  Съдът смята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470981" w:rsidRPr="00482A4B" w:rsidRDefault="00450E83" w:rsidP="00482A4B">
      <w:pPr>
        <w:pStyle w:val="ECHRTitle1"/>
      </w:pPr>
      <w:r>
        <w:t>ПО ТЕЗИ СЪОБРАЖЕНИЯ СЪДЪТ ЕДИНОДУШНО</w:t>
      </w:r>
    </w:p>
    <w:p w:rsidR="004C75EF" w:rsidRPr="00482A4B" w:rsidRDefault="00FA0D0A" w:rsidP="00482A4B">
      <w:pPr>
        <w:pStyle w:val="JuList"/>
      </w:pPr>
      <w:r>
        <w:t>1.  </w:t>
      </w:r>
      <w:r>
        <w:rPr>
          <w:i/>
        </w:rPr>
        <w:t>Приема</w:t>
      </w:r>
      <w:r>
        <w:t>, че констат</w:t>
      </w:r>
      <w:r w:rsidR="00367A10">
        <w:t>ирането</w:t>
      </w:r>
      <w:r>
        <w:t xml:space="preserve"> на нарушение представлява само по себе си достатъчно обезщетение за всякакви неимуществени вреди;</w:t>
      </w:r>
    </w:p>
    <w:p w:rsidR="004C75EF" w:rsidRPr="00482A4B" w:rsidRDefault="004C75EF" w:rsidP="00482A4B">
      <w:pPr>
        <w:pStyle w:val="JuList"/>
      </w:pPr>
    </w:p>
    <w:p w:rsidR="001824FA" w:rsidRPr="00482A4B" w:rsidRDefault="004C75EF" w:rsidP="00482A4B">
      <w:pPr>
        <w:pStyle w:val="JuList"/>
      </w:pPr>
      <w:r>
        <w:t>2.  </w:t>
      </w:r>
      <w:r>
        <w:rPr>
          <w:i/>
        </w:rPr>
        <w:t>Приема,</w:t>
      </w:r>
    </w:p>
    <w:p w:rsidR="001824FA" w:rsidRPr="00482A4B" w:rsidRDefault="001824FA" w:rsidP="00482A4B">
      <w:pPr>
        <w:pStyle w:val="JuLista"/>
      </w:pPr>
      <w:r>
        <w:lastRenderedPageBreak/>
        <w:t>(а) че държава</w:t>
      </w:r>
      <w:r w:rsidR="00367A10">
        <w:t>та-ответник</w:t>
      </w:r>
      <w:r>
        <w:t xml:space="preserve"> трябва да заплати в срок от три месеца следните суми, които се изчисляват в български лева по курса</w:t>
      </w:r>
      <w:r w:rsidR="00367A10">
        <w:t>, валиден</w:t>
      </w:r>
      <w:r>
        <w:t xml:space="preserve"> към датата на плащането:</w:t>
      </w:r>
    </w:p>
    <w:p w:rsidR="001824FA" w:rsidRPr="00482A4B" w:rsidRDefault="00FA0D0A" w:rsidP="00482A4B">
      <w:pPr>
        <w:pStyle w:val="JuListi"/>
      </w:pPr>
      <w:r>
        <w:t>(i) 20 015 евро (двадесет хиляди и петнадесет евро) за всяка на първата жалбоподателка и наследницата на втората жалбоподателка</w:t>
      </w:r>
      <w:r w:rsidR="00367A10">
        <w:t>,</w:t>
      </w:r>
      <w:r>
        <w:t xml:space="preserve"> г-жа Светла Величкова Гогова</w:t>
      </w:r>
      <w:r w:rsidR="0040765B">
        <w:t>,</w:t>
      </w:r>
      <w:r>
        <w:t xml:space="preserve"> и 18 160 евро (осемнадесет хиляди сто и шестдесет евро) на третата жалбоподателка, плюс всякакви данъци, които биха могли да се начислят, по отношение на имуществени вреди;</w:t>
      </w:r>
    </w:p>
    <w:p w:rsidR="001824FA" w:rsidRPr="00482A4B" w:rsidRDefault="001824FA" w:rsidP="00482A4B">
      <w:pPr>
        <w:pStyle w:val="JuListi"/>
      </w:pPr>
      <w:r>
        <w:t xml:space="preserve">(ii) 1837 евро (хиляда осемстотин тридесет и седем евро) плюс всякакви данъци, които биха могли да се начислят на жалбоподателките, по отношение на разходи и </w:t>
      </w:r>
      <w:r w:rsidR="00367A10">
        <w:t>разноски</w:t>
      </w:r>
      <w:r>
        <w:t>, 644 евро (шестстотин четиридесет и четири евро) от които да бъдат платени на първата жалбоподателка, 693 евро (шестстотин деветдесет и три евро) на третата жалбоподателка, а останалите 500 евро (петстотин евро) да бъдат платени директно на г-жа Маргаритова-Вучкова;</w:t>
      </w:r>
    </w:p>
    <w:p w:rsidR="001824FA" w:rsidRPr="00482A4B" w:rsidRDefault="001824FA" w:rsidP="00482A4B">
      <w:pPr>
        <w:pStyle w:val="JuLista"/>
      </w:pPr>
      <w:r>
        <w:t xml:space="preserve">(б) че от изтичането на </w:t>
      </w:r>
      <w:r w:rsidR="00367A10">
        <w:t>горес</w:t>
      </w:r>
      <w:r>
        <w:t xml:space="preserve">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</w:t>
      </w:r>
      <w:r w:rsidR="00367A10">
        <w:t>за срока</w:t>
      </w:r>
      <w:r>
        <w:t xml:space="preserve"> на забава, към която се добавят три процентни пункта;</w:t>
      </w:r>
    </w:p>
    <w:p w:rsidR="001824FA" w:rsidRPr="00482A4B" w:rsidRDefault="001824FA" w:rsidP="00482A4B">
      <w:pPr>
        <w:pStyle w:val="JuList"/>
      </w:pPr>
    </w:p>
    <w:p w:rsidR="00470981" w:rsidRPr="00482A4B" w:rsidRDefault="008D29C6" w:rsidP="00482A4B">
      <w:pPr>
        <w:pStyle w:val="JuList"/>
      </w:pPr>
      <w:r>
        <w:t>3.  </w:t>
      </w:r>
      <w:r>
        <w:rPr>
          <w:i/>
        </w:rPr>
        <w:t>Отхвърля</w:t>
      </w:r>
      <w:r>
        <w:t xml:space="preserve"> останалата част от </w:t>
      </w:r>
      <w:r w:rsidR="0040765B">
        <w:t>претенциите</w:t>
      </w:r>
      <w:r w:rsidR="00367A10">
        <w:t xml:space="preserve"> </w:t>
      </w:r>
      <w:r>
        <w:t>за справедливо обезщетение.</w:t>
      </w:r>
    </w:p>
    <w:p w:rsidR="00661C0E" w:rsidRPr="00482A4B" w:rsidRDefault="00470981" w:rsidP="00482A4B">
      <w:pPr>
        <w:pStyle w:val="JuParaLast"/>
      </w:pPr>
      <w:r>
        <w:t xml:space="preserve">Изготвено на английски език и оповестено писмено на 11 юли 2019 г., в съответствие с </w:t>
      </w:r>
      <w:r w:rsidR="00367A10">
        <w:t>п</w:t>
      </w:r>
      <w:r>
        <w:t>равило 77 §§ 2 и 3 от Правилника на Съда.</w:t>
      </w:r>
    </w:p>
    <w:p w:rsidR="00EB447C" w:rsidRPr="00482A4B" w:rsidRDefault="00470981" w:rsidP="00482A4B">
      <w:pPr>
        <w:pStyle w:val="JuSigned"/>
      </w:pPr>
      <w:r>
        <w:tab/>
        <w:t>Милан Бла</w:t>
      </w:r>
      <w:r w:rsidR="00367A10">
        <w:t>с</w:t>
      </w:r>
      <w:r>
        <w:t>ко</w:t>
      </w:r>
      <w:r>
        <w:tab/>
        <w:t>Гана Юдкивска</w:t>
      </w:r>
      <w:r>
        <w:br/>
      </w:r>
      <w:r>
        <w:tab/>
      </w:r>
      <w:r w:rsidR="00367A10">
        <w:t>з</w:t>
      </w:r>
      <w:r>
        <w:t>аместник-секретар</w:t>
      </w:r>
      <w:r>
        <w:tab/>
      </w:r>
      <w:bookmarkStart w:id="1" w:name="_GoBack"/>
      <w:bookmarkEnd w:id="1"/>
      <w:r w:rsidR="00367A10">
        <w:t>п</w:t>
      </w:r>
      <w:r>
        <w:t>редседател</w:t>
      </w:r>
    </w:p>
    <w:sectPr w:rsidR="00EB447C" w:rsidRPr="00482A4B" w:rsidSect="00F34260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8D" w:rsidRPr="00B17171" w:rsidRDefault="001F7D8D" w:rsidP="00470981">
      <w:r w:rsidRPr="00B17171">
        <w:separator/>
      </w:r>
    </w:p>
  </w:endnote>
  <w:endnote w:type="continuationSeparator" w:id="0">
    <w:p w:rsidR="001F7D8D" w:rsidRPr="00B17171" w:rsidRDefault="001F7D8D" w:rsidP="00470981">
      <w:r w:rsidRPr="00B171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5E" w:rsidRDefault="00D50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5E" w:rsidRDefault="00D505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60" w:rsidRPr="00150BFA" w:rsidRDefault="00F34260" w:rsidP="0020718E">
    <w:pPr>
      <w:jc w:val="center"/>
    </w:pPr>
    <w:r>
      <w:rPr>
        <w:noProof/>
        <w:lang w:val="en-US" w:eastAsia="en-US" w:bidi="ar-SA"/>
      </w:rPr>
      <w:drawing>
        <wp:inline distT="0" distB="0" distL="0" distR="0" wp14:anchorId="4E1C7E53" wp14:editId="36270A86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260" w:rsidRDefault="00F34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8D" w:rsidRPr="00B17171" w:rsidRDefault="001F7D8D" w:rsidP="00470981">
      <w:r w:rsidRPr="00B17171">
        <w:separator/>
      </w:r>
    </w:p>
  </w:footnote>
  <w:footnote w:type="continuationSeparator" w:id="0">
    <w:p w:rsidR="001F7D8D" w:rsidRPr="00B17171" w:rsidRDefault="001F7D8D" w:rsidP="00470981">
      <w:r w:rsidRPr="00B171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5E" w:rsidRDefault="00D505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42" w:rsidRPr="00F34260" w:rsidRDefault="007F4C42" w:rsidP="00F34260">
    <w:pPr>
      <w:pStyle w:val="Header"/>
      <w:jc w:val="center"/>
      <w:rPr>
        <w:rStyle w:val="PageNumber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60" w:rsidRPr="00A45145" w:rsidRDefault="00F34260" w:rsidP="00A45145">
    <w:pPr>
      <w:jc w:val="center"/>
    </w:pPr>
    <w:r>
      <w:rPr>
        <w:noProof/>
        <w:lang w:val="en-US" w:eastAsia="en-US" w:bidi="ar-SA"/>
      </w:rPr>
      <w:drawing>
        <wp:inline distT="0" distB="0" distL="0" distR="0" wp14:anchorId="6728733A" wp14:editId="15D95848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24FA" w:rsidRDefault="001824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60" w:rsidRPr="00B17171" w:rsidRDefault="00F34260" w:rsidP="00660DC0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055E">
      <w:rPr>
        <w:rStyle w:val="PageNumber"/>
        <w:noProof/>
      </w:rPr>
      <w:t>8</w:t>
    </w:r>
    <w:r>
      <w:rPr>
        <w:rStyle w:val="PageNumber"/>
      </w:rPr>
      <w:fldChar w:fldCharType="end"/>
    </w:r>
    <w:r>
      <w:tab/>
      <w:t>РЕШЕНИЕ ЙОРДАНОВА И ДРУГИ СРЕЩУ БЪЛГАРИЯ (СПРАВЕДЛИВО ОБЕЗЩЕТЕНИЕ)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60" w:rsidRPr="00B17171" w:rsidRDefault="00F34260" w:rsidP="00874819">
    <w:pPr>
      <w:pStyle w:val="ECHRHeader"/>
      <w:rPr>
        <w:rStyle w:val="PageNumber"/>
      </w:rPr>
    </w:pPr>
    <w:r>
      <w:tab/>
      <w:t>РЕШЕНИЕ ЙОРДАНОВА И ДРУГИ СРЕЩУ БЪЛГАРИЯ (СПРАВЕДЛИВО ОБЕЗЩЕТЕНИЕ)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055E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A298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A25C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1E2A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A66C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B244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7AB4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EE70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D61E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E133365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3A5D4721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580374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MM" w:val="0"/>
    <w:docVar w:name="NBEMMDOC" w:val="0"/>
  </w:docVars>
  <w:rsids>
    <w:rsidRoot w:val="001824FA"/>
    <w:rsid w:val="000041F8"/>
    <w:rsid w:val="000042A8"/>
    <w:rsid w:val="00004308"/>
    <w:rsid w:val="00005BF0"/>
    <w:rsid w:val="000068B6"/>
    <w:rsid w:val="00007154"/>
    <w:rsid w:val="000103AE"/>
    <w:rsid w:val="00011D69"/>
    <w:rsid w:val="000125DB"/>
    <w:rsid w:val="00012AD3"/>
    <w:rsid w:val="00015C2D"/>
    <w:rsid w:val="00015F00"/>
    <w:rsid w:val="00016EF2"/>
    <w:rsid w:val="00022C1D"/>
    <w:rsid w:val="00033AD0"/>
    <w:rsid w:val="00033CA7"/>
    <w:rsid w:val="00034987"/>
    <w:rsid w:val="0005251B"/>
    <w:rsid w:val="00057889"/>
    <w:rsid w:val="000602DF"/>
    <w:rsid w:val="00061B05"/>
    <w:rsid w:val="000632D5"/>
    <w:rsid w:val="000644EE"/>
    <w:rsid w:val="00067BA6"/>
    <w:rsid w:val="0007700C"/>
    <w:rsid w:val="000925AD"/>
    <w:rsid w:val="000A24EB"/>
    <w:rsid w:val="000A50D5"/>
    <w:rsid w:val="000B55D6"/>
    <w:rsid w:val="000B596B"/>
    <w:rsid w:val="000B6923"/>
    <w:rsid w:val="000C5F3C"/>
    <w:rsid w:val="000C6DCC"/>
    <w:rsid w:val="000D0465"/>
    <w:rsid w:val="000D47AA"/>
    <w:rsid w:val="000D721F"/>
    <w:rsid w:val="000E069B"/>
    <w:rsid w:val="000E0E82"/>
    <w:rsid w:val="000E1DC5"/>
    <w:rsid w:val="000E223F"/>
    <w:rsid w:val="000E7D45"/>
    <w:rsid w:val="000F7851"/>
    <w:rsid w:val="001033AC"/>
    <w:rsid w:val="00104E23"/>
    <w:rsid w:val="00111B0C"/>
    <w:rsid w:val="00120D6C"/>
    <w:rsid w:val="001257EC"/>
    <w:rsid w:val="00133D33"/>
    <w:rsid w:val="00134D64"/>
    <w:rsid w:val="00135A30"/>
    <w:rsid w:val="00135EE4"/>
    <w:rsid w:val="0013612C"/>
    <w:rsid w:val="00137FF6"/>
    <w:rsid w:val="00141650"/>
    <w:rsid w:val="00151D19"/>
    <w:rsid w:val="00162A12"/>
    <w:rsid w:val="00166530"/>
    <w:rsid w:val="001708CD"/>
    <w:rsid w:val="001772E8"/>
    <w:rsid w:val="0017766E"/>
    <w:rsid w:val="001824FA"/>
    <w:rsid w:val="00182E68"/>
    <w:rsid w:val="001832BD"/>
    <w:rsid w:val="001943B5"/>
    <w:rsid w:val="00195134"/>
    <w:rsid w:val="001A145B"/>
    <w:rsid w:val="001A26EC"/>
    <w:rsid w:val="001A44C4"/>
    <w:rsid w:val="001A674C"/>
    <w:rsid w:val="001A7F79"/>
    <w:rsid w:val="001B09AC"/>
    <w:rsid w:val="001B1BA6"/>
    <w:rsid w:val="001B2C19"/>
    <w:rsid w:val="001B3B24"/>
    <w:rsid w:val="001C0F98"/>
    <w:rsid w:val="001C2A42"/>
    <w:rsid w:val="001C33E6"/>
    <w:rsid w:val="001C720A"/>
    <w:rsid w:val="001D63ED"/>
    <w:rsid w:val="001D7348"/>
    <w:rsid w:val="001E035B"/>
    <w:rsid w:val="001E0961"/>
    <w:rsid w:val="001E3EAE"/>
    <w:rsid w:val="001E6F32"/>
    <w:rsid w:val="001E7CD2"/>
    <w:rsid w:val="001F2145"/>
    <w:rsid w:val="001F6262"/>
    <w:rsid w:val="001F67B0"/>
    <w:rsid w:val="001F7B3D"/>
    <w:rsid w:val="001F7D8D"/>
    <w:rsid w:val="00205F9F"/>
    <w:rsid w:val="00210338"/>
    <w:rsid w:val="002115FC"/>
    <w:rsid w:val="0021279B"/>
    <w:rsid w:val="00213171"/>
    <w:rsid w:val="0021423C"/>
    <w:rsid w:val="00217CAC"/>
    <w:rsid w:val="00230D00"/>
    <w:rsid w:val="00231DF7"/>
    <w:rsid w:val="00231FD1"/>
    <w:rsid w:val="002339E0"/>
    <w:rsid w:val="00233CF8"/>
    <w:rsid w:val="0023575D"/>
    <w:rsid w:val="00237148"/>
    <w:rsid w:val="0024222D"/>
    <w:rsid w:val="00244B0E"/>
    <w:rsid w:val="00244F6C"/>
    <w:rsid w:val="002532C5"/>
    <w:rsid w:val="00253CF1"/>
    <w:rsid w:val="00260C03"/>
    <w:rsid w:val="00264B88"/>
    <w:rsid w:val="0026540E"/>
    <w:rsid w:val="00275123"/>
    <w:rsid w:val="0027641F"/>
    <w:rsid w:val="00277C9A"/>
    <w:rsid w:val="00282240"/>
    <w:rsid w:val="002948AD"/>
    <w:rsid w:val="002A01CC"/>
    <w:rsid w:val="002A03A7"/>
    <w:rsid w:val="002A2744"/>
    <w:rsid w:val="002A2994"/>
    <w:rsid w:val="002A61B1"/>
    <w:rsid w:val="002A663C"/>
    <w:rsid w:val="002B1AFD"/>
    <w:rsid w:val="002B444B"/>
    <w:rsid w:val="002B5887"/>
    <w:rsid w:val="002C0E27"/>
    <w:rsid w:val="002C3040"/>
    <w:rsid w:val="002D022D"/>
    <w:rsid w:val="002D24BB"/>
    <w:rsid w:val="002F2AF7"/>
    <w:rsid w:val="002F674F"/>
    <w:rsid w:val="002F7E1C"/>
    <w:rsid w:val="00301A75"/>
    <w:rsid w:val="00302F70"/>
    <w:rsid w:val="0030336F"/>
    <w:rsid w:val="0030375E"/>
    <w:rsid w:val="0030601F"/>
    <w:rsid w:val="00312A30"/>
    <w:rsid w:val="00315538"/>
    <w:rsid w:val="00320F72"/>
    <w:rsid w:val="0032463E"/>
    <w:rsid w:val="00326224"/>
    <w:rsid w:val="00337EE4"/>
    <w:rsid w:val="00340204"/>
    <w:rsid w:val="00340FFD"/>
    <w:rsid w:val="003506B1"/>
    <w:rsid w:val="00356AC7"/>
    <w:rsid w:val="003609FA"/>
    <w:rsid w:val="003664AC"/>
    <w:rsid w:val="00367A10"/>
    <w:rsid w:val="003710C8"/>
    <w:rsid w:val="003750BE"/>
    <w:rsid w:val="003822EC"/>
    <w:rsid w:val="00385404"/>
    <w:rsid w:val="00386BE8"/>
    <w:rsid w:val="00387B9D"/>
    <w:rsid w:val="0039081A"/>
    <w:rsid w:val="0039364F"/>
    <w:rsid w:val="00394530"/>
    <w:rsid w:val="00395193"/>
    <w:rsid w:val="00396686"/>
    <w:rsid w:val="0039778E"/>
    <w:rsid w:val="003A130B"/>
    <w:rsid w:val="003A7B02"/>
    <w:rsid w:val="003B4941"/>
    <w:rsid w:val="003C0A1E"/>
    <w:rsid w:val="003C5714"/>
    <w:rsid w:val="003C6B9F"/>
    <w:rsid w:val="003C6E2A"/>
    <w:rsid w:val="003D0299"/>
    <w:rsid w:val="003D3CFB"/>
    <w:rsid w:val="003D6832"/>
    <w:rsid w:val="003D7DBE"/>
    <w:rsid w:val="003E6D80"/>
    <w:rsid w:val="003F05FA"/>
    <w:rsid w:val="003F244A"/>
    <w:rsid w:val="003F30B8"/>
    <w:rsid w:val="003F4C45"/>
    <w:rsid w:val="003F5F7B"/>
    <w:rsid w:val="003F6D21"/>
    <w:rsid w:val="003F7D64"/>
    <w:rsid w:val="004022EE"/>
    <w:rsid w:val="0040765B"/>
    <w:rsid w:val="00414300"/>
    <w:rsid w:val="004160FF"/>
    <w:rsid w:val="00425C67"/>
    <w:rsid w:val="00427E7A"/>
    <w:rsid w:val="00432C6F"/>
    <w:rsid w:val="00436C49"/>
    <w:rsid w:val="00445366"/>
    <w:rsid w:val="00447F5B"/>
    <w:rsid w:val="00450E83"/>
    <w:rsid w:val="00461DB0"/>
    <w:rsid w:val="00463926"/>
    <w:rsid w:val="00464C9A"/>
    <w:rsid w:val="00465244"/>
    <w:rsid w:val="00465CD4"/>
    <w:rsid w:val="00470981"/>
    <w:rsid w:val="00474F3D"/>
    <w:rsid w:val="00477E3A"/>
    <w:rsid w:val="004824BC"/>
    <w:rsid w:val="00482A4B"/>
    <w:rsid w:val="004831B7"/>
    <w:rsid w:val="00483BA7"/>
    <w:rsid w:val="00483E5F"/>
    <w:rsid w:val="00484D30"/>
    <w:rsid w:val="00485FF9"/>
    <w:rsid w:val="004878C9"/>
    <w:rsid w:val="004907F0"/>
    <w:rsid w:val="0049140B"/>
    <w:rsid w:val="004923A5"/>
    <w:rsid w:val="00496BFB"/>
    <w:rsid w:val="004A15C7"/>
    <w:rsid w:val="004A18A3"/>
    <w:rsid w:val="004A4E55"/>
    <w:rsid w:val="004B013B"/>
    <w:rsid w:val="004B06C3"/>
    <w:rsid w:val="004B112B"/>
    <w:rsid w:val="004C01E4"/>
    <w:rsid w:val="004C086C"/>
    <w:rsid w:val="004C16FA"/>
    <w:rsid w:val="004C1F56"/>
    <w:rsid w:val="004C27BC"/>
    <w:rsid w:val="004C27D1"/>
    <w:rsid w:val="004C75EF"/>
    <w:rsid w:val="004D09D9"/>
    <w:rsid w:val="004D15F3"/>
    <w:rsid w:val="004D4F88"/>
    <w:rsid w:val="004D5311"/>
    <w:rsid w:val="004D5DCC"/>
    <w:rsid w:val="004E09EE"/>
    <w:rsid w:val="004F10AF"/>
    <w:rsid w:val="004F11A4"/>
    <w:rsid w:val="004F2389"/>
    <w:rsid w:val="004F304D"/>
    <w:rsid w:val="004F61BE"/>
    <w:rsid w:val="004F66B1"/>
    <w:rsid w:val="00511C07"/>
    <w:rsid w:val="005141F7"/>
    <w:rsid w:val="005173A6"/>
    <w:rsid w:val="00520BAA"/>
    <w:rsid w:val="00525208"/>
    <w:rsid w:val="005257A5"/>
    <w:rsid w:val="005264C0"/>
    <w:rsid w:val="00526A8A"/>
    <w:rsid w:val="00531DF2"/>
    <w:rsid w:val="00536AFA"/>
    <w:rsid w:val="005442EE"/>
    <w:rsid w:val="005451D2"/>
    <w:rsid w:val="00545AD0"/>
    <w:rsid w:val="00547353"/>
    <w:rsid w:val="005474E7"/>
    <w:rsid w:val="005512A3"/>
    <w:rsid w:val="00555A40"/>
    <w:rsid w:val="005578CE"/>
    <w:rsid w:val="00562781"/>
    <w:rsid w:val="0057271C"/>
    <w:rsid w:val="00572845"/>
    <w:rsid w:val="00592772"/>
    <w:rsid w:val="0059574A"/>
    <w:rsid w:val="005A1B9B"/>
    <w:rsid w:val="005A3EA1"/>
    <w:rsid w:val="005A4F57"/>
    <w:rsid w:val="005A6751"/>
    <w:rsid w:val="005B092E"/>
    <w:rsid w:val="005B152C"/>
    <w:rsid w:val="005B1EE0"/>
    <w:rsid w:val="005B2B24"/>
    <w:rsid w:val="005B4425"/>
    <w:rsid w:val="005B4B94"/>
    <w:rsid w:val="005C3EE8"/>
    <w:rsid w:val="005D34F9"/>
    <w:rsid w:val="005D4190"/>
    <w:rsid w:val="005D66F2"/>
    <w:rsid w:val="005D67A3"/>
    <w:rsid w:val="005E2988"/>
    <w:rsid w:val="005E3085"/>
    <w:rsid w:val="005F3CED"/>
    <w:rsid w:val="005F51E1"/>
    <w:rsid w:val="00611C80"/>
    <w:rsid w:val="00616468"/>
    <w:rsid w:val="00620692"/>
    <w:rsid w:val="0062381B"/>
    <w:rsid w:val="006242CA"/>
    <w:rsid w:val="00627507"/>
    <w:rsid w:val="0063355C"/>
    <w:rsid w:val="00633717"/>
    <w:rsid w:val="006344E1"/>
    <w:rsid w:val="006417D7"/>
    <w:rsid w:val="0065447F"/>
    <w:rsid w:val="006545C4"/>
    <w:rsid w:val="00660DC0"/>
    <w:rsid w:val="00661971"/>
    <w:rsid w:val="00661C0E"/>
    <w:rsid w:val="00661CE8"/>
    <w:rsid w:val="006623D9"/>
    <w:rsid w:val="0066550C"/>
    <w:rsid w:val="006716F2"/>
    <w:rsid w:val="00681269"/>
    <w:rsid w:val="00682BF2"/>
    <w:rsid w:val="006859CE"/>
    <w:rsid w:val="006875D1"/>
    <w:rsid w:val="00691270"/>
    <w:rsid w:val="00694BA8"/>
    <w:rsid w:val="0069538D"/>
    <w:rsid w:val="006A037C"/>
    <w:rsid w:val="006A36F4"/>
    <w:rsid w:val="006A406F"/>
    <w:rsid w:val="006A57A1"/>
    <w:rsid w:val="006A5D05"/>
    <w:rsid w:val="006A5D3A"/>
    <w:rsid w:val="006C23D4"/>
    <w:rsid w:val="006C7BB0"/>
    <w:rsid w:val="006D3237"/>
    <w:rsid w:val="006E2E37"/>
    <w:rsid w:val="006E3CF1"/>
    <w:rsid w:val="006E64D0"/>
    <w:rsid w:val="006E7E80"/>
    <w:rsid w:val="006F07D3"/>
    <w:rsid w:val="006F48CA"/>
    <w:rsid w:val="006F64DD"/>
    <w:rsid w:val="007102CA"/>
    <w:rsid w:val="00715127"/>
    <w:rsid w:val="00715E8E"/>
    <w:rsid w:val="00723580"/>
    <w:rsid w:val="00723755"/>
    <w:rsid w:val="0073136C"/>
    <w:rsid w:val="00731F0F"/>
    <w:rsid w:val="00732041"/>
    <w:rsid w:val="00733250"/>
    <w:rsid w:val="007377C2"/>
    <w:rsid w:val="00740AC2"/>
    <w:rsid w:val="00741404"/>
    <w:rsid w:val="007449E5"/>
    <w:rsid w:val="00747FF0"/>
    <w:rsid w:val="0075332E"/>
    <w:rsid w:val="007640D9"/>
    <w:rsid w:val="00764D4E"/>
    <w:rsid w:val="007653F1"/>
    <w:rsid w:val="00765A1F"/>
    <w:rsid w:val="00771E0C"/>
    <w:rsid w:val="00775B6D"/>
    <w:rsid w:val="00776D68"/>
    <w:rsid w:val="007850EE"/>
    <w:rsid w:val="00785B95"/>
    <w:rsid w:val="00790E96"/>
    <w:rsid w:val="00793366"/>
    <w:rsid w:val="00797E1B"/>
    <w:rsid w:val="007A26F7"/>
    <w:rsid w:val="007A716F"/>
    <w:rsid w:val="007B270A"/>
    <w:rsid w:val="007C0695"/>
    <w:rsid w:val="007C1A6E"/>
    <w:rsid w:val="007C419A"/>
    <w:rsid w:val="007C4CC8"/>
    <w:rsid w:val="007C5426"/>
    <w:rsid w:val="007C5798"/>
    <w:rsid w:val="007C7FB5"/>
    <w:rsid w:val="007D4832"/>
    <w:rsid w:val="007E21B2"/>
    <w:rsid w:val="007E2495"/>
    <w:rsid w:val="007E2C4E"/>
    <w:rsid w:val="007E78FE"/>
    <w:rsid w:val="007F1905"/>
    <w:rsid w:val="007F4C42"/>
    <w:rsid w:val="007F53DF"/>
    <w:rsid w:val="008005CB"/>
    <w:rsid w:val="00802C64"/>
    <w:rsid w:val="00805C0E"/>
    <w:rsid w:val="00805E52"/>
    <w:rsid w:val="008061D0"/>
    <w:rsid w:val="00810B38"/>
    <w:rsid w:val="008204C7"/>
    <w:rsid w:val="00820992"/>
    <w:rsid w:val="00823602"/>
    <w:rsid w:val="008255F5"/>
    <w:rsid w:val="0083014E"/>
    <w:rsid w:val="0083214A"/>
    <w:rsid w:val="00834220"/>
    <w:rsid w:val="00840276"/>
    <w:rsid w:val="00845723"/>
    <w:rsid w:val="0084658B"/>
    <w:rsid w:val="00851B7B"/>
    <w:rsid w:val="00851EF9"/>
    <w:rsid w:val="008577FD"/>
    <w:rsid w:val="00860B03"/>
    <w:rsid w:val="0086497A"/>
    <w:rsid w:val="008713A1"/>
    <w:rsid w:val="00874819"/>
    <w:rsid w:val="008754AB"/>
    <w:rsid w:val="0088060C"/>
    <w:rsid w:val="00892124"/>
    <w:rsid w:val="00893576"/>
    <w:rsid w:val="00893E73"/>
    <w:rsid w:val="008A3EAD"/>
    <w:rsid w:val="008B02DC"/>
    <w:rsid w:val="008B57CE"/>
    <w:rsid w:val="008B6F63"/>
    <w:rsid w:val="008C26DE"/>
    <w:rsid w:val="008C572F"/>
    <w:rsid w:val="008D2225"/>
    <w:rsid w:val="008D29C6"/>
    <w:rsid w:val="008D4752"/>
    <w:rsid w:val="008E271C"/>
    <w:rsid w:val="008E418E"/>
    <w:rsid w:val="008E5BC6"/>
    <w:rsid w:val="008E6A25"/>
    <w:rsid w:val="008E740F"/>
    <w:rsid w:val="008F5193"/>
    <w:rsid w:val="008F62E7"/>
    <w:rsid w:val="009013A7"/>
    <w:rsid w:val="009017FB"/>
    <w:rsid w:val="009017FC"/>
    <w:rsid w:val="0090506B"/>
    <w:rsid w:val="009050C9"/>
    <w:rsid w:val="009066FC"/>
    <w:rsid w:val="009140A3"/>
    <w:rsid w:val="009144A2"/>
    <w:rsid w:val="0091510C"/>
    <w:rsid w:val="00917257"/>
    <w:rsid w:val="00924286"/>
    <w:rsid w:val="009259AC"/>
    <w:rsid w:val="00926F38"/>
    <w:rsid w:val="00934301"/>
    <w:rsid w:val="00936CD1"/>
    <w:rsid w:val="00941747"/>
    <w:rsid w:val="00941EFB"/>
    <w:rsid w:val="00947AFB"/>
    <w:rsid w:val="00951D7D"/>
    <w:rsid w:val="009630C7"/>
    <w:rsid w:val="00972B55"/>
    <w:rsid w:val="009743B7"/>
    <w:rsid w:val="00975D2B"/>
    <w:rsid w:val="0098228B"/>
    <w:rsid w:val="009828DA"/>
    <w:rsid w:val="00984123"/>
    <w:rsid w:val="00985BAB"/>
    <w:rsid w:val="00990DA2"/>
    <w:rsid w:val="00993913"/>
    <w:rsid w:val="009A1006"/>
    <w:rsid w:val="009B1B5F"/>
    <w:rsid w:val="009B6673"/>
    <w:rsid w:val="009C0EE3"/>
    <w:rsid w:val="009C191B"/>
    <w:rsid w:val="009C2BD6"/>
    <w:rsid w:val="009C3743"/>
    <w:rsid w:val="009C40C2"/>
    <w:rsid w:val="009E1F32"/>
    <w:rsid w:val="009E776C"/>
    <w:rsid w:val="00A11A75"/>
    <w:rsid w:val="00A1726E"/>
    <w:rsid w:val="00A204CF"/>
    <w:rsid w:val="00A22A01"/>
    <w:rsid w:val="00A23D49"/>
    <w:rsid w:val="00A26EB1"/>
    <w:rsid w:val="00A27004"/>
    <w:rsid w:val="00A30C29"/>
    <w:rsid w:val="00A33ACB"/>
    <w:rsid w:val="00A33E83"/>
    <w:rsid w:val="00A34DD6"/>
    <w:rsid w:val="00A36819"/>
    <w:rsid w:val="00A36989"/>
    <w:rsid w:val="00A434D9"/>
    <w:rsid w:val="00A43628"/>
    <w:rsid w:val="00A54192"/>
    <w:rsid w:val="00A6035E"/>
    <w:rsid w:val="00A6144C"/>
    <w:rsid w:val="00A66617"/>
    <w:rsid w:val="00A671F8"/>
    <w:rsid w:val="00A673A4"/>
    <w:rsid w:val="00A724AE"/>
    <w:rsid w:val="00A73329"/>
    <w:rsid w:val="00A82359"/>
    <w:rsid w:val="00A8269D"/>
    <w:rsid w:val="00A865D2"/>
    <w:rsid w:val="00A94C20"/>
    <w:rsid w:val="00AA227F"/>
    <w:rsid w:val="00AA3BC7"/>
    <w:rsid w:val="00AA754A"/>
    <w:rsid w:val="00AB07C7"/>
    <w:rsid w:val="00AB099E"/>
    <w:rsid w:val="00AB4328"/>
    <w:rsid w:val="00AC1EEF"/>
    <w:rsid w:val="00AC377E"/>
    <w:rsid w:val="00AD3195"/>
    <w:rsid w:val="00AE0A2E"/>
    <w:rsid w:val="00AE354C"/>
    <w:rsid w:val="00AF4B07"/>
    <w:rsid w:val="00AF6186"/>
    <w:rsid w:val="00AF7A3A"/>
    <w:rsid w:val="00B160DB"/>
    <w:rsid w:val="00B17171"/>
    <w:rsid w:val="00B20836"/>
    <w:rsid w:val="00B235BB"/>
    <w:rsid w:val="00B27A44"/>
    <w:rsid w:val="00B30BBF"/>
    <w:rsid w:val="00B33C03"/>
    <w:rsid w:val="00B41F84"/>
    <w:rsid w:val="00B44A56"/>
    <w:rsid w:val="00B44E56"/>
    <w:rsid w:val="00B45294"/>
    <w:rsid w:val="00B46543"/>
    <w:rsid w:val="00B47D33"/>
    <w:rsid w:val="00B52BE0"/>
    <w:rsid w:val="00B54133"/>
    <w:rsid w:val="00B575C6"/>
    <w:rsid w:val="00B63A2C"/>
    <w:rsid w:val="00B701ED"/>
    <w:rsid w:val="00B71D19"/>
    <w:rsid w:val="00B74693"/>
    <w:rsid w:val="00B771A0"/>
    <w:rsid w:val="00B8086C"/>
    <w:rsid w:val="00B80996"/>
    <w:rsid w:val="00B861B4"/>
    <w:rsid w:val="00B86DFE"/>
    <w:rsid w:val="00B90990"/>
    <w:rsid w:val="00B922FF"/>
    <w:rsid w:val="00B9281E"/>
    <w:rsid w:val="00B93925"/>
    <w:rsid w:val="00B9408C"/>
    <w:rsid w:val="00B95187"/>
    <w:rsid w:val="00B97329"/>
    <w:rsid w:val="00BA2D55"/>
    <w:rsid w:val="00BA71B1"/>
    <w:rsid w:val="00BB0637"/>
    <w:rsid w:val="00BB345F"/>
    <w:rsid w:val="00BB68EA"/>
    <w:rsid w:val="00BC1C27"/>
    <w:rsid w:val="00BC51AA"/>
    <w:rsid w:val="00BC6BBF"/>
    <w:rsid w:val="00BD1572"/>
    <w:rsid w:val="00BD5BDC"/>
    <w:rsid w:val="00BE14E3"/>
    <w:rsid w:val="00BE1959"/>
    <w:rsid w:val="00BE3774"/>
    <w:rsid w:val="00BE41E5"/>
    <w:rsid w:val="00BE50AC"/>
    <w:rsid w:val="00BF33EE"/>
    <w:rsid w:val="00BF4109"/>
    <w:rsid w:val="00BF4CC3"/>
    <w:rsid w:val="00BF59E6"/>
    <w:rsid w:val="00C02A51"/>
    <w:rsid w:val="00C04A3B"/>
    <w:rsid w:val="00C054C7"/>
    <w:rsid w:val="00C057B5"/>
    <w:rsid w:val="00C12505"/>
    <w:rsid w:val="00C22687"/>
    <w:rsid w:val="00C23F8A"/>
    <w:rsid w:val="00C307F8"/>
    <w:rsid w:val="00C32E4D"/>
    <w:rsid w:val="00C333A0"/>
    <w:rsid w:val="00C36A81"/>
    <w:rsid w:val="00C40703"/>
    <w:rsid w:val="00C41974"/>
    <w:rsid w:val="00C45B11"/>
    <w:rsid w:val="00C46A6A"/>
    <w:rsid w:val="00C53F4A"/>
    <w:rsid w:val="00C54125"/>
    <w:rsid w:val="00C55B54"/>
    <w:rsid w:val="00C6098E"/>
    <w:rsid w:val="00C6152C"/>
    <w:rsid w:val="00C6735C"/>
    <w:rsid w:val="00C7285F"/>
    <w:rsid w:val="00C74810"/>
    <w:rsid w:val="00C7595B"/>
    <w:rsid w:val="00C90D68"/>
    <w:rsid w:val="00C939FE"/>
    <w:rsid w:val="00C97101"/>
    <w:rsid w:val="00C97557"/>
    <w:rsid w:val="00CA4BDA"/>
    <w:rsid w:val="00CA4EA1"/>
    <w:rsid w:val="00CB1F66"/>
    <w:rsid w:val="00CB2951"/>
    <w:rsid w:val="00CB354E"/>
    <w:rsid w:val="00CD282B"/>
    <w:rsid w:val="00CD4C35"/>
    <w:rsid w:val="00CD4D96"/>
    <w:rsid w:val="00CD7369"/>
    <w:rsid w:val="00CE0B0E"/>
    <w:rsid w:val="00CE3831"/>
    <w:rsid w:val="00CE66A5"/>
    <w:rsid w:val="00CF0317"/>
    <w:rsid w:val="00D00ABB"/>
    <w:rsid w:val="00D02EEC"/>
    <w:rsid w:val="00D03551"/>
    <w:rsid w:val="00D06A63"/>
    <w:rsid w:val="00D07E0E"/>
    <w:rsid w:val="00D11478"/>
    <w:rsid w:val="00D15ED0"/>
    <w:rsid w:val="00D21B3E"/>
    <w:rsid w:val="00D21FED"/>
    <w:rsid w:val="00D22740"/>
    <w:rsid w:val="00D24251"/>
    <w:rsid w:val="00D343E2"/>
    <w:rsid w:val="00D361A2"/>
    <w:rsid w:val="00D3746A"/>
    <w:rsid w:val="00D44C2E"/>
    <w:rsid w:val="00D45414"/>
    <w:rsid w:val="00D5055E"/>
    <w:rsid w:val="00D566BD"/>
    <w:rsid w:val="00D57A4D"/>
    <w:rsid w:val="00D60AA7"/>
    <w:rsid w:val="00D62A05"/>
    <w:rsid w:val="00D6435F"/>
    <w:rsid w:val="00D75E28"/>
    <w:rsid w:val="00D772C2"/>
    <w:rsid w:val="00D8008E"/>
    <w:rsid w:val="00D82C45"/>
    <w:rsid w:val="00D908A8"/>
    <w:rsid w:val="00D93121"/>
    <w:rsid w:val="00D977B6"/>
    <w:rsid w:val="00DA104E"/>
    <w:rsid w:val="00DA4A31"/>
    <w:rsid w:val="00DA7B04"/>
    <w:rsid w:val="00DB36C2"/>
    <w:rsid w:val="00DB450E"/>
    <w:rsid w:val="00DC169B"/>
    <w:rsid w:val="00DC299E"/>
    <w:rsid w:val="00DC2AB9"/>
    <w:rsid w:val="00DC63F0"/>
    <w:rsid w:val="00DD3444"/>
    <w:rsid w:val="00DD5A3D"/>
    <w:rsid w:val="00DD6EE5"/>
    <w:rsid w:val="00DE386C"/>
    <w:rsid w:val="00DE4D35"/>
    <w:rsid w:val="00DF098B"/>
    <w:rsid w:val="00DF11C4"/>
    <w:rsid w:val="00DF20A6"/>
    <w:rsid w:val="00DF210C"/>
    <w:rsid w:val="00DF4B6A"/>
    <w:rsid w:val="00DF4E19"/>
    <w:rsid w:val="00E02C09"/>
    <w:rsid w:val="00E04D59"/>
    <w:rsid w:val="00E06D14"/>
    <w:rsid w:val="00E07DA1"/>
    <w:rsid w:val="00E123CB"/>
    <w:rsid w:val="00E20E13"/>
    <w:rsid w:val="00E21DBC"/>
    <w:rsid w:val="00E22300"/>
    <w:rsid w:val="00E25EF9"/>
    <w:rsid w:val="00E275D7"/>
    <w:rsid w:val="00E27DBE"/>
    <w:rsid w:val="00E32AB1"/>
    <w:rsid w:val="00E32BA6"/>
    <w:rsid w:val="00E32BC0"/>
    <w:rsid w:val="00E3642D"/>
    <w:rsid w:val="00E36C71"/>
    <w:rsid w:val="00E40404"/>
    <w:rsid w:val="00E42751"/>
    <w:rsid w:val="00E459C6"/>
    <w:rsid w:val="00E46A25"/>
    <w:rsid w:val="00E47589"/>
    <w:rsid w:val="00E53056"/>
    <w:rsid w:val="00E64915"/>
    <w:rsid w:val="00E661D4"/>
    <w:rsid w:val="00E70091"/>
    <w:rsid w:val="00E720F5"/>
    <w:rsid w:val="00E752EC"/>
    <w:rsid w:val="00E76D47"/>
    <w:rsid w:val="00E779DE"/>
    <w:rsid w:val="00E805C2"/>
    <w:rsid w:val="00E815B9"/>
    <w:rsid w:val="00E849F7"/>
    <w:rsid w:val="00E85166"/>
    <w:rsid w:val="00E90302"/>
    <w:rsid w:val="00E91545"/>
    <w:rsid w:val="00E97396"/>
    <w:rsid w:val="00EA185E"/>
    <w:rsid w:val="00EA2176"/>
    <w:rsid w:val="00EA5433"/>
    <w:rsid w:val="00EA592A"/>
    <w:rsid w:val="00EB14E4"/>
    <w:rsid w:val="00EB32A5"/>
    <w:rsid w:val="00EB34ED"/>
    <w:rsid w:val="00EB3C29"/>
    <w:rsid w:val="00EB447C"/>
    <w:rsid w:val="00EB72E2"/>
    <w:rsid w:val="00EB7BE0"/>
    <w:rsid w:val="00EB7E32"/>
    <w:rsid w:val="00EC315E"/>
    <w:rsid w:val="00ED077C"/>
    <w:rsid w:val="00ED1190"/>
    <w:rsid w:val="00ED3C4D"/>
    <w:rsid w:val="00ED6544"/>
    <w:rsid w:val="00EE0277"/>
    <w:rsid w:val="00EE3E00"/>
    <w:rsid w:val="00EE5DD2"/>
    <w:rsid w:val="00EF024A"/>
    <w:rsid w:val="00EF1578"/>
    <w:rsid w:val="00EF3047"/>
    <w:rsid w:val="00F00A79"/>
    <w:rsid w:val="00F00E86"/>
    <w:rsid w:val="00F07C1E"/>
    <w:rsid w:val="00F105DB"/>
    <w:rsid w:val="00F132BC"/>
    <w:rsid w:val="00F13D80"/>
    <w:rsid w:val="00F14735"/>
    <w:rsid w:val="00F16AAA"/>
    <w:rsid w:val="00F21161"/>
    <w:rsid w:val="00F218EF"/>
    <w:rsid w:val="00F21BC7"/>
    <w:rsid w:val="00F23CF0"/>
    <w:rsid w:val="00F266A2"/>
    <w:rsid w:val="00F31DE3"/>
    <w:rsid w:val="00F32269"/>
    <w:rsid w:val="00F34260"/>
    <w:rsid w:val="00F43C5D"/>
    <w:rsid w:val="00F51A54"/>
    <w:rsid w:val="00F56025"/>
    <w:rsid w:val="00F561D5"/>
    <w:rsid w:val="00F56A6F"/>
    <w:rsid w:val="00F5709C"/>
    <w:rsid w:val="00F6181E"/>
    <w:rsid w:val="00F64EF1"/>
    <w:rsid w:val="00F71E9A"/>
    <w:rsid w:val="00F8765F"/>
    <w:rsid w:val="00F90767"/>
    <w:rsid w:val="00F925B4"/>
    <w:rsid w:val="00FA0D0A"/>
    <w:rsid w:val="00FA2772"/>
    <w:rsid w:val="00FA4ECC"/>
    <w:rsid w:val="00FA685B"/>
    <w:rsid w:val="00FB0C01"/>
    <w:rsid w:val="00FC18F2"/>
    <w:rsid w:val="00FC237A"/>
    <w:rsid w:val="00FC39E5"/>
    <w:rsid w:val="00FC3A78"/>
    <w:rsid w:val="00FC5FCB"/>
    <w:rsid w:val="00FD0309"/>
    <w:rsid w:val="00FD1005"/>
    <w:rsid w:val="00FD6C75"/>
    <w:rsid w:val="00FE71B3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B97329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9732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B97329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B9732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B9732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B9732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B9732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B97329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B9732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B9732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7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329"/>
    <w:rPr>
      <w:rFonts w:ascii="Tahoma" w:eastAsiaTheme="minorEastAsia" w:hAnsi="Tahoma" w:cs="Tahoma"/>
      <w:sz w:val="16"/>
      <w:szCs w:val="16"/>
      <w:lang w:val="bg-BG"/>
    </w:rPr>
  </w:style>
  <w:style w:type="character" w:styleId="BookTitle">
    <w:name w:val="Book Title"/>
    <w:uiPriority w:val="99"/>
    <w:semiHidden/>
    <w:qFormat/>
    <w:rsid w:val="00B97329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B97329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B97329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B97329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B97329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B97329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B97329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B97329"/>
  </w:style>
  <w:style w:type="paragraph" w:customStyle="1" w:styleId="DecList">
    <w:name w:val="Dec_List"/>
    <w:basedOn w:val="Normal"/>
    <w:uiPriority w:val="9"/>
    <w:semiHidden/>
    <w:qFormat/>
    <w:rsid w:val="00B97329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B97329"/>
    <w:rPr>
      <w:color w:val="00B050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B97329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B97329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AppQuestion">
    <w:name w:val="Ju_App_Question"/>
    <w:basedOn w:val="Normal"/>
    <w:uiPriority w:val="5"/>
    <w:semiHidden/>
    <w:qFormat/>
    <w:rsid w:val="00B97329"/>
    <w:pPr>
      <w:numPr>
        <w:numId w:val="22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B97329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JuInitialled">
    <w:name w:val="Ju_Initialled"/>
    <w:basedOn w:val="Normal"/>
    <w:uiPriority w:val="31"/>
    <w:qFormat/>
    <w:rsid w:val="00B97329"/>
    <w:pPr>
      <w:tabs>
        <w:tab w:val="center" w:pos="6407"/>
      </w:tabs>
      <w:spacing w:before="720"/>
      <w:jc w:val="right"/>
    </w:p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B97329"/>
    <w:pPr>
      <w:spacing w:after="240"/>
      <w:jc w:val="center"/>
      <w:outlineLvl w:val="0"/>
    </w:pPr>
    <w:rPr>
      <w:rFonts w:asciiTheme="majorHAnsi" w:hAnsiTheme="majorHAnsi"/>
    </w:rPr>
  </w:style>
  <w:style w:type="character" w:customStyle="1" w:styleId="JUNAMES">
    <w:name w:val="JU_NAMES"/>
    <w:uiPriority w:val="17"/>
    <w:qFormat/>
    <w:rsid w:val="00B97329"/>
    <w:rPr>
      <w:caps w:val="0"/>
      <w:small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B9732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97329"/>
    <w:rPr>
      <w:rFonts w:asciiTheme="majorHAnsi" w:eastAsiaTheme="majorEastAsia" w:hAnsiTheme="majorHAnsi" w:cstheme="majorBidi"/>
      <w:spacing w:val="5"/>
      <w:sz w:val="52"/>
      <w:szCs w:val="52"/>
      <w:lang w:bidi="bg-BG"/>
    </w:rPr>
  </w:style>
  <w:style w:type="paragraph" w:customStyle="1" w:styleId="JuParaSub">
    <w:name w:val="Ju_Para_Sub"/>
    <w:basedOn w:val="ECHRPara"/>
    <w:uiPriority w:val="13"/>
    <w:qFormat/>
    <w:rsid w:val="00B97329"/>
    <w:pPr>
      <w:ind w:left="284"/>
    </w:pPr>
  </w:style>
  <w:style w:type="paragraph" w:customStyle="1" w:styleId="JuQuotSub">
    <w:name w:val="Ju_Quot_Sub"/>
    <w:basedOn w:val="ECHRParaQuote"/>
    <w:uiPriority w:val="15"/>
    <w:qFormat/>
    <w:rsid w:val="00B97329"/>
    <w:pPr>
      <w:ind w:left="567"/>
    </w:p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B97329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B97329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B97329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B97329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B97329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B97329"/>
    <w:pPr>
      <w:keepNext/>
      <w:keepLines/>
      <w:spacing w:before="240" w:after="120"/>
      <w:ind w:left="1236"/>
    </w:pPr>
    <w:rPr>
      <w:sz w:val="20"/>
    </w:rPr>
  </w:style>
  <w:style w:type="paragraph" w:styleId="Header">
    <w:name w:val="header"/>
    <w:basedOn w:val="Normal"/>
    <w:link w:val="HeaderChar"/>
    <w:uiPriority w:val="57"/>
    <w:semiHidden/>
    <w:rsid w:val="00B97329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B97329"/>
    <w:rPr>
      <w:sz w:val="24"/>
      <w:lang w:val="bg-BG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97329"/>
    <w:rPr>
      <w:rFonts w:asciiTheme="majorHAnsi" w:eastAsiaTheme="majorEastAsia" w:hAnsiTheme="majorHAnsi" w:cstheme="majorBidi"/>
      <w:b/>
      <w:bCs/>
      <w:color w:val="333333"/>
      <w:sz w:val="28"/>
      <w:szCs w:val="28"/>
      <w:lang w:val="bg-BG"/>
    </w:rPr>
  </w:style>
  <w:style w:type="paragraph" w:customStyle="1" w:styleId="JuTitle">
    <w:name w:val="Ju_Title"/>
    <w:basedOn w:val="Normal"/>
    <w:next w:val="ECHRPara"/>
    <w:uiPriority w:val="3"/>
    <w:semiHidden/>
    <w:qFormat/>
    <w:rsid w:val="00B97329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B97329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97329"/>
    <w:rPr>
      <w:rFonts w:asciiTheme="majorHAnsi" w:eastAsiaTheme="majorEastAsia" w:hAnsiTheme="majorHAnsi" w:cstheme="majorBidi"/>
      <w:b/>
      <w:bCs/>
      <w:color w:val="4D4D4D"/>
      <w:sz w:val="26"/>
      <w:szCs w:val="26"/>
      <w:lang w:val="bg-BG"/>
    </w:rPr>
  </w:style>
  <w:style w:type="paragraph" w:customStyle="1" w:styleId="OpiH1">
    <w:name w:val="Opi_H_1"/>
    <w:basedOn w:val="ECHRHeading2"/>
    <w:uiPriority w:val="42"/>
    <w:qFormat/>
    <w:rsid w:val="00B97329"/>
    <w:pPr>
      <w:ind w:left="635" w:hanging="357"/>
      <w:outlineLvl w:val="2"/>
    </w:pPr>
  </w:style>
  <w:style w:type="character" w:customStyle="1" w:styleId="JuITMark">
    <w:name w:val="Ju_ITMark"/>
    <w:basedOn w:val="DefaultParagraphFont"/>
    <w:uiPriority w:val="38"/>
    <w:qFormat/>
    <w:rsid w:val="00B97329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97329"/>
    <w:rPr>
      <w:rFonts w:asciiTheme="majorHAnsi" w:eastAsiaTheme="majorEastAsia" w:hAnsiTheme="majorHAnsi" w:cstheme="majorBidi"/>
      <w:b/>
      <w:bCs/>
      <w:color w:val="5F5F5F"/>
      <w:sz w:val="24"/>
      <w:lang w:val="bg-BG"/>
    </w:rPr>
  </w:style>
  <w:style w:type="paragraph" w:customStyle="1" w:styleId="OpiHa">
    <w:name w:val="Opi_H_a"/>
    <w:basedOn w:val="ECHRHeading3"/>
    <w:uiPriority w:val="43"/>
    <w:qFormat/>
    <w:rsid w:val="00B97329"/>
    <w:pPr>
      <w:ind w:left="833" w:hanging="357"/>
      <w:outlineLvl w:val="3"/>
    </w:pPr>
    <w:rPr>
      <w:b/>
      <w:i w:val="0"/>
      <w:sz w:val="20"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B97329"/>
    <w:pPr>
      <w:tabs>
        <w:tab w:val="left" w:pos="567"/>
        <w:tab w:val="left" w:pos="1134"/>
      </w:tabs>
      <w:jc w:val="left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B97329"/>
    <w:rPr>
      <w:rFonts w:asciiTheme="majorHAnsi" w:eastAsiaTheme="majorEastAsia" w:hAnsiTheme="majorHAnsi" w:cstheme="majorBidi"/>
      <w:b/>
      <w:bCs/>
      <w:i/>
      <w:iCs/>
      <w:color w:val="777777"/>
      <w:sz w:val="24"/>
      <w:lang w:val="bg-BG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B97329"/>
    <w:pPr>
      <w:ind w:firstLine="284"/>
    </w:pPr>
  </w:style>
  <w:style w:type="character" w:customStyle="1" w:styleId="Heading5Char">
    <w:name w:val="Heading 5 Char"/>
    <w:basedOn w:val="DefaultParagraphFont"/>
    <w:link w:val="Heading5"/>
    <w:uiPriority w:val="99"/>
    <w:semiHidden/>
    <w:rsid w:val="00B97329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JuList">
    <w:name w:val="Ju_List"/>
    <w:basedOn w:val="Normal"/>
    <w:uiPriority w:val="28"/>
    <w:qFormat/>
    <w:rsid w:val="00B97329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B97329"/>
    <w:pPr>
      <w:tabs>
        <w:tab w:val="center" w:pos="851"/>
        <w:tab w:val="center" w:pos="6407"/>
      </w:tabs>
      <w:spacing w:before="720"/>
      <w:jc w:val="left"/>
    </w:pPr>
  </w:style>
  <w:style w:type="character" w:styleId="SubtleEmphasis">
    <w:name w:val="Subtle Emphasis"/>
    <w:uiPriority w:val="99"/>
    <w:semiHidden/>
    <w:qFormat/>
    <w:rsid w:val="00B97329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B97329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B9732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B97329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B97329"/>
    <w:rPr>
      <w:sz w:val="24"/>
      <w:lang w:val="bg-BG"/>
    </w:rPr>
  </w:style>
  <w:style w:type="character" w:styleId="FootnoteReference">
    <w:name w:val="footnote reference"/>
    <w:basedOn w:val="DefaultParagraphFont"/>
    <w:uiPriority w:val="99"/>
    <w:semiHidden/>
    <w:rsid w:val="00B973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973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329"/>
    <w:rPr>
      <w:rFonts w:eastAsiaTheme="minorEastAsia"/>
      <w:sz w:val="20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97329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bg-BG" w:bidi="bg-BG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97329"/>
    <w:rPr>
      <w:rFonts w:asciiTheme="majorHAnsi" w:eastAsiaTheme="majorEastAsia" w:hAnsiTheme="majorHAnsi" w:cstheme="majorBidi"/>
      <w:i/>
      <w:iCs/>
      <w:lang w:bidi="bg-B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97329"/>
    <w:rPr>
      <w:rFonts w:asciiTheme="majorHAnsi" w:eastAsiaTheme="majorEastAsia" w:hAnsiTheme="majorHAnsi" w:cstheme="majorBidi"/>
      <w:sz w:val="20"/>
      <w:szCs w:val="20"/>
      <w:lang w:bidi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97329"/>
    <w:rPr>
      <w:rFonts w:asciiTheme="majorHAnsi" w:eastAsiaTheme="majorEastAsia" w:hAnsiTheme="majorHAnsi" w:cstheme="majorBidi"/>
      <w:i/>
      <w:iCs/>
      <w:spacing w:val="5"/>
      <w:sz w:val="20"/>
      <w:szCs w:val="20"/>
      <w:lang w:bidi="bg-BG"/>
    </w:rPr>
  </w:style>
  <w:style w:type="character" w:styleId="Hyperlink">
    <w:name w:val="Hyperlink"/>
    <w:basedOn w:val="DefaultParagraphFont"/>
    <w:uiPriority w:val="99"/>
    <w:semiHidden/>
    <w:rsid w:val="00B97329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B9732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B9732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B97329"/>
    <w:rPr>
      <w:rFonts w:eastAsiaTheme="minorEastAsia"/>
      <w:b/>
      <w:bCs/>
      <w:i/>
      <w:iCs/>
      <w:lang w:bidi="bg-BG"/>
    </w:rPr>
  </w:style>
  <w:style w:type="character" w:styleId="IntenseReference">
    <w:name w:val="Intense Reference"/>
    <w:uiPriority w:val="99"/>
    <w:semiHidden/>
    <w:qFormat/>
    <w:rsid w:val="00B97329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B97329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B97329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97329"/>
    <w:rPr>
      <w:rFonts w:eastAsiaTheme="minorEastAsia"/>
      <w:i/>
      <w:iCs/>
      <w:lang w:bidi="bg-BG"/>
    </w:rPr>
  </w:style>
  <w:style w:type="character" w:styleId="SubtleReference">
    <w:name w:val="Subtle Reference"/>
    <w:uiPriority w:val="99"/>
    <w:semiHidden/>
    <w:qFormat/>
    <w:rsid w:val="00B97329"/>
    <w:rPr>
      <w:smallCaps/>
    </w:rPr>
  </w:style>
  <w:style w:type="table" w:styleId="TableGrid">
    <w:name w:val="Table Grid"/>
    <w:basedOn w:val="TableNormal"/>
    <w:uiPriority w:val="59"/>
    <w:semiHidden/>
    <w:rsid w:val="00B9732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B97329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B97329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B97329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B97329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B97329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B97329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572845"/>
    <w:rPr>
      <w:rFonts w:eastAsiaTheme="minorEastAsia"/>
      <w:sz w:val="20"/>
    </w:rPr>
    <w:tblPr>
      <w:tblInd w:w="-964" w:type="dxa"/>
      <w:tblCellMar>
        <w:left w:w="57" w:type="dxa"/>
        <w:bottom w:w="57" w:type="dxa"/>
        <w:right w:w="113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3609FA"/>
    <w:rPr>
      <w:rFonts w:eastAsiaTheme="minorEastAsia"/>
    </w:rPr>
    <w:tblPr>
      <w:tblInd w:w="113" w:type="dxa"/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B97329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B97329"/>
    <w:pPr>
      <w:spacing w:before="120" w:after="120"/>
      <w:ind w:left="425" w:firstLine="142"/>
    </w:pPr>
    <w:rPr>
      <w:sz w:val="20"/>
    </w:r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B97329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ParaLast">
    <w:name w:val="Ju_Para_Last"/>
    <w:basedOn w:val="Normal"/>
    <w:next w:val="ECHRPara"/>
    <w:uiPriority w:val="30"/>
    <w:qFormat/>
    <w:rsid w:val="00B97329"/>
    <w:pPr>
      <w:keepNext/>
      <w:keepLines/>
      <w:spacing w:before="240"/>
      <w:ind w:firstLine="284"/>
    </w:pPr>
  </w:style>
  <w:style w:type="paragraph" w:customStyle="1" w:styleId="JuCase">
    <w:name w:val="Ju_Case"/>
    <w:basedOn w:val="Normal"/>
    <w:next w:val="ECHRPara"/>
    <w:uiPriority w:val="10"/>
    <w:rsid w:val="00B97329"/>
    <w:pPr>
      <w:ind w:firstLine="284"/>
    </w:pPr>
    <w:rPr>
      <w:b/>
    </w:rPr>
  </w:style>
  <w:style w:type="paragraph" w:styleId="CommentText">
    <w:name w:val="annotation text"/>
    <w:basedOn w:val="Normal"/>
    <w:link w:val="CommentTextChar"/>
    <w:uiPriority w:val="99"/>
    <w:semiHidden/>
    <w:rsid w:val="004709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98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0981"/>
    <w:rPr>
      <w:b/>
      <w:bCs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981"/>
    <w:rPr>
      <w:rFonts w:eastAsiaTheme="minorEastAsia"/>
      <w:b/>
      <w:bCs/>
      <w:sz w:val="20"/>
      <w:szCs w:val="20"/>
    </w:rPr>
  </w:style>
  <w:style w:type="character" w:styleId="PageNumber">
    <w:name w:val="page number"/>
    <w:uiPriority w:val="99"/>
    <w:semiHidden/>
    <w:rsid w:val="00470981"/>
    <w:rPr>
      <w:sz w:val="18"/>
    </w:rPr>
  </w:style>
  <w:style w:type="paragraph" w:customStyle="1" w:styleId="JuLista">
    <w:name w:val="Ju_List_a"/>
    <w:basedOn w:val="JuList"/>
    <w:uiPriority w:val="28"/>
    <w:qFormat/>
    <w:rsid w:val="00B97329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B97329"/>
    <w:pPr>
      <w:ind w:left="794"/>
    </w:pPr>
  </w:style>
  <w:style w:type="character" w:styleId="CommentReference">
    <w:name w:val="annotation reference"/>
    <w:uiPriority w:val="99"/>
    <w:semiHidden/>
    <w:rsid w:val="00470981"/>
    <w:rPr>
      <w:sz w:val="16"/>
    </w:rPr>
  </w:style>
  <w:style w:type="character" w:styleId="EndnoteReference">
    <w:name w:val="endnote reference"/>
    <w:basedOn w:val="DefaultParagraphFont"/>
    <w:uiPriority w:val="99"/>
    <w:semiHidden/>
    <w:rsid w:val="00B9732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973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7329"/>
    <w:rPr>
      <w:rFonts w:eastAsiaTheme="minorEastAsia"/>
      <w:sz w:val="20"/>
      <w:szCs w:val="20"/>
      <w:lang w:val="bg-BG"/>
    </w:rPr>
  </w:style>
  <w:style w:type="character" w:styleId="FollowedHyperlink">
    <w:name w:val="FollowedHyperlink"/>
    <w:uiPriority w:val="99"/>
    <w:semiHidden/>
    <w:rsid w:val="00470981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7098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981"/>
    <w:rPr>
      <w:rFonts w:ascii="Tahoma" w:eastAsiaTheme="minorEastAsia" w:hAnsi="Tahoma" w:cs="Tahoma"/>
      <w:sz w:val="20"/>
      <w:shd w:val="clear" w:color="auto" w:fill="000080"/>
    </w:rPr>
  </w:style>
  <w:style w:type="paragraph" w:styleId="ListBullet">
    <w:name w:val="List Bullet"/>
    <w:basedOn w:val="Normal"/>
    <w:uiPriority w:val="99"/>
    <w:semiHidden/>
    <w:rsid w:val="00470981"/>
    <w:pPr>
      <w:numPr>
        <w:numId w:val="4"/>
      </w:numPr>
    </w:p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B9732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B97329"/>
    <w:rPr>
      <w:rFonts w:asciiTheme="majorHAnsi" w:eastAsiaTheme="majorEastAsia" w:hAnsiTheme="majorHAnsi" w:cstheme="majorBidi"/>
      <w:i/>
      <w:iCs/>
      <w:spacing w:val="13"/>
      <w:sz w:val="24"/>
      <w:szCs w:val="24"/>
      <w:lang w:bidi="bg-BG"/>
    </w:rPr>
  </w:style>
  <w:style w:type="numbering" w:styleId="111111">
    <w:name w:val="Outline List 2"/>
    <w:basedOn w:val="NoList"/>
    <w:uiPriority w:val="99"/>
    <w:semiHidden/>
    <w:rsid w:val="00470981"/>
    <w:pPr>
      <w:numPr>
        <w:numId w:val="5"/>
      </w:numPr>
    </w:pPr>
  </w:style>
  <w:style w:type="numbering" w:styleId="1ai">
    <w:name w:val="Outline List 1"/>
    <w:basedOn w:val="NoList"/>
    <w:uiPriority w:val="99"/>
    <w:semiHidden/>
    <w:rsid w:val="00470981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rsid w:val="00470981"/>
    <w:pPr>
      <w:numPr>
        <w:numId w:val="7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470981"/>
  </w:style>
  <w:style w:type="paragraph" w:styleId="BlockText">
    <w:name w:val="Block Text"/>
    <w:basedOn w:val="Normal"/>
    <w:uiPriority w:val="99"/>
    <w:semiHidden/>
    <w:rsid w:val="00470981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4709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0981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4709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981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4709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981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7098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981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4709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981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7098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981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4709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981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4709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981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470981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47098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981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470981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470981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470981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470981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470981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470981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470981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470981"/>
  </w:style>
  <w:style w:type="character" w:customStyle="1" w:styleId="DateChar">
    <w:name w:val="Date Char"/>
    <w:basedOn w:val="DefaultParagraphFont"/>
    <w:link w:val="Date"/>
    <w:uiPriority w:val="99"/>
    <w:semiHidden/>
    <w:rsid w:val="00470981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47098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981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470981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470981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470981"/>
  </w:style>
  <w:style w:type="paragraph" w:styleId="HTMLAddress">
    <w:name w:val="HTML Address"/>
    <w:basedOn w:val="Normal"/>
    <w:link w:val="HTMLAddressChar"/>
    <w:uiPriority w:val="99"/>
    <w:semiHidden/>
    <w:rsid w:val="0047098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981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470981"/>
    <w:rPr>
      <w:i/>
      <w:iCs/>
    </w:rPr>
  </w:style>
  <w:style w:type="character" w:styleId="HTMLCode">
    <w:name w:val="HTML Code"/>
    <w:basedOn w:val="DefaultParagraphFont"/>
    <w:uiPriority w:val="99"/>
    <w:semiHidden/>
    <w:rsid w:val="0047098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470981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470981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47098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981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470981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470981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47098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47098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47098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47098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47098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47098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47098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47098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47098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47098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47098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47098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470981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470981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470981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470981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470981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470981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470981"/>
  </w:style>
  <w:style w:type="paragraph" w:styleId="List">
    <w:name w:val="List"/>
    <w:basedOn w:val="Normal"/>
    <w:uiPriority w:val="99"/>
    <w:semiHidden/>
    <w:rsid w:val="0047098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47098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47098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47098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470981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470981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rsid w:val="00470981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rsid w:val="00470981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rsid w:val="00470981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semiHidden/>
    <w:rsid w:val="0047098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47098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47098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47098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47098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470981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rsid w:val="00470981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470981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470981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470981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rsid w:val="004709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981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4709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4709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4709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4709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4709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4709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4709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470981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4709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4709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4709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4709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4709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4709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4709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470981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4709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4709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4709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4709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4709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4709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4709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4709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98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470981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47098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47098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981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B97329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47098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981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7098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981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47098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981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470981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470981"/>
    <w:pPr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470981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470981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470981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470981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470981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470981"/>
    <w:pPr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470981"/>
    <w:pPr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470981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470981"/>
    <w:pPr>
      <w:suppressAutoHyphen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470981"/>
    <w:pPr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470981"/>
    <w:pPr>
      <w:suppressAutoHyphen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470981"/>
    <w:pPr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470981"/>
    <w:pPr>
      <w:suppressAutoHyphen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470981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470981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470981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470981"/>
    <w:pPr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470981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470981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470981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470981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470981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470981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470981"/>
    <w:pPr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470981"/>
    <w:pPr>
      <w:suppressAutoHyphen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470981"/>
    <w:pPr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470981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470981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470981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470981"/>
    <w:pPr>
      <w:suppressAutoHyphen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470981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47098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470981"/>
  </w:style>
  <w:style w:type="table" w:styleId="TableProfessional">
    <w:name w:val="Table Professional"/>
    <w:basedOn w:val="TableNormal"/>
    <w:uiPriority w:val="99"/>
    <w:semiHidden/>
    <w:rsid w:val="00470981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470981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470981"/>
    <w:pPr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470981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470981"/>
    <w:pPr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470981"/>
    <w:pPr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4709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470981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470981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470981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B97329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B97329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47098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470981"/>
    <w:pPr>
      <w:spacing w:after="100"/>
      <w:ind w:left="1920"/>
    </w:pPr>
  </w:style>
  <w:style w:type="paragraph" w:customStyle="1" w:styleId="OpiHA0">
    <w:name w:val="Opi_H_A"/>
    <w:basedOn w:val="ECHRHeading1"/>
    <w:next w:val="OpiPara"/>
    <w:uiPriority w:val="41"/>
    <w:qFormat/>
    <w:rsid w:val="00B97329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B97329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B97329"/>
  </w:style>
  <w:style w:type="paragraph" w:customStyle="1" w:styleId="OpiParaSub">
    <w:name w:val="Opi_Para_Sub"/>
    <w:basedOn w:val="JuParaSub"/>
    <w:uiPriority w:val="47"/>
    <w:qFormat/>
    <w:rsid w:val="00B97329"/>
  </w:style>
  <w:style w:type="paragraph" w:customStyle="1" w:styleId="OpiQuot">
    <w:name w:val="Opi_Quot"/>
    <w:basedOn w:val="ECHRParaQuote"/>
    <w:uiPriority w:val="48"/>
    <w:qFormat/>
    <w:rsid w:val="00B97329"/>
  </w:style>
  <w:style w:type="paragraph" w:customStyle="1" w:styleId="OpiQuotSub">
    <w:name w:val="Opi_Quot_Sub"/>
    <w:basedOn w:val="JuQuotSub"/>
    <w:uiPriority w:val="49"/>
    <w:qFormat/>
    <w:rsid w:val="00B97329"/>
  </w:style>
  <w:style w:type="paragraph" w:customStyle="1" w:styleId="OpiTranslation">
    <w:name w:val="Opi_Translation"/>
    <w:basedOn w:val="Normal"/>
    <w:next w:val="OpiPara"/>
    <w:uiPriority w:val="40"/>
    <w:qFormat/>
    <w:rsid w:val="00B97329"/>
    <w:pPr>
      <w:jc w:val="center"/>
      <w:outlineLvl w:val="0"/>
    </w:pPr>
    <w:rPr>
      <w:i/>
    </w:rPr>
  </w:style>
  <w:style w:type="character" w:customStyle="1" w:styleId="ECHRParaChar">
    <w:name w:val="ECHR_Para Char"/>
    <w:aliases w:val="Ju_Para Char"/>
    <w:link w:val="ECHRPara"/>
    <w:uiPriority w:val="12"/>
    <w:rsid w:val="004E09EE"/>
    <w:rPr>
      <w:rFonts w:eastAsiaTheme="minorEastAsia"/>
      <w:sz w:val="24"/>
      <w:lang w:val="bg-BG"/>
    </w:rPr>
  </w:style>
  <w:style w:type="paragraph" w:customStyle="1" w:styleId="JuHeaderLandscape">
    <w:name w:val="Ju_Header_Landscape"/>
    <w:basedOn w:val="ECHRHeader"/>
    <w:uiPriority w:val="4"/>
    <w:qFormat/>
    <w:rsid w:val="00B97329"/>
    <w:pPr>
      <w:tabs>
        <w:tab w:val="clear" w:pos="3686"/>
        <w:tab w:val="clear" w:pos="7371"/>
        <w:tab w:val="center" w:pos="6146"/>
        <w:tab w:val="right" w:pos="1229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4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6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8322-0B6F-477A-BE8A-E97FF86E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2019-10-14T14:38:00Z</dcterms:created>
  <dcterms:modified xsi:type="dcterms:W3CDTF">2019-10-14T14:38:00Z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