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A0" w:rsidRPr="000C3553" w:rsidRDefault="00003CA0" w:rsidP="00003CA0">
      <w:pPr>
        <w:jc w:val="center"/>
      </w:pPr>
      <w:bookmarkStart w:id="0" w:name="_GoBack"/>
      <w:bookmarkEnd w:id="0"/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  <w:r>
        <w:rPr>
          <w:rStyle w:val="Normal"/>
        </w:rPr>
        <w:t>ПЕТО ОТДЕЛЕНИЕ</w:t>
      </w:r>
    </w:p>
    <w:p w:rsidR="00003CA0" w:rsidRPr="000C3553" w:rsidRDefault="00003CA0" w:rsidP="00003CA0">
      <w:pPr>
        <w:jc w:val="center"/>
      </w:pPr>
      <w:bookmarkStart w:id="1" w:name="To"/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  <w:rPr>
          <w:b/>
        </w:rPr>
      </w:pPr>
      <w:r>
        <w:rPr>
          <w:rStyle w:val="Normal"/>
          <w:b/>
        </w:rPr>
        <w:t xml:space="preserve">ДЕЛО </w:t>
      </w:r>
      <w:bookmarkEnd w:id="1"/>
      <w:r>
        <w:rPr>
          <w:rStyle w:val="Normal"/>
          <w:b/>
        </w:rPr>
        <w:t>УЗУНОВА И СЕИД СРЕЩУ БЪЛГАРИЯ</w:t>
      </w:r>
    </w:p>
    <w:p w:rsidR="00003CA0" w:rsidRPr="000C3553" w:rsidRDefault="00003CA0" w:rsidP="00003CA0">
      <w:pPr>
        <w:jc w:val="center"/>
        <w:rPr>
          <w:b/>
        </w:rPr>
      </w:pPr>
    </w:p>
    <w:p w:rsidR="00003CA0" w:rsidRPr="000C3553" w:rsidRDefault="00003CA0" w:rsidP="00003CA0">
      <w:pPr>
        <w:jc w:val="center"/>
        <w:rPr>
          <w:i/>
        </w:rPr>
      </w:pPr>
      <w:r>
        <w:rPr>
          <w:rStyle w:val="Normal"/>
          <w:i/>
        </w:rPr>
        <w:t xml:space="preserve">(Жалба </w:t>
      </w:r>
      <w:r>
        <w:rPr>
          <w:rStyle w:val="Normal"/>
          <w:i/>
          <w:cs/>
        </w:rPr>
        <w:t xml:space="preserve">№ </w:t>
      </w:r>
      <w:r>
        <w:rPr>
          <w:rStyle w:val="Normal"/>
          <w:i/>
        </w:rPr>
        <w:t>2866/13)</w:t>
      </w: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</w:p>
    <w:p w:rsidR="00003CA0" w:rsidRPr="000C3553" w:rsidRDefault="00003CA0" w:rsidP="00003CA0">
      <w:pPr>
        <w:jc w:val="center"/>
      </w:pPr>
      <w:r>
        <w:rPr>
          <w:rStyle w:val="Normal"/>
        </w:rPr>
        <w:t>РЕШЕНИЕ</w:t>
      </w: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center"/>
        <w:rPr>
          <w:szCs w:val="24"/>
        </w:rPr>
      </w:pPr>
      <w:r>
        <w:rPr>
          <w:rStyle w:val="Normal"/>
        </w:rPr>
        <w:t>СТРАСБУРГ</w:t>
      </w: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center"/>
        <w:rPr>
          <w:szCs w:val="24"/>
        </w:rPr>
      </w:pPr>
      <w:r>
        <w:rPr>
          <w:rStyle w:val="Normal"/>
        </w:rPr>
        <w:t>6 септември 2018 г.</w:t>
      </w: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center"/>
        <w:rPr>
          <w:szCs w:val="24"/>
        </w:rPr>
      </w:pPr>
    </w:p>
    <w:p w:rsidR="00003CA0" w:rsidRPr="000C3553" w:rsidRDefault="00003CA0" w:rsidP="00003CA0">
      <w:pPr>
        <w:jc w:val="left"/>
        <w:rPr>
          <w:i/>
          <w:sz w:val="22"/>
          <w:szCs w:val="24"/>
        </w:rPr>
      </w:pPr>
      <w:r>
        <w:rPr>
          <w:rStyle w:val="Normal"/>
          <w:i/>
          <w:sz w:val="22"/>
        </w:rPr>
        <w:t>Настоящото решение е окончателно, но може да бъде предмет на редакционни промени.</w:t>
      </w:r>
    </w:p>
    <w:p w:rsidR="00003CA0" w:rsidRDefault="00003CA0" w:rsidP="00003CA0">
      <w:pPr>
        <w:pStyle w:val="JuCase"/>
        <w:sectPr w:rsidR="00003CA0" w:rsidSect="00003C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03CA0" w:rsidRPr="000C3553" w:rsidRDefault="00003CA0" w:rsidP="00003CA0">
      <w:pPr>
        <w:pStyle w:val="JuCase"/>
        <w:rPr>
          <w:bCs/>
        </w:rPr>
      </w:pPr>
      <w:r>
        <w:rPr>
          <w:rStyle w:val="JuCase"/>
        </w:rPr>
        <w:lastRenderedPageBreak/>
        <w:t>По делото Узунова и Сеид срещу България,</w:t>
      </w:r>
    </w:p>
    <w:p w:rsidR="00003CA0" w:rsidRPr="000C3553" w:rsidRDefault="00003CA0" w:rsidP="00003CA0">
      <w:pPr>
        <w:pStyle w:val="ECHRPara"/>
      </w:pPr>
      <w:r>
        <w:rPr>
          <w:rStyle w:val="ECHRPara"/>
        </w:rPr>
        <w:t>Европейският съд по правата на човека (Пето отделение), заседаващ като комитет,</w:t>
      </w:r>
      <w:r w:rsidR="005042E0" w:rsidRPr="0013096E">
        <w:rPr>
          <w:rStyle w:val="ECHRPara"/>
        </w:rPr>
        <w:t xml:space="preserve"> </w:t>
      </w:r>
      <w:r w:rsidR="005042E0">
        <w:rPr>
          <w:rStyle w:val="ECHRPara"/>
        </w:rPr>
        <w:t>в състав</w:t>
      </w:r>
      <w:r>
        <w:rPr>
          <w:rStyle w:val="ECHRPara"/>
        </w:rPr>
        <w:t>:</w:t>
      </w:r>
    </w:p>
    <w:p w:rsidR="00003CA0" w:rsidRPr="000C3553" w:rsidRDefault="00003CA0" w:rsidP="00003CA0">
      <w:pPr>
        <w:pStyle w:val="ECHRDecisionBody"/>
      </w:pPr>
      <w:r>
        <w:rPr>
          <w:rStyle w:val="ECHRDecisionBody"/>
        </w:rPr>
        <w:tab/>
        <w:t xml:space="preserve">Габриеле </w:t>
      </w:r>
      <w:proofErr w:type="spellStart"/>
      <w:r>
        <w:rPr>
          <w:rStyle w:val="ECHRDecisionBody"/>
        </w:rPr>
        <w:t>Куцко-Щадлмайер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Gabriele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Kucsko-Stadlmayer</w:t>
      </w:r>
      <w:proofErr w:type="spellEnd"/>
      <w:r>
        <w:rPr>
          <w:rStyle w:val="ECHRDecisionBody"/>
        </w:rPr>
        <w:t>),</w:t>
      </w:r>
      <w:r>
        <w:rPr>
          <w:rStyle w:val="ECHRDecisionBody"/>
          <w:i/>
        </w:rPr>
        <w:t xml:space="preserve"> председател,</w:t>
      </w:r>
      <w:r>
        <w:br/>
      </w:r>
      <w:r>
        <w:rPr>
          <w:rStyle w:val="ECHRDecisionBody"/>
        </w:rPr>
        <w:tab/>
        <w:t>Йонко Грозев (Yonko Grozev),</w:t>
      </w:r>
      <w:r>
        <w:br/>
      </w:r>
      <w:r>
        <w:rPr>
          <w:rStyle w:val="ECHRDecisionBody"/>
        </w:rPr>
        <w:tab/>
        <w:t>Ладо Чантурия (Lado Chanturia),</w:t>
      </w:r>
      <w:r>
        <w:rPr>
          <w:rStyle w:val="ECHRDecisionBody"/>
          <w:i/>
        </w:rPr>
        <w:t xml:space="preserve"> съдии,</w:t>
      </w:r>
      <w:r>
        <w:br/>
      </w:r>
      <w:r>
        <w:rPr>
          <w:rStyle w:val="ECHRDecisionBody"/>
        </w:rPr>
        <w:t xml:space="preserve">и Милан </w:t>
      </w:r>
      <w:proofErr w:type="spellStart"/>
      <w:r>
        <w:rPr>
          <w:rStyle w:val="ECHRDecisionBody"/>
        </w:rPr>
        <w:t>Бла</w:t>
      </w:r>
      <w:r w:rsidR="00072FAB">
        <w:rPr>
          <w:rStyle w:val="ECHRDecisionBody"/>
        </w:rPr>
        <w:t>с</w:t>
      </w:r>
      <w:r>
        <w:rPr>
          <w:rStyle w:val="ECHRDecisionBody"/>
        </w:rPr>
        <w:t>ко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Milan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Blaško</w:t>
      </w:r>
      <w:proofErr w:type="spellEnd"/>
      <w:r>
        <w:rPr>
          <w:rStyle w:val="ECHRDecisionBody"/>
        </w:rPr>
        <w:t xml:space="preserve">), </w:t>
      </w:r>
      <w:r>
        <w:rPr>
          <w:rStyle w:val="ECHRDecisionBody"/>
          <w:i/>
        </w:rPr>
        <w:t>заместник-секретар на отделението,</w:t>
      </w:r>
    </w:p>
    <w:p w:rsidR="00003CA0" w:rsidRPr="000C3553" w:rsidRDefault="00003CA0" w:rsidP="00003CA0">
      <w:pPr>
        <w:pStyle w:val="ECHRPara"/>
      </w:pPr>
      <w:r>
        <w:rPr>
          <w:rStyle w:val="ECHRPara"/>
        </w:rPr>
        <w:t>След закрито заседание, проведено на 10 юли 2018 г.,</w:t>
      </w:r>
    </w:p>
    <w:p w:rsidR="00003CA0" w:rsidRPr="000C3553" w:rsidRDefault="00003CA0" w:rsidP="00003CA0">
      <w:pPr>
        <w:pStyle w:val="ECHRPara"/>
      </w:pPr>
      <w:r>
        <w:rPr>
          <w:rStyle w:val="ECHRPara"/>
        </w:rPr>
        <w:t>Постановява следното решение, прието на същата дата:</w:t>
      </w:r>
    </w:p>
    <w:p w:rsidR="00003CA0" w:rsidRPr="000C3553" w:rsidRDefault="00003CA0" w:rsidP="00003CA0">
      <w:pPr>
        <w:pStyle w:val="ECHRTitle1"/>
      </w:pPr>
      <w:r>
        <w:rPr>
          <w:rStyle w:val="ECHRTitle1"/>
        </w:rPr>
        <w:t>ПРОЦЕДУРА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</w:t>
      </w:r>
      <w:r>
        <w:fldChar w:fldCharType="end"/>
      </w:r>
      <w:r>
        <w:rPr>
          <w:rStyle w:val="ECHRPara"/>
        </w:rPr>
        <w:t>.  Делото е образувано по жалба (</w:t>
      </w:r>
      <w:r>
        <w:rPr>
          <w:rStyle w:val="ECHRPara"/>
          <w:cs/>
        </w:rPr>
        <w:t xml:space="preserve">№ </w:t>
      </w:r>
      <w:r>
        <w:rPr>
          <w:rStyle w:val="ECHRPara"/>
        </w:rPr>
        <w:t>2866/13) срещу Република България, подадена в Съда на основание чл. 34 от Конвенцията за защита на правата на човека и основните свободи (</w:t>
      </w:r>
      <w:r>
        <w:rPr>
          <w:rStyle w:val="ECHRPara"/>
          <w:cs/>
        </w:rPr>
        <w:t>”</w:t>
      </w:r>
      <w:r>
        <w:rPr>
          <w:rStyle w:val="ECHRPara"/>
        </w:rPr>
        <w:t>Конвенцията</w:t>
      </w:r>
      <w:r>
        <w:rPr>
          <w:rStyle w:val="ECHRPara"/>
          <w:cs/>
        </w:rPr>
        <w:t>”</w:t>
      </w:r>
      <w:r>
        <w:rPr>
          <w:rStyle w:val="ECHRPara"/>
        </w:rPr>
        <w:t>) от двама български граждани, г-жа Божана Боянова Узунова и г-н Ферад Исмаил Сеид (</w:t>
      </w:r>
      <w:r>
        <w:rPr>
          <w:rStyle w:val="ECHRPara"/>
          <w:cs/>
        </w:rPr>
        <w:t>”</w:t>
      </w:r>
      <w:r>
        <w:rPr>
          <w:rStyle w:val="ECHRPara"/>
        </w:rPr>
        <w:t>жалбоподателите</w:t>
      </w:r>
      <w:r>
        <w:rPr>
          <w:rStyle w:val="ECHRPara"/>
          <w:cs/>
        </w:rPr>
        <w:t>”</w:t>
      </w:r>
      <w:r>
        <w:rPr>
          <w:rStyle w:val="ECHRPara"/>
        </w:rPr>
        <w:t>), на 12 декември 2012 г.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</w:t>
      </w:r>
      <w:r>
        <w:fldChar w:fldCharType="end"/>
      </w:r>
      <w:r>
        <w:rPr>
          <w:rStyle w:val="ECHRPara"/>
        </w:rPr>
        <w:t>.  Жалбоподателите се представляват пред Съда от г-н Д. Митков и г-жа С. Василева, адвокати, практикуващи в София. Българското правителство (</w:t>
      </w:r>
      <w:r>
        <w:rPr>
          <w:rStyle w:val="ECHRPara"/>
          <w:cs/>
        </w:rPr>
        <w:t>„</w:t>
      </w:r>
      <w:r>
        <w:rPr>
          <w:rStyle w:val="ECHRPara"/>
        </w:rPr>
        <w:t>Правителството</w:t>
      </w:r>
      <w:r>
        <w:rPr>
          <w:rStyle w:val="ECHRPara"/>
          <w:cs/>
        </w:rPr>
        <w:t>”</w:t>
      </w:r>
      <w:r>
        <w:rPr>
          <w:rStyle w:val="ECHRPara"/>
        </w:rPr>
        <w:t>) се представлява от правителствения агент г-жа Л. Гюрова от Министерство на правосъдието.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</w:t>
      </w:r>
      <w:r>
        <w:fldChar w:fldCharType="end"/>
      </w:r>
      <w:r>
        <w:rPr>
          <w:rStyle w:val="ECHRPara"/>
        </w:rPr>
        <w:t>.  На 9 октомври 2014 г. оплакването отн</w:t>
      </w:r>
      <w:r w:rsidR="00560595">
        <w:rPr>
          <w:rStyle w:val="ECHRPara"/>
        </w:rPr>
        <w:t>осно</w:t>
      </w:r>
      <w:r>
        <w:rPr>
          <w:rStyle w:val="ECHRPara"/>
        </w:rPr>
        <w:t xml:space="preserve"> продължителното неизпълнение от страна на националните власти на окончателно съдебно решение в полза на жалбоподателите, е съобщено на Правителството, а останалата част от жалбата е обявена за недопустима съгласно </w:t>
      </w:r>
      <w:r w:rsidR="005042E0">
        <w:rPr>
          <w:rStyle w:val="ECHRPara"/>
        </w:rPr>
        <w:t>п</w:t>
      </w:r>
      <w:r>
        <w:rPr>
          <w:rStyle w:val="ECHRPara"/>
        </w:rPr>
        <w:t>равило 54 § 3 от Правилника на Съда.</w:t>
      </w:r>
    </w:p>
    <w:p w:rsidR="00003CA0" w:rsidRPr="000C3553" w:rsidRDefault="00003CA0" w:rsidP="00003CA0">
      <w:pPr>
        <w:pStyle w:val="ECHRTitle1"/>
      </w:pPr>
      <w:r>
        <w:rPr>
          <w:rStyle w:val="ECHRTitle1"/>
        </w:rPr>
        <w:t>ФАКТИТЕ</w:t>
      </w:r>
    </w:p>
    <w:p w:rsidR="00003CA0" w:rsidRPr="000C3553" w:rsidRDefault="00003CA0" w:rsidP="00003CA0">
      <w:pPr>
        <w:pStyle w:val="ECHRHeading1"/>
      </w:pPr>
      <w:r>
        <w:rPr>
          <w:rStyle w:val="ECHRHeading1"/>
        </w:rPr>
        <w:t>I.  ОБСТОЯТЕЛСТВА ПО ДЕЛОТО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</w:t>
      </w:r>
      <w:r>
        <w:fldChar w:fldCharType="end"/>
      </w:r>
      <w:r>
        <w:rPr>
          <w:rStyle w:val="ECHRPara"/>
        </w:rPr>
        <w:t>.  Жалбоподателите</w:t>
      </w:r>
      <w:r w:rsidR="005042E0">
        <w:rPr>
          <w:rStyle w:val="ECHRPara"/>
        </w:rPr>
        <w:t>,</w:t>
      </w:r>
      <w:r>
        <w:rPr>
          <w:rStyle w:val="ECHRPara"/>
        </w:rPr>
        <w:t xml:space="preserve"> г-жа Божана Боянова Узунова и г-н Ферад Исмаил Сеид</w:t>
      </w:r>
      <w:r w:rsidR="005042E0">
        <w:rPr>
          <w:rStyle w:val="ECHRPara"/>
        </w:rPr>
        <w:t>,</w:t>
      </w:r>
      <w:r>
        <w:rPr>
          <w:rStyle w:val="ECHRPara"/>
        </w:rPr>
        <w:t xml:space="preserve"> са родени съответно през 1978 и 1955 г. и живеят в Кърджали.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lastRenderedPageBreak/>
        <w:t>A. Отчуждаване на имуществото на жалбоподателите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5</w:t>
      </w:r>
      <w:r>
        <w:fldChar w:fldCharType="end"/>
      </w:r>
      <w:r>
        <w:rPr>
          <w:rStyle w:val="ECHRPara"/>
        </w:rPr>
        <w:t>.  Жалбоподателите съвместно притежава</w:t>
      </w:r>
      <w:r w:rsidR="0093164E">
        <w:rPr>
          <w:rStyle w:val="ECHRPara"/>
        </w:rPr>
        <w:t>ли</w:t>
      </w:r>
      <w:r>
        <w:rPr>
          <w:rStyle w:val="ECHRPara"/>
        </w:rPr>
        <w:t xml:space="preserve"> парцел с площ 15 276 кв.м. близо до гр. Капитан Андреево.</w:t>
      </w:r>
    </w:p>
    <w:p w:rsidR="00003CA0" w:rsidRPr="000C3553" w:rsidRDefault="00003CA0" w:rsidP="00003CA0">
      <w:pPr>
        <w:pStyle w:val="ECHRPara"/>
        <w:rPr>
          <w:bCs/>
        </w:rPr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6</w:t>
      </w:r>
      <w:r>
        <w:fldChar w:fldCharType="end"/>
      </w:r>
      <w:r>
        <w:rPr>
          <w:rStyle w:val="ECHRPara"/>
        </w:rPr>
        <w:t>.  На 30 ноември 2007 г. Министерският съвет решава да отчужди 6218 кв.м. от парцела на жалбоподателите с оглед изграждането на автомагистрала. Решението позволява предварителното изпълнение на отчуждаването и в него се посочва, че собствениците трябва да получат обезщетение в размер на 13 023 лева (равностойността на приблизително 6657 евро). В решението се вписва като собственик на отчуждения парцел лицето, от което жалбоподателите са закупили имота.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7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Жалбоподателите завеждат производство за съдебен контрол върху решението за отчуждаване пред Върховния административен съд. В окончателното решение от 3 април 2009 г. съдът обявява решението за нищожно, тъй като в него не са посочени действителните собственици на парцела, на които се дължи обезщетение, и връща делото </w:t>
      </w:r>
      <w:r w:rsidR="0093164E">
        <w:rPr>
          <w:rStyle w:val="ECHRPara"/>
        </w:rPr>
        <w:t xml:space="preserve">за преразглеждане от </w:t>
      </w:r>
      <w:r>
        <w:rPr>
          <w:rStyle w:val="ECHRPara"/>
        </w:rPr>
        <w:t xml:space="preserve">административните органи. Агенция </w:t>
      </w:r>
      <w:r>
        <w:rPr>
          <w:rStyle w:val="ECHRPara"/>
          <w:cs/>
        </w:rPr>
        <w:t>“</w:t>
      </w:r>
      <w:r>
        <w:rPr>
          <w:rStyle w:val="ECHRPara"/>
        </w:rPr>
        <w:t>Пътна инфраструктура</w:t>
      </w:r>
      <w:r>
        <w:rPr>
          <w:rStyle w:val="ECHRPara"/>
          <w:cs/>
        </w:rPr>
        <w:t xml:space="preserve">” </w:t>
      </w:r>
      <w:r>
        <w:rPr>
          <w:rStyle w:val="ECHRPara"/>
        </w:rPr>
        <w:t>иска възобновяване на производството за съдебен контрол на основание, че тя не е могла да участва в него като заинтересована трета страна, въпреки че нейното участие е задължително съгласно Закона за държавната собственост от 1996 г. като инвеститор в строителството на автомагистралата. В решение от 12 октомври 2009 г. петчленен състав на Върховния административен съд удовлетворява искането, отменя решението от 3 април 2009 г. и връща делото за повторно разглеждане от тричленен състав на Върховния административен съд.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8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В окончателното решение от 28 декември 2010 г. Върховният административен съд </w:t>
      </w:r>
      <w:r w:rsidR="005042E0">
        <w:rPr>
          <w:rStyle w:val="ECHRPara"/>
        </w:rPr>
        <w:t>намира</w:t>
      </w:r>
      <w:r>
        <w:rPr>
          <w:rStyle w:val="ECHRPara"/>
        </w:rPr>
        <w:t>, че се дължи обезщетение на жалбоподателите като собственици на въпросния парцел и че то трябва да бъде увеличено на 59 817 лева (равностойността на 30 577 евро) в съответствие със заключенията на експертен доклад, получен в хода на производството. Съдът присъжда на жалбоподателите и 600 лв. за разноски, които трябва да бъдат платени от Министерския съвет.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 xml:space="preserve">Б. Опитите на жалбоподателите да </w:t>
      </w:r>
      <w:r w:rsidR="005042E0">
        <w:rPr>
          <w:rStyle w:val="ECHRHeading2"/>
        </w:rPr>
        <w:t xml:space="preserve">получат </w:t>
      </w:r>
      <w:r>
        <w:rPr>
          <w:rStyle w:val="ECHRHeading2"/>
        </w:rPr>
        <w:t>присъденото обезщетение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9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На 13 януари 2011 г. жалбоподателите приканват Агенция </w:t>
      </w:r>
      <w:r>
        <w:rPr>
          <w:rStyle w:val="ECHRPara"/>
          <w:cs/>
        </w:rPr>
        <w:t>“</w:t>
      </w:r>
      <w:r>
        <w:rPr>
          <w:rStyle w:val="ECHRPara"/>
        </w:rPr>
        <w:t>Пътна инфраструктура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да им плати дължимото обезщетение. В отговора си от 21 февруари 2011 г. Агенцията информира жалбоподателите, че поради някои промени в схемата на </w:t>
      </w:r>
      <w:r>
        <w:rPr>
          <w:rStyle w:val="ECHRPara"/>
        </w:rPr>
        <w:lastRenderedPageBreak/>
        <w:t>автомагистралата се подготвя ново решение за отчуждаване на засегнатия имот.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10</w:t>
      </w:r>
      <w:r>
        <w:rPr>
          <w:rStyle w:val="ECHRPara"/>
        </w:rPr>
        <w:fldChar w:fldCharType="end"/>
      </w:r>
      <w:r>
        <w:rPr>
          <w:rStyle w:val="ECHRPara"/>
        </w:rPr>
        <w:t>.  На 5 юли 2011 г. Министерският съвет издава ново решение за отчуждаване, според което 5215 кв.м. от парцела на жалбоподателите трябва да бъдат отчуждени срещу обезщетение в размер на 1794 лева (равностойността на 917 евро). Жалбоподателите завеждат производство за съдебен контрол по отношение на това решение. В решение от 26 юни 2012 г. Върховният административен съд обявява решението от 5 юли 2011 г. за нищожно, тъй като не взе</w:t>
      </w:r>
      <w:r w:rsidR="005042E0">
        <w:rPr>
          <w:rStyle w:val="ECHRPara"/>
        </w:rPr>
        <w:t>ма</w:t>
      </w:r>
      <w:r>
        <w:rPr>
          <w:rStyle w:val="ECHRPara"/>
        </w:rPr>
        <w:t xml:space="preserve"> предвид задължителния характер на решението от 28 декември 2010 г., като последното е решило спора между страните с окончателно действие. През март 2012 г. Министерството на финансите неуспешно иска възобновяване на производството, приключило на 28 декември 2010 г., пред Върховния административен съд.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11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На 4 юли 2012 г. жалбоподателите отново приканват Агенция </w:t>
      </w:r>
      <w:r>
        <w:rPr>
          <w:rStyle w:val="ECHRPara"/>
          <w:cs/>
        </w:rPr>
        <w:t>“</w:t>
      </w:r>
      <w:r>
        <w:rPr>
          <w:rStyle w:val="ECHRPara"/>
        </w:rPr>
        <w:t>Пътна инфраструктура</w:t>
      </w:r>
      <w:r>
        <w:rPr>
          <w:rStyle w:val="ECHRPara"/>
          <w:cs/>
        </w:rPr>
        <w:t xml:space="preserve">” </w:t>
      </w:r>
      <w:r>
        <w:rPr>
          <w:rStyle w:val="ECHRPara"/>
        </w:rPr>
        <w:t>да им плати дължимото обезщетение. Впоследствие те</w:t>
      </w:r>
      <w:r w:rsidR="005042E0" w:rsidRPr="005042E0">
        <w:rPr>
          <w:rStyle w:val="ECHRPara"/>
        </w:rPr>
        <w:t xml:space="preserve"> </w:t>
      </w:r>
      <w:r w:rsidR="005042E0">
        <w:rPr>
          <w:rStyle w:val="ECHRPara"/>
        </w:rPr>
        <w:t>отново</w:t>
      </w:r>
      <w:r>
        <w:rPr>
          <w:rStyle w:val="ECHRPara"/>
        </w:rPr>
        <w:t xml:space="preserve"> пишат до Агенцията на 15 октомври 2012 г., до Министерския съвет на 14 октомври 2013 г., като представят и изпълнителен лист по отношение на дължимата сума, и до областния управител на 21 февруари 2014 г.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12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На 26 февруари 2015 г., към момента на представяне на своето становище по допустимостта и основателността по настоящото дело, Правителството информира Съда, че на 15 май 2014 г. Агенция </w:t>
      </w:r>
      <w:r>
        <w:rPr>
          <w:rStyle w:val="ECHRPara"/>
          <w:cs/>
        </w:rPr>
        <w:t>“</w:t>
      </w:r>
      <w:r>
        <w:rPr>
          <w:rStyle w:val="ECHRPara"/>
        </w:rPr>
        <w:t>Пътна инфраструктура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е платила на всеки жалбоподател по 29 908,50 лв. или общо 59 817 лв. </w:t>
      </w:r>
      <w:r w:rsidR="005042E0">
        <w:rPr>
          <w:rStyle w:val="ECHRPara"/>
        </w:rPr>
        <w:t xml:space="preserve">съгласно </w:t>
      </w:r>
      <w:r>
        <w:rPr>
          <w:rStyle w:val="ECHRPara"/>
        </w:rPr>
        <w:t>окончателното решение в тяхна полза от 28 декември 2010 г.</w:t>
      </w:r>
    </w:p>
    <w:p w:rsidR="00003CA0" w:rsidRPr="000C3553" w:rsidRDefault="00003CA0" w:rsidP="00003CA0">
      <w:pPr>
        <w:pStyle w:val="ECHRPara"/>
        <w:rPr>
          <w:bCs/>
        </w:rPr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13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На 10 декември 2014 г., на 20 януари 2015 г. и на 23 март 2015 г. жалбоподателите </w:t>
      </w:r>
      <w:r w:rsidR="00336F51">
        <w:rPr>
          <w:rStyle w:val="ECHRPara"/>
        </w:rPr>
        <w:t xml:space="preserve">се обръщат писмено към </w:t>
      </w:r>
      <w:r>
        <w:rPr>
          <w:rStyle w:val="ECHRPara"/>
        </w:rPr>
        <w:t>различни органи</w:t>
      </w:r>
      <w:r w:rsidR="00336F51">
        <w:rPr>
          <w:rStyle w:val="ECHRPara"/>
        </w:rPr>
        <w:t>,</w:t>
      </w:r>
      <w:r>
        <w:rPr>
          <w:rStyle w:val="ECHRPara"/>
        </w:rPr>
        <w:t xml:space="preserve"> с искане за изплащане</w:t>
      </w:r>
      <w:r w:rsidR="00336F51">
        <w:rPr>
          <w:rStyle w:val="ECHRPara"/>
        </w:rPr>
        <w:t>то</w:t>
      </w:r>
      <w:r>
        <w:rPr>
          <w:rStyle w:val="ECHRPara"/>
        </w:rPr>
        <w:t xml:space="preserve"> на </w:t>
      </w:r>
      <w:r w:rsidR="00336F51">
        <w:rPr>
          <w:rStyle w:val="ECHRPara"/>
        </w:rPr>
        <w:t xml:space="preserve">съответната </w:t>
      </w:r>
      <w:r>
        <w:rPr>
          <w:rStyle w:val="ECHRPara"/>
        </w:rPr>
        <w:t>лихва върху горепосочената сума за периода от повече от три години, в който тя остава неплатена.</w:t>
      </w:r>
      <w:r w:rsidR="00336F51">
        <w:rPr>
          <w:rStyle w:val="ECHRPara"/>
        </w:rPr>
        <w:t xml:space="preserve"> Исканията им остават без успех.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>В. Съдебно производство, свързано с липсата на изпълнение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14</w:t>
      </w:r>
      <w:r>
        <w:fldChar w:fldCharType="end"/>
      </w:r>
      <w:r>
        <w:rPr>
          <w:rStyle w:val="ECHRPara"/>
        </w:rPr>
        <w:t>.  Междувременно</w:t>
      </w:r>
      <w:r w:rsidR="00A66BB1">
        <w:rPr>
          <w:rStyle w:val="ECHRPara"/>
        </w:rPr>
        <w:t>,</w:t>
      </w:r>
      <w:r>
        <w:rPr>
          <w:rStyle w:val="ECHRPara"/>
        </w:rPr>
        <w:t xml:space="preserve"> на 22 ноември 2013 г. жалбоподателите завеждат производство пред Административен съд София-град във връзка с липсата на изпълнение на окончателното съдебно решение от 28 декември 2010 г. По-конкретно те твърдят, че са претърпели имуществени вреди в резултат на липсата на изпълнение</w:t>
      </w:r>
      <w:r w:rsidR="00A66BB1">
        <w:rPr>
          <w:rStyle w:val="ECHRPara"/>
        </w:rPr>
        <w:t xml:space="preserve">, като </w:t>
      </w:r>
      <w:r>
        <w:rPr>
          <w:rStyle w:val="ECHRPara"/>
        </w:rPr>
        <w:t xml:space="preserve"> претендират </w:t>
      </w:r>
      <w:r w:rsidR="00A66BB1">
        <w:rPr>
          <w:rStyle w:val="ECHRPara"/>
        </w:rPr>
        <w:t xml:space="preserve">и </w:t>
      </w:r>
      <w:r>
        <w:rPr>
          <w:rStyle w:val="ECHRPara"/>
        </w:rPr>
        <w:t xml:space="preserve">лихва върху сумата, определена в това решение, за периода на неговото неизпълнение. На 18 декември 2013 г. съдът отхвърля иска им като недопустим. Той </w:t>
      </w:r>
      <w:r w:rsidR="005042E0">
        <w:rPr>
          <w:rStyle w:val="ECHRPara"/>
        </w:rPr>
        <w:t xml:space="preserve">намира </w:t>
      </w:r>
      <w:r>
        <w:rPr>
          <w:rStyle w:val="ECHRPara"/>
        </w:rPr>
        <w:t xml:space="preserve">от една страна, че жалбоподателите не </w:t>
      </w:r>
      <w:r w:rsidR="002D49F2">
        <w:rPr>
          <w:rStyle w:val="ECHRPara"/>
        </w:rPr>
        <w:t xml:space="preserve">са </w:t>
      </w:r>
      <w:r>
        <w:rPr>
          <w:rStyle w:val="ECHRPara"/>
        </w:rPr>
        <w:t>посоч</w:t>
      </w:r>
      <w:r w:rsidR="002D49F2">
        <w:rPr>
          <w:rStyle w:val="ECHRPara"/>
        </w:rPr>
        <w:t>или</w:t>
      </w:r>
      <w:r>
        <w:rPr>
          <w:rStyle w:val="ECHRPara"/>
        </w:rPr>
        <w:t xml:space="preserve"> индивидуален административен акт като предмет на своето производство за съдебен контрол. Ако</w:t>
      </w:r>
      <w:r w:rsidR="002D49F2">
        <w:rPr>
          <w:rStyle w:val="ECHRPara"/>
        </w:rPr>
        <w:t>,</w:t>
      </w:r>
      <w:r>
        <w:rPr>
          <w:rStyle w:val="ECHRPara"/>
        </w:rPr>
        <w:t xml:space="preserve"> от друга </w:t>
      </w:r>
      <w:r>
        <w:rPr>
          <w:rStyle w:val="ECHRPara"/>
        </w:rPr>
        <w:lastRenderedPageBreak/>
        <w:t>страна</w:t>
      </w:r>
      <w:r w:rsidR="002D49F2">
        <w:rPr>
          <w:rStyle w:val="ECHRPara"/>
        </w:rPr>
        <w:t>,</w:t>
      </w:r>
      <w:r>
        <w:rPr>
          <w:rStyle w:val="ECHRPara"/>
        </w:rPr>
        <w:t xml:space="preserve"> искът на жалбоподателите се отнася до липсата на изпълнение на окончателно съдебно решение, съдът постановява, че компетентният орган в тази връзка е </w:t>
      </w:r>
      <w:r w:rsidR="002D49F2">
        <w:rPr>
          <w:rStyle w:val="ECHRPara"/>
        </w:rPr>
        <w:t>съдебният изпълнител</w:t>
      </w:r>
      <w:r>
        <w:rPr>
          <w:rStyle w:val="ECHRPara"/>
        </w:rPr>
        <w:t>, а съответната процедура е съгласно глава XVII от Административнопроцесуалния кодекс от 2006 г. (</w:t>
      </w:r>
      <w:r>
        <w:rPr>
          <w:rStyle w:val="ECHRPara"/>
          <w:cs/>
        </w:rPr>
        <w:t>”</w:t>
      </w:r>
      <w:r>
        <w:rPr>
          <w:rStyle w:val="ECHRPara"/>
        </w:rPr>
        <w:t>АПК от 2006 г.</w:t>
      </w:r>
      <w:r>
        <w:rPr>
          <w:rStyle w:val="ECHRPara"/>
          <w:cs/>
        </w:rPr>
        <w:t>”</w:t>
      </w:r>
      <w:r>
        <w:rPr>
          <w:rStyle w:val="ECHRPara"/>
        </w:rPr>
        <w:t>).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15</w:t>
      </w:r>
      <w:r>
        <w:fldChar w:fldCharType="end"/>
      </w:r>
      <w:r>
        <w:rPr>
          <w:rStyle w:val="ECHRPara"/>
        </w:rPr>
        <w:t>.  Жалбоподателите обжалват пред Върховния административен съд, като твърдят нарушение на чл. 203 от АПК от 2006 г. и нарушение на чл. 1, ал. 1 от Закона за отговорността на държавата и общините за вреди (</w:t>
      </w:r>
      <w:r>
        <w:rPr>
          <w:rStyle w:val="ECHRPara"/>
          <w:cs/>
        </w:rPr>
        <w:t>”</w:t>
      </w:r>
      <w:r>
        <w:rPr>
          <w:rStyle w:val="ECHRPara"/>
        </w:rPr>
        <w:t>ЗОДОВ</w:t>
      </w:r>
      <w:r>
        <w:rPr>
          <w:rStyle w:val="ECHRPara"/>
          <w:cs/>
        </w:rPr>
        <w:t>”</w:t>
      </w:r>
      <w:r>
        <w:rPr>
          <w:rStyle w:val="ECHRPara"/>
        </w:rPr>
        <w:t>) и оспорват решението на предходната съдебна инстанция като немотивирано. В окончателно решение от 13 февруари 2014 г. Върховният административен съд потвърждава решението на предходната съдебна инстанция.</w:t>
      </w:r>
    </w:p>
    <w:p w:rsidR="00003CA0" w:rsidRPr="000C3553" w:rsidRDefault="00003CA0" w:rsidP="00003CA0">
      <w:pPr>
        <w:pStyle w:val="ECHRHeading1"/>
      </w:pPr>
      <w:r>
        <w:rPr>
          <w:rStyle w:val="ECHRHeading1"/>
        </w:rPr>
        <w:t>II.  ПРИЛОЖИМО ВЪТРЕШНО ПРАВО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>Изпълнение на имуществени вземания срещу държавни органи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16</w:t>
      </w:r>
      <w:r>
        <w:fldChar w:fldCharType="end"/>
      </w:r>
      <w:r>
        <w:rPr>
          <w:rStyle w:val="ECHRPara"/>
        </w:rPr>
        <w:t>.  Приложимите разпоредби могат да бъдат открити в Гражданския процесуален кодекс от 2007 г. По-конкретно, чл. 519 от Гражданския процесуален кодекс от 2007 г. гласи следното:</w:t>
      </w:r>
    </w:p>
    <w:p w:rsidR="00003CA0" w:rsidRPr="000C3553" w:rsidRDefault="00003CA0" w:rsidP="00003CA0">
      <w:pPr>
        <w:pStyle w:val="ECHRParaQuote"/>
      </w:pPr>
      <w:r>
        <w:rPr>
          <w:rStyle w:val="ECHRParaQuote"/>
          <w:cs/>
        </w:rPr>
        <w:t>“</w:t>
      </w:r>
      <w:r>
        <w:rPr>
          <w:rStyle w:val="ECHRParaQuote"/>
        </w:rPr>
        <w:t>1. Не се допуска изпълнение на парични вземания срещу държавни учреждения.</w:t>
      </w:r>
    </w:p>
    <w:p w:rsidR="00003CA0" w:rsidRPr="000C3553" w:rsidRDefault="00003CA0" w:rsidP="00003CA0">
      <w:pPr>
        <w:pStyle w:val="ECHRParaQuote"/>
      </w:pPr>
      <w:r>
        <w:rPr>
          <w:rStyle w:val="ECHRParaQuote"/>
        </w:rPr>
        <w:t>2.  Паричните вземания срещу държавни учреждения се изплащат от предвидени</w:t>
      </w:r>
      <w:r w:rsidR="008A4B31">
        <w:rPr>
          <w:rStyle w:val="ECHRParaQuote"/>
        </w:rPr>
        <w:t>те</w:t>
      </w:r>
      <w:r>
        <w:rPr>
          <w:rStyle w:val="ECHRParaQuote"/>
        </w:rPr>
        <w:t xml:space="preserve"> за това </w:t>
      </w:r>
      <w:r w:rsidR="008A4B31">
        <w:rPr>
          <w:rStyle w:val="ECHRParaQuote"/>
        </w:rPr>
        <w:t xml:space="preserve">средства </w:t>
      </w:r>
      <w:r>
        <w:rPr>
          <w:rStyle w:val="ECHRParaQuote"/>
        </w:rPr>
        <w:t xml:space="preserve">по бюджета им. За тази цел изпълнителният лист се предявява на финансовия орган на съответното [държавно] учреждение. Ако няма </w:t>
      </w:r>
      <w:r w:rsidR="008A4B31">
        <w:rPr>
          <w:rStyle w:val="ECHRParaQuote"/>
        </w:rPr>
        <w:t>такива средства</w:t>
      </w:r>
      <w:r>
        <w:rPr>
          <w:rStyle w:val="ECHRParaQuote"/>
        </w:rPr>
        <w:t>, висшестоящото [държавно] учреждение предприема необходимите мерки, за да се предвид</w:t>
      </w:r>
      <w:r w:rsidR="008A4B31">
        <w:rPr>
          <w:rStyle w:val="ECHRParaQuote"/>
        </w:rPr>
        <w:t>ят</w:t>
      </w:r>
      <w:r>
        <w:rPr>
          <w:rStyle w:val="ECHRParaQuote"/>
        </w:rPr>
        <w:t xml:space="preserve"> так</w:t>
      </w:r>
      <w:r w:rsidR="008A4B31">
        <w:rPr>
          <w:rStyle w:val="ECHRParaQuote"/>
        </w:rPr>
        <w:t>ива</w:t>
      </w:r>
      <w:r>
        <w:rPr>
          <w:rStyle w:val="ECHRParaQuote"/>
        </w:rPr>
        <w:t xml:space="preserve"> най-късно в следващия бюджет.</w:t>
      </w:r>
      <w:r>
        <w:rPr>
          <w:rStyle w:val="ECHRParaQuote"/>
          <w:cs/>
        </w:rPr>
        <w:t>”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17</w:t>
      </w:r>
      <w:r>
        <w:fldChar w:fldCharType="end"/>
      </w:r>
      <w:r>
        <w:rPr>
          <w:rStyle w:val="ECHRPara"/>
        </w:rPr>
        <w:t xml:space="preserve">.  През март 2010 г. омбудсманът на Републиката оспорва тази разпоредба пред Конституционния съд. В решение от 21 декември 2010 г. (реш.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15 от 21 декември 2010 г. по к. д.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9/2010 г., обн. ДВ, бр. 5/2011 г.), Конституционният съд отказва да обяви чл. 519 за противоконституционен </w:t>
      </w:r>
      <w:r w:rsidR="00B92416">
        <w:rPr>
          <w:rStyle w:val="ECHRPara"/>
        </w:rPr>
        <w:t>по отношение на</w:t>
      </w:r>
      <w:r>
        <w:rPr>
          <w:rStyle w:val="ECHRPara"/>
        </w:rPr>
        <w:t xml:space="preserve"> държавни органи, но го обявява за противоконституционен доколкото се отнася до общини.</w:t>
      </w:r>
    </w:p>
    <w:p w:rsidR="00003CA0" w:rsidRPr="000C3553" w:rsidRDefault="005042E0" w:rsidP="00003CA0">
      <w:pPr>
        <w:pStyle w:val="ECHRTitle1"/>
      </w:pPr>
      <w:r>
        <w:rPr>
          <w:rStyle w:val="ECHRTitle1"/>
        </w:rPr>
        <w:t>ПРАВОТО</w:t>
      </w:r>
    </w:p>
    <w:p w:rsidR="00003CA0" w:rsidRPr="000C3553" w:rsidRDefault="00003CA0" w:rsidP="00003CA0">
      <w:pPr>
        <w:pStyle w:val="ECHRHeading1"/>
      </w:pPr>
      <w:r>
        <w:rPr>
          <w:rStyle w:val="ECHRHeading1"/>
        </w:rPr>
        <w:t xml:space="preserve">I. ТВЪРДЯНО НАРУШЕНИЕ НА ЧЛ. 6 § 1 ОТ КОНВЕНЦИЯТА И ЧЛ. 1 ОТ ПРОТОКОЛ </w:t>
      </w:r>
      <w:r w:rsidRPr="00F53F3E">
        <w:rPr>
          <w:rStyle w:val="ECHRHeading1"/>
          <w:szCs w:val="24"/>
          <w:cs/>
        </w:rPr>
        <w:t>№</w:t>
      </w:r>
      <w:r w:rsidRPr="00F53F3E">
        <w:rPr>
          <w:rStyle w:val="ECHRHeading1"/>
          <w:cs/>
        </w:rPr>
        <w:t xml:space="preserve"> </w:t>
      </w:r>
      <w:r w:rsidRPr="00F53F3E">
        <w:rPr>
          <w:rStyle w:val="ECHRHeading1"/>
        </w:rPr>
        <w:t>1</w:t>
      </w:r>
      <w:r>
        <w:rPr>
          <w:rStyle w:val="ECHRHeading1"/>
        </w:rPr>
        <w:t xml:space="preserve"> КЪМ КОНВЕНЦИЯТА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18</w:t>
      </w:r>
      <w:r>
        <w:fldChar w:fldCharType="end"/>
      </w:r>
      <w:r>
        <w:rPr>
          <w:rStyle w:val="ECHRPara"/>
        </w:rPr>
        <w:t xml:space="preserve">.  Като се позовават на чл. 6,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към Конвенцията и чл. 13 от Конвенцията, жалбоподателите се оплакват от неуспеха на властите да изпълнят окончателното съдебно решение относно дължимото им обезщетение за отчуждаване на имуществото им. Съдът, </w:t>
      </w:r>
      <w:r w:rsidR="00182C42">
        <w:rPr>
          <w:rStyle w:val="ECHRPara"/>
        </w:rPr>
        <w:t xml:space="preserve">разполагайки със свободата да преценява правната </w:t>
      </w:r>
      <w:r>
        <w:rPr>
          <w:rStyle w:val="ECHRPara"/>
        </w:rPr>
        <w:t xml:space="preserve">квалификация, която </w:t>
      </w:r>
      <w:r w:rsidR="00182C42">
        <w:rPr>
          <w:rStyle w:val="ECHRPara"/>
        </w:rPr>
        <w:t xml:space="preserve">следва </w:t>
      </w:r>
      <w:r>
        <w:rPr>
          <w:rStyle w:val="ECHRPara"/>
        </w:rPr>
        <w:t xml:space="preserve">да бъде дадена на фактите по делото, </w:t>
      </w:r>
      <w:r w:rsidR="003B20DA">
        <w:rPr>
          <w:rStyle w:val="ECHRPara"/>
        </w:rPr>
        <w:t>намира</w:t>
      </w:r>
      <w:r>
        <w:rPr>
          <w:rStyle w:val="ECHRPara"/>
        </w:rPr>
        <w:t xml:space="preserve">, че въпросното оплакване трябва да бъде разгледано съгласно чл. 6 § 1 от Конвенцията и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към Конвенцията, които гласят </w:t>
      </w:r>
      <w:r w:rsidR="0034359D">
        <w:rPr>
          <w:rStyle w:val="ECHRPara"/>
        </w:rPr>
        <w:t>следното</w:t>
      </w:r>
      <w:r>
        <w:rPr>
          <w:rStyle w:val="ECHRPara"/>
        </w:rPr>
        <w:t>:</w:t>
      </w:r>
    </w:p>
    <w:p w:rsidR="00003CA0" w:rsidRPr="000C3553" w:rsidRDefault="00003CA0" w:rsidP="00003CA0">
      <w:pPr>
        <w:pStyle w:val="ECHRTitleCentre3"/>
      </w:pPr>
      <w:r>
        <w:rPr>
          <w:rStyle w:val="ECHRTitleCentre3"/>
        </w:rPr>
        <w:t>Чл. 6 § 1</w:t>
      </w:r>
    </w:p>
    <w:p w:rsidR="00003CA0" w:rsidRPr="000C3553" w:rsidRDefault="00003CA0" w:rsidP="00003CA0">
      <w:pPr>
        <w:pStyle w:val="ECHRParaQuote"/>
      </w:pPr>
      <w:r>
        <w:rPr>
          <w:rStyle w:val="ECHRParaQuote"/>
          <w:cs/>
        </w:rPr>
        <w:t>“</w:t>
      </w:r>
      <w:r>
        <w:rPr>
          <w:rStyle w:val="ECHRParaQuote"/>
        </w:rPr>
        <w:t>Всяко лице, при решаването на правен спор относно неговите граждански права и задължения..., има право на справедливо и публично гледане... в разумен срок, от ... съд ..."</w:t>
      </w:r>
    </w:p>
    <w:p w:rsidR="00003CA0" w:rsidRPr="000C3553" w:rsidRDefault="00003CA0" w:rsidP="00003CA0">
      <w:pPr>
        <w:pStyle w:val="ECHRTitleCentre3"/>
      </w:pPr>
      <w:r>
        <w:rPr>
          <w:rStyle w:val="ECHRTitleCentre3"/>
        </w:rPr>
        <w:t xml:space="preserve">Чл. 1 от Протокол </w:t>
      </w:r>
      <w:r>
        <w:rPr>
          <w:rStyle w:val="ECHRTitleCentre3"/>
          <w:cs/>
        </w:rPr>
        <w:t xml:space="preserve">№ </w:t>
      </w:r>
      <w:r>
        <w:rPr>
          <w:rStyle w:val="ECHRTitleCentre3"/>
        </w:rPr>
        <w:t>1</w:t>
      </w:r>
    </w:p>
    <w:p w:rsidR="00003CA0" w:rsidRPr="000C3553" w:rsidRDefault="00003CA0" w:rsidP="00003CA0">
      <w:pPr>
        <w:pStyle w:val="ECHRParaQuote"/>
      </w:pPr>
      <w:r>
        <w:rPr>
          <w:rStyle w:val="ECHRParaQuote"/>
          <w:cs/>
        </w:rPr>
        <w:t>“</w:t>
      </w:r>
      <w:r>
        <w:rPr>
          <w:rStyle w:val="ECHRParaQuote"/>
        </w:rPr>
        <w:t>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 ...</w:t>
      </w:r>
      <w:r>
        <w:rPr>
          <w:rStyle w:val="ECHRParaQuote"/>
          <w:cs/>
        </w:rPr>
        <w:t>”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>A.  Допустимост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19</w:t>
      </w:r>
      <w:r>
        <w:fldChar w:fldCharType="end"/>
      </w:r>
      <w:r>
        <w:rPr>
          <w:rStyle w:val="ECHRPara"/>
        </w:rPr>
        <w:t>.  Правителството твърди, че жалбата е недопустима поради неуспех на жалбоподателите да изчерпят вътрешн</w:t>
      </w:r>
      <w:r w:rsidR="003B20DA">
        <w:rPr>
          <w:rStyle w:val="ECHRPara"/>
        </w:rPr>
        <w:t>о</w:t>
      </w:r>
      <w:r>
        <w:rPr>
          <w:rStyle w:val="ECHRPara"/>
        </w:rPr>
        <w:t>правни</w:t>
      </w:r>
      <w:r w:rsidR="003B20DA">
        <w:rPr>
          <w:rStyle w:val="ECHRPara"/>
        </w:rPr>
        <w:t>те</w:t>
      </w:r>
      <w:r>
        <w:rPr>
          <w:rStyle w:val="ECHRPara"/>
        </w:rPr>
        <w:t xml:space="preserve"> средства за защита. То посочва на първо място, че жалбоподателите не </w:t>
      </w:r>
      <w:r w:rsidR="00CD44B8">
        <w:rPr>
          <w:rStyle w:val="ECHRPara"/>
        </w:rPr>
        <w:t xml:space="preserve">са поискали </w:t>
      </w:r>
      <w:r>
        <w:rPr>
          <w:rStyle w:val="ECHRPara"/>
        </w:rPr>
        <w:t xml:space="preserve">отмяна на решението за отчуждаване, както са могли да направят в съответствие с чл. 39, ал. 3 от Закона за държавната собственост. На второ място, </w:t>
      </w:r>
      <w:r w:rsidR="00CD44B8">
        <w:rPr>
          <w:rStyle w:val="ECHRPara"/>
        </w:rPr>
        <w:t xml:space="preserve">жалбоподателите не са поискали </w:t>
      </w:r>
      <w:r>
        <w:rPr>
          <w:rStyle w:val="ECHRPara"/>
        </w:rPr>
        <w:t>налагането на глоби на публичния орган, който не е изпълнил окончателното решение в тяхна полза</w:t>
      </w:r>
      <w:r w:rsidR="00CD44B8">
        <w:rPr>
          <w:rStyle w:val="ECHRPara"/>
        </w:rPr>
        <w:t>, както са могли да направят съгласно чл. 290 от Административнопроцесуалния кодекс</w:t>
      </w:r>
      <w:r>
        <w:rPr>
          <w:rStyle w:val="ECHRPara"/>
        </w:rPr>
        <w:t xml:space="preserve">. </w:t>
      </w:r>
      <w:r w:rsidR="006E3DE2">
        <w:rPr>
          <w:rStyle w:val="ECHRPara"/>
        </w:rPr>
        <w:t xml:space="preserve">На </w:t>
      </w:r>
      <w:r>
        <w:rPr>
          <w:rStyle w:val="ECHRPara"/>
        </w:rPr>
        <w:t xml:space="preserve">последно място, жалбоподателите не </w:t>
      </w:r>
      <w:r w:rsidR="006E3DE2">
        <w:rPr>
          <w:rStyle w:val="ECHRPara"/>
        </w:rPr>
        <w:t xml:space="preserve">са </w:t>
      </w:r>
      <w:r>
        <w:rPr>
          <w:rStyle w:val="ECHRPara"/>
        </w:rPr>
        <w:t>предяв</w:t>
      </w:r>
      <w:r w:rsidR="006E3DE2">
        <w:rPr>
          <w:rStyle w:val="ECHRPara"/>
        </w:rPr>
        <w:t>или</w:t>
      </w:r>
      <w:r>
        <w:rPr>
          <w:rStyle w:val="ECHRPara"/>
        </w:rPr>
        <w:t xml:space="preserve"> иск за обезщетение за вреди по ЗОДОВ.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20</w:t>
      </w:r>
      <w:r>
        <w:fldChar w:fldCharType="end"/>
      </w:r>
      <w:r>
        <w:rPr>
          <w:rStyle w:val="ECHRPara"/>
        </w:rPr>
        <w:t>.  Жалбоподателите твърдят, че са опит</w:t>
      </w:r>
      <w:r w:rsidR="00573246">
        <w:rPr>
          <w:rStyle w:val="ECHRPara"/>
        </w:rPr>
        <w:t>али</w:t>
      </w:r>
      <w:r>
        <w:rPr>
          <w:rStyle w:val="ECHRPara"/>
        </w:rPr>
        <w:t xml:space="preserve"> правните път</w:t>
      </w:r>
      <w:r w:rsidR="00573246">
        <w:rPr>
          <w:rStyle w:val="ECHRPara"/>
        </w:rPr>
        <w:t>еки</w:t>
      </w:r>
      <w:r>
        <w:rPr>
          <w:rStyle w:val="ECHRPara"/>
        </w:rPr>
        <w:t>, предложени от Правителството,</w:t>
      </w:r>
      <w:r w:rsidR="00573246">
        <w:rPr>
          <w:rStyle w:val="ECHRPara"/>
        </w:rPr>
        <w:t xml:space="preserve"> без успех,</w:t>
      </w:r>
      <w:r>
        <w:rPr>
          <w:rStyle w:val="ECHRPara"/>
        </w:rPr>
        <w:t xml:space="preserve"> и въпреки това парите, дължими им от държавата, са </w:t>
      </w:r>
      <w:r w:rsidR="00573246">
        <w:rPr>
          <w:rStyle w:val="ECHRPara"/>
        </w:rPr>
        <w:t xml:space="preserve">били </w:t>
      </w:r>
      <w:r>
        <w:rPr>
          <w:rStyle w:val="ECHRPara"/>
        </w:rPr>
        <w:t xml:space="preserve">изплатени </w:t>
      </w:r>
      <w:r w:rsidR="00573246">
        <w:rPr>
          <w:rStyle w:val="ECHRPara"/>
        </w:rPr>
        <w:t xml:space="preserve">едва </w:t>
      </w:r>
      <w:r>
        <w:rPr>
          <w:rStyle w:val="ECHRPara"/>
        </w:rPr>
        <w:t>със закъснение от около три години и три месеца.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21</w:t>
      </w:r>
      <w:r>
        <w:fldChar w:fldCharType="end"/>
      </w:r>
      <w:r>
        <w:rPr>
          <w:rStyle w:val="ECHRPara"/>
        </w:rPr>
        <w:t xml:space="preserve">.  Съдът на първо място отбелязва, че оплакването на жалбоподателите в настоящия случай </w:t>
      </w:r>
      <w:r w:rsidR="00B74E8A">
        <w:rPr>
          <w:rStyle w:val="ECHRPara"/>
        </w:rPr>
        <w:t xml:space="preserve">касае неуспеха на </w:t>
      </w:r>
      <w:r>
        <w:rPr>
          <w:rStyle w:val="ECHRPara"/>
        </w:rPr>
        <w:t xml:space="preserve">властите </w:t>
      </w:r>
      <w:r w:rsidR="00B74E8A">
        <w:rPr>
          <w:rStyle w:val="ECHRPara"/>
        </w:rPr>
        <w:t xml:space="preserve">да </w:t>
      </w:r>
      <w:r>
        <w:rPr>
          <w:rStyle w:val="ECHRPara"/>
        </w:rPr>
        <w:t>изпълн</w:t>
      </w:r>
      <w:r w:rsidR="003B20DA">
        <w:rPr>
          <w:rStyle w:val="ECHRPara"/>
        </w:rPr>
        <w:t>я</w:t>
      </w:r>
      <w:r w:rsidR="00B74E8A">
        <w:rPr>
          <w:rStyle w:val="ECHRPara"/>
        </w:rPr>
        <w:t>т</w:t>
      </w:r>
      <w:r>
        <w:rPr>
          <w:rStyle w:val="ECHRPara"/>
        </w:rPr>
        <w:t xml:space="preserve"> окончателно съдебно решение, с което публичен орган </w:t>
      </w:r>
      <w:r w:rsidR="003B20DA">
        <w:rPr>
          <w:rStyle w:val="ECHRPara"/>
        </w:rPr>
        <w:t xml:space="preserve">е осъден </w:t>
      </w:r>
      <w:r>
        <w:rPr>
          <w:rStyle w:val="ECHRPara"/>
        </w:rPr>
        <w:t xml:space="preserve">да им </w:t>
      </w:r>
      <w:r w:rsidR="00B74E8A">
        <w:rPr>
          <w:rStyle w:val="ECHRPara"/>
        </w:rPr>
        <w:t>за</w:t>
      </w:r>
      <w:r>
        <w:rPr>
          <w:rStyle w:val="ECHRPara"/>
        </w:rPr>
        <w:t xml:space="preserve">плати парична сума. </w:t>
      </w:r>
      <w:r w:rsidR="00B74E8A">
        <w:rPr>
          <w:rStyle w:val="ECHRPara"/>
        </w:rPr>
        <w:t xml:space="preserve">В съответствие, той смята, че </w:t>
      </w:r>
      <w:r>
        <w:rPr>
          <w:rStyle w:val="ECHRPara"/>
        </w:rPr>
        <w:t xml:space="preserve">искането за отмяна на решението за отчуждаване не е средство за защита </w:t>
      </w:r>
      <w:r w:rsidR="00B74E8A">
        <w:rPr>
          <w:rStyle w:val="ECHRPara"/>
        </w:rPr>
        <w:t xml:space="preserve">по отношение на тяхното </w:t>
      </w:r>
      <w:r>
        <w:rPr>
          <w:rStyle w:val="ECHRPara"/>
        </w:rPr>
        <w:t>оплакване</w:t>
      </w:r>
      <w:r w:rsidR="00B74E8A">
        <w:rPr>
          <w:rStyle w:val="ECHRPara"/>
        </w:rPr>
        <w:t>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22</w:t>
      </w:r>
      <w:r>
        <w:fldChar w:fldCharType="end"/>
      </w:r>
      <w:r>
        <w:rPr>
          <w:rStyle w:val="ECHRPara"/>
        </w:rPr>
        <w:t>.  На второ място</w:t>
      </w:r>
      <w:r w:rsidR="007040BB">
        <w:rPr>
          <w:rStyle w:val="ECHRPara"/>
        </w:rPr>
        <w:t>,</w:t>
      </w:r>
      <w:r>
        <w:rPr>
          <w:rStyle w:val="ECHRPara"/>
        </w:rPr>
        <w:t xml:space="preserve"> Съдът отбелязва, че според </w:t>
      </w:r>
      <w:r w:rsidR="003B20DA">
        <w:rPr>
          <w:rStyle w:val="ECHRPara"/>
        </w:rPr>
        <w:t>националното законодателство</w:t>
      </w:r>
      <w:r>
        <w:rPr>
          <w:rStyle w:val="ECHRPara"/>
        </w:rPr>
        <w:t xml:space="preserve">, за разлика от случаите, когато публичен орган дължи изпълнението на незаместимо действие въз основа на окончателно </w:t>
      </w:r>
      <w:r w:rsidR="007040BB">
        <w:rPr>
          <w:rStyle w:val="ECHRPara"/>
        </w:rPr>
        <w:t xml:space="preserve">съдебно </w:t>
      </w:r>
      <w:r>
        <w:rPr>
          <w:rStyle w:val="ECHRPara"/>
        </w:rPr>
        <w:t xml:space="preserve">решение, </w:t>
      </w:r>
      <w:r w:rsidR="007040BB">
        <w:rPr>
          <w:rStyle w:val="ECHRPara"/>
        </w:rPr>
        <w:t xml:space="preserve">не съществува </w:t>
      </w:r>
      <w:r>
        <w:rPr>
          <w:rStyle w:val="ECHRPara"/>
        </w:rPr>
        <w:t xml:space="preserve">механизъм за изпълнение на паричните вземания срещу държавни органи (вж. параграфи 16 и 17 по-горе). Такива вземания се изплащат от средствата, отпуснати за тази цел в бюджетите на държавните органи след представяне на изпълнителен лист на финансовия отдел на въпросния орган. Следователно Съдът </w:t>
      </w:r>
      <w:r w:rsidR="007040BB">
        <w:rPr>
          <w:rStyle w:val="ECHRPara"/>
        </w:rPr>
        <w:t>отбелязва</w:t>
      </w:r>
      <w:r>
        <w:rPr>
          <w:rStyle w:val="ECHRPara"/>
        </w:rPr>
        <w:t xml:space="preserve">, че не се </w:t>
      </w:r>
      <w:r w:rsidR="007040BB">
        <w:rPr>
          <w:rStyle w:val="ECHRPara"/>
        </w:rPr>
        <w:t xml:space="preserve">е </w:t>
      </w:r>
      <w:r>
        <w:rPr>
          <w:rStyle w:val="ECHRPara"/>
        </w:rPr>
        <w:t>очаква</w:t>
      </w:r>
      <w:r w:rsidR="007040BB">
        <w:rPr>
          <w:rStyle w:val="ECHRPara"/>
        </w:rPr>
        <w:t>ло</w:t>
      </w:r>
      <w:r>
        <w:rPr>
          <w:rStyle w:val="ECHRPara"/>
        </w:rPr>
        <w:t xml:space="preserve"> </w:t>
      </w:r>
      <w:r w:rsidR="007040BB">
        <w:rPr>
          <w:rStyle w:val="ECHRPara"/>
        </w:rPr>
        <w:t xml:space="preserve">от жалбоподателите </w:t>
      </w:r>
      <w:r>
        <w:rPr>
          <w:rStyle w:val="ECHRPara"/>
        </w:rPr>
        <w:t>да опитат да предявят иск по АПК от 2006 г.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23</w:t>
      </w:r>
      <w:r>
        <w:fldChar w:fldCharType="end"/>
      </w:r>
      <w:r>
        <w:rPr>
          <w:rStyle w:val="ECHRPara"/>
        </w:rPr>
        <w:t xml:space="preserve">.  Що се отнася до последното възражение на Правителството </w:t>
      </w:r>
      <w:r w:rsidR="009D60A9">
        <w:rPr>
          <w:rStyle w:val="ECHRPara"/>
        </w:rPr>
        <w:t xml:space="preserve">относно </w:t>
      </w:r>
      <w:r>
        <w:rPr>
          <w:rStyle w:val="ECHRPara"/>
        </w:rPr>
        <w:t>неизчерпване</w:t>
      </w:r>
      <w:r w:rsidR="009D60A9">
        <w:rPr>
          <w:rStyle w:val="ECHRPara"/>
        </w:rPr>
        <w:t xml:space="preserve"> на средствата за защита</w:t>
      </w:r>
      <w:r>
        <w:rPr>
          <w:rStyle w:val="ECHRPara"/>
        </w:rPr>
        <w:t xml:space="preserve">, а именно непредявяването от страна на жалбоподателите на иск за обезщетение по ЗОДОВ, Съдът </w:t>
      </w:r>
      <w:r w:rsidR="009D60A9">
        <w:rPr>
          <w:rStyle w:val="ECHRPara"/>
        </w:rPr>
        <w:t>счита</w:t>
      </w:r>
      <w:r>
        <w:rPr>
          <w:rStyle w:val="ECHRPara"/>
        </w:rPr>
        <w:t xml:space="preserve">, че Правителството не е представило примери </w:t>
      </w:r>
      <w:r w:rsidR="009D60A9">
        <w:rPr>
          <w:rStyle w:val="ECHRPara"/>
        </w:rPr>
        <w:t xml:space="preserve">от </w:t>
      </w:r>
      <w:r w:rsidR="003B20DA">
        <w:rPr>
          <w:rStyle w:val="ECHRPara"/>
        </w:rPr>
        <w:t>национална</w:t>
      </w:r>
      <w:r w:rsidR="009D60A9">
        <w:rPr>
          <w:rStyle w:val="ECHRPara"/>
        </w:rPr>
        <w:t>та</w:t>
      </w:r>
      <w:r w:rsidR="003B20DA">
        <w:rPr>
          <w:rStyle w:val="ECHRPara"/>
        </w:rPr>
        <w:t xml:space="preserve"> </w:t>
      </w:r>
      <w:r>
        <w:rPr>
          <w:rStyle w:val="ECHRPara"/>
        </w:rPr>
        <w:t xml:space="preserve">съдебна практика, които да доказват, че подобен иск е ефективно </w:t>
      </w:r>
      <w:r w:rsidR="009D60A9">
        <w:rPr>
          <w:rStyle w:val="ECHRPara"/>
        </w:rPr>
        <w:t xml:space="preserve">на практика </w:t>
      </w:r>
      <w:r>
        <w:rPr>
          <w:rStyle w:val="ECHRPara"/>
        </w:rPr>
        <w:t xml:space="preserve">правно средство за защита в случаи на неизпълнение на парични вземания срещу публичен орган (вж., </w:t>
      </w:r>
      <w:r>
        <w:rPr>
          <w:rStyle w:val="ECHRPara"/>
          <w:i/>
        </w:rPr>
        <w:t>mutatis mutandis</w:t>
      </w:r>
      <w:r>
        <w:rPr>
          <w:rStyle w:val="ECHRPara"/>
        </w:rPr>
        <w:t xml:space="preserve">, </w:t>
      </w:r>
      <w:r>
        <w:rPr>
          <w:rStyle w:val="ECHRPara"/>
          <w:i/>
        </w:rPr>
        <w:t>Димитър Янакиев срещу България (</w:t>
      </w:r>
      <w:r>
        <w:rPr>
          <w:rStyle w:val="ECHRPara"/>
          <w:i/>
          <w:cs/>
        </w:rPr>
        <w:t xml:space="preserve">№ </w:t>
      </w:r>
      <w:r>
        <w:rPr>
          <w:rStyle w:val="ECHRPara"/>
          <w:i/>
        </w:rPr>
        <w:t>2)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>50346/07, § 63, 31 март 2016 г.).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24</w:t>
      </w:r>
      <w:r>
        <w:fldChar w:fldCharType="end"/>
      </w:r>
      <w:r>
        <w:rPr>
          <w:rStyle w:val="ECHRPara"/>
        </w:rPr>
        <w:t>.  Поради това Съдът отхвърля възражението на Правителството за неизчерпване</w:t>
      </w:r>
      <w:r w:rsidR="00674319">
        <w:rPr>
          <w:rStyle w:val="ECHRPara"/>
        </w:rPr>
        <w:t xml:space="preserve"> на националните средства за защита</w:t>
      </w:r>
      <w:r>
        <w:rPr>
          <w:rStyle w:val="ECHRPara"/>
        </w:rPr>
        <w:t xml:space="preserve">. </w:t>
      </w:r>
      <w:r w:rsidR="00674319">
        <w:rPr>
          <w:rStyle w:val="ECHRPara"/>
        </w:rPr>
        <w:t xml:space="preserve">Също така, Съдът отбелязва, </w:t>
      </w:r>
      <w:r>
        <w:rPr>
          <w:rStyle w:val="ECHRPara"/>
        </w:rPr>
        <w:t xml:space="preserve">че </w:t>
      </w:r>
      <w:r w:rsidR="00674319">
        <w:rPr>
          <w:rStyle w:val="ECHRPara"/>
        </w:rPr>
        <w:t xml:space="preserve">настоящото </w:t>
      </w:r>
      <w:r>
        <w:rPr>
          <w:rStyle w:val="ECHRPara"/>
        </w:rPr>
        <w:t xml:space="preserve">оплакване не е явно необосновано по смисъла на чл. 35 § 3(а) от Конвенцията. Той </w:t>
      </w:r>
      <w:r w:rsidR="00674319">
        <w:rPr>
          <w:rStyle w:val="ECHRPara"/>
        </w:rPr>
        <w:t xml:space="preserve">посочва </w:t>
      </w:r>
      <w:r>
        <w:rPr>
          <w:rStyle w:val="ECHRPara"/>
        </w:rPr>
        <w:t xml:space="preserve">още, че </w:t>
      </w:r>
      <w:r w:rsidR="00674319">
        <w:rPr>
          <w:rStyle w:val="ECHRPara"/>
        </w:rPr>
        <w:t>същото</w:t>
      </w:r>
      <w:r>
        <w:rPr>
          <w:rStyle w:val="ECHRPara"/>
        </w:rPr>
        <w:t xml:space="preserve"> не е недопустимо на </w:t>
      </w:r>
      <w:r w:rsidR="00674319">
        <w:rPr>
          <w:rStyle w:val="ECHRPara"/>
        </w:rPr>
        <w:t xml:space="preserve">никакви </w:t>
      </w:r>
      <w:r>
        <w:rPr>
          <w:rStyle w:val="ECHRPara"/>
        </w:rPr>
        <w:t xml:space="preserve">други основания. Следователно то </w:t>
      </w:r>
      <w:r w:rsidR="00674319">
        <w:rPr>
          <w:rStyle w:val="ECHRPara"/>
        </w:rPr>
        <w:t xml:space="preserve">следва да бъде обявено за </w:t>
      </w:r>
      <w:r>
        <w:rPr>
          <w:rStyle w:val="ECHRPara"/>
        </w:rPr>
        <w:t>допустимо.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 xml:space="preserve">Б. </w:t>
      </w:r>
      <w:r w:rsidR="00BB5320">
        <w:rPr>
          <w:rStyle w:val="ECHRHeading2"/>
        </w:rPr>
        <w:t>По същество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25</w:t>
      </w:r>
      <w:r>
        <w:fldChar w:fldCharType="end"/>
      </w:r>
      <w:r>
        <w:rPr>
          <w:rStyle w:val="ECHRPara"/>
        </w:rPr>
        <w:t xml:space="preserve">.  Жалбоподателите </w:t>
      </w:r>
      <w:r w:rsidR="00195B58">
        <w:rPr>
          <w:rStyle w:val="ECHRPara"/>
        </w:rPr>
        <w:t xml:space="preserve">повтарят </w:t>
      </w:r>
      <w:r w:rsidR="002842A4">
        <w:rPr>
          <w:rStyle w:val="ECHRPara"/>
        </w:rPr>
        <w:t xml:space="preserve">горепосоченото си </w:t>
      </w:r>
      <w:r>
        <w:rPr>
          <w:rStyle w:val="ECHRPara"/>
        </w:rPr>
        <w:t>оплакване</w:t>
      </w:r>
      <w:r w:rsidR="002842A4">
        <w:rPr>
          <w:rStyle w:val="ECHRPara"/>
        </w:rPr>
        <w:t>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26</w:t>
      </w:r>
      <w:r>
        <w:fldChar w:fldCharType="end"/>
      </w:r>
      <w:r>
        <w:rPr>
          <w:rStyle w:val="ECHRPara"/>
        </w:rPr>
        <w:t xml:space="preserve">.  Правителството посочва, че задължението е </w:t>
      </w:r>
      <w:r w:rsidR="006A23B0">
        <w:rPr>
          <w:rStyle w:val="ECHRPara"/>
        </w:rPr>
        <w:t>за</w:t>
      </w:r>
      <w:r>
        <w:rPr>
          <w:rStyle w:val="ECHRPara"/>
        </w:rPr>
        <w:t>платено и по този начин окончателното решение в полза на жалбоподателите е изпълнено. Следователно не е налице нарушение на Конвенцията.</w:t>
      </w:r>
    </w:p>
    <w:p w:rsidR="00003CA0" w:rsidRPr="00AE5FF5" w:rsidRDefault="00003CA0" w:rsidP="00003CA0">
      <w:pPr>
        <w:pStyle w:val="ECHRPara"/>
        <w:rPr>
          <w:rFonts w:eastAsia="MS Gothic"/>
        </w:rPr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27</w:t>
      </w:r>
      <w:r>
        <w:fldChar w:fldCharType="end"/>
      </w:r>
      <w:r>
        <w:rPr>
          <w:rStyle w:val="ECHRPara"/>
        </w:rPr>
        <w:t xml:space="preserve">.  Съгласно </w:t>
      </w:r>
      <w:r w:rsidR="00101E45">
        <w:rPr>
          <w:rStyle w:val="ECHRPara"/>
        </w:rPr>
        <w:t xml:space="preserve">утвърдената </w:t>
      </w:r>
      <w:r>
        <w:rPr>
          <w:rStyle w:val="ECHRPara"/>
        </w:rPr>
        <w:t xml:space="preserve">практика на Съда, изпълнението на окончателно решение, постановено от който и да е съд, трябва да се разглежда като неразделна част от </w:t>
      </w:r>
      <w:r>
        <w:rPr>
          <w:rStyle w:val="ECHRPara"/>
          <w:cs/>
        </w:rPr>
        <w:t>“</w:t>
      </w:r>
      <w:r>
        <w:rPr>
          <w:rStyle w:val="ECHRPara"/>
        </w:rPr>
        <w:t>процеса</w:t>
      </w:r>
      <w:r>
        <w:rPr>
          <w:rStyle w:val="ECHRPara"/>
          <w:cs/>
        </w:rPr>
        <w:t xml:space="preserve">” </w:t>
      </w:r>
      <w:r>
        <w:rPr>
          <w:rStyle w:val="ECHRPara"/>
        </w:rPr>
        <w:t>по смисъла на чл. 6 от Конвенцията, и необосновано голямо забавяне в изпълнението на решение</w:t>
      </w:r>
      <w:r w:rsidR="00101E45">
        <w:rPr>
          <w:rStyle w:val="ECHRPara"/>
        </w:rPr>
        <w:t xml:space="preserve"> със задължителна сила</w:t>
      </w:r>
      <w:r>
        <w:rPr>
          <w:rStyle w:val="ECHRPara"/>
        </w:rPr>
        <w:t xml:space="preserve"> може да наруши Конвенцията (вж., наред с много други решения, </w:t>
      </w:r>
      <w:r>
        <w:rPr>
          <w:rStyle w:val="ECHRPara"/>
          <w:i/>
        </w:rPr>
        <w:t>Burdov v. Russia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59498/00, § 34, ЕСПЧ 2002III; </w:t>
      </w:r>
      <w:r>
        <w:rPr>
          <w:rStyle w:val="ECHRPara"/>
          <w:i/>
        </w:rPr>
        <w:t>Манчева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39609/98, § 54, 30 септември 2004 г.; </w:t>
      </w:r>
      <w:proofErr w:type="spellStart"/>
      <w:r>
        <w:rPr>
          <w:rStyle w:val="ECHRPara"/>
          <w:i/>
        </w:rPr>
        <w:t>Yuriy</w:t>
      </w:r>
      <w:proofErr w:type="spellEnd"/>
      <w:r>
        <w:rPr>
          <w:rStyle w:val="ECHRPara"/>
          <w:i/>
        </w:rPr>
        <w:t xml:space="preserve"> Nikolayevich Ivanov v. Ukraine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40450/04, § 51, 15 октомври 2009 г.). По същия начин невъзможността на даден жалбоподател да получи своевременно изпълнение на решение в негова полза представлява намеса в правото на мирно ползване на притежанията, както е посочено в чл. 1, първи параграф, първо изречение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(вж. </w:t>
      </w:r>
      <w:r>
        <w:rPr>
          <w:rStyle w:val="ECHRPara"/>
          <w:i/>
        </w:rPr>
        <w:t>Yuriy Nikolayevich Ivanov</w:t>
      </w:r>
      <w:r>
        <w:rPr>
          <w:rStyle w:val="ECHRPara"/>
        </w:rPr>
        <w:t>, цитирано по-горе, § 52).</w:t>
      </w:r>
    </w:p>
    <w:p w:rsidR="00003CA0" w:rsidRPr="000C3553" w:rsidRDefault="00003CA0" w:rsidP="00003CA0">
      <w:pPr>
        <w:pStyle w:val="ECHRPara"/>
      </w:pPr>
      <w:r>
        <w:rPr>
          <w:rStyle w:val="ECHRPara"/>
        </w:rPr>
        <w:fldChar w:fldCharType="begin"/>
      </w:r>
      <w:r>
        <w:rPr>
          <w:rStyle w:val="ECHRPara"/>
        </w:rPr>
        <w:instrText xml:space="preserve"> SEQ level0 \*arabic </w:instrText>
      </w:r>
      <w:r>
        <w:rPr>
          <w:rStyle w:val="ECHRPara"/>
        </w:rPr>
        <w:fldChar w:fldCharType="separate"/>
      </w:r>
      <w:r>
        <w:rPr>
          <w:rStyle w:val="ECHRPara"/>
        </w:rPr>
        <w:t>28</w:t>
      </w:r>
      <w:r>
        <w:rPr>
          <w:rStyle w:val="ECHRPara"/>
        </w:rPr>
        <w:fldChar w:fldCharType="end"/>
      </w:r>
      <w:r>
        <w:rPr>
          <w:rStyle w:val="ECHRPara"/>
        </w:rPr>
        <w:t xml:space="preserve">.  Съдът освен това обръща внимание, че окончателното решение в полза на жалбоподателите вече е изпълнено (вж. параграф 12 по-горе). Въпреки това Съдът вече е приел, че решение или мярка, </w:t>
      </w:r>
      <w:r w:rsidR="00101E45">
        <w:rPr>
          <w:rStyle w:val="ECHRPara"/>
        </w:rPr>
        <w:t xml:space="preserve">които са </w:t>
      </w:r>
      <w:r>
        <w:rPr>
          <w:rStyle w:val="ECHRPara"/>
        </w:rPr>
        <w:t>благоприятни за жалбоподател</w:t>
      </w:r>
      <w:r w:rsidR="00101E45">
        <w:rPr>
          <w:rStyle w:val="ECHRPara"/>
        </w:rPr>
        <w:t>я</w:t>
      </w:r>
      <w:r>
        <w:rPr>
          <w:rStyle w:val="ECHRPara"/>
        </w:rPr>
        <w:t xml:space="preserve">, по принцип не са достатъчни, за да го лишат от статута на </w:t>
      </w:r>
      <w:r>
        <w:rPr>
          <w:rStyle w:val="ECHRPara"/>
          <w:cs/>
        </w:rPr>
        <w:t>“</w:t>
      </w:r>
      <w:r>
        <w:rPr>
          <w:rStyle w:val="ECHRPara"/>
        </w:rPr>
        <w:t>жертва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по смисъла на чл. 34 от Конвенцията, освен ако националните власти не са признали изрично или по същество нарушението на Конвенцията и след това са предоставили обезщетение за него (вж. </w:t>
      </w:r>
      <w:r>
        <w:rPr>
          <w:rStyle w:val="ECHRPara"/>
          <w:i/>
        </w:rPr>
        <w:t>Kuzminskiy v. Russia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40081/03, § 14, 11 ноември 2008 г., и </w:t>
      </w:r>
      <w:r>
        <w:rPr>
          <w:rStyle w:val="ECHRPara"/>
          <w:i/>
        </w:rPr>
        <w:t>Kurić and Others v. Slovenia</w:t>
      </w:r>
      <w:r>
        <w:rPr>
          <w:rStyle w:val="ECHRPara"/>
        </w:rPr>
        <w:t xml:space="preserve"> [GC],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26828/06, § 259 с допълнителни препратки, ЕСПЧ 2012 г. (откъси)). Освен </w:t>
      </w:r>
      <w:r w:rsidR="00101E45">
        <w:rPr>
          <w:rStyle w:val="ECHRPara"/>
        </w:rPr>
        <w:t xml:space="preserve">заплащането на </w:t>
      </w:r>
      <w:r>
        <w:rPr>
          <w:rStyle w:val="ECHRPara"/>
        </w:rPr>
        <w:t xml:space="preserve">дължимата на жалбоподателите сума въз основа на окончателното </w:t>
      </w:r>
      <w:r w:rsidR="00101E45">
        <w:rPr>
          <w:rStyle w:val="ECHRPara"/>
        </w:rPr>
        <w:t xml:space="preserve">съдебно </w:t>
      </w:r>
      <w:r>
        <w:rPr>
          <w:rStyle w:val="ECHRPara"/>
        </w:rPr>
        <w:t xml:space="preserve">решение, властите нито </w:t>
      </w:r>
      <w:r w:rsidR="00101E45">
        <w:rPr>
          <w:rStyle w:val="ECHRPara"/>
        </w:rPr>
        <w:t xml:space="preserve">са </w:t>
      </w:r>
      <w:r>
        <w:rPr>
          <w:rStyle w:val="ECHRPara"/>
        </w:rPr>
        <w:t>призна</w:t>
      </w:r>
      <w:r w:rsidR="00101E45">
        <w:rPr>
          <w:rStyle w:val="ECHRPara"/>
        </w:rPr>
        <w:t>ли</w:t>
      </w:r>
      <w:r>
        <w:rPr>
          <w:rStyle w:val="ECHRPara"/>
        </w:rPr>
        <w:t xml:space="preserve"> нарушение</w:t>
      </w:r>
      <w:r w:rsidR="00101E45">
        <w:rPr>
          <w:rStyle w:val="ECHRPara"/>
        </w:rPr>
        <w:t>то</w:t>
      </w:r>
      <w:r>
        <w:rPr>
          <w:rStyle w:val="ECHRPara"/>
        </w:rPr>
        <w:t xml:space="preserve"> на правата на жалбоподателите, нито </w:t>
      </w:r>
      <w:r w:rsidR="00101E45">
        <w:rPr>
          <w:rStyle w:val="ECHRPara"/>
        </w:rPr>
        <w:t xml:space="preserve">са </w:t>
      </w:r>
      <w:r>
        <w:rPr>
          <w:rStyle w:val="ECHRPara"/>
        </w:rPr>
        <w:t>предостав</w:t>
      </w:r>
      <w:r w:rsidR="00101E45">
        <w:rPr>
          <w:rStyle w:val="ECHRPara"/>
        </w:rPr>
        <w:t>или</w:t>
      </w:r>
      <w:r>
        <w:rPr>
          <w:rStyle w:val="ECHRPara"/>
        </w:rPr>
        <w:t xml:space="preserve"> обезщетение за </w:t>
      </w:r>
      <w:r w:rsidR="00EB7207">
        <w:rPr>
          <w:rStyle w:val="ECHRPara"/>
        </w:rPr>
        <w:t xml:space="preserve">състоялото се над тригодишно </w:t>
      </w:r>
      <w:r>
        <w:rPr>
          <w:rStyle w:val="ECHRPara"/>
        </w:rPr>
        <w:t>забав</w:t>
      </w:r>
      <w:r w:rsidR="00101E45">
        <w:rPr>
          <w:rStyle w:val="ECHRPara"/>
        </w:rPr>
        <w:t>яне</w:t>
      </w:r>
      <w:r w:rsidR="00101E45" w:rsidDel="00101E45">
        <w:rPr>
          <w:rStyle w:val="ECHRPara"/>
        </w:rPr>
        <w:t xml:space="preserve"> </w:t>
      </w:r>
      <w:r>
        <w:rPr>
          <w:rStyle w:val="ECHRPara"/>
        </w:rPr>
        <w:t xml:space="preserve">на </w:t>
      </w:r>
      <w:r w:rsidR="00101E45">
        <w:rPr>
          <w:rStyle w:val="ECHRPara"/>
        </w:rPr>
        <w:t xml:space="preserve">съответното </w:t>
      </w:r>
      <w:r>
        <w:rPr>
          <w:rStyle w:val="ECHRPara"/>
        </w:rPr>
        <w:t xml:space="preserve">плащане. Съдът вече е установил, включително </w:t>
      </w:r>
      <w:r w:rsidR="006A5D99">
        <w:rPr>
          <w:rStyle w:val="ECHRPara"/>
        </w:rPr>
        <w:t xml:space="preserve">и </w:t>
      </w:r>
      <w:r>
        <w:rPr>
          <w:rStyle w:val="ECHRPara"/>
        </w:rPr>
        <w:t xml:space="preserve">в контекста на български дела </w:t>
      </w:r>
      <w:r w:rsidR="00E15806">
        <w:rPr>
          <w:rStyle w:val="ECHRPara"/>
        </w:rPr>
        <w:t xml:space="preserve">поставени </w:t>
      </w:r>
      <w:r>
        <w:rPr>
          <w:rStyle w:val="ECHRPara"/>
        </w:rPr>
        <w:t>пред него, че продължител</w:t>
      </w:r>
      <w:r w:rsidR="00E15806">
        <w:rPr>
          <w:rStyle w:val="ECHRPara"/>
        </w:rPr>
        <w:t xml:space="preserve">ният неуспех </w:t>
      </w:r>
      <w:r>
        <w:rPr>
          <w:rStyle w:val="ECHRPara"/>
        </w:rPr>
        <w:t xml:space="preserve">от страна на държавните органи </w:t>
      </w:r>
      <w:r w:rsidR="00E15806">
        <w:rPr>
          <w:rStyle w:val="ECHRPara"/>
        </w:rPr>
        <w:t xml:space="preserve">да изпълнят </w:t>
      </w:r>
      <w:r>
        <w:rPr>
          <w:rStyle w:val="ECHRPara"/>
        </w:rPr>
        <w:t xml:space="preserve">окончателно съдебно решение, съгласно което те дължат </w:t>
      </w:r>
      <w:r w:rsidR="003A2D4E">
        <w:rPr>
          <w:rStyle w:val="ECHRPara"/>
        </w:rPr>
        <w:t>из</w:t>
      </w:r>
      <w:r>
        <w:rPr>
          <w:rStyle w:val="ECHRPara"/>
        </w:rPr>
        <w:t>плащане</w:t>
      </w:r>
      <w:r w:rsidR="003A2D4E">
        <w:rPr>
          <w:rStyle w:val="ECHRPara"/>
        </w:rPr>
        <w:t>то</w:t>
      </w:r>
      <w:r>
        <w:rPr>
          <w:rStyle w:val="ECHRPara"/>
        </w:rPr>
        <w:t xml:space="preserve"> на </w:t>
      </w:r>
      <w:r w:rsidR="003A2D4E">
        <w:rPr>
          <w:rStyle w:val="ECHRPara"/>
        </w:rPr>
        <w:t xml:space="preserve">определена </w:t>
      </w:r>
      <w:r>
        <w:rPr>
          <w:rStyle w:val="ECHRPara"/>
        </w:rPr>
        <w:t>паричн</w:t>
      </w:r>
      <w:r w:rsidR="00E15806">
        <w:rPr>
          <w:rStyle w:val="ECHRPara"/>
        </w:rPr>
        <w:t>а</w:t>
      </w:r>
      <w:r>
        <w:rPr>
          <w:rStyle w:val="ECHRPara"/>
        </w:rPr>
        <w:t xml:space="preserve"> сума, </w:t>
      </w:r>
      <w:r w:rsidR="00E15806">
        <w:rPr>
          <w:rStyle w:val="ECHRPara"/>
        </w:rPr>
        <w:t xml:space="preserve">се намира в </w:t>
      </w:r>
      <w:r>
        <w:rPr>
          <w:rStyle w:val="ECHRPara"/>
        </w:rPr>
        <w:t>наруш</w:t>
      </w:r>
      <w:r w:rsidR="00E15806">
        <w:rPr>
          <w:rStyle w:val="ECHRPara"/>
        </w:rPr>
        <w:t xml:space="preserve">ение </w:t>
      </w:r>
      <w:r>
        <w:rPr>
          <w:rStyle w:val="ECHRPara"/>
        </w:rPr>
        <w:t xml:space="preserve">както чл. 6 § 1, така и </w:t>
      </w:r>
      <w:r w:rsidR="00BB3EDC">
        <w:rPr>
          <w:rStyle w:val="ECHRPara"/>
        </w:rPr>
        <w:t xml:space="preserve">на </w:t>
      </w:r>
      <w:r>
        <w:rPr>
          <w:rStyle w:val="ECHRPara"/>
        </w:rPr>
        <w:t xml:space="preserve">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(вж. </w:t>
      </w:r>
      <w:r>
        <w:rPr>
          <w:rStyle w:val="ECHRPara"/>
          <w:i/>
        </w:rPr>
        <w:t>Манчева</w:t>
      </w:r>
      <w:r>
        <w:rPr>
          <w:rStyle w:val="ECHRPara"/>
        </w:rPr>
        <w:t>, цитирано по-горе, §§ 61-62 и §§ 66</w:t>
      </w:r>
      <w:r>
        <w:rPr>
          <w:rStyle w:val="ECHRPara"/>
          <w:cs/>
        </w:rPr>
        <w:t>–</w:t>
      </w:r>
      <w:r>
        <w:rPr>
          <w:rStyle w:val="ECHRPara"/>
        </w:rPr>
        <w:t xml:space="preserve">68; </w:t>
      </w:r>
      <w:r>
        <w:rPr>
          <w:rStyle w:val="ECHRPara"/>
          <w:i/>
        </w:rPr>
        <w:t>Сирманов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>67353/01, §§ 33-34 и §§ 38</w:t>
      </w:r>
      <w:r>
        <w:rPr>
          <w:rStyle w:val="ECHRPara"/>
          <w:cs/>
        </w:rPr>
        <w:t>–</w:t>
      </w:r>
      <w:r>
        <w:rPr>
          <w:rStyle w:val="ECHRPara"/>
        </w:rPr>
        <w:t xml:space="preserve">39, 10 май 2007 г.; и </w:t>
      </w:r>
      <w:r>
        <w:rPr>
          <w:rStyle w:val="ECHRPara"/>
          <w:i/>
        </w:rPr>
        <w:t>Пашов и други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>№</w:t>
      </w:r>
      <w:r>
        <w:rPr>
          <w:rStyle w:val="ECHRPara"/>
        </w:rPr>
        <w:t> 20875/07,  §§ 58</w:t>
      </w:r>
      <w:r>
        <w:rPr>
          <w:rStyle w:val="ECHRPara"/>
          <w:cs/>
        </w:rPr>
        <w:t>–</w:t>
      </w:r>
      <w:r>
        <w:rPr>
          <w:rStyle w:val="ECHRPara"/>
        </w:rPr>
        <w:t xml:space="preserve">63, 5 февруари 2013 г.). </w:t>
      </w:r>
      <w:r w:rsidR="000E52D7">
        <w:rPr>
          <w:rStyle w:val="ECHRPara"/>
        </w:rPr>
        <w:t>Съответно, в настоящия случай</w:t>
      </w:r>
      <w:r w:rsidR="000E52D7" w:rsidDel="000E52D7">
        <w:rPr>
          <w:rStyle w:val="ECHRPara"/>
        </w:rPr>
        <w:t xml:space="preserve"> </w:t>
      </w:r>
      <w:r>
        <w:rPr>
          <w:rStyle w:val="ECHRPara"/>
        </w:rPr>
        <w:t xml:space="preserve">Съдът </w:t>
      </w:r>
      <w:r w:rsidR="00AC3118">
        <w:rPr>
          <w:rStyle w:val="ECHRPara"/>
        </w:rPr>
        <w:t>намира</w:t>
      </w:r>
      <w:r>
        <w:rPr>
          <w:rStyle w:val="ECHRPara"/>
        </w:rPr>
        <w:t xml:space="preserve">, че </w:t>
      </w:r>
      <w:r w:rsidR="004C19DE">
        <w:rPr>
          <w:rStyle w:val="ECHRPara"/>
        </w:rPr>
        <w:t>поради не</w:t>
      </w:r>
      <w:r>
        <w:rPr>
          <w:rStyle w:val="ECHRPara"/>
        </w:rPr>
        <w:t>съобразява</w:t>
      </w:r>
      <w:r w:rsidR="004C19DE">
        <w:rPr>
          <w:rStyle w:val="ECHRPara"/>
        </w:rPr>
        <w:t>нето си</w:t>
      </w:r>
      <w:r>
        <w:rPr>
          <w:rStyle w:val="ECHRPara"/>
        </w:rPr>
        <w:t xml:space="preserve"> в продължение на повече от три години с </w:t>
      </w:r>
      <w:proofErr w:type="spellStart"/>
      <w:r>
        <w:rPr>
          <w:rStyle w:val="ECHRPara"/>
        </w:rPr>
        <w:t>изпълняемо</w:t>
      </w:r>
      <w:r w:rsidR="004C19DE">
        <w:rPr>
          <w:rStyle w:val="ECHRPara"/>
        </w:rPr>
        <w:t>то</w:t>
      </w:r>
      <w:proofErr w:type="spellEnd"/>
      <w:r>
        <w:rPr>
          <w:rStyle w:val="ECHRPara"/>
        </w:rPr>
        <w:t xml:space="preserve"> решение в полза на жалбоподателите, националните власти ги възпрепятстват да получат сума, която те са могли основателно да очакват да получат, и </w:t>
      </w:r>
      <w:r w:rsidR="004C19DE">
        <w:rPr>
          <w:rStyle w:val="ECHRPara"/>
        </w:rPr>
        <w:t xml:space="preserve">по този начин </w:t>
      </w:r>
      <w:r>
        <w:rPr>
          <w:rStyle w:val="ECHRPara"/>
        </w:rPr>
        <w:t>лишават разпоредбата на чл. 6 § 1 от всякакво полезно действие.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29</w:t>
      </w:r>
      <w:r>
        <w:fldChar w:fldCharType="end"/>
      </w:r>
      <w:r>
        <w:rPr>
          <w:rStyle w:val="ECHRPara"/>
        </w:rPr>
        <w:t xml:space="preserve">.  От това следва, че е налице нарушение на чл. 6 § 1 от Конвенцията и на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1.</w:t>
      </w:r>
    </w:p>
    <w:p w:rsidR="00003CA0" w:rsidRPr="000C3553" w:rsidRDefault="00003CA0" w:rsidP="00003CA0">
      <w:pPr>
        <w:pStyle w:val="ECHRHeading1"/>
      </w:pPr>
      <w:r>
        <w:rPr>
          <w:rStyle w:val="ECHRHeading1"/>
        </w:rPr>
        <w:t>II.  ТВЪРДЯНО НАРУШЕНИЕ НА ЧЛ. 13 ОТ КОНВЕНЦИЯТА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30</w:t>
      </w:r>
      <w:r>
        <w:fldChar w:fldCharType="end"/>
      </w:r>
      <w:r>
        <w:rPr>
          <w:rStyle w:val="ECHRPara"/>
        </w:rPr>
        <w:t xml:space="preserve">.  Жалбоподателите се оплакват, че </w:t>
      </w:r>
      <w:r w:rsidR="009A5B30">
        <w:rPr>
          <w:rStyle w:val="ECHRPara"/>
        </w:rPr>
        <w:t xml:space="preserve">не разполагат с </w:t>
      </w:r>
      <w:r>
        <w:rPr>
          <w:rStyle w:val="ECHRPara"/>
        </w:rPr>
        <w:t xml:space="preserve">ефективно правно средство за защита във връзка с оплакването си, в противоречие с чл. 13 от Конвенцията във връзка с чл. 6 § 1 и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 към Конвенцията. Чл. 13 гласи:</w:t>
      </w:r>
    </w:p>
    <w:p w:rsidR="00003CA0" w:rsidRPr="000C3553" w:rsidRDefault="00003CA0" w:rsidP="00003CA0">
      <w:pPr>
        <w:pStyle w:val="ECHRParaQuote"/>
      </w:pPr>
      <w:r>
        <w:rPr>
          <w:rStyle w:val="ECHRParaQuote"/>
        </w:rPr>
        <w:t>"Βсеки,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31</w:t>
      </w:r>
      <w:r>
        <w:fldChar w:fldCharType="end"/>
      </w:r>
      <w:r>
        <w:rPr>
          <w:rStyle w:val="ECHRPara"/>
        </w:rPr>
        <w:t xml:space="preserve">.  Правителството </w:t>
      </w:r>
      <w:r w:rsidR="004855CE">
        <w:rPr>
          <w:rStyle w:val="ECHRPara"/>
        </w:rPr>
        <w:t>посочва</w:t>
      </w:r>
      <w:r>
        <w:rPr>
          <w:rStyle w:val="ECHRPara"/>
        </w:rPr>
        <w:t xml:space="preserve">, че правните </w:t>
      </w:r>
      <w:r w:rsidR="004855CE">
        <w:rPr>
          <w:rStyle w:val="ECHRPara"/>
        </w:rPr>
        <w:t>възможности</w:t>
      </w:r>
      <w:r>
        <w:rPr>
          <w:rStyle w:val="ECHRPara"/>
        </w:rPr>
        <w:t>, посочени в контекста на допустимостта, биха могли да се считат за ефективни вътрешн</w:t>
      </w:r>
      <w:r w:rsidR="00AC3118">
        <w:rPr>
          <w:rStyle w:val="ECHRPara"/>
        </w:rPr>
        <w:t>о</w:t>
      </w:r>
      <w:r>
        <w:rPr>
          <w:rStyle w:val="ECHRPara"/>
        </w:rPr>
        <w:t>правни средства за защита.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32</w:t>
      </w:r>
      <w:r>
        <w:fldChar w:fldCharType="end"/>
      </w:r>
      <w:r>
        <w:rPr>
          <w:rStyle w:val="ECHRPara"/>
        </w:rPr>
        <w:t xml:space="preserve">.  Съдът на първо място отбелязва, че това оплакване е свързано с разгледаното по-горе и </w:t>
      </w:r>
      <w:r w:rsidR="00643E57">
        <w:rPr>
          <w:rStyle w:val="ECHRPara"/>
        </w:rPr>
        <w:t xml:space="preserve">следователно също </w:t>
      </w:r>
      <w:r>
        <w:rPr>
          <w:rStyle w:val="ECHRPara"/>
        </w:rPr>
        <w:t>трябва да бъде обявено за допустимо.</w:t>
      </w:r>
    </w:p>
    <w:p w:rsidR="00003CA0" w:rsidRPr="000C3553" w:rsidRDefault="00003CA0" w:rsidP="00003CA0">
      <w:pPr>
        <w:pStyle w:val="ECHRPara"/>
        <w:rPr>
          <w:i/>
        </w:rPr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33</w:t>
      </w:r>
      <w:r>
        <w:fldChar w:fldCharType="end"/>
      </w:r>
      <w:r>
        <w:rPr>
          <w:rStyle w:val="ECHRPara"/>
        </w:rPr>
        <w:t xml:space="preserve">.  Съдът посочва, че процедурата по общо изпълнение на окончателни съдебни решения не е приложима по отношение на искове срещу държавата и че </w:t>
      </w:r>
      <w:r w:rsidR="00AC3803">
        <w:rPr>
          <w:rStyle w:val="ECHRPara"/>
        </w:rPr>
        <w:t xml:space="preserve">не съществува </w:t>
      </w:r>
      <w:r>
        <w:rPr>
          <w:rStyle w:val="ECHRPara"/>
        </w:rPr>
        <w:t xml:space="preserve">специална процедура, която да ускори изпълнението или да отстрани отрицателните последици от забавеното изпълнение в такива случаи (вж. параграфи 16-17 по-горе). Съдът многократно е приемал, че макар държавите членки да разполагат с широка свобода на преценка при предоставянето на такова средство за защита в съответствие със собствената си правна система и традиции, средство за защита на забавено изпълнение на искове срещу държавата все пак трябва да съществува (вж. </w:t>
      </w:r>
      <w:r>
        <w:rPr>
          <w:rStyle w:val="ECHRPara"/>
          <w:i/>
        </w:rPr>
        <w:t>Scordino v. Italy</w:t>
      </w:r>
      <w:r>
        <w:rPr>
          <w:rStyle w:val="ECHRPara"/>
        </w:rPr>
        <w:t xml:space="preserve"> (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1) [GC],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36813/97, §§ 186187, ЕСПЧ 2006V; </w:t>
      </w:r>
      <w:r>
        <w:rPr>
          <w:rStyle w:val="ECHRPara"/>
          <w:i/>
        </w:rPr>
        <w:t>Burdov v. Russia</w:t>
      </w:r>
      <w:r>
        <w:rPr>
          <w:rStyle w:val="ECHRPara"/>
        </w:rPr>
        <w:t xml:space="preserve"> (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2),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33509/04, §§ 96100, ЕСПЧ 2009 г., и </w:t>
      </w:r>
      <w:r>
        <w:rPr>
          <w:rStyle w:val="ECHRPara"/>
          <w:i/>
        </w:rPr>
        <w:t>Чорбов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39942/13, § 47, 25 януари 2018 г.). Правителството не </w:t>
      </w:r>
      <w:r w:rsidR="00AC3803">
        <w:rPr>
          <w:rStyle w:val="ECHRPara"/>
        </w:rPr>
        <w:t xml:space="preserve">е </w:t>
      </w:r>
      <w:r>
        <w:rPr>
          <w:rStyle w:val="ECHRPara"/>
        </w:rPr>
        <w:t>посоч</w:t>
      </w:r>
      <w:r w:rsidR="00AC3803">
        <w:rPr>
          <w:rStyle w:val="ECHRPara"/>
        </w:rPr>
        <w:t>ило</w:t>
      </w:r>
      <w:r>
        <w:rPr>
          <w:rStyle w:val="ECHRPara"/>
        </w:rPr>
        <w:t xml:space="preserve"> наличието на ефективно вътрешноправно средство за защита в </w:t>
      </w:r>
      <w:r w:rsidR="00AC3803">
        <w:rPr>
          <w:rStyle w:val="ECHRPara"/>
        </w:rPr>
        <w:t xml:space="preserve">подобни </w:t>
      </w:r>
      <w:r>
        <w:rPr>
          <w:rStyle w:val="ECHRPara"/>
        </w:rPr>
        <w:t>ситуации.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34</w:t>
      </w:r>
      <w:r>
        <w:fldChar w:fldCharType="end"/>
      </w:r>
      <w:r>
        <w:rPr>
          <w:rStyle w:val="ECHRPara"/>
        </w:rPr>
        <w:t xml:space="preserve">.  Следователно Съдът </w:t>
      </w:r>
      <w:r w:rsidR="00AC3118">
        <w:rPr>
          <w:rStyle w:val="ECHRPara"/>
        </w:rPr>
        <w:t>намира</w:t>
      </w:r>
      <w:r>
        <w:rPr>
          <w:rStyle w:val="ECHRPara"/>
        </w:rPr>
        <w:t xml:space="preserve">, че е налице нарушение на чл. 13 във връзка с чл. 6 § 1 от Конвенцията и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1.</w:t>
      </w:r>
    </w:p>
    <w:p w:rsidR="00003CA0" w:rsidRPr="000C3553" w:rsidRDefault="00003CA0" w:rsidP="00003CA0">
      <w:pPr>
        <w:pStyle w:val="ECHRHeading1"/>
      </w:pPr>
      <w:r>
        <w:rPr>
          <w:rStyle w:val="ECHRHeading1"/>
        </w:rPr>
        <w:t>III.  ПРИЛОЖЕНИЕ НА ЧЛ. 41 ОТ КОНВЕНЦИЯТА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35</w:t>
      </w:r>
      <w:r>
        <w:fldChar w:fldCharType="end"/>
      </w:r>
      <w:r>
        <w:rPr>
          <w:rStyle w:val="ECHRPara"/>
        </w:rPr>
        <w:t>.  Чл. 41 от Конвенцията гласи:</w:t>
      </w:r>
    </w:p>
    <w:p w:rsidR="00003CA0" w:rsidRPr="000C3553" w:rsidRDefault="00003CA0" w:rsidP="00003CA0">
      <w:pPr>
        <w:pStyle w:val="ECHRParaQuote"/>
        <w:keepNext/>
        <w:keepLines/>
      </w:pPr>
      <w:r>
        <w:rPr>
          <w:rStyle w:val="ECHRParaQuote"/>
          <w:cs/>
        </w:rPr>
        <w:t>“</w:t>
      </w:r>
      <w:r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>
        <w:rPr>
          <w:rStyle w:val="ECHRParaQuote"/>
          <w:cs/>
        </w:rPr>
        <w:t>”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>А. Обезщетение за вреди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36</w:t>
      </w:r>
      <w:r>
        <w:fldChar w:fldCharType="end"/>
      </w:r>
      <w:r>
        <w:rPr>
          <w:rStyle w:val="ECHRPara"/>
        </w:rPr>
        <w:t xml:space="preserve">.  Жалбоподателите претендират следните суми по отношение на имуществени вреди: 300 000 евро, за които твърдят, </w:t>
      </w:r>
      <w:r w:rsidR="00306ECE">
        <w:rPr>
          <w:rStyle w:val="ECHRPara"/>
        </w:rPr>
        <w:t xml:space="preserve">представляват </w:t>
      </w:r>
      <w:r>
        <w:rPr>
          <w:rStyle w:val="ECHRPara"/>
        </w:rPr>
        <w:t xml:space="preserve"> разликата между </w:t>
      </w:r>
      <w:r w:rsidR="00306ECE">
        <w:rPr>
          <w:rStyle w:val="ECHRPara"/>
        </w:rPr>
        <w:t xml:space="preserve">размера на </w:t>
      </w:r>
      <w:r>
        <w:rPr>
          <w:rStyle w:val="ECHRPara"/>
        </w:rPr>
        <w:t xml:space="preserve">обезщетението, предоставено им от националния съд, и реалната пазарна стойност на имуществото, и 10 622 евро като законна лихва върху сумата, присъдена от националния съд, за периода между 28 декември 2010 и 16 май 2014 г. Жалбоподателите претендират </w:t>
      </w:r>
      <w:r w:rsidR="0001007E">
        <w:rPr>
          <w:rStyle w:val="ECHRPara"/>
        </w:rPr>
        <w:t xml:space="preserve">още и </w:t>
      </w:r>
      <w:r>
        <w:rPr>
          <w:rStyle w:val="ECHRPara"/>
        </w:rPr>
        <w:t xml:space="preserve">100 000 евро за неимуществени вреди </w:t>
      </w:r>
      <w:r w:rsidR="0001007E">
        <w:rPr>
          <w:rStyle w:val="ECHRPara"/>
        </w:rPr>
        <w:t xml:space="preserve">поради </w:t>
      </w:r>
      <w:r>
        <w:rPr>
          <w:rStyle w:val="ECHRPara"/>
        </w:rPr>
        <w:t xml:space="preserve">отрицателните емоции, които са изпитали </w:t>
      </w:r>
      <w:r w:rsidR="00BF3624">
        <w:rPr>
          <w:rStyle w:val="ECHRPara"/>
        </w:rPr>
        <w:t xml:space="preserve">за периода </w:t>
      </w:r>
      <w:r>
        <w:rPr>
          <w:rStyle w:val="ECHRPara"/>
        </w:rPr>
        <w:t xml:space="preserve">от началото на съдебното производство през 2007 г. до </w:t>
      </w:r>
      <w:r w:rsidR="0001007E">
        <w:rPr>
          <w:rStyle w:val="ECHRPara"/>
        </w:rPr>
        <w:t xml:space="preserve">съответното </w:t>
      </w:r>
      <w:r>
        <w:rPr>
          <w:rStyle w:val="ECHRPara"/>
        </w:rPr>
        <w:t>плащан</w:t>
      </w:r>
      <w:r w:rsidR="0001007E">
        <w:rPr>
          <w:rStyle w:val="ECHRPara"/>
        </w:rPr>
        <w:t>е</w:t>
      </w:r>
      <w:r>
        <w:rPr>
          <w:rStyle w:val="ECHRPara"/>
        </w:rPr>
        <w:t>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37</w:t>
      </w:r>
      <w:r>
        <w:fldChar w:fldCharType="end"/>
      </w:r>
      <w:r>
        <w:rPr>
          <w:rStyle w:val="ECHRPara"/>
        </w:rPr>
        <w:t xml:space="preserve">.  Правителството поддържа позицията, че окончателното решение в полза на жалбоподателите е </w:t>
      </w:r>
      <w:r w:rsidR="00960391">
        <w:rPr>
          <w:rStyle w:val="ECHRPara"/>
        </w:rPr>
        <w:t xml:space="preserve">било </w:t>
      </w:r>
      <w:r>
        <w:rPr>
          <w:rStyle w:val="ECHRPara"/>
        </w:rPr>
        <w:t>изпълнено и поради това претенцията за имуществени вреди е необоснована. Що се отнася до неимуществените вреди, Правителството заявява, че ако Съдът констатира нарушение, тази констатация би представлявала достатъчно справедливо обезщетение.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38</w:t>
      </w:r>
      <w:r>
        <w:fldChar w:fldCharType="end"/>
      </w:r>
      <w:r>
        <w:rPr>
          <w:rStyle w:val="ECHRPara"/>
        </w:rPr>
        <w:t>.  Съдът не намира каквато и да е причинно-следствена връзка между констатираното нарушение и първата сума, претендирана за имуществени вреди по-горе. Следователно той отхвърля тази претенция. От друга страна, произнас</w:t>
      </w:r>
      <w:r w:rsidR="00B01484">
        <w:rPr>
          <w:rStyle w:val="ECHRPara"/>
        </w:rPr>
        <w:t>яйки се</w:t>
      </w:r>
      <w:r>
        <w:rPr>
          <w:rStyle w:val="ECHRPara"/>
        </w:rPr>
        <w:t xml:space="preserve"> по справедливост, той присъжда на жалбоподателите </w:t>
      </w:r>
      <w:r w:rsidR="00E61C8E">
        <w:rPr>
          <w:rStyle w:val="ECHRPara"/>
        </w:rPr>
        <w:t xml:space="preserve">съвместно </w:t>
      </w:r>
      <w:r>
        <w:rPr>
          <w:rStyle w:val="ECHRPara"/>
        </w:rPr>
        <w:t xml:space="preserve">9500 евро по отношение на втората сума, претендирана за имуществени вреди, а именно натрупаната законна лихва върху сумата, присъдена от националния съд, </w:t>
      </w:r>
      <w:r w:rsidR="00AC3118">
        <w:rPr>
          <w:rStyle w:val="ECHRPara"/>
        </w:rPr>
        <w:t>за</w:t>
      </w:r>
      <w:r>
        <w:rPr>
          <w:rStyle w:val="ECHRPara"/>
        </w:rPr>
        <w:t xml:space="preserve"> периода на забавено изпълнение. </w:t>
      </w:r>
      <w:r w:rsidR="00AC3118">
        <w:rPr>
          <w:rStyle w:val="ECHRPara"/>
        </w:rPr>
        <w:t>Т</w:t>
      </w:r>
      <w:r>
        <w:rPr>
          <w:rStyle w:val="ECHRPara"/>
        </w:rPr>
        <w:t xml:space="preserve">ой </w:t>
      </w:r>
      <w:r w:rsidR="00AC3118">
        <w:rPr>
          <w:rStyle w:val="ECHRPara"/>
        </w:rPr>
        <w:t>намира още</w:t>
      </w:r>
      <w:r>
        <w:rPr>
          <w:rStyle w:val="ECHRPara"/>
        </w:rPr>
        <w:t xml:space="preserve">, че забавянето на изпълнението на окончателното решение в полза на жалбоподателите </w:t>
      </w:r>
      <w:r w:rsidR="00AC3118">
        <w:rPr>
          <w:rStyle w:val="ECHRPara"/>
        </w:rPr>
        <w:t>несъмнено</w:t>
      </w:r>
      <w:r>
        <w:rPr>
          <w:rStyle w:val="ECHRPara"/>
        </w:rPr>
        <w:t xml:space="preserve"> им е причинило емоционално страдание. Следователно </w:t>
      </w:r>
      <w:r w:rsidR="006E7070">
        <w:rPr>
          <w:rStyle w:val="ECHRPara"/>
        </w:rPr>
        <w:t xml:space="preserve">Съдът </w:t>
      </w:r>
      <w:r>
        <w:rPr>
          <w:rStyle w:val="ECHRPara"/>
        </w:rPr>
        <w:t>присъжда на жалбоподателите общо 1800 евро по отношение на неимуществени вреди.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>Б. Разходи и разноски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39</w:t>
      </w:r>
      <w:r>
        <w:fldChar w:fldCharType="end"/>
      </w:r>
      <w:r>
        <w:rPr>
          <w:rStyle w:val="ECHRPara"/>
        </w:rPr>
        <w:t>.  Жалбоподателите не претендират разходи и разноски, направени пред Съда.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40</w:t>
      </w:r>
      <w:r>
        <w:fldChar w:fldCharType="end"/>
      </w:r>
      <w:r>
        <w:rPr>
          <w:rStyle w:val="ECHRPara"/>
        </w:rPr>
        <w:t xml:space="preserve">.  Правителството заявява, че следователно не </w:t>
      </w:r>
      <w:r w:rsidR="00BE2AFF">
        <w:rPr>
          <w:rStyle w:val="ECHRPara"/>
        </w:rPr>
        <w:t>подлежи да бъде направено никакво</w:t>
      </w:r>
      <w:r>
        <w:rPr>
          <w:rStyle w:val="ECHRPara"/>
        </w:rPr>
        <w:t xml:space="preserve"> присъждане в това отношение.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41</w:t>
      </w:r>
      <w:r>
        <w:fldChar w:fldCharType="end"/>
      </w:r>
      <w:r>
        <w:rPr>
          <w:rStyle w:val="ECHRPara"/>
        </w:rPr>
        <w:t>.  Съдът не прави присъждане по тази позиция.</w:t>
      </w:r>
    </w:p>
    <w:p w:rsidR="00003CA0" w:rsidRPr="000C3553" w:rsidRDefault="00003CA0" w:rsidP="00003CA0">
      <w:pPr>
        <w:pStyle w:val="ECHRHeading2"/>
      </w:pPr>
      <w:r>
        <w:rPr>
          <w:rStyle w:val="ECHRHeading2"/>
        </w:rPr>
        <w:t>В. Лихва за забава</w:t>
      </w:r>
    </w:p>
    <w:p w:rsidR="00003CA0" w:rsidRPr="000C3553" w:rsidRDefault="00003CA0" w:rsidP="00003CA0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42</w:t>
      </w:r>
      <w:r>
        <w:fldChar w:fldCharType="end"/>
      </w:r>
      <w:r>
        <w:rPr>
          <w:rStyle w:val="ECHRPara"/>
        </w:rPr>
        <w:t>.  Съдът смята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03CA0" w:rsidRPr="000C3553" w:rsidRDefault="00003CA0" w:rsidP="00003CA0">
      <w:pPr>
        <w:pStyle w:val="ECHRTitle1"/>
      </w:pPr>
      <w:r>
        <w:rPr>
          <w:rStyle w:val="ECHRTitle1"/>
        </w:rPr>
        <w:t>ПО ТЕЗИ СЪОБРАЖЕНИЯ СЪДЪТ ЕДИНОДУШНО</w:t>
      </w:r>
    </w:p>
    <w:p w:rsidR="00003CA0" w:rsidRPr="000C3553" w:rsidRDefault="00003CA0" w:rsidP="00003CA0">
      <w:pPr>
        <w:pStyle w:val="JuList"/>
      </w:pPr>
      <w:r>
        <w:rPr>
          <w:rStyle w:val="JuList"/>
        </w:rPr>
        <w:t>1.  </w:t>
      </w:r>
      <w:r>
        <w:rPr>
          <w:rStyle w:val="JuList"/>
          <w:i/>
        </w:rPr>
        <w:t>Обявява</w:t>
      </w:r>
      <w:r>
        <w:rPr>
          <w:rStyle w:val="JuList"/>
        </w:rPr>
        <w:t xml:space="preserve"> оплакванията относно забавянето на изпълнението на окончателното решение в полза на жалбоподателите и липсата на ефективно правно средство за защита в това отношение за допустими;</w:t>
      </w:r>
    </w:p>
    <w:p w:rsidR="00003CA0" w:rsidRPr="000C3553" w:rsidRDefault="00003CA0" w:rsidP="00003CA0">
      <w:pPr>
        <w:pStyle w:val="JuList"/>
        <w:ind w:left="0" w:firstLine="0"/>
      </w:pPr>
    </w:p>
    <w:p w:rsidR="00003CA0" w:rsidRPr="000C3553" w:rsidRDefault="00003CA0" w:rsidP="00003CA0">
      <w:pPr>
        <w:pStyle w:val="JuList"/>
      </w:pPr>
      <w:r>
        <w:rPr>
          <w:rStyle w:val="JuList"/>
        </w:rPr>
        <w:t>2.  </w:t>
      </w:r>
      <w:r>
        <w:rPr>
          <w:rStyle w:val="JuList"/>
          <w:i/>
        </w:rPr>
        <w:t>Приема</w:t>
      </w:r>
      <w:r>
        <w:rPr>
          <w:rStyle w:val="JuList"/>
        </w:rPr>
        <w:t xml:space="preserve">, че е налице нарушение на чл. 6 § 1 от Конвенцията и на чл. 1 от Протокол </w:t>
      </w:r>
      <w:r>
        <w:rPr>
          <w:rStyle w:val="JuList"/>
          <w:cs/>
        </w:rPr>
        <w:t xml:space="preserve">№ </w:t>
      </w:r>
      <w:r>
        <w:rPr>
          <w:rStyle w:val="JuList"/>
        </w:rPr>
        <w:t>1 към Конвенцията;</w:t>
      </w:r>
    </w:p>
    <w:p w:rsidR="00003CA0" w:rsidRPr="000C3553" w:rsidRDefault="00003CA0" w:rsidP="00003CA0">
      <w:pPr>
        <w:pStyle w:val="JuList"/>
      </w:pPr>
    </w:p>
    <w:p w:rsidR="00003CA0" w:rsidRPr="000C3553" w:rsidRDefault="00003CA0" w:rsidP="00003CA0">
      <w:pPr>
        <w:pStyle w:val="JuList"/>
        <w:rPr>
          <w:szCs w:val="24"/>
        </w:rPr>
      </w:pPr>
      <w:r>
        <w:rPr>
          <w:rStyle w:val="JuList"/>
        </w:rPr>
        <w:t>3.  </w:t>
      </w:r>
      <w:r>
        <w:rPr>
          <w:rStyle w:val="JuList"/>
          <w:i/>
        </w:rPr>
        <w:t>Приема,</w:t>
      </w:r>
      <w:r>
        <w:rPr>
          <w:rStyle w:val="JuList"/>
        </w:rPr>
        <w:t xml:space="preserve"> че е налице нарушение на чл. 13 във връзка с чл. 6 § 1 и чл. 1 от Протокол </w:t>
      </w:r>
      <w:r>
        <w:rPr>
          <w:rStyle w:val="JuList"/>
          <w:cs/>
        </w:rPr>
        <w:t xml:space="preserve">№ </w:t>
      </w:r>
      <w:r>
        <w:rPr>
          <w:rStyle w:val="JuList"/>
        </w:rPr>
        <w:t>1;</w:t>
      </w:r>
    </w:p>
    <w:p w:rsidR="00003CA0" w:rsidRPr="000C3553" w:rsidRDefault="00003CA0" w:rsidP="00003CA0">
      <w:pPr>
        <w:pStyle w:val="JuList"/>
        <w:ind w:left="0" w:firstLine="0"/>
      </w:pPr>
    </w:p>
    <w:p w:rsidR="00003CA0" w:rsidRPr="000C3553" w:rsidRDefault="00003CA0" w:rsidP="00003CA0">
      <w:pPr>
        <w:pStyle w:val="JuList"/>
      </w:pPr>
      <w:r>
        <w:rPr>
          <w:rStyle w:val="JuList"/>
        </w:rPr>
        <w:t>4.  </w:t>
      </w:r>
      <w:r>
        <w:rPr>
          <w:rStyle w:val="JuList"/>
          <w:i/>
        </w:rPr>
        <w:t>Приема,</w:t>
      </w:r>
    </w:p>
    <w:p w:rsidR="00003CA0" w:rsidRPr="000C3553" w:rsidRDefault="00003CA0" w:rsidP="00003CA0">
      <w:pPr>
        <w:pStyle w:val="JuLista"/>
      </w:pPr>
      <w:r>
        <w:rPr>
          <w:rStyle w:val="JuLista"/>
        </w:rPr>
        <w:t xml:space="preserve">(а) че държавата-ответник трябва да заплати съвместно на жалбоподателите в срок от три месеца следните суми, които се </w:t>
      </w:r>
      <w:r w:rsidR="00AC3118">
        <w:rPr>
          <w:rStyle w:val="JuLista"/>
        </w:rPr>
        <w:t xml:space="preserve">конвертират </w:t>
      </w:r>
      <w:r>
        <w:rPr>
          <w:rStyle w:val="JuLista"/>
        </w:rPr>
        <w:t>в български лева по курса</w:t>
      </w:r>
      <w:r w:rsidR="00AC3118">
        <w:rPr>
          <w:rStyle w:val="JuLista"/>
        </w:rPr>
        <w:t>, валиден</w:t>
      </w:r>
      <w:r>
        <w:rPr>
          <w:rStyle w:val="JuLista"/>
        </w:rPr>
        <w:t xml:space="preserve"> към датата на плащането:</w:t>
      </w:r>
    </w:p>
    <w:p w:rsidR="00003CA0" w:rsidRPr="000C3553" w:rsidRDefault="00003CA0" w:rsidP="00003CA0">
      <w:pPr>
        <w:pStyle w:val="JuListi"/>
      </w:pPr>
      <w:r>
        <w:rPr>
          <w:rStyle w:val="JuListi"/>
        </w:rPr>
        <w:t>(i) 9500 евро (девет хиляди и петстотин евро), плюс всякакви данъци, които биха могли да се начислят, по отношение на имуществени вреди;</w:t>
      </w:r>
    </w:p>
    <w:p w:rsidR="00003CA0" w:rsidRPr="000C3553" w:rsidRDefault="00003CA0" w:rsidP="00003CA0">
      <w:pPr>
        <w:pStyle w:val="JuListi"/>
      </w:pPr>
      <w:r>
        <w:rPr>
          <w:rStyle w:val="JuListi"/>
        </w:rPr>
        <w:t>(i) 1800 евро (хиляда и осемстотин евро), плюс всякакви данъци, които биха могли да се начислят, по отношение на неимуществени вреди;</w:t>
      </w:r>
    </w:p>
    <w:p w:rsidR="00003CA0" w:rsidRPr="000C3553" w:rsidRDefault="00003CA0" w:rsidP="00003CA0">
      <w:pPr>
        <w:pStyle w:val="JuLista"/>
      </w:pPr>
      <w:r>
        <w:rPr>
          <w:rStyle w:val="JuLista"/>
        </w:rPr>
        <w:t xml:space="preserve">(б) че от изтичането на </w:t>
      </w:r>
      <w:r w:rsidR="00AC3118">
        <w:rPr>
          <w:rStyle w:val="JuLista"/>
        </w:rPr>
        <w:t>горесп</w:t>
      </w:r>
      <w:r>
        <w:rPr>
          <w:rStyle w:val="JuLista"/>
        </w:rPr>
        <w:t xml:space="preserve">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AC3118">
        <w:rPr>
          <w:rStyle w:val="JuLista"/>
        </w:rPr>
        <w:t>за</w:t>
      </w:r>
      <w:r>
        <w:rPr>
          <w:rStyle w:val="JuLista"/>
        </w:rPr>
        <w:t xml:space="preserve"> </w:t>
      </w:r>
      <w:r w:rsidR="00AC3118">
        <w:rPr>
          <w:rStyle w:val="JuLista"/>
        </w:rPr>
        <w:t xml:space="preserve">срока </w:t>
      </w:r>
      <w:r>
        <w:rPr>
          <w:rStyle w:val="JuLista"/>
        </w:rPr>
        <w:t>на забава, към която се добавят три процентни пункта;</w:t>
      </w:r>
    </w:p>
    <w:p w:rsidR="00003CA0" w:rsidRPr="000C3553" w:rsidRDefault="00003CA0" w:rsidP="00003CA0">
      <w:pPr>
        <w:pStyle w:val="JuList"/>
      </w:pPr>
    </w:p>
    <w:p w:rsidR="00003CA0" w:rsidRPr="000C3553" w:rsidRDefault="00003CA0" w:rsidP="00003CA0">
      <w:pPr>
        <w:pStyle w:val="JuList"/>
      </w:pPr>
      <w:r>
        <w:rPr>
          <w:rStyle w:val="JuList"/>
        </w:rPr>
        <w:t>5.  </w:t>
      </w:r>
      <w:r>
        <w:rPr>
          <w:rStyle w:val="JuList"/>
          <w:i/>
        </w:rPr>
        <w:t>Отхвърля</w:t>
      </w:r>
      <w:r>
        <w:rPr>
          <w:rStyle w:val="JuList"/>
        </w:rPr>
        <w:t xml:space="preserve"> останалата част от </w:t>
      </w:r>
      <w:r w:rsidR="00AC3118">
        <w:rPr>
          <w:rStyle w:val="JuList"/>
        </w:rPr>
        <w:t xml:space="preserve">иска </w:t>
      </w:r>
      <w:r>
        <w:rPr>
          <w:rStyle w:val="JuList"/>
        </w:rPr>
        <w:t>на жалбоподателите за справедливо обезщетение.</w:t>
      </w:r>
    </w:p>
    <w:p w:rsidR="00003CA0" w:rsidRPr="000C3553" w:rsidRDefault="00003CA0" w:rsidP="00003CA0">
      <w:pPr>
        <w:pStyle w:val="JuParaLast"/>
      </w:pPr>
      <w:r>
        <w:rPr>
          <w:rStyle w:val="JuParaLast"/>
        </w:rPr>
        <w:t xml:space="preserve">Изготвено на английски език и оповестено писмено на 6 септември 2018 г. в съответствие с </w:t>
      </w:r>
      <w:r w:rsidR="00AC3118">
        <w:rPr>
          <w:rStyle w:val="JuParaLast"/>
        </w:rPr>
        <w:t>п</w:t>
      </w:r>
      <w:r>
        <w:rPr>
          <w:rStyle w:val="JuParaLast"/>
        </w:rPr>
        <w:t>равило 77 §§ 2 и 3 от Правилника на Съда.</w:t>
      </w:r>
    </w:p>
    <w:p w:rsidR="00003CA0" w:rsidRPr="000C3553" w:rsidRDefault="00003CA0" w:rsidP="00003CA0">
      <w:pPr>
        <w:pStyle w:val="JuSigned"/>
        <w:tabs>
          <w:tab w:val="clear" w:pos="6407"/>
          <w:tab w:val="center" w:pos="6096"/>
        </w:tabs>
      </w:pPr>
      <w:r>
        <w:rPr>
          <w:rStyle w:val="JuSigned"/>
        </w:rPr>
        <w:tab/>
        <w:t xml:space="preserve">Милан </w:t>
      </w:r>
      <w:proofErr w:type="spellStart"/>
      <w:r>
        <w:rPr>
          <w:rStyle w:val="JuSigned"/>
        </w:rPr>
        <w:t>Бла</w:t>
      </w:r>
      <w:r w:rsidR="00AC3118">
        <w:rPr>
          <w:rStyle w:val="JuSigned"/>
        </w:rPr>
        <w:t>с</w:t>
      </w:r>
      <w:r>
        <w:rPr>
          <w:rStyle w:val="JuSigned"/>
        </w:rPr>
        <w:t>ко</w:t>
      </w:r>
      <w:proofErr w:type="spellEnd"/>
      <w:r>
        <w:rPr>
          <w:rStyle w:val="JuSigned"/>
        </w:rPr>
        <w:tab/>
        <w:t xml:space="preserve">Габриеле </w:t>
      </w:r>
      <w:proofErr w:type="spellStart"/>
      <w:r>
        <w:rPr>
          <w:rStyle w:val="JuSigned"/>
        </w:rPr>
        <w:t>Куцко-Щадлмайер</w:t>
      </w:r>
      <w:proofErr w:type="spellEnd"/>
      <w:r>
        <w:br/>
      </w:r>
      <w:r>
        <w:rPr>
          <w:rStyle w:val="JuSigned"/>
        </w:rPr>
        <w:tab/>
      </w:r>
      <w:r w:rsidR="00AC3118">
        <w:rPr>
          <w:rStyle w:val="JuSigned"/>
        </w:rPr>
        <w:t>з</w:t>
      </w:r>
      <w:r>
        <w:rPr>
          <w:rStyle w:val="JuSigned"/>
        </w:rPr>
        <w:t>аместник-секретар</w:t>
      </w:r>
      <w:r>
        <w:rPr>
          <w:rStyle w:val="JuSigned"/>
        </w:rPr>
        <w:tab/>
      </w:r>
      <w:r w:rsidR="00AC3118">
        <w:rPr>
          <w:rStyle w:val="JuSigned"/>
        </w:rPr>
        <w:t>п</w:t>
      </w:r>
      <w:r>
        <w:rPr>
          <w:rStyle w:val="JuSigned"/>
        </w:rPr>
        <w:t>редседател</w:t>
      </w:r>
    </w:p>
    <w:sectPr w:rsidR="00003CA0" w:rsidRPr="000C3553" w:rsidSect="00003CA0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55" w:rsidRPr="003152BA" w:rsidRDefault="00A87155" w:rsidP="00003CA0">
      <w:r>
        <w:separator/>
      </w:r>
    </w:p>
  </w:endnote>
  <w:endnote w:type="continuationSeparator" w:id="0">
    <w:p w:rsidR="00A87155" w:rsidRPr="003152BA" w:rsidRDefault="00A87155" w:rsidP="000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0F" w:rsidRDefault="00645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0F" w:rsidRDefault="00645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A0" w:rsidRPr="00150BFA" w:rsidRDefault="0013096E" w:rsidP="00003CA0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CA0" w:rsidRDefault="0000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55" w:rsidRPr="003152BA" w:rsidRDefault="00A87155" w:rsidP="00003CA0">
      <w:r>
        <w:separator/>
      </w:r>
    </w:p>
  </w:footnote>
  <w:footnote w:type="continuationSeparator" w:id="0">
    <w:p w:rsidR="00A87155" w:rsidRPr="003152BA" w:rsidRDefault="00A87155" w:rsidP="0000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0F" w:rsidRDefault="00645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A0" w:rsidRPr="00657611" w:rsidRDefault="00003CA0" w:rsidP="00003CA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A0" w:rsidRPr="00A45145" w:rsidRDefault="0013096E" w:rsidP="00003CA0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CA0" w:rsidRDefault="00003C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A0" w:rsidRPr="003152BA" w:rsidRDefault="00003CA0" w:rsidP="00003CA0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520F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ECHRHeader"/>
      </w:rPr>
      <w:tab/>
      <w:t>РЕШЕНИЕ УЗУНОВА И СЕИД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A0" w:rsidRPr="003152BA" w:rsidRDefault="00003CA0" w:rsidP="00003CA0">
    <w:pPr>
      <w:pStyle w:val="ECHRHeader"/>
    </w:pPr>
    <w:r>
      <w:rPr>
        <w:rStyle w:val="ECHRHeader"/>
      </w:rPr>
      <w:tab/>
    </w:r>
    <w:r>
      <w:rPr>
        <w:rStyle w:val="ECHRHeader"/>
      </w:rPr>
      <w:t>РЕШЕНИЕ УЗУНОВА И СЕИД 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520F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EA6F28"/>
    <w:multiLevelType w:val="hybridMultilevel"/>
    <w:tmpl w:val="12F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</w:num>
  <w:num w:numId="16">
    <w:abstractNumId w:val="13"/>
  </w:num>
  <w:num w:numId="17">
    <w:abstractNumId w:val="11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3E513D"/>
    <w:rsid w:val="00003CA0"/>
    <w:rsid w:val="0001007E"/>
    <w:rsid w:val="00072FAB"/>
    <w:rsid w:val="000E52D7"/>
    <w:rsid w:val="00101E45"/>
    <w:rsid w:val="00123EBA"/>
    <w:rsid w:val="0013096E"/>
    <w:rsid w:val="00182C42"/>
    <w:rsid w:val="00195B58"/>
    <w:rsid w:val="00213F28"/>
    <w:rsid w:val="002842A4"/>
    <w:rsid w:val="002B224A"/>
    <w:rsid w:val="002B453A"/>
    <w:rsid w:val="002D49F2"/>
    <w:rsid w:val="00306ECE"/>
    <w:rsid w:val="00336F51"/>
    <w:rsid w:val="0034359D"/>
    <w:rsid w:val="003A2D4E"/>
    <w:rsid w:val="003B20DA"/>
    <w:rsid w:val="004855CE"/>
    <w:rsid w:val="004A6B68"/>
    <w:rsid w:val="004C19DE"/>
    <w:rsid w:val="005042E0"/>
    <w:rsid w:val="00560595"/>
    <w:rsid w:val="00573246"/>
    <w:rsid w:val="00643E57"/>
    <w:rsid w:val="0064520F"/>
    <w:rsid w:val="00674319"/>
    <w:rsid w:val="006A23B0"/>
    <w:rsid w:val="006A5D99"/>
    <w:rsid w:val="006E3DE2"/>
    <w:rsid w:val="006E7070"/>
    <w:rsid w:val="007040BB"/>
    <w:rsid w:val="008546C2"/>
    <w:rsid w:val="008A4B31"/>
    <w:rsid w:val="008D4C1F"/>
    <w:rsid w:val="00900DBF"/>
    <w:rsid w:val="0093164E"/>
    <w:rsid w:val="00960391"/>
    <w:rsid w:val="009A5B30"/>
    <w:rsid w:val="009D60A9"/>
    <w:rsid w:val="00A66BB1"/>
    <w:rsid w:val="00A87155"/>
    <w:rsid w:val="00AC3118"/>
    <w:rsid w:val="00AC3803"/>
    <w:rsid w:val="00AE057B"/>
    <w:rsid w:val="00AE095B"/>
    <w:rsid w:val="00B01484"/>
    <w:rsid w:val="00B23BC7"/>
    <w:rsid w:val="00B74E8A"/>
    <w:rsid w:val="00B92416"/>
    <w:rsid w:val="00BB3EDC"/>
    <w:rsid w:val="00BB5320"/>
    <w:rsid w:val="00BE2AFF"/>
    <w:rsid w:val="00BF3624"/>
    <w:rsid w:val="00C13FA9"/>
    <w:rsid w:val="00CD44B8"/>
    <w:rsid w:val="00E15806"/>
    <w:rsid w:val="00E61C8E"/>
    <w:rsid w:val="00EB7207"/>
    <w:rsid w:val="00F53F3E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46D54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46D54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46D54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46D54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46D54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E46D54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46D54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46D54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46D54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46D54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6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54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E46D54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E46D54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E46D54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E46D54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E46D54"/>
    <w:rPr>
      <w:sz w:val="22"/>
    </w:rPr>
  </w:style>
  <w:style w:type="character" w:customStyle="1" w:styleId="NoSpacingChar">
    <w:name w:val="No Spacing Char"/>
    <w:link w:val="NoSpacing"/>
    <w:semiHidden/>
    <w:rsid w:val="00E46D54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E46D5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E46D54"/>
  </w:style>
  <w:style w:type="paragraph" w:customStyle="1" w:styleId="DecList">
    <w:name w:val="Dec_List"/>
    <w:basedOn w:val="Normal"/>
    <w:uiPriority w:val="9"/>
    <w:semiHidden/>
    <w:qFormat/>
    <w:rsid w:val="00E46D54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E46D54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E46D54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E46D54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E46D54"/>
    <w:pPr>
      <w:numPr>
        <w:numId w:val="21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E46D5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E46D54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E46D54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E46D54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E46D54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E46D54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E46D5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E46D5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E46D5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E46D5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E46D54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uiPriority w:val="38"/>
    <w:qFormat/>
    <w:rsid w:val="00E46D54"/>
    <w:rPr>
      <w:color w:val="000000"/>
      <w:sz w:val="14"/>
      <w:bdr w:val="none" w:sz="0" w:space="0" w:color="auto"/>
      <w:lang w:val="bg-BG" w:eastAsia="bg-BG"/>
    </w:rPr>
  </w:style>
  <w:style w:type="character" w:customStyle="1" w:styleId="JUNAMES">
    <w:name w:val="JU_NAMES"/>
    <w:uiPriority w:val="17"/>
    <w:qFormat/>
    <w:rsid w:val="00E46D54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E46D54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E46D5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57"/>
    <w:semiHidden/>
    <w:rsid w:val="00E46D54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E46D54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E46D5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E46D54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E46D54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JuQuotSub">
    <w:name w:val="Ju_Quot_Sub"/>
    <w:basedOn w:val="ECHRParaQuote"/>
    <w:uiPriority w:val="15"/>
    <w:qFormat/>
    <w:rsid w:val="00E46D54"/>
    <w:pPr>
      <w:ind w:left="567"/>
    </w:pPr>
  </w:style>
  <w:style w:type="paragraph" w:customStyle="1" w:styleId="JuCase">
    <w:name w:val="Ju_Case"/>
    <w:basedOn w:val="Normal"/>
    <w:next w:val="ECHRPara"/>
    <w:uiPriority w:val="10"/>
    <w:rsid w:val="00E46D54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E46D54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E46D54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E46D54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E46D54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E46D54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E46D54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E46D54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57"/>
    <w:semiHidden/>
    <w:rsid w:val="00E46D54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E46D54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E46D5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46D54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E46D54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E46D54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E46D54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E46D54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E46D54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E46D54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46D5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E46D54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E46D54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E46D54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E46D54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E46D54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E46D54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E46D5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46D5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E46D5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E46D5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46D5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E46D5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E46D54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E46D54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E46D54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E46D54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E46D54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E46D54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E46D54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E46D5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E46D54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E46D54"/>
    <w:pPr>
      <w:spacing w:before="720" w:after="240"/>
      <w:jc w:val="center"/>
      <w:outlineLvl w:val="0"/>
    </w:pPr>
    <w:rPr>
      <w:b/>
      <w:caps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E46D54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E46D54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E46D54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E46D5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46D54"/>
    <w:rPr>
      <w:rFonts w:eastAsia="MS Mincho"/>
      <w:sz w:val="20"/>
      <w:szCs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E46D54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E46D54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46D54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E46D54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E46D54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46D5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E46D5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E46D54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E46D54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E46D54"/>
  </w:style>
  <w:style w:type="paragraph" w:customStyle="1" w:styleId="OpiParaSub">
    <w:name w:val="Opi_Para_Sub"/>
    <w:basedOn w:val="JuParaSub"/>
    <w:uiPriority w:val="47"/>
    <w:qFormat/>
    <w:rsid w:val="00E46D54"/>
  </w:style>
  <w:style w:type="paragraph" w:customStyle="1" w:styleId="OpiQuot">
    <w:name w:val="Opi_Quot"/>
    <w:basedOn w:val="ECHRParaQuote"/>
    <w:uiPriority w:val="48"/>
    <w:qFormat/>
    <w:rsid w:val="00E46D54"/>
  </w:style>
  <w:style w:type="paragraph" w:customStyle="1" w:styleId="OpiQuotSub">
    <w:name w:val="Opi_Quot_Sub"/>
    <w:basedOn w:val="JuQuotSub"/>
    <w:uiPriority w:val="49"/>
    <w:qFormat/>
    <w:rsid w:val="00E46D54"/>
  </w:style>
  <w:style w:type="paragraph" w:customStyle="1" w:styleId="OpiTranslation">
    <w:name w:val="Opi_Translation"/>
    <w:basedOn w:val="Normal"/>
    <w:next w:val="OpiPara"/>
    <w:uiPriority w:val="40"/>
    <w:qFormat/>
    <w:rsid w:val="00E46D54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5C3668"/>
    <w:rPr>
      <w:rFonts w:eastAsia="MS Mincho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4F79-1999-42EA-BBD1-D5A06FD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2018-10-09T07:57:00Z</dcterms:created>
  <dcterms:modified xsi:type="dcterms:W3CDTF">2018-10-09T07:57:00Z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