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2D3" w:rsidRPr="00916EE7" w:rsidRDefault="002072D3" w:rsidP="00916EE7">
      <w:pPr>
        <w:jc w:val="center"/>
      </w:pP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tabs>
          <w:tab w:val="left" w:pos="5529"/>
        </w:tabs>
        <w:jc w:val="center"/>
      </w:pPr>
      <w:r>
        <w:t>ПЕТО ОТДЕЛЕНИЕ</w:t>
      </w: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jc w:val="center"/>
        <w:outlineLvl w:val="0"/>
        <w:rPr>
          <w:b/>
        </w:rPr>
      </w:pPr>
      <w:r>
        <w:rPr>
          <w:b/>
        </w:rPr>
        <w:t>ДЕЛО ОБЕДИНЕНА МАКЕДОНСКА ОРГАНИЗАЦИЯ “ИЛИНДЕН” И ДРУГИ СРЕЩУ БЪЛГАРИЯ (№ 3)</w:t>
      </w:r>
    </w:p>
    <w:p w:rsidR="002072D3" w:rsidRPr="00916EE7" w:rsidRDefault="002072D3" w:rsidP="00916EE7">
      <w:pPr>
        <w:jc w:val="center"/>
      </w:pPr>
    </w:p>
    <w:p w:rsidR="002072D3" w:rsidRPr="00916EE7" w:rsidRDefault="002072D3" w:rsidP="00916EE7">
      <w:pPr>
        <w:jc w:val="center"/>
        <w:rPr>
          <w:i/>
        </w:rPr>
      </w:pPr>
      <w:r>
        <w:rPr>
          <w:i/>
        </w:rPr>
        <w:t>(Жалба № 29496/16)</w:t>
      </w: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jc w:val="center"/>
        <w:outlineLvl w:val="0"/>
      </w:pPr>
      <w:r>
        <w:t>РЕШЕНИЕ</w:t>
      </w: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jc w:val="center"/>
        <w:rPr>
          <w:i/>
        </w:rPr>
      </w:pPr>
    </w:p>
    <w:p w:rsidR="002072D3" w:rsidRPr="00916EE7" w:rsidRDefault="002072D3" w:rsidP="00916EE7">
      <w:pPr>
        <w:jc w:val="center"/>
        <w:outlineLvl w:val="0"/>
      </w:pPr>
      <w:r>
        <w:t>СТРАСБУРГ</w:t>
      </w:r>
    </w:p>
    <w:p w:rsidR="002072D3" w:rsidRPr="00916EE7" w:rsidRDefault="002072D3" w:rsidP="00916EE7">
      <w:pPr>
        <w:jc w:val="center"/>
      </w:pPr>
    </w:p>
    <w:p w:rsidR="002072D3" w:rsidRPr="00916EE7" w:rsidRDefault="002072D3" w:rsidP="00916EE7">
      <w:pPr>
        <w:jc w:val="center"/>
      </w:pPr>
      <w:r>
        <w:t>1</w:t>
      </w:r>
      <w:r w:rsidR="007055A9">
        <w:t>1</w:t>
      </w:r>
      <w:r>
        <w:t xml:space="preserve"> януари 2018 г.</w:t>
      </w: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jc w:val="center"/>
      </w:pPr>
    </w:p>
    <w:p w:rsidR="002072D3" w:rsidRPr="00916EE7" w:rsidRDefault="002072D3" w:rsidP="00916EE7">
      <w:pPr>
        <w:rPr>
          <w:i/>
          <w:sz w:val="22"/>
        </w:rPr>
      </w:pPr>
      <w:r>
        <w:rPr>
          <w:i/>
          <w:sz w:val="22"/>
        </w:rPr>
        <w:t>Това решение ще стане окончателно при условията на чл. 44 § 2 от Конвенцията. Може да бъде предмет на редакционни промени.</w:t>
      </w:r>
    </w:p>
    <w:p w:rsidR="002072D3" w:rsidRPr="00916EE7" w:rsidRDefault="002072D3" w:rsidP="00916EE7">
      <w:pPr>
        <w:sectPr w:rsidR="002072D3" w:rsidRPr="00916EE7" w:rsidSect="002072D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noEndnote/>
        </w:sectPr>
      </w:pPr>
    </w:p>
    <w:p w:rsidR="002072D3" w:rsidRPr="00916EE7" w:rsidRDefault="002072D3" w:rsidP="00916EE7">
      <w:pPr>
        <w:pStyle w:val="JuCase"/>
      </w:pPr>
      <w:r>
        <w:lastRenderedPageBreak/>
        <w:t>По делото Обединена македонска организация “Илинден” и други срещу България (№ 3),</w:t>
      </w:r>
    </w:p>
    <w:p w:rsidR="00014566" w:rsidRPr="00916EE7" w:rsidRDefault="00014566" w:rsidP="00916EE7">
      <w:pPr>
        <w:pStyle w:val="ECHRPara"/>
      </w:pPr>
      <w:r>
        <w:t>Европейският съд по правата на човека (Пето отделение), заседаващ в състав:</w:t>
      </w:r>
    </w:p>
    <w:p w:rsidR="00D5392A" w:rsidRPr="00916EE7" w:rsidRDefault="001619F1" w:rsidP="00916EE7">
      <w:pPr>
        <w:pStyle w:val="ECHRDecisionBody"/>
      </w:pPr>
      <w:r>
        <w:tab/>
      </w:r>
      <w:proofErr w:type="spellStart"/>
      <w:r>
        <w:t>Ангелика</w:t>
      </w:r>
      <w:proofErr w:type="spellEnd"/>
      <w:r>
        <w:t xml:space="preserve"> </w:t>
      </w:r>
      <w:proofErr w:type="spellStart"/>
      <w:r>
        <w:t>Нусбергер</w:t>
      </w:r>
      <w:proofErr w:type="spellEnd"/>
      <w:r>
        <w:t xml:space="preserve"> (</w:t>
      </w:r>
      <w:proofErr w:type="spellStart"/>
      <w:r>
        <w:t>Angelika</w:t>
      </w:r>
      <w:proofErr w:type="spellEnd"/>
      <w:r>
        <w:t xml:space="preserve"> </w:t>
      </w:r>
      <w:proofErr w:type="spellStart"/>
      <w:r>
        <w:t>Nußberger</w:t>
      </w:r>
      <w:proofErr w:type="spellEnd"/>
      <w:r>
        <w:t xml:space="preserve">), </w:t>
      </w:r>
      <w:r>
        <w:rPr>
          <w:i/>
        </w:rPr>
        <w:t>председател</w:t>
      </w:r>
      <w:r>
        <w:t>,</w:t>
      </w:r>
      <w:r>
        <w:br/>
      </w:r>
      <w:r>
        <w:tab/>
        <w:t>Ери</w:t>
      </w:r>
      <w:r w:rsidR="007055A9">
        <w:t>к</w:t>
      </w:r>
      <w:r>
        <w:t xml:space="preserve"> </w:t>
      </w:r>
      <w:proofErr w:type="spellStart"/>
      <w:r>
        <w:t>Мьозе</w:t>
      </w:r>
      <w:proofErr w:type="spellEnd"/>
      <w:r>
        <w:t xml:space="preserve"> (</w:t>
      </w:r>
      <w:proofErr w:type="spellStart"/>
      <w:r>
        <w:t>Erik</w:t>
      </w:r>
      <w:proofErr w:type="spellEnd"/>
      <w:r>
        <w:t xml:space="preserve"> </w:t>
      </w:r>
      <w:proofErr w:type="spellStart"/>
      <w:r>
        <w:t>Møse</w:t>
      </w:r>
      <w:proofErr w:type="spellEnd"/>
      <w:r>
        <w:t>),</w:t>
      </w:r>
      <w:r>
        <w:rPr>
          <w:i/>
        </w:rPr>
        <w:br/>
      </w:r>
      <w:r>
        <w:tab/>
        <w:t xml:space="preserve">Андре </w:t>
      </w:r>
      <w:proofErr w:type="spellStart"/>
      <w:r>
        <w:t>Пото</w:t>
      </w:r>
      <w:r w:rsidR="007055A9">
        <w:t>ц</w:t>
      </w:r>
      <w:r>
        <w:t>ки</w:t>
      </w:r>
      <w:proofErr w:type="spellEnd"/>
      <w:r>
        <w:t xml:space="preserve"> (</w:t>
      </w:r>
      <w:proofErr w:type="spellStart"/>
      <w:r>
        <w:t>André</w:t>
      </w:r>
      <w:proofErr w:type="spellEnd"/>
      <w:r>
        <w:t xml:space="preserve"> </w:t>
      </w:r>
      <w:proofErr w:type="spellStart"/>
      <w:r>
        <w:t>Potocki</w:t>
      </w:r>
      <w:proofErr w:type="spellEnd"/>
      <w:r>
        <w:t>),</w:t>
      </w:r>
      <w:r>
        <w:rPr>
          <w:i/>
        </w:rPr>
        <w:br/>
      </w:r>
      <w:r>
        <w:tab/>
      </w:r>
      <w:proofErr w:type="spellStart"/>
      <w:r>
        <w:t>Шифра</w:t>
      </w:r>
      <w:proofErr w:type="spellEnd"/>
      <w:r>
        <w:t xml:space="preserve"> </w:t>
      </w:r>
      <w:proofErr w:type="spellStart"/>
      <w:r>
        <w:t>О’Лиъри</w:t>
      </w:r>
      <w:proofErr w:type="spellEnd"/>
      <w:r>
        <w:t xml:space="preserve"> (</w:t>
      </w:r>
      <w:proofErr w:type="spellStart"/>
      <w:r>
        <w:t>Síofra</w:t>
      </w:r>
      <w:proofErr w:type="spellEnd"/>
      <w:r>
        <w:t xml:space="preserve"> </w:t>
      </w:r>
      <w:proofErr w:type="spellStart"/>
      <w:r>
        <w:t>O’Leary</w:t>
      </w:r>
      <w:proofErr w:type="spellEnd"/>
      <w:r>
        <w:t>),</w:t>
      </w:r>
      <w:r>
        <w:rPr>
          <w:i/>
        </w:rPr>
        <w:br/>
      </w:r>
      <w:r>
        <w:tab/>
        <w:t xml:space="preserve">Габриеле </w:t>
      </w:r>
      <w:proofErr w:type="spellStart"/>
      <w:r>
        <w:t>Куцко-Щадлмайер</w:t>
      </w:r>
      <w:proofErr w:type="spellEnd"/>
      <w:r>
        <w:t xml:space="preserve"> (</w:t>
      </w:r>
      <w:proofErr w:type="spellStart"/>
      <w:r>
        <w:t>Gabriele</w:t>
      </w:r>
      <w:proofErr w:type="spellEnd"/>
      <w:r>
        <w:t xml:space="preserve"> </w:t>
      </w:r>
      <w:proofErr w:type="spellStart"/>
      <w:r>
        <w:t>Kucsko-Stadlmayer</w:t>
      </w:r>
      <w:proofErr w:type="spellEnd"/>
      <w:r>
        <w:t>),</w:t>
      </w:r>
      <w:r>
        <w:rPr>
          <w:i/>
        </w:rPr>
        <w:br/>
      </w:r>
      <w:r>
        <w:tab/>
        <w:t>Летиф Хюсеинов (</w:t>
      </w:r>
      <w:proofErr w:type="spellStart"/>
      <w:r>
        <w:t>Lәtif</w:t>
      </w:r>
      <w:proofErr w:type="spellEnd"/>
      <w:r>
        <w:t xml:space="preserve"> </w:t>
      </w:r>
      <w:proofErr w:type="spellStart"/>
      <w:r>
        <w:t>Hüseynov</w:t>
      </w:r>
      <w:proofErr w:type="spellEnd"/>
      <w:r>
        <w:t>),</w:t>
      </w:r>
      <w:r>
        <w:rPr>
          <w:i/>
        </w:rPr>
        <w:t xml:space="preserve"> съдии</w:t>
      </w:r>
      <w:r>
        <w:t>,</w:t>
      </w:r>
      <w:r>
        <w:br/>
      </w:r>
      <w:r>
        <w:tab/>
        <w:t>Майя Русева (</w:t>
      </w:r>
      <w:proofErr w:type="spellStart"/>
      <w:r>
        <w:t>Maiia</w:t>
      </w:r>
      <w:proofErr w:type="spellEnd"/>
      <w:r>
        <w:t xml:space="preserve"> </w:t>
      </w:r>
      <w:proofErr w:type="spellStart"/>
      <w:r>
        <w:t>Rousseva</w:t>
      </w:r>
      <w:proofErr w:type="spellEnd"/>
      <w:r>
        <w:t xml:space="preserve">), ad hoc </w:t>
      </w:r>
      <w:r>
        <w:rPr>
          <w:i/>
        </w:rPr>
        <w:t>съдия</w:t>
      </w:r>
      <w:r>
        <w:t>,</w:t>
      </w:r>
      <w:r>
        <w:br/>
        <w:t xml:space="preserve">и </w:t>
      </w:r>
      <w:proofErr w:type="spellStart"/>
      <w:r>
        <w:t>Kлаудия</w:t>
      </w:r>
      <w:proofErr w:type="spellEnd"/>
      <w:r>
        <w:t xml:space="preserve"> </w:t>
      </w:r>
      <w:proofErr w:type="spellStart"/>
      <w:r>
        <w:t>Вестердик</w:t>
      </w:r>
      <w:proofErr w:type="spellEnd"/>
      <w:r>
        <w:t xml:space="preserve"> (</w:t>
      </w:r>
      <w:proofErr w:type="spellStart"/>
      <w:r>
        <w:t>Claudia</w:t>
      </w:r>
      <w:proofErr w:type="spellEnd"/>
      <w:r>
        <w:t xml:space="preserve"> </w:t>
      </w:r>
      <w:proofErr w:type="spellStart"/>
      <w:r>
        <w:t>Westerdiek</w:t>
      </w:r>
      <w:proofErr w:type="spellEnd"/>
      <w:r>
        <w:t xml:space="preserve">), </w:t>
      </w:r>
      <w:r>
        <w:rPr>
          <w:i/>
        </w:rPr>
        <w:t>секретар на отделението</w:t>
      </w:r>
      <w:r>
        <w:t>,</w:t>
      </w:r>
    </w:p>
    <w:p w:rsidR="00014566" w:rsidRPr="00916EE7" w:rsidRDefault="00014566" w:rsidP="00916EE7">
      <w:pPr>
        <w:pStyle w:val="ECHRPara"/>
      </w:pPr>
      <w:r>
        <w:t>След закрито заседание, проведено на 5 декември 2017 г.,</w:t>
      </w:r>
    </w:p>
    <w:p w:rsidR="00014566" w:rsidRPr="00916EE7" w:rsidRDefault="00014566" w:rsidP="00916EE7">
      <w:pPr>
        <w:pStyle w:val="ECHRPara"/>
      </w:pPr>
      <w:r>
        <w:t xml:space="preserve">Постановява следното решение, прието на </w:t>
      </w:r>
      <w:r w:rsidR="007055A9">
        <w:t xml:space="preserve">същата </w:t>
      </w:r>
      <w:r>
        <w:t>дата:</w:t>
      </w:r>
    </w:p>
    <w:p w:rsidR="00014566" w:rsidRPr="00916EE7" w:rsidRDefault="00014566" w:rsidP="00916EE7">
      <w:pPr>
        <w:pStyle w:val="ECHRTitle1"/>
      </w:pPr>
      <w:r>
        <w:t>ПРОЦЕДУРА</w:t>
      </w:r>
    </w:p>
    <w:p w:rsidR="00014566" w:rsidRPr="00916EE7" w:rsidRDefault="00F90F4C" w:rsidP="00916EE7">
      <w:pPr>
        <w:pStyle w:val="ECHRPara"/>
      </w:pPr>
      <w:fldSimple w:instr=" SEQ level0 \*arabic ">
        <w:r w:rsidR="00916EE7" w:rsidRPr="00916EE7">
          <w:rPr>
            <w:noProof/>
          </w:rPr>
          <w:t>1</w:t>
        </w:r>
      </w:fldSimple>
      <w:r w:rsidR="00D5392A">
        <w:t>.  Делото е образувано по жалба (№ 29496/16) срещу Република България, подадена в Съда на основание чл. 34 от Конвенцията за защита на правата на човека и основните свободи (”Конвенцията”) на 2</w:t>
      </w:r>
      <w:r w:rsidR="00B110BA">
        <w:t>7 април 2016 г.</w:t>
      </w:r>
      <w:r w:rsidR="00D5392A">
        <w:t xml:space="preserve"> Жалбоподателите са Обединена македонска организация “Илинден” (”Илинден”), неправителствена организация, базирана в Югозападна България, в район, известен като Пирински регион или географския регион на Пиринска Македония; г-н Йордан Костадинов Иванов, български гражданин, роден през 1932 г. и живеещ в Сандански, който е председател на “Илинден”; и г-н Иван Димитров Хаджиев, български гражданин, роден през 1969 г. и живеещ в София, който е член на управителния съвет на “Илинден”.</w:t>
      </w:r>
    </w:p>
    <w:p w:rsidR="00D5392A" w:rsidRPr="00916EE7" w:rsidRDefault="00F90F4C" w:rsidP="00916EE7">
      <w:pPr>
        <w:pStyle w:val="ECHRPara"/>
      </w:pPr>
      <w:fldSimple w:instr=" SEQ level0 \*arabic ">
        <w:r w:rsidR="00916EE7" w:rsidRPr="00916EE7">
          <w:rPr>
            <w:noProof/>
          </w:rPr>
          <w:t>2</w:t>
        </w:r>
      </w:fldSimple>
      <w:r w:rsidR="00D5392A">
        <w:t>.  Жалбоподателите се представляват от г-н К. Кънев, председател на Българския хелзинкски комитет, неправителствена организация, базирана в София. На 15 януари 2016 г. председателят на отделението дава на г-н Кънев разрешение да представлява жалбоподателите във всички висящи и бъдещи дела, в които той лично действа като представител (</w:t>
      </w:r>
      <w:r w:rsidR="008C7578">
        <w:t>п</w:t>
      </w:r>
      <w:r w:rsidR="00D5392A">
        <w:t>равило 36 § 4 (а) от Правилника на Съда</w:t>
      </w:r>
      <w:r w:rsidR="008C7578">
        <w:t xml:space="preserve"> в края</w:t>
      </w:r>
      <w:r w:rsidR="00D5392A">
        <w:t xml:space="preserve">). Българското правителство („Правителството”) се </w:t>
      </w:r>
      <w:r w:rsidR="00B110BA">
        <w:t>представлява от правителствения агент</w:t>
      </w:r>
      <w:r w:rsidR="00D5392A">
        <w:t xml:space="preserve"> г-жа М. Димитрова и г-жа Б. Симеонова, младши експерт, от Министерство на правосъдието.</w:t>
      </w:r>
    </w:p>
    <w:p w:rsidR="00014566" w:rsidRPr="00916EE7" w:rsidRDefault="00F90F4C" w:rsidP="00916EE7">
      <w:pPr>
        <w:pStyle w:val="ECHRPara"/>
      </w:pPr>
      <w:fldSimple w:instr=" SEQ level0 \*arabic ">
        <w:r w:rsidR="00916EE7" w:rsidRPr="00916EE7">
          <w:rPr>
            <w:noProof/>
          </w:rPr>
          <w:t>3</w:t>
        </w:r>
      </w:fldSimple>
      <w:r w:rsidR="00D5392A">
        <w:t>.  Жалбоподателите твърдят, че отказът на българските съдилища да регистрират „Илинден” е в нарушение на тяхното право на свобода на сдружаване. Те твърдят</w:t>
      </w:r>
      <w:r w:rsidR="00884573" w:rsidRPr="00930329">
        <w:t xml:space="preserve"> също</w:t>
      </w:r>
      <w:r w:rsidR="00D5392A">
        <w:t>, че отказът, който според тях се основава на политиката на българската държава да отрича съществуването на македонско малцинство в България, е дискриминационен.</w:t>
      </w:r>
    </w:p>
    <w:p w:rsidR="00D5392A" w:rsidRPr="00916EE7" w:rsidRDefault="00F90F4C" w:rsidP="00916EE7">
      <w:pPr>
        <w:pStyle w:val="ECHRPara"/>
      </w:pPr>
      <w:fldSimple w:instr=" SEQ level0 \*arabic ">
        <w:r w:rsidR="00916EE7" w:rsidRPr="00916EE7">
          <w:rPr>
            <w:noProof/>
          </w:rPr>
          <w:t>4</w:t>
        </w:r>
      </w:fldSimple>
      <w:r w:rsidR="00D5392A">
        <w:t>.  На 13 септември 2016 г. г-н Йонко Грозев, избран</w:t>
      </w:r>
      <w:r w:rsidR="00884573">
        <w:t>ият</w:t>
      </w:r>
      <w:r w:rsidR="00D5392A">
        <w:t xml:space="preserve"> от името на България</w:t>
      </w:r>
      <w:r w:rsidR="00884573">
        <w:t xml:space="preserve"> съдия</w:t>
      </w:r>
      <w:r w:rsidR="00D5392A">
        <w:t xml:space="preserve">, се </w:t>
      </w:r>
      <w:r w:rsidR="00B110BA">
        <w:t>отвежда</w:t>
      </w:r>
      <w:r w:rsidR="00D5392A">
        <w:t xml:space="preserve"> от </w:t>
      </w:r>
      <w:r w:rsidR="00884573">
        <w:t>разглеждането на</w:t>
      </w:r>
      <w:r w:rsidR="00D5392A">
        <w:t xml:space="preserve"> делото (</w:t>
      </w:r>
      <w:r w:rsidR="00884573">
        <w:t>п</w:t>
      </w:r>
      <w:r w:rsidR="00D5392A">
        <w:t xml:space="preserve">равило 28 § 3). Съответно на 19 октомври 2017 г. председателят </w:t>
      </w:r>
      <w:r w:rsidR="00884573">
        <w:t xml:space="preserve">назначава </w:t>
      </w:r>
      <w:r w:rsidR="00D5392A">
        <w:t xml:space="preserve">г-жа Майя Русева като </w:t>
      </w:r>
      <w:r w:rsidR="00D5392A">
        <w:rPr>
          <w:i/>
        </w:rPr>
        <w:t>ad hoc</w:t>
      </w:r>
      <w:r w:rsidR="00D5392A">
        <w:t xml:space="preserve"> съдия от списъка на петте лица, определени от Република България </w:t>
      </w:r>
      <w:r w:rsidR="00B110BA">
        <w:t>за заемане на тази</w:t>
      </w:r>
      <w:r w:rsidR="00D5392A">
        <w:t xml:space="preserve"> длъжност (чл. 26 § 4 от Конвенцията и </w:t>
      </w:r>
      <w:r w:rsidR="00884573">
        <w:t>п</w:t>
      </w:r>
      <w:r w:rsidR="00D5392A">
        <w:t>равило 29 § 1 (а)).</w:t>
      </w:r>
    </w:p>
    <w:p w:rsidR="00163F06" w:rsidRPr="00916EE7" w:rsidRDefault="00F90F4C" w:rsidP="00916EE7">
      <w:pPr>
        <w:pStyle w:val="ECHRPara"/>
      </w:pPr>
      <w:fldSimple w:instr=" SEQ level0 \*arabic ">
        <w:r w:rsidR="00916EE7" w:rsidRPr="00916EE7">
          <w:rPr>
            <w:noProof/>
          </w:rPr>
          <w:t>5</w:t>
        </w:r>
      </w:fldSimple>
      <w:r w:rsidR="00D5392A">
        <w:t>.  Междувременно на 30 август 2016 г. Съдът решава да даде приоритет на жалбата (</w:t>
      </w:r>
      <w:r w:rsidR="00884573">
        <w:t>п</w:t>
      </w:r>
      <w:r w:rsidR="00D5392A">
        <w:t>равило 41) и на 5 октомври 2016 г. Правителството</w:t>
      </w:r>
      <w:r w:rsidR="00884573">
        <w:t xml:space="preserve"> е уведомено</w:t>
      </w:r>
      <w:r w:rsidR="00D5392A">
        <w:t xml:space="preserve"> за това.</w:t>
      </w:r>
    </w:p>
    <w:p w:rsidR="00014566" w:rsidRPr="00916EE7" w:rsidRDefault="00014566" w:rsidP="00916EE7">
      <w:pPr>
        <w:pStyle w:val="ECHRTitle1"/>
      </w:pPr>
      <w:r>
        <w:t>ФАКТИТЕ</w:t>
      </w:r>
    </w:p>
    <w:p w:rsidR="00014566" w:rsidRPr="00916EE7" w:rsidRDefault="00014566" w:rsidP="00916EE7">
      <w:pPr>
        <w:pStyle w:val="ECHRHeading1"/>
        <w:outlineLvl w:val="1"/>
      </w:pPr>
      <w:r>
        <w:t>I.  ОБСТОЯТЕЛСТВА</w:t>
      </w:r>
      <w:r w:rsidR="00884573">
        <w:t>ТА</w:t>
      </w:r>
      <w:r>
        <w:t xml:space="preserve"> ПО ДЕЛОТО</w:t>
      </w:r>
    </w:p>
    <w:p w:rsidR="00475AD3" w:rsidRPr="00916EE7" w:rsidRDefault="00475AD3" w:rsidP="00916EE7">
      <w:pPr>
        <w:pStyle w:val="ECHRHeading2"/>
        <w:outlineLvl w:val="2"/>
      </w:pPr>
      <w:r>
        <w:t>А. Предистория</w:t>
      </w:r>
    </w:p>
    <w:p w:rsidR="00475AD3" w:rsidRPr="00916EE7" w:rsidRDefault="00F90F4C" w:rsidP="00916EE7">
      <w:pPr>
        <w:pStyle w:val="ECHRPara"/>
      </w:pPr>
      <w:fldSimple w:instr=" SEQ level0 \*arabic ">
        <w:r w:rsidR="00916EE7" w:rsidRPr="00916EE7">
          <w:rPr>
            <w:noProof/>
          </w:rPr>
          <w:t>6</w:t>
        </w:r>
      </w:fldSimple>
      <w:r w:rsidR="00475AD3">
        <w:t>.  Предисторията на разглеждания в настоящото дело отка</w:t>
      </w:r>
      <w:r w:rsidR="00B110BA">
        <w:t>з за регистрация на “Илинден” е изложена</w:t>
      </w:r>
      <w:r w:rsidR="00475AD3">
        <w:t xml:space="preserve"> подробно в решенията в следните дела: </w:t>
      </w:r>
      <w:r w:rsidR="00475AD3">
        <w:rPr>
          <w:i/>
        </w:rPr>
        <w:t>Станков и Обединената македонска организация “Илинден” срещу България</w:t>
      </w:r>
      <w:r w:rsidR="00475AD3">
        <w:t xml:space="preserve">, № 29221/95 и 29225/95, ЕСПЧ 2001-IX; </w:t>
      </w:r>
      <w:r w:rsidR="00475AD3">
        <w:rPr>
          <w:i/>
        </w:rPr>
        <w:t>Обединена македонска организация “Илинден” и Иванов срещу България</w:t>
      </w:r>
      <w:r w:rsidR="00475AD3">
        <w:t xml:space="preserve">, № 44079/98, 20 октомври 2005 г.; </w:t>
      </w:r>
      <w:r w:rsidR="00475AD3">
        <w:rPr>
          <w:i/>
        </w:rPr>
        <w:t>Обединена македонска организация “Илинден – ПИРИН” и други срещу България</w:t>
      </w:r>
      <w:r w:rsidR="00475AD3">
        <w:t xml:space="preserve">, № 59489/00, 20 октомври 2005 г.; </w:t>
      </w:r>
      <w:r w:rsidR="00475AD3">
        <w:rPr>
          <w:i/>
        </w:rPr>
        <w:t>Иванов и други срещу България</w:t>
      </w:r>
      <w:r w:rsidR="00475AD3">
        <w:t xml:space="preserve">, № 46336/99, 24 ноември 2005 г.; </w:t>
      </w:r>
      <w:r w:rsidR="00475AD3">
        <w:rPr>
          <w:i/>
        </w:rPr>
        <w:t>Обединена македонска организация “Илинден” и други срещу България</w:t>
      </w:r>
      <w:r w:rsidR="00475AD3">
        <w:t>, №</w:t>
      </w:r>
      <w:r w:rsidR="00B110BA">
        <w:t xml:space="preserve"> </w:t>
      </w:r>
      <w:r w:rsidR="00475AD3">
        <w:t xml:space="preserve">59491/00, 19 януари 2006 г.; </w:t>
      </w:r>
      <w:r w:rsidR="00475AD3">
        <w:rPr>
          <w:i/>
        </w:rPr>
        <w:t>Обединена македонска организация “Илинден” и Иванов срещу България (№ 2)</w:t>
      </w:r>
      <w:r w:rsidR="00475AD3">
        <w:t xml:space="preserve">, № 37586/04, 18 октомври 2011 г.; </w:t>
      </w:r>
      <w:r w:rsidR="00475AD3">
        <w:rPr>
          <w:i/>
        </w:rPr>
        <w:t>Обединена македонска организация “Илинден” и други срещу България (№ 2)</w:t>
      </w:r>
      <w:r w:rsidR="00475AD3">
        <w:t xml:space="preserve">, № 34960/04, 18 октомври 2011 г.; </w:t>
      </w:r>
      <w:r w:rsidR="00475AD3">
        <w:rPr>
          <w:i/>
        </w:rPr>
        <w:t>Сингартийски и други срещу България</w:t>
      </w:r>
      <w:r w:rsidR="00475AD3">
        <w:t xml:space="preserve">, № 48284/07, 18 октомври 2011 г.; и </w:t>
      </w:r>
      <w:r w:rsidR="00475AD3">
        <w:rPr>
          <w:i/>
        </w:rPr>
        <w:t>Обединена македонска организация “Илинден – ПИРИН” и други срещу България (№ 2)</w:t>
      </w:r>
      <w:r w:rsidR="00475AD3">
        <w:t>, № 41561/07 и 20972/08, 18 октомври 2011 г.</w:t>
      </w:r>
    </w:p>
    <w:p w:rsidR="00475AD3" w:rsidRPr="00916EE7" w:rsidRDefault="00475AD3" w:rsidP="00916EE7">
      <w:pPr>
        <w:pStyle w:val="ECHRHeading2"/>
        <w:outlineLvl w:val="2"/>
      </w:pPr>
      <w:r>
        <w:t>Б. Отказът за регистриране на “Илинден” от 2012 г.</w:t>
      </w:r>
    </w:p>
    <w:bookmarkStart w:id="0" w:name="F_2012_case"/>
    <w:p w:rsidR="00475AD3" w:rsidRPr="00916EE7" w:rsidRDefault="00475AD3"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7</w:t>
      </w:r>
      <w:r w:rsidRPr="00916EE7">
        <w:fldChar w:fldCharType="end"/>
      </w:r>
      <w:bookmarkEnd w:id="0"/>
      <w:r>
        <w:t>.  На 27 септември 2010 г. управителният съвет на “Илинден” подава заявление до Окръжен съд</w:t>
      </w:r>
      <w:r w:rsidR="00B110BA">
        <w:t xml:space="preserve"> -</w:t>
      </w:r>
      <w:r w:rsidR="002D435A">
        <w:t xml:space="preserve"> </w:t>
      </w:r>
      <w:r>
        <w:t>Благоевград за регистрация като сдружение. На 3 февруари 2012 г. Окръжен съд</w:t>
      </w:r>
      <w:r w:rsidR="002D435A">
        <w:t xml:space="preserve"> </w:t>
      </w:r>
      <w:r>
        <w:t>Благоевград отхвърля заявлението, а на 23 април 2012 г. решението му е потвърдено от Апелативен съд</w:t>
      </w:r>
      <w:r w:rsidR="00B110BA">
        <w:t xml:space="preserve"> - </w:t>
      </w:r>
      <w:r>
        <w:t xml:space="preserve">София. Подробно описание на тези производства може да </w:t>
      </w:r>
      <w:r w:rsidR="002D435A">
        <w:t xml:space="preserve">бъде </w:t>
      </w:r>
      <w:r>
        <w:t>намер</w:t>
      </w:r>
      <w:r w:rsidR="002D435A">
        <w:t>ено</w:t>
      </w:r>
      <w:r>
        <w:t xml:space="preserve"> в </w:t>
      </w:r>
      <w:r>
        <w:rPr>
          <w:i/>
        </w:rPr>
        <w:t>Йордан Иванов и други срещу България</w:t>
      </w:r>
      <w:r>
        <w:t xml:space="preserve"> (№ 70502/13, §§ 8-18, 11 януари 2018 г.).</w:t>
      </w:r>
    </w:p>
    <w:p w:rsidR="00475AD3" w:rsidRPr="00916EE7" w:rsidRDefault="00475AD3" w:rsidP="00916EE7">
      <w:pPr>
        <w:pStyle w:val="ECHRHeading2"/>
        <w:outlineLvl w:val="2"/>
      </w:pPr>
      <w:r>
        <w:lastRenderedPageBreak/>
        <w:t>В. Отказът за регистриране на “Илинден” от 2014-15 г.</w:t>
      </w:r>
    </w:p>
    <w:p w:rsidR="00D5392A" w:rsidRPr="00916EE7" w:rsidRDefault="00F90F4C" w:rsidP="00916EE7">
      <w:pPr>
        <w:pStyle w:val="ECHRPara"/>
      </w:pPr>
      <w:fldSimple w:instr=" SEQ level0 \*arabic ">
        <w:r w:rsidR="00916EE7" w:rsidRPr="00916EE7">
          <w:rPr>
            <w:noProof/>
          </w:rPr>
          <w:t>8</w:t>
        </w:r>
      </w:fldSimple>
      <w:r w:rsidR="00D5392A">
        <w:t>.  На 23 март 2014 г. вторият и третият жалбоподател, както и други седем души, провеждат среща, на която решават да учредят “Илинден” като сдружение. Те определят целите на “Илинден” и средствата, които ще използва за постигането им, приемат устава ѝ и избират нейния управителен съвет, състоящ се от всичките деветима от тях.</w:t>
      </w:r>
    </w:p>
    <w:p w:rsidR="00D5392A" w:rsidRPr="00916EE7" w:rsidRDefault="00F90F4C" w:rsidP="00916EE7">
      <w:pPr>
        <w:pStyle w:val="ECHRPara"/>
      </w:pPr>
      <w:fldSimple w:instr=" SEQ level0 \*arabic ">
        <w:r w:rsidR="00916EE7" w:rsidRPr="00916EE7">
          <w:rPr>
            <w:noProof/>
          </w:rPr>
          <w:t>9</w:t>
        </w:r>
      </w:fldSimple>
      <w:r w:rsidR="00D5392A">
        <w:t>.  Малко след това управителният съвет подава заявление до Окръжен съд</w:t>
      </w:r>
      <w:r w:rsidR="002D435A">
        <w:t xml:space="preserve"> </w:t>
      </w:r>
      <w:r w:rsidR="00D5392A">
        <w:t xml:space="preserve">Благоевград </w:t>
      </w:r>
      <w:r w:rsidR="00B110BA">
        <w:t xml:space="preserve">„Илинден“ </w:t>
      </w:r>
      <w:r w:rsidR="002D435A">
        <w:t xml:space="preserve">да бъде </w:t>
      </w:r>
      <w:r w:rsidR="00B110BA">
        <w:t>регистри</w:t>
      </w:r>
      <w:r w:rsidR="002D435A">
        <w:t>рано</w:t>
      </w:r>
      <w:r w:rsidR="00D5392A">
        <w:t xml:space="preserve"> като сдружение.</w:t>
      </w:r>
    </w:p>
    <w:bookmarkStart w:id="1" w:name="F_BRC_judgment"/>
    <w:p w:rsidR="00D5392A" w:rsidRPr="00916EE7" w:rsidRDefault="00D5392A"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10</w:t>
      </w:r>
      <w:r w:rsidRPr="00916EE7">
        <w:fldChar w:fldCharType="end"/>
      </w:r>
      <w:bookmarkEnd w:id="1"/>
      <w:r>
        <w:t>.  В решение от 30 юни 2014 г. (реш. № 2768 от 30.06.2014 г. по ф. д. № 36/2014 г., БОС) Окръжен съд</w:t>
      </w:r>
      <w:r w:rsidR="00B110BA">
        <w:t>-</w:t>
      </w:r>
      <w:r>
        <w:t>Благоевград отхвърля заявлението. На първо място той отбелязва, че макар “Илинден” да е заявила, че възнамерява да бъде сдружение, което служи само на интересите на своите членове, цели</w:t>
      </w:r>
      <w:r w:rsidR="002D435A">
        <w:t>те й</w:t>
      </w:r>
      <w:r>
        <w:t xml:space="preserve">, изложени в нейния устав, показват, че в действителност тя има за цел да служи на по-широки обществени интереси (вж. параграф </w:t>
      </w:r>
      <w:r w:rsidRPr="00916EE7">
        <w:fldChar w:fldCharType="begin"/>
      </w:r>
      <w:r w:rsidRPr="00916EE7">
        <w:instrText xml:space="preserve"> REF RDL_Non_Profit_Legal_Persons_Act_pub_pri \h </w:instrText>
      </w:r>
      <w:r w:rsidRPr="00916EE7">
        <w:fldChar w:fldCharType="separate"/>
      </w:r>
      <w:r w:rsidR="00916EE7" w:rsidRPr="00916EE7">
        <w:rPr>
          <w:noProof/>
        </w:rPr>
        <w:t>23</w:t>
      </w:r>
      <w:r w:rsidRPr="00916EE7">
        <w:fldChar w:fldCharType="end"/>
      </w:r>
      <w:r>
        <w:t xml:space="preserve"> по-долу). Съдът отбелязва ощ</w:t>
      </w:r>
      <w:r w:rsidR="00B110BA">
        <w:t>е, че в устава на “Илинден” се посочва</w:t>
      </w:r>
      <w:r>
        <w:t>, че ще се стреми наред с другото към въвеждане на македонския език в училищата, защита на правото на македонците да опровергават пропагандата за тяхната история и култура и защитата на македонското културно наследство, което</w:t>
      </w:r>
      <w:r w:rsidR="002D435A">
        <w:t xml:space="preserve"> </w:t>
      </w:r>
      <w:r>
        <w:t>“подл</w:t>
      </w:r>
      <w:r w:rsidR="002D435A">
        <w:t>ежи</w:t>
      </w:r>
      <w:r>
        <w:t xml:space="preserve"> на </w:t>
      </w:r>
      <w:proofErr w:type="spellStart"/>
      <w:r>
        <w:t>етноцид</w:t>
      </w:r>
      <w:proofErr w:type="spellEnd"/>
      <w:r>
        <w:t xml:space="preserve"> от българските културни институции”. В устава се посочва, че “Илинден” ще организира семинари и пресконференции, за да изложи причините за “политиката на принудителн</w:t>
      </w:r>
      <w:r w:rsidR="00B110BA">
        <w:t xml:space="preserve">а асимилация и дискриминация </w:t>
      </w:r>
      <w:r>
        <w:t xml:space="preserve">и ксенофобия към македонците в България”. Съгласно устава “Илинден” е “македонска организация, изградена на македонска етническа основа и произход в границите на България” и “ще напомня [на хората] за терора, извършен от България, за хилядите убити македонци, за насилието, затворите и лишаването от основни права и свободи на македонците след 1913 г., което представлява престъпление по международното право”. За съда всички тези изявления създават впечатлението, че “Илинден” възнамерява да предизвика национална и етническа омраза в противоречие с чл. 44, ал. 2 от Конституцията (вж. параграф </w:t>
      </w:r>
      <w:r w:rsidRPr="00916EE7">
        <w:fldChar w:fldCharType="begin"/>
      </w:r>
      <w:r w:rsidRPr="00916EE7">
        <w:instrText xml:space="preserve"> REF RDL_C_A_44_2 \h </w:instrText>
      </w:r>
      <w:r w:rsidRPr="00916EE7">
        <w:fldChar w:fldCharType="separate"/>
      </w:r>
      <w:r w:rsidR="00916EE7" w:rsidRPr="00916EE7">
        <w:rPr>
          <w:noProof/>
        </w:rPr>
        <w:t>21</w:t>
      </w:r>
      <w:r w:rsidRPr="00916EE7">
        <w:fldChar w:fldCharType="end"/>
      </w:r>
      <w:r>
        <w:t xml:space="preserve"> по-долу). Освен това изявленията, съчетани със съществуването, макар и кратко, на политическа партия, наречена Обединена македонска организация “Илинден-ПИРИН”, чиято пререгистрация наскоро е отказана, както и съществуването на организации, носещи същото или подобно име, водят до заключението, че намерението е да се въведе в заблуждение обществото и да се получи регистрация </w:t>
      </w:r>
      <w:r w:rsidR="002D435A">
        <w:t>з</w:t>
      </w:r>
      <w:r>
        <w:t xml:space="preserve">а организация, която преследва политически цели (вж. параграфи </w:t>
      </w:r>
      <w:r w:rsidRPr="00916EE7">
        <w:fldChar w:fldCharType="begin"/>
      </w:r>
      <w:r w:rsidRPr="00916EE7">
        <w:instrText xml:space="preserve"> REF RDL_C_A_12_2 \h </w:instrText>
      </w:r>
      <w:r w:rsidRPr="00916EE7">
        <w:fldChar w:fldCharType="separate"/>
      </w:r>
      <w:r w:rsidR="00916EE7" w:rsidRPr="00916EE7">
        <w:rPr>
          <w:noProof/>
        </w:rPr>
        <w:t>18</w:t>
      </w:r>
      <w:r w:rsidRPr="00916EE7">
        <w:fldChar w:fldCharType="end"/>
      </w:r>
      <w:r>
        <w:t>-</w:t>
      </w:r>
      <w:r w:rsidRPr="00916EE7">
        <w:fldChar w:fldCharType="begin"/>
      </w:r>
      <w:r w:rsidRPr="00916EE7">
        <w:instrText xml:space="preserve"> REF RDL_C_A_12_2_CC_dec_2015 \h </w:instrText>
      </w:r>
      <w:r w:rsidRPr="00916EE7">
        <w:fldChar w:fldCharType="separate"/>
      </w:r>
      <w:r w:rsidR="00916EE7" w:rsidRPr="00916EE7">
        <w:rPr>
          <w:noProof/>
        </w:rPr>
        <w:t>20</w:t>
      </w:r>
      <w:r w:rsidRPr="00916EE7">
        <w:fldChar w:fldCharType="end"/>
      </w:r>
      <w:r>
        <w:t xml:space="preserve"> по-долу), или организация, насочена срещу единството на нацията. Това също противоречи на чл. 7, ал. 2 от Закона за юридическите лица с нестопанска цел от 2000 г. (вж. параграф </w:t>
      </w:r>
      <w:r w:rsidRPr="00916EE7">
        <w:fldChar w:fldCharType="begin"/>
      </w:r>
      <w:r w:rsidRPr="00916EE7">
        <w:instrText xml:space="preserve"> REF RDL_Non_Profit_Legal_Persons_Act_s_7_2 \h </w:instrText>
      </w:r>
      <w:r w:rsidRPr="00916EE7">
        <w:fldChar w:fldCharType="separate"/>
      </w:r>
      <w:r w:rsidR="00916EE7" w:rsidRPr="00916EE7">
        <w:rPr>
          <w:noProof/>
        </w:rPr>
        <w:t>24</w:t>
      </w:r>
      <w:r w:rsidRPr="00916EE7">
        <w:fldChar w:fldCharType="end"/>
      </w:r>
      <w:r>
        <w:t xml:space="preserve"> по-долу), който забранява на сдруженията да имат заблуждаващи имена. </w:t>
      </w:r>
      <w:r w:rsidR="002D435A">
        <w:lastRenderedPageBreak/>
        <w:t>Н</w:t>
      </w:r>
      <w:r>
        <w:t>акрая, наименованието на сдружението не е уникално, както се изисква от закона.</w:t>
      </w:r>
    </w:p>
    <w:bookmarkStart w:id="2" w:name="F_BRC_judgment_appeal"/>
    <w:p w:rsidR="00D5392A" w:rsidRPr="00916EE7" w:rsidRDefault="00D5392A"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11</w:t>
      </w:r>
      <w:r w:rsidRPr="00916EE7">
        <w:fldChar w:fldCharType="end"/>
      </w:r>
      <w:bookmarkEnd w:id="2"/>
      <w:r>
        <w:t>.  </w:t>
      </w:r>
      <w:r w:rsidR="00EE01DA">
        <w:t>Учредителите</w:t>
      </w:r>
      <w:r>
        <w:t xml:space="preserve"> на “Илинден” обжалват. Те твърдят, че съдът е разбрал погрешно устава на “Илинден” и е допуснал грешка като е констатира</w:t>
      </w:r>
      <w:r w:rsidR="00EE01DA">
        <w:t>л</w:t>
      </w:r>
      <w:r>
        <w:t>, че дейността ѝ ще бъде политическа или насочена срещу единството на нацията. Истинската причина за отказа да се регистрира “Илинден” е, че тя защитава мнения, които са в противоречие с официалните.</w:t>
      </w:r>
    </w:p>
    <w:bookmarkStart w:id="3" w:name="F_SCA_judgment"/>
    <w:p w:rsidR="00D5392A" w:rsidRPr="00916EE7" w:rsidRDefault="00D5392A"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12</w:t>
      </w:r>
      <w:r w:rsidRPr="00916EE7">
        <w:fldChar w:fldCharType="end"/>
      </w:r>
      <w:bookmarkEnd w:id="3"/>
      <w:r>
        <w:t>.  В решение от 18 ноември 2014 г. (реш. № 2272 от 18.11.2015 г. по ф. д. № 2968/2014 г., САС, ТО) тричленен състав на Апелативен съд София потвърждава отказа за регистриране на “Илинден” с два на един гласа.</w:t>
      </w:r>
    </w:p>
    <w:bookmarkStart w:id="4" w:name="F_SCA_judgment_bis"/>
    <w:p w:rsidR="00521647" w:rsidRPr="00916EE7" w:rsidRDefault="00D5392A"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13</w:t>
      </w:r>
      <w:r w:rsidRPr="00916EE7">
        <w:fldChar w:fldCharType="end"/>
      </w:r>
      <w:bookmarkEnd w:id="4"/>
      <w:r>
        <w:t>.  Съд</w:t>
      </w:r>
      <w:r w:rsidR="00EE01DA">
        <w:t xml:space="preserve">ът в началото отбелязва, че </w:t>
      </w:r>
      <w:r>
        <w:t>преценката на целите на сдружение</w:t>
      </w:r>
      <w:r w:rsidR="00EE01DA">
        <w:t xml:space="preserve">, търсещо регистрация, </w:t>
      </w:r>
      <w:r>
        <w:t xml:space="preserve">трябва да се </w:t>
      </w:r>
      <w:r w:rsidR="006B35C4">
        <w:t>базира основно</w:t>
      </w:r>
      <w:r>
        <w:t xml:space="preserve"> на устава. Но тъй като по закон в производство по регистрация съдът трябва да разгледа реалността</w:t>
      </w:r>
      <w:r w:rsidR="006B35C4">
        <w:t xml:space="preserve"> на въпроса</w:t>
      </w:r>
      <w:r>
        <w:t>, вместо да извърши просто формална проверка, той трябва да вземе предвид не само це</w:t>
      </w:r>
      <w:r w:rsidR="00EE01DA">
        <w:t>лите, посочени в устава, но и це</w:t>
      </w:r>
      <w:r>
        <w:t xml:space="preserve">лостта на устава, и на тази основа да установи истинските цели и намерения на основателите. Съдът също така трябва да има предвид традициите, които сдружението претендира да представлява, както и историческите фигури, с които то се идентифицира, </w:t>
      </w:r>
      <w:r w:rsidR="006B35C4">
        <w:t xml:space="preserve">предишни </w:t>
      </w:r>
      <w:r>
        <w:t>действия на неговите основатели, лидери и поддръжници, ако са известни, както и позициите, които застъпват. Всички тези елементи трябва да бъдат съпоставени с целите, посочени в устава, с цел да се провери дали тези цели не са в действителност прикритие на други цели. Като прави това и по този начин балансира правата на основателите на сдружението и правата на другите и обществения интерес, съдът може да се позовава не само на материалите по делото, но и на факти, които са публично известни и които той следователно може да вземе предвид.</w:t>
      </w:r>
    </w:p>
    <w:bookmarkStart w:id="5" w:name="F_SCA_judgment_ter"/>
    <w:p w:rsidR="00D5392A" w:rsidRPr="00916EE7" w:rsidRDefault="00F85AA4"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14</w:t>
      </w:r>
      <w:r w:rsidRPr="00916EE7">
        <w:fldChar w:fldCharType="end"/>
      </w:r>
      <w:bookmarkEnd w:id="5"/>
      <w:r>
        <w:t xml:space="preserve">.  В случая на “Илинден” е общоизвестен факт, достатъчно популяризиран както в българските, така и в чуждестранните медии, че от 1990 г. някои от нейните основатели, лидери и поддръжници настойчиво се изправят както срещу онези, които са се противопоставили на техните възгледи, така и срещу държавните власти, което води до редица отразени в медиите нарушения на обществения ред - сблъсъци между привърженици на “Илинден” и противниците им поради мнения относно македонската история, изразени от първите. В този контекст изявлението в устава на “Илинден”, че хора от всяка етническа принадлежност може да станат членове, не отразява реалността на ситуацията, а именно че организацията е замислена като основана единствено на македонска етническа принадлежност. Същото се отнася и за изявлението в устава, че “Илинден” ще прибягва единствено до мирни средства за постигането на своите цели. Това е опровергано от историята на </w:t>
      </w:r>
      <w:r>
        <w:lastRenderedPageBreak/>
        <w:t xml:space="preserve">организацията на провокиране на опонентите ѝ и държавните власти чрез остри изявления относно насилието срещу македонците, които са довели до реални обществени сблъсъци </w:t>
      </w:r>
      <w:r>
        <w:noBreakHyphen/>
        <w:t xml:space="preserve"> такива изявления се съдържат също в устава. Съдът трябва да вземе предвид и сложната етническа и религиозна ситуация в някои съседни държави, както и тежката </w:t>
      </w:r>
      <w:proofErr w:type="spellStart"/>
      <w:r>
        <w:t>мигрантска</w:t>
      </w:r>
      <w:proofErr w:type="spellEnd"/>
      <w:r>
        <w:t xml:space="preserve"> криза, засягаща цяла Европа и България в частност като държава на предната линия на Европейския съюз. Тази криза, съчетана с “неотдавнашните и също така общоизвестни трагични събития в страните от Централна Европа”, показва категорична необходимост от мобилизиране на всички налични държавни и обществени ресурси.</w:t>
      </w:r>
    </w:p>
    <w:bookmarkStart w:id="6" w:name="F_SCA_judgment_quater"/>
    <w:p w:rsidR="00D5392A" w:rsidRPr="00916EE7" w:rsidRDefault="00D5392A"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15</w:t>
      </w:r>
      <w:r w:rsidRPr="00916EE7">
        <w:fldChar w:fldCharType="end"/>
      </w:r>
      <w:bookmarkEnd w:id="6"/>
      <w:r>
        <w:t xml:space="preserve">.  При тези обстоятелства заявлението за регистрация на “Илинден” </w:t>
      </w:r>
      <w:r w:rsidR="00681DCF" w:rsidRPr="00930329">
        <w:t>следва</w:t>
      </w:r>
      <w:r w:rsidR="00681DCF">
        <w:t xml:space="preserve"> </w:t>
      </w:r>
      <w:r>
        <w:t xml:space="preserve">да </w:t>
      </w:r>
      <w:r w:rsidR="00681DCF">
        <w:t xml:space="preserve">се </w:t>
      </w:r>
      <w:r>
        <w:t>отхвърл</w:t>
      </w:r>
      <w:r w:rsidR="00681DCF">
        <w:t>и</w:t>
      </w:r>
      <w:r>
        <w:t xml:space="preserve"> по две причини. На първо място, преследването на реалните ѝ цели на фона на повишената чувствителност на населението в Пиринска Македония, където организацията се намира, </w:t>
      </w:r>
      <w:r w:rsidR="00681DCF">
        <w:t>може</w:t>
      </w:r>
      <w:r>
        <w:t xml:space="preserve"> да доведе до сериозн</w:t>
      </w:r>
      <w:r w:rsidR="00681DCF">
        <w:t>о</w:t>
      </w:r>
      <w:r>
        <w:t xml:space="preserve"> напрежени</w:t>
      </w:r>
      <w:r w:rsidR="00681DCF">
        <w:t>е</w:t>
      </w:r>
      <w:r>
        <w:t xml:space="preserve"> и нарушения на обществения ред, причинени от и включващи привърженици на организацията, както се е случвало в миналото. В напрегнатата ситуация, пред която е изправена България и съседните ѝ държави, това трябва да се разглежда като истинска </w:t>
      </w:r>
      <w:r w:rsidR="008E5FBF">
        <w:t>вероятност</w:t>
      </w:r>
      <w:r>
        <w:t xml:space="preserve">. На второ място, реализирането на правото на “Илинден” на свобода на сдружаване би нарушило правата на всички българи, които не подкрепят нейните цели или средствата, които възнамерява да използва за постигането на тези цели. Всички имат право да вярват, че не са граждани на държава, която е извършила международни престъпления, че не участват в качеството си на български граждани в пропаганда и манипулиране на историята и културата на една съседна държава и че не са граждани на държава, чиито институции са подложили на </w:t>
      </w:r>
      <w:proofErr w:type="spellStart"/>
      <w:r>
        <w:t>етноцид</w:t>
      </w:r>
      <w:proofErr w:type="spellEnd"/>
      <w:r>
        <w:t xml:space="preserve"> културното наследство на част от</w:t>
      </w:r>
      <w:r w:rsidR="008E5FBF">
        <w:t xml:space="preserve"> населението си. Апелативен съд-</w:t>
      </w:r>
      <w:r>
        <w:t xml:space="preserve">София достига </w:t>
      </w:r>
      <w:r w:rsidR="008E5FBF">
        <w:t>до заключението</w:t>
      </w:r>
      <w:r>
        <w:t>, че е необходимо да се отхвърли заявлението за регистрация</w:t>
      </w:r>
      <w:r w:rsidR="008E5FBF">
        <w:t>,</w:t>
      </w:r>
      <w:r>
        <w:t xml:space="preserve"> въпреки че признава, че е възможно да се разпусне вече регистрирано сдружение, ако то участва в противоконституционно или противоправно поведение. Отказът е оправдана превантивна мярка.</w:t>
      </w:r>
    </w:p>
    <w:bookmarkStart w:id="7" w:name="F_SCA_judgment_dissent"/>
    <w:p w:rsidR="00D5392A" w:rsidRPr="00916EE7" w:rsidRDefault="00D5392A"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16</w:t>
      </w:r>
      <w:r w:rsidRPr="00916EE7">
        <w:fldChar w:fldCharType="end"/>
      </w:r>
      <w:bookmarkEnd w:id="7"/>
      <w:r>
        <w:t>.  </w:t>
      </w:r>
      <w:r w:rsidR="00042C16">
        <w:t>Съдията с особено мнение</w:t>
      </w:r>
      <w:r>
        <w:t xml:space="preserve"> отбелязва, че основателите на “Илинден” са спазили всички формални изисквания на закона. Тя допълва, че режимът на регистрация не трябва да се използва за възпрепятстване на упражняването на основното право на сдружаване и че делото изисква пряко прилагане на чл. 11 от Конвенцията, която е част от българското законодателство. След то</w:t>
      </w:r>
      <w:r w:rsidR="00042C16">
        <w:t xml:space="preserve">ва тя отбелязва, че този член </w:t>
      </w:r>
      <w:r w:rsidR="00681DCF">
        <w:t xml:space="preserve">се </w:t>
      </w:r>
      <w:r>
        <w:t xml:space="preserve">тълкува от Европейския съд по правата на човека в няколко дела, включително </w:t>
      </w:r>
      <w:r>
        <w:rPr>
          <w:i/>
        </w:rPr>
        <w:t>Обединена македонска организация “Илинден-ПИРИН” и други</w:t>
      </w:r>
      <w:r>
        <w:t xml:space="preserve"> и </w:t>
      </w:r>
      <w:r>
        <w:rPr>
          <w:i/>
        </w:rPr>
        <w:t>Обединена македонска организация “Илинден” и други</w:t>
      </w:r>
      <w:r>
        <w:t xml:space="preserve"> (и двете цитирани по-горе), и заявява, че според нея фактът, че сдружение се застъпва за форма на малцинствено самосъзнание, не </w:t>
      </w:r>
      <w:r w:rsidR="00681DCF">
        <w:t>може</w:t>
      </w:r>
      <w:r>
        <w:t xml:space="preserve"> да обоснове </w:t>
      </w:r>
      <w:r>
        <w:lastRenderedPageBreak/>
        <w:t xml:space="preserve">ограничение на неговите права по този член. Решението на Съда по този въпрос в </w:t>
      </w:r>
      <w:r>
        <w:rPr>
          <w:i/>
        </w:rPr>
        <w:t>Станков и Обединена македонска организация “Илинден”</w:t>
      </w:r>
      <w:r>
        <w:t xml:space="preserve"> (цитирано по-горе) трябва да бъде взето предвид при разглеждането на въпросното заявление за регистрация. Освен това не съществуват доказателства за действия на основателите на “Илинден”, които противоречат на забраната на чл. 44, ал. 2 от Конституцията (вж. параграф </w:t>
      </w:r>
      <w:r w:rsidRPr="00916EE7">
        <w:fldChar w:fldCharType="begin"/>
      </w:r>
      <w:r w:rsidRPr="00916EE7">
        <w:instrText xml:space="preserve"> REF RDL_C_A_44_2 \h </w:instrText>
      </w:r>
      <w:r w:rsidRPr="00916EE7">
        <w:fldChar w:fldCharType="separate"/>
      </w:r>
      <w:r w:rsidR="00916EE7" w:rsidRPr="00916EE7">
        <w:rPr>
          <w:noProof/>
        </w:rPr>
        <w:t>21</w:t>
      </w:r>
      <w:r w:rsidRPr="00916EE7">
        <w:fldChar w:fldCharType="end"/>
      </w:r>
      <w:r>
        <w:t xml:space="preserve"> по-долу). Следователно отказът за регистрация е непропорционален и необоснован.</w:t>
      </w:r>
    </w:p>
    <w:bookmarkStart w:id="8" w:name="F_SCA_judgment_attempt_to_appeal"/>
    <w:p w:rsidR="00014566" w:rsidRPr="00916EE7" w:rsidRDefault="00D5392A"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17</w:t>
      </w:r>
      <w:r w:rsidRPr="00916EE7">
        <w:fldChar w:fldCharType="end"/>
      </w:r>
      <w:bookmarkEnd w:id="8"/>
      <w:r>
        <w:t>.  </w:t>
      </w:r>
      <w:r w:rsidR="00042C16">
        <w:t>Учредителите</w:t>
      </w:r>
      <w:r>
        <w:t xml:space="preserve"> на “Илинден” подават касационна жалба. На 22 февруари 2016 г. съдията-докладчик </w:t>
      </w:r>
      <w:r w:rsidR="00042C16">
        <w:t>в Апелативен съд-</w:t>
      </w:r>
      <w:r>
        <w:t xml:space="preserve">София, който съгласно </w:t>
      </w:r>
      <w:r w:rsidR="00042C16">
        <w:t>съответните процесуални правила</w:t>
      </w:r>
      <w:r>
        <w:t xml:space="preserve"> трябва да провери допустимостта на жалбата, преди да я предаде на Върховния касационен съд, я </w:t>
      </w:r>
      <w:r w:rsidR="00977A5A">
        <w:t xml:space="preserve">връща </w:t>
      </w:r>
      <w:r>
        <w:t xml:space="preserve">обратно на жалбоподателите. Той отбелязва, че съгласно </w:t>
      </w:r>
      <w:r w:rsidR="00042C16">
        <w:t>приложимите процесуални разпоредби</w:t>
      </w:r>
      <w:r>
        <w:t>, тълкува</w:t>
      </w:r>
      <w:r w:rsidR="00042C16">
        <w:t>ни</w:t>
      </w:r>
      <w:r>
        <w:t xml:space="preserve"> последователно от Върховния касационен съд, апелативни решения, потвърждаващи откази за регистрация на сдружение</w:t>
      </w:r>
      <w:r w:rsidR="00042C16">
        <w:t>, не подлежат на касационен контрол</w:t>
      </w:r>
      <w:r>
        <w:t xml:space="preserve">. В окончателно определение от 15 юли 2016 г. (опр. № 317 от 15.07.2016 г. по ч. т. д. № 1062/2016 г., ВКС, I т. о.) Върховният касационен съд отхвърля жалбата на </w:t>
      </w:r>
      <w:r w:rsidR="00042C16">
        <w:t>учредителите</w:t>
      </w:r>
      <w:r>
        <w:t xml:space="preserve"> срещу </w:t>
      </w:r>
      <w:r w:rsidR="00042C16">
        <w:t>разпореждането</w:t>
      </w:r>
      <w:r>
        <w:t xml:space="preserve"> на съдията-докладчик. </w:t>
      </w:r>
      <w:r w:rsidR="00042C16">
        <w:t>ВКС</w:t>
      </w:r>
      <w:r>
        <w:t xml:space="preserve"> </w:t>
      </w:r>
      <w:r w:rsidR="00977A5A">
        <w:t>намира</w:t>
      </w:r>
      <w:r>
        <w:t xml:space="preserve">, че съгласно приложимите </w:t>
      </w:r>
      <w:r w:rsidR="00042C16">
        <w:t>процесуални</w:t>
      </w:r>
      <w:r>
        <w:t xml:space="preserve"> правила, които той вече е тълкувал в няколко де</w:t>
      </w:r>
      <w:r w:rsidR="00042C16">
        <w:t>ла, решението на Апелативен съд-</w:t>
      </w:r>
      <w:r>
        <w:t>София не подлежи на обжалване.</w:t>
      </w:r>
    </w:p>
    <w:p w:rsidR="00014566" w:rsidRPr="00916EE7" w:rsidRDefault="00014566" w:rsidP="00916EE7">
      <w:pPr>
        <w:pStyle w:val="ECHRHeading1"/>
        <w:outlineLvl w:val="1"/>
      </w:pPr>
      <w:r>
        <w:t>II.  ПРИЛОЖИМО ВЪТРЕШНО ПРАВО И ПРАКТИКА</w:t>
      </w:r>
    </w:p>
    <w:bookmarkStart w:id="9" w:name="RDL_C_A_12_2"/>
    <w:p w:rsidR="00D5392A" w:rsidRPr="00916EE7" w:rsidRDefault="00D5392A"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18</w:t>
      </w:r>
      <w:r w:rsidRPr="00916EE7">
        <w:fldChar w:fldCharType="end"/>
      </w:r>
      <w:bookmarkEnd w:id="9"/>
      <w:r>
        <w:t>.  Съгласно чл. 12, ал. 2 от Конституцията от 1991 г. сдруженията не могат да си поставят политически цели и да извършват политическа дейност, присъщи само на политическите партии.</w:t>
      </w:r>
    </w:p>
    <w:bookmarkStart w:id="10" w:name="RDL_C_A_12_2_CC_jud_1992"/>
    <w:p w:rsidR="00D5392A" w:rsidRPr="00916EE7" w:rsidRDefault="00D5392A"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19</w:t>
      </w:r>
      <w:r w:rsidRPr="00916EE7">
        <w:fldChar w:fldCharType="end"/>
      </w:r>
      <w:bookmarkEnd w:id="10"/>
      <w:r>
        <w:t xml:space="preserve">.  В решение от 21 април 1992 г. (реш. № 4 от 21.04.1992 г. по к. д. № 1/1991 г., </w:t>
      </w:r>
      <w:proofErr w:type="spellStart"/>
      <w:r>
        <w:t>обн</w:t>
      </w:r>
      <w:proofErr w:type="spellEnd"/>
      <w:r>
        <w:t>., ДВ, бр. 35/1992 г.) Конституционният съд постановява наред с другото, че “политическите дейности, присъщи само на политическите партии” по смисъла на чл. 12, ал. 2, са определени в чл. 11, ал. 3 от Конституцията като такива, които “</w:t>
      </w:r>
      <w:proofErr w:type="spellStart"/>
      <w:r>
        <w:t>съдействуват</w:t>
      </w:r>
      <w:proofErr w:type="spellEnd"/>
      <w:r>
        <w:t xml:space="preserve"> за формиране и изразяване на политическата воля на гражданите” чрез “избори или други демократични средства”. Съдът допълва, че “това, което е от съществено значение за този вид политическа дейност, е прякото участие в процеса на формиране на органите, чрез които според Конституцията хората упражняват власт”. Съдът </w:t>
      </w:r>
      <w:r w:rsidR="00977A5A">
        <w:t>приема също</w:t>
      </w:r>
      <w:r>
        <w:t>, че дейността на политическа партия във връзка с предстоящи избори обхваща провеждането на митинги, събрания и други форми на обществена кампания в подкрепа на партията и кандидатите, предложени от нея, които са също така дейности, насочени към “формиране” на политическата воля на гражданите.</w:t>
      </w:r>
    </w:p>
    <w:bookmarkStart w:id="11" w:name="RDL_C_A_12_2_CC_dec_2015"/>
    <w:p w:rsidR="00D5392A" w:rsidRPr="00916EE7" w:rsidRDefault="00D5392A" w:rsidP="00916EE7">
      <w:pPr>
        <w:pStyle w:val="ECHRPara"/>
      </w:pPr>
      <w:r w:rsidRPr="00916EE7">
        <w:lastRenderedPageBreak/>
        <w:fldChar w:fldCharType="begin"/>
      </w:r>
      <w:r w:rsidRPr="00916EE7">
        <w:instrText xml:space="preserve"> SEQ level0 \*arabic </w:instrText>
      </w:r>
      <w:r w:rsidRPr="00916EE7">
        <w:fldChar w:fldCharType="separate"/>
      </w:r>
      <w:r w:rsidR="00916EE7" w:rsidRPr="00916EE7">
        <w:rPr>
          <w:noProof/>
        </w:rPr>
        <w:t>20</w:t>
      </w:r>
      <w:r w:rsidRPr="00916EE7">
        <w:fldChar w:fldCharType="end"/>
      </w:r>
      <w:bookmarkEnd w:id="11"/>
      <w:r>
        <w:t>.  През януари 2015 г. пленумът на Търговското отделение на Върховния касационен съд иска от Конституционния съд да даде задължително тълкуване на чл. 12, ал. 2. В определени</w:t>
      </w:r>
      <w:r w:rsidR="00977A5A">
        <w:t>е</w:t>
      </w:r>
      <w:r>
        <w:t xml:space="preserve"> от 17 март 2015 г. (опр. № 1 от 17.03.2015 г. по к. д. № 1/2015 г., </w:t>
      </w:r>
      <w:proofErr w:type="spellStart"/>
      <w:r>
        <w:t>обн</w:t>
      </w:r>
      <w:proofErr w:type="spellEnd"/>
      <w:r>
        <w:t>., ДВ, бр. 23/2015 г.) Конституционният съд отхвърля искането. Той приема, че не е доказано, както се изисква от неговата съдебна практика, че съществуват разлики в прилагането на тази разпоредба и че е компетентен да даде задължително тълкуване на конституционна разпоредба, ако е налице надлежно установена несигурност в смисъла ѝ.</w:t>
      </w:r>
    </w:p>
    <w:bookmarkStart w:id="12" w:name="RDL_C_A_44_2"/>
    <w:p w:rsidR="00D5392A" w:rsidRPr="00916EE7" w:rsidRDefault="00D5392A"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21</w:t>
      </w:r>
      <w:r w:rsidRPr="00916EE7">
        <w:fldChar w:fldCharType="end"/>
      </w:r>
      <w:bookmarkEnd w:id="12"/>
      <w:r>
        <w:t>.  </w:t>
      </w:r>
      <w:bookmarkStart w:id="13" w:name="Article_44_Constitution"/>
      <w:r>
        <w:t>С</w:t>
      </w:r>
      <w:r w:rsidR="00977A5A">
        <w:t>ъгласно</w:t>
      </w:r>
      <w:r>
        <w:t xml:space="preserve"> чл. 44,</w:t>
      </w:r>
      <w:bookmarkEnd w:id="13"/>
      <w:r>
        <w:t xml:space="preserve"> ал. 2 от Конституцията се забраняват организации, чиято дейност е насочена срещу суверенитета, териториалната цялост на страната и единството на нацията, към разпалване на расова, национална, етническа или религиозна вражда, към нарушаване на правата и свободите на гражданите, както и организации, които създават тайни или военизирани структури или се стремят да постигнат целите си чрез насилие.</w:t>
      </w:r>
    </w:p>
    <w:bookmarkStart w:id="14" w:name="RDL_Non_Profit_Legal_Persons_Act_2000"/>
    <w:p w:rsidR="00D5392A" w:rsidRPr="00916EE7" w:rsidRDefault="00D5392A"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22</w:t>
      </w:r>
      <w:r w:rsidRPr="00916EE7">
        <w:fldChar w:fldCharType="end"/>
      </w:r>
      <w:bookmarkEnd w:id="14"/>
      <w:r>
        <w:t>.  Законът за юридическите лица с нестопанска цел от 2000 г. урежда създаването, регистрацията, организацията, дейността и ликвидацията на юридически лица с нестопанска цел като сдружения и фондации.</w:t>
      </w:r>
    </w:p>
    <w:bookmarkStart w:id="15" w:name="RDL_Non_Profit_Legal_Persons_Act_pub_pri"/>
    <w:p w:rsidR="00D5392A" w:rsidRPr="00916EE7" w:rsidRDefault="00D5392A"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23</w:t>
      </w:r>
      <w:r w:rsidRPr="00916EE7">
        <w:fldChar w:fldCharType="end"/>
      </w:r>
      <w:bookmarkEnd w:id="15"/>
      <w:r>
        <w:t>.  Съгласно чл. 2, ал. 1 неправителствените организации могат свободно да определят своите цели и могат да се самоопределят като организации, които се стремят към обществени или частни интереси. Организациите, които се стремят към обществения интерес, се ползват с данъчни привилегии (чл. 4), но в замяна на това подлежат на засилена регулация на своите цели и разходване на имуществото си (чл. 38, ал. 1 и чл. 41) и на допълнителни изисквания за отчетност и контрол (чл. 40 и чл. 46).</w:t>
      </w:r>
    </w:p>
    <w:bookmarkStart w:id="16" w:name="RDL_Non_Profit_Legal_Persons_Act_s_7_2"/>
    <w:p w:rsidR="00014566" w:rsidRPr="00916EE7" w:rsidRDefault="00D5392A"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24</w:t>
      </w:r>
      <w:r w:rsidRPr="00916EE7">
        <w:fldChar w:fldCharType="end"/>
      </w:r>
      <w:bookmarkEnd w:id="16"/>
      <w:r>
        <w:t>.  Съгласно чл. 7, ал. 2 името на сдружението не трябва да бъде подвеждащо или да противоречи на морал</w:t>
      </w:r>
      <w:r w:rsidR="00E17609">
        <w:t>а</w:t>
      </w:r>
      <w:r>
        <w:t>.</w:t>
      </w:r>
    </w:p>
    <w:p w:rsidR="00D5392A" w:rsidRPr="00916EE7" w:rsidRDefault="00D5392A" w:rsidP="00916EE7">
      <w:pPr>
        <w:pStyle w:val="ECHRHeading1"/>
        <w:outlineLvl w:val="1"/>
      </w:pPr>
      <w:r>
        <w:t>III.  ПРИЛОЖИМИ РЕШЕНИЯ НА КОМИТЕТА НА МИНИСТРИТЕ</w:t>
      </w:r>
    </w:p>
    <w:bookmarkStart w:id="17" w:name="RDCM_Dec_2_4_Dec_2014"/>
    <w:p w:rsidR="000C22FB" w:rsidRPr="00916EE7" w:rsidRDefault="00D5392A"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25</w:t>
      </w:r>
      <w:r w:rsidRPr="00916EE7">
        <w:fldChar w:fldCharType="end"/>
      </w:r>
      <w:bookmarkEnd w:id="17"/>
      <w:r>
        <w:t xml:space="preserve">.  На своята 1214-та среща от 2 до 4 декември 2011 г., Комитетът на министрите на Съвета на Европа разглежда състоянието на изпълнението на решението на Съда по </w:t>
      </w:r>
      <w:r>
        <w:rPr>
          <w:i/>
        </w:rPr>
        <w:t xml:space="preserve">Обединена македонска организация “Илинден” и други </w:t>
      </w:r>
      <w:r>
        <w:t xml:space="preserve">и </w:t>
      </w:r>
      <w:r>
        <w:rPr>
          <w:i/>
        </w:rPr>
        <w:t>Обединена македонска организация “Илинден” и други (№ 2)</w:t>
      </w:r>
      <w:r>
        <w:t xml:space="preserve"> (и двете цитирани по-горе). Отчитайки наред с другото решението на Окръжен съд Благоевград в настоящия случай (вж. параграф </w:t>
      </w:r>
      <w:r w:rsidR="00F97EDC" w:rsidRPr="00916EE7">
        <w:fldChar w:fldCharType="begin"/>
      </w:r>
      <w:r w:rsidR="00F97EDC" w:rsidRPr="00916EE7">
        <w:instrText xml:space="preserve"> REF F_BRC_judgment \h </w:instrText>
      </w:r>
      <w:r w:rsidR="00F97EDC" w:rsidRPr="00916EE7">
        <w:fldChar w:fldCharType="separate"/>
      </w:r>
      <w:r w:rsidR="00916EE7" w:rsidRPr="00916EE7">
        <w:rPr>
          <w:noProof/>
        </w:rPr>
        <w:t>10</w:t>
      </w:r>
      <w:r w:rsidR="00F97EDC" w:rsidRPr="00916EE7">
        <w:fldChar w:fldCharType="end"/>
      </w:r>
      <w:r>
        <w:t xml:space="preserve"> по-горе), както и по-ранното му решени</w:t>
      </w:r>
      <w:r w:rsidR="00E17609">
        <w:t>е, потвърдено от Апелативен съд-</w:t>
      </w:r>
      <w:r>
        <w:t xml:space="preserve">София в делото от 2012 г. (вж. параграф </w:t>
      </w:r>
      <w:r w:rsidR="00BB2394" w:rsidRPr="00916EE7">
        <w:fldChar w:fldCharType="begin"/>
      </w:r>
      <w:r w:rsidR="00BB2394" w:rsidRPr="00916EE7">
        <w:instrText xml:space="preserve"> REF F_2012_case \h </w:instrText>
      </w:r>
      <w:r w:rsidR="00BB2394" w:rsidRPr="00916EE7">
        <w:fldChar w:fldCharType="separate"/>
      </w:r>
      <w:r w:rsidR="00916EE7" w:rsidRPr="00916EE7">
        <w:rPr>
          <w:noProof/>
        </w:rPr>
        <w:t>7</w:t>
      </w:r>
      <w:r w:rsidR="00BB2394" w:rsidRPr="00916EE7">
        <w:fldChar w:fldCharType="end"/>
      </w:r>
      <w:r>
        <w:t xml:space="preserve"> по-горе), Комитетът изразява съжаление, че мерките за повишаване на осведомеността, предприети от българските власти, се оказ</w:t>
      </w:r>
      <w:r w:rsidR="00320405">
        <w:t>ват</w:t>
      </w:r>
      <w:r>
        <w:t xml:space="preserve"> </w:t>
      </w:r>
      <w:r>
        <w:lastRenderedPageBreak/>
        <w:t>недостатъчни, за да се предотврат</w:t>
      </w:r>
      <w:r w:rsidR="00320405">
        <w:t>ят</w:t>
      </w:r>
      <w:r>
        <w:t xml:space="preserve"> отказът да се регистрира “Илинден” на основания, които вече са критикувани от Съда (точка 1 от решението), подчертава значението на това настоящото дело, което по това вре</w:t>
      </w:r>
      <w:r w:rsidR="00E17609">
        <w:t>ме е висящо пред Апелативен съд-</w:t>
      </w:r>
      <w:r>
        <w:t>София, да бъде разгледано в пълно съответствие с изискванията на чл. 11 от Конвенцията, както е изяснено от Съда в двете гореспоменати решения (точка 2 от решението), и решава да постави изпълнението на тези решения под засилен надзор (точка 4 от решението).</w:t>
      </w:r>
    </w:p>
    <w:bookmarkStart w:id="18" w:name="RDCM_Dec_20_21_Sep_2016"/>
    <w:p w:rsidR="00CC2A8B" w:rsidRPr="00916EE7" w:rsidRDefault="00CC2A8B"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26</w:t>
      </w:r>
      <w:r w:rsidRPr="00916EE7">
        <w:fldChar w:fldCharType="end"/>
      </w:r>
      <w:bookmarkEnd w:id="18"/>
      <w:r>
        <w:t xml:space="preserve">.  На своята 1265-та среща от 20 до 21 септември 2016 г., Комитетът отново разглежда </w:t>
      </w:r>
      <w:r w:rsidR="00320405">
        <w:t xml:space="preserve">степента </w:t>
      </w:r>
      <w:r>
        <w:t xml:space="preserve">на изпълнение на двете решения. Отчитайки наред с другото решението на Апелативен съд - София в настоящия случай (вж. параграфи </w:t>
      </w:r>
      <w:r w:rsidR="00806B70" w:rsidRPr="00916EE7">
        <w:fldChar w:fldCharType="begin"/>
      </w:r>
      <w:r w:rsidR="00806B70" w:rsidRPr="00916EE7">
        <w:instrText xml:space="preserve"> REF F_SCA_judgment \h </w:instrText>
      </w:r>
      <w:r w:rsidR="00806B70" w:rsidRPr="00916EE7">
        <w:fldChar w:fldCharType="separate"/>
      </w:r>
      <w:r w:rsidR="00916EE7" w:rsidRPr="00916EE7">
        <w:rPr>
          <w:noProof/>
        </w:rPr>
        <w:t>12</w:t>
      </w:r>
      <w:r w:rsidR="00806B70" w:rsidRPr="00916EE7">
        <w:fldChar w:fldCharType="end"/>
      </w:r>
      <w:r>
        <w:t>-</w:t>
      </w:r>
      <w:r w:rsidR="00806B70" w:rsidRPr="00916EE7">
        <w:fldChar w:fldCharType="begin"/>
      </w:r>
      <w:r w:rsidR="00806B70" w:rsidRPr="00916EE7">
        <w:instrText xml:space="preserve"> REF F_SCA_judgment_quater \h </w:instrText>
      </w:r>
      <w:r w:rsidR="00806B70" w:rsidRPr="00916EE7">
        <w:fldChar w:fldCharType="separate"/>
      </w:r>
      <w:r w:rsidR="00916EE7" w:rsidRPr="00916EE7">
        <w:rPr>
          <w:noProof/>
        </w:rPr>
        <w:t>15</w:t>
      </w:r>
      <w:r w:rsidR="00806B70" w:rsidRPr="00916EE7">
        <w:fldChar w:fldCharType="end"/>
      </w:r>
      <w:r>
        <w:t xml:space="preserve"> по-горе), Комитетът отбеляза със загриженост, че отказът от 2014-15 г. да се регистрира “Илинден” се основава поне частично на основания, вече критикувано от този Съд (точка 1 от решението).</w:t>
      </w:r>
    </w:p>
    <w:bookmarkStart w:id="19" w:name="RDCM_Dec_6_7_Jun_2017"/>
    <w:p w:rsidR="00806B70" w:rsidRPr="00916EE7" w:rsidRDefault="00806B70"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27</w:t>
      </w:r>
      <w:r w:rsidRPr="00916EE7">
        <w:fldChar w:fldCharType="end"/>
      </w:r>
      <w:bookmarkEnd w:id="19"/>
      <w:r>
        <w:t xml:space="preserve">.  На своята 1288-а среща от 6 до 7 юни 2016 г., Комитетът отново разглежда </w:t>
      </w:r>
      <w:r w:rsidR="00320405">
        <w:t xml:space="preserve">степента </w:t>
      </w:r>
      <w:r>
        <w:t xml:space="preserve">на изпълнение на двете решения. Отчитайки решенията на Окръжен съд Благоевград и Апелативен съд София в настоящия случай (вж. параграфи </w:t>
      </w:r>
      <w:r w:rsidRPr="00916EE7">
        <w:fldChar w:fldCharType="begin"/>
      </w:r>
      <w:r w:rsidRPr="00916EE7">
        <w:instrText xml:space="preserve"> REF F_BRC_judgment \h </w:instrText>
      </w:r>
      <w:r w:rsidRPr="00916EE7">
        <w:fldChar w:fldCharType="separate"/>
      </w:r>
      <w:r w:rsidR="00916EE7" w:rsidRPr="00916EE7">
        <w:rPr>
          <w:noProof/>
        </w:rPr>
        <w:t>10</w:t>
      </w:r>
      <w:r w:rsidRPr="00916EE7">
        <w:fldChar w:fldCharType="end"/>
      </w:r>
      <w:r>
        <w:t xml:space="preserve"> и </w:t>
      </w:r>
      <w:r w:rsidRPr="00916EE7">
        <w:fldChar w:fldCharType="begin"/>
      </w:r>
      <w:r w:rsidRPr="00916EE7">
        <w:instrText xml:space="preserve"> REF F_SCA_judgment \h </w:instrText>
      </w:r>
      <w:r w:rsidRPr="00916EE7">
        <w:fldChar w:fldCharType="separate"/>
      </w:r>
      <w:r w:rsidR="00916EE7" w:rsidRPr="00916EE7">
        <w:rPr>
          <w:noProof/>
        </w:rPr>
        <w:t>12</w:t>
      </w:r>
      <w:r w:rsidRPr="00916EE7">
        <w:fldChar w:fldCharType="end"/>
      </w:r>
      <w:r>
        <w:t>-</w:t>
      </w:r>
      <w:r w:rsidRPr="00916EE7">
        <w:fldChar w:fldCharType="begin"/>
      </w:r>
      <w:r w:rsidRPr="00916EE7">
        <w:instrText xml:space="preserve"> REF F_SCA_judgment_quater \h </w:instrText>
      </w:r>
      <w:r w:rsidRPr="00916EE7">
        <w:fldChar w:fldCharType="separate"/>
      </w:r>
      <w:r w:rsidR="00916EE7" w:rsidRPr="00916EE7">
        <w:rPr>
          <w:noProof/>
        </w:rPr>
        <w:t>15</w:t>
      </w:r>
      <w:r w:rsidRPr="00916EE7">
        <w:fldChar w:fldCharType="end"/>
      </w:r>
      <w:r>
        <w:t xml:space="preserve"> по-горе), както и техните предишни решения по делото от 2012 г. (вж. параграф </w:t>
      </w:r>
      <w:r w:rsidRPr="00916EE7">
        <w:fldChar w:fldCharType="begin"/>
      </w:r>
      <w:r w:rsidRPr="00916EE7">
        <w:instrText xml:space="preserve"> REF F_2012_case \h </w:instrText>
      </w:r>
      <w:r w:rsidRPr="00916EE7">
        <w:fldChar w:fldCharType="separate"/>
      </w:r>
      <w:r w:rsidR="00916EE7" w:rsidRPr="00916EE7">
        <w:rPr>
          <w:noProof/>
        </w:rPr>
        <w:t>7</w:t>
      </w:r>
      <w:r w:rsidRPr="00916EE7">
        <w:fldChar w:fldCharType="end"/>
      </w:r>
      <w:r>
        <w:t xml:space="preserve"> по-горе), той изразява дълбока загриженост, че откакто решението по </w:t>
      </w:r>
      <w:r>
        <w:rPr>
          <w:i/>
        </w:rPr>
        <w:t>Обединена македонска организация “Илинден” и други</w:t>
      </w:r>
      <w:r>
        <w:t xml:space="preserve"> (цитирано по-горе) става окончателно през 2006 г., на “Илинден” е отказвана регистрацията три пъти, отчасти на основания, критикувани от този Съд (точка 1 от решението).</w:t>
      </w:r>
    </w:p>
    <w:p w:rsidR="00014566" w:rsidRPr="00916EE7" w:rsidRDefault="00320405" w:rsidP="00916EE7">
      <w:pPr>
        <w:pStyle w:val="ECHRTitle1"/>
      </w:pPr>
      <w:r>
        <w:t>ПРАВОТО</w:t>
      </w:r>
    </w:p>
    <w:p w:rsidR="00014566" w:rsidRPr="00916EE7" w:rsidRDefault="00014566" w:rsidP="00916EE7">
      <w:pPr>
        <w:pStyle w:val="ECHRHeading1"/>
        <w:outlineLvl w:val="1"/>
      </w:pPr>
      <w:r>
        <w:t>I. ТВЪРДЯНО НАРУШЕНИЕ НА ЧЛ. 11 ОТ КОНВЕНЦИЯТА</w:t>
      </w:r>
    </w:p>
    <w:p w:rsidR="00515D34" w:rsidRPr="00916EE7" w:rsidRDefault="00F90F4C" w:rsidP="00916EE7">
      <w:pPr>
        <w:pStyle w:val="ECHRPara"/>
        <w:keepNext/>
        <w:keepLines/>
      </w:pPr>
      <w:fldSimple w:instr=" SEQ level0 \*arabic ">
        <w:r w:rsidR="00916EE7" w:rsidRPr="00916EE7">
          <w:rPr>
            <w:noProof/>
          </w:rPr>
          <w:t>28</w:t>
        </w:r>
      </w:fldSimple>
      <w:r w:rsidR="00515D34">
        <w:t>.  Жалбоподателите се оплакват, че отказът на българските съдилища да регистрират “Илинден” в периода 2014-2015 г. е в нарушение на чл. 11 от Конвенцията, който в относимата си част гласи:</w:t>
      </w:r>
    </w:p>
    <w:p w:rsidR="00515D34" w:rsidRPr="00916EE7" w:rsidRDefault="00515D34" w:rsidP="00916EE7">
      <w:pPr>
        <w:pStyle w:val="ECHRParaQuote"/>
        <w:keepNext/>
        <w:keepLines/>
      </w:pPr>
      <w:r>
        <w:rPr>
          <w:sz w:val="24"/>
        </w:rPr>
        <w:t>“</w:t>
      </w:r>
      <w:r>
        <w:t>1.  Всеки има право ... на свободно сдружаване ...</w:t>
      </w:r>
    </w:p>
    <w:p w:rsidR="00515D34" w:rsidRPr="00916EE7" w:rsidRDefault="00515D34" w:rsidP="00916EE7">
      <w:pPr>
        <w:pStyle w:val="ECHRParaQuote"/>
        <w:keepLines/>
      </w:pPr>
      <w:r>
        <w:t>2.  Упражняването на [това право] не подлежи на никакви ограничения, освен на тези, предвидени в закона и необходими в едно демократично общество в интерес на националната или обществената сигурност, за предотвратяване на безредици или престъпления, за защитата на здравето и морала или на правата и свободите на другите. ...”</w:t>
      </w:r>
    </w:p>
    <w:p w:rsidR="00515D34" w:rsidRPr="00916EE7" w:rsidRDefault="00515D34" w:rsidP="00916EE7">
      <w:pPr>
        <w:pStyle w:val="ECHRHeading2"/>
        <w:outlineLvl w:val="2"/>
      </w:pPr>
      <w:r>
        <w:lastRenderedPageBreak/>
        <w:t>А. Тези на страните</w:t>
      </w:r>
    </w:p>
    <w:p w:rsidR="00515D34" w:rsidRPr="00916EE7" w:rsidRDefault="00F90F4C" w:rsidP="00916EE7">
      <w:pPr>
        <w:pStyle w:val="ECHRPara"/>
      </w:pPr>
      <w:fldSimple w:instr=" SEQ level0 \*arabic ">
        <w:r w:rsidR="00916EE7" w:rsidRPr="00916EE7">
          <w:rPr>
            <w:noProof/>
          </w:rPr>
          <w:t>29</w:t>
        </w:r>
      </w:fldSimple>
      <w:r w:rsidR="00515D34">
        <w:t>.  Правителството не представя становище по основателността на оплакването. То призовава Съда да се произнесе в светлината на мотивите, дадени от българските съдилища.</w:t>
      </w:r>
    </w:p>
    <w:p w:rsidR="00C64E27" w:rsidRPr="00916EE7" w:rsidRDefault="00F90F4C" w:rsidP="00916EE7">
      <w:pPr>
        <w:pStyle w:val="ECHRPara"/>
      </w:pPr>
      <w:fldSimple w:instr=" SEQ level0 \*arabic ">
        <w:r w:rsidR="00916EE7" w:rsidRPr="00916EE7">
          <w:rPr>
            <w:noProof/>
          </w:rPr>
          <w:t>30</w:t>
        </w:r>
      </w:fldSimple>
      <w:r w:rsidR="00515D34">
        <w:t>.  Жалбоподателите твърдят, че мотивите</w:t>
      </w:r>
      <w:r w:rsidR="00FB67D1">
        <w:t xml:space="preserve"> на Апелативен съд-</w:t>
      </w:r>
      <w:r w:rsidR="00515D34">
        <w:t>София да потвърди отказа за регистриране на “Илинден” са произволни, недостатъчни и противоречащи на практиката на Съда по чл. 11</w:t>
      </w:r>
      <w:r w:rsidR="00FB67D1">
        <w:t xml:space="preserve"> от Конвенцията. Апелативен съд-</w:t>
      </w:r>
      <w:r w:rsidR="00515D34">
        <w:t xml:space="preserve">София не обяснява добре връзката между твърдяната напрегната ситуация в някои неидентифицирани “съседни държави” и кризата с </w:t>
      </w:r>
      <w:proofErr w:type="spellStart"/>
      <w:r w:rsidR="00515D34">
        <w:t>мигрантите</w:t>
      </w:r>
      <w:proofErr w:type="spellEnd"/>
      <w:r w:rsidR="00515D34">
        <w:t>, засягаща Европа</w:t>
      </w:r>
      <w:r w:rsidR="00FB67D1">
        <w:t>,</w:t>
      </w:r>
      <w:r w:rsidR="00515D34">
        <w:t xml:space="preserve"> от една страна</w:t>
      </w:r>
      <w:r w:rsidR="00FB67D1">
        <w:t>,</w:t>
      </w:r>
      <w:r w:rsidR="00515D34">
        <w:t xml:space="preserve"> и регистрацията на “Илинден”</w:t>
      </w:r>
      <w:r w:rsidR="00FB67D1">
        <w:t xml:space="preserve">, от друга страна. </w:t>
      </w:r>
      <w:r w:rsidR="00515D34">
        <w:t>Той също така не обосновава надлежно своето заключение, че жалбоподателите са причинили нарушения на обществения ред, основавайки го на смесица от спекулации и враждебна пропаганда от страна на българските медии. Жалбоподателите отбелязват, че в миналото те са били жертва на провокации от страна на националистически групи и на насилствени актове от служители на право</w:t>
      </w:r>
      <w:r w:rsidR="00E33645">
        <w:t>прилагащите</w:t>
      </w:r>
      <w:r w:rsidR="00FB67D1">
        <w:t xml:space="preserve"> органи. Апелативен съд-</w:t>
      </w:r>
      <w:r w:rsidR="00515D34">
        <w:t>София също така преувеличава значението на изявленията, съдържащи се в устава на “Илинден”, по отношение на третирането, на което македонците са подложени в миналото. “Илинден” не отправ</w:t>
      </w:r>
      <w:r w:rsidR="00E33645">
        <w:t>я</w:t>
      </w:r>
      <w:r w:rsidR="00515D34">
        <w:t xml:space="preserve"> обвинения в това отношение срещу обикновените българи, а срещу националистическите групи и публичните власти. Освен това, противно на позицията на Апелативен съд София, самото включване на подобни изявления в устава не ограничава възможността на другите да не вярват в тях. Подходът на този съд е в противоречие с плурализма и с възможността в едно демократично общество да </w:t>
      </w:r>
      <w:r w:rsidR="00E33645">
        <w:t xml:space="preserve">се </w:t>
      </w:r>
      <w:r w:rsidR="00515D34">
        <w:t>изразяват мнения, които обиждат, шокират и смущават.</w:t>
      </w:r>
    </w:p>
    <w:p w:rsidR="00515D34" w:rsidRPr="00916EE7" w:rsidRDefault="00515D34" w:rsidP="00916EE7">
      <w:pPr>
        <w:pStyle w:val="ECHRHeading2"/>
        <w:outlineLvl w:val="2"/>
      </w:pPr>
      <w:r>
        <w:t>Б. Преценка</w:t>
      </w:r>
      <w:r w:rsidR="00E33645">
        <w:t>та</w:t>
      </w:r>
      <w:r>
        <w:t xml:space="preserve"> на Съда</w:t>
      </w:r>
    </w:p>
    <w:p w:rsidR="00515D34" w:rsidRPr="00916EE7" w:rsidRDefault="00F90F4C" w:rsidP="00916EE7">
      <w:pPr>
        <w:pStyle w:val="ECHRPara"/>
      </w:pPr>
      <w:fldSimple w:instr=" SEQ level0 \*arabic ">
        <w:r w:rsidR="00916EE7" w:rsidRPr="00916EE7">
          <w:rPr>
            <w:noProof/>
          </w:rPr>
          <w:t>31</w:t>
        </w:r>
      </w:fldSimple>
      <w:r w:rsidR="00515D34">
        <w:t xml:space="preserve">.  Оплакването не е явно необосновано по смисъла на чл. 35 § 3 (а) от Конвенцията или недопустимо на друго основание. Следователно то </w:t>
      </w:r>
      <w:r w:rsidR="00E33645">
        <w:t>е</w:t>
      </w:r>
      <w:r w:rsidR="00515D34">
        <w:t xml:space="preserve"> допустимо.</w:t>
      </w:r>
    </w:p>
    <w:bookmarkStart w:id="20" w:name="L_A11_1"/>
    <w:p w:rsidR="008050D5" w:rsidRPr="00916EE7" w:rsidRDefault="008050D5"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32</w:t>
      </w:r>
      <w:r w:rsidRPr="00916EE7">
        <w:fldChar w:fldCharType="end"/>
      </w:r>
      <w:bookmarkEnd w:id="20"/>
      <w:r>
        <w:t xml:space="preserve">.  Отказът да се регистрира “Илинден” представлява “ограничение” на правото на свобода на сдружаване както на организацията, така и на нейните членове (вж. </w:t>
      </w:r>
      <w:r>
        <w:rPr>
          <w:i/>
        </w:rPr>
        <w:t>Обединената македонска организация “Илинден” и други (№ 2)</w:t>
      </w:r>
      <w:r>
        <w:t>, §§ 27 и 30, с допълнителни препратки).</w:t>
      </w:r>
    </w:p>
    <w:bookmarkStart w:id="21" w:name="L_A11_3"/>
    <w:p w:rsidR="008050D5" w:rsidRPr="00916EE7" w:rsidRDefault="008050D5"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33</w:t>
      </w:r>
      <w:r w:rsidRPr="00916EE7">
        <w:fldChar w:fldCharType="end"/>
      </w:r>
      <w:bookmarkEnd w:id="21"/>
      <w:r>
        <w:t>.  Не е необходимо да се разглежда дали това ограничение е “предвидено в закона” или дали преследва легитимна цел (пак там, § 32), защото дори да се предположи, че е така, то не е “необходимо в едно демократично общество” поради следните причини.</w:t>
      </w:r>
    </w:p>
    <w:bookmarkStart w:id="22" w:name="L_A11_4"/>
    <w:p w:rsidR="00515D34" w:rsidRPr="00916EE7" w:rsidRDefault="008050D5" w:rsidP="00916EE7">
      <w:pPr>
        <w:pStyle w:val="ECHRPara"/>
      </w:pPr>
      <w:r w:rsidRPr="00916EE7">
        <w:lastRenderedPageBreak/>
        <w:fldChar w:fldCharType="begin"/>
      </w:r>
      <w:r w:rsidRPr="00916EE7">
        <w:instrText xml:space="preserve"> SEQ level0 \*arabic </w:instrText>
      </w:r>
      <w:r w:rsidRPr="00916EE7">
        <w:fldChar w:fldCharType="separate"/>
      </w:r>
      <w:r w:rsidR="00916EE7" w:rsidRPr="00916EE7">
        <w:rPr>
          <w:noProof/>
        </w:rPr>
        <w:t>34</w:t>
      </w:r>
      <w:r w:rsidRPr="00916EE7">
        <w:fldChar w:fldCharType="end"/>
      </w:r>
      <w:bookmarkEnd w:id="22"/>
      <w:r>
        <w:t>.  Отказ</w:t>
      </w:r>
      <w:r w:rsidR="00FB67D1">
        <w:t>ът, потвърден от Апелативен съд-</w:t>
      </w:r>
      <w:r>
        <w:t xml:space="preserve">София, се базира на две основания: (а) рискът от напрежение в района, където е базирана “Илинден”, в случай на регистрация, и (б) правото на мнозинството от българите да не бъдат изложени на силните ѝ възгледи, които те смятат за обидни (вж. параграфи </w:t>
      </w:r>
      <w:r w:rsidR="00C96712" w:rsidRPr="00916EE7">
        <w:fldChar w:fldCharType="begin"/>
      </w:r>
      <w:r w:rsidR="00C96712" w:rsidRPr="00916EE7">
        <w:instrText xml:space="preserve"> REF F_BRC_judgment \h </w:instrText>
      </w:r>
      <w:r w:rsidR="00C96712" w:rsidRPr="00916EE7">
        <w:fldChar w:fldCharType="separate"/>
      </w:r>
      <w:r w:rsidR="00916EE7" w:rsidRPr="00916EE7">
        <w:rPr>
          <w:noProof/>
        </w:rPr>
        <w:t>10</w:t>
      </w:r>
      <w:r w:rsidR="00C96712" w:rsidRPr="00916EE7">
        <w:fldChar w:fldCharType="end"/>
      </w:r>
      <w:r>
        <w:t xml:space="preserve"> и </w:t>
      </w:r>
      <w:r w:rsidR="00C96712" w:rsidRPr="00916EE7">
        <w:fldChar w:fldCharType="begin"/>
      </w:r>
      <w:r w:rsidR="00C96712" w:rsidRPr="00916EE7">
        <w:instrText xml:space="preserve"> REF F_SCA_judgment \h </w:instrText>
      </w:r>
      <w:r w:rsidR="00C96712" w:rsidRPr="00916EE7">
        <w:fldChar w:fldCharType="separate"/>
      </w:r>
      <w:r w:rsidR="00916EE7" w:rsidRPr="00916EE7">
        <w:rPr>
          <w:noProof/>
        </w:rPr>
        <w:t>12</w:t>
      </w:r>
      <w:r w:rsidR="00C96712" w:rsidRPr="00916EE7">
        <w:fldChar w:fldCharType="end"/>
      </w:r>
      <w:r>
        <w:t>-</w:t>
      </w:r>
      <w:r w:rsidR="00136C8B" w:rsidRPr="00916EE7">
        <w:fldChar w:fldCharType="begin"/>
      </w:r>
      <w:r w:rsidR="00136C8B" w:rsidRPr="00916EE7">
        <w:instrText xml:space="preserve"> REF F_SCA_judgment_quater \h </w:instrText>
      </w:r>
      <w:r w:rsidR="00136C8B" w:rsidRPr="00916EE7">
        <w:fldChar w:fldCharType="separate"/>
      </w:r>
      <w:r w:rsidR="00916EE7" w:rsidRPr="00916EE7">
        <w:rPr>
          <w:noProof/>
        </w:rPr>
        <w:t>15</w:t>
      </w:r>
      <w:r w:rsidR="00136C8B" w:rsidRPr="00916EE7">
        <w:fldChar w:fldCharType="end"/>
      </w:r>
      <w:r>
        <w:t xml:space="preserve">  по-горе). Съдът по-рано е констатирал, че и двете основания са недостатъчни, за да оправдаят забраните за митингите на “Илинден” (вж. </w:t>
      </w:r>
      <w:r>
        <w:rPr>
          <w:i/>
        </w:rPr>
        <w:t>Станков и Обединената македонска организация “Илинден”</w:t>
      </w:r>
      <w:r>
        <w:t xml:space="preserve">, цитирано по-горе, §§ 94 и 106-07). Те също така не са достатъчни, за да оправдаят отказ </w:t>
      </w:r>
      <w:r w:rsidR="00E33645">
        <w:t>з</w:t>
      </w:r>
      <w:r>
        <w:t>а регистрация и от това решение насам не е имало никакви нови развития, които биха могли да поставят под съмнение верността на констатациите.</w:t>
      </w:r>
    </w:p>
    <w:p w:rsidR="003410DF" w:rsidRPr="00916EE7" w:rsidRDefault="00F90F4C" w:rsidP="00916EE7">
      <w:pPr>
        <w:pStyle w:val="ECHRPara"/>
      </w:pPr>
      <w:fldSimple w:instr=" SEQ level0 \*arabic ">
        <w:r w:rsidR="00916EE7" w:rsidRPr="00916EE7">
          <w:rPr>
            <w:noProof/>
          </w:rPr>
          <w:t>35</w:t>
        </w:r>
      </w:fldSimple>
      <w:r w:rsidR="00FB67D1">
        <w:t>.  Освен това Апелативен съд-</w:t>
      </w:r>
      <w:r w:rsidR="00131FB3">
        <w:t xml:space="preserve">София основава своите заключения за потенциалните рискове, произтичащи от регистрацията на “Илинден”, върху информация получена от неуточнени медийни източници, която той е взел предвид (вж. параграфи </w:t>
      </w:r>
      <w:r w:rsidR="00BD3743" w:rsidRPr="00916EE7">
        <w:fldChar w:fldCharType="begin"/>
      </w:r>
      <w:r w:rsidR="00BD3743" w:rsidRPr="00916EE7">
        <w:instrText xml:space="preserve"> REF F_SCA_judgment_bis \h </w:instrText>
      </w:r>
      <w:r w:rsidR="00BD3743" w:rsidRPr="00916EE7">
        <w:fldChar w:fldCharType="separate"/>
      </w:r>
      <w:r w:rsidR="00916EE7" w:rsidRPr="00916EE7">
        <w:rPr>
          <w:noProof/>
        </w:rPr>
        <w:t>13</w:t>
      </w:r>
      <w:r w:rsidR="00BD3743" w:rsidRPr="00916EE7">
        <w:fldChar w:fldCharType="end"/>
      </w:r>
      <w:r w:rsidR="00131FB3">
        <w:t xml:space="preserve"> </w:t>
      </w:r>
      <w:r w:rsidR="00E33645">
        <w:t xml:space="preserve">накрая </w:t>
      </w:r>
      <w:r w:rsidR="00131FB3">
        <w:t xml:space="preserve">и </w:t>
      </w:r>
      <w:r w:rsidR="00BD3743" w:rsidRPr="00916EE7">
        <w:fldChar w:fldCharType="begin"/>
      </w:r>
      <w:r w:rsidR="00BD3743" w:rsidRPr="00916EE7">
        <w:instrText xml:space="preserve"> REF F_SCA_judgment_ter \h </w:instrText>
      </w:r>
      <w:r w:rsidR="00BD3743" w:rsidRPr="00916EE7">
        <w:fldChar w:fldCharType="separate"/>
      </w:r>
      <w:r w:rsidR="00916EE7" w:rsidRPr="00916EE7">
        <w:rPr>
          <w:noProof/>
        </w:rPr>
        <w:t>14</w:t>
      </w:r>
      <w:r w:rsidR="00BD3743" w:rsidRPr="00916EE7">
        <w:fldChar w:fldCharType="end"/>
      </w:r>
      <w:r w:rsidR="00131FB3">
        <w:t xml:space="preserve"> по-горе). По този начин той лишава жалбоподателите от възможността да обсъдят достоверността на тази информация или нейното значение за наличието или липсата на обоснованост на заявлението за регистрация на “Илинден”. Съдът също не обяснява защо смята, че тази информация е вярна, а неуточнените медийни източници, от които я получ</w:t>
      </w:r>
      <w:r w:rsidR="00E33645">
        <w:t>ава</w:t>
      </w:r>
      <w:r w:rsidR="00131FB3">
        <w:t xml:space="preserve">, са надеждни. Той също не обяснява правилно защо смята неуточнените събития и ситуации, на които се позовава, включително етническото и религиозно напрежение в неназовани съседни страни и </w:t>
      </w:r>
      <w:proofErr w:type="spellStart"/>
      <w:r w:rsidR="00131FB3">
        <w:t>мигрантската</w:t>
      </w:r>
      <w:proofErr w:type="spellEnd"/>
      <w:r w:rsidR="00131FB3">
        <w:t xml:space="preserve"> криза, засягаща Европа, за толкова тясно свързани с възприеманите рискове, произтичащи от регистрацията на “Илинден” (вж. параграф </w:t>
      </w:r>
      <w:r w:rsidR="004C6E43" w:rsidRPr="00916EE7">
        <w:fldChar w:fldCharType="begin"/>
      </w:r>
      <w:r w:rsidR="004C6E43" w:rsidRPr="00916EE7">
        <w:instrText xml:space="preserve"> REF F_SCA_judgment_ter \h </w:instrText>
      </w:r>
      <w:r w:rsidR="004C6E43" w:rsidRPr="00916EE7">
        <w:fldChar w:fldCharType="separate"/>
      </w:r>
      <w:r w:rsidR="00916EE7" w:rsidRPr="00916EE7">
        <w:rPr>
          <w:noProof/>
        </w:rPr>
        <w:t>14</w:t>
      </w:r>
      <w:r w:rsidR="004C6E43" w:rsidRPr="00916EE7">
        <w:fldChar w:fldCharType="end"/>
      </w:r>
      <w:r w:rsidR="00131FB3">
        <w:t xml:space="preserve"> по-горе</w:t>
      </w:r>
      <w:r w:rsidR="00B23058">
        <w:t xml:space="preserve"> в края</w:t>
      </w:r>
      <w:r w:rsidR="00FB67D1">
        <w:t>). Следователно Апелативен съд-</w:t>
      </w:r>
      <w:r w:rsidR="00131FB3">
        <w:t xml:space="preserve">София не </w:t>
      </w:r>
      <w:r w:rsidR="00B23058">
        <w:t xml:space="preserve">базира </w:t>
      </w:r>
      <w:r w:rsidR="00131FB3">
        <w:t>решението си</w:t>
      </w:r>
      <w:r w:rsidR="00FB67D1">
        <w:t>,</w:t>
      </w:r>
      <w:r w:rsidR="00131FB3">
        <w:t xml:space="preserve"> потвър</w:t>
      </w:r>
      <w:r w:rsidR="00B23058">
        <w:t>ждаващо</w:t>
      </w:r>
      <w:r w:rsidR="00131FB3">
        <w:t xml:space="preserve"> отказа за регистриране на “Илинден”</w:t>
      </w:r>
      <w:r w:rsidR="00FB67D1">
        <w:t>,</w:t>
      </w:r>
      <w:r w:rsidR="00131FB3">
        <w:t xml:space="preserve"> на солидна оценка на </w:t>
      </w:r>
      <w:r w:rsidR="00B23058">
        <w:t xml:space="preserve">приложимите </w:t>
      </w:r>
      <w:r w:rsidR="00131FB3">
        <w:t>факти и не предостав</w:t>
      </w:r>
      <w:r w:rsidR="00B23058">
        <w:t>я</w:t>
      </w:r>
      <w:r w:rsidR="00131FB3">
        <w:t xml:space="preserve"> убедителни причини за това решение, както се изисква от практиката на този Съд (вж. наред с други решения </w:t>
      </w:r>
      <w:proofErr w:type="spellStart"/>
      <w:r w:rsidR="00131FB3">
        <w:rPr>
          <w:i/>
        </w:rPr>
        <w:t>United</w:t>
      </w:r>
      <w:proofErr w:type="spellEnd"/>
      <w:r w:rsidR="00131FB3">
        <w:rPr>
          <w:i/>
        </w:rPr>
        <w:t xml:space="preserve"> </w:t>
      </w:r>
      <w:proofErr w:type="spellStart"/>
      <w:r w:rsidR="00131FB3">
        <w:rPr>
          <w:i/>
        </w:rPr>
        <w:t>Communist</w:t>
      </w:r>
      <w:proofErr w:type="spellEnd"/>
      <w:r w:rsidR="00131FB3">
        <w:rPr>
          <w:i/>
        </w:rPr>
        <w:t xml:space="preserve"> </w:t>
      </w:r>
      <w:proofErr w:type="spellStart"/>
      <w:r w:rsidR="00131FB3">
        <w:rPr>
          <w:i/>
        </w:rPr>
        <w:t>Party</w:t>
      </w:r>
      <w:proofErr w:type="spellEnd"/>
      <w:r w:rsidR="00131FB3">
        <w:rPr>
          <w:i/>
        </w:rPr>
        <w:t xml:space="preserve"> </w:t>
      </w:r>
      <w:proofErr w:type="spellStart"/>
      <w:r w:rsidR="00131FB3">
        <w:rPr>
          <w:i/>
        </w:rPr>
        <w:t>of</w:t>
      </w:r>
      <w:proofErr w:type="spellEnd"/>
      <w:r w:rsidR="00131FB3">
        <w:rPr>
          <w:i/>
        </w:rPr>
        <w:t xml:space="preserve"> </w:t>
      </w:r>
      <w:proofErr w:type="spellStart"/>
      <w:r w:rsidR="00131FB3">
        <w:rPr>
          <w:i/>
        </w:rPr>
        <w:t>Turkey</w:t>
      </w:r>
      <w:proofErr w:type="spellEnd"/>
      <w:r w:rsidR="00131FB3">
        <w:rPr>
          <w:i/>
        </w:rPr>
        <w:t xml:space="preserve"> </w:t>
      </w:r>
      <w:proofErr w:type="spellStart"/>
      <w:r w:rsidR="00131FB3">
        <w:rPr>
          <w:i/>
        </w:rPr>
        <w:t>and</w:t>
      </w:r>
      <w:proofErr w:type="spellEnd"/>
      <w:r w:rsidR="00131FB3">
        <w:rPr>
          <w:i/>
        </w:rPr>
        <w:t xml:space="preserve"> </w:t>
      </w:r>
      <w:proofErr w:type="spellStart"/>
      <w:r w:rsidR="00131FB3">
        <w:rPr>
          <w:i/>
        </w:rPr>
        <w:t>Others</w:t>
      </w:r>
      <w:proofErr w:type="spellEnd"/>
      <w:r w:rsidR="00131FB3">
        <w:rPr>
          <w:i/>
        </w:rPr>
        <w:t xml:space="preserve"> v. </w:t>
      </w:r>
      <w:proofErr w:type="spellStart"/>
      <w:r w:rsidR="00131FB3">
        <w:rPr>
          <w:i/>
        </w:rPr>
        <w:t>Turkey</w:t>
      </w:r>
      <w:proofErr w:type="spellEnd"/>
      <w:r w:rsidR="00131FB3">
        <w:t xml:space="preserve">, 30 януари 1998 г., § 47, </w:t>
      </w:r>
      <w:r w:rsidR="00131FB3">
        <w:rPr>
          <w:i/>
        </w:rPr>
        <w:t>Доклади за решения и определения</w:t>
      </w:r>
      <w:r w:rsidR="00131FB3">
        <w:t xml:space="preserve"> 1998-I; </w:t>
      </w:r>
      <w:proofErr w:type="spellStart"/>
      <w:r w:rsidR="00131FB3">
        <w:rPr>
          <w:i/>
        </w:rPr>
        <w:t>Sidiropoulos</w:t>
      </w:r>
      <w:proofErr w:type="spellEnd"/>
      <w:r w:rsidR="00131FB3">
        <w:rPr>
          <w:i/>
        </w:rPr>
        <w:t xml:space="preserve"> </w:t>
      </w:r>
      <w:proofErr w:type="spellStart"/>
      <w:r w:rsidR="00131FB3">
        <w:rPr>
          <w:i/>
        </w:rPr>
        <w:t>and</w:t>
      </w:r>
      <w:proofErr w:type="spellEnd"/>
      <w:r w:rsidR="00131FB3">
        <w:rPr>
          <w:i/>
        </w:rPr>
        <w:t xml:space="preserve"> </w:t>
      </w:r>
      <w:proofErr w:type="spellStart"/>
      <w:r w:rsidR="00131FB3">
        <w:rPr>
          <w:i/>
        </w:rPr>
        <w:t>Others</w:t>
      </w:r>
      <w:proofErr w:type="spellEnd"/>
      <w:r w:rsidR="00131FB3">
        <w:rPr>
          <w:i/>
        </w:rPr>
        <w:t xml:space="preserve"> v. </w:t>
      </w:r>
      <w:proofErr w:type="spellStart"/>
      <w:r w:rsidR="00131FB3">
        <w:rPr>
          <w:i/>
        </w:rPr>
        <w:t>Greece</w:t>
      </w:r>
      <w:proofErr w:type="spellEnd"/>
      <w:r w:rsidR="00131FB3">
        <w:t xml:space="preserve">, 10 юли 1998 г., § 40, </w:t>
      </w:r>
      <w:r w:rsidR="00131FB3">
        <w:rPr>
          <w:i/>
        </w:rPr>
        <w:t xml:space="preserve">Доклади </w:t>
      </w:r>
      <w:r w:rsidR="00131FB3">
        <w:t>1998-IV; и</w:t>
      </w:r>
      <w:r w:rsidR="00131FB3">
        <w:rPr>
          <w:i/>
        </w:rPr>
        <w:t xml:space="preserve"> Обединената македонска организация “Илинден” и други</w:t>
      </w:r>
      <w:r w:rsidR="00131FB3">
        <w:t>, цитирано по-горе, § 62).</w:t>
      </w:r>
    </w:p>
    <w:bookmarkStart w:id="23" w:name="L_A11_5"/>
    <w:p w:rsidR="00515D34" w:rsidRPr="00916EE7" w:rsidRDefault="00515D34"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36</w:t>
      </w:r>
      <w:r w:rsidRPr="00916EE7">
        <w:fldChar w:fldCharType="end"/>
      </w:r>
      <w:bookmarkEnd w:id="23"/>
      <w:r>
        <w:t>.  Следователно е налице нарушение на чл. 11 от Конвенцията.</w:t>
      </w:r>
    </w:p>
    <w:p w:rsidR="00515D34" w:rsidRPr="00916EE7" w:rsidRDefault="00515D34" w:rsidP="00916EE7">
      <w:pPr>
        <w:pStyle w:val="ECHRHeading1"/>
        <w:outlineLvl w:val="1"/>
      </w:pPr>
      <w:r>
        <w:lastRenderedPageBreak/>
        <w:t>II.  ТВЪРДЯНО НАРУШЕНИЕ НА ЧЛ. 14 ОТ КОНВЕНЦИЯТА</w:t>
      </w:r>
    </w:p>
    <w:p w:rsidR="00515D34" w:rsidRPr="00916EE7" w:rsidRDefault="00F90F4C" w:rsidP="00916EE7">
      <w:pPr>
        <w:pStyle w:val="ECHRPara"/>
        <w:keepNext/>
        <w:keepLines/>
      </w:pPr>
      <w:fldSimple w:instr=" SEQ level0 \*arabic ">
        <w:r w:rsidR="00916EE7" w:rsidRPr="00916EE7">
          <w:rPr>
            <w:noProof/>
          </w:rPr>
          <w:t>37</w:t>
        </w:r>
      </w:fldSimple>
      <w:r w:rsidR="00515D34">
        <w:t>.  Жалбоподателите се оплакват, че отказът да се регистрира “Илинден”, който според тях се основава на политиката на българската държава да отрича съществуването на македонско малцинство, е дискриминационен. Те се позовават на чл. 14 от Конвенцията, който гласи:</w:t>
      </w:r>
    </w:p>
    <w:p w:rsidR="00515D34" w:rsidRPr="00916EE7" w:rsidRDefault="00515D34" w:rsidP="00916EE7">
      <w:pPr>
        <w:pStyle w:val="ECHRParaQuote"/>
        <w:keepLines/>
      </w:pPr>
      <w:r>
        <w:t>"Упражняването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p>
    <w:p w:rsidR="00515D34" w:rsidRPr="00916EE7" w:rsidRDefault="00515D34" w:rsidP="00916EE7">
      <w:pPr>
        <w:pStyle w:val="ECHRHeading2"/>
        <w:outlineLvl w:val="2"/>
      </w:pPr>
      <w:r>
        <w:t>А. Тези на страните</w:t>
      </w:r>
    </w:p>
    <w:p w:rsidR="00AA54C2" w:rsidRPr="00916EE7" w:rsidRDefault="00AA54C2" w:rsidP="00916EE7">
      <w:pPr>
        <w:pStyle w:val="ECHRHeading3"/>
        <w:outlineLvl w:val="3"/>
      </w:pPr>
      <w:r>
        <w:t>1.  Правителството</w:t>
      </w:r>
    </w:p>
    <w:p w:rsidR="00515D34" w:rsidRPr="00916EE7" w:rsidRDefault="00F90F4C" w:rsidP="00916EE7">
      <w:pPr>
        <w:pStyle w:val="ECHRPara"/>
      </w:pPr>
      <w:fldSimple w:instr=" SEQ level0 \*arabic ">
        <w:r w:rsidR="00916EE7" w:rsidRPr="00916EE7">
          <w:rPr>
            <w:noProof/>
          </w:rPr>
          <w:t>38</w:t>
        </w:r>
      </w:fldSimple>
      <w:r w:rsidR="00515D34">
        <w:t>.  Правителството твърди, че жалбоподателите не са изчерпали вътрешн</w:t>
      </w:r>
      <w:r w:rsidR="00B23058">
        <w:t>о</w:t>
      </w:r>
      <w:r w:rsidR="00515D34">
        <w:t>правни</w:t>
      </w:r>
      <w:r w:rsidR="00B23058">
        <w:t>те</w:t>
      </w:r>
      <w:r w:rsidR="00515D34">
        <w:t xml:space="preserve"> средства за защита. Те не са се опитали да заведат производство по Закона за защита</w:t>
      </w:r>
      <w:r w:rsidR="00FB67D1">
        <w:t xml:space="preserve"> от дискриминация от 2003 г.,</w:t>
      </w:r>
      <w:r w:rsidR="00515D34">
        <w:t xml:space="preserve"> да поискат да бъде устано</w:t>
      </w:r>
      <w:r w:rsidR="00FB67D1">
        <w:t xml:space="preserve">вено, че са дискриминирани и да потърсят обезщетение. </w:t>
      </w:r>
      <w:r w:rsidR="00515D34">
        <w:t xml:space="preserve">Според Правителството фактът, че твърдяната дискриминация е била резултат от съдебно решение, не е пречка за обезщетение съгласно </w:t>
      </w:r>
      <w:proofErr w:type="spellStart"/>
      <w:r w:rsidR="00FB67D1">
        <w:t>ЗЗДискр</w:t>
      </w:r>
      <w:proofErr w:type="spellEnd"/>
      <w:r w:rsidR="00FB67D1">
        <w:t>.</w:t>
      </w:r>
      <w:r w:rsidR="00515D34">
        <w:t xml:space="preserve"> В случая на жалбопода</w:t>
      </w:r>
      <w:r w:rsidR="00FB67D1">
        <w:t>телите решенията на Окръжен съд-Благоевград и на Апелативен съд-</w:t>
      </w:r>
      <w:r w:rsidR="00515D34">
        <w:t xml:space="preserve">София са постановени при несъстезателни производства по регистрация и съгласно българското </w:t>
      </w:r>
      <w:r w:rsidR="00B23058">
        <w:t xml:space="preserve">законодателство </w:t>
      </w:r>
      <w:r w:rsidR="00515D34">
        <w:t xml:space="preserve">не са имали сила на </w:t>
      </w:r>
      <w:proofErr w:type="spellStart"/>
      <w:r w:rsidR="00515D34">
        <w:t>пресъдено</w:t>
      </w:r>
      <w:proofErr w:type="spellEnd"/>
      <w:r w:rsidR="00515D34">
        <w:t xml:space="preserve"> нещо, което се доказва от факта, че тези решения не са възпрепятствали по-нататъшни заявления за регистрация от същата организация. Следователно</w:t>
      </w:r>
      <w:r w:rsidR="00B23058">
        <w:t>,</w:t>
      </w:r>
      <w:r w:rsidR="00515D34">
        <w:t xml:space="preserve"> </w:t>
      </w:r>
      <w:r w:rsidR="00FB67D1">
        <w:t xml:space="preserve">жалба по </w:t>
      </w:r>
      <w:proofErr w:type="spellStart"/>
      <w:r w:rsidR="00FB67D1">
        <w:t>ЗЗДискр</w:t>
      </w:r>
      <w:proofErr w:type="spellEnd"/>
      <w:r w:rsidR="00515D34">
        <w:t xml:space="preserve"> във връзка с тези решения не е бил немислим. Само</w:t>
      </w:r>
      <w:r w:rsidR="00B23058">
        <w:t>то</w:t>
      </w:r>
      <w:r w:rsidR="00515D34">
        <w:t xml:space="preserve"> съмнение дали </w:t>
      </w:r>
      <w:r w:rsidR="00B23058">
        <w:t xml:space="preserve">има </w:t>
      </w:r>
      <w:r w:rsidR="00515D34">
        <w:t>вероятно</w:t>
      </w:r>
      <w:r w:rsidR="00B23058">
        <w:t>ст</w:t>
      </w:r>
      <w:r w:rsidR="00515D34">
        <w:t xml:space="preserve"> вътрешноправно</w:t>
      </w:r>
      <w:r w:rsidR="00B23058">
        <w:t>то</w:t>
      </w:r>
      <w:r w:rsidR="00515D34">
        <w:t xml:space="preserve"> средство за защита да бъде ефективно не е извинение то да </w:t>
      </w:r>
      <w:r w:rsidR="00FB67D1">
        <w:t>не бъде използвано</w:t>
      </w:r>
      <w:r w:rsidR="00515D34">
        <w:t>.</w:t>
      </w:r>
    </w:p>
    <w:p w:rsidR="00515D34" w:rsidRPr="00916EE7" w:rsidRDefault="00F90F4C" w:rsidP="00916EE7">
      <w:pPr>
        <w:pStyle w:val="ECHRPara"/>
      </w:pPr>
      <w:fldSimple w:instr=" SEQ level0 \*arabic ">
        <w:r w:rsidR="00916EE7" w:rsidRPr="00916EE7">
          <w:rPr>
            <w:noProof/>
          </w:rPr>
          <w:t>39</w:t>
        </w:r>
      </w:fldSimple>
      <w:r w:rsidR="00515D34">
        <w:t>.  Правителството допълва, че ако Съдът констатира, че оплакването е допустимо, той трябва да следва своите предишни решения в подобни дела и да приеме, че не е необходимо то да се разглежда отделно.</w:t>
      </w:r>
    </w:p>
    <w:p w:rsidR="00AA54C2" w:rsidRPr="00916EE7" w:rsidRDefault="00AA54C2" w:rsidP="00916EE7">
      <w:pPr>
        <w:pStyle w:val="ECHRHeading3"/>
        <w:outlineLvl w:val="3"/>
      </w:pPr>
      <w:r>
        <w:t>2.  Жалбоподателите</w:t>
      </w:r>
    </w:p>
    <w:p w:rsidR="00515D34" w:rsidRPr="00916EE7" w:rsidRDefault="00F90F4C" w:rsidP="00916EE7">
      <w:pPr>
        <w:pStyle w:val="ECHRPara"/>
      </w:pPr>
      <w:fldSimple w:instr=" SEQ level0 \*arabic ">
        <w:r w:rsidR="00916EE7" w:rsidRPr="00916EE7">
          <w:rPr>
            <w:noProof/>
          </w:rPr>
          <w:t>40</w:t>
        </w:r>
      </w:fldSimple>
      <w:r w:rsidR="00515D34">
        <w:t xml:space="preserve">.  Жалбоподателите твърдят, че въпреки че Комисията за защита от дискриминация и административните съдилища редовно преразглеждат решения на административните органи и въпреки че е възможно да се занимават с оплаквания, свързани с логистични и други подобни въпроси, свързани със съдилищата, като например достъп до съдебни сгради за хора с увреждания, е немислимо и противоречащо на </w:t>
      </w:r>
      <w:r w:rsidR="00515D34">
        <w:lastRenderedPageBreak/>
        <w:t>принципа на правната сигурност те да преразгледат основателността на съдебно решение.</w:t>
      </w:r>
    </w:p>
    <w:p w:rsidR="00515D34" w:rsidRPr="00916EE7" w:rsidRDefault="00F90F4C" w:rsidP="00916EE7">
      <w:pPr>
        <w:pStyle w:val="ECHRPara"/>
      </w:pPr>
      <w:fldSimple w:instr=" SEQ level0 \*arabic ">
        <w:r w:rsidR="00916EE7" w:rsidRPr="00916EE7">
          <w:rPr>
            <w:noProof/>
          </w:rPr>
          <w:t>41</w:t>
        </w:r>
      </w:fldSimple>
      <w:r w:rsidR="00515D34">
        <w:t xml:space="preserve">.  Жалбоподателите твърдят, че единствената причина за нарушаването на тяхното право на свобода на сдружаване е тяхната македонска етническа принадлежност. Това се вижда от по-широкия контекст и по-конкретно от два елемента. Първият е системното ограничаване на техните права по чл. 11 от Конвенцията, както и правата на други етнически македонци, през последните две и половина десетилетия, а вторият елемент е политиката на българската държава да отрича съществуването на македонска етническа идентичност в България (вж. </w:t>
      </w:r>
      <w:r w:rsidR="00515D34">
        <w:rPr>
          <w:i/>
        </w:rPr>
        <w:t>Кирил Иванов срещу България</w:t>
      </w:r>
      <w:r w:rsidR="00515D34">
        <w:t>, № 17599/07, §§ 66-67, 11 януари 2018 г.).</w:t>
      </w:r>
    </w:p>
    <w:p w:rsidR="00515D34" w:rsidRPr="00916EE7" w:rsidRDefault="00515D34" w:rsidP="00916EE7">
      <w:pPr>
        <w:pStyle w:val="ECHRHeading2"/>
        <w:outlineLvl w:val="2"/>
      </w:pPr>
      <w:r>
        <w:t>Б. Преценка</w:t>
      </w:r>
      <w:r w:rsidR="00B23058">
        <w:t>та</w:t>
      </w:r>
      <w:r>
        <w:t xml:space="preserve"> на Съда</w:t>
      </w:r>
    </w:p>
    <w:bookmarkStart w:id="24" w:name="L_A14_1"/>
    <w:p w:rsidR="00CB6E84" w:rsidRPr="00916EE7" w:rsidRDefault="00CB6E84"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42</w:t>
      </w:r>
      <w:r w:rsidRPr="00916EE7">
        <w:fldChar w:fldCharType="end"/>
      </w:r>
      <w:bookmarkEnd w:id="24"/>
      <w:r>
        <w:t xml:space="preserve">.  Оплакването се отнася до същите факти като </w:t>
      </w:r>
      <w:r w:rsidR="00FB67D1">
        <w:t>тези</w:t>
      </w:r>
      <w:r>
        <w:t>,</w:t>
      </w:r>
      <w:r w:rsidR="00FB67D1">
        <w:t xml:space="preserve"> на които се основава оплакването</w:t>
      </w:r>
      <w:r>
        <w:t xml:space="preserve"> </w:t>
      </w:r>
      <w:r w:rsidR="00FB67D1">
        <w:t>по</w:t>
      </w:r>
      <w:r>
        <w:t xml:space="preserve"> чл. 11 от Конв</w:t>
      </w:r>
      <w:r w:rsidR="00FB67D1">
        <w:t>енцията: отказът на Окръжен съд-</w:t>
      </w:r>
      <w:r>
        <w:t>Благоевгр</w:t>
      </w:r>
      <w:r w:rsidR="00FB67D1">
        <w:t>ад, потвърден от Апелативен съд-</w:t>
      </w:r>
      <w:r>
        <w:t xml:space="preserve">София, да регистрира “Илинден”. Въпреки че жалбоподателите настояват, че техните оплаквания по чл. 14 изискват отделно разглеждане, особено когато се поставят в цялостния контекст на обстоятелствата, на които те се позовават, Съдът след като </w:t>
      </w:r>
      <w:r w:rsidR="00613FEE">
        <w:t>разглежда</w:t>
      </w:r>
      <w:r>
        <w:t xml:space="preserve"> внимателно техните доводи, не намира, че това е така.</w:t>
      </w:r>
    </w:p>
    <w:bookmarkStart w:id="25" w:name="L_A14_3"/>
    <w:p w:rsidR="00CB6E84" w:rsidRPr="00916EE7" w:rsidRDefault="00CB6E84"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43</w:t>
      </w:r>
      <w:r w:rsidRPr="00916EE7">
        <w:fldChar w:fldCharType="end"/>
      </w:r>
      <w:bookmarkEnd w:id="25"/>
      <w:r>
        <w:t xml:space="preserve">.  Като цяло Съдът разглежда оплаквания по чл. 14 в допълнение към тези по </w:t>
      </w:r>
      <w:proofErr w:type="spellStart"/>
      <w:r>
        <w:t>материалноправния</w:t>
      </w:r>
      <w:proofErr w:type="spellEnd"/>
      <w:r>
        <w:t xml:space="preserve"> член, във връзка с който е направено позоваването, само ако явното неравно третиране при упражняването на въпросното право е основен аспект на делото и е необходимо отделно разглеждане (вж. наред с други решения </w:t>
      </w:r>
      <w:proofErr w:type="spellStart"/>
      <w:r>
        <w:rPr>
          <w:i/>
        </w:rPr>
        <w:t>Airey</w:t>
      </w:r>
      <w:proofErr w:type="spellEnd"/>
      <w:r>
        <w:rPr>
          <w:i/>
        </w:rPr>
        <w:t xml:space="preserve"> v. </w:t>
      </w:r>
      <w:proofErr w:type="spellStart"/>
      <w:r>
        <w:rPr>
          <w:i/>
        </w:rPr>
        <w:t>Ireland</w:t>
      </w:r>
      <w:proofErr w:type="spellEnd"/>
      <w:r>
        <w:t xml:space="preserve">, 9 октомври 1979 г., § 30, Серия A № 32; </w:t>
      </w:r>
      <w:proofErr w:type="spellStart"/>
      <w:r>
        <w:rPr>
          <w:i/>
        </w:rPr>
        <w:t>Dudgeon</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22 октомври 1981 г., § 67, Серия A № 45; </w:t>
      </w:r>
      <w:r>
        <w:rPr>
          <w:i/>
        </w:rPr>
        <w:t xml:space="preserve">X </w:t>
      </w:r>
      <w:proofErr w:type="spellStart"/>
      <w:r>
        <w:rPr>
          <w:i/>
        </w:rPr>
        <w:t>and</w:t>
      </w:r>
      <w:proofErr w:type="spellEnd"/>
      <w:r>
        <w:rPr>
          <w:i/>
        </w:rPr>
        <w:t xml:space="preserve"> Y v. </w:t>
      </w:r>
      <w:proofErr w:type="spellStart"/>
      <w:r>
        <w:rPr>
          <w:i/>
        </w:rPr>
        <w:t>the</w:t>
      </w:r>
      <w:proofErr w:type="spellEnd"/>
      <w:r>
        <w:rPr>
          <w:i/>
        </w:rPr>
        <w:t xml:space="preserve"> </w:t>
      </w:r>
      <w:proofErr w:type="spellStart"/>
      <w:r>
        <w:rPr>
          <w:i/>
        </w:rPr>
        <w:t>Netherlands</w:t>
      </w:r>
      <w:proofErr w:type="spellEnd"/>
      <w:r>
        <w:t xml:space="preserve">, 26 март 1985 г., § 32, Серия A № 91; </w:t>
      </w:r>
      <w:proofErr w:type="spellStart"/>
      <w:r>
        <w:rPr>
          <w:i/>
        </w:rPr>
        <w:t>Chassagnou</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France</w:t>
      </w:r>
      <w:proofErr w:type="spellEnd"/>
      <w:r>
        <w:t xml:space="preserve"> [GC], № 25088/94 и 2 други, § 89, ЕСПЧ 1999-III; </w:t>
      </w:r>
      <w:proofErr w:type="spellStart"/>
      <w:r>
        <w:rPr>
          <w:i/>
        </w:rPr>
        <w:t>Aziz</w:t>
      </w:r>
      <w:proofErr w:type="spellEnd"/>
      <w:r>
        <w:rPr>
          <w:i/>
        </w:rPr>
        <w:t xml:space="preserve"> v. </w:t>
      </w:r>
      <w:proofErr w:type="spellStart"/>
      <w:r>
        <w:rPr>
          <w:i/>
        </w:rPr>
        <w:t>Cyprus</w:t>
      </w:r>
      <w:proofErr w:type="spellEnd"/>
      <w:r>
        <w:t xml:space="preserve">, № 69949/01, § 35, ЕСПЧ 2004-V; </w:t>
      </w:r>
      <w:proofErr w:type="spellStart"/>
      <w:r>
        <w:rPr>
          <w:i/>
        </w:rPr>
        <w:t>Timishev</w:t>
      </w:r>
      <w:proofErr w:type="spellEnd"/>
      <w:r>
        <w:rPr>
          <w:i/>
        </w:rPr>
        <w:t xml:space="preserve"> v. </w:t>
      </w:r>
      <w:proofErr w:type="spellStart"/>
      <w:r>
        <w:rPr>
          <w:i/>
        </w:rPr>
        <w:t>Russia</w:t>
      </w:r>
      <w:proofErr w:type="spellEnd"/>
      <w:r>
        <w:t xml:space="preserve">, № 55762/00 и 55974/00, § 53, ЕСПЧ 2005-XII; </w:t>
      </w:r>
      <w:proofErr w:type="spellStart"/>
      <w:r>
        <w:rPr>
          <w:i/>
        </w:rPr>
        <w:t>Moscow</w:t>
      </w:r>
      <w:proofErr w:type="spellEnd"/>
      <w:r>
        <w:rPr>
          <w:i/>
        </w:rPr>
        <w:t xml:space="preserve"> </w:t>
      </w:r>
      <w:proofErr w:type="spellStart"/>
      <w:r>
        <w:rPr>
          <w:i/>
        </w:rPr>
        <w:t>Branch</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Salvation</w:t>
      </w:r>
      <w:proofErr w:type="spellEnd"/>
      <w:r>
        <w:rPr>
          <w:i/>
        </w:rPr>
        <w:t xml:space="preserve"> </w:t>
      </w:r>
      <w:proofErr w:type="spellStart"/>
      <w:r>
        <w:rPr>
          <w:i/>
        </w:rPr>
        <w:t>Army</w:t>
      </w:r>
      <w:proofErr w:type="spellEnd"/>
      <w:r>
        <w:rPr>
          <w:i/>
        </w:rPr>
        <w:t xml:space="preserve"> v. </w:t>
      </w:r>
      <w:proofErr w:type="spellStart"/>
      <w:r>
        <w:rPr>
          <w:i/>
        </w:rPr>
        <w:t>Russia</w:t>
      </w:r>
      <w:proofErr w:type="spellEnd"/>
      <w:r>
        <w:t xml:space="preserve">, № 72881/01, § 100, ЕСПЧ 2006-XI; и </w:t>
      </w:r>
      <w:proofErr w:type="spellStart"/>
      <w:r>
        <w:rPr>
          <w:i/>
        </w:rPr>
        <w:t>Oršuš</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Croatia</w:t>
      </w:r>
      <w:proofErr w:type="spellEnd"/>
      <w:r>
        <w:t xml:space="preserve"> [GC], № 15766/03, § 144, ЕСПЧ 2010 г.).</w:t>
      </w:r>
    </w:p>
    <w:p w:rsidR="00B845C8" w:rsidRPr="00916EE7" w:rsidRDefault="00F90F4C" w:rsidP="00916EE7">
      <w:pPr>
        <w:pStyle w:val="ECHRPara"/>
      </w:pPr>
      <w:fldSimple w:instr=" SEQ level0 \*arabic ">
        <w:r w:rsidR="00916EE7" w:rsidRPr="00916EE7">
          <w:rPr>
            <w:noProof/>
          </w:rPr>
          <w:t>44</w:t>
        </w:r>
      </w:fldSimple>
      <w:r w:rsidR="00997570">
        <w:t xml:space="preserve">.  Освен това в няколко дела, които не са съществено различни от настоящото, </w:t>
      </w:r>
      <w:r w:rsidR="00613FEE">
        <w:t xml:space="preserve">част </w:t>
      </w:r>
      <w:r w:rsidR="00997570">
        <w:t>от които засягат намесата в правата на лицата, които проявяват етническо малцинствено самосъзнание, Съдът след като констатира нарушение на разглежданото материал</w:t>
      </w:r>
      <w:r w:rsidR="00FB67D1">
        <w:t>но право по Конвенцията, не нами</w:t>
      </w:r>
      <w:r w:rsidR="00997570">
        <w:t>р</w:t>
      </w:r>
      <w:r w:rsidR="00CE5872">
        <w:t>а</w:t>
      </w:r>
      <w:r w:rsidR="00997570">
        <w:t xml:space="preserve"> за нужно допълнително да разглежда оплакване  по чл. 14 (вж. наред с други решения </w:t>
      </w:r>
      <w:proofErr w:type="spellStart"/>
      <w:r w:rsidR="00997570">
        <w:rPr>
          <w:i/>
        </w:rPr>
        <w:t>Sidiropoulos</w:t>
      </w:r>
      <w:proofErr w:type="spellEnd"/>
      <w:r w:rsidR="00997570">
        <w:rPr>
          <w:i/>
        </w:rPr>
        <w:t xml:space="preserve"> </w:t>
      </w:r>
      <w:proofErr w:type="spellStart"/>
      <w:r w:rsidR="00997570">
        <w:rPr>
          <w:i/>
        </w:rPr>
        <w:t>and</w:t>
      </w:r>
      <w:proofErr w:type="spellEnd"/>
      <w:r w:rsidR="00997570">
        <w:rPr>
          <w:i/>
        </w:rPr>
        <w:t xml:space="preserve"> </w:t>
      </w:r>
      <w:proofErr w:type="spellStart"/>
      <w:r w:rsidR="00997570">
        <w:rPr>
          <w:i/>
        </w:rPr>
        <w:t>Others</w:t>
      </w:r>
      <w:proofErr w:type="spellEnd"/>
      <w:r w:rsidR="00997570">
        <w:t xml:space="preserve">, цитирано по-горе, § 52; </w:t>
      </w:r>
      <w:proofErr w:type="spellStart"/>
      <w:r w:rsidR="00997570">
        <w:rPr>
          <w:i/>
        </w:rPr>
        <w:t>Freedom</w:t>
      </w:r>
      <w:proofErr w:type="spellEnd"/>
      <w:r w:rsidR="00997570">
        <w:rPr>
          <w:i/>
        </w:rPr>
        <w:t xml:space="preserve"> </w:t>
      </w:r>
      <w:proofErr w:type="spellStart"/>
      <w:r w:rsidR="00997570">
        <w:rPr>
          <w:i/>
        </w:rPr>
        <w:t>and</w:t>
      </w:r>
      <w:proofErr w:type="spellEnd"/>
      <w:r w:rsidR="00997570">
        <w:rPr>
          <w:i/>
        </w:rPr>
        <w:t xml:space="preserve"> </w:t>
      </w:r>
      <w:proofErr w:type="spellStart"/>
      <w:r w:rsidR="00997570">
        <w:rPr>
          <w:i/>
        </w:rPr>
        <w:t>Democracy</w:t>
      </w:r>
      <w:proofErr w:type="spellEnd"/>
      <w:r w:rsidR="00997570">
        <w:rPr>
          <w:i/>
        </w:rPr>
        <w:t xml:space="preserve"> </w:t>
      </w:r>
      <w:proofErr w:type="spellStart"/>
      <w:r w:rsidR="00997570">
        <w:rPr>
          <w:i/>
        </w:rPr>
        <w:t>Party</w:t>
      </w:r>
      <w:proofErr w:type="spellEnd"/>
      <w:r w:rsidR="00997570">
        <w:rPr>
          <w:i/>
        </w:rPr>
        <w:t xml:space="preserve"> (ÖZDEP) v. </w:t>
      </w:r>
      <w:proofErr w:type="spellStart"/>
      <w:r w:rsidR="00997570">
        <w:rPr>
          <w:i/>
        </w:rPr>
        <w:t>Turkey</w:t>
      </w:r>
      <w:proofErr w:type="spellEnd"/>
      <w:r w:rsidR="00997570">
        <w:t xml:space="preserve"> [GC], № 23885/94, § 49, ЕСПЧ 1999-VIII; </w:t>
      </w:r>
      <w:proofErr w:type="spellStart"/>
      <w:r w:rsidR="00997570">
        <w:rPr>
          <w:i/>
        </w:rPr>
        <w:t>Emek</w:t>
      </w:r>
      <w:proofErr w:type="spellEnd"/>
      <w:r w:rsidR="00997570">
        <w:rPr>
          <w:i/>
        </w:rPr>
        <w:t xml:space="preserve"> </w:t>
      </w:r>
      <w:proofErr w:type="spellStart"/>
      <w:r w:rsidR="00997570">
        <w:rPr>
          <w:i/>
        </w:rPr>
        <w:t>Partisi</w:t>
      </w:r>
      <w:proofErr w:type="spellEnd"/>
      <w:r w:rsidR="00997570">
        <w:rPr>
          <w:i/>
        </w:rPr>
        <w:t xml:space="preserve"> </w:t>
      </w:r>
      <w:proofErr w:type="spellStart"/>
      <w:r w:rsidR="00997570">
        <w:rPr>
          <w:i/>
        </w:rPr>
        <w:t>and</w:t>
      </w:r>
      <w:proofErr w:type="spellEnd"/>
      <w:r w:rsidR="00997570">
        <w:rPr>
          <w:i/>
        </w:rPr>
        <w:t xml:space="preserve"> </w:t>
      </w:r>
      <w:proofErr w:type="spellStart"/>
      <w:r w:rsidR="00997570">
        <w:rPr>
          <w:i/>
        </w:rPr>
        <w:t>Şenol</w:t>
      </w:r>
      <w:proofErr w:type="spellEnd"/>
      <w:r w:rsidR="00997570">
        <w:rPr>
          <w:i/>
        </w:rPr>
        <w:t xml:space="preserve"> v. </w:t>
      </w:r>
      <w:proofErr w:type="spellStart"/>
      <w:r w:rsidR="00997570">
        <w:rPr>
          <w:i/>
        </w:rPr>
        <w:lastRenderedPageBreak/>
        <w:t>Turkey</w:t>
      </w:r>
      <w:proofErr w:type="spellEnd"/>
      <w:r w:rsidR="00997570">
        <w:t xml:space="preserve">, № 39434/98, § 31, 31 май 2005 г.; </w:t>
      </w:r>
      <w:r w:rsidR="00997570">
        <w:rPr>
          <w:i/>
        </w:rPr>
        <w:t>Иванов и други</w:t>
      </w:r>
      <w:r w:rsidR="00997570">
        <w:t xml:space="preserve">, цитирано по-горе, § 78; </w:t>
      </w:r>
      <w:r w:rsidR="00997570">
        <w:rPr>
          <w:i/>
        </w:rPr>
        <w:t>Обединената македонска организация “Илинден” и други</w:t>
      </w:r>
      <w:r w:rsidR="00997570">
        <w:t xml:space="preserve">, цитирано по-горе, § 84; </w:t>
      </w:r>
      <w:proofErr w:type="spellStart"/>
      <w:r w:rsidR="00997570">
        <w:rPr>
          <w:i/>
        </w:rPr>
        <w:t>Bekir-Ousta</w:t>
      </w:r>
      <w:proofErr w:type="spellEnd"/>
      <w:r w:rsidR="00997570">
        <w:rPr>
          <w:i/>
        </w:rPr>
        <w:t xml:space="preserve"> </w:t>
      </w:r>
      <w:proofErr w:type="spellStart"/>
      <w:r w:rsidR="00997570">
        <w:rPr>
          <w:i/>
        </w:rPr>
        <w:t>and</w:t>
      </w:r>
      <w:proofErr w:type="spellEnd"/>
      <w:r w:rsidR="00997570">
        <w:rPr>
          <w:i/>
        </w:rPr>
        <w:t xml:space="preserve"> </w:t>
      </w:r>
      <w:proofErr w:type="spellStart"/>
      <w:r w:rsidR="00997570">
        <w:rPr>
          <w:i/>
        </w:rPr>
        <w:t>Others</w:t>
      </w:r>
      <w:proofErr w:type="spellEnd"/>
      <w:r w:rsidR="00997570">
        <w:rPr>
          <w:i/>
        </w:rPr>
        <w:t xml:space="preserve"> v. </w:t>
      </w:r>
      <w:proofErr w:type="spellStart"/>
      <w:r w:rsidR="00997570">
        <w:rPr>
          <w:i/>
        </w:rPr>
        <w:t>Greece</w:t>
      </w:r>
      <w:proofErr w:type="spellEnd"/>
      <w:r w:rsidR="00997570">
        <w:t xml:space="preserve">, №  35151/05, § 51, 11 октомври 2007 г.; </w:t>
      </w:r>
      <w:proofErr w:type="spellStart"/>
      <w:r w:rsidR="00997570">
        <w:rPr>
          <w:i/>
        </w:rPr>
        <w:t>Emin</w:t>
      </w:r>
      <w:proofErr w:type="spellEnd"/>
      <w:r w:rsidR="00997570">
        <w:rPr>
          <w:i/>
        </w:rPr>
        <w:t xml:space="preserve"> </w:t>
      </w:r>
      <w:proofErr w:type="spellStart"/>
      <w:r w:rsidR="00997570">
        <w:rPr>
          <w:i/>
        </w:rPr>
        <w:t>and</w:t>
      </w:r>
      <w:proofErr w:type="spellEnd"/>
      <w:r w:rsidR="00997570">
        <w:rPr>
          <w:i/>
        </w:rPr>
        <w:t xml:space="preserve"> </w:t>
      </w:r>
      <w:proofErr w:type="spellStart"/>
      <w:r w:rsidR="00997570">
        <w:rPr>
          <w:i/>
        </w:rPr>
        <w:t>Others</w:t>
      </w:r>
      <w:proofErr w:type="spellEnd"/>
      <w:r w:rsidR="00997570">
        <w:rPr>
          <w:i/>
        </w:rPr>
        <w:t xml:space="preserve"> v. </w:t>
      </w:r>
      <w:proofErr w:type="spellStart"/>
      <w:r w:rsidR="00997570">
        <w:rPr>
          <w:i/>
        </w:rPr>
        <w:t>Greece</w:t>
      </w:r>
      <w:proofErr w:type="spellEnd"/>
      <w:r w:rsidR="00997570">
        <w:t xml:space="preserve">, № 34144/05, § 37, 27 март 2008 г.; </w:t>
      </w:r>
      <w:proofErr w:type="spellStart"/>
      <w:r w:rsidR="00997570">
        <w:rPr>
          <w:i/>
        </w:rPr>
        <w:t>Tourkiki</w:t>
      </w:r>
      <w:proofErr w:type="spellEnd"/>
      <w:r w:rsidR="00997570">
        <w:rPr>
          <w:i/>
        </w:rPr>
        <w:t xml:space="preserve"> </w:t>
      </w:r>
      <w:proofErr w:type="spellStart"/>
      <w:r w:rsidR="00997570">
        <w:rPr>
          <w:i/>
        </w:rPr>
        <w:t>Enosi</w:t>
      </w:r>
      <w:proofErr w:type="spellEnd"/>
      <w:r w:rsidR="00997570">
        <w:rPr>
          <w:i/>
        </w:rPr>
        <w:t xml:space="preserve"> </w:t>
      </w:r>
      <w:proofErr w:type="spellStart"/>
      <w:r w:rsidR="00997570">
        <w:rPr>
          <w:i/>
        </w:rPr>
        <w:t>Xanthis</w:t>
      </w:r>
      <w:proofErr w:type="spellEnd"/>
      <w:r w:rsidR="00997570">
        <w:rPr>
          <w:i/>
        </w:rPr>
        <w:t xml:space="preserve"> </w:t>
      </w:r>
      <w:proofErr w:type="spellStart"/>
      <w:r w:rsidR="00997570">
        <w:rPr>
          <w:i/>
        </w:rPr>
        <w:t>and</w:t>
      </w:r>
      <w:proofErr w:type="spellEnd"/>
      <w:r w:rsidR="00997570">
        <w:rPr>
          <w:i/>
        </w:rPr>
        <w:t xml:space="preserve"> </w:t>
      </w:r>
      <w:proofErr w:type="spellStart"/>
      <w:r w:rsidR="00997570">
        <w:rPr>
          <w:i/>
        </w:rPr>
        <w:t>Others</w:t>
      </w:r>
      <w:proofErr w:type="spellEnd"/>
      <w:r w:rsidR="00997570">
        <w:rPr>
          <w:i/>
        </w:rPr>
        <w:t xml:space="preserve"> v. </w:t>
      </w:r>
      <w:proofErr w:type="spellStart"/>
      <w:r w:rsidR="00997570">
        <w:rPr>
          <w:i/>
        </w:rPr>
        <w:t>Greece</w:t>
      </w:r>
      <w:proofErr w:type="spellEnd"/>
      <w:r w:rsidR="00997570">
        <w:t xml:space="preserve">, № 26698/05, § 63, 27 март 2008 г.; </w:t>
      </w:r>
      <w:r w:rsidR="00997570">
        <w:rPr>
          <w:i/>
        </w:rPr>
        <w:t>Обединената македонска организация “Илинден” и други (№ 2)</w:t>
      </w:r>
      <w:r w:rsidR="00997570">
        <w:t>, цитирано по-горе, § 49; и “</w:t>
      </w:r>
      <w:r w:rsidR="00997570">
        <w:rPr>
          <w:i/>
        </w:rPr>
        <w:t xml:space="preserve">Национално турско обединение” и </w:t>
      </w:r>
      <w:proofErr w:type="spellStart"/>
      <w:r w:rsidR="00997570">
        <w:rPr>
          <w:i/>
        </w:rPr>
        <w:t>Кунгюн</w:t>
      </w:r>
      <w:proofErr w:type="spellEnd"/>
      <w:r w:rsidR="00997570">
        <w:rPr>
          <w:i/>
        </w:rPr>
        <w:t xml:space="preserve"> срещу България</w:t>
      </w:r>
      <w:r w:rsidR="00997570">
        <w:t>, № 4776/08, § 52, 8 юни 2017 г.).</w:t>
      </w:r>
    </w:p>
    <w:bookmarkStart w:id="26" w:name="L_A14_4"/>
    <w:p w:rsidR="00CB6E84" w:rsidRPr="00916EE7" w:rsidRDefault="00CB6E84" w:rsidP="00916EE7">
      <w:pPr>
        <w:pStyle w:val="ECHRPara"/>
      </w:pPr>
      <w:r w:rsidRPr="00916EE7">
        <w:fldChar w:fldCharType="begin"/>
      </w:r>
      <w:r w:rsidRPr="00916EE7">
        <w:instrText xml:space="preserve"> SEQ level0 \*arabic </w:instrText>
      </w:r>
      <w:r w:rsidRPr="00916EE7">
        <w:fldChar w:fldCharType="separate"/>
      </w:r>
      <w:r w:rsidR="00916EE7" w:rsidRPr="00916EE7">
        <w:rPr>
          <w:noProof/>
        </w:rPr>
        <w:t>45</w:t>
      </w:r>
      <w:r w:rsidRPr="00916EE7">
        <w:fldChar w:fldCharType="end"/>
      </w:r>
      <w:bookmarkEnd w:id="26"/>
      <w:r>
        <w:t xml:space="preserve">.  Съдът не вижда причина да се отклонява от този подход в настоящия случай. Като взима предвид констатациите си в параграфи </w:t>
      </w:r>
      <w:r w:rsidR="007102B8" w:rsidRPr="00916EE7">
        <w:fldChar w:fldCharType="begin"/>
      </w:r>
      <w:r w:rsidR="007102B8" w:rsidRPr="00916EE7">
        <w:instrText xml:space="preserve"> REF L_A11_1 \h </w:instrText>
      </w:r>
      <w:r w:rsidR="007102B8" w:rsidRPr="00916EE7">
        <w:fldChar w:fldCharType="separate"/>
      </w:r>
      <w:r w:rsidR="00916EE7" w:rsidRPr="00916EE7">
        <w:rPr>
          <w:noProof/>
        </w:rPr>
        <w:t>32</w:t>
      </w:r>
      <w:r w:rsidR="007102B8" w:rsidRPr="00916EE7">
        <w:fldChar w:fldCharType="end"/>
      </w:r>
      <w:r>
        <w:t>-</w:t>
      </w:r>
      <w:r w:rsidR="007102B8" w:rsidRPr="00916EE7">
        <w:fldChar w:fldCharType="begin"/>
      </w:r>
      <w:r w:rsidR="007102B8" w:rsidRPr="00916EE7">
        <w:instrText xml:space="preserve"> REF L_A11_5 \h </w:instrText>
      </w:r>
      <w:r w:rsidR="007102B8" w:rsidRPr="00916EE7">
        <w:fldChar w:fldCharType="separate"/>
      </w:r>
      <w:r w:rsidR="00916EE7" w:rsidRPr="00916EE7">
        <w:rPr>
          <w:noProof/>
        </w:rPr>
        <w:t>36</w:t>
      </w:r>
      <w:r w:rsidR="007102B8" w:rsidRPr="00916EE7">
        <w:fldChar w:fldCharType="end"/>
      </w:r>
      <w:r>
        <w:t xml:space="preserve"> по-горе, той не намира за нужно да разглежда отделно допустимостта или основателността на оплакването по чл. 14 от Конвенцията.</w:t>
      </w:r>
    </w:p>
    <w:p w:rsidR="00014566" w:rsidRPr="00916EE7" w:rsidRDefault="006F1365" w:rsidP="00916EE7">
      <w:pPr>
        <w:pStyle w:val="ECHRHeading1"/>
        <w:outlineLvl w:val="1"/>
      </w:pPr>
      <w:r>
        <w:t>III.  ПРИЛ</w:t>
      </w:r>
      <w:r w:rsidR="00CE5872">
        <w:t>ОЖЕНИЕ</w:t>
      </w:r>
      <w:r>
        <w:t xml:space="preserve"> НА ЧЛЕН 41 ОТ КОНВЕНЦИЯТА</w:t>
      </w:r>
    </w:p>
    <w:p w:rsidR="00014566" w:rsidRPr="00916EE7" w:rsidRDefault="00F90F4C" w:rsidP="00916EE7">
      <w:pPr>
        <w:pStyle w:val="ECHRPara"/>
        <w:keepNext/>
      </w:pPr>
      <w:fldSimple w:instr=" SEQ level0 \*arabic ">
        <w:r w:rsidR="00916EE7" w:rsidRPr="00916EE7">
          <w:rPr>
            <w:noProof/>
          </w:rPr>
          <w:t>46</w:t>
        </w:r>
      </w:fldSimple>
      <w:r w:rsidR="00D5392A">
        <w:t>.  Чл. 41 от Конвенцията гласи:</w:t>
      </w:r>
    </w:p>
    <w:p w:rsidR="00014566" w:rsidRPr="00916EE7" w:rsidRDefault="00014566" w:rsidP="00916EE7">
      <w:pPr>
        <w:pStyle w:val="ECHRParaQuote"/>
        <w:keepNext/>
        <w:keepLines/>
      </w:pPr>
      <w:r>
        <w:t xml:space="preserve">“Ако Съдът установи нарушение на Конвенцията или на  </w:t>
      </w:r>
      <w:r>
        <w:br/>
        <w:t>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014566" w:rsidRPr="00916EE7" w:rsidRDefault="00014566" w:rsidP="00916EE7">
      <w:pPr>
        <w:pStyle w:val="ECHRHeading2"/>
        <w:outlineLvl w:val="2"/>
      </w:pPr>
      <w:r>
        <w:t>А. Обезщетение за вреди</w:t>
      </w:r>
    </w:p>
    <w:p w:rsidR="00014566" w:rsidRPr="00916EE7" w:rsidRDefault="00F90F4C" w:rsidP="00916EE7">
      <w:pPr>
        <w:pStyle w:val="ECHRPara"/>
      </w:pPr>
      <w:fldSimple w:instr=" SEQ level0 \*arabic ">
        <w:r w:rsidR="00916EE7" w:rsidRPr="00916EE7">
          <w:rPr>
            <w:noProof/>
          </w:rPr>
          <w:t>47</w:t>
        </w:r>
      </w:fldSimple>
      <w:r w:rsidR="00D5392A">
        <w:t>.  Жалбоподателите претендират общо 20 000 евро. Те посочват, че това е четвъртият отказ на българските власти да регистрират “Илинден” и че те са претърпели</w:t>
      </w:r>
      <w:r w:rsidR="00DF2E7F">
        <w:t xml:space="preserve"> и</w:t>
      </w:r>
      <w:r w:rsidR="00D5392A">
        <w:t xml:space="preserve"> други нарушения на правото си на свобода на събранията във връзка с участието си в организацията.</w:t>
      </w:r>
    </w:p>
    <w:p w:rsidR="00014566" w:rsidRPr="00916EE7" w:rsidRDefault="00F90F4C" w:rsidP="00916EE7">
      <w:pPr>
        <w:pStyle w:val="ECHRPara"/>
      </w:pPr>
      <w:fldSimple w:instr=" SEQ level0 \*arabic ">
        <w:r w:rsidR="00916EE7" w:rsidRPr="00916EE7">
          <w:rPr>
            <w:noProof/>
          </w:rPr>
          <w:t>48</w:t>
        </w:r>
      </w:fldSimple>
      <w:r w:rsidR="00D5392A">
        <w:t xml:space="preserve">.  Правителството твърди, че всяко обезщетение за неимуществени вреди трябва да бъде на същото ниво </w:t>
      </w:r>
      <w:r w:rsidR="00DF2E7F">
        <w:t xml:space="preserve">като </w:t>
      </w:r>
      <w:r w:rsidR="00D5392A">
        <w:t>тези, присъдени в предишните случаи, в които “Илинден” и неговите учредители се оплак</w:t>
      </w:r>
      <w:r w:rsidR="00DF2E7F">
        <w:t>ват</w:t>
      </w:r>
      <w:r w:rsidR="00D5392A">
        <w:t xml:space="preserve"> от отказите за регистрация.</w:t>
      </w:r>
    </w:p>
    <w:p w:rsidR="00014566" w:rsidRPr="00916EE7" w:rsidRDefault="00F90F4C" w:rsidP="00916EE7">
      <w:pPr>
        <w:pStyle w:val="ECHRPara"/>
      </w:pPr>
      <w:fldSimple w:instr=" SEQ level0 \*arabic ">
        <w:r w:rsidR="00916EE7" w:rsidRPr="00916EE7">
          <w:rPr>
            <w:noProof/>
          </w:rPr>
          <w:t>49</w:t>
        </w:r>
      </w:fldSimple>
      <w:r w:rsidR="006F1365">
        <w:t xml:space="preserve">.  Съдът отбелязва, че присъждането на справедливо обезщетение трябва да се основава на факта, че е налице неоправдано ограничение на правото на жалбоподателите на свобода на сдружаване. Независимо от това, това е четвъртият случай, в който на “Илинден” е отказана регистрация на основания, които са намерени за недостатъчни от Съда (вж. </w:t>
      </w:r>
      <w:r w:rsidR="006F1365">
        <w:rPr>
          <w:i/>
        </w:rPr>
        <w:t>Обединена македонска организация “Илинден” и други</w:t>
      </w:r>
      <w:r w:rsidR="006F1365">
        <w:t xml:space="preserve">, §§ 64-79, </w:t>
      </w:r>
      <w:r w:rsidR="006F1365">
        <w:rPr>
          <w:i/>
        </w:rPr>
        <w:t>Обединена македонска организация “Илинден” и други (№ 2)</w:t>
      </w:r>
      <w:r w:rsidR="006F1365">
        <w:t xml:space="preserve">, § § 35-41, и </w:t>
      </w:r>
      <w:r w:rsidR="006F1365">
        <w:rPr>
          <w:i/>
        </w:rPr>
        <w:t>Йордан Иванов и други</w:t>
      </w:r>
      <w:r w:rsidR="006F1365">
        <w:t>, §§ 41-42, всички цитирани по-горе). При тези обстоятелства Съдът присъжда на жалбоподателите общо 12 000 евро плюс всякакви данъци, които може да бъдат начислени.</w:t>
      </w:r>
    </w:p>
    <w:p w:rsidR="00014566" w:rsidRPr="00916EE7" w:rsidRDefault="00014566" w:rsidP="00916EE7">
      <w:pPr>
        <w:pStyle w:val="ECHRHeading2"/>
        <w:outlineLvl w:val="2"/>
      </w:pPr>
      <w:r>
        <w:lastRenderedPageBreak/>
        <w:t>Б. Разходи и разноски</w:t>
      </w:r>
    </w:p>
    <w:p w:rsidR="00014566" w:rsidRPr="00916EE7" w:rsidRDefault="00F90F4C" w:rsidP="00916EE7">
      <w:pPr>
        <w:pStyle w:val="ECHRPara"/>
      </w:pPr>
      <w:fldSimple w:instr=" SEQ level0 \*arabic ">
        <w:r w:rsidR="00916EE7" w:rsidRPr="00916EE7">
          <w:rPr>
            <w:noProof/>
          </w:rPr>
          <w:t>50</w:t>
        </w:r>
      </w:fldSimple>
      <w:r w:rsidR="00D5392A">
        <w:t xml:space="preserve">.  Жалбоподателите искат възстановяване на 430 лева (равностойността на 220 евро), направени за услугите на техния адвокат във вътрешното производство. Освен това те искат възстановяване на сумата от 2789 евро за хонорарите, начислени от техния представител в производството пред Съда за тридесет и четири часа работа по делото при ставка от 80 евро на час. Те молят всяка сума, присъдена по тази позиция, да бъде платена директно на Българския хелзинкски комитет. В подкрепа на претенцията си те представят два договора за адвокатски хонорари с техния адвокат във вътрешното производство, график за изработени часове за работата на техния представител в производството пред Съда и </w:t>
      </w:r>
      <w:r w:rsidR="00DF2E7F">
        <w:t xml:space="preserve">условно </w:t>
      </w:r>
      <w:r w:rsidR="00D5392A">
        <w:t>споразумение за изплащане на хонорар между първия жалбоподател и Българския хелзинкски комитет.</w:t>
      </w:r>
    </w:p>
    <w:p w:rsidR="006F1365" w:rsidRPr="00916EE7" w:rsidRDefault="00F90F4C" w:rsidP="00916EE7">
      <w:pPr>
        <w:pStyle w:val="ECHRPara"/>
      </w:pPr>
      <w:fldSimple w:instr=" SEQ level0 \*arabic ">
        <w:r w:rsidR="00916EE7" w:rsidRPr="00916EE7">
          <w:rPr>
            <w:noProof/>
          </w:rPr>
          <w:t>51</w:t>
        </w:r>
      </w:fldSimple>
      <w:r w:rsidR="006F1365">
        <w:t>.  Правителството твърди, че претенцията е прекомерна, особено след като делото повдига единствено въпроси, по които практиката на Съда е утвърдена.</w:t>
      </w:r>
    </w:p>
    <w:p w:rsidR="006F1365" w:rsidRPr="00916EE7" w:rsidRDefault="00F90F4C" w:rsidP="00916EE7">
      <w:pPr>
        <w:pStyle w:val="ECHRPara"/>
      </w:pPr>
      <w:fldSimple w:instr=" SEQ level0 \*arabic ">
        <w:r w:rsidR="00916EE7" w:rsidRPr="00916EE7">
          <w:rPr>
            <w:noProof/>
          </w:rPr>
          <w:t>52</w:t>
        </w:r>
      </w:fldSimple>
      <w:r w:rsidR="006F1365">
        <w:t>.  Според установената съдебна практика на Съда, разходите и разноските са възстановими съгласно чл. 41 от Конвенцията, ако бъде установено, че те са действително и необходимо направени и са в разумен размер.</w:t>
      </w:r>
    </w:p>
    <w:p w:rsidR="00014566" w:rsidRPr="00916EE7" w:rsidRDefault="00F90F4C" w:rsidP="00916EE7">
      <w:pPr>
        <w:pStyle w:val="ECHRPara"/>
      </w:pPr>
      <w:fldSimple w:instr=" SEQ level0 \*arabic ">
        <w:r w:rsidR="00916EE7" w:rsidRPr="00916EE7">
          <w:rPr>
            <w:noProof/>
          </w:rPr>
          <w:t>53</w:t>
        </w:r>
      </w:fldSimple>
      <w:r w:rsidR="006F1365">
        <w:t xml:space="preserve">.  Предвид тези принципи и материалите, с които разполага, Съдът </w:t>
      </w:r>
      <w:r w:rsidR="00DF2E7F">
        <w:t xml:space="preserve">счита </w:t>
      </w:r>
      <w:r w:rsidR="006F1365">
        <w:t>за подходящо да присъди на жалбоподателите 220 евро за разноските, направени в рамките на вътрешното производство, и 1000 евро за направените от тях разходи в производството пред Съда, плюс вс</w:t>
      </w:r>
      <w:r w:rsidR="00DF2E7F">
        <w:t>якакви данъци</w:t>
      </w:r>
      <w:r w:rsidR="006F1365">
        <w:t>, ко</w:t>
      </w:r>
      <w:r w:rsidR="00DF2E7F">
        <w:t>и</w:t>
      </w:r>
      <w:r w:rsidR="006F1365">
        <w:t xml:space="preserve">то </w:t>
      </w:r>
      <w:r w:rsidR="00DF2E7F">
        <w:t xml:space="preserve">биха могли </w:t>
      </w:r>
      <w:r w:rsidR="006F1365">
        <w:t>да им бъд</w:t>
      </w:r>
      <w:r w:rsidR="00DF2E7F">
        <w:t>ат</w:t>
      </w:r>
      <w:r w:rsidR="006F1365">
        <w:t xml:space="preserve"> начислен</w:t>
      </w:r>
      <w:r w:rsidR="00DF2E7F">
        <w:t>и</w:t>
      </w:r>
      <w:r w:rsidR="006F1365">
        <w:t xml:space="preserve">. По молба на жалбоподателите тази сума </w:t>
      </w:r>
      <w:r w:rsidR="00DF2E7F">
        <w:t xml:space="preserve">следва </w:t>
      </w:r>
      <w:r w:rsidR="006F1365">
        <w:t xml:space="preserve">да се плати директно по банковата сметка на Българския хелзинкски комитет, където техният представител работи, а сумата, присъдена във връзка с разходите на национално ниво, трябва да се заплати </w:t>
      </w:r>
      <w:r w:rsidR="00DF2E7F">
        <w:t xml:space="preserve">на </w:t>
      </w:r>
      <w:r w:rsidR="006F1365">
        <w:t>жалбоподателите.</w:t>
      </w:r>
    </w:p>
    <w:p w:rsidR="00014566" w:rsidRPr="00916EE7" w:rsidRDefault="00014566" w:rsidP="00916EE7">
      <w:pPr>
        <w:pStyle w:val="ECHRHeading2"/>
        <w:outlineLvl w:val="2"/>
      </w:pPr>
      <w:r>
        <w:t>В. Лихва за забава</w:t>
      </w:r>
    </w:p>
    <w:p w:rsidR="00014566" w:rsidRPr="00916EE7" w:rsidRDefault="00F90F4C" w:rsidP="00916EE7">
      <w:pPr>
        <w:pStyle w:val="ECHRPara"/>
      </w:pPr>
      <w:fldSimple w:instr=" SEQ level0 \*arabic ">
        <w:r w:rsidR="00916EE7" w:rsidRPr="00916EE7">
          <w:rPr>
            <w:noProof/>
          </w:rPr>
          <w:t>54</w:t>
        </w:r>
      </w:fldSimple>
      <w:r w:rsidR="00372B4B">
        <w:t xml:space="preserve">.  Съдът </w:t>
      </w:r>
      <w:r w:rsidR="00DF2E7F">
        <w:t xml:space="preserve">счита </w:t>
      </w:r>
      <w:r w:rsidR="00372B4B">
        <w:t>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014566" w:rsidRPr="00916EE7" w:rsidRDefault="00BB5883" w:rsidP="00916EE7">
      <w:pPr>
        <w:pStyle w:val="ECHRTitle1"/>
        <w:outlineLvl w:val="9"/>
      </w:pPr>
      <w:r>
        <w:t>ПО ТЕЗИ СЪОБРАЖЕНИЯ СЪДЪТ ЕДИНОДУШНО</w:t>
      </w:r>
    </w:p>
    <w:p w:rsidR="006F1365" w:rsidRPr="00916EE7" w:rsidRDefault="006F1365" w:rsidP="00916EE7">
      <w:pPr>
        <w:pStyle w:val="JuList"/>
      </w:pPr>
      <w:r>
        <w:t>1.  </w:t>
      </w:r>
      <w:r>
        <w:rPr>
          <w:i/>
        </w:rPr>
        <w:t>Обявява</w:t>
      </w:r>
      <w:r>
        <w:t xml:space="preserve"> оплакването отно</w:t>
      </w:r>
      <w:r w:rsidR="00DF2E7F">
        <w:t>сно</w:t>
      </w:r>
      <w:r>
        <w:t xml:space="preserve"> огранич</w:t>
      </w:r>
      <w:r w:rsidR="00DF2E7F">
        <w:t>аването</w:t>
      </w:r>
      <w:r>
        <w:t xml:space="preserve"> на правото на жалбоподателите на свобода на сдружаване за допустимо;</w:t>
      </w:r>
    </w:p>
    <w:p w:rsidR="006F1365" w:rsidRPr="00916EE7" w:rsidRDefault="006F1365" w:rsidP="00916EE7">
      <w:pPr>
        <w:pStyle w:val="JuList"/>
        <w:ind w:left="0" w:firstLine="0"/>
      </w:pPr>
    </w:p>
    <w:p w:rsidR="006F1365" w:rsidRPr="00916EE7" w:rsidRDefault="006F1365" w:rsidP="00916EE7">
      <w:pPr>
        <w:pStyle w:val="JuList"/>
      </w:pPr>
      <w:r>
        <w:lastRenderedPageBreak/>
        <w:t>2.  </w:t>
      </w:r>
      <w:r>
        <w:rPr>
          <w:i/>
        </w:rPr>
        <w:t>Приема</w:t>
      </w:r>
      <w:r>
        <w:t>, че е налице нарушение на чл. 11 от Конвенцията;</w:t>
      </w:r>
    </w:p>
    <w:p w:rsidR="006F1365" w:rsidRPr="00916EE7" w:rsidRDefault="006F1365" w:rsidP="00916EE7">
      <w:pPr>
        <w:pStyle w:val="JuList"/>
      </w:pPr>
    </w:p>
    <w:p w:rsidR="006F1365" w:rsidRPr="00916EE7" w:rsidRDefault="006F1365" w:rsidP="00916EE7">
      <w:pPr>
        <w:pStyle w:val="JuList"/>
      </w:pPr>
      <w:r>
        <w:t>3.  </w:t>
      </w:r>
      <w:r>
        <w:rPr>
          <w:i/>
        </w:rPr>
        <w:t>Приема</w:t>
      </w:r>
      <w:r>
        <w:t>, че не е необходимо да се разглеждат допустимостта и основателността на оплакването по чл. 14 от Конвенцията;</w:t>
      </w:r>
    </w:p>
    <w:p w:rsidR="006F1365" w:rsidRPr="00916EE7" w:rsidRDefault="006F1365" w:rsidP="00916EE7">
      <w:pPr>
        <w:pStyle w:val="JuList"/>
      </w:pPr>
    </w:p>
    <w:p w:rsidR="006F1365" w:rsidRPr="00916EE7" w:rsidRDefault="006F1365" w:rsidP="00916EE7">
      <w:pPr>
        <w:pStyle w:val="JuList"/>
        <w:keepNext/>
      </w:pPr>
      <w:r>
        <w:t>4.  </w:t>
      </w:r>
      <w:r>
        <w:rPr>
          <w:i/>
        </w:rPr>
        <w:t>Приема,</w:t>
      </w:r>
    </w:p>
    <w:p w:rsidR="006F1365" w:rsidRPr="00916EE7" w:rsidRDefault="006F1365" w:rsidP="00916EE7">
      <w:pPr>
        <w:pStyle w:val="JuLista"/>
        <w:keepNext/>
        <w:keepLines/>
      </w:pPr>
      <w:r>
        <w:t xml:space="preserve">(а) че държавата-ответник </w:t>
      </w:r>
      <w:r w:rsidR="00DF2E7F">
        <w:t xml:space="preserve">следва </w:t>
      </w:r>
      <w:r>
        <w:t xml:space="preserve">да заплати общо на жалбоподателите в срок от три месеца от датата, на която решението стане окончателно в съответствие с чл. 44, § 2 от Конвенцията, следните суми, които се </w:t>
      </w:r>
      <w:r w:rsidR="00DF2E7F">
        <w:t xml:space="preserve">конвертират </w:t>
      </w:r>
      <w:r>
        <w:t>във валутата на държавата-ответник по курса</w:t>
      </w:r>
      <w:r w:rsidR="00DF2E7F">
        <w:t>, валиден</w:t>
      </w:r>
      <w:r>
        <w:t xml:space="preserve"> към датата на плащането:</w:t>
      </w:r>
    </w:p>
    <w:p w:rsidR="006F1365" w:rsidRPr="00916EE7" w:rsidRDefault="006F1365" w:rsidP="00916EE7">
      <w:pPr>
        <w:pStyle w:val="JuListi"/>
      </w:pPr>
      <w:r>
        <w:t>(i) 12 000 евро (дванадесет хиляди евро), плюс всякакви данъци, които биха могли да се начислят, по отношение на неимуществени вреди;</w:t>
      </w:r>
    </w:p>
    <w:p w:rsidR="006F1365" w:rsidRPr="00916EE7" w:rsidRDefault="006F1365" w:rsidP="00916EE7">
      <w:pPr>
        <w:pStyle w:val="JuListi"/>
      </w:pPr>
      <w:r>
        <w:t>(ii) 1220 евро (хиляда двеста и двадесет евро), плюс всякакви данъци, които биха могли да се начислят на жалбоподателите, по отношение на разходи и разноски, 1000 евро от които трябва да бъдат изплатени директно по банковата сметка на Българския хелзинкски комитет, а остатъка на жалбоподателите;</w:t>
      </w:r>
    </w:p>
    <w:p w:rsidR="006F1365" w:rsidRPr="00916EE7" w:rsidRDefault="006F1365" w:rsidP="00916EE7">
      <w:pPr>
        <w:pStyle w:val="JuLista"/>
      </w:pPr>
      <w:r>
        <w:t xml:space="preserve">(б) че от изтичането на </w:t>
      </w:r>
      <w:r w:rsidR="00DF2E7F">
        <w:t>горес</w:t>
      </w:r>
      <w:r>
        <w:t xml:space="preserve">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DF2E7F">
        <w:t>за срока</w:t>
      </w:r>
      <w:r>
        <w:t xml:space="preserve"> на забава, към която се добавят три процентни пункта;</w:t>
      </w:r>
    </w:p>
    <w:p w:rsidR="006F1365" w:rsidRPr="00916EE7" w:rsidRDefault="006F1365" w:rsidP="00916EE7">
      <w:pPr>
        <w:pStyle w:val="JuList"/>
      </w:pPr>
    </w:p>
    <w:p w:rsidR="00014566" w:rsidRPr="00916EE7" w:rsidRDefault="006F1365" w:rsidP="00916EE7">
      <w:pPr>
        <w:pStyle w:val="JuList"/>
      </w:pPr>
      <w:r>
        <w:t>5.  </w:t>
      </w:r>
      <w:r>
        <w:rPr>
          <w:i/>
        </w:rPr>
        <w:t>Отхвърля</w:t>
      </w:r>
      <w:r>
        <w:t xml:space="preserve"> останалата част от претенцията на жалбоподателите за справедливо обезщетение.</w:t>
      </w:r>
    </w:p>
    <w:p w:rsidR="00014566" w:rsidRPr="00916EE7" w:rsidRDefault="00014566" w:rsidP="00916EE7">
      <w:pPr>
        <w:pStyle w:val="JuParaLast"/>
      </w:pPr>
      <w:r>
        <w:t xml:space="preserve">Изготвено на английски език и оповестено писмено на 11 януари 2018 г. в съответствие с </w:t>
      </w:r>
      <w:r w:rsidR="00AF0DDF">
        <w:t>п</w:t>
      </w:r>
      <w:r>
        <w:t>равило 77 §§ 2 и 3 от Правилника на Съда.</w:t>
      </w:r>
    </w:p>
    <w:p w:rsidR="004D15F3" w:rsidRPr="00916EE7" w:rsidRDefault="00014566" w:rsidP="00916EE7">
      <w:pPr>
        <w:pStyle w:val="JuSigned"/>
      </w:pPr>
      <w:r>
        <w:tab/>
      </w:r>
      <w:proofErr w:type="spellStart"/>
      <w:r>
        <w:t>Клаудия</w:t>
      </w:r>
      <w:proofErr w:type="spellEnd"/>
      <w:r>
        <w:t xml:space="preserve"> </w:t>
      </w:r>
      <w:proofErr w:type="spellStart"/>
      <w:r>
        <w:t>Вестердик</w:t>
      </w:r>
      <w:proofErr w:type="spellEnd"/>
      <w:r>
        <w:tab/>
      </w:r>
      <w:proofErr w:type="spellStart"/>
      <w:r>
        <w:t>Ангелика</w:t>
      </w:r>
      <w:proofErr w:type="spellEnd"/>
      <w:r>
        <w:t xml:space="preserve"> </w:t>
      </w:r>
      <w:proofErr w:type="spellStart"/>
      <w:r>
        <w:t>Нусбергер</w:t>
      </w:r>
      <w:proofErr w:type="spellEnd"/>
      <w:r>
        <w:t xml:space="preserve"> </w:t>
      </w:r>
      <w:r>
        <w:br/>
      </w:r>
      <w:r>
        <w:tab/>
      </w:r>
      <w:r w:rsidR="00AF0DDF">
        <w:t>с</w:t>
      </w:r>
      <w:r>
        <w:t>екретар</w:t>
      </w:r>
      <w:bookmarkStart w:id="27" w:name="_GoBack"/>
      <w:bookmarkEnd w:id="27"/>
      <w:r>
        <w:tab/>
      </w:r>
      <w:r w:rsidR="00AF0DDF">
        <w:t>п</w:t>
      </w:r>
      <w:r>
        <w:t>редседател</w:t>
      </w:r>
    </w:p>
    <w:sectPr w:rsidR="004D15F3" w:rsidRPr="00916EE7" w:rsidSect="002072D3">
      <w:headerReference w:type="even" r:id="rId14"/>
      <w:headerReference w:type="default" r:id="rId15"/>
      <w:footerReference w:type="default" r:id="rId16"/>
      <w:headerReference w:type="first" r:id="rId17"/>
      <w:footerReference w:type="first" r:id="rId18"/>
      <w:footnotePr>
        <w:numRestart w:val="eachSect"/>
      </w:footnotePr>
      <w:type w:val="oddPage"/>
      <w:pgSz w:w="11906" w:h="16838" w:code="9"/>
      <w:pgMar w:top="2274" w:right="2274" w:bottom="2274" w:left="2274" w:header="1701"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F4C" w:rsidRPr="00E4133A" w:rsidRDefault="00F90F4C" w:rsidP="00014566">
      <w:pPr>
        <w:rPr>
          <w:lang w:val="en-GB"/>
        </w:rPr>
      </w:pPr>
      <w:r w:rsidRPr="00E4133A">
        <w:rPr>
          <w:lang w:val="en-GB"/>
        </w:rPr>
        <w:separator/>
      </w:r>
    </w:p>
  </w:endnote>
  <w:endnote w:type="continuationSeparator" w:id="0">
    <w:p w:rsidR="00F90F4C" w:rsidRPr="00E4133A" w:rsidRDefault="00F90F4C" w:rsidP="00014566">
      <w:pPr>
        <w:rPr>
          <w:lang w:val="en-GB"/>
        </w:rPr>
      </w:pPr>
      <w:r w:rsidRPr="00E4133A">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E7F" w:rsidRDefault="00DF2E7F" w:rsidP="00BD3B2B">
    <w:pPr>
      <w:pStyle w:val="Footer"/>
      <w:tabs>
        <w:tab w:val="clear" w:pos="4536"/>
        <w:tab w:val="clear" w:pos="9696"/>
      </w:tabs>
      <w:ind w:left="0" w:righ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E7F" w:rsidRPr="00150BFA" w:rsidRDefault="00DF2E7F" w:rsidP="00DF2E7F">
    <w:pPr>
      <w:jc w:val="center"/>
    </w:pPr>
    <w:r>
      <w:rPr>
        <w:noProof/>
        <w:lang w:val="en-US" w:eastAsia="en-US" w:bidi="ar-SA"/>
      </w:rPr>
      <w:drawing>
        <wp:inline distT="0" distB="0" distL="0" distR="0" wp14:anchorId="106A5A60" wp14:editId="5B19C8B9">
          <wp:extent cx="771525" cy="619125"/>
          <wp:effectExtent l="0" t="0" r="9525" b="9525"/>
          <wp:docPr id="5" name="Picture 5"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DF2E7F" w:rsidRPr="008D5A13" w:rsidRDefault="00DF2E7F" w:rsidP="00DF2E7F">
    <w:pPr>
      <w:pStyle w:val="Footer"/>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5C1" w:rsidRDefault="001715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E7F" w:rsidRPr="002072D3" w:rsidRDefault="00DF2E7F" w:rsidP="00BD3B2B">
    <w:pPr>
      <w:pStyle w:val="Footer"/>
      <w:tabs>
        <w:tab w:val="clear" w:pos="4536"/>
        <w:tab w:val="clear" w:pos="9696"/>
      </w:tabs>
      <w:ind w:left="0" w:right="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E7F" w:rsidRDefault="00DF2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F4C" w:rsidRPr="00E4133A" w:rsidRDefault="00F90F4C" w:rsidP="00014566">
      <w:pPr>
        <w:rPr>
          <w:lang w:val="en-GB"/>
        </w:rPr>
      </w:pPr>
      <w:r w:rsidRPr="00E4133A">
        <w:rPr>
          <w:lang w:val="en-GB"/>
        </w:rPr>
        <w:separator/>
      </w:r>
    </w:p>
  </w:footnote>
  <w:footnote w:type="continuationSeparator" w:id="0">
    <w:p w:rsidR="00F90F4C" w:rsidRPr="00E4133A" w:rsidRDefault="00F90F4C" w:rsidP="00014566">
      <w:pPr>
        <w:rPr>
          <w:lang w:val="en-GB"/>
        </w:rPr>
      </w:pPr>
      <w:r w:rsidRPr="00E4133A">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5C1" w:rsidRDefault="00171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E7F" w:rsidRPr="008D5A13" w:rsidRDefault="00DF2E7F" w:rsidP="00DF2E7F">
    <w:pPr>
      <w:jc w:val="center"/>
      <w:rPr>
        <w:sz w:val="4"/>
        <w:szCs w:val="4"/>
      </w:rPr>
    </w:pPr>
    <w:r>
      <w:rPr>
        <w:noProof/>
        <w:lang w:val="en-US" w:eastAsia="en-US" w:bidi="ar-SA"/>
      </w:rPr>
      <w:drawing>
        <wp:inline distT="0" distB="0" distL="0" distR="0" wp14:anchorId="7D33ADFD" wp14:editId="42A6B494">
          <wp:extent cx="2962275" cy="1219200"/>
          <wp:effectExtent l="0" t="0" r="9525" b="0"/>
          <wp:docPr id="4" name="Picture 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E7F" w:rsidRPr="00A45145" w:rsidRDefault="00DF2E7F" w:rsidP="00DF2E7F">
    <w:pPr>
      <w:jc w:val="center"/>
    </w:pPr>
    <w:r>
      <w:rPr>
        <w:noProof/>
        <w:lang w:val="en-US" w:eastAsia="en-US" w:bidi="ar-SA"/>
      </w:rPr>
      <w:drawing>
        <wp:inline distT="0" distB="0" distL="0" distR="0" wp14:anchorId="073655B9" wp14:editId="4A835EFE">
          <wp:extent cx="2962275" cy="1219200"/>
          <wp:effectExtent l="0" t="0" r="9525" b="0"/>
          <wp:docPr id="8" name="Picture 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DF2E7F" w:rsidRPr="008D5A13" w:rsidRDefault="00DF2E7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E7F" w:rsidRPr="00E4133A" w:rsidRDefault="00DF2E7F" w:rsidP="00884573">
    <w:pPr>
      <w:pStyle w:val="ECHRHeader"/>
      <w:tabs>
        <w:tab w:val="clear" w:pos="3686"/>
        <w:tab w:val="left" w:pos="567"/>
        <w:tab w:val="center" w:pos="3969"/>
      </w:tabs>
    </w:pPr>
    <w:r>
      <w:rPr>
        <w:rStyle w:val="PageNumber"/>
        <w:szCs w:val="18"/>
      </w:rPr>
      <w:fldChar w:fldCharType="begin"/>
    </w:r>
    <w:r>
      <w:rPr>
        <w:rStyle w:val="PageNumber"/>
        <w:szCs w:val="18"/>
      </w:rPr>
      <w:instrText xml:space="preserve"> PAGE </w:instrText>
    </w:r>
    <w:r>
      <w:rPr>
        <w:rStyle w:val="PageNumber"/>
        <w:szCs w:val="18"/>
      </w:rPr>
      <w:fldChar w:fldCharType="separate"/>
    </w:r>
    <w:r w:rsidR="00ED4022">
      <w:rPr>
        <w:rStyle w:val="PageNumber"/>
        <w:noProof/>
        <w:szCs w:val="18"/>
      </w:rPr>
      <w:t>14</w:t>
    </w:r>
    <w:r>
      <w:rPr>
        <w:rStyle w:val="PageNumber"/>
        <w:szCs w:val="18"/>
      </w:rPr>
      <w:fldChar w:fldCharType="end"/>
    </w:r>
    <w:r>
      <w:tab/>
      <w:t>РЕШЕНИЕ ОБЕДИНЕНА МАКЕДОНСКА ОРГАНИЗАЦИЯ “ИЛИНДЕН” И ДРУГИ СРЕЩУ БЪЛГАРИЯ (№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E7F" w:rsidRPr="00E4133A" w:rsidRDefault="00DF2E7F" w:rsidP="00D60D87">
    <w:pPr>
      <w:pStyle w:val="ECHRHeader"/>
    </w:pPr>
    <w:r>
      <w:tab/>
      <w:t>РЕШЕНИЕ ОБЕДИНЕНА МАКЕДОНСКА ОРГАНИЗАЦИЯ “ИЛИНДЕН” И ДРУГИ СРЕЩУ БЪЛГАРИЯ (№ 3)</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ED4022">
      <w:rPr>
        <w:rStyle w:val="PageNumber"/>
        <w:noProof/>
        <w:szCs w:val="18"/>
      </w:rPr>
      <w:t>15</w:t>
    </w:r>
    <w:r>
      <w:rPr>
        <w:rStyle w:val="PageNumber"/>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E7F" w:rsidRPr="002072D3" w:rsidRDefault="00DF2E7F" w:rsidP="00207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D5392A"/>
    <w:rsid w:val="00000067"/>
    <w:rsid w:val="000010ED"/>
    <w:rsid w:val="000017EC"/>
    <w:rsid w:val="00003CBB"/>
    <w:rsid w:val="000041F8"/>
    <w:rsid w:val="000042A8"/>
    <w:rsid w:val="00004308"/>
    <w:rsid w:val="00005BF0"/>
    <w:rsid w:val="000069FB"/>
    <w:rsid w:val="00007154"/>
    <w:rsid w:val="000103AE"/>
    <w:rsid w:val="00011D69"/>
    <w:rsid w:val="00012AD3"/>
    <w:rsid w:val="00014566"/>
    <w:rsid w:val="00015C2D"/>
    <w:rsid w:val="00015F00"/>
    <w:rsid w:val="00016118"/>
    <w:rsid w:val="00021E28"/>
    <w:rsid w:val="00021FF7"/>
    <w:rsid w:val="00022C1D"/>
    <w:rsid w:val="00023576"/>
    <w:rsid w:val="0002744C"/>
    <w:rsid w:val="00027E8C"/>
    <w:rsid w:val="00027FA0"/>
    <w:rsid w:val="000334DD"/>
    <w:rsid w:val="00034987"/>
    <w:rsid w:val="00034D41"/>
    <w:rsid w:val="000350E3"/>
    <w:rsid w:val="00037C3A"/>
    <w:rsid w:val="00042C16"/>
    <w:rsid w:val="000455E4"/>
    <w:rsid w:val="00045C8B"/>
    <w:rsid w:val="000474E2"/>
    <w:rsid w:val="00047CE8"/>
    <w:rsid w:val="00050063"/>
    <w:rsid w:val="0005064F"/>
    <w:rsid w:val="00053085"/>
    <w:rsid w:val="00055055"/>
    <w:rsid w:val="00055566"/>
    <w:rsid w:val="000602DF"/>
    <w:rsid w:val="00061B05"/>
    <w:rsid w:val="00062973"/>
    <w:rsid w:val="00062D5D"/>
    <w:rsid w:val="000632D5"/>
    <w:rsid w:val="000644EE"/>
    <w:rsid w:val="00065C18"/>
    <w:rsid w:val="00066F84"/>
    <w:rsid w:val="00071ABC"/>
    <w:rsid w:val="0007234E"/>
    <w:rsid w:val="000821AB"/>
    <w:rsid w:val="000843D5"/>
    <w:rsid w:val="000856D7"/>
    <w:rsid w:val="00085DE5"/>
    <w:rsid w:val="00085E56"/>
    <w:rsid w:val="00087B64"/>
    <w:rsid w:val="000902AD"/>
    <w:rsid w:val="000925AD"/>
    <w:rsid w:val="00094E25"/>
    <w:rsid w:val="00096A3D"/>
    <w:rsid w:val="000A2102"/>
    <w:rsid w:val="000A24EB"/>
    <w:rsid w:val="000A51CC"/>
    <w:rsid w:val="000A7C03"/>
    <w:rsid w:val="000B3CD8"/>
    <w:rsid w:val="000B631B"/>
    <w:rsid w:val="000B6923"/>
    <w:rsid w:val="000C033C"/>
    <w:rsid w:val="000C22FB"/>
    <w:rsid w:val="000C291A"/>
    <w:rsid w:val="000C5F3C"/>
    <w:rsid w:val="000C6DCC"/>
    <w:rsid w:val="000C74EE"/>
    <w:rsid w:val="000D47AA"/>
    <w:rsid w:val="000D4D1B"/>
    <w:rsid w:val="000D57AC"/>
    <w:rsid w:val="000D721F"/>
    <w:rsid w:val="000E02E6"/>
    <w:rsid w:val="000E069B"/>
    <w:rsid w:val="000E0E82"/>
    <w:rsid w:val="000E1DC5"/>
    <w:rsid w:val="000E223F"/>
    <w:rsid w:val="000E35AC"/>
    <w:rsid w:val="000E3F7B"/>
    <w:rsid w:val="000E7D45"/>
    <w:rsid w:val="000F7851"/>
    <w:rsid w:val="001000FA"/>
    <w:rsid w:val="0010396B"/>
    <w:rsid w:val="00104E23"/>
    <w:rsid w:val="0011155A"/>
    <w:rsid w:val="00111B0C"/>
    <w:rsid w:val="00113F90"/>
    <w:rsid w:val="001202D4"/>
    <w:rsid w:val="00120552"/>
    <w:rsid w:val="00120AEB"/>
    <w:rsid w:val="00120D6C"/>
    <w:rsid w:val="0012152F"/>
    <w:rsid w:val="00123B64"/>
    <w:rsid w:val="001257EC"/>
    <w:rsid w:val="001264E2"/>
    <w:rsid w:val="00131FB3"/>
    <w:rsid w:val="00132C6A"/>
    <w:rsid w:val="0013301E"/>
    <w:rsid w:val="00133D33"/>
    <w:rsid w:val="00134D64"/>
    <w:rsid w:val="00135790"/>
    <w:rsid w:val="00135A30"/>
    <w:rsid w:val="0013612C"/>
    <w:rsid w:val="00136C8B"/>
    <w:rsid w:val="001373EB"/>
    <w:rsid w:val="00137FF6"/>
    <w:rsid w:val="00140D15"/>
    <w:rsid w:val="00141650"/>
    <w:rsid w:val="001457D8"/>
    <w:rsid w:val="00146F68"/>
    <w:rsid w:val="001519C5"/>
    <w:rsid w:val="001549CE"/>
    <w:rsid w:val="001619F1"/>
    <w:rsid w:val="00162A12"/>
    <w:rsid w:val="00163F06"/>
    <w:rsid w:val="00165C61"/>
    <w:rsid w:val="00166530"/>
    <w:rsid w:val="00167D5E"/>
    <w:rsid w:val="001715C1"/>
    <w:rsid w:val="001832BD"/>
    <w:rsid w:val="00183656"/>
    <w:rsid w:val="00187380"/>
    <w:rsid w:val="00191EBD"/>
    <w:rsid w:val="00191FA5"/>
    <w:rsid w:val="001943B5"/>
    <w:rsid w:val="00195134"/>
    <w:rsid w:val="001A145B"/>
    <w:rsid w:val="001A5BB8"/>
    <w:rsid w:val="001A5ECD"/>
    <w:rsid w:val="001A674C"/>
    <w:rsid w:val="001A6FD8"/>
    <w:rsid w:val="001B1D59"/>
    <w:rsid w:val="001B215C"/>
    <w:rsid w:val="001B3B24"/>
    <w:rsid w:val="001B50D9"/>
    <w:rsid w:val="001B621A"/>
    <w:rsid w:val="001C0F98"/>
    <w:rsid w:val="001C2A42"/>
    <w:rsid w:val="001D2D79"/>
    <w:rsid w:val="001D63ED"/>
    <w:rsid w:val="001D6E52"/>
    <w:rsid w:val="001D7348"/>
    <w:rsid w:val="001E035B"/>
    <w:rsid w:val="001E0961"/>
    <w:rsid w:val="001E2734"/>
    <w:rsid w:val="001E3EAE"/>
    <w:rsid w:val="001E5348"/>
    <w:rsid w:val="001E6F32"/>
    <w:rsid w:val="001E7385"/>
    <w:rsid w:val="001E7BC3"/>
    <w:rsid w:val="001F0185"/>
    <w:rsid w:val="001F2145"/>
    <w:rsid w:val="001F3EBD"/>
    <w:rsid w:val="001F4D40"/>
    <w:rsid w:val="001F6262"/>
    <w:rsid w:val="001F67B0"/>
    <w:rsid w:val="001F7B3D"/>
    <w:rsid w:val="00200973"/>
    <w:rsid w:val="00205147"/>
    <w:rsid w:val="00205F9F"/>
    <w:rsid w:val="002072D3"/>
    <w:rsid w:val="00210338"/>
    <w:rsid w:val="002115FC"/>
    <w:rsid w:val="002133F8"/>
    <w:rsid w:val="00213ECE"/>
    <w:rsid w:val="0021423C"/>
    <w:rsid w:val="00215957"/>
    <w:rsid w:val="00224FA2"/>
    <w:rsid w:val="00227375"/>
    <w:rsid w:val="00227F6E"/>
    <w:rsid w:val="00230D00"/>
    <w:rsid w:val="00231650"/>
    <w:rsid w:val="00231DF7"/>
    <w:rsid w:val="00231FD1"/>
    <w:rsid w:val="002339E0"/>
    <w:rsid w:val="00233CF8"/>
    <w:rsid w:val="0023575D"/>
    <w:rsid w:val="00236D0F"/>
    <w:rsid w:val="00236EDF"/>
    <w:rsid w:val="00237148"/>
    <w:rsid w:val="0024222D"/>
    <w:rsid w:val="00244B0E"/>
    <w:rsid w:val="00244F6C"/>
    <w:rsid w:val="002450CA"/>
    <w:rsid w:val="00247622"/>
    <w:rsid w:val="00247C01"/>
    <w:rsid w:val="002532C5"/>
    <w:rsid w:val="002572FF"/>
    <w:rsid w:val="00257829"/>
    <w:rsid w:val="00260C03"/>
    <w:rsid w:val="0026540E"/>
    <w:rsid w:val="0027225C"/>
    <w:rsid w:val="00273659"/>
    <w:rsid w:val="00274D1D"/>
    <w:rsid w:val="00275123"/>
    <w:rsid w:val="00281DC1"/>
    <w:rsid w:val="00282240"/>
    <w:rsid w:val="00282E7B"/>
    <w:rsid w:val="0028572A"/>
    <w:rsid w:val="0028651F"/>
    <w:rsid w:val="00287221"/>
    <w:rsid w:val="002924DE"/>
    <w:rsid w:val="00293123"/>
    <w:rsid w:val="002948AD"/>
    <w:rsid w:val="002948EC"/>
    <w:rsid w:val="00294C05"/>
    <w:rsid w:val="00294C92"/>
    <w:rsid w:val="00296061"/>
    <w:rsid w:val="002A01CC"/>
    <w:rsid w:val="002A1709"/>
    <w:rsid w:val="002A43F9"/>
    <w:rsid w:val="002A61B1"/>
    <w:rsid w:val="002A663C"/>
    <w:rsid w:val="002A688A"/>
    <w:rsid w:val="002B1E6C"/>
    <w:rsid w:val="002B444B"/>
    <w:rsid w:val="002B5887"/>
    <w:rsid w:val="002C0692"/>
    <w:rsid w:val="002C0C7C"/>
    <w:rsid w:val="002C0E27"/>
    <w:rsid w:val="002C3040"/>
    <w:rsid w:val="002C32AE"/>
    <w:rsid w:val="002D022D"/>
    <w:rsid w:val="002D165A"/>
    <w:rsid w:val="002D24BB"/>
    <w:rsid w:val="002D435A"/>
    <w:rsid w:val="002D51F0"/>
    <w:rsid w:val="002D65AA"/>
    <w:rsid w:val="002D6795"/>
    <w:rsid w:val="002D71DA"/>
    <w:rsid w:val="002E018A"/>
    <w:rsid w:val="002E12B5"/>
    <w:rsid w:val="002E18E0"/>
    <w:rsid w:val="002E24E0"/>
    <w:rsid w:val="002E3274"/>
    <w:rsid w:val="002E4214"/>
    <w:rsid w:val="002E540B"/>
    <w:rsid w:val="002F0340"/>
    <w:rsid w:val="002F064C"/>
    <w:rsid w:val="002F171B"/>
    <w:rsid w:val="002F1720"/>
    <w:rsid w:val="002F2AF7"/>
    <w:rsid w:val="002F5214"/>
    <w:rsid w:val="002F6A85"/>
    <w:rsid w:val="002F6E54"/>
    <w:rsid w:val="002F7E1C"/>
    <w:rsid w:val="00300AE9"/>
    <w:rsid w:val="00301A75"/>
    <w:rsid w:val="00302F70"/>
    <w:rsid w:val="0030336F"/>
    <w:rsid w:val="0030375E"/>
    <w:rsid w:val="0031005C"/>
    <w:rsid w:val="00310568"/>
    <w:rsid w:val="0031102C"/>
    <w:rsid w:val="00312A0F"/>
    <w:rsid w:val="00312A30"/>
    <w:rsid w:val="00312C4B"/>
    <w:rsid w:val="00313980"/>
    <w:rsid w:val="00316FF8"/>
    <w:rsid w:val="00320405"/>
    <w:rsid w:val="00320F72"/>
    <w:rsid w:val="00324010"/>
    <w:rsid w:val="0032463E"/>
    <w:rsid w:val="00326224"/>
    <w:rsid w:val="00326759"/>
    <w:rsid w:val="0032676F"/>
    <w:rsid w:val="003308FC"/>
    <w:rsid w:val="0033128C"/>
    <w:rsid w:val="00331861"/>
    <w:rsid w:val="00331BAE"/>
    <w:rsid w:val="00331EAC"/>
    <w:rsid w:val="00337EE4"/>
    <w:rsid w:val="00340D12"/>
    <w:rsid w:val="00340FFD"/>
    <w:rsid w:val="003410DF"/>
    <w:rsid w:val="00343E8A"/>
    <w:rsid w:val="003506B1"/>
    <w:rsid w:val="00353394"/>
    <w:rsid w:val="00356580"/>
    <w:rsid w:val="00356AC7"/>
    <w:rsid w:val="00357519"/>
    <w:rsid w:val="003609FA"/>
    <w:rsid w:val="00361278"/>
    <w:rsid w:val="0036264F"/>
    <w:rsid w:val="0036371B"/>
    <w:rsid w:val="00365191"/>
    <w:rsid w:val="003710C8"/>
    <w:rsid w:val="00371689"/>
    <w:rsid w:val="00372B4B"/>
    <w:rsid w:val="003750BE"/>
    <w:rsid w:val="00375AA3"/>
    <w:rsid w:val="00376EC8"/>
    <w:rsid w:val="00384651"/>
    <w:rsid w:val="00384F0A"/>
    <w:rsid w:val="003857BC"/>
    <w:rsid w:val="00387B9D"/>
    <w:rsid w:val="00387D03"/>
    <w:rsid w:val="003901E8"/>
    <w:rsid w:val="003906C6"/>
    <w:rsid w:val="0039364F"/>
    <w:rsid w:val="00396686"/>
    <w:rsid w:val="0039778E"/>
    <w:rsid w:val="003A041C"/>
    <w:rsid w:val="003A211A"/>
    <w:rsid w:val="003A2604"/>
    <w:rsid w:val="003A2FA1"/>
    <w:rsid w:val="003A441D"/>
    <w:rsid w:val="003A792A"/>
    <w:rsid w:val="003B4941"/>
    <w:rsid w:val="003B7740"/>
    <w:rsid w:val="003C5714"/>
    <w:rsid w:val="003C6B9F"/>
    <w:rsid w:val="003C6E2A"/>
    <w:rsid w:val="003D0299"/>
    <w:rsid w:val="003D0AE9"/>
    <w:rsid w:val="003D3D62"/>
    <w:rsid w:val="003D5E6A"/>
    <w:rsid w:val="003E6D80"/>
    <w:rsid w:val="003E72BE"/>
    <w:rsid w:val="003F04AC"/>
    <w:rsid w:val="003F05FA"/>
    <w:rsid w:val="003F1EA7"/>
    <w:rsid w:val="003F244A"/>
    <w:rsid w:val="003F30B8"/>
    <w:rsid w:val="003F34BE"/>
    <w:rsid w:val="003F4C45"/>
    <w:rsid w:val="003F5949"/>
    <w:rsid w:val="003F5F7B"/>
    <w:rsid w:val="003F77C5"/>
    <w:rsid w:val="003F79D5"/>
    <w:rsid w:val="003F7D64"/>
    <w:rsid w:val="00401873"/>
    <w:rsid w:val="00414300"/>
    <w:rsid w:val="00422594"/>
    <w:rsid w:val="00425C67"/>
    <w:rsid w:val="00427E7A"/>
    <w:rsid w:val="004318C5"/>
    <w:rsid w:val="00436307"/>
    <w:rsid w:val="00436C49"/>
    <w:rsid w:val="0043713B"/>
    <w:rsid w:val="00442C0C"/>
    <w:rsid w:val="00443463"/>
    <w:rsid w:val="00443D1E"/>
    <w:rsid w:val="00445366"/>
    <w:rsid w:val="00446A55"/>
    <w:rsid w:val="00447F5B"/>
    <w:rsid w:val="0045028F"/>
    <w:rsid w:val="00452229"/>
    <w:rsid w:val="00456D7C"/>
    <w:rsid w:val="00460AE4"/>
    <w:rsid w:val="00460E0D"/>
    <w:rsid w:val="00461DB0"/>
    <w:rsid w:val="004623FF"/>
    <w:rsid w:val="00463347"/>
    <w:rsid w:val="00463926"/>
    <w:rsid w:val="00464097"/>
    <w:rsid w:val="004646E0"/>
    <w:rsid w:val="00464C9A"/>
    <w:rsid w:val="0046735A"/>
    <w:rsid w:val="00474F3D"/>
    <w:rsid w:val="00475AD3"/>
    <w:rsid w:val="00476ECA"/>
    <w:rsid w:val="00477E3A"/>
    <w:rsid w:val="00482680"/>
    <w:rsid w:val="0048298B"/>
    <w:rsid w:val="004829DA"/>
    <w:rsid w:val="00483E5F"/>
    <w:rsid w:val="00485FF9"/>
    <w:rsid w:val="004907F0"/>
    <w:rsid w:val="0049140B"/>
    <w:rsid w:val="00491943"/>
    <w:rsid w:val="00491B4B"/>
    <w:rsid w:val="004923A5"/>
    <w:rsid w:val="00496BFB"/>
    <w:rsid w:val="00497303"/>
    <w:rsid w:val="004A015F"/>
    <w:rsid w:val="004A15C7"/>
    <w:rsid w:val="004A4698"/>
    <w:rsid w:val="004A7552"/>
    <w:rsid w:val="004A7D27"/>
    <w:rsid w:val="004B013B"/>
    <w:rsid w:val="004B112B"/>
    <w:rsid w:val="004B6017"/>
    <w:rsid w:val="004B6767"/>
    <w:rsid w:val="004C01E4"/>
    <w:rsid w:val="004C086C"/>
    <w:rsid w:val="004C1F56"/>
    <w:rsid w:val="004C27BC"/>
    <w:rsid w:val="004C308B"/>
    <w:rsid w:val="004C37CD"/>
    <w:rsid w:val="004C6E43"/>
    <w:rsid w:val="004D15F3"/>
    <w:rsid w:val="004D3008"/>
    <w:rsid w:val="004D347F"/>
    <w:rsid w:val="004D5311"/>
    <w:rsid w:val="004D5404"/>
    <w:rsid w:val="004D5DCC"/>
    <w:rsid w:val="004E1C03"/>
    <w:rsid w:val="004E75A4"/>
    <w:rsid w:val="004E7A93"/>
    <w:rsid w:val="004F10AF"/>
    <w:rsid w:val="004F11A4"/>
    <w:rsid w:val="004F17C3"/>
    <w:rsid w:val="004F2389"/>
    <w:rsid w:val="004F304D"/>
    <w:rsid w:val="004F61BE"/>
    <w:rsid w:val="004F66B1"/>
    <w:rsid w:val="0050032F"/>
    <w:rsid w:val="005065D1"/>
    <w:rsid w:val="00511C07"/>
    <w:rsid w:val="00512D5D"/>
    <w:rsid w:val="00513EBF"/>
    <w:rsid w:val="00515D34"/>
    <w:rsid w:val="005173A6"/>
    <w:rsid w:val="00520BAA"/>
    <w:rsid w:val="00521647"/>
    <w:rsid w:val="00522075"/>
    <w:rsid w:val="00525208"/>
    <w:rsid w:val="005257A5"/>
    <w:rsid w:val="005264C0"/>
    <w:rsid w:val="00526A8A"/>
    <w:rsid w:val="00530586"/>
    <w:rsid w:val="00531B9D"/>
    <w:rsid w:val="00531DF2"/>
    <w:rsid w:val="00535BB8"/>
    <w:rsid w:val="0054077A"/>
    <w:rsid w:val="0054123C"/>
    <w:rsid w:val="005442EE"/>
    <w:rsid w:val="005450A2"/>
    <w:rsid w:val="00547353"/>
    <w:rsid w:val="005474E7"/>
    <w:rsid w:val="005512A3"/>
    <w:rsid w:val="0055201B"/>
    <w:rsid w:val="005520B8"/>
    <w:rsid w:val="005530A1"/>
    <w:rsid w:val="005554FC"/>
    <w:rsid w:val="00556C2C"/>
    <w:rsid w:val="00556E4C"/>
    <w:rsid w:val="005578CE"/>
    <w:rsid w:val="00560F9E"/>
    <w:rsid w:val="00562781"/>
    <w:rsid w:val="00563E83"/>
    <w:rsid w:val="0056514F"/>
    <w:rsid w:val="005651AB"/>
    <w:rsid w:val="00566865"/>
    <w:rsid w:val="00571411"/>
    <w:rsid w:val="005724BB"/>
    <w:rsid w:val="0057271C"/>
    <w:rsid w:val="00572845"/>
    <w:rsid w:val="005742EC"/>
    <w:rsid w:val="0058140D"/>
    <w:rsid w:val="00582E2B"/>
    <w:rsid w:val="005853B5"/>
    <w:rsid w:val="00591A57"/>
    <w:rsid w:val="00591FA1"/>
    <w:rsid w:val="00592772"/>
    <w:rsid w:val="00593BFD"/>
    <w:rsid w:val="0059574A"/>
    <w:rsid w:val="005A10B2"/>
    <w:rsid w:val="005A1B9B"/>
    <w:rsid w:val="005A2802"/>
    <w:rsid w:val="005A2F0E"/>
    <w:rsid w:val="005A3B57"/>
    <w:rsid w:val="005A6530"/>
    <w:rsid w:val="005A6751"/>
    <w:rsid w:val="005A6BF9"/>
    <w:rsid w:val="005A76F6"/>
    <w:rsid w:val="005B092E"/>
    <w:rsid w:val="005B152C"/>
    <w:rsid w:val="005B1EE0"/>
    <w:rsid w:val="005B2B24"/>
    <w:rsid w:val="005B4425"/>
    <w:rsid w:val="005B4B94"/>
    <w:rsid w:val="005B7CFA"/>
    <w:rsid w:val="005C02B7"/>
    <w:rsid w:val="005C0F4D"/>
    <w:rsid w:val="005C3EE8"/>
    <w:rsid w:val="005D34F9"/>
    <w:rsid w:val="005D4190"/>
    <w:rsid w:val="005D67A3"/>
    <w:rsid w:val="005D7AF8"/>
    <w:rsid w:val="005E1234"/>
    <w:rsid w:val="005E2988"/>
    <w:rsid w:val="005E2A43"/>
    <w:rsid w:val="005E2C67"/>
    <w:rsid w:val="005E3085"/>
    <w:rsid w:val="005E438A"/>
    <w:rsid w:val="005F0FF3"/>
    <w:rsid w:val="005F4943"/>
    <w:rsid w:val="005F51E1"/>
    <w:rsid w:val="006027D1"/>
    <w:rsid w:val="00605203"/>
    <w:rsid w:val="00610853"/>
    <w:rsid w:val="00611C80"/>
    <w:rsid w:val="00613FEE"/>
    <w:rsid w:val="00617D77"/>
    <w:rsid w:val="00620692"/>
    <w:rsid w:val="00623023"/>
    <w:rsid w:val="006242CA"/>
    <w:rsid w:val="00627507"/>
    <w:rsid w:val="00630459"/>
    <w:rsid w:val="00633281"/>
    <w:rsid w:val="00633717"/>
    <w:rsid w:val="00633E63"/>
    <w:rsid w:val="006344E1"/>
    <w:rsid w:val="0063799E"/>
    <w:rsid w:val="006436F1"/>
    <w:rsid w:val="00644B68"/>
    <w:rsid w:val="00644D25"/>
    <w:rsid w:val="00647F90"/>
    <w:rsid w:val="00651A15"/>
    <w:rsid w:val="006529E1"/>
    <w:rsid w:val="006545C4"/>
    <w:rsid w:val="00661971"/>
    <w:rsid w:val="00661CE8"/>
    <w:rsid w:val="006623D9"/>
    <w:rsid w:val="0066550C"/>
    <w:rsid w:val="0066743F"/>
    <w:rsid w:val="00670855"/>
    <w:rsid w:val="006716F2"/>
    <w:rsid w:val="00675E1C"/>
    <w:rsid w:val="00681DCF"/>
    <w:rsid w:val="00681E1A"/>
    <w:rsid w:val="00682280"/>
    <w:rsid w:val="00682BF2"/>
    <w:rsid w:val="00684498"/>
    <w:rsid w:val="006859CE"/>
    <w:rsid w:val="00686815"/>
    <w:rsid w:val="00691270"/>
    <w:rsid w:val="00694BA8"/>
    <w:rsid w:val="006A037C"/>
    <w:rsid w:val="006A36F4"/>
    <w:rsid w:val="006A406F"/>
    <w:rsid w:val="006A5D3A"/>
    <w:rsid w:val="006A62FF"/>
    <w:rsid w:val="006B051D"/>
    <w:rsid w:val="006B35C4"/>
    <w:rsid w:val="006B6D18"/>
    <w:rsid w:val="006C130D"/>
    <w:rsid w:val="006C23D4"/>
    <w:rsid w:val="006C30BD"/>
    <w:rsid w:val="006C5362"/>
    <w:rsid w:val="006C7BB0"/>
    <w:rsid w:val="006C7C1E"/>
    <w:rsid w:val="006D3237"/>
    <w:rsid w:val="006D32E6"/>
    <w:rsid w:val="006D6C75"/>
    <w:rsid w:val="006D7CD4"/>
    <w:rsid w:val="006E2E37"/>
    <w:rsid w:val="006E3CF1"/>
    <w:rsid w:val="006E7C90"/>
    <w:rsid w:val="006E7E80"/>
    <w:rsid w:val="006F1365"/>
    <w:rsid w:val="006F1805"/>
    <w:rsid w:val="006F1AF5"/>
    <w:rsid w:val="006F1DF9"/>
    <w:rsid w:val="006F1EB6"/>
    <w:rsid w:val="006F2193"/>
    <w:rsid w:val="006F24DB"/>
    <w:rsid w:val="006F295B"/>
    <w:rsid w:val="006F48CA"/>
    <w:rsid w:val="006F4FB7"/>
    <w:rsid w:val="006F64DD"/>
    <w:rsid w:val="006F6557"/>
    <w:rsid w:val="007000A7"/>
    <w:rsid w:val="007055A9"/>
    <w:rsid w:val="007102B8"/>
    <w:rsid w:val="007125CD"/>
    <w:rsid w:val="00713116"/>
    <w:rsid w:val="00715127"/>
    <w:rsid w:val="00715E8E"/>
    <w:rsid w:val="00716A6D"/>
    <w:rsid w:val="00722161"/>
    <w:rsid w:val="00723580"/>
    <w:rsid w:val="00723755"/>
    <w:rsid w:val="0073136C"/>
    <w:rsid w:val="00731F0F"/>
    <w:rsid w:val="0073272B"/>
    <w:rsid w:val="00733250"/>
    <w:rsid w:val="00741404"/>
    <w:rsid w:val="007449E5"/>
    <w:rsid w:val="00746983"/>
    <w:rsid w:val="00746C5A"/>
    <w:rsid w:val="00747FF0"/>
    <w:rsid w:val="007509D5"/>
    <w:rsid w:val="00751D41"/>
    <w:rsid w:val="00752BBE"/>
    <w:rsid w:val="00752DE5"/>
    <w:rsid w:val="00753714"/>
    <w:rsid w:val="0075572C"/>
    <w:rsid w:val="007558E0"/>
    <w:rsid w:val="007577AC"/>
    <w:rsid w:val="007625EF"/>
    <w:rsid w:val="007640B9"/>
    <w:rsid w:val="00764D4E"/>
    <w:rsid w:val="00765A1F"/>
    <w:rsid w:val="00774A6E"/>
    <w:rsid w:val="00775B6D"/>
    <w:rsid w:val="00776D68"/>
    <w:rsid w:val="007838B1"/>
    <w:rsid w:val="007850EE"/>
    <w:rsid w:val="00785B95"/>
    <w:rsid w:val="00790E96"/>
    <w:rsid w:val="00792A29"/>
    <w:rsid w:val="00793366"/>
    <w:rsid w:val="007A1CC9"/>
    <w:rsid w:val="007A5C97"/>
    <w:rsid w:val="007A63FA"/>
    <w:rsid w:val="007A716F"/>
    <w:rsid w:val="007A77E9"/>
    <w:rsid w:val="007B0E9F"/>
    <w:rsid w:val="007B270A"/>
    <w:rsid w:val="007C0695"/>
    <w:rsid w:val="007C114A"/>
    <w:rsid w:val="007C1327"/>
    <w:rsid w:val="007C419A"/>
    <w:rsid w:val="007C4CC8"/>
    <w:rsid w:val="007C4F0F"/>
    <w:rsid w:val="007C5426"/>
    <w:rsid w:val="007C5798"/>
    <w:rsid w:val="007D21E9"/>
    <w:rsid w:val="007D3326"/>
    <w:rsid w:val="007D4832"/>
    <w:rsid w:val="007D6517"/>
    <w:rsid w:val="007D7F95"/>
    <w:rsid w:val="007E03BA"/>
    <w:rsid w:val="007E0D6F"/>
    <w:rsid w:val="007E21B2"/>
    <w:rsid w:val="007E25BD"/>
    <w:rsid w:val="007E2A82"/>
    <w:rsid w:val="007E2C4E"/>
    <w:rsid w:val="007E5F6B"/>
    <w:rsid w:val="007E6693"/>
    <w:rsid w:val="007F1905"/>
    <w:rsid w:val="0080023A"/>
    <w:rsid w:val="0080048F"/>
    <w:rsid w:val="00801300"/>
    <w:rsid w:val="008022C6"/>
    <w:rsid w:val="00802C64"/>
    <w:rsid w:val="008050D5"/>
    <w:rsid w:val="00805E52"/>
    <w:rsid w:val="008061D0"/>
    <w:rsid w:val="00806B70"/>
    <w:rsid w:val="008106DF"/>
    <w:rsid w:val="0081070D"/>
    <w:rsid w:val="00810B38"/>
    <w:rsid w:val="00813E18"/>
    <w:rsid w:val="00817598"/>
    <w:rsid w:val="0082039B"/>
    <w:rsid w:val="008204C7"/>
    <w:rsid w:val="00820992"/>
    <w:rsid w:val="00821050"/>
    <w:rsid w:val="00821CE5"/>
    <w:rsid w:val="00822DA7"/>
    <w:rsid w:val="00823602"/>
    <w:rsid w:val="00825318"/>
    <w:rsid w:val="008255F5"/>
    <w:rsid w:val="008277CF"/>
    <w:rsid w:val="0083014E"/>
    <w:rsid w:val="0083214A"/>
    <w:rsid w:val="0083331C"/>
    <w:rsid w:val="00833BD7"/>
    <w:rsid w:val="00834220"/>
    <w:rsid w:val="00834E7A"/>
    <w:rsid w:val="00841BCF"/>
    <w:rsid w:val="00845723"/>
    <w:rsid w:val="00845DEE"/>
    <w:rsid w:val="0084721B"/>
    <w:rsid w:val="0085038E"/>
    <w:rsid w:val="00851EF9"/>
    <w:rsid w:val="008577FD"/>
    <w:rsid w:val="008607EE"/>
    <w:rsid w:val="00860B03"/>
    <w:rsid w:val="008624E0"/>
    <w:rsid w:val="00863959"/>
    <w:rsid w:val="0086497A"/>
    <w:rsid w:val="00867712"/>
    <w:rsid w:val="008713A1"/>
    <w:rsid w:val="00873A4A"/>
    <w:rsid w:val="008754AB"/>
    <w:rsid w:val="00877A8E"/>
    <w:rsid w:val="0088060C"/>
    <w:rsid w:val="00880B07"/>
    <w:rsid w:val="00884573"/>
    <w:rsid w:val="0088680C"/>
    <w:rsid w:val="00893576"/>
    <w:rsid w:val="00893E73"/>
    <w:rsid w:val="0089446A"/>
    <w:rsid w:val="008A07F7"/>
    <w:rsid w:val="008A42A0"/>
    <w:rsid w:val="008A43C4"/>
    <w:rsid w:val="008A6577"/>
    <w:rsid w:val="008B02DC"/>
    <w:rsid w:val="008B57CE"/>
    <w:rsid w:val="008B659F"/>
    <w:rsid w:val="008B6A90"/>
    <w:rsid w:val="008C165F"/>
    <w:rsid w:val="008C26DE"/>
    <w:rsid w:val="008C4562"/>
    <w:rsid w:val="008C7578"/>
    <w:rsid w:val="008C77EC"/>
    <w:rsid w:val="008D17D8"/>
    <w:rsid w:val="008D2225"/>
    <w:rsid w:val="008D4752"/>
    <w:rsid w:val="008D552A"/>
    <w:rsid w:val="008E271C"/>
    <w:rsid w:val="008E2DD4"/>
    <w:rsid w:val="008E418E"/>
    <w:rsid w:val="008E4195"/>
    <w:rsid w:val="008E5BC6"/>
    <w:rsid w:val="008E5FBF"/>
    <w:rsid w:val="008E6A25"/>
    <w:rsid w:val="008F3851"/>
    <w:rsid w:val="008F5193"/>
    <w:rsid w:val="009005C6"/>
    <w:rsid w:val="009006D9"/>
    <w:rsid w:val="009013A7"/>
    <w:rsid w:val="009017FB"/>
    <w:rsid w:val="009017FC"/>
    <w:rsid w:val="0090328C"/>
    <w:rsid w:val="00903B43"/>
    <w:rsid w:val="00904665"/>
    <w:rsid w:val="0090506B"/>
    <w:rsid w:val="009050C9"/>
    <w:rsid w:val="009061F3"/>
    <w:rsid w:val="009066FC"/>
    <w:rsid w:val="00912483"/>
    <w:rsid w:val="009140A3"/>
    <w:rsid w:val="009144A2"/>
    <w:rsid w:val="0091510C"/>
    <w:rsid w:val="00916EE7"/>
    <w:rsid w:val="009179A0"/>
    <w:rsid w:val="00920147"/>
    <w:rsid w:val="00920CF1"/>
    <w:rsid w:val="00922E3F"/>
    <w:rsid w:val="00924BBD"/>
    <w:rsid w:val="009252B4"/>
    <w:rsid w:val="009259AC"/>
    <w:rsid w:val="00926F38"/>
    <w:rsid w:val="00930329"/>
    <w:rsid w:val="00930E54"/>
    <w:rsid w:val="00934301"/>
    <w:rsid w:val="00936CD1"/>
    <w:rsid w:val="00937629"/>
    <w:rsid w:val="00941747"/>
    <w:rsid w:val="00941EFB"/>
    <w:rsid w:val="00947AFB"/>
    <w:rsid w:val="00951D7D"/>
    <w:rsid w:val="00951F76"/>
    <w:rsid w:val="00952C12"/>
    <w:rsid w:val="009630C7"/>
    <w:rsid w:val="00972B55"/>
    <w:rsid w:val="0097345C"/>
    <w:rsid w:val="0097428D"/>
    <w:rsid w:val="009743B7"/>
    <w:rsid w:val="00975834"/>
    <w:rsid w:val="00977A5A"/>
    <w:rsid w:val="009810A5"/>
    <w:rsid w:val="00981574"/>
    <w:rsid w:val="0098228B"/>
    <w:rsid w:val="009828DA"/>
    <w:rsid w:val="00985BAB"/>
    <w:rsid w:val="00997570"/>
    <w:rsid w:val="00997F03"/>
    <w:rsid w:val="009A2A91"/>
    <w:rsid w:val="009A46DF"/>
    <w:rsid w:val="009A64AE"/>
    <w:rsid w:val="009B1B5F"/>
    <w:rsid w:val="009B2EC2"/>
    <w:rsid w:val="009B4E06"/>
    <w:rsid w:val="009B5043"/>
    <w:rsid w:val="009B5D2A"/>
    <w:rsid w:val="009B6673"/>
    <w:rsid w:val="009C191B"/>
    <w:rsid w:val="009C2BD6"/>
    <w:rsid w:val="009C35B7"/>
    <w:rsid w:val="009C606E"/>
    <w:rsid w:val="009C62CD"/>
    <w:rsid w:val="009D19A4"/>
    <w:rsid w:val="009E1F32"/>
    <w:rsid w:val="009E3E61"/>
    <w:rsid w:val="009E5829"/>
    <w:rsid w:val="009E58C7"/>
    <w:rsid w:val="009E776C"/>
    <w:rsid w:val="009E7A6B"/>
    <w:rsid w:val="009F1663"/>
    <w:rsid w:val="009F1D42"/>
    <w:rsid w:val="009F3184"/>
    <w:rsid w:val="009F3EE2"/>
    <w:rsid w:val="009F6447"/>
    <w:rsid w:val="00A0379B"/>
    <w:rsid w:val="00A05643"/>
    <w:rsid w:val="00A130B4"/>
    <w:rsid w:val="00A13214"/>
    <w:rsid w:val="00A1635B"/>
    <w:rsid w:val="00A1726E"/>
    <w:rsid w:val="00A204CF"/>
    <w:rsid w:val="00A23D49"/>
    <w:rsid w:val="00A27004"/>
    <w:rsid w:val="00A27724"/>
    <w:rsid w:val="00A30C29"/>
    <w:rsid w:val="00A32F18"/>
    <w:rsid w:val="00A345FB"/>
    <w:rsid w:val="00A34874"/>
    <w:rsid w:val="00A34DD6"/>
    <w:rsid w:val="00A36819"/>
    <w:rsid w:val="00A36989"/>
    <w:rsid w:val="00A43628"/>
    <w:rsid w:val="00A54192"/>
    <w:rsid w:val="00A54FF8"/>
    <w:rsid w:val="00A56C0A"/>
    <w:rsid w:val="00A6035E"/>
    <w:rsid w:val="00A6144C"/>
    <w:rsid w:val="00A63767"/>
    <w:rsid w:val="00A65485"/>
    <w:rsid w:val="00A66617"/>
    <w:rsid w:val="00A671F8"/>
    <w:rsid w:val="00A673A4"/>
    <w:rsid w:val="00A724AE"/>
    <w:rsid w:val="00A73329"/>
    <w:rsid w:val="00A74308"/>
    <w:rsid w:val="00A7777D"/>
    <w:rsid w:val="00A8046B"/>
    <w:rsid w:val="00A82359"/>
    <w:rsid w:val="00A865D2"/>
    <w:rsid w:val="00A875B3"/>
    <w:rsid w:val="00A94089"/>
    <w:rsid w:val="00A94C20"/>
    <w:rsid w:val="00A95289"/>
    <w:rsid w:val="00A95864"/>
    <w:rsid w:val="00A96ED6"/>
    <w:rsid w:val="00AA10F4"/>
    <w:rsid w:val="00AA227F"/>
    <w:rsid w:val="00AA3725"/>
    <w:rsid w:val="00AA3BC7"/>
    <w:rsid w:val="00AA54C2"/>
    <w:rsid w:val="00AA57E2"/>
    <w:rsid w:val="00AA754A"/>
    <w:rsid w:val="00AB086D"/>
    <w:rsid w:val="00AB0968"/>
    <w:rsid w:val="00AB099E"/>
    <w:rsid w:val="00AB1544"/>
    <w:rsid w:val="00AB4328"/>
    <w:rsid w:val="00AB57ED"/>
    <w:rsid w:val="00AB5FA0"/>
    <w:rsid w:val="00AC02FC"/>
    <w:rsid w:val="00AC1F38"/>
    <w:rsid w:val="00AC2385"/>
    <w:rsid w:val="00AE0A2E"/>
    <w:rsid w:val="00AE354C"/>
    <w:rsid w:val="00AE431E"/>
    <w:rsid w:val="00AE4743"/>
    <w:rsid w:val="00AE5C66"/>
    <w:rsid w:val="00AE662F"/>
    <w:rsid w:val="00AE73D1"/>
    <w:rsid w:val="00AF0238"/>
    <w:rsid w:val="00AF0DDF"/>
    <w:rsid w:val="00AF3E44"/>
    <w:rsid w:val="00AF4AA3"/>
    <w:rsid w:val="00AF4B07"/>
    <w:rsid w:val="00AF6186"/>
    <w:rsid w:val="00AF7A3A"/>
    <w:rsid w:val="00B110BA"/>
    <w:rsid w:val="00B115B3"/>
    <w:rsid w:val="00B11BA3"/>
    <w:rsid w:val="00B160DB"/>
    <w:rsid w:val="00B20205"/>
    <w:rsid w:val="00B20836"/>
    <w:rsid w:val="00B21B1F"/>
    <w:rsid w:val="00B23058"/>
    <w:rsid w:val="00B235BB"/>
    <w:rsid w:val="00B24A95"/>
    <w:rsid w:val="00B2510D"/>
    <w:rsid w:val="00B27A44"/>
    <w:rsid w:val="00B30BBF"/>
    <w:rsid w:val="00B33524"/>
    <w:rsid w:val="00B33C03"/>
    <w:rsid w:val="00B33E4C"/>
    <w:rsid w:val="00B35858"/>
    <w:rsid w:val="00B36C21"/>
    <w:rsid w:val="00B44851"/>
    <w:rsid w:val="00B44E56"/>
    <w:rsid w:val="00B46543"/>
    <w:rsid w:val="00B47D33"/>
    <w:rsid w:val="00B52BE0"/>
    <w:rsid w:val="00B54133"/>
    <w:rsid w:val="00B637B9"/>
    <w:rsid w:val="00B67C4F"/>
    <w:rsid w:val="00B701ED"/>
    <w:rsid w:val="00B704A4"/>
    <w:rsid w:val="00B71184"/>
    <w:rsid w:val="00B72B35"/>
    <w:rsid w:val="00B74BFD"/>
    <w:rsid w:val="00B75390"/>
    <w:rsid w:val="00B77179"/>
    <w:rsid w:val="00B772E7"/>
    <w:rsid w:val="00B774A4"/>
    <w:rsid w:val="00B8086C"/>
    <w:rsid w:val="00B8313A"/>
    <w:rsid w:val="00B845C8"/>
    <w:rsid w:val="00B861B4"/>
    <w:rsid w:val="00B86DFE"/>
    <w:rsid w:val="00B9015B"/>
    <w:rsid w:val="00B90990"/>
    <w:rsid w:val="00B922FF"/>
    <w:rsid w:val="00B92491"/>
    <w:rsid w:val="00B9281E"/>
    <w:rsid w:val="00B93925"/>
    <w:rsid w:val="00B95187"/>
    <w:rsid w:val="00B957FE"/>
    <w:rsid w:val="00BA2522"/>
    <w:rsid w:val="00BA2D55"/>
    <w:rsid w:val="00BA2E25"/>
    <w:rsid w:val="00BA3A06"/>
    <w:rsid w:val="00BA71B1"/>
    <w:rsid w:val="00BB0637"/>
    <w:rsid w:val="00BB2394"/>
    <w:rsid w:val="00BB28D6"/>
    <w:rsid w:val="00BB345F"/>
    <w:rsid w:val="00BB5883"/>
    <w:rsid w:val="00BB68EA"/>
    <w:rsid w:val="00BB6BEB"/>
    <w:rsid w:val="00BC1C27"/>
    <w:rsid w:val="00BC4E51"/>
    <w:rsid w:val="00BC4F9A"/>
    <w:rsid w:val="00BC6BBF"/>
    <w:rsid w:val="00BD0620"/>
    <w:rsid w:val="00BD1572"/>
    <w:rsid w:val="00BD281F"/>
    <w:rsid w:val="00BD3743"/>
    <w:rsid w:val="00BD3B2B"/>
    <w:rsid w:val="00BD541D"/>
    <w:rsid w:val="00BE14E3"/>
    <w:rsid w:val="00BE3774"/>
    <w:rsid w:val="00BE41E5"/>
    <w:rsid w:val="00BE6F5C"/>
    <w:rsid w:val="00BE7D53"/>
    <w:rsid w:val="00BF0BBB"/>
    <w:rsid w:val="00BF247E"/>
    <w:rsid w:val="00BF2849"/>
    <w:rsid w:val="00BF4109"/>
    <w:rsid w:val="00BF4CC3"/>
    <w:rsid w:val="00BF7A98"/>
    <w:rsid w:val="00C01765"/>
    <w:rsid w:val="00C01D5C"/>
    <w:rsid w:val="00C04514"/>
    <w:rsid w:val="00C054C7"/>
    <w:rsid w:val="00C057B5"/>
    <w:rsid w:val="00C05FBD"/>
    <w:rsid w:val="00C072EF"/>
    <w:rsid w:val="00C10FC3"/>
    <w:rsid w:val="00C13A25"/>
    <w:rsid w:val="00C22648"/>
    <w:rsid w:val="00C22687"/>
    <w:rsid w:val="00C2502F"/>
    <w:rsid w:val="00C25846"/>
    <w:rsid w:val="00C27BF7"/>
    <w:rsid w:val="00C30642"/>
    <w:rsid w:val="00C31402"/>
    <w:rsid w:val="00C3286B"/>
    <w:rsid w:val="00C32E4D"/>
    <w:rsid w:val="00C333A0"/>
    <w:rsid w:val="00C350FE"/>
    <w:rsid w:val="00C36A81"/>
    <w:rsid w:val="00C375EB"/>
    <w:rsid w:val="00C41974"/>
    <w:rsid w:val="00C447AD"/>
    <w:rsid w:val="00C473EB"/>
    <w:rsid w:val="00C503C6"/>
    <w:rsid w:val="00C50B99"/>
    <w:rsid w:val="00C52DC2"/>
    <w:rsid w:val="00C53F4A"/>
    <w:rsid w:val="00C54125"/>
    <w:rsid w:val="00C55B1B"/>
    <w:rsid w:val="00C55B54"/>
    <w:rsid w:val="00C6098E"/>
    <w:rsid w:val="00C6152C"/>
    <w:rsid w:val="00C621C2"/>
    <w:rsid w:val="00C64E27"/>
    <w:rsid w:val="00C6654D"/>
    <w:rsid w:val="00C74810"/>
    <w:rsid w:val="00C74BF8"/>
    <w:rsid w:val="00C841A8"/>
    <w:rsid w:val="00C90D68"/>
    <w:rsid w:val="00C915FB"/>
    <w:rsid w:val="00C939FE"/>
    <w:rsid w:val="00C940CF"/>
    <w:rsid w:val="00C96712"/>
    <w:rsid w:val="00CA035D"/>
    <w:rsid w:val="00CA491A"/>
    <w:rsid w:val="00CA4BDA"/>
    <w:rsid w:val="00CB1AAD"/>
    <w:rsid w:val="00CB1F66"/>
    <w:rsid w:val="00CB2951"/>
    <w:rsid w:val="00CB6E84"/>
    <w:rsid w:val="00CC2A8B"/>
    <w:rsid w:val="00CC6757"/>
    <w:rsid w:val="00CC7E9F"/>
    <w:rsid w:val="00CD037D"/>
    <w:rsid w:val="00CD15ED"/>
    <w:rsid w:val="00CD282B"/>
    <w:rsid w:val="00CD2D0B"/>
    <w:rsid w:val="00CD4C35"/>
    <w:rsid w:val="00CD6E16"/>
    <w:rsid w:val="00CD7369"/>
    <w:rsid w:val="00CE0B0E"/>
    <w:rsid w:val="00CE2F1E"/>
    <w:rsid w:val="00CE379E"/>
    <w:rsid w:val="00CE3831"/>
    <w:rsid w:val="00CE5872"/>
    <w:rsid w:val="00CF0763"/>
    <w:rsid w:val="00CF2207"/>
    <w:rsid w:val="00D00ABB"/>
    <w:rsid w:val="00D025EE"/>
    <w:rsid w:val="00D02EEC"/>
    <w:rsid w:val="00D03551"/>
    <w:rsid w:val="00D06A63"/>
    <w:rsid w:val="00D06E63"/>
    <w:rsid w:val="00D07335"/>
    <w:rsid w:val="00D07E0E"/>
    <w:rsid w:val="00D11478"/>
    <w:rsid w:val="00D1307B"/>
    <w:rsid w:val="00D13B97"/>
    <w:rsid w:val="00D15ED0"/>
    <w:rsid w:val="00D204C4"/>
    <w:rsid w:val="00D21B3E"/>
    <w:rsid w:val="00D21FED"/>
    <w:rsid w:val="00D24251"/>
    <w:rsid w:val="00D27EEE"/>
    <w:rsid w:val="00D319A0"/>
    <w:rsid w:val="00D34239"/>
    <w:rsid w:val="00D343E2"/>
    <w:rsid w:val="00D361A2"/>
    <w:rsid w:val="00D42C43"/>
    <w:rsid w:val="00D44C2E"/>
    <w:rsid w:val="00D45414"/>
    <w:rsid w:val="00D5392A"/>
    <w:rsid w:val="00D53C0F"/>
    <w:rsid w:val="00D566BD"/>
    <w:rsid w:val="00D57A4D"/>
    <w:rsid w:val="00D60AA7"/>
    <w:rsid w:val="00D60D87"/>
    <w:rsid w:val="00D61017"/>
    <w:rsid w:val="00D6435F"/>
    <w:rsid w:val="00D71455"/>
    <w:rsid w:val="00D725F4"/>
    <w:rsid w:val="00D72B21"/>
    <w:rsid w:val="00D75E28"/>
    <w:rsid w:val="00D76EA2"/>
    <w:rsid w:val="00D772C2"/>
    <w:rsid w:val="00D8008E"/>
    <w:rsid w:val="00D82C45"/>
    <w:rsid w:val="00D835EA"/>
    <w:rsid w:val="00D83BE7"/>
    <w:rsid w:val="00D86DF3"/>
    <w:rsid w:val="00D900DE"/>
    <w:rsid w:val="00D908A8"/>
    <w:rsid w:val="00D96D48"/>
    <w:rsid w:val="00D977B6"/>
    <w:rsid w:val="00DA0321"/>
    <w:rsid w:val="00DA204E"/>
    <w:rsid w:val="00DA4A31"/>
    <w:rsid w:val="00DA61F2"/>
    <w:rsid w:val="00DA6413"/>
    <w:rsid w:val="00DA7B04"/>
    <w:rsid w:val="00DA7CD1"/>
    <w:rsid w:val="00DB0A8E"/>
    <w:rsid w:val="00DB24AF"/>
    <w:rsid w:val="00DB2841"/>
    <w:rsid w:val="00DB3094"/>
    <w:rsid w:val="00DB3469"/>
    <w:rsid w:val="00DB36C2"/>
    <w:rsid w:val="00DB7196"/>
    <w:rsid w:val="00DC0354"/>
    <w:rsid w:val="00DC169B"/>
    <w:rsid w:val="00DC2AB9"/>
    <w:rsid w:val="00DC5634"/>
    <w:rsid w:val="00DC5D1B"/>
    <w:rsid w:val="00DC63F0"/>
    <w:rsid w:val="00DD05D3"/>
    <w:rsid w:val="00DD0A37"/>
    <w:rsid w:val="00DD6EE5"/>
    <w:rsid w:val="00DE0158"/>
    <w:rsid w:val="00DE1585"/>
    <w:rsid w:val="00DE1B8E"/>
    <w:rsid w:val="00DE386C"/>
    <w:rsid w:val="00DE4D35"/>
    <w:rsid w:val="00DE5D9A"/>
    <w:rsid w:val="00DE7C6C"/>
    <w:rsid w:val="00DF0549"/>
    <w:rsid w:val="00DF098B"/>
    <w:rsid w:val="00DF11C4"/>
    <w:rsid w:val="00DF210C"/>
    <w:rsid w:val="00DF2960"/>
    <w:rsid w:val="00DF2E7F"/>
    <w:rsid w:val="00DF4B6A"/>
    <w:rsid w:val="00DF6126"/>
    <w:rsid w:val="00DF7942"/>
    <w:rsid w:val="00E02C09"/>
    <w:rsid w:val="00E03455"/>
    <w:rsid w:val="00E04D59"/>
    <w:rsid w:val="00E07DA1"/>
    <w:rsid w:val="00E1057E"/>
    <w:rsid w:val="00E123CB"/>
    <w:rsid w:val="00E127BC"/>
    <w:rsid w:val="00E1327A"/>
    <w:rsid w:val="00E137AC"/>
    <w:rsid w:val="00E1557C"/>
    <w:rsid w:val="00E17609"/>
    <w:rsid w:val="00E20E13"/>
    <w:rsid w:val="00E21DBC"/>
    <w:rsid w:val="00E23FB8"/>
    <w:rsid w:val="00E246F7"/>
    <w:rsid w:val="00E275D7"/>
    <w:rsid w:val="00E27DBE"/>
    <w:rsid w:val="00E30E7C"/>
    <w:rsid w:val="00E32AB1"/>
    <w:rsid w:val="00E32B8D"/>
    <w:rsid w:val="00E334D1"/>
    <w:rsid w:val="00E33645"/>
    <w:rsid w:val="00E36C71"/>
    <w:rsid w:val="00E40404"/>
    <w:rsid w:val="00E4133A"/>
    <w:rsid w:val="00E417AE"/>
    <w:rsid w:val="00E43AF6"/>
    <w:rsid w:val="00E459C6"/>
    <w:rsid w:val="00E47589"/>
    <w:rsid w:val="00E51DD3"/>
    <w:rsid w:val="00E521DC"/>
    <w:rsid w:val="00E534B8"/>
    <w:rsid w:val="00E54033"/>
    <w:rsid w:val="00E60529"/>
    <w:rsid w:val="00E617D3"/>
    <w:rsid w:val="00E64915"/>
    <w:rsid w:val="00E661D4"/>
    <w:rsid w:val="00E67D08"/>
    <w:rsid w:val="00E70091"/>
    <w:rsid w:val="00E720F5"/>
    <w:rsid w:val="00E76D47"/>
    <w:rsid w:val="00E849F7"/>
    <w:rsid w:val="00E857E0"/>
    <w:rsid w:val="00E9028A"/>
    <w:rsid w:val="00E90302"/>
    <w:rsid w:val="00E90AFB"/>
    <w:rsid w:val="00E90C0C"/>
    <w:rsid w:val="00E93BFE"/>
    <w:rsid w:val="00E9597F"/>
    <w:rsid w:val="00E95B9E"/>
    <w:rsid w:val="00E96411"/>
    <w:rsid w:val="00E97396"/>
    <w:rsid w:val="00EA06B3"/>
    <w:rsid w:val="00EA185E"/>
    <w:rsid w:val="00EA592A"/>
    <w:rsid w:val="00EA690E"/>
    <w:rsid w:val="00EA6928"/>
    <w:rsid w:val="00EA737F"/>
    <w:rsid w:val="00EB14E4"/>
    <w:rsid w:val="00EB32A5"/>
    <w:rsid w:val="00EB34ED"/>
    <w:rsid w:val="00EB7BE0"/>
    <w:rsid w:val="00EC1858"/>
    <w:rsid w:val="00EC315E"/>
    <w:rsid w:val="00EC3B32"/>
    <w:rsid w:val="00EC44A9"/>
    <w:rsid w:val="00EC5F0D"/>
    <w:rsid w:val="00EC6474"/>
    <w:rsid w:val="00ED077C"/>
    <w:rsid w:val="00ED0833"/>
    <w:rsid w:val="00ED1190"/>
    <w:rsid w:val="00ED1774"/>
    <w:rsid w:val="00ED1BD1"/>
    <w:rsid w:val="00ED2B03"/>
    <w:rsid w:val="00ED3421"/>
    <w:rsid w:val="00ED3604"/>
    <w:rsid w:val="00ED4022"/>
    <w:rsid w:val="00ED477F"/>
    <w:rsid w:val="00ED6544"/>
    <w:rsid w:val="00EE01DA"/>
    <w:rsid w:val="00EE0277"/>
    <w:rsid w:val="00EE1D0D"/>
    <w:rsid w:val="00EE1DA9"/>
    <w:rsid w:val="00EE3E00"/>
    <w:rsid w:val="00EE5DD2"/>
    <w:rsid w:val="00EF1993"/>
    <w:rsid w:val="00EF413F"/>
    <w:rsid w:val="00EF41F1"/>
    <w:rsid w:val="00EF4F08"/>
    <w:rsid w:val="00EF5328"/>
    <w:rsid w:val="00EF573B"/>
    <w:rsid w:val="00F0035B"/>
    <w:rsid w:val="00F00A79"/>
    <w:rsid w:val="00F00E86"/>
    <w:rsid w:val="00F00F8B"/>
    <w:rsid w:val="00F01760"/>
    <w:rsid w:val="00F0229C"/>
    <w:rsid w:val="00F02B1F"/>
    <w:rsid w:val="00F068F4"/>
    <w:rsid w:val="00F07C1E"/>
    <w:rsid w:val="00F105DB"/>
    <w:rsid w:val="00F132BC"/>
    <w:rsid w:val="00F13D80"/>
    <w:rsid w:val="00F16AAA"/>
    <w:rsid w:val="00F17B08"/>
    <w:rsid w:val="00F17B95"/>
    <w:rsid w:val="00F20D41"/>
    <w:rsid w:val="00F21161"/>
    <w:rsid w:val="00F218EF"/>
    <w:rsid w:val="00F21BC7"/>
    <w:rsid w:val="00F24BC1"/>
    <w:rsid w:val="00F2661E"/>
    <w:rsid w:val="00F266A2"/>
    <w:rsid w:val="00F32269"/>
    <w:rsid w:val="00F411F4"/>
    <w:rsid w:val="00F4457E"/>
    <w:rsid w:val="00F567E7"/>
    <w:rsid w:val="00F56A6F"/>
    <w:rsid w:val="00F5709C"/>
    <w:rsid w:val="00F61398"/>
    <w:rsid w:val="00F64EF1"/>
    <w:rsid w:val="00F66014"/>
    <w:rsid w:val="00F672D7"/>
    <w:rsid w:val="00F7206A"/>
    <w:rsid w:val="00F74FEF"/>
    <w:rsid w:val="00F8310E"/>
    <w:rsid w:val="00F83917"/>
    <w:rsid w:val="00F83D37"/>
    <w:rsid w:val="00F85AA4"/>
    <w:rsid w:val="00F870D2"/>
    <w:rsid w:val="00F871EA"/>
    <w:rsid w:val="00F8765F"/>
    <w:rsid w:val="00F90767"/>
    <w:rsid w:val="00F90F4C"/>
    <w:rsid w:val="00F92334"/>
    <w:rsid w:val="00F97EDC"/>
    <w:rsid w:val="00FA0775"/>
    <w:rsid w:val="00FA14E2"/>
    <w:rsid w:val="00FA3E43"/>
    <w:rsid w:val="00FA513E"/>
    <w:rsid w:val="00FA622B"/>
    <w:rsid w:val="00FA685B"/>
    <w:rsid w:val="00FB0C01"/>
    <w:rsid w:val="00FB233E"/>
    <w:rsid w:val="00FB67D1"/>
    <w:rsid w:val="00FC01B9"/>
    <w:rsid w:val="00FC0859"/>
    <w:rsid w:val="00FC18F2"/>
    <w:rsid w:val="00FC2C6D"/>
    <w:rsid w:val="00FC39E5"/>
    <w:rsid w:val="00FC3A78"/>
    <w:rsid w:val="00FC5FFE"/>
    <w:rsid w:val="00FC727D"/>
    <w:rsid w:val="00FD1005"/>
    <w:rsid w:val="00FD22E9"/>
    <w:rsid w:val="00FD3180"/>
    <w:rsid w:val="00FD6C75"/>
    <w:rsid w:val="00FD71CD"/>
    <w:rsid w:val="00FD7F10"/>
    <w:rsid w:val="00FE71B3"/>
    <w:rsid w:val="00FF225B"/>
    <w:rsid w:val="00FF2AC9"/>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000067"/>
    <w:pPr>
      <w:jc w:val="both"/>
    </w:pPr>
    <w:rPr>
      <w:rFonts w:eastAsiaTheme="minorEastAsia"/>
      <w:sz w:val="24"/>
    </w:rPr>
  </w:style>
  <w:style w:type="paragraph" w:styleId="Heading1">
    <w:name w:val="heading 1"/>
    <w:basedOn w:val="Normal"/>
    <w:next w:val="Normal"/>
    <w:link w:val="Heading1Char"/>
    <w:uiPriority w:val="99"/>
    <w:semiHidden/>
    <w:rsid w:val="0000006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00006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00006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00006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63959"/>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000067"/>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863959"/>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863959"/>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863959"/>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0067"/>
    <w:rPr>
      <w:rFonts w:ascii="Tahoma" w:hAnsi="Tahoma" w:cs="Tahoma"/>
      <w:sz w:val="16"/>
      <w:szCs w:val="16"/>
    </w:rPr>
  </w:style>
  <w:style w:type="character" w:customStyle="1" w:styleId="BalloonTextChar">
    <w:name w:val="Balloon Text Char"/>
    <w:basedOn w:val="DefaultParagraphFont"/>
    <w:link w:val="BalloonText"/>
    <w:uiPriority w:val="99"/>
    <w:semiHidden/>
    <w:rsid w:val="00000067"/>
    <w:rPr>
      <w:rFonts w:ascii="Tahoma" w:eastAsiaTheme="minorEastAsia" w:hAnsi="Tahoma" w:cs="Tahoma"/>
      <w:sz w:val="16"/>
      <w:szCs w:val="16"/>
    </w:rPr>
  </w:style>
  <w:style w:type="character" w:styleId="BookTitle">
    <w:name w:val="Book Title"/>
    <w:uiPriority w:val="99"/>
    <w:semiHidden/>
    <w:qFormat/>
    <w:rsid w:val="00863959"/>
    <w:rPr>
      <w:i/>
      <w:iCs/>
      <w:smallCaps/>
      <w:spacing w:val="5"/>
    </w:rPr>
  </w:style>
  <w:style w:type="paragraph" w:customStyle="1" w:styleId="ECHRHeader">
    <w:name w:val="ECHR_Header"/>
    <w:aliases w:val="Ju_Header"/>
    <w:basedOn w:val="Header"/>
    <w:uiPriority w:val="4"/>
    <w:qFormat/>
    <w:rsid w:val="00863959"/>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000067"/>
    <w:pPr>
      <w:jc w:val="left"/>
    </w:pPr>
    <w:rPr>
      <w:sz w:val="8"/>
    </w:rPr>
  </w:style>
  <w:style w:type="character" w:styleId="Strong">
    <w:name w:val="Strong"/>
    <w:uiPriority w:val="99"/>
    <w:semiHidden/>
    <w:qFormat/>
    <w:rsid w:val="00863959"/>
    <w:rPr>
      <w:b/>
      <w:bCs/>
    </w:rPr>
  </w:style>
  <w:style w:type="paragraph" w:styleId="NoSpacing">
    <w:name w:val="No Spacing"/>
    <w:basedOn w:val="Normal"/>
    <w:link w:val="NoSpacingChar"/>
    <w:semiHidden/>
    <w:qFormat/>
    <w:rsid w:val="00863959"/>
    <w:rPr>
      <w:sz w:val="22"/>
    </w:rPr>
  </w:style>
  <w:style w:type="character" w:customStyle="1" w:styleId="NoSpacingChar">
    <w:name w:val="No Spacing Char"/>
    <w:basedOn w:val="DefaultParagraphFont"/>
    <w:link w:val="NoSpacing"/>
    <w:semiHidden/>
    <w:rsid w:val="00863959"/>
    <w:rPr>
      <w:rFonts w:eastAsiaTheme="minorEastAsia"/>
    </w:rPr>
  </w:style>
  <w:style w:type="paragraph" w:customStyle="1" w:styleId="ECHRFooterLine">
    <w:name w:val="ECHR_Footer_Line"/>
    <w:aliases w:val="Footer_Line"/>
    <w:basedOn w:val="Normal"/>
    <w:next w:val="ECHRFooter"/>
    <w:uiPriority w:val="57"/>
    <w:semiHidden/>
    <w:rsid w:val="00000067"/>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semiHidden/>
    <w:qFormat/>
    <w:rsid w:val="00863959"/>
    <w:pPr>
      <w:numPr>
        <w:numId w:val="20"/>
      </w:numPr>
      <w:jc w:val="left"/>
    </w:pPr>
    <w:rPr>
      <w:b/>
    </w:rPr>
  </w:style>
  <w:style w:type="paragraph" w:customStyle="1" w:styleId="OpiPara">
    <w:name w:val="Opi_Para"/>
    <w:basedOn w:val="ECHRPara"/>
    <w:uiPriority w:val="46"/>
    <w:qFormat/>
    <w:rsid w:val="00863959"/>
  </w:style>
  <w:style w:type="paragraph" w:customStyle="1" w:styleId="JuParaSub">
    <w:name w:val="Ju_Para_Sub"/>
    <w:basedOn w:val="ECHRPara"/>
    <w:uiPriority w:val="13"/>
    <w:qFormat/>
    <w:rsid w:val="00863959"/>
    <w:pPr>
      <w:ind w:left="284"/>
    </w:pPr>
  </w:style>
  <w:style w:type="paragraph" w:customStyle="1" w:styleId="ECHRTitleCentre3">
    <w:name w:val="ECHR_Title_Centre_3"/>
    <w:aliases w:val="Ju_H_Article"/>
    <w:basedOn w:val="Normal"/>
    <w:next w:val="ECHRParaQuote"/>
    <w:uiPriority w:val="27"/>
    <w:qFormat/>
    <w:rsid w:val="00863959"/>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863959"/>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863959"/>
  </w:style>
  <w:style w:type="paragraph" w:customStyle="1" w:styleId="OpiQuot">
    <w:name w:val="Opi_Quot"/>
    <w:basedOn w:val="ECHRParaQuote"/>
    <w:uiPriority w:val="48"/>
    <w:qFormat/>
    <w:rsid w:val="00863959"/>
  </w:style>
  <w:style w:type="paragraph" w:customStyle="1" w:styleId="OpiQuotSub">
    <w:name w:val="Opi_Quot_Sub"/>
    <w:basedOn w:val="JuQuotSub"/>
    <w:uiPriority w:val="49"/>
    <w:qFormat/>
    <w:rsid w:val="00863959"/>
  </w:style>
  <w:style w:type="paragraph" w:customStyle="1" w:styleId="ECHRTitleCentre2">
    <w:name w:val="ECHR_Title_Centre_2"/>
    <w:aliases w:val="Dec_H_Case"/>
    <w:basedOn w:val="Normal"/>
    <w:next w:val="ECHRPara"/>
    <w:uiPriority w:val="8"/>
    <w:qFormat/>
    <w:rsid w:val="00863959"/>
    <w:pPr>
      <w:spacing w:after="240"/>
      <w:jc w:val="center"/>
      <w:outlineLvl w:val="0"/>
    </w:pPr>
    <w:rPr>
      <w:rFonts w:asciiTheme="majorHAnsi" w:hAnsiTheme="majorHAnsi"/>
    </w:rPr>
  </w:style>
  <w:style w:type="paragraph" w:customStyle="1" w:styleId="JuTitle">
    <w:name w:val="Ju_Title"/>
    <w:basedOn w:val="Normal"/>
    <w:next w:val="ECHRPara"/>
    <w:uiPriority w:val="3"/>
    <w:semiHidden/>
    <w:qFormat/>
    <w:rsid w:val="00863959"/>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863959"/>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863959"/>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863959"/>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863959"/>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863959"/>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63959"/>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863959"/>
    <w:pPr>
      <w:keepNext/>
      <w:keepLines/>
      <w:spacing w:before="240" w:after="120"/>
      <w:ind w:left="1236"/>
    </w:pPr>
    <w:rPr>
      <w:sz w:val="20"/>
    </w:rPr>
  </w:style>
  <w:style w:type="paragraph" w:customStyle="1" w:styleId="JuQuotSub">
    <w:name w:val="Ju_Quot_Sub"/>
    <w:basedOn w:val="ECHRParaQuote"/>
    <w:uiPriority w:val="15"/>
    <w:qFormat/>
    <w:rsid w:val="00863959"/>
    <w:pPr>
      <w:ind w:left="567"/>
    </w:pPr>
  </w:style>
  <w:style w:type="paragraph" w:customStyle="1" w:styleId="JuInitialled">
    <w:name w:val="Ju_Initialled"/>
    <w:basedOn w:val="Normal"/>
    <w:uiPriority w:val="31"/>
    <w:qFormat/>
    <w:rsid w:val="00863959"/>
    <w:pPr>
      <w:tabs>
        <w:tab w:val="center" w:pos="6407"/>
      </w:tabs>
      <w:spacing w:before="720"/>
      <w:jc w:val="right"/>
    </w:pPr>
  </w:style>
  <w:style w:type="paragraph" w:customStyle="1" w:styleId="OpiHA">
    <w:name w:val="Opi_H_A"/>
    <w:basedOn w:val="ECHRHeading1"/>
    <w:next w:val="OpiPara"/>
    <w:uiPriority w:val="41"/>
    <w:qFormat/>
    <w:rsid w:val="00863959"/>
    <w:pPr>
      <w:tabs>
        <w:tab w:val="clear" w:pos="357"/>
      </w:tabs>
      <w:outlineLvl w:val="1"/>
    </w:pPr>
    <w:rPr>
      <w:b/>
    </w:rPr>
  </w:style>
  <w:style w:type="paragraph" w:styleId="Header">
    <w:name w:val="header"/>
    <w:basedOn w:val="Normal"/>
    <w:link w:val="HeaderChar"/>
    <w:uiPriority w:val="57"/>
    <w:semiHidden/>
    <w:rsid w:val="00000067"/>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000067"/>
    <w:rPr>
      <w:sz w:val="24"/>
    </w:rPr>
  </w:style>
  <w:style w:type="character" w:customStyle="1" w:styleId="Heading1Char">
    <w:name w:val="Heading 1 Char"/>
    <w:basedOn w:val="DefaultParagraphFont"/>
    <w:link w:val="Heading1"/>
    <w:uiPriority w:val="99"/>
    <w:semiHidden/>
    <w:rsid w:val="00000067"/>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863959"/>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863959"/>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000067"/>
    <w:rPr>
      <w:rFonts w:asciiTheme="majorHAnsi" w:eastAsiaTheme="majorEastAsia" w:hAnsiTheme="majorHAnsi" w:cstheme="majorBidi"/>
      <w:b/>
      <w:bCs/>
      <w:color w:val="4D4D4D"/>
      <w:sz w:val="26"/>
      <w:szCs w:val="26"/>
    </w:rPr>
  </w:style>
  <w:style w:type="character" w:customStyle="1" w:styleId="JUNAMES">
    <w:name w:val="JU_NAMES"/>
    <w:uiPriority w:val="17"/>
    <w:qFormat/>
    <w:rsid w:val="00863959"/>
    <w:rPr>
      <w:caps w:val="0"/>
      <w:smallCaps/>
    </w:rPr>
  </w:style>
  <w:style w:type="paragraph" w:customStyle="1" w:styleId="JuCase">
    <w:name w:val="Ju_Case"/>
    <w:basedOn w:val="Normal"/>
    <w:next w:val="ECHRPara"/>
    <w:uiPriority w:val="10"/>
    <w:rsid w:val="00000067"/>
    <w:pPr>
      <w:ind w:firstLine="284"/>
    </w:pPr>
    <w:rPr>
      <w:b/>
    </w:rPr>
  </w:style>
  <w:style w:type="character" w:customStyle="1" w:styleId="Heading3Char">
    <w:name w:val="Heading 3 Char"/>
    <w:basedOn w:val="DefaultParagraphFont"/>
    <w:link w:val="Heading3"/>
    <w:uiPriority w:val="99"/>
    <w:semiHidden/>
    <w:rsid w:val="00000067"/>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000067"/>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863959"/>
    <w:rPr>
      <w:rFonts w:asciiTheme="majorHAnsi" w:eastAsiaTheme="majorEastAsia" w:hAnsiTheme="majorHAnsi" w:cstheme="majorBidi"/>
      <w:b/>
      <w:bCs/>
      <w:color w:val="808080"/>
    </w:rPr>
  </w:style>
  <w:style w:type="character" w:styleId="SubtleEmphasis">
    <w:name w:val="Subtle Emphasis"/>
    <w:uiPriority w:val="99"/>
    <w:semiHidden/>
    <w:qFormat/>
    <w:rsid w:val="00863959"/>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863959"/>
    <w:pPr>
      <w:keepNext/>
      <w:keepLines/>
      <w:spacing w:before="720" w:after="240"/>
      <w:outlineLvl w:val="0"/>
    </w:pPr>
    <w:rPr>
      <w:rFonts w:asciiTheme="majorHAnsi" w:hAnsiTheme="majorHAnsi"/>
      <w:sz w:val="28"/>
    </w:rPr>
  </w:style>
  <w:style w:type="character" w:styleId="Emphasis">
    <w:name w:val="Emphasis"/>
    <w:uiPriority w:val="99"/>
    <w:semiHidden/>
    <w:qFormat/>
    <w:rsid w:val="00863959"/>
    <w:rPr>
      <w:b/>
      <w:bCs/>
      <w:i/>
      <w:iCs/>
      <w:spacing w:val="10"/>
      <w:bdr w:val="none" w:sz="0" w:space="0" w:color="auto"/>
      <w:shd w:val="clear" w:color="auto" w:fill="auto"/>
    </w:rPr>
  </w:style>
  <w:style w:type="paragraph" w:styleId="Footer">
    <w:name w:val="footer"/>
    <w:basedOn w:val="Normal"/>
    <w:link w:val="FooterChar"/>
    <w:uiPriority w:val="57"/>
    <w:semiHidden/>
    <w:rsid w:val="00000067"/>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000067"/>
    <w:rPr>
      <w:sz w:val="24"/>
    </w:rPr>
  </w:style>
  <w:style w:type="character" w:styleId="FootnoteReference">
    <w:name w:val="footnote reference"/>
    <w:basedOn w:val="DefaultParagraphFont"/>
    <w:uiPriority w:val="99"/>
    <w:semiHidden/>
    <w:rsid w:val="00000067"/>
    <w:rPr>
      <w:vertAlign w:val="superscript"/>
    </w:rPr>
  </w:style>
  <w:style w:type="paragraph" w:styleId="FootnoteText">
    <w:name w:val="footnote text"/>
    <w:basedOn w:val="Normal"/>
    <w:link w:val="FootnoteTextChar"/>
    <w:uiPriority w:val="99"/>
    <w:semiHidden/>
    <w:rsid w:val="00000067"/>
    <w:rPr>
      <w:sz w:val="20"/>
      <w:szCs w:val="20"/>
    </w:rPr>
  </w:style>
  <w:style w:type="character" w:customStyle="1" w:styleId="FootnoteTextChar">
    <w:name w:val="Footnote Text Char"/>
    <w:basedOn w:val="DefaultParagraphFont"/>
    <w:link w:val="FootnoteText"/>
    <w:uiPriority w:val="99"/>
    <w:semiHidden/>
    <w:rsid w:val="00000067"/>
    <w:rPr>
      <w:rFonts w:eastAsiaTheme="minorEastAsia"/>
      <w:sz w:val="20"/>
      <w:szCs w:val="20"/>
    </w:rPr>
  </w:style>
  <w:style w:type="character" w:customStyle="1" w:styleId="Heading6Char">
    <w:name w:val="Heading 6 Char"/>
    <w:basedOn w:val="DefaultParagraphFont"/>
    <w:link w:val="Heading6"/>
    <w:uiPriority w:val="99"/>
    <w:semiHidden/>
    <w:rsid w:val="00000067"/>
    <w:rPr>
      <w:rFonts w:asciiTheme="majorHAnsi" w:eastAsiaTheme="majorEastAsia" w:hAnsiTheme="majorHAnsi" w:cstheme="majorBidi"/>
      <w:b/>
      <w:bCs/>
      <w:i/>
      <w:iCs/>
      <w:color w:val="7F7F7F" w:themeColor="text1" w:themeTint="80"/>
      <w:sz w:val="24"/>
      <w:lang w:bidi="bg-BG"/>
    </w:rPr>
  </w:style>
  <w:style w:type="character" w:customStyle="1" w:styleId="Heading7Char">
    <w:name w:val="Heading 7 Char"/>
    <w:basedOn w:val="DefaultParagraphFont"/>
    <w:link w:val="Heading7"/>
    <w:uiPriority w:val="99"/>
    <w:semiHidden/>
    <w:rsid w:val="00863959"/>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863959"/>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863959"/>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000067"/>
    <w:rPr>
      <w:color w:val="0072BC" w:themeColor="hyperlink"/>
      <w:u w:val="single"/>
    </w:rPr>
  </w:style>
  <w:style w:type="character" w:styleId="IntenseEmphasis">
    <w:name w:val="Intense Emphasis"/>
    <w:uiPriority w:val="99"/>
    <w:semiHidden/>
    <w:qFormat/>
    <w:rsid w:val="00863959"/>
    <w:rPr>
      <w:b/>
      <w:bCs/>
    </w:rPr>
  </w:style>
  <w:style w:type="paragraph" w:styleId="IntenseQuote">
    <w:name w:val="Intense Quote"/>
    <w:basedOn w:val="Normal"/>
    <w:next w:val="Normal"/>
    <w:link w:val="IntenseQuoteChar"/>
    <w:uiPriority w:val="99"/>
    <w:semiHidden/>
    <w:qFormat/>
    <w:rsid w:val="00863959"/>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863959"/>
    <w:rPr>
      <w:rFonts w:eastAsiaTheme="minorEastAsia"/>
      <w:b/>
      <w:bCs/>
      <w:i/>
      <w:iCs/>
      <w:lang w:bidi="bg-BG"/>
    </w:rPr>
  </w:style>
  <w:style w:type="character" w:styleId="IntenseReference">
    <w:name w:val="Intense Reference"/>
    <w:uiPriority w:val="99"/>
    <w:semiHidden/>
    <w:qFormat/>
    <w:rsid w:val="00863959"/>
    <w:rPr>
      <w:smallCaps/>
      <w:spacing w:val="5"/>
      <w:u w:val="single"/>
    </w:rPr>
  </w:style>
  <w:style w:type="paragraph" w:styleId="ListParagraph">
    <w:name w:val="List Paragraph"/>
    <w:basedOn w:val="Normal"/>
    <w:uiPriority w:val="99"/>
    <w:semiHidden/>
    <w:qFormat/>
    <w:rsid w:val="00863959"/>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863959"/>
    <w:pPr>
      <w:spacing w:before="200"/>
      <w:ind w:left="360" w:right="360"/>
    </w:pPr>
    <w:rPr>
      <w:i/>
      <w:iCs/>
      <w:sz w:val="22"/>
    </w:rPr>
  </w:style>
  <w:style w:type="character" w:customStyle="1" w:styleId="QuoteChar">
    <w:name w:val="Quote Char"/>
    <w:basedOn w:val="DefaultParagraphFont"/>
    <w:link w:val="Quote"/>
    <w:uiPriority w:val="99"/>
    <w:semiHidden/>
    <w:rsid w:val="00863959"/>
    <w:rPr>
      <w:rFonts w:eastAsiaTheme="minorEastAsia"/>
      <w:i/>
      <w:iCs/>
      <w:lang w:bidi="bg-BG"/>
    </w:rPr>
  </w:style>
  <w:style w:type="character" w:styleId="SubtleReference">
    <w:name w:val="Subtle Reference"/>
    <w:uiPriority w:val="99"/>
    <w:semiHidden/>
    <w:qFormat/>
    <w:rsid w:val="00863959"/>
    <w:rPr>
      <w:smallCaps/>
    </w:rPr>
  </w:style>
  <w:style w:type="table" w:styleId="TableGrid">
    <w:name w:val="Table Grid"/>
    <w:basedOn w:val="TableNormal"/>
    <w:uiPriority w:val="59"/>
    <w:semiHidden/>
    <w:rsid w:val="0000006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00006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00006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00006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000067"/>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00006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863959"/>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000067"/>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863959"/>
    <w:pPr>
      <w:spacing w:before="120" w:after="120"/>
      <w:ind w:left="425" w:firstLine="142"/>
    </w:pPr>
    <w:rPr>
      <w:sz w:val="20"/>
    </w:rPr>
  </w:style>
  <w:style w:type="paragraph" w:customStyle="1" w:styleId="ECHRPara">
    <w:name w:val="ECHR_Para"/>
    <w:aliases w:val="Ju_Para"/>
    <w:basedOn w:val="Normal"/>
    <w:link w:val="ECHRParaChar"/>
    <w:uiPriority w:val="12"/>
    <w:qFormat/>
    <w:rsid w:val="00863959"/>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00006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863959"/>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863959"/>
    <w:pPr>
      <w:ind w:left="340" w:hanging="340"/>
    </w:pPr>
  </w:style>
  <w:style w:type="paragraph" w:customStyle="1" w:styleId="JuSigned">
    <w:name w:val="Ju_Signed"/>
    <w:basedOn w:val="Normal"/>
    <w:next w:val="JuParaLast"/>
    <w:uiPriority w:val="32"/>
    <w:qFormat/>
    <w:rsid w:val="00863959"/>
    <w:pPr>
      <w:tabs>
        <w:tab w:val="center" w:pos="851"/>
        <w:tab w:val="center" w:pos="6407"/>
      </w:tabs>
      <w:spacing w:before="720"/>
      <w:jc w:val="left"/>
    </w:pPr>
  </w:style>
  <w:style w:type="paragraph" w:customStyle="1" w:styleId="JuParaLast">
    <w:name w:val="Ju_Para_Last"/>
    <w:basedOn w:val="Normal"/>
    <w:next w:val="ECHRPara"/>
    <w:uiPriority w:val="30"/>
    <w:qFormat/>
    <w:rsid w:val="00863959"/>
    <w:pPr>
      <w:keepNext/>
      <w:keepLines/>
      <w:spacing w:before="240"/>
      <w:ind w:firstLine="284"/>
    </w:pPr>
  </w:style>
  <w:style w:type="character" w:customStyle="1" w:styleId="JuITMark">
    <w:name w:val="Ju_ITMark"/>
    <w:basedOn w:val="DefaultParagraphFont"/>
    <w:uiPriority w:val="38"/>
    <w:qFormat/>
    <w:rsid w:val="00863959"/>
    <w:rPr>
      <w:vanish w:val="0"/>
      <w:color w:val="auto"/>
      <w:sz w:val="14"/>
      <w:bdr w:val="none" w:sz="0" w:space="0" w:color="auto"/>
      <w:shd w:val="clear" w:color="auto" w:fill="BEE5FF" w:themeFill="background1" w:themeFillTint="33"/>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863959"/>
    <w:pPr>
      <w:ind w:left="346" w:firstLine="0"/>
    </w:pPr>
  </w:style>
  <w:style w:type="paragraph" w:customStyle="1" w:styleId="JuListi">
    <w:name w:val="Ju_List_i"/>
    <w:basedOn w:val="Normal"/>
    <w:next w:val="JuLista"/>
    <w:uiPriority w:val="28"/>
    <w:qFormat/>
    <w:rsid w:val="00863959"/>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
    <w:next w:val="OpiPara"/>
    <w:uiPriority w:val="40"/>
    <w:qFormat/>
    <w:rsid w:val="00863959"/>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semiHidden/>
    <w:qFormat/>
    <w:rsid w:val="00863959"/>
  </w:style>
  <w:style w:type="paragraph" w:styleId="Subtitle">
    <w:name w:val="Subtitle"/>
    <w:basedOn w:val="Normal"/>
    <w:next w:val="Normal"/>
    <w:link w:val="SubtitleChar"/>
    <w:uiPriority w:val="99"/>
    <w:semiHidden/>
    <w:qFormat/>
    <w:rsid w:val="00863959"/>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863959"/>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00067"/>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0006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00006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16"/>
    <w:qFormat/>
    <w:rsid w:val="00863959"/>
    <w:pPr>
      <w:tabs>
        <w:tab w:val="left" w:pos="907"/>
        <w:tab w:val="left" w:pos="1701"/>
        <w:tab w:val="right" w:pos="7371"/>
      </w:tabs>
      <w:spacing w:before="240"/>
      <w:ind w:left="397" w:hanging="397"/>
      <w:jc w:val="left"/>
    </w:pPr>
  </w:style>
  <w:style w:type="paragraph" w:customStyle="1" w:styleId="DecList">
    <w:name w:val="Dec_List"/>
    <w:basedOn w:val="Normal"/>
    <w:uiPriority w:val="9"/>
    <w:semiHidden/>
    <w:qFormat/>
    <w:rsid w:val="00863959"/>
    <w:pPr>
      <w:spacing w:before="240"/>
      <w:ind w:left="284"/>
    </w:pPr>
  </w:style>
  <w:style w:type="paragraph" w:customStyle="1" w:styleId="OpiH1">
    <w:name w:val="Opi_H_1"/>
    <w:basedOn w:val="ECHRHeading2"/>
    <w:uiPriority w:val="42"/>
    <w:qFormat/>
    <w:rsid w:val="00863959"/>
    <w:pPr>
      <w:ind w:left="635" w:hanging="357"/>
      <w:outlineLvl w:val="2"/>
    </w:pPr>
  </w:style>
  <w:style w:type="paragraph" w:customStyle="1" w:styleId="OpiHa0">
    <w:name w:val="Opi_H_a"/>
    <w:basedOn w:val="ECHRHeading3"/>
    <w:uiPriority w:val="43"/>
    <w:qFormat/>
    <w:rsid w:val="00863959"/>
    <w:pPr>
      <w:ind w:left="833" w:hanging="357"/>
      <w:outlineLvl w:val="3"/>
    </w:pPr>
    <w:rPr>
      <w:b/>
      <w:i w:val="0"/>
      <w:sz w:val="20"/>
    </w:rPr>
  </w:style>
  <w:style w:type="paragraph" w:customStyle="1" w:styleId="OpiHi">
    <w:name w:val="Opi_H_i"/>
    <w:basedOn w:val="ECHRHeading4"/>
    <w:uiPriority w:val="44"/>
    <w:qFormat/>
    <w:rsid w:val="00863959"/>
    <w:pPr>
      <w:ind w:left="1037" w:hanging="357"/>
      <w:outlineLvl w:val="4"/>
    </w:pPr>
    <w:rPr>
      <w:b w:val="0"/>
      <w:i/>
    </w:rPr>
  </w:style>
  <w:style w:type="paragraph" w:customStyle="1" w:styleId="DummyStyle">
    <w:name w:val="Dummy_Style"/>
    <w:basedOn w:val="Normal"/>
    <w:semiHidden/>
    <w:qFormat/>
    <w:rsid w:val="00863959"/>
    <w:rPr>
      <w:color w:val="00B050"/>
    </w:rPr>
  </w:style>
  <w:style w:type="paragraph" w:customStyle="1" w:styleId="JuHeaderLandscape">
    <w:name w:val="Ju_Header_Landscape"/>
    <w:basedOn w:val="ECHRHeader"/>
    <w:uiPriority w:val="4"/>
    <w:qFormat/>
    <w:rsid w:val="00863959"/>
    <w:pPr>
      <w:tabs>
        <w:tab w:val="clear" w:pos="3686"/>
        <w:tab w:val="clear" w:pos="7371"/>
        <w:tab w:val="center" w:pos="6146"/>
        <w:tab w:val="right" w:pos="12293"/>
      </w:tabs>
    </w:pPr>
  </w:style>
  <w:style w:type="paragraph" w:styleId="Revision">
    <w:name w:val="Revision"/>
    <w:hidden/>
    <w:uiPriority w:val="99"/>
    <w:semiHidden/>
    <w:rsid w:val="00863959"/>
    <w:rPr>
      <w:rFonts w:eastAsiaTheme="minorEastAsia"/>
      <w:sz w:val="24"/>
    </w:rPr>
  </w:style>
  <w:style w:type="character" w:customStyle="1" w:styleId="ECHRParaChar">
    <w:name w:val="ECHR_Para Char"/>
    <w:aliases w:val="Ju_Para Char"/>
    <w:link w:val="ECHRPara"/>
    <w:uiPriority w:val="12"/>
    <w:rsid w:val="00D5392A"/>
    <w:rPr>
      <w:rFonts w:eastAsiaTheme="minorEastAsia"/>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1400">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1C2B9-F5B7-4AA5-B3D4-1CAD5E66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5564</Words>
  <Characters>31718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2018-05-31T12:15:00Z</dcterms:created>
  <dcterms:modified xsi:type="dcterms:W3CDTF">2018-05-31T12:18:00Z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