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BD" w:rsidRPr="00902C8F" w:rsidRDefault="00BE58BD" w:rsidP="00902C8F">
      <w:pPr>
        <w:pStyle w:val="ECHRDecisionBody"/>
        <w:jc w:val="center"/>
      </w:pPr>
      <w:bookmarkStart w:id="0" w:name="_GoBack"/>
      <w:bookmarkEnd w:id="0"/>
    </w:p>
    <w:p w:rsidR="00BE58BD" w:rsidRPr="00902C8F" w:rsidRDefault="00BE58BD" w:rsidP="00902C8F">
      <w:pPr>
        <w:pStyle w:val="ECHRDecisionBody"/>
        <w:jc w:val="center"/>
      </w:pPr>
    </w:p>
    <w:p w:rsidR="00BE58BD" w:rsidRPr="00902C8F" w:rsidRDefault="00BE58BD" w:rsidP="00902C8F">
      <w:pPr>
        <w:pStyle w:val="ECHRDecisionBody"/>
        <w:jc w:val="center"/>
      </w:pPr>
    </w:p>
    <w:p w:rsidR="00BE58BD" w:rsidRPr="00573F5C" w:rsidRDefault="00BE58BD" w:rsidP="00902C8F">
      <w:pPr>
        <w:jc w:val="center"/>
      </w:pPr>
      <w:r w:rsidRPr="00573F5C">
        <w:t>ПЕТО ОТДЕЛЕНИЕ</w:t>
      </w: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p>
    <w:p w:rsidR="00BE58BD" w:rsidRPr="00573F5C" w:rsidRDefault="00BE58BD" w:rsidP="00902C8F">
      <w:pPr>
        <w:jc w:val="center"/>
        <w:rPr>
          <w:b/>
        </w:rPr>
      </w:pPr>
      <w:r w:rsidRPr="00573F5C">
        <w:rPr>
          <w:b/>
        </w:rPr>
        <w:t>ДЕЛО ШЕХОВА СРЕЩУ БЪЛГАРИЯ</w:t>
      </w:r>
    </w:p>
    <w:p w:rsidR="00BE58BD" w:rsidRPr="00573F5C" w:rsidRDefault="00BE58BD" w:rsidP="00902C8F">
      <w:pPr>
        <w:jc w:val="center"/>
      </w:pPr>
    </w:p>
    <w:p w:rsidR="00BE58BD" w:rsidRPr="00573F5C" w:rsidRDefault="00BE58BD" w:rsidP="00902C8F">
      <w:pPr>
        <w:jc w:val="center"/>
        <w:rPr>
          <w:i/>
        </w:rPr>
      </w:pPr>
      <w:r w:rsidRPr="00573F5C">
        <w:rPr>
          <w:i/>
        </w:rPr>
        <w:t>(Жалба № 68185/11)</w:t>
      </w:r>
    </w:p>
    <w:p w:rsidR="00BE58BD" w:rsidRPr="00573F5C" w:rsidRDefault="00BE58BD" w:rsidP="00902C8F">
      <w:pPr>
        <w:jc w:val="center"/>
      </w:pPr>
    </w:p>
    <w:p w:rsidR="00902C8F" w:rsidRPr="00573F5C" w:rsidRDefault="00902C8F" w:rsidP="00902C8F">
      <w:pPr>
        <w:jc w:val="center"/>
      </w:pPr>
    </w:p>
    <w:p w:rsidR="00902C8F" w:rsidRPr="00573F5C" w:rsidRDefault="00902C8F" w:rsidP="00902C8F">
      <w:pPr>
        <w:jc w:val="center"/>
      </w:pPr>
    </w:p>
    <w:p w:rsidR="00902C8F" w:rsidRPr="00573F5C" w:rsidRDefault="00902C8F" w:rsidP="00902C8F">
      <w:pPr>
        <w:jc w:val="center"/>
      </w:pPr>
    </w:p>
    <w:p w:rsidR="00902C8F" w:rsidRPr="00573F5C" w:rsidRDefault="00902C8F" w:rsidP="00902C8F">
      <w:pPr>
        <w:jc w:val="center"/>
      </w:pPr>
    </w:p>
    <w:p w:rsidR="00902C8F" w:rsidRPr="00573F5C" w:rsidRDefault="00902C8F" w:rsidP="00902C8F">
      <w:pPr>
        <w:jc w:val="center"/>
      </w:pPr>
    </w:p>
    <w:p w:rsidR="00902C8F" w:rsidRPr="00573F5C" w:rsidRDefault="00902C8F" w:rsidP="00902C8F">
      <w:pPr>
        <w:jc w:val="center"/>
      </w:pPr>
    </w:p>
    <w:p w:rsidR="00BE58BD" w:rsidRPr="00573F5C" w:rsidRDefault="00BE58BD" w:rsidP="00902C8F">
      <w:pPr>
        <w:jc w:val="center"/>
      </w:pPr>
    </w:p>
    <w:p w:rsidR="00BE58BD" w:rsidRPr="00573F5C" w:rsidRDefault="00BE58BD" w:rsidP="00902C8F">
      <w:pPr>
        <w:jc w:val="center"/>
        <w:rPr>
          <w:szCs w:val="24"/>
        </w:rPr>
      </w:pPr>
      <w:r w:rsidRPr="00573F5C">
        <w:t>РЕШЕНИЕ</w:t>
      </w:r>
    </w:p>
    <w:p w:rsidR="00BE58BD" w:rsidRPr="00573F5C" w:rsidRDefault="00BE58BD" w:rsidP="00902C8F">
      <w:pPr>
        <w:jc w:val="center"/>
        <w:rPr>
          <w:szCs w:val="24"/>
        </w:rPr>
      </w:pPr>
    </w:p>
    <w:p w:rsidR="00BE58BD" w:rsidRPr="00573F5C" w:rsidRDefault="00BE58BD" w:rsidP="00902C8F">
      <w:pPr>
        <w:jc w:val="center"/>
        <w:rPr>
          <w:szCs w:val="24"/>
        </w:rPr>
      </w:pPr>
    </w:p>
    <w:p w:rsidR="00BE58BD" w:rsidRPr="00573F5C" w:rsidRDefault="00BE58BD" w:rsidP="00902C8F">
      <w:pPr>
        <w:jc w:val="center"/>
        <w:rPr>
          <w:szCs w:val="24"/>
        </w:rPr>
      </w:pPr>
      <w:r w:rsidRPr="00573F5C">
        <w:t>СТРАСБУРГ</w:t>
      </w:r>
    </w:p>
    <w:p w:rsidR="00BE58BD" w:rsidRPr="00573F5C" w:rsidRDefault="00BE58BD" w:rsidP="00902C8F">
      <w:pPr>
        <w:jc w:val="center"/>
        <w:rPr>
          <w:szCs w:val="24"/>
        </w:rPr>
      </w:pPr>
    </w:p>
    <w:p w:rsidR="00BE58BD" w:rsidRPr="00573F5C" w:rsidRDefault="00BE58BD" w:rsidP="00902C8F">
      <w:pPr>
        <w:jc w:val="center"/>
        <w:rPr>
          <w:szCs w:val="24"/>
        </w:rPr>
      </w:pPr>
      <w:r w:rsidRPr="00573F5C">
        <w:t>18 януари 2018 г.</w:t>
      </w:r>
    </w:p>
    <w:p w:rsidR="00BE58BD" w:rsidRPr="00573F5C" w:rsidRDefault="00BE58BD" w:rsidP="00902C8F">
      <w:pPr>
        <w:jc w:val="center"/>
        <w:rPr>
          <w:szCs w:val="24"/>
        </w:rPr>
      </w:pPr>
    </w:p>
    <w:p w:rsidR="00BE58BD" w:rsidRPr="00573F5C" w:rsidRDefault="00BE58BD" w:rsidP="00902C8F">
      <w:pPr>
        <w:jc w:val="center"/>
        <w:rPr>
          <w:szCs w:val="24"/>
        </w:rPr>
      </w:pPr>
    </w:p>
    <w:p w:rsidR="00902C8F" w:rsidRPr="00573F5C" w:rsidRDefault="00902C8F" w:rsidP="00902C8F">
      <w:pPr>
        <w:jc w:val="center"/>
        <w:rPr>
          <w:szCs w:val="24"/>
        </w:rPr>
      </w:pPr>
    </w:p>
    <w:p w:rsidR="00BE58BD" w:rsidRPr="00573F5C" w:rsidRDefault="00BE58BD" w:rsidP="00902C8F">
      <w:pPr>
        <w:jc w:val="center"/>
        <w:rPr>
          <w:szCs w:val="24"/>
        </w:rPr>
      </w:pPr>
    </w:p>
    <w:p w:rsidR="00BE58BD" w:rsidRPr="00573F5C" w:rsidRDefault="00BE58BD" w:rsidP="00902C8F">
      <w:pPr>
        <w:jc w:val="center"/>
        <w:rPr>
          <w:szCs w:val="24"/>
        </w:rPr>
      </w:pPr>
    </w:p>
    <w:p w:rsidR="00BE58BD" w:rsidRPr="00573F5C" w:rsidRDefault="00BE58BD" w:rsidP="00902C8F">
      <w:pPr>
        <w:jc w:val="center"/>
        <w:rPr>
          <w:szCs w:val="24"/>
        </w:rPr>
      </w:pPr>
    </w:p>
    <w:p w:rsidR="00BE58BD" w:rsidRPr="00573F5C" w:rsidRDefault="00BE58BD" w:rsidP="00902C8F">
      <w:pPr>
        <w:jc w:val="center"/>
        <w:rPr>
          <w:i/>
          <w:sz w:val="22"/>
          <w:szCs w:val="24"/>
        </w:rPr>
      </w:pPr>
      <w:r w:rsidRPr="00573F5C">
        <w:rPr>
          <w:i/>
          <w:sz w:val="22"/>
        </w:rPr>
        <w:t>Настоящото решение е окончателно, но може да бъде предмет на редакционни промени.</w:t>
      </w:r>
    </w:p>
    <w:p w:rsidR="00BE58BD" w:rsidRPr="00573F5C" w:rsidRDefault="00BE58BD" w:rsidP="00902C8F">
      <w:pPr>
        <w:rPr>
          <w:szCs w:val="24"/>
        </w:rPr>
      </w:pPr>
    </w:p>
    <w:p w:rsidR="00BE58BD" w:rsidRPr="00573F5C" w:rsidRDefault="00BE58BD" w:rsidP="00902C8F">
      <w:pPr>
        <w:rPr>
          <w:szCs w:val="24"/>
        </w:rPr>
      </w:pPr>
    </w:p>
    <w:p w:rsidR="00BE58BD" w:rsidRPr="00573F5C" w:rsidRDefault="00BE58BD" w:rsidP="00902C8F">
      <w:pPr>
        <w:pStyle w:val="JuCase"/>
        <w:jc w:val="center"/>
        <w:sectPr w:rsidR="00BE58BD" w:rsidRPr="00573F5C" w:rsidSect="00BE58B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573F5C" w:rsidRDefault="00014566" w:rsidP="00902C8F">
      <w:pPr>
        <w:pStyle w:val="JuCase"/>
        <w:rPr>
          <w:bCs/>
        </w:rPr>
      </w:pPr>
      <w:r w:rsidRPr="00573F5C">
        <w:lastRenderedPageBreak/>
        <w:t xml:space="preserve">По делото </w:t>
      </w:r>
      <w:proofErr w:type="spellStart"/>
      <w:r w:rsidRPr="00573F5C">
        <w:t>Шехова</w:t>
      </w:r>
      <w:proofErr w:type="spellEnd"/>
      <w:r w:rsidRPr="00573F5C">
        <w:t xml:space="preserve"> срещу България,</w:t>
      </w:r>
    </w:p>
    <w:p w:rsidR="00014566" w:rsidRPr="004362DC" w:rsidRDefault="00014566" w:rsidP="00902C8F">
      <w:pPr>
        <w:pStyle w:val="ECHRPara"/>
      </w:pPr>
      <w:r w:rsidRPr="00573F5C">
        <w:t>Европейският съд по правата на човека (Пето отделение), заседаващ като комитет</w:t>
      </w:r>
      <w:r w:rsidR="00142B09" w:rsidRPr="00573F5C">
        <w:t xml:space="preserve"> в състав</w:t>
      </w:r>
      <w:r w:rsidRPr="004362DC">
        <w:t>:</w:t>
      </w:r>
    </w:p>
    <w:p w:rsidR="00014566" w:rsidRPr="004362DC" w:rsidRDefault="001E1370" w:rsidP="00902C8F">
      <w:pPr>
        <w:pStyle w:val="ECHRDecisionBody"/>
      </w:pPr>
      <w:r w:rsidRPr="004362DC">
        <w:tab/>
        <w:t xml:space="preserve">Андре </w:t>
      </w:r>
      <w:proofErr w:type="spellStart"/>
      <w:r w:rsidRPr="004362DC">
        <w:t>Пото</w:t>
      </w:r>
      <w:r w:rsidR="00142B09" w:rsidRPr="004362DC">
        <w:t>ц</w:t>
      </w:r>
      <w:r w:rsidRPr="004362DC">
        <w:t>ки</w:t>
      </w:r>
      <w:proofErr w:type="spellEnd"/>
      <w:r w:rsidRPr="004362DC">
        <w:t xml:space="preserve"> (</w:t>
      </w:r>
      <w:proofErr w:type="spellStart"/>
      <w:r w:rsidRPr="004362DC">
        <w:t>André</w:t>
      </w:r>
      <w:proofErr w:type="spellEnd"/>
      <w:r w:rsidRPr="004362DC">
        <w:t xml:space="preserve"> </w:t>
      </w:r>
      <w:proofErr w:type="spellStart"/>
      <w:r w:rsidRPr="004362DC">
        <w:t>Potocki</w:t>
      </w:r>
      <w:proofErr w:type="spellEnd"/>
      <w:r w:rsidRPr="004362DC">
        <w:t>)</w:t>
      </w:r>
      <w:r w:rsidRPr="004362DC">
        <w:rPr>
          <w:i/>
        </w:rPr>
        <w:t>, председател,</w:t>
      </w:r>
      <w:r w:rsidRPr="004362DC">
        <w:br/>
      </w:r>
      <w:r w:rsidRPr="004362DC">
        <w:tab/>
      </w:r>
      <w:proofErr w:type="spellStart"/>
      <w:r w:rsidRPr="004362DC">
        <w:t>Мартинш</w:t>
      </w:r>
      <w:proofErr w:type="spellEnd"/>
      <w:r w:rsidRPr="004362DC">
        <w:t xml:space="preserve"> </w:t>
      </w:r>
      <w:proofErr w:type="spellStart"/>
      <w:r w:rsidRPr="004362DC">
        <w:t>Митс</w:t>
      </w:r>
      <w:proofErr w:type="spellEnd"/>
      <w:r w:rsidRPr="004362DC">
        <w:t xml:space="preserve"> (</w:t>
      </w:r>
      <w:proofErr w:type="spellStart"/>
      <w:r w:rsidRPr="004362DC">
        <w:t>Mārtiņš</w:t>
      </w:r>
      <w:proofErr w:type="spellEnd"/>
      <w:r w:rsidRPr="004362DC">
        <w:t xml:space="preserve"> </w:t>
      </w:r>
      <w:proofErr w:type="spellStart"/>
      <w:r w:rsidRPr="004362DC">
        <w:t>Mits</w:t>
      </w:r>
      <w:proofErr w:type="spellEnd"/>
      <w:r w:rsidRPr="004362DC">
        <w:t>),</w:t>
      </w:r>
      <w:r w:rsidRPr="004362DC">
        <w:br/>
      </w:r>
      <w:r w:rsidRPr="004362DC">
        <w:tab/>
        <w:t>Летиф Хюсеинов (</w:t>
      </w:r>
      <w:proofErr w:type="spellStart"/>
      <w:r w:rsidRPr="004362DC">
        <w:t>Lәtif</w:t>
      </w:r>
      <w:proofErr w:type="spellEnd"/>
      <w:r w:rsidRPr="004362DC">
        <w:t xml:space="preserve"> </w:t>
      </w:r>
      <w:proofErr w:type="spellStart"/>
      <w:r w:rsidRPr="004362DC">
        <w:t>Hüseynov</w:t>
      </w:r>
      <w:proofErr w:type="spellEnd"/>
      <w:r w:rsidRPr="004362DC">
        <w:t>),</w:t>
      </w:r>
      <w:r w:rsidRPr="004362DC">
        <w:rPr>
          <w:i/>
        </w:rPr>
        <w:t xml:space="preserve"> съдии</w:t>
      </w:r>
      <w:r w:rsidRPr="004362DC">
        <w:t>,</w:t>
      </w:r>
      <w:r w:rsidRPr="004362DC">
        <w:br/>
        <w:t xml:space="preserve">и Ан-Мари </w:t>
      </w:r>
      <w:proofErr w:type="spellStart"/>
      <w:r w:rsidRPr="004362DC">
        <w:t>Дуген</w:t>
      </w:r>
      <w:proofErr w:type="spellEnd"/>
      <w:r w:rsidRPr="004362DC">
        <w:t xml:space="preserve"> (</w:t>
      </w:r>
      <w:proofErr w:type="spellStart"/>
      <w:r w:rsidRPr="004362DC">
        <w:t>Anne-Marie</w:t>
      </w:r>
      <w:proofErr w:type="spellEnd"/>
      <w:r w:rsidRPr="004362DC">
        <w:t xml:space="preserve"> </w:t>
      </w:r>
      <w:proofErr w:type="spellStart"/>
      <w:r w:rsidRPr="004362DC">
        <w:t>Dougin</w:t>
      </w:r>
      <w:proofErr w:type="spellEnd"/>
      <w:r w:rsidRPr="004362DC">
        <w:t xml:space="preserve">), </w:t>
      </w:r>
      <w:proofErr w:type="spellStart"/>
      <w:r w:rsidRPr="004362DC">
        <w:rPr>
          <w:i/>
        </w:rPr>
        <w:t>и.д</w:t>
      </w:r>
      <w:proofErr w:type="spellEnd"/>
      <w:r w:rsidRPr="004362DC">
        <w:rPr>
          <w:i/>
        </w:rPr>
        <w:t>. заместник-секретар на отделението</w:t>
      </w:r>
      <w:r w:rsidRPr="004362DC">
        <w:t>,</w:t>
      </w:r>
    </w:p>
    <w:p w:rsidR="00014566" w:rsidRPr="004362DC" w:rsidRDefault="00014566" w:rsidP="00902C8F">
      <w:pPr>
        <w:pStyle w:val="ECHRPara"/>
      </w:pPr>
      <w:r w:rsidRPr="004362DC">
        <w:t>След закрито заседание, проведено на 12 декември 2017 г.,</w:t>
      </w:r>
    </w:p>
    <w:p w:rsidR="00014566" w:rsidRPr="004362DC" w:rsidRDefault="00014566" w:rsidP="00902C8F">
      <w:pPr>
        <w:pStyle w:val="ECHRPara"/>
      </w:pPr>
      <w:r w:rsidRPr="004362DC">
        <w:t xml:space="preserve">Постановява следното решение, прието на </w:t>
      </w:r>
      <w:r w:rsidR="00142B09" w:rsidRPr="004362DC">
        <w:t xml:space="preserve">същата </w:t>
      </w:r>
      <w:r w:rsidRPr="004362DC">
        <w:t>дата:</w:t>
      </w:r>
    </w:p>
    <w:p w:rsidR="00014566" w:rsidRPr="004362DC" w:rsidRDefault="00014566" w:rsidP="00902C8F">
      <w:pPr>
        <w:pStyle w:val="ECHRTitle1"/>
      </w:pPr>
      <w:r w:rsidRPr="004362DC">
        <w:t>ПРОЦЕДУРА</w:t>
      </w:r>
    </w:p>
    <w:p w:rsidR="007E5FFD" w:rsidRPr="004362DC" w:rsidRDefault="007827EF" w:rsidP="00902C8F">
      <w:pPr>
        <w:pStyle w:val="ECHRPara"/>
      </w:pPr>
      <w:fldSimple w:instr=" SEQ level0 \*arabic ">
        <w:r w:rsidR="00902C8F" w:rsidRPr="004362DC">
          <w:rPr>
            <w:noProof/>
          </w:rPr>
          <w:t>1</w:t>
        </w:r>
      </w:fldSimple>
      <w:r w:rsidR="007E5FFD" w:rsidRPr="004362DC">
        <w:t>.  Делото е образувано по жалба (№ 68185/11) срещу Република България, подадена в Съда на основание чл. 34 от Конвенцията за защита на правата на човека и основните свободи (”Конвенцията”) от българск</w:t>
      </w:r>
      <w:r w:rsidR="00142B09" w:rsidRPr="004362DC">
        <w:t>а</w:t>
      </w:r>
      <w:r w:rsidR="007E5FFD" w:rsidRPr="004362DC">
        <w:t xml:space="preserve"> граждан</w:t>
      </w:r>
      <w:r w:rsidR="00142B09" w:rsidRPr="004362DC">
        <w:t>ка</w:t>
      </w:r>
      <w:r w:rsidR="007E5FFD" w:rsidRPr="004362DC">
        <w:t xml:space="preserve">, г-жа Искра Антимова </w:t>
      </w:r>
      <w:proofErr w:type="spellStart"/>
      <w:r w:rsidR="007E5FFD" w:rsidRPr="004362DC">
        <w:t>Шехова</w:t>
      </w:r>
      <w:proofErr w:type="spellEnd"/>
      <w:r w:rsidR="007E5FFD" w:rsidRPr="004362DC">
        <w:t xml:space="preserve"> (”жалбоподателката”), на 4 октомври 2011 г.</w:t>
      </w:r>
    </w:p>
    <w:p w:rsidR="00014566" w:rsidRPr="004362DC" w:rsidRDefault="007827EF" w:rsidP="00902C8F">
      <w:pPr>
        <w:pStyle w:val="ECHRPara"/>
      </w:pPr>
      <w:fldSimple w:instr=" SEQ level0 \*arabic ">
        <w:r w:rsidR="00902C8F" w:rsidRPr="004362DC">
          <w:rPr>
            <w:noProof/>
          </w:rPr>
          <w:t>2</w:t>
        </w:r>
      </w:fldSimple>
      <w:r w:rsidR="007E5FFD" w:rsidRPr="004362DC">
        <w:t xml:space="preserve">.  Жалбоподателката се представлява от г-жа В. </w:t>
      </w:r>
      <w:proofErr w:type="spellStart"/>
      <w:r w:rsidR="007E5FFD" w:rsidRPr="004362DC">
        <w:t>Тенова</w:t>
      </w:r>
      <w:proofErr w:type="spellEnd"/>
      <w:r w:rsidR="007E5FFD" w:rsidRPr="004362DC">
        <w:t>, адвокат, практикуващ в Пловдив. Българското правителство („Правителството”) се представлява от правителствения агент г-жа М. Димова от Министерство на правосъдието.</w:t>
      </w:r>
    </w:p>
    <w:p w:rsidR="00014566" w:rsidRPr="004362DC" w:rsidRDefault="007827EF" w:rsidP="00902C8F">
      <w:pPr>
        <w:pStyle w:val="ECHRPara"/>
      </w:pPr>
      <w:fldSimple w:instr=" SEQ level0 \*arabic ">
        <w:r w:rsidR="00902C8F" w:rsidRPr="004362DC">
          <w:rPr>
            <w:noProof/>
          </w:rPr>
          <w:t>3</w:t>
        </w:r>
      </w:fldSimple>
      <w:r w:rsidR="007E5FFD" w:rsidRPr="004362DC">
        <w:t xml:space="preserve">.  На 10 юли 2014 г. </w:t>
      </w:r>
      <w:r w:rsidR="00142B09" w:rsidRPr="004362DC">
        <w:t xml:space="preserve">Правителството е уведомено за </w:t>
      </w:r>
      <w:r w:rsidR="007E5FFD" w:rsidRPr="004362DC">
        <w:t xml:space="preserve">оплакването </w:t>
      </w:r>
      <w:proofErr w:type="spellStart"/>
      <w:r w:rsidR="007E5FFD" w:rsidRPr="004362DC">
        <w:t>отнас</w:t>
      </w:r>
      <w:r w:rsidR="00142B09" w:rsidRPr="004362DC">
        <w:t>но</w:t>
      </w:r>
      <w:proofErr w:type="spellEnd"/>
      <w:r w:rsidR="007E5FFD" w:rsidRPr="004362DC">
        <w:t xml:space="preserve"> неизпълнението от страна на националните власти на две окончателни решения в полза на жалбоподателката, а останалата част от жалбата е обявена за недопустима съгласно </w:t>
      </w:r>
      <w:r w:rsidR="00142B09" w:rsidRPr="004362DC">
        <w:t>п</w:t>
      </w:r>
      <w:r w:rsidR="007E5FFD" w:rsidRPr="004362DC">
        <w:t>равило 54 § 3 от Правилника на Съда.</w:t>
      </w:r>
    </w:p>
    <w:p w:rsidR="00014566" w:rsidRPr="004362DC" w:rsidRDefault="00014566" w:rsidP="00902C8F">
      <w:pPr>
        <w:pStyle w:val="ECHRTitle1"/>
      </w:pPr>
      <w:r w:rsidRPr="004362DC">
        <w:t>ФАКТИТЕ</w:t>
      </w:r>
    </w:p>
    <w:p w:rsidR="00014566" w:rsidRPr="004362DC" w:rsidRDefault="00014566" w:rsidP="00902C8F">
      <w:pPr>
        <w:pStyle w:val="ECHRHeading1"/>
      </w:pPr>
      <w:r w:rsidRPr="004362DC">
        <w:t>I.  ОБСТОЯТЕЛСТВА ПО ДЕЛОТО</w:t>
      </w:r>
    </w:p>
    <w:p w:rsidR="00014566" w:rsidRPr="004362DC" w:rsidRDefault="007827EF" w:rsidP="00902C8F">
      <w:pPr>
        <w:pStyle w:val="ECHRPara"/>
      </w:pPr>
      <w:fldSimple w:instr=" SEQ level0 \*arabic ">
        <w:r w:rsidR="00902C8F" w:rsidRPr="004362DC">
          <w:rPr>
            <w:noProof/>
          </w:rPr>
          <w:t>4</w:t>
        </w:r>
      </w:fldSimple>
      <w:r w:rsidR="007E5FFD" w:rsidRPr="004362DC">
        <w:t>.  Жалбоподателката е родена през 1959 г. и живее в Смолян.</w:t>
      </w:r>
    </w:p>
    <w:p w:rsidR="00014566" w:rsidRPr="004362DC" w:rsidRDefault="007827EF" w:rsidP="00902C8F">
      <w:pPr>
        <w:pStyle w:val="ECHRPara"/>
      </w:pPr>
      <w:fldSimple w:instr=" SEQ level0 \*arabic ">
        <w:r w:rsidR="00902C8F" w:rsidRPr="004362DC">
          <w:rPr>
            <w:noProof/>
          </w:rPr>
          <w:t>5</w:t>
        </w:r>
      </w:fldSimple>
      <w:r w:rsidR="007E5FFD" w:rsidRPr="004362DC">
        <w:t xml:space="preserve">.  В две окончателни решения от 28 февруари 2005 г. и 8 май 2006 г. Върховният касационен съд присъжда на жалбоподателката обезщетение за имуществени вреди за нарушение на договор за строителни работи, които тя е извършила. Присъденото обезщетение за вреди възлиза на 52 784 лв. за главницата, плюс 17 685 лв. лихви за забава и 5433 лв. за разходи и разноски или обща сума от 75 902,93 лв., равностойността на 38 000 евро. Обезщетенията са присъдени на </w:t>
      </w:r>
      <w:r w:rsidR="007E5FFD" w:rsidRPr="004362DC">
        <w:lastRenderedPageBreak/>
        <w:t>жалбоподателката срещу Националния център за отдих, възстановяване и спорт - Министерство на образованието и науката (”Центърът”, държавен орган, субсидиран от Министерството на образованието и науката и изпълняващ определени функции, делегирани от министерството).</w:t>
      </w:r>
    </w:p>
    <w:p w:rsidR="00BE58BD" w:rsidRPr="004362DC" w:rsidRDefault="007827EF" w:rsidP="00902C8F">
      <w:pPr>
        <w:pStyle w:val="ECHRPara"/>
      </w:pPr>
      <w:fldSimple w:instr=" SEQ level0 \*arabic ">
        <w:r w:rsidR="00902C8F" w:rsidRPr="004362DC">
          <w:rPr>
            <w:noProof/>
          </w:rPr>
          <w:t>6</w:t>
        </w:r>
      </w:fldSimple>
      <w:r w:rsidR="00781A0F" w:rsidRPr="004362DC">
        <w:t>.  </w:t>
      </w:r>
      <w:r w:rsidR="00142B09" w:rsidRPr="004362DC">
        <w:t>Със заповед</w:t>
      </w:r>
      <w:r w:rsidR="00781A0F" w:rsidRPr="004362DC">
        <w:t xml:space="preserve"> от 25 май 2005 г. министърът на образованието закрива Центъра и разпорежда останалата му собственост да се управлява от Министерството на образованието. След това министерството създава държавно акционерно дружество с част от собствеността на Центъра, включително недвижимото имущество, в което жалбоподателката е извършила строителните работи.</w:t>
      </w:r>
    </w:p>
    <w:p w:rsidR="00BE58BD" w:rsidRPr="004362DC" w:rsidRDefault="007827EF" w:rsidP="00902C8F">
      <w:pPr>
        <w:pStyle w:val="ECHRPara"/>
      </w:pPr>
      <w:fldSimple w:instr=" SEQ level0 \*arabic ">
        <w:r w:rsidR="00902C8F" w:rsidRPr="004362DC">
          <w:rPr>
            <w:noProof/>
          </w:rPr>
          <w:t>7</w:t>
        </w:r>
      </w:fldSimple>
      <w:r w:rsidR="00E574F0" w:rsidRPr="004362DC">
        <w:t>.  На 13 май 2005 г. и на 15 март 2007 г. на жалбоподателката са издадени два изпълнителни листа за сумите, присъдени в окончателните съдебни решения от 2005 и 2006 г. (вж. параграф 5 по-горе), а на 6 февруари 2008 г. тя представя на Министерството на образованието изпълнителните листове за плащане.</w:t>
      </w:r>
    </w:p>
    <w:p w:rsidR="00BE58BD" w:rsidRPr="004362DC" w:rsidRDefault="007827EF" w:rsidP="00902C8F">
      <w:pPr>
        <w:pStyle w:val="ECHRPara"/>
      </w:pPr>
      <w:fldSimple w:instr=" SEQ level0 \*arabic ">
        <w:r w:rsidR="00902C8F" w:rsidRPr="004362DC">
          <w:rPr>
            <w:noProof/>
          </w:rPr>
          <w:t>8</w:t>
        </w:r>
      </w:fldSimple>
      <w:r w:rsidR="005D4337" w:rsidRPr="004362DC">
        <w:t>.  Министерството отговаря писмено, че не е наследник на Центъра и не дължи плащане на жалбоподателката. През октомври 2009 г. жалбоподателката повтаря молбата си, но получава подобен отговор от министерството. Министерството също посочва, че не може да бъде поискано плащане и от държавното акционерно дружество, тъй като то има правосубектност, отделна от тази на министерството. С писмо от 23 септември 2010 г. министърът предоставя подобно обяснение на жалбоподателката.</w:t>
      </w:r>
    </w:p>
    <w:p w:rsidR="00BE58BD" w:rsidRPr="004362DC" w:rsidRDefault="007827EF" w:rsidP="00902C8F">
      <w:pPr>
        <w:pStyle w:val="ECHRPara"/>
      </w:pPr>
      <w:fldSimple w:instr=" SEQ level0 \*arabic ">
        <w:r w:rsidR="00902C8F" w:rsidRPr="004362DC">
          <w:rPr>
            <w:noProof/>
          </w:rPr>
          <w:t>9</w:t>
        </w:r>
      </w:fldSimple>
      <w:r w:rsidR="005D4337" w:rsidRPr="004362DC">
        <w:t>.  Жалбоподателката завежда производство за съдебен контрол, оспорващо отказа на министъра. В окончателно решение от 8 април 2011 г. Върховният административен съд отхвърля жалбата като недопустима.</w:t>
      </w:r>
    </w:p>
    <w:p w:rsidR="00781A0F" w:rsidRPr="004362DC" w:rsidRDefault="007827EF" w:rsidP="00902C8F">
      <w:pPr>
        <w:pStyle w:val="ECHRPara"/>
      </w:pPr>
      <w:fldSimple w:instr=" SEQ level0 \*arabic ">
        <w:r w:rsidR="00902C8F" w:rsidRPr="004362DC">
          <w:rPr>
            <w:noProof/>
          </w:rPr>
          <w:t>10</w:t>
        </w:r>
      </w:fldSimple>
      <w:r w:rsidR="00F90D11" w:rsidRPr="004362DC">
        <w:t>.  От 19 март 2015 г., датата на последн</w:t>
      </w:r>
      <w:r w:rsidR="00F16F01" w:rsidRPr="004362DC">
        <w:t>ата комуникация</w:t>
      </w:r>
      <w:r w:rsidR="00F90D11" w:rsidRPr="004362DC">
        <w:t xml:space="preserve"> на жалбоподателката </w:t>
      </w:r>
      <w:r w:rsidR="00F16F01" w:rsidRPr="004362DC">
        <w:t xml:space="preserve">със </w:t>
      </w:r>
      <w:r w:rsidR="00F90D11" w:rsidRPr="004362DC">
        <w:t>Съда, не е докладвана промяна в горепосочените обстоятелства.</w:t>
      </w:r>
    </w:p>
    <w:p w:rsidR="00014566" w:rsidRPr="004362DC" w:rsidRDefault="00014566" w:rsidP="00902C8F">
      <w:pPr>
        <w:pStyle w:val="ECHRHeading1"/>
      </w:pPr>
      <w:r w:rsidRPr="004362DC">
        <w:t>II.  ПРИЛОЖИМО ВЪТРЕШНО ПРАВО И ПРАКТИКА</w:t>
      </w:r>
    </w:p>
    <w:p w:rsidR="00CE6F25" w:rsidRPr="004362DC" w:rsidRDefault="00CE6F25" w:rsidP="00902C8F">
      <w:pPr>
        <w:pStyle w:val="ECHRHeading2"/>
      </w:pPr>
      <w:r w:rsidRPr="004362DC">
        <w:t xml:space="preserve">Изпълнение на парични вземания срещу държавни </w:t>
      </w:r>
      <w:r w:rsidR="00F16F01" w:rsidRPr="004362DC">
        <w:t>учреждения</w:t>
      </w:r>
    </w:p>
    <w:p w:rsidR="001D42A5" w:rsidRPr="004362DC" w:rsidRDefault="007827EF" w:rsidP="00902C8F">
      <w:pPr>
        <w:pStyle w:val="ECHRPara"/>
      </w:pPr>
      <w:fldSimple w:instr=" SEQ level0 \*arabic ">
        <w:r w:rsidR="00902C8F" w:rsidRPr="004362DC">
          <w:rPr>
            <w:noProof/>
          </w:rPr>
          <w:t>11</w:t>
        </w:r>
      </w:fldSimple>
      <w:r w:rsidR="007E5FFD" w:rsidRPr="004362DC">
        <w:t xml:space="preserve">.  Приложимите разпоредби относно изпълнението на парични вземания срещу държавни органи до 2007 г. са </w:t>
      </w:r>
      <w:r w:rsidR="00753876" w:rsidRPr="004362DC">
        <w:t xml:space="preserve">изложени </w:t>
      </w:r>
      <w:r w:rsidR="007E5FFD" w:rsidRPr="004362DC">
        <w:t xml:space="preserve">в делото </w:t>
      </w:r>
      <w:r w:rsidR="007E5FFD" w:rsidRPr="004362DC">
        <w:rPr>
          <w:i/>
        </w:rPr>
        <w:t>Манчева срещу България</w:t>
      </w:r>
      <w:r w:rsidR="007E5FFD" w:rsidRPr="004362DC">
        <w:t>, № 39609/98, §§ 36-38, 30 септември 2004 г. Приложимите разпоредби от 2008 г. могат да бъдат намерени в Гражданск</w:t>
      </w:r>
      <w:r w:rsidR="00753876" w:rsidRPr="004362DC">
        <w:t>о</w:t>
      </w:r>
      <w:r w:rsidR="007E5FFD" w:rsidRPr="004362DC">
        <w:t>процесуал</w:t>
      </w:r>
      <w:r w:rsidR="00753876" w:rsidRPr="004362DC">
        <w:t>ния</w:t>
      </w:r>
      <w:r w:rsidR="007E5FFD" w:rsidRPr="004362DC">
        <w:t xml:space="preserve"> кодекс от 2007 г. По-конкретно, чл. 519 от Гражданск</w:t>
      </w:r>
      <w:r w:rsidR="00753876" w:rsidRPr="004362DC">
        <w:t>о</w:t>
      </w:r>
      <w:r w:rsidR="007E5FFD" w:rsidRPr="004362DC">
        <w:t>процесуал</w:t>
      </w:r>
      <w:r w:rsidR="00753876" w:rsidRPr="004362DC">
        <w:t>ния</w:t>
      </w:r>
      <w:r w:rsidR="007E5FFD" w:rsidRPr="004362DC">
        <w:t xml:space="preserve"> кодекс от 2007 г. гласи следното:</w:t>
      </w:r>
    </w:p>
    <w:p w:rsidR="001D42A5" w:rsidRPr="004362DC" w:rsidRDefault="001E1370" w:rsidP="00902C8F">
      <w:pPr>
        <w:pStyle w:val="ECHRParaQuote"/>
      </w:pPr>
      <w:r w:rsidRPr="004362DC">
        <w:lastRenderedPageBreak/>
        <w:t>“1.  Не се допуска изпълнение на парични вземания срещу държавни учреждения.</w:t>
      </w:r>
    </w:p>
    <w:p w:rsidR="001D42A5" w:rsidRPr="004362DC" w:rsidRDefault="001E1370" w:rsidP="00902C8F">
      <w:pPr>
        <w:pStyle w:val="ECHRParaQuote"/>
      </w:pPr>
      <w:r w:rsidRPr="004362DC">
        <w:t>2.  Паричните вземания срещу държавни учреждения се изплащат от предвидения за това кредит по бюджета им. За тази цел изпълнителният лист се предявява на финансовия орган на съответното [държавно] учреждение. Ако няма кредит, висшестоящото [държавно] учреждение предприема необходимите мерки, за да се предвиди такъв най-късно в следващия бюджет.”</w:t>
      </w:r>
    </w:p>
    <w:p w:rsidR="001D42A5" w:rsidRPr="004362DC" w:rsidRDefault="007827EF" w:rsidP="00902C8F">
      <w:pPr>
        <w:pStyle w:val="ECHRPara"/>
      </w:pPr>
      <w:fldSimple w:instr=" SEQ level0 \*arabic ">
        <w:r w:rsidR="00902C8F" w:rsidRPr="004362DC">
          <w:rPr>
            <w:noProof/>
          </w:rPr>
          <w:t>12</w:t>
        </w:r>
      </w:fldSimple>
      <w:r w:rsidR="001D42A5" w:rsidRPr="004362DC">
        <w:t xml:space="preserve">.  През март 2010 г. омбудсманът на Републиката оспорва тази разпоредба пред Конституционния съд. В решение от 21 декември 2010 г. (реш. № 15 от 21 декември 2010 г. по к. д. № 9/2010 г., </w:t>
      </w:r>
      <w:proofErr w:type="spellStart"/>
      <w:r w:rsidR="001D42A5" w:rsidRPr="004362DC">
        <w:t>обн</w:t>
      </w:r>
      <w:proofErr w:type="spellEnd"/>
      <w:r w:rsidR="001D42A5" w:rsidRPr="004362DC">
        <w:t>. ДВ, бр. 5/2011 г.), Конституционният съд отказва да обяви чл. 519 за противоконституционен, доколкото се отнася до държавни органи, но го обявява за противоконституционен, доколкото се отнася до общини.</w:t>
      </w:r>
    </w:p>
    <w:p w:rsidR="00014566" w:rsidRPr="004362DC" w:rsidRDefault="00753876" w:rsidP="00902C8F">
      <w:pPr>
        <w:pStyle w:val="ECHRHeading1"/>
      </w:pPr>
      <w:r w:rsidRPr="004362DC">
        <w:t>ПРАВОТО</w:t>
      </w:r>
    </w:p>
    <w:p w:rsidR="009B5982" w:rsidRPr="004362DC" w:rsidRDefault="009B5982" w:rsidP="00902C8F">
      <w:pPr>
        <w:pStyle w:val="ECHRHeading1"/>
      </w:pPr>
      <w:r w:rsidRPr="004362DC">
        <w:t>I. ТВЪРДЯНО НАРУШЕНИЕ НА ЧЛ. 6 § 1 ОТ КОНВЕНЦИЯТА И ЧЛ. 1 ОТ ПРОТОКОЛ № 1 КЪМ КОНВЕНЦИЯТА</w:t>
      </w:r>
    </w:p>
    <w:p w:rsidR="00BC35D0" w:rsidRPr="004362DC" w:rsidRDefault="007827EF" w:rsidP="00902C8F">
      <w:pPr>
        <w:pStyle w:val="ECHRPara"/>
      </w:pPr>
      <w:fldSimple w:instr=" SEQ level0 \*arabic ">
        <w:r w:rsidR="00902C8F" w:rsidRPr="004362DC">
          <w:rPr>
            <w:noProof/>
          </w:rPr>
          <w:t>13</w:t>
        </w:r>
      </w:fldSimple>
      <w:r w:rsidR="00B218E0" w:rsidRPr="004362DC">
        <w:t xml:space="preserve">.  Жалбоподателката се оплаква, че неуспехът на органите да изпълнят окончателните решения в нейна полза, </w:t>
      </w:r>
      <w:r w:rsidR="00753876" w:rsidRPr="004362DC">
        <w:t>съгласно</w:t>
      </w:r>
      <w:r w:rsidR="00B218E0" w:rsidRPr="004362DC">
        <w:t xml:space="preserve"> които държавен орган ѝ дължи парична сума, нарушава правото ѝ на достъп до съд по чл. 6 § 1 от Конвенцията. Съдът, който отговаря за квалификацията, която да бъде дадена по закон на фактите по делото, констатира, че въпросното оплакване трябва да бъде разгледано съгласно чл. 6 § 1 от Конвенцията и чл. 1 от Протокол № 1 към Конвенцията, които гласят:</w:t>
      </w:r>
    </w:p>
    <w:p w:rsidR="00BC35D0" w:rsidRPr="004362DC" w:rsidRDefault="00BC35D0" w:rsidP="00902C8F">
      <w:pPr>
        <w:pStyle w:val="ECHRTitleCentre3"/>
      </w:pPr>
      <w:r w:rsidRPr="004362DC">
        <w:t>Чл. 6 § 1</w:t>
      </w:r>
    </w:p>
    <w:p w:rsidR="00BC35D0" w:rsidRPr="004362DC" w:rsidRDefault="00BC35D0" w:rsidP="00902C8F">
      <w:pPr>
        <w:pStyle w:val="ECHRParaQuote"/>
      </w:pPr>
      <w:r w:rsidRPr="004362DC">
        <w:t xml:space="preserve">“1.  “Всяко лице, при решаването на правен спор относно  </w:t>
      </w:r>
      <w:r w:rsidRPr="004362DC">
        <w:br/>
        <w:t>неговите граждански права и задължения..., има право на справедливо и публично гледане... в разумен срок, от ... съд ...”</w:t>
      </w:r>
    </w:p>
    <w:p w:rsidR="00BC35D0" w:rsidRPr="004362DC" w:rsidRDefault="00BC35D0" w:rsidP="00902C8F">
      <w:pPr>
        <w:pStyle w:val="ECHRTitleCentre3"/>
      </w:pPr>
      <w:r w:rsidRPr="004362DC">
        <w:t>Чл. 1 от Протокол № 1</w:t>
      </w:r>
    </w:p>
    <w:p w:rsidR="00BC35D0" w:rsidRPr="004362DC" w:rsidRDefault="00BC35D0" w:rsidP="00902C8F">
      <w:pPr>
        <w:pStyle w:val="ECHRParaQuote"/>
      </w:pPr>
      <w:r w:rsidRPr="004362DC">
        <w:t>"</w:t>
      </w:r>
      <w:proofErr w:type="spellStart"/>
      <w:r w:rsidRPr="004362DC">
        <w:t>Βсяко</w:t>
      </w:r>
      <w:proofErr w:type="spellEnd"/>
      <w:r w:rsidRPr="004362DC">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 ...”</w:t>
      </w:r>
    </w:p>
    <w:p w:rsidR="00014566" w:rsidRPr="004362DC" w:rsidRDefault="00014566" w:rsidP="00902C8F">
      <w:pPr>
        <w:pStyle w:val="ECHRHeading2"/>
      </w:pPr>
      <w:r w:rsidRPr="004362DC">
        <w:t>A.  Допустимост</w:t>
      </w:r>
    </w:p>
    <w:p w:rsidR="00D70CA6" w:rsidRPr="004362DC" w:rsidRDefault="007827EF" w:rsidP="00902C8F">
      <w:pPr>
        <w:pStyle w:val="ECHRPara"/>
      </w:pPr>
      <w:fldSimple w:instr=" SEQ level0 \*arabic ">
        <w:r w:rsidR="00902C8F" w:rsidRPr="004362DC">
          <w:rPr>
            <w:noProof/>
          </w:rPr>
          <w:t>14</w:t>
        </w:r>
      </w:fldSimple>
      <w:r w:rsidR="009D4FD3" w:rsidRPr="004362DC">
        <w:t>.  При подаването на своето становище по отношение на претенцията на жалбоподателката за справедливо обезщетение Правителството твърди, че жалбоподателката не е изчерпала вътрешн</w:t>
      </w:r>
      <w:r w:rsidR="00753876" w:rsidRPr="004362DC">
        <w:t>о</w:t>
      </w:r>
      <w:r w:rsidR="009D4FD3" w:rsidRPr="004362DC">
        <w:t>правни</w:t>
      </w:r>
      <w:r w:rsidR="00753876" w:rsidRPr="004362DC">
        <w:t>те</w:t>
      </w:r>
      <w:r w:rsidR="009D4FD3" w:rsidRPr="004362DC">
        <w:t xml:space="preserve"> средства за защита. По-конкретно, в представените </w:t>
      </w:r>
      <w:r w:rsidR="009D4FD3" w:rsidRPr="004362DC">
        <w:lastRenderedPageBreak/>
        <w:t>от нея в Министерството изпълнителни листове се посочва, че задължената институция е Центърът. Според Правителството министерството не е правоприемник на Центъра и не е участвало в съдебното производство по отношение на задълженията на Центъра към жалбоподателката. Следователно оплакването на жалбоподателката се отнася до правен спор, който не е разглеждан на национално равнище.</w:t>
      </w:r>
    </w:p>
    <w:p w:rsidR="00014566" w:rsidRPr="004362DC" w:rsidRDefault="007827EF" w:rsidP="00902C8F">
      <w:pPr>
        <w:pStyle w:val="ECHRPara"/>
      </w:pPr>
      <w:fldSimple w:instr=" SEQ level0 \*arabic ">
        <w:r w:rsidR="00902C8F" w:rsidRPr="004362DC">
          <w:rPr>
            <w:noProof/>
          </w:rPr>
          <w:t>15</w:t>
        </w:r>
      </w:fldSimple>
      <w:r w:rsidR="00F00D86" w:rsidRPr="004362DC">
        <w:t xml:space="preserve">.  Съдът </w:t>
      </w:r>
      <w:r w:rsidR="00753876" w:rsidRPr="004362DC">
        <w:t>счита</w:t>
      </w:r>
      <w:r w:rsidR="00F00D86" w:rsidRPr="004362DC">
        <w:t xml:space="preserve">, че въпросът за допустимостта е тясно свързан с основателността и поради това трябва да бъде присъединен към основателността. Съдът освен това отбелязва, че това оплакване не е явно необосновано по смисъла на чл. 35 § 3(а) от Конвенцията. То не е недопустимо на други основания. Следователно </w:t>
      </w:r>
      <w:r w:rsidR="00753876" w:rsidRPr="004362DC">
        <w:t xml:space="preserve">е </w:t>
      </w:r>
      <w:r w:rsidR="00F00D86" w:rsidRPr="004362DC">
        <w:t>допустимо.</w:t>
      </w:r>
    </w:p>
    <w:p w:rsidR="00014566" w:rsidRPr="004362DC" w:rsidRDefault="00014566" w:rsidP="00902C8F">
      <w:pPr>
        <w:pStyle w:val="ECHRHeading2"/>
      </w:pPr>
      <w:r w:rsidRPr="004362DC">
        <w:t xml:space="preserve">Б. </w:t>
      </w:r>
      <w:r w:rsidR="00753876" w:rsidRPr="004362DC">
        <w:t>По същество</w:t>
      </w:r>
    </w:p>
    <w:p w:rsidR="00014566" w:rsidRPr="004362DC" w:rsidRDefault="007827EF" w:rsidP="00902C8F">
      <w:pPr>
        <w:pStyle w:val="ECHRPara"/>
      </w:pPr>
      <w:fldSimple w:instr=" SEQ level0 \*arabic ">
        <w:r w:rsidR="00902C8F" w:rsidRPr="004362DC">
          <w:rPr>
            <w:noProof/>
          </w:rPr>
          <w:t>16</w:t>
        </w:r>
      </w:fldSimple>
      <w:r w:rsidR="007E5FFD" w:rsidRPr="004362DC">
        <w:t>.  Жалбоподателката по</w:t>
      </w:r>
      <w:r w:rsidR="00753876" w:rsidRPr="004362DC">
        <w:t>втаря</w:t>
      </w:r>
      <w:r w:rsidR="007E5FFD" w:rsidRPr="004362DC">
        <w:t xml:space="preserve"> оплакването си.</w:t>
      </w:r>
    </w:p>
    <w:p w:rsidR="00014566" w:rsidRPr="004362DC" w:rsidRDefault="007827EF" w:rsidP="00902C8F">
      <w:pPr>
        <w:pStyle w:val="ECHRPara"/>
      </w:pPr>
      <w:fldSimple w:instr=" SEQ level0 \*arabic ">
        <w:r w:rsidR="00902C8F" w:rsidRPr="004362DC">
          <w:rPr>
            <w:noProof/>
          </w:rPr>
          <w:t>17</w:t>
        </w:r>
      </w:fldSimple>
      <w:r w:rsidR="007E5FFD" w:rsidRPr="004362DC">
        <w:t>.  Правителството не дава допълнителни разяснения.</w:t>
      </w:r>
    </w:p>
    <w:p w:rsidR="00BE58BD" w:rsidRPr="004362DC" w:rsidRDefault="007827EF" w:rsidP="00902C8F">
      <w:pPr>
        <w:pStyle w:val="ECHRPara"/>
      </w:pPr>
      <w:fldSimple w:instr=" SEQ level0 \*arabic ">
        <w:r w:rsidR="00902C8F" w:rsidRPr="004362DC">
          <w:rPr>
            <w:noProof/>
          </w:rPr>
          <w:t>18</w:t>
        </w:r>
      </w:fldSimple>
      <w:r w:rsidR="007E5FFD" w:rsidRPr="004362DC">
        <w:t xml:space="preserve">.  Съгласно установената практика на Съда, изпълнението на окончателно решение, постановено от който и да е съд, трябва да се разглежда като неразделна част от “процеса” по смисъла на чл. 6 от Конвенцията, и необосновано голямо забавяне в изпълнението на задължително решение може да наруши Конвенцията (вж., наред с много други решения, </w:t>
      </w:r>
      <w:proofErr w:type="spellStart"/>
      <w:r w:rsidR="007E5FFD" w:rsidRPr="004362DC">
        <w:rPr>
          <w:i/>
        </w:rPr>
        <w:t>Burdov</w:t>
      </w:r>
      <w:proofErr w:type="spellEnd"/>
      <w:r w:rsidR="007E5FFD" w:rsidRPr="004362DC">
        <w:rPr>
          <w:i/>
        </w:rPr>
        <w:t xml:space="preserve"> v. </w:t>
      </w:r>
      <w:proofErr w:type="spellStart"/>
      <w:r w:rsidR="007E5FFD" w:rsidRPr="004362DC">
        <w:rPr>
          <w:i/>
        </w:rPr>
        <w:t>Russia</w:t>
      </w:r>
      <w:proofErr w:type="spellEnd"/>
      <w:r w:rsidR="007E5FFD" w:rsidRPr="004362DC">
        <w:t>, № 59498/00, §§ 34-35, ЕСПЧ 2002</w:t>
      </w:r>
      <w:r w:rsidR="007E5FFD" w:rsidRPr="004362DC">
        <w:noBreakHyphen/>
        <w:t xml:space="preserve">III; </w:t>
      </w:r>
      <w:r w:rsidR="007E5FFD" w:rsidRPr="004362DC">
        <w:rPr>
          <w:i/>
        </w:rPr>
        <w:t>Манчева срещу България</w:t>
      </w:r>
      <w:r w:rsidR="007E5FFD" w:rsidRPr="004362DC">
        <w:t xml:space="preserve">, № 39609/98, § 54, 30 септември 2004 г.; </w:t>
      </w:r>
      <w:proofErr w:type="spellStart"/>
      <w:r w:rsidR="007E5FFD" w:rsidRPr="004362DC">
        <w:rPr>
          <w:i/>
        </w:rPr>
        <w:t>Yuriy</w:t>
      </w:r>
      <w:proofErr w:type="spellEnd"/>
      <w:r w:rsidR="007E5FFD" w:rsidRPr="004362DC">
        <w:rPr>
          <w:i/>
        </w:rPr>
        <w:t xml:space="preserve"> </w:t>
      </w:r>
      <w:proofErr w:type="spellStart"/>
      <w:r w:rsidR="007E5FFD" w:rsidRPr="004362DC">
        <w:rPr>
          <w:i/>
        </w:rPr>
        <w:t>Nikolayevich</w:t>
      </w:r>
      <w:proofErr w:type="spellEnd"/>
      <w:r w:rsidR="007E5FFD" w:rsidRPr="004362DC">
        <w:rPr>
          <w:i/>
        </w:rPr>
        <w:t xml:space="preserve"> </w:t>
      </w:r>
      <w:proofErr w:type="spellStart"/>
      <w:r w:rsidR="007E5FFD" w:rsidRPr="004362DC">
        <w:rPr>
          <w:i/>
        </w:rPr>
        <w:t>Ivanov</w:t>
      </w:r>
      <w:proofErr w:type="spellEnd"/>
      <w:r w:rsidR="007E5FFD" w:rsidRPr="004362DC">
        <w:rPr>
          <w:i/>
        </w:rPr>
        <w:t xml:space="preserve"> v. </w:t>
      </w:r>
      <w:proofErr w:type="spellStart"/>
      <w:r w:rsidR="007E5FFD" w:rsidRPr="004362DC">
        <w:rPr>
          <w:i/>
        </w:rPr>
        <w:t>Ukraine</w:t>
      </w:r>
      <w:proofErr w:type="spellEnd"/>
      <w:r w:rsidR="007E5FFD" w:rsidRPr="004362DC">
        <w:t xml:space="preserve">, № 40450/04, § 51, 15 октомври 2009 г.). По същия начин невъзможността на даден жалбоподател да получи своевременно изпълнение на решение в негова полза представлява намеса в правото на мирно ползване на притежанията, както е посочено в чл. 1, първи параграф, първо изречение от Протокол № 1 (вж. </w:t>
      </w:r>
      <w:proofErr w:type="spellStart"/>
      <w:r w:rsidR="007E5FFD" w:rsidRPr="004362DC">
        <w:rPr>
          <w:i/>
        </w:rPr>
        <w:t>Yuriy</w:t>
      </w:r>
      <w:proofErr w:type="spellEnd"/>
      <w:r w:rsidR="007E5FFD" w:rsidRPr="004362DC">
        <w:rPr>
          <w:i/>
        </w:rPr>
        <w:t xml:space="preserve"> </w:t>
      </w:r>
      <w:proofErr w:type="spellStart"/>
      <w:r w:rsidR="007E5FFD" w:rsidRPr="004362DC">
        <w:rPr>
          <w:i/>
        </w:rPr>
        <w:t>Nikolayevich</w:t>
      </w:r>
      <w:proofErr w:type="spellEnd"/>
      <w:r w:rsidR="007E5FFD" w:rsidRPr="004362DC">
        <w:rPr>
          <w:i/>
        </w:rPr>
        <w:t xml:space="preserve"> </w:t>
      </w:r>
      <w:proofErr w:type="spellStart"/>
      <w:r w:rsidR="007E5FFD" w:rsidRPr="004362DC">
        <w:rPr>
          <w:i/>
        </w:rPr>
        <w:t>Ivanov</w:t>
      </w:r>
      <w:proofErr w:type="spellEnd"/>
      <w:r w:rsidR="007E5FFD" w:rsidRPr="004362DC">
        <w:t>, цитирано по-горе, § 52).</w:t>
      </w:r>
    </w:p>
    <w:p w:rsidR="00BE58BD" w:rsidRPr="004362DC" w:rsidRDefault="007827EF" w:rsidP="00902C8F">
      <w:pPr>
        <w:pStyle w:val="ECHRPara"/>
      </w:pPr>
      <w:fldSimple w:instr=" SEQ level0 \*arabic ">
        <w:r w:rsidR="00902C8F" w:rsidRPr="004362DC">
          <w:rPr>
            <w:noProof/>
          </w:rPr>
          <w:t>19</w:t>
        </w:r>
      </w:fldSimple>
      <w:r w:rsidR="00A37BD7" w:rsidRPr="004362DC">
        <w:t xml:space="preserve">.  Задължение на държавата е да гарантира, че окончателните решения срещу нейните органи или юридически лица или дружества, притежавани или контролирани от държавата, се изпълняват без необосновано голямо забавяне (вж. </w:t>
      </w:r>
      <w:proofErr w:type="spellStart"/>
      <w:r w:rsidR="00A37BD7" w:rsidRPr="004362DC">
        <w:rPr>
          <w:i/>
        </w:rPr>
        <w:t>Yuriy</w:t>
      </w:r>
      <w:proofErr w:type="spellEnd"/>
      <w:r w:rsidR="00A37BD7" w:rsidRPr="004362DC">
        <w:rPr>
          <w:i/>
        </w:rPr>
        <w:t xml:space="preserve"> </w:t>
      </w:r>
      <w:proofErr w:type="spellStart"/>
      <w:r w:rsidR="00A37BD7" w:rsidRPr="004362DC">
        <w:rPr>
          <w:i/>
        </w:rPr>
        <w:t>Nikolayevich</w:t>
      </w:r>
      <w:proofErr w:type="spellEnd"/>
      <w:r w:rsidR="00A37BD7" w:rsidRPr="004362DC">
        <w:rPr>
          <w:i/>
        </w:rPr>
        <w:t xml:space="preserve"> </w:t>
      </w:r>
      <w:proofErr w:type="spellStart"/>
      <w:r w:rsidR="00A37BD7" w:rsidRPr="004362DC">
        <w:rPr>
          <w:i/>
        </w:rPr>
        <w:t>Ivanov</w:t>
      </w:r>
      <w:proofErr w:type="spellEnd"/>
      <w:r w:rsidR="00A37BD7" w:rsidRPr="004362DC">
        <w:t>, цитирано по-горе, § 54, с допълнителни препратки). Съдъ</w:t>
      </w:r>
      <w:r w:rsidR="00463AA4">
        <w:t>т по-рано се е произнасял по</w:t>
      </w:r>
      <w:r w:rsidR="00A37BD7" w:rsidRPr="004362DC">
        <w:t xml:space="preserve"> отношение</w:t>
      </w:r>
      <w:r w:rsidR="00463AA4">
        <w:t xml:space="preserve"> на това</w:t>
      </w:r>
      <w:r w:rsidR="00A37BD7" w:rsidRPr="004362DC">
        <w:t xml:space="preserve">, че процедурата по ликвидация срещу държавен орган не може да освободи държавата от нейната отговорност да изпълни окончателно решение. Да се достигне до друго заключение би позволило на държавата да използва този път, за да избегне изплащането на дълговете на своите органи, особено като се има предвид, че променящите се потребности принуждават държавата да извършва чести промени в организационната си структура, включително чрез създаване на нови органи и ликвидация на стари (вж. </w:t>
      </w:r>
      <w:proofErr w:type="spellStart"/>
      <w:r w:rsidR="00A37BD7" w:rsidRPr="004362DC">
        <w:rPr>
          <w:i/>
        </w:rPr>
        <w:t>Kuksa</w:t>
      </w:r>
      <w:proofErr w:type="spellEnd"/>
      <w:r w:rsidR="00A37BD7" w:rsidRPr="004362DC">
        <w:rPr>
          <w:i/>
        </w:rPr>
        <w:t xml:space="preserve"> v. </w:t>
      </w:r>
      <w:proofErr w:type="spellStart"/>
      <w:r w:rsidR="00A37BD7" w:rsidRPr="004362DC">
        <w:rPr>
          <w:i/>
        </w:rPr>
        <w:t>Russia</w:t>
      </w:r>
      <w:proofErr w:type="spellEnd"/>
      <w:r w:rsidR="00A37BD7" w:rsidRPr="004362DC">
        <w:t xml:space="preserve">, № 35259/04, § 26, 15 юни 2006 г.; и </w:t>
      </w:r>
      <w:proofErr w:type="spellStart"/>
      <w:r w:rsidR="00A37BD7" w:rsidRPr="004362DC">
        <w:rPr>
          <w:i/>
        </w:rPr>
        <w:t>Nikitina</w:t>
      </w:r>
      <w:proofErr w:type="spellEnd"/>
      <w:r w:rsidR="00A37BD7" w:rsidRPr="004362DC">
        <w:rPr>
          <w:i/>
        </w:rPr>
        <w:t xml:space="preserve"> v. </w:t>
      </w:r>
      <w:proofErr w:type="spellStart"/>
      <w:r w:rsidR="00A37BD7" w:rsidRPr="004362DC">
        <w:rPr>
          <w:i/>
        </w:rPr>
        <w:t>Russia</w:t>
      </w:r>
      <w:proofErr w:type="spellEnd"/>
      <w:r w:rsidR="00A37BD7" w:rsidRPr="004362DC">
        <w:t>, № 47486/07, § 19, 15 юли 2010 г.).</w:t>
      </w:r>
    </w:p>
    <w:p w:rsidR="00BE58BD" w:rsidRPr="004362DC" w:rsidRDefault="007827EF" w:rsidP="00902C8F">
      <w:pPr>
        <w:pStyle w:val="ECHRPara"/>
      </w:pPr>
      <w:fldSimple w:instr=" SEQ level0 \*arabic ">
        <w:r w:rsidR="00902C8F" w:rsidRPr="004362DC">
          <w:rPr>
            <w:noProof/>
          </w:rPr>
          <w:t>20</w:t>
        </w:r>
      </w:fldSimple>
      <w:r w:rsidR="007450C1" w:rsidRPr="004362DC">
        <w:t>.  По отношение на настоящия случай, двете окончателни решения от 2005 и 2006 г. в полза на жалбоподателката остават неизпълнени (вж. параграфи 8 и 10 по-горе), а Правителството не предоставя обосновка за това (вж. параграф 17 по-горе). Съдът вече е установил, включително в контекста на български дела пред него, че продължителното неизпълнение от страна на държавни органи на окончателно съдебно решение, съгласно което те дължат плащане на паричн</w:t>
      </w:r>
      <w:r w:rsidR="000F5C03" w:rsidRPr="004362DC">
        <w:t>а</w:t>
      </w:r>
      <w:r w:rsidR="007450C1" w:rsidRPr="004362DC">
        <w:t xml:space="preserve"> сума, нарушава както чл. 6 § 1, така и чл. 1 от Протокол № 1 (вж. </w:t>
      </w:r>
      <w:r w:rsidR="007450C1" w:rsidRPr="004362DC">
        <w:rPr>
          <w:i/>
        </w:rPr>
        <w:t>Манчева</w:t>
      </w:r>
      <w:r w:rsidR="007450C1" w:rsidRPr="004362DC">
        <w:t xml:space="preserve">, цитирано по-горе, §§ 61-62 и §§ 66–68; </w:t>
      </w:r>
      <w:proofErr w:type="spellStart"/>
      <w:r w:rsidR="007450C1" w:rsidRPr="004362DC">
        <w:rPr>
          <w:i/>
        </w:rPr>
        <w:t>Сирманов</w:t>
      </w:r>
      <w:proofErr w:type="spellEnd"/>
      <w:r w:rsidR="007450C1" w:rsidRPr="004362DC">
        <w:rPr>
          <w:i/>
        </w:rPr>
        <w:t xml:space="preserve"> срещу България</w:t>
      </w:r>
      <w:r w:rsidR="007450C1" w:rsidRPr="004362DC">
        <w:t xml:space="preserve">, № 67353/01, §§ 33-34 и §§ 38–39, 10 май 2007 г.; и </w:t>
      </w:r>
      <w:r w:rsidR="007450C1" w:rsidRPr="004362DC">
        <w:rPr>
          <w:i/>
        </w:rPr>
        <w:t>Пашов и други срещу България</w:t>
      </w:r>
      <w:r w:rsidR="007450C1" w:rsidRPr="004362DC">
        <w:t>, № 20875/07, §§ 59–63, 5 февруари 2013 г.).</w:t>
      </w:r>
    </w:p>
    <w:p w:rsidR="00BE58BD" w:rsidRPr="004362DC" w:rsidRDefault="007827EF" w:rsidP="00902C8F">
      <w:pPr>
        <w:pStyle w:val="ECHRPara"/>
      </w:pPr>
      <w:fldSimple w:instr=" SEQ level0 \*arabic ">
        <w:r w:rsidR="00902C8F" w:rsidRPr="004362DC">
          <w:rPr>
            <w:noProof/>
          </w:rPr>
          <w:t>21</w:t>
        </w:r>
      </w:fldSimple>
      <w:r w:rsidR="00677489" w:rsidRPr="004362DC">
        <w:t>.  Поради това Съдът отхвърля възражението на Правителството отно</w:t>
      </w:r>
      <w:r w:rsidR="000F5C03" w:rsidRPr="004362DC">
        <w:t>сно</w:t>
      </w:r>
      <w:r w:rsidR="00677489" w:rsidRPr="004362DC">
        <w:t xml:space="preserve"> неизчерпването на вътрешн</w:t>
      </w:r>
      <w:r w:rsidR="000F5C03" w:rsidRPr="004362DC">
        <w:t>о</w:t>
      </w:r>
      <w:r w:rsidR="00677489" w:rsidRPr="004362DC">
        <w:t>правни</w:t>
      </w:r>
      <w:r w:rsidR="000F5C03" w:rsidRPr="004362DC">
        <w:t>те</w:t>
      </w:r>
      <w:r w:rsidR="00677489" w:rsidRPr="004362DC">
        <w:t xml:space="preserve"> средства за защита и </w:t>
      </w:r>
      <w:r w:rsidR="000F5C03" w:rsidRPr="004362DC">
        <w:t>намира</w:t>
      </w:r>
      <w:r w:rsidR="00677489" w:rsidRPr="004362DC">
        <w:t xml:space="preserve">, че като не се съобразяват в продължение на повече от десет години с решения в полза на жалбоподателката, </w:t>
      </w:r>
      <w:r w:rsidR="000F5C03" w:rsidRPr="004362DC">
        <w:t xml:space="preserve">които подлежат на изпълнение, </w:t>
      </w:r>
      <w:r w:rsidR="00677489" w:rsidRPr="004362DC">
        <w:t xml:space="preserve">националните власти я възпрепятстват да получи сума, която е можела </w:t>
      </w:r>
      <w:r w:rsidR="000F5C03" w:rsidRPr="004362DC">
        <w:t xml:space="preserve">разумно </w:t>
      </w:r>
      <w:r w:rsidR="00677489" w:rsidRPr="004362DC">
        <w:t>да очаква да получи, и лишава разпоредбата на чл. 6 § 1 от всякакво полезно действие.</w:t>
      </w:r>
    </w:p>
    <w:p w:rsidR="00BE58BD" w:rsidRPr="004362DC" w:rsidRDefault="007827EF" w:rsidP="00902C8F">
      <w:pPr>
        <w:pStyle w:val="ECHRPara"/>
      </w:pPr>
      <w:fldSimple w:instr=" SEQ level0 \*arabic ">
        <w:r w:rsidR="00902C8F" w:rsidRPr="004362DC">
          <w:rPr>
            <w:noProof/>
          </w:rPr>
          <w:t>22</w:t>
        </w:r>
      </w:fldSimple>
      <w:r w:rsidR="008F5981" w:rsidRPr="004362DC">
        <w:t>.  </w:t>
      </w:r>
      <w:r w:rsidR="000F5C03" w:rsidRPr="004362DC">
        <w:t>Следователно</w:t>
      </w:r>
      <w:r w:rsidR="008F5981" w:rsidRPr="004362DC">
        <w:t xml:space="preserve"> е налице нарушение на чл. 6 § 1  и чл. 1 от Протокол № 1.</w:t>
      </w:r>
    </w:p>
    <w:p w:rsidR="00014566" w:rsidRPr="004362DC" w:rsidRDefault="007450C1" w:rsidP="00902C8F">
      <w:pPr>
        <w:pStyle w:val="ECHRHeading1"/>
      </w:pPr>
      <w:r w:rsidRPr="004362DC">
        <w:t>II.  ПРИЛ</w:t>
      </w:r>
      <w:r w:rsidR="000F5C03" w:rsidRPr="004362DC">
        <w:t>ОЖЕНИЕ</w:t>
      </w:r>
      <w:r w:rsidRPr="004362DC">
        <w:t xml:space="preserve"> НА ЧЛЕН 41 ОТ КОНВЕНЦИЯТА</w:t>
      </w:r>
    </w:p>
    <w:p w:rsidR="00014566" w:rsidRPr="004362DC" w:rsidRDefault="007827EF" w:rsidP="00902C8F">
      <w:pPr>
        <w:pStyle w:val="ECHRPara"/>
      </w:pPr>
      <w:fldSimple w:instr=" SEQ level0 \*arabic ">
        <w:r w:rsidR="00902C8F" w:rsidRPr="004362DC">
          <w:rPr>
            <w:noProof/>
          </w:rPr>
          <w:t>23</w:t>
        </w:r>
      </w:fldSimple>
      <w:r w:rsidR="007E5FFD" w:rsidRPr="004362DC">
        <w:t>.  Чл. 41 от Конвенцията гласи:</w:t>
      </w:r>
    </w:p>
    <w:p w:rsidR="00014566" w:rsidRPr="004362DC" w:rsidRDefault="00014566" w:rsidP="00902C8F">
      <w:pPr>
        <w:pStyle w:val="ECHRParaQuote"/>
        <w:keepNext/>
        <w:keepLines/>
      </w:pPr>
      <w:r w:rsidRPr="004362DC">
        <w:t xml:space="preserve">“Ако Съдът установи нарушение на Конвенцията или на  </w:t>
      </w:r>
      <w:r w:rsidRPr="004362DC">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4362DC" w:rsidRDefault="00014566" w:rsidP="00902C8F">
      <w:pPr>
        <w:pStyle w:val="ECHRHeading2"/>
      </w:pPr>
      <w:r w:rsidRPr="004362DC">
        <w:t>А. Обезщетение за вреди</w:t>
      </w:r>
    </w:p>
    <w:p w:rsidR="00014566" w:rsidRPr="004362DC" w:rsidRDefault="007827EF" w:rsidP="00902C8F">
      <w:pPr>
        <w:pStyle w:val="ECHRPara"/>
      </w:pPr>
      <w:fldSimple w:instr=" SEQ level0 \*arabic ">
        <w:r w:rsidR="00902C8F" w:rsidRPr="004362DC">
          <w:rPr>
            <w:noProof/>
          </w:rPr>
          <w:t>24</w:t>
        </w:r>
      </w:fldSimple>
      <w:r w:rsidR="007E5FFD" w:rsidRPr="004362DC">
        <w:t xml:space="preserve">.  Жалбоподателката претендира </w:t>
      </w:r>
      <w:r w:rsidR="000F5C03" w:rsidRPr="004362DC">
        <w:t xml:space="preserve">приблизително </w:t>
      </w:r>
      <w:r w:rsidR="007E5FFD" w:rsidRPr="004362DC">
        <w:t>38 000 евро имуществени вреди и 10 000 евро неимуществени вреди.</w:t>
      </w:r>
    </w:p>
    <w:p w:rsidR="00014566" w:rsidRPr="004362DC" w:rsidRDefault="007827EF" w:rsidP="00902C8F">
      <w:pPr>
        <w:pStyle w:val="ECHRPara"/>
      </w:pPr>
      <w:fldSimple w:instr=" SEQ level0 \*arabic ">
        <w:r w:rsidR="00902C8F" w:rsidRPr="004362DC">
          <w:rPr>
            <w:noProof/>
          </w:rPr>
          <w:t>25</w:t>
        </w:r>
      </w:fldSimple>
      <w:r w:rsidR="007E5FFD" w:rsidRPr="004362DC">
        <w:t>.  Правителството твърди, че претенцията за неимуществени вреди е прекомерна и неоснователна.</w:t>
      </w:r>
    </w:p>
    <w:p w:rsidR="00BE58BD" w:rsidRPr="004362DC" w:rsidRDefault="007827EF" w:rsidP="00902C8F">
      <w:pPr>
        <w:pStyle w:val="ECHRPara"/>
      </w:pPr>
      <w:fldSimple w:instr=" SEQ level0 \*arabic ">
        <w:r w:rsidR="00902C8F" w:rsidRPr="004362DC">
          <w:rPr>
            <w:noProof/>
          </w:rPr>
          <w:t>26</w:t>
        </w:r>
      </w:fldSimple>
      <w:r w:rsidR="007E5FFD" w:rsidRPr="004362DC">
        <w:t>.  Съдът отбелязва, че сумата, претендирана от жалбоподателката за имуществени вреди, е същата като тази, която ѝ е присъдена в окончателните съдебни решения и оста</w:t>
      </w:r>
      <w:r w:rsidR="000F5C03" w:rsidRPr="004362DC">
        <w:t>в</w:t>
      </w:r>
      <w:r w:rsidR="007E5FFD" w:rsidRPr="004362DC">
        <w:t>а неплатена. Следователно той ѝ присъжда 38 000 евро за имуществени вреди.</w:t>
      </w:r>
    </w:p>
    <w:p w:rsidR="00014566" w:rsidRPr="004362DC" w:rsidRDefault="007827EF" w:rsidP="00902C8F">
      <w:pPr>
        <w:pStyle w:val="ECHRPara"/>
      </w:pPr>
      <w:fldSimple w:instr=" SEQ level0 \*arabic ">
        <w:r w:rsidR="00902C8F" w:rsidRPr="004362DC">
          <w:rPr>
            <w:noProof/>
          </w:rPr>
          <w:t>27</w:t>
        </w:r>
      </w:fldSimple>
      <w:r w:rsidR="008B0F02" w:rsidRPr="004362DC">
        <w:t xml:space="preserve">.  Съдът освен това </w:t>
      </w:r>
      <w:r w:rsidR="000F5C03" w:rsidRPr="004362DC">
        <w:t>намира</w:t>
      </w:r>
      <w:r w:rsidR="008B0F02" w:rsidRPr="004362DC">
        <w:t xml:space="preserve">, че неуспехът на властите да платят на жалбоподателката това, което ѝ се дължи въз основа на окончателните решения, </w:t>
      </w:r>
      <w:r w:rsidR="000F5C03" w:rsidRPr="004362DC">
        <w:t>безспорно</w:t>
      </w:r>
      <w:r w:rsidR="008B0F02" w:rsidRPr="004362DC">
        <w:t xml:space="preserve"> ѝ е причинил емоционално страдание. Следователно присъжда на жалбоподателката 3600 евро по отношение на неимуществени вреди.</w:t>
      </w:r>
    </w:p>
    <w:p w:rsidR="00014566" w:rsidRPr="004362DC" w:rsidRDefault="00014566" w:rsidP="00902C8F">
      <w:pPr>
        <w:pStyle w:val="ECHRHeading2"/>
      </w:pPr>
      <w:r w:rsidRPr="004362DC">
        <w:t>Б. Разходи и разноски</w:t>
      </w:r>
    </w:p>
    <w:p w:rsidR="00014566" w:rsidRPr="004362DC" w:rsidRDefault="007827EF" w:rsidP="00902C8F">
      <w:pPr>
        <w:pStyle w:val="ECHRPara"/>
      </w:pPr>
      <w:fldSimple w:instr=" SEQ level0 \*arabic ">
        <w:r w:rsidR="00902C8F" w:rsidRPr="004362DC">
          <w:rPr>
            <w:noProof/>
          </w:rPr>
          <w:t>28</w:t>
        </w:r>
      </w:fldSimple>
      <w:r w:rsidR="007E5FFD" w:rsidRPr="004362DC">
        <w:t xml:space="preserve">.  Жалбоподателката претендира </w:t>
      </w:r>
      <w:r w:rsidR="000F5C03" w:rsidRPr="004362DC">
        <w:t xml:space="preserve">също </w:t>
      </w:r>
      <w:r w:rsidR="007E5FFD" w:rsidRPr="004362DC">
        <w:t>2000 евро разходи и разноски под формата на съдебни разходи, които е направила пред Съда.</w:t>
      </w:r>
    </w:p>
    <w:p w:rsidR="00014566" w:rsidRPr="004362DC" w:rsidRDefault="007827EF" w:rsidP="00902C8F">
      <w:pPr>
        <w:pStyle w:val="ECHRPara"/>
      </w:pPr>
      <w:fldSimple w:instr=" SEQ level0 \*arabic ">
        <w:r w:rsidR="00902C8F" w:rsidRPr="004362DC">
          <w:rPr>
            <w:noProof/>
          </w:rPr>
          <w:t>29</w:t>
        </w:r>
      </w:fldSimple>
      <w:r w:rsidR="001E1370" w:rsidRPr="004362DC">
        <w:t>.  Правителството твърди, че тази сума е преувеличена и не е придружена от съответната сметка за разходите.</w:t>
      </w:r>
    </w:p>
    <w:p w:rsidR="00014566" w:rsidRPr="004362DC" w:rsidRDefault="007827EF" w:rsidP="00902C8F">
      <w:pPr>
        <w:pStyle w:val="ECHRPara"/>
      </w:pPr>
      <w:fldSimple w:instr=" SEQ level0 \*arabic ">
        <w:r w:rsidR="00902C8F" w:rsidRPr="004362DC">
          <w:rPr>
            <w:noProof/>
          </w:rPr>
          <w:t>30</w:t>
        </w:r>
      </w:fldSimple>
      <w:r w:rsidR="007E5FFD" w:rsidRPr="004362DC">
        <w:t xml:space="preserve">.  Като взема предвид документите, с които разполага, и практиката си, Съдът </w:t>
      </w:r>
      <w:r w:rsidR="007103E1" w:rsidRPr="004362DC">
        <w:t xml:space="preserve">счита </w:t>
      </w:r>
      <w:r w:rsidR="007E5FFD" w:rsidRPr="004362DC">
        <w:t>за разумно да присъди сумата от 1 000 евро, покриваща разходи за производството пред Съда.</w:t>
      </w:r>
    </w:p>
    <w:p w:rsidR="00014566" w:rsidRPr="004362DC" w:rsidRDefault="00014566" w:rsidP="00902C8F">
      <w:pPr>
        <w:pStyle w:val="ECHRHeading2"/>
      </w:pPr>
      <w:r w:rsidRPr="004362DC">
        <w:t>В. Лихва за забава</w:t>
      </w:r>
    </w:p>
    <w:p w:rsidR="00014566" w:rsidRPr="004362DC" w:rsidRDefault="007827EF" w:rsidP="00902C8F">
      <w:pPr>
        <w:pStyle w:val="ECHRPara"/>
      </w:pPr>
      <w:fldSimple w:instr=" SEQ level0 \*arabic ">
        <w:r w:rsidR="00902C8F" w:rsidRPr="004362DC">
          <w:rPr>
            <w:noProof/>
          </w:rPr>
          <w:t>31</w:t>
        </w:r>
      </w:fldSimple>
      <w:r w:rsidR="007E5FFD" w:rsidRPr="004362DC">
        <w:t xml:space="preserve">.  Съдът </w:t>
      </w:r>
      <w:r w:rsidR="007103E1" w:rsidRPr="004362DC">
        <w:t xml:space="preserve">счита </w:t>
      </w:r>
      <w:r w:rsidR="007E5FFD" w:rsidRPr="004362DC">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4362DC" w:rsidRDefault="00BB5883" w:rsidP="00902C8F">
      <w:pPr>
        <w:pStyle w:val="ECHRTitle1"/>
      </w:pPr>
      <w:r w:rsidRPr="004362DC">
        <w:t>ПО ТЕЗИ СЪОБРАЖЕНИЯ СЪДЪТ ЕДИНОДУШНО</w:t>
      </w:r>
    </w:p>
    <w:p w:rsidR="00807EDF" w:rsidRPr="004362DC" w:rsidRDefault="00B637B9" w:rsidP="00902C8F">
      <w:pPr>
        <w:pStyle w:val="JuList"/>
      </w:pPr>
      <w:r w:rsidRPr="004362DC">
        <w:t>1.  </w:t>
      </w:r>
      <w:r w:rsidRPr="004362DC">
        <w:rPr>
          <w:i/>
        </w:rPr>
        <w:t>Решава</w:t>
      </w:r>
      <w:r w:rsidRPr="004362DC">
        <w:t xml:space="preserve"> да </w:t>
      </w:r>
      <w:bookmarkStart w:id="1" w:name="_100001C"/>
      <w:bookmarkEnd w:id="1"/>
      <w:r w:rsidRPr="004362DC">
        <w:t xml:space="preserve">присъедини към </w:t>
      </w:r>
      <w:bookmarkStart w:id="2" w:name="_100001D"/>
      <w:bookmarkEnd w:id="2"/>
      <w:r w:rsidRPr="004362DC">
        <w:t xml:space="preserve">основателността възражението на Правителството </w:t>
      </w:r>
      <w:bookmarkStart w:id="3" w:name="_100001E"/>
      <w:bookmarkEnd w:id="3"/>
      <w:r w:rsidRPr="004362DC">
        <w:t>отно</w:t>
      </w:r>
      <w:r w:rsidR="007103E1" w:rsidRPr="004362DC">
        <w:t>сно</w:t>
      </w:r>
      <w:r w:rsidRPr="004362DC">
        <w:t xml:space="preserve"> неизчерпване на </w:t>
      </w:r>
      <w:proofErr w:type="spellStart"/>
      <w:r w:rsidRPr="004362DC">
        <w:t>вътрешниправни</w:t>
      </w:r>
      <w:r w:rsidR="007103E1" w:rsidRPr="004362DC">
        <w:t>те</w:t>
      </w:r>
      <w:proofErr w:type="spellEnd"/>
      <w:r w:rsidRPr="004362DC">
        <w:t xml:space="preserve"> средства за защита и го отхвърля;</w:t>
      </w:r>
    </w:p>
    <w:p w:rsidR="00610A13" w:rsidRPr="004362DC" w:rsidRDefault="00610A13" w:rsidP="00902C8F">
      <w:pPr>
        <w:pStyle w:val="JuList"/>
      </w:pPr>
    </w:p>
    <w:p w:rsidR="00014566" w:rsidRPr="004362DC" w:rsidRDefault="00807EDF" w:rsidP="00902C8F">
      <w:pPr>
        <w:pStyle w:val="JuList"/>
      </w:pPr>
      <w:r w:rsidRPr="004362DC">
        <w:t>2.  </w:t>
      </w:r>
      <w:r w:rsidRPr="004362DC">
        <w:rPr>
          <w:i/>
        </w:rPr>
        <w:t>Обявява</w:t>
      </w:r>
      <w:r w:rsidRPr="004362DC">
        <w:t xml:space="preserve"> жалбата за допустима;</w:t>
      </w:r>
    </w:p>
    <w:p w:rsidR="00610A13" w:rsidRPr="004362DC" w:rsidRDefault="00610A13" w:rsidP="00902C8F">
      <w:pPr>
        <w:pStyle w:val="JuList"/>
      </w:pPr>
    </w:p>
    <w:p w:rsidR="00014566" w:rsidRPr="004362DC" w:rsidRDefault="00807EDF" w:rsidP="00902C8F">
      <w:pPr>
        <w:pStyle w:val="JuList"/>
      </w:pPr>
      <w:r w:rsidRPr="004362DC">
        <w:t>3.  </w:t>
      </w:r>
      <w:r w:rsidRPr="004362DC">
        <w:rPr>
          <w:i/>
        </w:rPr>
        <w:t>Приема</w:t>
      </w:r>
      <w:r w:rsidRPr="004362DC">
        <w:t>, че е налице нарушение на чл. 6 § 1 от Конвенцията и на чл. 1 от Протокол № 1 към Конвенцията;</w:t>
      </w:r>
    </w:p>
    <w:p w:rsidR="00014566" w:rsidRPr="004362DC" w:rsidRDefault="00014566" w:rsidP="00902C8F">
      <w:pPr>
        <w:pStyle w:val="JuList"/>
      </w:pPr>
    </w:p>
    <w:p w:rsidR="007E5FFD" w:rsidRPr="004362DC" w:rsidRDefault="00807EDF" w:rsidP="00902C8F">
      <w:pPr>
        <w:pStyle w:val="JuList"/>
      </w:pPr>
      <w:r w:rsidRPr="004362DC">
        <w:t>4.  </w:t>
      </w:r>
      <w:r w:rsidRPr="004362DC">
        <w:rPr>
          <w:i/>
        </w:rPr>
        <w:t>Приема,</w:t>
      </w:r>
    </w:p>
    <w:p w:rsidR="00014566" w:rsidRPr="004362DC" w:rsidRDefault="00014566" w:rsidP="00902C8F">
      <w:pPr>
        <w:pStyle w:val="JuLista"/>
      </w:pPr>
      <w:r w:rsidRPr="004362DC">
        <w:t xml:space="preserve">(а) че държавата-ответник </w:t>
      </w:r>
      <w:r w:rsidR="007103E1" w:rsidRPr="004362DC">
        <w:t xml:space="preserve">следва </w:t>
      </w:r>
      <w:r w:rsidRPr="004362DC">
        <w:t xml:space="preserve">да заплати на жалбоподателя в срок от три месеца следните суми, които се </w:t>
      </w:r>
      <w:r w:rsidR="007103E1" w:rsidRPr="004362DC">
        <w:t xml:space="preserve">конвертират </w:t>
      </w:r>
      <w:r w:rsidRPr="004362DC">
        <w:t>в български лева по курса</w:t>
      </w:r>
      <w:r w:rsidR="007103E1" w:rsidRPr="004362DC">
        <w:t>, валиден</w:t>
      </w:r>
      <w:r w:rsidRPr="004362DC">
        <w:t xml:space="preserve"> към датата на плащането:</w:t>
      </w:r>
    </w:p>
    <w:p w:rsidR="00014566" w:rsidRPr="004362DC" w:rsidRDefault="00014566" w:rsidP="00902C8F">
      <w:pPr>
        <w:pStyle w:val="JuListi"/>
      </w:pPr>
      <w:r w:rsidRPr="004362DC">
        <w:t>(i) 38 000 евро (тридесет и осем хиляди евро), плюс всякакви данъци, които биха могли да се начислят, по отношение на имуществени вреди;</w:t>
      </w:r>
    </w:p>
    <w:p w:rsidR="00014566" w:rsidRPr="004362DC" w:rsidRDefault="00014566" w:rsidP="00902C8F">
      <w:pPr>
        <w:pStyle w:val="JuListi"/>
      </w:pPr>
      <w:r w:rsidRPr="004362DC">
        <w:t>(ii) 3600 евро (три хиляди и шестстотин евро), плюс всякакви данъци, които биха могли да се начислят, по отношение на неимуществени вреди;</w:t>
      </w:r>
    </w:p>
    <w:p w:rsidR="00014566" w:rsidRPr="004362DC" w:rsidRDefault="00014566" w:rsidP="00902C8F">
      <w:pPr>
        <w:pStyle w:val="JuListi"/>
      </w:pPr>
      <w:r w:rsidRPr="004362DC">
        <w:t>(iii) 1000 евро (хиляда евро), плюс всякакви данъци, които биха могли да се начислят на жалбоподателката, по отношение на разходи и разноски;</w:t>
      </w:r>
    </w:p>
    <w:p w:rsidR="00014566" w:rsidRPr="004362DC" w:rsidRDefault="00014566" w:rsidP="00902C8F">
      <w:pPr>
        <w:pStyle w:val="JuLista"/>
      </w:pPr>
      <w:r w:rsidRPr="004362DC">
        <w:t xml:space="preserve">(б) че от изтичането на </w:t>
      </w:r>
      <w:r w:rsidR="007103E1" w:rsidRPr="004362DC">
        <w:t>горес</w:t>
      </w:r>
      <w:r w:rsidRPr="004362DC">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7103E1" w:rsidRPr="004362DC">
        <w:t>за срока</w:t>
      </w:r>
      <w:r w:rsidRPr="004362DC">
        <w:t xml:space="preserve"> на забава, към която се добавят три процентни пункта;</w:t>
      </w:r>
    </w:p>
    <w:p w:rsidR="00014566" w:rsidRPr="004362DC" w:rsidRDefault="00014566" w:rsidP="00902C8F">
      <w:pPr>
        <w:pStyle w:val="JuList"/>
      </w:pPr>
    </w:p>
    <w:p w:rsidR="00014566" w:rsidRPr="004362DC" w:rsidRDefault="0098068E" w:rsidP="00902C8F">
      <w:pPr>
        <w:pStyle w:val="JuList"/>
      </w:pPr>
      <w:r w:rsidRPr="004362DC">
        <w:t>5.  </w:t>
      </w:r>
      <w:r w:rsidRPr="004362DC">
        <w:rPr>
          <w:i/>
        </w:rPr>
        <w:t>Отхвърля</w:t>
      </w:r>
      <w:r w:rsidRPr="004362DC">
        <w:t xml:space="preserve"> останалата част от претенцията на жалбоподател</w:t>
      </w:r>
      <w:r w:rsidR="007103E1" w:rsidRPr="004362DC">
        <w:t>ката</w:t>
      </w:r>
      <w:r w:rsidRPr="004362DC">
        <w:t xml:space="preserve"> за справедливо обезщетение.</w:t>
      </w:r>
    </w:p>
    <w:p w:rsidR="00014566" w:rsidRPr="004362DC" w:rsidRDefault="00014566" w:rsidP="00902C8F">
      <w:pPr>
        <w:pStyle w:val="JuParaLast"/>
      </w:pPr>
      <w:r w:rsidRPr="004362DC">
        <w:t xml:space="preserve">Изготвено на английски език и оповестено писмено на 18 януари 2018 г. в съответствие с </w:t>
      </w:r>
      <w:r w:rsidR="007103E1" w:rsidRPr="004362DC">
        <w:t>п</w:t>
      </w:r>
      <w:r w:rsidRPr="004362DC">
        <w:t>равило 77 §§ 2 и 3 от Правилника на Съда.</w:t>
      </w:r>
    </w:p>
    <w:p w:rsidR="00014566" w:rsidRPr="00902C8F" w:rsidRDefault="00014566" w:rsidP="00902C8F">
      <w:pPr>
        <w:pStyle w:val="JuSigned"/>
      </w:pPr>
      <w:r w:rsidRPr="004362DC">
        <w:tab/>
        <w:t xml:space="preserve"> Ан-Мари </w:t>
      </w:r>
      <w:proofErr w:type="spellStart"/>
      <w:r w:rsidRPr="004362DC">
        <w:t>Дуген</w:t>
      </w:r>
      <w:proofErr w:type="spellEnd"/>
      <w:r w:rsidRPr="004362DC">
        <w:t xml:space="preserve"> </w:t>
      </w:r>
      <w:r w:rsidRPr="004362DC">
        <w:tab/>
        <w:t xml:space="preserve">Андре </w:t>
      </w:r>
      <w:proofErr w:type="spellStart"/>
      <w:r w:rsidRPr="004362DC">
        <w:t>Пото</w:t>
      </w:r>
      <w:r w:rsidR="007103E1" w:rsidRPr="004362DC">
        <w:t>ц</w:t>
      </w:r>
      <w:r w:rsidRPr="004362DC">
        <w:t>ки</w:t>
      </w:r>
      <w:proofErr w:type="spellEnd"/>
      <w:r w:rsidRPr="004362DC">
        <w:br/>
      </w:r>
      <w:r w:rsidRPr="004362DC">
        <w:tab/>
      </w:r>
      <w:proofErr w:type="spellStart"/>
      <w:r w:rsidRPr="004362DC">
        <w:t>и.д</w:t>
      </w:r>
      <w:proofErr w:type="spellEnd"/>
      <w:r w:rsidRPr="004362DC">
        <w:t xml:space="preserve">. </w:t>
      </w:r>
      <w:r w:rsidR="007103E1" w:rsidRPr="004362DC">
        <w:t>з</w:t>
      </w:r>
      <w:r w:rsidRPr="004362DC">
        <w:t>аместник-секретар</w:t>
      </w:r>
      <w:r w:rsidRPr="004362DC">
        <w:tab/>
      </w:r>
      <w:r w:rsidR="007103E1" w:rsidRPr="004362DC">
        <w:t>п</w:t>
      </w:r>
      <w:r w:rsidRPr="004362DC">
        <w:t>редседател</w:t>
      </w:r>
    </w:p>
    <w:p w:rsidR="004D15F3" w:rsidRPr="00902C8F" w:rsidRDefault="004D15F3" w:rsidP="00902C8F">
      <w:pPr>
        <w:tabs>
          <w:tab w:val="center" w:pos="851"/>
        </w:tabs>
      </w:pPr>
    </w:p>
    <w:sectPr w:rsidR="004D15F3" w:rsidRPr="00902C8F" w:rsidSect="00BE58BD">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EF" w:rsidRPr="00E4133A" w:rsidRDefault="007827EF" w:rsidP="00014566">
      <w:r w:rsidRPr="00E4133A">
        <w:separator/>
      </w:r>
    </w:p>
  </w:endnote>
  <w:endnote w:type="continuationSeparator" w:id="0">
    <w:p w:rsidR="007827EF" w:rsidRPr="00E4133A" w:rsidRDefault="007827EF"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Default="00BE5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Default="00BE5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Pr="00150BFA" w:rsidRDefault="00BE58BD" w:rsidP="0020718E">
    <w:pPr>
      <w:jc w:val="center"/>
    </w:pPr>
    <w:r>
      <w:rPr>
        <w:noProof/>
        <w:lang w:val="en-US" w:eastAsia="en-US" w:bidi="ar-SA"/>
      </w:rPr>
      <w:drawing>
        <wp:inline distT="0" distB="0" distL="0" distR="0" wp14:anchorId="39DD3FF4" wp14:editId="77EB3A25">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E58BD" w:rsidRDefault="00BE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EF" w:rsidRPr="00E4133A" w:rsidRDefault="007827EF" w:rsidP="00014566">
      <w:r w:rsidRPr="00E4133A">
        <w:separator/>
      </w:r>
    </w:p>
  </w:footnote>
  <w:footnote w:type="continuationSeparator" w:id="0">
    <w:p w:rsidR="007827EF" w:rsidRPr="00E4133A" w:rsidRDefault="007827EF" w:rsidP="00014566">
      <w:r w:rsidRPr="00E413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Default="00BE5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21" w:rsidRPr="00BE58BD" w:rsidRDefault="00136521" w:rsidP="00BE58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Pr="00A45145" w:rsidRDefault="00BE58BD" w:rsidP="00A45145">
    <w:pPr>
      <w:jc w:val="center"/>
    </w:pPr>
    <w:r>
      <w:rPr>
        <w:noProof/>
        <w:lang w:val="en-US" w:eastAsia="en-US" w:bidi="ar-SA"/>
      </w:rPr>
      <w:drawing>
        <wp:inline distT="0" distB="0" distL="0" distR="0" wp14:anchorId="20C99C6C" wp14:editId="718296BA">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36521" w:rsidRDefault="00136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Pr="00E4133A" w:rsidRDefault="00BE58BD"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690E82">
      <w:rPr>
        <w:rStyle w:val="PageNumber"/>
        <w:noProof/>
        <w:szCs w:val="18"/>
      </w:rPr>
      <w:t>6</w:t>
    </w:r>
    <w:r>
      <w:rPr>
        <w:rStyle w:val="PageNumber"/>
        <w:szCs w:val="18"/>
      </w:rPr>
      <w:fldChar w:fldCharType="end"/>
    </w:r>
    <w:r>
      <w:tab/>
      <w:t>РЕШЕНИЕ ШЕХОВА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BD" w:rsidRPr="00E4133A" w:rsidRDefault="00BE58BD" w:rsidP="00D60D87">
    <w:pPr>
      <w:pStyle w:val="ECHRHeader"/>
    </w:pPr>
    <w:r>
      <w:tab/>
      <w:t>РЕШЕНИЕ ШЕХОВА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690E82">
      <w:rPr>
        <w:rStyle w:val="PageNumber"/>
        <w:noProof/>
        <w:szCs w:val="18"/>
      </w:rPr>
      <w:t>7</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7E5FFD"/>
    <w:rsid w:val="00000067"/>
    <w:rsid w:val="000010ED"/>
    <w:rsid w:val="00002E54"/>
    <w:rsid w:val="000041F8"/>
    <w:rsid w:val="000042A8"/>
    <w:rsid w:val="00004308"/>
    <w:rsid w:val="00005BF0"/>
    <w:rsid w:val="00007154"/>
    <w:rsid w:val="000103AE"/>
    <w:rsid w:val="00011D69"/>
    <w:rsid w:val="00012AD3"/>
    <w:rsid w:val="00014566"/>
    <w:rsid w:val="00015C2D"/>
    <w:rsid w:val="00015F00"/>
    <w:rsid w:val="00022C1D"/>
    <w:rsid w:val="000336EB"/>
    <w:rsid w:val="00034987"/>
    <w:rsid w:val="000350E3"/>
    <w:rsid w:val="00054FEE"/>
    <w:rsid w:val="0005732A"/>
    <w:rsid w:val="000602DF"/>
    <w:rsid w:val="00061B05"/>
    <w:rsid w:val="00062973"/>
    <w:rsid w:val="00062D5D"/>
    <w:rsid w:val="000632D5"/>
    <w:rsid w:val="000644EE"/>
    <w:rsid w:val="00066F84"/>
    <w:rsid w:val="00071ABC"/>
    <w:rsid w:val="000856D7"/>
    <w:rsid w:val="000902AD"/>
    <w:rsid w:val="000925AD"/>
    <w:rsid w:val="000A24EB"/>
    <w:rsid w:val="000B6923"/>
    <w:rsid w:val="000C033C"/>
    <w:rsid w:val="000C350D"/>
    <w:rsid w:val="000C5F3C"/>
    <w:rsid w:val="000C6DCC"/>
    <w:rsid w:val="000D47AA"/>
    <w:rsid w:val="000D5A5E"/>
    <w:rsid w:val="000D721F"/>
    <w:rsid w:val="000E069B"/>
    <w:rsid w:val="000E0E82"/>
    <w:rsid w:val="000E1DC5"/>
    <w:rsid w:val="000E223F"/>
    <w:rsid w:val="000E35AC"/>
    <w:rsid w:val="000E7D45"/>
    <w:rsid w:val="000F5C03"/>
    <w:rsid w:val="000F7851"/>
    <w:rsid w:val="00104E23"/>
    <w:rsid w:val="00106310"/>
    <w:rsid w:val="00111B0C"/>
    <w:rsid w:val="00112D8D"/>
    <w:rsid w:val="00113BA4"/>
    <w:rsid w:val="00120D6C"/>
    <w:rsid w:val="00123B64"/>
    <w:rsid w:val="001257EC"/>
    <w:rsid w:val="00132C6A"/>
    <w:rsid w:val="00133D33"/>
    <w:rsid w:val="00134D64"/>
    <w:rsid w:val="00135A30"/>
    <w:rsid w:val="0013612C"/>
    <w:rsid w:val="00136521"/>
    <w:rsid w:val="00137FF6"/>
    <w:rsid w:val="00141650"/>
    <w:rsid w:val="00142B09"/>
    <w:rsid w:val="001457D8"/>
    <w:rsid w:val="00162A12"/>
    <w:rsid w:val="00164F52"/>
    <w:rsid w:val="00165F5D"/>
    <w:rsid w:val="00166530"/>
    <w:rsid w:val="001832BD"/>
    <w:rsid w:val="00192121"/>
    <w:rsid w:val="001943B5"/>
    <w:rsid w:val="00195134"/>
    <w:rsid w:val="001A145B"/>
    <w:rsid w:val="001A674C"/>
    <w:rsid w:val="001B3B24"/>
    <w:rsid w:val="001C0F98"/>
    <w:rsid w:val="001C2A42"/>
    <w:rsid w:val="001C5A89"/>
    <w:rsid w:val="001D42A5"/>
    <w:rsid w:val="001D54B5"/>
    <w:rsid w:val="001D63ED"/>
    <w:rsid w:val="001D7348"/>
    <w:rsid w:val="001E035B"/>
    <w:rsid w:val="001E0961"/>
    <w:rsid w:val="001E1370"/>
    <w:rsid w:val="001E3EAE"/>
    <w:rsid w:val="001E5348"/>
    <w:rsid w:val="001E6373"/>
    <w:rsid w:val="001E6F32"/>
    <w:rsid w:val="001F2145"/>
    <w:rsid w:val="001F6262"/>
    <w:rsid w:val="001F67B0"/>
    <w:rsid w:val="001F7B3D"/>
    <w:rsid w:val="002008EB"/>
    <w:rsid w:val="00205F9F"/>
    <w:rsid w:val="00210338"/>
    <w:rsid w:val="002115FC"/>
    <w:rsid w:val="002133F8"/>
    <w:rsid w:val="0021423C"/>
    <w:rsid w:val="002261A4"/>
    <w:rsid w:val="00230D00"/>
    <w:rsid w:val="00231DF7"/>
    <w:rsid w:val="00231FD1"/>
    <w:rsid w:val="002339E0"/>
    <w:rsid w:val="00233CF8"/>
    <w:rsid w:val="0023575D"/>
    <w:rsid w:val="002362F9"/>
    <w:rsid w:val="00237148"/>
    <w:rsid w:val="0024222D"/>
    <w:rsid w:val="00244B0E"/>
    <w:rsid w:val="00244F6C"/>
    <w:rsid w:val="00247622"/>
    <w:rsid w:val="002532C5"/>
    <w:rsid w:val="00260C03"/>
    <w:rsid w:val="002626B8"/>
    <w:rsid w:val="00262EEC"/>
    <w:rsid w:val="0026540E"/>
    <w:rsid w:val="0027225C"/>
    <w:rsid w:val="00275123"/>
    <w:rsid w:val="00282240"/>
    <w:rsid w:val="0028572A"/>
    <w:rsid w:val="002948AD"/>
    <w:rsid w:val="00294C05"/>
    <w:rsid w:val="00294C92"/>
    <w:rsid w:val="002A01CC"/>
    <w:rsid w:val="002A61B1"/>
    <w:rsid w:val="002A663C"/>
    <w:rsid w:val="002A66DF"/>
    <w:rsid w:val="002B035F"/>
    <w:rsid w:val="002B1E6C"/>
    <w:rsid w:val="002B444B"/>
    <w:rsid w:val="002B44D0"/>
    <w:rsid w:val="002B5887"/>
    <w:rsid w:val="002C0692"/>
    <w:rsid w:val="002C0E27"/>
    <w:rsid w:val="002C3040"/>
    <w:rsid w:val="002C4946"/>
    <w:rsid w:val="002C5AEA"/>
    <w:rsid w:val="002D022D"/>
    <w:rsid w:val="002D24BB"/>
    <w:rsid w:val="002F171B"/>
    <w:rsid w:val="002F2AF7"/>
    <w:rsid w:val="002F7E1C"/>
    <w:rsid w:val="00301A75"/>
    <w:rsid w:val="00302F70"/>
    <w:rsid w:val="0030336F"/>
    <w:rsid w:val="0030375E"/>
    <w:rsid w:val="0031102C"/>
    <w:rsid w:val="00312A30"/>
    <w:rsid w:val="00320F72"/>
    <w:rsid w:val="0032463E"/>
    <w:rsid w:val="00326224"/>
    <w:rsid w:val="0032676F"/>
    <w:rsid w:val="00326F4F"/>
    <w:rsid w:val="00331EAC"/>
    <w:rsid w:val="00337EE4"/>
    <w:rsid w:val="00340FFD"/>
    <w:rsid w:val="003506B1"/>
    <w:rsid w:val="003560BD"/>
    <w:rsid w:val="00356AC7"/>
    <w:rsid w:val="003609FA"/>
    <w:rsid w:val="0036684C"/>
    <w:rsid w:val="003710C8"/>
    <w:rsid w:val="0037453B"/>
    <w:rsid w:val="003750BE"/>
    <w:rsid w:val="00385E95"/>
    <w:rsid w:val="00387B9D"/>
    <w:rsid w:val="0039364F"/>
    <w:rsid w:val="00396686"/>
    <w:rsid w:val="0039778E"/>
    <w:rsid w:val="003A0D3F"/>
    <w:rsid w:val="003A441D"/>
    <w:rsid w:val="003B4941"/>
    <w:rsid w:val="003C5714"/>
    <w:rsid w:val="003C66BA"/>
    <w:rsid w:val="003C6B9F"/>
    <w:rsid w:val="003C6E2A"/>
    <w:rsid w:val="003D0299"/>
    <w:rsid w:val="003D0AE9"/>
    <w:rsid w:val="003E6D80"/>
    <w:rsid w:val="003F05FA"/>
    <w:rsid w:val="003F244A"/>
    <w:rsid w:val="003F30B8"/>
    <w:rsid w:val="003F4C45"/>
    <w:rsid w:val="003F5949"/>
    <w:rsid w:val="003F5F7B"/>
    <w:rsid w:val="003F7D64"/>
    <w:rsid w:val="00404161"/>
    <w:rsid w:val="00414300"/>
    <w:rsid w:val="00416FF6"/>
    <w:rsid w:val="0042455B"/>
    <w:rsid w:val="00425C67"/>
    <w:rsid w:val="00427E7A"/>
    <w:rsid w:val="004362DC"/>
    <w:rsid w:val="00436307"/>
    <w:rsid w:val="00436C49"/>
    <w:rsid w:val="00445366"/>
    <w:rsid w:val="00447F5B"/>
    <w:rsid w:val="00452F83"/>
    <w:rsid w:val="0045336E"/>
    <w:rsid w:val="00461DB0"/>
    <w:rsid w:val="00463926"/>
    <w:rsid w:val="00463AA4"/>
    <w:rsid w:val="00464097"/>
    <w:rsid w:val="004646E0"/>
    <w:rsid w:val="00464C9A"/>
    <w:rsid w:val="00474F3D"/>
    <w:rsid w:val="00477E3A"/>
    <w:rsid w:val="00481598"/>
    <w:rsid w:val="00483E5F"/>
    <w:rsid w:val="00485FF9"/>
    <w:rsid w:val="004907F0"/>
    <w:rsid w:val="004913EB"/>
    <w:rsid w:val="0049140B"/>
    <w:rsid w:val="004923A5"/>
    <w:rsid w:val="00496BFB"/>
    <w:rsid w:val="004A15C7"/>
    <w:rsid w:val="004B013B"/>
    <w:rsid w:val="004B112B"/>
    <w:rsid w:val="004C01E4"/>
    <w:rsid w:val="004C086C"/>
    <w:rsid w:val="004C1F56"/>
    <w:rsid w:val="004C27BC"/>
    <w:rsid w:val="004D15F3"/>
    <w:rsid w:val="004D347F"/>
    <w:rsid w:val="004D5311"/>
    <w:rsid w:val="004D5DCC"/>
    <w:rsid w:val="004F10AF"/>
    <w:rsid w:val="004F11A4"/>
    <w:rsid w:val="004F2389"/>
    <w:rsid w:val="004F304D"/>
    <w:rsid w:val="004F61BE"/>
    <w:rsid w:val="004F66B1"/>
    <w:rsid w:val="00502A0D"/>
    <w:rsid w:val="00511C07"/>
    <w:rsid w:val="00512D5D"/>
    <w:rsid w:val="005173A6"/>
    <w:rsid w:val="00520BAA"/>
    <w:rsid w:val="00525208"/>
    <w:rsid w:val="005257A5"/>
    <w:rsid w:val="005264C0"/>
    <w:rsid w:val="00526A8A"/>
    <w:rsid w:val="00530586"/>
    <w:rsid w:val="00531DF2"/>
    <w:rsid w:val="00533CF7"/>
    <w:rsid w:val="00535BB8"/>
    <w:rsid w:val="005442EE"/>
    <w:rsid w:val="00547353"/>
    <w:rsid w:val="005474E7"/>
    <w:rsid w:val="005512A3"/>
    <w:rsid w:val="00556C2C"/>
    <w:rsid w:val="005578CE"/>
    <w:rsid w:val="00562781"/>
    <w:rsid w:val="00563E83"/>
    <w:rsid w:val="0057271C"/>
    <w:rsid w:val="00572845"/>
    <w:rsid w:val="00573F5C"/>
    <w:rsid w:val="0057660E"/>
    <w:rsid w:val="00592772"/>
    <w:rsid w:val="00592DC2"/>
    <w:rsid w:val="0059574A"/>
    <w:rsid w:val="005A1B9B"/>
    <w:rsid w:val="005A6751"/>
    <w:rsid w:val="005B092E"/>
    <w:rsid w:val="005B152C"/>
    <w:rsid w:val="005B1EE0"/>
    <w:rsid w:val="005B2B24"/>
    <w:rsid w:val="005B3B68"/>
    <w:rsid w:val="005B4425"/>
    <w:rsid w:val="005B4B94"/>
    <w:rsid w:val="005C3EE8"/>
    <w:rsid w:val="005D2553"/>
    <w:rsid w:val="005D34F9"/>
    <w:rsid w:val="005D4190"/>
    <w:rsid w:val="005D4337"/>
    <w:rsid w:val="005D58D9"/>
    <w:rsid w:val="005D67A3"/>
    <w:rsid w:val="005E2988"/>
    <w:rsid w:val="005E2A43"/>
    <w:rsid w:val="005E3085"/>
    <w:rsid w:val="005E438A"/>
    <w:rsid w:val="005F51E1"/>
    <w:rsid w:val="005F7104"/>
    <w:rsid w:val="00610A13"/>
    <w:rsid w:val="00611C80"/>
    <w:rsid w:val="0061472E"/>
    <w:rsid w:val="00620692"/>
    <w:rsid w:val="006242CA"/>
    <w:rsid w:val="00627507"/>
    <w:rsid w:val="00633717"/>
    <w:rsid w:val="00633E63"/>
    <w:rsid w:val="006344E1"/>
    <w:rsid w:val="00650CCE"/>
    <w:rsid w:val="006545C4"/>
    <w:rsid w:val="006617C0"/>
    <w:rsid w:val="00661971"/>
    <w:rsid w:val="00661CE8"/>
    <w:rsid w:val="006623D9"/>
    <w:rsid w:val="0066550C"/>
    <w:rsid w:val="006716F2"/>
    <w:rsid w:val="00677489"/>
    <w:rsid w:val="00682BF2"/>
    <w:rsid w:val="006859CE"/>
    <w:rsid w:val="00690E82"/>
    <w:rsid w:val="00691270"/>
    <w:rsid w:val="00694BA8"/>
    <w:rsid w:val="006A037C"/>
    <w:rsid w:val="006A36F4"/>
    <w:rsid w:val="006A406F"/>
    <w:rsid w:val="006A5D3A"/>
    <w:rsid w:val="006C23D4"/>
    <w:rsid w:val="006C7BB0"/>
    <w:rsid w:val="006C7C1E"/>
    <w:rsid w:val="006D29D0"/>
    <w:rsid w:val="006D3237"/>
    <w:rsid w:val="006E2E37"/>
    <w:rsid w:val="006E3CF1"/>
    <w:rsid w:val="006E7E80"/>
    <w:rsid w:val="006F1DF9"/>
    <w:rsid w:val="006F24DB"/>
    <w:rsid w:val="006F4876"/>
    <w:rsid w:val="006F48CA"/>
    <w:rsid w:val="006F64DD"/>
    <w:rsid w:val="006F6A00"/>
    <w:rsid w:val="007000A7"/>
    <w:rsid w:val="00705B5D"/>
    <w:rsid w:val="007103E1"/>
    <w:rsid w:val="00715127"/>
    <w:rsid w:val="00715E8E"/>
    <w:rsid w:val="00723580"/>
    <w:rsid w:val="00723755"/>
    <w:rsid w:val="0073136C"/>
    <w:rsid w:val="00731F0F"/>
    <w:rsid w:val="00733250"/>
    <w:rsid w:val="007403BB"/>
    <w:rsid w:val="00741404"/>
    <w:rsid w:val="007449E5"/>
    <w:rsid w:val="007450C1"/>
    <w:rsid w:val="00746C5A"/>
    <w:rsid w:val="00747FF0"/>
    <w:rsid w:val="007509D5"/>
    <w:rsid w:val="00753876"/>
    <w:rsid w:val="00755BE7"/>
    <w:rsid w:val="00764D4E"/>
    <w:rsid w:val="00765A1F"/>
    <w:rsid w:val="0077172D"/>
    <w:rsid w:val="00774A6E"/>
    <w:rsid w:val="00775B6D"/>
    <w:rsid w:val="00776D68"/>
    <w:rsid w:val="00781A0F"/>
    <w:rsid w:val="007827EF"/>
    <w:rsid w:val="007850EE"/>
    <w:rsid w:val="00785B95"/>
    <w:rsid w:val="00790E96"/>
    <w:rsid w:val="00793366"/>
    <w:rsid w:val="0079794A"/>
    <w:rsid w:val="007A1BD8"/>
    <w:rsid w:val="007A716F"/>
    <w:rsid w:val="007B270A"/>
    <w:rsid w:val="007C0695"/>
    <w:rsid w:val="007C419A"/>
    <w:rsid w:val="007C4CC8"/>
    <w:rsid w:val="007C5031"/>
    <w:rsid w:val="007C5426"/>
    <w:rsid w:val="007C5798"/>
    <w:rsid w:val="007D4832"/>
    <w:rsid w:val="007E21B2"/>
    <w:rsid w:val="007E2C4E"/>
    <w:rsid w:val="007E5FFD"/>
    <w:rsid w:val="007F1905"/>
    <w:rsid w:val="0080048F"/>
    <w:rsid w:val="00801300"/>
    <w:rsid w:val="00802C64"/>
    <w:rsid w:val="00805E52"/>
    <w:rsid w:val="008061D0"/>
    <w:rsid w:val="00807EDF"/>
    <w:rsid w:val="00810B38"/>
    <w:rsid w:val="0081452F"/>
    <w:rsid w:val="008204C7"/>
    <w:rsid w:val="00820992"/>
    <w:rsid w:val="00823602"/>
    <w:rsid w:val="00824288"/>
    <w:rsid w:val="008255F5"/>
    <w:rsid w:val="0083014E"/>
    <w:rsid w:val="0083214A"/>
    <w:rsid w:val="00834220"/>
    <w:rsid w:val="0083761D"/>
    <w:rsid w:val="00845178"/>
    <w:rsid w:val="00845723"/>
    <w:rsid w:val="00851EF9"/>
    <w:rsid w:val="008577FD"/>
    <w:rsid w:val="00860B03"/>
    <w:rsid w:val="0086497A"/>
    <w:rsid w:val="008713A1"/>
    <w:rsid w:val="008754AB"/>
    <w:rsid w:val="0088060C"/>
    <w:rsid w:val="00880B07"/>
    <w:rsid w:val="0088534F"/>
    <w:rsid w:val="00893576"/>
    <w:rsid w:val="00893E73"/>
    <w:rsid w:val="008A43C4"/>
    <w:rsid w:val="008B02DC"/>
    <w:rsid w:val="008B0F02"/>
    <w:rsid w:val="008B4AD3"/>
    <w:rsid w:val="008B57CE"/>
    <w:rsid w:val="008B659F"/>
    <w:rsid w:val="008C26DE"/>
    <w:rsid w:val="008D2225"/>
    <w:rsid w:val="008D4752"/>
    <w:rsid w:val="008D552A"/>
    <w:rsid w:val="008E271C"/>
    <w:rsid w:val="008E418E"/>
    <w:rsid w:val="008E5BC6"/>
    <w:rsid w:val="008E6A25"/>
    <w:rsid w:val="008F4845"/>
    <w:rsid w:val="008F5193"/>
    <w:rsid w:val="008F5981"/>
    <w:rsid w:val="009013A7"/>
    <w:rsid w:val="009017FB"/>
    <w:rsid w:val="009017FC"/>
    <w:rsid w:val="00902C8F"/>
    <w:rsid w:val="00903B43"/>
    <w:rsid w:val="0090506B"/>
    <w:rsid w:val="009050C9"/>
    <w:rsid w:val="009066FC"/>
    <w:rsid w:val="009140A3"/>
    <w:rsid w:val="009144A2"/>
    <w:rsid w:val="0091510C"/>
    <w:rsid w:val="009259AC"/>
    <w:rsid w:val="00926F38"/>
    <w:rsid w:val="00934301"/>
    <w:rsid w:val="00936CD1"/>
    <w:rsid w:val="00941747"/>
    <w:rsid w:val="00941EFB"/>
    <w:rsid w:val="00947AFB"/>
    <w:rsid w:val="00947FA7"/>
    <w:rsid w:val="00951D7D"/>
    <w:rsid w:val="00952C12"/>
    <w:rsid w:val="009630C7"/>
    <w:rsid w:val="00972B55"/>
    <w:rsid w:val="009743B7"/>
    <w:rsid w:val="0098068E"/>
    <w:rsid w:val="0098228B"/>
    <w:rsid w:val="009828DA"/>
    <w:rsid w:val="00985BAB"/>
    <w:rsid w:val="00996CAC"/>
    <w:rsid w:val="00997F03"/>
    <w:rsid w:val="009A46DF"/>
    <w:rsid w:val="009B1B5F"/>
    <w:rsid w:val="009B2EC2"/>
    <w:rsid w:val="009B5982"/>
    <w:rsid w:val="009B6673"/>
    <w:rsid w:val="009C191B"/>
    <w:rsid w:val="009C2BD6"/>
    <w:rsid w:val="009C35B7"/>
    <w:rsid w:val="009D4FD3"/>
    <w:rsid w:val="009E1F32"/>
    <w:rsid w:val="009E5829"/>
    <w:rsid w:val="009E776C"/>
    <w:rsid w:val="009F04BB"/>
    <w:rsid w:val="00A130B4"/>
    <w:rsid w:val="00A1726E"/>
    <w:rsid w:val="00A204CF"/>
    <w:rsid w:val="00A23D49"/>
    <w:rsid w:val="00A27004"/>
    <w:rsid w:val="00A30C29"/>
    <w:rsid w:val="00A34DD6"/>
    <w:rsid w:val="00A36300"/>
    <w:rsid w:val="00A36819"/>
    <w:rsid w:val="00A36989"/>
    <w:rsid w:val="00A37BD7"/>
    <w:rsid w:val="00A43628"/>
    <w:rsid w:val="00A54192"/>
    <w:rsid w:val="00A6035E"/>
    <w:rsid w:val="00A6144C"/>
    <w:rsid w:val="00A66617"/>
    <w:rsid w:val="00A671F8"/>
    <w:rsid w:val="00A673A4"/>
    <w:rsid w:val="00A724AE"/>
    <w:rsid w:val="00A73329"/>
    <w:rsid w:val="00A775AA"/>
    <w:rsid w:val="00A82359"/>
    <w:rsid w:val="00A865D2"/>
    <w:rsid w:val="00A94C20"/>
    <w:rsid w:val="00A96ED6"/>
    <w:rsid w:val="00AA227F"/>
    <w:rsid w:val="00AA3BC7"/>
    <w:rsid w:val="00AA754A"/>
    <w:rsid w:val="00AB099E"/>
    <w:rsid w:val="00AB4328"/>
    <w:rsid w:val="00AB57ED"/>
    <w:rsid w:val="00AB5FA0"/>
    <w:rsid w:val="00AC6A70"/>
    <w:rsid w:val="00AD6CA8"/>
    <w:rsid w:val="00AE0A2E"/>
    <w:rsid w:val="00AE1386"/>
    <w:rsid w:val="00AE2CD5"/>
    <w:rsid w:val="00AE354C"/>
    <w:rsid w:val="00AF4B07"/>
    <w:rsid w:val="00AF6186"/>
    <w:rsid w:val="00AF7A3A"/>
    <w:rsid w:val="00B06832"/>
    <w:rsid w:val="00B11724"/>
    <w:rsid w:val="00B152C4"/>
    <w:rsid w:val="00B160DB"/>
    <w:rsid w:val="00B20836"/>
    <w:rsid w:val="00B218E0"/>
    <w:rsid w:val="00B235BB"/>
    <w:rsid w:val="00B27A44"/>
    <w:rsid w:val="00B30BBF"/>
    <w:rsid w:val="00B33C03"/>
    <w:rsid w:val="00B4396C"/>
    <w:rsid w:val="00B44E56"/>
    <w:rsid w:val="00B46543"/>
    <w:rsid w:val="00B47D33"/>
    <w:rsid w:val="00B52BE0"/>
    <w:rsid w:val="00B54133"/>
    <w:rsid w:val="00B637B9"/>
    <w:rsid w:val="00B701ED"/>
    <w:rsid w:val="00B8086C"/>
    <w:rsid w:val="00B80ED2"/>
    <w:rsid w:val="00B861B4"/>
    <w:rsid w:val="00B86DFE"/>
    <w:rsid w:val="00B87A1D"/>
    <w:rsid w:val="00B90990"/>
    <w:rsid w:val="00B922FF"/>
    <w:rsid w:val="00B92491"/>
    <w:rsid w:val="00B9281E"/>
    <w:rsid w:val="00B93925"/>
    <w:rsid w:val="00B95187"/>
    <w:rsid w:val="00B974CE"/>
    <w:rsid w:val="00BA2D55"/>
    <w:rsid w:val="00BA71B1"/>
    <w:rsid w:val="00BB0637"/>
    <w:rsid w:val="00BB345F"/>
    <w:rsid w:val="00BB5883"/>
    <w:rsid w:val="00BB68EA"/>
    <w:rsid w:val="00BC1C27"/>
    <w:rsid w:val="00BC35D0"/>
    <w:rsid w:val="00BC6BBF"/>
    <w:rsid w:val="00BD1572"/>
    <w:rsid w:val="00BE14E3"/>
    <w:rsid w:val="00BE3774"/>
    <w:rsid w:val="00BE41E5"/>
    <w:rsid w:val="00BE4435"/>
    <w:rsid w:val="00BE58BD"/>
    <w:rsid w:val="00BF0BBB"/>
    <w:rsid w:val="00BF4109"/>
    <w:rsid w:val="00BF4CC3"/>
    <w:rsid w:val="00C054C7"/>
    <w:rsid w:val="00C057B5"/>
    <w:rsid w:val="00C07421"/>
    <w:rsid w:val="00C20A6B"/>
    <w:rsid w:val="00C22687"/>
    <w:rsid w:val="00C32E4D"/>
    <w:rsid w:val="00C333A0"/>
    <w:rsid w:val="00C369E9"/>
    <w:rsid w:val="00C36A81"/>
    <w:rsid w:val="00C41974"/>
    <w:rsid w:val="00C447AD"/>
    <w:rsid w:val="00C44ABA"/>
    <w:rsid w:val="00C53F4A"/>
    <w:rsid w:val="00C54125"/>
    <w:rsid w:val="00C55B54"/>
    <w:rsid w:val="00C6098E"/>
    <w:rsid w:val="00C6152C"/>
    <w:rsid w:val="00C621C2"/>
    <w:rsid w:val="00C74810"/>
    <w:rsid w:val="00C85633"/>
    <w:rsid w:val="00C90D68"/>
    <w:rsid w:val="00C915FB"/>
    <w:rsid w:val="00C939FE"/>
    <w:rsid w:val="00C970AA"/>
    <w:rsid w:val="00CA4BDA"/>
    <w:rsid w:val="00CB1F66"/>
    <w:rsid w:val="00CB25A4"/>
    <w:rsid w:val="00CB2951"/>
    <w:rsid w:val="00CC4B10"/>
    <w:rsid w:val="00CD0F10"/>
    <w:rsid w:val="00CD282B"/>
    <w:rsid w:val="00CD4C35"/>
    <w:rsid w:val="00CD7369"/>
    <w:rsid w:val="00CE0B0E"/>
    <w:rsid w:val="00CE2F1E"/>
    <w:rsid w:val="00CE3831"/>
    <w:rsid w:val="00CE6F25"/>
    <w:rsid w:val="00D00ABB"/>
    <w:rsid w:val="00D02EEC"/>
    <w:rsid w:val="00D03551"/>
    <w:rsid w:val="00D06A63"/>
    <w:rsid w:val="00D07E0E"/>
    <w:rsid w:val="00D110AB"/>
    <w:rsid w:val="00D11478"/>
    <w:rsid w:val="00D13D5F"/>
    <w:rsid w:val="00D15ED0"/>
    <w:rsid w:val="00D2038C"/>
    <w:rsid w:val="00D21B3E"/>
    <w:rsid w:val="00D21FED"/>
    <w:rsid w:val="00D24251"/>
    <w:rsid w:val="00D343E2"/>
    <w:rsid w:val="00D361A2"/>
    <w:rsid w:val="00D44C2E"/>
    <w:rsid w:val="00D45414"/>
    <w:rsid w:val="00D53C0F"/>
    <w:rsid w:val="00D566BD"/>
    <w:rsid w:val="00D57A4D"/>
    <w:rsid w:val="00D60AA7"/>
    <w:rsid w:val="00D60D87"/>
    <w:rsid w:val="00D6435F"/>
    <w:rsid w:val="00D67404"/>
    <w:rsid w:val="00D70CA6"/>
    <w:rsid w:val="00D739A4"/>
    <w:rsid w:val="00D75E28"/>
    <w:rsid w:val="00D772C2"/>
    <w:rsid w:val="00D8008E"/>
    <w:rsid w:val="00D82C45"/>
    <w:rsid w:val="00D835EA"/>
    <w:rsid w:val="00D908A8"/>
    <w:rsid w:val="00D977B6"/>
    <w:rsid w:val="00DA3B62"/>
    <w:rsid w:val="00DA4A31"/>
    <w:rsid w:val="00DA61F2"/>
    <w:rsid w:val="00DA6C6E"/>
    <w:rsid w:val="00DA7B04"/>
    <w:rsid w:val="00DB36C2"/>
    <w:rsid w:val="00DB7196"/>
    <w:rsid w:val="00DC169B"/>
    <w:rsid w:val="00DC2AB9"/>
    <w:rsid w:val="00DC63F0"/>
    <w:rsid w:val="00DD6EE5"/>
    <w:rsid w:val="00DE1B8E"/>
    <w:rsid w:val="00DE386C"/>
    <w:rsid w:val="00DE4D35"/>
    <w:rsid w:val="00DF0549"/>
    <w:rsid w:val="00DF098B"/>
    <w:rsid w:val="00DF11C4"/>
    <w:rsid w:val="00DF1DBE"/>
    <w:rsid w:val="00DF210C"/>
    <w:rsid w:val="00DF4B6A"/>
    <w:rsid w:val="00E02C09"/>
    <w:rsid w:val="00E04D59"/>
    <w:rsid w:val="00E07847"/>
    <w:rsid w:val="00E07DA1"/>
    <w:rsid w:val="00E123CB"/>
    <w:rsid w:val="00E1557C"/>
    <w:rsid w:val="00E20E13"/>
    <w:rsid w:val="00E21DBC"/>
    <w:rsid w:val="00E275D7"/>
    <w:rsid w:val="00E27977"/>
    <w:rsid w:val="00E27DBE"/>
    <w:rsid w:val="00E31CA1"/>
    <w:rsid w:val="00E31ECF"/>
    <w:rsid w:val="00E32AB1"/>
    <w:rsid w:val="00E36C71"/>
    <w:rsid w:val="00E40404"/>
    <w:rsid w:val="00E4133A"/>
    <w:rsid w:val="00E459C6"/>
    <w:rsid w:val="00E47589"/>
    <w:rsid w:val="00E54541"/>
    <w:rsid w:val="00E54A05"/>
    <w:rsid w:val="00E574F0"/>
    <w:rsid w:val="00E640B1"/>
    <w:rsid w:val="00E64915"/>
    <w:rsid w:val="00E661D4"/>
    <w:rsid w:val="00E70091"/>
    <w:rsid w:val="00E71E4F"/>
    <w:rsid w:val="00E720F5"/>
    <w:rsid w:val="00E76D47"/>
    <w:rsid w:val="00E849F7"/>
    <w:rsid w:val="00E90302"/>
    <w:rsid w:val="00E9597F"/>
    <w:rsid w:val="00E97396"/>
    <w:rsid w:val="00EA185E"/>
    <w:rsid w:val="00EA33A9"/>
    <w:rsid w:val="00EA48A6"/>
    <w:rsid w:val="00EA592A"/>
    <w:rsid w:val="00EA737F"/>
    <w:rsid w:val="00EB14E4"/>
    <w:rsid w:val="00EB32A5"/>
    <w:rsid w:val="00EB34ED"/>
    <w:rsid w:val="00EB680F"/>
    <w:rsid w:val="00EB7BE0"/>
    <w:rsid w:val="00EC315E"/>
    <w:rsid w:val="00ED077C"/>
    <w:rsid w:val="00ED1190"/>
    <w:rsid w:val="00ED6544"/>
    <w:rsid w:val="00EE0277"/>
    <w:rsid w:val="00EE1245"/>
    <w:rsid w:val="00EE161D"/>
    <w:rsid w:val="00EE1DA9"/>
    <w:rsid w:val="00EE3E00"/>
    <w:rsid w:val="00EE4543"/>
    <w:rsid w:val="00EE5DD2"/>
    <w:rsid w:val="00EF0073"/>
    <w:rsid w:val="00EF2C85"/>
    <w:rsid w:val="00EF41F1"/>
    <w:rsid w:val="00EF4F08"/>
    <w:rsid w:val="00EF573B"/>
    <w:rsid w:val="00F00A79"/>
    <w:rsid w:val="00F00D86"/>
    <w:rsid w:val="00F00E86"/>
    <w:rsid w:val="00F00F8B"/>
    <w:rsid w:val="00F07C1E"/>
    <w:rsid w:val="00F105DB"/>
    <w:rsid w:val="00F10CC5"/>
    <w:rsid w:val="00F132BC"/>
    <w:rsid w:val="00F13D80"/>
    <w:rsid w:val="00F16AAA"/>
    <w:rsid w:val="00F16F01"/>
    <w:rsid w:val="00F17143"/>
    <w:rsid w:val="00F21161"/>
    <w:rsid w:val="00F218EF"/>
    <w:rsid w:val="00F21BC7"/>
    <w:rsid w:val="00F24C39"/>
    <w:rsid w:val="00F25CDC"/>
    <w:rsid w:val="00F266A2"/>
    <w:rsid w:val="00F32269"/>
    <w:rsid w:val="00F4457E"/>
    <w:rsid w:val="00F56A6F"/>
    <w:rsid w:val="00F5709C"/>
    <w:rsid w:val="00F622D7"/>
    <w:rsid w:val="00F64EF1"/>
    <w:rsid w:val="00F838F8"/>
    <w:rsid w:val="00F8765F"/>
    <w:rsid w:val="00F90767"/>
    <w:rsid w:val="00F90D11"/>
    <w:rsid w:val="00F92C18"/>
    <w:rsid w:val="00F95394"/>
    <w:rsid w:val="00FA685B"/>
    <w:rsid w:val="00FB0C01"/>
    <w:rsid w:val="00FC18F2"/>
    <w:rsid w:val="00FC39E5"/>
    <w:rsid w:val="00FC3A78"/>
    <w:rsid w:val="00FC5FFE"/>
    <w:rsid w:val="00FD1005"/>
    <w:rsid w:val="00FD3180"/>
    <w:rsid w:val="00FD6C75"/>
    <w:rsid w:val="00FE2A4D"/>
    <w:rsid w:val="00FE71B3"/>
    <w:rsid w:val="00FF2AC9"/>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E1370"/>
    <w:pPr>
      <w:jc w:val="both"/>
    </w:pPr>
    <w:rPr>
      <w:rFonts w:eastAsiaTheme="minorEastAsia"/>
      <w:sz w:val="24"/>
    </w:rPr>
  </w:style>
  <w:style w:type="paragraph" w:styleId="Heading1">
    <w:name w:val="heading 1"/>
    <w:basedOn w:val="Normal"/>
    <w:next w:val="Normal"/>
    <w:link w:val="Heading1Char"/>
    <w:uiPriority w:val="99"/>
    <w:semiHidden/>
    <w:rsid w:val="001E137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E137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E137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E137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E137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1E137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E1370"/>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1E137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E137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1370"/>
    <w:rPr>
      <w:rFonts w:ascii="Tahoma" w:hAnsi="Tahoma" w:cs="Tahoma"/>
      <w:sz w:val="16"/>
      <w:szCs w:val="16"/>
    </w:rPr>
  </w:style>
  <w:style w:type="character" w:customStyle="1" w:styleId="BalloonTextChar">
    <w:name w:val="Balloon Text Char"/>
    <w:basedOn w:val="DefaultParagraphFont"/>
    <w:link w:val="BalloonText"/>
    <w:uiPriority w:val="99"/>
    <w:semiHidden/>
    <w:rsid w:val="001E1370"/>
    <w:rPr>
      <w:rFonts w:ascii="Tahoma" w:eastAsiaTheme="minorEastAsia" w:hAnsi="Tahoma" w:cs="Tahoma"/>
      <w:sz w:val="16"/>
      <w:szCs w:val="16"/>
      <w:lang w:val="bg-BG"/>
    </w:rPr>
  </w:style>
  <w:style w:type="character" w:styleId="BookTitle">
    <w:name w:val="Book Title"/>
    <w:uiPriority w:val="99"/>
    <w:semiHidden/>
    <w:qFormat/>
    <w:rsid w:val="001E1370"/>
    <w:rPr>
      <w:i/>
      <w:iCs/>
      <w:smallCaps/>
      <w:spacing w:val="5"/>
    </w:rPr>
  </w:style>
  <w:style w:type="paragraph" w:customStyle="1" w:styleId="ECHRHeader">
    <w:name w:val="ECHR_Header"/>
    <w:aliases w:val="Ju_Header"/>
    <w:basedOn w:val="Header"/>
    <w:uiPriority w:val="4"/>
    <w:qFormat/>
    <w:rsid w:val="001E1370"/>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E1370"/>
    <w:pPr>
      <w:jc w:val="left"/>
    </w:pPr>
    <w:rPr>
      <w:sz w:val="8"/>
    </w:rPr>
  </w:style>
  <w:style w:type="character" w:styleId="Strong">
    <w:name w:val="Strong"/>
    <w:uiPriority w:val="99"/>
    <w:semiHidden/>
    <w:qFormat/>
    <w:rsid w:val="001E1370"/>
    <w:rPr>
      <w:b/>
      <w:bCs/>
    </w:rPr>
  </w:style>
  <w:style w:type="paragraph" w:styleId="NoSpacing">
    <w:name w:val="No Spacing"/>
    <w:basedOn w:val="Normal"/>
    <w:link w:val="NoSpacingChar"/>
    <w:semiHidden/>
    <w:qFormat/>
    <w:rsid w:val="001E1370"/>
    <w:rPr>
      <w:sz w:val="22"/>
    </w:rPr>
  </w:style>
  <w:style w:type="character" w:customStyle="1" w:styleId="NoSpacingChar">
    <w:name w:val="No Spacing Char"/>
    <w:basedOn w:val="DefaultParagraphFont"/>
    <w:link w:val="NoSpacing"/>
    <w:semiHidden/>
    <w:rsid w:val="001E1370"/>
    <w:rPr>
      <w:rFonts w:eastAsiaTheme="minorEastAsia"/>
    </w:rPr>
  </w:style>
  <w:style w:type="paragraph" w:customStyle="1" w:styleId="ECHRFooterLine">
    <w:name w:val="ECHR_Footer_Line"/>
    <w:aliases w:val="Footer_Line"/>
    <w:basedOn w:val="Normal"/>
    <w:next w:val="ECHRFooter"/>
    <w:uiPriority w:val="57"/>
    <w:semiHidden/>
    <w:rsid w:val="001E1370"/>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1E1370"/>
  </w:style>
  <w:style w:type="paragraph" w:customStyle="1" w:styleId="DecList">
    <w:name w:val="Dec_List"/>
    <w:basedOn w:val="Normal"/>
    <w:uiPriority w:val="9"/>
    <w:semiHidden/>
    <w:qFormat/>
    <w:rsid w:val="001E1370"/>
    <w:pPr>
      <w:spacing w:before="240"/>
      <w:ind w:left="284"/>
    </w:pPr>
  </w:style>
  <w:style w:type="paragraph" w:customStyle="1" w:styleId="DummyStyle">
    <w:name w:val="Dummy_Style"/>
    <w:basedOn w:val="Normal"/>
    <w:semiHidden/>
    <w:qFormat/>
    <w:rsid w:val="001E1370"/>
    <w:rPr>
      <w:color w:val="00B050"/>
    </w:rPr>
  </w:style>
  <w:style w:type="paragraph" w:customStyle="1" w:styleId="ECHRTitleCentre3">
    <w:name w:val="ECHR_Title_Centre_3"/>
    <w:aliases w:val="Ju_H_Article"/>
    <w:basedOn w:val="Normal"/>
    <w:next w:val="ECHRParaQuote"/>
    <w:uiPriority w:val="27"/>
    <w:qFormat/>
    <w:rsid w:val="001E1370"/>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E1370"/>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1E1370"/>
    <w:pPr>
      <w:numPr>
        <w:numId w:val="18"/>
      </w:numPr>
      <w:jc w:val="left"/>
    </w:pPr>
    <w:rPr>
      <w:b/>
    </w:rPr>
  </w:style>
  <w:style w:type="paragraph" w:customStyle="1" w:styleId="JuCourt">
    <w:name w:val="Ju_Court"/>
    <w:basedOn w:val="Normal"/>
    <w:next w:val="Normal"/>
    <w:uiPriority w:val="16"/>
    <w:qFormat/>
    <w:rsid w:val="001E1370"/>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1E1370"/>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1E1370"/>
    <w:pPr>
      <w:spacing w:after="240"/>
      <w:jc w:val="center"/>
      <w:outlineLvl w:val="0"/>
    </w:pPr>
    <w:rPr>
      <w:rFonts w:asciiTheme="majorHAnsi" w:hAnsiTheme="majorHAnsi"/>
    </w:rPr>
  </w:style>
  <w:style w:type="paragraph" w:customStyle="1" w:styleId="JuInitialled">
    <w:name w:val="Ju_Initialled"/>
    <w:basedOn w:val="Normal"/>
    <w:uiPriority w:val="31"/>
    <w:qFormat/>
    <w:rsid w:val="001E1370"/>
    <w:pPr>
      <w:tabs>
        <w:tab w:val="center" w:pos="6407"/>
      </w:tabs>
      <w:spacing w:before="720"/>
      <w:jc w:val="right"/>
    </w:pPr>
  </w:style>
  <w:style w:type="paragraph" w:styleId="Title">
    <w:name w:val="Title"/>
    <w:basedOn w:val="Normal"/>
    <w:next w:val="Normal"/>
    <w:link w:val="TitleChar"/>
    <w:uiPriority w:val="99"/>
    <w:semiHidden/>
    <w:qFormat/>
    <w:rsid w:val="001E137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E1370"/>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1E1370"/>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E1370"/>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E1370"/>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E1370"/>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1E1370"/>
    <w:pPr>
      <w:keepNext/>
      <w:keepLines/>
      <w:spacing w:before="240" w:after="120"/>
      <w:ind w:left="1236"/>
    </w:pPr>
    <w:rPr>
      <w:sz w:val="20"/>
    </w:rPr>
  </w:style>
  <w:style w:type="character" w:customStyle="1" w:styleId="JuITMark">
    <w:name w:val="Ju_ITMark"/>
    <w:basedOn w:val="DefaultParagraphFont"/>
    <w:uiPriority w:val="38"/>
    <w:qFormat/>
    <w:rsid w:val="001E1370"/>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1E1370"/>
    <w:rPr>
      <w:caps w:val="0"/>
      <w:smallCaps/>
    </w:rPr>
  </w:style>
  <w:style w:type="paragraph" w:customStyle="1" w:styleId="JuParaSub">
    <w:name w:val="Ju_Para_Sub"/>
    <w:basedOn w:val="ECHRPara"/>
    <w:uiPriority w:val="13"/>
    <w:qFormat/>
    <w:rsid w:val="001E1370"/>
    <w:pPr>
      <w:ind w:left="284"/>
    </w:pPr>
  </w:style>
  <w:style w:type="paragraph" w:styleId="Header">
    <w:name w:val="header"/>
    <w:basedOn w:val="Normal"/>
    <w:link w:val="HeaderChar"/>
    <w:uiPriority w:val="57"/>
    <w:semiHidden/>
    <w:rsid w:val="001E1370"/>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E1370"/>
    <w:rPr>
      <w:sz w:val="24"/>
      <w:lang w:val="bg-BG"/>
    </w:rPr>
  </w:style>
  <w:style w:type="character" w:customStyle="1" w:styleId="Heading1Char">
    <w:name w:val="Heading 1 Char"/>
    <w:basedOn w:val="DefaultParagraphFont"/>
    <w:link w:val="Heading1"/>
    <w:uiPriority w:val="99"/>
    <w:semiHidden/>
    <w:rsid w:val="001E1370"/>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1E1370"/>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E1370"/>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E1370"/>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1E1370"/>
    <w:pPr>
      <w:ind w:left="567"/>
    </w:pPr>
  </w:style>
  <w:style w:type="paragraph" w:customStyle="1" w:styleId="JuCase">
    <w:name w:val="Ju_Case"/>
    <w:basedOn w:val="Normal"/>
    <w:next w:val="ECHRPara"/>
    <w:uiPriority w:val="10"/>
    <w:rsid w:val="001E1370"/>
    <w:pPr>
      <w:ind w:firstLine="284"/>
    </w:pPr>
    <w:rPr>
      <w:b/>
    </w:rPr>
  </w:style>
  <w:style w:type="character" w:customStyle="1" w:styleId="Heading3Char">
    <w:name w:val="Heading 3 Char"/>
    <w:basedOn w:val="DefaultParagraphFont"/>
    <w:link w:val="Heading3"/>
    <w:uiPriority w:val="99"/>
    <w:semiHidden/>
    <w:rsid w:val="001E1370"/>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1E1370"/>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1E1370"/>
    <w:rPr>
      <w:rFonts w:asciiTheme="majorHAnsi" w:eastAsiaTheme="majorEastAsia" w:hAnsiTheme="majorHAnsi" w:cstheme="majorBidi"/>
      <w:b/>
      <w:bCs/>
      <w:color w:val="808080"/>
    </w:rPr>
  </w:style>
  <w:style w:type="character" w:styleId="SubtleEmphasis">
    <w:name w:val="Subtle Emphasis"/>
    <w:uiPriority w:val="99"/>
    <w:semiHidden/>
    <w:qFormat/>
    <w:rsid w:val="001E1370"/>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E1370"/>
    <w:pPr>
      <w:keepNext/>
      <w:keepLines/>
      <w:spacing w:before="720" w:after="240"/>
      <w:outlineLvl w:val="0"/>
    </w:pPr>
    <w:rPr>
      <w:rFonts w:asciiTheme="majorHAnsi" w:hAnsiTheme="majorHAnsi"/>
      <w:sz w:val="28"/>
    </w:rPr>
  </w:style>
  <w:style w:type="character" w:styleId="Emphasis">
    <w:name w:val="Emphasis"/>
    <w:uiPriority w:val="99"/>
    <w:semiHidden/>
    <w:qFormat/>
    <w:rsid w:val="001E1370"/>
    <w:rPr>
      <w:b/>
      <w:bCs/>
      <w:i/>
      <w:iCs/>
      <w:spacing w:val="10"/>
      <w:bdr w:val="none" w:sz="0" w:space="0" w:color="auto"/>
      <w:shd w:val="clear" w:color="auto" w:fill="auto"/>
    </w:rPr>
  </w:style>
  <w:style w:type="paragraph" w:styleId="Footer">
    <w:name w:val="footer"/>
    <w:basedOn w:val="Normal"/>
    <w:link w:val="FooterChar"/>
    <w:uiPriority w:val="57"/>
    <w:semiHidden/>
    <w:rsid w:val="001E137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E1370"/>
    <w:rPr>
      <w:sz w:val="24"/>
      <w:lang w:val="bg-BG"/>
    </w:rPr>
  </w:style>
  <w:style w:type="character" w:styleId="FootnoteReference">
    <w:name w:val="footnote reference"/>
    <w:basedOn w:val="DefaultParagraphFont"/>
    <w:uiPriority w:val="99"/>
    <w:semiHidden/>
    <w:rsid w:val="001E1370"/>
    <w:rPr>
      <w:vertAlign w:val="superscript"/>
    </w:rPr>
  </w:style>
  <w:style w:type="paragraph" w:styleId="FootnoteText">
    <w:name w:val="footnote text"/>
    <w:basedOn w:val="Normal"/>
    <w:link w:val="FootnoteTextChar"/>
    <w:uiPriority w:val="99"/>
    <w:semiHidden/>
    <w:rsid w:val="001E1370"/>
    <w:rPr>
      <w:sz w:val="20"/>
      <w:szCs w:val="20"/>
    </w:rPr>
  </w:style>
  <w:style w:type="character" w:customStyle="1" w:styleId="FootnoteTextChar">
    <w:name w:val="Footnote Text Char"/>
    <w:basedOn w:val="DefaultParagraphFont"/>
    <w:link w:val="FootnoteText"/>
    <w:uiPriority w:val="99"/>
    <w:semiHidden/>
    <w:rsid w:val="001E1370"/>
    <w:rPr>
      <w:rFonts w:eastAsiaTheme="minorEastAsia"/>
      <w:sz w:val="20"/>
      <w:szCs w:val="20"/>
      <w:lang w:val="bg-BG"/>
    </w:rPr>
  </w:style>
  <w:style w:type="character" w:customStyle="1" w:styleId="Heading6Char">
    <w:name w:val="Heading 6 Char"/>
    <w:basedOn w:val="DefaultParagraphFont"/>
    <w:link w:val="Heading6"/>
    <w:uiPriority w:val="99"/>
    <w:semiHidden/>
    <w:rsid w:val="001E1370"/>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1E1370"/>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1E1370"/>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1E1370"/>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1E1370"/>
    <w:rPr>
      <w:color w:val="0072BC" w:themeColor="hyperlink"/>
      <w:u w:val="single"/>
    </w:rPr>
  </w:style>
  <w:style w:type="character" w:styleId="IntenseEmphasis">
    <w:name w:val="Intense Emphasis"/>
    <w:uiPriority w:val="99"/>
    <w:semiHidden/>
    <w:qFormat/>
    <w:rsid w:val="001E1370"/>
    <w:rPr>
      <w:b/>
      <w:bCs/>
    </w:rPr>
  </w:style>
  <w:style w:type="paragraph" w:styleId="IntenseQuote">
    <w:name w:val="Intense Quote"/>
    <w:basedOn w:val="Normal"/>
    <w:next w:val="Normal"/>
    <w:link w:val="IntenseQuoteChar"/>
    <w:uiPriority w:val="99"/>
    <w:semiHidden/>
    <w:qFormat/>
    <w:rsid w:val="001E1370"/>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1E1370"/>
    <w:rPr>
      <w:rFonts w:eastAsiaTheme="minorEastAsia"/>
      <w:b/>
      <w:bCs/>
      <w:i/>
      <w:iCs/>
      <w:lang w:bidi="bg-BG"/>
    </w:rPr>
  </w:style>
  <w:style w:type="character" w:styleId="IntenseReference">
    <w:name w:val="Intense Reference"/>
    <w:uiPriority w:val="99"/>
    <w:semiHidden/>
    <w:qFormat/>
    <w:rsid w:val="001E1370"/>
    <w:rPr>
      <w:smallCaps/>
      <w:spacing w:val="5"/>
      <w:u w:val="single"/>
    </w:rPr>
  </w:style>
  <w:style w:type="paragraph" w:styleId="ListParagraph">
    <w:name w:val="List Paragraph"/>
    <w:basedOn w:val="Normal"/>
    <w:uiPriority w:val="99"/>
    <w:semiHidden/>
    <w:qFormat/>
    <w:rsid w:val="001E1370"/>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E1370"/>
    <w:pPr>
      <w:spacing w:before="200"/>
      <w:ind w:left="360" w:right="360"/>
    </w:pPr>
    <w:rPr>
      <w:i/>
      <w:iCs/>
      <w:sz w:val="22"/>
    </w:rPr>
  </w:style>
  <w:style w:type="character" w:customStyle="1" w:styleId="QuoteChar">
    <w:name w:val="Quote Char"/>
    <w:basedOn w:val="DefaultParagraphFont"/>
    <w:link w:val="Quote"/>
    <w:uiPriority w:val="99"/>
    <w:semiHidden/>
    <w:rsid w:val="001E1370"/>
    <w:rPr>
      <w:rFonts w:eastAsiaTheme="minorEastAsia"/>
      <w:i/>
      <w:iCs/>
      <w:lang w:bidi="bg-BG"/>
    </w:rPr>
  </w:style>
  <w:style w:type="character" w:styleId="SubtleReference">
    <w:name w:val="Subtle Reference"/>
    <w:uiPriority w:val="99"/>
    <w:semiHidden/>
    <w:qFormat/>
    <w:rsid w:val="001E1370"/>
    <w:rPr>
      <w:smallCaps/>
    </w:rPr>
  </w:style>
  <w:style w:type="table" w:styleId="TableGrid">
    <w:name w:val="Table Grid"/>
    <w:basedOn w:val="TableNormal"/>
    <w:uiPriority w:val="59"/>
    <w:semiHidden/>
    <w:rsid w:val="001E13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E137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1E137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1E137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1E137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1E137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1E1370"/>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E137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1E1370"/>
    <w:pPr>
      <w:spacing w:before="120" w:after="120"/>
      <w:ind w:left="425" w:firstLine="142"/>
    </w:pPr>
    <w:rPr>
      <w:sz w:val="20"/>
    </w:rPr>
  </w:style>
  <w:style w:type="paragraph" w:customStyle="1" w:styleId="ECHRPara">
    <w:name w:val="ECHR_Para"/>
    <w:aliases w:val="Ju_Para"/>
    <w:basedOn w:val="Normal"/>
    <w:link w:val="ECHRParaChar"/>
    <w:uiPriority w:val="12"/>
    <w:qFormat/>
    <w:rsid w:val="001E1370"/>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E137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E1370"/>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E1370"/>
    <w:pPr>
      <w:ind w:left="340" w:hanging="340"/>
    </w:pPr>
  </w:style>
  <w:style w:type="paragraph" w:customStyle="1" w:styleId="JuSigned">
    <w:name w:val="Ju_Signed"/>
    <w:basedOn w:val="Normal"/>
    <w:next w:val="JuParaLast"/>
    <w:uiPriority w:val="32"/>
    <w:qFormat/>
    <w:rsid w:val="001E1370"/>
    <w:pPr>
      <w:tabs>
        <w:tab w:val="center" w:pos="851"/>
        <w:tab w:val="center" w:pos="6407"/>
      </w:tabs>
      <w:spacing w:before="720"/>
      <w:jc w:val="left"/>
    </w:pPr>
  </w:style>
  <w:style w:type="paragraph" w:customStyle="1" w:styleId="JuParaLast">
    <w:name w:val="Ju_Para_Last"/>
    <w:basedOn w:val="Normal"/>
    <w:next w:val="ECHRPara"/>
    <w:uiPriority w:val="30"/>
    <w:qFormat/>
    <w:rsid w:val="001E1370"/>
    <w:pPr>
      <w:keepNext/>
      <w:keepLines/>
      <w:spacing w:before="240"/>
      <w:ind w:firstLine="284"/>
    </w:pPr>
  </w:style>
  <w:style w:type="paragraph" w:customStyle="1" w:styleId="JuTitle">
    <w:name w:val="Ju_Title"/>
    <w:basedOn w:val="Normal"/>
    <w:next w:val="ECHRPara"/>
    <w:uiPriority w:val="3"/>
    <w:semiHidden/>
    <w:qFormat/>
    <w:rsid w:val="001E1370"/>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1E1370"/>
    <w:pPr>
      <w:ind w:left="346" w:firstLine="0"/>
    </w:pPr>
  </w:style>
  <w:style w:type="paragraph" w:customStyle="1" w:styleId="JuListi">
    <w:name w:val="Ju_List_i"/>
    <w:basedOn w:val="Normal"/>
    <w:next w:val="JuLista"/>
    <w:uiPriority w:val="28"/>
    <w:qFormat/>
    <w:rsid w:val="001E1370"/>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1E1370"/>
    <w:rPr>
      <w:vertAlign w:val="superscript"/>
    </w:rPr>
  </w:style>
  <w:style w:type="paragraph" w:styleId="EndnoteText">
    <w:name w:val="endnote text"/>
    <w:basedOn w:val="Normal"/>
    <w:link w:val="EndnoteTextChar"/>
    <w:uiPriority w:val="99"/>
    <w:semiHidden/>
    <w:rsid w:val="001E1370"/>
    <w:rPr>
      <w:sz w:val="20"/>
      <w:szCs w:val="20"/>
    </w:rPr>
  </w:style>
  <w:style w:type="character" w:customStyle="1" w:styleId="EndnoteTextChar">
    <w:name w:val="Endnote Text Char"/>
    <w:basedOn w:val="DefaultParagraphFont"/>
    <w:link w:val="EndnoteText"/>
    <w:uiPriority w:val="99"/>
    <w:semiHidden/>
    <w:rsid w:val="001E1370"/>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1E1370"/>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1E1370"/>
    <w:pPr>
      <w:ind w:left="833" w:hanging="357"/>
      <w:outlineLvl w:val="3"/>
    </w:pPr>
    <w:rPr>
      <w:b/>
      <w:i w:val="0"/>
      <w:sz w:val="20"/>
    </w:rPr>
  </w:style>
  <w:style w:type="paragraph" w:styleId="Subtitle">
    <w:name w:val="Subtitle"/>
    <w:basedOn w:val="Normal"/>
    <w:next w:val="Normal"/>
    <w:link w:val="SubtitleChar"/>
    <w:uiPriority w:val="99"/>
    <w:semiHidden/>
    <w:qFormat/>
    <w:rsid w:val="001E137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E1370"/>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1E1370"/>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E137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1E137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1E1370"/>
    <w:pPr>
      <w:tabs>
        <w:tab w:val="clear" w:pos="357"/>
      </w:tabs>
      <w:outlineLvl w:val="1"/>
    </w:pPr>
    <w:rPr>
      <w:b/>
    </w:rPr>
  </w:style>
  <w:style w:type="paragraph" w:customStyle="1" w:styleId="OpiHi">
    <w:name w:val="Opi_H_i"/>
    <w:basedOn w:val="ECHRHeading4"/>
    <w:uiPriority w:val="44"/>
    <w:qFormat/>
    <w:rsid w:val="001E1370"/>
    <w:pPr>
      <w:ind w:left="1037" w:hanging="357"/>
      <w:outlineLvl w:val="4"/>
    </w:pPr>
    <w:rPr>
      <w:b w:val="0"/>
      <w:i/>
    </w:rPr>
  </w:style>
  <w:style w:type="paragraph" w:customStyle="1" w:styleId="OpiPara">
    <w:name w:val="Opi_Para"/>
    <w:basedOn w:val="ECHRPara"/>
    <w:uiPriority w:val="46"/>
    <w:qFormat/>
    <w:rsid w:val="001E1370"/>
  </w:style>
  <w:style w:type="paragraph" w:customStyle="1" w:styleId="OpiParaSub">
    <w:name w:val="Opi_Para_Sub"/>
    <w:basedOn w:val="JuParaSub"/>
    <w:uiPriority w:val="47"/>
    <w:qFormat/>
    <w:rsid w:val="001E1370"/>
  </w:style>
  <w:style w:type="paragraph" w:customStyle="1" w:styleId="OpiQuot">
    <w:name w:val="Opi_Quot"/>
    <w:basedOn w:val="ECHRParaQuote"/>
    <w:uiPriority w:val="48"/>
    <w:qFormat/>
    <w:rsid w:val="001E1370"/>
  </w:style>
  <w:style w:type="paragraph" w:customStyle="1" w:styleId="OpiQuotSub">
    <w:name w:val="Opi_Quot_Sub"/>
    <w:basedOn w:val="JuQuotSub"/>
    <w:uiPriority w:val="49"/>
    <w:qFormat/>
    <w:rsid w:val="001E1370"/>
  </w:style>
  <w:style w:type="paragraph" w:customStyle="1" w:styleId="OpiTranslation">
    <w:name w:val="Opi_Translation"/>
    <w:basedOn w:val="Normal"/>
    <w:next w:val="OpiPara"/>
    <w:uiPriority w:val="40"/>
    <w:qFormat/>
    <w:rsid w:val="001E1370"/>
    <w:pPr>
      <w:jc w:val="center"/>
      <w:outlineLvl w:val="0"/>
    </w:pPr>
    <w:rPr>
      <w:i/>
    </w:rPr>
  </w:style>
  <w:style w:type="character" w:customStyle="1" w:styleId="ECHRParaChar">
    <w:name w:val="ECHR_Para Char"/>
    <w:aliases w:val="Ju_Para Char"/>
    <w:link w:val="ECHRPara"/>
    <w:uiPriority w:val="12"/>
    <w:rsid w:val="00136521"/>
    <w:rPr>
      <w:rFonts w:eastAsiaTheme="minorEastAsia"/>
      <w:sz w:val="24"/>
      <w:lang w:val="bg-BG"/>
    </w:rPr>
  </w:style>
  <w:style w:type="character" w:customStyle="1" w:styleId="column">
    <w:name w:val="column"/>
    <w:basedOn w:val="DefaultParagraphFont"/>
    <w:rsid w:val="0005732A"/>
  </w:style>
  <w:style w:type="character" w:customStyle="1" w:styleId="CLL-Italics">
    <w:name w:val="CLL-Italics"/>
    <w:rsid w:val="0005732A"/>
    <w:rPr>
      <w:i/>
    </w:rPr>
  </w:style>
  <w:style w:type="paragraph" w:customStyle="1" w:styleId="Default">
    <w:name w:val="Default"/>
    <w:rsid w:val="002C494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277">
      <w:bodyDiv w:val="1"/>
      <w:marLeft w:val="0"/>
      <w:marRight w:val="0"/>
      <w:marTop w:val="0"/>
      <w:marBottom w:val="0"/>
      <w:divBdr>
        <w:top w:val="none" w:sz="0" w:space="0" w:color="auto"/>
        <w:left w:val="none" w:sz="0" w:space="0" w:color="auto"/>
        <w:bottom w:val="none" w:sz="0" w:space="0" w:color="auto"/>
        <w:right w:val="none" w:sz="0" w:space="0" w:color="auto"/>
      </w:divBdr>
      <w:divsChild>
        <w:div w:id="123891597">
          <w:marLeft w:val="0"/>
          <w:marRight w:val="0"/>
          <w:marTop w:val="0"/>
          <w:marBottom w:val="0"/>
          <w:divBdr>
            <w:top w:val="none" w:sz="0" w:space="0" w:color="auto"/>
            <w:left w:val="none" w:sz="0" w:space="0" w:color="auto"/>
            <w:bottom w:val="none" w:sz="0" w:space="0" w:color="auto"/>
            <w:right w:val="none" w:sz="0" w:space="0" w:color="auto"/>
          </w:divBdr>
          <w:divsChild>
            <w:div w:id="1042438707">
              <w:marLeft w:val="0"/>
              <w:marRight w:val="0"/>
              <w:marTop w:val="0"/>
              <w:marBottom w:val="0"/>
              <w:divBdr>
                <w:top w:val="none" w:sz="0" w:space="0" w:color="auto"/>
                <w:left w:val="none" w:sz="0" w:space="0" w:color="auto"/>
                <w:bottom w:val="none" w:sz="0" w:space="0" w:color="auto"/>
                <w:right w:val="none" w:sz="0" w:space="0" w:color="auto"/>
              </w:divBdr>
              <w:divsChild>
                <w:div w:id="1350988329">
                  <w:marLeft w:val="0"/>
                  <w:marRight w:val="0"/>
                  <w:marTop w:val="0"/>
                  <w:marBottom w:val="0"/>
                  <w:divBdr>
                    <w:top w:val="none" w:sz="0" w:space="0" w:color="auto"/>
                    <w:left w:val="none" w:sz="0" w:space="0" w:color="auto"/>
                    <w:bottom w:val="none" w:sz="0" w:space="0" w:color="auto"/>
                    <w:right w:val="none" w:sz="0" w:space="0" w:color="auto"/>
                  </w:divBdr>
                  <w:divsChild>
                    <w:div w:id="720905260">
                      <w:marLeft w:val="0"/>
                      <w:marRight w:val="0"/>
                      <w:marTop w:val="0"/>
                      <w:marBottom w:val="0"/>
                      <w:divBdr>
                        <w:top w:val="none" w:sz="0" w:space="0" w:color="auto"/>
                        <w:left w:val="none" w:sz="0" w:space="0" w:color="auto"/>
                        <w:bottom w:val="none" w:sz="0" w:space="0" w:color="auto"/>
                        <w:right w:val="none" w:sz="0" w:space="0" w:color="auto"/>
                      </w:divBdr>
                      <w:divsChild>
                        <w:div w:id="658921993">
                          <w:marLeft w:val="0"/>
                          <w:marRight w:val="0"/>
                          <w:marTop w:val="0"/>
                          <w:marBottom w:val="0"/>
                          <w:divBdr>
                            <w:top w:val="none" w:sz="0" w:space="0" w:color="auto"/>
                            <w:left w:val="none" w:sz="0" w:space="0" w:color="auto"/>
                            <w:bottom w:val="none" w:sz="0" w:space="0" w:color="auto"/>
                            <w:right w:val="none" w:sz="0" w:space="0" w:color="auto"/>
                          </w:divBdr>
                          <w:divsChild>
                            <w:div w:id="13159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27194">
      <w:bodyDiv w:val="1"/>
      <w:marLeft w:val="0"/>
      <w:marRight w:val="0"/>
      <w:marTop w:val="0"/>
      <w:marBottom w:val="0"/>
      <w:divBdr>
        <w:top w:val="none" w:sz="0" w:space="0" w:color="auto"/>
        <w:left w:val="none" w:sz="0" w:space="0" w:color="auto"/>
        <w:bottom w:val="none" w:sz="0" w:space="0" w:color="auto"/>
        <w:right w:val="none" w:sz="0" w:space="0" w:color="auto"/>
      </w:divBdr>
      <w:divsChild>
        <w:div w:id="1439787603">
          <w:marLeft w:val="0"/>
          <w:marRight w:val="0"/>
          <w:marTop w:val="0"/>
          <w:marBottom w:val="0"/>
          <w:divBdr>
            <w:top w:val="none" w:sz="0" w:space="0" w:color="auto"/>
            <w:left w:val="none" w:sz="0" w:space="0" w:color="auto"/>
            <w:bottom w:val="none" w:sz="0" w:space="0" w:color="auto"/>
            <w:right w:val="none" w:sz="0" w:space="0" w:color="auto"/>
          </w:divBdr>
          <w:divsChild>
            <w:div w:id="1886674906">
              <w:marLeft w:val="0"/>
              <w:marRight w:val="0"/>
              <w:marTop w:val="0"/>
              <w:marBottom w:val="0"/>
              <w:divBdr>
                <w:top w:val="none" w:sz="0" w:space="0" w:color="auto"/>
                <w:left w:val="none" w:sz="0" w:space="0" w:color="auto"/>
                <w:bottom w:val="none" w:sz="0" w:space="0" w:color="auto"/>
                <w:right w:val="none" w:sz="0" w:space="0" w:color="auto"/>
              </w:divBdr>
              <w:divsChild>
                <w:div w:id="1347168789">
                  <w:marLeft w:val="0"/>
                  <w:marRight w:val="0"/>
                  <w:marTop w:val="0"/>
                  <w:marBottom w:val="0"/>
                  <w:divBdr>
                    <w:top w:val="none" w:sz="0" w:space="0" w:color="auto"/>
                    <w:left w:val="none" w:sz="0" w:space="0" w:color="auto"/>
                    <w:bottom w:val="none" w:sz="0" w:space="0" w:color="auto"/>
                    <w:right w:val="none" w:sz="0" w:space="0" w:color="auto"/>
                  </w:divBdr>
                  <w:divsChild>
                    <w:div w:id="2057392276">
                      <w:marLeft w:val="0"/>
                      <w:marRight w:val="0"/>
                      <w:marTop w:val="0"/>
                      <w:marBottom w:val="0"/>
                      <w:divBdr>
                        <w:top w:val="none" w:sz="0" w:space="0" w:color="auto"/>
                        <w:left w:val="none" w:sz="0" w:space="0" w:color="auto"/>
                        <w:bottom w:val="none" w:sz="0" w:space="0" w:color="auto"/>
                        <w:right w:val="none" w:sz="0" w:space="0" w:color="auto"/>
                      </w:divBdr>
                      <w:divsChild>
                        <w:div w:id="225381223">
                          <w:marLeft w:val="0"/>
                          <w:marRight w:val="0"/>
                          <w:marTop w:val="0"/>
                          <w:marBottom w:val="0"/>
                          <w:divBdr>
                            <w:top w:val="none" w:sz="0" w:space="0" w:color="auto"/>
                            <w:left w:val="none" w:sz="0" w:space="0" w:color="auto"/>
                            <w:bottom w:val="none" w:sz="0" w:space="0" w:color="auto"/>
                            <w:right w:val="none" w:sz="0" w:space="0" w:color="auto"/>
                          </w:divBdr>
                          <w:divsChild>
                            <w:div w:id="1250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143416">
      <w:bodyDiv w:val="1"/>
      <w:marLeft w:val="0"/>
      <w:marRight w:val="0"/>
      <w:marTop w:val="0"/>
      <w:marBottom w:val="0"/>
      <w:divBdr>
        <w:top w:val="none" w:sz="0" w:space="0" w:color="auto"/>
        <w:left w:val="none" w:sz="0" w:space="0" w:color="auto"/>
        <w:bottom w:val="none" w:sz="0" w:space="0" w:color="auto"/>
        <w:right w:val="none" w:sz="0" w:space="0" w:color="auto"/>
      </w:divBdr>
      <w:divsChild>
        <w:div w:id="1063792858">
          <w:marLeft w:val="0"/>
          <w:marRight w:val="0"/>
          <w:marTop w:val="0"/>
          <w:marBottom w:val="0"/>
          <w:divBdr>
            <w:top w:val="none" w:sz="0" w:space="0" w:color="auto"/>
            <w:left w:val="none" w:sz="0" w:space="0" w:color="auto"/>
            <w:bottom w:val="none" w:sz="0" w:space="0" w:color="auto"/>
            <w:right w:val="none" w:sz="0" w:space="0" w:color="auto"/>
          </w:divBdr>
          <w:divsChild>
            <w:div w:id="336273755">
              <w:marLeft w:val="0"/>
              <w:marRight w:val="0"/>
              <w:marTop w:val="0"/>
              <w:marBottom w:val="0"/>
              <w:divBdr>
                <w:top w:val="none" w:sz="0" w:space="0" w:color="auto"/>
                <w:left w:val="none" w:sz="0" w:space="0" w:color="auto"/>
                <w:bottom w:val="none" w:sz="0" w:space="0" w:color="auto"/>
                <w:right w:val="none" w:sz="0" w:space="0" w:color="auto"/>
              </w:divBdr>
              <w:divsChild>
                <w:div w:id="1945115480">
                  <w:marLeft w:val="0"/>
                  <w:marRight w:val="0"/>
                  <w:marTop w:val="0"/>
                  <w:marBottom w:val="0"/>
                  <w:divBdr>
                    <w:top w:val="none" w:sz="0" w:space="0" w:color="auto"/>
                    <w:left w:val="none" w:sz="0" w:space="0" w:color="auto"/>
                    <w:bottom w:val="none" w:sz="0" w:space="0" w:color="auto"/>
                    <w:right w:val="none" w:sz="0" w:space="0" w:color="auto"/>
                  </w:divBdr>
                  <w:divsChild>
                    <w:div w:id="793594044">
                      <w:marLeft w:val="0"/>
                      <w:marRight w:val="0"/>
                      <w:marTop w:val="0"/>
                      <w:marBottom w:val="0"/>
                      <w:divBdr>
                        <w:top w:val="none" w:sz="0" w:space="0" w:color="auto"/>
                        <w:left w:val="none" w:sz="0" w:space="0" w:color="auto"/>
                        <w:bottom w:val="none" w:sz="0" w:space="0" w:color="auto"/>
                        <w:right w:val="none" w:sz="0" w:space="0" w:color="auto"/>
                      </w:divBdr>
                      <w:divsChild>
                        <w:div w:id="1096943748">
                          <w:marLeft w:val="0"/>
                          <w:marRight w:val="0"/>
                          <w:marTop w:val="0"/>
                          <w:marBottom w:val="0"/>
                          <w:divBdr>
                            <w:top w:val="none" w:sz="0" w:space="0" w:color="auto"/>
                            <w:left w:val="none" w:sz="0" w:space="0" w:color="auto"/>
                            <w:bottom w:val="none" w:sz="0" w:space="0" w:color="auto"/>
                            <w:right w:val="none" w:sz="0" w:space="0" w:color="auto"/>
                          </w:divBdr>
                          <w:divsChild>
                            <w:div w:id="9728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226453943">
      <w:bodyDiv w:val="1"/>
      <w:marLeft w:val="0"/>
      <w:marRight w:val="0"/>
      <w:marTop w:val="0"/>
      <w:marBottom w:val="0"/>
      <w:divBdr>
        <w:top w:val="none" w:sz="0" w:space="0" w:color="auto"/>
        <w:left w:val="none" w:sz="0" w:space="0" w:color="auto"/>
        <w:bottom w:val="none" w:sz="0" w:space="0" w:color="auto"/>
        <w:right w:val="none" w:sz="0" w:space="0" w:color="auto"/>
      </w:divBdr>
      <w:divsChild>
        <w:div w:id="1990985000">
          <w:marLeft w:val="0"/>
          <w:marRight w:val="0"/>
          <w:marTop w:val="0"/>
          <w:marBottom w:val="0"/>
          <w:divBdr>
            <w:top w:val="none" w:sz="0" w:space="0" w:color="auto"/>
            <w:left w:val="none" w:sz="0" w:space="0" w:color="auto"/>
            <w:bottom w:val="none" w:sz="0" w:space="0" w:color="auto"/>
            <w:right w:val="none" w:sz="0" w:space="0" w:color="auto"/>
          </w:divBdr>
          <w:divsChild>
            <w:div w:id="404693468">
              <w:marLeft w:val="0"/>
              <w:marRight w:val="0"/>
              <w:marTop w:val="0"/>
              <w:marBottom w:val="0"/>
              <w:divBdr>
                <w:top w:val="none" w:sz="0" w:space="0" w:color="auto"/>
                <w:left w:val="none" w:sz="0" w:space="0" w:color="auto"/>
                <w:bottom w:val="none" w:sz="0" w:space="0" w:color="auto"/>
                <w:right w:val="none" w:sz="0" w:space="0" w:color="auto"/>
              </w:divBdr>
              <w:divsChild>
                <w:div w:id="462845500">
                  <w:marLeft w:val="0"/>
                  <w:marRight w:val="0"/>
                  <w:marTop w:val="0"/>
                  <w:marBottom w:val="0"/>
                  <w:divBdr>
                    <w:top w:val="none" w:sz="0" w:space="0" w:color="auto"/>
                    <w:left w:val="none" w:sz="0" w:space="0" w:color="auto"/>
                    <w:bottom w:val="none" w:sz="0" w:space="0" w:color="auto"/>
                    <w:right w:val="none" w:sz="0" w:space="0" w:color="auto"/>
                  </w:divBdr>
                  <w:divsChild>
                    <w:div w:id="627592765">
                      <w:marLeft w:val="0"/>
                      <w:marRight w:val="0"/>
                      <w:marTop w:val="0"/>
                      <w:marBottom w:val="0"/>
                      <w:divBdr>
                        <w:top w:val="none" w:sz="0" w:space="0" w:color="auto"/>
                        <w:left w:val="none" w:sz="0" w:space="0" w:color="auto"/>
                        <w:bottom w:val="none" w:sz="0" w:space="0" w:color="auto"/>
                        <w:right w:val="none" w:sz="0" w:space="0" w:color="auto"/>
                      </w:divBdr>
                      <w:divsChild>
                        <w:div w:id="314800748">
                          <w:marLeft w:val="0"/>
                          <w:marRight w:val="0"/>
                          <w:marTop w:val="0"/>
                          <w:marBottom w:val="0"/>
                          <w:divBdr>
                            <w:top w:val="none" w:sz="0" w:space="0" w:color="auto"/>
                            <w:left w:val="none" w:sz="0" w:space="0" w:color="auto"/>
                            <w:bottom w:val="none" w:sz="0" w:space="0" w:color="auto"/>
                            <w:right w:val="none" w:sz="0" w:space="0" w:color="auto"/>
                          </w:divBdr>
                          <w:divsChild>
                            <w:div w:id="879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BBA9-9F74-4990-926C-90913BE3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2018-05-08T08:12:00Z</dcterms:created>
  <dcterms:modified xsi:type="dcterms:W3CDTF">2018-05-08T08:12:00Z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