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2D" w:rsidRPr="00434EEA" w:rsidRDefault="008D1D2D" w:rsidP="00434EEA">
      <w:pPr>
        <w:jc w:val="center"/>
      </w:pPr>
      <w:bookmarkStart w:id="0" w:name="_GoBack"/>
      <w:bookmarkEnd w:id="0"/>
    </w:p>
    <w:p w:rsidR="008D1D2D" w:rsidRPr="00434EEA" w:rsidRDefault="008D1D2D" w:rsidP="00434EEA">
      <w:pPr>
        <w:jc w:val="center"/>
      </w:pPr>
    </w:p>
    <w:p w:rsidR="008D1D2D" w:rsidRPr="00434EEA" w:rsidRDefault="008D1D2D" w:rsidP="00434EEA">
      <w:pPr>
        <w:jc w:val="center"/>
      </w:pPr>
    </w:p>
    <w:p w:rsidR="008D1D2D" w:rsidRPr="00434EEA" w:rsidRDefault="008D1D2D" w:rsidP="00434EEA">
      <w:pPr>
        <w:tabs>
          <w:tab w:val="left" w:pos="5529"/>
        </w:tabs>
        <w:jc w:val="center"/>
      </w:pPr>
      <w:r>
        <w:t>ПЕТО ОТДЕЛЕНИЕ</w:t>
      </w:r>
    </w:p>
    <w:p w:rsidR="008D1D2D" w:rsidRPr="00434EEA" w:rsidRDefault="008D1D2D" w:rsidP="00434EEA">
      <w:pPr>
        <w:jc w:val="center"/>
      </w:pPr>
    </w:p>
    <w:p w:rsidR="008D1D2D" w:rsidRPr="00434EEA" w:rsidRDefault="008D1D2D" w:rsidP="00434EEA">
      <w:pPr>
        <w:jc w:val="center"/>
      </w:pPr>
    </w:p>
    <w:p w:rsidR="008D1D2D" w:rsidRPr="00434EEA" w:rsidRDefault="008D1D2D" w:rsidP="00434EEA">
      <w:pPr>
        <w:jc w:val="center"/>
      </w:pPr>
    </w:p>
    <w:p w:rsidR="008D1D2D" w:rsidRPr="00865ECE" w:rsidRDefault="008D1D2D" w:rsidP="00434EEA">
      <w:pPr>
        <w:jc w:val="center"/>
      </w:pPr>
    </w:p>
    <w:p w:rsidR="008D1D2D" w:rsidRPr="00434EEA" w:rsidRDefault="008D1D2D" w:rsidP="00434EEA">
      <w:pPr>
        <w:jc w:val="center"/>
      </w:pPr>
    </w:p>
    <w:p w:rsidR="008D1D2D" w:rsidRPr="00434EEA" w:rsidRDefault="008D1D2D" w:rsidP="00434EEA">
      <w:pPr>
        <w:jc w:val="center"/>
      </w:pPr>
    </w:p>
    <w:p w:rsidR="008D1D2D" w:rsidRPr="00434EEA" w:rsidRDefault="008D1D2D" w:rsidP="00434EEA">
      <w:pPr>
        <w:jc w:val="center"/>
      </w:pPr>
    </w:p>
    <w:p w:rsidR="008D1D2D" w:rsidRPr="00434EEA" w:rsidRDefault="008D1D2D" w:rsidP="00434EEA">
      <w:pPr>
        <w:jc w:val="center"/>
        <w:outlineLvl w:val="0"/>
        <w:rPr>
          <w:b/>
        </w:rPr>
      </w:pPr>
      <w:r>
        <w:rPr>
          <w:b/>
        </w:rPr>
        <w:t xml:space="preserve">ДЕЛО РАЙКОВА </w:t>
      </w:r>
      <w:r w:rsidR="001D0697">
        <w:rPr>
          <w:b/>
        </w:rPr>
        <w:t xml:space="preserve">срещу </w:t>
      </w:r>
      <w:r>
        <w:rPr>
          <w:b/>
        </w:rPr>
        <w:t>БЪЛГАРИЯ</w:t>
      </w:r>
    </w:p>
    <w:p w:rsidR="008D1D2D" w:rsidRPr="00434EEA" w:rsidRDefault="008D1D2D" w:rsidP="00434EEA">
      <w:pPr>
        <w:jc w:val="center"/>
      </w:pPr>
    </w:p>
    <w:p w:rsidR="008D1D2D" w:rsidRPr="00434EEA" w:rsidRDefault="008D1D2D" w:rsidP="00434EEA">
      <w:pPr>
        <w:jc w:val="center"/>
        <w:rPr>
          <w:i/>
        </w:rPr>
      </w:pPr>
      <w:r>
        <w:rPr>
          <w:i/>
        </w:rPr>
        <w:t>(Жалба № 5442/11)</w:t>
      </w:r>
    </w:p>
    <w:p w:rsidR="008D1D2D" w:rsidRPr="00434EEA" w:rsidRDefault="008D1D2D" w:rsidP="00434EEA">
      <w:pPr>
        <w:jc w:val="center"/>
      </w:pPr>
    </w:p>
    <w:p w:rsidR="008D1D2D" w:rsidRPr="00434EEA" w:rsidRDefault="008D1D2D" w:rsidP="00434EEA">
      <w:pPr>
        <w:jc w:val="center"/>
      </w:pPr>
    </w:p>
    <w:p w:rsidR="008D1D2D" w:rsidRPr="00434EEA" w:rsidRDefault="008D1D2D" w:rsidP="00434EEA">
      <w:pPr>
        <w:jc w:val="center"/>
      </w:pPr>
    </w:p>
    <w:p w:rsidR="008D1D2D" w:rsidRPr="00434EEA" w:rsidRDefault="008D1D2D" w:rsidP="00434EEA">
      <w:pPr>
        <w:jc w:val="center"/>
      </w:pPr>
    </w:p>
    <w:p w:rsidR="008D1D2D" w:rsidRPr="00434EEA" w:rsidRDefault="008D1D2D" w:rsidP="00434EEA">
      <w:pPr>
        <w:jc w:val="center"/>
      </w:pPr>
    </w:p>
    <w:p w:rsidR="008D1D2D" w:rsidRPr="00434EEA" w:rsidRDefault="008D1D2D" w:rsidP="00434EEA">
      <w:pPr>
        <w:jc w:val="center"/>
      </w:pPr>
    </w:p>
    <w:p w:rsidR="008D1D2D" w:rsidRPr="00434EEA" w:rsidRDefault="008D1D2D" w:rsidP="00434EEA">
      <w:pPr>
        <w:jc w:val="center"/>
      </w:pPr>
    </w:p>
    <w:p w:rsidR="008D1D2D" w:rsidRPr="00434EEA" w:rsidRDefault="008D1D2D" w:rsidP="00434EEA">
      <w:pPr>
        <w:jc w:val="center"/>
      </w:pPr>
    </w:p>
    <w:p w:rsidR="00434EEA" w:rsidRPr="00434EEA" w:rsidRDefault="00434EEA" w:rsidP="00434EEA">
      <w:pPr>
        <w:jc w:val="center"/>
      </w:pPr>
    </w:p>
    <w:p w:rsidR="00434EEA" w:rsidRPr="00434EEA" w:rsidRDefault="00434EEA" w:rsidP="00434EEA">
      <w:pPr>
        <w:jc w:val="center"/>
      </w:pPr>
    </w:p>
    <w:p w:rsidR="00434EEA" w:rsidRPr="00434EEA" w:rsidRDefault="00434EEA" w:rsidP="00434EEA">
      <w:pPr>
        <w:jc w:val="center"/>
      </w:pPr>
    </w:p>
    <w:p w:rsidR="00434EEA" w:rsidRPr="00434EEA" w:rsidRDefault="00434EEA" w:rsidP="00434EEA">
      <w:pPr>
        <w:jc w:val="center"/>
      </w:pPr>
    </w:p>
    <w:p w:rsidR="008D1D2D" w:rsidRPr="00434EEA" w:rsidRDefault="008D1D2D" w:rsidP="00434EEA">
      <w:pPr>
        <w:jc w:val="center"/>
      </w:pPr>
    </w:p>
    <w:p w:rsidR="008D1D2D" w:rsidRPr="00434EEA" w:rsidRDefault="008D1D2D" w:rsidP="00434EEA">
      <w:pPr>
        <w:jc w:val="center"/>
      </w:pPr>
    </w:p>
    <w:p w:rsidR="008D1D2D" w:rsidRPr="00434EEA" w:rsidRDefault="008D1D2D" w:rsidP="00434EEA">
      <w:pPr>
        <w:jc w:val="center"/>
        <w:outlineLvl w:val="0"/>
      </w:pPr>
      <w:r>
        <w:t>РЕШЕНИЕ</w:t>
      </w:r>
    </w:p>
    <w:p w:rsidR="008D1D2D" w:rsidRPr="00434EEA" w:rsidRDefault="008D1D2D" w:rsidP="00434EEA">
      <w:pPr>
        <w:jc w:val="center"/>
      </w:pPr>
    </w:p>
    <w:p w:rsidR="008D1D2D" w:rsidRPr="00434EEA" w:rsidRDefault="008D1D2D" w:rsidP="00434EEA">
      <w:pPr>
        <w:jc w:val="center"/>
      </w:pPr>
    </w:p>
    <w:p w:rsidR="008D1D2D" w:rsidRPr="00434EEA" w:rsidRDefault="008D1D2D" w:rsidP="00434EEA">
      <w:pPr>
        <w:jc w:val="center"/>
        <w:rPr>
          <w:i/>
        </w:rPr>
      </w:pPr>
    </w:p>
    <w:p w:rsidR="008D1D2D" w:rsidRPr="00434EEA" w:rsidRDefault="008D1D2D" w:rsidP="00434EEA">
      <w:pPr>
        <w:jc w:val="center"/>
        <w:outlineLvl w:val="0"/>
      </w:pPr>
      <w:r>
        <w:t>СТРАСБУРГ</w:t>
      </w:r>
    </w:p>
    <w:p w:rsidR="008D1D2D" w:rsidRPr="00434EEA" w:rsidRDefault="008D1D2D" w:rsidP="00434EEA">
      <w:pPr>
        <w:jc w:val="center"/>
      </w:pPr>
    </w:p>
    <w:p w:rsidR="008D1D2D" w:rsidRPr="00434EEA" w:rsidRDefault="008D1D2D" w:rsidP="00434EEA">
      <w:pPr>
        <w:jc w:val="center"/>
      </w:pPr>
      <w:r>
        <w:t>13 октомври 2016 г.</w:t>
      </w:r>
    </w:p>
    <w:p w:rsidR="008D1D2D" w:rsidRPr="00434EEA" w:rsidRDefault="008D1D2D" w:rsidP="00434EEA">
      <w:pPr>
        <w:jc w:val="center"/>
      </w:pPr>
    </w:p>
    <w:p w:rsidR="008D1D2D" w:rsidRPr="00434EEA" w:rsidRDefault="008D1D2D" w:rsidP="00434EEA">
      <w:pPr>
        <w:jc w:val="center"/>
      </w:pPr>
    </w:p>
    <w:p w:rsidR="001A7B84" w:rsidRPr="00434EEA" w:rsidRDefault="008D1D2D" w:rsidP="00434EEA">
      <w:pPr>
        <w:rPr>
          <w:b/>
        </w:rPr>
      </w:pPr>
      <w:r>
        <w:rPr>
          <w:i/>
          <w:sz w:val="22"/>
        </w:rPr>
        <w:t>Решението е окончателно. Може да бъде предмет на редакционни промени.</w:t>
      </w:r>
    </w:p>
    <w:p w:rsidR="001A7B84" w:rsidRPr="00434EEA" w:rsidRDefault="001A7B84" w:rsidP="00434EEA">
      <w:pPr>
        <w:pStyle w:val="JuCase"/>
        <w:ind w:firstLine="0"/>
        <w:rPr>
          <w:b w:val="0"/>
        </w:rPr>
        <w:sectPr w:rsidR="001A7B84" w:rsidRPr="00434EEA" w:rsidSect="001A7B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014566" w:rsidRPr="00434EEA" w:rsidRDefault="00014566" w:rsidP="00434EEA">
      <w:pPr>
        <w:pStyle w:val="JuCase"/>
        <w:rPr>
          <w:bCs/>
        </w:rPr>
      </w:pPr>
      <w:r>
        <w:lastRenderedPageBreak/>
        <w:t>По делото Райкова срещу България,</w:t>
      </w:r>
    </w:p>
    <w:p w:rsidR="00014566" w:rsidRPr="00434EEA" w:rsidRDefault="00014566" w:rsidP="00434EEA">
      <w:pPr>
        <w:pStyle w:val="ECHRPara"/>
      </w:pPr>
      <w:r>
        <w:t>Европейският съд по правата на човека (Пето отделение), заседаващ като комитет</w:t>
      </w:r>
      <w:r w:rsidR="003B6A27" w:rsidRPr="00865ECE">
        <w:t xml:space="preserve"> </w:t>
      </w:r>
      <w:r w:rsidR="003B6A27">
        <w:t>в състав</w:t>
      </w:r>
      <w:r>
        <w:t>:</w:t>
      </w:r>
    </w:p>
    <w:p w:rsidR="00014566" w:rsidRPr="00434EEA" w:rsidRDefault="008D1D2D" w:rsidP="00434EEA">
      <w:pPr>
        <w:pStyle w:val="ECHRDecisionBody"/>
      </w:pPr>
      <w:r>
        <w:tab/>
      </w:r>
      <w:proofErr w:type="spellStart"/>
      <w:r w:rsidR="003B6A27">
        <w:t>Кх</w:t>
      </w:r>
      <w:r>
        <w:t>анлар</w:t>
      </w:r>
      <w:proofErr w:type="spellEnd"/>
      <w:r>
        <w:t xml:space="preserve"> Хаджиев (</w:t>
      </w:r>
      <w:proofErr w:type="spellStart"/>
      <w:r>
        <w:t>Khanlar</w:t>
      </w:r>
      <w:proofErr w:type="spellEnd"/>
      <w:r>
        <w:t xml:space="preserve"> </w:t>
      </w:r>
      <w:proofErr w:type="spellStart"/>
      <w:r>
        <w:t>Hajiyev</w:t>
      </w:r>
      <w:proofErr w:type="spellEnd"/>
      <w:r>
        <w:t>),</w:t>
      </w:r>
      <w:r>
        <w:rPr>
          <w:i/>
        </w:rPr>
        <w:t xml:space="preserve"> председател,</w:t>
      </w:r>
      <w:r>
        <w:rPr>
          <w:i/>
        </w:rPr>
        <w:br/>
      </w:r>
      <w:r>
        <w:tab/>
        <w:t>Фарис Вехабович (Faris Vehabović),</w:t>
      </w:r>
      <w:r>
        <w:rPr>
          <w:i/>
        </w:rPr>
        <w:br/>
      </w:r>
      <w:r>
        <w:tab/>
        <w:t>Карло Ранцони (Carlo Ranzoni),</w:t>
      </w:r>
      <w:r>
        <w:rPr>
          <w:i/>
        </w:rPr>
        <w:t xml:space="preserve"> съдии,</w:t>
      </w:r>
      <w:r>
        <w:br/>
        <w:t xml:space="preserve">и Милан </w:t>
      </w:r>
      <w:proofErr w:type="spellStart"/>
      <w:r>
        <w:t>Бла</w:t>
      </w:r>
      <w:r w:rsidR="003B6A27">
        <w:t>с</w:t>
      </w:r>
      <w:r>
        <w:t>ко</w:t>
      </w:r>
      <w:proofErr w:type="spellEnd"/>
      <w:r>
        <w:t xml:space="preserve"> (</w:t>
      </w:r>
      <w:proofErr w:type="spellStart"/>
      <w:r>
        <w:t>Milan</w:t>
      </w:r>
      <w:proofErr w:type="spellEnd"/>
      <w:r>
        <w:t xml:space="preserve"> </w:t>
      </w:r>
      <w:proofErr w:type="spellStart"/>
      <w:r>
        <w:t>Blaško</w:t>
      </w:r>
      <w:proofErr w:type="spellEnd"/>
      <w:r>
        <w:t xml:space="preserve">), </w:t>
      </w:r>
      <w:r>
        <w:rPr>
          <w:i/>
        </w:rPr>
        <w:t>заместник-секретар на отделението,</w:t>
      </w:r>
    </w:p>
    <w:p w:rsidR="00014566" w:rsidRPr="00434EEA" w:rsidRDefault="00014566" w:rsidP="00434EEA">
      <w:pPr>
        <w:pStyle w:val="ECHRPara"/>
      </w:pPr>
      <w:r>
        <w:t>След закрито заседание, проведено на 20 септември 2016 г.,</w:t>
      </w:r>
    </w:p>
    <w:p w:rsidR="00014566" w:rsidRPr="00434EEA" w:rsidRDefault="00014566" w:rsidP="00434EEA">
      <w:pPr>
        <w:pStyle w:val="ECHRPara"/>
      </w:pPr>
      <w:r>
        <w:t xml:space="preserve">Постановява следното решение, прието на </w:t>
      </w:r>
      <w:r w:rsidR="003B6A27">
        <w:t xml:space="preserve">същата </w:t>
      </w:r>
      <w:r>
        <w:t>дата:</w:t>
      </w:r>
    </w:p>
    <w:p w:rsidR="00014566" w:rsidRPr="00434EEA" w:rsidRDefault="00014566" w:rsidP="00434EEA">
      <w:pPr>
        <w:pStyle w:val="ECHRTitle1"/>
      </w:pPr>
      <w:r>
        <w:t>ПРОЦЕДУРА</w:t>
      </w:r>
    </w:p>
    <w:p w:rsidR="00E35442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1</w:t>
        </w:r>
      </w:fldSimple>
      <w:r w:rsidR="00E35442">
        <w:t>.  Делото е образувано по жалба (№ 5442/11) срещу Република България, подадена в Съда на основание чл. 34 от Конвенцията за защита на правата на човека и основните свободи (”Конвенцията”а) от българска гражданка, г-жа Райна Трифонова Райкова (”жалбоподателката”), на 11 декември 2010 г.</w:t>
      </w:r>
    </w:p>
    <w:p w:rsidR="00014566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2</w:t>
        </w:r>
      </w:fldSimple>
      <w:r w:rsidR="00E35442">
        <w:t>.  Жалбоподателката се представлява от г-жа Л. Паунова, адвокат, практикуващ в София. Българското правителство („Правителството”) се представлява от правителствения агент г-жа М. Димова от Министерство на правосъдието.</w:t>
      </w:r>
    </w:p>
    <w:p w:rsidR="00014566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3</w:t>
        </w:r>
      </w:fldSimple>
      <w:r w:rsidR="00E35442">
        <w:t xml:space="preserve">.  На 10 януари 2014 г. </w:t>
      </w:r>
      <w:r w:rsidR="00227D77">
        <w:t>Правителството е уведомено за жалбата относно</w:t>
      </w:r>
      <w:r w:rsidR="00E35442">
        <w:t xml:space="preserve"> неуспеха на властите да предоставят на жалбоподателката гараж като обезщетение за отчужден имот, а останалата част от жалбата е обявена за недопустима съгласно правило 54 § 3 от Правилника на Съда.</w:t>
      </w:r>
    </w:p>
    <w:p w:rsidR="00014566" w:rsidRPr="00434EEA" w:rsidRDefault="00014566" w:rsidP="00434EEA">
      <w:pPr>
        <w:pStyle w:val="ECHRTitle1"/>
      </w:pPr>
      <w:r>
        <w:t>ФАКТИТЕ</w:t>
      </w:r>
    </w:p>
    <w:p w:rsidR="00014566" w:rsidRPr="00434EEA" w:rsidRDefault="00014566" w:rsidP="00434EEA">
      <w:pPr>
        <w:pStyle w:val="ECHRHeading1"/>
      </w:pPr>
      <w:r>
        <w:t>I.  ОБСТОЯТЕЛСТВАТА НА ДЕЛОТО</w:t>
      </w:r>
    </w:p>
    <w:p w:rsidR="00014566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4</w:t>
        </w:r>
      </w:fldSimple>
      <w:r w:rsidR="00E35442">
        <w:t>.  Жалбоподателката е родена през 1959 г. и живее в София.</w:t>
      </w:r>
    </w:p>
    <w:p w:rsidR="007D233D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5</w:t>
        </w:r>
      </w:fldSimple>
      <w:r w:rsidR="00E35442">
        <w:t xml:space="preserve">.  Съпругът на жалбоподателката </w:t>
      </w:r>
      <w:r w:rsidR="00A52202">
        <w:t xml:space="preserve">е </w:t>
      </w:r>
      <w:r w:rsidR="00E35442">
        <w:t>притежава</w:t>
      </w:r>
      <w:r w:rsidR="00A52202">
        <w:t>л</w:t>
      </w:r>
      <w:r w:rsidR="00E35442">
        <w:t xml:space="preserve"> къща с двор и гараж в София.</w:t>
      </w:r>
    </w:p>
    <w:p w:rsidR="007D233D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6</w:t>
        </w:r>
      </w:fldSimple>
      <w:r w:rsidR="00A52202">
        <w:t xml:space="preserve">.  На 14 юни 1985 г., със заповед </w:t>
      </w:r>
      <w:r w:rsidR="006642E1">
        <w:t xml:space="preserve">на кмета на София, имотът е отчужден с оглед изграждане на училище. </w:t>
      </w:r>
      <w:r w:rsidR="00A52202">
        <w:t xml:space="preserve">Заповедта </w:t>
      </w:r>
      <w:r w:rsidR="006642E1">
        <w:t>въз основа на чл. 98 (1) от Закона за териториалното и селищно устройство от 1973 г. (ЗТСУ) посочва, че съпругът на жалбоподателката трябва да бъде обезщетен с четиристаен апартамент и гараж в сграда, която общината възнамерява да построи.</w:t>
      </w:r>
    </w:p>
    <w:p w:rsidR="007D233D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7</w:t>
        </w:r>
      </w:fldSimple>
      <w:r w:rsidR="00A52202">
        <w:t xml:space="preserve">.  С допълнителна заповед </w:t>
      </w:r>
      <w:r w:rsidR="006642E1">
        <w:t xml:space="preserve">от 12 септември 1986 г. въз основа на чл. 100 от ЗТСУ, кметът определя точното местоположение, размер и други подробности по отношение на бъдещия апартамент, който да бъде предоставен като обезщетение. Гаражът обаче не се споменава. Въпреки че след </w:t>
      </w:r>
      <w:r w:rsidR="006C423C">
        <w:t>съдебно обжалване</w:t>
      </w:r>
      <w:r w:rsidR="006642E1">
        <w:t>, иницииран</w:t>
      </w:r>
      <w:r w:rsidR="006C423C">
        <w:t>о</w:t>
      </w:r>
      <w:r w:rsidR="006642E1">
        <w:t xml:space="preserve"> от съпруга на жалбоподателката, с окончателно решение от 18 март 1987 г. Софийският градски съд нарежда на кмета да допълни </w:t>
      </w:r>
      <w:r w:rsidR="00A52202">
        <w:t xml:space="preserve">заповедта </w:t>
      </w:r>
      <w:r w:rsidR="006642E1">
        <w:t>и да посочи точния гараж, който трябва да бъде предоставен на съпруга на жалбоподателката, това не е направено.</w:t>
      </w:r>
    </w:p>
    <w:p w:rsidR="001B3205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8</w:t>
        </w:r>
      </w:fldSimple>
      <w:r w:rsidR="006642E1">
        <w:t xml:space="preserve">.  През 2004 г. общинските власти прехвърлят на съпруга на жалбоподателката собствеността върху апартамент, различен от този описан в </w:t>
      </w:r>
      <w:r w:rsidR="00A52202">
        <w:t xml:space="preserve">заповедта </w:t>
      </w:r>
      <w:r w:rsidR="006642E1">
        <w:t>от 12 септември 1986 г., което обаче той не оспорва.</w:t>
      </w:r>
    </w:p>
    <w:p w:rsidR="007D233D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9</w:t>
        </w:r>
      </w:fldSimple>
      <w:r w:rsidR="006642E1">
        <w:t>.  Съпругът на жалбоподателката умира през 2005 г. По силата на завещанието му, цялото му имущество е оставено на жалбоподателката.</w:t>
      </w:r>
    </w:p>
    <w:p w:rsidR="00D109B0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10</w:t>
        </w:r>
      </w:fldSimple>
      <w:r w:rsidR="006642E1">
        <w:t>.  С подписано от главния архитект на София писмо от 8 юли 2009 г. жалбоподателката е уведомена, че решението от 12 септември 1986 г. все още не е допълнено, за да посочи гаража, който да ѝ бъде предоставен, защото не се строят сгради с гаражи, предназначени за целта.</w:t>
      </w:r>
    </w:p>
    <w:p w:rsidR="007D233D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11</w:t>
        </w:r>
      </w:fldSimple>
      <w:r w:rsidR="006642E1">
        <w:t>.  През август 2009 г. жалбоподателката оспорва пред съда неуспеха на кмета да издаде</w:t>
      </w:r>
      <w:r w:rsidR="00A52202">
        <w:t xml:space="preserve"> заповед</w:t>
      </w:r>
      <w:r w:rsidR="006642E1">
        <w:t xml:space="preserve">, което </w:t>
      </w:r>
      <w:r w:rsidR="00E76F83">
        <w:t>уточнява</w:t>
      </w:r>
      <w:r w:rsidR="006642E1">
        <w:t xml:space="preserve"> гараж</w:t>
      </w:r>
      <w:r w:rsidR="00E76F83">
        <w:t>а</w:t>
      </w:r>
      <w:r w:rsidR="006642E1">
        <w:t xml:space="preserve">, който да ѝ бъде предоставен. </w:t>
      </w:r>
      <w:r w:rsidR="006642E1" w:rsidRPr="003C5C6F">
        <w:t>С окончателно решение от 23 юни 2010 г.</w:t>
      </w:r>
      <w:r w:rsidR="006642E1" w:rsidRPr="00524379">
        <w:t xml:space="preserve"> Върховният административен съд отхвърля иска ѝ</w:t>
      </w:r>
      <w:r w:rsidR="006642E1" w:rsidRPr="007127FF">
        <w:t xml:space="preserve"> като отбелязва, че конкретният случай не се отнася </w:t>
      </w:r>
      <w:r w:rsidR="003C5C6F" w:rsidRPr="007127FF">
        <w:t>до</w:t>
      </w:r>
      <w:r w:rsidR="003C5C6F" w:rsidRPr="003C5C6F">
        <w:t xml:space="preserve"> </w:t>
      </w:r>
      <w:r w:rsidR="006642E1" w:rsidRPr="003C5C6F">
        <w:t>определено</w:t>
      </w:r>
      <w:r w:rsidR="003C5C6F" w:rsidRPr="007127FF">
        <w:t>то</w:t>
      </w:r>
      <w:r w:rsidR="006642E1" w:rsidRPr="003C5C6F">
        <w:t xml:space="preserve"> от закона</w:t>
      </w:r>
      <w:r w:rsidR="003C5C6F">
        <w:t xml:space="preserve"> </w:t>
      </w:r>
      <w:r w:rsidR="006642E1" w:rsidRPr="003C5C6F">
        <w:t>“незакон</w:t>
      </w:r>
      <w:r w:rsidR="003C5C6F" w:rsidRPr="007127FF">
        <w:t>осъобраз</w:t>
      </w:r>
      <w:r w:rsidR="006642E1" w:rsidRPr="003C5C6F">
        <w:t xml:space="preserve">но бездействие”, а до изпълнението на съдебното решение от 18 март 1987 г. (вж. параграф 7 по-горе), което трябва да </w:t>
      </w:r>
      <w:r w:rsidR="003C5C6F" w:rsidRPr="007127FF">
        <w:t>се търси съгласно</w:t>
      </w:r>
      <w:r w:rsidR="006642E1" w:rsidRPr="003C5C6F">
        <w:t xml:space="preserve"> друга процедура.</w:t>
      </w:r>
    </w:p>
    <w:p w:rsidR="00D109B0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12</w:t>
        </w:r>
      </w:fldSimple>
      <w:r w:rsidR="006642E1">
        <w:t>.  В паралелно производство, образувано на неуточнена дата през 2009 г., жалбоподателката иска обезщетение от Столична община за неправомерния неуспех да ѝ предостав</w:t>
      </w:r>
      <w:r w:rsidR="008F3344">
        <w:t>и</w:t>
      </w:r>
      <w:r w:rsidR="006642E1">
        <w:t xml:space="preserve"> гараж. В окончателно решение от 23 септември 2010 г. Върховният административен съд обявява иска за недопустим на основание, че съдилищата вече са установили в решението от 23 юни 2010 г., че не е имало </w:t>
      </w:r>
      <w:r w:rsidR="006642E1" w:rsidRPr="003C5C6F">
        <w:t>незакон</w:t>
      </w:r>
      <w:r w:rsidR="008F3344" w:rsidRPr="007127FF">
        <w:t>осъобраз</w:t>
      </w:r>
      <w:r w:rsidR="006642E1" w:rsidRPr="003C5C6F">
        <w:t>но бездействие</w:t>
      </w:r>
      <w:r w:rsidR="006642E1">
        <w:t xml:space="preserve"> от страна на административните органи.</w:t>
      </w:r>
    </w:p>
    <w:p w:rsidR="00014566" w:rsidRPr="00434EEA" w:rsidRDefault="00014566" w:rsidP="00434EEA">
      <w:pPr>
        <w:pStyle w:val="ECHRHeading1"/>
      </w:pPr>
      <w:r>
        <w:t>II.  ПРИЛОЖИМО ВЪТРЕШНО ПРАВО И ПРАКТИКА</w:t>
      </w:r>
    </w:p>
    <w:p w:rsidR="00014566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13</w:t>
        </w:r>
      </w:fldSimple>
      <w:r w:rsidR="00E35442">
        <w:t xml:space="preserve">.  Приложимото вътрешно право и практика са обобщени в решението на Съда по делото </w:t>
      </w:r>
      <w:r w:rsidR="00E35442">
        <w:rPr>
          <w:i/>
        </w:rPr>
        <w:t xml:space="preserve">Кирилова и други срещу България </w:t>
      </w:r>
      <w:r w:rsidR="00E35442">
        <w:t>(№ 42908/98, 44038/98, 44816/98 и 7319/02, §§ 72-79, 9 юни 2005 г.).</w:t>
      </w:r>
    </w:p>
    <w:p w:rsidR="00014566" w:rsidRPr="00434EEA" w:rsidRDefault="00D01976" w:rsidP="00434EEA">
      <w:pPr>
        <w:pStyle w:val="ECHRTitle1"/>
      </w:pPr>
      <w:r>
        <w:lastRenderedPageBreak/>
        <w:t>ПРАВОТО</w:t>
      </w:r>
    </w:p>
    <w:p w:rsidR="00014566" w:rsidRPr="00434EEA" w:rsidRDefault="00014566" w:rsidP="00434EEA">
      <w:pPr>
        <w:pStyle w:val="ECHRHeading1"/>
      </w:pPr>
      <w:r>
        <w:t>I. ТВЪРД</w:t>
      </w:r>
      <w:r w:rsidR="00D01976">
        <w:t>ЯНО</w:t>
      </w:r>
      <w:r>
        <w:t xml:space="preserve"> НАРУШЕНИ</w:t>
      </w:r>
      <w:r w:rsidR="00D01976">
        <w:t>Е</w:t>
      </w:r>
      <w:r>
        <w:t xml:space="preserve"> НА ЧЛ. 1 ОТ ПРОТОКОЛ № 1</w:t>
      </w:r>
    </w:p>
    <w:p w:rsidR="00D109B0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14</w:t>
        </w:r>
      </w:fldSimple>
      <w:r w:rsidR="00E35442">
        <w:t xml:space="preserve">.  Жалбоподателката се оплаква, че </w:t>
      </w:r>
      <w:r w:rsidR="00D01976">
        <w:t xml:space="preserve">в продължение на много години </w:t>
      </w:r>
      <w:r w:rsidR="00E35442">
        <w:t>властите в София не ѝ предоставят гаража, който ѝ се полага, както и че не е разполагала с ефективно вътрешноправно средство за защита в това отношение.</w:t>
      </w:r>
    </w:p>
    <w:p w:rsidR="00D109B0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15</w:t>
        </w:r>
      </w:fldSimple>
      <w:r w:rsidR="00D109B0">
        <w:t xml:space="preserve">.  Жалбоподателката се позовава на чл. 1 от Протокол № 1 и чл. 13 и чл. 17 от Конвенцията. Съдът </w:t>
      </w:r>
      <w:r w:rsidR="00D44202">
        <w:t>счита</w:t>
      </w:r>
      <w:r w:rsidR="00D109B0">
        <w:t xml:space="preserve">, че е достатъчно да разгледа оплакванията </w:t>
      </w:r>
      <w:r w:rsidR="00D44202">
        <w:t>единствено съгласно</w:t>
      </w:r>
      <w:r w:rsidR="00D109B0">
        <w:t xml:space="preserve"> чл. 1 от Протокол № 1, който гласи:</w:t>
      </w:r>
    </w:p>
    <w:p w:rsidR="00E35442" w:rsidRPr="00434EEA" w:rsidRDefault="00E35442" w:rsidP="00434EEA">
      <w:pPr>
        <w:pStyle w:val="ECHRParaQuote"/>
      </w:pPr>
      <w:r>
        <w:t>"Βсяко физическо или юридическо лице има право мирно да се ползва от своите притежания. Никой не може да бъде лишен от своите притежания освен в интерес на обществото и съгласно условията, предвидени в закона и в общите принципи на международното право.</w:t>
      </w:r>
    </w:p>
    <w:p w:rsidR="00014566" w:rsidRPr="00434EEA" w:rsidRDefault="00E35442" w:rsidP="00434EEA">
      <w:pPr>
        <w:pStyle w:val="ECHRParaQuote"/>
      </w:pPr>
      <w:r>
        <w:t>Предходните разпоредби не накърняват по никакъв начин правото на държавите да въвеждат такива закони,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глоби."</w:t>
      </w:r>
    </w:p>
    <w:p w:rsidR="001B3205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16</w:t>
        </w:r>
      </w:fldSimple>
      <w:r w:rsidR="008F3595">
        <w:t xml:space="preserve">.  Правителството </w:t>
      </w:r>
      <w:r w:rsidR="00D44202">
        <w:t xml:space="preserve">прави </w:t>
      </w:r>
      <w:r w:rsidR="008F3595">
        <w:t>комент</w:t>
      </w:r>
      <w:r w:rsidR="00D44202">
        <w:t>ари относно</w:t>
      </w:r>
      <w:r w:rsidR="008F3595">
        <w:t xml:space="preserve"> допустимостта и </w:t>
      </w:r>
      <w:r w:rsidR="00D44202">
        <w:t xml:space="preserve">съществото </w:t>
      </w:r>
      <w:r w:rsidR="008F3595">
        <w:t>на жалбата.</w:t>
      </w:r>
    </w:p>
    <w:p w:rsidR="00014566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17</w:t>
        </w:r>
      </w:fldSimple>
      <w:r w:rsidR="00E35442">
        <w:t xml:space="preserve">.  Съдът отбелязва, че жалбата не е явно необоснована по смисъла на чл. 35 § 3 (а) от Конвенцията. Той отбелязва още, че тя не е недопустима на други основания. Следователно тя </w:t>
      </w:r>
      <w:r w:rsidR="00D44202">
        <w:t>е</w:t>
      </w:r>
      <w:r w:rsidR="00E35442">
        <w:t xml:space="preserve"> допустима.</w:t>
      </w:r>
    </w:p>
    <w:p w:rsidR="00D109B0" w:rsidRPr="00434EEA" w:rsidRDefault="00AB4FE9" w:rsidP="00434EEA">
      <w:pPr>
        <w:pStyle w:val="ECHRPara"/>
        <w:rPr>
          <w:i/>
        </w:rPr>
      </w:pPr>
      <w:fldSimple w:instr=" SEQ level0 \*arabic ">
        <w:r w:rsidR="00434EEA" w:rsidRPr="00434EEA">
          <w:rPr>
            <w:noProof/>
          </w:rPr>
          <w:t>18</w:t>
        </w:r>
      </w:fldSimple>
      <w:r w:rsidR="00E35442">
        <w:t xml:space="preserve">.  По </w:t>
      </w:r>
      <w:r w:rsidR="00F36BF7">
        <w:t xml:space="preserve">съществото </w:t>
      </w:r>
      <w:r w:rsidR="00E35442">
        <w:t>Съдът първо отбелязва, че случаят е подобен на тези, разгледани от него в</w:t>
      </w:r>
      <w:r w:rsidR="00E35442">
        <w:rPr>
          <w:i/>
        </w:rPr>
        <w:t xml:space="preserve"> Кирилова и други</w:t>
      </w:r>
      <w:r w:rsidR="00E35442">
        <w:t xml:space="preserve">, цитирано по-горе (вж. също </w:t>
      </w:r>
      <w:r w:rsidR="00E35442">
        <w:rPr>
          <w:i/>
        </w:rPr>
        <w:t>Лазаров срещу България</w:t>
      </w:r>
      <w:r w:rsidR="00E35442">
        <w:t xml:space="preserve">, № 21352/02, 22 май 2008 г.; </w:t>
      </w:r>
      <w:r w:rsidR="00E35442">
        <w:rPr>
          <w:i/>
        </w:rPr>
        <w:t>Антонови срещу България</w:t>
      </w:r>
      <w:r w:rsidR="00E35442">
        <w:t xml:space="preserve">, № 20827/02, 1 октомври 2009 г.; </w:t>
      </w:r>
      <w:r w:rsidR="00E35442">
        <w:rPr>
          <w:i/>
        </w:rPr>
        <w:t>Дичев срещу България</w:t>
      </w:r>
      <w:r w:rsidR="00E35442">
        <w:t xml:space="preserve">, № 1355/04, 27 януари 2011 г.; и </w:t>
      </w:r>
      <w:r w:rsidR="00E35442">
        <w:rPr>
          <w:i/>
        </w:rPr>
        <w:t>Балездрови срещу България</w:t>
      </w:r>
      <w:r w:rsidR="00E35442">
        <w:t xml:space="preserve"> [Комитет], № 36772/06, 20 септември 2011 г.).</w:t>
      </w:r>
    </w:p>
    <w:p w:rsidR="00D109B0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19</w:t>
        </w:r>
      </w:fldSimple>
      <w:r w:rsidR="00E35442">
        <w:t>.  Както в тези случаи (вж. например</w:t>
      </w:r>
      <w:r w:rsidR="00E35442">
        <w:rPr>
          <w:i/>
        </w:rPr>
        <w:t xml:space="preserve"> Кирилова и други</w:t>
      </w:r>
      <w:r w:rsidR="00E35442">
        <w:t xml:space="preserve">, § 104, и </w:t>
      </w:r>
      <w:r w:rsidR="00E35442">
        <w:rPr>
          <w:i/>
        </w:rPr>
        <w:t>Антонови</w:t>
      </w:r>
      <w:r w:rsidR="00E35442">
        <w:t xml:space="preserve">, § 28) Съдът </w:t>
      </w:r>
      <w:r w:rsidR="008E0CE5">
        <w:t>счита</w:t>
      </w:r>
      <w:r w:rsidR="00E35442">
        <w:t>, че решението за отчуждаване от 1985 г., в което се посочва, че съпругът на жалбоподателката трябва да получи гараж като обезщетение (вж. параграф 6 по-горе), създава за него и за жалбоподателката като негов наследник право, което не се оспорва от властите и се определя като “притежание” по смисъла на чл. 1 от Протокол № 1. Неуспехът на властите да предоставят този гараж представлява намеса в правата на жалбоподател</w:t>
      </w:r>
      <w:r w:rsidR="00F36BF7">
        <w:t>ката</w:t>
      </w:r>
      <w:r w:rsidR="00E35442">
        <w:t xml:space="preserve">, която </w:t>
      </w:r>
      <w:r w:rsidR="008E0CE5">
        <w:t>трябва да се</w:t>
      </w:r>
      <w:r w:rsidR="00E35442">
        <w:t xml:space="preserve"> разгледа в рамките на първото изречение на първия параграф на чл. 1 от Протокол № 1, </w:t>
      </w:r>
      <w:r w:rsidR="008E0CE5">
        <w:t xml:space="preserve">който </w:t>
      </w:r>
      <w:r w:rsidR="00E35442">
        <w:t xml:space="preserve">определя общо принципа </w:t>
      </w:r>
      <w:r w:rsidR="008E0CE5">
        <w:t>з</w:t>
      </w:r>
      <w:r w:rsidR="00E35442">
        <w:t xml:space="preserve">а мирно ползване на </w:t>
      </w:r>
      <w:r w:rsidR="008E0CE5">
        <w:t xml:space="preserve">притежанията </w:t>
      </w:r>
      <w:r w:rsidR="00E35442">
        <w:t xml:space="preserve">(вж. </w:t>
      </w:r>
      <w:r w:rsidR="00E35442">
        <w:rPr>
          <w:i/>
        </w:rPr>
        <w:t>Кирилова и други</w:t>
      </w:r>
      <w:r w:rsidR="00E35442">
        <w:t xml:space="preserve">, § 105, и </w:t>
      </w:r>
      <w:r w:rsidR="00E35442">
        <w:rPr>
          <w:i/>
        </w:rPr>
        <w:t>Лазаров</w:t>
      </w:r>
      <w:r w:rsidR="00E35442">
        <w:t>, § 28, и двете цитирани по-горе).</w:t>
      </w:r>
    </w:p>
    <w:p w:rsidR="00823C0C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20</w:t>
        </w:r>
      </w:fldSimple>
      <w:r w:rsidR="00E35442">
        <w:t xml:space="preserve">.  За да установи дали българската държава е изпълнила задълженията си по чл. 1 от Протокол № 1, Съдът трябва да </w:t>
      </w:r>
      <w:r w:rsidR="00DC6FDB">
        <w:t xml:space="preserve">определи </w:t>
      </w:r>
      <w:r w:rsidR="00E35442">
        <w:t xml:space="preserve">дали е постигнат справедлив баланс между общия интерес и правата на жалбоподателката. Много големите закъснения </w:t>
      </w:r>
      <w:r w:rsidR="00DC6FDB">
        <w:t xml:space="preserve">при </w:t>
      </w:r>
      <w:r w:rsidR="00E35442">
        <w:t xml:space="preserve">плащането на обезщетения в съчетание с нежеланието на властите </w:t>
      </w:r>
      <w:r w:rsidR="00DC6FDB">
        <w:t xml:space="preserve">да </w:t>
      </w:r>
      <w:r w:rsidR="00E35442">
        <w:t>разреша</w:t>
      </w:r>
      <w:r w:rsidR="00DC6FDB">
        <w:t>т</w:t>
      </w:r>
      <w:r w:rsidR="00E35442">
        <w:t xml:space="preserve"> проблема са фактори, които наред с другото, могат да нарушат този баланс (вж. </w:t>
      </w:r>
      <w:r w:rsidR="00E35442">
        <w:rPr>
          <w:i/>
        </w:rPr>
        <w:t>Кирилова и други</w:t>
      </w:r>
      <w:r w:rsidR="00E35442">
        <w:t>, цитирано по-горе, § 123).</w:t>
      </w:r>
    </w:p>
    <w:p w:rsidR="00014566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21</w:t>
        </w:r>
      </w:fldSimple>
      <w:r w:rsidR="00823C0C">
        <w:t>.  Правото на съпруга на жалбоподателката и на жалбоподателката</w:t>
      </w:r>
      <w:r w:rsidR="00EE78A6">
        <w:t>,</w:t>
      </w:r>
      <w:r w:rsidR="00823C0C">
        <w:t xml:space="preserve"> като негов наследник</w:t>
      </w:r>
      <w:r w:rsidR="00EE78A6">
        <w:t>,</w:t>
      </w:r>
      <w:r w:rsidR="00823C0C">
        <w:t xml:space="preserve"> да получи гараж възниква през 1985 г., преди тридесет и една години, като двадесет и четири от тях, а именно след 7 септември 1992 г., когато Конвенцията влиза в сила за България, са в рамките на времевата компетентност на Съда. Единственото обяснение, предоставено от властите - изявлението на главният архитект на София от 2009 г., че към момента не се строят сгради с гаражи, предназначени за целите на обезщетение (вж. параграф 10 по-горе) - не може да бъде валидно </w:t>
      </w:r>
      <w:r w:rsidR="00B712D3">
        <w:t xml:space="preserve">оправдание </w:t>
      </w:r>
      <w:r w:rsidR="00823C0C">
        <w:t xml:space="preserve">за такова дълго забавяне, като се има предвид, че е задължение именно на общинските власти да </w:t>
      </w:r>
      <w:r w:rsidR="00C85DE6">
        <w:t xml:space="preserve">построят </w:t>
      </w:r>
      <w:r w:rsidR="00823C0C">
        <w:t>гаража, който трябва да бъде предоставен на жалбоподател</w:t>
      </w:r>
      <w:r w:rsidR="00C85DE6">
        <w:t>ката</w:t>
      </w:r>
      <w:r w:rsidR="00823C0C">
        <w:t>.</w:t>
      </w:r>
    </w:p>
    <w:p w:rsidR="00823C0C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22</w:t>
        </w:r>
      </w:fldSimple>
      <w:r w:rsidR="00E35442">
        <w:t xml:space="preserve">.  В случаи като настоящия е задължение на властите да действат своевременно и по подходящ и последователен начин. Вместо това, както е отбелязано по-горе, те </w:t>
      </w:r>
      <w:r w:rsidR="00CA6723">
        <w:t xml:space="preserve">възприемат </w:t>
      </w:r>
      <w:r w:rsidR="00E35442">
        <w:t>пасив</w:t>
      </w:r>
      <w:r w:rsidR="00CA6723">
        <w:t>е</w:t>
      </w:r>
      <w:r w:rsidR="00E35442">
        <w:t xml:space="preserve">н </w:t>
      </w:r>
      <w:r w:rsidR="00CA6723">
        <w:t>подход</w:t>
      </w:r>
      <w:r w:rsidR="00E35442">
        <w:t>, оставяйки жалбоподателката в положение на несигурност по отношение на това дали и кога тя ще получи обезщетението, на което има право. Към това трябва да се добави и липсата на ефективни вътрешн</w:t>
      </w:r>
      <w:r w:rsidR="00CA6723">
        <w:t>о</w:t>
      </w:r>
      <w:r w:rsidR="00E35442">
        <w:t xml:space="preserve">правни средства за защита за </w:t>
      </w:r>
      <w:r w:rsidR="00CA6723">
        <w:t xml:space="preserve">поправяне </w:t>
      </w:r>
      <w:r w:rsidR="00E35442">
        <w:t xml:space="preserve">на ситуацията. Това положение не може да се счита за съвместимо със задълженията на държавата по чл. 1 от Протокол № 1 (вж. </w:t>
      </w:r>
      <w:r w:rsidR="00E35442">
        <w:rPr>
          <w:i/>
        </w:rPr>
        <w:t>Кирилова и други</w:t>
      </w:r>
      <w:r w:rsidR="00E35442">
        <w:t xml:space="preserve">, §§ 121 и 123, </w:t>
      </w:r>
      <w:r w:rsidR="00E35442">
        <w:rPr>
          <w:i/>
        </w:rPr>
        <w:t>Антонови</w:t>
      </w:r>
      <w:r w:rsidR="00E35442">
        <w:t xml:space="preserve">, § 30, и </w:t>
      </w:r>
      <w:r w:rsidR="00E35442">
        <w:rPr>
          <w:i/>
        </w:rPr>
        <w:t>Дичев</w:t>
      </w:r>
      <w:r w:rsidR="00E35442">
        <w:t>, § 30, всички цитирани по-горе).</w:t>
      </w:r>
    </w:p>
    <w:p w:rsidR="00823C0C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23</w:t>
        </w:r>
      </w:fldSimple>
      <w:r w:rsidR="00823C0C">
        <w:t>.  Следователно е налице нарушение на тази разпоредба.</w:t>
      </w:r>
    </w:p>
    <w:p w:rsidR="00014566" w:rsidRPr="00434EEA" w:rsidRDefault="00E35442" w:rsidP="00434EEA">
      <w:pPr>
        <w:pStyle w:val="ECHRHeading1"/>
      </w:pPr>
      <w:r>
        <w:t>II.  ПРИЛОЖЕНИЕ НА ЧЛ. 41 ОТ КОНВЕНЦИЯТА</w:t>
      </w:r>
    </w:p>
    <w:p w:rsidR="00014566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24</w:t>
        </w:r>
      </w:fldSimple>
      <w:r w:rsidR="00E35442">
        <w:t>.  Чл. 41 от Конвенцията гласи:</w:t>
      </w:r>
    </w:p>
    <w:p w:rsidR="00014566" w:rsidRPr="00434EEA" w:rsidRDefault="00014566" w:rsidP="00434EEA">
      <w:pPr>
        <w:pStyle w:val="ECHRParaQuote"/>
        <w:keepNext/>
        <w:keepLines/>
      </w:pPr>
      <w:r>
        <w:t xml:space="preserve">“Ако Съдът установи нарушение на Конвенцията или на  </w:t>
      </w:r>
      <w:r>
        <w:br/>
        <w:t>Протоколите към нея и ако вътрешното право на съответната 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страна.”</w:t>
      </w:r>
    </w:p>
    <w:p w:rsidR="00014566" w:rsidRPr="00434EEA" w:rsidRDefault="00014566" w:rsidP="00434EEA">
      <w:pPr>
        <w:pStyle w:val="ECHRHeading2"/>
      </w:pPr>
      <w:r>
        <w:t>А. Имуществени вреди</w:t>
      </w:r>
    </w:p>
    <w:p w:rsidR="00CB28C4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25</w:t>
        </w:r>
      </w:fldSimple>
      <w:r w:rsidR="00E35442">
        <w:t xml:space="preserve">.  За имуществени вреди жалбоподателката претендира на първо място 15 630 евро за стойността на гаража, който ѝ се полага. Претенцията се основава на експертна оценка от септември 2014 г., поръчана от жалбоподателката, която взема предвид характеристиките на гараж от 22 квадратни метра в района, в който апартаментът, първоначално предложен на съпруга на жалбоподателката (виж параграфи 7-8 по-горе), е трябвало да се намира. </w:t>
      </w:r>
      <w:r w:rsidR="00900C98">
        <w:t xml:space="preserve">Вещото лице </w:t>
      </w:r>
      <w:r w:rsidR="00E35442">
        <w:t xml:space="preserve">основава оценката си </w:t>
      </w:r>
      <w:r w:rsidR="00900C98">
        <w:t xml:space="preserve">на </w:t>
      </w:r>
      <w:r w:rsidR="00E35442">
        <w:t>оферти за продажба на равностойни имоти в района, както и на данни за разходите за изграждане на подобен гараж.</w:t>
      </w:r>
    </w:p>
    <w:p w:rsidR="003F4DBE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26</w:t>
        </w:r>
      </w:fldSimple>
      <w:r w:rsidR="00040700">
        <w:t xml:space="preserve">.  По позицията </w:t>
      </w:r>
      <w:r w:rsidR="006F37E3">
        <w:t xml:space="preserve">за </w:t>
      </w:r>
      <w:r w:rsidR="00040700">
        <w:t>имуществени вреди жалбоподателката претендира в допълнение 21 000 евро за “пазарен наем” за гаража в продължение на 25 години, позовавайки се на експертната оценка по-горе, която също оценява средният наем за гараж от типа, описан в не</w:t>
      </w:r>
      <w:r w:rsidR="00540801">
        <w:t>я</w:t>
      </w:r>
      <w:r w:rsidR="00040700">
        <w:t>, за периода 2012-14 г. На последно място жалбоподателката претендира възстановяване на 9</w:t>
      </w:r>
      <w:r w:rsidR="00540801">
        <w:t xml:space="preserve"> </w:t>
      </w:r>
      <w:r w:rsidR="00040700">
        <w:t>964 евро, платени между 2005 г. и 2014 г. за застрахов</w:t>
      </w:r>
      <w:r w:rsidR="00540801">
        <w:t>ка</w:t>
      </w:r>
      <w:r w:rsidR="00040700">
        <w:t xml:space="preserve"> на колата ѝ.</w:t>
      </w:r>
    </w:p>
    <w:p w:rsidR="00014566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27</w:t>
        </w:r>
      </w:fldSimple>
      <w:r w:rsidR="00040700">
        <w:t>.  Правителството оспорва претенциите, като твърди по-конкретно, че заключенията от експертния доклад отн</w:t>
      </w:r>
      <w:r w:rsidR="00540801">
        <w:t>осно</w:t>
      </w:r>
      <w:r w:rsidR="00040700">
        <w:t xml:space="preserve"> пазарната стойност на гаража са “произволни” и че няма нужда </w:t>
      </w:r>
      <w:r w:rsidR="00540801">
        <w:t xml:space="preserve">да се присъжда </w:t>
      </w:r>
      <w:r w:rsidR="00040700">
        <w:t>на жалбоподателката</w:t>
      </w:r>
      <w:r w:rsidR="001D0697">
        <w:t xml:space="preserve"> </w:t>
      </w:r>
      <w:r w:rsidR="00040700">
        <w:t>“пазарен наем” за гаража и</w:t>
      </w:r>
      <w:r w:rsidR="00C64064">
        <w:t xml:space="preserve"> сумата,</w:t>
      </w:r>
      <w:r w:rsidR="00040700">
        <w:t xml:space="preserve"> платената за застрахов</w:t>
      </w:r>
      <w:r w:rsidR="00C64064">
        <w:t>ка</w:t>
      </w:r>
      <w:r w:rsidR="00040700">
        <w:t>.</w:t>
      </w:r>
    </w:p>
    <w:p w:rsidR="00040700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28</w:t>
        </w:r>
      </w:fldSimple>
      <w:r w:rsidR="006642E1">
        <w:t>.  </w:t>
      </w:r>
      <w:r w:rsidR="00EF6B4D">
        <w:t>Относно</w:t>
      </w:r>
      <w:r w:rsidR="006642E1">
        <w:t xml:space="preserve"> вредите, произтичащи от продължаващия неуспех на властите да предоставят гаража, който се полага на жалбоподателката, Съдът първо отбелязва, че кметът на София не е взел необходимото решение, което </w:t>
      </w:r>
      <w:r w:rsidR="005703A1">
        <w:t xml:space="preserve">да уточнява </w:t>
      </w:r>
      <w:r w:rsidR="006642E1">
        <w:t xml:space="preserve">характеристики като местоположение и размери на този гараж. Поради тази причина Съдът не счита, че е подходящо, както е правил в други случаи от същия тип (вж. например </w:t>
      </w:r>
      <w:r w:rsidR="006642E1">
        <w:rPr>
          <w:i/>
        </w:rPr>
        <w:t>Кирилова и други срещу България</w:t>
      </w:r>
      <w:r w:rsidR="006642E1">
        <w:t xml:space="preserve"> (справедливо обезщетение), № 42908/98, 44038/98, 44816/98 и 7319/02, § 27, 14 юни 2007 г., и </w:t>
      </w:r>
      <w:r w:rsidR="006642E1">
        <w:rPr>
          <w:i/>
        </w:rPr>
        <w:t>Дичев</w:t>
      </w:r>
      <w:r w:rsidR="006642E1">
        <w:t xml:space="preserve">, цитирано по-горе, § 42), да даде указания на Правителството да предостави на жалбоподателката имота, който ѝ се полага. Съдът </w:t>
      </w:r>
      <w:r w:rsidR="005703A1">
        <w:t>счита</w:t>
      </w:r>
      <w:r w:rsidR="006642E1">
        <w:t xml:space="preserve">, че ответното Правителството трябва да заплати на жалбоподателката сума, съответстваща на текущата средна стойност на гараж в София. Като </w:t>
      </w:r>
      <w:r w:rsidR="00745594">
        <w:t>взе</w:t>
      </w:r>
      <w:r w:rsidR="006642E1">
        <w:t>ма предвид информацията, предоставена от жалбоподателката, както и други данни, свързани с пазара на имоти в София, с които разполага, той оценява тази стойност на 11 000 евро.</w:t>
      </w:r>
    </w:p>
    <w:p w:rsidR="004F4CDE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29</w:t>
        </w:r>
      </w:fldSimple>
      <w:r w:rsidR="00E20ACD">
        <w:t xml:space="preserve">.  Съдът на второ място констатира, че е оправдано да присъди на жалбоподателката обезщетение за всяка загуба на възможност поради това, че не е </w:t>
      </w:r>
      <w:r w:rsidR="00301AD2">
        <w:t>могла</w:t>
      </w:r>
      <w:r w:rsidR="00E20ACD">
        <w:t xml:space="preserve"> да използва </w:t>
      </w:r>
      <w:r w:rsidR="00301AD2">
        <w:t xml:space="preserve">и разполага с </w:t>
      </w:r>
      <w:r w:rsidR="00E20ACD">
        <w:t xml:space="preserve">полагащия ѝ се гараж в продължение на значителен период от време (вж. </w:t>
      </w:r>
      <w:r w:rsidR="00E20ACD">
        <w:rPr>
          <w:i/>
        </w:rPr>
        <w:t>Кирилова и други</w:t>
      </w:r>
      <w:r w:rsidR="00E20ACD">
        <w:t xml:space="preserve"> (справедливо обезщетение), цитирано по-горе § 33 ). Съдът </w:t>
      </w:r>
      <w:r w:rsidR="00A93A67">
        <w:t xml:space="preserve">обаче </w:t>
      </w:r>
      <w:r w:rsidR="00E20ACD">
        <w:t xml:space="preserve">не може да </w:t>
      </w:r>
      <w:r w:rsidR="00A93A67">
        <w:t xml:space="preserve">се придържа към </w:t>
      </w:r>
      <w:r w:rsidR="00E20ACD">
        <w:t xml:space="preserve">метода, предложен от жалбоподателката (вж. параграф 26 по-горе), поради няколко причини. Първо, не е ясно дали жалбоподателката е щяла да отдава </w:t>
      </w:r>
      <w:r w:rsidR="00315B1E">
        <w:t xml:space="preserve">гаража </w:t>
      </w:r>
      <w:r w:rsidR="00E20ACD">
        <w:t xml:space="preserve">под наем, ако той ѝ е бил предоставен, или е щяла сама да го ползва. На второ място, жалбоподателката неизбежно би </w:t>
      </w:r>
      <w:r w:rsidR="00315B1E">
        <w:t xml:space="preserve">изпитала </w:t>
      </w:r>
      <w:r w:rsidR="00E20ACD">
        <w:t>известни забавяния при намирането на подходящи наематели</w:t>
      </w:r>
      <w:r w:rsidR="00315B1E">
        <w:t xml:space="preserve"> и</w:t>
      </w:r>
      <w:r w:rsidR="00E20ACD">
        <w:t xml:space="preserve"> би </w:t>
      </w:r>
      <w:r w:rsidR="00315B1E">
        <w:t xml:space="preserve">имала </w:t>
      </w:r>
      <w:r w:rsidR="00E20ACD">
        <w:t xml:space="preserve">разходи за поддържане на имота, </w:t>
      </w:r>
      <w:r w:rsidR="00315B1E" w:rsidRPr="00315B1E">
        <w:t xml:space="preserve">а доходите от наеми биха </w:t>
      </w:r>
      <w:r w:rsidR="00E20ACD">
        <w:t>подлеж</w:t>
      </w:r>
      <w:r w:rsidR="00315B1E">
        <w:t>ал</w:t>
      </w:r>
      <w:r w:rsidR="00E20ACD">
        <w:t>и на данъчно облагане. На последно място с оглед на икономическите реалности в България, не е реалистично да се предполага, че наемът за период</w:t>
      </w:r>
      <w:r w:rsidR="005869BF">
        <w:t>а</w:t>
      </w:r>
      <w:r w:rsidR="00E20ACD">
        <w:t xml:space="preserve"> след 7 септември 1992 е щял да бъде равен на този, начисляван понастоящем (вж. </w:t>
      </w:r>
      <w:r w:rsidR="00E20ACD">
        <w:rPr>
          <w:i/>
        </w:rPr>
        <w:t>Кирилова и други</w:t>
      </w:r>
      <w:r w:rsidR="00E20ACD">
        <w:t xml:space="preserve"> (справедливо обезщетение), §§ 28</w:t>
      </w:r>
      <w:r w:rsidR="00E20ACD">
        <w:noBreakHyphen/>
        <w:t xml:space="preserve">30, и </w:t>
      </w:r>
      <w:r w:rsidR="00E20ACD">
        <w:rPr>
          <w:i/>
        </w:rPr>
        <w:t>Дичев</w:t>
      </w:r>
      <w:r w:rsidR="00E20ACD">
        <w:t>, § 43, и двете цитирани по-горе). Така, като взема предвид броя на неизмерими</w:t>
      </w:r>
      <w:r w:rsidR="006F6E95">
        <w:t>те</w:t>
      </w:r>
      <w:r w:rsidR="00E20ACD">
        <w:t xml:space="preserve"> фактори, Съдът трябва да се произнесе по справедливост. Той присъжда на жалбоподателката 4 000 евро по настоящата позиция, плюс всякак</w:t>
      </w:r>
      <w:r w:rsidR="006029B1">
        <w:t>ви</w:t>
      </w:r>
      <w:r w:rsidR="00E20ACD">
        <w:t xml:space="preserve"> данъ</w:t>
      </w:r>
      <w:r w:rsidR="006029B1">
        <w:t>ци</w:t>
      </w:r>
      <w:r w:rsidR="00E20ACD">
        <w:t>, ко</w:t>
      </w:r>
      <w:r w:rsidR="006029B1">
        <w:t>и</w:t>
      </w:r>
      <w:r w:rsidR="00E20ACD">
        <w:t>то мо</w:t>
      </w:r>
      <w:r w:rsidR="006029B1">
        <w:t>гат</w:t>
      </w:r>
      <w:r w:rsidR="00E20ACD">
        <w:t xml:space="preserve"> да бъд</w:t>
      </w:r>
      <w:r w:rsidR="006029B1">
        <w:t>ат</w:t>
      </w:r>
      <w:r w:rsidR="00E20ACD">
        <w:t xml:space="preserve"> начислен</w:t>
      </w:r>
      <w:r w:rsidR="006029B1">
        <w:t>и</w:t>
      </w:r>
      <w:r w:rsidR="00E20ACD">
        <w:t>.</w:t>
      </w:r>
    </w:p>
    <w:p w:rsidR="004F4CDE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30</w:t>
        </w:r>
      </w:fldSimple>
      <w:r w:rsidR="006642E1">
        <w:t>.  На</w:t>
      </w:r>
      <w:r w:rsidR="005B3D95">
        <w:t>края</w:t>
      </w:r>
      <w:r w:rsidR="006642E1">
        <w:t xml:space="preserve"> Съдът отхвърля </w:t>
      </w:r>
      <w:r w:rsidR="005B3D95">
        <w:t xml:space="preserve">претенцията на жалбоподателката </w:t>
      </w:r>
      <w:r w:rsidR="006642E1">
        <w:t>за възстановяване на сумата, платена за автомобилн</w:t>
      </w:r>
      <w:r w:rsidR="005B3D95">
        <w:t>а</w:t>
      </w:r>
      <w:r w:rsidR="006642E1">
        <w:t xml:space="preserve"> застрахов</w:t>
      </w:r>
      <w:r w:rsidR="005B3D95">
        <w:t>к</w:t>
      </w:r>
      <w:r w:rsidR="006642E1">
        <w:t>а (вж. параграф 27 по-горе), като не вижда пряка причинно-следствена връзка между нея и установеното нарушение в случая.</w:t>
      </w:r>
    </w:p>
    <w:p w:rsidR="004F4CDE" w:rsidRPr="00434EEA" w:rsidRDefault="004F4CDE" w:rsidP="00434EEA">
      <w:pPr>
        <w:pStyle w:val="ECHRHeading2"/>
      </w:pPr>
      <w:r>
        <w:t>Б. Неимуществени вреди</w:t>
      </w:r>
    </w:p>
    <w:p w:rsidR="00FA46FD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31</w:t>
        </w:r>
      </w:fldSimple>
      <w:r w:rsidR="006642E1">
        <w:t>.  По тази позиция жалбоподателката претендира 1</w:t>
      </w:r>
      <w:r w:rsidR="006E46CA">
        <w:t xml:space="preserve">0 </w:t>
      </w:r>
      <w:r w:rsidR="006642E1">
        <w:t>000 евро. Правителството оспорва претенцията като прекомерна.</w:t>
      </w:r>
    </w:p>
    <w:p w:rsidR="00FA46FD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32</w:t>
        </w:r>
      </w:fldSimple>
      <w:r w:rsidR="006642E1">
        <w:t xml:space="preserve">.  Съдът </w:t>
      </w:r>
      <w:r w:rsidR="006E46CA">
        <w:t>счита</w:t>
      </w:r>
      <w:r w:rsidR="006642E1">
        <w:t xml:space="preserve">, че жалбоподателката </w:t>
      </w:r>
      <w:r w:rsidR="006E46CA">
        <w:t>несъмнено</w:t>
      </w:r>
      <w:r w:rsidR="006642E1">
        <w:t xml:space="preserve"> е изпитала безсилие в резултат на продължителния неуспех на властите да предоставят гаража, на който тя има право. Като взема предвид </w:t>
      </w:r>
      <w:r w:rsidR="00636CE5">
        <w:t>приложимите</w:t>
      </w:r>
      <w:r w:rsidR="006642E1">
        <w:t xml:space="preserve"> обстоятелства, Съдът присъжда на жалбоподателката 2 000 евро по отношение на неимуществени вреди.</w:t>
      </w:r>
    </w:p>
    <w:p w:rsidR="00014566" w:rsidRPr="00434EEA" w:rsidRDefault="004F4CDE" w:rsidP="00434EEA">
      <w:pPr>
        <w:pStyle w:val="ECHRHeading2"/>
      </w:pPr>
      <w:r>
        <w:t>В. Разходи и разноски</w:t>
      </w:r>
    </w:p>
    <w:p w:rsidR="00B833D0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33</w:t>
        </w:r>
      </w:fldSimple>
      <w:r w:rsidR="00E35442">
        <w:t xml:space="preserve">.  За производството пред Съда жалбоподателката претендира на първо 3000 лева, равностойността на 1530 евро, за работата, извършена от нейния адвокат. В подкрепа на тази претенция тя представя договор за </w:t>
      </w:r>
      <w:r w:rsidR="00204601">
        <w:t xml:space="preserve">процесуално </w:t>
      </w:r>
      <w:r w:rsidR="00E35442">
        <w:t>представителство. Тя също претендира 19</w:t>
      </w:r>
      <w:r w:rsidR="00204601">
        <w:t>.</w:t>
      </w:r>
      <w:r w:rsidR="00E35442">
        <w:t>2</w:t>
      </w:r>
      <w:r w:rsidR="00204601">
        <w:t>0</w:t>
      </w:r>
      <w:r w:rsidR="00E35442">
        <w:t xml:space="preserve"> лева, равностойността  на 10 евро, за пощенски разходи, и 128 лева, равностойността на 65 евро, за превод, като представя съответните квитанции.</w:t>
      </w:r>
    </w:p>
    <w:p w:rsidR="00B833D0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34</w:t>
        </w:r>
      </w:fldSimple>
      <w:r w:rsidR="006639E6">
        <w:t>.  Жалбоподателката претендира също възстановяване на 626</w:t>
      </w:r>
      <w:r w:rsidR="00204601">
        <w:t>.</w:t>
      </w:r>
      <w:r w:rsidR="006639E6">
        <w:t xml:space="preserve">90 лева, равностойността на 320 евро, за разходи и разноски, направени от нея в </w:t>
      </w:r>
      <w:r w:rsidR="00A92614">
        <w:t xml:space="preserve">националното </w:t>
      </w:r>
      <w:r w:rsidR="006639E6">
        <w:t>производство, описано в параграфи 11-12 по-горе. В подкрепа на тази претенция тя представ</w:t>
      </w:r>
      <w:r w:rsidR="00204601">
        <w:t>я</w:t>
      </w:r>
      <w:r w:rsidR="006639E6">
        <w:t xml:space="preserve"> договори за </w:t>
      </w:r>
      <w:r w:rsidR="00204601">
        <w:t xml:space="preserve">процесуално </w:t>
      </w:r>
      <w:r w:rsidR="006639E6">
        <w:t>представителство и квитанции, удостоверяващи плащането на съдебни такси.</w:t>
      </w:r>
    </w:p>
    <w:p w:rsidR="00014566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35</w:t>
        </w:r>
      </w:fldSimple>
      <w:r w:rsidR="00E35442">
        <w:t>.  Правителството оспорва претенциите, свързани с производството пред Съда, като прекомерни, и моли Съда да отхвърли изцяло претенциите, произтичащи от националното производство.</w:t>
      </w:r>
    </w:p>
    <w:p w:rsidR="006639E6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36</w:t>
        </w:r>
      </w:fldSimple>
      <w:r w:rsidR="006639E6">
        <w:t>.  Като взема предвид обстоятелствата по делото и по-конкретно факта, че делото е повтарящо се (вж. съдебна</w:t>
      </w:r>
      <w:r w:rsidR="00A92614">
        <w:t>та</w:t>
      </w:r>
      <w:r w:rsidR="006639E6">
        <w:t xml:space="preserve"> практика, цитирана в параграф 18 по-горе), Съдът смята, че е разумно да присъди сумата от 1000 евро за </w:t>
      </w:r>
      <w:r w:rsidR="00A92614">
        <w:t xml:space="preserve">процесуалното </w:t>
      </w:r>
      <w:r w:rsidR="006639E6">
        <w:t>представителство на жалбоподателката в производството пред него. В допълнение той присъжда на жалбоподателката разноските, направени от нея за пощенски разходи и превод, на обща стойност 75 евро (вж. параграф 34 по-горе), като отбелязва, че те изглежда са действително и необходимо направени и са разум</w:t>
      </w:r>
      <w:r w:rsidR="00A92614">
        <w:t>ни по</w:t>
      </w:r>
      <w:r w:rsidR="006639E6">
        <w:t xml:space="preserve"> размер.</w:t>
      </w:r>
    </w:p>
    <w:p w:rsidR="00014566" w:rsidRPr="00434EEA" w:rsidRDefault="00AB4FE9" w:rsidP="00434EEA">
      <w:pPr>
        <w:pStyle w:val="ECHRPara"/>
        <w:keepNext/>
        <w:keepLines/>
      </w:pPr>
      <w:fldSimple w:instr=" SEQ level0 \*arabic ">
        <w:r w:rsidR="00434EEA" w:rsidRPr="00434EEA">
          <w:rPr>
            <w:noProof/>
          </w:rPr>
          <w:t>37</w:t>
        </w:r>
      </w:fldSimple>
      <w:r w:rsidR="00E35442">
        <w:t xml:space="preserve">.  Що се отнася до претенцията относно разходите в </w:t>
      </w:r>
      <w:r w:rsidR="003A78B5">
        <w:t xml:space="preserve">националното </w:t>
      </w:r>
      <w:r w:rsidR="00E35442">
        <w:t xml:space="preserve">производство, Съдът отбелязва, че производството, описано в параграф 11 по-горе, не е </w:t>
      </w:r>
      <w:r w:rsidR="003A78B5">
        <w:t>целяло</w:t>
      </w:r>
      <w:r w:rsidR="00E35442">
        <w:t xml:space="preserve"> избягване на нарушението, </w:t>
      </w:r>
      <w:r w:rsidR="003A78B5">
        <w:t xml:space="preserve">констатирано </w:t>
      </w:r>
      <w:r w:rsidR="00E35442">
        <w:t xml:space="preserve">в случая, или получаване на обезщетение за него, тъй като, както е отбелязано от Върховния административен съд, жалбоподателката не е </w:t>
      </w:r>
      <w:r w:rsidR="003A78B5">
        <w:t>следвала приложимата</w:t>
      </w:r>
      <w:r w:rsidR="00E35442">
        <w:t xml:space="preserve"> процедура. </w:t>
      </w:r>
      <w:r w:rsidR="003A78B5">
        <w:t>Относно</w:t>
      </w:r>
      <w:r w:rsidR="00E35442">
        <w:t xml:space="preserve"> деликтното производството (вж. параграф 12 по-горе) Съдът </w:t>
      </w:r>
      <w:r w:rsidR="003A78B5">
        <w:t>счита</w:t>
      </w:r>
      <w:r w:rsidR="00E35442">
        <w:t xml:space="preserve">, че то по принцип </w:t>
      </w:r>
      <w:r w:rsidR="003A78B5">
        <w:t>може</w:t>
      </w:r>
      <w:r w:rsidR="00E35442">
        <w:t xml:space="preserve"> да предостави </w:t>
      </w:r>
      <w:r w:rsidR="003A78B5">
        <w:t>обезщетение с</w:t>
      </w:r>
      <w:r w:rsidR="00E35442">
        <w:t>а нарушаване</w:t>
      </w:r>
      <w:r w:rsidR="00C94AC7">
        <w:t>то</w:t>
      </w:r>
      <w:r w:rsidR="00E35442">
        <w:t xml:space="preserve"> на правата на жалбоподателката (вж. например </w:t>
      </w:r>
      <w:r w:rsidR="00E35442">
        <w:rPr>
          <w:i/>
        </w:rPr>
        <w:t>Антонови</w:t>
      </w:r>
      <w:r w:rsidR="00E35442">
        <w:t>, цитирано по-горе, § 13, където жалбоподателите получават обезщетение, като прибягват до същата процедура). Жалбоподателката обаче не посоч</w:t>
      </w:r>
      <w:r w:rsidR="00C94AC7">
        <w:t>ва</w:t>
      </w:r>
      <w:r w:rsidR="00E35442">
        <w:t xml:space="preserve"> </w:t>
      </w:r>
      <w:r w:rsidR="00C94AC7">
        <w:t xml:space="preserve">коя </w:t>
      </w:r>
      <w:r w:rsidR="00E35442">
        <w:t xml:space="preserve">част от разходите, претендирани от нея, произтичат от това производство и Съдът не може да спекулира по този въпрос. </w:t>
      </w:r>
      <w:r w:rsidR="00C94AC7">
        <w:t xml:space="preserve">Следователно </w:t>
      </w:r>
      <w:r w:rsidR="00E35442">
        <w:t xml:space="preserve">Съдът отхвърля претенцията, свързана с </w:t>
      </w:r>
      <w:r w:rsidR="00C94AC7">
        <w:t xml:space="preserve">националното </w:t>
      </w:r>
      <w:r w:rsidR="00E35442">
        <w:t>производство, в нейната цялост.</w:t>
      </w:r>
    </w:p>
    <w:p w:rsidR="00014566" w:rsidRPr="00434EEA" w:rsidRDefault="004F4CDE" w:rsidP="00434EEA">
      <w:pPr>
        <w:pStyle w:val="ECHRHeading2"/>
      </w:pPr>
      <w:r>
        <w:t>В. Лихва за забава</w:t>
      </w:r>
    </w:p>
    <w:p w:rsidR="00014566" w:rsidRPr="00434EEA" w:rsidRDefault="00AB4FE9" w:rsidP="00434EEA">
      <w:pPr>
        <w:pStyle w:val="ECHRPara"/>
      </w:pPr>
      <w:fldSimple w:instr=" SEQ level0 \*arabic ">
        <w:r w:rsidR="00434EEA" w:rsidRPr="00434EEA">
          <w:rPr>
            <w:noProof/>
          </w:rPr>
          <w:t>38</w:t>
        </w:r>
      </w:fldSimple>
      <w:r w:rsidR="00E35442">
        <w:t>.  Накрая Съдът счита за уместно лихвата за забава да бъде обвързана с пределната ставка по заеми на Европейската централна банка, към която се добавят три процентни пункта.</w:t>
      </w:r>
    </w:p>
    <w:p w:rsidR="00014566" w:rsidRPr="00434EEA" w:rsidRDefault="00BB5883" w:rsidP="00434EEA">
      <w:pPr>
        <w:pStyle w:val="ECHRTitle1"/>
      </w:pPr>
      <w:r>
        <w:t>ПО ТЕЗИ СЪОБРАЖЕНИЯ СЪДЪТ ЕДИНОДУШНО</w:t>
      </w:r>
    </w:p>
    <w:p w:rsidR="00B637B9" w:rsidRPr="00434EEA" w:rsidRDefault="00B637B9" w:rsidP="00434EEA">
      <w:pPr>
        <w:pStyle w:val="JuList"/>
      </w:pPr>
      <w:r>
        <w:t>1.  </w:t>
      </w:r>
      <w:r>
        <w:rPr>
          <w:i/>
        </w:rPr>
        <w:t>Обявява</w:t>
      </w:r>
      <w:r>
        <w:t xml:space="preserve"> жалбата за допустима;</w:t>
      </w:r>
    </w:p>
    <w:p w:rsidR="00014566" w:rsidRPr="00434EEA" w:rsidRDefault="00014566" w:rsidP="00434EEA">
      <w:pPr>
        <w:pStyle w:val="JuList"/>
        <w:ind w:left="0" w:firstLine="0"/>
      </w:pPr>
    </w:p>
    <w:p w:rsidR="00014566" w:rsidRPr="00434EEA" w:rsidRDefault="00E35442" w:rsidP="00434EEA">
      <w:pPr>
        <w:pStyle w:val="JuList"/>
      </w:pPr>
      <w:r>
        <w:t>2.  </w:t>
      </w:r>
      <w:r>
        <w:rPr>
          <w:i/>
        </w:rPr>
        <w:t>Приема</w:t>
      </w:r>
      <w:r>
        <w:t>, че е налице нарушение на чл. 1 от Протокол № 1;</w:t>
      </w:r>
    </w:p>
    <w:p w:rsidR="00014566" w:rsidRPr="00434EEA" w:rsidRDefault="00014566" w:rsidP="00434EEA">
      <w:pPr>
        <w:pStyle w:val="JuList"/>
      </w:pPr>
    </w:p>
    <w:p w:rsidR="00E35442" w:rsidRPr="00434EEA" w:rsidRDefault="00E35442" w:rsidP="00434EEA">
      <w:pPr>
        <w:pStyle w:val="JuList"/>
      </w:pPr>
      <w:r>
        <w:t>3.  </w:t>
      </w:r>
      <w:r>
        <w:rPr>
          <w:i/>
        </w:rPr>
        <w:t>Приема,</w:t>
      </w:r>
    </w:p>
    <w:p w:rsidR="00014566" w:rsidRPr="00434EEA" w:rsidRDefault="00014566" w:rsidP="00434EEA">
      <w:pPr>
        <w:pStyle w:val="JuLista"/>
      </w:pPr>
      <w:r>
        <w:t xml:space="preserve">(а) че държавата-ответник трябва да заплати на жалбоподателката в срок от три месеца следните суми, които се </w:t>
      </w:r>
      <w:r w:rsidR="00C94AC7">
        <w:t xml:space="preserve">конвертират </w:t>
      </w:r>
      <w:r>
        <w:t>в български лева по курса</w:t>
      </w:r>
      <w:r w:rsidR="00C94AC7">
        <w:t>, валиден</w:t>
      </w:r>
      <w:r>
        <w:t xml:space="preserve"> към датата на плащането:</w:t>
      </w:r>
    </w:p>
    <w:p w:rsidR="00014566" w:rsidRPr="00434EEA" w:rsidRDefault="00014566" w:rsidP="00434EEA">
      <w:pPr>
        <w:pStyle w:val="JuListi"/>
      </w:pPr>
      <w:r>
        <w:t>(i) 15 000 евро (петнадесет хиляди евро), плюс всякакви данъци, които биха могли да се начислят, по отношение на имуществени вреди;</w:t>
      </w:r>
    </w:p>
    <w:p w:rsidR="00014566" w:rsidRPr="00434EEA" w:rsidRDefault="00014566" w:rsidP="00434EEA">
      <w:pPr>
        <w:pStyle w:val="JuListi"/>
      </w:pPr>
      <w:r>
        <w:t>(ii) 2 000 евро (две хиляди евро), плюс всякакви данъци, които биха могли да се начислят, по отношение на неимуществени вреди;</w:t>
      </w:r>
    </w:p>
    <w:p w:rsidR="00014566" w:rsidRPr="00434EEA" w:rsidRDefault="00014566" w:rsidP="00434EEA">
      <w:pPr>
        <w:pStyle w:val="JuListi"/>
      </w:pPr>
      <w:r>
        <w:t>(iii) 1 075 евро (хиляда и седемдесет и пет евро), плюс всякакви данъци, които биха могли да се начислят на жалбоподателката по отношение на разходи и разноски;</w:t>
      </w:r>
    </w:p>
    <w:p w:rsidR="00014566" w:rsidRPr="00434EEA" w:rsidRDefault="00014566" w:rsidP="00434EEA">
      <w:pPr>
        <w:pStyle w:val="JuLista"/>
        <w:keepNext/>
        <w:keepLines/>
      </w:pPr>
      <w:r>
        <w:t xml:space="preserve">(б) че от изтичането на </w:t>
      </w:r>
      <w:r w:rsidR="00682A4A">
        <w:t>горес</w:t>
      </w:r>
      <w:r>
        <w:t xml:space="preserve">поменатия тримесечен срок до плащането се дължи проста лихва върху горепосочените суми в размер, равен на пределната ставка по заеми на Европейската централна банка </w:t>
      </w:r>
      <w:r w:rsidR="00682A4A">
        <w:t>за срока</w:t>
      </w:r>
      <w:r>
        <w:t xml:space="preserve"> на забава, към която се добавят три процентни пункта;</w:t>
      </w:r>
    </w:p>
    <w:p w:rsidR="00014566" w:rsidRPr="00434EEA" w:rsidRDefault="00014566" w:rsidP="00434EEA">
      <w:pPr>
        <w:pStyle w:val="JuList"/>
        <w:keepNext/>
        <w:keepLines/>
      </w:pPr>
    </w:p>
    <w:p w:rsidR="00014566" w:rsidRPr="00434EEA" w:rsidRDefault="00E35442" w:rsidP="00434EEA">
      <w:pPr>
        <w:pStyle w:val="JuList"/>
        <w:keepNext/>
        <w:keepLines/>
      </w:pPr>
      <w:r>
        <w:t>4.  </w:t>
      </w:r>
      <w:r>
        <w:rPr>
          <w:i/>
        </w:rPr>
        <w:t>Отхвърля</w:t>
      </w:r>
      <w:r>
        <w:t xml:space="preserve"> останалата част от иска на жалбоподател</w:t>
      </w:r>
      <w:r w:rsidR="00682A4A">
        <w:t>ката</w:t>
      </w:r>
      <w:r>
        <w:t xml:space="preserve"> за справедливо обезщетение.</w:t>
      </w:r>
    </w:p>
    <w:p w:rsidR="00014566" w:rsidRPr="00434EEA" w:rsidRDefault="00014566" w:rsidP="00434EEA">
      <w:pPr>
        <w:pStyle w:val="JuParaLast"/>
      </w:pPr>
      <w:r>
        <w:t>Изготвено на английски език и оповестено писмено на 13 октомври 2016 г. в съответствие с правило 77, §§ 2 и 3 от Правилника на Съда.</w:t>
      </w:r>
    </w:p>
    <w:p w:rsidR="004D15F3" w:rsidRPr="00434EEA" w:rsidRDefault="00014566" w:rsidP="00434EEA">
      <w:pPr>
        <w:pStyle w:val="JuSigned"/>
      </w:pPr>
      <w:r>
        <w:tab/>
        <w:t xml:space="preserve">Милан </w:t>
      </w:r>
      <w:proofErr w:type="spellStart"/>
      <w:r>
        <w:t>Бла</w:t>
      </w:r>
      <w:r w:rsidR="00682A4A">
        <w:t>с</w:t>
      </w:r>
      <w:r>
        <w:t>ко</w:t>
      </w:r>
      <w:proofErr w:type="spellEnd"/>
      <w:r>
        <w:tab/>
      </w:r>
      <w:proofErr w:type="spellStart"/>
      <w:r w:rsidR="00682A4A">
        <w:t>Кх</w:t>
      </w:r>
      <w:r>
        <w:t>анлар</w:t>
      </w:r>
      <w:proofErr w:type="spellEnd"/>
      <w:r>
        <w:t xml:space="preserve"> Хаджиев</w:t>
      </w:r>
      <w:r>
        <w:br/>
      </w:r>
      <w:r w:rsidR="00682A4A">
        <w:t>з</w:t>
      </w:r>
      <w:r>
        <w:t>аместник-секретар</w:t>
      </w:r>
      <w:r>
        <w:tab/>
      </w:r>
      <w:r w:rsidR="00682A4A">
        <w:t>п</w:t>
      </w:r>
      <w:r>
        <w:t>редседател</w:t>
      </w:r>
    </w:p>
    <w:sectPr w:rsidR="004D15F3" w:rsidRPr="00434EEA" w:rsidSect="001A7B84">
      <w:headerReference w:type="even" r:id="rId14"/>
      <w:headerReference w:type="default" r:id="rId15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FE9" w:rsidRPr="003A441D" w:rsidRDefault="00AB4FE9" w:rsidP="00014566">
      <w:pPr>
        <w:rPr>
          <w:lang w:val="en-GB"/>
        </w:rPr>
      </w:pPr>
      <w:r w:rsidRPr="003A441D">
        <w:rPr>
          <w:lang w:val="en-GB"/>
        </w:rPr>
        <w:separator/>
      </w:r>
    </w:p>
  </w:endnote>
  <w:endnote w:type="continuationSeparator" w:id="0">
    <w:p w:rsidR="00AB4FE9" w:rsidRPr="003A441D" w:rsidRDefault="00AB4FE9" w:rsidP="00014566">
      <w:pPr>
        <w:rPr>
          <w:lang w:val="en-GB"/>
        </w:rPr>
      </w:pPr>
      <w:r w:rsidRPr="003A441D"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ECE" w:rsidRDefault="00865E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ECE" w:rsidRDefault="00865E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84" w:rsidRPr="00150BFA" w:rsidRDefault="001A7B84" w:rsidP="0020718E">
    <w:pPr>
      <w:jc w:val="center"/>
    </w:pPr>
    <w:r>
      <w:rPr>
        <w:noProof/>
        <w:lang w:val="en-US" w:eastAsia="en-US" w:bidi="ar-SA"/>
      </w:rPr>
      <w:drawing>
        <wp:inline distT="0" distB="0" distL="0" distR="0" wp14:anchorId="3200D567" wp14:editId="6507AB87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7B84" w:rsidRDefault="001A7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FE9" w:rsidRPr="003A441D" w:rsidRDefault="00AB4FE9" w:rsidP="00014566">
      <w:pPr>
        <w:rPr>
          <w:lang w:val="en-GB"/>
        </w:rPr>
      </w:pPr>
      <w:r w:rsidRPr="003A441D">
        <w:rPr>
          <w:lang w:val="en-GB"/>
        </w:rPr>
        <w:separator/>
      </w:r>
    </w:p>
  </w:footnote>
  <w:footnote w:type="continuationSeparator" w:id="0">
    <w:p w:rsidR="00AB4FE9" w:rsidRPr="003A441D" w:rsidRDefault="00AB4FE9" w:rsidP="00014566">
      <w:pPr>
        <w:rPr>
          <w:lang w:val="en-GB"/>
        </w:rPr>
      </w:pPr>
      <w:r w:rsidRPr="003A441D"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ECE" w:rsidRDefault="00865E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FA0" w:rsidRPr="001A7B84" w:rsidRDefault="00AB5FA0" w:rsidP="001A7B8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84" w:rsidRPr="00A45145" w:rsidRDefault="001A7B84" w:rsidP="00A45145">
    <w:pPr>
      <w:jc w:val="center"/>
    </w:pPr>
    <w:r>
      <w:rPr>
        <w:noProof/>
        <w:lang w:val="en-US" w:eastAsia="en-US" w:bidi="ar-SA"/>
      </w:rPr>
      <w:drawing>
        <wp:inline distT="0" distB="0" distL="0" distR="0" wp14:anchorId="1563C740" wp14:editId="2FDFA670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5442" w:rsidRDefault="00E3544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84" w:rsidRPr="003A441D" w:rsidRDefault="001A7B84" w:rsidP="00EE1DA9">
    <w:pPr>
      <w:pStyle w:val="ECHRHeader"/>
    </w:pPr>
    <w:r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>
      <w:rPr>
        <w:rStyle w:val="PageNumber"/>
        <w:szCs w:val="18"/>
      </w:rPr>
      <w:fldChar w:fldCharType="separate"/>
    </w:r>
    <w:r w:rsidR="00865ECE">
      <w:rPr>
        <w:rStyle w:val="PageNumber"/>
        <w:noProof/>
        <w:szCs w:val="18"/>
      </w:rPr>
      <w:t>8</w:t>
    </w:r>
    <w:r>
      <w:rPr>
        <w:rStyle w:val="PageNumber"/>
        <w:szCs w:val="18"/>
      </w:rPr>
      <w:fldChar w:fldCharType="end"/>
    </w:r>
    <w:r>
      <w:tab/>
      <w:t xml:space="preserve">РЕШЕНИЕ РАЙКОВА </w:t>
    </w:r>
    <w:r w:rsidR="001D0697">
      <w:t xml:space="preserve">срещу </w:t>
    </w:r>
    <w:r>
      <w:t>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84" w:rsidRPr="003A441D" w:rsidRDefault="001A7B84" w:rsidP="00D60D87">
    <w:pPr>
      <w:pStyle w:val="ECHRHeader"/>
    </w:pPr>
    <w:r>
      <w:tab/>
      <w:t xml:space="preserve">РЕШЕНИЕ РАЙКОВА </w:t>
    </w:r>
    <w:r w:rsidR="001D0697">
      <w:t xml:space="preserve">срещу </w:t>
    </w:r>
    <w:r>
      <w:t>БЪЛГАРИЯ</w:t>
    </w:r>
    <w:r>
      <w:tab/>
    </w:r>
    <w:r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>
      <w:rPr>
        <w:rStyle w:val="PageNumber"/>
        <w:szCs w:val="18"/>
      </w:rPr>
      <w:fldChar w:fldCharType="separate"/>
    </w:r>
    <w:r w:rsidR="00865ECE">
      <w:rPr>
        <w:rStyle w:val="PageNumber"/>
        <w:noProof/>
        <w:szCs w:val="18"/>
      </w:rPr>
      <w:t>7</w:t>
    </w:r>
    <w:r>
      <w:rPr>
        <w:rStyle w:val="PageNumber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180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0ECF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B8B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1CF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026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2C3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2E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66B2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601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66004F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63F153D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737461D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SignForeName" w:val="0"/>
  </w:docVars>
  <w:rsids>
    <w:rsidRoot w:val="00E35442"/>
    <w:rsid w:val="000010ED"/>
    <w:rsid w:val="000041F8"/>
    <w:rsid w:val="000042A8"/>
    <w:rsid w:val="00004308"/>
    <w:rsid w:val="00005BF0"/>
    <w:rsid w:val="00006DC0"/>
    <w:rsid w:val="00007154"/>
    <w:rsid w:val="000103AE"/>
    <w:rsid w:val="00011D69"/>
    <w:rsid w:val="00012AD3"/>
    <w:rsid w:val="00014566"/>
    <w:rsid w:val="0001491A"/>
    <w:rsid w:val="00015C2D"/>
    <w:rsid w:val="00015F00"/>
    <w:rsid w:val="00022C1D"/>
    <w:rsid w:val="00034987"/>
    <w:rsid w:val="000350E3"/>
    <w:rsid w:val="00040700"/>
    <w:rsid w:val="000602DF"/>
    <w:rsid w:val="00061B05"/>
    <w:rsid w:val="00062973"/>
    <w:rsid w:val="00062D5D"/>
    <w:rsid w:val="000632D5"/>
    <w:rsid w:val="000644EE"/>
    <w:rsid w:val="00066D7C"/>
    <w:rsid w:val="00071ABC"/>
    <w:rsid w:val="00075BAF"/>
    <w:rsid w:val="00082EEA"/>
    <w:rsid w:val="000856D7"/>
    <w:rsid w:val="000925AD"/>
    <w:rsid w:val="000A07B1"/>
    <w:rsid w:val="000A24EB"/>
    <w:rsid w:val="000B6923"/>
    <w:rsid w:val="000C033C"/>
    <w:rsid w:val="000C5F3C"/>
    <w:rsid w:val="000C6DCC"/>
    <w:rsid w:val="000D47AA"/>
    <w:rsid w:val="000D721F"/>
    <w:rsid w:val="000E069B"/>
    <w:rsid w:val="000E0E82"/>
    <w:rsid w:val="000E1DC5"/>
    <w:rsid w:val="000E223F"/>
    <w:rsid w:val="000E35AC"/>
    <w:rsid w:val="000E507F"/>
    <w:rsid w:val="000E7D45"/>
    <w:rsid w:val="000F2DE9"/>
    <w:rsid w:val="000F7851"/>
    <w:rsid w:val="00104E23"/>
    <w:rsid w:val="00111B0C"/>
    <w:rsid w:val="00120D6C"/>
    <w:rsid w:val="001257EC"/>
    <w:rsid w:val="00125DBB"/>
    <w:rsid w:val="00132C6A"/>
    <w:rsid w:val="00133D33"/>
    <w:rsid w:val="00134D64"/>
    <w:rsid w:val="00135A30"/>
    <w:rsid w:val="0013612C"/>
    <w:rsid w:val="00137FF6"/>
    <w:rsid w:val="00141018"/>
    <w:rsid w:val="00141650"/>
    <w:rsid w:val="00162A12"/>
    <w:rsid w:val="00166530"/>
    <w:rsid w:val="001832BD"/>
    <w:rsid w:val="00191C11"/>
    <w:rsid w:val="001943B5"/>
    <w:rsid w:val="00195134"/>
    <w:rsid w:val="001A145B"/>
    <w:rsid w:val="001A674C"/>
    <w:rsid w:val="001A7B84"/>
    <w:rsid w:val="001B3205"/>
    <w:rsid w:val="001B3B24"/>
    <w:rsid w:val="001C0F98"/>
    <w:rsid w:val="001C2A42"/>
    <w:rsid w:val="001D0697"/>
    <w:rsid w:val="001D63ED"/>
    <w:rsid w:val="001D7348"/>
    <w:rsid w:val="001E035B"/>
    <w:rsid w:val="001E0961"/>
    <w:rsid w:val="001E3EAE"/>
    <w:rsid w:val="001E5348"/>
    <w:rsid w:val="001E6F32"/>
    <w:rsid w:val="001F2145"/>
    <w:rsid w:val="001F6262"/>
    <w:rsid w:val="001F67B0"/>
    <w:rsid w:val="001F7B3D"/>
    <w:rsid w:val="00202469"/>
    <w:rsid w:val="00204601"/>
    <w:rsid w:val="00205F9F"/>
    <w:rsid w:val="00210338"/>
    <w:rsid w:val="002115FC"/>
    <w:rsid w:val="002133F8"/>
    <w:rsid w:val="0021423C"/>
    <w:rsid w:val="00227D77"/>
    <w:rsid w:val="00230D00"/>
    <w:rsid w:val="00231DF7"/>
    <w:rsid w:val="00231FD1"/>
    <w:rsid w:val="002339E0"/>
    <w:rsid w:val="00233CF8"/>
    <w:rsid w:val="0023575D"/>
    <w:rsid w:val="00237148"/>
    <w:rsid w:val="0024222D"/>
    <w:rsid w:val="00244B0E"/>
    <w:rsid w:val="00244F6C"/>
    <w:rsid w:val="00245F50"/>
    <w:rsid w:val="002532C5"/>
    <w:rsid w:val="00260C03"/>
    <w:rsid w:val="0026540E"/>
    <w:rsid w:val="0027225C"/>
    <w:rsid w:val="00275123"/>
    <w:rsid w:val="00282240"/>
    <w:rsid w:val="0028572A"/>
    <w:rsid w:val="002948AD"/>
    <w:rsid w:val="00294C05"/>
    <w:rsid w:val="00294C92"/>
    <w:rsid w:val="002A01CC"/>
    <w:rsid w:val="002A61B1"/>
    <w:rsid w:val="002A663C"/>
    <w:rsid w:val="002B1E6C"/>
    <w:rsid w:val="002B444B"/>
    <w:rsid w:val="002B5887"/>
    <w:rsid w:val="002C0692"/>
    <w:rsid w:val="002C0E27"/>
    <w:rsid w:val="002C3040"/>
    <w:rsid w:val="002D022D"/>
    <w:rsid w:val="002D24BB"/>
    <w:rsid w:val="002D4B7E"/>
    <w:rsid w:val="002F2AF7"/>
    <w:rsid w:val="002F609C"/>
    <w:rsid w:val="002F7E1C"/>
    <w:rsid w:val="00301A75"/>
    <w:rsid w:val="00301AD2"/>
    <w:rsid w:val="00302F70"/>
    <w:rsid w:val="0030336F"/>
    <w:rsid w:val="0030375E"/>
    <w:rsid w:val="00312A30"/>
    <w:rsid w:val="00315B1E"/>
    <w:rsid w:val="00320F72"/>
    <w:rsid w:val="0032463E"/>
    <w:rsid w:val="00326224"/>
    <w:rsid w:val="0032676F"/>
    <w:rsid w:val="003336E9"/>
    <w:rsid w:val="00337EE4"/>
    <w:rsid w:val="00340FFD"/>
    <w:rsid w:val="003506B1"/>
    <w:rsid w:val="00356AC7"/>
    <w:rsid w:val="00357B39"/>
    <w:rsid w:val="003609FA"/>
    <w:rsid w:val="003710C8"/>
    <w:rsid w:val="003750BE"/>
    <w:rsid w:val="00383ACF"/>
    <w:rsid w:val="00387B9D"/>
    <w:rsid w:val="0039364F"/>
    <w:rsid w:val="00396686"/>
    <w:rsid w:val="0039778E"/>
    <w:rsid w:val="003A441D"/>
    <w:rsid w:val="003A78B5"/>
    <w:rsid w:val="003B4941"/>
    <w:rsid w:val="003B6A27"/>
    <w:rsid w:val="003C5714"/>
    <w:rsid w:val="003C5C6F"/>
    <w:rsid w:val="003C6B9F"/>
    <w:rsid w:val="003C6E2A"/>
    <w:rsid w:val="003D0299"/>
    <w:rsid w:val="003E6D80"/>
    <w:rsid w:val="003F05FA"/>
    <w:rsid w:val="003F244A"/>
    <w:rsid w:val="003F30B8"/>
    <w:rsid w:val="003F4C45"/>
    <w:rsid w:val="003F4DBE"/>
    <w:rsid w:val="003F5F7B"/>
    <w:rsid w:val="003F7D64"/>
    <w:rsid w:val="00414300"/>
    <w:rsid w:val="0042510B"/>
    <w:rsid w:val="00425C67"/>
    <w:rsid w:val="00427E7A"/>
    <w:rsid w:val="00433B67"/>
    <w:rsid w:val="00434EEA"/>
    <w:rsid w:val="00436307"/>
    <w:rsid w:val="00436C49"/>
    <w:rsid w:val="00445366"/>
    <w:rsid w:val="00447F5B"/>
    <w:rsid w:val="004546BD"/>
    <w:rsid w:val="00461DB0"/>
    <w:rsid w:val="00463926"/>
    <w:rsid w:val="004646E0"/>
    <w:rsid w:val="00464C9A"/>
    <w:rsid w:val="00474F3D"/>
    <w:rsid w:val="004767C6"/>
    <w:rsid w:val="00477E3A"/>
    <w:rsid w:val="00483E5F"/>
    <w:rsid w:val="00485FF9"/>
    <w:rsid w:val="004907F0"/>
    <w:rsid w:val="0049140B"/>
    <w:rsid w:val="004923A5"/>
    <w:rsid w:val="00496BFB"/>
    <w:rsid w:val="004A15C7"/>
    <w:rsid w:val="004B013B"/>
    <w:rsid w:val="004B112B"/>
    <w:rsid w:val="004C01E4"/>
    <w:rsid w:val="004C086C"/>
    <w:rsid w:val="004C1F56"/>
    <w:rsid w:val="004C27BC"/>
    <w:rsid w:val="004D15F3"/>
    <w:rsid w:val="004D5311"/>
    <w:rsid w:val="004D5DCC"/>
    <w:rsid w:val="004F10AF"/>
    <w:rsid w:val="004F11A4"/>
    <w:rsid w:val="004F2389"/>
    <w:rsid w:val="004F304D"/>
    <w:rsid w:val="004F4CDE"/>
    <w:rsid w:val="004F61BE"/>
    <w:rsid w:val="004F66B1"/>
    <w:rsid w:val="00500DE9"/>
    <w:rsid w:val="00511C07"/>
    <w:rsid w:val="005173A6"/>
    <w:rsid w:val="00520BAA"/>
    <w:rsid w:val="00524379"/>
    <w:rsid w:val="00525208"/>
    <w:rsid w:val="005257A5"/>
    <w:rsid w:val="005264C0"/>
    <w:rsid w:val="00526A8A"/>
    <w:rsid w:val="00531DF2"/>
    <w:rsid w:val="005365B1"/>
    <w:rsid w:val="00540801"/>
    <w:rsid w:val="005442EE"/>
    <w:rsid w:val="00547353"/>
    <w:rsid w:val="005474E7"/>
    <w:rsid w:val="005512A3"/>
    <w:rsid w:val="00555570"/>
    <w:rsid w:val="005578CE"/>
    <w:rsid w:val="00562781"/>
    <w:rsid w:val="00563E83"/>
    <w:rsid w:val="005703A1"/>
    <w:rsid w:val="0057271C"/>
    <w:rsid w:val="00572845"/>
    <w:rsid w:val="00575A91"/>
    <w:rsid w:val="00577B81"/>
    <w:rsid w:val="005869BF"/>
    <w:rsid w:val="00592772"/>
    <w:rsid w:val="0059574A"/>
    <w:rsid w:val="005A1B9B"/>
    <w:rsid w:val="005A6751"/>
    <w:rsid w:val="005B092E"/>
    <w:rsid w:val="005B152C"/>
    <w:rsid w:val="005B1EE0"/>
    <w:rsid w:val="005B2B24"/>
    <w:rsid w:val="005B3D95"/>
    <w:rsid w:val="005B4425"/>
    <w:rsid w:val="005B4B94"/>
    <w:rsid w:val="005C3EE8"/>
    <w:rsid w:val="005D34F9"/>
    <w:rsid w:val="005D4190"/>
    <w:rsid w:val="005D67A3"/>
    <w:rsid w:val="005E2988"/>
    <w:rsid w:val="005E2A43"/>
    <w:rsid w:val="005E3085"/>
    <w:rsid w:val="005E438A"/>
    <w:rsid w:val="005F51E1"/>
    <w:rsid w:val="0060061C"/>
    <w:rsid w:val="006029B1"/>
    <w:rsid w:val="00602A46"/>
    <w:rsid w:val="00611121"/>
    <w:rsid w:val="00611B9B"/>
    <w:rsid w:val="00611C80"/>
    <w:rsid w:val="006130C2"/>
    <w:rsid w:val="00620692"/>
    <w:rsid w:val="006242CA"/>
    <w:rsid w:val="00627507"/>
    <w:rsid w:val="00633717"/>
    <w:rsid w:val="006344E1"/>
    <w:rsid w:val="00636CE5"/>
    <w:rsid w:val="00641816"/>
    <w:rsid w:val="006474D3"/>
    <w:rsid w:val="006545C4"/>
    <w:rsid w:val="00661971"/>
    <w:rsid w:val="00661CE8"/>
    <w:rsid w:val="006623D9"/>
    <w:rsid w:val="006639E6"/>
    <w:rsid w:val="006642E1"/>
    <w:rsid w:val="0066550C"/>
    <w:rsid w:val="006658AF"/>
    <w:rsid w:val="006716F2"/>
    <w:rsid w:val="00682A4A"/>
    <w:rsid w:val="00682BF2"/>
    <w:rsid w:val="006859CE"/>
    <w:rsid w:val="00691270"/>
    <w:rsid w:val="00694BA8"/>
    <w:rsid w:val="006A037C"/>
    <w:rsid w:val="006A36F4"/>
    <w:rsid w:val="006A406F"/>
    <w:rsid w:val="006A5D3A"/>
    <w:rsid w:val="006B2D81"/>
    <w:rsid w:val="006C23D4"/>
    <w:rsid w:val="006C423C"/>
    <w:rsid w:val="006C7BB0"/>
    <w:rsid w:val="006D3237"/>
    <w:rsid w:val="006E2E37"/>
    <w:rsid w:val="006E3CF1"/>
    <w:rsid w:val="006E46CA"/>
    <w:rsid w:val="006E7E80"/>
    <w:rsid w:val="006F1DF9"/>
    <w:rsid w:val="006F24DB"/>
    <w:rsid w:val="006F37E3"/>
    <w:rsid w:val="006F48CA"/>
    <w:rsid w:val="006F64DD"/>
    <w:rsid w:val="006F6E95"/>
    <w:rsid w:val="007127FF"/>
    <w:rsid w:val="00715127"/>
    <w:rsid w:val="00715E8E"/>
    <w:rsid w:val="00723580"/>
    <w:rsid w:val="00723755"/>
    <w:rsid w:val="007267C0"/>
    <w:rsid w:val="0073136C"/>
    <w:rsid w:val="00731F0F"/>
    <w:rsid w:val="00733250"/>
    <w:rsid w:val="00741404"/>
    <w:rsid w:val="007449E5"/>
    <w:rsid w:val="00745594"/>
    <w:rsid w:val="00746C5A"/>
    <w:rsid w:val="00747FF0"/>
    <w:rsid w:val="00764D4E"/>
    <w:rsid w:val="00765A1F"/>
    <w:rsid w:val="00775B6D"/>
    <w:rsid w:val="00776D68"/>
    <w:rsid w:val="007850EE"/>
    <w:rsid w:val="00785B95"/>
    <w:rsid w:val="00790E96"/>
    <w:rsid w:val="00793366"/>
    <w:rsid w:val="007A320E"/>
    <w:rsid w:val="007A716F"/>
    <w:rsid w:val="007B270A"/>
    <w:rsid w:val="007C0695"/>
    <w:rsid w:val="007C419A"/>
    <w:rsid w:val="007C4CC8"/>
    <w:rsid w:val="007C5426"/>
    <w:rsid w:val="007C5798"/>
    <w:rsid w:val="007D233D"/>
    <w:rsid w:val="007D4832"/>
    <w:rsid w:val="007D6607"/>
    <w:rsid w:val="007E21B2"/>
    <w:rsid w:val="007E2C4E"/>
    <w:rsid w:val="007F1905"/>
    <w:rsid w:val="00801300"/>
    <w:rsid w:val="00802C64"/>
    <w:rsid w:val="00805E52"/>
    <w:rsid w:val="008061D0"/>
    <w:rsid w:val="00806A70"/>
    <w:rsid w:val="00810B38"/>
    <w:rsid w:val="008139A3"/>
    <w:rsid w:val="008204C7"/>
    <w:rsid w:val="00820992"/>
    <w:rsid w:val="00823602"/>
    <w:rsid w:val="00823C0C"/>
    <w:rsid w:val="008255F5"/>
    <w:rsid w:val="0083014E"/>
    <w:rsid w:val="0083214A"/>
    <w:rsid w:val="00834220"/>
    <w:rsid w:val="00845723"/>
    <w:rsid w:val="00851EF9"/>
    <w:rsid w:val="008577FD"/>
    <w:rsid w:val="00860B03"/>
    <w:rsid w:val="0086497A"/>
    <w:rsid w:val="00865ECE"/>
    <w:rsid w:val="008713A1"/>
    <w:rsid w:val="008754AB"/>
    <w:rsid w:val="0088060C"/>
    <w:rsid w:val="00893576"/>
    <w:rsid w:val="00893E73"/>
    <w:rsid w:val="008A0190"/>
    <w:rsid w:val="008A43C4"/>
    <w:rsid w:val="008B02DC"/>
    <w:rsid w:val="008B57CE"/>
    <w:rsid w:val="008B659F"/>
    <w:rsid w:val="008C26DE"/>
    <w:rsid w:val="008D1D2D"/>
    <w:rsid w:val="008D2225"/>
    <w:rsid w:val="008D4752"/>
    <w:rsid w:val="008D552A"/>
    <w:rsid w:val="008E0CE5"/>
    <w:rsid w:val="008E271C"/>
    <w:rsid w:val="008E418E"/>
    <w:rsid w:val="008E5BC6"/>
    <w:rsid w:val="008E6A25"/>
    <w:rsid w:val="008F3344"/>
    <w:rsid w:val="008F3595"/>
    <w:rsid w:val="008F5193"/>
    <w:rsid w:val="00900B2C"/>
    <w:rsid w:val="00900C98"/>
    <w:rsid w:val="009013A7"/>
    <w:rsid w:val="009017FB"/>
    <w:rsid w:val="009017FC"/>
    <w:rsid w:val="00903B43"/>
    <w:rsid w:val="0090506B"/>
    <w:rsid w:val="009050C9"/>
    <w:rsid w:val="009066FC"/>
    <w:rsid w:val="009140A3"/>
    <w:rsid w:val="009144A2"/>
    <w:rsid w:val="0091510C"/>
    <w:rsid w:val="009259AC"/>
    <w:rsid w:val="00926F38"/>
    <w:rsid w:val="00934301"/>
    <w:rsid w:val="00936CD1"/>
    <w:rsid w:val="00941747"/>
    <w:rsid w:val="00941EFB"/>
    <w:rsid w:val="00947AFB"/>
    <w:rsid w:val="00951D7D"/>
    <w:rsid w:val="00952C12"/>
    <w:rsid w:val="009630C7"/>
    <w:rsid w:val="00972B55"/>
    <w:rsid w:val="00972C9F"/>
    <w:rsid w:val="009743B7"/>
    <w:rsid w:val="0098228B"/>
    <w:rsid w:val="009828DA"/>
    <w:rsid w:val="00985BAB"/>
    <w:rsid w:val="009864ED"/>
    <w:rsid w:val="00997F03"/>
    <w:rsid w:val="009A46DF"/>
    <w:rsid w:val="009B1B5F"/>
    <w:rsid w:val="009B2EC2"/>
    <w:rsid w:val="009B6673"/>
    <w:rsid w:val="009C191B"/>
    <w:rsid w:val="009C2BD6"/>
    <w:rsid w:val="009D696A"/>
    <w:rsid w:val="009E0FFC"/>
    <w:rsid w:val="009E1F32"/>
    <w:rsid w:val="009E5829"/>
    <w:rsid w:val="009E776C"/>
    <w:rsid w:val="00A00291"/>
    <w:rsid w:val="00A1726E"/>
    <w:rsid w:val="00A204CF"/>
    <w:rsid w:val="00A23D49"/>
    <w:rsid w:val="00A27004"/>
    <w:rsid w:val="00A30C29"/>
    <w:rsid w:val="00A34DD6"/>
    <w:rsid w:val="00A36819"/>
    <w:rsid w:val="00A36989"/>
    <w:rsid w:val="00A43628"/>
    <w:rsid w:val="00A52202"/>
    <w:rsid w:val="00A54192"/>
    <w:rsid w:val="00A6035E"/>
    <w:rsid w:val="00A6144C"/>
    <w:rsid w:val="00A66617"/>
    <w:rsid w:val="00A671F8"/>
    <w:rsid w:val="00A673A4"/>
    <w:rsid w:val="00A71726"/>
    <w:rsid w:val="00A724AE"/>
    <w:rsid w:val="00A73329"/>
    <w:rsid w:val="00A82359"/>
    <w:rsid w:val="00A865D2"/>
    <w:rsid w:val="00A867FD"/>
    <w:rsid w:val="00A92614"/>
    <w:rsid w:val="00A93A67"/>
    <w:rsid w:val="00A94C20"/>
    <w:rsid w:val="00A96ED6"/>
    <w:rsid w:val="00AA227F"/>
    <w:rsid w:val="00AA3BC7"/>
    <w:rsid w:val="00AA754A"/>
    <w:rsid w:val="00AB099E"/>
    <w:rsid w:val="00AB4328"/>
    <w:rsid w:val="00AB4FE9"/>
    <w:rsid w:val="00AB5FA0"/>
    <w:rsid w:val="00AD3014"/>
    <w:rsid w:val="00AE0A2E"/>
    <w:rsid w:val="00AE354C"/>
    <w:rsid w:val="00AF4B07"/>
    <w:rsid w:val="00AF6186"/>
    <w:rsid w:val="00AF7A3A"/>
    <w:rsid w:val="00B01C5D"/>
    <w:rsid w:val="00B160DB"/>
    <w:rsid w:val="00B16FB3"/>
    <w:rsid w:val="00B20836"/>
    <w:rsid w:val="00B235BB"/>
    <w:rsid w:val="00B27A44"/>
    <w:rsid w:val="00B30BBF"/>
    <w:rsid w:val="00B33C03"/>
    <w:rsid w:val="00B44E56"/>
    <w:rsid w:val="00B46543"/>
    <w:rsid w:val="00B47D33"/>
    <w:rsid w:val="00B52BE0"/>
    <w:rsid w:val="00B54133"/>
    <w:rsid w:val="00B637B9"/>
    <w:rsid w:val="00B701ED"/>
    <w:rsid w:val="00B712D3"/>
    <w:rsid w:val="00B8086C"/>
    <w:rsid w:val="00B833D0"/>
    <w:rsid w:val="00B861B4"/>
    <w:rsid w:val="00B86DFE"/>
    <w:rsid w:val="00B90990"/>
    <w:rsid w:val="00B922FF"/>
    <w:rsid w:val="00B9281E"/>
    <w:rsid w:val="00B93925"/>
    <w:rsid w:val="00B95187"/>
    <w:rsid w:val="00BA2D55"/>
    <w:rsid w:val="00BA5DE9"/>
    <w:rsid w:val="00BA71B1"/>
    <w:rsid w:val="00BB0637"/>
    <w:rsid w:val="00BB345F"/>
    <w:rsid w:val="00BB5883"/>
    <w:rsid w:val="00BB68EA"/>
    <w:rsid w:val="00BC1C27"/>
    <w:rsid w:val="00BC6BBF"/>
    <w:rsid w:val="00BD1572"/>
    <w:rsid w:val="00BD3C1C"/>
    <w:rsid w:val="00BE14E3"/>
    <w:rsid w:val="00BE3774"/>
    <w:rsid w:val="00BE41E5"/>
    <w:rsid w:val="00BF0BBB"/>
    <w:rsid w:val="00BF4109"/>
    <w:rsid w:val="00BF4CC3"/>
    <w:rsid w:val="00C054C7"/>
    <w:rsid w:val="00C057B5"/>
    <w:rsid w:val="00C22687"/>
    <w:rsid w:val="00C32E4D"/>
    <w:rsid w:val="00C333A0"/>
    <w:rsid w:val="00C36A81"/>
    <w:rsid w:val="00C41974"/>
    <w:rsid w:val="00C447AD"/>
    <w:rsid w:val="00C53F4A"/>
    <w:rsid w:val="00C54125"/>
    <w:rsid w:val="00C55B54"/>
    <w:rsid w:val="00C6098E"/>
    <w:rsid w:val="00C6152C"/>
    <w:rsid w:val="00C621C2"/>
    <w:rsid w:val="00C64064"/>
    <w:rsid w:val="00C74810"/>
    <w:rsid w:val="00C7756D"/>
    <w:rsid w:val="00C85DE6"/>
    <w:rsid w:val="00C90D68"/>
    <w:rsid w:val="00C939FE"/>
    <w:rsid w:val="00C94AC7"/>
    <w:rsid w:val="00CA4BDA"/>
    <w:rsid w:val="00CA6723"/>
    <w:rsid w:val="00CB13B8"/>
    <w:rsid w:val="00CB1F66"/>
    <w:rsid w:val="00CB28C4"/>
    <w:rsid w:val="00CB2951"/>
    <w:rsid w:val="00CD282B"/>
    <w:rsid w:val="00CD4C35"/>
    <w:rsid w:val="00CD66D7"/>
    <w:rsid w:val="00CD7369"/>
    <w:rsid w:val="00CE0B0E"/>
    <w:rsid w:val="00CE3831"/>
    <w:rsid w:val="00D00ABB"/>
    <w:rsid w:val="00D01976"/>
    <w:rsid w:val="00D02EEC"/>
    <w:rsid w:val="00D03551"/>
    <w:rsid w:val="00D06A63"/>
    <w:rsid w:val="00D07E0E"/>
    <w:rsid w:val="00D109B0"/>
    <w:rsid w:val="00D11478"/>
    <w:rsid w:val="00D15ED0"/>
    <w:rsid w:val="00D21B3E"/>
    <w:rsid w:val="00D21FED"/>
    <w:rsid w:val="00D24251"/>
    <w:rsid w:val="00D343E2"/>
    <w:rsid w:val="00D361A2"/>
    <w:rsid w:val="00D413DC"/>
    <w:rsid w:val="00D44040"/>
    <w:rsid w:val="00D44202"/>
    <w:rsid w:val="00D44C2E"/>
    <w:rsid w:val="00D45414"/>
    <w:rsid w:val="00D53C0F"/>
    <w:rsid w:val="00D566BD"/>
    <w:rsid w:val="00D568EA"/>
    <w:rsid w:val="00D57A4D"/>
    <w:rsid w:val="00D60AA7"/>
    <w:rsid w:val="00D60D87"/>
    <w:rsid w:val="00D6435F"/>
    <w:rsid w:val="00D75E28"/>
    <w:rsid w:val="00D772C2"/>
    <w:rsid w:val="00D8008E"/>
    <w:rsid w:val="00D82C45"/>
    <w:rsid w:val="00D835EA"/>
    <w:rsid w:val="00D908A8"/>
    <w:rsid w:val="00D97754"/>
    <w:rsid w:val="00D977B6"/>
    <w:rsid w:val="00DA4A31"/>
    <w:rsid w:val="00DA61F2"/>
    <w:rsid w:val="00DA7B04"/>
    <w:rsid w:val="00DB36C2"/>
    <w:rsid w:val="00DB7196"/>
    <w:rsid w:val="00DC169B"/>
    <w:rsid w:val="00DC2AB9"/>
    <w:rsid w:val="00DC63F0"/>
    <w:rsid w:val="00DC6FDB"/>
    <w:rsid w:val="00DD6EE5"/>
    <w:rsid w:val="00DE1B8E"/>
    <w:rsid w:val="00DE386C"/>
    <w:rsid w:val="00DE4D35"/>
    <w:rsid w:val="00DF0549"/>
    <w:rsid w:val="00DF098B"/>
    <w:rsid w:val="00DF11C4"/>
    <w:rsid w:val="00DF210C"/>
    <w:rsid w:val="00DF4B6A"/>
    <w:rsid w:val="00E02C09"/>
    <w:rsid w:val="00E04D59"/>
    <w:rsid w:val="00E07DA1"/>
    <w:rsid w:val="00E123CB"/>
    <w:rsid w:val="00E1557C"/>
    <w:rsid w:val="00E20ACD"/>
    <w:rsid w:val="00E20E13"/>
    <w:rsid w:val="00E21DBC"/>
    <w:rsid w:val="00E25A62"/>
    <w:rsid w:val="00E275D7"/>
    <w:rsid w:val="00E27DBE"/>
    <w:rsid w:val="00E32AB1"/>
    <w:rsid w:val="00E35442"/>
    <w:rsid w:val="00E36C71"/>
    <w:rsid w:val="00E40404"/>
    <w:rsid w:val="00E459C6"/>
    <w:rsid w:val="00E47589"/>
    <w:rsid w:val="00E56A6A"/>
    <w:rsid w:val="00E64915"/>
    <w:rsid w:val="00E661D4"/>
    <w:rsid w:val="00E70091"/>
    <w:rsid w:val="00E720F5"/>
    <w:rsid w:val="00E74C6A"/>
    <w:rsid w:val="00E76D47"/>
    <w:rsid w:val="00E76F83"/>
    <w:rsid w:val="00E849F7"/>
    <w:rsid w:val="00E90302"/>
    <w:rsid w:val="00E9597F"/>
    <w:rsid w:val="00E97396"/>
    <w:rsid w:val="00EA185E"/>
    <w:rsid w:val="00EA592A"/>
    <w:rsid w:val="00EB14E4"/>
    <w:rsid w:val="00EB32A5"/>
    <w:rsid w:val="00EB34ED"/>
    <w:rsid w:val="00EB7BE0"/>
    <w:rsid w:val="00EC315E"/>
    <w:rsid w:val="00ED077C"/>
    <w:rsid w:val="00ED1190"/>
    <w:rsid w:val="00ED6544"/>
    <w:rsid w:val="00EE0277"/>
    <w:rsid w:val="00EE1DA9"/>
    <w:rsid w:val="00EE3E00"/>
    <w:rsid w:val="00EE5DD2"/>
    <w:rsid w:val="00EE78A6"/>
    <w:rsid w:val="00EF41F1"/>
    <w:rsid w:val="00EF4F08"/>
    <w:rsid w:val="00EF6B4D"/>
    <w:rsid w:val="00F00A79"/>
    <w:rsid w:val="00F00BD8"/>
    <w:rsid w:val="00F00E86"/>
    <w:rsid w:val="00F00F8B"/>
    <w:rsid w:val="00F07C1E"/>
    <w:rsid w:val="00F105DB"/>
    <w:rsid w:val="00F132BC"/>
    <w:rsid w:val="00F13D80"/>
    <w:rsid w:val="00F16AAA"/>
    <w:rsid w:val="00F21161"/>
    <w:rsid w:val="00F218EF"/>
    <w:rsid w:val="00F21BC7"/>
    <w:rsid w:val="00F266A2"/>
    <w:rsid w:val="00F32269"/>
    <w:rsid w:val="00F36BF7"/>
    <w:rsid w:val="00F4457E"/>
    <w:rsid w:val="00F56A6F"/>
    <w:rsid w:val="00F5709C"/>
    <w:rsid w:val="00F60955"/>
    <w:rsid w:val="00F64EF1"/>
    <w:rsid w:val="00F701E0"/>
    <w:rsid w:val="00F8765F"/>
    <w:rsid w:val="00F90767"/>
    <w:rsid w:val="00F963B3"/>
    <w:rsid w:val="00FA46FD"/>
    <w:rsid w:val="00FA685B"/>
    <w:rsid w:val="00FB0C01"/>
    <w:rsid w:val="00FC18F2"/>
    <w:rsid w:val="00FC39E5"/>
    <w:rsid w:val="00FC3A78"/>
    <w:rsid w:val="00FC5FFE"/>
    <w:rsid w:val="00FD1005"/>
    <w:rsid w:val="00FD3180"/>
    <w:rsid w:val="00FD6C75"/>
    <w:rsid w:val="00FE71B3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191C11"/>
    <w:pPr>
      <w:jc w:val="both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191C1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191C11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191C1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191C1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191C1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191C1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191C11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191C1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191C1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91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C11"/>
    <w:rPr>
      <w:rFonts w:ascii="Tahoma" w:eastAsiaTheme="minorEastAsia" w:hAnsi="Tahoma" w:cs="Tahoma"/>
      <w:sz w:val="16"/>
      <w:szCs w:val="16"/>
    </w:rPr>
  </w:style>
  <w:style w:type="character" w:styleId="BookTitle">
    <w:name w:val="Book Title"/>
    <w:uiPriority w:val="99"/>
    <w:semiHidden/>
    <w:qFormat/>
    <w:rsid w:val="00191C11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191C11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191C11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191C11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191C11"/>
    <w:rPr>
      <w:sz w:val="22"/>
    </w:rPr>
  </w:style>
  <w:style w:type="character" w:customStyle="1" w:styleId="NoSpacingChar">
    <w:name w:val="No Spacing Char"/>
    <w:basedOn w:val="DefaultParagraphFont"/>
    <w:link w:val="NoSpacing"/>
    <w:semiHidden/>
    <w:rsid w:val="00191C11"/>
    <w:rPr>
      <w:rFonts w:eastAsiaTheme="minorEastAsia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191C11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JuAppQuestion">
    <w:name w:val="Ju_App_Question"/>
    <w:basedOn w:val="Normal"/>
    <w:uiPriority w:val="5"/>
    <w:qFormat/>
    <w:rsid w:val="00191C11"/>
    <w:pPr>
      <w:numPr>
        <w:numId w:val="14"/>
      </w:numPr>
      <w:jc w:val="left"/>
    </w:pPr>
    <w:rPr>
      <w:b/>
    </w:rPr>
  </w:style>
  <w:style w:type="paragraph" w:customStyle="1" w:styleId="OpiPara">
    <w:name w:val="Opi_Para"/>
    <w:basedOn w:val="ECHRPara"/>
    <w:uiPriority w:val="46"/>
    <w:qFormat/>
    <w:rsid w:val="00191C11"/>
  </w:style>
  <w:style w:type="paragraph" w:customStyle="1" w:styleId="JuParaSub">
    <w:name w:val="Ju_Para_Sub"/>
    <w:basedOn w:val="ECHRPara"/>
    <w:uiPriority w:val="13"/>
    <w:unhideWhenUsed/>
    <w:qFormat/>
    <w:rsid w:val="00191C11"/>
    <w:pPr>
      <w:ind w:left="284"/>
    </w:p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191C11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191C11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OpiParaSub">
    <w:name w:val="Opi_Para_Sub"/>
    <w:basedOn w:val="JuParaSub"/>
    <w:uiPriority w:val="47"/>
    <w:unhideWhenUsed/>
    <w:qFormat/>
    <w:rsid w:val="00191C11"/>
  </w:style>
  <w:style w:type="paragraph" w:customStyle="1" w:styleId="OpiQuot">
    <w:name w:val="Opi_Quot"/>
    <w:basedOn w:val="ECHRParaQuote"/>
    <w:uiPriority w:val="48"/>
    <w:qFormat/>
    <w:rsid w:val="00191C11"/>
  </w:style>
  <w:style w:type="paragraph" w:customStyle="1" w:styleId="OpiQuotSub">
    <w:name w:val="Opi_Quot_Sub"/>
    <w:basedOn w:val="JuQuotSub"/>
    <w:uiPriority w:val="49"/>
    <w:qFormat/>
    <w:rsid w:val="00191C11"/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191C11"/>
    <w:pPr>
      <w:spacing w:after="240"/>
      <w:jc w:val="center"/>
      <w:outlineLvl w:val="0"/>
    </w:pPr>
    <w:rPr>
      <w:rFonts w:asciiTheme="majorHAnsi" w:hAnsiTheme="majorHAnsi"/>
      <w:i/>
    </w:rPr>
  </w:style>
  <w:style w:type="paragraph" w:customStyle="1" w:styleId="JuTitle">
    <w:name w:val="Ju_Title"/>
    <w:basedOn w:val="Normal"/>
    <w:next w:val="ECHRPara"/>
    <w:uiPriority w:val="3"/>
    <w:qFormat/>
    <w:rsid w:val="00191C11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191C1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91C11"/>
    <w:rPr>
      <w:rFonts w:asciiTheme="majorHAnsi" w:eastAsiaTheme="majorEastAsia" w:hAnsiTheme="majorHAnsi" w:cstheme="majorBidi"/>
      <w:spacing w:val="5"/>
      <w:sz w:val="52"/>
      <w:szCs w:val="52"/>
      <w:lang w:bidi="bg-BG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191C11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191C11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191C11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191C11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191C11"/>
    <w:pPr>
      <w:keepNext/>
      <w:keepLines/>
      <w:spacing w:before="240" w:after="120"/>
      <w:ind w:left="1236"/>
    </w:pPr>
    <w:rPr>
      <w:sz w:val="20"/>
    </w:rPr>
  </w:style>
  <w:style w:type="paragraph" w:customStyle="1" w:styleId="JuQuotSub">
    <w:name w:val="Ju_Quot_Sub"/>
    <w:basedOn w:val="ECHRParaQuote"/>
    <w:uiPriority w:val="15"/>
    <w:qFormat/>
    <w:rsid w:val="00191C11"/>
    <w:pPr>
      <w:ind w:left="567"/>
    </w:pPr>
  </w:style>
  <w:style w:type="paragraph" w:customStyle="1" w:styleId="JuInitialled">
    <w:name w:val="Ju_Initialled"/>
    <w:basedOn w:val="Normal"/>
    <w:uiPriority w:val="31"/>
    <w:qFormat/>
    <w:rsid w:val="00191C11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qFormat/>
    <w:rsid w:val="00191C11"/>
    <w:pPr>
      <w:tabs>
        <w:tab w:val="clear" w:pos="357"/>
      </w:tabs>
      <w:outlineLvl w:val="1"/>
    </w:pPr>
    <w:rPr>
      <w:b/>
    </w:rPr>
  </w:style>
  <w:style w:type="paragraph" w:styleId="Header">
    <w:name w:val="header"/>
    <w:basedOn w:val="Normal"/>
    <w:link w:val="HeaderChar"/>
    <w:uiPriority w:val="57"/>
    <w:semiHidden/>
    <w:rsid w:val="00191C11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191C1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191C11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191C11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191C11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91C11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character" w:customStyle="1" w:styleId="JUNAMES">
    <w:name w:val="JU_NAMES"/>
    <w:uiPriority w:val="17"/>
    <w:qFormat/>
    <w:rsid w:val="00191C11"/>
    <w:rPr>
      <w:caps w:val="0"/>
      <w:smallCaps/>
    </w:rPr>
  </w:style>
  <w:style w:type="paragraph" w:customStyle="1" w:styleId="JuCase">
    <w:name w:val="Ju_Case"/>
    <w:basedOn w:val="Normal"/>
    <w:next w:val="ECHRPara"/>
    <w:uiPriority w:val="10"/>
    <w:rsid w:val="00191C11"/>
    <w:pPr>
      <w:ind w:firstLine="284"/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91C11"/>
    <w:rPr>
      <w:rFonts w:asciiTheme="majorHAnsi" w:eastAsiaTheme="majorEastAsia" w:hAnsiTheme="majorHAnsi" w:cstheme="majorBidi"/>
      <w:b/>
      <w:bCs/>
      <w:color w:val="5F5F5F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191C11"/>
    <w:rPr>
      <w:rFonts w:asciiTheme="majorHAnsi" w:eastAsiaTheme="majorEastAsia" w:hAnsiTheme="majorHAnsi" w:cstheme="majorBidi"/>
      <w:b/>
      <w:bCs/>
      <w:i/>
      <w:iCs/>
      <w:color w:val="777777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91C11"/>
    <w:rPr>
      <w:rFonts w:asciiTheme="majorHAnsi" w:eastAsiaTheme="majorEastAsia" w:hAnsiTheme="majorHAnsi" w:cstheme="majorBidi"/>
      <w:b/>
      <w:bCs/>
      <w:color w:val="808080"/>
    </w:rPr>
  </w:style>
  <w:style w:type="character" w:styleId="SubtleEmphasis">
    <w:name w:val="Subtle Emphasis"/>
    <w:uiPriority w:val="99"/>
    <w:semiHidden/>
    <w:qFormat/>
    <w:rsid w:val="00191C11"/>
    <w:rPr>
      <w:i/>
      <w:iCs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191C11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Emphasis">
    <w:name w:val="Emphasis"/>
    <w:uiPriority w:val="99"/>
    <w:semiHidden/>
    <w:qFormat/>
    <w:rsid w:val="00191C1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191C11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191C11"/>
    <w:rPr>
      <w:sz w:val="24"/>
    </w:rPr>
  </w:style>
  <w:style w:type="character" w:styleId="FootnoteReference">
    <w:name w:val="footnote reference"/>
    <w:basedOn w:val="DefaultParagraphFont"/>
    <w:uiPriority w:val="99"/>
    <w:semiHidden/>
    <w:rsid w:val="00191C1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91C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1C11"/>
    <w:rPr>
      <w:rFonts w:eastAsiaTheme="minorEastAsia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191C11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bg-BG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91C11"/>
    <w:rPr>
      <w:rFonts w:asciiTheme="majorHAnsi" w:eastAsiaTheme="majorEastAsia" w:hAnsiTheme="majorHAnsi" w:cstheme="majorBidi"/>
      <w:i/>
      <w:iCs/>
      <w:lang w:bidi="bg-B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91C11"/>
    <w:rPr>
      <w:rFonts w:asciiTheme="majorHAnsi" w:eastAsiaTheme="majorEastAsia" w:hAnsiTheme="majorHAnsi" w:cstheme="majorBidi"/>
      <w:sz w:val="20"/>
      <w:szCs w:val="20"/>
      <w:lang w:bidi="bg-B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91C11"/>
    <w:rPr>
      <w:rFonts w:asciiTheme="majorHAnsi" w:eastAsiaTheme="majorEastAsia" w:hAnsiTheme="majorHAnsi" w:cstheme="majorBidi"/>
      <w:i/>
      <w:iCs/>
      <w:spacing w:val="5"/>
      <w:sz w:val="20"/>
      <w:szCs w:val="20"/>
      <w:lang w:bidi="bg-BG"/>
    </w:rPr>
  </w:style>
  <w:style w:type="character" w:styleId="Hyperlink">
    <w:name w:val="Hyperlink"/>
    <w:basedOn w:val="DefaultParagraphFont"/>
    <w:uiPriority w:val="99"/>
    <w:semiHidden/>
    <w:rsid w:val="00191C11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191C11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191C1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91C11"/>
    <w:rPr>
      <w:rFonts w:eastAsiaTheme="minorEastAsia"/>
      <w:b/>
      <w:bCs/>
      <w:i/>
      <w:iCs/>
      <w:lang w:bidi="bg-BG"/>
    </w:rPr>
  </w:style>
  <w:style w:type="character" w:styleId="IntenseReference">
    <w:name w:val="Intense Reference"/>
    <w:uiPriority w:val="99"/>
    <w:semiHidden/>
    <w:qFormat/>
    <w:rsid w:val="00191C11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191C11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191C11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91C11"/>
    <w:rPr>
      <w:rFonts w:eastAsiaTheme="minorEastAsia"/>
      <w:i/>
      <w:iCs/>
      <w:lang w:bidi="bg-BG"/>
    </w:rPr>
  </w:style>
  <w:style w:type="character" w:styleId="SubtleReference">
    <w:name w:val="Subtle Reference"/>
    <w:uiPriority w:val="99"/>
    <w:semiHidden/>
    <w:qFormat/>
    <w:rsid w:val="00191C11"/>
    <w:rPr>
      <w:smallCaps/>
    </w:rPr>
  </w:style>
  <w:style w:type="table" w:styleId="TableGrid">
    <w:name w:val="Table Grid"/>
    <w:basedOn w:val="TableNormal"/>
    <w:uiPriority w:val="59"/>
    <w:semiHidden/>
    <w:rsid w:val="00191C1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191C11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191C11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191C11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191C11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191C11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191C11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TableNormal"/>
    <w:uiPriority w:val="99"/>
    <w:rsid w:val="00801300"/>
    <w:rPr>
      <w:rFonts w:eastAsiaTheme="minorEastAsia"/>
      <w:sz w:val="20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Theme="minorEastAsia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191C11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customStyle="1" w:styleId="ECHRParaQuote">
    <w:name w:val="ECHR_Para_Quote"/>
    <w:aliases w:val="Ju_Quot"/>
    <w:basedOn w:val="Normal"/>
    <w:uiPriority w:val="14"/>
    <w:qFormat/>
    <w:rsid w:val="00191C11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191C11"/>
    <w:pPr>
      <w:ind w:firstLine="284"/>
    </w:p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191C11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ECHRDecisionBody">
    <w:name w:val="ECHR_Decision_Body"/>
    <w:aliases w:val="Ju_Judges"/>
    <w:basedOn w:val="Normal"/>
    <w:uiPriority w:val="11"/>
    <w:qFormat/>
    <w:rsid w:val="00191C11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Normal"/>
    <w:uiPriority w:val="28"/>
    <w:qFormat/>
    <w:rsid w:val="00191C11"/>
    <w:pPr>
      <w:ind w:left="340" w:hanging="340"/>
    </w:pPr>
  </w:style>
  <w:style w:type="paragraph" w:customStyle="1" w:styleId="JuSigned">
    <w:name w:val="Ju_Signed"/>
    <w:basedOn w:val="Normal"/>
    <w:next w:val="JuParaLast"/>
    <w:uiPriority w:val="32"/>
    <w:qFormat/>
    <w:rsid w:val="00191C11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191C11"/>
    <w:pPr>
      <w:keepNext/>
      <w:keepLines/>
      <w:spacing w:before="240"/>
      <w:ind w:firstLine="284"/>
    </w:pPr>
  </w:style>
  <w:style w:type="character" w:customStyle="1" w:styleId="JuITMark">
    <w:name w:val="Ju_ITMark"/>
    <w:basedOn w:val="DefaultParagraphFont"/>
    <w:uiPriority w:val="38"/>
    <w:qFormat/>
    <w:rsid w:val="00191C11"/>
    <w:rPr>
      <w:vanish w:val="0"/>
      <w:color w:val="auto"/>
      <w:sz w:val="14"/>
    </w:rPr>
  </w:style>
  <w:style w:type="character" w:styleId="PageNumber">
    <w:name w:val="page number"/>
    <w:uiPriority w:val="99"/>
    <w:semiHidden/>
    <w:rsid w:val="00014566"/>
    <w:rPr>
      <w:sz w:val="18"/>
    </w:rPr>
  </w:style>
  <w:style w:type="paragraph" w:customStyle="1" w:styleId="JuLista">
    <w:name w:val="Ju_List_a"/>
    <w:basedOn w:val="JuList"/>
    <w:uiPriority w:val="28"/>
    <w:qFormat/>
    <w:rsid w:val="00191C11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191C11"/>
    <w:pPr>
      <w:ind w:left="794"/>
    </w:pPr>
  </w:style>
  <w:style w:type="character" w:styleId="CommentReference">
    <w:name w:val="annotation reference"/>
    <w:uiPriority w:val="99"/>
    <w:semiHidden/>
    <w:rsid w:val="00014566"/>
    <w:rPr>
      <w:sz w:val="16"/>
    </w:rPr>
  </w:style>
  <w:style w:type="paragraph" w:styleId="CommentText">
    <w:name w:val="annotation text"/>
    <w:basedOn w:val="Normal"/>
    <w:link w:val="CommentTextChar"/>
    <w:semiHidden/>
    <w:rsid w:val="0001456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4566"/>
    <w:rPr>
      <w:rFonts w:eastAsiaTheme="minorEastAsia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566"/>
    <w:rPr>
      <w:rFonts w:eastAsiaTheme="minorEastAsia"/>
      <w:b/>
      <w:bCs/>
      <w:sz w:val="20"/>
    </w:rPr>
  </w:style>
  <w:style w:type="character" w:styleId="EndnoteReference">
    <w:name w:val="endnote reference"/>
    <w:uiPriority w:val="99"/>
    <w:semiHidden/>
    <w:rsid w:val="0001456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1456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4566"/>
    <w:rPr>
      <w:rFonts w:eastAsiaTheme="minorEastAsia"/>
      <w:sz w:val="20"/>
    </w:rPr>
  </w:style>
  <w:style w:type="character" w:styleId="FollowedHyperlink">
    <w:name w:val="FollowedHyperlink"/>
    <w:uiPriority w:val="99"/>
    <w:semiHidden/>
    <w:rsid w:val="00014566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01456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4566"/>
    <w:rPr>
      <w:rFonts w:ascii="Tahoma" w:eastAsiaTheme="minorEastAsia" w:hAnsi="Tahoma" w:cs="Tahoma"/>
      <w:sz w:val="20"/>
      <w:shd w:val="clear" w:color="auto" w:fill="000080"/>
    </w:rPr>
  </w:style>
  <w:style w:type="paragraph" w:customStyle="1" w:styleId="OpiTranslation">
    <w:name w:val="Opi_Translation"/>
    <w:basedOn w:val="Normal"/>
    <w:next w:val="OpiPara"/>
    <w:uiPriority w:val="40"/>
    <w:qFormat/>
    <w:rsid w:val="00191C11"/>
    <w:pPr>
      <w:jc w:val="center"/>
      <w:outlineLvl w:val="0"/>
    </w:pPr>
    <w:rPr>
      <w:i/>
    </w:rPr>
  </w:style>
  <w:style w:type="paragraph" w:styleId="ListBullet">
    <w:name w:val="List Bullet"/>
    <w:basedOn w:val="Normal"/>
    <w:uiPriority w:val="99"/>
    <w:semiHidden/>
    <w:rsid w:val="00014566"/>
    <w:pPr>
      <w:numPr>
        <w:numId w:val="1"/>
      </w:numPr>
    </w:pPr>
  </w:style>
  <w:style w:type="paragraph" w:customStyle="1" w:styleId="DecHTitle">
    <w:name w:val="Dec_H_Title"/>
    <w:basedOn w:val="ECHRTitleCentre1"/>
    <w:uiPriority w:val="7"/>
    <w:qFormat/>
    <w:rsid w:val="00191C11"/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191C11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91C11"/>
    <w:rPr>
      <w:rFonts w:asciiTheme="majorHAnsi" w:eastAsiaTheme="majorEastAsia" w:hAnsiTheme="majorHAnsi" w:cstheme="majorBidi"/>
      <w:i/>
      <w:iCs/>
      <w:spacing w:val="13"/>
      <w:sz w:val="24"/>
      <w:szCs w:val="24"/>
      <w:lang w:bidi="bg-BG"/>
    </w:rPr>
  </w:style>
  <w:style w:type="numbering" w:styleId="111111">
    <w:name w:val="Outline List 2"/>
    <w:basedOn w:val="NoList"/>
    <w:uiPriority w:val="99"/>
    <w:semiHidden/>
    <w:rsid w:val="00014566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014566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014566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014566"/>
  </w:style>
  <w:style w:type="paragraph" w:styleId="BlockText">
    <w:name w:val="Block Text"/>
    <w:basedOn w:val="Normal"/>
    <w:uiPriority w:val="99"/>
    <w:semiHidden/>
    <w:rsid w:val="00014566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0145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4566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0145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4566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14566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1456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14566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0145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4566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1456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14566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145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14566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14566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014566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1456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14566"/>
    <w:rPr>
      <w:rFonts w:eastAsiaTheme="minorEastAsia"/>
      <w:sz w:val="24"/>
    </w:rPr>
  </w:style>
  <w:style w:type="table" w:styleId="ColorfulGrid">
    <w:name w:val="Colorful Grid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014566"/>
    <w:rPr>
      <w:color w:val="0072BC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14566"/>
  </w:style>
  <w:style w:type="character" w:customStyle="1" w:styleId="DateChar">
    <w:name w:val="Date Char"/>
    <w:basedOn w:val="DefaultParagraphFont"/>
    <w:link w:val="Date"/>
    <w:uiPriority w:val="99"/>
    <w:semiHidden/>
    <w:rsid w:val="00014566"/>
    <w:rPr>
      <w:rFonts w:eastAsiaTheme="minorEastAsia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01456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14566"/>
    <w:rPr>
      <w:rFonts w:eastAsiaTheme="minorEastAsia"/>
      <w:sz w:val="24"/>
    </w:rPr>
  </w:style>
  <w:style w:type="paragraph" w:styleId="EnvelopeAddress">
    <w:name w:val="envelope address"/>
    <w:basedOn w:val="Normal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014566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014566"/>
  </w:style>
  <w:style w:type="paragraph" w:styleId="HTMLAddress">
    <w:name w:val="HTML Address"/>
    <w:basedOn w:val="Normal"/>
    <w:link w:val="HTMLAddressChar"/>
    <w:uiPriority w:val="99"/>
    <w:semiHidden/>
    <w:rsid w:val="0001456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14566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014566"/>
    <w:rPr>
      <w:i/>
      <w:iCs/>
    </w:rPr>
  </w:style>
  <w:style w:type="character" w:styleId="HTMLCode">
    <w:name w:val="HTML Code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14566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4566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01456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014566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01456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01456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1456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1456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1456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1456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1456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1456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1456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014566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01456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014566"/>
    <w:rPr>
      <w:color w:val="00548C" w:themeColor="accent1" w:themeShade="BF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014566"/>
    <w:rPr>
      <w:color w:val="8F0000" w:themeColor="accent2" w:themeShade="BF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014566"/>
    <w:rPr>
      <w:color w:val="474747" w:themeColor="accent3" w:themeShade="BF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014566"/>
    <w:rPr>
      <w:color w:val="707070" w:themeColor="accent4" w:themeShade="BF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014566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014566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014566"/>
  </w:style>
  <w:style w:type="paragraph" w:styleId="List">
    <w:name w:val="List"/>
    <w:basedOn w:val="Normal"/>
    <w:uiPriority w:val="99"/>
    <w:semiHidden/>
    <w:rsid w:val="000145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145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1456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1456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14566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01456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01456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01456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01456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01456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1456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1456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1456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1456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01456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01456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01456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01456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014566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table" w:styleId="MediumGrid1">
    <w:name w:val="Medium Grid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014566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0145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0145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1456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014566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01456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1456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14566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191C11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rsid w:val="000145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4566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1456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14566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01456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14566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rsid w:val="00014566"/>
    <w:pPr>
      <w:suppressAutoHyphens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14566"/>
    <w:pPr>
      <w:suppressAutoHyphens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14566"/>
    <w:pPr>
      <w:suppressAutoHyphen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14566"/>
    <w:pPr>
      <w:suppressAutoHyphens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014566"/>
    <w:pPr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14566"/>
    <w:pPr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14566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014566"/>
    <w:pPr>
      <w:suppressAutoHyphens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14566"/>
    <w:pPr>
      <w:suppressAutoHyphens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14566"/>
    <w:pPr>
      <w:suppressAutoHyphens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14566"/>
    <w:pPr>
      <w:suppressAutoHyphens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14566"/>
    <w:pPr>
      <w:suppressAutoHyphens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014566"/>
    <w:pPr>
      <w:suppressAutoHyphen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014566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14566"/>
    <w:pPr>
      <w:suppressAutoHyphens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14566"/>
    <w:pPr>
      <w:suppressAutoHyphen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14566"/>
    <w:pPr>
      <w:suppressAutoHyphen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14566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14566"/>
    <w:pPr>
      <w:suppressAutoHyphens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14566"/>
    <w:pPr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1456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014566"/>
  </w:style>
  <w:style w:type="table" w:styleId="TableProfessional">
    <w:name w:val="Table Professional"/>
    <w:basedOn w:val="TableNormal"/>
    <w:uiPriority w:val="99"/>
    <w:semiHidden/>
    <w:rsid w:val="00014566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014566"/>
    <w:pPr>
      <w:suppressAutoHyphen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14566"/>
    <w:pPr>
      <w:suppressAutoHyphens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14566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014566"/>
    <w:pPr>
      <w:suppressAutoHyphen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14566"/>
    <w:pPr>
      <w:suppressAutoHyphens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01456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014566"/>
    <w:pPr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14566"/>
    <w:pPr>
      <w:suppressAutoHyphen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14566"/>
    <w:pPr>
      <w:suppressAutoHyphen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191C11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191C11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01456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014566"/>
    <w:pPr>
      <w:spacing w:after="100"/>
      <w:ind w:left="1920"/>
    </w:pPr>
  </w:style>
  <w:style w:type="paragraph" w:customStyle="1" w:styleId="JuCourt">
    <w:name w:val="Ju_Court"/>
    <w:basedOn w:val="Normal"/>
    <w:next w:val="Normal"/>
    <w:uiPriority w:val="16"/>
    <w:qFormat/>
    <w:rsid w:val="00191C11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</w:style>
  <w:style w:type="paragraph" w:customStyle="1" w:styleId="DecList">
    <w:name w:val="Dec_List"/>
    <w:basedOn w:val="Normal"/>
    <w:uiPriority w:val="9"/>
    <w:qFormat/>
    <w:rsid w:val="00191C11"/>
    <w:pPr>
      <w:spacing w:before="240"/>
      <w:ind w:left="284"/>
    </w:pPr>
  </w:style>
  <w:style w:type="paragraph" w:customStyle="1" w:styleId="OpiH1">
    <w:name w:val="Opi_H_1"/>
    <w:basedOn w:val="ECHRHeading2"/>
    <w:uiPriority w:val="42"/>
    <w:qFormat/>
    <w:rsid w:val="00191C11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qFormat/>
    <w:rsid w:val="00191C11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qFormat/>
    <w:rsid w:val="00191C11"/>
    <w:pPr>
      <w:ind w:left="1037" w:hanging="357"/>
      <w:outlineLvl w:val="4"/>
    </w:pPr>
    <w:rPr>
      <w:b w:val="0"/>
      <w:i/>
    </w:rPr>
  </w:style>
  <w:style w:type="paragraph" w:customStyle="1" w:styleId="DummyStyle">
    <w:name w:val="Dummy_Style"/>
    <w:basedOn w:val="Normal"/>
    <w:semiHidden/>
    <w:qFormat/>
    <w:rsid w:val="00191C11"/>
    <w:rPr>
      <w:color w:val="00B050"/>
    </w:rPr>
  </w:style>
  <w:style w:type="paragraph" w:customStyle="1" w:styleId="JuHeaderLandscape">
    <w:name w:val="Ju_Header_Landscape"/>
    <w:basedOn w:val="ECHRHeader"/>
    <w:uiPriority w:val="4"/>
    <w:qFormat/>
    <w:rsid w:val="00191C11"/>
    <w:pPr>
      <w:tabs>
        <w:tab w:val="clear" w:pos="3686"/>
        <w:tab w:val="clear" w:pos="7371"/>
        <w:tab w:val="center" w:pos="6146"/>
        <w:tab w:val="right" w:pos="12293"/>
      </w:tabs>
    </w:pPr>
  </w:style>
  <w:style w:type="character" w:customStyle="1" w:styleId="ECHRParaChar">
    <w:name w:val="ECHR_Para Char"/>
    <w:aliases w:val="Ju_Para Char"/>
    <w:link w:val="ECHRPara"/>
    <w:uiPriority w:val="12"/>
    <w:rsid w:val="00D109B0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4E449-FD35-4C72-B9F4-8C9C1118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2016-12-16T13:35:00Z</dcterms:created>
  <dcterms:modified xsi:type="dcterms:W3CDTF">2016-12-16T13:35:00Z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