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  <w:r>
        <w:t>ПЕТО ОТДЕЛЕНИЕ</w:t>
      </w:r>
    </w:p>
    <w:p w:rsidR="003D30E5" w:rsidRPr="00F22351" w:rsidRDefault="003D30E5" w:rsidP="003D30E5">
      <w:pPr>
        <w:jc w:val="center"/>
        <w:rPr>
          <w:b/>
        </w:rPr>
      </w:pPr>
      <w:bookmarkStart w:id="0" w:name="To"/>
    </w:p>
    <w:p w:rsidR="003D30E5" w:rsidRPr="00F22351" w:rsidRDefault="003D30E5" w:rsidP="003D30E5">
      <w:pPr>
        <w:jc w:val="center"/>
        <w:rPr>
          <w:b/>
        </w:rPr>
      </w:pPr>
    </w:p>
    <w:p w:rsidR="003D30E5" w:rsidRPr="00F22351" w:rsidRDefault="003D30E5" w:rsidP="003D30E5">
      <w:pPr>
        <w:jc w:val="center"/>
        <w:rPr>
          <w:b/>
        </w:rPr>
      </w:pPr>
    </w:p>
    <w:p w:rsidR="003D30E5" w:rsidRPr="00F22351" w:rsidRDefault="003D30E5" w:rsidP="003D30E5">
      <w:pPr>
        <w:jc w:val="center"/>
        <w:rPr>
          <w:b/>
        </w:rPr>
      </w:pPr>
    </w:p>
    <w:p w:rsidR="003D30E5" w:rsidRPr="00F22351" w:rsidRDefault="003D30E5" w:rsidP="003D30E5">
      <w:pPr>
        <w:jc w:val="center"/>
        <w:rPr>
          <w:b/>
        </w:rPr>
      </w:pPr>
    </w:p>
    <w:p w:rsidR="003D30E5" w:rsidRPr="00F22351" w:rsidRDefault="003D30E5" w:rsidP="003D30E5">
      <w:pPr>
        <w:jc w:val="center"/>
        <w:rPr>
          <w:b/>
        </w:rPr>
      </w:pPr>
    </w:p>
    <w:p w:rsidR="003D30E5" w:rsidRPr="00F22351" w:rsidRDefault="003D30E5" w:rsidP="003D30E5">
      <w:pPr>
        <w:jc w:val="center"/>
        <w:rPr>
          <w:b/>
        </w:rPr>
      </w:pPr>
    </w:p>
    <w:p w:rsidR="003D30E5" w:rsidRPr="00F22351" w:rsidRDefault="003D30E5" w:rsidP="003D30E5">
      <w:pPr>
        <w:jc w:val="center"/>
        <w:rPr>
          <w:b/>
        </w:rPr>
      </w:pPr>
      <w:r>
        <w:rPr>
          <w:b/>
        </w:rPr>
        <w:t xml:space="preserve">ДЕЛО </w:t>
      </w:r>
      <w:bookmarkEnd w:id="0"/>
      <w:r>
        <w:rPr>
          <w:b/>
        </w:rPr>
        <w:t>РАШКОВА И СИМЕОНСКА СРЕЩУ БЪЛГАРИЯ</w:t>
      </w: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  <w:rPr>
          <w:i/>
        </w:rPr>
      </w:pPr>
      <w:r>
        <w:rPr>
          <w:i/>
        </w:rPr>
        <w:t>(Жалба</w:t>
      </w:r>
      <w:r w:rsidR="00462A99">
        <w:rPr>
          <w:i/>
        </w:rPr>
        <w:t xml:space="preserve"> № </w:t>
      </w:r>
      <w:r>
        <w:rPr>
          <w:i/>
        </w:rPr>
        <w:t>41090/12)</w:t>
      </w: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  <w:r>
        <w:t>РЕШЕНИЕ</w:t>
      </w: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  <w:r>
        <w:t>СТРАСБУРГ</w:t>
      </w: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  <w:r>
        <w:t>2 февруари 2017 г.</w:t>
      </w: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center"/>
      </w:pPr>
    </w:p>
    <w:p w:rsidR="003D30E5" w:rsidRPr="00F22351" w:rsidRDefault="003D30E5" w:rsidP="003D30E5">
      <w:pPr>
        <w:jc w:val="left"/>
        <w:rPr>
          <w:i/>
          <w:sz w:val="22"/>
        </w:rPr>
      </w:pPr>
      <w:r>
        <w:rPr>
          <w:i/>
          <w:sz w:val="22"/>
        </w:rPr>
        <w:t>Настоящото решение е окончателно, но може да бъде предмет на редакционни промени.</w:t>
      </w:r>
    </w:p>
    <w:p w:rsidR="003D30E5" w:rsidRDefault="003D30E5" w:rsidP="003D30E5">
      <w:pPr>
        <w:pStyle w:val="ECHRPara"/>
        <w:sectPr w:rsidR="003D30E5" w:rsidSect="003D30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3D30E5" w:rsidRPr="00F22351" w:rsidRDefault="003D30E5" w:rsidP="003D30E5">
      <w:pPr>
        <w:pStyle w:val="JuCase"/>
        <w:rPr>
          <w:bCs/>
        </w:rPr>
      </w:pPr>
      <w:r>
        <w:lastRenderedPageBreak/>
        <w:t xml:space="preserve">По делото </w:t>
      </w:r>
      <w:r w:rsidR="005916E7">
        <w:t xml:space="preserve">на </w:t>
      </w:r>
      <w:r>
        <w:t>Рашкова и Симеонска срещу България,</w:t>
      </w:r>
    </w:p>
    <w:p w:rsidR="003D30E5" w:rsidRPr="00F22351" w:rsidRDefault="003D30E5" w:rsidP="003D30E5">
      <w:pPr>
        <w:pStyle w:val="ECHRPara"/>
      </w:pPr>
      <w:r>
        <w:t>Европейският съд по правата на човека (Пето отделение), заседаващ като комитет</w:t>
      </w:r>
      <w:r w:rsidR="005916E7">
        <w:t xml:space="preserve"> в състав</w:t>
      </w:r>
      <w:r>
        <w:t>:</w:t>
      </w:r>
    </w:p>
    <w:p w:rsidR="003D30E5" w:rsidRPr="00F22351" w:rsidRDefault="003D30E5" w:rsidP="003D30E5">
      <w:pPr>
        <w:pStyle w:val="ECHRDecisionBody"/>
      </w:pPr>
      <w:r>
        <w:tab/>
      </w:r>
      <w:r w:rsidRPr="00350B22">
        <w:t>Га</w:t>
      </w:r>
      <w:r w:rsidR="00A63231" w:rsidRPr="00350B22">
        <w:t>н</w:t>
      </w:r>
      <w:r w:rsidRPr="00350B22">
        <w:t>на Юдкивска (Ganna</w:t>
      </w:r>
      <w:r>
        <w:t xml:space="preserve"> Yudkivska),</w:t>
      </w:r>
      <w:r>
        <w:rPr>
          <w:i/>
        </w:rPr>
        <w:t xml:space="preserve"> Председател</w:t>
      </w:r>
      <w:r>
        <w:t>,</w:t>
      </w:r>
      <w:r>
        <w:br/>
      </w:r>
      <w:r>
        <w:tab/>
        <w:t>Фарис Вехабович (Faris Vehabović),</w:t>
      </w:r>
      <w:r>
        <w:br/>
      </w:r>
      <w:r>
        <w:tab/>
        <w:t>Карло Ранцони (Carlo Ranzoni),</w:t>
      </w:r>
      <w:r>
        <w:rPr>
          <w:i/>
        </w:rPr>
        <w:t xml:space="preserve"> съдии</w:t>
      </w:r>
      <w:r>
        <w:t>,</w:t>
      </w:r>
      <w:r>
        <w:br/>
        <w:t xml:space="preserve">и Ан-Мари Дуген (Anne-Marie Dougin), </w:t>
      </w:r>
      <w:r>
        <w:rPr>
          <w:i/>
        </w:rPr>
        <w:t>заместник-секретар на отделението</w:t>
      </w:r>
      <w:r>
        <w:t>,</w:t>
      </w:r>
    </w:p>
    <w:p w:rsidR="003D30E5" w:rsidRPr="00F22351" w:rsidRDefault="003D30E5" w:rsidP="003D30E5">
      <w:pPr>
        <w:pStyle w:val="ECHRPara"/>
      </w:pPr>
      <w:r>
        <w:t>След закрито заседание, проведено на 10 януари 2017 г.,</w:t>
      </w:r>
    </w:p>
    <w:p w:rsidR="003D30E5" w:rsidRPr="00F22351" w:rsidRDefault="003D30E5" w:rsidP="003D30E5">
      <w:pPr>
        <w:pStyle w:val="ECHRPara"/>
      </w:pPr>
      <w:r>
        <w:t xml:space="preserve">Постановява следното решение, прието на </w:t>
      </w:r>
      <w:r w:rsidR="005916E7">
        <w:t xml:space="preserve">същата </w:t>
      </w:r>
      <w:r>
        <w:t>дата:</w:t>
      </w:r>
    </w:p>
    <w:p w:rsidR="003D30E5" w:rsidRPr="00F22351" w:rsidRDefault="003D30E5" w:rsidP="003D30E5">
      <w:pPr>
        <w:pStyle w:val="ECHRTitle1"/>
      </w:pPr>
      <w:r>
        <w:t>ПРОЦЕДУРА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</w:t>
      </w:r>
      <w:r>
        <w:fldChar w:fldCharType="end"/>
      </w:r>
      <w:r>
        <w:t>.  Делото е образувано по жалба (</w:t>
      </w:r>
      <w:r w:rsidR="00462A99">
        <w:t>№ 4</w:t>
      </w:r>
      <w:r>
        <w:t>1090/12) срещу Република България, подадена в Съда на основание чл. 34 от Конвенцията за защита на правата на човека и основните свободи (</w:t>
      </w:r>
      <w:r>
        <w:rPr>
          <w:cs/>
        </w:rPr>
        <w:t>”</w:t>
      </w:r>
      <w:r>
        <w:t>Конвенцията</w:t>
      </w:r>
      <w:r>
        <w:rPr>
          <w:cs/>
        </w:rPr>
        <w:t>”</w:t>
      </w:r>
      <w:r>
        <w:t>) от двама български граждани, г-жа Невена Пет</w:t>
      </w:r>
      <w:r w:rsidR="007408EE">
        <w:t>р</w:t>
      </w:r>
      <w:r>
        <w:t>ова Рашкова и г-жа Райна Дянкова Симеонска (</w:t>
      </w:r>
      <w:r>
        <w:rPr>
          <w:cs/>
        </w:rPr>
        <w:t>”</w:t>
      </w:r>
      <w:r>
        <w:t>жалбоподателките</w:t>
      </w:r>
      <w:r>
        <w:rPr>
          <w:cs/>
        </w:rPr>
        <w:t>”</w:t>
      </w:r>
      <w:r>
        <w:t>), на 19 юни 2012 г.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</w:t>
      </w:r>
      <w:r>
        <w:fldChar w:fldCharType="end"/>
      </w:r>
      <w:r>
        <w:t>.  Жалбоподателите се представляват от г-н С. Петков, адвокат, практикуващ в София. Българското правителство (</w:t>
      </w:r>
      <w:r>
        <w:rPr>
          <w:cs/>
        </w:rPr>
        <w:t>„</w:t>
      </w:r>
      <w:r>
        <w:t>Правителството</w:t>
      </w:r>
      <w:r>
        <w:rPr>
          <w:cs/>
        </w:rPr>
        <w:t>”</w:t>
      </w:r>
      <w:r>
        <w:t>) се представлява от правителствения агент г-жа Л. Гюрова от Министерство на правосъдието.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</w:t>
      </w:r>
      <w:r>
        <w:fldChar w:fldCharType="end"/>
      </w:r>
      <w:r>
        <w:t xml:space="preserve">.  На 10 януари 2014 г. </w:t>
      </w:r>
      <w:r w:rsidR="00525FD9">
        <w:t>Правителството е уведомено за жалбата</w:t>
      </w:r>
      <w:r>
        <w:t xml:space="preserve">, </w:t>
      </w:r>
      <w:r w:rsidR="00525FD9">
        <w:t xml:space="preserve">относно </w:t>
      </w:r>
      <w:r w:rsidR="005D4023">
        <w:t>прекомерното</w:t>
      </w:r>
      <w:r>
        <w:t xml:space="preserve"> забавян</w:t>
      </w:r>
      <w:r w:rsidR="00525FD9">
        <w:t>е</w:t>
      </w:r>
      <w:r>
        <w:t xml:space="preserve"> от страна на </w:t>
      </w:r>
      <w:r w:rsidRPr="00FA442C">
        <w:t>властите за предоставяне на</w:t>
      </w:r>
      <w:r w:rsidR="00525FD9" w:rsidRPr="00FA442C">
        <w:t xml:space="preserve"> обезщетение за отчуждения имот</w:t>
      </w:r>
      <w:r>
        <w:t xml:space="preserve"> </w:t>
      </w:r>
      <w:r w:rsidR="00525FD9" w:rsidRPr="00350B22">
        <w:t>на</w:t>
      </w:r>
      <w:r w:rsidR="007408EE" w:rsidRPr="00350B22">
        <w:t xml:space="preserve"> </w:t>
      </w:r>
      <w:r w:rsidR="003E15CC">
        <w:t>праводателите</w:t>
      </w:r>
      <w:r w:rsidR="00525FD9" w:rsidRPr="00350B22">
        <w:t xml:space="preserve"> </w:t>
      </w:r>
      <w:r w:rsidR="007C03CC" w:rsidRPr="00350B22">
        <w:t xml:space="preserve">на </w:t>
      </w:r>
      <w:r w:rsidRPr="00350B22">
        <w:t xml:space="preserve">жалбоподателките, </w:t>
      </w:r>
      <w:r>
        <w:t>а останалата част от жалбата е обявена за недопустима съгласно Правило 54 § 3 от Правилника на Съда.</w:t>
      </w:r>
    </w:p>
    <w:p w:rsidR="003D30E5" w:rsidRPr="00F22351" w:rsidRDefault="003D30E5" w:rsidP="003D30E5">
      <w:pPr>
        <w:pStyle w:val="ECHRTitle1"/>
      </w:pPr>
      <w:r>
        <w:t>ФАКТИТЕ</w:t>
      </w:r>
    </w:p>
    <w:p w:rsidR="003D30E5" w:rsidRPr="00F22351" w:rsidRDefault="003D30E5" w:rsidP="003D30E5">
      <w:pPr>
        <w:pStyle w:val="ECHRHeading1"/>
      </w:pPr>
      <w:r>
        <w:t>I.  ОБСТОЯТЕЛСТВА ПО ДЕЛОТО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4</w:t>
      </w:r>
      <w:r>
        <w:fldChar w:fldCharType="end"/>
      </w:r>
      <w:r>
        <w:t>.  Жалбоподателките са родени съответно през 1970 г. и 1935 г. и живеят в София и Русе.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5</w:t>
      </w:r>
      <w:r>
        <w:fldChar w:fldCharType="end"/>
      </w:r>
      <w:r>
        <w:t xml:space="preserve">.  Д.Д., баща на втората жалбоподателка и дядо на първата жалбоподателка, и неговият син П.Р., баща на първата </w:t>
      </w:r>
      <w:r w:rsidR="00350B22">
        <w:t>жалбоподателка</w:t>
      </w:r>
      <w:r>
        <w:t>, са собственици на парцел и къща в Попово.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6</w:t>
      </w:r>
      <w:r>
        <w:fldChar w:fldCharType="end"/>
      </w:r>
      <w:r>
        <w:t xml:space="preserve">.  С две решения на кмета </w:t>
      </w:r>
      <w:bookmarkStart w:id="1" w:name="_GoBack"/>
      <w:bookmarkEnd w:id="1"/>
      <w:r>
        <w:t xml:space="preserve">от 9 май 1988 г. и 27 февруари 1989 г. имотът е </w:t>
      </w:r>
      <w:r w:rsidRPr="00BD6CF5">
        <w:t>отчужден</w:t>
      </w:r>
      <w:r>
        <w:t xml:space="preserve"> с оглед изграждането на жилищна сграда. Решенията, основани на чл. 98 (1) </w:t>
      </w:r>
      <w:r w:rsidRPr="00C73B80">
        <w:t>на</w:t>
      </w:r>
      <w:r>
        <w:t xml:space="preserve"> Закона за териториалното и </w:t>
      </w:r>
      <w:r>
        <w:lastRenderedPageBreak/>
        <w:t xml:space="preserve">селищно устройство от 1973 г. (наричан по-долу </w:t>
      </w:r>
      <w:r>
        <w:rPr>
          <w:cs/>
        </w:rPr>
        <w:t>“</w:t>
      </w:r>
      <w:r>
        <w:t>ЗТСУ</w:t>
      </w:r>
      <w:r>
        <w:rPr>
          <w:cs/>
        </w:rPr>
        <w:t>”</w:t>
      </w:r>
      <w:r>
        <w:t xml:space="preserve">), </w:t>
      </w:r>
      <w:r w:rsidR="0051482E">
        <w:t>определят</w:t>
      </w:r>
      <w:r>
        <w:t>, Д.Д. да бъде обезщетен с двустаен апартамент в сграда, която общината планира да изгради на отчуждения парцел, а П. Р. - с правото да построи къща на общинска земя.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7</w:t>
      </w:r>
      <w:r>
        <w:fldChar w:fldCharType="end"/>
      </w:r>
      <w:r>
        <w:t xml:space="preserve">.  През 1989 г. отчуждената къща е </w:t>
      </w:r>
      <w:r w:rsidR="00DB050F">
        <w:t xml:space="preserve">разрушена </w:t>
      </w:r>
      <w:r>
        <w:t>и през 1994 г. на обекта започват строителни работи.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8</w:t>
      </w:r>
      <w:r>
        <w:fldChar w:fldCharType="end"/>
      </w:r>
      <w:r>
        <w:t xml:space="preserve">.  С допълнително решение от 19 април 1991 г. въз основа на чл. 100 </w:t>
      </w:r>
      <w:r w:rsidR="00C73B80">
        <w:t xml:space="preserve">на </w:t>
      </w:r>
      <w:r>
        <w:t xml:space="preserve">ЗТСУ, кметът определя точното местоположение и размер на бъдещия апартамент, който да бъде предложен на Д.Д. </w:t>
      </w:r>
      <w:r w:rsidR="00C73B80">
        <w:t>Д</w:t>
      </w:r>
      <w:r w:rsidRPr="00C73B80">
        <w:t>опълнително решение обаче</w:t>
      </w:r>
      <w:r w:rsidR="004A1F28">
        <w:t>,</w:t>
      </w:r>
      <w:r w:rsidRPr="00C73B80">
        <w:t xml:space="preserve"> </w:t>
      </w:r>
      <w:r w:rsidR="00C73B80">
        <w:t>касаещо</w:t>
      </w:r>
      <w:r w:rsidRPr="00C73B80">
        <w:t xml:space="preserve"> </w:t>
      </w:r>
      <w:r w:rsidR="00C73B80">
        <w:t>дължаното</w:t>
      </w:r>
      <w:r w:rsidR="00C73B80" w:rsidRPr="00C73B80">
        <w:t xml:space="preserve"> на П.Р </w:t>
      </w:r>
      <w:r w:rsidRPr="00C73B80">
        <w:t xml:space="preserve">право на строеж на къща </w:t>
      </w:r>
      <w:r w:rsidR="006E437B" w:rsidRPr="00C73B80">
        <w:t xml:space="preserve">върху </w:t>
      </w:r>
      <w:r w:rsidR="004A1F28">
        <w:t xml:space="preserve">общинска земя, </w:t>
      </w:r>
      <w:r w:rsidR="00C73B80">
        <w:t>н</w:t>
      </w:r>
      <w:r w:rsidR="00C73B80" w:rsidRPr="00C73B80">
        <w:t xml:space="preserve">е е </w:t>
      </w:r>
      <w:r w:rsidR="004A1F28">
        <w:t xml:space="preserve">било </w:t>
      </w:r>
      <w:r w:rsidR="00E67733">
        <w:t>постановено</w:t>
      </w:r>
      <w:r>
        <w:t>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9</w:t>
      </w:r>
      <w:r>
        <w:fldChar w:fldCharType="end"/>
      </w:r>
      <w:r>
        <w:t xml:space="preserve">.  Д.Д. и П. Р. </w:t>
      </w:r>
      <w:r w:rsidR="006E437B" w:rsidRPr="00C73B80">
        <w:t xml:space="preserve">са починали </w:t>
      </w:r>
      <w:r>
        <w:t xml:space="preserve">съответно през 1998 г. и 2002 г., а съпругата на Д.Д. </w:t>
      </w:r>
      <w:r w:rsidR="006E437B">
        <w:t xml:space="preserve">е починала </w:t>
      </w:r>
      <w:r>
        <w:t xml:space="preserve">през 2011 г. </w:t>
      </w:r>
      <w:r w:rsidR="006E437B">
        <w:t>Д</w:t>
      </w:r>
      <w:r>
        <w:t xml:space="preserve">вете жалбоподателки </w:t>
      </w:r>
      <w:r w:rsidR="006E437B">
        <w:t xml:space="preserve">са </w:t>
      </w:r>
      <w:r>
        <w:t xml:space="preserve">наследници на Д.Д., а първата жалбоподателка </w:t>
      </w:r>
      <w:r w:rsidR="006E437B">
        <w:t xml:space="preserve">е </w:t>
      </w:r>
      <w:r>
        <w:t>единствен наследник на П.Р.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10</w:t>
      </w:r>
      <w:r>
        <w:fldChar w:fldCharType="end"/>
      </w:r>
      <w:r>
        <w:t xml:space="preserve">.  На неуточнена дата през 2005 г. жалбоподателките </w:t>
      </w:r>
      <w:r w:rsidR="00963CD7">
        <w:t xml:space="preserve">искат от </w:t>
      </w:r>
      <w:r>
        <w:t xml:space="preserve">кмета на Попово да отмени заповедта за отчуждаване по отношение на имуществото на техните </w:t>
      </w:r>
      <w:r w:rsidR="00C71987">
        <w:t>наследодатели,</w:t>
      </w:r>
      <w:r>
        <w:t xml:space="preserve"> съгласно § 9(2) от </w:t>
      </w:r>
      <w:r w:rsidRPr="00C73B80">
        <w:t>преходните разпоредби</w:t>
      </w:r>
      <w:r>
        <w:t xml:space="preserve"> на Закона за устройство на територията (вж. параграф 17 по-долу). Кметът не отговаря, което съгласно националното законодателство се счита за мълчалив отказ. След като жалбоподателките подават </w:t>
      </w:r>
      <w:r w:rsidR="00C73B80">
        <w:t xml:space="preserve">искане </w:t>
      </w:r>
      <w:r>
        <w:t xml:space="preserve">за </w:t>
      </w:r>
      <w:r w:rsidR="00A45397" w:rsidRPr="00C73B80">
        <w:t>съдеб</w:t>
      </w:r>
      <w:r w:rsidR="00C73B80">
        <w:t>е</w:t>
      </w:r>
      <w:r w:rsidR="00A45397" w:rsidRPr="00C73B80">
        <w:t xml:space="preserve">н </w:t>
      </w:r>
      <w:r w:rsidR="00C73B80">
        <w:t>контрол</w:t>
      </w:r>
      <w:r>
        <w:t xml:space="preserve">, отказът е </w:t>
      </w:r>
      <w:r w:rsidRPr="00C73B80">
        <w:t>потвърден от съдилищата с решения</w:t>
      </w:r>
      <w:r>
        <w:t xml:space="preserve"> на Административен съд - Търговище (</w:t>
      </w:r>
      <w:r>
        <w:rPr>
          <w:cs/>
        </w:rPr>
        <w:t>“</w:t>
      </w:r>
      <w:r>
        <w:t>Съда на Търговище</w:t>
      </w:r>
      <w:r>
        <w:rPr>
          <w:cs/>
        </w:rPr>
        <w:t>”</w:t>
      </w:r>
      <w:r>
        <w:t>) и на Върховния административен съд съответно от 9 март и 11 юли 2006 г.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11</w:t>
      </w:r>
      <w:r>
        <w:fldChar w:fldCharType="end"/>
      </w:r>
      <w:r>
        <w:t xml:space="preserve">.  След ново </w:t>
      </w:r>
      <w:r w:rsidRPr="00963CD7">
        <w:t>искане</w:t>
      </w:r>
      <w:r>
        <w:t xml:space="preserve"> от страна на жалбоподателките </w:t>
      </w:r>
      <w:r w:rsidR="006E437B">
        <w:t>да се отмени</w:t>
      </w:r>
      <w:r>
        <w:t xml:space="preserve">  заповедта за отчуждаване, в съдебни решения от 10 ноември 2006 и 25 април 2007 г., </w:t>
      </w:r>
      <w:r w:rsidR="005B48C5">
        <w:t>с</w:t>
      </w:r>
      <w:r>
        <w:t xml:space="preserve">ъдът на Търговище и Върховният административен съд </w:t>
      </w:r>
      <w:r w:rsidR="004A025B" w:rsidRPr="00963CD7">
        <w:t xml:space="preserve">отменят </w:t>
      </w:r>
      <w:r w:rsidRPr="00963CD7">
        <w:t>нов</w:t>
      </w:r>
      <w:r w:rsidR="004A025B" w:rsidRPr="00963CD7">
        <w:t>ия</w:t>
      </w:r>
      <w:r w:rsidRPr="00963CD7">
        <w:t xml:space="preserve"> мълчалив отказ</w:t>
      </w:r>
      <w:r>
        <w:t xml:space="preserve"> на кмета, като признават, че предпоставките за отмяна</w:t>
      </w:r>
      <w:r w:rsidR="005B48C5">
        <w:t xml:space="preserve"> на заповедта за отчуждаване</w:t>
      </w:r>
      <w:r>
        <w:t xml:space="preserve"> наистина не са изпълнени, но дават указания на кмета да разгледа искането на жалбоподателките съгласно § 9(1) от </w:t>
      </w:r>
      <w:r w:rsidRPr="00C73B80">
        <w:t>преходните разпоредби</w:t>
      </w:r>
      <w:r>
        <w:t xml:space="preserve"> </w:t>
      </w:r>
      <w:r w:rsidRPr="00C73B80">
        <w:t>на</w:t>
      </w:r>
      <w:r>
        <w:t xml:space="preserve"> Закона за устройство на територията, </w:t>
      </w:r>
      <w:r w:rsidR="005D3A2D">
        <w:t xml:space="preserve">който </w:t>
      </w:r>
      <w:r>
        <w:t>предвижда възможност за парично обезщетение (вж. параграф 17 по-долу).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12</w:t>
      </w:r>
      <w:r>
        <w:fldChar w:fldCharType="end"/>
      </w:r>
      <w:r>
        <w:t xml:space="preserve">.  След като кметът отново не взема решение по </w:t>
      </w:r>
      <w:r w:rsidRPr="00963CD7">
        <w:t xml:space="preserve">искането </w:t>
      </w:r>
      <w:r>
        <w:t xml:space="preserve">на жалбоподателките, на неуточнена дата те оспорват новия му мълчалив отказ, който </w:t>
      </w:r>
      <w:r w:rsidR="004A025B">
        <w:t xml:space="preserve">отново </w:t>
      </w:r>
      <w:r>
        <w:t xml:space="preserve">е </w:t>
      </w:r>
      <w:r w:rsidR="004A025B" w:rsidRPr="00A45397">
        <w:t>отменен</w:t>
      </w:r>
      <w:r w:rsidR="004A025B">
        <w:t xml:space="preserve"> </w:t>
      </w:r>
      <w:r>
        <w:t xml:space="preserve">от </w:t>
      </w:r>
      <w:r w:rsidR="005B48C5">
        <w:t>с</w:t>
      </w:r>
      <w:r>
        <w:t>ъда на Търговище и Върховния административен съд в решенията им съответно от 27 септември 2007 г. и 3 април 2008 г.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13</w:t>
      </w:r>
      <w:r>
        <w:fldChar w:fldCharType="end"/>
      </w:r>
      <w:r>
        <w:t xml:space="preserve">.  След това на два пъти (3 юни 2009 г. и 15 юни 2010 г.) кметът </w:t>
      </w:r>
      <w:r w:rsidR="005D3A2D">
        <w:t xml:space="preserve">изрично </w:t>
      </w:r>
      <w:r>
        <w:t xml:space="preserve">отказва да отмени заповедта за отчуждаване по отношение на имуществото на жалбоподателките. След като </w:t>
      </w:r>
      <w:r w:rsidR="007E11DC">
        <w:t xml:space="preserve">и тези откази биват оспорени от </w:t>
      </w:r>
      <w:r>
        <w:t>жалбоподателките</w:t>
      </w:r>
      <w:r w:rsidR="007E11DC">
        <w:t>,</w:t>
      </w:r>
      <w:r>
        <w:t xml:space="preserve"> </w:t>
      </w:r>
      <w:r w:rsidR="007E11DC">
        <w:t xml:space="preserve">съдилищата </w:t>
      </w:r>
      <w:r>
        <w:t xml:space="preserve"> </w:t>
      </w:r>
      <w:r w:rsidR="007E11DC">
        <w:t>ги обявяват</w:t>
      </w:r>
      <w:r>
        <w:t xml:space="preserve"> за </w:t>
      </w:r>
      <w:r w:rsidR="007E11DC">
        <w:t>безпредметни</w:t>
      </w:r>
      <w:r w:rsidR="007E11DC" w:rsidRPr="008456F6">
        <w:t xml:space="preserve"> </w:t>
      </w:r>
      <w:r w:rsidR="0040468E">
        <w:t>и недействителни</w:t>
      </w:r>
      <w:r>
        <w:t xml:space="preserve">, първият с окончателно решение на </w:t>
      </w:r>
      <w:r>
        <w:lastRenderedPageBreak/>
        <w:t>Върховния административен съд от 21 май 2010 г., а вторият с решение на Административен съд - Варна от 25 март 2011 г. Съдилищата, констатирайки, че новите откази са в противоречие с предишните съдебни решения по дела между същите страни, връщат преписката на кмета, като отново му дават указания да я разгледа по § 9(1) от преходните разпоредби на Закона за устройство на територията.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14</w:t>
      </w:r>
      <w:r>
        <w:fldChar w:fldCharType="end"/>
      </w:r>
      <w:r>
        <w:t>.  През април 2011 г. експертна комисия на общината оценява стойността на отчуждения имот и определя размера на обезщетението, ко</w:t>
      </w:r>
      <w:r w:rsidR="00BD6CF5">
        <w:t>е</w:t>
      </w:r>
      <w:r>
        <w:t xml:space="preserve">то трябва да се предостави на жалбоподателките, на 67 300 български лева (BGN). След като жалбоподателките оспорват тази сума, </w:t>
      </w:r>
      <w:r w:rsidR="005B48C5">
        <w:t>с</w:t>
      </w:r>
      <w:r>
        <w:t xml:space="preserve">ъдът на Търговище </w:t>
      </w:r>
      <w:r w:rsidR="00BD6CF5">
        <w:t>я</w:t>
      </w:r>
      <w:r>
        <w:t xml:space="preserve"> увеличава на 83 500 лева</w:t>
      </w:r>
      <w:r w:rsidR="00BD6CF5" w:rsidRPr="00BD6CF5">
        <w:t xml:space="preserve"> </w:t>
      </w:r>
      <w:r w:rsidR="00BD6CF5">
        <w:t>с решение от 21 декември 2011 г.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15</w:t>
      </w:r>
      <w:r>
        <w:fldChar w:fldCharType="end"/>
      </w:r>
      <w:r>
        <w:t>.  </w:t>
      </w:r>
      <w:r w:rsidR="00BD6CF5">
        <w:t>С</w:t>
      </w:r>
      <w:r>
        <w:t>ума</w:t>
      </w:r>
      <w:r w:rsidR="00BD6CF5">
        <w:t>та</w:t>
      </w:r>
      <w:r>
        <w:t xml:space="preserve"> е изплатена на жалбоподателките през юни 2012 г.</w:t>
      </w:r>
    </w:p>
    <w:p w:rsidR="003D30E5" w:rsidRPr="00F22351" w:rsidRDefault="003D30E5" w:rsidP="003D30E5">
      <w:pPr>
        <w:pStyle w:val="ECHRHeading1"/>
      </w:pPr>
      <w:r>
        <w:t>II.  ПРИЛОЖИМО ВЪТРЕШНО ПРАВО И ПРАКТИКА</w:t>
      </w:r>
    </w:p>
    <w:p w:rsidR="003D30E5" w:rsidRPr="008456F6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16</w:t>
      </w:r>
      <w:r>
        <w:fldChar w:fldCharType="end"/>
      </w:r>
      <w:r>
        <w:t>.  Приложимото вътрешно право относно отчуждаването на имоти за обществено ползване, предоставянето на обезщетение, както и свързаната с това вътрешна практика, са обобщени в решението на Съда по делото</w:t>
      </w:r>
      <w:r>
        <w:rPr>
          <w:i/>
        </w:rPr>
        <w:t xml:space="preserve"> Кирилова и други срещу България</w:t>
      </w:r>
      <w:r>
        <w:t xml:space="preserve"> (</w:t>
      </w:r>
      <w:r w:rsidR="00462A99">
        <w:t>№ 4</w:t>
      </w:r>
      <w:r>
        <w:t>2908/98, 44038/98, 44816/98 и 7319/02, §§ 72-79, 9 юни 2005 г.).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17</w:t>
      </w:r>
      <w:r>
        <w:fldChar w:fldCharType="end"/>
      </w:r>
      <w:r>
        <w:t xml:space="preserve">.  Разпоредбите на ЗТСУ относно отчуждаване на имот за обществено ползване са заменени от други законодателни актове през 1996 г. и 1998 г. През 2001 г. Законът за устройство на територията </w:t>
      </w:r>
      <w:r w:rsidR="001F0D1D">
        <w:t>предвижда</w:t>
      </w:r>
      <w:r>
        <w:t xml:space="preserve">, че </w:t>
      </w:r>
      <w:r w:rsidR="00834F4C">
        <w:t>по</w:t>
      </w:r>
      <w:r>
        <w:t xml:space="preserve"> </w:t>
      </w:r>
      <w:r w:rsidR="00834F4C">
        <w:t>отношение на</w:t>
      </w:r>
      <w:r>
        <w:t xml:space="preserve"> случаите, когато производството за отчуждаване е </w:t>
      </w:r>
      <w:r w:rsidR="00042230">
        <w:t xml:space="preserve">образувано </w:t>
      </w:r>
      <w:r>
        <w:t xml:space="preserve">по ЗТСУ и когато собствениците на отчужден имот все още не са получили дължимото им обезщетение, но имотът вече е бил взет от властите, бившите собственици могат да </w:t>
      </w:r>
      <w:r w:rsidR="00DF6D5C">
        <w:t>поискат</w:t>
      </w:r>
      <w:r w:rsidR="00DF6D5C" w:rsidRPr="00DF6D5C">
        <w:t xml:space="preserve"> </w:t>
      </w:r>
      <w:r w:rsidRPr="00DF6D5C">
        <w:t>парично обезщетение</w:t>
      </w:r>
      <w:r>
        <w:t xml:space="preserve"> (§ 9(1) от преходните разпоредби на Закона за устройство на територията). Когато</w:t>
      </w:r>
      <w:r w:rsidR="00834F4C">
        <w:t>,</w:t>
      </w:r>
      <w:r>
        <w:t xml:space="preserve"> от друга страна</w:t>
      </w:r>
      <w:r w:rsidR="00834F4C">
        <w:t>,</w:t>
      </w:r>
      <w:r>
        <w:t xml:space="preserve"> властите все още не са влезли във владение на отчуждения имот, собствениците могат да </w:t>
      </w:r>
      <w:r w:rsidR="00834F4C">
        <w:t xml:space="preserve">поискат </w:t>
      </w:r>
      <w:r>
        <w:t xml:space="preserve">отмяна на заповедта за отчуждаване и </w:t>
      </w:r>
      <w:r w:rsidR="00834F4C">
        <w:t xml:space="preserve">възстановяване </w:t>
      </w:r>
      <w:r>
        <w:t>на имота (§ 9(2)).</w:t>
      </w:r>
    </w:p>
    <w:p w:rsidR="003D30E5" w:rsidRPr="00F22351" w:rsidRDefault="00C92980" w:rsidP="003D30E5">
      <w:pPr>
        <w:pStyle w:val="ECHRTitle1"/>
      </w:pPr>
      <w:r>
        <w:t>ПРАВОТО</w:t>
      </w:r>
    </w:p>
    <w:p w:rsidR="003D30E5" w:rsidRPr="00F22351" w:rsidRDefault="003D30E5" w:rsidP="003D30E5">
      <w:pPr>
        <w:pStyle w:val="ECHRHeading1"/>
      </w:pPr>
      <w:r>
        <w:t>I. ТВЪРД</w:t>
      </w:r>
      <w:r w:rsidR="00C92980">
        <w:t>Я</w:t>
      </w:r>
      <w:r>
        <w:t>Н</w:t>
      </w:r>
      <w:r w:rsidR="00C92980">
        <w:t>О</w:t>
      </w:r>
      <w:r>
        <w:t xml:space="preserve"> НАРУШЕНИ</w:t>
      </w:r>
      <w:r w:rsidR="00C92980">
        <w:t>Е</w:t>
      </w:r>
      <w:r>
        <w:t xml:space="preserve"> НА ЧЛ. 1 ОТ ПРОТОКО</w:t>
      </w:r>
      <w:r w:rsidR="00462A99">
        <w:t xml:space="preserve">Л </w:t>
      </w:r>
      <w:r w:rsidR="008456F6">
        <w:t xml:space="preserve">№ </w:t>
      </w:r>
      <w:r w:rsidR="00462A99">
        <w:t>1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18</w:t>
      </w:r>
      <w:r>
        <w:fldChar w:fldCharType="end"/>
      </w:r>
      <w:r>
        <w:t xml:space="preserve">.  Жалбоподателките се оплакват от </w:t>
      </w:r>
      <w:r w:rsidR="00350B22" w:rsidRPr="00350B22">
        <w:t xml:space="preserve">прекомерните </w:t>
      </w:r>
      <w:r w:rsidRPr="00350B22">
        <w:t>забавяния</w:t>
      </w:r>
      <w:r>
        <w:t xml:space="preserve"> от страна на властите в предоставянето на обезщетение за отчуждените имоти на </w:t>
      </w:r>
      <w:r w:rsidRPr="00F8113A">
        <w:t xml:space="preserve">техните </w:t>
      </w:r>
      <w:r w:rsidR="00C71987">
        <w:t>наследодатели</w:t>
      </w:r>
      <w:r>
        <w:t>.</w:t>
      </w:r>
    </w:p>
    <w:p w:rsidR="003D30E5" w:rsidRPr="00F22351" w:rsidRDefault="003D30E5" w:rsidP="003D30E5">
      <w:pPr>
        <w:pStyle w:val="ECHRPara"/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>
        <w:t>19</w:t>
      </w:r>
      <w:r>
        <w:fldChar w:fldCharType="end"/>
      </w:r>
      <w:r>
        <w:t>.  Жалбоподател</w:t>
      </w:r>
      <w:r w:rsidR="00834F4C">
        <w:t>к</w:t>
      </w:r>
      <w:r>
        <w:t xml:space="preserve">ите се позовават на чл. 1 от Протокол </w:t>
      </w:r>
      <w:r w:rsidR="00462A99" w:rsidRPr="008456F6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1 и чл. 13 от Конвенцията. Съдът е на мнение, че е достатъчно да разгледа оплакванията по чл. 1 от Протокол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1, който </w:t>
      </w:r>
      <w:r w:rsidR="00F8113A">
        <w:t xml:space="preserve">предвижда </w:t>
      </w:r>
      <w:r>
        <w:t>следното:</w:t>
      </w:r>
    </w:p>
    <w:p w:rsidR="003D30E5" w:rsidRPr="00F22351" w:rsidRDefault="003D30E5" w:rsidP="003D30E5">
      <w:pPr>
        <w:pStyle w:val="ECHRParaQuote"/>
      </w:pPr>
      <w:r>
        <w:t>"Βсяко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</w:t>
      </w:r>
    </w:p>
    <w:p w:rsidR="003D30E5" w:rsidRPr="00F22351" w:rsidRDefault="003D30E5" w:rsidP="003D30E5">
      <w:pPr>
        <w:pStyle w:val="ECHRParaQuote"/>
      </w:pPr>
      <w: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глоби."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20</w:t>
      </w:r>
      <w:r>
        <w:fldChar w:fldCharType="end"/>
      </w:r>
      <w:r>
        <w:t>.  </w:t>
      </w:r>
      <w:r w:rsidRPr="00D96557">
        <w:t xml:space="preserve">Правителството не коментира допустимостта и </w:t>
      </w:r>
      <w:r w:rsidR="00A111DC">
        <w:t>основателността</w:t>
      </w:r>
      <w:r w:rsidR="00A111DC" w:rsidRPr="00D96557">
        <w:t xml:space="preserve"> </w:t>
      </w:r>
      <w:r w:rsidRPr="00D96557">
        <w:t>на жалбата</w:t>
      </w:r>
      <w:r>
        <w:t>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21</w:t>
      </w:r>
      <w:r>
        <w:fldChar w:fldCharType="end"/>
      </w:r>
      <w:r>
        <w:t xml:space="preserve">.  Съдът отбелязва, че жалбата не е явно необоснована по смисъла на чл. 35 § 3 (а) от Конвенцията. </w:t>
      </w:r>
      <w:r w:rsidR="00E7344E">
        <w:t>Допълва също</w:t>
      </w:r>
      <w:r>
        <w:t xml:space="preserve">, че не е недопустима на други основания. Следователно тя </w:t>
      </w:r>
      <w:r w:rsidR="00E7344E">
        <w:t>трябва да бъде обявена за</w:t>
      </w:r>
      <w:r>
        <w:t xml:space="preserve"> допустима.</w:t>
      </w:r>
    </w:p>
    <w:p w:rsidR="003D30E5" w:rsidRPr="00F22351" w:rsidRDefault="003D30E5" w:rsidP="003D30E5">
      <w:pPr>
        <w:pStyle w:val="ECHRPara"/>
        <w:rPr>
          <w:i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22</w:t>
      </w:r>
      <w:r>
        <w:fldChar w:fldCharType="end"/>
      </w:r>
      <w:r>
        <w:t xml:space="preserve">.  По </w:t>
      </w:r>
      <w:r w:rsidR="00E7344E">
        <w:t xml:space="preserve">отношение на основателността </w:t>
      </w:r>
      <w:r>
        <w:t>Съдът първо отбелязва, че случаят е подобен на тези, разгледани от него в</w:t>
      </w:r>
      <w:r>
        <w:rPr>
          <w:i/>
        </w:rPr>
        <w:t xml:space="preserve"> Кирилова и други</w:t>
      </w:r>
      <w:r>
        <w:t xml:space="preserve"> </w:t>
      </w:r>
      <w:r w:rsidR="00E7344E" w:rsidRPr="008456F6">
        <w:t>(</w:t>
      </w:r>
      <w:r>
        <w:t>цитирано по-горе</w:t>
      </w:r>
      <w:r w:rsidR="00E7344E" w:rsidRPr="008456F6">
        <w:t>)</w:t>
      </w:r>
      <w:r>
        <w:t xml:space="preserve">, както и поредица от последващи дела (вж. например </w:t>
      </w:r>
      <w:r>
        <w:rPr>
          <w:i/>
        </w:rPr>
        <w:t>Лазаров срещу България</w:t>
      </w:r>
      <w:r>
        <w:t xml:space="preserve">, </w:t>
      </w:r>
      <w:r w:rsidR="00462A99" w:rsidRPr="00462A99">
        <w:rPr>
          <w:szCs w:val="24"/>
          <w:cs/>
        </w:rPr>
        <w:t xml:space="preserve">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21352/02, 22 май 2008 г.; </w:t>
      </w:r>
      <w:r>
        <w:rPr>
          <w:i/>
        </w:rPr>
        <w:t>Антонови срещу България</w:t>
      </w:r>
      <w:r>
        <w:t>,</w:t>
      </w:r>
      <w:r w:rsidR="008456F6" w:rsidRPr="008456F6">
        <w:rPr>
          <w:szCs w:val="24"/>
          <w:cs/>
        </w:rPr>
        <w:t xml:space="preserve"> </w:t>
      </w:r>
      <w:r w:rsidR="008456F6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20827/02, 1 октомври 2009 г.; </w:t>
      </w:r>
      <w:r>
        <w:rPr>
          <w:i/>
        </w:rPr>
        <w:t>Дичев срещу България</w:t>
      </w:r>
      <w:r>
        <w:t xml:space="preserve">, </w:t>
      </w:r>
      <w:r w:rsidR="00462A99" w:rsidRPr="00462A99">
        <w:rPr>
          <w:szCs w:val="24"/>
          <w:cs/>
        </w:rPr>
        <w:t xml:space="preserve">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1355/04, 27 януари 2011 г.; и </w:t>
      </w:r>
      <w:r>
        <w:rPr>
          <w:i/>
        </w:rPr>
        <w:t>Петрови срещу България</w:t>
      </w:r>
      <w:r>
        <w:t xml:space="preserve"> [Комитет], </w:t>
      </w:r>
      <w:r w:rsidR="00462A99" w:rsidRPr="00462A99">
        <w:rPr>
          <w:szCs w:val="24"/>
          <w:cs/>
        </w:rPr>
        <w:t xml:space="preserve">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>9504/09, 13 октомври 2016 г.).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23</w:t>
      </w:r>
      <w:r>
        <w:fldChar w:fldCharType="end"/>
      </w:r>
      <w:r>
        <w:t>.  Както в предходни</w:t>
      </w:r>
      <w:r w:rsidR="00345967">
        <w:t>те</w:t>
      </w:r>
      <w:r>
        <w:t xml:space="preserve"> </w:t>
      </w:r>
      <w:r w:rsidR="00345967">
        <w:t xml:space="preserve">случаи </w:t>
      </w:r>
      <w:r>
        <w:t>(вж. например</w:t>
      </w:r>
      <w:r>
        <w:rPr>
          <w:i/>
        </w:rPr>
        <w:t xml:space="preserve"> Кирилова и други</w:t>
      </w:r>
      <w:r>
        <w:t xml:space="preserve">, § 104, и </w:t>
      </w:r>
      <w:r>
        <w:rPr>
          <w:i/>
        </w:rPr>
        <w:t>Антонови</w:t>
      </w:r>
      <w:r>
        <w:t xml:space="preserve">, § 28, и двете цитирани по-горе), Съдът </w:t>
      </w:r>
      <w:r w:rsidR="00210932">
        <w:t>счита</w:t>
      </w:r>
      <w:r>
        <w:t xml:space="preserve">, че </w:t>
      </w:r>
      <w:r w:rsidRPr="00477491">
        <w:t>заповедите за отчуждаване</w:t>
      </w:r>
      <w:r>
        <w:t xml:space="preserve"> от 1988 г. и 1989 г., в които се посочва, че роднините на жалбоподателките трябва да получат обезщетение за своето отчуждено имущество (вж. параграф 6 по-горе), създава</w:t>
      </w:r>
      <w:r w:rsidR="00345967">
        <w:t>т за тях</w:t>
      </w:r>
      <w:r>
        <w:t xml:space="preserve">, </w:t>
      </w:r>
      <w:r w:rsidR="00B20264">
        <w:t>и съответно за</w:t>
      </w:r>
      <w:r>
        <w:t xml:space="preserve"> жалбоподателките </w:t>
      </w:r>
      <w:r w:rsidRPr="00477491">
        <w:t xml:space="preserve">като техни </w:t>
      </w:r>
      <w:r w:rsidR="00E7344E">
        <w:t xml:space="preserve">наследници </w:t>
      </w:r>
      <w:r>
        <w:t xml:space="preserve">(вж. </w:t>
      </w:r>
      <w:r w:rsidR="00E7344E">
        <w:t>п</w:t>
      </w:r>
      <w:r>
        <w:t>араграф 9 по-горе)</w:t>
      </w:r>
      <w:r w:rsidR="00B20264">
        <w:t xml:space="preserve"> право</w:t>
      </w:r>
      <w:r>
        <w:t xml:space="preserve">,  което </w:t>
      </w:r>
      <w:r w:rsidR="007E3952">
        <w:t xml:space="preserve">властите </w:t>
      </w:r>
      <w:r>
        <w:t>не  оспорва</w:t>
      </w:r>
      <w:r w:rsidR="007E3952">
        <w:t>т</w:t>
      </w:r>
      <w:r>
        <w:t xml:space="preserve"> и което </w:t>
      </w:r>
      <w:r w:rsidR="007E3952">
        <w:t>представлява</w:t>
      </w:r>
      <w:r>
        <w:t xml:space="preserve"> </w:t>
      </w:r>
      <w:r>
        <w:rPr>
          <w:cs/>
        </w:rPr>
        <w:t>“</w:t>
      </w:r>
      <w:r>
        <w:t>притежание</w:t>
      </w:r>
      <w:r>
        <w:rPr>
          <w:cs/>
        </w:rPr>
        <w:t xml:space="preserve">” </w:t>
      </w:r>
      <w:r>
        <w:t xml:space="preserve">по смисъла на чл. 1 от Протокол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>1. Продължителн</w:t>
      </w:r>
      <w:r w:rsidR="007E3952">
        <w:t>ата</w:t>
      </w:r>
      <w:r>
        <w:t xml:space="preserve"> </w:t>
      </w:r>
      <w:r w:rsidR="007E3952">
        <w:t>липса на</w:t>
      </w:r>
      <w:r>
        <w:t xml:space="preserve"> обезщетение - под формата на </w:t>
      </w:r>
      <w:r w:rsidR="007E3952">
        <w:t xml:space="preserve">обещаните първоначално </w:t>
      </w:r>
      <w:r>
        <w:t xml:space="preserve">апартамент и право на строеж върху общинска земя, или предоставеното в крайна сметка парично обезщетение - представлява намеса в правата на жалбоподателките, която следва да бъде разгледана в </w:t>
      </w:r>
      <w:r w:rsidR="00B94D83">
        <w:t xml:space="preserve">контекста </w:t>
      </w:r>
      <w:r>
        <w:t xml:space="preserve">на първото изречение на първия параграф на чл. 1 от Протокол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1, </w:t>
      </w:r>
      <w:r w:rsidR="001D062D">
        <w:t xml:space="preserve">който </w:t>
      </w:r>
      <w:r>
        <w:t xml:space="preserve">общо </w:t>
      </w:r>
      <w:r w:rsidR="001D062D">
        <w:t xml:space="preserve">определя </w:t>
      </w:r>
      <w:r>
        <w:t xml:space="preserve">принципа на мирно ползване на </w:t>
      </w:r>
      <w:r w:rsidR="00B20264">
        <w:t xml:space="preserve">притежанията </w:t>
      </w:r>
      <w:r>
        <w:t xml:space="preserve">(вж. </w:t>
      </w:r>
      <w:r>
        <w:rPr>
          <w:i/>
        </w:rPr>
        <w:t>Кирилова и други</w:t>
      </w:r>
      <w:r>
        <w:t xml:space="preserve">, § 105, и </w:t>
      </w:r>
      <w:r>
        <w:rPr>
          <w:i/>
        </w:rPr>
        <w:t>Лазаров</w:t>
      </w:r>
      <w:r>
        <w:t>, § 28, и двете цитирани по-горе).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24</w:t>
      </w:r>
      <w:r>
        <w:fldChar w:fldCharType="end"/>
      </w:r>
      <w:r>
        <w:t xml:space="preserve">.  За да установи дали българската държава е изпълнила задълженията си по чл. 1 от Протокол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1, Съдът трябва да </w:t>
      </w:r>
      <w:r w:rsidR="00B20264">
        <w:t xml:space="preserve">определи </w:t>
      </w:r>
      <w:r>
        <w:t xml:space="preserve">дали е постигнат справедлив баланс между общия интерес и правата на жалбоподателките. </w:t>
      </w:r>
      <w:r w:rsidR="001D062D">
        <w:t>Прекомерните</w:t>
      </w:r>
      <w:r>
        <w:t xml:space="preserve"> забавяния в предоставянето на </w:t>
      </w:r>
      <w:r>
        <w:lastRenderedPageBreak/>
        <w:t xml:space="preserve">обезщетение в съчетание с нежеланието на властите </w:t>
      </w:r>
      <w:r w:rsidR="001D062D">
        <w:t>д</w:t>
      </w:r>
      <w:r>
        <w:t>а разреша</w:t>
      </w:r>
      <w:r w:rsidR="001D062D">
        <w:t>т</w:t>
      </w:r>
      <w:r>
        <w:t xml:space="preserve"> проблема са сред факторите, които могат да нарушат този баланс (вж. </w:t>
      </w:r>
      <w:r>
        <w:rPr>
          <w:i/>
        </w:rPr>
        <w:t>Кирилова и други</w:t>
      </w:r>
      <w:r>
        <w:t>, цитирано по-горе, § 123).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25</w:t>
      </w:r>
      <w:r>
        <w:fldChar w:fldCharType="end"/>
      </w:r>
      <w:r>
        <w:t xml:space="preserve">.  В </w:t>
      </w:r>
      <w:r w:rsidR="001D062D">
        <w:t xml:space="preserve">конкретния </w:t>
      </w:r>
      <w:r>
        <w:t xml:space="preserve">случай правото в полза на роднините на жалбоподателките, а впоследствие </w:t>
      </w:r>
      <w:r w:rsidR="001D062D">
        <w:t xml:space="preserve">и </w:t>
      </w:r>
      <w:r>
        <w:t>на двете жалбоподателки</w:t>
      </w:r>
      <w:r w:rsidR="001D062D">
        <w:t>,</w:t>
      </w:r>
      <w:r>
        <w:t xml:space="preserve"> да получат обезщетение за своите отчуждени имоти възниква първоначално през 1988 г. (вж. параграф 6 по-горе). Въпреки това Съдът ще вземе под внимание само периода, който </w:t>
      </w:r>
      <w:r w:rsidR="00CE79F4">
        <w:t xml:space="preserve">времево съвпада с </w:t>
      </w:r>
      <w:r>
        <w:t xml:space="preserve">неговата </w:t>
      </w:r>
      <w:r w:rsidR="00CE79F4">
        <w:t>юрисдикция</w:t>
      </w:r>
      <w:r>
        <w:t xml:space="preserve">, а именно след 7 септември 1992 г., когато Протокол </w:t>
      </w:r>
      <w:r w:rsidR="00462A99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>1 влиза в сила по отношение на България. Жалбоподателките получават парично обезщетение през 2012 г. (вж. параграф 15 по-</w:t>
      </w:r>
      <w:r w:rsidRPr="00512129">
        <w:t xml:space="preserve">горе), около двадесет години след тази дата. Това забавяне </w:t>
      </w:r>
      <w:r w:rsidR="00CE79F4">
        <w:t>очевидно е</w:t>
      </w:r>
      <w:r w:rsidR="00CE79F4" w:rsidRPr="00512129">
        <w:t xml:space="preserve"> </w:t>
      </w:r>
      <w:r w:rsidRPr="00512129">
        <w:t>прекомерно</w:t>
      </w:r>
      <w:r>
        <w:t>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26</w:t>
      </w:r>
      <w:r>
        <w:fldChar w:fldCharType="end"/>
      </w:r>
      <w:r>
        <w:t xml:space="preserve">.  Съдът не е информиран за причините за неуспеха на властите да предоставят обезщетение на жалбоподателките преди 2005 г. </w:t>
      </w:r>
      <w:r w:rsidR="00CE79F4">
        <w:t>По</w:t>
      </w:r>
      <w:r>
        <w:t xml:space="preserve"> </w:t>
      </w:r>
      <w:r w:rsidR="009C0FDD">
        <w:t>отношение на</w:t>
      </w:r>
      <w:r>
        <w:t xml:space="preserve"> периода след това, той отбелязва, </w:t>
      </w:r>
      <w:r w:rsidRPr="00687BA1">
        <w:t xml:space="preserve">че жалбоподателките правят непрекъснати опити да </w:t>
      </w:r>
      <w:r w:rsidR="00687BA1">
        <w:rPr>
          <w:color w:val="7030A0"/>
        </w:rPr>
        <w:t>преминат</w:t>
      </w:r>
      <w:r w:rsidRPr="00687BA1">
        <w:t xml:space="preserve"> процедурата по обезщетяване, като първо </w:t>
      </w:r>
      <w:r w:rsidR="00687BA1" w:rsidRPr="006701CA">
        <w:rPr>
          <w:color w:val="7030A0"/>
        </w:rPr>
        <w:t>търсят</w:t>
      </w:r>
      <w:r w:rsidR="00687BA1" w:rsidRPr="00687BA1">
        <w:rPr>
          <w:color w:val="7030A0"/>
        </w:rPr>
        <w:t xml:space="preserve"> </w:t>
      </w:r>
      <w:r w:rsidRPr="00687BA1">
        <w:t xml:space="preserve">отмяна на заповедта за отчуждаване на имотите на техните </w:t>
      </w:r>
      <w:r w:rsidR="00C71987">
        <w:t>наследодатели</w:t>
      </w:r>
      <w:r w:rsidRPr="00687BA1">
        <w:t>, а след това, когато съдилищата</w:t>
      </w:r>
      <w:r w:rsidR="00687BA1">
        <w:rPr>
          <w:color w:val="7030A0"/>
        </w:rPr>
        <w:t xml:space="preserve"> ги информират</w:t>
      </w:r>
      <w:r w:rsidRPr="00687BA1">
        <w:t>, че предпоставките за такава отмяна не са изпълнени, като претендират парично</w:t>
      </w:r>
      <w:r w:rsidR="00687BA1">
        <w:rPr>
          <w:color w:val="7030A0"/>
        </w:rPr>
        <w:t>то</w:t>
      </w:r>
      <w:r w:rsidRPr="00687BA1">
        <w:t xml:space="preserve"> обезщетение, </w:t>
      </w:r>
      <w:r w:rsidR="00687BA1">
        <w:rPr>
          <w:color w:val="7030A0"/>
        </w:rPr>
        <w:t xml:space="preserve">което им се полага </w:t>
      </w:r>
      <w:r w:rsidRPr="00687BA1">
        <w:t xml:space="preserve">съгласно </w:t>
      </w:r>
      <w:r w:rsidR="00687BA1">
        <w:rPr>
          <w:color w:val="7030A0"/>
        </w:rPr>
        <w:t>националното законодателство</w:t>
      </w:r>
      <w:r w:rsidRPr="00687BA1">
        <w:t>.</w:t>
      </w:r>
      <w:r>
        <w:t xml:space="preserve"> Въпреки това, в продължение на много години кметът на Попово не </w:t>
      </w:r>
      <w:r w:rsidR="009C0FDD">
        <w:t>предприема</w:t>
      </w:r>
      <w:r>
        <w:t xml:space="preserve"> каквото и да било смислено </w:t>
      </w:r>
      <w:r w:rsidR="009C0FDD">
        <w:t xml:space="preserve">действие </w:t>
      </w:r>
      <w:r>
        <w:t>по отношение на техните искания, дори и след многократн</w:t>
      </w:r>
      <w:r w:rsidR="009C0FDD">
        <w:t>ите</w:t>
      </w:r>
      <w:r>
        <w:t xml:space="preserve"> наред</w:t>
      </w:r>
      <w:r w:rsidR="009C0FDD">
        <w:t>би</w:t>
      </w:r>
      <w:r>
        <w:t xml:space="preserve"> </w:t>
      </w:r>
      <w:r w:rsidR="009C0FDD">
        <w:t>на</w:t>
      </w:r>
      <w:r>
        <w:t xml:space="preserve"> националните съдилища</w:t>
      </w:r>
      <w:r w:rsidR="009C0FDD">
        <w:t xml:space="preserve"> да го направи</w:t>
      </w:r>
      <w:r>
        <w:t xml:space="preserve"> (вж. параграфи 10-13 по-горе). Решение относно паричното обезщетение, ко</w:t>
      </w:r>
      <w:r w:rsidR="00747E44">
        <w:t>е</w:t>
      </w:r>
      <w:r>
        <w:t xml:space="preserve">то да </w:t>
      </w:r>
      <w:r w:rsidR="009C0FDD">
        <w:t>бъде</w:t>
      </w:r>
      <w:r>
        <w:t xml:space="preserve"> предостав</w:t>
      </w:r>
      <w:r w:rsidR="009C0FDD">
        <w:t>ено</w:t>
      </w:r>
      <w:r>
        <w:t xml:space="preserve"> на жалбоподателките, е взето от общинските власти едва през 2011 г. (вж. параграф 14 по-горе).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27</w:t>
      </w:r>
      <w:r>
        <w:fldChar w:fldCharType="end"/>
      </w:r>
      <w:r>
        <w:t xml:space="preserve">.  В </w:t>
      </w:r>
      <w:r w:rsidR="00060A11">
        <w:t xml:space="preserve">подобни </w:t>
      </w:r>
      <w:r>
        <w:t xml:space="preserve">случаи </w:t>
      </w:r>
      <w:r w:rsidR="00060A11">
        <w:t>властите имат</w:t>
      </w:r>
      <w:r>
        <w:t xml:space="preserve"> задължение да действат своевременно и по подходящ и последователен начин. Вместо това, както е отбелязано по-горе, те </w:t>
      </w:r>
      <w:r w:rsidR="00DF6D5C">
        <w:t>демонстрират нежелание</w:t>
      </w:r>
      <w:r w:rsidRPr="00DF6D5C">
        <w:t xml:space="preserve"> </w:t>
      </w:r>
      <w:r>
        <w:t xml:space="preserve">да окажат съдействие на жалбоподателите и дори избират в продължение на много години да се противопоставят активно на опитите им </w:t>
      </w:r>
      <w:r w:rsidR="00060A11">
        <w:t xml:space="preserve">да </w:t>
      </w:r>
      <w:r>
        <w:t>осигуря</w:t>
      </w:r>
      <w:r w:rsidR="00060A11">
        <w:t>т</w:t>
      </w:r>
      <w:r>
        <w:t xml:space="preserve"> изпълнение</w:t>
      </w:r>
      <w:r w:rsidR="00060A11">
        <w:t>то</w:t>
      </w:r>
      <w:r>
        <w:t xml:space="preserve"> на процедурата по обезщетение. Това несъмнено </w:t>
      </w:r>
      <w:r w:rsidR="00060A11">
        <w:t>п</w:t>
      </w:r>
      <w:r>
        <w:t>оставя жалбоподателките в положение на несигурност по отношение на това дали и кога ще получат обезщетението, на което имат право. Към това трябва да се добави и липсата на ефективни вътрешн</w:t>
      </w:r>
      <w:r w:rsidR="00747E44">
        <w:t>о</w:t>
      </w:r>
      <w:r>
        <w:t>правни средства за защита</w:t>
      </w:r>
      <w:r w:rsidR="00060A11">
        <w:t xml:space="preserve"> срещу подобни</w:t>
      </w:r>
      <w:r>
        <w:t xml:space="preserve"> ситуаци</w:t>
      </w:r>
      <w:r w:rsidR="00CB1092">
        <w:t>и</w:t>
      </w:r>
      <w:r>
        <w:t xml:space="preserve">. </w:t>
      </w:r>
      <w:r w:rsidR="00CB1092">
        <w:t>Гореспоменатото води до заключението</w:t>
      </w:r>
      <w:r>
        <w:t xml:space="preserve">, че властите не са успели да постигнат справедлив баланс между обществения интерес и правата на жалбоподателките, както се изисква по чл. 1 от Протокол </w:t>
      </w:r>
      <w:r w:rsidR="008456F6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1 (вж. </w:t>
      </w:r>
      <w:r>
        <w:rPr>
          <w:i/>
        </w:rPr>
        <w:t>Кирилова и други</w:t>
      </w:r>
      <w:r>
        <w:t xml:space="preserve">, §§ 121 и 123; </w:t>
      </w:r>
      <w:r>
        <w:rPr>
          <w:i/>
        </w:rPr>
        <w:t>Антонови</w:t>
      </w:r>
      <w:r>
        <w:t xml:space="preserve">, § 30; и </w:t>
      </w:r>
      <w:r>
        <w:rPr>
          <w:i/>
        </w:rPr>
        <w:t>Дичев</w:t>
      </w:r>
      <w:r>
        <w:t>, § 30, всички цитирани по-горе).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28</w:t>
      </w:r>
      <w:r>
        <w:fldChar w:fldCharType="end"/>
      </w:r>
      <w:r>
        <w:t>.  Следователно е налице нарушение на тази разпоредба.</w:t>
      </w:r>
    </w:p>
    <w:p w:rsidR="003D30E5" w:rsidRPr="00F22351" w:rsidRDefault="003D30E5" w:rsidP="003D30E5">
      <w:pPr>
        <w:pStyle w:val="ECHRHeading1"/>
      </w:pPr>
      <w:r>
        <w:lastRenderedPageBreak/>
        <w:t>II.  ПРИЛАГАНЕ НА ЧЛЕН 41 ОТ КОНВЕНЦИЯТА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29</w:t>
      </w:r>
      <w:r>
        <w:fldChar w:fldCharType="end"/>
      </w:r>
      <w:r>
        <w:t xml:space="preserve">.  Чл. 41 от Конвенцията </w:t>
      </w:r>
      <w:r w:rsidR="00AB2398">
        <w:t>предвижда</w:t>
      </w:r>
      <w:r>
        <w:t>:</w:t>
      </w:r>
    </w:p>
    <w:p w:rsidR="003D30E5" w:rsidRPr="00F22351" w:rsidRDefault="003D30E5" w:rsidP="003D30E5">
      <w:pPr>
        <w:pStyle w:val="ECHRParaQuote"/>
        <w:keepNext/>
        <w:keepLines/>
      </w:pPr>
      <w:r>
        <w:rPr>
          <w:cs/>
        </w:rPr>
        <w:t>“</w:t>
      </w:r>
      <w: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>
        <w:rPr>
          <w:cs/>
        </w:rPr>
        <w:t>”</w:t>
      </w:r>
    </w:p>
    <w:p w:rsidR="003D30E5" w:rsidRPr="00F22351" w:rsidRDefault="003D30E5" w:rsidP="003D30E5">
      <w:pPr>
        <w:pStyle w:val="ECHRHeading2"/>
      </w:pPr>
      <w:r>
        <w:t>А. Обезщетение за вреди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30</w:t>
      </w:r>
      <w:r>
        <w:fldChar w:fldCharType="end"/>
      </w:r>
      <w:r>
        <w:t xml:space="preserve">.  По отношение на имуществени вреди жалбоподателките претендират 21 000 евро (EUR) в резултат на невъзможността да се възползват от </w:t>
      </w:r>
      <w:r w:rsidRPr="00AB2398">
        <w:t>обещания апартамент</w:t>
      </w:r>
      <w:r>
        <w:t xml:space="preserve"> и още 21 000 евро в резултат на невъзможността да се възползват от правото на строеж върху общинска земя, дължими както на </w:t>
      </w:r>
      <w:r w:rsidR="00C71987">
        <w:t>наследодателите</w:t>
      </w:r>
      <w:r w:rsidRPr="00AB2398">
        <w:t xml:space="preserve"> им</w:t>
      </w:r>
      <w:r>
        <w:t xml:space="preserve">, така и след това на самите жалбоподателки преди решението за предоставяне </w:t>
      </w:r>
      <w:r w:rsidR="00CB1092">
        <w:t xml:space="preserve">на парично обезщетение </w:t>
      </w:r>
      <w:r>
        <w:t>на жалбоподателките. Претенциите се отнасят за период</w:t>
      </w:r>
      <w:r w:rsidR="00CB1092">
        <w:t>а</w:t>
      </w:r>
      <w:r>
        <w:t xml:space="preserve"> след 1992 г., датата, на която Конвенцията влиза в сила по отношение на България.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31</w:t>
      </w:r>
      <w:r>
        <w:fldChar w:fldCharType="end"/>
      </w:r>
      <w:r>
        <w:t>.  За неимуществени вреди жалбоподателите претендират съвместно 9 000 евро.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32</w:t>
      </w:r>
      <w:r>
        <w:fldChar w:fldCharType="end"/>
      </w:r>
      <w:r>
        <w:t>.  Правителството оспорва претенциите.</w:t>
      </w:r>
    </w:p>
    <w:p w:rsidR="003D30E5" w:rsidRPr="00F22351" w:rsidRDefault="003D30E5" w:rsidP="008456F6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33</w:t>
      </w:r>
      <w:r>
        <w:fldChar w:fldCharType="end"/>
      </w:r>
      <w:r>
        <w:t xml:space="preserve">.  Съдът е на мнение, че е оправдано да присъди на жалбоподателките обезщетение за </w:t>
      </w:r>
      <w:r w:rsidR="00CB1092">
        <w:t>не</w:t>
      </w:r>
      <w:r w:rsidRPr="00472C53">
        <w:t>възможност</w:t>
      </w:r>
      <w:r w:rsidR="00CB1092">
        <w:t>та им</w:t>
      </w:r>
      <w:r w:rsidRPr="00472C53">
        <w:t xml:space="preserve"> да използват полагащото</w:t>
      </w:r>
      <w:r>
        <w:t xml:space="preserve"> им се обезщетение в продължение на значителен период от време (вж. </w:t>
      </w:r>
      <w:r>
        <w:rPr>
          <w:i/>
        </w:rPr>
        <w:t>Кирилова и други</w:t>
      </w:r>
      <w:r>
        <w:t xml:space="preserve"> (справедливо обезщетение)</w:t>
      </w:r>
      <w:r w:rsidR="00462A99" w:rsidRPr="008456F6">
        <w:t>)</w:t>
      </w:r>
      <w:r>
        <w:t>,</w:t>
      </w:r>
      <w:r w:rsidR="008456F6" w:rsidRPr="008456F6">
        <w:rPr>
          <w:szCs w:val="24"/>
          <w:cs/>
        </w:rPr>
        <w:t xml:space="preserve"> </w:t>
      </w:r>
      <w:r w:rsidR="008456F6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42908/98, 44038/98, 44816/98 и 7319/02, §§ 28-33, 14 юни 2007 г.). Въпреки това той счита техните претенции в това отношение за преувеличени, като отбелязва </w:t>
      </w:r>
      <w:r w:rsidR="00CB1092">
        <w:t>допълнително</w:t>
      </w:r>
      <w:r>
        <w:t xml:space="preserve">, че жалбоподателките не са посочили как са преценени претендираните суми. Поради това Съдът трябва да се произнесе по справедливост и намира за уместно да присъди общо на двете жалбоподателки 4000 евро за невъзможността да се възползват от апартамента, полагащ се на техния </w:t>
      </w:r>
      <w:r w:rsidR="00C71987">
        <w:t>наследодател</w:t>
      </w:r>
      <w:r>
        <w:t>, а на първата жалбоподателка още 1000 евро за правото на строеж върху общинска земя, което се е полагало на баща ѝ.</w:t>
      </w:r>
    </w:p>
    <w:p w:rsidR="003D30E5" w:rsidRPr="00F22351" w:rsidRDefault="003D30E5" w:rsidP="003D30E5">
      <w:pPr>
        <w:pStyle w:val="ECHRPara"/>
        <w:rPr>
          <w:szCs w:val="24"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34</w:t>
      </w:r>
      <w:r>
        <w:fldChar w:fldCharType="end"/>
      </w:r>
      <w:r>
        <w:t>.  По отношение на неимуществени вреди, отсъждайки по справедливост, Съдът присъжда на всяка една от жалбоподателките 3000 евро.</w:t>
      </w:r>
    </w:p>
    <w:p w:rsidR="003D30E5" w:rsidRPr="00F22351" w:rsidRDefault="003D30E5" w:rsidP="003D30E5">
      <w:pPr>
        <w:pStyle w:val="ECHRHeading2"/>
      </w:pPr>
      <w:r>
        <w:t>Б. Разходи и разноски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35</w:t>
      </w:r>
      <w:r>
        <w:fldChar w:fldCharType="end"/>
      </w:r>
      <w:r>
        <w:t>.  Жалбоподателките претендират също 1600 евро за разходите и разноските, направени за тяхното процесуално представителство пред Съда.</w:t>
      </w:r>
    </w:p>
    <w:p w:rsidR="003D30E5" w:rsidRPr="00F22351" w:rsidRDefault="003D30E5" w:rsidP="003D30E5">
      <w:pPr>
        <w:pStyle w:val="ECHRPara"/>
      </w:pPr>
      <w:r>
        <w:lastRenderedPageBreak/>
        <w:fldChar w:fldCharType="begin"/>
      </w:r>
      <w:r>
        <w:instrText xml:space="preserve"> SEQ level0 \*arabic </w:instrText>
      </w:r>
      <w:r>
        <w:fldChar w:fldCharType="separate"/>
      </w:r>
      <w:r>
        <w:t>36</w:t>
      </w:r>
      <w:r>
        <w:fldChar w:fldCharType="end"/>
      </w:r>
      <w:r>
        <w:t>.  Правителството призова</w:t>
      </w:r>
      <w:r w:rsidR="00FA442C">
        <w:t>ва</w:t>
      </w:r>
      <w:r>
        <w:t xml:space="preserve"> Съда да отхвърли тази претенция, като посочва, че тя не е подкрепена от каквито и да било писмени доказателства.</w:t>
      </w:r>
    </w:p>
    <w:p w:rsidR="003D30E5" w:rsidRPr="00F22351" w:rsidRDefault="003D30E5" w:rsidP="003D30E5">
      <w:pPr>
        <w:pStyle w:val="ECHRPara"/>
        <w:rPr>
          <w:i/>
        </w:rPr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37</w:t>
      </w:r>
      <w:r>
        <w:fldChar w:fldCharType="end"/>
      </w:r>
      <w:r>
        <w:t xml:space="preserve">.  Според съдебната практика на Съда, жалбоподателят има право на възстановяване на разходи и разноски само доколкото е доказано, че те са били действително и необходимо направени и са в разумен размер. В конкретния случай, като се има предвид факта, посочен също от Правителството, че жалбоподателките не са представили доказателства за разноските, които претендират, Съдът отхвърля претенцията им (вж. </w:t>
      </w:r>
      <w:r>
        <w:rPr>
          <w:i/>
        </w:rPr>
        <w:t>Grzelak v. </w:t>
      </w:r>
      <w:proofErr w:type="spellStart"/>
      <w:r>
        <w:rPr>
          <w:i/>
        </w:rPr>
        <w:t>Poland</w:t>
      </w:r>
      <w:proofErr w:type="spellEnd"/>
      <w:r>
        <w:t xml:space="preserve">, </w:t>
      </w:r>
      <w:r w:rsidR="008456F6" w:rsidRPr="008456F6">
        <w:rPr>
          <w:szCs w:val="24"/>
          <w:cs/>
        </w:rPr>
        <w:t xml:space="preserve"> </w:t>
      </w:r>
      <w:r w:rsidR="008456F6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 xml:space="preserve">7710/02, § 115, 15 юни 2010 г., и </w:t>
      </w:r>
      <w:r>
        <w:rPr>
          <w:i/>
        </w:rPr>
        <w:t xml:space="preserve">Mladoschovitz v. </w:t>
      </w:r>
      <w:proofErr w:type="spellStart"/>
      <w:r>
        <w:rPr>
          <w:i/>
        </w:rPr>
        <w:t>Austria</w:t>
      </w:r>
      <w:proofErr w:type="spellEnd"/>
      <w:r>
        <w:t>,</w:t>
      </w:r>
      <w:r w:rsidR="008456F6" w:rsidRPr="008456F6">
        <w:rPr>
          <w:szCs w:val="24"/>
          <w:cs/>
        </w:rPr>
        <w:t xml:space="preserve"> </w:t>
      </w:r>
      <w:r w:rsidR="008456F6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>38663/06, § 45, 15 юли 2010 г.).</w:t>
      </w:r>
    </w:p>
    <w:p w:rsidR="003D30E5" w:rsidRPr="00F22351" w:rsidRDefault="003D30E5" w:rsidP="003D30E5">
      <w:pPr>
        <w:pStyle w:val="ECHRHeading2"/>
      </w:pPr>
      <w:r>
        <w:t>В. Лихва за забава</w:t>
      </w:r>
    </w:p>
    <w:p w:rsidR="003D30E5" w:rsidRPr="00F22351" w:rsidRDefault="003D30E5" w:rsidP="003D30E5">
      <w:pPr>
        <w:pStyle w:val="ECHRPara"/>
      </w:pPr>
      <w:r>
        <w:fldChar w:fldCharType="begin"/>
      </w:r>
      <w:r>
        <w:instrText xml:space="preserve"> SEQ level0 \*arabic </w:instrText>
      </w:r>
      <w:r>
        <w:fldChar w:fldCharType="separate"/>
      </w:r>
      <w:r>
        <w:t>38</w:t>
      </w:r>
      <w:r>
        <w:fldChar w:fldCharType="end"/>
      </w:r>
      <w:r>
        <w:t>.  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3D30E5" w:rsidRPr="00F22351" w:rsidRDefault="003D30E5" w:rsidP="003D30E5">
      <w:pPr>
        <w:pStyle w:val="ECHRTitle1"/>
      </w:pPr>
      <w:r>
        <w:t>ПО ТЕЗИ СЪОБРАЖЕНИЯ СЪДЪТ ЕДИНОДУШНО</w:t>
      </w:r>
    </w:p>
    <w:p w:rsidR="003D30E5" w:rsidRPr="00F22351" w:rsidRDefault="003D30E5" w:rsidP="003D30E5">
      <w:pPr>
        <w:pStyle w:val="JuList"/>
      </w:pPr>
      <w:r>
        <w:t>1.  </w:t>
      </w:r>
      <w:r>
        <w:rPr>
          <w:i/>
        </w:rPr>
        <w:t>Обявява</w:t>
      </w:r>
      <w:r>
        <w:t xml:space="preserve"> жалбата за допустима;</w:t>
      </w:r>
    </w:p>
    <w:p w:rsidR="003D30E5" w:rsidRPr="00F22351" w:rsidRDefault="003D30E5" w:rsidP="003D30E5">
      <w:pPr>
        <w:pStyle w:val="JuList"/>
        <w:ind w:left="0" w:firstLine="0"/>
      </w:pPr>
    </w:p>
    <w:p w:rsidR="003D30E5" w:rsidRPr="00F22351" w:rsidRDefault="003D30E5" w:rsidP="003D30E5">
      <w:pPr>
        <w:pStyle w:val="JuList"/>
      </w:pPr>
      <w:r>
        <w:t>2.  </w:t>
      </w:r>
      <w:r>
        <w:rPr>
          <w:i/>
        </w:rPr>
        <w:t>Приема</w:t>
      </w:r>
      <w:r>
        <w:t xml:space="preserve">, че е налице нарушение на чл. 1 от Протокол </w:t>
      </w:r>
      <w:r w:rsidR="008456F6" w:rsidRPr="00A32809">
        <w:rPr>
          <w:szCs w:val="24"/>
          <w:cs/>
        </w:rPr>
        <w:t>№</w:t>
      </w:r>
      <w:r>
        <w:rPr>
          <w:cs/>
        </w:rPr>
        <w:t xml:space="preserve"> </w:t>
      </w:r>
      <w:r>
        <w:t>1;</w:t>
      </w:r>
    </w:p>
    <w:p w:rsidR="003D30E5" w:rsidRPr="00F22351" w:rsidRDefault="003D30E5" w:rsidP="003D30E5">
      <w:pPr>
        <w:pStyle w:val="JuList"/>
      </w:pPr>
    </w:p>
    <w:p w:rsidR="003D30E5" w:rsidRPr="00F22351" w:rsidRDefault="003D30E5" w:rsidP="003D30E5">
      <w:pPr>
        <w:pStyle w:val="JuList"/>
      </w:pPr>
      <w:r>
        <w:t>3.  </w:t>
      </w:r>
      <w:r>
        <w:rPr>
          <w:i/>
        </w:rPr>
        <w:t>Приема,</w:t>
      </w:r>
    </w:p>
    <w:p w:rsidR="003D30E5" w:rsidRPr="00F22351" w:rsidRDefault="003D30E5" w:rsidP="003D30E5">
      <w:pPr>
        <w:pStyle w:val="JuLista"/>
      </w:pPr>
      <w:r>
        <w:t>(а) че държавата-ответник трябва да заплати на жалбоподателките в срок от три месеца следните суми, които се изчисляват в български лева по курса към датата на плащането:</w:t>
      </w:r>
    </w:p>
    <w:p w:rsidR="003D30E5" w:rsidRPr="00F22351" w:rsidRDefault="003D30E5" w:rsidP="003D30E5">
      <w:pPr>
        <w:pStyle w:val="JuListi"/>
      </w:pPr>
      <w:r>
        <w:t xml:space="preserve">(i) общо на двете жалбоподателки 4000 евро (четири хиляди евро) и на първата жалбоподателка </w:t>
      </w:r>
      <w:r w:rsidR="00FA442C">
        <w:t xml:space="preserve">допълнителни </w:t>
      </w:r>
      <w:r>
        <w:t>1000 евро (хиляда евро), плюс всякакви данъци, които биха могли да се начислят, по отношение на имуществени вреди;</w:t>
      </w:r>
    </w:p>
    <w:p w:rsidR="003D30E5" w:rsidRPr="00F22351" w:rsidRDefault="003D30E5" w:rsidP="003D30E5">
      <w:pPr>
        <w:pStyle w:val="JuListi"/>
      </w:pPr>
      <w:r>
        <w:t>(ii) на всяка жалбоподателка 3000 евро (три хиляди евро), плюс всякакви данъци, които биха могли да се начислят, по отношение на неимуществени вреди;</w:t>
      </w:r>
    </w:p>
    <w:p w:rsidR="003D30E5" w:rsidRPr="00F22351" w:rsidRDefault="003D30E5" w:rsidP="003D30E5">
      <w:pPr>
        <w:pStyle w:val="JuLista"/>
      </w:pPr>
      <w:r>
        <w:t xml:space="preserve">(б) че от изтичането на упоменатия по-горе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B17326">
        <w:t>за срока</w:t>
      </w:r>
      <w:r>
        <w:t xml:space="preserve"> на забава, към която се добавят три процентни пункта;</w:t>
      </w:r>
    </w:p>
    <w:p w:rsidR="003D30E5" w:rsidRPr="00F22351" w:rsidRDefault="003D30E5" w:rsidP="003D30E5">
      <w:pPr>
        <w:pStyle w:val="JuList"/>
      </w:pPr>
    </w:p>
    <w:p w:rsidR="003D30E5" w:rsidRPr="00F22351" w:rsidRDefault="003D30E5" w:rsidP="003D30E5">
      <w:pPr>
        <w:pStyle w:val="JuList"/>
      </w:pPr>
      <w:r>
        <w:lastRenderedPageBreak/>
        <w:t>4.  </w:t>
      </w:r>
      <w:r>
        <w:rPr>
          <w:i/>
        </w:rPr>
        <w:t>Отхвърля</w:t>
      </w:r>
      <w:r>
        <w:t xml:space="preserve"> останалата част от </w:t>
      </w:r>
      <w:r w:rsidR="00B17326">
        <w:t xml:space="preserve">иска </w:t>
      </w:r>
      <w:r>
        <w:t>на жалбоподател</w:t>
      </w:r>
      <w:r w:rsidR="00AD3A8D">
        <w:t>к</w:t>
      </w:r>
      <w:r>
        <w:t>ите за справедливо обезщетение.</w:t>
      </w:r>
    </w:p>
    <w:p w:rsidR="003D30E5" w:rsidRPr="00F22351" w:rsidRDefault="003D30E5" w:rsidP="003D30E5">
      <w:pPr>
        <w:pStyle w:val="JuParaLast"/>
      </w:pPr>
      <w:r>
        <w:t>Изготвено на английски език и оповестено писмено на 2 февруари 2017 г., в съответствие с Правило 77, §§ 2 и 3 от Правилника на Съда.</w:t>
      </w:r>
    </w:p>
    <w:p w:rsidR="003D30E5" w:rsidRPr="00F22351" w:rsidRDefault="003D30E5" w:rsidP="003D30E5">
      <w:pPr>
        <w:pStyle w:val="JuSigned"/>
        <w:tabs>
          <w:tab w:val="clear" w:pos="851"/>
          <w:tab w:val="center" w:pos="1134"/>
        </w:tabs>
      </w:pPr>
      <w:r>
        <w:tab/>
        <w:t xml:space="preserve">Ан-Мари Дуген </w:t>
      </w:r>
      <w:r>
        <w:tab/>
      </w:r>
      <w:r w:rsidRPr="00350B22">
        <w:t>Ган</w:t>
      </w:r>
      <w:r w:rsidR="00B632F2" w:rsidRPr="00350B22">
        <w:t>н</w:t>
      </w:r>
      <w:r w:rsidRPr="00350B22">
        <w:t>а Юдкивска</w:t>
      </w:r>
      <w:r>
        <w:br/>
      </w:r>
      <w:r>
        <w:tab/>
      </w:r>
      <w:r w:rsidR="00B17326">
        <w:t>з</w:t>
      </w:r>
      <w:r>
        <w:t>аместник-секретар</w:t>
      </w:r>
      <w:r>
        <w:tab/>
      </w:r>
      <w:r w:rsidR="00B17326">
        <w:t>п</w:t>
      </w:r>
      <w:r>
        <w:t>редседател</w:t>
      </w:r>
    </w:p>
    <w:sectPr w:rsidR="003D30E5" w:rsidRPr="00F22351" w:rsidSect="003D30E5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CAC" w:rsidRPr="004635E3" w:rsidRDefault="00646CAC" w:rsidP="003D30E5">
      <w:r>
        <w:separator/>
      </w:r>
    </w:p>
  </w:endnote>
  <w:endnote w:type="continuationSeparator" w:id="0">
    <w:p w:rsidR="00646CAC" w:rsidRPr="004635E3" w:rsidRDefault="00646CAC" w:rsidP="003D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05" w:rsidRDefault="00280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05" w:rsidRDefault="00280C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E5" w:rsidRPr="004635E3" w:rsidRDefault="008456F6" w:rsidP="003D30E5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11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E5" w:rsidRPr="004635E3" w:rsidRDefault="003D3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CAC" w:rsidRPr="004635E3" w:rsidRDefault="00646CAC" w:rsidP="003D30E5">
      <w:r>
        <w:separator/>
      </w:r>
    </w:p>
  </w:footnote>
  <w:footnote w:type="continuationSeparator" w:id="0">
    <w:p w:rsidR="00646CAC" w:rsidRPr="004635E3" w:rsidRDefault="00646CAC" w:rsidP="003D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05" w:rsidRDefault="00280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E5" w:rsidRPr="004635E3" w:rsidRDefault="003D30E5" w:rsidP="003D30E5">
    <w:pPr>
      <w:pStyle w:val="ECHR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E5" w:rsidRPr="004635E3" w:rsidRDefault="008456F6" w:rsidP="003D30E5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E5" w:rsidRPr="004635E3" w:rsidRDefault="003D30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E5" w:rsidRPr="00535BB8" w:rsidRDefault="003D30E5" w:rsidP="003D30E5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906">
      <w:rPr>
        <w:rStyle w:val="PageNumber"/>
        <w:noProof/>
      </w:rPr>
      <w:t>8</w:t>
    </w:r>
    <w:r>
      <w:rPr>
        <w:rStyle w:val="PageNumber"/>
      </w:rPr>
      <w:fldChar w:fldCharType="end"/>
    </w:r>
    <w:r>
      <w:tab/>
      <w:t>РЕШЕНИЕ РАШКОВА И СИМЕОНСКА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E5" w:rsidRPr="00535BB8" w:rsidRDefault="003D30E5" w:rsidP="003D30E5">
    <w:pPr>
      <w:pStyle w:val="ECHRHeader"/>
    </w:pPr>
    <w:r>
      <w:tab/>
      <w:t>РЕШЕНИЕ РАШКОВА И СИМЕОНСКА СРЕЩУ БЪЛГАРИЯ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906">
      <w:rPr>
        <w:rStyle w:val="PageNumber"/>
        <w:noProof/>
      </w:rPr>
      <w:t>7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 w:tplc="1184455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C1DEEB5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C04970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387C6B7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B9C6522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EA2A11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E5CD34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E3A151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2D2E552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7857DF"/>
    <w:rsid w:val="00042230"/>
    <w:rsid w:val="000512AA"/>
    <w:rsid w:val="00060A11"/>
    <w:rsid w:val="000917A5"/>
    <w:rsid w:val="000B2334"/>
    <w:rsid w:val="00154A2C"/>
    <w:rsid w:val="001D062D"/>
    <w:rsid w:val="001F0D1D"/>
    <w:rsid w:val="00210932"/>
    <w:rsid w:val="002600DE"/>
    <w:rsid w:val="00266A1B"/>
    <w:rsid w:val="00280C05"/>
    <w:rsid w:val="00345967"/>
    <w:rsid w:val="00350B22"/>
    <w:rsid w:val="00373E34"/>
    <w:rsid w:val="003D30E5"/>
    <w:rsid w:val="003E15CC"/>
    <w:rsid w:val="0040468E"/>
    <w:rsid w:val="00445D68"/>
    <w:rsid w:val="00462A99"/>
    <w:rsid w:val="00472C53"/>
    <w:rsid w:val="00477491"/>
    <w:rsid w:val="00482BF1"/>
    <w:rsid w:val="004A025B"/>
    <w:rsid w:val="004A1F28"/>
    <w:rsid w:val="00512129"/>
    <w:rsid w:val="005135C3"/>
    <w:rsid w:val="0051482E"/>
    <w:rsid w:val="00525FD9"/>
    <w:rsid w:val="005655C2"/>
    <w:rsid w:val="005916E7"/>
    <w:rsid w:val="005B48C5"/>
    <w:rsid w:val="005D3A2D"/>
    <w:rsid w:val="005D4023"/>
    <w:rsid w:val="00646CAC"/>
    <w:rsid w:val="00671F23"/>
    <w:rsid w:val="00687BA1"/>
    <w:rsid w:val="006B464E"/>
    <w:rsid w:val="006E437B"/>
    <w:rsid w:val="0072777C"/>
    <w:rsid w:val="007408EE"/>
    <w:rsid w:val="00747E44"/>
    <w:rsid w:val="007564DD"/>
    <w:rsid w:val="007857DF"/>
    <w:rsid w:val="007B6731"/>
    <w:rsid w:val="007B7202"/>
    <w:rsid w:val="007C03CC"/>
    <w:rsid w:val="007C20FE"/>
    <w:rsid w:val="007E11DC"/>
    <w:rsid w:val="007E3952"/>
    <w:rsid w:val="00834F4C"/>
    <w:rsid w:val="008456F6"/>
    <w:rsid w:val="008C0F27"/>
    <w:rsid w:val="00921C8E"/>
    <w:rsid w:val="00963CD7"/>
    <w:rsid w:val="009C0FDD"/>
    <w:rsid w:val="009C72FE"/>
    <w:rsid w:val="00A111DC"/>
    <w:rsid w:val="00A20F68"/>
    <w:rsid w:val="00A45397"/>
    <w:rsid w:val="00A63231"/>
    <w:rsid w:val="00AB2398"/>
    <w:rsid w:val="00AD3A8D"/>
    <w:rsid w:val="00B17326"/>
    <w:rsid w:val="00B20264"/>
    <w:rsid w:val="00B41849"/>
    <w:rsid w:val="00B632F2"/>
    <w:rsid w:val="00B74CF6"/>
    <w:rsid w:val="00B86906"/>
    <w:rsid w:val="00B94D83"/>
    <w:rsid w:val="00BD6CF5"/>
    <w:rsid w:val="00C06E3D"/>
    <w:rsid w:val="00C71987"/>
    <w:rsid w:val="00C73B80"/>
    <w:rsid w:val="00C92980"/>
    <w:rsid w:val="00CB0799"/>
    <w:rsid w:val="00CB1092"/>
    <w:rsid w:val="00CD1772"/>
    <w:rsid w:val="00CE79F4"/>
    <w:rsid w:val="00CF0085"/>
    <w:rsid w:val="00D90C99"/>
    <w:rsid w:val="00D96557"/>
    <w:rsid w:val="00DB050F"/>
    <w:rsid w:val="00DF0D15"/>
    <w:rsid w:val="00DF6D5C"/>
    <w:rsid w:val="00E42024"/>
    <w:rsid w:val="00E668C7"/>
    <w:rsid w:val="00E67733"/>
    <w:rsid w:val="00E7344E"/>
    <w:rsid w:val="00EC038F"/>
    <w:rsid w:val="00F8113A"/>
    <w:rsid w:val="00FA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95E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73D07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73D07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73D07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73D07"/>
    <w:pPr>
      <w:spacing w:before="200" w:line="271" w:lineRule="auto"/>
      <w:outlineLvl w:val="2"/>
    </w:pPr>
    <w:rPr>
      <w:rFonts w:eastAsia="MS Gothic"/>
      <w:b/>
      <w:bCs/>
      <w:color w:val="5F5F5F"/>
      <w:szCs w:val="20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73D07"/>
    <w:pPr>
      <w:spacing w:before="200"/>
      <w:outlineLvl w:val="3"/>
    </w:pPr>
    <w:rPr>
      <w:rFonts w:eastAsia="MS Gothic"/>
      <w:b/>
      <w:bCs/>
      <w:i/>
      <w:iCs/>
      <w:color w:val="777777"/>
      <w:szCs w:val="20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73D07"/>
    <w:pPr>
      <w:spacing w:before="200"/>
      <w:outlineLvl w:val="4"/>
    </w:pPr>
    <w:rPr>
      <w:rFonts w:eastAsia="MS Gothic"/>
      <w:b/>
      <w:bCs/>
      <w:color w:val="80808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73D07"/>
    <w:pPr>
      <w:spacing w:line="271" w:lineRule="auto"/>
      <w:outlineLvl w:val="5"/>
    </w:pPr>
    <w:rPr>
      <w:rFonts w:eastAsia="MS Gothic"/>
      <w:b/>
      <w:bCs/>
      <w:i/>
      <w:iCs/>
      <w:color w:val="7F7F7F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73D07"/>
    <w:pPr>
      <w:outlineLvl w:val="6"/>
    </w:pPr>
    <w:rPr>
      <w:rFonts w:eastAsia="MS Gothic"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73D07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73D07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3D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3D07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973D07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973D0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973D07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973D07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973D07"/>
    <w:rPr>
      <w:sz w:val="20"/>
      <w:szCs w:val="20"/>
    </w:rPr>
  </w:style>
  <w:style w:type="character" w:customStyle="1" w:styleId="NoSpacingChar">
    <w:name w:val="No Spacing Char"/>
    <w:link w:val="NoSpacing"/>
    <w:semiHidden/>
    <w:rsid w:val="00973D07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73D0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973D07"/>
  </w:style>
  <w:style w:type="paragraph" w:customStyle="1" w:styleId="DecList">
    <w:name w:val="Dec_List"/>
    <w:basedOn w:val="Normal"/>
    <w:uiPriority w:val="9"/>
    <w:semiHidden/>
    <w:qFormat/>
    <w:rsid w:val="00973D07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973D07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73D07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73D07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973D07"/>
    <w:pPr>
      <w:numPr>
        <w:numId w:val="21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973D0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973D07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973D07"/>
    <w:pPr>
      <w:spacing w:after="240"/>
      <w:jc w:val="center"/>
      <w:outlineLvl w:val="0"/>
    </w:pPr>
  </w:style>
  <w:style w:type="paragraph" w:customStyle="1" w:styleId="JuInitialled">
    <w:name w:val="Ju_Initialled"/>
    <w:basedOn w:val="Normal"/>
    <w:uiPriority w:val="31"/>
    <w:qFormat/>
    <w:rsid w:val="00973D07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973D07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973D07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73D0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73D0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73D0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73D0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73D07"/>
    <w:pPr>
      <w:keepNext/>
      <w:keepLines/>
      <w:spacing w:before="240" w:after="120"/>
      <w:ind w:left="1236"/>
    </w:pPr>
  </w:style>
  <w:style w:type="character" w:customStyle="1" w:styleId="JuITMark">
    <w:name w:val="Ju_ITMark"/>
    <w:uiPriority w:val="38"/>
    <w:qFormat/>
    <w:rsid w:val="00973D07"/>
    <w:rPr>
      <w:color w:val="000000"/>
      <w:sz w:val="14"/>
      <w:bdr w:val="none" w:sz="0" w:space="0" w:color="auto"/>
      <w:lang w:val="bg-BG" w:eastAsia="bg-BG"/>
    </w:rPr>
  </w:style>
  <w:style w:type="character" w:customStyle="1" w:styleId="JUNAMES">
    <w:name w:val="JU_NAMES"/>
    <w:uiPriority w:val="17"/>
    <w:qFormat/>
    <w:rsid w:val="00973D07"/>
    <w:rPr>
      <w:smallCaps/>
      <w:lang w:val="bg-BG" w:eastAsia="bg-BG"/>
    </w:rPr>
  </w:style>
  <w:style w:type="paragraph" w:customStyle="1" w:styleId="JuParaSub">
    <w:name w:val="Ju_Para_Sub"/>
    <w:basedOn w:val="ECHRPara"/>
    <w:uiPriority w:val="13"/>
    <w:qFormat/>
    <w:rsid w:val="00973D07"/>
    <w:pPr>
      <w:ind w:left="284"/>
    </w:pPr>
  </w:style>
  <w:style w:type="paragraph" w:styleId="Header">
    <w:name w:val="header"/>
    <w:basedOn w:val="Normal"/>
    <w:link w:val="HeaderChar"/>
    <w:uiPriority w:val="57"/>
    <w:semiHidden/>
    <w:rsid w:val="00973D07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HeaderChar">
    <w:name w:val="Header Char"/>
    <w:link w:val="Header"/>
    <w:uiPriority w:val="57"/>
    <w:semiHidden/>
    <w:rsid w:val="00973D07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973D07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73D0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73D07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973D07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JuQuotSub">
    <w:name w:val="Ju_Quot_Sub"/>
    <w:basedOn w:val="ECHRParaQuote"/>
    <w:uiPriority w:val="15"/>
    <w:qFormat/>
    <w:rsid w:val="00973D07"/>
    <w:pPr>
      <w:ind w:left="567"/>
    </w:pPr>
  </w:style>
  <w:style w:type="paragraph" w:customStyle="1" w:styleId="JuCase">
    <w:name w:val="Ju_Case"/>
    <w:basedOn w:val="Normal"/>
    <w:next w:val="ECHRPara"/>
    <w:uiPriority w:val="10"/>
    <w:rsid w:val="00973D07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973D07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973D07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973D07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973D07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73D07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973D07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973D07"/>
    <w:pPr>
      <w:tabs>
        <w:tab w:val="center" w:pos="4536"/>
        <w:tab w:val="right" w:pos="9696"/>
      </w:tabs>
      <w:ind w:left="-680" w:right="-680"/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57"/>
    <w:semiHidden/>
    <w:rsid w:val="00973D07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973D07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973D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73D07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973D07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973D07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973D07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973D07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973D07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973D07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73D0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973D07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973D07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973D07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973D07"/>
    <w:pPr>
      <w:spacing w:before="200"/>
      <w:ind w:left="360" w:right="360"/>
    </w:pPr>
    <w:rPr>
      <w:i/>
      <w:iCs/>
      <w:sz w:val="20"/>
      <w:szCs w:val="20"/>
      <w:lang w:bidi="en-US"/>
    </w:rPr>
  </w:style>
  <w:style w:type="character" w:customStyle="1" w:styleId="QuoteChar">
    <w:name w:val="Quote Char"/>
    <w:link w:val="Quote"/>
    <w:uiPriority w:val="99"/>
    <w:semiHidden/>
    <w:rsid w:val="00973D07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973D07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973D0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973D0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973D0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973D0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973D07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973D0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973D07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973D07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14"/>
    <w:qFormat/>
    <w:rsid w:val="00973D07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973D07"/>
    <w:pPr>
      <w:ind w:firstLine="284"/>
    </w:pPr>
    <w:rPr>
      <w:szCs w:val="20"/>
    </w:r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73D07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973D07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973D07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973D07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973D07"/>
    <w:pPr>
      <w:keepNext/>
      <w:keepLines/>
      <w:spacing w:before="240"/>
      <w:ind w:firstLine="284"/>
    </w:pPr>
  </w:style>
  <w:style w:type="paragraph" w:customStyle="1" w:styleId="JuTitle">
    <w:name w:val="Ju_Title"/>
    <w:basedOn w:val="Normal"/>
    <w:next w:val="ECHRPara"/>
    <w:uiPriority w:val="3"/>
    <w:semiHidden/>
    <w:qFormat/>
    <w:rsid w:val="00973D07"/>
    <w:pPr>
      <w:spacing w:before="720" w:after="240"/>
      <w:jc w:val="center"/>
      <w:outlineLvl w:val="0"/>
    </w:pPr>
    <w:rPr>
      <w:b/>
      <w:caps/>
    </w:r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973D07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973D07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semiHidden/>
    <w:rsid w:val="00014566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014566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14566"/>
    <w:rPr>
      <w:rFonts w:eastAsia="MS Mincho"/>
      <w:sz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OpiH1">
    <w:name w:val="Opi_H_1"/>
    <w:basedOn w:val="ECHRHeading2"/>
    <w:uiPriority w:val="42"/>
    <w:qFormat/>
    <w:rsid w:val="00973D07"/>
    <w:pPr>
      <w:ind w:left="635" w:hanging="357"/>
      <w:outlineLvl w:val="2"/>
    </w:p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OpiHa">
    <w:name w:val="Opi_H_a"/>
    <w:basedOn w:val="ECHRHeading3"/>
    <w:uiPriority w:val="43"/>
    <w:qFormat/>
    <w:rsid w:val="00973D07"/>
    <w:pPr>
      <w:ind w:left="833" w:hanging="357"/>
      <w:outlineLvl w:val="3"/>
    </w:pPr>
    <w:rPr>
      <w:b/>
      <w:i w:val="0"/>
      <w:sz w:val="20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73D07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973D07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</w:style>
  <w:style w:type="numbering" w:styleId="1ai">
    <w:name w:val="Outline List 1"/>
    <w:basedOn w:val="NoList"/>
    <w:uiPriority w:val="99"/>
    <w:semiHidden/>
    <w:rsid w:val="00014566"/>
  </w:style>
  <w:style w:type="numbering" w:styleId="ArticleSection">
    <w:name w:val="Outline List 3"/>
    <w:basedOn w:val="NoList"/>
    <w:uiPriority w:val="99"/>
    <w:semiHidden/>
    <w:rsid w:val="00014566"/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  <w:rPr>
      <w:szCs w:val="20"/>
    </w:r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customStyle="1" w:styleId="1">
    <w:name w:val="Цветна мрежа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10">
    <w:name w:val="Цветен списък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customStyle="1" w:styleId="11">
    <w:name w:val="Цветно оцветяване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">
    <w:name w:val="Тъмен списък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  <w:rPr>
      <w:szCs w:val="20"/>
    </w:rPr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  <w:rPr>
      <w:szCs w:val="20"/>
    </w:rPr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  <w:szCs w:val="20"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customStyle="1" w:styleId="13">
    <w:name w:val="Светла мрежа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">
    <w:name w:val="Светла мрежа - Акцент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customStyle="1" w:styleId="14">
    <w:name w:val="Светъл списък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ъл лист - Акцент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customStyle="1" w:styleId="15">
    <w:name w:val="Светло оцветяване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о оцветяване - Акцент 1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lang w:val="bg-BG" w:eastAsia="bg-BG" w:bidi="ar-SA"/>
    </w:rPr>
  </w:style>
  <w:style w:type="table" w:customStyle="1" w:styleId="110">
    <w:name w:val="Средна мрежа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customStyle="1" w:styleId="21">
    <w:name w:val="Средна мрежа 2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customStyle="1" w:styleId="31">
    <w:name w:val="Средна мрежа 3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customStyle="1" w:styleId="111">
    <w:name w:val="Среден списък 1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">
    <w:name w:val="Среден списък 1 - Акцент 1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customStyle="1" w:styleId="210">
    <w:name w:val="Среден списък 2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о оцветяване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о оцветяване 1 - Акцент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о оцветяване 2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о оцветяване 2 - Акцент 1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  <w:rPr>
      <w:szCs w:val="20"/>
    </w:rPr>
  </w:style>
  <w:style w:type="character" w:customStyle="1" w:styleId="NoteHeadingChar">
    <w:name w:val="Note Heading Char"/>
    <w:link w:val="NoteHeading"/>
    <w:uiPriority w:val="99"/>
    <w:semiHidden/>
    <w:rsid w:val="00014566"/>
    <w:rPr>
      <w:rFonts w:eastAsia="MS Mincho"/>
      <w:sz w:val="24"/>
      <w:lang w:val="bg-BG" w:eastAsia="bg-BG"/>
    </w:rPr>
  </w:style>
  <w:style w:type="character" w:styleId="PlaceholderText">
    <w:name w:val="Placeholder Text"/>
    <w:uiPriority w:val="99"/>
    <w:semiHidden/>
    <w:rsid w:val="00973D07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  <w:rPr>
      <w:szCs w:val="20"/>
    </w:rPr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  <w:rPr>
      <w:szCs w:val="20"/>
    </w:r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973D0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973D0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HA0">
    <w:name w:val="Opi_H_A"/>
    <w:basedOn w:val="ECHRHeading1"/>
    <w:next w:val="OpiPara"/>
    <w:uiPriority w:val="41"/>
    <w:qFormat/>
    <w:rsid w:val="00973D07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973D07"/>
    <w:pPr>
      <w:ind w:left="1037" w:hanging="357"/>
      <w:outlineLvl w:val="4"/>
    </w:pPr>
    <w:rPr>
      <w:b w:val="0"/>
      <w:i/>
    </w:rPr>
  </w:style>
  <w:style w:type="paragraph" w:customStyle="1" w:styleId="OpiPara">
    <w:name w:val="Opi_Para"/>
    <w:basedOn w:val="ECHRPara"/>
    <w:uiPriority w:val="46"/>
    <w:qFormat/>
    <w:rsid w:val="00973D07"/>
  </w:style>
  <w:style w:type="paragraph" w:customStyle="1" w:styleId="OpiParaSub">
    <w:name w:val="Opi_Para_Sub"/>
    <w:basedOn w:val="JuParaSub"/>
    <w:uiPriority w:val="47"/>
    <w:qFormat/>
    <w:rsid w:val="00973D07"/>
  </w:style>
  <w:style w:type="paragraph" w:customStyle="1" w:styleId="OpiQuot">
    <w:name w:val="Opi_Quot"/>
    <w:basedOn w:val="ECHRParaQuote"/>
    <w:uiPriority w:val="48"/>
    <w:qFormat/>
    <w:rsid w:val="00973D07"/>
  </w:style>
  <w:style w:type="paragraph" w:customStyle="1" w:styleId="OpiQuotSub">
    <w:name w:val="Opi_Quot_Sub"/>
    <w:basedOn w:val="JuQuotSub"/>
    <w:uiPriority w:val="49"/>
    <w:qFormat/>
    <w:rsid w:val="00973D07"/>
  </w:style>
  <w:style w:type="paragraph" w:customStyle="1" w:styleId="OpiTranslation">
    <w:name w:val="Opi_Translation"/>
    <w:basedOn w:val="Normal"/>
    <w:next w:val="OpiPara"/>
    <w:uiPriority w:val="40"/>
    <w:qFormat/>
    <w:rsid w:val="00973D07"/>
    <w:pPr>
      <w:jc w:val="center"/>
      <w:outlineLvl w:val="0"/>
    </w:pPr>
    <w:rPr>
      <w:i/>
    </w:rPr>
  </w:style>
  <w:style w:type="character" w:customStyle="1" w:styleId="ECHRParaChar">
    <w:name w:val="ECHR_Para Char"/>
    <w:aliases w:val="Ju_Para Char"/>
    <w:link w:val="ECHRPara"/>
    <w:uiPriority w:val="12"/>
    <w:rsid w:val="00F81542"/>
    <w:rPr>
      <w:rFonts w:eastAsia="MS Mincho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53BB-5CEA-45C5-8E1A-C42784A6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2017-08-24T08:18:00Z</dcterms:created>
  <dcterms:modified xsi:type="dcterms:W3CDTF">2017-08-24T12:12:00Z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