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66" w:rsidRPr="00334160" w:rsidRDefault="00014566" w:rsidP="00B10AB1">
      <w:pPr>
        <w:jc w:val="center"/>
        <w:rPr>
          <w:lang w:val="en-US"/>
        </w:rPr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</w:p>
    <w:p w:rsidR="00014566" w:rsidRPr="00B10AB1" w:rsidRDefault="009867B2" w:rsidP="00B10AB1">
      <w:pPr>
        <w:jc w:val="center"/>
      </w:pPr>
      <w:r>
        <w:t>ПЕТО ОТДЕЛЕНИЕ</w:t>
      </w:r>
    </w:p>
    <w:p w:rsidR="00014566" w:rsidRPr="00B10AB1" w:rsidRDefault="00014566" w:rsidP="00B10AB1">
      <w:pPr>
        <w:jc w:val="center"/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</w:p>
    <w:p w:rsidR="00014566" w:rsidRPr="00B10AB1" w:rsidRDefault="00014566" w:rsidP="00B10AB1">
      <w:pPr>
        <w:jc w:val="center"/>
        <w:rPr>
          <w:b/>
        </w:rPr>
      </w:pPr>
      <w:bookmarkStart w:id="0" w:name="To"/>
      <w:r>
        <w:rPr>
          <w:b/>
        </w:rPr>
        <w:t xml:space="preserve">ДЕЛО </w:t>
      </w:r>
      <w:bookmarkEnd w:id="0"/>
      <w:r>
        <w:rPr>
          <w:b/>
        </w:rPr>
        <w:t>ПЕТРОВИ СРЕЩУ БЪЛГАРИЯ</w:t>
      </w:r>
    </w:p>
    <w:p w:rsidR="00014566" w:rsidRPr="00B10AB1" w:rsidRDefault="00014566" w:rsidP="00B10AB1">
      <w:pPr>
        <w:jc w:val="center"/>
      </w:pPr>
    </w:p>
    <w:p w:rsidR="00014566" w:rsidRPr="00B10AB1" w:rsidRDefault="00014566" w:rsidP="00B10AB1">
      <w:pPr>
        <w:jc w:val="center"/>
        <w:rPr>
          <w:i/>
        </w:rPr>
      </w:pPr>
      <w:r>
        <w:rPr>
          <w:i/>
        </w:rPr>
        <w:t>(Жалба № 9504/09)</w:t>
      </w:r>
    </w:p>
    <w:p w:rsidR="00014566" w:rsidRPr="00B10AB1" w:rsidRDefault="00014566" w:rsidP="00B10AB1">
      <w:pPr>
        <w:jc w:val="center"/>
      </w:pPr>
    </w:p>
    <w:p w:rsidR="009F64D5" w:rsidRPr="00B10AB1" w:rsidRDefault="009F64D5" w:rsidP="00B10AB1">
      <w:pPr>
        <w:jc w:val="center"/>
      </w:pPr>
    </w:p>
    <w:p w:rsidR="009F64D5" w:rsidRPr="00B10AB1" w:rsidRDefault="009F64D5" w:rsidP="00B10AB1">
      <w:pPr>
        <w:jc w:val="center"/>
      </w:pPr>
    </w:p>
    <w:p w:rsidR="009F64D5" w:rsidRPr="00B10AB1" w:rsidRDefault="009F64D5" w:rsidP="00B10AB1">
      <w:pPr>
        <w:jc w:val="center"/>
      </w:pPr>
    </w:p>
    <w:p w:rsidR="009F64D5" w:rsidRPr="00B10AB1" w:rsidRDefault="009F64D5" w:rsidP="00B10AB1">
      <w:pPr>
        <w:jc w:val="center"/>
      </w:pPr>
    </w:p>
    <w:p w:rsidR="009F64D5" w:rsidRPr="00B10AB1" w:rsidRDefault="009F64D5" w:rsidP="00B10AB1">
      <w:pPr>
        <w:jc w:val="center"/>
      </w:pPr>
    </w:p>
    <w:p w:rsidR="009F64D5" w:rsidRPr="00B10AB1" w:rsidRDefault="009F64D5" w:rsidP="00B10AB1">
      <w:pPr>
        <w:jc w:val="center"/>
      </w:pPr>
    </w:p>
    <w:p w:rsidR="00014566" w:rsidRPr="00B10AB1" w:rsidRDefault="00970BE5" w:rsidP="00B10AB1">
      <w:pPr>
        <w:jc w:val="center"/>
        <w:rPr>
          <w:szCs w:val="24"/>
        </w:rPr>
      </w:pPr>
      <w:r>
        <w:t>РЕШЕНИЕ</w:t>
      </w:r>
    </w:p>
    <w:p w:rsidR="00014566" w:rsidRPr="00B10AB1" w:rsidRDefault="00014566" w:rsidP="00B10AB1">
      <w:pPr>
        <w:jc w:val="center"/>
      </w:pPr>
    </w:p>
    <w:p w:rsidR="00014566" w:rsidRPr="00B10AB1" w:rsidRDefault="00014566" w:rsidP="00B10AB1">
      <w:pPr>
        <w:jc w:val="center"/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  <w:r>
        <w:t>СТРАСБУРГ</w:t>
      </w: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  <w:r>
        <w:t>13 октомври 2016 г.</w:t>
      </w: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center"/>
      </w:pPr>
    </w:p>
    <w:p w:rsidR="00970BE5" w:rsidRPr="00B10AB1" w:rsidRDefault="00970BE5" w:rsidP="00B10AB1">
      <w:pPr>
        <w:jc w:val="left"/>
        <w:rPr>
          <w:i/>
        </w:rPr>
      </w:pPr>
      <w:r>
        <w:rPr>
          <w:i/>
        </w:rPr>
        <w:t>Настоящото решение е окончателно, но може да бъде предмет на редакционни промени.</w:t>
      </w:r>
    </w:p>
    <w:p w:rsidR="00B10AB1" w:rsidRPr="00B10AB1" w:rsidRDefault="00B10AB1" w:rsidP="00B10AB1">
      <w:pPr>
        <w:pStyle w:val="ECHRPara"/>
        <w:sectPr w:rsidR="00B10AB1" w:rsidRPr="00B10AB1" w:rsidSect="00970B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B10AB1" w:rsidRDefault="00014566" w:rsidP="00B10AB1">
      <w:pPr>
        <w:pStyle w:val="JuCase"/>
        <w:rPr>
          <w:bCs/>
        </w:rPr>
      </w:pPr>
      <w:r>
        <w:lastRenderedPageBreak/>
        <w:t>По делото Петрови срещу България,</w:t>
      </w:r>
    </w:p>
    <w:p w:rsidR="00014566" w:rsidRPr="00B10AB1" w:rsidRDefault="00014566" w:rsidP="00B10AB1">
      <w:pPr>
        <w:pStyle w:val="ECHRPara"/>
      </w:pPr>
      <w:r>
        <w:t>Европейският съд по правата на човека (Пето отделение), заседаващ като комитет</w:t>
      </w:r>
      <w:r w:rsidR="00217B99">
        <w:t xml:space="preserve"> в състав</w:t>
      </w:r>
      <w:r>
        <w:t>:</w:t>
      </w:r>
    </w:p>
    <w:p w:rsidR="00014566" w:rsidRPr="00B10AB1" w:rsidRDefault="00970BE5" w:rsidP="00B10AB1">
      <w:pPr>
        <w:pStyle w:val="ECHRDecisionBody"/>
      </w:pPr>
      <w:r>
        <w:tab/>
      </w:r>
      <w:r w:rsidR="00217B99">
        <w:t>Кх</w:t>
      </w:r>
      <w:r>
        <w:t>анлар Хаджиев (Khanlar Hajiyev),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  <w:t>Фарис Вехабович (Faris Vehabović),</w:t>
      </w:r>
      <w:r>
        <w:rPr>
          <w:i/>
        </w:rPr>
        <w:br/>
      </w:r>
      <w:r>
        <w:tab/>
        <w:t>Карло Ранцони (Carlo Ranzoni),</w:t>
      </w:r>
      <w:r>
        <w:rPr>
          <w:i/>
        </w:rPr>
        <w:t xml:space="preserve"> съдии</w:t>
      </w:r>
      <w:bookmarkStart w:id="1" w:name="_GoBack"/>
      <w:bookmarkEnd w:id="1"/>
      <w:r>
        <w:rPr>
          <w:i/>
        </w:rPr>
        <w:t>,</w:t>
      </w:r>
      <w:r>
        <w:br/>
        <w:t>и Милан Бла</w:t>
      </w:r>
      <w:r w:rsidR="00217B99">
        <w:t>с</w:t>
      </w:r>
      <w:r>
        <w:t xml:space="preserve">ко (Milan Blaško), </w:t>
      </w:r>
      <w:r>
        <w:rPr>
          <w:i/>
        </w:rPr>
        <w:t>заместник-секретар на отделението,</w:t>
      </w:r>
    </w:p>
    <w:p w:rsidR="00014566" w:rsidRPr="00B10AB1" w:rsidRDefault="00014566" w:rsidP="00B10AB1">
      <w:pPr>
        <w:pStyle w:val="ECHRPara"/>
      </w:pPr>
      <w:r>
        <w:t>След закрито заседание, проведено на 20 септември 2016 г.,</w:t>
      </w:r>
    </w:p>
    <w:p w:rsidR="00014566" w:rsidRPr="00B10AB1" w:rsidRDefault="00014566" w:rsidP="00B10AB1">
      <w:pPr>
        <w:pStyle w:val="ECHRPara"/>
      </w:pPr>
      <w:r>
        <w:t xml:space="preserve">Постановява следното решение, прието на </w:t>
      </w:r>
      <w:r w:rsidR="00217B99">
        <w:t xml:space="preserve">същата </w:t>
      </w:r>
      <w:r>
        <w:t>дата:</w:t>
      </w:r>
    </w:p>
    <w:p w:rsidR="00014566" w:rsidRPr="00B10AB1" w:rsidRDefault="00014566" w:rsidP="00B10AB1">
      <w:pPr>
        <w:pStyle w:val="ECHRTitle1"/>
      </w:pPr>
      <w:r>
        <w:t>ПРОЦЕДУРА</w:t>
      </w:r>
    </w:p>
    <w:p w:rsidR="009867B2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</w:t>
      </w:r>
      <w:r>
        <w:rPr>
          <w:noProof/>
        </w:rPr>
        <w:fldChar w:fldCharType="end"/>
      </w:r>
      <w:r w:rsidR="009867B2">
        <w:t>.  Делото е образувано по жалба (№ 9504/09) срещу Република България, подадена в Съда на основание чл. 34 от Конвенцията за защита на правата на човека и основните свободи (”Конвенцията”) от двама български граждани, г-жа Стоянка Коцева Петрова и г-н Стоян Тодоров Петров (”жалбоподателите”), на 5 януари 2009 г.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</w:t>
      </w:r>
      <w:r>
        <w:rPr>
          <w:noProof/>
        </w:rPr>
        <w:fldChar w:fldCharType="end"/>
      </w:r>
      <w:r w:rsidR="009867B2">
        <w:t>.  Жалбоподателите се представляват от г-жа Н. Добрева, адвокат, практикуващ в София. Българското правителство („Правителството”) се представлява от правителствения агент г-жа А. Панова от Министерство на правосъдието.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</w:t>
      </w:r>
      <w:r>
        <w:rPr>
          <w:noProof/>
        </w:rPr>
        <w:fldChar w:fldCharType="end"/>
      </w:r>
      <w:r w:rsidR="009867B2">
        <w:t xml:space="preserve">.  На 10 януари 2014 г. </w:t>
      </w:r>
      <w:r w:rsidR="00E87E50">
        <w:t xml:space="preserve">Правителството е уведомено за </w:t>
      </w:r>
      <w:r w:rsidR="009867B2">
        <w:t>оплакванията, отнасящи се до дългогодишния неуспех на властите да предоставят на жалбоподателите апартамент като обезщетение за отчужден имот, а останалата част от жалбата е обявена за недопустима съгласно правило 54 § 3 от Правилника на Съда.</w:t>
      </w:r>
    </w:p>
    <w:p w:rsidR="00014566" w:rsidRPr="00B10AB1" w:rsidRDefault="00014566" w:rsidP="00B10AB1">
      <w:pPr>
        <w:pStyle w:val="ECHRTitle1"/>
      </w:pPr>
      <w:r>
        <w:t>ФАКТИТЕ</w:t>
      </w:r>
    </w:p>
    <w:p w:rsidR="00014566" w:rsidRPr="00B10AB1" w:rsidRDefault="00014566" w:rsidP="00B10AB1">
      <w:pPr>
        <w:pStyle w:val="ECHRHeading1"/>
      </w:pPr>
      <w:r>
        <w:t>I.  ОБСТОЯТЕЛСТВАТА НА ДЕЛОТО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</w:instrText>
      </w:r>
      <w:r>
        <w:instrText xml:space="preserve">abic </w:instrText>
      </w:r>
      <w:r>
        <w:fldChar w:fldCharType="separate"/>
      </w:r>
      <w:r w:rsidR="00B10AB1" w:rsidRPr="00B10AB1">
        <w:rPr>
          <w:noProof/>
        </w:rPr>
        <w:t>4</w:t>
      </w:r>
      <w:r>
        <w:rPr>
          <w:noProof/>
        </w:rPr>
        <w:fldChar w:fldCharType="end"/>
      </w:r>
      <w:r w:rsidR="009867B2">
        <w:t>.  Жалбоподателите са родени съответно през 1952 г. и 1955 г. и живеят в София.</w:t>
      </w:r>
    </w:p>
    <w:p w:rsidR="00941260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5</w:t>
      </w:r>
      <w:r>
        <w:rPr>
          <w:noProof/>
        </w:rPr>
        <w:fldChar w:fldCharType="end"/>
      </w:r>
      <w:r w:rsidR="009867B2">
        <w:t>.  Родителите на първ</w:t>
      </w:r>
      <w:r w:rsidR="00E87E50">
        <w:t>ия</w:t>
      </w:r>
      <w:r w:rsidR="009867B2">
        <w:t xml:space="preserve"> жалбоподател </w:t>
      </w:r>
      <w:r w:rsidR="001863AD">
        <w:t xml:space="preserve">са </w:t>
      </w:r>
      <w:r w:rsidR="009867B2">
        <w:t>притежава</w:t>
      </w:r>
      <w:r w:rsidR="001863AD">
        <w:t>ли</w:t>
      </w:r>
      <w:r w:rsidR="009867B2">
        <w:t xml:space="preserve"> част от къща в София.</w:t>
      </w:r>
    </w:p>
    <w:p w:rsidR="00941260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6</w:t>
      </w:r>
      <w:r>
        <w:rPr>
          <w:noProof/>
        </w:rPr>
        <w:fldChar w:fldCharType="end"/>
      </w:r>
      <w:r w:rsidR="00A3442B">
        <w:t>.  През 1986 г. къщата е отчуждена с оглед изграждане на улица и жилищна сграда. Решението за от</w:t>
      </w:r>
      <w:r w:rsidR="001863AD">
        <w:t xml:space="preserve">чуждаване въз основа на чл. 98, ал. </w:t>
      </w:r>
      <w:r w:rsidR="00A3442B">
        <w:t xml:space="preserve">1 от Закона за териториалното и селищно устройство от от 1973 г. (ЗТСУ) </w:t>
      </w:r>
      <w:r w:rsidR="00DD59B2">
        <w:t xml:space="preserve">предвижда </w:t>
      </w:r>
      <w:r w:rsidR="00A3442B">
        <w:t xml:space="preserve">по-конкретно, че жалбоподателите трябва да получат </w:t>
      </w:r>
      <w:r w:rsidR="00DD59B2">
        <w:t xml:space="preserve">като обезщетение </w:t>
      </w:r>
      <w:r w:rsidR="00A3442B">
        <w:t>тристаен апартамент.</w:t>
      </w:r>
    </w:p>
    <w:p w:rsidR="00941260" w:rsidRPr="00B10AB1" w:rsidRDefault="00DD2B96" w:rsidP="00B10AB1">
      <w:pPr>
        <w:pStyle w:val="ECHRPara"/>
      </w:pPr>
      <w:r>
        <w:lastRenderedPageBreak/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7</w:t>
      </w:r>
      <w:r>
        <w:rPr>
          <w:noProof/>
        </w:rPr>
        <w:fldChar w:fldCharType="end"/>
      </w:r>
      <w:r w:rsidR="00A3442B">
        <w:t xml:space="preserve">.  С </w:t>
      </w:r>
      <w:r w:rsidR="00F077CC">
        <w:t>допълнителна</w:t>
      </w:r>
      <w:r w:rsidR="00DD59B2">
        <w:t xml:space="preserve"> </w:t>
      </w:r>
      <w:r w:rsidR="001863AD">
        <w:t>заповед</w:t>
      </w:r>
      <w:r w:rsidR="00A3442B">
        <w:t xml:space="preserve"> от 28 май 1993г., на</w:t>
      </w:r>
      <w:r w:rsidR="001863AD">
        <w:t xml:space="preserve"> основание</w:t>
      </w:r>
      <w:r w:rsidR="00A3442B">
        <w:t xml:space="preserve"> чл. 100 ЗТСУ кметът посочва конкретния бъдещ апартамент, който да се предостави като обезщетение на жалбоподателите. Той е с размер от 87 квадратни метра и се намира в сграда, която предстои да бъде построена от Столична община. Неговата стойност се определя на 21 185 стари български лева (BGL), по-късно променена на 21 231 стари лева. Жалбоподателите заплащат на общината частта от тази сума, която не се покрива от стойността на отчуждения имот.</w:t>
      </w:r>
    </w:p>
    <w:p w:rsidR="00941260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8</w:t>
      </w:r>
      <w:r>
        <w:rPr>
          <w:noProof/>
        </w:rPr>
        <w:fldChar w:fldCharType="end"/>
      </w:r>
      <w:r w:rsidR="00A3442B">
        <w:t>.  През 1990 г. жалбоподателите, техните деца и родителите на първата жалбоподателка са настанени в тристайно общинско жилище. Те остават в него до 2004 г., когато избират да се преместят в друго жилище, по-добре адаптирано за крехкото здравословно състояние на майката на първата жалбоподателка.</w:t>
      </w:r>
    </w:p>
    <w:p w:rsidR="00A71CE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9</w:t>
      </w:r>
      <w:r>
        <w:rPr>
          <w:noProof/>
        </w:rPr>
        <w:fldChar w:fldCharType="end"/>
      </w:r>
      <w:r w:rsidR="00A3442B">
        <w:t xml:space="preserve">.  На неустановена дата през 2005 г. жалбоподателите подават иск </w:t>
      </w:r>
      <w:r w:rsidR="001863AD">
        <w:t xml:space="preserve">за обезщетение </w:t>
      </w:r>
      <w:r w:rsidR="00A3442B">
        <w:t xml:space="preserve">срещу Столична община, </w:t>
      </w:r>
      <w:r w:rsidR="00F86667">
        <w:t xml:space="preserve">като </w:t>
      </w:r>
      <w:r w:rsidR="00A3442B">
        <w:t>претендира</w:t>
      </w:r>
      <w:r w:rsidR="00F86667">
        <w:t>т</w:t>
      </w:r>
      <w:r w:rsidR="00A3442B">
        <w:t xml:space="preserve"> имуществени и неимуществени вреди в</w:t>
      </w:r>
      <w:r w:rsidR="001863AD">
        <w:t>следствие</w:t>
      </w:r>
      <w:r w:rsidR="00A3442B">
        <w:t xml:space="preserve"> на продължаващия ѝ неуспех да </w:t>
      </w:r>
      <w:r w:rsidR="00F86667">
        <w:t xml:space="preserve">построи </w:t>
      </w:r>
      <w:r w:rsidR="00A3442B">
        <w:t>и да им предостави апартамент.</w:t>
      </w:r>
    </w:p>
    <w:p w:rsidR="00A71CE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10</w:t>
      </w:r>
      <w:r>
        <w:rPr>
          <w:noProof/>
        </w:rPr>
        <w:fldChar w:fldCharType="end"/>
      </w:r>
      <w:r w:rsidR="00A3442B">
        <w:t xml:space="preserve">.  Искът е отхвърлен на 21 февруари 2006 г. от Софийски районен съд, който </w:t>
      </w:r>
      <w:r w:rsidR="00F86667">
        <w:t>намира</w:t>
      </w:r>
      <w:r w:rsidR="00A3442B">
        <w:t xml:space="preserve">, че жалбоподателите не са доказали, че са </w:t>
      </w:r>
      <w:r w:rsidR="00F86667">
        <w:t xml:space="preserve">претърпели </w:t>
      </w:r>
      <w:r w:rsidR="00A3442B">
        <w:t>вреди, по-конкретно</w:t>
      </w:r>
      <w:r w:rsidR="00246601">
        <w:t>,</w:t>
      </w:r>
      <w:r w:rsidR="00A3442B">
        <w:t xml:space="preserve"> тъй като те са били настанени в общинско жилище, </w:t>
      </w:r>
      <w:r w:rsidR="00246601">
        <w:t xml:space="preserve">както </w:t>
      </w:r>
      <w:r w:rsidR="00A3442B">
        <w:t xml:space="preserve">и че вътрешното </w:t>
      </w:r>
      <w:r w:rsidR="00F86667">
        <w:t xml:space="preserve">законодателство </w:t>
      </w:r>
      <w:r w:rsidR="00A3442B">
        <w:t>предвижда специално средство за защита за лица в положението на жалбоподателите, а именно възможността да поиска</w:t>
      </w:r>
      <w:r w:rsidR="00281CC8">
        <w:t>т</w:t>
      </w:r>
      <w:r w:rsidR="00A3442B">
        <w:t xml:space="preserve"> нова оценка на отчуждения имот.</w:t>
      </w:r>
    </w:p>
    <w:p w:rsidR="00253BAE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11</w:t>
      </w:r>
      <w:r>
        <w:rPr>
          <w:noProof/>
        </w:rPr>
        <w:fldChar w:fldCharType="end"/>
      </w:r>
      <w:r w:rsidR="0043292B">
        <w:t>.  След това решение жалбоподателите подават молба за нова оценка. В писмо от общината от 2 юни 2006 г., подписано от заместник-кмет</w:t>
      </w:r>
      <w:r w:rsidR="00281CC8">
        <w:t>а</w:t>
      </w:r>
      <w:r w:rsidR="0043292B">
        <w:t>, те са информирани, че нямат право да искат такава оценка, тъй като те не са собственици на отчуждения имот.</w:t>
      </w:r>
    </w:p>
    <w:p w:rsidR="00253BAE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12</w:t>
      </w:r>
      <w:r>
        <w:rPr>
          <w:noProof/>
        </w:rPr>
        <w:fldChar w:fldCharType="end"/>
      </w:r>
      <w:r w:rsidR="00A3442B">
        <w:t xml:space="preserve">.  В същото време апартаментът, </w:t>
      </w:r>
      <w:r w:rsidR="000175C8">
        <w:t xml:space="preserve">който се </w:t>
      </w:r>
      <w:r w:rsidR="00A3442B">
        <w:t>полага</w:t>
      </w:r>
      <w:r w:rsidR="00246601">
        <w:t xml:space="preserve"> </w:t>
      </w:r>
      <w:r w:rsidR="00A3442B">
        <w:t>на жалбоподателите, е построен и те влизат в негово владение на 19 юни 2006 г.</w:t>
      </w:r>
    </w:p>
    <w:p w:rsidR="00A71CE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13</w:t>
      </w:r>
      <w:r>
        <w:rPr>
          <w:noProof/>
        </w:rPr>
        <w:fldChar w:fldCharType="end"/>
      </w:r>
      <w:r w:rsidR="00A3442B">
        <w:t>.  В производството</w:t>
      </w:r>
      <w:r w:rsidR="00246601">
        <w:t xml:space="preserve"> за обезщетение</w:t>
      </w:r>
      <w:r w:rsidR="00A3442B">
        <w:t xml:space="preserve">, с решения от 14 декември 2006 </w:t>
      </w:r>
      <w:r w:rsidR="00246601">
        <w:t>г. и 8 юли 2008 г.</w:t>
      </w:r>
      <w:r w:rsidR="00A3442B">
        <w:t xml:space="preserve"> Софийски градски съд и Върховния касационен съд потвърждават решението на Софийски районен съд от 21 февруари 2006 г., повтаряйки неговите констатации.</w:t>
      </w:r>
    </w:p>
    <w:p w:rsidR="007B7CCB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14</w:t>
      </w:r>
      <w:r>
        <w:rPr>
          <w:noProof/>
        </w:rPr>
        <w:fldChar w:fldCharType="end"/>
      </w:r>
      <w:r w:rsidR="00A3442B">
        <w:t>.  В това производство жалбоподателите са осъдени да заплатят 1200 нови български лева (BGN, равностойността на 612 евро ) за съдебни такси.</w:t>
      </w:r>
    </w:p>
    <w:p w:rsidR="00014566" w:rsidRPr="00B10AB1" w:rsidRDefault="00014566" w:rsidP="00B10AB1">
      <w:pPr>
        <w:pStyle w:val="ECHRHeading1"/>
      </w:pPr>
      <w:r>
        <w:t>II.  ПРИЛОЖИМО ВЪТРЕШНО ПРАВО И ПРАКТИКА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15</w:t>
      </w:r>
      <w:r>
        <w:rPr>
          <w:noProof/>
        </w:rPr>
        <w:fldChar w:fldCharType="end"/>
      </w:r>
      <w:r w:rsidR="009867B2">
        <w:t xml:space="preserve">.  Приложимото вътрешно право и практика са обобщени в решението на Съда по делото </w:t>
      </w:r>
      <w:r w:rsidR="009867B2">
        <w:rPr>
          <w:i/>
        </w:rPr>
        <w:t xml:space="preserve">Кирилова и други срещу България </w:t>
      </w:r>
      <w:r w:rsidR="009867B2">
        <w:t>(№ 42908/98, 44038/98, 44816/98 и 7319/02, §§ 72-79, 9 юни 2005 г.).</w:t>
      </w:r>
    </w:p>
    <w:p w:rsidR="00014566" w:rsidRPr="00B10AB1" w:rsidRDefault="000175C8" w:rsidP="00B10AB1">
      <w:pPr>
        <w:pStyle w:val="ECHRTitle1"/>
      </w:pPr>
      <w:r>
        <w:lastRenderedPageBreak/>
        <w:t>ПРАВОТО</w:t>
      </w:r>
    </w:p>
    <w:p w:rsidR="00014566" w:rsidRPr="00B10AB1" w:rsidRDefault="00014566" w:rsidP="00B10AB1">
      <w:pPr>
        <w:pStyle w:val="ECHRHeading1"/>
      </w:pPr>
      <w:r>
        <w:t>I. ТВЪРД</w:t>
      </w:r>
      <w:r w:rsidR="009113CD">
        <w:t>ЯНО</w:t>
      </w:r>
      <w:r>
        <w:t xml:space="preserve"> НАРУШЕНИ</w:t>
      </w:r>
      <w:r w:rsidR="009113CD">
        <w:t>Е</w:t>
      </w:r>
      <w:r>
        <w:t xml:space="preserve"> НА ЧЛ. 1 ОТ ПРОТОКОЛ № 1</w:t>
      </w:r>
    </w:p>
    <w:p w:rsidR="00A00DEE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16</w:t>
      </w:r>
      <w:r>
        <w:rPr>
          <w:noProof/>
        </w:rPr>
        <w:fldChar w:fldCharType="end"/>
      </w:r>
      <w:r w:rsidR="009867B2">
        <w:t>.  Жалбоподателите се оплакват, че властите не успяват в продължение на много години да им предоставят апартамента, който им се полага, както и че не разполагат с ефективно вътрешноправно средство за защита в това отношение.</w:t>
      </w:r>
    </w:p>
    <w:p w:rsidR="00A00DEE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17</w:t>
      </w:r>
      <w:r>
        <w:rPr>
          <w:noProof/>
        </w:rPr>
        <w:fldChar w:fldCharType="end"/>
      </w:r>
      <w:r w:rsidR="00A00DEE">
        <w:t xml:space="preserve">.  Жалбоподателите се позовават на чл. 1 от Протокол № 1 и чл. 13 от Конвенцията. Съдът </w:t>
      </w:r>
      <w:r w:rsidR="009113CD">
        <w:t>счита</w:t>
      </w:r>
      <w:r w:rsidR="00A00DEE">
        <w:t xml:space="preserve">, че е достатъчно да разгледа </w:t>
      </w:r>
      <w:r w:rsidR="00392919">
        <w:t xml:space="preserve">жалбата </w:t>
      </w:r>
      <w:r w:rsidR="00A95AAF">
        <w:t xml:space="preserve">по </w:t>
      </w:r>
      <w:r w:rsidR="00A00DEE">
        <w:t>чл. 1 от Протокол № 1, който гласи следното:</w:t>
      </w:r>
    </w:p>
    <w:p w:rsidR="00A00DEE" w:rsidRPr="00B10AB1" w:rsidRDefault="00A00DEE" w:rsidP="00B10AB1">
      <w:pPr>
        <w:pStyle w:val="ECHRParaQuote"/>
      </w:pPr>
      <w:r>
        <w:t>"Βсяко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014566" w:rsidRPr="00B10AB1" w:rsidRDefault="00A00DEE" w:rsidP="00B10AB1">
      <w:pPr>
        <w:pStyle w:val="ECHRParaQuote"/>
      </w:pPr>
      <w: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014566" w:rsidRPr="00B10AB1" w:rsidRDefault="00014566" w:rsidP="00B10AB1">
      <w:pPr>
        <w:pStyle w:val="ECHRHeading2"/>
      </w:pPr>
      <w:r>
        <w:t>A.  Допустимост</w:t>
      </w:r>
    </w:p>
    <w:p w:rsidR="00A00DEE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18</w:t>
      </w:r>
      <w:r>
        <w:rPr>
          <w:noProof/>
        </w:rPr>
        <w:fldChar w:fldCharType="end"/>
      </w:r>
      <w:r w:rsidR="00A00DEE">
        <w:t>.  Правителството възразява, че жалбоподателите не са изчерпали наличните вътрешн</w:t>
      </w:r>
      <w:r w:rsidR="00392919">
        <w:t>о</w:t>
      </w:r>
      <w:r w:rsidR="00A00DEE">
        <w:t xml:space="preserve">правни средства за защита, тъй като, както отбелязват също и националните съдилища, те не са се възползвали от възможността да поискат нова оценка на отчуждения имот (процедура, описана по-подробно в §§ 77-78 от решението </w:t>
      </w:r>
      <w:r w:rsidR="00A00DEE">
        <w:rPr>
          <w:i/>
        </w:rPr>
        <w:t>Кирилова и други</w:t>
      </w:r>
      <w:r w:rsidR="00A00DEE">
        <w:t>, цитирано по-горе).</w:t>
      </w:r>
    </w:p>
    <w:p w:rsidR="00261CDE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19</w:t>
      </w:r>
      <w:r>
        <w:rPr>
          <w:noProof/>
        </w:rPr>
        <w:fldChar w:fldCharType="end"/>
      </w:r>
      <w:r w:rsidR="00DA02C7">
        <w:t>.  Съдът обаче отбелязва, че жалбоподателите са поискали такава оценка, но са били информирани, че нямат право на т</w:t>
      </w:r>
      <w:r w:rsidR="00895DAF">
        <w:t>акава</w:t>
      </w:r>
      <w:r w:rsidR="00DA02C7">
        <w:t>, защото не са собственици на отчуждения имот (вж. параграф 11 по-горе). Правителството не твърди, че това изявление на общинските власти е погрешно. В допълнение</w:t>
      </w:r>
      <w:r w:rsidR="00A95AAF">
        <w:t>,</w:t>
      </w:r>
      <w:r w:rsidR="00DA02C7">
        <w:t xml:space="preserve"> Съдът отбелязва, че в </w:t>
      </w:r>
      <w:r w:rsidR="00290510">
        <w:t xml:space="preserve">случая </w:t>
      </w:r>
      <w:r w:rsidR="00DA02C7">
        <w:rPr>
          <w:i/>
        </w:rPr>
        <w:t>Кирилова и други</w:t>
      </w:r>
      <w:r w:rsidR="00DA02C7">
        <w:t xml:space="preserve"> (цитирано по-горе, §§ 112-15) той вече е </w:t>
      </w:r>
      <w:r w:rsidR="00290510">
        <w:t>намерил</w:t>
      </w:r>
      <w:r w:rsidR="00DA02C7">
        <w:t>, че въпреки че този начин за защита на теория може да доведе до присъждане на парично обезщетение, от жалбоподатели в ситуация, подобна на разглежданата, не може да се изисква да го следват, по-конкретно</w:t>
      </w:r>
      <w:r w:rsidR="00A95AAF">
        <w:t>,</w:t>
      </w:r>
      <w:r w:rsidR="00DA02C7">
        <w:t xml:space="preserve"> тъй като то</w:t>
      </w:r>
      <w:r w:rsidR="00A95AAF">
        <w:t>зи начин</w:t>
      </w:r>
      <w:r w:rsidR="00DA02C7">
        <w:t xml:space="preserve"> е достъпен само при конкретни обстоятелства и </w:t>
      </w:r>
      <w:r w:rsidR="00290510">
        <w:t>защото</w:t>
      </w:r>
      <w:r w:rsidR="00DA02C7">
        <w:t xml:space="preserve"> приложимото законодателство </w:t>
      </w:r>
      <w:r w:rsidR="00290510">
        <w:t>предвижда</w:t>
      </w:r>
      <w:r w:rsidR="00DA02C7">
        <w:t>, че новата оценка все пак ще се основава на пазарната цена на имота към момента на отчуждаване, въпреки значителното обезценяване на българската валута през 90-те години на 20 в.</w:t>
      </w:r>
    </w:p>
    <w:p w:rsidR="007459EA" w:rsidRPr="00B10AB1" w:rsidRDefault="00DD2B96" w:rsidP="00B10AB1">
      <w:pPr>
        <w:pStyle w:val="ECHRPara"/>
      </w:pPr>
      <w:r>
        <w:lastRenderedPageBreak/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20</w:t>
      </w:r>
      <w:r>
        <w:rPr>
          <w:noProof/>
        </w:rPr>
        <w:fldChar w:fldCharType="end"/>
      </w:r>
      <w:r w:rsidR="00261CDE">
        <w:t>.  Поради горните съображения Съдът отхвърля възражението на Правителството за неизчерпване на вътрешн</w:t>
      </w:r>
      <w:r w:rsidR="00773389">
        <w:t>о</w:t>
      </w:r>
      <w:r w:rsidR="00261CDE">
        <w:t>правни</w:t>
      </w:r>
      <w:r w:rsidR="00773389">
        <w:t>те</w:t>
      </w:r>
      <w:r w:rsidR="00261CDE">
        <w:t xml:space="preserve"> средства за защита.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21</w:t>
      </w:r>
      <w:r>
        <w:rPr>
          <w:noProof/>
        </w:rPr>
        <w:fldChar w:fldCharType="end"/>
      </w:r>
      <w:r w:rsidR="007459EA">
        <w:t>.  Той</w:t>
      </w:r>
      <w:r w:rsidR="00773389">
        <w:t xml:space="preserve"> още</w:t>
      </w:r>
      <w:r w:rsidR="007459EA">
        <w:t xml:space="preserve"> отбелязва, че жалбата не е явно необоснована по смисъла на член 35 § 3 (а) от Конвенцията или недопустима на друго основание. Следователно</w:t>
      </w:r>
      <w:r w:rsidR="00395FFB">
        <w:t>,</w:t>
      </w:r>
      <w:r w:rsidR="007459EA">
        <w:t xml:space="preserve"> тя </w:t>
      </w:r>
      <w:r w:rsidR="00773389">
        <w:t>е</w:t>
      </w:r>
      <w:r w:rsidR="007459EA">
        <w:t xml:space="preserve"> допустима.</w:t>
      </w:r>
    </w:p>
    <w:p w:rsidR="00014566" w:rsidRPr="00B10AB1" w:rsidRDefault="00014566" w:rsidP="00B10AB1">
      <w:pPr>
        <w:pStyle w:val="ECHRHeading2"/>
      </w:pPr>
      <w:r>
        <w:t xml:space="preserve">Б. </w:t>
      </w:r>
      <w:r w:rsidR="00773389">
        <w:t>По същество</w:t>
      </w:r>
    </w:p>
    <w:p w:rsidR="00261CDE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22</w:t>
      </w:r>
      <w:r>
        <w:rPr>
          <w:noProof/>
        </w:rPr>
        <w:fldChar w:fldCharType="end"/>
      </w:r>
      <w:r w:rsidR="009867B2">
        <w:t xml:space="preserve">.  По </w:t>
      </w:r>
      <w:r w:rsidR="00773389">
        <w:t xml:space="preserve">съществото </w:t>
      </w:r>
      <w:r w:rsidR="00395FFB">
        <w:t xml:space="preserve">на направените оплаквания, </w:t>
      </w:r>
      <w:r w:rsidR="009867B2">
        <w:t>Съдът първо отбелязва, че случаят е подобен на тези, разгледани от него в</w:t>
      </w:r>
      <w:r w:rsidR="009867B2">
        <w:rPr>
          <w:i/>
        </w:rPr>
        <w:t xml:space="preserve"> Кирилова и други</w:t>
      </w:r>
      <w:r w:rsidR="009867B2">
        <w:t xml:space="preserve">, цитирано по-горе (вж. също </w:t>
      </w:r>
      <w:r w:rsidR="009867B2">
        <w:rPr>
          <w:i/>
        </w:rPr>
        <w:t>Лазаров срещу България</w:t>
      </w:r>
      <w:r w:rsidR="009867B2">
        <w:t xml:space="preserve">, № 21352/02, 22 май 2008 г.; </w:t>
      </w:r>
      <w:r w:rsidR="009867B2">
        <w:rPr>
          <w:i/>
        </w:rPr>
        <w:t>Антонови срещу България</w:t>
      </w:r>
      <w:r w:rsidR="009867B2">
        <w:t xml:space="preserve">, № 20827/02, 1 октомври 2009 г.; </w:t>
      </w:r>
      <w:r w:rsidR="009867B2">
        <w:rPr>
          <w:i/>
        </w:rPr>
        <w:t>Дичев срещу България</w:t>
      </w:r>
      <w:r w:rsidR="009867B2">
        <w:t xml:space="preserve">, № 1355/04, 27 януари 2011 г.; и </w:t>
      </w:r>
      <w:r w:rsidR="009867B2">
        <w:rPr>
          <w:i/>
        </w:rPr>
        <w:t>Балездрови срещу България</w:t>
      </w:r>
      <w:r w:rsidR="009867B2">
        <w:t xml:space="preserve"> [Комитет], № 36772/06, 20 септември 2011 г.).</w:t>
      </w:r>
    </w:p>
    <w:p w:rsidR="00261CDE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23</w:t>
      </w:r>
      <w:r>
        <w:rPr>
          <w:noProof/>
        </w:rPr>
        <w:fldChar w:fldCharType="end"/>
      </w:r>
      <w:r w:rsidR="009867B2">
        <w:t>.  Както в тези случаи (вж. например</w:t>
      </w:r>
      <w:r w:rsidR="009867B2">
        <w:rPr>
          <w:i/>
        </w:rPr>
        <w:t xml:space="preserve"> Кирилова и други</w:t>
      </w:r>
      <w:r w:rsidR="009867B2">
        <w:t xml:space="preserve">, § 104, и </w:t>
      </w:r>
      <w:r w:rsidR="009867B2">
        <w:rPr>
          <w:i/>
        </w:rPr>
        <w:t>Антонови</w:t>
      </w:r>
      <w:r w:rsidR="009867B2">
        <w:t xml:space="preserve">, § 28), Съдът </w:t>
      </w:r>
      <w:r w:rsidR="006A2F4C">
        <w:t>счита</w:t>
      </w:r>
      <w:r w:rsidR="009867B2">
        <w:t xml:space="preserve">, че решението за отчуждаване от 1986 г., в което се посочва, че жалбоподателите трябва да получат тристаен апартамент като обезщетение за отчуждаването (вж. параграф 6 по-горе), създава за тях право, което не се оспорва от властите и се определя като “притежание” по смисъла на чл. 1 от Протокол № 1. Неуспехът на властите да предоставят този апартамент представлява намеса в правата на жалбоподателите, която </w:t>
      </w:r>
      <w:r w:rsidR="006A2F4C">
        <w:t>трябва да се</w:t>
      </w:r>
      <w:r w:rsidR="009867B2">
        <w:t xml:space="preserve"> разгледа в рамките на първото изречение на първия параграф на чл. 1 от Протокол № 1,</w:t>
      </w:r>
      <w:r w:rsidR="006A2F4C">
        <w:t xml:space="preserve"> който</w:t>
      </w:r>
      <w:r w:rsidR="009867B2">
        <w:t xml:space="preserve"> определя общо принципа </w:t>
      </w:r>
      <w:r w:rsidR="006A2F4C">
        <w:t>з</w:t>
      </w:r>
      <w:r w:rsidR="009867B2">
        <w:t xml:space="preserve">а мирно ползване на собственост (вж. </w:t>
      </w:r>
      <w:r w:rsidR="009867B2">
        <w:rPr>
          <w:i/>
        </w:rPr>
        <w:t>Кирилова и други</w:t>
      </w:r>
      <w:r w:rsidR="009867B2">
        <w:t xml:space="preserve">, § 105, и </w:t>
      </w:r>
      <w:r w:rsidR="009867B2">
        <w:rPr>
          <w:i/>
        </w:rPr>
        <w:t>Лазаров</w:t>
      </w:r>
      <w:r w:rsidR="009867B2">
        <w:t>, § 28, и двете цитирани по-горе).</w:t>
      </w:r>
    </w:p>
    <w:p w:rsidR="00FF2257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24</w:t>
      </w:r>
      <w:r>
        <w:rPr>
          <w:noProof/>
        </w:rPr>
        <w:fldChar w:fldCharType="end"/>
      </w:r>
      <w:r w:rsidR="009867B2">
        <w:t xml:space="preserve">.  За да установи дали българската държава е изпълнила задълженията си по чл. 1 от Протокол № 1, Съдът трябва да </w:t>
      </w:r>
      <w:r w:rsidR="006A2F4C">
        <w:t xml:space="preserve">определи </w:t>
      </w:r>
      <w:r w:rsidR="009867B2">
        <w:t xml:space="preserve">дали е постигнат справедлив баланс между общия интерес и правата на жалбоподателите. Много големите закъснения в </w:t>
      </w:r>
      <w:r w:rsidR="00241509">
        <w:t>из</w:t>
      </w:r>
      <w:r w:rsidR="009867B2">
        <w:t xml:space="preserve">плащането на обезщетения в съчетание с нежеланието на властите </w:t>
      </w:r>
      <w:r w:rsidR="00241509">
        <w:t>д</w:t>
      </w:r>
      <w:r w:rsidR="009867B2">
        <w:t>а разреша</w:t>
      </w:r>
      <w:r w:rsidR="00241509">
        <w:t>т</w:t>
      </w:r>
      <w:r w:rsidR="009867B2">
        <w:t xml:space="preserve"> проблема</w:t>
      </w:r>
      <w:r w:rsidR="00322A02">
        <w:t>,</w:t>
      </w:r>
      <w:r w:rsidR="009867B2">
        <w:t xml:space="preserve"> са фактори, които наред с другото, могат да нарушат този баланс (вж. </w:t>
      </w:r>
      <w:r w:rsidR="009867B2">
        <w:rPr>
          <w:i/>
        </w:rPr>
        <w:t>Кирилова и други</w:t>
      </w:r>
      <w:r w:rsidR="009867B2">
        <w:t>, цитирано по-горе, § 123).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25</w:t>
      </w:r>
      <w:r>
        <w:rPr>
          <w:noProof/>
        </w:rPr>
        <w:fldChar w:fldCharType="end"/>
      </w:r>
      <w:r w:rsidR="009867B2">
        <w:t xml:space="preserve">.  Правото на жалбоподателите да получат апартамент възниква през 1986 г. и такъв апартамент </w:t>
      </w:r>
      <w:r w:rsidR="00241509">
        <w:t xml:space="preserve">им </w:t>
      </w:r>
      <w:r w:rsidR="009867B2">
        <w:t xml:space="preserve">е предоставен през 2006 г. (вж. </w:t>
      </w:r>
      <w:r w:rsidR="00241509">
        <w:t>п</w:t>
      </w:r>
      <w:r w:rsidR="009867B2">
        <w:t xml:space="preserve">араграфи 6 и 12 по-горе), а именно двадесет години по-късно, четиринадесет от </w:t>
      </w:r>
      <w:r w:rsidR="0093313A">
        <w:t xml:space="preserve">които, </w:t>
      </w:r>
      <w:r w:rsidR="009867B2">
        <w:t>след 7 септември 1992 г., когато Конвенцията влиза в сила за България, са в рамките на времевата компетентност на Съда. В по-ранните подобни случаи Съдът констатира, че подобни забавяния, разглеждани заедно с пасивн</w:t>
      </w:r>
      <w:r w:rsidR="0093313A">
        <w:t>ия</w:t>
      </w:r>
      <w:r w:rsidR="009867B2">
        <w:t xml:space="preserve"> по</w:t>
      </w:r>
      <w:r w:rsidR="0093313A">
        <w:t>дход</w:t>
      </w:r>
      <w:r w:rsidR="009867B2">
        <w:t xml:space="preserve"> на властите, дългите периоди на несигурност, </w:t>
      </w:r>
      <w:r w:rsidR="0093313A">
        <w:t xml:space="preserve">претърпени </w:t>
      </w:r>
      <w:r w:rsidR="009867B2">
        <w:t>от жалбоподателите, както и липсата на ефективни вътрешн</w:t>
      </w:r>
      <w:r w:rsidR="0093313A">
        <w:t>о</w:t>
      </w:r>
      <w:r w:rsidR="009867B2">
        <w:t>правни средства за защита за поправяне на ситуацията</w:t>
      </w:r>
      <w:r w:rsidR="00322A02">
        <w:t>,</w:t>
      </w:r>
      <w:r w:rsidR="009867B2">
        <w:t xml:space="preserve"> означават, че жалбоподателите </w:t>
      </w:r>
      <w:r w:rsidR="0093313A">
        <w:t>е трябвало</w:t>
      </w:r>
      <w:r w:rsidR="009867B2">
        <w:t xml:space="preserve"> да понесат специална и прекомерна тежест, ко</w:t>
      </w:r>
      <w:r w:rsidR="004B2FB6">
        <w:t>я</w:t>
      </w:r>
      <w:r w:rsidR="009867B2">
        <w:t>то е нарушил</w:t>
      </w:r>
      <w:r w:rsidR="004B2FB6">
        <w:t>а</w:t>
      </w:r>
      <w:r w:rsidR="009867B2">
        <w:t xml:space="preserve"> справедливия баланс между нуждите на обществения интерес и защитата на правото на мирно ползване на </w:t>
      </w:r>
      <w:r w:rsidR="009867B2" w:rsidRPr="00DC14D0">
        <w:t>притежанията</w:t>
      </w:r>
      <w:r w:rsidR="009867B2">
        <w:t xml:space="preserve"> (вж. </w:t>
      </w:r>
      <w:r w:rsidR="009867B2">
        <w:rPr>
          <w:i/>
        </w:rPr>
        <w:t>Кирилова и други</w:t>
      </w:r>
      <w:r w:rsidR="009867B2">
        <w:t>, §§ 108</w:t>
      </w:r>
      <w:r w:rsidR="009867B2">
        <w:noBreakHyphen/>
        <w:t xml:space="preserve">23, </w:t>
      </w:r>
      <w:r w:rsidR="009867B2">
        <w:rPr>
          <w:i/>
        </w:rPr>
        <w:t>Лазаров</w:t>
      </w:r>
      <w:r w:rsidR="009867B2">
        <w:t xml:space="preserve">, §§ 30-32, и </w:t>
      </w:r>
      <w:r w:rsidR="009867B2">
        <w:rPr>
          <w:i/>
        </w:rPr>
        <w:t>Антонови</w:t>
      </w:r>
      <w:r w:rsidR="009867B2">
        <w:t xml:space="preserve">, § 30, всички цитирани по-горе). Съдът </w:t>
      </w:r>
      <w:r w:rsidR="00322A02">
        <w:t xml:space="preserve">не </w:t>
      </w:r>
      <w:r w:rsidR="004B2FB6">
        <w:t>намира</w:t>
      </w:r>
      <w:r w:rsidR="009867B2">
        <w:t xml:space="preserve"> причина да достигне до друго заключение в настоящ</w:t>
      </w:r>
      <w:r w:rsidR="004B2FB6">
        <w:t>ия случай</w:t>
      </w:r>
      <w:r w:rsidR="009867B2">
        <w:t>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26</w:t>
      </w:r>
      <w:r>
        <w:rPr>
          <w:noProof/>
        </w:rPr>
        <w:fldChar w:fldCharType="end"/>
      </w:r>
      <w:r w:rsidR="009867B2">
        <w:t>.  </w:t>
      </w:r>
      <w:r w:rsidR="004B2FB6">
        <w:t>Следователно</w:t>
      </w:r>
      <w:r w:rsidR="009867B2">
        <w:t xml:space="preserve"> е налице нарушение на чл. 1 от Протокол № 1.</w:t>
      </w:r>
    </w:p>
    <w:p w:rsidR="00014566" w:rsidRPr="00B10AB1" w:rsidRDefault="00A00DEE" w:rsidP="00B10AB1">
      <w:pPr>
        <w:pStyle w:val="ECHRHeading1"/>
      </w:pPr>
      <w:r>
        <w:t>II.  ПРИЛОЖЕНИЕ НА ЧЛ. 41 ОТ КОНВЕНЦИЯТА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27</w:t>
      </w:r>
      <w:r>
        <w:rPr>
          <w:noProof/>
        </w:rPr>
        <w:fldChar w:fldCharType="end"/>
      </w:r>
      <w:r w:rsidR="009867B2">
        <w:t>.  Чл. 41 от Конвенцията гласи:</w:t>
      </w:r>
    </w:p>
    <w:p w:rsidR="00014566" w:rsidRPr="00B10AB1" w:rsidRDefault="00014566" w:rsidP="00B10AB1">
      <w:pPr>
        <w:pStyle w:val="ECHRParaQuote"/>
        <w:keepNext/>
        <w:keepLines/>
      </w:pPr>
      <w:r>
        <w:t xml:space="preserve">“Ако Съдът установи нарушение на Конвенцията или на  </w:t>
      </w:r>
      <w:r>
        <w:br/>
        <w:t>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14566" w:rsidRPr="00B10AB1" w:rsidRDefault="00014566" w:rsidP="00B10AB1">
      <w:pPr>
        <w:pStyle w:val="ECHRHeading2"/>
      </w:pPr>
      <w:r>
        <w:t>А. Обезщетение за вреди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28</w:t>
      </w:r>
      <w:r>
        <w:rPr>
          <w:noProof/>
        </w:rPr>
        <w:fldChar w:fldCharType="end"/>
      </w:r>
      <w:r w:rsidR="009867B2">
        <w:t xml:space="preserve">.  Жалбоподателите претендират 10 000 евро </w:t>
      </w:r>
      <w:r w:rsidR="00322A02">
        <w:t>з</w:t>
      </w:r>
      <w:r w:rsidR="009867B2">
        <w:t xml:space="preserve">а неимуществени вреди като обезщетение за </w:t>
      </w:r>
      <w:r w:rsidR="00322A02">
        <w:t>пропуснати ползи</w:t>
      </w:r>
      <w:r w:rsidR="009867B2">
        <w:t xml:space="preserve"> поради невъзможността </w:t>
      </w:r>
      <w:r w:rsidR="004E1347">
        <w:t>д</w:t>
      </w:r>
      <w:r w:rsidR="009867B2">
        <w:t>а използва</w:t>
      </w:r>
      <w:r w:rsidR="004E1347">
        <w:t>т</w:t>
      </w:r>
      <w:r w:rsidR="009867B2">
        <w:t xml:space="preserve"> апартамента, който им се полага, за дълъг период от време. Претендираната сума също включва съдебните такси, които жалбоподателите са осъдени да заплатят, след като техният иск </w:t>
      </w:r>
      <w:r w:rsidR="00322A02">
        <w:t xml:space="preserve">за вреди </w:t>
      </w:r>
      <w:r w:rsidR="009867B2">
        <w:t>срещу общината е отхвърлен (вж. параграф 14 по-горе).</w:t>
      </w:r>
    </w:p>
    <w:p w:rsidR="007856ED" w:rsidRPr="00B10AB1" w:rsidRDefault="00DD2B96" w:rsidP="00B10AB1">
      <w:pPr>
        <w:pStyle w:val="ECHRPara"/>
      </w:pPr>
      <w:r>
        <w:fldChar w:fldCharType="begin"/>
      </w:r>
      <w:r>
        <w:instrText xml:space="preserve"> </w:instrText>
      </w:r>
      <w:r>
        <w:instrText xml:space="preserve">SEQ level0 \*arabic </w:instrText>
      </w:r>
      <w:r>
        <w:fldChar w:fldCharType="separate"/>
      </w:r>
      <w:r w:rsidR="00B10AB1" w:rsidRPr="00B10AB1">
        <w:rPr>
          <w:noProof/>
        </w:rPr>
        <w:t>29</w:t>
      </w:r>
      <w:r>
        <w:rPr>
          <w:noProof/>
        </w:rPr>
        <w:fldChar w:fldCharType="end"/>
      </w:r>
      <w:r w:rsidR="007856ED">
        <w:t>.  За неимуществени вреди жалбоподателите претендират съвместно 4000 евро. Те изтъкват, че общинският апартамент, в който са настанени през 1990 г., е с по-ниско качество и с по-лошо местоположение в сравнение с апартамента, който са имали право да получат. В допълнение</w:t>
      </w:r>
      <w:r w:rsidR="00322A02">
        <w:t>,</w:t>
      </w:r>
      <w:r w:rsidR="007856ED">
        <w:t xml:space="preserve"> те са принудени да го напуснат през 2004 г., тъй като не е бил адаптиран към нуждите на семейството им.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30</w:t>
      </w:r>
      <w:r>
        <w:rPr>
          <w:noProof/>
        </w:rPr>
        <w:fldChar w:fldCharType="end"/>
      </w:r>
      <w:r w:rsidR="00322A02">
        <w:t>.  Правителството призова Съдът</w:t>
      </w:r>
      <w:r w:rsidR="009867B2">
        <w:t xml:space="preserve"> да не присъжда обезщетение </w:t>
      </w:r>
      <w:r w:rsidR="00322A02">
        <w:t>з</w:t>
      </w:r>
      <w:r w:rsidR="009867B2">
        <w:t>а имуществени вреди</w:t>
      </w:r>
      <w:r w:rsidR="00322A02">
        <w:t>,</w:t>
      </w:r>
      <w:r w:rsidR="009867B2">
        <w:t xml:space="preserve"> като посочва, че </w:t>
      </w:r>
      <w:r w:rsidR="00322A02">
        <w:t>докато са</w:t>
      </w:r>
      <w:r w:rsidR="009867B2">
        <w:t xml:space="preserve"> чака</w:t>
      </w:r>
      <w:r w:rsidR="00322A02">
        <w:t xml:space="preserve">ли да им бъде </w:t>
      </w:r>
      <w:r w:rsidR="009867B2">
        <w:t>предостав</w:t>
      </w:r>
      <w:r w:rsidR="00322A02">
        <w:t>е</w:t>
      </w:r>
      <w:r w:rsidR="009867B2">
        <w:t>н техния апартамент, жалбоподателите са настанени безплатно в общинско жилище</w:t>
      </w:r>
      <w:r w:rsidR="00322A02">
        <w:t>, както</w:t>
      </w:r>
      <w:r w:rsidR="009867B2">
        <w:t xml:space="preserve"> и че те </w:t>
      </w:r>
      <w:r w:rsidR="00322A02">
        <w:t xml:space="preserve">са </w:t>
      </w:r>
      <w:r w:rsidR="009867B2">
        <w:t>избра</w:t>
      </w:r>
      <w:r w:rsidR="00322A02">
        <w:t>ли</w:t>
      </w:r>
      <w:r w:rsidR="009867B2">
        <w:t xml:space="preserve"> да го напуснат по причини, които не </w:t>
      </w:r>
      <w:r w:rsidR="009F45F2">
        <w:t xml:space="preserve">могат да </w:t>
      </w:r>
      <w:r w:rsidR="009867B2">
        <w:t xml:space="preserve">се </w:t>
      </w:r>
      <w:r w:rsidR="00322A02">
        <w:t>вменяват във вина</w:t>
      </w:r>
      <w:r w:rsidR="009F45F2">
        <w:t xml:space="preserve"> </w:t>
      </w:r>
      <w:r w:rsidR="009867B2">
        <w:t>на властите.</w:t>
      </w:r>
    </w:p>
    <w:p w:rsidR="007856ED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31</w:t>
      </w:r>
      <w:r>
        <w:rPr>
          <w:noProof/>
        </w:rPr>
        <w:fldChar w:fldCharType="end"/>
      </w:r>
      <w:r w:rsidR="007856ED">
        <w:t>.  Що се отнася до неимуществените вреди</w:t>
      </w:r>
      <w:r w:rsidR="00322A02">
        <w:t>,</w:t>
      </w:r>
      <w:r w:rsidR="007856ED">
        <w:t xml:space="preserve"> Правителството счита претенцията на жалбоподателите за прекомерна.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32</w:t>
      </w:r>
      <w:r>
        <w:rPr>
          <w:noProof/>
        </w:rPr>
        <w:fldChar w:fldCharType="end"/>
      </w:r>
      <w:r w:rsidR="009867B2">
        <w:t>.  Съдът отбелязва, че в действителност, както се изтъква от Правителството, жалбоподателите са настанени в общинско жилище до предоставянето на техния апартамент. Съответно</w:t>
      </w:r>
      <w:r w:rsidR="00322A02">
        <w:t>,</w:t>
      </w:r>
      <w:r w:rsidR="009867B2">
        <w:t xml:space="preserve"> до 2004 г. те не </w:t>
      </w:r>
      <w:r w:rsidR="00345BE6">
        <w:t>правят</w:t>
      </w:r>
      <w:r w:rsidR="009867B2">
        <w:t xml:space="preserve"> разходи за намиране на алтернативно </w:t>
      </w:r>
      <w:r w:rsidR="00345BE6">
        <w:t>жилище</w:t>
      </w:r>
      <w:r w:rsidR="009867B2">
        <w:t>. Що се отнася до решението им да го напуснат през 2004 г.</w:t>
      </w:r>
      <w:r w:rsidR="00322A02">
        <w:t>,</w:t>
      </w:r>
      <w:r w:rsidR="009867B2">
        <w:t xml:space="preserve"> Съдът приема, че това е станало по причини (вж. параграф 8 по-горе), които не могат да </w:t>
      </w:r>
      <w:r w:rsidR="000930BA">
        <w:t xml:space="preserve">се </w:t>
      </w:r>
      <w:r w:rsidR="00322A02">
        <w:t xml:space="preserve">вменят във вина </w:t>
      </w:r>
      <w:r w:rsidR="009867B2">
        <w:t>на властите.</w:t>
      </w:r>
    </w:p>
    <w:p w:rsidR="00674913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33</w:t>
      </w:r>
      <w:r>
        <w:rPr>
          <w:noProof/>
        </w:rPr>
        <w:fldChar w:fldCharType="end"/>
      </w:r>
      <w:r w:rsidR="00BF57F4">
        <w:t>.  Независимо от това</w:t>
      </w:r>
      <w:r w:rsidR="00322A02">
        <w:t>,</w:t>
      </w:r>
      <w:r w:rsidR="00BF57F4">
        <w:t xml:space="preserve"> Съдът </w:t>
      </w:r>
      <w:r w:rsidR="000930BA">
        <w:t>счита</w:t>
      </w:r>
      <w:r w:rsidR="00BF57F4">
        <w:t xml:space="preserve">, че жалбоподателите </w:t>
      </w:r>
      <w:r w:rsidR="000930BA">
        <w:t>несъмнено</w:t>
      </w:r>
      <w:r w:rsidR="00BF57F4">
        <w:t xml:space="preserve"> са претърпели известна загуба на </w:t>
      </w:r>
      <w:r w:rsidR="00BF57F4" w:rsidRPr="00B33713">
        <w:t>възможност</w:t>
      </w:r>
      <w:r w:rsidR="00322A02">
        <w:t>и</w:t>
      </w:r>
      <w:r w:rsidR="00BF57F4">
        <w:t xml:space="preserve"> поради това, че не </w:t>
      </w:r>
      <w:r w:rsidR="00322A02">
        <w:t xml:space="preserve">са </w:t>
      </w:r>
      <w:r w:rsidR="000930BA">
        <w:t>могли</w:t>
      </w:r>
      <w:r w:rsidR="00BF57F4">
        <w:t xml:space="preserve"> да използват </w:t>
      </w:r>
      <w:r w:rsidR="000930BA">
        <w:t xml:space="preserve">и </w:t>
      </w:r>
      <w:r w:rsidR="00322A02">
        <w:t xml:space="preserve">да </w:t>
      </w:r>
      <w:r w:rsidR="000930BA">
        <w:t xml:space="preserve">разполагат с </w:t>
      </w:r>
      <w:r w:rsidR="00BF57F4">
        <w:t xml:space="preserve">полагащия им се апартамент в продължение на значителен период от време (вж. </w:t>
      </w:r>
      <w:r w:rsidR="00BF57F4">
        <w:rPr>
          <w:i/>
        </w:rPr>
        <w:t>Кирилова и други</w:t>
      </w:r>
      <w:r w:rsidR="00BF57F4">
        <w:t xml:space="preserve"> (справедливо обезщетение), № 42908/98, 44038/98, 44816/98 и 7319/02, § 33, 14 юни 2007 г.). Произнасяйки се по справедливост</w:t>
      </w:r>
      <w:r w:rsidR="00322A02">
        <w:t>,</w:t>
      </w:r>
      <w:r w:rsidR="00BF57F4">
        <w:t xml:space="preserve"> той присъжда 7000 евро </w:t>
      </w:r>
      <w:r w:rsidR="00810571">
        <w:t xml:space="preserve">в </w:t>
      </w:r>
      <w:r w:rsidR="00BF57F4">
        <w:t xml:space="preserve">тази </w:t>
      </w:r>
      <w:r w:rsidR="00810571">
        <w:t>връзка</w:t>
      </w:r>
      <w:r w:rsidR="00BF57F4">
        <w:t xml:space="preserve">. Що се отнася до сумата, която жалбоподателите са осъдени да заплатят за съдебни такси, също претендирана </w:t>
      </w:r>
      <w:r w:rsidR="00810571">
        <w:t>с оглед това оплакване, Съдът ще го</w:t>
      </w:r>
      <w:r w:rsidR="00BF57F4">
        <w:t xml:space="preserve"> разгледа по-долу.</w:t>
      </w:r>
    </w:p>
    <w:p w:rsidR="00674913" w:rsidRPr="00B10AB1" w:rsidRDefault="00DD2B96" w:rsidP="00B10AB1">
      <w:pPr>
        <w:pStyle w:val="ECHRPara"/>
        <w:rPr>
          <w:b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34</w:t>
      </w:r>
      <w:r>
        <w:rPr>
          <w:noProof/>
        </w:rPr>
        <w:fldChar w:fldCharType="end"/>
      </w:r>
      <w:r w:rsidR="000C695C">
        <w:t>.  На последно място</w:t>
      </w:r>
      <w:r w:rsidR="00810571">
        <w:t>,</w:t>
      </w:r>
      <w:r w:rsidR="000C695C">
        <w:t xml:space="preserve"> Съдът смята, че нарушението на чл. 1 от Протокол № 1 </w:t>
      </w:r>
      <w:r w:rsidR="00910BC7">
        <w:t>несъмнено</w:t>
      </w:r>
      <w:r w:rsidR="000C695C">
        <w:t xml:space="preserve"> е причинило на жалбоподателите неимуществени вреди, произтичащи от чувството на безсилие, претърпяно в резултат на продължителния неуспех на властите да предоставят апартамента, на който те са имали право (пак там, § 37, вж. също </w:t>
      </w:r>
      <w:r w:rsidR="000C695C">
        <w:rPr>
          <w:i/>
        </w:rPr>
        <w:t>Лазаров</w:t>
      </w:r>
      <w:r w:rsidR="000C695C">
        <w:t xml:space="preserve">, цитирано по-горе, § 45). Жалбоподателите допълнително </w:t>
      </w:r>
      <w:r w:rsidR="00910BC7">
        <w:t xml:space="preserve">са </w:t>
      </w:r>
      <w:r w:rsidR="008E21A8">
        <w:t xml:space="preserve">обезпокоени </w:t>
      </w:r>
      <w:r w:rsidR="000C695C">
        <w:t>от необходимостта да живеят в очевидно по-лоши условия в общинското жилище, в което са настанени (вж. параграфи 8 и 29 по-горе). Следователно</w:t>
      </w:r>
      <w:r w:rsidR="00810571">
        <w:t>,</w:t>
      </w:r>
      <w:r w:rsidR="000C695C">
        <w:t xml:space="preserve"> Съдът присъжда претендираната от жалбоподателите сума, а именно 4000 евро, в пълен размер.</w:t>
      </w:r>
    </w:p>
    <w:p w:rsidR="00014566" w:rsidRPr="00B10AB1" w:rsidRDefault="00014566" w:rsidP="00B10AB1">
      <w:pPr>
        <w:pStyle w:val="ECHRHeading2"/>
      </w:pPr>
      <w:r>
        <w:t>Б. Разходи и разноски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35</w:t>
      </w:r>
      <w:r>
        <w:rPr>
          <w:noProof/>
        </w:rPr>
        <w:fldChar w:fldCharType="end"/>
      </w:r>
      <w:r w:rsidR="009867B2">
        <w:t>.  Жалбоподателите претендират 1540 лв. (равностойността на 786 евро)</w:t>
      </w:r>
      <w:r w:rsidR="00DB2374">
        <w:t>, платени</w:t>
      </w:r>
      <w:r w:rsidR="009867B2">
        <w:t xml:space="preserve"> за хонорарите на техните адвокати в </w:t>
      </w:r>
      <w:r w:rsidR="00DB2374">
        <w:t xml:space="preserve">националното </w:t>
      </w:r>
      <w:r w:rsidR="009867B2">
        <w:t xml:space="preserve">съдебно производство. Те представят договори за </w:t>
      </w:r>
      <w:r w:rsidR="005D4ED0">
        <w:t xml:space="preserve">процесуално </w:t>
      </w:r>
      <w:r w:rsidR="009867B2">
        <w:t xml:space="preserve">представителство, чрез които се ангажират да заплатят тази сума на своите адвокати. Както вече беше споменато, жалбоподателите претендират допълнително съдебните такси, които са осъдени да заплатят в </w:t>
      </w:r>
      <w:r w:rsidR="005D4ED0">
        <w:t xml:space="preserve">националното </w:t>
      </w:r>
      <w:r w:rsidR="009867B2">
        <w:t>производство, в размер на 612 евро (вж. параграфи 14 и 28 по-горе).</w:t>
      </w:r>
    </w:p>
    <w:p w:rsidR="000C695C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36</w:t>
      </w:r>
      <w:r>
        <w:rPr>
          <w:noProof/>
        </w:rPr>
        <w:fldChar w:fldCharType="end"/>
      </w:r>
      <w:r w:rsidR="000C695C">
        <w:t xml:space="preserve">.  За производството пред Съда жалбоподателите претендират 3100 евро за </w:t>
      </w:r>
      <w:r w:rsidR="00271280">
        <w:t xml:space="preserve">процесуално </w:t>
      </w:r>
      <w:r w:rsidR="000C695C">
        <w:t xml:space="preserve">представителство, като молят всяка сума, присъдена от Съда, да </w:t>
      </w:r>
      <w:r w:rsidR="00271280">
        <w:t>бъде плат</w:t>
      </w:r>
      <w:r w:rsidR="00810571">
        <w:t>ена</w:t>
      </w:r>
      <w:r w:rsidR="000C695C">
        <w:t xml:space="preserve"> директно на техния адвокат г-жа Н. Добрева. В подкрепа на </w:t>
      </w:r>
      <w:r w:rsidR="00271280">
        <w:t>тази претенция</w:t>
      </w:r>
      <w:r w:rsidR="000C695C">
        <w:t xml:space="preserve"> жалбоподателите представят график за изработени часове и договор за </w:t>
      </w:r>
      <w:r w:rsidR="00271280">
        <w:t xml:space="preserve">процесуално </w:t>
      </w:r>
      <w:r w:rsidR="000C695C">
        <w:t>представителство.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37</w:t>
      </w:r>
      <w:r>
        <w:rPr>
          <w:noProof/>
        </w:rPr>
        <w:fldChar w:fldCharType="end"/>
      </w:r>
      <w:r w:rsidR="009867B2">
        <w:t>.  Правителството оспорва претенциите. То</w:t>
      </w:r>
      <w:r w:rsidR="00810571">
        <w:t>,</w:t>
      </w:r>
      <w:r w:rsidR="009867B2">
        <w:t xml:space="preserve"> по-конкретно</w:t>
      </w:r>
      <w:r w:rsidR="00810571">
        <w:t>,</w:t>
      </w:r>
      <w:r w:rsidR="009867B2">
        <w:t xml:space="preserve"> смята, че претенцията по отношение на разходите за </w:t>
      </w:r>
      <w:r w:rsidR="006B59C8" w:rsidRPr="001863AD">
        <w:t>процесуално</w:t>
      </w:r>
      <w:r w:rsidR="006B59C8">
        <w:t xml:space="preserve"> </w:t>
      </w:r>
      <w:r w:rsidR="009867B2">
        <w:t>представителство пред Съда е преувеличена.</w:t>
      </w:r>
    </w:p>
    <w:p w:rsidR="00A52C43" w:rsidRPr="00B10AB1" w:rsidRDefault="00DD2B96" w:rsidP="00B10AB1">
      <w:pPr>
        <w:pStyle w:val="ECHRPara"/>
        <w:rPr>
          <w:i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38</w:t>
      </w:r>
      <w:r>
        <w:rPr>
          <w:noProof/>
        </w:rPr>
        <w:fldChar w:fldCharType="end"/>
      </w:r>
      <w:r w:rsidR="00A3442B">
        <w:t xml:space="preserve">.  По отношение на претенциите </w:t>
      </w:r>
      <w:r w:rsidR="005D09DE">
        <w:t>относно</w:t>
      </w:r>
      <w:r w:rsidR="00A3442B">
        <w:t xml:space="preserve"> направените разходи и разноски в </w:t>
      </w:r>
      <w:r w:rsidR="005D09DE">
        <w:t xml:space="preserve">националното </w:t>
      </w:r>
      <w:r w:rsidR="00A3442B">
        <w:t xml:space="preserve">производство, Съдът </w:t>
      </w:r>
      <w:r w:rsidR="005D09DE">
        <w:t>припомня</w:t>
      </w:r>
      <w:r w:rsidR="00A3442B">
        <w:t xml:space="preserve">, че той може да присъжда такива разходи и разноски, когато те са действително </w:t>
      </w:r>
      <w:r w:rsidR="005D09DE">
        <w:t xml:space="preserve">и необходимо </w:t>
      </w:r>
      <w:r w:rsidR="00A3442B">
        <w:t xml:space="preserve">направени, за да се избегне или да се получи обезщетение за констатираното нарушение (вж. например </w:t>
      </w:r>
      <w:r w:rsidR="00A3442B">
        <w:rPr>
          <w:i/>
        </w:rPr>
        <w:t>Eerikäinen and Others v. Finland</w:t>
      </w:r>
      <w:r w:rsidR="00A3442B">
        <w:t xml:space="preserve">, № 3514/02, § 81, 10 февруари 2009 г.). В производството на национално </w:t>
      </w:r>
      <w:r w:rsidR="00810571">
        <w:t>ниво</w:t>
      </w:r>
      <w:r w:rsidR="00A3442B">
        <w:t>, жалбоподателите търсят обезщетение за забавянето от страна на Столична община да им предостави апартамент. Съдът</w:t>
      </w:r>
      <w:r w:rsidR="00810571">
        <w:t>,</w:t>
      </w:r>
      <w:r w:rsidR="00A3442B">
        <w:t xml:space="preserve"> </w:t>
      </w:r>
      <w:r w:rsidR="001925E8">
        <w:t>следователно</w:t>
      </w:r>
      <w:r w:rsidR="00810571">
        <w:t>,</w:t>
      </w:r>
      <w:r w:rsidR="001925E8">
        <w:t xml:space="preserve"> </w:t>
      </w:r>
      <w:r w:rsidR="00A3442B">
        <w:t>заключава, че те са опитали да получат обезщетение за нарушението, констатирано в техния случай. Тъй като претендираните разходи изглежда</w:t>
      </w:r>
      <w:r w:rsidR="001925E8">
        <w:t>, че</w:t>
      </w:r>
      <w:r w:rsidR="00A3442B">
        <w:t xml:space="preserve"> също са действително направен</w:t>
      </w:r>
      <w:r w:rsidR="00810571">
        <w:t>и и</w:t>
      </w:r>
      <w:r w:rsidR="00A3442B">
        <w:t xml:space="preserve"> необходими, Съдът ги присъжда в пълен размер на обща стойност от 1398 евро (вж. параграф 35 по-горе).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39</w:t>
      </w:r>
      <w:r>
        <w:rPr>
          <w:noProof/>
        </w:rPr>
        <w:fldChar w:fldCharType="end"/>
      </w:r>
      <w:r w:rsidR="009867B2">
        <w:t>.  Що се отнася до претенцията относно производството пред него</w:t>
      </w:r>
      <w:r w:rsidR="00810571">
        <w:t>,</w:t>
      </w:r>
      <w:r w:rsidR="009867B2">
        <w:t xml:space="preserve"> Съдът, като взема предвид документите, с които разполага, и практиката си, и по-конкретно факта, че делото е повтарящо се (вж. съдебна практика, цитирана в параграф 22 по-горе), </w:t>
      </w:r>
      <w:r w:rsidR="00781173">
        <w:t>счита</w:t>
      </w:r>
      <w:r w:rsidR="009867B2">
        <w:t xml:space="preserve">, че е разумно да присъди сумата от 1000 евро за </w:t>
      </w:r>
      <w:r w:rsidR="00781173">
        <w:t xml:space="preserve">процесуалното </w:t>
      </w:r>
      <w:r w:rsidR="009867B2">
        <w:t>представителство на жалбоподателите. По искане на жалбоподателите, тази сума трябва да бъде платена директно на техния адвокат г-жа Н. Добрева.</w:t>
      </w:r>
    </w:p>
    <w:p w:rsidR="00014566" w:rsidRPr="00B10AB1" w:rsidRDefault="00014566" w:rsidP="00B10AB1">
      <w:pPr>
        <w:pStyle w:val="ECHRHeading2"/>
      </w:pPr>
      <w:r>
        <w:t>В. Лихва за забава</w:t>
      </w:r>
    </w:p>
    <w:p w:rsidR="00014566" w:rsidRPr="00B10AB1" w:rsidRDefault="00DD2B96" w:rsidP="00B10AB1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10AB1" w:rsidRPr="00B10AB1">
        <w:rPr>
          <w:noProof/>
        </w:rPr>
        <w:t>40</w:t>
      </w:r>
      <w:r>
        <w:rPr>
          <w:noProof/>
        </w:rPr>
        <w:fldChar w:fldCharType="end"/>
      </w:r>
      <w:r w:rsidR="009867B2"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B10AB1" w:rsidRDefault="00BB5883" w:rsidP="00B10AB1">
      <w:pPr>
        <w:pStyle w:val="ECHRTitle1"/>
      </w:pPr>
      <w:r>
        <w:t>ПО ТЕЗИ СЪОБРАЖЕНИЯ СЪДЪТ ЕДИНОДУШНО</w:t>
      </w:r>
    </w:p>
    <w:p w:rsidR="00B637B9" w:rsidRPr="00B10AB1" w:rsidRDefault="00B637B9" w:rsidP="00B10AB1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B10AB1" w:rsidRDefault="00014566" w:rsidP="00B10AB1">
      <w:pPr>
        <w:pStyle w:val="JuList"/>
        <w:ind w:left="0" w:firstLine="0"/>
      </w:pPr>
    </w:p>
    <w:p w:rsidR="00014566" w:rsidRPr="00B10AB1" w:rsidRDefault="00A00DEE" w:rsidP="00B10AB1">
      <w:pPr>
        <w:pStyle w:val="JuList"/>
      </w:pPr>
      <w:r>
        <w:t>2.  </w:t>
      </w:r>
      <w:r>
        <w:rPr>
          <w:i/>
        </w:rPr>
        <w:t>Приема</w:t>
      </w:r>
      <w:r>
        <w:t>, че е налице нарушение на чл. 1 от Протокол № 1;</w:t>
      </w:r>
    </w:p>
    <w:p w:rsidR="00014566" w:rsidRPr="00B10AB1" w:rsidRDefault="00014566" w:rsidP="00B10AB1">
      <w:pPr>
        <w:pStyle w:val="JuList"/>
      </w:pPr>
    </w:p>
    <w:p w:rsidR="009867B2" w:rsidRPr="00B10AB1" w:rsidRDefault="00A00DEE" w:rsidP="00B10AB1">
      <w:pPr>
        <w:pStyle w:val="JuList"/>
      </w:pPr>
      <w:r>
        <w:t>3.  </w:t>
      </w:r>
      <w:r>
        <w:rPr>
          <w:i/>
        </w:rPr>
        <w:t>Приема,</w:t>
      </w:r>
    </w:p>
    <w:p w:rsidR="00014566" w:rsidRPr="00B10AB1" w:rsidRDefault="00014566" w:rsidP="00B10AB1">
      <w:pPr>
        <w:pStyle w:val="JuLista"/>
      </w:pPr>
      <w:r>
        <w:t xml:space="preserve">(а) че държавата-ответник трябва да заплати съвместно на жалбоподателите в срок от три месеца следните суми, които се </w:t>
      </w:r>
      <w:r w:rsidR="0021224D">
        <w:t xml:space="preserve">конвертират </w:t>
      </w:r>
      <w:r>
        <w:t>в български лева по курса</w:t>
      </w:r>
      <w:r w:rsidR="0021224D">
        <w:t>, валиден</w:t>
      </w:r>
      <w:r>
        <w:t xml:space="preserve"> към датата на плащането:</w:t>
      </w:r>
    </w:p>
    <w:p w:rsidR="00014566" w:rsidRPr="00B10AB1" w:rsidRDefault="00014566" w:rsidP="00B10AB1">
      <w:pPr>
        <w:pStyle w:val="JuListi"/>
      </w:pPr>
      <w:r>
        <w:t>(i) 7 000 евро (седем хиляди евро), плюс всякакви данъци, които биха могли да се начислят, по отношение на имуществени вреди;</w:t>
      </w:r>
    </w:p>
    <w:p w:rsidR="00014566" w:rsidRPr="00B10AB1" w:rsidRDefault="00014566" w:rsidP="00B10AB1">
      <w:pPr>
        <w:pStyle w:val="JuListi"/>
      </w:pPr>
      <w:r>
        <w:t>(ii) 4 000 евро (четири хиляди евро), плюс всякакви данъци, които биха могли да се начислят, по отношение на неимуществени вреди;</w:t>
      </w:r>
    </w:p>
    <w:p w:rsidR="00014566" w:rsidRPr="00B10AB1" w:rsidRDefault="00014566" w:rsidP="00B10AB1">
      <w:pPr>
        <w:pStyle w:val="JuListi"/>
      </w:pPr>
      <w:r>
        <w:t>(iii) 2</w:t>
      </w:r>
      <w:r w:rsidR="0021224D">
        <w:t xml:space="preserve"> </w:t>
      </w:r>
      <w:r>
        <w:t xml:space="preserve">398 евро (две хиляди триста деветдесет и осем евро), плюс всякакви данъци, които биха могли да се начислят на жалбоподателите, по отношение на разходи и разноски, 1000 евро (хиляда евро) от които да </w:t>
      </w:r>
      <w:r w:rsidR="0021224D">
        <w:t xml:space="preserve">бъде </w:t>
      </w:r>
      <w:r>
        <w:t xml:space="preserve">директно </w:t>
      </w:r>
      <w:r w:rsidR="0021224D">
        <w:t>плат</w:t>
      </w:r>
      <w:r w:rsidR="00810571">
        <w:t>ени</w:t>
      </w:r>
      <w:r w:rsidR="0021224D">
        <w:t xml:space="preserve"> </w:t>
      </w:r>
      <w:r>
        <w:t xml:space="preserve">на </w:t>
      </w:r>
      <w:r w:rsidR="0021224D">
        <w:t xml:space="preserve">процесуалния </w:t>
      </w:r>
      <w:r>
        <w:t>представител на жалбоподателите;</w:t>
      </w:r>
    </w:p>
    <w:p w:rsidR="00014566" w:rsidRPr="00B10AB1" w:rsidRDefault="00014566" w:rsidP="00B10AB1">
      <w:pPr>
        <w:pStyle w:val="JuLista"/>
      </w:pPr>
      <w:r>
        <w:t xml:space="preserve">(б) че от изтичането на </w:t>
      </w:r>
      <w:r w:rsidR="0021224D">
        <w:t>горес</w:t>
      </w:r>
      <w: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21224D">
        <w:t>за срока</w:t>
      </w:r>
      <w:r>
        <w:t xml:space="preserve"> на забава, към която се добавят три процентни пункта;</w:t>
      </w:r>
    </w:p>
    <w:p w:rsidR="00014566" w:rsidRPr="00B10AB1" w:rsidRDefault="00014566" w:rsidP="00B10AB1">
      <w:pPr>
        <w:pStyle w:val="JuList"/>
      </w:pPr>
    </w:p>
    <w:p w:rsidR="00014566" w:rsidRPr="00B10AB1" w:rsidRDefault="00A00DEE" w:rsidP="00B10AB1">
      <w:pPr>
        <w:pStyle w:val="JuList"/>
      </w:pPr>
      <w:r>
        <w:t>4.  </w:t>
      </w:r>
      <w:r>
        <w:rPr>
          <w:i/>
        </w:rPr>
        <w:t>Отхвърля</w:t>
      </w:r>
      <w:r>
        <w:t xml:space="preserve"> останалата част от претенцията на жалбоподателите за справедливо обезщетение.</w:t>
      </w:r>
    </w:p>
    <w:p w:rsidR="00014566" w:rsidRPr="00B10AB1" w:rsidRDefault="00014566" w:rsidP="00B10AB1">
      <w:pPr>
        <w:pStyle w:val="JuParaLast"/>
      </w:pPr>
      <w:r>
        <w:t>Изготвено на английски език и оповестено писмено на 13 октомври 2016 г. в съответствие с правило 77, §§ 2 и 3 от Правилника на Съда.</w:t>
      </w:r>
    </w:p>
    <w:p w:rsidR="00014566" w:rsidRPr="00B10AB1" w:rsidRDefault="00014566" w:rsidP="00B10AB1">
      <w:pPr>
        <w:pStyle w:val="JuSigned"/>
      </w:pPr>
      <w:r>
        <w:tab/>
        <w:t>Милан Бла</w:t>
      </w:r>
      <w:r w:rsidR="0021224D">
        <w:t>с</w:t>
      </w:r>
      <w:r>
        <w:t>ко</w:t>
      </w:r>
      <w:r>
        <w:tab/>
      </w:r>
      <w:r w:rsidR="0021224D">
        <w:t>Кх</w:t>
      </w:r>
      <w:r>
        <w:t>анлар Хаджиев</w:t>
      </w:r>
      <w:r>
        <w:br/>
      </w:r>
      <w:r w:rsidR="0021224D">
        <w:t>з</w:t>
      </w:r>
      <w:r>
        <w:t>аместник-секретар</w:t>
      </w:r>
      <w:r>
        <w:tab/>
      </w:r>
      <w:r w:rsidR="0021224D">
        <w:t>п</w:t>
      </w:r>
      <w:r>
        <w:t>редседател</w:t>
      </w:r>
    </w:p>
    <w:sectPr w:rsidR="00014566" w:rsidRPr="00B10AB1" w:rsidSect="00970BE5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DF" w:rsidRPr="003A441D" w:rsidRDefault="004F17DF" w:rsidP="00014566">
      <w:pPr>
        <w:rPr>
          <w:lang w:val="en-GB"/>
        </w:rPr>
      </w:pPr>
      <w:r w:rsidRPr="003A441D">
        <w:rPr>
          <w:lang w:val="en-GB"/>
        </w:rPr>
        <w:separator/>
      </w:r>
    </w:p>
  </w:endnote>
  <w:endnote w:type="continuationSeparator" w:id="0">
    <w:p w:rsidR="004F17DF" w:rsidRPr="003A441D" w:rsidRDefault="004F17DF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96" w:rsidRDefault="00DD2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96" w:rsidRDefault="00DD2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E5" w:rsidRPr="00150BFA" w:rsidRDefault="00970BE5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4CB194A9" wp14:editId="53A100BE">
          <wp:extent cx="771525" cy="619125"/>
          <wp:effectExtent l="0" t="0" r="9525" b="9525"/>
          <wp:docPr id="11" name="Picture 1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BE5" w:rsidRDefault="00970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DF" w:rsidRPr="003A441D" w:rsidRDefault="004F17DF" w:rsidP="00014566">
      <w:pPr>
        <w:rPr>
          <w:lang w:val="en-GB"/>
        </w:rPr>
      </w:pPr>
      <w:r w:rsidRPr="003A441D">
        <w:rPr>
          <w:lang w:val="en-GB"/>
        </w:rPr>
        <w:separator/>
      </w:r>
    </w:p>
  </w:footnote>
  <w:footnote w:type="continuationSeparator" w:id="0">
    <w:p w:rsidR="004F17DF" w:rsidRPr="003A441D" w:rsidRDefault="004F17DF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96" w:rsidRDefault="00DD2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A0" w:rsidRPr="00970BE5" w:rsidRDefault="00AB5FA0" w:rsidP="00970BE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E5" w:rsidRPr="00A45145" w:rsidRDefault="00970BE5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77D60332" wp14:editId="68457BF7">
          <wp:extent cx="2962275" cy="1219200"/>
          <wp:effectExtent l="0" t="0" r="9525" b="0"/>
          <wp:docPr id="6" name="Picture 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67B2" w:rsidRDefault="009867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E5" w:rsidRPr="003A441D" w:rsidRDefault="00970BE5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DD2B96">
      <w:rPr>
        <w:rStyle w:val="PageNumber"/>
        <w:noProof/>
        <w:szCs w:val="18"/>
      </w:rPr>
      <w:t>6</w:t>
    </w:r>
    <w:r>
      <w:rPr>
        <w:rStyle w:val="PageNumber"/>
        <w:szCs w:val="18"/>
      </w:rPr>
      <w:fldChar w:fldCharType="end"/>
    </w:r>
    <w:r>
      <w:tab/>
      <w:t>РЕШЕНИЕ ПЕТРОВИ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E5" w:rsidRPr="003A441D" w:rsidRDefault="00970BE5" w:rsidP="00D60D87">
    <w:pPr>
      <w:pStyle w:val="ECHRHeader"/>
    </w:pPr>
    <w:r>
      <w:tab/>
      <w:t>РЕШЕНИЕ ПЕТРОВИ СРЕЩУ 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DD2B96">
      <w:rPr>
        <w:rStyle w:val="PageNumber"/>
        <w:noProof/>
        <w:szCs w:val="18"/>
      </w:rPr>
      <w:t>7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9867B2"/>
    <w:rsid w:val="000010ED"/>
    <w:rsid w:val="000041F8"/>
    <w:rsid w:val="000042A8"/>
    <w:rsid w:val="00004308"/>
    <w:rsid w:val="00005BF0"/>
    <w:rsid w:val="00007154"/>
    <w:rsid w:val="000103AE"/>
    <w:rsid w:val="00011D69"/>
    <w:rsid w:val="00012AD3"/>
    <w:rsid w:val="00014566"/>
    <w:rsid w:val="00015C2D"/>
    <w:rsid w:val="00015F00"/>
    <w:rsid w:val="000175C8"/>
    <w:rsid w:val="00022C1D"/>
    <w:rsid w:val="00034987"/>
    <w:rsid w:val="000350E3"/>
    <w:rsid w:val="000602DF"/>
    <w:rsid w:val="00061B05"/>
    <w:rsid w:val="00062973"/>
    <w:rsid w:val="00062D5D"/>
    <w:rsid w:val="000632D5"/>
    <w:rsid w:val="000644EE"/>
    <w:rsid w:val="00071ABC"/>
    <w:rsid w:val="00082780"/>
    <w:rsid w:val="000856D7"/>
    <w:rsid w:val="000912BE"/>
    <w:rsid w:val="000925AD"/>
    <w:rsid w:val="000930BA"/>
    <w:rsid w:val="000A24EB"/>
    <w:rsid w:val="000B6923"/>
    <w:rsid w:val="000C033C"/>
    <w:rsid w:val="000C5F3C"/>
    <w:rsid w:val="000C695C"/>
    <w:rsid w:val="000C6DCC"/>
    <w:rsid w:val="000D47AA"/>
    <w:rsid w:val="000D721F"/>
    <w:rsid w:val="000E069B"/>
    <w:rsid w:val="000E0E82"/>
    <w:rsid w:val="000E1DC5"/>
    <w:rsid w:val="000E223F"/>
    <w:rsid w:val="000E35AC"/>
    <w:rsid w:val="000E7D45"/>
    <w:rsid w:val="000F7851"/>
    <w:rsid w:val="00104E23"/>
    <w:rsid w:val="00106EF1"/>
    <w:rsid w:val="00111B0C"/>
    <w:rsid w:val="00116570"/>
    <w:rsid w:val="00120D6C"/>
    <w:rsid w:val="001257EC"/>
    <w:rsid w:val="00132C6A"/>
    <w:rsid w:val="00133D33"/>
    <w:rsid w:val="00134D64"/>
    <w:rsid w:val="00135A30"/>
    <w:rsid w:val="0013612C"/>
    <w:rsid w:val="00137FF6"/>
    <w:rsid w:val="00141650"/>
    <w:rsid w:val="00162A12"/>
    <w:rsid w:val="00166530"/>
    <w:rsid w:val="001832BD"/>
    <w:rsid w:val="001863AD"/>
    <w:rsid w:val="001925E8"/>
    <w:rsid w:val="001943B5"/>
    <w:rsid w:val="00195134"/>
    <w:rsid w:val="001A145B"/>
    <w:rsid w:val="001A674C"/>
    <w:rsid w:val="001B3B24"/>
    <w:rsid w:val="001C0F98"/>
    <w:rsid w:val="001C2A42"/>
    <w:rsid w:val="001D63ED"/>
    <w:rsid w:val="001D7348"/>
    <w:rsid w:val="001E035B"/>
    <w:rsid w:val="001E0961"/>
    <w:rsid w:val="001E3EAE"/>
    <w:rsid w:val="001E5348"/>
    <w:rsid w:val="001E6F32"/>
    <w:rsid w:val="001F2145"/>
    <w:rsid w:val="001F6262"/>
    <w:rsid w:val="001F67B0"/>
    <w:rsid w:val="001F7B3D"/>
    <w:rsid w:val="00205F9F"/>
    <w:rsid w:val="00210338"/>
    <w:rsid w:val="002115FC"/>
    <w:rsid w:val="0021224D"/>
    <w:rsid w:val="002133F8"/>
    <w:rsid w:val="0021423C"/>
    <w:rsid w:val="00217B99"/>
    <w:rsid w:val="0022135C"/>
    <w:rsid w:val="00224C8C"/>
    <w:rsid w:val="00230D00"/>
    <w:rsid w:val="00231DF7"/>
    <w:rsid w:val="00231FD1"/>
    <w:rsid w:val="002339E0"/>
    <w:rsid w:val="00233CF8"/>
    <w:rsid w:val="0023575D"/>
    <w:rsid w:val="00237148"/>
    <w:rsid w:val="00241509"/>
    <w:rsid w:val="0024222D"/>
    <w:rsid w:val="00244B0E"/>
    <w:rsid w:val="00244F6C"/>
    <w:rsid w:val="00246601"/>
    <w:rsid w:val="002532C5"/>
    <w:rsid w:val="00253BAE"/>
    <w:rsid w:val="00260C03"/>
    <w:rsid w:val="00261CDE"/>
    <w:rsid w:val="0026540E"/>
    <w:rsid w:val="00271280"/>
    <w:rsid w:val="0027225C"/>
    <w:rsid w:val="00275123"/>
    <w:rsid w:val="00281CC8"/>
    <w:rsid w:val="00282240"/>
    <w:rsid w:val="0028572A"/>
    <w:rsid w:val="00290510"/>
    <w:rsid w:val="002948AD"/>
    <w:rsid w:val="00294C05"/>
    <w:rsid w:val="00294C92"/>
    <w:rsid w:val="00297BF0"/>
    <w:rsid w:val="002A01CC"/>
    <w:rsid w:val="002A61B1"/>
    <w:rsid w:val="002A663C"/>
    <w:rsid w:val="002B1E6C"/>
    <w:rsid w:val="002B444B"/>
    <w:rsid w:val="002B5887"/>
    <w:rsid w:val="002C0692"/>
    <w:rsid w:val="002C0E27"/>
    <w:rsid w:val="002C3040"/>
    <w:rsid w:val="002D022D"/>
    <w:rsid w:val="002D24BB"/>
    <w:rsid w:val="002F2AF7"/>
    <w:rsid w:val="002F7E1C"/>
    <w:rsid w:val="00301A75"/>
    <w:rsid w:val="00302F70"/>
    <w:rsid w:val="0030336F"/>
    <w:rsid w:val="0030375E"/>
    <w:rsid w:val="00312A30"/>
    <w:rsid w:val="00320F72"/>
    <w:rsid w:val="00322A02"/>
    <w:rsid w:val="0032463E"/>
    <w:rsid w:val="00326224"/>
    <w:rsid w:val="0032676F"/>
    <w:rsid w:val="00334160"/>
    <w:rsid w:val="00337EE4"/>
    <w:rsid w:val="00340FFD"/>
    <w:rsid w:val="00345BE6"/>
    <w:rsid w:val="003506B1"/>
    <w:rsid w:val="00356AC7"/>
    <w:rsid w:val="003609FA"/>
    <w:rsid w:val="003710C8"/>
    <w:rsid w:val="003750BE"/>
    <w:rsid w:val="00387B9D"/>
    <w:rsid w:val="00392919"/>
    <w:rsid w:val="0039364F"/>
    <w:rsid w:val="00395FFB"/>
    <w:rsid w:val="00396686"/>
    <w:rsid w:val="0039778E"/>
    <w:rsid w:val="003A441D"/>
    <w:rsid w:val="003B4941"/>
    <w:rsid w:val="003C5714"/>
    <w:rsid w:val="003C6B9F"/>
    <w:rsid w:val="003C6E2A"/>
    <w:rsid w:val="003D0299"/>
    <w:rsid w:val="003E6D80"/>
    <w:rsid w:val="003F05FA"/>
    <w:rsid w:val="003F244A"/>
    <w:rsid w:val="003F30B8"/>
    <w:rsid w:val="003F4C45"/>
    <w:rsid w:val="003F5F7B"/>
    <w:rsid w:val="003F7D64"/>
    <w:rsid w:val="00414300"/>
    <w:rsid w:val="00425C67"/>
    <w:rsid w:val="00427E7A"/>
    <w:rsid w:val="0043292B"/>
    <w:rsid w:val="004351F1"/>
    <w:rsid w:val="00436307"/>
    <w:rsid w:val="00436C49"/>
    <w:rsid w:val="00445366"/>
    <w:rsid w:val="00447F5B"/>
    <w:rsid w:val="00461DB0"/>
    <w:rsid w:val="00463926"/>
    <w:rsid w:val="004646E0"/>
    <w:rsid w:val="00464C9A"/>
    <w:rsid w:val="00474F3D"/>
    <w:rsid w:val="00477E3A"/>
    <w:rsid w:val="00483E5F"/>
    <w:rsid w:val="00485FF9"/>
    <w:rsid w:val="004907F0"/>
    <w:rsid w:val="0049140B"/>
    <w:rsid w:val="004923A5"/>
    <w:rsid w:val="00496268"/>
    <w:rsid w:val="00496BFB"/>
    <w:rsid w:val="004A15C7"/>
    <w:rsid w:val="004B013B"/>
    <w:rsid w:val="004B112B"/>
    <w:rsid w:val="004B2491"/>
    <w:rsid w:val="004B2FB6"/>
    <w:rsid w:val="004C01E4"/>
    <w:rsid w:val="004C086C"/>
    <w:rsid w:val="004C1F56"/>
    <w:rsid w:val="004C27BC"/>
    <w:rsid w:val="004C7D7A"/>
    <w:rsid w:val="004D15F3"/>
    <w:rsid w:val="004D4D7A"/>
    <w:rsid w:val="004D5311"/>
    <w:rsid w:val="004D5DCC"/>
    <w:rsid w:val="004E1347"/>
    <w:rsid w:val="004F10AF"/>
    <w:rsid w:val="004F11A4"/>
    <w:rsid w:val="004F17DF"/>
    <w:rsid w:val="004F2389"/>
    <w:rsid w:val="004F304D"/>
    <w:rsid w:val="004F61BE"/>
    <w:rsid w:val="004F66B1"/>
    <w:rsid w:val="00511C07"/>
    <w:rsid w:val="005173A6"/>
    <w:rsid w:val="00520BAA"/>
    <w:rsid w:val="00525208"/>
    <w:rsid w:val="005257A5"/>
    <w:rsid w:val="005264C0"/>
    <w:rsid w:val="00526A8A"/>
    <w:rsid w:val="00531DF2"/>
    <w:rsid w:val="005442EE"/>
    <w:rsid w:val="00547353"/>
    <w:rsid w:val="005474E7"/>
    <w:rsid w:val="005512A3"/>
    <w:rsid w:val="005578CE"/>
    <w:rsid w:val="00562781"/>
    <w:rsid w:val="00563E83"/>
    <w:rsid w:val="0057271C"/>
    <w:rsid w:val="00572845"/>
    <w:rsid w:val="00592772"/>
    <w:rsid w:val="0059574A"/>
    <w:rsid w:val="005A1B9B"/>
    <w:rsid w:val="005A455F"/>
    <w:rsid w:val="005A6751"/>
    <w:rsid w:val="005B092E"/>
    <w:rsid w:val="005B152C"/>
    <w:rsid w:val="005B1EE0"/>
    <w:rsid w:val="005B2B24"/>
    <w:rsid w:val="005B4425"/>
    <w:rsid w:val="005B4B94"/>
    <w:rsid w:val="005C3EE8"/>
    <w:rsid w:val="005D09DE"/>
    <w:rsid w:val="005D34F9"/>
    <w:rsid w:val="005D4190"/>
    <w:rsid w:val="005D4ED0"/>
    <w:rsid w:val="005D67A3"/>
    <w:rsid w:val="005E2988"/>
    <w:rsid w:val="005E2A43"/>
    <w:rsid w:val="005E3085"/>
    <w:rsid w:val="005E438A"/>
    <w:rsid w:val="005F51E1"/>
    <w:rsid w:val="00611C80"/>
    <w:rsid w:val="00620692"/>
    <w:rsid w:val="006242CA"/>
    <w:rsid w:val="00627507"/>
    <w:rsid w:val="00633717"/>
    <w:rsid w:val="006341B9"/>
    <w:rsid w:val="006344E1"/>
    <w:rsid w:val="00643B6F"/>
    <w:rsid w:val="006545C4"/>
    <w:rsid w:val="00661971"/>
    <w:rsid w:val="00661CE8"/>
    <w:rsid w:val="006623D9"/>
    <w:rsid w:val="0066550C"/>
    <w:rsid w:val="006716F2"/>
    <w:rsid w:val="00674913"/>
    <w:rsid w:val="00682BF2"/>
    <w:rsid w:val="006859CE"/>
    <w:rsid w:val="00691270"/>
    <w:rsid w:val="00694BA8"/>
    <w:rsid w:val="006A037C"/>
    <w:rsid w:val="006A2F4C"/>
    <w:rsid w:val="006A3085"/>
    <w:rsid w:val="006A36F4"/>
    <w:rsid w:val="006A406F"/>
    <w:rsid w:val="006A5D3A"/>
    <w:rsid w:val="006B4E36"/>
    <w:rsid w:val="006B59C8"/>
    <w:rsid w:val="006C23D4"/>
    <w:rsid w:val="006C5386"/>
    <w:rsid w:val="006C7BB0"/>
    <w:rsid w:val="006D3237"/>
    <w:rsid w:val="006D7628"/>
    <w:rsid w:val="006E2E37"/>
    <w:rsid w:val="006E3CF1"/>
    <w:rsid w:val="006E7E80"/>
    <w:rsid w:val="006F1DF9"/>
    <w:rsid w:val="006F24DB"/>
    <w:rsid w:val="006F48CA"/>
    <w:rsid w:val="006F64DD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59EA"/>
    <w:rsid w:val="00746C5A"/>
    <w:rsid w:val="00747FF0"/>
    <w:rsid w:val="00764D4E"/>
    <w:rsid w:val="00765A1F"/>
    <w:rsid w:val="00773389"/>
    <w:rsid w:val="00775B6D"/>
    <w:rsid w:val="00776D68"/>
    <w:rsid w:val="00781173"/>
    <w:rsid w:val="007850EE"/>
    <w:rsid w:val="007856ED"/>
    <w:rsid w:val="00785B95"/>
    <w:rsid w:val="00790E96"/>
    <w:rsid w:val="00793366"/>
    <w:rsid w:val="007A716F"/>
    <w:rsid w:val="007B270A"/>
    <w:rsid w:val="007B513D"/>
    <w:rsid w:val="007B7CCB"/>
    <w:rsid w:val="007C0695"/>
    <w:rsid w:val="007C419A"/>
    <w:rsid w:val="007C4CC8"/>
    <w:rsid w:val="007C5426"/>
    <w:rsid w:val="007C5798"/>
    <w:rsid w:val="007D4832"/>
    <w:rsid w:val="007E21B2"/>
    <w:rsid w:val="007E2C4E"/>
    <w:rsid w:val="007E5137"/>
    <w:rsid w:val="007F1905"/>
    <w:rsid w:val="00801300"/>
    <w:rsid w:val="00802C64"/>
    <w:rsid w:val="00805E52"/>
    <w:rsid w:val="008061D0"/>
    <w:rsid w:val="008103DF"/>
    <w:rsid w:val="00810571"/>
    <w:rsid w:val="00810B38"/>
    <w:rsid w:val="008204C7"/>
    <w:rsid w:val="00820992"/>
    <w:rsid w:val="00822C49"/>
    <w:rsid w:val="00823602"/>
    <w:rsid w:val="008255F5"/>
    <w:rsid w:val="0083014E"/>
    <w:rsid w:val="0083214A"/>
    <w:rsid w:val="00834220"/>
    <w:rsid w:val="00845723"/>
    <w:rsid w:val="00851EF9"/>
    <w:rsid w:val="008577FD"/>
    <w:rsid w:val="00860B03"/>
    <w:rsid w:val="0086497A"/>
    <w:rsid w:val="008713A1"/>
    <w:rsid w:val="008754AB"/>
    <w:rsid w:val="0088060C"/>
    <w:rsid w:val="00893576"/>
    <w:rsid w:val="00893E73"/>
    <w:rsid w:val="00895DAF"/>
    <w:rsid w:val="008A362F"/>
    <w:rsid w:val="008A43C4"/>
    <w:rsid w:val="008B02DC"/>
    <w:rsid w:val="008B57CE"/>
    <w:rsid w:val="008B659F"/>
    <w:rsid w:val="008C26DE"/>
    <w:rsid w:val="008D2225"/>
    <w:rsid w:val="008D4752"/>
    <w:rsid w:val="008D552A"/>
    <w:rsid w:val="008E21A8"/>
    <w:rsid w:val="008E271C"/>
    <w:rsid w:val="008E418E"/>
    <w:rsid w:val="008E5BC6"/>
    <w:rsid w:val="008E6A25"/>
    <w:rsid w:val="008F5193"/>
    <w:rsid w:val="009013A7"/>
    <w:rsid w:val="009017FB"/>
    <w:rsid w:val="009017FC"/>
    <w:rsid w:val="00903B43"/>
    <w:rsid w:val="0090506B"/>
    <w:rsid w:val="009050C9"/>
    <w:rsid w:val="009066FC"/>
    <w:rsid w:val="00910BC7"/>
    <w:rsid w:val="009113CD"/>
    <w:rsid w:val="009140A3"/>
    <w:rsid w:val="009144A2"/>
    <w:rsid w:val="0091510C"/>
    <w:rsid w:val="009259AC"/>
    <w:rsid w:val="00926F38"/>
    <w:rsid w:val="0093313A"/>
    <w:rsid w:val="00934301"/>
    <w:rsid w:val="00936CD1"/>
    <w:rsid w:val="00941260"/>
    <w:rsid w:val="00941747"/>
    <w:rsid w:val="00941EFB"/>
    <w:rsid w:val="00947AFB"/>
    <w:rsid w:val="00951D7D"/>
    <w:rsid w:val="00952C12"/>
    <w:rsid w:val="009630C7"/>
    <w:rsid w:val="00970BE5"/>
    <w:rsid w:val="00972B55"/>
    <w:rsid w:val="009743B7"/>
    <w:rsid w:val="0098228B"/>
    <w:rsid w:val="009828DA"/>
    <w:rsid w:val="00985BAB"/>
    <w:rsid w:val="009867B2"/>
    <w:rsid w:val="00993D20"/>
    <w:rsid w:val="00997F03"/>
    <w:rsid w:val="009A46DF"/>
    <w:rsid w:val="009B1B5F"/>
    <w:rsid w:val="009B2EC2"/>
    <w:rsid w:val="009B6673"/>
    <w:rsid w:val="009C18BD"/>
    <w:rsid w:val="009C191B"/>
    <w:rsid w:val="009C2BD6"/>
    <w:rsid w:val="009D33D9"/>
    <w:rsid w:val="009E1F32"/>
    <w:rsid w:val="009E5829"/>
    <w:rsid w:val="009E776C"/>
    <w:rsid w:val="009F45B9"/>
    <w:rsid w:val="009F45F2"/>
    <w:rsid w:val="009F64D5"/>
    <w:rsid w:val="00A00DEE"/>
    <w:rsid w:val="00A1726E"/>
    <w:rsid w:val="00A204CF"/>
    <w:rsid w:val="00A22D9E"/>
    <w:rsid w:val="00A23D49"/>
    <w:rsid w:val="00A27004"/>
    <w:rsid w:val="00A30C29"/>
    <w:rsid w:val="00A3442B"/>
    <w:rsid w:val="00A34DD6"/>
    <w:rsid w:val="00A36819"/>
    <w:rsid w:val="00A36989"/>
    <w:rsid w:val="00A43628"/>
    <w:rsid w:val="00A52C43"/>
    <w:rsid w:val="00A54192"/>
    <w:rsid w:val="00A6035E"/>
    <w:rsid w:val="00A6144C"/>
    <w:rsid w:val="00A66617"/>
    <w:rsid w:val="00A671F8"/>
    <w:rsid w:val="00A673A4"/>
    <w:rsid w:val="00A71CE6"/>
    <w:rsid w:val="00A724AE"/>
    <w:rsid w:val="00A73329"/>
    <w:rsid w:val="00A82359"/>
    <w:rsid w:val="00A84EA0"/>
    <w:rsid w:val="00A865D2"/>
    <w:rsid w:val="00A94C20"/>
    <w:rsid w:val="00A95AAF"/>
    <w:rsid w:val="00A966C4"/>
    <w:rsid w:val="00A96ED6"/>
    <w:rsid w:val="00AA227F"/>
    <w:rsid w:val="00AA3BC7"/>
    <w:rsid w:val="00AA754A"/>
    <w:rsid w:val="00AB099E"/>
    <w:rsid w:val="00AB4328"/>
    <w:rsid w:val="00AB5FA0"/>
    <w:rsid w:val="00AE0A2E"/>
    <w:rsid w:val="00AE354C"/>
    <w:rsid w:val="00AF4B07"/>
    <w:rsid w:val="00AF6186"/>
    <w:rsid w:val="00AF7A3A"/>
    <w:rsid w:val="00B10AB1"/>
    <w:rsid w:val="00B160DB"/>
    <w:rsid w:val="00B20836"/>
    <w:rsid w:val="00B22E6F"/>
    <w:rsid w:val="00B235BB"/>
    <w:rsid w:val="00B24BDE"/>
    <w:rsid w:val="00B27A44"/>
    <w:rsid w:val="00B30BBF"/>
    <w:rsid w:val="00B33713"/>
    <w:rsid w:val="00B33C03"/>
    <w:rsid w:val="00B3489A"/>
    <w:rsid w:val="00B44E56"/>
    <w:rsid w:val="00B46321"/>
    <w:rsid w:val="00B46543"/>
    <w:rsid w:val="00B47D33"/>
    <w:rsid w:val="00B52BE0"/>
    <w:rsid w:val="00B54133"/>
    <w:rsid w:val="00B637B9"/>
    <w:rsid w:val="00B64BEA"/>
    <w:rsid w:val="00B701ED"/>
    <w:rsid w:val="00B8086C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5883"/>
    <w:rsid w:val="00BB68EA"/>
    <w:rsid w:val="00BC1C27"/>
    <w:rsid w:val="00BC6BBF"/>
    <w:rsid w:val="00BC7F28"/>
    <w:rsid w:val="00BD1572"/>
    <w:rsid w:val="00BE14E3"/>
    <w:rsid w:val="00BE3774"/>
    <w:rsid w:val="00BE41E5"/>
    <w:rsid w:val="00BF0BBB"/>
    <w:rsid w:val="00BF4109"/>
    <w:rsid w:val="00BF4CC3"/>
    <w:rsid w:val="00BF57F4"/>
    <w:rsid w:val="00C054C7"/>
    <w:rsid w:val="00C057B5"/>
    <w:rsid w:val="00C22687"/>
    <w:rsid w:val="00C32E4D"/>
    <w:rsid w:val="00C333A0"/>
    <w:rsid w:val="00C36A81"/>
    <w:rsid w:val="00C41974"/>
    <w:rsid w:val="00C447AD"/>
    <w:rsid w:val="00C53F4A"/>
    <w:rsid w:val="00C54125"/>
    <w:rsid w:val="00C55B54"/>
    <w:rsid w:val="00C6098E"/>
    <w:rsid w:val="00C6152C"/>
    <w:rsid w:val="00C621C2"/>
    <w:rsid w:val="00C74810"/>
    <w:rsid w:val="00C81E10"/>
    <w:rsid w:val="00C90D68"/>
    <w:rsid w:val="00C939FE"/>
    <w:rsid w:val="00CA4BDA"/>
    <w:rsid w:val="00CB1F66"/>
    <w:rsid w:val="00CB2951"/>
    <w:rsid w:val="00CC1464"/>
    <w:rsid w:val="00CC782B"/>
    <w:rsid w:val="00CD282B"/>
    <w:rsid w:val="00CD4C35"/>
    <w:rsid w:val="00CD7369"/>
    <w:rsid w:val="00CE0B0E"/>
    <w:rsid w:val="00CE3831"/>
    <w:rsid w:val="00D00ABB"/>
    <w:rsid w:val="00D02EEC"/>
    <w:rsid w:val="00D03551"/>
    <w:rsid w:val="00D06A63"/>
    <w:rsid w:val="00D07E0E"/>
    <w:rsid w:val="00D11478"/>
    <w:rsid w:val="00D15ED0"/>
    <w:rsid w:val="00D21B3E"/>
    <w:rsid w:val="00D21FED"/>
    <w:rsid w:val="00D24251"/>
    <w:rsid w:val="00D343E2"/>
    <w:rsid w:val="00D361A2"/>
    <w:rsid w:val="00D36EB6"/>
    <w:rsid w:val="00D44C2E"/>
    <w:rsid w:val="00D45414"/>
    <w:rsid w:val="00D53C0F"/>
    <w:rsid w:val="00D566BD"/>
    <w:rsid w:val="00D57A4D"/>
    <w:rsid w:val="00D60AA7"/>
    <w:rsid w:val="00D60D87"/>
    <w:rsid w:val="00D6215E"/>
    <w:rsid w:val="00D6435F"/>
    <w:rsid w:val="00D74C12"/>
    <w:rsid w:val="00D75E28"/>
    <w:rsid w:val="00D772C2"/>
    <w:rsid w:val="00D8008E"/>
    <w:rsid w:val="00D82C45"/>
    <w:rsid w:val="00D835EA"/>
    <w:rsid w:val="00D870D7"/>
    <w:rsid w:val="00D908A8"/>
    <w:rsid w:val="00D977B6"/>
    <w:rsid w:val="00D97DA9"/>
    <w:rsid w:val="00DA02C7"/>
    <w:rsid w:val="00DA4A31"/>
    <w:rsid w:val="00DA61F2"/>
    <w:rsid w:val="00DA7B04"/>
    <w:rsid w:val="00DB2374"/>
    <w:rsid w:val="00DB36C2"/>
    <w:rsid w:val="00DB7196"/>
    <w:rsid w:val="00DB7682"/>
    <w:rsid w:val="00DC0977"/>
    <w:rsid w:val="00DC14D0"/>
    <w:rsid w:val="00DC169B"/>
    <w:rsid w:val="00DC2AB9"/>
    <w:rsid w:val="00DC63F0"/>
    <w:rsid w:val="00DD26D5"/>
    <w:rsid w:val="00DD2B96"/>
    <w:rsid w:val="00DD59B2"/>
    <w:rsid w:val="00DD6EE5"/>
    <w:rsid w:val="00DE1B8E"/>
    <w:rsid w:val="00DE386C"/>
    <w:rsid w:val="00DE4D35"/>
    <w:rsid w:val="00DF0549"/>
    <w:rsid w:val="00DF098B"/>
    <w:rsid w:val="00DF11C4"/>
    <w:rsid w:val="00DF210C"/>
    <w:rsid w:val="00DF4B6A"/>
    <w:rsid w:val="00E02C09"/>
    <w:rsid w:val="00E04D59"/>
    <w:rsid w:val="00E07DA1"/>
    <w:rsid w:val="00E123CB"/>
    <w:rsid w:val="00E1557C"/>
    <w:rsid w:val="00E20E13"/>
    <w:rsid w:val="00E21DBC"/>
    <w:rsid w:val="00E275D7"/>
    <w:rsid w:val="00E27DBE"/>
    <w:rsid w:val="00E32AB1"/>
    <w:rsid w:val="00E36C71"/>
    <w:rsid w:val="00E40404"/>
    <w:rsid w:val="00E459C6"/>
    <w:rsid w:val="00E47589"/>
    <w:rsid w:val="00E50F9B"/>
    <w:rsid w:val="00E64915"/>
    <w:rsid w:val="00E661D4"/>
    <w:rsid w:val="00E70091"/>
    <w:rsid w:val="00E720F5"/>
    <w:rsid w:val="00E76D47"/>
    <w:rsid w:val="00E82309"/>
    <w:rsid w:val="00E849F7"/>
    <w:rsid w:val="00E87E50"/>
    <w:rsid w:val="00E90302"/>
    <w:rsid w:val="00E9597F"/>
    <w:rsid w:val="00E97396"/>
    <w:rsid w:val="00EA185E"/>
    <w:rsid w:val="00EA592A"/>
    <w:rsid w:val="00EA5EB1"/>
    <w:rsid w:val="00EB14E4"/>
    <w:rsid w:val="00EB32A5"/>
    <w:rsid w:val="00EB34ED"/>
    <w:rsid w:val="00EB7BE0"/>
    <w:rsid w:val="00EC315E"/>
    <w:rsid w:val="00ED077C"/>
    <w:rsid w:val="00ED1190"/>
    <w:rsid w:val="00ED6544"/>
    <w:rsid w:val="00EE0277"/>
    <w:rsid w:val="00EE1DA9"/>
    <w:rsid w:val="00EE3E00"/>
    <w:rsid w:val="00EE5DD2"/>
    <w:rsid w:val="00EF41F1"/>
    <w:rsid w:val="00EF4F08"/>
    <w:rsid w:val="00F00A79"/>
    <w:rsid w:val="00F00E86"/>
    <w:rsid w:val="00F00F8B"/>
    <w:rsid w:val="00F077CC"/>
    <w:rsid w:val="00F07C1E"/>
    <w:rsid w:val="00F105DB"/>
    <w:rsid w:val="00F132BC"/>
    <w:rsid w:val="00F13D80"/>
    <w:rsid w:val="00F16AAA"/>
    <w:rsid w:val="00F21161"/>
    <w:rsid w:val="00F218EF"/>
    <w:rsid w:val="00F21BC7"/>
    <w:rsid w:val="00F266A2"/>
    <w:rsid w:val="00F32269"/>
    <w:rsid w:val="00F4457E"/>
    <w:rsid w:val="00F56A6F"/>
    <w:rsid w:val="00F5709C"/>
    <w:rsid w:val="00F64EF1"/>
    <w:rsid w:val="00F86667"/>
    <w:rsid w:val="00F8765F"/>
    <w:rsid w:val="00F90767"/>
    <w:rsid w:val="00FA685B"/>
    <w:rsid w:val="00FB0C01"/>
    <w:rsid w:val="00FC18F2"/>
    <w:rsid w:val="00FC39E5"/>
    <w:rsid w:val="00FC3A78"/>
    <w:rsid w:val="00FC5FFE"/>
    <w:rsid w:val="00FD1005"/>
    <w:rsid w:val="00FD3180"/>
    <w:rsid w:val="00FD6C75"/>
    <w:rsid w:val="00FE71B3"/>
    <w:rsid w:val="00FF2257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912BE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912B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912BE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912B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912B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912B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912B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912BE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912B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912B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BE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0912BE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0912BE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0912BE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0912BE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0912BE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0912BE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0912BE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0912BE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0912BE"/>
  </w:style>
  <w:style w:type="paragraph" w:customStyle="1" w:styleId="JuParaSub">
    <w:name w:val="Ju_Para_Sub"/>
    <w:basedOn w:val="ECHRPara"/>
    <w:uiPriority w:val="13"/>
    <w:unhideWhenUsed/>
    <w:qFormat/>
    <w:rsid w:val="000912BE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0912BE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0912BE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unhideWhenUsed/>
    <w:qFormat/>
    <w:rsid w:val="000912BE"/>
  </w:style>
  <w:style w:type="paragraph" w:customStyle="1" w:styleId="OpiQuot">
    <w:name w:val="Opi_Quot"/>
    <w:basedOn w:val="ECHRParaQuote"/>
    <w:uiPriority w:val="48"/>
    <w:qFormat/>
    <w:rsid w:val="000912BE"/>
  </w:style>
  <w:style w:type="paragraph" w:customStyle="1" w:styleId="OpiQuotSub">
    <w:name w:val="Opi_Quot_Sub"/>
    <w:basedOn w:val="JuQuotSub"/>
    <w:uiPriority w:val="49"/>
    <w:qFormat/>
    <w:rsid w:val="000912BE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0912BE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0912BE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0912B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0912BE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0912BE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0912BE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0912BE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0912BE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0912BE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0912BE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0912BE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0912BE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0912BE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0912B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0912BE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0912BE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0912BE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912BE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0912BE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0912BE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912BE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912BE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912BE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0912BE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0912BE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0912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0912BE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0912BE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0912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912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2BE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912BE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912BE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912BE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912BE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0912BE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0912B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912B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912BE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0912BE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0912BE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0912BE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912BE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0912BE"/>
    <w:rPr>
      <w:smallCaps/>
    </w:rPr>
  </w:style>
  <w:style w:type="table" w:styleId="TableGrid">
    <w:name w:val="Table Grid"/>
    <w:basedOn w:val="TableNormal"/>
    <w:uiPriority w:val="59"/>
    <w:semiHidden/>
    <w:rsid w:val="000912B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0912BE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0912BE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0912BE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0912BE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0912BE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0912BE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0912BE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0912BE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0912BE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0912BE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0912BE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0912BE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0912BE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0912BE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0912BE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0912BE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0912BE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40"/>
    <w:qFormat/>
    <w:rsid w:val="000912BE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qFormat/>
    <w:rsid w:val="000912BE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912B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912BE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912BE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912BE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912BE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0912BE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DecList">
    <w:name w:val="Dec_List"/>
    <w:basedOn w:val="Normal"/>
    <w:uiPriority w:val="9"/>
    <w:qFormat/>
    <w:rsid w:val="000912BE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0912BE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0912BE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0912BE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0912BE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0912BE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12"/>
    <w:rsid w:val="00BF57F4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42D1-8C61-4077-9803-54BFFF9A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2016-11-22T15:07:00Z</dcterms:created>
  <dcterms:modified xsi:type="dcterms:W3CDTF">2016-11-22T15:08:00Z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