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  <w:r>
        <w:rPr>
          <w:rStyle w:val="Normal"/>
        </w:rPr>
        <w:t>ПЕТО ОТДЕЛЕНИЕ</w:t>
      </w:r>
    </w:p>
    <w:p w:rsidR="000B4AE2" w:rsidRPr="00761D01" w:rsidRDefault="000B4AE2" w:rsidP="000B4AE2">
      <w:pPr>
        <w:jc w:val="center"/>
      </w:pPr>
      <w:bookmarkStart w:id="0" w:name="To"/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  <w:rPr>
          <w:b/>
        </w:rPr>
      </w:pPr>
      <w:r>
        <w:rPr>
          <w:rStyle w:val="Normal"/>
          <w:b/>
        </w:rPr>
        <w:t xml:space="preserve">ДЕЛО </w:t>
      </w:r>
      <w:bookmarkEnd w:id="0"/>
      <w:r>
        <w:rPr>
          <w:rStyle w:val="Normal"/>
          <w:b/>
        </w:rPr>
        <w:t>ПЕТРОВ И ДРУГИ СРЕЩУ БЪЛГАРИЯ</w:t>
      </w: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  <w:rPr>
          <w:i/>
        </w:rPr>
      </w:pPr>
      <w:r>
        <w:rPr>
          <w:rStyle w:val="Normal"/>
          <w:i/>
        </w:rPr>
        <w:t xml:space="preserve">(Жалби </w:t>
      </w:r>
      <w:r>
        <w:rPr>
          <w:rStyle w:val="Normal"/>
          <w:i/>
          <w:cs/>
        </w:rPr>
        <w:t xml:space="preserve">№ </w:t>
      </w:r>
      <w:r>
        <w:rPr>
          <w:rStyle w:val="Normal"/>
          <w:i/>
        </w:rPr>
        <w:t>31044/12 и 3 други)</w:t>
      </w: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  <w:r>
        <w:rPr>
          <w:rStyle w:val="Normal"/>
        </w:rPr>
        <w:t>РЕШЕНИЕ</w:t>
      </w:r>
    </w:p>
    <w:p w:rsidR="000B4AE2" w:rsidRPr="00761D01" w:rsidRDefault="000B4AE2" w:rsidP="000B4AE2">
      <w:pPr>
        <w:jc w:val="center"/>
      </w:pPr>
    </w:p>
    <w:p w:rsidR="000B4AE2" w:rsidRPr="000D5ADE" w:rsidRDefault="000B4AE2" w:rsidP="000B4AE2">
      <w:pPr>
        <w:jc w:val="center"/>
        <w:rPr>
          <w:i/>
        </w:rPr>
      </w:pPr>
      <w:r>
        <w:rPr>
          <w:rStyle w:val="Normal"/>
          <w:i/>
        </w:rPr>
        <w:t>Настоящата версия е поправена на 25 юни 2018 г.</w:t>
      </w:r>
    </w:p>
    <w:p w:rsidR="000B4AE2" w:rsidRPr="000D5ADE" w:rsidRDefault="000B4AE2" w:rsidP="000B4AE2">
      <w:pPr>
        <w:jc w:val="center"/>
      </w:pPr>
      <w:r>
        <w:rPr>
          <w:rStyle w:val="Normal"/>
          <w:i/>
        </w:rPr>
        <w:t xml:space="preserve">в съответствие с </w:t>
      </w:r>
      <w:r w:rsidR="00EB0387">
        <w:rPr>
          <w:rStyle w:val="Normal"/>
          <w:i/>
        </w:rPr>
        <w:t>п</w:t>
      </w:r>
      <w:r>
        <w:rPr>
          <w:rStyle w:val="Normal"/>
          <w:i/>
        </w:rPr>
        <w:t>равило 81 от Правилника на Съда.</w:t>
      </w:r>
    </w:p>
    <w:p w:rsidR="000B4AE2" w:rsidRPr="00471DCC" w:rsidRDefault="000B4AE2" w:rsidP="000B4AE2">
      <w:pPr>
        <w:jc w:val="center"/>
      </w:pP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  <w:r>
        <w:rPr>
          <w:rStyle w:val="Normal"/>
        </w:rPr>
        <w:t>СТРАСБУРГ</w:t>
      </w: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center"/>
      </w:pPr>
      <w:r>
        <w:rPr>
          <w:rStyle w:val="Normal"/>
        </w:rPr>
        <w:t>21 юни 2018 г.</w:t>
      </w:r>
    </w:p>
    <w:p w:rsidR="000B4AE2" w:rsidRPr="00761D01" w:rsidRDefault="000B4AE2" w:rsidP="000B4AE2">
      <w:pPr>
        <w:jc w:val="center"/>
      </w:pPr>
    </w:p>
    <w:p w:rsidR="000B4AE2" w:rsidRPr="00761D01" w:rsidRDefault="000B4AE2" w:rsidP="000B4AE2">
      <w:pPr>
        <w:jc w:val="left"/>
        <w:rPr>
          <w:i/>
          <w:sz w:val="22"/>
        </w:rPr>
      </w:pPr>
      <w:r>
        <w:rPr>
          <w:rStyle w:val="Normal"/>
          <w:i/>
          <w:sz w:val="22"/>
        </w:rPr>
        <w:t>Настоящото решение е окончателно, но може да бъде предмет на редакционни промени.</w:t>
      </w:r>
    </w:p>
    <w:p w:rsidR="000B4AE2" w:rsidRDefault="000B4AE2" w:rsidP="000B4AE2">
      <w:pPr>
        <w:pStyle w:val="ECHRPara"/>
        <w:sectPr w:rsidR="000B4AE2" w:rsidSect="000B4A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B4AE2" w:rsidRPr="00761D01" w:rsidRDefault="000B4AE2" w:rsidP="000B4AE2">
      <w:pPr>
        <w:pStyle w:val="JuCase"/>
        <w:rPr>
          <w:bCs/>
        </w:rPr>
      </w:pPr>
      <w:r>
        <w:rPr>
          <w:rStyle w:val="JuCase"/>
        </w:rPr>
        <w:lastRenderedPageBreak/>
        <w:t>По делото Петров и други срещу България,</w:t>
      </w:r>
    </w:p>
    <w:p w:rsidR="000B4AE2" w:rsidRPr="00761D01" w:rsidRDefault="000B4AE2" w:rsidP="000B4AE2">
      <w:pPr>
        <w:pStyle w:val="ECHRPara"/>
      </w:pPr>
      <w:r>
        <w:rPr>
          <w:rStyle w:val="ECHRPara"/>
        </w:rPr>
        <w:t xml:space="preserve">Европейският съд по правата на човека (Пето отделение), заседаващ като комитет, </w:t>
      </w:r>
      <w:r w:rsidR="001E4F53">
        <w:rPr>
          <w:rStyle w:val="ECHRPara"/>
        </w:rPr>
        <w:t>в състав</w:t>
      </w:r>
      <w:r>
        <w:rPr>
          <w:rStyle w:val="ECHRPara"/>
        </w:rPr>
        <w:t>:</w:t>
      </w:r>
    </w:p>
    <w:p w:rsidR="000B4AE2" w:rsidRPr="00761D01" w:rsidRDefault="000B4AE2" w:rsidP="000B4AE2">
      <w:pPr>
        <w:pStyle w:val="ECHRDecisionBody"/>
      </w:pPr>
      <w:r>
        <w:rPr>
          <w:rStyle w:val="ECHRDecisionBody"/>
        </w:rPr>
        <w:tab/>
        <w:t>Габриеле Куцко-Щадлмайер (Gabriele Kucsko-Stadlmayer),</w:t>
      </w:r>
      <w:r>
        <w:rPr>
          <w:rStyle w:val="ECHRDecisionBody"/>
          <w:i/>
        </w:rPr>
        <w:t xml:space="preserve"> председател,</w:t>
      </w:r>
      <w:r>
        <w:br/>
      </w:r>
      <w:r>
        <w:rPr>
          <w:rStyle w:val="ECHRDecisionBody"/>
        </w:rPr>
        <w:tab/>
        <w:t>Йонко Грозев (Yonko Grozev),</w:t>
      </w:r>
      <w:r>
        <w:br/>
      </w:r>
      <w:r>
        <w:rPr>
          <w:rStyle w:val="ECHRDecisionBody"/>
        </w:rPr>
        <w:tab/>
        <w:t>Ладо Чантурия (Lado Chanturia),</w:t>
      </w:r>
      <w:r>
        <w:rPr>
          <w:rStyle w:val="ECHRDecisionBody"/>
          <w:i/>
        </w:rPr>
        <w:t xml:space="preserve"> съдии,</w:t>
      </w:r>
      <w:r>
        <w:br/>
      </w:r>
      <w:r>
        <w:rPr>
          <w:rStyle w:val="ECHRDecisionBody"/>
        </w:rPr>
        <w:t xml:space="preserve">и Милан Блашко (Milan Blaško), </w:t>
      </w:r>
      <w:r>
        <w:rPr>
          <w:rStyle w:val="ECHRDecisionBody"/>
          <w:i/>
        </w:rPr>
        <w:t>заместник-секретар на отделението,</w:t>
      </w:r>
    </w:p>
    <w:p w:rsidR="000B4AE2" w:rsidRPr="00761D01" w:rsidRDefault="000B4AE2" w:rsidP="000B4AE2">
      <w:pPr>
        <w:pStyle w:val="ECHRPara"/>
      </w:pPr>
      <w:r>
        <w:rPr>
          <w:rStyle w:val="ECHRPara"/>
        </w:rPr>
        <w:t>След закрито заседание, проведено на 29 май 2018 г.,</w:t>
      </w:r>
    </w:p>
    <w:p w:rsidR="000B4AE2" w:rsidRPr="00761D01" w:rsidRDefault="000B4AE2" w:rsidP="000B4AE2">
      <w:pPr>
        <w:pStyle w:val="ECHRPara"/>
      </w:pPr>
      <w:r>
        <w:rPr>
          <w:rStyle w:val="ECHRPara"/>
        </w:rPr>
        <w:t>Постановява следното решение, прието на същата дата:</w:t>
      </w:r>
    </w:p>
    <w:p w:rsidR="000B4AE2" w:rsidRPr="00761D01" w:rsidRDefault="000B4AE2" w:rsidP="000B4AE2">
      <w:pPr>
        <w:pStyle w:val="ECHRTitle1"/>
      </w:pPr>
      <w:r>
        <w:rPr>
          <w:rStyle w:val="ECHRTitle1"/>
        </w:rPr>
        <w:t>ПРОЦЕДУРА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</w:t>
      </w:r>
      <w:r>
        <w:fldChar w:fldCharType="end"/>
      </w:r>
      <w:r>
        <w:rPr>
          <w:rStyle w:val="ECHRPara"/>
        </w:rPr>
        <w:t>.  Делото е образувано по четири жалби (</w:t>
      </w:r>
      <w:r>
        <w:rPr>
          <w:rStyle w:val="ECHRPara"/>
          <w:cs/>
        </w:rPr>
        <w:t xml:space="preserve">№ </w:t>
      </w:r>
      <w:r>
        <w:rPr>
          <w:rStyle w:val="ECHRPara"/>
        </w:rPr>
        <w:t>31044/12, 80505/13, 22461/14 и 74251/14) срещу Република България, подадени в Съда на основание чл. 34 от Конвенцията за защита на правата на човека и основните свободи (</w:t>
      </w:r>
      <w:r>
        <w:rPr>
          <w:rStyle w:val="ECHRPara"/>
          <w:cs/>
        </w:rPr>
        <w:t>”</w:t>
      </w:r>
      <w:r>
        <w:rPr>
          <w:rStyle w:val="ECHRPara"/>
        </w:rPr>
        <w:t>Конвенцията</w:t>
      </w:r>
      <w:r>
        <w:rPr>
          <w:rStyle w:val="ECHRPara"/>
          <w:cs/>
        </w:rPr>
        <w:t>”</w:t>
      </w:r>
      <w:r>
        <w:rPr>
          <w:rStyle w:val="ECHRPara"/>
        </w:rPr>
        <w:t>) от четирима български граждани, г-н Стоян Стоянов Петров, г-н Илиян Петров Михайлов, г-н Йордан Стоянов Петров и г-н Лазар Петков Колев (</w:t>
      </w:r>
      <w:r>
        <w:rPr>
          <w:rStyle w:val="ECHRPara"/>
          <w:cs/>
        </w:rPr>
        <w:t>”</w:t>
      </w:r>
      <w:r>
        <w:rPr>
          <w:rStyle w:val="ECHRPara"/>
        </w:rPr>
        <w:t>жалбоподателите</w:t>
      </w:r>
      <w:r>
        <w:rPr>
          <w:rStyle w:val="ECHRPara"/>
          <w:cs/>
        </w:rPr>
        <w:t>”</w:t>
      </w:r>
      <w:r>
        <w:rPr>
          <w:rStyle w:val="ECHRPara"/>
        </w:rPr>
        <w:t>), съответно на 11 май 2012, 3 декември 2013, 6 март 2014 и 18 ноември 2014 г.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</w:t>
      </w:r>
      <w:r>
        <w:fldChar w:fldCharType="end"/>
      </w:r>
      <w:r>
        <w:rPr>
          <w:rStyle w:val="ECHRPara"/>
        </w:rPr>
        <w:t>.  Вторият, третият и четвъртият жалбоподател се представляват пред Съда от г-н М. Екимджиев и г-жа С. Стефанова, адвокати, практикуващи в Пловдив. Българското правителство (</w:t>
      </w:r>
      <w:r>
        <w:rPr>
          <w:rStyle w:val="ECHRPara"/>
          <w:cs/>
        </w:rPr>
        <w:t>„</w:t>
      </w:r>
      <w:r>
        <w:rPr>
          <w:rStyle w:val="ECHRPara"/>
        </w:rPr>
        <w:t>Правителството</w:t>
      </w:r>
      <w:r>
        <w:rPr>
          <w:rStyle w:val="ECHRPara"/>
          <w:cs/>
        </w:rPr>
        <w:t>”</w:t>
      </w:r>
      <w:r>
        <w:rPr>
          <w:rStyle w:val="ECHRPara"/>
        </w:rPr>
        <w:t>) се представлява от правителствения агент г-жа М. Димова от Министерство на правосъдието.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</w:t>
      </w:r>
      <w:r>
        <w:fldChar w:fldCharType="end"/>
      </w:r>
      <w:r>
        <w:rPr>
          <w:rStyle w:val="ECHRPara"/>
        </w:rPr>
        <w:t xml:space="preserve">.  На 16 октомври 2015 г. оплакванията, отнасящи се до прекомерно строгия режим и неадекватните битови условия на задържане, при които жалбоподателите изтърпяват своите присъди, са съобщени на Правителството, а останалата част от жалбите е обявена за недопустима съгласно </w:t>
      </w:r>
      <w:r w:rsidR="001E4F53">
        <w:rPr>
          <w:rStyle w:val="ECHRPara"/>
        </w:rPr>
        <w:t>п</w:t>
      </w:r>
      <w:r>
        <w:rPr>
          <w:rStyle w:val="ECHRPara"/>
        </w:rPr>
        <w:t>равило 54 § 3 от Правилника на Съда.</w:t>
      </w:r>
    </w:p>
    <w:p w:rsidR="000B4AE2" w:rsidRPr="00761D01" w:rsidRDefault="000B4AE2" w:rsidP="000B4AE2">
      <w:pPr>
        <w:pStyle w:val="ECHRTitle1"/>
      </w:pPr>
      <w:r>
        <w:rPr>
          <w:rStyle w:val="ECHRTitle1"/>
        </w:rPr>
        <w:t>ФАКТИТЕ</w:t>
      </w:r>
    </w:p>
    <w:p w:rsidR="000B4AE2" w:rsidRPr="00761D01" w:rsidRDefault="000B4AE2" w:rsidP="000B4AE2">
      <w:pPr>
        <w:pStyle w:val="ECHRHeading1"/>
      </w:pPr>
      <w:r>
        <w:rPr>
          <w:rStyle w:val="ECHRHeading1"/>
        </w:rPr>
        <w:t>I.  ОБСТОЯТЕЛСТВА</w:t>
      </w:r>
      <w:r w:rsidR="001E4F53">
        <w:rPr>
          <w:rStyle w:val="ECHRHeading1"/>
        </w:rPr>
        <w:t>ТА</w:t>
      </w:r>
      <w:r>
        <w:rPr>
          <w:rStyle w:val="ECHRHeading1"/>
        </w:rPr>
        <w:t xml:space="preserve"> ПО ДЕЛОТО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4</w:t>
      </w:r>
      <w:r>
        <w:fldChar w:fldCharType="end"/>
      </w:r>
      <w:r>
        <w:rPr>
          <w:rStyle w:val="ECHRPara"/>
        </w:rPr>
        <w:t>.  Жалбоподателите изтърпяват или доживотни присъди, или продължителен период на лишаване от свобода в различни затвори в България.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lastRenderedPageBreak/>
        <w:t xml:space="preserve">А. Първият жалбоподател, г-н Петров (жалба </w:t>
      </w:r>
      <w:r>
        <w:rPr>
          <w:rStyle w:val="ECHRHeading2"/>
          <w:cs/>
        </w:rPr>
        <w:t xml:space="preserve">№ </w:t>
      </w:r>
      <w:r>
        <w:rPr>
          <w:rStyle w:val="ECHRHeading2"/>
        </w:rPr>
        <w:t>31044/12)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5</w:t>
      </w:r>
      <w:r>
        <w:fldChar w:fldCharType="end"/>
      </w:r>
      <w:r>
        <w:rPr>
          <w:rStyle w:val="ECHRPara"/>
        </w:rPr>
        <w:t xml:space="preserve">.  Жалбоподателят е осъден на двадесет години лишаване от свобода през ноември 2011 г. Както се вижда от документите в </w:t>
      </w:r>
      <w:r w:rsidR="007A436F">
        <w:rPr>
          <w:rStyle w:val="ECHRPara"/>
        </w:rPr>
        <w:t>преписката</w:t>
      </w:r>
      <w:r>
        <w:rPr>
          <w:rStyle w:val="ECHRPara"/>
        </w:rPr>
        <w:t xml:space="preserve">, на 29 юли 2011 г., по заповед на началника на затвора с позоваване на чл. 248, ал. 1, т. 1 от Закона за изпълнение на наказанията и задържането под стража (вж. параграф 18 по-долу), жалбоподателят е поставен в изолация в затвора в гр. Бургас в постоянно заключена килия без възможност за участие в колективни дейности. </w:t>
      </w:r>
      <w:r w:rsidR="00F259B8">
        <w:rPr>
          <w:rStyle w:val="ECHRPara"/>
        </w:rPr>
        <w:t xml:space="preserve"> </w:t>
      </w:r>
      <w:r w:rsidR="00A00F21">
        <w:rPr>
          <w:rStyle w:val="ECHRPara"/>
        </w:rPr>
        <w:t>О</w:t>
      </w:r>
      <w:r w:rsidR="00867C01">
        <w:rPr>
          <w:rStyle w:val="ECHRPara"/>
        </w:rPr>
        <w:t xml:space="preserve">писаните </w:t>
      </w:r>
      <w:r w:rsidR="00A00F21">
        <w:rPr>
          <w:rStyle w:val="ECHRPara"/>
        </w:rPr>
        <w:t>от ж</w:t>
      </w:r>
      <w:r w:rsidR="00F259B8">
        <w:rPr>
          <w:rStyle w:val="ECHRPara"/>
        </w:rPr>
        <w:t>албоподателя</w:t>
      </w:r>
      <w:r w:rsidR="00A00F21" w:rsidRPr="00A00F21">
        <w:rPr>
          <w:rStyle w:val="ECHRPara"/>
        </w:rPr>
        <w:t xml:space="preserve"> </w:t>
      </w:r>
      <w:r w:rsidR="00A00F21">
        <w:rPr>
          <w:rStyle w:val="ECHRPara"/>
        </w:rPr>
        <w:t>условия, при които е задържан</w:t>
      </w:r>
      <w:r w:rsidR="005D2390">
        <w:rPr>
          <w:rStyle w:val="ECHRPara"/>
        </w:rPr>
        <w:t xml:space="preserve"> там</w:t>
      </w:r>
      <w:r w:rsidR="00F259B8">
        <w:rPr>
          <w:rStyle w:val="ECHRPara"/>
        </w:rPr>
        <w:t>, не</w:t>
      </w:r>
      <w:r w:rsidR="00A00F21">
        <w:rPr>
          <w:rStyle w:val="ECHRPara"/>
        </w:rPr>
        <w:t xml:space="preserve"> са </w:t>
      </w:r>
      <w:r w:rsidR="00F259B8">
        <w:rPr>
          <w:rStyle w:val="ECHRPara"/>
        </w:rPr>
        <w:t>коментира</w:t>
      </w:r>
      <w:r w:rsidR="00A00F21">
        <w:rPr>
          <w:rStyle w:val="ECHRPara"/>
        </w:rPr>
        <w:t>ни от Правителството.</w:t>
      </w:r>
      <w:r>
        <w:rPr>
          <w:rStyle w:val="ECHRPara"/>
        </w:rPr>
        <w:t xml:space="preserve"> Той е държан в изолация от 29 юли 2011 г., без течаща вода и тоалетна в килията му. Трябвало е да използва една и съща кофа, за да се облекчава и като стол за хранене, докато яде в килията. Отоплението е било недостатъчно през зимата, а температурата в килията е прекалено висока през лятото. В килията му е имало лош</w:t>
      </w:r>
      <w:r w:rsidR="00A00F21">
        <w:rPr>
          <w:rStyle w:val="ECHRPara"/>
        </w:rPr>
        <w:t>а</w:t>
      </w:r>
      <w:r>
        <w:rPr>
          <w:rStyle w:val="ECHRPara"/>
        </w:rPr>
        <w:t xml:space="preserve"> </w:t>
      </w:r>
      <w:r w:rsidR="00F259B8">
        <w:rPr>
          <w:rStyle w:val="ECHRPara"/>
        </w:rPr>
        <w:t xml:space="preserve"> вентилация</w:t>
      </w:r>
      <w:r>
        <w:rPr>
          <w:rStyle w:val="ECHRPara"/>
        </w:rPr>
        <w:t xml:space="preserve"> и слаба естествена светлина. Също така, лампата в килията му е оставяна включена през цялата нощ, в килията е имало плъхове и хлебарки, а последните понякога са достигали храната му. На неуточнена дата преди юли 2016 г. жалбоподателят е прехвърлен в затвора в гр. Варна и той не се е оплак</w:t>
      </w:r>
      <w:r w:rsidR="006A621D">
        <w:rPr>
          <w:rStyle w:val="ECHRPara"/>
        </w:rPr>
        <w:t>в</w:t>
      </w:r>
      <w:r>
        <w:rPr>
          <w:rStyle w:val="ECHRPara"/>
        </w:rPr>
        <w:t>ал от условията там.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t xml:space="preserve">Б. Вторият жалбоподател, г-н И. Михайлов (жалба </w:t>
      </w:r>
      <w:r>
        <w:rPr>
          <w:rStyle w:val="ECHRHeading2"/>
          <w:cs/>
        </w:rPr>
        <w:t xml:space="preserve">№ </w:t>
      </w:r>
      <w:r>
        <w:rPr>
          <w:rStyle w:val="ECHRHeading2"/>
        </w:rPr>
        <w:t>80505/13)</w:t>
      </w:r>
    </w:p>
    <w:p w:rsidR="000B4AE2" w:rsidRPr="003B42A8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6</w:t>
      </w:r>
      <w:r>
        <w:fldChar w:fldCharType="end"/>
      </w:r>
      <w:r>
        <w:rPr>
          <w:rStyle w:val="ECHRPara"/>
        </w:rPr>
        <w:t>.  Жалбоподателят е осъден на доживотен затвор с окончателно решение от 10 ноември 2005 г.</w:t>
      </w:r>
      <w:r w:rsidR="00F259B8">
        <w:rPr>
          <w:rStyle w:val="ECHRPara"/>
        </w:rPr>
        <w:t xml:space="preserve"> на Върховния касационен съд.</w:t>
      </w:r>
      <w:r>
        <w:rPr>
          <w:rStyle w:val="ECHRPara"/>
        </w:rPr>
        <w:t xml:space="preserve"> Той се оплаква от условията, при които изтърпява присъдата си от 12 юли 2007 г., когато е прехвърлен в затвора в гр. Пловдив</w:t>
      </w:r>
      <w:r w:rsidR="005D2390" w:rsidRPr="005D2390">
        <w:rPr>
          <w:rStyle w:val="ECHRPara"/>
        </w:rPr>
        <w:t xml:space="preserve"> </w:t>
      </w:r>
      <w:r w:rsidR="005D2390">
        <w:rPr>
          <w:rStyle w:val="ECHRPara"/>
        </w:rPr>
        <w:t>Описаните от жалбоподателя</w:t>
      </w:r>
      <w:r w:rsidR="005D2390" w:rsidRPr="00A00F21">
        <w:rPr>
          <w:rStyle w:val="ECHRPara"/>
        </w:rPr>
        <w:t xml:space="preserve"> </w:t>
      </w:r>
      <w:r w:rsidR="005D2390">
        <w:rPr>
          <w:rStyle w:val="ECHRPara"/>
        </w:rPr>
        <w:t xml:space="preserve">условия, при които е задържан там, не са коментирани от Правителството. </w:t>
      </w:r>
      <w:r>
        <w:rPr>
          <w:rStyle w:val="ECHRPara"/>
        </w:rPr>
        <w:t xml:space="preserve"> Не е имало течаща вода или тоалетна в килията му, която е с размер от около 6 квадратни метра. Той е трябвало да използва кофа, за да облекчи естествените си нужди в килията си; той също се е хранел в килията. Килията е била прекалено влажна, </w:t>
      </w:r>
      <w:r w:rsidRPr="003B42A8">
        <w:rPr>
          <w:rStyle w:val="ECHRPara"/>
        </w:rPr>
        <w:t xml:space="preserve">което не е било </w:t>
      </w:r>
      <w:r w:rsidR="005D2390" w:rsidRPr="003B42A8">
        <w:rPr>
          <w:rStyle w:val="ECHRPara"/>
        </w:rPr>
        <w:t xml:space="preserve">повлияно </w:t>
      </w:r>
      <w:r w:rsidRPr="003B42A8">
        <w:rPr>
          <w:rStyle w:val="ECHRPara"/>
        </w:rPr>
        <w:t xml:space="preserve">от факта, че той е трябвало да простира дрехите си, за да съхнат там, след като ги изпере. </w:t>
      </w:r>
      <w:r w:rsidR="00F259B8" w:rsidRPr="003B42A8">
        <w:rPr>
          <w:rStyle w:val="ECHRPara"/>
        </w:rPr>
        <w:t xml:space="preserve"> Вентилацията </w:t>
      </w:r>
      <w:r w:rsidRPr="003B42A8">
        <w:rPr>
          <w:rStyle w:val="ECHRPara"/>
        </w:rPr>
        <w:t>е бил</w:t>
      </w:r>
      <w:r w:rsidR="00F259B8" w:rsidRPr="003B42A8">
        <w:rPr>
          <w:rStyle w:val="ECHRPara"/>
        </w:rPr>
        <w:t>а</w:t>
      </w:r>
      <w:r w:rsidRPr="003B42A8">
        <w:rPr>
          <w:rStyle w:val="ECHRPara"/>
        </w:rPr>
        <w:t xml:space="preserve"> лош</w:t>
      </w:r>
      <w:r w:rsidR="00F259B8" w:rsidRPr="003B42A8">
        <w:rPr>
          <w:rStyle w:val="ECHRPara"/>
        </w:rPr>
        <w:t>а</w:t>
      </w:r>
      <w:r w:rsidRPr="003B42A8">
        <w:rPr>
          <w:rStyle w:val="ECHRPara"/>
        </w:rPr>
        <w:t>, което влошава отблъскващата миризма, излизаща от каналите, разположени близо до килията. През лятото температурите са много високи, а през зимата отоплението е изключвано около 18 часа, в резултат на което става много студено в килията му.</w:t>
      </w:r>
    </w:p>
    <w:p w:rsidR="000B4AE2" w:rsidRPr="00761D01" w:rsidRDefault="000B4AE2" w:rsidP="000B4AE2">
      <w:pPr>
        <w:pStyle w:val="ECHRPara"/>
      </w:pPr>
      <w:r w:rsidRPr="003B42A8">
        <w:fldChar w:fldCharType="begin"/>
      </w:r>
      <w:r w:rsidRPr="003B42A8">
        <w:rPr>
          <w:rStyle w:val="ECHRPara"/>
        </w:rPr>
        <w:instrText xml:space="preserve"> SEQ level0 \*arabic </w:instrText>
      </w:r>
      <w:r w:rsidRPr="003B42A8">
        <w:fldChar w:fldCharType="separate"/>
      </w:r>
      <w:r w:rsidR="00F45EF4" w:rsidRPr="003B42A8">
        <w:rPr>
          <w:rStyle w:val="ECHRPara"/>
          <w:noProof/>
        </w:rPr>
        <w:t>7</w:t>
      </w:r>
      <w:r w:rsidRPr="003B42A8">
        <w:fldChar w:fldCharType="end"/>
      </w:r>
      <w:r w:rsidRPr="003B42A8">
        <w:rPr>
          <w:rStyle w:val="ECHRPara"/>
        </w:rPr>
        <w:t xml:space="preserve">.  Освен това, между 2007 г. и 2011 г. той е държан под най-оскъдния и ограничаващ </w:t>
      </w:r>
      <w:r w:rsidRPr="003B42A8">
        <w:rPr>
          <w:rStyle w:val="ECHRPara"/>
          <w:cs/>
        </w:rPr>
        <w:t>“</w:t>
      </w:r>
      <w:r w:rsidRPr="003B42A8">
        <w:rPr>
          <w:rStyle w:val="ECHRPara"/>
        </w:rPr>
        <w:t>специален режим</w:t>
      </w:r>
      <w:r w:rsidRPr="003B42A8">
        <w:rPr>
          <w:rStyle w:val="ECHRPara"/>
          <w:cs/>
        </w:rPr>
        <w:t>”</w:t>
      </w:r>
      <w:r w:rsidRPr="003B42A8">
        <w:rPr>
          <w:rStyle w:val="ECHRPara"/>
        </w:rPr>
        <w:t xml:space="preserve">, сам в килия. Според жалбоподателя, въпреки че неговият режим официално е променен от </w:t>
      </w:r>
      <w:r w:rsidRPr="003B42A8">
        <w:rPr>
          <w:rStyle w:val="ECHRPara"/>
          <w:cs/>
        </w:rPr>
        <w:t>“</w:t>
      </w:r>
      <w:r w:rsidRPr="003B42A8">
        <w:rPr>
          <w:rStyle w:val="ECHRPara"/>
        </w:rPr>
        <w:t>специален</w:t>
      </w:r>
      <w:r w:rsidRPr="003B42A8">
        <w:rPr>
          <w:rStyle w:val="ECHRPara"/>
          <w:cs/>
        </w:rPr>
        <w:t xml:space="preserve">” </w:t>
      </w:r>
      <w:r w:rsidRPr="003B42A8">
        <w:rPr>
          <w:rStyle w:val="ECHRPara"/>
        </w:rPr>
        <w:t xml:space="preserve">на по-лекия </w:t>
      </w:r>
      <w:r w:rsidRPr="003B42A8">
        <w:rPr>
          <w:rStyle w:val="ECHRPara"/>
          <w:cs/>
        </w:rPr>
        <w:t>“</w:t>
      </w:r>
      <w:r w:rsidRPr="003B42A8">
        <w:rPr>
          <w:rStyle w:val="ECHRPara"/>
        </w:rPr>
        <w:t>строг</w:t>
      </w:r>
      <w:r w:rsidRPr="003B42A8">
        <w:rPr>
          <w:rStyle w:val="ECHRPara"/>
          <w:cs/>
        </w:rPr>
        <w:t xml:space="preserve">” </w:t>
      </w:r>
      <w:r w:rsidRPr="003B42A8">
        <w:rPr>
          <w:rStyle w:val="ECHRPara"/>
        </w:rPr>
        <w:t>на 6 юни 2011 г., в действителност ограниченията и неадекватните условия, при които</w:t>
      </w:r>
      <w:r>
        <w:rPr>
          <w:rStyle w:val="ECHRPara"/>
        </w:rPr>
        <w:t xml:space="preserve"> е задържан, не са се променили. Систематично са му поставяни белезници, когато е напускал килията си.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lastRenderedPageBreak/>
        <w:t xml:space="preserve">В. Третият жалбоподател, г-н Й. Петров (жалба </w:t>
      </w:r>
      <w:r>
        <w:rPr>
          <w:rStyle w:val="ECHRHeading2"/>
          <w:cs/>
        </w:rPr>
        <w:t xml:space="preserve">№ </w:t>
      </w:r>
      <w:r>
        <w:rPr>
          <w:rStyle w:val="ECHRHeading2"/>
        </w:rPr>
        <w:t>22461/14)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8</w:t>
      </w:r>
      <w:r>
        <w:fldChar w:fldCharType="end"/>
      </w:r>
      <w:r>
        <w:rPr>
          <w:rStyle w:val="ECHRPara"/>
        </w:rPr>
        <w:t xml:space="preserve">.  Жалбоподателят е осъден на доживотен затвор без право на замяна </w:t>
      </w:r>
      <w:r w:rsidR="00BB26E8">
        <w:rPr>
          <w:rStyle w:val="ECHRPara"/>
        </w:rPr>
        <w:t>с</w:t>
      </w:r>
      <w:r>
        <w:rPr>
          <w:rStyle w:val="ECHRPara"/>
        </w:rPr>
        <w:t xml:space="preserve"> окончателно решение от 26 юли 2004 г. на Върховния касационен съд. Той се оплаква от </w:t>
      </w:r>
      <w:r>
        <w:rPr>
          <w:rStyle w:val="ECHRPara"/>
          <w:cs/>
        </w:rPr>
        <w:t>“</w:t>
      </w:r>
      <w:r>
        <w:rPr>
          <w:rStyle w:val="ECHRPara"/>
        </w:rPr>
        <w:t>специалния режим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и неадекватните </w:t>
      </w:r>
      <w:r w:rsidR="00FE691C">
        <w:rPr>
          <w:rStyle w:val="ECHRPara"/>
        </w:rPr>
        <w:t xml:space="preserve">материални </w:t>
      </w:r>
      <w:r>
        <w:rPr>
          <w:rStyle w:val="ECHRPara"/>
        </w:rPr>
        <w:t xml:space="preserve">условия на задържане, </w:t>
      </w:r>
      <w:r w:rsidR="00BB26E8">
        <w:rPr>
          <w:rStyle w:val="ECHRPara"/>
        </w:rPr>
        <w:t>при</w:t>
      </w:r>
      <w:r>
        <w:rPr>
          <w:rStyle w:val="ECHRPara"/>
        </w:rPr>
        <w:t xml:space="preserve"> които той изтърпява присъдите си от 24 януари 2012 г. в затвора в гр. Варна. Периодът на задържане на този жалбоподател преди тази дата е предмет на разглеждане в по-ранно решение на Съда, в което той констатира нарушение на чл. 3 поради прекомерно строгия затворнически режим и лошите условия на задържане (вж. </w:t>
      </w:r>
      <w:r>
        <w:rPr>
          <w:rStyle w:val="ECHRPara"/>
          <w:i/>
        </w:rPr>
        <w:t>Йордан Петров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>22926/04, § 128, 24 януари 2012 г.).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9</w:t>
      </w:r>
      <w:r>
        <w:fldChar w:fldCharType="end"/>
      </w:r>
      <w:r>
        <w:rPr>
          <w:rStyle w:val="ECHRPara"/>
        </w:rPr>
        <w:t xml:space="preserve">.  Жалбоподателят твърди, че изтърпява присъдата си в изолация от околния свят, а именно в постоянно заключена килия. Той не е </w:t>
      </w:r>
      <w:r w:rsidR="00F259B8">
        <w:rPr>
          <w:rStyle w:val="ECHRPara"/>
        </w:rPr>
        <w:t xml:space="preserve"> включван </w:t>
      </w:r>
      <w:r>
        <w:rPr>
          <w:rStyle w:val="ECHRPara"/>
        </w:rPr>
        <w:t xml:space="preserve">в каквито и да </w:t>
      </w:r>
      <w:r w:rsidR="008508A9">
        <w:rPr>
          <w:rStyle w:val="ECHRPara"/>
        </w:rPr>
        <w:t xml:space="preserve">е </w:t>
      </w:r>
      <w:r>
        <w:rPr>
          <w:rStyle w:val="ECHRPara"/>
        </w:rPr>
        <w:t>колективни дейности, не му е предоставяна работа и му е бил отказан контакт с</w:t>
      </w:r>
      <w:r w:rsidR="00EF5897">
        <w:rPr>
          <w:rStyle w:val="ECHRPara"/>
        </w:rPr>
        <w:t>ъс</w:t>
      </w:r>
      <w:r>
        <w:rPr>
          <w:rStyle w:val="ECHRPara"/>
        </w:rPr>
        <w:t xml:space="preserve"> затворници, които изтърпяват присъди, по-леки от доживотен затвор. Всеки път, когато е извеждан от зоната с висока степен на сигурност, той е бил с белезници. Властите не са извършили смислени оценки на необходимостта той да продължава да изтърпява присъдата си при </w:t>
      </w:r>
      <w:r>
        <w:rPr>
          <w:rStyle w:val="ECHRPara"/>
          <w:cs/>
        </w:rPr>
        <w:t>“</w:t>
      </w:r>
      <w:r>
        <w:rPr>
          <w:rStyle w:val="ECHRPara"/>
        </w:rPr>
        <w:t>специал</w:t>
      </w:r>
      <w:r w:rsidR="00BB26E8">
        <w:rPr>
          <w:rStyle w:val="ECHRPara"/>
        </w:rPr>
        <w:t>ен</w:t>
      </w:r>
      <w:r>
        <w:rPr>
          <w:rStyle w:val="ECHRPara"/>
        </w:rPr>
        <w:t xml:space="preserve"> режим</w:t>
      </w:r>
      <w:r>
        <w:rPr>
          <w:rStyle w:val="ECHRPara"/>
          <w:cs/>
        </w:rPr>
        <w:t>”</w:t>
      </w:r>
      <w:r>
        <w:rPr>
          <w:rStyle w:val="ECHRPara"/>
        </w:rPr>
        <w:t xml:space="preserve">. </w:t>
      </w:r>
      <w:r w:rsidR="00BB26E8">
        <w:rPr>
          <w:rStyle w:val="ECHRPara"/>
        </w:rPr>
        <w:t>О</w:t>
      </w:r>
      <w:r>
        <w:rPr>
          <w:rStyle w:val="ECHRPara"/>
        </w:rPr>
        <w:t>ценките им не включват анализ на психологическото и физическото му състояние или на отношението му и демонстрираната готовност за промяна и не са извършвани от специално обучен персонал.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10</w:t>
      </w:r>
      <w:r>
        <w:fldChar w:fldCharType="end"/>
      </w:r>
      <w:r>
        <w:rPr>
          <w:rStyle w:val="ECHRPara"/>
        </w:rPr>
        <w:t xml:space="preserve">.  Що се отнася до </w:t>
      </w:r>
      <w:r w:rsidR="00FE691C">
        <w:rPr>
          <w:rStyle w:val="ECHRPara"/>
        </w:rPr>
        <w:t xml:space="preserve">материалните </w:t>
      </w:r>
      <w:r>
        <w:rPr>
          <w:rStyle w:val="ECHRPara"/>
        </w:rPr>
        <w:t xml:space="preserve">условия, при които е държан от 24 януари 2012 г., жалбоподателят твърди, че макар през август 2012 г. в килията му </w:t>
      </w:r>
      <w:r w:rsidR="00EF5897">
        <w:rPr>
          <w:rStyle w:val="ECHRPara"/>
        </w:rPr>
        <w:t>да е</w:t>
      </w:r>
      <w:r>
        <w:rPr>
          <w:rStyle w:val="ECHRPara"/>
        </w:rPr>
        <w:t xml:space="preserve"> </w:t>
      </w:r>
      <w:r w:rsidR="00405832">
        <w:rPr>
          <w:rStyle w:val="ECHRPara"/>
        </w:rPr>
        <w:t>монтирана</w:t>
      </w:r>
      <w:r>
        <w:rPr>
          <w:rStyle w:val="ECHRPara"/>
        </w:rPr>
        <w:t xml:space="preserve"> тоалетна, </w:t>
      </w:r>
      <w:r w:rsidR="00ED1858">
        <w:rPr>
          <w:rStyle w:val="ECHRPara"/>
        </w:rPr>
        <w:t>която</w:t>
      </w:r>
      <w:r>
        <w:rPr>
          <w:rStyle w:val="ECHRPara"/>
        </w:rPr>
        <w:t xml:space="preserve"> се намира на около 45 см от леглото му. Тъй като тоалетната не е отделена от останалата част от пространството, той е имал натрапчивото усещане, че живее в тоалетна. Като се има предвид, че администрацията на затвора отказва да предоставя хигиенни продукти за почистване на тоалетната като четки и средства за миене, тоалетната е била неизползваема. Цялостната хигиена в килията и в общите помещения е била изключително лоша, с разхождащи се в тях хлебарки и плъхове.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t xml:space="preserve">Г. Четвъртият жалбоподател, г-н Л. Колев (жалба </w:t>
      </w:r>
      <w:r>
        <w:rPr>
          <w:rStyle w:val="ECHRHeading2"/>
          <w:cs/>
        </w:rPr>
        <w:t xml:space="preserve">№ </w:t>
      </w:r>
      <w:r>
        <w:rPr>
          <w:rStyle w:val="ECHRHeading2"/>
        </w:rPr>
        <w:t>74251/14)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11</w:t>
      </w:r>
      <w:r>
        <w:fldChar w:fldCharType="end"/>
      </w:r>
      <w:r>
        <w:rPr>
          <w:rStyle w:val="ECHRPara"/>
        </w:rPr>
        <w:t>.  На 10 юни 2011 г. първоинстанционният съд осъжда жалбоподателя на доживотен затвор без право на замяна, която е потвърдена от апелативния съд на 27 юни 2013 г. Върховният касационен съд потвърждава присъдата от доживотен затвор без право на замяна в окончателно решение от 21 май 2014 г.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12</w:t>
      </w:r>
      <w:r>
        <w:fldChar w:fldCharType="end"/>
      </w:r>
      <w:r>
        <w:rPr>
          <w:rStyle w:val="ECHRPara"/>
        </w:rPr>
        <w:t>.  </w:t>
      </w:r>
      <w:r w:rsidR="00F259B8">
        <w:rPr>
          <w:rStyle w:val="ECHRPara"/>
        </w:rPr>
        <w:t xml:space="preserve"> </w:t>
      </w:r>
      <w:r w:rsidR="00F259B8" w:rsidRPr="00F259B8">
        <w:rPr>
          <w:rStyle w:val="ECHRPara"/>
        </w:rPr>
        <w:t>Жалбоподателят описва, а Правителството не коментира</w:t>
      </w:r>
      <w:r w:rsidR="00ED1858">
        <w:rPr>
          <w:rStyle w:val="ECHRPara"/>
        </w:rPr>
        <w:t xml:space="preserve"> факта</w:t>
      </w:r>
      <w:r>
        <w:rPr>
          <w:rStyle w:val="ECHRPara"/>
        </w:rPr>
        <w:t xml:space="preserve">, че </w:t>
      </w:r>
      <w:r w:rsidR="00ED1858">
        <w:rPr>
          <w:rStyle w:val="ECHRPara"/>
        </w:rPr>
        <w:t xml:space="preserve">той </w:t>
      </w:r>
      <w:r>
        <w:rPr>
          <w:rStyle w:val="ECHRPara"/>
        </w:rPr>
        <w:t xml:space="preserve">е държан в постоянно заключена килия в затвора в гр. Пазарджик, изолиран от останалата част от затворническата популация, и му е било </w:t>
      </w:r>
      <w:r>
        <w:rPr>
          <w:rStyle w:val="ECHRPara"/>
        </w:rPr>
        <w:lastRenderedPageBreak/>
        <w:t>позволено да общува само с други осъдени на доживотен затвор по време на едночасовите ежедневни физически упражнения, които прави извън килията си. Не е имало течаща вода или тоалетна в килията му, която е с размер под 6 квадратни метра. Хигиената в килията е била много лоша</w:t>
      </w:r>
      <w:r w:rsidR="00ED1858">
        <w:rPr>
          <w:rStyle w:val="ECHRPara"/>
        </w:rPr>
        <w:t>,</w:t>
      </w:r>
      <w:r>
        <w:rPr>
          <w:rStyle w:val="ECHRPara"/>
        </w:rPr>
        <w:t xml:space="preserve"> имало </w:t>
      </w:r>
      <w:r w:rsidR="00ED1858">
        <w:rPr>
          <w:rStyle w:val="ECHRPara"/>
        </w:rPr>
        <w:t xml:space="preserve">е </w:t>
      </w:r>
      <w:r>
        <w:rPr>
          <w:rStyle w:val="ECHRPara"/>
        </w:rPr>
        <w:t xml:space="preserve">хлебарки и дървеници, а </w:t>
      </w:r>
      <w:r w:rsidR="00F259B8">
        <w:rPr>
          <w:rStyle w:val="ECHRPara"/>
        </w:rPr>
        <w:t xml:space="preserve"> администрацията на затвора </w:t>
      </w:r>
      <w:r>
        <w:rPr>
          <w:rStyle w:val="ECHRPara"/>
        </w:rPr>
        <w:t>не е направила нищо, за да ги премахне. Тъй като в килията му не е имало маса, жалбоподателят се е хранил върху вестник, постлан на леглото му. Докато естествената светлина, достигаща в килията му, е била изключително слаба, изкуствената светлина е държана включена през цялата нощ. Температурата в килията е била неадекватна, варираща между крайностите през лятото и зимата.</w:t>
      </w:r>
    </w:p>
    <w:p w:rsidR="000B4AE2" w:rsidRPr="00076730" w:rsidRDefault="000B4AE2" w:rsidP="000B4AE2">
      <w:pPr>
        <w:pStyle w:val="ECHRHeading1"/>
      </w:pPr>
      <w:r>
        <w:rPr>
          <w:rStyle w:val="ECHRHeading1"/>
        </w:rPr>
        <w:t xml:space="preserve">II.  ПРИЛОЖИМО ВЪТРЕШНО ПРАВО, ПРАКТИКА И </w:t>
      </w:r>
      <w:r w:rsidRPr="00076730">
        <w:rPr>
          <w:rStyle w:val="ECHRHeading1"/>
        </w:rPr>
        <w:t>ДОКУМЕНТИ НА КПИ</w:t>
      </w:r>
    </w:p>
    <w:p w:rsidR="000B4AE2" w:rsidRPr="00076730" w:rsidRDefault="000B4AE2" w:rsidP="000B4AE2">
      <w:pPr>
        <w:pStyle w:val="ECHRPara"/>
      </w:pPr>
      <w:r w:rsidRPr="00076730">
        <w:fldChar w:fldCharType="begin"/>
      </w:r>
      <w:r w:rsidRPr="00076730">
        <w:rPr>
          <w:rStyle w:val="ECHRPara"/>
        </w:rPr>
        <w:instrText xml:space="preserve"> SEQ level0 \*arabic </w:instrText>
      </w:r>
      <w:r w:rsidRPr="00076730">
        <w:fldChar w:fldCharType="separate"/>
      </w:r>
      <w:r w:rsidR="00F45EF4">
        <w:rPr>
          <w:rStyle w:val="ECHRPara"/>
          <w:noProof/>
        </w:rPr>
        <w:t>13</w:t>
      </w:r>
      <w:r w:rsidRPr="00076730">
        <w:fldChar w:fldCharType="end"/>
      </w:r>
      <w:r w:rsidRPr="00076730">
        <w:rPr>
          <w:rStyle w:val="ECHRPara"/>
        </w:rPr>
        <w:t xml:space="preserve">.  Законът, свързан </w:t>
      </w:r>
      <w:r w:rsidRPr="003B42A8">
        <w:rPr>
          <w:rStyle w:val="ECHRPara"/>
        </w:rPr>
        <w:t>с режима на лишените от свобода, осъдени на доживотен затвор</w:t>
      </w:r>
      <w:r w:rsidRPr="00076730">
        <w:rPr>
          <w:rStyle w:val="ECHRPara"/>
        </w:rPr>
        <w:t xml:space="preserve"> (със или без право на замяна) и констатациите на Европейския комитет за предотвратяване на изтезанията и нечовешкото или унизително отнасяне или наказание (КПИ) до 2012 г. са подробно изложени в </w:t>
      </w:r>
      <w:r w:rsidRPr="00076730">
        <w:rPr>
          <w:rStyle w:val="ECHRPara"/>
          <w:i/>
        </w:rPr>
        <w:t xml:space="preserve">Харакчиев и Толумов срещу България </w:t>
      </w:r>
      <w:r w:rsidRPr="00076730">
        <w:rPr>
          <w:rStyle w:val="ECHRPara"/>
        </w:rPr>
        <w:t>(</w:t>
      </w:r>
      <w:r w:rsidRPr="00076730">
        <w:rPr>
          <w:rStyle w:val="ECHRPara"/>
          <w:cs/>
        </w:rPr>
        <w:t xml:space="preserve">№ </w:t>
      </w:r>
      <w:r w:rsidRPr="00076730">
        <w:rPr>
          <w:rStyle w:val="ECHRPara"/>
        </w:rPr>
        <w:t>15018/11 и 61199/12, §§ 114-146, и §§ 165-174, ЕСПЧ 2014 г. (откъси)).</w:t>
      </w:r>
    </w:p>
    <w:p w:rsidR="000B4AE2" w:rsidRPr="00761D01" w:rsidRDefault="000B4AE2" w:rsidP="000B4AE2">
      <w:pPr>
        <w:pStyle w:val="ECHRPara"/>
      </w:pPr>
      <w:r w:rsidRPr="00076730">
        <w:fldChar w:fldCharType="begin"/>
      </w:r>
      <w:r w:rsidRPr="00076730">
        <w:rPr>
          <w:rStyle w:val="ECHRPara"/>
        </w:rPr>
        <w:instrText xml:space="preserve"> SEQ level0 \*arabic </w:instrText>
      </w:r>
      <w:r w:rsidRPr="00076730">
        <w:fldChar w:fldCharType="separate"/>
      </w:r>
      <w:r w:rsidR="00F45EF4">
        <w:rPr>
          <w:rStyle w:val="ECHRPara"/>
          <w:noProof/>
        </w:rPr>
        <w:t>14</w:t>
      </w:r>
      <w:r w:rsidRPr="00076730">
        <w:fldChar w:fldCharType="end"/>
      </w:r>
      <w:r w:rsidRPr="00076730">
        <w:rPr>
          <w:rStyle w:val="ECHRPara"/>
        </w:rPr>
        <w:t xml:space="preserve">.  По-конкретно, в своя доклад за посещението си в затвора в гр. Варна през 2010 г., КПИ отбелязва наред с други неща, че осъдените на доживотен затвор там са настанени в </w:t>
      </w:r>
      <w:r w:rsidR="00ED1858">
        <w:rPr>
          <w:rStyle w:val="ECHRPara"/>
        </w:rPr>
        <w:t xml:space="preserve">пренаселени </w:t>
      </w:r>
      <w:r w:rsidRPr="00076730">
        <w:rPr>
          <w:rStyle w:val="ECHRPara"/>
        </w:rPr>
        <w:t>килии, които са разрушени и нехигиенични</w:t>
      </w:r>
      <w:r>
        <w:rPr>
          <w:rStyle w:val="ECHRPara"/>
        </w:rPr>
        <w:t xml:space="preserve">, че достъпът до общата тоалетна е ограничен до три пъти дневно и че никой от тях не е имал работа, както и че предлаганите им дейности се състояли в нередовна индивидуална и групова работа (напр. управление на гнева) и </w:t>
      </w:r>
      <w:r w:rsidR="00F259B8">
        <w:rPr>
          <w:rStyle w:val="ECHRPara"/>
        </w:rPr>
        <w:t>уроци</w:t>
      </w:r>
      <w:r>
        <w:rPr>
          <w:rStyle w:val="ECHRPara"/>
        </w:rPr>
        <w:t xml:space="preserve"> по английски </w:t>
      </w:r>
      <w:r w:rsidR="00F259B8">
        <w:rPr>
          <w:rStyle w:val="ECHRPara"/>
        </w:rPr>
        <w:t>език</w:t>
      </w:r>
      <w:r>
        <w:rPr>
          <w:rStyle w:val="ECHRPara"/>
        </w:rPr>
        <w:t xml:space="preserve"> (два пъти седмично) в допълнение към ежедневни едночасови упражнения на открито и достъп до маса за тенис, която може да се използва половин час два пъти седмично.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15</w:t>
      </w:r>
      <w:r>
        <w:fldChar w:fldCharType="end"/>
      </w:r>
      <w:r>
        <w:rPr>
          <w:rStyle w:val="ECHRPara"/>
        </w:rPr>
        <w:t xml:space="preserve">.  В Плана си за действие от декември 2014 г., представен в Отдела за изпълнение на решенията на Европейския съд по правата на човека (ЕСПЧ) към Съвета на Европа в контекста на изпълнението на решението на Съда от 2012 г. по отношение на третия жалбоподател (вж. параграф 8 по-горе), българското </w:t>
      </w:r>
      <w:r w:rsidR="00ED1858">
        <w:rPr>
          <w:rStyle w:val="ECHRPara"/>
        </w:rPr>
        <w:t>п</w:t>
      </w:r>
      <w:r>
        <w:rPr>
          <w:rStyle w:val="ECHRPara"/>
        </w:rPr>
        <w:t>равителство заявява, че той е бил настанен в реновирана килия с площ от 6 квадратни метра в зоната с висока степен на сигурност в затвора в гр. Варна</w:t>
      </w:r>
      <w:r w:rsidR="00ED1858">
        <w:rPr>
          <w:rStyle w:val="ECHRPara"/>
        </w:rPr>
        <w:t>,</w:t>
      </w:r>
      <w:r>
        <w:rPr>
          <w:rStyle w:val="ECHRPara"/>
        </w:rPr>
        <w:t xml:space="preserve"> и че в килията има тоалетна, чисто легло и матрак. Година по-късно, в своя доклад за посещението си в затвора в гр. Варна през 2015 г., КПИ отбелязва, че повечето части от този затвор не са годни за настаняване на хора и представляват сериозен риск за здравето</w:t>
      </w:r>
      <w:r w:rsidR="008B47AF">
        <w:rPr>
          <w:rStyle w:val="ECHRPara"/>
        </w:rPr>
        <w:t>,</w:t>
      </w:r>
      <w:r>
        <w:rPr>
          <w:rStyle w:val="ECHRPara"/>
        </w:rPr>
        <w:t xml:space="preserve"> както на лишените от свобода, така и на персонала. Въпреки многократните критики, не е забелязан напредък по отношение на изпълнението на препоръките на КПИ, </w:t>
      </w:r>
      <w:r>
        <w:rPr>
          <w:rStyle w:val="ECHRPara"/>
        </w:rPr>
        <w:lastRenderedPageBreak/>
        <w:t>направени след предходните му посещения. КПИ заключва, че според него</w:t>
      </w:r>
      <w:r w:rsidR="008B47AF">
        <w:rPr>
          <w:rStyle w:val="ECHRPara"/>
        </w:rPr>
        <w:t>,</w:t>
      </w:r>
      <w:r>
        <w:rPr>
          <w:rStyle w:val="ECHRPara"/>
        </w:rPr>
        <w:t xml:space="preserve"> дори само битовите условия в затвора биха могли да се възприемат като нечовешко и унизително отнасяне.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16</w:t>
      </w:r>
      <w:r>
        <w:fldChar w:fldCharType="end"/>
      </w:r>
      <w:r>
        <w:rPr>
          <w:rStyle w:val="ECHRPara"/>
        </w:rPr>
        <w:t xml:space="preserve">.  Приложимото </w:t>
      </w:r>
      <w:r w:rsidR="00D0501D">
        <w:rPr>
          <w:rStyle w:val="ECHRPara"/>
        </w:rPr>
        <w:t>национално законодателство</w:t>
      </w:r>
      <w:r>
        <w:rPr>
          <w:rStyle w:val="ECHRPara"/>
        </w:rPr>
        <w:t xml:space="preserve"> по отношение на условията на задържане преди измененията от 2017 г. в Закона за изпълнение на наказанията и задържането под стража от 2009 г. (</w:t>
      </w:r>
      <w:r>
        <w:rPr>
          <w:rStyle w:val="ECHRPara"/>
          <w:cs/>
        </w:rPr>
        <w:t>”</w:t>
      </w:r>
      <w:r>
        <w:rPr>
          <w:rStyle w:val="ECHRPara"/>
        </w:rPr>
        <w:t>ЗИНЗС от 2009 г.</w:t>
      </w:r>
      <w:r>
        <w:rPr>
          <w:rStyle w:val="ECHRPara"/>
          <w:cs/>
        </w:rPr>
        <w:t>”</w:t>
      </w:r>
      <w:r>
        <w:rPr>
          <w:rStyle w:val="ECHRPara"/>
        </w:rPr>
        <w:t xml:space="preserve">) е изложено в </w:t>
      </w:r>
      <w:r>
        <w:rPr>
          <w:rStyle w:val="ECHRPara"/>
          <w:i/>
        </w:rPr>
        <w:t xml:space="preserve">Нешков и други срещу България </w:t>
      </w:r>
      <w:r>
        <w:rPr>
          <w:rStyle w:val="ECHRPara"/>
        </w:rPr>
        <w:t>(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36925/10 и 5 други, § 92-139, 27 януари 2015 г.). Измененията от 2017 г. на ЗИНЗС от 2009 г. са изложени в </w:t>
      </w:r>
      <w:r w:rsidR="00D0501D">
        <w:rPr>
          <w:rStyle w:val="ECHRPara"/>
        </w:rPr>
        <w:t xml:space="preserve">решението </w:t>
      </w:r>
      <w:r>
        <w:rPr>
          <w:rStyle w:val="ECHRPara"/>
        </w:rPr>
        <w:t xml:space="preserve">на Съда за недопустимост в </w:t>
      </w:r>
      <w:r>
        <w:rPr>
          <w:rStyle w:val="ECHRPara"/>
          <w:i/>
        </w:rPr>
        <w:t>Атанасов и Апостолов срещу България</w:t>
      </w:r>
      <w:r>
        <w:rPr>
          <w:rStyle w:val="ECHRPara"/>
        </w:rPr>
        <w:t xml:space="preserve"> (</w:t>
      </w:r>
      <w:r>
        <w:rPr>
          <w:rStyle w:val="ECHRPara"/>
          <w:cs/>
        </w:rPr>
        <w:t xml:space="preserve">№ </w:t>
      </w:r>
      <w:r>
        <w:rPr>
          <w:rStyle w:val="ECHRPara"/>
        </w:rPr>
        <w:t>65540/16 и 22368/17, §§ 15</w:t>
      </w:r>
      <w:r>
        <w:rPr>
          <w:rStyle w:val="ECHRPara"/>
          <w:cs/>
        </w:rPr>
        <w:t>–</w:t>
      </w:r>
      <w:r>
        <w:rPr>
          <w:rStyle w:val="ECHRPara"/>
        </w:rPr>
        <w:t>28, 27 юни 2017 г.).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17</w:t>
      </w:r>
      <w:r>
        <w:fldChar w:fldCharType="end"/>
      </w:r>
      <w:r>
        <w:rPr>
          <w:rStyle w:val="ECHRPara"/>
        </w:rPr>
        <w:t xml:space="preserve">.  Освен това, </w:t>
      </w:r>
      <w:r w:rsidR="008B47AF">
        <w:rPr>
          <w:rStyle w:val="ECHRPara"/>
        </w:rPr>
        <w:t>към</w:t>
      </w:r>
      <w:r>
        <w:rPr>
          <w:rStyle w:val="ECHRPara"/>
        </w:rPr>
        <w:t xml:space="preserve"> относи</w:t>
      </w:r>
      <w:r w:rsidR="008B47AF">
        <w:rPr>
          <w:rStyle w:val="ECHRPara"/>
        </w:rPr>
        <w:t>мият</w:t>
      </w:r>
      <w:r>
        <w:rPr>
          <w:rStyle w:val="ECHRPara"/>
        </w:rPr>
        <w:t xml:space="preserve"> </w:t>
      </w:r>
      <w:r w:rsidR="008B47AF">
        <w:rPr>
          <w:rStyle w:val="ECHRPara"/>
        </w:rPr>
        <w:t>период</w:t>
      </w:r>
      <w:r>
        <w:rPr>
          <w:rStyle w:val="ECHRPara"/>
        </w:rPr>
        <w:t xml:space="preserve">, а именно през 2011 г. (вж. параграф 5 по-горе), чл. 248, ал. 1, т. 1 от ЗИНЗС от 2009 г. предвижда обвиняемите и лицата, </w:t>
      </w:r>
      <w:r w:rsidR="009229C2">
        <w:rPr>
          <w:rStyle w:val="ECHRPara"/>
        </w:rPr>
        <w:t xml:space="preserve"> които са осъдени</w:t>
      </w:r>
      <w:r>
        <w:rPr>
          <w:rStyle w:val="ECHRPara"/>
        </w:rPr>
        <w:t>, да бъдат държани в постоянно заключени килии без право на участие в колективни действия, когато престъплението, за което са</w:t>
      </w:r>
      <w:r w:rsidR="009229C2">
        <w:rPr>
          <w:rStyle w:val="ECHRPara"/>
        </w:rPr>
        <w:t xml:space="preserve"> осъдени</w:t>
      </w:r>
      <w:r>
        <w:rPr>
          <w:rStyle w:val="ECHRPara"/>
        </w:rPr>
        <w:t>, е наказуемо с лишаване от свобода над 15 години или с доживотен затвор.</w:t>
      </w:r>
    </w:p>
    <w:p w:rsidR="000B4AE2" w:rsidRPr="00761D01" w:rsidRDefault="00D0501D" w:rsidP="000B4AE2">
      <w:pPr>
        <w:pStyle w:val="ECHRTitle1"/>
      </w:pPr>
      <w:r>
        <w:rPr>
          <w:rStyle w:val="ECHRTitle1"/>
        </w:rPr>
        <w:t>ПРАВОТО</w:t>
      </w:r>
    </w:p>
    <w:p w:rsidR="000B4AE2" w:rsidRPr="00B57685" w:rsidRDefault="000B4AE2" w:rsidP="000B4AE2">
      <w:pPr>
        <w:pStyle w:val="ECHRHeading1"/>
        <w:rPr>
          <w:rFonts w:eastAsia="Times New Roman"/>
        </w:rPr>
      </w:pPr>
      <w:r>
        <w:rPr>
          <w:rStyle w:val="ECHRHeading1"/>
        </w:rPr>
        <w:t>I.  </w:t>
      </w:r>
      <w:r w:rsidR="00D0501D">
        <w:rPr>
          <w:rStyle w:val="ECHRHeading1"/>
        </w:rPr>
        <w:t xml:space="preserve">ОБЕДИНЯВАНЕ </w:t>
      </w:r>
      <w:r>
        <w:rPr>
          <w:rStyle w:val="ECHRHeading1"/>
        </w:rPr>
        <w:t>НА ЖАЛБИТЕ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18</w:t>
      </w:r>
      <w:r>
        <w:fldChar w:fldCharType="end"/>
      </w:r>
      <w:r>
        <w:rPr>
          <w:rStyle w:val="ECHRPara"/>
        </w:rPr>
        <w:t>.  Предвид сходния предмет на тези четири жалби е уместно те да бъдат разгледани заедно</w:t>
      </w:r>
      <w:r w:rsidR="008B47AF">
        <w:rPr>
          <w:rStyle w:val="ECHRPara"/>
        </w:rPr>
        <w:t>,</w:t>
      </w:r>
      <w:r>
        <w:rPr>
          <w:rStyle w:val="ECHRPara"/>
        </w:rPr>
        <w:t xml:space="preserve"> съгласно </w:t>
      </w:r>
      <w:r w:rsidR="00D0501D">
        <w:rPr>
          <w:rStyle w:val="ECHRPara"/>
        </w:rPr>
        <w:t>п</w:t>
      </w:r>
      <w:r>
        <w:rPr>
          <w:rStyle w:val="ECHRPara"/>
        </w:rPr>
        <w:t>равило 42 § 1 от Правилника на Съда.</w:t>
      </w:r>
    </w:p>
    <w:p w:rsidR="000B4AE2" w:rsidRPr="00761D01" w:rsidRDefault="000B4AE2" w:rsidP="000B4AE2">
      <w:pPr>
        <w:pStyle w:val="ECHRHeading1"/>
      </w:pPr>
      <w:r>
        <w:rPr>
          <w:rStyle w:val="ECHRHeading1"/>
        </w:rPr>
        <w:t xml:space="preserve">II.  ТВЪРДЯНО НАРУШЕНИЕ НА ЧЛ. 3 ОТ КОНВЕНЦИЯТА В РЕЗУЛТАТ НА ПРЕКОМЕРНО ОГРАНИЧИТЕЛНИЯ ЗАТВОРНИЧЕСКИ РЕЖИМ И ЛОШИТЕ </w:t>
      </w:r>
      <w:r w:rsidR="00D0501D">
        <w:rPr>
          <w:rStyle w:val="ECHRHeading1"/>
        </w:rPr>
        <w:t xml:space="preserve">МАТЕРИАЛНИ </w:t>
      </w:r>
      <w:r>
        <w:rPr>
          <w:rStyle w:val="ECHRHeading1"/>
        </w:rPr>
        <w:t>УСЛОВИЯ НА ЗАДЪРЖАНЕТО НА ЖАЛБОПОДАТЕЛИТЕ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19</w:t>
      </w:r>
      <w:r>
        <w:fldChar w:fldCharType="end"/>
      </w:r>
      <w:r>
        <w:rPr>
          <w:rStyle w:val="ECHRPara"/>
        </w:rPr>
        <w:t>.  Жалбоподателите се оплакват от прекомерно ограничителния режим и неадекватните условия на задържане, при които са изтърпявали или изтърпяват присъдите си. Те твърдят нарушение на чл. 3 от Конвенцията, който гласи:</w:t>
      </w:r>
    </w:p>
    <w:p w:rsidR="000B4AE2" w:rsidRPr="00761D01" w:rsidRDefault="000B4AE2" w:rsidP="000B4AE2">
      <w:pPr>
        <w:pStyle w:val="ECHRParaQuote"/>
      </w:pPr>
      <w:r>
        <w:rPr>
          <w:rStyle w:val="ECHRParaQuote"/>
          <w:cs/>
        </w:rPr>
        <w:t>“</w:t>
      </w:r>
      <w:r>
        <w:rPr>
          <w:rStyle w:val="ECHRParaQuote"/>
        </w:rPr>
        <w:t>Никой не може да бъде подложен на изтезания или нечовешко или унизително отнасяне или наказание.</w:t>
      </w:r>
      <w:r>
        <w:rPr>
          <w:rStyle w:val="ECHRParaQuote"/>
          <w:cs/>
        </w:rPr>
        <w:t>”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lastRenderedPageBreak/>
        <w:t>A.  Допустимост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20</w:t>
      </w:r>
      <w:r>
        <w:fldChar w:fldCharType="end"/>
      </w:r>
      <w:r>
        <w:rPr>
          <w:rStyle w:val="ECHRPara"/>
        </w:rPr>
        <w:t xml:space="preserve">.  Съдът отбелязва, че оплакването по отношение на условията на задържане и прилагането на </w:t>
      </w:r>
      <w:r>
        <w:rPr>
          <w:rStyle w:val="ECHRPara"/>
          <w:cs/>
        </w:rPr>
        <w:t>“</w:t>
      </w:r>
      <w:r>
        <w:rPr>
          <w:rStyle w:val="ECHRPara"/>
        </w:rPr>
        <w:t>специален режим</w:t>
      </w:r>
      <w:r>
        <w:rPr>
          <w:rStyle w:val="ECHRPara"/>
          <w:cs/>
        </w:rPr>
        <w:t>”</w:t>
      </w:r>
      <w:r>
        <w:rPr>
          <w:rStyle w:val="ECHRPara"/>
        </w:rPr>
        <w:t>, направено от жалбоподателите, не е явно необосновано по смисъла на чл. 35 § 3 (a) от Конвенцията. Той отбелязва още, че то не е недопустимо на друг</w:t>
      </w:r>
      <w:r w:rsidR="00343456">
        <w:rPr>
          <w:rStyle w:val="ECHRPara"/>
        </w:rPr>
        <w:t>о</w:t>
      </w:r>
      <w:r>
        <w:rPr>
          <w:rStyle w:val="ECHRPara"/>
        </w:rPr>
        <w:t xml:space="preserve"> основани</w:t>
      </w:r>
      <w:r w:rsidR="00343456">
        <w:rPr>
          <w:rStyle w:val="ECHRPara"/>
        </w:rPr>
        <w:t>е</w:t>
      </w:r>
      <w:r>
        <w:rPr>
          <w:rStyle w:val="ECHRPara"/>
        </w:rPr>
        <w:t xml:space="preserve">. Следователно то </w:t>
      </w:r>
      <w:r w:rsidR="00343456">
        <w:rPr>
          <w:rStyle w:val="ECHRPara"/>
        </w:rPr>
        <w:t>е</w:t>
      </w:r>
      <w:r>
        <w:rPr>
          <w:rStyle w:val="ECHRPara"/>
        </w:rPr>
        <w:t xml:space="preserve"> допустимо.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t xml:space="preserve">Б. </w:t>
      </w:r>
      <w:r w:rsidR="00343456">
        <w:rPr>
          <w:rStyle w:val="ECHRHeading2"/>
        </w:rPr>
        <w:t>По същество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21</w:t>
      </w:r>
      <w:r>
        <w:fldChar w:fldCharType="end"/>
      </w:r>
      <w:r>
        <w:rPr>
          <w:rStyle w:val="ECHRPara"/>
        </w:rPr>
        <w:t>.  Жалбоподателите поддържат оплакванията си.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22</w:t>
      </w:r>
      <w:r>
        <w:fldChar w:fldCharType="end"/>
      </w:r>
      <w:r>
        <w:rPr>
          <w:rStyle w:val="ECHRPara"/>
        </w:rPr>
        <w:t xml:space="preserve">.  Правителството не представя становище по основателността. По времето на представяне на своето становище относно претенциите на жалбоподателите за справедливо обезщетение, Правителството информира за предстоящите тогава промени в ЗИНЗС от 2009 г. по-конкретно по отношение на </w:t>
      </w:r>
      <w:r>
        <w:rPr>
          <w:rStyle w:val="ECHRPara"/>
          <w:cs/>
        </w:rPr>
        <w:t>“</w:t>
      </w:r>
      <w:r>
        <w:rPr>
          <w:rStyle w:val="ECHRPara"/>
        </w:rPr>
        <w:t>специалния затворнически режим</w:t>
      </w:r>
      <w:r>
        <w:rPr>
          <w:rStyle w:val="ECHRPara"/>
          <w:cs/>
        </w:rPr>
        <w:t>”</w:t>
      </w:r>
      <w:r>
        <w:rPr>
          <w:rStyle w:val="ECHRPara"/>
        </w:rPr>
        <w:t xml:space="preserve">, приети на първо четене от Народното събрание. По-конкретно, автоматичното налагане и поддържане на </w:t>
      </w:r>
      <w:r>
        <w:rPr>
          <w:rStyle w:val="ECHRPara"/>
          <w:cs/>
        </w:rPr>
        <w:t>“</w:t>
      </w:r>
      <w:r>
        <w:rPr>
          <w:rStyle w:val="ECHRPara"/>
        </w:rPr>
        <w:t>специалния режим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към осъдените на доживотен затвор са </w:t>
      </w:r>
      <w:r w:rsidR="00D43A7B">
        <w:rPr>
          <w:rStyle w:val="ECHRPara"/>
        </w:rPr>
        <w:t xml:space="preserve">изменени </w:t>
      </w:r>
      <w:r>
        <w:rPr>
          <w:rStyle w:val="ECHRPara"/>
        </w:rPr>
        <w:t>чрез въвеждане на възможност за оценка на необходимостта от продължаване на режима една година след налагането му.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23</w:t>
      </w:r>
      <w:r>
        <w:fldChar w:fldCharType="end"/>
      </w:r>
      <w:r>
        <w:rPr>
          <w:rStyle w:val="ECHRPara"/>
        </w:rPr>
        <w:t>.  Що се отнася до последиците от изолацията върху личността на затворника</w:t>
      </w:r>
      <w:r w:rsidR="008B47AF">
        <w:rPr>
          <w:rStyle w:val="ECHRPara"/>
        </w:rPr>
        <w:t>,</w:t>
      </w:r>
      <w:r>
        <w:rPr>
          <w:rStyle w:val="ECHRPara"/>
        </w:rPr>
        <w:t xml:space="preserve"> Съдът е приел, че всички форми на изолиране в наказателна килия без подходящ</w:t>
      </w:r>
      <w:r w:rsidR="00D43A7B">
        <w:rPr>
          <w:rStyle w:val="ECHRPara"/>
        </w:rPr>
        <w:t>а</w:t>
      </w:r>
      <w:r>
        <w:rPr>
          <w:rStyle w:val="ECHRPara"/>
        </w:rPr>
        <w:t xml:space="preserve"> умствена и физическа стимулация е вероятно в дългосрочен план да има вредни последици, водещи до влошаване на умствените възможности и социални способности (вж. </w:t>
      </w:r>
      <w:r>
        <w:rPr>
          <w:rStyle w:val="ECHRPara"/>
          <w:i/>
        </w:rPr>
        <w:t>Харакчиев и Толумов</w:t>
      </w:r>
      <w:r>
        <w:rPr>
          <w:rStyle w:val="ECHRPara"/>
        </w:rPr>
        <w:t>, цитирано по-горе, § 204). Също така, що се отнася по-конкретно до лицата, изтърпяващи доживотни присъди, тях</w:t>
      </w:r>
      <w:r w:rsidR="008B47AF">
        <w:rPr>
          <w:rStyle w:val="ECHRPara"/>
        </w:rPr>
        <w:t>ното</w:t>
      </w:r>
      <w:r>
        <w:rPr>
          <w:rStyle w:val="ECHRPara"/>
        </w:rPr>
        <w:t xml:space="preserve"> автоматичн</w:t>
      </w:r>
      <w:r w:rsidR="008B47AF">
        <w:rPr>
          <w:rStyle w:val="ECHRPara"/>
        </w:rPr>
        <w:t>о</w:t>
      </w:r>
      <w:r>
        <w:rPr>
          <w:rStyle w:val="ECHRPara"/>
        </w:rPr>
        <w:t xml:space="preserve"> </w:t>
      </w:r>
      <w:r w:rsidR="008B47AF">
        <w:rPr>
          <w:rStyle w:val="ECHRPara"/>
        </w:rPr>
        <w:t xml:space="preserve">отделяне </w:t>
      </w:r>
      <w:r>
        <w:rPr>
          <w:rStyle w:val="ECHRPara"/>
        </w:rPr>
        <w:t>от останалата част от затворническата популация и един от друг, по-конкретно когато не са налице обширни дейности извън килията или стимули вътре в килията, може сам</w:t>
      </w:r>
      <w:r w:rsidR="008B47AF">
        <w:rPr>
          <w:rStyle w:val="ECHRPara"/>
        </w:rPr>
        <w:t>о</w:t>
      </w:r>
      <w:r>
        <w:rPr>
          <w:rStyle w:val="ECHRPara"/>
        </w:rPr>
        <w:t xml:space="preserve"> по себе си да повдигне въпрос по чл. 3 от Конвенцията (вж. </w:t>
      </w:r>
      <w:r>
        <w:rPr>
          <w:rStyle w:val="ECHRPara"/>
          <w:i/>
        </w:rPr>
        <w:t>Savičs v. Latvia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17892/03, § 139, 27 ноември 2012 г.). Също така Съдът </w:t>
      </w:r>
      <w:r w:rsidR="00D43A7B">
        <w:rPr>
          <w:rStyle w:val="ECHRPara"/>
        </w:rPr>
        <w:t>намира</w:t>
      </w:r>
      <w:r>
        <w:rPr>
          <w:rStyle w:val="ECHRPara"/>
        </w:rPr>
        <w:t xml:space="preserve">, че изолацията трябва да бъде обоснована от конкретни причини, свързани със сигурността (вж. </w:t>
      </w:r>
      <w:r>
        <w:rPr>
          <w:rStyle w:val="ECHRPara"/>
          <w:i/>
        </w:rPr>
        <w:t>Харакчиев и Толумов</w:t>
      </w:r>
      <w:r>
        <w:rPr>
          <w:rStyle w:val="ECHRPara"/>
        </w:rPr>
        <w:t xml:space="preserve">, цитирано по-горе, § 204, с допълнителни препратки към актове с незадължителна юридическа сила; вж. също </w:t>
      </w:r>
      <w:r>
        <w:rPr>
          <w:rStyle w:val="ECHRPara"/>
          <w:i/>
        </w:rPr>
        <w:t>Радев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>37994/09, § 42, 17 ноември 2015 г.).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24</w:t>
      </w:r>
      <w:r>
        <w:fldChar w:fldCharType="end"/>
      </w:r>
      <w:r>
        <w:rPr>
          <w:rStyle w:val="ECHRPara"/>
        </w:rPr>
        <w:t>.  Що се отнася до настоящ</w:t>
      </w:r>
      <w:r w:rsidR="00D43A7B">
        <w:rPr>
          <w:rStyle w:val="ECHRPara"/>
        </w:rPr>
        <w:t>ия случай</w:t>
      </w:r>
      <w:r>
        <w:rPr>
          <w:rStyle w:val="ECHRPara"/>
        </w:rPr>
        <w:t xml:space="preserve">, Съдът отбелязва по отношение на изолацията на жалбоподателите, че е безспорно, че макар само трима от четиримата жалбоподатели да са осъдени на доживотен затвор (със или без право на замяна), и четиримата остават затворени в своите </w:t>
      </w:r>
      <w:r w:rsidR="00D43A7B">
        <w:rPr>
          <w:rStyle w:val="ECHRPara"/>
        </w:rPr>
        <w:t xml:space="preserve">килии </w:t>
      </w:r>
      <w:r>
        <w:rPr>
          <w:rStyle w:val="ECHRPara"/>
        </w:rPr>
        <w:t>през по-голямата част от времето</w:t>
      </w:r>
      <w:r w:rsidR="008B47AF">
        <w:rPr>
          <w:rStyle w:val="ECHRPara"/>
        </w:rPr>
        <w:t>,</w:t>
      </w:r>
      <w:r>
        <w:rPr>
          <w:rStyle w:val="ECHRPara"/>
        </w:rPr>
        <w:t xml:space="preserve">  повече от двадесет часа на ден</w:t>
      </w:r>
      <w:r w:rsidR="008B47AF">
        <w:rPr>
          <w:rStyle w:val="ECHRPara"/>
        </w:rPr>
        <w:t>,</w:t>
      </w:r>
      <w:r>
        <w:rPr>
          <w:rStyle w:val="ECHRPara"/>
        </w:rPr>
        <w:t xml:space="preserve"> </w:t>
      </w:r>
      <w:r w:rsidR="008B47AF">
        <w:rPr>
          <w:rStyle w:val="ECHRPara"/>
        </w:rPr>
        <w:t>като</w:t>
      </w:r>
      <w:r>
        <w:rPr>
          <w:rStyle w:val="ECHRPara"/>
        </w:rPr>
        <w:t xml:space="preserve"> имат само ограничена възможност за физически </w:t>
      </w:r>
      <w:r>
        <w:rPr>
          <w:rStyle w:val="ECHRPara"/>
        </w:rPr>
        <w:lastRenderedPageBreak/>
        <w:t>упражнения през цялото времетраене на изтърпяването на своите присъди; по отношение на първия жалбоподател, т</w:t>
      </w:r>
      <w:r w:rsidR="008B47AF">
        <w:rPr>
          <w:rStyle w:val="ECHRPara"/>
        </w:rPr>
        <w:t>акава</w:t>
      </w:r>
      <w:r>
        <w:rPr>
          <w:rStyle w:val="ECHRPara"/>
        </w:rPr>
        <w:t xml:space="preserve"> е ситуацията, докато не е прехвърлен в затвора в гр. Варна (вж. параграф 5 по-горе). Правителството не споменава участието на жалбоподателите в смислени общи дейности, работа или образователни курсове. И четиримата жалбоподатели са отделени от другите категории затворници; по-конкретно, вторият, третият и четвъртият жалбоподател - въз основа на прилагане на относимите правила за осъдени на доживотен затвор, а първият жалбоподател - въз основа на заповед на началника на затвора (вж. параграф 5 по-горе). Не са изложени съображения за сигурност, свързани с отделните жалбоподатели, за да се обясни описаната по-горе трайна изолация и сегрегация.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25</w:t>
      </w:r>
      <w:r>
        <w:fldChar w:fldCharType="end"/>
      </w:r>
      <w:r>
        <w:rPr>
          <w:rStyle w:val="ECHRPara"/>
        </w:rPr>
        <w:t xml:space="preserve">.  Съдът също така отбелязва в настоящите жалби редица повтарящи се особености на </w:t>
      </w:r>
      <w:r w:rsidR="00FA2559">
        <w:rPr>
          <w:rStyle w:val="ECHRPara"/>
        </w:rPr>
        <w:t xml:space="preserve">материалните </w:t>
      </w:r>
      <w:r>
        <w:rPr>
          <w:rStyle w:val="ECHRPara"/>
        </w:rPr>
        <w:t xml:space="preserve">условия на задържане, които последователно са критикувани от него в предходни дела (вж. описанието на фактите по-горе за подробности, както са представени от жалбоподателите и не са оспорени от Правителството); сред тях особено се откроява липсата на лесен достъп до тоалетна (вж. </w:t>
      </w:r>
      <w:r>
        <w:rPr>
          <w:rStyle w:val="ECHRPara"/>
          <w:i/>
        </w:rPr>
        <w:t>Харакчиев и Толумов</w:t>
      </w:r>
      <w:r>
        <w:rPr>
          <w:rStyle w:val="ECHRPara"/>
        </w:rPr>
        <w:t xml:space="preserve">, цитирано по-горе, § 211). По отношение на положението конкретно на третия жалбоподател, Съдът повтаря предишните си констатации, че за да може една тоалетна, която не е отделена от останалата част от затворническата килия на жалбоподателя, да бъде използваема, властите трябва да предоставят основни хигиенни продукти, включително тоалетна хартия (вж. </w:t>
      </w:r>
      <w:r w:rsidRPr="003B42A8">
        <w:rPr>
          <w:rStyle w:val="ECHRPara"/>
        </w:rPr>
        <w:t>Радев</w:t>
      </w:r>
      <w:r w:rsidRPr="00A10354">
        <w:rPr>
          <w:rStyle w:val="ECHRPara"/>
        </w:rPr>
        <w:t>,</w:t>
      </w:r>
      <w:r>
        <w:rPr>
          <w:rStyle w:val="ECHRPara"/>
        </w:rPr>
        <w:t xml:space="preserve"> цитирано по-горе, § 55).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26</w:t>
      </w:r>
      <w:r>
        <w:fldChar w:fldCharType="end"/>
      </w:r>
      <w:r>
        <w:rPr>
          <w:rStyle w:val="ECHRPara"/>
        </w:rPr>
        <w:t>.  С оглед на всичко казано по-горе, като взема предвид кумулативния ефект от условията, на които са подложени жалбоподателите при задържане</w:t>
      </w:r>
      <w:r w:rsidR="00FA2559">
        <w:rPr>
          <w:rStyle w:val="ECHRPara"/>
        </w:rPr>
        <w:t>то им</w:t>
      </w:r>
      <w:r>
        <w:rPr>
          <w:rStyle w:val="ECHRPara"/>
        </w:rPr>
        <w:t xml:space="preserve">, както по отношение на силно ограничителния режим на лишаване от свобода, който не е обяснен с индивидуални съображения за сигурност, така и на </w:t>
      </w:r>
      <w:r w:rsidR="00FA2559">
        <w:rPr>
          <w:rStyle w:val="ECHRPara"/>
        </w:rPr>
        <w:t xml:space="preserve">материалните </w:t>
      </w:r>
      <w:r>
        <w:rPr>
          <w:rStyle w:val="ECHRPara"/>
        </w:rPr>
        <w:t xml:space="preserve">условия, при които те са държани, а също така и периода на задържането им - между около четири и десет години досега, Съдът </w:t>
      </w:r>
      <w:r w:rsidR="00FA2559">
        <w:rPr>
          <w:rStyle w:val="ECHRPara"/>
        </w:rPr>
        <w:t>намира</w:t>
      </w:r>
      <w:r>
        <w:rPr>
          <w:rStyle w:val="ECHRPara"/>
        </w:rPr>
        <w:t>, че страданието и трудностите, които са изтърпели, надхвърлят неизбежното ниво на страдание, присъщо на задържането, и са достатъчно тежки, за да бъдат квалифицирани като нечовешко и унизително отнасяне.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27</w:t>
      </w:r>
      <w:r>
        <w:fldChar w:fldCharType="end"/>
      </w:r>
      <w:r>
        <w:rPr>
          <w:rStyle w:val="ECHRPara"/>
        </w:rPr>
        <w:t>.  Следователно е налице нарушение на чл. 3 от Конвенцията по отношение на всичките четирима жалбоподатели.</w:t>
      </w:r>
    </w:p>
    <w:p w:rsidR="000B4AE2" w:rsidRPr="00761D01" w:rsidRDefault="000B4AE2" w:rsidP="000B4AE2">
      <w:pPr>
        <w:pStyle w:val="ECHRHeading1"/>
      </w:pPr>
      <w:r>
        <w:rPr>
          <w:rStyle w:val="ECHRHeading1"/>
        </w:rPr>
        <w:lastRenderedPageBreak/>
        <w:t>III.  ТВЪРДЯНО НАРУШЕНИЕ НА ЧЛ. 13 ВЪВ ВРЪЗКА С ЧЛ. 3 ОТ КОНВЕНЦИЯТА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28</w:t>
      </w:r>
      <w:r>
        <w:fldChar w:fldCharType="end"/>
      </w:r>
      <w:r>
        <w:rPr>
          <w:rStyle w:val="ECHRPara"/>
        </w:rPr>
        <w:t>.  Вторият, третият и четвъртият жалбоподател също се оплакват, че в това отношение не разполагат с ефективно средство за защита, както е предвидено в чл. 13 от Конвенцията, който гласи:</w:t>
      </w:r>
    </w:p>
    <w:p w:rsidR="000B4AE2" w:rsidRPr="00761D01" w:rsidRDefault="000B4AE2" w:rsidP="000B4AE2">
      <w:pPr>
        <w:pStyle w:val="ECHRParaQuote"/>
      </w:pPr>
      <w:r>
        <w:rPr>
          <w:rStyle w:val="ECHRParaQuote"/>
        </w:rPr>
        <w:t>"Βсеки,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29</w:t>
      </w:r>
      <w:r>
        <w:fldChar w:fldCharType="end"/>
      </w:r>
      <w:r>
        <w:rPr>
          <w:rStyle w:val="ECHRPara"/>
        </w:rPr>
        <w:t>.  Правителството не представя становище.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30</w:t>
      </w:r>
      <w:r>
        <w:fldChar w:fldCharType="end"/>
      </w:r>
      <w:r>
        <w:rPr>
          <w:rStyle w:val="ECHRPara"/>
        </w:rPr>
        <w:t>.  Съдът отбелязва, че това оплакване е свързано с разгледаното по-горе и също трябва да бъде обявено за допустимо.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31</w:t>
      </w:r>
      <w:r>
        <w:fldChar w:fldCharType="end"/>
      </w:r>
      <w:r>
        <w:rPr>
          <w:rStyle w:val="ECHRPara"/>
        </w:rPr>
        <w:t xml:space="preserve">.  Съдът отбеляза, че приложимото </w:t>
      </w:r>
      <w:r w:rsidR="00DA1718">
        <w:rPr>
          <w:rStyle w:val="ECHRPara"/>
        </w:rPr>
        <w:t xml:space="preserve">национално </w:t>
      </w:r>
      <w:r>
        <w:rPr>
          <w:rStyle w:val="ECHRPara"/>
        </w:rPr>
        <w:t xml:space="preserve">законодателство наскоро е </w:t>
      </w:r>
      <w:r w:rsidR="00DA1718">
        <w:rPr>
          <w:rStyle w:val="ECHRPara"/>
        </w:rPr>
        <w:t xml:space="preserve">изменено </w:t>
      </w:r>
      <w:r>
        <w:rPr>
          <w:rStyle w:val="ECHRPara"/>
        </w:rPr>
        <w:t>(вж. параграф 16 по-горе)</w:t>
      </w:r>
      <w:r w:rsidR="00A10354">
        <w:rPr>
          <w:rStyle w:val="ECHRPara"/>
        </w:rPr>
        <w:t>,</w:t>
      </w:r>
      <w:r>
        <w:rPr>
          <w:rStyle w:val="ECHRPara"/>
        </w:rPr>
        <w:t xml:space="preserve"> и че впоследствие е констатирал, че двете нови правни средства за защита, въведени във връзка с твърд</w:t>
      </w:r>
      <w:r w:rsidR="00A10354">
        <w:rPr>
          <w:rStyle w:val="ECHRPara"/>
        </w:rPr>
        <w:t>я</w:t>
      </w:r>
      <w:r>
        <w:rPr>
          <w:rStyle w:val="ECHRPara"/>
        </w:rPr>
        <w:t xml:space="preserve">ни нечовешки или унизителни условия на задържане, могат да се смятат за ефективни (вж. </w:t>
      </w:r>
      <w:r>
        <w:rPr>
          <w:rStyle w:val="ECHRPara"/>
          <w:i/>
        </w:rPr>
        <w:t>Атанасов и Апостолов</w:t>
      </w:r>
      <w:r>
        <w:rPr>
          <w:rStyle w:val="ECHRPara"/>
        </w:rPr>
        <w:t xml:space="preserve">, (решение за допустимост), цитирано по-горе, § 67). Правителството обаче не твърди, че тези законови промени, приети след съобщаването на настоящите жалби, представляват ефективно вътрешно правно средство за защита за оплакванията на настоящите жалбоподатели, които се отнасят и до оскъдния затворнически режим в допълнение към </w:t>
      </w:r>
      <w:r w:rsidR="00DA1718">
        <w:rPr>
          <w:rStyle w:val="ECHRPara"/>
        </w:rPr>
        <w:t xml:space="preserve">материалните </w:t>
      </w:r>
      <w:r>
        <w:rPr>
          <w:rStyle w:val="ECHRPara"/>
        </w:rPr>
        <w:t>условия на задържане.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32</w:t>
      </w:r>
      <w:r>
        <w:fldChar w:fldCharType="end"/>
      </w:r>
      <w:r>
        <w:rPr>
          <w:rStyle w:val="ECHRPara"/>
        </w:rPr>
        <w:t xml:space="preserve">.  Следователно, като се позовава на съображенията и заключенията си в </w:t>
      </w:r>
      <w:r>
        <w:rPr>
          <w:rStyle w:val="ECHRPara"/>
          <w:i/>
        </w:rPr>
        <w:t>Харакчиев и Толумов</w:t>
      </w:r>
      <w:r>
        <w:rPr>
          <w:rStyle w:val="ECHRPara"/>
        </w:rPr>
        <w:t xml:space="preserve"> (цитирано по-горе, §§ 226 и 229) относно наличието на ефективно вътрешно правно средство за защита във връзка с условията на задържане както по отношение на </w:t>
      </w:r>
      <w:r w:rsidR="00B06F5A">
        <w:rPr>
          <w:rStyle w:val="ECHRPara"/>
        </w:rPr>
        <w:t xml:space="preserve">материалните </w:t>
      </w:r>
      <w:r>
        <w:rPr>
          <w:rStyle w:val="ECHRPara"/>
        </w:rPr>
        <w:t>условия, така и на ограниченията, прилагани върху лишените от свобода, Съдът не намира основание да се отклони от тези констатации. Съдът подчертава, че това заключение е направено в контекста на специфичните обстоятелства в настоящите жалби и не може да предреши бъдещо разглеждане на дела</w:t>
      </w:r>
      <w:r w:rsidR="00B06F5A">
        <w:rPr>
          <w:rStyle w:val="ECHRPara"/>
        </w:rPr>
        <w:t xml:space="preserve"> относно</w:t>
      </w:r>
      <w:r>
        <w:rPr>
          <w:rStyle w:val="ECHRPara"/>
        </w:rPr>
        <w:t xml:space="preserve"> оплаквания, свързани </w:t>
      </w:r>
      <w:r w:rsidR="00D51733">
        <w:rPr>
          <w:rStyle w:val="ECHRPara"/>
        </w:rPr>
        <w:t xml:space="preserve">по-конкретно </w:t>
      </w:r>
      <w:r>
        <w:rPr>
          <w:rStyle w:val="ECHRPara"/>
        </w:rPr>
        <w:t xml:space="preserve">с прилагането на </w:t>
      </w:r>
      <w:r>
        <w:rPr>
          <w:rStyle w:val="ECHRPara"/>
          <w:cs/>
        </w:rPr>
        <w:t>“</w:t>
      </w:r>
      <w:r>
        <w:rPr>
          <w:rStyle w:val="ECHRPara"/>
        </w:rPr>
        <w:t>специален режим</w:t>
      </w:r>
      <w:r>
        <w:rPr>
          <w:rStyle w:val="ECHRPara"/>
          <w:cs/>
        </w:rPr>
        <w:t xml:space="preserve">” </w:t>
      </w:r>
      <w:r>
        <w:rPr>
          <w:rStyle w:val="ECHRPara"/>
        </w:rPr>
        <w:t>към затворници, изтърпяващи доживотни или други срочни присъди.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33</w:t>
      </w:r>
      <w:r>
        <w:fldChar w:fldCharType="end"/>
      </w:r>
      <w:r>
        <w:rPr>
          <w:rStyle w:val="ECHRPara"/>
        </w:rPr>
        <w:t xml:space="preserve">.  С оглед на горното Съдът </w:t>
      </w:r>
      <w:r w:rsidR="00D51733">
        <w:rPr>
          <w:rStyle w:val="ECHRPara"/>
        </w:rPr>
        <w:t>намира</w:t>
      </w:r>
      <w:r>
        <w:rPr>
          <w:rStyle w:val="ECHRPara"/>
        </w:rPr>
        <w:t>, че е налице нарушение на чл. 13 от Конвенцията във връзка с чл. 3 по отношение на втория, третия и четвъртия жалбоподател.</w:t>
      </w:r>
    </w:p>
    <w:p w:rsidR="000B4AE2" w:rsidRPr="00761D01" w:rsidRDefault="000B4AE2" w:rsidP="000B4AE2">
      <w:pPr>
        <w:pStyle w:val="ECHRHeading1"/>
      </w:pPr>
      <w:r>
        <w:rPr>
          <w:rStyle w:val="ECHRHeading1"/>
        </w:rPr>
        <w:t>IV.  ПРИЛ</w:t>
      </w:r>
      <w:r w:rsidR="00B930F8">
        <w:rPr>
          <w:rStyle w:val="ECHRHeading1"/>
        </w:rPr>
        <w:t>АГАНЕ</w:t>
      </w:r>
      <w:r>
        <w:rPr>
          <w:rStyle w:val="ECHRHeading1"/>
        </w:rPr>
        <w:t xml:space="preserve"> НА ЧЛ. 41 ОТ КОНВЕНЦИЯТА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34</w:t>
      </w:r>
      <w:r>
        <w:fldChar w:fldCharType="end"/>
      </w:r>
      <w:r>
        <w:rPr>
          <w:rStyle w:val="ECHRPara"/>
        </w:rPr>
        <w:t>.  Чл. 41 от Конвенцията гласи:</w:t>
      </w:r>
    </w:p>
    <w:p w:rsidR="000B4AE2" w:rsidRPr="00761D01" w:rsidRDefault="000B4AE2" w:rsidP="000B4AE2">
      <w:pPr>
        <w:pStyle w:val="ECHRParaQuote"/>
        <w:keepNext/>
        <w:keepLines/>
      </w:pPr>
      <w:r>
        <w:rPr>
          <w:rStyle w:val="ECHRParaQuote"/>
          <w:cs/>
        </w:rPr>
        <w:lastRenderedPageBreak/>
        <w:t>“</w:t>
      </w:r>
      <w:r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>
        <w:rPr>
          <w:rStyle w:val="ECHRParaQuote"/>
          <w:cs/>
        </w:rPr>
        <w:t>”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35</w:t>
      </w:r>
      <w:r>
        <w:fldChar w:fldCharType="end"/>
      </w:r>
      <w:r>
        <w:rPr>
          <w:rStyle w:val="ECHRPara"/>
        </w:rPr>
        <w:t>.  Първият жалбоподател не предявява претенция за справедливо обезщетение. Съответно Съдът счита, че няма нужда да му присъ</w:t>
      </w:r>
      <w:r w:rsidR="00B930F8">
        <w:rPr>
          <w:rStyle w:val="ECHRPara"/>
        </w:rPr>
        <w:t>ж</w:t>
      </w:r>
      <w:r>
        <w:rPr>
          <w:rStyle w:val="ECHRPara"/>
        </w:rPr>
        <w:t>д</w:t>
      </w:r>
      <w:r w:rsidR="00B930F8">
        <w:rPr>
          <w:rStyle w:val="ECHRPara"/>
        </w:rPr>
        <w:t>а</w:t>
      </w:r>
      <w:r>
        <w:rPr>
          <w:rStyle w:val="ECHRPara"/>
        </w:rPr>
        <w:t xml:space="preserve"> каквато и да </w:t>
      </w:r>
      <w:r w:rsidR="00B930F8">
        <w:rPr>
          <w:rStyle w:val="ECHRPara"/>
        </w:rPr>
        <w:t xml:space="preserve">е </w:t>
      </w:r>
      <w:r>
        <w:rPr>
          <w:rStyle w:val="ECHRPara"/>
        </w:rPr>
        <w:t>сума в този смисъл.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t>A. Обезщетение за вреди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36</w:t>
      </w:r>
      <w:r>
        <w:fldChar w:fldCharType="end"/>
      </w:r>
      <w:r>
        <w:rPr>
          <w:rStyle w:val="ECHRPara"/>
        </w:rPr>
        <w:t xml:space="preserve">.  Вторият, третият и четвъртият жалбоподател претендират </w:t>
      </w:r>
      <w:r w:rsidR="00A10354">
        <w:rPr>
          <w:rStyle w:val="ECHRPara"/>
        </w:rPr>
        <w:t xml:space="preserve">по </w:t>
      </w:r>
      <w:r>
        <w:rPr>
          <w:rStyle w:val="ECHRPara"/>
        </w:rPr>
        <w:t>10 000 евро</w:t>
      </w:r>
      <w:r w:rsidR="00A10354">
        <w:rPr>
          <w:rStyle w:val="ECHRPara"/>
        </w:rPr>
        <w:t xml:space="preserve"> за</w:t>
      </w:r>
      <w:r>
        <w:rPr>
          <w:rStyle w:val="ECHRPara"/>
        </w:rPr>
        <w:t xml:space="preserve"> всеки по отношение на неимуществени вреди.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37</w:t>
      </w:r>
      <w:r>
        <w:fldChar w:fldCharType="end"/>
      </w:r>
      <w:r>
        <w:rPr>
          <w:rStyle w:val="ECHRPara"/>
        </w:rPr>
        <w:t>.  Правителството твърди, че тези претенции са неоснователни, необосновани и прекомерни и че констатацията за нарушение би представлявала достатъчно справедливо обезщетение за претърпените неимуществени вреди.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38</w:t>
      </w:r>
      <w:r>
        <w:fldChar w:fldCharType="end"/>
      </w:r>
      <w:r>
        <w:rPr>
          <w:rStyle w:val="ECHRPara"/>
        </w:rPr>
        <w:t xml:space="preserve">.  Съдът смята, че жалбоподателите </w:t>
      </w:r>
      <w:r w:rsidR="00B930F8">
        <w:rPr>
          <w:rStyle w:val="ECHRPara"/>
        </w:rPr>
        <w:t>несъмнено</w:t>
      </w:r>
      <w:r>
        <w:rPr>
          <w:rStyle w:val="ECHRPara"/>
        </w:rPr>
        <w:t xml:space="preserve"> са претърпели неимуществени вреди в резултат на нарушаването на правата им по чл. 3 и чл. 13 от Конвенцията. В съответстви</w:t>
      </w:r>
      <w:bookmarkStart w:id="1" w:name="_GoBack"/>
      <w:bookmarkEnd w:id="1"/>
      <w:r>
        <w:rPr>
          <w:rStyle w:val="ECHRPara"/>
        </w:rPr>
        <w:t xml:space="preserve">е с подхода в </w:t>
      </w:r>
      <w:r>
        <w:rPr>
          <w:rStyle w:val="ECHRPara"/>
          <w:i/>
        </w:rPr>
        <w:t>Харакчиев и Толумов</w:t>
      </w:r>
      <w:r>
        <w:rPr>
          <w:rStyle w:val="ECHRPara"/>
        </w:rPr>
        <w:t xml:space="preserve"> (цитирано по-горе, § 286), като взема предвид всички обстоятелства и произнасяйки се по справедливост съгласно изискванията на чл. 41 от Конвенцията, Съдът присъжда на втория жалбоподател 4000 евро плюс вс</w:t>
      </w:r>
      <w:r w:rsidR="00B930F8">
        <w:rPr>
          <w:rStyle w:val="ECHRPara"/>
        </w:rPr>
        <w:t>якакви</w:t>
      </w:r>
      <w:r>
        <w:rPr>
          <w:rStyle w:val="ECHRPara"/>
        </w:rPr>
        <w:t xml:space="preserve"> данъ</w:t>
      </w:r>
      <w:r w:rsidR="00B930F8">
        <w:rPr>
          <w:rStyle w:val="ECHRPara"/>
        </w:rPr>
        <w:t>ци</w:t>
      </w:r>
      <w:r>
        <w:rPr>
          <w:rStyle w:val="ECHRPara"/>
        </w:rPr>
        <w:t>, ко</w:t>
      </w:r>
      <w:r w:rsidR="00B930F8">
        <w:rPr>
          <w:rStyle w:val="ECHRPara"/>
        </w:rPr>
        <w:t>и</w:t>
      </w:r>
      <w:r>
        <w:rPr>
          <w:rStyle w:val="ECHRPara"/>
        </w:rPr>
        <w:t xml:space="preserve">то може да </w:t>
      </w:r>
      <w:r w:rsidR="00B930F8">
        <w:rPr>
          <w:rStyle w:val="ECHRPara"/>
        </w:rPr>
        <w:t xml:space="preserve">се </w:t>
      </w:r>
      <w:r>
        <w:rPr>
          <w:rStyle w:val="ECHRPara"/>
        </w:rPr>
        <w:t>начисл</w:t>
      </w:r>
      <w:r w:rsidR="00B930F8">
        <w:rPr>
          <w:rStyle w:val="ECHRPara"/>
        </w:rPr>
        <w:t>ят</w:t>
      </w:r>
      <w:r>
        <w:rPr>
          <w:rStyle w:val="ECHRPara"/>
        </w:rPr>
        <w:t xml:space="preserve"> върху тази сума, за неимуществени вреди. Съдът също така присъжда на третия и четвъртия жалбоподател по 3000 евро на всеки плюс вс</w:t>
      </w:r>
      <w:r w:rsidR="00B930F8">
        <w:rPr>
          <w:rStyle w:val="ECHRPara"/>
        </w:rPr>
        <w:t>якакви</w:t>
      </w:r>
      <w:r>
        <w:rPr>
          <w:rStyle w:val="ECHRPara"/>
        </w:rPr>
        <w:t xml:space="preserve"> данъ</w:t>
      </w:r>
      <w:r w:rsidR="00B930F8">
        <w:rPr>
          <w:rStyle w:val="ECHRPara"/>
        </w:rPr>
        <w:t>ци</w:t>
      </w:r>
      <w:r>
        <w:rPr>
          <w:rStyle w:val="ECHRPara"/>
        </w:rPr>
        <w:t>, ко</w:t>
      </w:r>
      <w:r w:rsidR="00B930F8">
        <w:rPr>
          <w:rStyle w:val="ECHRPara"/>
        </w:rPr>
        <w:t>и</w:t>
      </w:r>
      <w:r>
        <w:rPr>
          <w:rStyle w:val="ECHRPara"/>
        </w:rPr>
        <w:t>то може да бъд</w:t>
      </w:r>
      <w:r w:rsidR="00200C22">
        <w:rPr>
          <w:rStyle w:val="ECHRPara"/>
        </w:rPr>
        <w:t>ат</w:t>
      </w:r>
      <w:r>
        <w:rPr>
          <w:rStyle w:val="ECHRPara"/>
        </w:rPr>
        <w:t xml:space="preserve"> начислен</w:t>
      </w:r>
      <w:r w:rsidR="00200C22">
        <w:rPr>
          <w:rStyle w:val="ECHRPara"/>
        </w:rPr>
        <w:t>и</w:t>
      </w:r>
      <w:r>
        <w:rPr>
          <w:rStyle w:val="ECHRPara"/>
        </w:rPr>
        <w:t xml:space="preserve"> върху тази сума, по отношение на неимуществени вреди.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t>Б. Разходи и разноски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39</w:t>
      </w:r>
      <w:r>
        <w:fldChar w:fldCharType="end"/>
      </w:r>
      <w:r>
        <w:rPr>
          <w:rStyle w:val="ECHRPara"/>
        </w:rPr>
        <w:t xml:space="preserve">.  Вторият и третият жалбоподател претендират 2990 евро всеки за съдебните разноски, направени пред Съда </w:t>
      </w:r>
      <w:r w:rsidR="00030321">
        <w:rPr>
          <w:rStyle w:val="ECHRPara"/>
        </w:rPr>
        <w:t>съгласно</w:t>
      </w:r>
      <w:r>
        <w:rPr>
          <w:rStyle w:val="ECHRPara"/>
        </w:rPr>
        <w:t xml:space="preserve"> споразумение за възнаграждение според изхода на делото, както и 53 евро за канцеларски материали, пощенски разходи и превод. Четвъртият жалбоподател претендира 2550 евро за съдебните разноски, направени пред Съда, които той вече е платил на своите представители.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40</w:t>
      </w:r>
      <w:r>
        <w:fldChar w:fldCharType="end"/>
      </w:r>
      <w:r>
        <w:rPr>
          <w:rStyle w:val="ECHRPara"/>
        </w:rPr>
        <w:t>.  Правителството посочва, че процесуалните представители на втория, третия и четвъртия жалбоподател са били едни и същи двама адвокати, които са представили сходни становища</w:t>
      </w:r>
      <w:r w:rsidR="00030321">
        <w:rPr>
          <w:rStyle w:val="ECHRPara"/>
        </w:rPr>
        <w:t xml:space="preserve"> по</w:t>
      </w:r>
      <w:r>
        <w:rPr>
          <w:rStyle w:val="ECHRPara"/>
        </w:rPr>
        <w:t xml:space="preserve"> трите жалби. Правителството също така подчертава, че както почасовата ставка от 130 евро, така и броят (двадесет и три) таксувани час</w:t>
      </w:r>
      <w:r w:rsidR="00030321">
        <w:rPr>
          <w:rStyle w:val="ECHRPara"/>
        </w:rPr>
        <w:t>а</w:t>
      </w:r>
      <w:r>
        <w:rPr>
          <w:rStyle w:val="ECHRPara"/>
        </w:rPr>
        <w:t xml:space="preserve">, претендирани от процесуалните представители, са прекомерни. Правителството не възразява срещу разходите по превод в размер на 23 евро във втората и третата жалба, но посочва, че не са представени доказателства за </w:t>
      </w:r>
      <w:r>
        <w:rPr>
          <w:rStyle w:val="ECHRPara"/>
        </w:rPr>
        <w:lastRenderedPageBreak/>
        <w:t>претендираните разходи и разноски за канцеларски материали и пощенски услуги и те не трябва да се присъждат.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41</w:t>
      </w:r>
      <w:r>
        <w:fldChar w:fldCharType="end"/>
      </w:r>
      <w:r>
        <w:rPr>
          <w:rStyle w:val="ECHRPara"/>
        </w:rPr>
        <w:t xml:space="preserve">.  Като взема предвид документите, с които разполага, както </w:t>
      </w:r>
      <w:r w:rsidR="00030321">
        <w:rPr>
          <w:rStyle w:val="ECHRPara"/>
        </w:rPr>
        <w:t xml:space="preserve">и </w:t>
      </w:r>
      <w:r>
        <w:rPr>
          <w:rStyle w:val="ECHRPara"/>
        </w:rPr>
        <w:t xml:space="preserve">своята съдебна практика, Съдът смята за разумно да присъди на втория, третия и четвъртия жалбоподател по 1000 евро за съдебни разноски за производството пред Съда (вж. по подобен начин </w:t>
      </w:r>
      <w:r>
        <w:rPr>
          <w:rStyle w:val="ECHRPara"/>
          <w:i/>
        </w:rPr>
        <w:t>Живко Господинов и други срещу България</w:t>
      </w:r>
      <w:r>
        <w:rPr>
          <w:rStyle w:val="ECHRPara"/>
        </w:rPr>
        <w:t xml:space="preserve"> [Комитет], </w:t>
      </w:r>
      <w:r>
        <w:rPr>
          <w:rStyle w:val="ECHRPara"/>
          <w:cs/>
        </w:rPr>
        <w:t xml:space="preserve">№ </w:t>
      </w:r>
      <w:r>
        <w:rPr>
          <w:rStyle w:val="ECHRPara"/>
        </w:rPr>
        <w:t>34639/07, § 69, 26 октомври 2017 г.), а на втория и третия жалбоподател по 23 евро за разходи за превод, плюс вс</w:t>
      </w:r>
      <w:r w:rsidR="008C5ABF">
        <w:rPr>
          <w:rStyle w:val="ECHRPara"/>
        </w:rPr>
        <w:t>ички</w:t>
      </w:r>
      <w:r>
        <w:rPr>
          <w:rStyle w:val="ECHRPara"/>
        </w:rPr>
        <w:t xml:space="preserve"> данъ</w:t>
      </w:r>
      <w:r w:rsidR="008C5ABF">
        <w:rPr>
          <w:rStyle w:val="ECHRPara"/>
        </w:rPr>
        <w:t>ци</w:t>
      </w:r>
      <w:r>
        <w:rPr>
          <w:rStyle w:val="ECHRPara"/>
        </w:rPr>
        <w:t>, ко</w:t>
      </w:r>
      <w:r w:rsidR="008C5ABF">
        <w:rPr>
          <w:rStyle w:val="ECHRPara"/>
        </w:rPr>
        <w:t>и</w:t>
      </w:r>
      <w:r>
        <w:rPr>
          <w:rStyle w:val="ECHRPara"/>
        </w:rPr>
        <w:t>то може да им бъд</w:t>
      </w:r>
      <w:r w:rsidR="008C5ABF">
        <w:rPr>
          <w:rStyle w:val="ECHRPara"/>
        </w:rPr>
        <w:t>ат</w:t>
      </w:r>
      <w:r>
        <w:rPr>
          <w:rStyle w:val="ECHRPara"/>
        </w:rPr>
        <w:t xml:space="preserve"> начислен</w:t>
      </w:r>
      <w:r w:rsidR="008C5ABF">
        <w:rPr>
          <w:rStyle w:val="ECHRPara"/>
        </w:rPr>
        <w:t>и</w:t>
      </w:r>
      <w:r>
        <w:rPr>
          <w:rStyle w:val="ECHRPara"/>
        </w:rPr>
        <w:t xml:space="preserve">, като тези суми трябва да бъдат платени директно на процесуалните представители на жалбоподателите г-н Екимджиев и г-жа Стефанова. По отношение на претенциите за пощенски и офис консумативи, Съдът отбелязва, че не са представени никакви оправдателни документи, които да показват, че тези разходи действително са направени. При тези обстоятелства и с оглед разпоредбите на </w:t>
      </w:r>
      <w:r w:rsidR="008C5ABF">
        <w:rPr>
          <w:rStyle w:val="ECHRPara"/>
        </w:rPr>
        <w:t>п</w:t>
      </w:r>
      <w:r>
        <w:rPr>
          <w:rStyle w:val="ECHRPara"/>
        </w:rPr>
        <w:t>равило 60 §§ 2 и 3 от Правилника на Съда, Съдът не присъжда нищо по тези позиции от претенцията.</w:t>
      </w:r>
    </w:p>
    <w:p w:rsidR="000B4AE2" w:rsidRPr="00761D01" w:rsidRDefault="000B4AE2" w:rsidP="000B4AE2">
      <w:pPr>
        <w:pStyle w:val="ECHRHeading2"/>
      </w:pPr>
      <w:r>
        <w:rPr>
          <w:rStyle w:val="ECHRHeading2"/>
        </w:rPr>
        <w:t>В. Лихва за забава</w:t>
      </w:r>
    </w:p>
    <w:p w:rsidR="000B4AE2" w:rsidRPr="00761D01" w:rsidRDefault="000B4AE2" w:rsidP="000B4AE2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 w:rsidR="00F45EF4">
        <w:rPr>
          <w:rStyle w:val="ECHRPara"/>
          <w:noProof/>
        </w:rPr>
        <w:t>42</w:t>
      </w:r>
      <w:r>
        <w:fldChar w:fldCharType="end"/>
      </w:r>
      <w:r>
        <w:rPr>
          <w:rStyle w:val="ECHRPara"/>
        </w:rPr>
        <w:t>.  Съдът смята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B4AE2" w:rsidRPr="00761D01" w:rsidRDefault="000B4AE2" w:rsidP="000B4AE2">
      <w:pPr>
        <w:pStyle w:val="ECHRTitle1"/>
      </w:pPr>
      <w:r>
        <w:rPr>
          <w:rStyle w:val="ECHRTitle1"/>
        </w:rPr>
        <w:t>ПО ТЕЗИ СЪОБРАЖЕНИЯ СЪДЪТ ЕДИНОДУШНО</w:t>
      </w:r>
    </w:p>
    <w:p w:rsidR="000B4AE2" w:rsidRPr="00761D01" w:rsidRDefault="000B4AE2" w:rsidP="000B4AE2">
      <w:pPr>
        <w:pStyle w:val="JuList"/>
      </w:pPr>
      <w:r>
        <w:rPr>
          <w:rStyle w:val="JuList"/>
        </w:rPr>
        <w:t>1.  </w:t>
      </w:r>
      <w:r>
        <w:rPr>
          <w:rStyle w:val="JuList"/>
          <w:i/>
        </w:rPr>
        <w:t>Решава</w:t>
      </w:r>
      <w:r>
        <w:rPr>
          <w:rStyle w:val="JuList"/>
        </w:rPr>
        <w:t xml:space="preserve"> да </w:t>
      </w:r>
      <w:r w:rsidR="008C5ABF">
        <w:rPr>
          <w:rStyle w:val="JuList"/>
        </w:rPr>
        <w:t xml:space="preserve">обедини </w:t>
      </w:r>
      <w:r>
        <w:rPr>
          <w:rStyle w:val="JuList"/>
        </w:rPr>
        <w:t xml:space="preserve">жалбите и ги </w:t>
      </w:r>
      <w:r>
        <w:rPr>
          <w:rStyle w:val="JuList"/>
          <w:i/>
        </w:rPr>
        <w:t>обявява</w:t>
      </w:r>
      <w:r>
        <w:rPr>
          <w:rStyle w:val="JuList"/>
        </w:rPr>
        <w:t xml:space="preserve"> за допустими;</w:t>
      </w:r>
    </w:p>
    <w:p w:rsidR="000B4AE2" w:rsidRPr="00761D01" w:rsidRDefault="000B4AE2" w:rsidP="000B4AE2">
      <w:pPr>
        <w:pStyle w:val="JuList"/>
        <w:ind w:left="0" w:firstLine="0"/>
      </w:pPr>
    </w:p>
    <w:p w:rsidR="000B4AE2" w:rsidRPr="00761D01" w:rsidRDefault="000B4AE2" w:rsidP="000B4AE2">
      <w:pPr>
        <w:pStyle w:val="JuList"/>
      </w:pPr>
      <w:r>
        <w:rPr>
          <w:rStyle w:val="JuList"/>
        </w:rPr>
        <w:t>2.  </w:t>
      </w:r>
      <w:r>
        <w:rPr>
          <w:rStyle w:val="JuList"/>
          <w:i/>
        </w:rPr>
        <w:t>Приема</w:t>
      </w:r>
      <w:r>
        <w:rPr>
          <w:rStyle w:val="JuList"/>
        </w:rPr>
        <w:t>, че е налице нарушение на чл. 3 от Конвенцията по отношение на всички жалбоподатели;</w:t>
      </w:r>
    </w:p>
    <w:p w:rsidR="000B4AE2" w:rsidRPr="00761D01" w:rsidRDefault="000B4AE2" w:rsidP="000B4AE2">
      <w:pPr>
        <w:pStyle w:val="JuList"/>
        <w:ind w:left="0" w:firstLine="0"/>
      </w:pPr>
    </w:p>
    <w:p w:rsidR="000B4AE2" w:rsidRPr="00761D01" w:rsidRDefault="000B4AE2" w:rsidP="000B4AE2">
      <w:pPr>
        <w:pStyle w:val="JuList"/>
      </w:pPr>
      <w:r>
        <w:rPr>
          <w:rStyle w:val="JuList"/>
        </w:rPr>
        <w:t>3.  </w:t>
      </w:r>
      <w:r>
        <w:rPr>
          <w:rStyle w:val="JuList"/>
          <w:i/>
        </w:rPr>
        <w:t>Приема.</w:t>
      </w:r>
      <w:r>
        <w:rPr>
          <w:rStyle w:val="JuList"/>
        </w:rPr>
        <w:t xml:space="preserve"> че е налице нарушение на чл. 13 във връзка с чл. 3</w:t>
      </w:r>
      <w:r>
        <w:rPr>
          <w:rStyle w:val="FootnoteReference"/>
        </w:rPr>
        <w:footnoteReference w:id="1"/>
      </w:r>
      <w:r>
        <w:rPr>
          <w:rStyle w:val="JuList"/>
        </w:rPr>
        <w:t xml:space="preserve"> от Конвенцията по отношение на втория, третия и четвъртия жалбоподател;</w:t>
      </w:r>
    </w:p>
    <w:p w:rsidR="000B4AE2" w:rsidRPr="00761D01" w:rsidRDefault="000B4AE2" w:rsidP="000B4AE2">
      <w:pPr>
        <w:pStyle w:val="JuList"/>
        <w:ind w:left="0" w:firstLine="0"/>
      </w:pPr>
    </w:p>
    <w:p w:rsidR="000B4AE2" w:rsidRPr="00761D01" w:rsidRDefault="000B4AE2" w:rsidP="000B4AE2">
      <w:pPr>
        <w:pStyle w:val="JuList"/>
      </w:pPr>
      <w:r>
        <w:rPr>
          <w:rStyle w:val="JuList"/>
        </w:rPr>
        <w:t>4.  </w:t>
      </w:r>
      <w:r>
        <w:rPr>
          <w:rStyle w:val="JuList"/>
          <w:i/>
        </w:rPr>
        <w:t>Приема,</w:t>
      </w:r>
    </w:p>
    <w:p w:rsidR="000B4AE2" w:rsidRPr="00761D01" w:rsidRDefault="000B4AE2" w:rsidP="000B4AE2">
      <w:pPr>
        <w:pStyle w:val="JuLista"/>
      </w:pPr>
      <w:r>
        <w:rPr>
          <w:rStyle w:val="JuLista"/>
        </w:rPr>
        <w:t xml:space="preserve">(а) че държавата-ответник трябва да заплати на жалбоподателите в срок от три месеца следните суми, които се </w:t>
      </w:r>
      <w:r w:rsidR="00F4481D">
        <w:rPr>
          <w:rStyle w:val="JuLista"/>
        </w:rPr>
        <w:t xml:space="preserve">конвертират </w:t>
      </w:r>
      <w:r>
        <w:rPr>
          <w:rStyle w:val="JuLista"/>
        </w:rPr>
        <w:t>в български лева по курса</w:t>
      </w:r>
      <w:r w:rsidR="00F4481D">
        <w:rPr>
          <w:rStyle w:val="JuLista"/>
        </w:rPr>
        <w:t>, валиден</w:t>
      </w:r>
      <w:r>
        <w:rPr>
          <w:rStyle w:val="JuLista"/>
        </w:rPr>
        <w:t xml:space="preserve"> към датата на плащането:</w:t>
      </w:r>
    </w:p>
    <w:p w:rsidR="000B4AE2" w:rsidRPr="00761D01" w:rsidRDefault="000B4AE2" w:rsidP="000B4AE2">
      <w:pPr>
        <w:pStyle w:val="JuListi"/>
      </w:pPr>
      <w:r>
        <w:rPr>
          <w:rStyle w:val="JuListi"/>
        </w:rPr>
        <w:t xml:space="preserve">(i) 4000 евро (четири хиляди евро) плюс всякакви данъци, които биха могли да се начислят, за неимуществени вреди на втория </w:t>
      </w:r>
      <w:r>
        <w:rPr>
          <w:rStyle w:val="JuListi"/>
        </w:rPr>
        <w:lastRenderedPageBreak/>
        <w:t>жалбоподател, и 3000 евро (три хиляди евро) плюс всякакви данъци, които биха могли да се начислят, за неимуществени вреди на третия и четвъртия жалбоподател;</w:t>
      </w:r>
    </w:p>
    <w:p w:rsidR="000B4AE2" w:rsidRPr="00761D01" w:rsidRDefault="000B4AE2" w:rsidP="000B4AE2">
      <w:pPr>
        <w:pStyle w:val="JuListi"/>
      </w:pPr>
      <w:r>
        <w:rPr>
          <w:rStyle w:val="JuListi"/>
        </w:rPr>
        <w:t xml:space="preserve">(ii) </w:t>
      </w:r>
      <w:r w:rsidR="003B42A8">
        <w:rPr>
          <w:rStyle w:val="JuListi"/>
        </w:rPr>
        <w:t xml:space="preserve">по </w:t>
      </w:r>
      <w:r>
        <w:rPr>
          <w:rStyle w:val="JuListi"/>
        </w:rPr>
        <w:t xml:space="preserve">1000 евро (хиляда евро) на втория, третия и четвъртия жалбоподател по отношение на съдебните разходи пред Съда плюс всякакви данъци, които биха могли да се начислят на тези жалбоподатели, и по 23 евро за разходи и разноски </w:t>
      </w:r>
      <w:r w:rsidR="00F4481D">
        <w:rPr>
          <w:rStyle w:val="JuListi"/>
        </w:rPr>
        <w:t xml:space="preserve">на </w:t>
      </w:r>
      <w:r>
        <w:rPr>
          <w:rStyle w:val="JuListi"/>
        </w:rPr>
        <w:t>втория и третия жалбоподател, като тези суми трябва да бъдат платени директно на процесуалните представители на жалбоподателите г-н Екимджиев и г-жа Стефанова.</w:t>
      </w:r>
    </w:p>
    <w:p w:rsidR="000B4AE2" w:rsidRPr="00761D01" w:rsidRDefault="000B4AE2" w:rsidP="000B4AE2">
      <w:pPr>
        <w:pStyle w:val="JuLista"/>
      </w:pPr>
      <w:r>
        <w:rPr>
          <w:rStyle w:val="JuLista"/>
        </w:rPr>
        <w:t xml:space="preserve">(б) че от изтичането на </w:t>
      </w:r>
      <w:r w:rsidR="00DD00B7">
        <w:rPr>
          <w:rStyle w:val="JuLista"/>
        </w:rPr>
        <w:t>горес</w:t>
      </w:r>
      <w:r>
        <w:rPr>
          <w:rStyle w:val="JuLista"/>
        </w:rP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DD00B7">
        <w:rPr>
          <w:rStyle w:val="JuLista"/>
        </w:rPr>
        <w:t>за</w:t>
      </w:r>
      <w:r>
        <w:rPr>
          <w:rStyle w:val="JuLista"/>
        </w:rPr>
        <w:t xml:space="preserve"> периода на забава, към която се добавят три процентни пункта;</w:t>
      </w:r>
    </w:p>
    <w:p w:rsidR="000B4AE2" w:rsidRPr="00761D01" w:rsidRDefault="000B4AE2" w:rsidP="000B4AE2">
      <w:pPr>
        <w:pStyle w:val="JuList"/>
      </w:pPr>
    </w:p>
    <w:p w:rsidR="000B4AE2" w:rsidRPr="00761D01" w:rsidRDefault="000B4AE2" w:rsidP="000B4AE2">
      <w:pPr>
        <w:pStyle w:val="JuList"/>
      </w:pPr>
      <w:r>
        <w:rPr>
          <w:rStyle w:val="JuList"/>
        </w:rPr>
        <w:t>5.  </w:t>
      </w:r>
      <w:r>
        <w:rPr>
          <w:rStyle w:val="JuList"/>
          <w:i/>
        </w:rPr>
        <w:t>Отхвърля</w:t>
      </w:r>
      <w:r>
        <w:rPr>
          <w:rStyle w:val="JuList"/>
        </w:rPr>
        <w:t xml:space="preserve"> останалата част от претенцията на жалбоподателите за справедливо обезщетение.</w:t>
      </w:r>
    </w:p>
    <w:p w:rsidR="000B4AE2" w:rsidRPr="00761D01" w:rsidRDefault="000B4AE2" w:rsidP="000B4AE2">
      <w:pPr>
        <w:pStyle w:val="JuParaLast"/>
      </w:pPr>
      <w:r>
        <w:rPr>
          <w:rStyle w:val="JuParaLast"/>
        </w:rPr>
        <w:t xml:space="preserve">Изготвено на английски език и оповестено писмено на 21 юни 2018 г. в съответствие с </w:t>
      </w:r>
      <w:r w:rsidR="00DD00B7">
        <w:rPr>
          <w:rStyle w:val="JuParaLast"/>
        </w:rPr>
        <w:t>п</w:t>
      </w:r>
      <w:r>
        <w:rPr>
          <w:rStyle w:val="JuParaLast"/>
        </w:rPr>
        <w:t>равило 77 §§ 2 и 3 от Правилника на Съда.</w:t>
      </w:r>
    </w:p>
    <w:p w:rsidR="000B4AE2" w:rsidRPr="00761D01" w:rsidRDefault="000B4AE2" w:rsidP="000B4AE2">
      <w:pPr>
        <w:pStyle w:val="JuSigned"/>
        <w:tabs>
          <w:tab w:val="clear" w:pos="6407"/>
          <w:tab w:val="center" w:pos="6096"/>
        </w:tabs>
      </w:pPr>
      <w:r>
        <w:rPr>
          <w:rStyle w:val="JuSigned"/>
        </w:rPr>
        <w:tab/>
        <w:t xml:space="preserve">Милан Блашко </w:t>
      </w:r>
      <w:r>
        <w:rPr>
          <w:rStyle w:val="JuSigned"/>
        </w:rPr>
        <w:tab/>
        <w:t>Габриеле Куцко-Щадлмайер</w:t>
      </w:r>
      <w:r>
        <w:br/>
      </w:r>
      <w:r>
        <w:rPr>
          <w:rStyle w:val="JuSigned"/>
        </w:rPr>
        <w:tab/>
      </w:r>
      <w:r w:rsidR="00DD00B7">
        <w:rPr>
          <w:rStyle w:val="JuSigned"/>
        </w:rPr>
        <w:t>з</w:t>
      </w:r>
      <w:r>
        <w:rPr>
          <w:rStyle w:val="JuSigned"/>
        </w:rPr>
        <w:t>аместник-секретар</w:t>
      </w:r>
      <w:r>
        <w:rPr>
          <w:rStyle w:val="JuSigned"/>
        </w:rPr>
        <w:tab/>
      </w:r>
      <w:r w:rsidR="00DD00B7">
        <w:rPr>
          <w:rStyle w:val="JuSigned"/>
        </w:rPr>
        <w:t>п</w:t>
      </w:r>
      <w:r>
        <w:rPr>
          <w:rStyle w:val="JuSigned"/>
        </w:rPr>
        <w:t>редседател</w:t>
      </w:r>
    </w:p>
    <w:sectPr w:rsidR="000B4AE2" w:rsidRPr="00761D01" w:rsidSect="000B4AE2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30" w:rsidRPr="003152BA" w:rsidRDefault="00501C30" w:rsidP="000B4AE2">
      <w:r>
        <w:separator/>
      </w:r>
    </w:p>
  </w:endnote>
  <w:endnote w:type="continuationSeparator" w:id="0">
    <w:p w:rsidR="00501C30" w:rsidRPr="003152BA" w:rsidRDefault="00501C30" w:rsidP="000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0" w:rsidRDefault="00B9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0" w:rsidRDefault="00B93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E2" w:rsidRPr="00150BFA" w:rsidRDefault="00DA3947" w:rsidP="000B4AE2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AE2" w:rsidRDefault="000B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30" w:rsidRPr="003152BA" w:rsidRDefault="00501C30" w:rsidP="000B4AE2">
      <w:r>
        <w:separator/>
      </w:r>
    </w:p>
  </w:footnote>
  <w:footnote w:type="continuationSeparator" w:id="0">
    <w:p w:rsidR="00501C30" w:rsidRPr="003152BA" w:rsidRDefault="00501C30" w:rsidP="000B4AE2">
      <w:r>
        <w:continuationSeparator/>
      </w:r>
    </w:p>
  </w:footnote>
  <w:footnote w:id="1">
    <w:p w:rsidR="000B4AE2" w:rsidRDefault="000B4AE2">
      <w:pPr>
        <w:pStyle w:val="FootnoteText"/>
      </w:pPr>
      <w:r>
        <w:rPr>
          <w:rStyle w:val="FootnoteReference"/>
        </w:rPr>
        <w:footnoteRef/>
      </w:r>
      <w:r>
        <w:rPr>
          <w:rStyle w:val="FootnoteText"/>
        </w:rPr>
        <w:t xml:space="preserve">  Коригирано на 25 юни 2018 г.: текстът е бил </w:t>
      </w:r>
      <w:r>
        <w:rPr>
          <w:rStyle w:val="FootnoteText"/>
          <w:cs/>
        </w:rPr>
        <w:t>“</w:t>
      </w:r>
      <w:r>
        <w:rPr>
          <w:rStyle w:val="FootnoteText"/>
        </w:rPr>
        <w:t>във връзка с чл. 13</w:t>
      </w:r>
      <w:r>
        <w:rPr>
          <w:rStyle w:val="FootnoteText"/>
          <w:cs/>
        </w:rPr>
        <w:t>”</w:t>
      </w:r>
      <w:r>
        <w:rPr>
          <w:rStyle w:val="FootnoteTex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0" w:rsidRDefault="00B93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E2" w:rsidRPr="00F22861" w:rsidRDefault="000B4AE2" w:rsidP="000B4AE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E2" w:rsidRPr="00A45145" w:rsidRDefault="00DA3947" w:rsidP="000B4AE2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AE2" w:rsidRDefault="000B4A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E2" w:rsidRPr="003152BA" w:rsidRDefault="000B4AE2" w:rsidP="000B4AE2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3947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ECHRHeader"/>
      </w:rPr>
      <w:tab/>
      <w:t>РЕШЕНИЕ ПЕТРОВ И ДРУГИ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E2" w:rsidRPr="003152BA" w:rsidRDefault="000B4AE2" w:rsidP="000B4AE2">
    <w:pPr>
      <w:pStyle w:val="ECHRHeader"/>
    </w:pPr>
    <w:r>
      <w:rPr>
        <w:rStyle w:val="ECHRHeader"/>
      </w:rPr>
      <w:tab/>
      <w:t>РЕШЕНИЕ ПЕТРОВ И ДРУГИ СРЕЩУ БЪЛГАРИЯ</w:t>
    </w:r>
    <w:r>
      <w:rPr>
        <w:rStyle w:val="ECHRHead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3310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555FA7"/>
    <w:rsid w:val="00030321"/>
    <w:rsid w:val="00076730"/>
    <w:rsid w:val="000B4AE2"/>
    <w:rsid w:val="000C5FB9"/>
    <w:rsid w:val="001C6351"/>
    <w:rsid w:val="001E4F53"/>
    <w:rsid w:val="001E6718"/>
    <w:rsid w:val="00200C22"/>
    <w:rsid w:val="002C5F3E"/>
    <w:rsid w:val="00343456"/>
    <w:rsid w:val="003B42A8"/>
    <w:rsid w:val="00405832"/>
    <w:rsid w:val="00444DB4"/>
    <w:rsid w:val="00462A4B"/>
    <w:rsid w:val="00501C30"/>
    <w:rsid w:val="00505BC5"/>
    <w:rsid w:val="005352C4"/>
    <w:rsid w:val="00573049"/>
    <w:rsid w:val="005A17F4"/>
    <w:rsid w:val="005D2390"/>
    <w:rsid w:val="006865C0"/>
    <w:rsid w:val="006A621D"/>
    <w:rsid w:val="00762E17"/>
    <w:rsid w:val="007A436F"/>
    <w:rsid w:val="008508A9"/>
    <w:rsid w:val="00867C01"/>
    <w:rsid w:val="008B47AF"/>
    <w:rsid w:val="008C5ABF"/>
    <w:rsid w:val="009229C2"/>
    <w:rsid w:val="00A00F21"/>
    <w:rsid w:val="00A10354"/>
    <w:rsid w:val="00A63C2E"/>
    <w:rsid w:val="00B06F5A"/>
    <w:rsid w:val="00B930F8"/>
    <w:rsid w:val="00B93310"/>
    <w:rsid w:val="00BB26E8"/>
    <w:rsid w:val="00BE49A2"/>
    <w:rsid w:val="00D0501D"/>
    <w:rsid w:val="00D43A7B"/>
    <w:rsid w:val="00D51733"/>
    <w:rsid w:val="00DA1718"/>
    <w:rsid w:val="00DA3947"/>
    <w:rsid w:val="00DD00B7"/>
    <w:rsid w:val="00EB0387"/>
    <w:rsid w:val="00ED1858"/>
    <w:rsid w:val="00EF5897"/>
    <w:rsid w:val="00F1379A"/>
    <w:rsid w:val="00F259B8"/>
    <w:rsid w:val="00F4481D"/>
    <w:rsid w:val="00F45EF4"/>
    <w:rsid w:val="00F94B52"/>
    <w:rsid w:val="00FA255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E5206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E5206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E5206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E5206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E5206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FE5206"/>
    <w:pPr>
      <w:spacing w:before="200"/>
      <w:outlineLvl w:val="4"/>
    </w:pPr>
    <w:rPr>
      <w:rFonts w:eastAsia="MS Gothic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E5206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E5206"/>
    <w:pPr>
      <w:outlineLvl w:val="6"/>
    </w:pPr>
    <w:rPr>
      <w:rFonts w:eastAsia="MS Gothic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E5206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E5206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5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206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FE5206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FE5206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FE5206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FE5206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FE5206"/>
    <w:rPr>
      <w:sz w:val="22"/>
    </w:rPr>
  </w:style>
  <w:style w:type="character" w:customStyle="1" w:styleId="NoSpacingChar">
    <w:name w:val="No Spacing Char"/>
    <w:link w:val="NoSpacing"/>
    <w:semiHidden/>
    <w:rsid w:val="00FE5206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FE5206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FE5206"/>
  </w:style>
  <w:style w:type="paragraph" w:customStyle="1" w:styleId="DecList">
    <w:name w:val="Dec_List"/>
    <w:basedOn w:val="Normal"/>
    <w:uiPriority w:val="9"/>
    <w:semiHidden/>
    <w:qFormat/>
    <w:rsid w:val="00FE5206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FE5206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FE5206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FE5206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FE5206"/>
    <w:pPr>
      <w:numPr>
        <w:numId w:val="24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FE520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FE5206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FE5206"/>
    <w:pPr>
      <w:spacing w:after="240"/>
      <w:jc w:val="center"/>
      <w:outlineLvl w:val="0"/>
    </w:pPr>
  </w:style>
  <w:style w:type="paragraph" w:customStyle="1" w:styleId="JuInitialled">
    <w:name w:val="Ju_Initialled"/>
    <w:basedOn w:val="Normal"/>
    <w:uiPriority w:val="31"/>
    <w:qFormat/>
    <w:rsid w:val="00FE5206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FE5206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FE5206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FE5206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FE5206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FE520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FE5206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FE5206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uiPriority w:val="38"/>
    <w:qFormat/>
    <w:rsid w:val="00FE5206"/>
    <w:rPr>
      <w:color w:val="000000"/>
      <w:sz w:val="14"/>
      <w:bdr w:val="none" w:sz="0" w:space="0" w:color="auto"/>
      <w:lang w:val="bg-BG" w:eastAsia="bg-BG"/>
    </w:rPr>
  </w:style>
  <w:style w:type="character" w:customStyle="1" w:styleId="JUNAMES">
    <w:name w:val="JU_NAMES"/>
    <w:uiPriority w:val="17"/>
    <w:qFormat/>
    <w:rsid w:val="00FE5206"/>
    <w:rPr>
      <w:smallCaps/>
      <w:lang w:val="bg-BG" w:eastAsia="bg-BG"/>
    </w:rPr>
  </w:style>
  <w:style w:type="paragraph" w:customStyle="1" w:styleId="JuParaSub">
    <w:name w:val="Ju_Para_Sub"/>
    <w:basedOn w:val="ECHRPara"/>
    <w:uiPriority w:val="13"/>
    <w:qFormat/>
    <w:rsid w:val="00FE5206"/>
    <w:pPr>
      <w:ind w:left="284"/>
    </w:pPr>
  </w:style>
  <w:style w:type="paragraph" w:styleId="Header">
    <w:name w:val="header"/>
    <w:basedOn w:val="Normal"/>
    <w:link w:val="HeaderChar"/>
    <w:uiPriority w:val="57"/>
    <w:semiHidden/>
    <w:rsid w:val="00FE520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57"/>
    <w:semiHidden/>
    <w:rsid w:val="00FE5206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FE5206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FE5206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FE5206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FE5206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JuQuotSub">
    <w:name w:val="Ju_Quot_Sub"/>
    <w:basedOn w:val="ECHRParaQuote"/>
    <w:uiPriority w:val="15"/>
    <w:qFormat/>
    <w:rsid w:val="00FE5206"/>
    <w:pPr>
      <w:ind w:left="567"/>
    </w:pPr>
  </w:style>
  <w:style w:type="paragraph" w:customStyle="1" w:styleId="JuCase">
    <w:name w:val="Ju_Case"/>
    <w:basedOn w:val="Normal"/>
    <w:next w:val="ECHRPara"/>
    <w:uiPriority w:val="10"/>
    <w:rsid w:val="00FE5206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FE5206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FE5206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FE5206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FE5206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FE5206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FE5206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FE5206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57"/>
    <w:semiHidden/>
    <w:rsid w:val="00FE5206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FE5206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FE520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E5206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FE5206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FE5206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FE5206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FE5206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FE5206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FE5206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E520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FE5206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FE5206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FE5206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FE5206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FE5206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FE5206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FE520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FE5206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FE5206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FE5206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FE5206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FE5206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FE5206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FE5206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FE5206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FE5206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FE5206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FE5206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FE5206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FE5206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FE5206"/>
    <w:pPr>
      <w:keepNext/>
      <w:keepLines/>
      <w:spacing w:before="240"/>
      <w:ind w:firstLine="284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FE5206"/>
    <w:pPr>
      <w:spacing w:before="720" w:after="240"/>
      <w:jc w:val="center"/>
      <w:outlineLvl w:val="0"/>
    </w:pPr>
    <w:rPr>
      <w:b/>
      <w:caps/>
    </w:r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FE5206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FE5206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FE5206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FE520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E5206"/>
    <w:rPr>
      <w:rFonts w:eastAsia="MS Mincho"/>
      <w:sz w:val="20"/>
      <w:szCs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OpiH1">
    <w:name w:val="Opi_H_1"/>
    <w:basedOn w:val="ECHRHeading2"/>
    <w:uiPriority w:val="42"/>
    <w:qFormat/>
    <w:rsid w:val="00FE5206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FE5206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E5206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FE5206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FE5206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FE5206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FE5206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FE5206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FE5206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FE5206"/>
  </w:style>
  <w:style w:type="paragraph" w:customStyle="1" w:styleId="OpiParaSub">
    <w:name w:val="Opi_Para_Sub"/>
    <w:basedOn w:val="JuParaSub"/>
    <w:uiPriority w:val="47"/>
    <w:qFormat/>
    <w:rsid w:val="00FE5206"/>
  </w:style>
  <w:style w:type="paragraph" w:customStyle="1" w:styleId="OpiQuot">
    <w:name w:val="Opi_Quot"/>
    <w:basedOn w:val="ECHRParaQuote"/>
    <w:uiPriority w:val="48"/>
    <w:qFormat/>
    <w:rsid w:val="00FE5206"/>
  </w:style>
  <w:style w:type="paragraph" w:customStyle="1" w:styleId="OpiQuotSub">
    <w:name w:val="Opi_Quot_Sub"/>
    <w:basedOn w:val="JuQuotSub"/>
    <w:uiPriority w:val="49"/>
    <w:qFormat/>
    <w:rsid w:val="00FE5206"/>
  </w:style>
  <w:style w:type="paragraph" w:customStyle="1" w:styleId="OpiTranslation">
    <w:name w:val="Opi_Translation"/>
    <w:basedOn w:val="Normal"/>
    <w:next w:val="OpiPara"/>
    <w:uiPriority w:val="40"/>
    <w:qFormat/>
    <w:rsid w:val="00FE5206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533F18"/>
    <w:rPr>
      <w:rFonts w:eastAsia="MS Mincho"/>
      <w:sz w:val="24"/>
      <w:lang w:val="bg-BG" w:eastAsia="bg-BG"/>
    </w:rPr>
  </w:style>
  <w:style w:type="paragraph" w:styleId="Revision">
    <w:name w:val="Revision"/>
    <w:hidden/>
    <w:uiPriority w:val="99"/>
    <w:semiHidden/>
    <w:rsid w:val="00762E17"/>
    <w:rPr>
      <w:rFonts w:eastAsia="MS Mincho"/>
      <w:sz w:val="24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2E26-8AF3-4D6C-B323-A4F55721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2018-08-06T12:27:00Z</dcterms:created>
  <dcterms:modified xsi:type="dcterms:W3CDTF">2018-08-06T12:27:00Z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