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87" w:rsidRPr="00365622" w:rsidRDefault="004D5587" w:rsidP="004D5587">
      <w:pPr>
        <w:jc w:val="center"/>
        <w:rPr>
          <w:b/>
        </w:rPr>
      </w:pPr>
      <w:bookmarkStart w:id="0" w:name="_GoBack"/>
      <w:bookmarkEnd w:id="0"/>
    </w:p>
    <w:p w:rsidR="004D5587" w:rsidRPr="00365622" w:rsidRDefault="004D5587" w:rsidP="004D5587">
      <w:pPr>
        <w:jc w:val="center"/>
        <w:rPr>
          <w:b/>
        </w:rPr>
      </w:pPr>
    </w:p>
    <w:p w:rsidR="004D5587" w:rsidRPr="00365622" w:rsidRDefault="004D5587" w:rsidP="004D5587">
      <w:pPr>
        <w:jc w:val="center"/>
        <w:rPr>
          <w:b/>
        </w:rPr>
      </w:pPr>
    </w:p>
    <w:p w:rsidR="004D5587" w:rsidRPr="001820EE" w:rsidRDefault="004D5587" w:rsidP="004D5587">
      <w:pPr>
        <w:jc w:val="center"/>
      </w:pPr>
      <w:r w:rsidRPr="001820EE">
        <w:rPr>
          <w:rStyle w:val="Normal"/>
        </w:rPr>
        <w:t>ПЕТО ОТДЕЛЕНИЕ</w:t>
      </w:r>
    </w:p>
    <w:p w:rsidR="004D5587" w:rsidRPr="001820EE" w:rsidRDefault="004D5587" w:rsidP="004D5587">
      <w:pPr>
        <w:jc w:val="center"/>
      </w:pPr>
      <w:bookmarkStart w:id="1" w:name="To"/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  <w:rPr>
          <w:b/>
        </w:rPr>
      </w:pPr>
    </w:p>
    <w:p w:rsidR="004D5587" w:rsidRPr="001820EE" w:rsidRDefault="004D5587" w:rsidP="004D5587">
      <w:pPr>
        <w:jc w:val="center"/>
        <w:rPr>
          <w:b/>
        </w:rPr>
      </w:pPr>
      <w:r w:rsidRPr="001820EE">
        <w:rPr>
          <w:rStyle w:val="Normal"/>
          <w:b/>
        </w:rPr>
        <w:t xml:space="preserve">ДЕЛО </w:t>
      </w:r>
      <w:bookmarkEnd w:id="1"/>
      <w:r w:rsidRPr="001820EE">
        <w:rPr>
          <w:rStyle w:val="Normal"/>
          <w:b/>
        </w:rPr>
        <w:t>НИКОЛАЙ ГЕНОВ СРЕЩУ БЪЛГАРИЯ</w:t>
      </w: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  <w:rPr>
          <w:i/>
        </w:rPr>
      </w:pPr>
      <w:r w:rsidRPr="001820EE">
        <w:rPr>
          <w:rStyle w:val="Normal"/>
          <w:i/>
        </w:rPr>
        <w:t xml:space="preserve">(Жалба </w:t>
      </w:r>
      <w:r w:rsidRPr="001820EE">
        <w:rPr>
          <w:rStyle w:val="Normal"/>
          <w:i/>
          <w:cs/>
        </w:rPr>
        <w:t xml:space="preserve">№ </w:t>
      </w:r>
      <w:r w:rsidRPr="001820EE">
        <w:rPr>
          <w:rStyle w:val="Normal"/>
          <w:i/>
        </w:rPr>
        <w:t>7202/09)</w:t>
      </w: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</w:pPr>
    </w:p>
    <w:p w:rsidR="004D5587" w:rsidRPr="001820EE" w:rsidRDefault="004D5587" w:rsidP="004D5587">
      <w:pPr>
        <w:jc w:val="center"/>
        <w:rPr>
          <w:szCs w:val="24"/>
        </w:rPr>
      </w:pPr>
      <w:r w:rsidRPr="001820EE">
        <w:rPr>
          <w:rStyle w:val="Normal"/>
        </w:rPr>
        <w:t>РЕШЕНИЕ</w:t>
      </w:r>
    </w:p>
    <w:p w:rsidR="004D5587" w:rsidRPr="001820EE" w:rsidRDefault="004D5587" w:rsidP="004D5587">
      <w:pPr>
        <w:jc w:val="center"/>
        <w:rPr>
          <w:szCs w:val="24"/>
        </w:rPr>
      </w:pPr>
    </w:p>
    <w:p w:rsidR="004D5587" w:rsidRPr="001820EE" w:rsidRDefault="004D5587" w:rsidP="004D5587">
      <w:pPr>
        <w:jc w:val="center"/>
        <w:rPr>
          <w:szCs w:val="24"/>
        </w:rPr>
      </w:pPr>
    </w:p>
    <w:p w:rsidR="004D5587" w:rsidRPr="001820EE" w:rsidRDefault="004D5587" w:rsidP="004D5587">
      <w:pPr>
        <w:jc w:val="center"/>
        <w:rPr>
          <w:szCs w:val="24"/>
        </w:rPr>
      </w:pPr>
    </w:p>
    <w:p w:rsidR="004D5587" w:rsidRPr="001820EE" w:rsidRDefault="004D5587" w:rsidP="004D5587">
      <w:pPr>
        <w:jc w:val="center"/>
        <w:rPr>
          <w:szCs w:val="24"/>
        </w:rPr>
      </w:pPr>
      <w:r w:rsidRPr="001820EE">
        <w:rPr>
          <w:rStyle w:val="Normal"/>
        </w:rPr>
        <w:t>СТРАСБУРГ</w:t>
      </w:r>
    </w:p>
    <w:p w:rsidR="004D5587" w:rsidRPr="001820EE" w:rsidRDefault="004D5587" w:rsidP="004D5587">
      <w:pPr>
        <w:jc w:val="center"/>
        <w:rPr>
          <w:szCs w:val="24"/>
        </w:rPr>
      </w:pPr>
    </w:p>
    <w:p w:rsidR="004D5587" w:rsidRPr="001820EE" w:rsidRDefault="004D5587" w:rsidP="004D5587">
      <w:pPr>
        <w:jc w:val="center"/>
        <w:rPr>
          <w:szCs w:val="24"/>
        </w:rPr>
      </w:pPr>
      <w:r w:rsidRPr="001820EE">
        <w:rPr>
          <w:rStyle w:val="Normal"/>
        </w:rPr>
        <w:t>13 юли 2017 г.</w:t>
      </w:r>
    </w:p>
    <w:p w:rsidR="004D5587" w:rsidRPr="001820EE" w:rsidRDefault="004D5587" w:rsidP="004D5587">
      <w:pPr>
        <w:jc w:val="center"/>
        <w:rPr>
          <w:szCs w:val="24"/>
        </w:rPr>
      </w:pPr>
    </w:p>
    <w:p w:rsidR="004D5587" w:rsidRPr="001820EE" w:rsidRDefault="004D5587" w:rsidP="004D5587">
      <w:pPr>
        <w:jc w:val="center"/>
        <w:rPr>
          <w:szCs w:val="24"/>
        </w:rPr>
      </w:pPr>
    </w:p>
    <w:p w:rsidR="004D5587" w:rsidRPr="001820EE" w:rsidRDefault="004D5587" w:rsidP="004D5587">
      <w:pPr>
        <w:pStyle w:val="jucase0"/>
        <w:ind w:firstLine="0"/>
        <w:jc w:val="center"/>
        <w:rPr>
          <w:color w:val="FF0000"/>
          <w:sz w:val="28"/>
          <w:szCs w:val="28"/>
          <w:u w:val="single"/>
        </w:rPr>
      </w:pPr>
      <w:r w:rsidRPr="001820EE">
        <w:rPr>
          <w:rStyle w:val="jucase0"/>
          <w:color w:val="FF0000"/>
          <w:sz w:val="28"/>
          <w:u w:val="single"/>
        </w:rPr>
        <w:t>ОКОНЧАТЕЛНО</w:t>
      </w:r>
    </w:p>
    <w:p w:rsidR="004D5587" w:rsidRPr="001820EE" w:rsidRDefault="004D5587" w:rsidP="004D5587">
      <w:pPr>
        <w:pStyle w:val="jupara"/>
        <w:tabs>
          <w:tab w:val="left" w:pos="4650"/>
        </w:tabs>
        <w:ind w:firstLine="0"/>
        <w:jc w:val="center"/>
        <w:rPr>
          <w:color w:val="FF0000"/>
          <w:sz w:val="28"/>
          <w:szCs w:val="28"/>
        </w:rPr>
      </w:pPr>
    </w:p>
    <w:p w:rsidR="004D5587" w:rsidRPr="001820EE" w:rsidRDefault="004D5587" w:rsidP="004D5587">
      <w:pPr>
        <w:pStyle w:val="jupara"/>
        <w:ind w:firstLine="0"/>
        <w:jc w:val="center"/>
        <w:rPr>
          <w:color w:val="FF0000"/>
          <w:sz w:val="28"/>
          <w:szCs w:val="28"/>
        </w:rPr>
      </w:pPr>
      <w:r w:rsidRPr="001820EE">
        <w:rPr>
          <w:rStyle w:val="jupara"/>
          <w:color w:val="FF0000"/>
          <w:sz w:val="28"/>
        </w:rPr>
        <w:t>13/11/2017 г.</w:t>
      </w:r>
    </w:p>
    <w:p w:rsidR="004D5587" w:rsidRPr="001820EE" w:rsidRDefault="004D5587" w:rsidP="004D5587">
      <w:pPr>
        <w:pStyle w:val="jupara"/>
        <w:ind w:firstLine="0"/>
        <w:jc w:val="center"/>
      </w:pPr>
    </w:p>
    <w:p w:rsidR="004D5587" w:rsidRPr="001820EE" w:rsidRDefault="004D5587" w:rsidP="004D5587">
      <w:pPr>
        <w:jc w:val="center"/>
        <w:rPr>
          <w:szCs w:val="24"/>
        </w:rPr>
      </w:pPr>
      <w:r w:rsidRPr="001820EE">
        <w:rPr>
          <w:rStyle w:val="Normal"/>
          <w:i/>
          <w:sz w:val="22"/>
        </w:rPr>
        <w:t xml:space="preserve">Това решение е станало окончателно при условията на чл. 44 </w:t>
      </w:r>
      <w:r w:rsidR="0040138E" w:rsidRPr="00365622">
        <w:rPr>
          <w:i/>
          <w:iCs/>
          <w:sz w:val="22"/>
        </w:rPr>
        <w:t>§</w:t>
      </w:r>
      <w:r w:rsidRPr="001820EE">
        <w:rPr>
          <w:rStyle w:val="Normal"/>
          <w:i/>
          <w:sz w:val="22"/>
        </w:rPr>
        <w:t xml:space="preserve"> 2 от Конвенцията. Може да бъде предмет на редакционни промени.</w:t>
      </w:r>
    </w:p>
    <w:p w:rsidR="004D5587" w:rsidRPr="001820EE" w:rsidRDefault="004D5587" w:rsidP="004D5587">
      <w:pPr>
        <w:pStyle w:val="JuCase"/>
        <w:sectPr w:rsidR="004D5587" w:rsidRPr="001820EE" w:rsidSect="004D55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4D5587" w:rsidRPr="001820EE" w:rsidRDefault="004D5587" w:rsidP="004D5587">
      <w:pPr>
        <w:pStyle w:val="JuCase"/>
        <w:suppressLineNumbers/>
        <w:rPr>
          <w:bCs/>
        </w:rPr>
      </w:pPr>
      <w:r w:rsidRPr="001820EE">
        <w:rPr>
          <w:rStyle w:val="JuCase"/>
        </w:rPr>
        <w:lastRenderedPageBreak/>
        <w:t>По делото Николай Генов срещу България,</w:t>
      </w:r>
    </w:p>
    <w:p w:rsidR="004D5587" w:rsidRPr="007F2798" w:rsidRDefault="004D5587" w:rsidP="004D5587">
      <w:pPr>
        <w:pStyle w:val="ECHRPara"/>
      </w:pPr>
      <w:r w:rsidRPr="001820EE">
        <w:rPr>
          <w:rStyle w:val="ECHRPara"/>
        </w:rPr>
        <w:t>Европейският съд по правата на човека (Пето отделение), заседаващ в състав</w:t>
      </w:r>
      <w:r w:rsidRPr="007F2798">
        <w:rPr>
          <w:rStyle w:val="ECHRPara"/>
        </w:rPr>
        <w:t>:</w:t>
      </w:r>
    </w:p>
    <w:p w:rsidR="004D5587" w:rsidRPr="007F2798" w:rsidRDefault="004D5587" w:rsidP="004D5587">
      <w:pPr>
        <w:pStyle w:val="ECHRDecisionBody"/>
      </w:pPr>
      <w:r w:rsidRPr="007F2798">
        <w:rPr>
          <w:rStyle w:val="ECHRDecisionBody"/>
        </w:rPr>
        <w:tab/>
        <w:t xml:space="preserve">Ангелика Нусбергер (Angelika Nußberger), </w:t>
      </w:r>
      <w:r w:rsidRPr="007F2798">
        <w:rPr>
          <w:rStyle w:val="ECHRDecisionBody"/>
          <w:i/>
        </w:rPr>
        <w:t>председател</w:t>
      </w:r>
      <w:r w:rsidRPr="007F2798">
        <w:rPr>
          <w:rStyle w:val="ECHRDecisionBody"/>
        </w:rPr>
        <w:t>,</w:t>
      </w:r>
      <w:r w:rsidRPr="007F2798">
        <w:br/>
      </w:r>
      <w:r w:rsidRPr="007F2798">
        <w:rPr>
          <w:rStyle w:val="ECHRDecisionBody"/>
        </w:rPr>
        <w:tab/>
        <w:t>Нона Цоцориа (Nona Tsotsoria),</w:t>
      </w:r>
      <w:r w:rsidRPr="007F2798">
        <w:br/>
      </w:r>
      <w:r w:rsidRPr="007F2798">
        <w:rPr>
          <w:rStyle w:val="ECHRDecisionBody"/>
        </w:rPr>
        <w:tab/>
        <w:t>Андре Поточки (André Potocki),</w:t>
      </w:r>
      <w:r w:rsidRPr="007F2798">
        <w:br/>
      </w:r>
      <w:r w:rsidRPr="007F2798">
        <w:rPr>
          <w:rStyle w:val="ECHRDecisionBody"/>
        </w:rPr>
        <w:tab/>
        <w:t>Йонко Грозев (Yonko Grozev),</w:t>
      </w:r>
      <w:r w:rsidRPr="007F2798">
        <w:br/>
      </w:r>
      <w:r w:rsidRPr="007F2798">
        <w:rPr>
          <w:rStyle w:val="ECHRDecisionBody"/>
        </w:rPr>
        <w:tab/>
        <w:t>Мартинш Митс (Mārtiņš Mits),</w:t>
      </w:r>
      <w:r w:rsidRPr="007F2798">
        <w:br/>
      </w:r>
      <w:r w:rsidRPr="007F2798">
        <w:rPr>
          <w:rStyle w:val="ECHRDecisionBody"/>
        </w:rPr>
        <w:tab/>
        <w:t>Габриеле Куцко-Щадлмайер (Gabriele Kucsko-Stadlmayer),</w:t>
      </w:r>
      <w:r w:rsidRPr="007F2798">
        <w:br/>
      </w:r>
      <w:r w:rsidRPr="007F2798">
        <w:rPr>
          <w:rStyle w:val="ECHRDecisionBody"/>
        </w:rPr>
        <w:tab/>
        <w:t xml:space="preserve">Летиф Хюсеинов (Lәtif Hüseynov), </w:t>
      </w:r>
      <w:r w:rsidRPr="007F2798">
        <w:rPr>
          <w:rStyle w:val="ECHRDecisionBody"/>
          <w:i/>
        </w:rPr>
        <w:t>съдии</w:t>
      </w:r>
      <w:r w:rsidRPr="007F2798">
        <w:rPr>
          <w:rStyle w:val="ECHRDecisionBody"/>
        </w:rPr>
        <w:t>,</w:t>
      </w:r>
      <w:r w:rsidRPr="007F2798">
        <w:br/>
      </w:r>
      <w:r w:rsidRPr="007F2798">
        <w:rPr>
          <w:rStyle w:val="ECHRDecisionBody"/>
        </w:rPr>
        <w:t>и Милан Бла</w:t>
      </w:r>
      <w:r w:rsidR="00971353" w:rsidRPr="007F2798">
        <w:rPr>
          <w:rStyle w:val="ECHRDecisionBody"/>
        </w:rPr>
        <w:t>с</w:t>
      </w:r>
      <w:r w:rsidRPr="001820EE">
        <w:rPr>
          <w:rStyle w:val="ECHRDecisionBody"/>
        </w:rPr>
        <w:t>ко</w:t>
      </w:r>
      <w:r w:rsidRPr="007F2798">
        <w:rPr>
          <w:rStyle w:val="ECHRDecisionBody"/>
        </w:rPr>
        <w:t xml:space="preserve"> (Milan Blaško), </w:t>
      </w:r>
      <w:r w:rsidRPr="007F2798">
        <w:rPr>
          <w:rStyle w:val="ECHRDecisionBody"/>
          <w:i/>
        </w:rPr>
        <w:t>заместник-секретар на отделението</w:t>
      </w:r>
      <w:r w:rsidRPr="007F2798">
        <w:rPr>
          <w:rStyle w:val="ECHRDecisionBody"/>
        </w:rPr>
        <w:t>,</w:t>
      </w:r>
    </w:p>
    <w:p w:rsidR="004D5587" w:rsidRPr="007F2798" w:rsidRDefault="004D5587" w:rsidP="004D5587">
      <w:pPr>
        <w:pStyle w:val="ECHRPara"/>
      </w:pPr>
      <w:r w:rsidRPr="007F2798">
        <w:rPr>
          <w:rStyle w:val="ECHRPara"/>
        </w:rPr>
        <w:t>След закрито заседание, проведено на 20 юни 2017 г.,</w:t>
      </w:r>
    </w:p>
    <w:p w:rsidR="004D5587" w:rsidRPr="007F2798" w:rsidRDefault="004D5587" w:rsidP="004D5587">
      <w:pPr>
        <w:pStyle w:val="ECHRPara"/>
      </w:pPr>
      <w:r w:rsidRPr="007F2798">
        <w:rPr>
          <w:rStyle w:val="ECHRPara"/>
        </w:rPr>
        <w:t xml:space="preserve">Постановява следното решение, прието на </w:t>
      </w:r>
      <w:r w:rsidR="00A44847" w:rsidRPr="007F2798">
        <w:rPr>
          <w:rStyle w:val="ECHRPara"/>
        </w:rPr>
        <w:t xml:space="preserve">същата </w:t>
      </w:r>
      <w:r w:rsidRPr="007F2798">
        <w:rPr>
          <w:rStyle w:val="ECHRPara"/>
        </w:rPr>
        <w:t>дата:</w:t>
      </w:r>
    </w:p>
    <w:p w:rsidR="004D5587" w:rsidRPr="007F2798" w:rsidRDefault="004D5587" w:rsidP="004D5587">
      <w:pPr>
        <w:pStyle w:val="ECHRTitle1"/>
      </w:pPr>
      <w:r w:rsidRPr="007F2798">
        <w:rPr>
          <w:rStyle w:val="ECHRTitle1"/>
        </w:rPr>
        <w:t>ПРОЦЕДУРА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1</w:t>
      </w:r>
      <w:r w:rsidRPr="007F2798">
        <w:fldChar w:fldCharType="end"/>
      </w:r>
      <w:r w:rsidRPr="007F2798">
        <w:rPr>
          <w:rStyle w:val="ECHRPara"/>
        </w:rPr>
        <w:t>.  Делото е образувано по жалба (</w:t>
      </w:r>
      <w:r w:rsidRPr="007F2798">
        <w:rPr>
          <w:rStyle w:val="ECHRPara"/>
          <w:cs/>
        </w:rPr>
        <w:t xml:space="preserve">№ </w:t>
      </w:r>
      <w:r w:rsidRPr="007F2798">
        <w:rPr>
          <w:rStyle w:val="ECHRPara"/>
        </w:rPr>
        <w:t>7202/09) срещу Република България, подадена в Съда на основание чл. 34 от Конвенцията за защита  правата на човека и основните свободи (</w:t>
      </w:r>
      <w:r w:rsidRPr="007F2798">
        <w:rPr>
          <w:rStyle w:val="ECHRPara"/>
          <w:cs/>
        </w:rPr>
        <w:t>”</w:t>
      </w:r>
      <w:r w:rsidRPr="007F2798">
        <w:rPr>
          <w:rStyle w:val="ECHRPara"/>
        </w:rPr>
        <w:t>Конвенцията</w:t>
      </w:r>
      <w:r w:rsidRPr="007F2798">
        <w:rPr>
          <w:rStyle w:val="ECHRPara"/>
          <w:cs/>
        </w:rPr>
        <w:t>”</w:t>
      </w:r>
      <w:r w:rsidRPr="007F2798">
        <w:rPr>
          <w:rStyle w:val="ECHRPara"/>
        </w:rPr>
        <w:t>) от български</w:t>
      </w:r>
      <w:r w:rsidR="00A44847" w:rsidRPr="007F2798">
        <w:rPr>
          <w:rStyle w:val="ECHRPara"/>
        </w:rPr>
        <w:t>я</w:t>
      </w:r>
      <w:r w:rsidRPr="007F2798">
        <w:rPr>
          <w:rStyle w:val="ECHRPara"/>
        </w:rPr>
        <w:t xml:space="preserve"> гражданин, г-н Николай Димитров Генов (</w:t>
      </w:r>
      <w:r w:rsidRPr="007F2798">
        <w:rPr>
          <w:rStyle w:val="ECHRPara"/>
          <w:cs/>
        </w:rPr>
        <w:t>”</w:t>
      </w:r>
      <w:r w:rsidRPr="007F2798">
        <w:rPr>
          <w:rStyle w:val="ECHRPara"/>
        </w:rPr>
        <w:t>жалбоподателя</w:t>
      </w:r>
      <w:r w:rsidRPr="007F2798">
        <w:rPr>
          <w:rStyle w:val="ECHRPara"/>
          <w:cs/>
        </w:rPr>
        <w:t>”</w:t>
      </w:r>
      <w:r w:rsidRPr="007F2798">
        <w:rPr>
          <w:rStyle w:val="ECHRPara"/>
        </w:rPr>
        <w:t>), на 5 януари 2009 г.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2</w:t>
      </w:r>
      <w:r w:rsidRPr="007F2798">
        <w:fldChar w:fldCharType="end"/>
      </w:r>
      <w:r w:rsidRPr="007F2798">
        <w:rPr>
          <w:rStyle w:val="ECHRPara"/>
        </w:rPr>
        <w:t>.  Жалбоподателят се представлява от г-н В. Стоянов, адвокат, практикуващ в Пазарджик. Българското правителство (</w:t>
      </w:r>
      <w:r w:rsidRPr="007F2798">
        <w:rPr>
          <w:rStyle w:val="ECHRPara"/>
          <w:cs/>
        </w:rPr>
        <w:t>„</w:t>
      </w:r>
      <w:r w:rsidRPr="007F2798">
        <w:rPr>
          <w:rStyle w:val="ECHRPara"/>
        </w:rPr>
        <w:t>Правителството</w:t>
      </w:r>
      <w:r w:rsidRPr="007F2798">
        <w:rPr>
          <w:rStyle w:val="ECHRPara"/>
          <w:cs/>
        </w:rPr>
        <w:t>”</w:t>
      </w:r>
      <w:r w:rsidRPr="007F2798">
        <w:rPr>
          <w:rStyle w:val="ECHRPara"/>
        </w:rPr>
        <w:t>) се представлява от правителствения агент г-жа Р. Николова от Министерство на правосъдието.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3</w:t>
      </w:r>
      <w:r w:rsidRPr="007F2798">
        <w:fldChar w:fldCharType="end"/>
      </w:r>
      <w:r w:rsidRPr="007F2798">
        <w:rPr>
          <w:rStyle w:val="ECHRPara"/>
        </w:rPr>
        <w:t>.  Жалб</w:t>
      </w:r>
      <w:r w:rsidR="009A26D0">
        <w:rPr>
          <w:rStyle w:val="ECHRPara"/>
        </w:rPr>
        <w:t xml:space="preserve">оподателят твърди по-конкретно, </w:t>
      </w:r>
      <w:r w:rsidRPr="007F2798">
        <w:rPr>
          <w:rStyle w:val="ECHRPara"/>
        </w:rPr>
        <w:t>че</w:t>
      </w:r>
      <w:r w:rsidR="009A26D0">
        <w:rPr>
          <w:rStyle w:val="ECHRPara"/>
        </w:rPr>
        <w:t xml:space="preserve"> </w:t>
      </w:r>
      <w:r w:rsidRPr="007F2798">
        <w:rPr>
          <w:rStyle w:val="ECHRPara"/>
        </w:rPr>
        <w:t xml:space="preserve">националните съдилища не </w:t>
      </w:r>
      <w:r w:rsidR="005C3B94">
        <w:rPr>
          <w:rStyle w:val="ECHRPara"/>
        </w:rPr>
        <w:t>са отговорили</w:t>
      </w:r>
      <w:r w:rsidR="005C3B94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на </w:t>
      </w:r>
      <w:r w:rsidR="00DD2DEC">
        <w:rPr>
          <w:rStyle w:val="ECHRPara"/>
        </w:rPr>
        <w:t>аргумент</w:t>
      </w:r>
      <w:r w:rsidRPr="007F2798">
        <w:rPr>
          <w:rStyle w:val="ECHRPara"/>
        </w:rPr>
        <w:t xml:space="preserve">, който </w:t>
      </w:r>
      <w:r w:rsidR="005C3B94">
        <w:rPr>
          <w:rStyle w:val="ECHRPara"/>
        </w:rPr>
        <w:t xml:space="preserve">е </w:t>
      </w:r>
      <w:r w:rsidR="00DD2DEC">
        <w:rPr>
          <w:rStyle w:val="ECHRPara"/>
        </w:rPr>
        <w:t>повдигнал</w:t>
      </w:r>
      <w:r w:rsidR="005C3B94" w:rsidRPr="007F2798">
        <w:rPr>
          <w:rStyle w:val="ECHRPara"/>
        </w:rPr>
        <w:t xml:space="preserve"> </w:t>
      </w:r>
      <w:r w:rsidRPr="007F2798">
        <w:rPr>
          <w:rStyle w:val="ECHRPara"/>
        </w:rPr>
        <w:t>в рамките на наказателно производство срещу него.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4</w:t>
      </w:r>
      <w:r w:rsidRPr="007F2798">
        <w:fldChar w:fldCharType="end"/>
      </w:r>
      <w:r w:rsidRPr="007F2798">
        <w:rPr>
          <w:rStyle w:val="ECHRPara"/>
        </w:rPr>
        <w:t>.  На 6 юни 2016 г. Правителството</w:t>
      </w:r>
      <w:r w:rsidR="00A44847" w:rsidRPr="007F2798">
        <w:rPr>
          <w:rStyle w:val="ECHRPara"/>
        </w:rPr>
        <w:t xml:space="preserve"> е уведомено за горното оплакване</w:t>
      </w:r>
      <w:r w:rsidRPr="007F2798">
        <w:rPr>
          <w:rStyle w:val="ECHRPara"/>
        </w:rPr>
        <w:t>, а останалата част от жалбата е обявена за недопустима съгласно Правило 54 § 3 от Правилника на Съда.</w:t>
      </w:r>
    </w:p>
    <w:p w:rsidR="004D5587" w:rsidRPr="007F2798" w:rsidRDefault="004D5587" w:rsidP="004D5587">
      <w:pPr>
        <w:pStyle w:val="ECHRTitle1"/>
      </w:pPr>
      <w:r w:rsidRPr="007F2798">
        <w:rPr>
          <w:rStyle w:val="ECHRTitle1"/>
        </w:rPr>
        <w:t>ФАКТИТЕ</w:t>
      </w:r>
    </w:p>
    <w:p w:rsidR="004D5587" w:rsidRPr="007F2798" w:rsidRDefault="004D5587" w:rsidP="004D5587">
      <w:pPr>
        <w:pStyle w:val="ECHRHeading1"/>
      </w:pPr>
      <w:r w:rsidRPr="007F2798">
        <w:rPr>
          <w:rStyle w:val="ECHRHeading1"/>
        </w:rPr>
        <w:t>I.  ОБСТОЯТЕЛСТВА ПО ДЕЛОТО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5</w:t>
      </w:r>
      <w:r w:rsidRPr="007F2798">
        <w:fldChar w:fldCharType="end"/>
      </w:r>
      <w:r w:rsidRPr="007F2798">
        <w:rPr>
          <w:rStyle w:val="ECHRPara"/>
        </w:rPr>
        <w:t>.  Жалбоподателят е роден през 1966 г. и живее в Пазарджик.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6</w:t>
      </w:r>
      <w:r w:rsidRPr="007F2798">
        <w:fldChar w:fldCharType="end"/>
      </w:r>
      <w:r w:rsidRPr="007F2798">
        <w:rPr>
          <w:rStyle w:val="ECHRPara"/>
        </w:rPr>
        <w:t>.  На 10 януари 2007 г. полицията претърс</w:t>
      </w:r>
      <w:r w:rsidR="001F2200">
        <w:rPr>
          <w:rStyle w:val="ECHRPara"/>
        </w:rPr>
        <w:t>ила</w:t>
      </w:r>
      <w:r w:rsidRPr="007F2798">
        <w:rPr>
          <w:rStyle w:val="ECHRPara"/>
        </w:rPr>
        <w:t xml:space="preserve"> дома на жалбоподателя, където нам</w:t>
      </w:r>
      <w:r w:rsidR="001F2200">
        <w:rPr>
          <w:rStyle w:val="ECHRPara"/>
        </w:rPr>
        <w:t>ерила</w:t>
      </w:r>
      <w:r w:rsidRPr="007F2798">
        <w:rPr>
          <w:rStyle w:val="ECHRPara"/>
        </w:rPr>
        <w:t xml:space="preserve"> пет стодоларови банкноти (USD), които впоследствие се оказ</w:t>
      </w:r>
      <w:r w:rsidR="001F2200">
        <w:rPr>
          <w:rStyle w:val="ECHRPara"/>
        </w:rPr>
        <w:t>али</w:t>
      </w:r>
      <w:r w:rsidRPr="007F2798">
        <w:rPr>
          <w:rStyle w:val="ECHRPara"/>
        </w:rPr>
        <w:t xml:space="preserve"> подправени.</w:t>
      </w:r>
    </w:p>
    <w:p w:rsidR="004D5587" w:rsidRPr="007F2798" w:rsidRDefault="004D5587" w:rsidP="004D5587">
      <w:pPr>
        <w:pStyle w:val="ECHRPara"/>
      </w:pPr>
      <w:r w:rsidRPr="007F2798">
        <w:lastRenderedPageBreak/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7</w:t>
      </w:r>
      <w:r w:rsidRPr="007F2798">
        <w:fldChar w:fldCharType="end"/>
      </w:r>
      <w:r w:rsidRPr="007F2798">
        <w:rPr>
          <w:rStyle w:val="ECHRPara"/>
        </w:rPr>
        <w:t>.  През май 2007 г. жалбоподателят е обвинен от след</w:t>
      </w:r>
      <w:r w:rsidR="00270B18">
        <w:rPr>
          <w:rStyle w:val="ECHRPara"/>
        </w:rPr>
        <w:t>ствието</w:t>
      </w:r>
      <w:r w:rsidRPr="007F2798">
        <w:rPr>
          <w:rStyle w:val="ECHRPara"/>
        </w:rPr>
        <w:t xml:space="preserve"> в придобиване</w:t>
      </w:r>
      <w:r w:rsidR="00852939" w:rsidRPr="007F2798">
        <w:rPr>
          <w:rStyle w:val="ECHRPara"/>
        </w:rPr>
        <w:t>то</w:t>
      </w:r>
      <w:r w:rsidRPr="007F2798">
        <w:rPr>
          <w:rStyle w:val="ECHRPara"/>
        </w:rPr>
        <w:t xml:space="preserve"> и </w:t>
      </w:r>
      <w:r w:rsidR="00E91F9D">
        <w:rPr>
          <w:rStyle w:val="ECHRPara"/>
        </w:rPr>
        <w:t>държането</w:t>
      </w:r>
      <w:r w:rsidRPr="007F2798">
        <w:rPr>
          <w:rStyle w:val="ECHRPara"/>
        </w:rPr>
        <w:t xml:space="preserve"> на тези банкноти - престъпления по чл. 244, ал. 1 и 2 от Наказателния кодекс (вж. параграф 16 по-долу). </w:t>
      </w:r>
      <w:r w:rsidR="00852939" w:rsidRPr="007F2798">
        <w:rPr>
          <w:rStyle w:val="ECHRPara"/>
        </w:rPr>
        <w:t>Впоследствие обаче в</w:t>
      </w:r>
      <w:r w:rsidRPr="007F2798">
        <w:rPr>
          <w:rStyle w:val="ECHRPara"/>
        </w:rPr>
        <w:t>торото обвинение е свалено и през юли 2007 г. прокур</w:t>
      </w:r>
      <w:r w:rsidR="00B77834">
        <w:rPr>
          <w:rStyle w:val="ECHRPara"/>
        </w:rPr>
        <w:t>атурата</w:t>
      </w:r>
      <w:r w:rsidRPr="007F2798">
        <w:rPr>
          <w:rStyle w:val="ECHRPara"/>
        </w:rPr>
        <w:t xml:space="preserve"> </w:t>
      </w:r>
      <w:r w:rsidR="00515649">
        <w:rPr>
          <w:rStyle w:val="ECHRPara"/>
        </w:rPr>
        <w:t>повдигнала обвинение срещу</w:t>
      </w:r>
      <w:r w:rsidR="00515649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жалбоподателя </w:t>
      </w:r>
      <w:r w:rsidR="00515649">
        <w:rPr>
          <w:rStyle w:val="ECHRPara"/>
        </w:rPr>
        <w:t>за</w:t>
      </w:r>
      <w:r w:rsidRPr="007F2798">
        <w:rPr>
          <w:rStyle w:val="ECHRPara"/>
        </w:rPr>
        <w:t xml:space="preserve"> придобиване на банкнотите </w:t>
      </w:r>
      <w:r w:rsidRPr="007F2798">
        <w:rPr>
          <w:rStyle w:val="ECHRPara"/>
          <w:cs/>
        </w:rPr>
        <w:t>“</w:t>
      </w:r>
      <w:r w:rsidRPr="007F2798">
        <w:rPr>
          <w:rStyle w:val="ECHRPara"/>
        </w:rPr>
        <w:t>в периода между 2002 г. и 10 януари 2007 г.</w:t>
      </w:r>
      <w:r w:rsidRPr="007F2798">
        <w:rPr>
          <w:rStyle w:val="ECHRPara"/>
          <w:cs/>
        </w:rPr>
        <w:t xml:space="preserve">” </w:t>
      </w:r>
      <w:r w:rsidRPr="007F2798">
        <w:rPr>
          <w:rStyle w:val="ECHRPara"/>
        </w:rPr>
        <w:t xml:space="preserve">със знанието, че са подправени. В описанието на фактите в обвинителния акт е отбелязано, че през 2002 г. жалбоподателят </w:t>
      </w:r>
      <w:r w:rsidR="00B77834">
        <w:rPr>
          <w:rStyle w:val="ECHRPara"/>
        </w:rPr>
        <w:t xml:space="preserve"> продал</w:t>
      </w:r>
      <w:r w:rsidR="00B77834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апартамент и с част от парите </w:t>
      </w:r>
      <w:r w:rsidR="00B77834">
        <w:rPr>
          <w:rStyle w:val="ECHRPara"/>
        </w:rPr>
        <w:t>купил</w:t>
      </w:r>
      <w:r w:rsidR="00B77834" w:rsidRPr="007F2798">
        <w:rPr>
          <w:rStyle w:val="ECHRPara"/>
        </w:rPr>
        <w:t xml:space="preserve"> </w:t>
      </w:r>
      <w:r w:rsidRPr="007F2798">
        <w:rPr>
          <w:rStyle w:val="ECHRPara"/>
        </w:rPr>
        <w:t>няколко стодоларови банкноти от лице на улицата.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8</w:t>
      </w:r>
      <w:r w:rsidRPr="007F2798">
        <w:fldChar w:fldCharType="end"/>
      </w:r>
      <w:r w:rsidRPr="007F2798">
        <w:rPr>
          <w:rStyle w:val="ECHRPara"/>
        </w:rPr>
        <w:t xml:space="preserve">.  Жалбоподателят е </w:t>
      </w:r>
      <w:r w:rsidR="00515649">
        <w:rPr>
          <w:rStyle w:val="ECHRPara"/>
        </w:rPr>
        <w:t>предаден на</w:t>
      </w:r>
      <w:r w:rsidRPr="007F2798">
        <w:rPr>
          <w:rStyle w:val="ECHRPara"/>
        </w:rPr>
        <w:t xml:space="preserve"> съд. </w:t>
      </w:r>
      <w:r w:rsidR="00B1437C">
        <w:rPr>
          <w:rStyle w:val="ECHRPara"/>
        </w:rPr>
        <w:t>П</w:t>
      </w:r>
      <w:r w:rsidRPr="007F2798">
        <w:rPr>
          <w:rStyle w:val="ECHRPara"/>
        </w:rPr>
        <w:t xml:space="preserve">ред Окръжен съд - Пазарджик (наричан по-нататък </w:t>
      </w:r>
      <w:r w:rsidRPr="007F2798">
        <w:rPr>
          <w:rStyle w:val="ECHRPara"/>
          <w:cs/>
        </w:rPr>
        <w:t>“</w:t>
      </w:r>
      <w:r w:rsidRPr="007F2798">
        <w:rPr>
          <w:rStyle w:val="ECHRPara"/>
        </w:rPr>
        <w:t>Окръжният съд</w:t>
      </w:r>
      <w:r w:rsidRPr="007F2798">
        <w:rPr>
          <w:rStyle w:val="ECHRPara"/>
          <w:cs/>
        </w:rPr>
        <w:t>”</w:t>
      </w:r>
      <w:r w:rsidRPr="007F2798">
        <w:rPr>
          <w:rStyle w:val="ECHRPara"/>
        </w:rPr>
        <w:t>), който разгле</w:t>
      </w:r>
      <w:r w:rsidR="00515649">
        <w:rPr>
          <w:rStyle w:val="ECHRPara"/>
        </w:rPr>
        <w:t>дал</w:t>
      </w:r>
      <w:r w:rsidRPr="007F2798">
        <w:rPr>
          <w:rStyle w:val="ECHRPara"/>
        </w:rPr>
        <w:t xml:space="preserve"> делото на първа инстанция, </w:t>
      </w:r>
      <w:r w:rsidR="00B1437C">
        <w:rPr>
          <w:rStyle w:val="ECHRPara"/>
        </w:rPr>
        <w:t>т</w:t>
      </w:r>
      <w:r w:rsidR="00B1437C" w:rsidRPr="007F2798">
        <w:rPr>
          <w:rStyle w:val="ECHRPara"/>
        </w:rPr>
        <w:t>ой да</w:t>
      </w:r>
      <w:r w:rsidR="00B1437C">
        <w:rPr>
          <w:rStyle w:val="ECHRPara"/>
        </w:rPr>
        <w:t>л</w:t>
      </w:r>
      <w:r w:rsidR="00B1437C" w:rsidRPr="007F2798">
        <w:rPr>
          <w:rStyle w:val="ECHRPara"/>
        </w:rPr>
        <w:t xml:space="preserve"> </w:t>
      </w:r>
      <w:r w:rsidR="00C42D8B">
        <w:rPr>
          <w:rStyle w:val="ECHRPara"/>
        </w:rPr>
        <w:t>обяснения</w:t>
      </w:r>
      <w:r w:rsidR="00B1437C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че брат му му </w:t>
      </w:r>
      <w:r w:rsidR="00456C5F">
        <w:rPr>
          <w:rStyle w:val="ECHRPara"/>
        </w:rPr>
        <w:t>е дал</w:t>
      </w:r>
      <w:r w:rsidR="00456C5F" w:rsidRPr="007F2798">
        <w:rPr>
          <w:rStyle w:val="ECHRPara"/>
        </w:rPr>
        <w:t xml:space="preserve"> </w:t>
      </w:r>
      <w:r w:rsidRPr="007F2798">
        <w:rPr>
          <w:rStyle w:val="ECHRPara"/>
        </w:rPr>
        <w:t>пари</w:t>
      </w:r>
      <w:r w:rsidR="00456C5F">
        <w:rPr>
          <w:rStyle w:val="ECHRPara"/>
        </w:rPr>
        <w:t>те</w:t>
      </w:r>
      <w:r w:rsidRPr="007F2798">
        <w:rPr>
          <w:rStyle w:val="ECHRPara"/>
        </w:rPr>
        <w:t xml:space="preserve"> през 2002 г.</w:t>
      </w:r>
      <w:r w:rsidR="00D71534">
        <w:rPr>
          <w:rStyle w:val="ECHRPara"/>
        </w:rPr>
        <w:t>,</w:t>
      </w:r>
      <w:r w:rsidRPr="007F2798">
        <w:rPr>
          <w:rStyle w:val="ECHRPara"/>
        </w:rPr>
        <w:t xml:space="preserve"> след продажбата на апартамент. </w:t>
      </w:r>
      <w:r w:rsidR="00A75079">
        <w:rPr>
          <w:rStyle w:val="ECHRPara"/>
        </w:rPr>
        <w:t>С тези пари ж</w:t>
      </w:r>
      <w:r w:rsidRPr="007F2798">
        <w:rPr>
          <w:rStyle w:val="ECHRPara"/>
        </w:rPr>
        <w:t xml:space="preserve">албоподателят </w:t>
      </w:r>
      <w:r w:rsidR="00456C5F" w:rsidRPr="007F2798">
        <w:rPr>
          <w:rStyle w:val="ECHRPara"/>
        </w:rPr>
        <w:t>куп</w:t>
      </w:r>
      <w:r w:rsidR="00456C5F">
        <w:rPr>
          <w:rStyle w:val="ECHRPara"/>
        </w:rPr>
        <w:t>ил</w:t>
      </w:r>
      <w:r w:rsidR="00456C5F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долари, </w:t>
      </w:r>
      <w:r w:rsidR="00E3298A">
        <w:rPr>
          <w:rStyle w:val="ECHRPara"/>
        </w:rPr>
        <w:t xml:space="preserve">а именно сумата от </w:t>
      </w:r>
      <w:r w:rsidRPr="007F2798">
        <w:rPr>
          <w:rStyle w:val="ECHRPara"/>
        </w:rPr>
        <w:t>1000 щатски долара, от които паз</w:t>
      </w:r>
      <w:r w:rsidR="00456C5F">
        <w:rPr>
          <w:rStyle w:val="ECHRPara"/>
        </w:rPr>
        <w:t>ел</w:t>
      </w:r>
      <w:r w:rsidRPr="007F2798">
        <w:rPr>
          <w:rStyle w:val="ECHRPara"/>
        </w:rPr>
        <w:t xml:space="preserve"> 500 долара </w:t>
      </w:r>
      <w:r w:rsidRPr="007F2798">
        <w:rPr>
          <w:rStyle w:val="ECHRPara"/>
          <w:cs/>
        </w:rPr>
        <w:t>“</w:t>
      </w:r>
      <w:r w:rsidRPr="007F2798">
        <w:rPr>
          <w:rStyle w:val="ECHRPara"/>
        </w:rPr>
        <w:t>за тежки времена</w:t>
      </w:r>
      <w:r w:rsidRPr="007F2798">
        <w:rPr>
          <w:rStyle w:val="ECHRPara"/>
          <w:cs/>
        </w:rPr>
        <w:t>”</w:t>
      </w:r>
      <w:r w:rsidRPr="007F2798">
        <w:rPr>
          <w:rStyle w:val="ECHRPara"/>
        </w:rPr>
        <w:t>. Той заявява, че не е знаел, че банкнотите са подправени.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9</w:t>
      </w:r>
      <w:r w:rsidRPr="007F2798">
        <w:fldChar w:fldCharType="end"/>
      </w:r>
      <w:r w:rsidRPr="007F2798">
        <w:rPr>
          <w:rStyle w:val="ECHRPara"/>
        </w:rPr>
        <w:t>.  Братът на жалбоподателя също да</w:t>
      </w:r>
      <w:r w:rsidR="00456C5F">
        <w:rPr>
          <w:rStyle w:val="ECHRPara"/>
        </w:rPr>
        <w:t>л</w:t>
      </w:r>
      <w:r w:rsidR="00DE7162">
        <w:rPr>
          <w:rStyle w:val="ECHRPara"/>
        </w:rPr>
        <w:t xml:space="preserve"> показания. Той потвърд</w:t>
      </w:r>
      <w:r w:rsidR="00456C5F">
        <w:rPr>
          <w:rStyle w:val="ECHRPara"/>
        </w:rPr>
        <w:t>ил</w:t>
      </w:r>
      <w:r w:rsidRPr="007F2798">
        <w:rPr>
          <w:rStyle w:val="ECHRPara"/>
        </w:rPr>
        <w:t xml:space="preserve">, че през 2002 г. </w:t>
      </w:r>
      <w:r w:rsidR="00456C5F">
        <w:rPr>
          <w:rStyle w:val="ECHRPara"/>
        </w:rPr>
        <w:t>е продал</w:t>
      </w:r>
      <w:r w:rsidR="00456C5F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апартамента си и </w:t>
      </w:r>
      <w:r w:rsidR="00456C5F">
        <w:rPr>
          <w:rStyle w:val="ECHRPara"/>
        </w:rPr>
        <w:t>е дал</w:t>
      </w:r>
      <w:r w:rsidR="00456C5F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на жалбоподателя пари </w:t>
      </w:r>
      <w:r w:rsidR="00B96012" w:rsidRPr="007F2798">
        <w:rPr>
          <w:rStyle w:val="ECHRPara"/>
        </w:rPr>
        <w:t xml:space="preserve">да </w:t>
      </w:r>
      <w:r w:rsidRPr="007F2798">
        <w:rPr>
          <w:rStyle w:val="ECHRPara"/>
        </w:rPr>
        <w:t>закуп</w:t>
      </w:r>
      <w:r w:rsidR="00B96012" w:rsidRPr="007F2798">
        <w:rPr>
          <w:rStyle w:val="ECHRPara"/>
        </w:rPr>
        <w:t>и</w:t>
      </w:r>
      <w:r w:rsidRPr="007F2798">
        <w:rPr>
          <w:rStyle w:val="ECHRPara"/>
        </w:rPr>
        <w:t xml:space="preserve"> долари. </w:t>
      </w:r>
      <w:r w:rsidR="00456C5F">
        <w:rPr>
          <w:rStyle w:val="ECHRPara"/>
        </w:rPr>
        <w:t>Добавил</w:t>
      </w:r>
      <w:r w:rsidRPr="007F2798">
        <w:rPr>
          <w:rStyle w:val="ECHRPara"/>
        </w:rPr>
        <w:t>, че през следващите години той и жалбоподателят редовно обменя</w:t>
      </w:r>
      <w:r w:rsidR="00456C5F">
        <w:rPr>
          <w:rStyle w:val="ECHRPara"/>
        </w:rPr>
        <w:t>ли</w:t>
      </w:r>
      <w:r w:rsidRPr="007F2798">
        <w:rPr>
          <w:rStyle w:val="ECHRPara"/>
        </w:rPr>
        <w:t xml:space="preserve"> българските левове, които има</w:t>
      </w:r>
      <w:r w:rsidR="00456C5F">
        <w:rPr>
          <w:rStyle w:val="ECHRPara"/>
        </w:rPr>
        <w:t>ли</w:t>
      </w:r>
      <w:r w:rsidRPr="007F2798">
        <w:rPr>
          <w:rStyle w:val="ECHRPara"/>
        </w:rPr>
        <w:t xml:space="preserve">, за долари. </w:t>
      </w:r>
      <w:r w:rsidR="00D71534">
        <w:rPr>
          <w:rStyle w:val="ECHRPara"/>
        </w:rPr>
        <w:t>П</w:t>
      </w:r>
      <w:r w:rsidRPr="007F2798">
        <w:rPr>
          <w:rStyle w:val="ECHRPara"/>
        </w:rPr>
        <w:t>ризна</w:t>
      </w:r>
      <w:r w:rsidR="00456C5F">
        <w:rPr>
          <w:rStyle w:val="ECHRPara"/>
        </w:rPr>
        <w:t>л</w:t>
      </w:r>
      <w:r w:rsidRPr="007F2798">
        <w:rPr>
          <w:rStyle w:val="ECHRPara"/>
        </w:rPr>
        <w:t xml:space="preserve">, че не е сигурен дали подправените банкноти, открити от полицията в дома на жалбоподателя, са </w:t>
      </w:r>
      <w:r w:rsidR="00456C5F">
        <w:rPr>
          <w:rStyle w:val="ECHRPara"/>
        </w:rPr>
        <w:t>същите банкноти</w:t>
      </w:r>
      <w:r w:rsidRPr="007F2798">
        <w:rPr>
          <w:rStyle w:val="ECHRPara"/>
        </w:rPr>
        <w:t>, които жалбоподателят придоби</w:t>
      </w:r>
      <w:r w:rsidR="00456C5F">
        <w:rPr>
          <w:rStyle w:val="ECHRPara"/>
        </w:rPr>
        <w:t>л</w:t>
      </w:r>
      <w:r w:rsidRPr="007F2798">
        <w:rPr>
          <w:rStyle w:val="ECHRPara"/>
        </w:rPr>
        <w:t xml:space="preserve"> през 2002 г.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10</w:t>
      </w:r>
      <w:r w:rsidRPr="007F2798">
        <w:fldChar w:fldCharType="end"/>
      </w:r>
      <w:r w:rsidRPr="007F2798">
        <w:rPr>
          <w:rStyle w:val="ECHRPara"/>
        </w:rPr>
        <w:t>.  </w:t>
      </w:r>
      <w:r w:rsidR="00A71830">
        <w:rPr>
          <w:rStyle w:val="ECHRPara"/>
        </w:rPr>
        <w:t>С</w:t>
      </w:r>
      <w:r w:rsidRPr="007F2798">
        <w:rPr>
          <w:rStyle w:val="ECHRPara"/>
        </w:rPr>
        <w:t xml:space="preserve"> </w:t>
      </w:r>
      <w:r w:rsidR="00EC51F4">
        <w:rPr>
          <w:rStyle w:val="ECHRPara"/>
        </w:rPr>
        <w:t>присъда</w:t>
      </w:r>
      <w:r w:rsidRPr="007F2798">
        <w:rPr>
          <w:rStyle w:val="ECHRPara"/>
        </w:rPr>
        <w:t xml:space="preserve"> от 25 януари 2008 г. Окръжният съд осъ</w:t>
      </w:r>
      <w:r w:rsidR="00A71830">
        <w:rPr>
          <w:rStyle w:val="ECHRPara"/>
        </w:rPr>
        <w:t>дил</w:t>
      </w:r>
      <w:r w:rsidRPr="007F2798">
        <w:rPr>
          <w:rStyle w:val="ECHRPara"/>
        </w:rPr>
        <w:t xml:space="preserve"> жалбоподателя. Присъдата обаче </w:t>
      </w:r>
      <w:r w:rsidR="00A71830">
        <w:rPr>
          <w:rStyle w:val="ECHRPara"/>
        </w:rPr>
        <w:t xml:space="preserve">била </w:t>
      </w:r>
      <w:r w:rsidRPr="007F2798">
        <w:rPr>
          <w:rStyle w:val="ECHRPara"/>
        </w:rPr>
        <w:t xml:space="preserve">за придобиване на подправени банкноти </w:t>
      </w:r>
      <w:r w:rsidRPr="007F2798">
        <w:rPr>
          <w:rStyle w:val="ECHRPara"/>
          <w:cs/>
        </w:rPr>
        <w:t>“</w:t>
      </w:r>
      <w:r w:rsidRPr="007F2798">
        <w:rPr>
          <w:rStyle w:val="ECHRPara"/>
        </w:rPr>
        <w:t>в периода между 26 март 2005 г. и 10 януари 2007 г.</w:t>
      </w:r>
      <w:r w:rsidRPr="007F2798">
        <w:rPr>
          <w:rStyle w:val="ECHRPara"/>
          <w:cs/>
        </w:rPr>
        <w:t>”</w:t>
      </w:r>
      <w:r w:rsidRPr="007F2798">
        <w:rPr>
          <w:rStyle w:val="ECHRPara"/>
        </w:rPr>
        <w:t xml:space="preserve">, тъй като </w:t>
      </w:r>
      <w:r w:rsidR="00A71830" w:rsidRPr="007F2798">
        <w:rPr>
          <w:rStyle w:val="ECHRPara"/>
        </w:rPr>
        <w:t>придобиване</w:t>
      </w:r>
      <w:r w:rsidR="00A71830">
        <w:rPr>
          <w:rStyle w:val="ECHRPara"/>
        </w:rPr>
        <w:t>то</w:t>
      </w:r>
      <w:r w:rsidR="00A71830" w:rsidRPr="007F2798">
        <w:rPr>
          <w:rStyle w:val="ECHRPara"/>
        </w:rPr>
        <w:t xml:space="preserve"> на такива банкноти </w:t>
      </w:r>
      <w:r w:rsidR="00A71830">
        <w:rPr>
          <w:rStyle w:val="ECHRPara"/>
        </w:rPr>
        <w:t xml:space="preserve">било </w:t>
      </w:r>
      <w:r w:rsidR="00A71830" w:rsidRPr="007F2798">
        <w:rPr>
          <w:rStyle w:val="ECHRPara"/>
        </w:rPr>
        <w:t xml:space="preserve">криминализирано </w:t>
      </w:r>
      <w:r w:rsidRPr="007F2798">
        <w:rPr>
          <w:rStyle w:val="ECHRPara"/>
        </w:rPr>
        <w:t>едва на първата от тези дати  (вж. параграф 16 по-долу). Окръжният съд оправда</w:t>
      </w:r>
      <w:r w:rsidR="00A71830">
        <w:rPr>
          <w:rStyle w:val="ECHRPara"/>
        </w:rPr>
        <w:t>л</w:t>
      </w:r>
      <w:r w:rsidRPr="007F2798">
        <w:rPr>
          <w:rStyle w:val="ECHRPara"/>
        </w:rPr>
        <w:t xml:space="preserve"> жалбоподателя за придобиването на банкнотите в периода между 2002 г. и 26 март 2005 г.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11</w:t>
      </w:r>
      <w:r w:rsidRPr="007F2798">
        <w:fldChar w:fldCharType="end"/>
      </w:r>
      <w:r w:rsidRPr="007F2798">
        <w:rPr>
          <w:rStyle w:val="ECHRPara"/>
        </w:rPr>
        <w:t>.  При обобщаването на фактите по делото, както ги е установил, Окръжният съд повт</w:t>
      </w:r>
      <w:r w:rsidR="00A71830">
        <w:rPr>
          <w:rStyle w:val="ECHRPara"/>
        </w:rPr>
        <w:t>о</w:t>
      </w:r>
      <w:r w:rsidR="00DE44E6">
        <w:rPr>
          <w:rStyle w:val="ECHRPara"/>
        </w:rPr>
        <w:t>р</w:t>
      </w:r>
      <w:r w:rsidR="00A71830">
        <w:rPr>
          <w:rStyle w:val="ECHRPara"/>
        </w:rPr>
        <w:t>ил</w:t>
      </w:r>
      <w:r w:rsidRPr="007F2798">
        <w:rPr>
          <w:rStyle w:val="ECHRPara"/>
        </w:rPr>
        <w:t xml:space="preserve"> това, което жалбоподателят  казал, а именно</w:t>
      </w:r>
      <w:r w:rsidR="00A71830">
        <w:rPr>
          <w:rStyle w:val="ECHRPara"/>
        </w:rPr>
        <w:t>,</w:t>
      </w:r>
      <w:r w:rsidRPr="007F2798">
        <w:rPr>
          <w:rStyle w:val="ECHRPara"/>
        </w:rPr>
        <w:t xml:space="preserve"> че през 2002 г. брат му му да</w:t>
      </w:r>
      <w:r w:rsidR="00A71830">
        <w:rPr>
          <w:rStyle w:val="ECHRPara"/>
        </w:rPr>
        <w:t>л</w:t>
      </w:r>
      <w:r w:rsidRPr="007F2798">
        <w:rPr>
          <w:rStyle w:val="ECHRPara"/>
        </w:rPr>
        <w:t xml:space="preserve"> пари, за да купи долари. Той се позова</w:t>
      </w:r>
      <w:r w:rsidR="00A71830">
        <w:rPr>
          <w:rStyle w:val="ECHRPara"/>
        </w:rPr>
        <w:t>л</w:t>
      </w:r>
      <w:r w:rsidRPr="007F2798">
        <w:rPr>
          <w:rStyle w:val="ECHRPara"/>
        </w:rPr>
        <w:t xml:space="preserve"> </w:t>
      </w:r>
      <w:r w:rsidR="00D952BB">
        <w:rPr>
          <w:rStyle w:val="ECHRPara"/>
        </w:rPr>
        <w:t xml:space="preserve">и </w:t>
      </w:r>
      <w:r w:rsidRPr="007F2798">
        <w:rPr>
          <w:rStyle w:val="ECHRPara"/>
        </w:rPr>
        <w:t xml:space="preserve">на </w:t>
      </w:r>
      <w:r w:rsidR="00A71830">
        <w:rPr>
          <w:rStyle w:val="ECHRPara"/>
        </w:rPr>
        <w:t>показанията</w:t>
      </w:r>
      <w:r w:rsidR="00A71830" w:rsidRPr="007F2798">
        <w:rPr>
          <w:rStyle w:val="ECHRPara"/>
        </w:rPr>
        <w:t xml:space="preserve"> </w:t>
      </w:r>
      <w:r w:rsidRPr="007F2798">
        <w:rPr>
          <w:rStyle w:val="ECHRPara"/>
        </w:rPr>
        <w:t>на брата на жалбоподателя, че след 2002 г. двамата редовно обменя</w:t>
      </w:r>
      <w:r w:rsidR="00A71830">
        <w:rPr>
          <w:rStyle w:val="ECHRPara"/>
        </w:rPr>
        <w:t>ли</w:t>
      </w:r>
      <w:r w:rsidRPr="007F2798">
        <w:rPr>
          <w:rStyle w:val="ECHRPara"/>
        </w:rPr>
        <w:t xml:space="preserve"> левове за долари. </w:t>
      </w:r>
      <w:r w:rsidR="00D71534">
        <w:rPr>
          <w:rStyle w:val="ECHRPara"/>
        </w:rPr>
        <w:t>Съдът</w:t>
      </w:r>
      <w:r w:rsidR="00D71534" w:rsidRPr="007F2798">
        <w:rPr>
          <w:rStyle w:val="ECHRPara"/>
        </w:rPr>
        <w:t xml:space="preserve"> </w:t>
      </w:r>
      <w:r w:rsidRPr="007F2798">
        <w:rPr>
          <w:rStyle w:val="ECHRPara"/>
        </w:rPr>
        <w:t>не коментира</w:t>
      </w:r>
      <w:r w:rsidR="00EA6BE4">
        <w:rPr>
          <w:rStyle w:val="ECHRPara"/>
        </w:rPr>
        <w:t>л</w:t>
      </w:r>
      <w:r w:rsidRPr="007F2798">
        <w:rPr>
          <w:rStyle w:val="ECHRPara"/>
        </w:rPr>
        <w:t xml:space="preserve"> по-нататък въпроса кога жалбоподателят </w:t>
      </w:r>
      <w:r w:rsidR="00EA6BE4">
        <w:rPr>
          <w:rStyle w:val="ECHRPara"/>
        </w:rPr>
        <w:t>е придобил</w:t>
      </w:r>
      <w:r w:rsidR="00EA6BE4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подправените банкноти. </w:t>
      </w:r>
      <w:r w:rsidR="00C86266">
        <w:rPr>
          <w:rStyle w:val="ECHRPara"/>
        </w:rPr>
        <w:t>К</w:t>
      </w:r>
      <w:r w:rsidRPr="007F2798">
        <w:rPr>
          <w:rStyle w:val="ECHRPara"/>
        </w:rPr>
        <w:t>ато установ</w:t>
      </w:r>
      <w:r w:rsidR="00591F6C">
        <w:rPr>
          <w:rStyle w:val="ECHRPara"/>
        </w:rPr>
        <w:t>ил</w:t>
      </w:r>
      <w:r w:rsidRPr="007F2798">
        <w:rPr>
          <w:rStyle w:val="ECHRPara"/>
        </w:rPr>
        <w:t xml:space="preserve">, че </w:t>
      </w:r>
      <w:r w:rsidR="00990556" w:rsidRPr="007F2798">
        <w:rPr>
          <w:rStyle w:val="ECHRPara"/>
        </w:rPr>
        <w:t xml:space="preserve">жалбоподателят </w:t>
      </w:r>
      <w:r w:rsidRPr="007F2798">
        <w:rPr>
          <w:rStyle w:val="ECHRPara"/>
        </w:rPr>
        <w:t xml:space="preserve">е знаел в момента на </w:t>
      </w:r>
      <w:r w:rsidR="00EA6BE4">
        <w:rPr>
          <w:rStyle w:val="ECHRPara"/>
        </w:rPr>
        <w:t>придобиване</w:t>
      </w:r>
      <w:r w:rsidR="00EA6BE4" w:rsidRPr="007F2798">
        <w:rPr>
          <w:rStyle w:val="ECHRPara"/>
        </w:rPr>
        <w:t xml:space="preserve"> </w:t>
      </w:r>
      <w:r w:rsidRPr="007F2798">
        <w:rPr>
          <w:rStyle w:val="ECHRPara"/>
        </w:rPr>
        <w:t>на банкноти</w:t>
      </w:r>
      <w:r w:rsidR="00744393">
        <w:rPr>
          <w:rStyle w:val="ECHRPara"/>
        </w:rPr>
        <w:t>те</w:t>
      </w:r>
      <w:r w:rsidRPr="007F2798">
        <w:rPr>
          <w:rStyle w:val="ECHRPara"/>
        </w:rPr>
        <w:t>, че</w:t>
      </w:r>
      <w:r w:rsidR="00AC6972">
        <w:rPr>
          <w:rStyle w:val="ECHRPara"/>
        </w:rPr>
        <w:t xml:space="preserve"> </w:t>
      </w:r>
      <w:r w:rsidRPr="007F2798">
        <w:rPr>
          <w:rStyle w:val="ECHRPara"/>
        </w:rPr>
        <w:t>са подправени (ключов</w:t>
      </w:r>
      <w:r w:rsidR="00EA6BE4">
        <w:rPr>
          <w:rStyle w:val="ECHRPara"/>
        </w:rPr>
        <w:t>о</w:t>
      </w:r>
      <w:r w:rsidRPr="007F2798">
        <w:rPr>
          <w:rStyle w:val="ECHRPara"/>
        </w:rPr>
        <w:t>т</w:t>
      </w:r>
      <w:r w:rsidR="00EA6BE4">
        <w:rPr>
          <w:rStyle w:val="ECHRPara"/>
        </w:rPr>
        <w:t>о</w:t>
      </w:r>
      <w:r w:rsidRPr="007F2798">
        <w:rPr>
          <w:rStyle w:val="ECHRPara"/>
        </w:rPr>
        <w:t xml:space="preserve"> доказателств</w:t>
      </w:r>
      <w:r w:rsidR="00EA6BE4">
        <w:rPr>
          <w:rStyle w:val="ECHRPara"/>
        </w:rPr>
        <w:t>о</w:t>
      </w:r>
      <w:r w:rsidRPr="007F2798">
        <w:rPr>
          <w:rStyle w:val="ECHRPara"/>
        </w:rPr>
        <w:t xml:space="preserve"> в това отношение </w:t>
      </w:r>
      <w:r w:rsidR="00EA6BE4">
        <w:rPr>
          <w:rStyle w:val="ECHRPara"/>
        </w:rPr>
        <w:t>било</w:t>
      </w:r>
      <w:r w:rsidRPr="007F2798">
        <w:rPr>
          <w:rStyle w:val="ECHRPara"/>
        </w:rPr>
        <w:t xml:space="preserve"> изявление на жалбоподателя, направено по време на телефонен разговор с друго лице на 9 януари 2007 г.), Окръжният съд го призна</w:t>
      </w:r>
      <w:r w:rsidR="00EA6BE4">
        <w:rPr>
          <w:rStyle w:val="ECHRPara"/>
        </w:rPr>
        <w:t>л</w:t>
      </w:r>
      <w:r w:rsidRPr="007F2798">
        <w:rPr>
          <w:rStyle w:val="ECHRPara"/>
        </w:rPr>
        <w:t xml:space="preserve"> за виновен по това обвинение. </w:t>
      </w:r>
      <w:r w:rsidR="00EA6BE4">
        <w:rPr>
          <w:rStyle w:val="ECHRPara"/>
        </w:rPr>
        <w:t>В допълнение</w:t>
      </w:r>
      <w:r w:rsidR="0096553A">
        <w:rPr>
          <w:rStyle w:val="ECHRPara"/>
        </w:rPr>
        <w:t>,</w:t>
      </w:r>
      <w:r w:rsidR="00EA6BE4">
        <w:rPr>
          <w:rStyle w:val="ECHRPara"/>
        </w:rPr>
        <w:t xml:space="preserve"> съдът</w:t>
      </w:r>
      <w:r w:rsidRPr="007F2798">
        <w:rPr>
          <w:rStyle w:val="ECHRPara"/>
        </w:rPr>
        <w:t xml:space="preserve"> </w:t>
      </w:r>
      <w:r w:rsidR="00EA6BE4">
        <w:rPr>
          <w:rStyle w:val="ECHRPara"/>
        </w:rPr>
        <w:t>намерил жалбоподателя</w:t>
      </w:r>
      <w:r w:rsidRPr="007F2798">
        <w:rPr>
          <w:rStyle w:val="ECHRPara"/>
        </w:rPr>
        <w:t xml:space="preserve"> за виновен за друго престъпление и му нал</w:t>
      </w:r>
      <w:r w:rsidR="00EA6BE4">
        <w:rPr>
          <w:rStyle w:val="ECHRPara"/>
        </w:rPr>
        <w:t>ожил</w:t>
      </w:r>
      <w:r w:rsidRPr="007F2798">
        <w:rPr>
          <w:rStyle w:val="ECHRPara"/>
        </w:rPr>
        <w:t xml:space="preserve"> условна присъда от две години лишаване от свобода.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12</w:t>
      </w:r>
      <w:r w:rsidRPr="007F2798">
        <w:fldChar w:fldCharType="end"/>
      </w:r>
      <w:r w:rsidRPr="007F2798">
        <w:rPr>
          <w:rStyle w:val="ECHRPara"/>
        </w:rPr>
        <w:t xml:space="preserve">.  Жалбоподателят </w:t>
      </w:r>
      <w:r w:rsidR="00590490">
        <w:rPr>
          <w:rStyle w:val="ECHRPara"/>
        </w:rPr>
        <w:t>обжалвал присъдата</w:t>
      </w:r>
      <w:r w:rsidR="00120CC2">
        <w:rPr>
          <w:rStyle w:val="ECHRPara"/>
        </w:rPr>
        <w:t>,</w:t>
      </w:r>
      <w:r w:rsidR="00B93935">
        <w:rPr>
          <w:rStyle w:val="ECHRPara"/>
        </w:rPr>
        <w:t xml:space="preserve"> </w:t>
      </w:r>
      <w:r w:rsidR="00120CC2">
        <w:rPr>
          <w:rStyle w:val="ECHRPara"/>
        </w:rPr>
        <w:t>твърдейки</w:t>
      </w:r>
      <w:r w:rsidR="00A66616">
        <w:rPr>
          <w:rStyle w:val="ECHRPara"/>
        </w:rPr>
        <w:t>,</w:t>
      </w:r>
      <w:r w:rsidRPr="007F2798">
        <w:rPr>
          <w:rStyle w:val="ECHRPara"/>
        </w:rPr>
        <w:t xml:space="preserve"> че </w:t>
      </w:r>
      <w:r w:rsidR="0003468B">
        <w:rPr>
          <w:rStyle w:val="ECHRPara"/>
        </w:rPr>
        <w:t>липсват</w:t>
      </w:r>
      <w:r w:rsidR="0003468B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доказателства, които </w:t>
      </w:r>
      <w:r w:rsidR="00120CC2">
        <w:rPr>
          <w:rStyle w:val="ECHRPara"/>
        </w:rPr>
        <w:t xml:space="preserve">да </w:t>
      </w:r>
      <w:r w:rsidRPr="007F2798">
        <w:rPr>
          <w:rStyle w:val="ECHRPara"/>
        </w:rPr>
        <w:t xml:space="preserve">обосноват заключението, че </w:t>
      </w:r>
      <w:r w:rsidR="00120CC2">
        <w:rPr>
          <w:rStyle w:val="ECHRPara"/>
        </w:rPr>
        <w:t>при купуването на</w:t>
      </w:r>
      <w:r w:rsidRPr="007F2798">
        <w:rPr>
          <w:rStyle w:val="ECHRPara"/>
        </w:rPr>
        <w:t xml:space="preserve"> петте стодоларови банкноти през 2002 г.</w:t>
      </w:r>
      <w:r w:rsidR="00AE3820">
        <w:rPr>
          <w:rStyle w:val="ECHRPara"/>
        </w:rPr>
        <w:t xml:space="preserve"> </w:t>
      </w:r>
      <w:r w:rsidRPr="007F2798">
        <w:rPr>
          <w:rStyle w:val="ECHRPara"/>
        </w:rPr>
        <w:t>е знаел, че са подправени.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13</w:t>
      </w:r>
      <w:r w:rsidRPr="007F2798">
        <w:fldChar w:fldCharType="end"/>
      </w:r>
      <w:r w:rsidRPr="007F2798">
        <w:rPr>
          <w:rStyle w:val="ECHRPara"/>
        </w:rPr>
        <w:t>.  </w:t>
      </w:r>
      <w:r w:rsidR="007630C4">
        <w:rPr>
          <w:rStyle w:val="ECHRPara"/>
        </w:rPr>
        <w:t>С</w:t>
      </w:r>
      <w:r w:rsidRPr="007F2798">
        <w:rPr>
          <w:rStyle w:val="ECHRPara"/>
        </w:rPr>
        <w:t xml:space="preserve"> решение от 24 април 2008 г. Апелативен съд - Пловдив (наричан по-нататък </w:t>
      </w:r>
      <w:r w:rsidRPr="007F2798">
        <w:rPr>
          <w:rStyle w:val="ECHRPara"/>
          <w:cs/>
        </w:rPr>
        <w:t>“</w:t>
      </w:r>
      <w:r w:rsidRPr="007F2798">
        <w:rPr>
          <w:rStyle w:val="ECHRPara"/>
        </w:rPr>
        <w:t>Апелативният съд</w:t>
      </w:r>
      <w:r w:rsidRPr="007F2798">
        <w:rPr>
          <w:rStyle w:val="ECHRPara"/>
          <w:cs/>
        </w:rPr>
        <w:t>”</w:t>
      </w:r>
      <w:r w:rsidRPr="007F2798">
        <w:rPr>
          <w:rStyle w:val="ECHRPara"/>
        </w:rPr>
        <w:t>) потвър</w:t>
      </w:r>
      <w:r w:rsidR="007630C4">
        <w:rPr>
          <w:rStyle w:val="ECHRPara"/>
        </w:rPr>
        <w:t>дил</w:t>
      </w:r>
      <w:r w:rsidRPr="007F2798">
        <w:rPr>
          <w:rStyle w:val="ECHRPara"/>
        </w:rPr>
        <w:t xml:space="preserve"> </w:t>
      </w:r>
      <w:r w:rsidR="007630C4">
        <w:rPr>
          <w:rStyle w:val="ECHRPara"/>
        </w:rPr>
        <w:t>присъдата</w:t>
      </w:r>
      <w:r w:rsidR="007630C4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на Окръжния съд, като </w:t>
      </w:r>
      <w:r w:rsidR="007630C4">
        <w:rPr>
          <w:rStyle w:val="ECHRPara"/>
        </w:rPr>
        <w:t>възприел</w:t>
      </w:r>
      <w:r w:rsidR="007630C4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мотивите му. </w:t>
      </w:r>
      <w:r w:rsidR="007630C4">
        <w:rPr>
          <w:rStyle w:val="ECHRPara"/>
        </w:rPr>
        <w:t>При обобщаване на фактите съдът още веднъж повторил твърдението на жалбоподателя</w:t>
      </w:r>
      <w:r w:rsidRPr="007F2798">
        <w:rPr>
          <w:rStyle w:val="ECHRPara"/>
        </w:rPr>
        <w:t>, че през 2002 г. брат му му да</w:t>
      </w:r>
      <w:r w:rsidR="007630C4">
        <w:rPr>
          <w:rStyle w:val="ECHRPara"/>
        </w:rPr>
        <w:t>л</w:t>
      </w:r>
      <w:r w:rsidRPr="007F2798">
        <w:rPr>
          <w:rStyle w:val="ECHRPara"/>
        </w:rPr>
        <w:t xml:space="preserve"> пари, за да купи долари, което той </w:t>
      </w:r>
      <w:r w:rsidR="007630C4">
        <w:rPr>
          <w:rStyle w:val="ECHRPara"/>
        </w:rPr>
        <w:t>направил</w:t>
      </w:r>
      <w:r w:rsidR="007630C4" w:rsidRPr="007F2798">
        <w:rPr>
          <w:rStyle w:val="ECHRPara"/>
        </w:rPr>
        <w:t xml:space="preserve"> </w:t>
      </w:r>
      <w:r w:rsidRPr="007F2798">
        <w:rPr>
          <w:rStyle w:val="ECHRPara"/>
        </w:rPr>
        <w:t>и запаз</w:t>
      </w:r>
      <w:r w:rsidR="007630C4">
        <w:rPr>
          <w:rStyle w:val="ECHRPara"/>
        </w:rPr>
        <w:t>ил</w:t>
      </w:r>
      <w:r w:rsidRPr="007F2798">
        <w:rPr>
          <w:rStyle w:val="ECHRPara"/>
        </w:rPr>
        <w:t xml:space="preserve"> 500 долара скрити в къщата си. </w:t>
      </w:r>
      <w:r w:rsidR="007630C4">
        <w:rPr>
          <w:rStyle w:val="ECHRPara"/>
        </w:rPr>
        <w:t>Съдът</w:t>
      </w:r>
      <w:r w:rsidR="007630C4" w:rsidRPr="007F2798">
        <w:rPr>
          <w:rStyle w:val="ECHRPara"/>
        </w:rPr>
        <w:t xml:space="preserve"> </w:t>
      </w:r>
      <w:r w:rsidRPr="007F2798">
        <w:rPr>
          <w:rStyle w:val="ECHRPara"/>
        </w:rPr>
        <w:t>не коментира</w:t>
      </w:r>
      <w:r w:rsidR="007630C4">
        <w:rPr>
          <w:rStyle w:val="ECHRPara"/>
        </w:rPr>
        <w:t>л</w:t>
      </w:r>
      <w:r w:rsidRPr="007F2798">
        <w:rPr>
          <w:rStyle w:val="ECHRPara"/>
        </w:rPr>
        <w:t xml:space="preserve"> по-нататък въпроса кога жалбоподателят </w:t>
      </w:r>
      <w:r w:rsidR="007630C4">
        <w:rPr>
          <w:rStyle w:val="ECHRPara"/>
        </w:rPr>
        <w:t>е придобил</w:t>
      </w:r>
      <w:r w:rsidR="007630C4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откритите </w:t>
      </w:r>
      <w:r w:rsidR="007630C4">
        <w:rPr>
          <w:rStyle w:val="ECHRPara"/>
        </w:rPr>
        <w:t>у</w:t>
      </w:r>
      <w:r w:rsidRPr="007F2798">
        <w:rPr>
          <w:rStyle w:val="ECHRPara"/>
        </w:rPr>
        <w:t xml:space="preserve"> него подправени банкноти.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14</w:t>
      </w:r>
      <w:r w:rsidRPr="007F2798">
        <w:fldChar w:fldCharType="end"/>
      </w:r>
      <w:r w:rsidRPr="007F2798">
        <w:rPr>
          <w:rStyle w:val="ECHRPara"/>
        </w:rPr>
        <w:t>.  В касационна жалба пред Върховния касационен съд, жалбоподателят посочва по-конкретно следното:</w:t>
      </w:r>
    </w:p>
    <w:p w:rsidR="004D5587" w:rsidRPr="007F2798" w:rsidRDefault="004D5587" w:rsidP="004D5587">
      <w:pPr>
        <w:pStyle w:val="ECHRParaQuote"/>
      </w:pPr>
      <w:r w:rsidRPr="007F2798">
        <w:rPr>
          <w:rStyle w:val="ECHRParaQuote"/>
          <w:cs/>
        </w:rPr>
        <w:t>“</w:t>
      </w:r>
      <w:r w:rsidRPr="007F2798">
        <w:rPr>
          <w:rStyle w:val="ECHRParaQuote"/>
        </w:rPr>
        <w:t>Двете предходни съдебни инстанции установяват безусловно, че [жалбоподателят] куп</w:t>
      </w:r>
      <w:r w:rsidR="00990556" w:rsidRPr="007F2798">
        <w:rPr>
          <w:rStyle w:val="ECHRParaQuote"/>
        </w:rPr>
        <w:t>ува</w:t>
      </w:r>
      <w:r w:rsidRPr="007F2798">
        <w:rPr>
          <w:rStyle w:val="ECHRParaQuote"/>
        </w:rPr>
        <w:t xml:space="preserve"> петте подправени доларови банкноти през пролетта на 2002 г. с пари, дадени му от брат му. ...</w:t>
      </w:r>
    </w:p>
    <w:p w:rsidR="004D5587" w:rsidRPr="007F2798" w:rsidRDefault="004D5587" w:rsidP="004D5587">
      <w:pPr>
        <w:pStyle w:val="ECHRParaQuote"/>
      </w:pPr>
      <w:r w:rsidRPr="007F2798">
        <w:rPr>
          <w:rStyle w:val="ECHRParaQuote"/>
        </w:rPr>
        <w:t>В онзи момент това не съставлява престъпление, поради което [жалбоподателят] е оправдан за придобиването на банкнотите в периода до 26 март 2005 г.</w:t>
      </w:r>
    </w:p>
    <w:p w:rsidR="004D5587" w:rsidRPr="007F2798" w:rsidRDefault="004D5587" w:rsidP="004D5587">
      <w:pPr>
        <w:pStyle w:val="ECHRParaQuote"/>
      </w:pPr>
      <w:r w:rsidRPr="007F2798">
        <w:rPr>
          <w:rStyle w:val="ECHRParaQuote"/>
        </w:rPr>
        <w:t>Но къде е доказателството, че тези конкретни банкноти са придобити след тази дата? Може да има само предположения ... а осъдителна присъда не може да се основава на предположения.</w:t>
      </w:r>
      <w:r w:rsidRPr="007F2798">
        <w:rPr>
          <w:rStyle w:val="ECHRParaQuote"/>
          <w:cs/>
        </w:rPr>
        <w:t>”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15</w:t>
      </w:r>
      <w:r w:rsidRPr="007F2798">
        <w:fldChar w:fldCharType="end"/>
      </w:r>
      <w:r w:rsidRPr="007F2798">
        <w:rPr>
          <w:rStyle w:val="ECHRPara"/>
        </w:rPr>
        <w:t>.  С окончателно решение от 24 ноември 2008 г. Върховният касационен съд потвър</w:t>
      </w:r>
      <w:r w:rsidR="00EB264C">
        <w:rPr>
          <w:rStyle w:val="ECHRPara"/>
        </w:rPr>
        <w:t>дил</w:t>
      </w:r>
      <w:r w:rsidRPr="007F2798">
        <w:rPr>
          <w:rStyle w:val="ECHRPara"/>
        </w:rPr>
        <w:t xml:space="preserve"> решението на Апелативния съд, като не се произн</w:t>
      </w:r>
      <w:r w:rsidR="00EB264C">
        <w:rPr>
          <w:rStyle w:val="ECHRPara"/>
        </w:rPr>
        <w:t>есъл</w:t>
      </w:r>
      <w:r w:rsidRPr="007F2798">
        <w:rPr>
          <w:rStyle w:val="ECHRPara"/>
        </w:rPr>
        <w:t xml:space="preserve"> по довода на жалбоподателя, че</w:t>
      </w:r>
      <w:r w:rsidR="00303BAF">
        <w:rPr>
          <w:rStyle w:val="ECHRPara"/>
        </w:rPr>
        <w:t xml:space="preserve"> </w:t>
      </w:r>
      <w:r w:rsidR="00EB264C">
        <w:rPr>
          <w:rStyle w:val="ECHRPara"/>
        </w:rPr>
        <w:t>придобиването на</w:t>
      </w:r>
      <w:r w:rsidRPr="007F2798">
        <w:rPr>
          <w:rStyle w:val="ECHRPara"/>
        </w:rPr>
        <w:t xml:space="preserve"> подправените банкноти след 26 март 2005 г.</w:t>
      </w:r>
      <w:r w:rsidR="003502CE" w:rsidRPr="003502CE">
        <w:rPr>
          <w:rStyle w:val="ECHRPara"/>
        </w:rPr>
        <w:t xml:space="preserve"> </w:t>
      </w:r>
      <w:r w:rsidR="003502CE" w:rsidRPr="007F2798">
        <w:rPr>
          <w:rStyle w:val="ECHRPara"/>
        </w:rPr>
        <w:t>не е доказано</w:t>
      </w:r>
      <w:r w:rsidR="003502CE">
        <w:rPr>
          <w:rStyle w:val="ECHRPara"/>
        </w:rPr>
        <w:t>.</w:t>
      </w:r>
    </w:p>
    <w:p w:rsidR="004D5587" w:rsidRPr="007F2798" w:rsidRDefault="004D5587" w:rsidP="004D5587">
      <w:pPr>
        <w:pStyle w:val="ECHRHeading1"/>
      </w:pPr>
      <w:r w:rsidRPr="007F2798">
        <w:rPr>
          <w:rStyle w:val="ECHRHeading1"/>
        </w:rPr>
        <w:t>II.  ПРИЛОЖИМО ВЪТРЕШНО ПРАВО И ПРАКТИКА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16</w:t>
      </w:r>
      <w:r w:rsidRPr="007F2798">
        <w:fldChar w:fldCharType="end"/>
      </w:r>
      <w:r w:rsidRPr="007F2798">
        <w:rPr>
          <w:rStyle w:val="ECHRPara"/>
        </w:rPr>
        <w:t xml:space="preserve">.  Използването на подправени банкноти и прокарването </w:t>
      </w:r>
      <w:r w:rsidR="00A86C0A" w:rsidRPr="007F2798">
        <w:rPr>
          <w:rStyle w:val="ECHRPara"/>
        </w:rPr>
        <w:t xml:space="preserve">на такива банкноти </w:t>
      </w:r>
      <w:r w:rsidRPr="007F2798">
        <w:rPr>
          <w:rStyle w:val="ECHRPara"/>
        </w:rPr>
        <w:t>в обращение със знанието, че са подправени, са престъпления по чл. 244, ал. 1 от Наказателния кодекс. След изменение</w:t>
      </w:r>
      <w:r w:rsidR="00A86C0A">
        <w:rPr>
          <w:rStyle w:val="ECHRPara"/>
        </w:rPr>
        <w:t>то</w:t>
      </w:r>
      <w:r w:rsidRPr="007F2798">
        <w:rPr>
          <w:rStyle w:val="ECHRPara"/>
        </w:rPr>
        <w:t xml:space="preserve">, </w:t>
      </w:r>
      <w:r w:rsidR="00A86C0A">
        <w:rPr>
          <w:rStyle w:val="ECHRPara"/>
        </w:rPr>
        <w:t>влязло</w:t>
      </w:r>
      <w:r w:rsidR="00062B47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в сила на 26 март 2005 г., в </w:t>
      </w:r>
      <w:r w:rsidR="009C199A">
        <w:rPr>
          <w:rStyle w:val="ECHRPara"/>
        </w:rPr>
        <w:t>разпоредбата</w:t>
      </w:r>
      <w:r w:rsidR="009C199A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се добавя придобиването на такива банкноти със знанието, че са подправени. Що се отнася до </w:t>
      </w:r>
      <w:r w:rsidR="00A86C0A">
        <w:rPr>
          <w:rStyle w:val="ECHRPara"/>
        </w:rPr>
        <w:t>държането</w:t>
      </w:r>
      <w:r w:rsidR="00A86C0A" w:rsidRPr="007F2798">
        <w:rPr>
          <w:rStyle w:val="ECHRPara"/>
        </w:rPr>
        <w:t xml:space="preserve"> </w:t>
      </w:r>
      <w:r w:rsidRPr="007F2798">
        <w:rPr>
          <w:rStyle w:val="ECHRPara"/>
        </w:rPr>
        <w:t>на подправени банкноти, то е престъпление, само когато банкноти</w:t>
      </w:r>
      <w:r w:rsidR="00A86C0A">
        <w:rPr>
          <w:rStyle w:val="ECHRPara"/>
        </w:rPr>
        <w:t>те</w:t>
      </w:r>
      <w:r w:rsidRPr="007F2798">
        <w:rPr>
          <w:rStyle w:val="ECHRPara"/>
        </w:rPr>
        <w:t xml:space="preserve"> са </w:t>
      </w:r>
      <w:r w:rsidRPr="007F2798">
        <w:rPr>
          <w:rStyle w:val="ECHRPara"/>
          <w:cs/>
        </w:rPr>
        <w:t>“</w:t>
      </w:r>
      <w:r w:rsidRPr="007F2798">
        <w:rPr>
          <w:rStyle w:val="ECHRPara"/>
        </w:rPr>
        <w:t>в големи количества</w:t>
      </w:r>
      <w:r w:rsidRPr="007F2798">
        <w:rPr>
          <w:rStyle w:val="ECHRPara"/>
          <w:cs/>
        </w:rPr>
        <w:t xml:space="preserve">” </w:t>
      </w:r>
      <w:r w:rsidRPr="007F2798">
        <w:rPr>
          <w:rStyle w:val="ECHRPara"/>
        </w:rPr>
        <w:t>(чл. 244, ал. 2 от НК). Националните съдилища прие</w:t>
      </w:r>
      <w:r w:rsidR="00062B47" w:rsidRPr="007F2798">
        <w:rPr>
          <w:rStyle w:val="ECHRPara"/>
        </w:rPr>
        <w:t>мат</w:t>
      </w:r>
      <w:r w:rsidRPr="007F2798">
        <w:rPr>
          <w:rStyle w:val="ECHRPara"/>
        </w:rPr>
        <w:t xml:space="preserve">, че банкноти с обща номинална стойност от например 4 400, 5 700 или 20 000 евро (EUR) представляват такива </w:t>
      </w:r>
      <w:r w:rsidRPr="007F2798">
        <w:rPr>
          <w:rStyle w:val="ECHRPara"/>
          <w:cs/>
        </w:rPr>
        <w:t>“</w:t>
      </w:r>
      <w:r w:rsidRPr="007F2798">
        <w:rPr>
          <w:rStyle w:val="ECHRPara"/>
        </w:rPr>
        <w:t>големи количества</w:t>
      </w:r>
      <w:r w:rsidRPr="007F2798">
        <w:rPr>
          <w:rStyle w:val="ECHRPara"/>
          <w:cs/>
        </w:rPr>
        <w:t xml:space="preserve">” </w:t>
      </w:r>
      <w:r w:rsidRPr="007F2798">
        <w:rPr>
          <w:rStyle w:val="ECHRPara"/>
        </w:rPr>
        <w:t>(</w:t>
      </w:r>
      <w:r w:rsidRPr="007F2798">
        <w:rPr>
          <w:rStyle w:val="ECHRPara"/>
          <w:i/>
        </w:rPr>
        <w:t xml:space="preserve">Решение </w:t>
      </w:r>
      <w:r w:rsidRPr="007F2798">
        <w:rPr>
          <w:rStyle w:val="ECHRPara"/>
          <w:i/>
          <w:cs/>
        </w:rPr>
        <w:t xml:space="preserve">№ </w:t>
      </w:r>
      <w:r w:rsidRPr="007F2798">
        <w:rPr>
          <w:rStyle w:val="ECHRPara"/>
          <w:i/>
        </w:rPr>
        <w:t xml:space="preserve">33 от 17.02.2010 г. на ВКС по н. д. </w:t>
      </w:r>
      <w:r w:rsidRPr="007F2798">
        <w:rPr>
          <w:rStyle w:val="ECHRPara"/>
          <w:i/>
          <w:cs/>
        </w:rPr>
        <w:t xml:space="preserve">№ </w:t>
      </w:r>
      <w:r w:rsidRPr="007F2798">
        <w:rPr>
          <w:rStyle w:val="ECHRPara"/>
          <w:i/>
        </w:rPr>
        <w:t>700/2009 г., III н. о., НК</w:t>
      </w:r>
      <w:r w:rsidRPr="007F2798">
        <w:rPr>
          <w:rStyle w:val="ECHRPara"/>
        </w:rPr>
        <w:t xml:space="preserve">; </w:t>
      </w:r>
      <w:r w:rsidRPr="007F2798">
        <w:rPr>
          <w:rStyle w:val="ECHRPara"/>
          <w:i/>
        </w:rPr>
        <w:t xml:space="preserve">Решение </w:t>
      </w:r>
      <w:r w:rsidRPr="007F2798">
        <w:rPr>
          <w:rStyle w:val="ECHRPara"/>
          <w:i/>
          <w:cs/>
        </w:rPr>
        <w:t xml:space="preserve">№ </w:t>
      </w:r>
      <w:r w:rsidRPr="007F2798">
        <w:rPr>
          <w:rStyle w:val="ECHRPara"/>
          <w:i/>
        </w:rPr>
        <w:t xml:space="preserve">173 от 7.05.2015 г. на ВКС по н. д. </w:t>
      </w:r>
      <w:r w:rsidRPr="007F2798">
        <w:rPr>
          <w:rStyle w:val="ECHRPara"/>
          <w:i/>
          <w:cs/>
        </w:rPr>
        <w:t>№</w:t>
      </w:r>
      <w:r w:rsidRPr="007F2798">
        <w:rPr>
          <w:rStyle w:val="ECHRPara"/>
          <w:i/>
        </w:rPr>
        <w:t> 50/2015 г., II н. о., НК</w:t>
      </w:r>
      <w:r w:rsidRPr="007F2798">
        <w:rPr>
          <w:rStyle w:val="ECHRPara"/>
        </w:rPr>
        <w:t xml:space="preserve">; </w:t>
      </w:r>
      <w:r w:rsidRPr="007F2798">
        <w:rPr>
          <w:rStyle w:val="ECHRPara"/>
          <w:i/>
        </w:rPr>
        <w:t xml:space="preserve">Решение </w:t>
      </w:r>
      <w:r w:rsidRPr="007F2798">
        <w:rPr>
          <w:rStyle w:val="ECHRPara"/>
          <w:i/>
          <w:cs/>
        </w:rPr>
        <w:t xml:space="preserve">№ </w:t>
      </w:r>
      <w:r w:rsidRPr="007F2798">
        <w:rPr>
          <w:rStyle w:val="ECHRPara"/>
          <w:i/>
        </w:rPr>
        <w:t xml:space="preserve">407 от 9.03.2016 г. на ВКС по н. д. </w:t>
      </w:r>
      <w:r w:rsidRPr="007F2798">
        <w:rPr>
          <w:rStyle w:val="ECHRPara"/>
          <w:i/>
          <w:cs/>
        </w:rPr>
        <w:t xml:space="preserve">№ </w:t>
      </w:r>
      <w:r w:rsidRPr="007F2798">
        <w:rPr>
          <w:rStyle w:val="ECHRPara"/>
          <w:i/>
        </w:rPr>
        <w:t>1127/2015 г., II н. о., НК</w:t>
      </w:r>
      <w:r w:rsidRPr="007F2798">
        <w:rPr>
          <w:rStyle w:val="ECHRPara"/>
        </w:rPr>
        <w:t xml:space="preserve">). През </w:t>
      </w:r>
      <w:r w:rsidR="00347816" w:rsidRPr="007F2798">
        <w:rPr>
          <w:rStyle w:val="ECHRPara"/>
        </w:rPr>
        <w:t>относим</w:t>
      </w:r>
      <w:r w:rsidR="00347816">
        <w:rPr>
          <w:rStyle w:val="ECHRPara"/>
        </w:rPr>
        <w:t>ия</w:t>
      </w:r>
      <w:r w:rsidR="00347816" w:rsidRPr="007F2798">
        <w:rPr>
          <w:rStyle w:val="ECHRPara"/>
        </w:rPr>
        <w:t xml:space="preserve"> </w:t>
      </w:r>
      <w:r w:rsidR="00347816">
        <w:rPr>
          <w:rStyle w:val="ECHRPara"/>
        </w:rPr>
        <w:t>период</w:t>
      </w:r>
      <w:r w:rsidR="00347816" w:rsidRPr="007F2798">
        <w:rPr>
          <w:rStyle w:val="ECHRPara"/>
        </w:rPr>
        <w:t xml:space="preserve"> </w:t>
      </w:r>
      <w:r w:rsidRPr="007F2798">
        <w:rPr>
          <w:rStyle w:val="ECHRPara"/>
        </w:rPr>
        <w:t>горепосочените престъпления са наказуеми с до осем години лишаване от свобода.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17</w:t>
      </w:r>
      <w:r w:rsidRPr="007F2798">
        <w:fldChar w:fldCharType="end"/>
      </w:r>
      <w:r w:rsidRPr="007F2798">
        <w:rPr>
          <w:rStyle w:val="ECHRPara"/>
        </w:rPr>
        <w:t>.  Първоинстанционните съдилища са длъжни да мотивират своите решения по силата на чл. 301 от Наказателно</w:t>
      </w:r>
      <w:r w:rsidR="00F34054">
        <w:rPr>
          <w:rStyle w:val="ECHRPara"/>
        </w:rPr>
        <w:t>-</w:t>
      </w:r>
      <w:r w:rsidRPr="007F2798">
        <w:rPr>
          <w:rStyle w:val="ECHRPara"/>
        </w:rPr>
        <w:t xml:space="preserve">процесуалния кодекс. За </w:t>
      </w:r>
      <w:r w:rsidR="00B6625D">
        <w:rPr>
          <w:rStyle w:val="ECHRPara"/>
        </w:rPr>
        <w:t>въззивните</w:t>
      </w:r>
      <w:r w:rsidR="00B6625D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съдилища и Върховния касационен съд задължението е </w:t>
      </w:r>
      <w:r w:rsidR="004754C9" w:rsidRPr="007F2798">
        <w:rPr>
          <w:rStyle w:val="ECHRPara"/>
        </w:rPr>
        <w:t xml:space="preserve">регламентирано </w:t>
      </w:r>
      <w:r w:rsidRPr="007F2798">
        <w:rPr>
          <w:rStyle w:val="ECHRPara"/>
        </w:rPr>
        <w:t xml:space="preserve">в чл. 339 от НПК. </w:t>
      </w:r>
      <w:r w:rsidR="00B6625D">
        <w:rPr>
          <w:rStyle w:val="ECHRPara"/>
        </w:rPr>
        <w:t>Разпоредбата</w:t>
      </w:r>
      <w:r w:rsidRPr="007F2798">
        <w:rPr>
          <w:rStyle w:val="ECHRPara"/>
        </w:rPr>
        <w:t xml:space="preserve"> посочва по-конкретно, че при потвърждаване на решение на предходна съдебна инстанция, съдилища</w:t>
      </w:r>
      <w:r w:rsidR="00B6625D">
        <w:rPr>
          <w:rStyle w:val="ECHRPara"/>
        </w:rPr>
        <w:t>та</w:t>
      </w:r>
      <w:r w:rsidRPr="007F2798">
        <w:rPr>
          <w:rStyle w:val="ECHRPara"/>
        </w:rPr>
        <w:t xml:space="preserve"> трябва да посочат </w:t>
      </w:r>
      <w:r w:rsidR="004754C9" w:rsidRPr="007F2798">
        <w:rPr>
          <w:rStyle w:val="ECHRPara"/>
        </w:rPr>
        <w:t>о</w:t>
      </w:r>
      <w:r w:rsidR="004754C9" w:rsidRPr="007F2798">
        <w:t>снованията, поради които не приемат</w:t>
      </w:r>
      <w:r w:rsidRPr="007F2798">
        <w:rPr>
          <w:rStyle w:val="ECHRPara"/>
        </w:rPr>
        <w:t xml:space="preserve"> доводите, изложени пред тях от страните.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18</w:t>
      </w:r>
      <w:r w:rsidRPr="007F2798">
        <w:fldChar w:fldCharType="end"/>
      </w:r>
      <w:r w:rsidRPr="007F2798">
        <w:rPr>
          <w:rStyle w:val="ECHRPara"/>
        </w:rPr>
        <w:t>.  Съгласно чл. 422, ал. 1, т. 4 от Наказателно</w:t>
      </w:r>
      <w:r w:rsidR="00F34054">
        <w:rPr>
          <w:rStyle w:val="ECHRPara"/>
        </w:rPr>
        <w:t>-</w:t>
      </w:r>
      <w:r w:rsidRPr="007F2798">
        <w:rPr>
          <w:rStyle w:val="ECHRPara"/>
        </w:rPr>
        <w:t xml:space="preserve">процесуалния кодекс, наказателно производство се възобновява, когато </w:t>
      </w:r>
      <w:r w:rsidR="004754C9" w:rsidRPr="007F2798">
        <w:rPr>
          <w:rStyle w:val="ECHRPara"/>
        </w:rPr>
        <w:t xml:space="preserve">с </w:t>
      </w:r>
      <w:r w:rsidRPr="007F2798">
        <w:rPr>
          <w:rStyle w:val="ECHRPara"/>
        </w:rPr>
        <w:t xml:space="preserve">решение на Европейския съд по правата на човека </w:t>
      </w:r>
      <w:r w:rsidR="004754C9" w:rsidRPr="007F2798">
        <w:rPr>
          <w:rStyle w:val="ECHRPara"/>
        </w:rPr>
        <w:t xml:space="preserve">е установено </w:t>
      </w:r>
      <w:r w:rsidRPr="007F2798">
        <w:rPr>
          <w:rStyle w:val="ECHRPara"/>
        </w:rPr>
        <w:t xml:space="preserve">нарушение на Конвенцията, което </w:t>
      </w:r>
      <w:r w:rsidR="004754C9" w:rsidRPr="007F2798">
        <w:rPr>
          <w:rStyle w:val="ECHRPara"/>
        </w:rPr>
        <w:t>има съществено</w:t>
      </w:r>
      <w:r w:rsidRPr="007F2798">
        <w:rPr>
          <w:rStyle w:val="ECHRPara"/>
        </w:rPr>
        <w:t xml:space="preserve"> значение за делото. Искане в </w:t>
      </w:r>
      <w:r w:rsidR="0096553A">
        <w:rPr>
          <w:rStyle w:val="ECHRPara"/>
        </w:rPr>
        <w:t>тази насока</w:t>
      </w:r>
      <w:r w:rsidRPr="007F2798">
        <w:rPr>
          <w:rStyle w:val="ECHRPara"/>
        </w:rPr>
        <w:t xml:space="preserve"> </w:t>
      </w:r>
      <w:r w:rsidR="00B6625D">
        <w:rPr>
          <w:rStyle w:val="ECHRPara"/>
        </w:rPr>
        <w:t>може да се направи</w:t>
      </w:r>
      <w:r w:rsidRPr="007F2798">
        <w:rPr>
          <w:rStyle w:val="ECHRPara"/>
        </w:rPr>
        <w:t xml:space="preserve"> от Главния прокурор и </w:t>
      </w:r>
      <w:r w:rsidR="00B6625D">
        <w:rPr>
          <w:rStyle w:val="ECHRPara"/>
        </w:rPr>
        <w:t>подлежи на разглеждане</w:t>
      </w:r>
      <w:r w:rsidRPr="007F2798">
        <w:rPr>
          <w:rStyle w:val="ECHRPara"/>
        </w:rPr>
        <w:t xml:space="preserve"> от Върховния касационен съд.</w:t>
      </w:r>
    </w:p>
    <w:p w:rsidR="004D5587" w:rsidRPr="007F2798" w:rsidRDefault="004754C9" w:rsidP="004D5587">
      <w:pPr>
        <w:pStyle w:val="ECHRTitle1"/>
      </w:pPr>
      <w:r w:rsidRPr="007F2798">
        <w:rPr>
          <w:rStyle w:val="ECHRTitle1"/>
        </w:rPr>
        <w:t>ПРАВОТО</w:t>
      </w:r>
    </w:p>
    <w:p w:rsidR="004D5587" w:rsidRPr="007F2798" w:rsidRDefault="004D5587" w:rsidP="004D5587">
      <w:pPr>
        <w:pStyle w:val="ECHRHeading1"/>
      </w:pPr>
      <w:r w:rsidRPr="007F2798">
        <w:rPr>
          <w:rStyle w:val="ECHRHeading1"/>
        </w:rPr>
        <w:t>I. ТВЪРДЯНО НАРУШЕН</w:t>
      </w:r>
      <w:r w:rsidR="00B6625D">
        <w:rPr>
          <w:rStyle w:val="ECHRHeading1"/>
        </w:rPr>
        <w:t>И</w:t>
      </w:r>
      <w:r w:rsidRPr="007F2798">
        <w:rPr>
          <w:rStyle w:val="ECHRHeading1"/>
        </w:rPr>
        <w:t>Е НА ЧЛ. 6 § 1 ОТ КОНВЕНЦИЯТА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19</w:t>
      </w:r>
      <w:r w:rsidRPr="007F2798">
        <w:fldChar w:fldCharType="end"/>
      </w:r>
      <w:r w:rsidRPr="007F2798">
        <w:rPr>
          <w:rStyle w:val="ECHRPara"/>
        </w:rPr>
        <w:t xml:space="preserve">.  Жалбоподателят се оплаква, че националните съдилища, </w:t>
      </w:r>
      <w:r w:rsidR="004754C9" w:rsidRPr="007F2798">
        <w:rPr>
          <w:rStyle w:val="ECHRPara"/>
        </w:rPr>
        <w:t xml:space="preserve">които </w:t>
      </w:r>
      <w:r w:rsidR="00C715A7">
        <w:rPr>
          <w:rStyle w:val="ECHRPara"/>
        </w:rPr>
        <w:t>са се произнесли по</w:t>
      </w:r>
      <w:r w:rsidR="00C715A7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обвиненията срещу него, не </w:t>
      </w:r>
      <w:r w:rsidR="005115AB">
        <w:rPr>
          <w:rStyle w:val="ECHRPara"/>
        </w:rPr>
        <w:t>са разгледали</w:t>
      </w:r>
      <w:r w:rsidRPr="007F2798">
        <w:rPr>
          <w:rStyle w:val="ECHRPara"/>
        </w:rPr>
        <w:t xml:space="preserve"> довода му, че не е доказано, че </w:t>
      </w:r>
      <w:r w:rsidR="005115AB">
        <w:rPr>
          <w:rStyle w:val="ECHRPara"/>
        </w:rPr>
        <w:t>е</w:t>
      </w:r>
      <w:r w:rsidRPr="007F2798">
        <w:rPr>
          <w:rStyle w:val="ECHRPara"/>
        </w:rPr>
        <w:t xml:space="preserve"> придоби</w:t>
      </w:r>
      <w:r w:rsidR="005115AB">
        <w:rPr>
          <w:rStyle w:val="ECHRPara"/>
        </w:rPr>
        <w:t>л</w:t>
      </w:r>
      <w:r w:rsidRPr="007F2798">
        <w:rPr>
          <w:rStyle w:val="ECHRPara"/>
        </w:rPr>
        <w:t xml:space="preserve"> подправените банкноти след 26 март 2005 г., а именно в момент, когато придобиването на такива банкноти е </w:t>
      </w:r>
      <w:r w:rsidR="001F0942">
        <w:rPr>
          <w:rStyle w:val="ECHRPara"/>
        </w:rPr>
        <w:t xml:space="preserve">било </w:t>
      </w:r>
      <w:r w:rsidRPr="007F2798">
        <w:rPr>
          <w:rStyle w:val="ECHRPara"/>
        </w:rPr>
        <w:t>престъпление. Той се позовава общо на чл. 6 и чл. 7 от Конвенцията.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20</w:t>
      </w:r>
      <w:r w:rsidRPr="007F2798">
        <w:fldChar w:fldCharType="end"/>
      </w:r>
      <w:r w:rsidRPr="007F2798">
        <w:rPr>
          <w:rStyle w:val="ECHRPara"/>
        </w:rPr>
        <w:t xml:space="preserve">.  Съдът </w:t>
      </w:r>
      <w:r w:rsidR="004754C9" w:rsidRPr="007F2798">
        <w:rPr>
          <w:rStyle w:val="ECHRPara"/>
        </w:rPr>
        <w:t>счита</w:t>
      </w:r>
      <w:r w:rsidRPr="007F2798">
        <w:rPr>
          <w:rStyle w:val="ECHRPara"/>
        </w:rPr>
        <w:t xml:space="preserve">, че оплакването трябва да </w:t>
      </w:r>
      <w:r w:rsidR="004754C9" w:rsidRPr="007F2798">
        <w:rPr>
          <w:rStyle w:val="ECHRPara"/>
        </w:rPr>
        <w:t xml:space="preserve">се </w:t>
      </w:r>
      <w:r w:rsidRPr="007F2798">
        <w:rPr>
          <w:rStyle w:val="ECHRPara"/>
        </w:rPr>
        <w:t>разгледа</w:t>
      </w:r>
      <w:r w:rsidR="004754C9" w:rsidRPr="007F2798">
        <w:rPr>
          <w:rStyle w:val="ECHRPara"/>
        </w:rPr>
        <w:t xml:space="preserve"> съгласно</w:t>
      </w:r>
      <w:r w:rsidRPr="007F2798">
        <w:rPr>
          <w:rStyle w:val="ECHRPara"/>
        </w:rPr>
        <w:t xml:space="preserve"> чл. 6 § 1 от Конвенцията, който в </w:t>
      </w:r>
      <w:r w:rsidR="004754C9" w:rsidRPr="007F2798">
        <w:rPr>
          <w:rStyle w:val="ECHRPara"/>
        </w:rPr>
        <w:t xml:space="preserve">приложимата </w:t>
      </w:r>
      <w:r w:rsidRPr="007F2798">
        <w:rPr>
          <w:rStyle w:val="ECHRPara"/>
        </w:rPr>
        <w:t>си част гласи:</w:t>
      </w:r>
    </w:p>
    <w:p w:rsidR="004D5587" w:rsidRPr="007F2798" w:rsidRDefault="004D5587" w:rsidP="004D5587">
      <w:pPr>
        <w:pStyle w:val="ECHRParaQuote"/>
      </w:pPr>
      <w:r w:rsidRPr="007F2798">
        <w:rPr>
          <w:rStyle w:val="ECHRParaQuote"/>
          <w:cs/>
        </w:rPr>
        <w:t>“</w:t>
      </w:r>
      <w:r w:rsidRPr="007F2798">
        <w:rPr>
          <w:rStyle w:val="ECHRParaQuote"/>
        </w:rPr>
        <w:t>Всяко лице, при решаването на... основателността на каквото и да е наказателно обвинение срещу него..., има право на справедливо... гледане... от... съд...</w:t>
      </w:r>
      <w:r w:rsidRPr="007F2798">
        <w:rPr>
          <w:rStyle w:val="ECHRParaQuote"/>
          <w:cs/>
        </w:rPr>
        <w:t>”</w:t>
      </w:r>
    </w:p>
    <w:p w:rsidR="004D5587" w:rsidRPr="007F2798" w:rsidRDefault="004D5587" w:rsidP="004D5587">
      <w:pPr>
        <w:pStyle w:val="ECHRHeading2"/>
      </w:pPr>
      <w:r w:rsidRPr="007F2798">
        <w:rPr>
          <w:rStyle w:val="ECHRHeading2"/>
        </w:rPr>
        <w:t>А. Аргументи на страните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21</w:t>
      </w:r>
      <w:r w:rsidRPr="007F2798">
        <w:fldChar w:fldCharType="end"/>
      </w:r>
      <w:r w:rsidRPr="007F2798">
        <w:rPr>
          <w:rStyle w:val="ECHRPara"/>
        </w:rPr>
        <w:t xml:space="preserve">.  Правителството </w:t>
      </w:r>
      <w:r w:rsidR="004754C9" w:rsidRPr="007F2798">
        <w:rPr>
          <w:rStyle w:val="ECHRPara"/>
        </w:rPr>
        <w:t>счита</w:t>
      </w:r>
      <w:r w:rsidRPr="007F2798">
        <w:rPr>
          <w:rStyle w:val="ECHRPara"/>
        </w:rPr>
        <w:t xml:space="preserve">, че жалбоподателят </w:t>
      </w:r>
      <w:r w:rsidR="00BA495C">
        <w:rPr>
          <w:rStyle w:val="ECHRPara"/>
        </w:rPr>
        <w:t>не е повдигнал</w:t>
      </w:r>
      <w:r w:rsidRPr="007F2798">
        <w:rPr>
          <w:rStyle w:val="ECHRPara"/>
        </w:rPr>
        <w:t xml:space="preserve"> въпросния довод в жалба</w:t>
      </w:r>
      <w:r w:rsidR="00F309E5">
        <w:rPr>
          <w:rStyle w:val="ECHRPara"/>
        </w:rPr>
        <w:t>та си</w:t>
      </w:r>
      <w:r w:rsidRPr="007F2798">
        <w:rPr>
          <w:rStyle w:val="ECHRPara"/>
        </w:rPr>
        <w:t xml:space="preserve"> срещу решението на Окръжния съд. </w:t>
      </w:r>
      <w:r w:rsidR="00037885">
        <w:rPr>
          <w:rStyle w:val="ECHRPara"/>
        </w:rPr>
        <w:t>Т</w:t>
      </w:r>
      <w:r w:rsidRPr="007F2798">
        <w:rPr>
          <w:rStyle w:val="ECHRPara"/>
        </w:rPr>
        <w:t xml:space="preserve">върди, че </w:t>
      </w:r>
      <w:r w:rsidR="00D9208B">
        <w:rPr>
          <w:rStyle w:val="ECHRPara"/>
        </w:rPr>
        <w:t>поради това</w:t>
      </w:r>
      <w:r w:rsidRPr="007F2798">
        <w:rPr>
          <w:rStyle w:val="ECHRPara"/>
        </w:rPr>
        <w:t xml:space="preserve"> той не е изчерп</w:t>
      </w:r>
      <w:r w:rsidR="004754C9" w:rsidRPr="007F2798">
        <w:rPr>
          <w:rStyle w:val="ECHRPara"/>
        </w:rPr>
        <w:t>ал</w:t>
      </w:r>
      <w:r w:rsidRPr="007F2798">
        <w:rPr>
          <w:rStyle w:val="ECHRPara"/>
        </w:rPr>
        <w:t xml:space="preserve"> наличните вътрешн</w:t>
      </w:r>
      <w:r w:rsidR="004754C9" w:rsidRPr="007F2798">
        <w:rPr>
          <w:rStyle w:val="ECHRPara"/>
        </w:rPr>
        <w:t>о-</w:t>
      </w:r>
      <w:r w:rsidRPr="007F2798">
        <w:rPr>
          <w:rStyle w:val="ECHRPara"/>
        </w:rPr>
        <w:t>правни средства за защита</w:t>
      </w:r>
      <w:r w:rsidR="0004164A">
        <w:rPr>
          <w:rStyle w:val="ECHRPara"/>
        </w:rPr>
        <w:t>,</w:t>
      </w:r>
      <w:r w:rsidRPr="007F2798">
        <w:rPr>
          <w:rStyle w:val="ECHRPara"/>
        </w:rPr>
        <w:t xml:space="preserve"> и заявява, че жалбата е недопустима.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22</w:t>
      </w:r>
      <w:r w:rsidRPr="007F2798">
        <w:fldChar w:fldCharType="end"/>
      </w:r>
      <w:r w:rsidRPr="007F2798">
        <w:rPr>
          <w:rStyle w:val="ECHRPara"/>
        </w:rPr>
        <w:t xml:space="preserve">.  Правителството твърди още, че разглежданото оплакване е от четвъртоинстанционно естество и че във всеки случай националните съдилища са изложили мотивите за своите решения </w:t>
      </w:r>
      <w:r w:rsidRPr="007F2798">
        <w:rPr>
          <w:rStyle w:val="ECHRPara"/>
          <w:cs/>
        </w:rPr>
        <w:t>“</w:t>
      </w:r>
      <w:r w:rsidRPr="007F2798">
        <w:rPr>
          <w:rStyle w:val="ECHRPara"/>
        </w:rPr>
        <w:t>по достатъчно ясен</w:t>
      </w:r>
      <w:r w:rsidRPr="007F2798">
        <w:rPr>
          <w:rStyle w:val="ECHRPara"/>
          <w:cs/>
        </w:rPr>
        <w:t xml:space="preserve">” </w:t>
      </w:r>
      <w:r w:rsidRPr="007F2798">
        <w:rPr>
          <w:rStyle w:val="ECHRPara"/>
        </w:rPr>
        <w:t xml:space="preserve">начин. Освен това Правителството </w:t>
      </w:r>
      <w:r w:rsidR="00AA333B">
        <w:rPr>
          <w:rStyle w:val="ECHRPara"/>
        </w:rPr>
        <w:t>счита</w:t>
      </w:r>
      <w:r w:rsidRPr="007F2798">
        <w:rPr>
          <w:rStyle w:val="ECHRPara"/>
        </w:rPr>
        <w:t xml:space="preserve">, че твърдението на жалбоподателя, че </w:t>
      </w:r>
      <w:r w:rsidR="00BA495C">
        <w:rPr>
          <w:rStyle w:val="ECHRPara"/>
        </w:rPr>
        <w:t>е придобил</w:t>
      </w:r>
      <w:r w:rsidR="00BA495C" w:rsidRPr="007F2798">
        <w:rPr>
          <w:rStyle w:val="ECHRPara"/>
        </w:rPr>
        <w:t xml:space="preserve"> </w:t>
      </w:r>
      <w:r w:rsidRPr="007F2798">
        <w:rPr>
          <w:rStyle w:val="ECHRPara"/>
        </w:rPr>
        <w:t>подправените банкноти през 2002 г., не е доказано.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23</w:t>
      </w:r>
      <w:r w:rsidRPr="007F2798">
        <w:fldChar w:fldCharType="end"/>
      </w:r>
      <w:r w:rsidRPr="007F2798">
        <w:rPr>
          <w:rStyle w:val="ECHRPara"/>
        </w:rPr>
        <w:t>.  Жалбоподателят не е съгласен и потвърждава оплакването си.</w:t>
      </w:r>
    </w:p>
    <w:p w:rsidR="004D5587" w:rsidRPr="007F2798" w:rsidRDefault="004D5587" w:rsidP="004D5587">
      <w:pPr>
        <w:pStyle w:val="ECHRHeading2"/>
      </w:pPr>
      <w:r w:rsidRPr="007F2798">
        <w:rPr>
          <w:rStyle w:val="ECHRHeading2"/>
        </w:rPr>
        <w:t>Б. Преценка</w:t>
      </w:r>
      <w:r w:rsidR="00971353" w:rsidRPr="007F2798">
        <w:rPr>
          <w:rStyle w:val="ECHRHeading2"/>
        </w:rPr>
        <w:t>та</w:t>
      </w:r>
      <w:r w:rsidRPr="007F2798">
        <w:rPr>
          <w:rStyle w:val="ECHRHeading2"/>
        </w:rPr>
        <w:t xml:space="preserve"> на Съда</w:t>
      </w:r>
    </w:p>
    <w:p w:rsidR="004D5587" w:rsidRPr="007F2798" w:rsidRDefault="004D5587" w:rsidP="004D5587">
      <w:pPr>
        <w:pStyle w:val="ECHRHeading3"/>
      </w:pPr>
      <w:r w:rsidRPr="007F2798">
        <w:rPr>
          <w:rStyle w:val="ECHRHeading3"/>
        </w:rPr>
        <w:t>1.  Допустимост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24</w:t>
      </w:r>
      <w:r w:rsidRPr="007F2798">
        <w:fldChar w:fldCharType="end"/>
      </w:r>
      <w:r w:rsidRPr="007F2798">
        <w:rPr>
          <w:rStyle w:val="ECHRPara"/>
        </w:rPr>
        <w:t>.  Съдът отбелязва довода на Правителството, че жалбоподателят не е изчерпал наличните вътрешн</w:t>
      </w:r>
      <w:r w:rsidR="00B5542E" w:rsidRPr="007F2798">
        <w:rPr>
          <w:rStyle w:val="ECHRPara"/>
        </w:rPr>
        <w:t>о</w:t>
      </w:r>
      <w:r w:rsidRPr="007F2798">
        <w:rPr>
          <w:rStyle w:val="ECHRPara"/>
        </w:rPr>
        <w:t xml:space="preserve">правни средства за защита, тъй като не е изложил ясно разглеждания </w:t>
      </w:r>
      <w:r w:rsidR="00EE5BCF">
        <w:rPr>
          <w:rStyle w:val="ECHRPara"/>
        </w:rPr>
        <w:t>аргумент</w:t>
      </w:r>
      <w:r w:rsidRPr="007F2798">
        <w:rPr>
          <w:rStyle w:val="ECHRPara"/>
        </w:rPr>
        <w:t xml:space="preserve"> в жалба</w:t>
      </w:r>
      <w:r w:rsidR="00BA495C">
        <w:rPr>
          <w:rStyle w:val="ECHRPara"/>
        </w:rPr>
        <w:t>та си</w:t>
      </w:r>
      <w:r w:rsidRPr="007F2798">
        <w:rPr>
          <w:rStyle w:val="ECHRPara"/>
        </w:rPr>
        <w:t xml:space="preserve"> срещу решението на Окръжния съд (вж. параграф 21 по-горе).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25</w:t>
      </w:r>
      <w:r w:rsidRPr="007F2798">
        <w:fldChar w:fldCharType="end"/>
      </w:r>
      <w:r w:rsidRPr="007F2798">
        <w:rPr>
          <w:rStyle w:val="ECHRPara"/>
        </w:rPr>
        <w:t xml:space="preserve">.  Съдът отбелязва, че в жалбата си срещу първоинстанционното решение жалбоподателят изтъква, че няма доказателства, че съзнателно </w:t>
      </w:r>
      <w:r w:rsidR="00920BA0">
        <w:rPr>
          <w:rStyle w:val="ECHRPara"/>
        </w:rPr>
        <w:t xml:space="preserve">е </w:t>
      </w:r>
      <w:r w:rsidRPr="007F2798">
        <w:rPr>
          <w:rStyle w:val="ECHRPara"/>
        </w:rPr>
        <w:t>придоби</w:t>
      </w:r>
      <w:r w:rsidR="00BA495C">
        <w:rPr>
          <w:rStyle w:val="ECHRPara"/>
        </w:rPr>
        <w:t>л</w:t>
      </w:r>
      <w:r w:rsidRPr="007F2798">
        <w:rPr>
          <w:rStyle w:val="ECHRPara"/>
        </w:rPr>
        <w:t xml:space="preserve"> подправените банкноти през 2002 г. Освен това той </w:t>
      </w:r>
      <w:r w:rsidR="008A6F34">
        <w:rPr>
          <w:rStyle w:val="ECHRPara"/>
        </w:rPr>
        <w:t>е изложил</w:t>
      </w:r>
      <w:r w:rsidRPr="007F2798">
        <w:rPr>
          <w:rStyle w:val="ECHRPara"/>
        </w:rPr>
        <w:t xml:space="preserve"> спорния </w:t>
      </w:r>
      <w:r w:rsidR="008A6F34">
        <w:rPr>
          <w:rStyle w:val="ECHRPara"/>
        </w:rPr>
        <w:t>въпрос</w:t>
      </w:r>
      <w:r w:rsidRPr="007F2798">
        <w:rPr>
          <w:rStyle w:val="ECHRPara"/>
        </w:rPr>
        <w:t xml:space="preserve"> по недвусмислен начин в своята касационна жалба (вж. параграфи 12 и 14 по-горе). Следователно Съдът не може да заключи, че жалбоподателят не е изчерпал надлежно вътрешн</w:t>
      </w:r>
      <w:r w:rsidR="00B5542E" w:rsidRPr="007F2798">
        <w:rPr>
          <w:rStyle w:val="ECHRPara"/>
        </w:rPr>
        <w:t>о</w:t>
      </w:r>
      <w:r w:rsidRPr="007F2798">
        <w:rPr>
          <w:rStyle w:val="ECHRPara"/>
        </w:rPr>
        <w:t>правни</w:t>
      </w:r>
      <w:r w:rsidR="00B5542E" w:rsidRPr="007F2798">
        <w:rPr>
          <w:rStyle w:val="ECHRPara"/>
        </w:rPr>
        <w:t>те</w:t>
      </w:r>
      <w:r w:rsidRPr="007F2798">
        <w:rPr>
          <w:rStyle w:val="ECHRPara"/>
        </w:rPr>
        <w:t xml:space="preserve"> средства за защита, и отхвърля възражението за недопустимост на Правителството.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26</w:t>
      </w:r>
      <w:r w:rsidRPr="007F2798">
        <w:fldChar w:fldCharType="end"/>
      </w:r>
      <w:r w:rsidRPr="007F2798">
        <w:rPr>
          <w:rStyle w:val="ECHRPara"/>
        </w:rPr>
        <w:t>.  Съдът освен това отбелязва, че жалбата не е явно необоснована по смисъла на чл. 35 § 3 (а) от Конвенцията. Той отбелязва още, че тя не е недопустима на друг</w:t>
      </w:r>
      <w:r w:rsidR="00971353" w:rsidRPr="007F2798">
        <w:rPr>
          <w:rStyle w:val="ECHRPara"/>
        </w:rPr>
        <w:t>о</w:t>
      </w:r>
      <w:r w:rsidRPr="007F2798">
        <w:rPr>
          <w:rStyle w:val="ECHRPara"/>
        </w:rPr>
        <w:t xml:space="preserve"> основани</w:t>
      </w:r>
      <w:r w:rsidR="00971353" w:rsidRPr="007F2798">
        <w:rPr>
          <w:rStyle w:val="ECHRPara"/>
        </w:rPr>
        <w:t>е</w:t>
      </w:r>
      <w:r w:rsidRPr="007F2798">
        <w:rPr>
          <w:rStyle w:val="ECHRPara"/>
        </w:rPr>
        <w:t xml:space="preserve">. Следователно </w:t>
      </w:r>
      <w:r w:rsidR="006A32E4">
        <w:rPr>
          <w:rStyle w:val="ECHRPara"/>
        </w:rPr>
        <w:t>жалбата</w:t>
      </w:r>
      <w:r w:rsidRPr="007F2798">
        <w:rPr>
          <w:rStyle w:val="ECHRPara"/>
        </w:rPr>
        <w:t xml:space="preserve"> </w:t>
      </w:r>
      <w:r w:rsidR="00971353" w:rsidRPr="007F2798">
        <w:rPr>
          <w:rStyle w:val="ECHRPara"/>
        </w:rPr>
        <w:t>е</w:t>
      </w:r>
      <w:r w:rsidRPr="001820EE">
        <w:rPr>
          <w:rStyle w:val="ECHRPara"/>
        </w:rPr>
        <w:t xml:space="preserve"> допустима.</w:t>
      </w:r>
    </w:p>
    <w:p w:rsidR="004D5587" w:rsidRPr="007F2798" w:rsidRDefault="004D5587" w:rsidP="004D5587">
      <w:pPr>
        <w:pStyle w:val="ECHRHeading3"/>
      </w:pPr>
      <w:r w:rsidRPr="007F2798">
        <w:rPr>
          <w:rStyle w:val="ECHRHeading3"/>
        </w:rPr>
        <w:t>2.  </w:t>
      </w:r>
      <w:r w:rsidR="00971353" w:rsidRPr="007F2798">
        <w:rPr>
          <w:rStyle w:val="ECHRHeading3"/>
        </w:rPr>
        <w:t>По същество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27</w:t>
      </w:r>
      <w:r w:rsidRPr="007F2798">
        <w:fldChar w:fldCharType="end"/>
      </w:r>
      <w:r w:rsidRPr="007F2798">
        <w:rPr>
          <w:rStyle w:val="ECHRPara"/>
        </w:rPr>
        <w:t>.  Съдът повтаря, че чл. 6 § 1 от Конвенцията задължава националните съдилища да посочат с достатъчна яснота мотивите, на ко</w:t>
      </w:r>
      <w:r w:rsidR="00B5542E" w:rsidRPr="007F2798">
        <w:rPr>
          <w:rStyle w:val="ECHRPara"/>
        </w:rPr>
        <w:t>и</w:t>
      </w:r>
      <w:r w:rsidRPr="007F2798">
        <w:rPr>
          <w:rStyle w:val="ECHRPara"/>
        </w:rPr>
        <w:t xml:space="preserve">то се </w:t>
      </w:r>
      <w:r w:rsidR="00B5542E" w:rsidRPr="007F2798">
        <w:rPr>
          <w:rStyle w:val="ECHRPara"/>
        </w:rPr>
        <w:t xml:space="preserve">базират техните </w:t>
      </w:r>
      <w:r w:rsidRPr="007F2798">
        <w:rPr>
          <w:rStyle w:val="ECHRPara"/>
        </w:rPr>
        <w:t xml:space="preserve">решения (вж. наред с други решения </w:t>
      </w:r>
      <w:r w:rsidRPr="007F2798">
        <w:rPr>
          <w:rStyle w:val="CLLItalic"/>
        </w:rPr>
        <w:t>Hadjianastassiou v. Greece</w:t>
      </w:r>
      <w:r w:rsidRPr="007F2798">
        <w:rPr>
          <w:rStyle w:val="ECHRPara"/>
        </w:rPr>
        <w:t xml:space="preserve">, 16 декември 1992 г., § 33, Серия A </w:t>
      </w:r>
      <w:r w:rsidRPr="007F2798">
        <w:rPr>
          <w:rStyle w:val="ECHRPara"/>
          <w:cs/>
        </w:rPr>
        <w:t xml:space="preserve">№ </w:t>
      </w:r>
      <w:r w:rsidRPr="007F2798">
        <w:rPr>
          <w:rStyle w:val="ECHRPara"/>
        </w:rPr>
        <w:t xml:space="preserve">252, и </w:t>
      </w:r>
      <w:r w:rsidRPr="007F2798">
        <w:rPr>
          <w:rStyle w:val="CLLItalic"/>
        </w:rPr>
        <w:t>Taxquet v. Belgium</w:t>
      </w:r>
      <w:r w:rsidRPr="007F2798">
        <w:rPr>
          <w:rStyle w:val="ECHRPara"/>
        </w:rPr>
        <w:t xml:space="preserve"> [GC], </w:t>
      </w:r>
      <w:r w:rsidRPr="007F2798">
        <w:rPr>
          <w:rStyle w:val="ECHRPara"/>
          <w:cs/>
        </w:rPr>
        <w:t xml:space="preserve">№ </w:t>
      </w:r>
      <w:r w:rsidRPr="007F2798">
        <w:rPr>
          <w:rStyle w:val="ECHRPara"/>
        </w:rPr>
        <w:t xml:space="preserve">926/05, § 91, ЕСПЧ 2010 г.). Обхватът на задължението за мотивиране варира в зависимост от естеството на решението и трябва да се определи в светлината на обстоятелствата по случая. Въпреки че съдилищата не са задължени да дават подробен отговор на всеки </w:t>
      </w:r>
      <w:r w:rsidR="00BA495C">
        <w:rPr>
          <w:rStyle w:val="ECHRPara"/>
        </w:rPr>
        <w:t>повдигнат аргумент</w:t>
      </w:r>
      <w:r w:rsidRPr="007F2798">
        <w:rPr>
          <w:rStyle w:val="ECHRPara"/>
        </w:rPr>
        <w:t xml:space="preserve">, от решението следва да е видно, че са разгледани основните въпроси на делото (вж. </w:t>
      </w:r>
      <w:r w:rsidRPr="007F2798">
        <w:rPr>
          <w:rStyle w:val="CLLItalic"/>
        </w:rPr>
        <w:t>Ruiz Torija v. Spain</w:t>
      </w:r>
      <w:r w:rsidRPr="007F2798">
        <w:rPr>
          <w:rStyle w:val="ECHRPara"/>
        </w:rPr>
        <w:t xml:space="preserve">, 9 декември 1994 г., § 29, Серия A </w:t>
      </w:r>
      <w:r w:rsidRPr="007F2798">
        <w:rPr>
          <w:rStyle w:val="ECHRPara"/>
          <w:cs/>
        </w:rPr>
        <w:t>№</w:t>
      </w:r>
      <w:r w:rsidRPr="007F2798">
        <w:rPr>
          <w:rStyle w:val="ECHRPara"/>
        </w:rPr>
        <w:t xml:space="preserve"> 303A; </w:t>
      </w:r>
      <w:r w:rsidRPr="007F2798">
        <w:rPr>
          <w:rStyle w:val="ECHRPara"/>
          <w:i/>
        </w:rPr>
        <w:t>Boldea v. Romania</w:t>
      </w:r>
      <w:r w:rsidRPr="007F2798">
        <w:rPr>
          <w:rStyle w:val="ECHRPara"/>
        </w:rPr>
        <w:t xml:space="preserve">, </w:t>
      </w:r>
      <w:r w:rsidRPr="007F2798">
        <w:rPr>
          <w:rStyle w:val="ECHRPara"/>
          <w:cs/>
        </w:rPr>
        <w:t xml:space="preserve">№ </w:t>
      </w:r>
      <w:r w:rsidRPr="007F2798">
        <w:rPr>
          <w:rStyle w:val="ECHRPara"/>
        </w:rPr>
        <w:t xml:space="preserve">19997/02, §§ 29-30, 15 февруари 2007 г.; и </w:t>
      </w:r>
      <w:r w:rsidRPr="007F2798">
        <w:rPr>
          <w:rStyle w:val="ECHRPara"/>
          <w:i/>
        </w:rPr>
        <w:t>Tchankotadze v. Georgia</w:t>
      </w:r>
      <w:r w:rsidRPr="007F2798">
        <w:rPr>
          <w:rStyle w:val="ECHRPara"/>
        </w:rPr>
        <w:t xml:space="preserve">, </w:t>
      </w:r>
      <w:r w:rsidRPr="007F2798">
        <w:rPr>
          <w:rStyle w:val="ECHRPara"/>
          <w:cs/>
        </w:rPr>
        <w:t xml:space="preserve">№ </w:t>
      </w:r>
      <w:r w:rsidRPr="007F2798">
        <w:rPr>
          <w:rStyle w:val="ECHRPara"/>
        </w:rPr>
        <w:t>15256/05, § 103, 21 юни 2016 г.).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28</w:t>
      </w:r>
      <w:r w:rsidRPr="007F2798">
        <w:fldChar w:fldCharType="end"/>
      </w:r>
      <w:r w:rsidRPr="007F2798">
        <w:rPr>
          <w:rStyle w:val="ECHRPara"/>
        </w:rPr>
        <w:t xml:space="preserve">.  В настоящия случай жалбоподателят заявява, че </w:t>
      </w:r>
      <w:r w:rsidR="00BA495C">
        <w:rPr>
          <w:rStyle w:val="ECHRPara"/>
        </w:rPr>
        <w:t>е купил</w:t>
      </w:r>
      <w:r w:rsidR="00BA495C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подправените банкноти през 2002 г., а именно в момент, когато придобиването на такива банкноти не е </w:t>
      </w:r>
      <w:r w:rsidR="00817CAB">
        <w:rPr>
          <w:rStyle w:val="ECHRPara"/>
        </w:rPr>
        <w:t xml:space="preserve">било </w:t>
      </w:r>
      <w:r w:rsidRPr="007F2798">
        <w:rPr>
          <w:rStyle w:val="ECHRPara"/>
        </w:rPr>
        <w:t>престъпление. Той защитава тази версия на събитията пред първоинстанционния Окръжен съд (вж. параграф 8 по-горе) и Съдът вече констатира, че е повдигнал въпроса по достатъчно ясен начин пред Апелативния съд и Върховния касационен съд (вж. параграф 25 по-горе).</w:t>
      </w:r>
    </w:p>
    <w:p w:rsidR="004D5587" w:rsidRPr="007F2798" w:rsidRDefault="004D5587" w:rsidP="004D5587">
      <w:pPr>
        <w:pStyle w:val="ECHRPara"/>
        <w:rPr>
          <w:iCs/>
        </w:rPr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29</w:t>
      </w:r>
      <w:r w:rsidRPr="007F2798">
        <w:fldChar w:fldCharType="end"/>
      </w:r>
      <w:r w:rsidRPr="007F2798">
        <w:rPr>
          <w:rStyle w:val="ECHRPara"/>
        </w:rPr>
        <w:t>.  </w:t>
      </w:r>
      <w:r w:rsidR="00BA495C">
        <w:rPr>
          <w:rStyle w:val="ECHRPara"/>
        </w:rPr>
        <w:t>По-нататък</w:t>
      </w:r>
      <w:r w:rsidRPr="007F2798">
        <w:rPr>
          <w:rStyle w:val="ECHRPara"/>
        </w:rPr>
        <w:t xml:space="preserve"> Съдът отбелязва, че не е негова задача да прецени дали въпросното твърдение на жалбоподателя е обосновано и подкрепено с доказателства, тъй като е от компетентността на националните съдилища да решават въпроси от такова естество (вж. </w:t>
      </w:r>
      <w:r w:rsidRPr="007F2798">
        <w:rPr>
          <w:rStyle w:val="ECHRPara"/>
          <w:i/>
        </w:rPr>
        <w:t>Ruiz Torija</w:t>
      </w:r>
      <w:r w:rsidRPr="007F2798">
        <w:rPr>
          <w:rStyle w:val="ECHRPara"/>
        </w:rPr>
        <w:t xml:space="preserve">, цитирано по-горе, § 30). За Съда е достатъчно да заключи, че твърдението е било защитимо, тъй като версията на събитията на жалбоподателя е поне частично </w:t>
      </w:r>
      <w:r w:rsidR="001D0A21">
        <w:rPr>
          <w:rStyle w:val="ECHRPara"/>
        </w:rPr>
        <w:t>подкрепена</w:t>
      </w:r>
      <w:r w:rsidR="001D0A21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от показанията на брат му, </w:t>
      </w:r>
      <w:r w:rsidR="00E550E0" w:rsidRPr="007F2798">
        <w:rPr>
          <w:rStyle w:val="ECHRPara"/>
        </w:rPr>
        <w:t xml:space="preserve">които </w:t>
      </w:r>
      <w:r w:rsidRPr="007F2798">
        <w:rPr>
          <w:rStyle w:val="ECHRPara"/>
        </w:rPr>
        <w:t>потвърждава</w:t>
      </w:r>
      <w:r w:rsidR="00E550E0" w:rsidRPr="007F2798">
        <w:rPr>
          <w:rStyle w:val="ECHRPara"/>
        </w:rPr>
        <w:t>т</w:t>
      </w:r>
      <w:r w:rsidRPr="007F2798">
        <w:rPr>
          <w:rStyle w:val="ECHRPara"/>
        </w:rPr>
        <w:t>, че през 2002 г. жалбоподателят е получил пари от него, за да купи щатски долари (вж. параграф 9 по-горе).</w:t>
      </w:r>
    </w:p>
    <w:p w:rsidR="004D5587" w:rsidRPr="007F2798" w:rsidRDefault="004D5587" w:rsidP="004D5587">
      <w:pPr>
        <w:pStyle w:val="ECHRPara"/>
        <w:rPr>
          <w:iCs/>
        </w:rPr>
      </w:pPr>
      <w:r w:rsidRPr="007F2798">
        <w:rPr>
          <w:rStyle w:val="ECHRPara"/>
        </w:rPr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rPr>
          <w:rStyle w:val="ECHRPara"/>
        </w:rPr>
        <w:fldChar w:fldCharType="separate"/>
      </w:r>
      <w:r w:rsidRPr="007F2798">
        <w:rPr>
          <w:rStyle w:val="ECHRPara"/>
        </w:rPr>
        <w:t>30</w:t>
      </w:r>
      <w:r w:rsidRPr="007F2798">
        <w:rPr>
          <w:rStyle w:val="ECHRPara"/>
        </w:rPr>
        <w:fldChar w:fldCharType="end"/>
      </w:r>
      <w:r w:rsidRPr="007F2798">
        <w:rPr>
          <w:rStyle w:val="ECHRPara"/>
        </w:rPr>
        <w:t xml:space="preserve">.  Освен това доводът на жалбоподателя е явно относим, тъй като националното </w:t>
      </w:r>
      <w:r w:rsidR="000F2999" w:rsidRPr="007F2798">
        <w:rPr>
          <w:rStyle w:val="ECHRPara"/>
        </w:rPr>
        <w:t xml:space="preserve">законодателство </w:t>
      </w:r>
      <w:r w:rsidRPr="007F2798">
        <w:rPr>
          <w:rStyle w:val="ECHRPara"/>
        </w:rPr>
        <w:t xml:space="preserve">не криминализира просто притежанието на подправени банкноти, а единствено притежанието на такива банкноти в големи количества (вж. параграф 16 по-горе). Тъй като </w:t>
      </w:r>
      <w:r w:rsidR="001D0A21">
        <w:rPr>
          <w:rStyle w:val="ECHRPara"/>
        </w:rPr>
        <w:t>случаят не е такъв</w:t>
      </w:r>
      <w:r w:rsidRPr="007F2798">
        <w:rPr>
          <w:rStyle w:val="ECHRPara"/>
        </w:rPr>
        <w:t xml:space="preserve">, първоначалното обвинение срещу жалбоподателя за притежание на подправени банкноти впоследствие е свалено (вж. параграф 7 по-горе) и той е обвинен и изправен пред съда за </w:t>
      </w:r>
      <w:r w:rsidRPr="007F2798">
        <w:rPr>
          <w:rStyle w:val="ECHRPara"/>
          <w:cs/>
        </w:rPr>
        <w:t>“</w:t>
      </w:r>
      <w:r w:rsidRPr="007F2798">
        <w:rPr>
          <w:rStyle w:val="ECHRPara"/>
        </w:rPr>
        <w:t>придобиване</w:t>
      </w:r>
      <w:r w:rsidRPr="007F2798">
        <w:rPr>
          <w:rStyle w:val="ECHRPara"/>
          <w:cs/>
        </w:rPr>
        <w:t xml:space="preserve">” </w:t>
      </w:r>
      <w:r w:rsidRPr="007F2798">
        <w:rPr>
          <w:rStyle w:val="ECHRPara"/>
        </w:rPr>
        <w:t xml:space="preserve">на такива банкноти. Придобиването на подправени банкноти обаче е криминализирано едва на 26 март 2005 г., поради което е </w:t>
      </w:r>
      <w:r w:rsidR="001D0A21">
        <w:rPr>
          <w:rStyle w:val="ECHRPara"/>
        </w:rPr>
        <w:t xml:space="preserve">било </w:t>
      </w:r>
      <w:r w:rsidRPr="007F2798">
        <w:rPr>
          <w:rStyle w:val="ECHRPara"/>
        </w:rPr>
        <w:t>от решаващо значение да се покаже</w:t>
      </w:r>
      <w:r w:rsidR="001D0A21">
        <w:rPr>
          <w:rStyle w:val="ECHRPara"/>
        </w:rPr>
        <w:t xml:space="preserve"> както</w:t>
      </w:r>
      <w:r w:rsidRPr="007F2798">
        <w:rPr>
          <w:rStyle w:val="ECHRPara"/>
        </w:rPr>
        <w:t xml:space="preserve"> че жалбоподателят </w:t>
      </w:r>
      <w:r w:rsidR="001D0A21">
        <w:rPr>
          <w:rStyle w:val="ECHRPara"/>
        </w:rPr>
        <w:t xml:space="preserve">е </w:t>
      </w:r>
      <w:r w:rsidRPr="007F2798">
        <w:rPr>
          <w:rStyle w:val="ECHRPara"/>
        </w:rPr>
        <w:t>придоби</w:t>
      </w:r>
      <w:r w:rsidR="001D0A21">
        <w:rPr>
          <w:rStyle w:val="ECHRPara"/>
        </w:rPr>
        <w:t>л</w:t>
      </w:r>
      <w:r w:rsidRPr="007F2798">
        <w:rPr>
          <w:rStyle w:val="ECHRPara"/>
        </w:rPr>
        <w:t xml:space="preserve"> подправените банкноти след тази дата</w:t>
      </w:r>
      <w:r w:rsidR="001D0A21">
        <w:rPr>
          <w:rStyle w:val="ECHRPara"/>
        </w:rPr>
        <w:t>, така</w:t>
      </w:r>
      <w:r w:rsidRPr="007F2798">
        <w:rPr>
          <w:rStyle w:val="ECHRPara"/>
        </w:rPr>
        <w:t xml:space="preserve"> и че е бил наясно, че са </w:t>
      </w:r>
      <w:r w:rsidR="001D0A21">
        <w:rPr>
          <w:rStyle w:val="ECHRPara"/>
        </w:rPr>
        <w:t xml:space="preserve">били </w:t>
      </w:r>
      <w:r w:rsidRPr="007F2798">
        <w:rPr>
          <w:rStyle w:val="ECHRPara"/>
        </w:rPr>
        <w:t xml:space="preserve">подправени </w:t>
      </w:r>
      <w:r w:rsidRPr="007F2798">
        <w:rPr>
          <w:rStyle w:val="ECHRPara"/>
          <w:cs/>
        </w:rPr>
        <w:t xml:space="preserve">– </w:t>
      </w:r>
      <w:r w:rsidRPr="007F2798">
        <w:rPr>
          <w:rStyle w:val="ECHRPara"/>
        </w:rPr>
        <w:t xml:space="preserve">изискване, което е в съответствие с презумпцията за невиновност, която поставя тежестта на доказване на всички елементи на обвинението върху прокуратурата и изисква всяко съмнение да бъде в полза на обвиняемия (вж. например </w:t>
      </w:r>
      <w:r w:rsidRPr="007F2798">
        <w:rPr>
          <w:rStyle w:val="ECHRPara"/>
          <w:i/>
        </w:rPr>
        <w:t>Barberà, Messegué and Jabardo v. Spain</w:t>
      </w:r>
      <w:r w:rsidRPr="007F2798">
        <w:rPr>
          <w:rStyle w:val="ECHRPara"/>
        </w:rPr>
        <w:t xml:space="preserve">, 6 декември 1988 г., §§ 76-77, Серия A </w:t>
      </w:r>
      <w:r w:rsidRPr="007F2798">
        <w:rPr>
          <w:rStyle w:val="ECHRPara"/>
          <w:cs/>
        </w:rPr>
        <w:t xml:space="preserve">№ </w:t>
      </w:r>
      <w:r w:rsidRPr="007F2798">
        <w:rPr>
          <w:rStyle w:val="ECHRPara"/>
        </w:rPr>
        <w:t xml:space="preserve">146, и </w:t>
      </w:r>
      <w:r w:rsidRPr="007F2798">
        <w:rPr>
          <w:rStyle w:val="ECHRPara"/>
          <w:i/>
        </w:rPr>
        <w:t>Melich and Beck v. the Czech Republic</w:t>
      </w:r>
      <w:r w:rsidRPr="007F2798">
        <w:rPr>
          <w:rStyle w:val="ECHRPara"/>
        </w:rPr>
        <w:t xml:space="preserve">, </w:t>
      </w:r>
      <w:r w:rsidRPr="007F2798">
        <w:rPr>
          <w:rStyle w:val="ECHRPara"/>
          <w:cs/>
        </w:rPr>
        <w:t>№</w:t>
      </w:r>
      <w:r w:rsidRPr="007F2798">
        <w:rPr>
          <w:rStyle w:val="ECHRPara"/>
        </w:rPr>
        <w:t> 35450/04, § 49, 24 юли 2008 г.).</w:t>
      </w:r>
    </w:p>
    <w:p w:rsidR="004D5587" w:rsidRPr="007F2798" w:rsidRDefault="004D5587" w:rsidP="004D5587">
      <w:pPr>
        <w:pStyle w:val="ECHRPara"/>
      </w:pPr>
      <w:r w:rsidRPr="007F2798">
        <w:rPr>
          <w:rStyle w:val="ECHRPara"/>
        </w:rPr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rPr>
          <w:rStyle w:val="ECHRPara"/>
        </w:rPr>
        <w:fldChar w:fldCharType="separate"/>
      </w:r>
      <w:r w:rsidRPr="007F2798">
        <w:rPr>
          <w:rStyle w:val="ECHRPara"/>
        </w:rPr>
        <w:t>31</w:t>
      </w:r>
      <w:r w:rsidRPr="007F2798">
        <w:rPr>
          <w:rStyle w:val="ECHRPara"/>
        </w:rPr>
        <w:fldChar w:fldCharType="end"/>
      </w:r>
      <w:r w:rsidRPr="007F2798">
        <w:rPr>
          <w:rStyle w:val="ECHRPara"/>
        </w:rPr>
        <w:t>.  Следователно националните съдилища са били длъжни да разгледат довода на жалбоподателя и да му дадат мотивиран отговор. Това задължение, съдържащо се по подразбиране в чл. 6 § 1 от Конвенцията (вж. параграф 27 по-горе), е предвидено и в чл. 301 и чл. 339 от Наказателно</w:t>
      </w:r>
      <w:r w:rsidR="00F34054">
        <w:rPr>
          <w:rStyle w:val="ECHRPara"/>
        </w:rPr>
        <w:t>-</w:t>
      </w:r>
      <w:r w:rsidRPr="007F2798">
        <w:rPr>
          <w:rStyle w:val="ECHRPara"/>
        </w:rPr>
        <w:t>процесуалния кодекс (вж. параграф 17 по-горе).</w:t>
      </w:r>
    </w:p>
    <w:p w:rsidR="004D5587" w:rsidRPr="007F2798" w:rsidRDefault="004D5587" w:rsidP="004D5587">
      <w:pPr>
        <w:pStyle w:val="ECHRPara"/>
        <w:rPr>
          <w:iCs/>
        </w:rPr>
      </w:pPr>
      <w:r w:rsidRPr="007F2798">
        <w:rPr>
          <w:rStyle w:val="ECHRPara"/>
        </w:rPr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rPr>
          <w:rStyle w:val="ECHRPara"/>
        </w:rPr>
        <w:fldChar w:fldCharType="separate"/>
      </w:r>
      <w:r w:rsidRPr="007F2798">
        <w:rPr>
          <w:rStyle w:val="ECHRPara"/>
        </w:rPr>
        <w:t>32</w:t>
      </w:r>
      <w:r w:rsidRPr="007F2798">
        <w:rPr>
          <w:rStyle w:val="ECHRPara"/>
        </w:rPr>
        <w:fldChar w:fldCharType="end"/>
      </w:r>
      <w:r w:rsidRPr="007F2798">
        <w:rPr>
          <w:rStyle w:val="ECHRPara"/>
        </w:rPr>
        <w:t xml:space="preserve">.  Съдът обаче не е убеден, че националните съдилища са дали достатъчно основателен отговор на въпросния довод. Въпреки че Окръжният съд и Апелативният съд </w:t>
      </w:r>
      <w:r w:rsidR="001D0A21">
        <w:rPr>
          <w:rStyle w:val="ECHRPara"/>
        </w:rPr>
        <w:t>повтарят</w:t>
      </w:r>
      <w:r w:rsidRPr="007F2798">
        <w:rPr>
          <w:rStyle w:val="ECHRPara"/>
        </w:rPr>
        <w:t xml:space="preserve"> в резюмето си на </w:t>
      </w:r>
      <w:r w:rsidR="00F20FA9">
        <w:rPr>
          <w:rStyle w:val="ECHRPara"/>
        </w:rPr>
        <w:t>относимите</w:t>
      </w:r>
      <w:r w:rsidR="00F20FA9" w:rsidRPr="007F2798">
        <w:rPr>
          <w:rStyle w:val="ECHRPara"/>
        </w:rPr>
        <w:t xml:space="preserve"> </w:t>
      </w:r>
      <w:r w:rsidRPr="007F2798">
        <w:rPr>
          <w:rStyle w:val="ECHRPara"/>
        </w:rPr>
        <w:t xml:space="preserve">факти това, което е заявил жалбоподателят, а именно че през 2002 г. брат му му </w:t>
      </w:r>
      <w:r w:rsidR="001D0A21">
        <w:rPr>
          <w:rStyle w:val="ECHRPara"/>
        </w:rPr>
        <w:t xml:space="preserve">е </w:t>
      </w:r>
      <w:r w:rsidRPr="007F2798">
        <w:rPr>
          <w:rStyle w:val="ECHRPara"/>
        </w:rPr>
        <w:t>да</w:t>
      </w:r>
      <w:r w:rsidR="001D0A21">
        <w:rPr>
          <w:rStyle w:val="ECHRPara"/>
        </w:rPr>
        <w:t>л</w:t>
      </w:r>
      <w:r w:rsidRPr="007F2798">
        <w:rPr>
          <w:rStyle w:val="ECHRPara"/>
        </w:rPr>
        <w:t xml:space="preserve"> пари </w:t>
      </w:r>
      <w:r w:rsidR="000F2999" w:rsidRPr="007F2798">
        <w:rPr>
          <w:rStyle w:val="ECHRPara"/>
        </w:rPr>
        <w:t xml:space="preserve">да </w:t>
      </w:r>
      <w:r w:rsidRPr="007F2798">
        <w:rPr>
          <w:rStyle w:val="ECHRPara"/>
        </w:rPr>
        <w:t>закуп</w:t>
      </w:r>
      <w:r w:rsidR="000F2999" w:rsidRPr="007F2798">
        <w:rPr>
          <w:rStyle w:val="ECHRPara"/>
        </w:rPr>
        <w:t>и</w:t>
      </w:r>
      <w:r w:rsidRPr="007F2798">
        <w:rPr>
          <w:rStyle w:val="ECHRPara"/>
        </w:rPr>
        <w:t xml:space="preserve"> щатски долари, те не анализира</w:t>
      </w:r>
      <w:r w:rsidR="000F2999" w:rsidRPr="007F2798">
        <w:rPr>
          <w:rStyle w:val="ECHRPara"/>
        </w:rPr>
        <w:t>т</w:t>
      </w:r>
      <w:r w:rsidRPr="007F2798">
        <w:rPr>
          <w:rStyle w:val="ECHRPara"/>
        </w:rPr>
        <w:t xml:space="preserve"> тези </w:t>
      </w:r>
      <w:r w:rsidR="00BA1C94">
        <w:rPr>
          <w:rStyle w:val="ECHRPara"/>
        </w:rPr>
        <w:t>обяснения</w:t>
      </w:r>
      <w:r w:rsidR="001D0A21">
        <w:rPr>
          <w:rStyle w:val="ECHRPara"/>
        </w:rPr>
        <w:t xml:space="preserve">, нито </w:t>
      </w:r>
      <w:r w:rsidRPr="007F2798">
        <w:rPr>
          <w:rStyle w:val="ECHRPara"/>
        </w:rPr>
        <w:t>посоч</w:t>
      </w:r>
      <w:r w:rsidR="000F2999" w:rsidRPr="007F2798">
        <w:rPr>
          <w:rStyle w:val="ECHRPara"/>
        </w:rPr>
        <w:t>ват</w:t>
      </w:r>
      <w:r w:rsidRPr="007F2798">
        <w:rPr>
          <w:rStyle w:val="ECHRPara"/>
        </w:rPr>
        <w:t xml:space="preserve"> дали ги смятат за достоверни. </w:t>
      </w:r>
      <w:r w:rsidR="00570C23">
        <w:rPr>
          <w:rStyle w:val="ECHRPara"/>
        </w:rPr>
        <w:t>Още по-важно</w:t>
      </w:r>
      <w:r w:rsidRPr="007F2798">
        <w:rPr>
          <w:rStyle w:val="ECHRPara"/>
        </w:rPr>
        <w:t xml:space="preserve"> е, че те не обясняват защо и въз основа на какви доказателства </w:t>
      </w:r>
      <w:r w:rsidR="00380783">
        <w:rPr>
          <w:rStyle w:val="ECHRPara"/>
        </w:rPr>
        <w:t>са приели</w:t>
      </w:r>
      <w:r w:rsidRPr="007F2798">
        <w:rPr>
          <w:rStyle w:val="ECHRPara"/>
        </w:rPr>
        <w:t xml:space="preserve">, че жалбоподателят </w:t>
      </w:r>
      <w:r w:rsidR="00380783">
        <w:rPr>
          <w:rStyle w:val="ECHRPara"/>
        </w:rPr>
        <w:t xml:space="preserve">е </w:t>
      </w:r>
      <w:r w:rsidRPr="007F2798">
        <w:rPr>
          <w:rStyle w:val="ECHRPara"/>
        </w:rPr>
        <w:t>придоби</w:t>
      </w:r>
      <w:r w:rsidR="00380783">
        <w:rPr>
          <w:rStyle w:val="ECHRPara"/>
        </w:rPr>
        <w:t>л</w:t>
      </w:r>
      <w:r w:rsidRPr="007F2798">
        <w:rPr>
          <w:rStyle w:val="ECHRPara"/>
        </w:rPr>
        <w:t xml:space="preserve"> подправените банкноти много по-късно, а именно след 26 март 2005 г. (вж. параграфи 11 и 13 по-горе). Освен показанията на жалбоподателя и на неговия брат, не са събрани доказателства по този въпрос. Изглежда, че съдилищата само </w:t>
      </w:r>
      <w:r w:rsidR="001D0A21">
        <w:rPr>
          <w:rStyle w:val="ECHRPara"/>
        </w:rPr>
        <w:t xml:space="preserve">са </w:t>
      </w:r>
      <w:r w:rsidRPr="007F2798">
        <w:rPr>
          <w:rStyle w:val="ECHRPara"/>
          <w:cs/>
        </w:rPr>
        <w:t>“</w:t>
      </w:r>
      <w:r w:rsidRPr="007F2798">
        <w:rPr>
          <w:rStyle w:val="ECHRPara"/>
        </w:rPr>
        <w:t>коригира</w:t>
      </w:r>
      <w:r w:rsidR="001D0A21">
        <w:rPr>
          <w:rStyle w:val="ECHRPara"/>
        </w:rPr>
        <w:t>ли</w:t>
      </w:r>
      <w:r w:rsidRPr="007F2798">
        <w:rPr>
          <w:rStyle w:val="ECHRPara"/>
          <w:cs/>
        </w:rPr>
        <w:t xml:space="preserve">” </w:t>
      </w:r>
      <w:r w:rsidRPr="007F2798">
        <w:rPr>
          <w:rStyle w:val="ECHRPara"/>
        </w:rPr>
        <w:t>времето, по което би трябвало да е извършено престъплението, поправяйки първоначално посоченото в обвинението време (вж. параграф 7 по-горе), за да вземат предвид датата, на която деяние</w:t>
      </w:r>
      <w:r w:rsidR="001D0A21">
        <w:rPr>
          <w:rStyle w:val="ECHRPara"/>
        </w:rPr>
        <w:t>то</w:t>
      </w:r>
      <w:r w:rsidRPr="007F2798">
        <w:rPr>
          <w:rStyle w:val="ECHRPara"/>
        </w:rPr>
        <w:t xml:space="preserve"> е криминализирано.</w:t>
      </w:r>
    </w:p>
    <w:p w:rsidR="004D5587" w:rsidRPr="007F2798" w:rsidRDefault="004D5587" w:rsidP="004D5587">
      <w:pPr>
        <w:pStyle w:val="ECHRPara"/>
        <w:rPr>
          <w:iCs/>
        </w:rPr>
      </w:pPr>
      <w:r w:rsidRPr="007F2798">
        <w:rPr>
          <w:rStyle w:val="ECHRPara"/>
        </w:rPr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rPr>
          <w:rStyle w:val="ECHRPara"/>
        </w:rPr>
        <w:fldChar w:fldCharType="separate"/>
      </w:r>
      <w:r w:rsidRPr="007F2798">
        <w:rPr>
          <w:rStyle w:val="ECHRPara"/>
        </w:rPr>
        <w:t>33</w:t>
      </w:r>
      <w:r w:rsidRPr="007F2798">
        <w:rPr>
          <w:rStyle w:val="ECHRPara"/>
        </w:rPr>
        <w:fldChar w:fldCharType="end"/>
      </w:r>
      <w:r w:rsidRPr="007F2798">
        <w:rPr>
          <w:rStyle w:val="ECHRPara"/>
        </w:rPr>
        <w:t xml:space="preserve">.  Върховният касационен съд също не </w:t>
      </w:r>
      <w:r w:rsidR="001D0A21">
        <w:rPr>
          <w:rStyle w:val="ECHRPara"/>
        </w:rPr>
        <w:t xml:space="preserve">е </w:t>
      </w:r>
      <w:r w:rsidRPr="007F2798">
        <w:rPr>
          <w:rStyle w:val="ECHRPara"/>
        </w:rPr>
        <w:t>коментира</w:t>
      </w:r>
      <w:r w:rsidR="001D0A21">
        <w:rPr>
          <w:rStyle w:val="ECHRPara"/>
        </w:rPr>
        <w:t>л</w:t>
      </w:r>
      <w:r w:rsidRPr="007F2798">
        <w:rPr>
          <w:rStyle w:val="ECHRPara"/>
        </w:rPr>
        <w:t xml:space="preserve"> спорния довод, въпреки че жалбоподателят го </w:t>
      </w:r>
      <w:r w:rsidR="001D0A21">
        <w:rPr>
          <w:rStyle w:val="ECHRPara"/>
        </w:rPr>
        <w:t xml:space="preserve">е </w:t>
      </w:r>
      <w:r w:rsidRPr="007F2798">
        <w:rPr>
          <w:rStyle w:val="ECHRPara"/>
        </w:rPr>
        <w:t>изл</w:t>
      </w:r>
      <w:r w:rsidR="001D0A21">
        <w:rPr>
          <w:rStyle w:val="ECHRPara"/>
        </w:rPr>
        <w:t>ожил</w:t>
      </w:r>
      <w:r w:rsidRPr="007F2798">
        <w:rPr>
          <w:rStyle w:val="ECHRPara"/>
        </w:rPr>
        <w:t xml:space="preserve"> ясно в касационната си жалба (вж. параграфи 14-15 по-горе).</w:t>
      </w:r>
    </w:p>
    <w:p w:rsidR="004D5587" w:rsidRPr="007F2798" w:rsidRDefault="004D5587" w:rsidP="004D5587">
      <w:pPr>
        <w:pStyle w:val="ECHRPara"/>
        <w:rPr>
          <w:iCs/>
        </w:rPr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34</w:t>
      </w:r>
      <w:r w:rsidRPr="007F2798">
        <w:fldChar w:fldCharType="end"/>
      </w:r>
      <w:r w:rsidRPr="007F2798">
        <w:rPr>
          <w:rStyle w:val="ECHRPara"/>
        </w:rPr>
        <w:t xml:space="preserve">.  Следователно Съдът заключва, че националните съдилища не </w:t>
      </w:r>
      <w:r w:rsidR="001D0A21">
        <w:rPr>
          <w:rStyle w:val="ECHRPara"/>
        </w:rPr>
        <w:t xml:space="preserve">са </w:t>
      </w:r>
      <w:r w:rsidRPr="007F2798">
        <w:rPr>
          <w:rStyle w:val="ECHRPara"/>
        </w:rPr>
        <w:t>постано</w:t>
      </w:r>
      <w:r w:rsidR="007405E3" w:rsidRPr="007F2798">
        <w:rPr>
          <w:rStyle w:val="ECHRPara"/>
        </w:rPr>
        <w:t>в</w:t>
      </w:r>
      <w:r w:rsidR="001D0A21">
        <w:rPr>
          <w:rStyle w:val="ECHRPara"/>
        </w:rPr>
        <w:t>или</w:t>
      </w:r>
      <w:r w:rsidRPr="007F2798">
        <w:rPr>
          <w:rStyle w:val="ECHRPara"/>
        </w:rPr>
        <w:t xml:space="preserve"> достатъчно ясно мотивирани решения, както се изисква в чл. 6 § 1 от Конвенцията.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35</w:t>
      </w:r>
      <w:r w:rsidRPr="007F2798">
        <w:fldChar w:fldCharType="end"/>
      </w:r>
      <w:r w:rsidRPr="007F2798">
        <w:rPr>
          <w:rStyle w:val="ECHRPara"/>
        </w:rPr>
        <w:t>.  Следователно е налице нарушение на тази разпоредба.</w:t>
      </w:r>
    </w:p>
    <w:p w:rsidR="004D5587" w:rsidRPr="007F2798" w:rsidRDefault="004D5587" w:rsidP="004D5587">
      <w:pPr>
        <w:pStyle w:val="ECHRHeading1"/>
      </w:pPr>
      <w:r w:rsidRPr="007F2798">
        <w:rPr>
          <w:rStyle w:val="ECHRHeading1"/>
        </w:rPr>
        <w:t>II.  ПРИЛ</w:t>
      </w:r>
      <w:r w:rsidR="007405E3" w:rsidRPr="007F2798">
        <w:rPr>
          <w:rStyle w:val="ECHRHeading1"/>
        </w:rPr>
        <w:t>ОЖЕНИЕ</w:t>
      </w:r>
      <w:r w:rsidRPr="007F2798">
        <w:rPr>
          <w:rStyle w:val="ECHRHeading1"/>
        </w:rPr>
        <w:t xml:space="preserve"> НА ЧЛЕН 41 ОТ КОНВЕНЦИЯТА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36</w:t>
      </w:r>
      <w:r w:rsidRPr="007F2798">
        <w:fldChar w:fldCharType="end"/>
      </w:r>
      <w:r w:rsidRPr="007F2798">
        <w:rPr>
          <w:rStyle w:val="ECHRPara"/>
        </w:rPr>
        <w:t>.  Чл. 41 от Конвенцията гласи:</w:t>
      </w:r>
    </w:p>
    <w:p w:rsidR="004D5587" w:rsidRPr="007F2798" w:rsidRDefault="004D5587" w:rsidP="004D5587">
      <w:pPr>
        <w:pStyle w:val="ECHRParaQuote"/>
        <w:keepNext/>
        <w:keepLines/>
      </w:pPr>
      <w:r w:rsidRPr="007F2798">
        <w:rPr>
          <w:rStyle w:val="ECHRParaQuote"/>
          <w:cs/>
        </w:rPr>
        <w:t>“</w:t>
      </w:r>
      <w:r w:rsidRPr="007F2798">
        <w:rPr>
          <w:rStyle w:val="ECHRParaQuote"/>
        </w:rPr>
        <w:t>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</w:t>
      </w:r>
      <w:r w:rsidRPr="007F2798">
        <w:rPr>
          <w:rStyle w:val="ECHRParaQuote"/>
          <w:cs/>
        </w:rPr>
        <w:t>”</w:t>
      </w:r>
    </w:p>
    <w:p w:rsidR="004D5587" w:rsidRPr="007F2798" w:rsidRDefault="004D5587" w:rsidP="004D5587">
      <w:pPr>
        <w:pStyle w:val="ECHRHeading2"/>
      </w:pPr>
      <w:r w:rsidRPr="007F2798">
        <w:rPr>
          <w:rStyle w:val="ECHRHeading2"/>
        </w:rPr>
        <w:t>А. Обезщетение за вреди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37</w:t>
      </w:r>
      <w:r w:rsidRPr="007F2798">
        <w:fldChar w:fldCharType="end"/>
      </w:r>
      <w:r w:rsidRPr="007F2798">
        <w:rPr>
          <w:rStyle w:val="ECHRPara"/>
        </w:rPr>
        <w:t xml:space="preserve">.  Жалбоподателят претендира 10 000 евро </w:t>
      </w:r>
      <w:r w:rsidR="00890335">
        <w:rPr>
          <w:rStyle w:val="ECHRPara"/>
        </w:rPr>
        <w:t>за претърпени</w:t>
      </w:r>
      <w:r w:rsidRPr="007F2798">
        <w:rPr>
          <w:rStyle w:val="ECHRPara"/>
        </w:rPr>
        <w:t xml:space="preserve"> неимуществени вреди.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38</w:t>
      </w:r>
      <w:r w:rsidRPr="007F2798">
        <w:fldChar w:fldCharType="end"/>
      </w:r>
      <w:r w:rsidRPr="007F2798">
        <w:rPr>
          <w:rStyle w:val="ECHRPara"/>
        </w:rPr>
        <w:t>.  Правителството оспорва претенцията.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39</w:t>
      </w:r>
      <w:r w:rsidRPr="007F2798">
        <w:fldChar w:fldCharType="end"/>
      </w:r>
      <w:r w:rsidRPr="007F2798">
        <w:rPr>
          <w:rStyle w:val="ECHRPara"/>
        </w:rPr>
        <w:t xml:space="preserve">.  Съдът </w:t>
      </w:r>
      <w:r w:rsidR="007405E3" w:rsidRPr="007F2798">
        <w:rPr>
          <w:rStyle w:val="ECHRPara"/>
        </w:rPr>
        <w:t>намира</w:t>
      </w:r>
      <w:r w:rsidRPr="007F2798">
        <w:rPr>
          <w:rStyle w:val="ECHRPara"/>
        </w:rPr>
        <w:t xml:space="preserve">, че жалбоподателят </w:t>
      </w:r>
      <w:r w:rsidR="007405E3" w:rsidRPr="007F2798">
        <w:rPr>
          <w:rStyle w:val="ECHRPara"/>
        </w:rPr>
        <w:t>несъмнено</w:t>
      </w:r>
      <w:r w:rsidRPr="007F2798">
        <w:rPr>
          <w:rStyle w:val="ECHRPara"/>
        </w:rPr>
        <w:t xml:space="preserve"> е претърпял страдание и тревога в резултат на нарушението на правото му на справедлив процес, констатирано в настоящия случай. Отсъждайки по справедливост, той му присъжда 2 400 евро по тази позиция.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40</w:t>
      </w:r>
      <w:r w:rsidRPr="007F2798">
        <w:fldChar w:fldCharType="end"/>
      </w:r>
      <w:r w:rsidRPr="007F2798">
        <w:rPr>
          <w:rStyle w:val="ECHRPara"/>
        </w:rPr>
        <w:t xml:space="preserve">.  Освен това трябва да се посочи, че решение, в което Съдът констатира нарушение на Конвенцията или на протоколите към нея, налага на държавата-ответник правно задължение не само да заплати съответните суми, присъдени като справедливо обезщетение, но също така и да избере под надзора на Комитета на министрите общите и/или, ако е уместно, индивидуални мерки, които да бъдат приети в рамките на националното законодателство, за да се сложи край на нарушението и за да се </w:t>
      </w:r>
      <w:r w:rsidR="00890335">
        <w:rPr>
          <w:rStyle w:val="ECHRPara"/>
        </w:rPr>
        <w:t>поправят</w:t>
      </w:r>
      <w:r w:rsidRPr="007F2798">
        <w:rPr>
          <w:rStyle w:val="ECHRPara"/>
        </w:rPr>
        <w:t xml:space="preserve">, доколкото е възможно, неговите </w:t>
      </w:r>
      <w:r w:rsidR="00890335">
        <w:rPr>
          <w:rStyle w:val="ECHRPara"/>
        </w:rPr>
        <w:t>последици</w:t>
      </w:r>
      <w:r w:rsidRPr="007F2798">
        <w:rPr>
          <w:rStyle w:val="ECHRPara"/>
        </w:rPr>
        <w:t xml:space="preserve">. Най-подходящата индивидуална мярка в случаите, когато националните съдилища не са разгледали ключов довод на жалбоподателя в нарушение на чл. 6 § 1 от Конвенцията, по правило е своевременно възобновяване на производството и повторно разглеждане на делото в съответствие с всички изисквания </w:t>
      </w:r>
      <w:r w:rsidR="007405E3" w:rsidRPr="007F2798">
        <w:rPr>
          <w:rStyle w:val="ECHRPara"/>
        </w:rPr>
        <w:t xml:space="preserve">за </w:t>
      </w:r>
      <w:r w:rsidRPr="007F2798">
        <w:rPr>
          <w:rStyle w:val="ECHRPara"/>
        </w:rPr>
        <w:t xml:space="preserve">справедлив процес (вж., наред с други, </w:t>
      </w:r>
      <w:r w:rsidRPr="007F2798">
        <w:rPr>
          <w:rStyle w:val="ECHRPara"/>
          <w:i/>
        </w:rPr>
        <w:t>Янакиев срещу България</w:t>
      </w:r>
      <w:r w:rsidRPr="007F2798">
        <w:rPr>
          <w:rStyle w:val="ECHRPara"/>
        </w:rPr>
        <w:t xml:space="preserve">, </w:t>
      </w:r>
      <w:r w:rsidRPr="007F2798">
        <w:rPr>
          <w:rStyle w:val="ECHRPara"/>
          <w:cs/>
        </w:rPr>
        <w:t xml:space="preserve">№ </w:t>
      </w:r>
      <w:r w:rsidRPr="007F2798">
        <w:rPr>
          <w:rStyle w:val="ECHRPara"/>
        </w:rPr>
        <w:t>40476/98, § 90, 10 август 2006 г.). Съдът отбелязва в</w:t>
      </w:r>
      <w:r w:rsidR="007405E3" w:rsidRPr="007F2798">
        <w:rPr>
          <w:rStyle w:val="ECHRPara"/>
        </w:rPr>
        <w:t xml:space="preserve"> тази </w:t>
      </w:r>
      <w:r w:rsidRPr="007F2798">
        <w:rPr>
          <w:rStyle w:val="ECHRPara"/>
        </w:rPr>
        <w:t>връзка правомощията на главния прокурор да поиска възобновяване на производството след решение на този Съд (вж. параграф 18 по-горе).</w:t>
      </w:r>
    </w:p>
    <w:p w:rsidR="004D5587" w:rsidRPr="007F2798" w:rsidRDefault="004D5587" w:rsidP="004D5587">
      <w:pPr>
        <w:pStyle w:val="ECHRHeading2"/>
      </w:pPr>
      <w:r w:rsidRPr="007F2798">
        <w:rPr>
          <w:rStyle w:val="ECHRHeading2"/>
        </w:rPr>
        <w:t>Б. Разходи и разноски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41</w:t>
      </w:r>
      <w:r w:rsidRPr="007F2798">
        <w:fldChar w:fldCharType="end"/>
      </w:r>
      <w:r w:rsidRPr="007F2798">
        <w:rPr>
          <w:rStyle w:val="ECHRPara"/>
        </w:rPr>
        <w:t>.  Жалбоподателят претендира 3 000 евро за процесуално представителство пред Съда и представя в подкрепа на това график за изработени часове. Той моли всяка присъдена по тази позиция сума да бъде прехвърлена директно по банковата сметка на неговия адвокат г-н В. Стоянов.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42</w:t>
      </w:r>
      <w:r w:rsidRPr="007F2798">
        <w:fldChar w:fldCharType="end"/>
      </w:r>
      <w:r w:rsidRPr="007F2798">
        <w:rPr>
          <w:rStyle w:val="ECHRPara"/>
        </w:rPr>
        <w:t>.  Правителството оспорва претенцията.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43</w:t>
      </w:r>
      <w:r w:rsidRPr="007F2798">
        <w:fldChar w:fldCharType="end"/>
      </w:r>
      <w:r w:rsidRPr="007F2798">
        <w:rPr>
          <w:rStyle w:val="ECHRPara"/>
        </w:rPr>
        <w:t>.  С</w:t>
      </w:r>
      <w:r w:rsidR="007405E3" w:rsidRPr="007F2798">
        <w:rPr>
          <w:rStyle w:val="ECHRPara"/>
        </w:rPr>
        <w:t>ъгласно</w:t>
      </w:r>
      <w:r w:rsidRPr="007F2798">
        <w:rPr>
          <w:rStyle w:val="ECHRPara"/>
        </w:rPr>
        <w:t xml:space="preserve"> практиката на Съда жалбоподател има право на възстановяване на разходи и разноски само доколкото е доказано, че те са действително и необходимо направени и са в разумен размер. </w:t>
      </w:r>
      <w:r w:rsidR="007405E3" w:rsidRPr="007F2798">
        <w:rPr>
          <w:rStyle w:val="ECHRPara"/>
        </w:rPr>
        <w:t xml:space="preserve">По </w:t>
      </w:r>
      <w:r w:rsidRPr="007F2798">
        <w:rPr>
          <w:rStyle w:val="ECHRPara"/>
        </w:rPr>
        <w:t>настоящото дело, като има</w:t>
      </w:r>
      <w:r w:rsidR="001274C5">
        <w:rPr>
          <w:rStyle w:val="ECHRPara"/>
        </w:rPr>
        <w:t>т</w:t>
      </w:r>
      <w:r w:rsidRPr="007F2798">
        <w:rPr>
          <w:rStyle w:val="ECHRPara"/>
        </w:rPr>
        <w:t xml:space="preserve"> предвид наличните документи и горепосочените критерии, Съдът счита за разумно да присъди сумата от 1 000 евро за процесуалното представителство на жалбоподателя пред него. По искане на жалбоподателя, тази сума </w:t>
      </w:r>
      <w:r w:rsidR="007405E3" w:rsidRPr="007F2798">
        <w:rPr>
          <w:rStyle w:val="ECHRPara"/>
        </w:rPr>
        <w:t xml:space="preserve">следва </w:t>
      </w:r>
      <w:r w:rsidRPr="007F2798">
        <w:rPr>
          <w:rStyle w:val="ECHRPara"/>
        </w:rPr>
        <w:t xml:space="preserve">да се </w:t>
      </w:r>
      <w:r w:rsidR="001274C5" w:rsidRPr="007F2798">
        <w:rPr>
          <w:rStyle w:val="ECHRPara"/>
        </w:rPr>
        <w:t>пре</w:t>
      </w:r>
      <w:r w:rsidR="001274C5">
        <w:rPr>
          <w:rStyle w:val="ECHRPara"/>
        </w:rPr>
        <w:t>веде</w:t>
      </w:r>
      <w:r w:rsidR="001274C5" w:rsidRPr="007F2798">
        <w:rPr>
          <w:rStyle w:val="ECHRPara"/>
        </w:rPr>
        <w:t xml:space="preserve"> </w:t>
      </w:r>
      <w:r w:rsidRPr="007F2798">
        <w:rPr>
          <w:rStyle w:val="ECHRPara"/>
        </w:rPr>
        <w:t>директно по банковата сметка на неговия представител.</w:t>
      </w:r>
    </w:p>
    <w:p w:rsidR="004D5587" w:rsidRPr="007F2798" w:rsidRDefault="004D5587" w:rsidP="004D5587">
      <w:pPr>
        <w:pStyle w:val="ECHRHeading2"/>
      </w:pPr>
      <w:r w:rsidRPr="007F2798">
        <w:rPr>
          <w:rStyle w:val="ECHRHeading2"/>
        </w:rPr>
        <w:t>В. Лихва за забава</w:t>
      </w:r>
    </w:p>
    <w:p w:rsidR="004D5587" w:rsidRPr="007F2798" w:rsidRDefault="004D5587" w:rsidP="004D5587">
      <w:pPr>
        <w:pStyle w:val="ECHRPara"/>
      </w:pPr>
      <w:r w:rsidRPr="007F2798">
        <w:fldChar w:fldCharType="begin"/>
      </w:r>
      <w:r w:rsidRPr="007F2798">
        <w:rPr>
          <w:rStyle w:val="ECHRPara"/>
        </w:rPr>
        <w:instrText xml:space="preserve"> SEQ level0 \*arabic </w:instrText>
      </w:r>
      <w:r w:rsidRPr="007F2798">
        <w:fldChar w:fldCharType="separate"/>
      </w:r>
      <w:r w:rsidRPr="007F2798">
        <w:rPr>
          <w:rStyle w:val="ECHRPara"/>
        </w:rPr>
        <w:t>44</w:t>
      </w:r>
      <w:r w:rsidRPr="007F2798">
        <w:fldChar w:fldCharType="end"/>
      </w:r>
      <w:r w:rsidRPr="007F2798">
        <w:rPr>
          <w:rStyle w:val="ECHRPara"/>
        </w:rPr>
        <w:t>.  Съдът смята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4D5587" w:rsidRPr="007F2798" w:rsidRDefault="004D5587" w:rsidP="004D5587">
      <w:pPr>
        <w:pStyle w:val="ECHRTitle1"/>
      </w:pPr>
      <w:r w:rsidRPr="007F2798">
        <w:rPr>
          <w:rStyle w:val="ECHRTitle1"/>
        </w:rPr>
        <w:t>ПО ТЕЗИ СЪОБРАЖЕНИЯ СЪДЪТ ЕДИНОДУШНО</w:t>
      </w:r>
    </w:p>
    <w:p w:rsidR="004D5587" w:rsidRPr="007F2798" w:rsidRDefault="004D5587" w:rsidP="004D5587">
      <w:pPr>
        <w:pStyle w:val="JuList"/>
      </w:pPr>
      <w:r w:rsidRPr="007F2798">
        <w:rPr>
          <w:rStyle w:val="JuList"/>
        </w:rPr>
        <w:t>1.  </w:t>
      </w:r>
      <w:r w:rsidRPr="007F2798">
        <w:rPr>
          <w:rStyle w:val="JuList"/>
          <w:i/>
        </w:rPr>
        <w:t>Обявява</w:t>
      </w:r>
      <w:r w:rsidRPr="007F2798">
        <w:rPr>
          <w:rStyle w:val="JuList"/>
        </w:rPr>
        <w:t xml:space="preserve"> жалбата за допустима;</w:t>
      </w:r>
    </w:p>
    <w:p w:rsidR="004D5587" w:rsidRPr="007F2798" w:rsidRDefault="004D5587" w:rsidP="004D5587">
      <w:pPr>
        <w:pStyle w:val="JuList"/>
        <w:ind w:left="0" w:firstLine="0"/>
      </w:pPr>
    </w:p>
    <w:p w:rsidR="004D5587" w:rsidRPr="007F2798" w:rsidRDefault="004D5587" w:rsidP="004D5587">
      <w:pPr>
        <w:pStyle w:val="JuList"/>
      </w:pPr>
      <w:r w:rsidRPr="007F2798">
        <w:rPr>
          <w:rStyle w:val="JuList"/>
        </w:rPr>
        <w:t>2.  </w:t>
      </w:r>
      <w:r w:rsidRPr="007F2798">
        <w:rPr>
          <w:rStyle w:val="JuList"/>
          <w:i/>
        </w:rPr>
        <w:t>Приема</w:t>
      </w:r>
      <w:r w:rsidRPr="007F2798">
        <w:rPr>
          <w:rStyle w:val="JuList"/>
        </w:rPr>
        <w:t>, че е налице нарушение на чл. 6 § 1 от Конвенцията;</w:t>
      </w:r>
    </w:p>
    <w:p w:rsidR="004D5587" w:rsidRPr="007F2798" w:rsidRDefault="004D5587" w:rsidP="004D5587">
      <w:pPr>
        <w:pStyle w:val="JuList"/>
      </w:pPr>
    </w:p>
    <w:p w:rsidR="004D5587" w:rsidRPr="007F2798" w:rsidRDefault="004D5587" w:rsidP="004D5587">
      <w:pPr>
        <w:pStyle w:val="JuList"/>
      </w:pPr>
      <w:r w:rsidRPr="007F2798">
        <w:rPr>
          <w:rStyle w:val="JuList"/>
        </w:rPr>
        <w:t>3.  </w:t>
      </w:r>
      <w:r w:rsidRPr="007F2798">
        <w:rPr>
          <w:rStyle w:val="JuList"/>
          <w:i/>
        </w:rPr>
        <w:t>Приема,</w:t>
      </w:r>
    </w:p>
    <w:p w:rsidR="004D5587" w:rsidRPr="007F2798" w:rsidRDefault="004D5587" w:rsidP="004D5587">
      <w:pPr>
        <w:pStyle w:val="JuLista"/>
      </w:pPr>
      <w:r w:rsidRPr="007F2798">
        <w:rPr>
          <w:rStyle w:val="JuLista"/>
        </w:rPr>
        <w:t xml:space="preserve">(а) че държавата-ответник </w:t>
      </w:r>
      <w:r w:rsidR="007405E3" w:rsidRPr="007F2798">
        <w:rPr>
          <w:rStyle w:val="JuLista"/>
        </w:rPr>
        <w:t xml:space="preserve">следва </w:t>
      </w:r>
      <w:r w:rsidRPr="007F2798">
        <w:rPr>
          <w:rStyle w:val="JuLista"/>
        </w:rPr>
        <w:t xml:space="preserve">да заплати на жалбоподателя в срок от три месеца от датата, на която решението стане окончателно в съответствие с чл. 44 § 2 от Конвенцията, следните суми, които се </w:t>
      </w:r>
      <w:r w:rsidR="007405E3" w:rsidRPr="007F2798">
        <w:rPr>
          <w:rStyle w:val="JuLista"/>
        </w:rPr>
        <w:t xml:space="preserve">конвертират </w:t>
      </w:r>
      <w:r w:rsidRPr="007F2798">
        <w:rPr>
          <w:rStyle w:val="JuLista"/>
        </w:rPr>
        <w:t>в български лева по курса</w:t>
      </w:r>
      <w:r w:rsidR="007405E3" w:rsidRPr="007F2798">
        <w:rPr>
          <w:rStyle w:val="JuLista"/>
        </w:rPr>
        <w:t>, валиден</w:t>
      </w:r>
      <w:r w:rsidRPr="007F2798">
        <w:rPr>
          <w:rStyle w:val="JuLista"/>
        </w:rPr>
        <w:t xml:space="preserve"> към датата на плащането:</w:t>
      </w:r>
    </w:p>
    <w:p w:rsidR="004D5587" w:rsidRPr="007F2798" w:rsidRDefault="004D5587" w:rsidP="004D5587">
      <w:pPr>
        <w:pStyle w:val="JuListi"/>
      </w:pPr>
      <w:r w:rsidRPr="007F2798">
        <w:rPr>
          <w:rStyle w:val="JuListi"/>
        </w:rPr>
        <w:t>(i) 2 400 евро (две хиляди и четиристотин евро), плюс всякакви данъци, които биха могли да се начислят, по отношение на неимуществени вреди;</w:t>
      </w:r>
    </w:p>
    <w:p w:rsidR="004D5587" w:rsidRPr="007F2798" w:rsidRDefault="004D5587" w:rsidP="004D5587">
      <w:pPr>
        <w:pStyle w:val="JuListi"/>
      </w:pPr>
      <w:r w:rsidRPr="007F2798">
        <w:rPr>
          <w:rStyle w:val="JuListi"/>
        </w:rPr>
        <w:t>(ii) 1 000 (хиляда евро), плюс всякакви данъци, които биха могли да се начислят на жалбоподателя, по отношение на разходи и разноски, които трябва да бъдат изплатени директно на процесуалния представител на жалбоподателя;</w:t>
      </w:r>
    </w:p>
    <w:p w:rsidR="004D5587" w:rsidRPr="007F2798" w:rsidRDefault="004D5587" w:rsidP="004D5587">
      <w:pPr>
        <w:pStyle w:val="JuLista"/>
      </w:pPr>
      <w:r w:rsidRPr="007F2798">
        <w:rPr>
          <w:rStyle w:val="JuLista"/>
        </w:rPr>
        <w:t xml:space="preserve">(б) че от изтичането на </w:t>
      </w:r>
      <w:r w:rsidR="009B6046" w:rsidRPr="007F2798">
        <w:rPr>
          <w:rStyle w:val="JuLista"/>
        </w:rPr>
        <w:t>горес</w:t>
      </w:r>
      <w:r w:rsidRPr="007F2798">
        <w:rPr>
          <w:rStyle w:val="JuLista"/>
        </w:rPr>
        <w:t xml:space="preserve">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9B6046" w:rsidRPr="007F2798">
        <w:rPr>
          <w:rStyle w:val="JuLista"/>
        </w:rPr>
        <w:t>за</w:t>
      </w:r>
      <w:r w:rsidRPr="007F2798">
        <w:rPr>
          <w:rStyle w:val="JuLista"/>
        </w:rPr>
        <w:t xml:space="preserve"> </w:t>
      </w:r>
      <w:r w:rsidR="009B6046" w:rsidRPr="007F2798">
        <w:rPr>
          <w:rStyle w:val="JuLista"/>
        </w:rPr>
        <w:t xml:space="preserve">срока </w:t>
      </w:r>
      <w:r w:rsidRPr="007F2798">
        <w:rPr>
          <w:rStyle w:val="JuLista"/>
        </w:rPr>
        <w:t>на забава, към която се добавят три процентни пункта;</w:t>
      </w:r>
    </w:p>
    <w:p w:rsidR="004D5587" w:rsidRPr="007F2798" w:rsidRDefault="004D5587" w:rsidP="004D5587">
      <w:pPr>
        <w:pStyle w:val="JuList"/>
      </w:pPr>
    </w:p>
    <w:p w:rsidR="004D5587" w:rsidRPr="007F2798" w:rsidRDefault="004D5587" w:rsidP="004D5587">
      <w:pPr>
        <w:pStyle w:val="JuList"/>
      </w:pPr>
      <w:r w:rsidRPr="007F2798">
        <w:rPr>
          <w:rStyle w:val="JuList"/>
        </w:rPr>
        <w:t>4.  </w:t>
      </w:r>
      <w:r w:rsidRPr="007F2798">
        <w:rPr>
          <w:rStyle w:val="JuList"/>
          <w:i/>
        </w:rPr>
        <w:t>Отхвърля</w:t>
      </w:r>
      <w:r w:rsidRPr="007F2798">
        <w:rPr>
          <w:rStyle w:val="JuList"/>
        </w:rPr>
        <w:t xml:space="preserve"> останалата част от претенцията на жалбоподателя за справедливо обезщетение.</w:t>
      </w:r>
    </w:p>
    <w:p w:rsidR="004D5587" w:rsidRPr="007F2798" w:rsidRDefault="004D5587" w:rsidP="004D5587">
      <w:pPr>
        <w:pStyle w:val="JuParaLast"/>
      </w:pPr>
      <w:r w:rsidRPr="007F2798">
        <w:rPr>
          <w:rStyle w:val="JuParaLast"/>
        </w:rPr>
        <w:t>Изготвено на английски език и оповестено писмено на 13 юли 2017 г., в съответствие с Правило 77 §§ 2 и 3 от Правилника на Съда.</w:t>
      </w:r>
    </w:p>
    <w:p w:rsidR="004D5587" w:rsidRPr="00365622" w:rsidRDefault="004D5587" w:rsidP="004D5587">
      <w:pPr>
        <w:pStyle w:val="JuSigned"/>
        <w:suppressLineNumbers/>
      </w:pPr>
      <w:r w:rsidRPr="007F2798">
        <w:rPr>
          <w:rStyle w:val="JuSigned"/>
        </w:rPr>
        <w:tab/>
        <w:t xml:space="preserve">Милан Блашко </w:t>
      </w:r>
      <w:r w:rsidRPr="007F2798">
        <w:rPr>
          <w:rStyle w:val="JuSigned"/>
        </w:rPr>
        <w:tab/>
        <w:t xml:space="preserve">Ангелика Нусбергер </w:t>
      </w:r>
      <w:r w:rsidRPr="007F2798">
        <w:br/>
      </w:r>
      <w:r w:rsidRPr="007F2798">
        <w:rPr>
          <w:rStyle w:val="JuSigned"/>
        </w:rPr>
        <w:tab/>
      </w:r>
      <w:r w:rsidR="009B6046" w:rsidRPr="007F2798">
        <w:rPr>
          <w:rStyle w:val="JuSigned"/>
        </w:rPr>
        <w:t>з</w:t>
      </w:r>
      <w:r w:rsidRPr="007F2798">
        <w:rPr>
          <w:rStyle w:val="JuSigned"/>
        </w:rPr>
        <w:t>аместник-секретар</w:t>
      </w:r>
      <w:r w:rsidRPr="007F2798">
        <w:rPr>
          <w:rStyle w:val="JuSigned"/>
        </w:rPr>
        <w:tab/>
      </w:r>
      <w:r w:rsidR="009B6046" w:rsidRPr="007F2798">
        <w:rPr>
          <w:rStyle w:val="JuSigned"/>
        </w:rPr>
        <w:t>п</w:t>
      </w:r>
      <w:r w:rsidRPr="007F2798">
        <w:rPr>
          <w:rStyle w:val="JuSigned"/>
        </w:rPr>
        <w:t>редседател</w:t>
      </w:r>
    </w:p>
    <w:sectPr w:rsidR="004D5587" w:rsidRPr="00365622" w:rsidSect="004D5587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1D" w:rsidRPr="00E4133A" w:rsidRDefault="001D701D" w:rsidP="004D5587">
      <w:r>
        <w:separator/>
      </w:r>
    </w:p>
  </w:endnote>
  <w:endnote w:type="continuationSeparator" w:id="0">
    <w:p w:rsidR="001D701D" w:rsidRPr="00E4133A" w:rsidRDefault="001D701D" w:rsidP="004D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ED" w:rsidRDefault="00435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ED" w:rsidRDefault="00435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87" w:rsidRPr="00150BFA" w:rsidRDefault="00DA1567" w:rsidP="004D5587">
    <w:pPr>
      <w:jc w:val="center"/>
    </w:pPr>
    <w:r>
      <w:rPr>
        <w:noProof/>
        <w:lang w:val="en-US" w:eastAsia="en-US"/>
      </w:rPr>
      <w:drawing>
        <wp:inline distT="0" distB="0" distL="0" distR="0">
          <wp:extent cx="771525" cy="619125"/>
          <wp:effectExtent l="0" t="0" r="0" b="0"/>
          <wp:docPr id="2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5587" w:rsidRDefault="004D5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1D" w:rsidRPr="00E4133A" w:rsidRDefault="001D701D" w:rsidP="004D5587">
      <w:r>
        <w:separator/>
      </w:r>
    </w:p>
  </w:footnote>
  <w:footnote w:type="continuationSeparator" w:id="0">
    <w:p w:rsidR="001D701D" w:rsidRPr="00E4133A" w:rsidRDefault="001D701D" w:rsidP="004D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ED" w:rsidRDefault="0043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87" w:rsidRPr="00E4133A" w:rsidRDefault="004D5587" w:rsidP="004D5587">
    <w:pPr>
      <w:pStyle w:val="ECHR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87" w:rsidRPr="00A45145" w:rsidRDefault="00DA1567" w:rsidP="004D5587">
    <w:pPr>
      <w:jc w:val="center"/>
    </w:pPr>
    <w:r>
      <w:rPr>
        <w:noProof/>
        <w:lang w:val="en-US" w:eastAsia="en-US"/>
      </w:rPr>
      <w:drawing>
        <wp:inline distT="0" distB="0" distL="0" distR="0">
          <wp:extent cx="2962275" cy="1219200"/>
          <wp:effectExtent l="0" t="0" r="0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5587" w:rsidRDefault="004D55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87" w:rsidRPr="00E4133A" w:rsidRDefault="004D5587" w:rsidP="004D5587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53ED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ECHRHeader"/>
      </w:rPr>
      <w:tab/>
    </w:r>
    <w:r>
      <w:rPr>
        <w:rStyle w:val="ECHRHeader"/>
      </w:rPr>
      <w:t>РЕШЕНИЕ НИКОЛАЙ ГЕНОВ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87" w:rsidRPr="00E4133A" w:rsidRDefault="004D5587" w:rsidP="004D5587">
    <w:pPr>
      <w:pStyle w:val="ECHRHeader"/>
    </w:pPr>
    <w:r>
      <w:rPr>
        <w:rStyle w:val="ECHRHeader"/>
      </w:rPr>
      <w:tab/>
    </w:r>
    <w:r>
      <w:rPr>
        <w:rStyle w:val="ECHRHeader"/>
      </w:rPr>
      <w:t>РЕШЕНИЕ НИКОЛАЙ ГЕНОВ СРЕЩУ БЪЛГАРИЯ</w:t>
    </w:r>
    <w:r>
      <w:rPr>
        <w:rStyle w:val="ECHRHead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53ED">
      <w:rPr>
        <w:rStyle w:val="PageNumber"/>
        <w:noProof/>
      </w:rPr>
      <w:t>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6C2A44"/>
    <w:rsid w:val="0003468B"/>
    <w:rsid w:val="00037885"/>
    <w:rsid w:val="0004164A"/>
    <w:rsid w:val="0005326E"/>
    <w:rsid w:val="00055AEE"/>
    <w:rsid w:val="00062B47"/>
    <w:rsid w:val="000B5AB6"/>
    <w:rsid w:val="000D521E"/>
    <w:rsid w:val="000D5625"/>
    <w:rsid w:val="000E0DEA"/>
    <w:rsid w:val="000F2999"/>
    <w:rsid w:val="00120CC2"/>
    <w:rsid w:val="001274C5"/>
    <w:rsid w:val="001820EE"/>
    <w:rsid w:val="001D0A21"/>
    <w:rsid w:val="001D701D"/>
    <w:rsid w:val="001F0942"/>
    <w:rsid w:val="001F2200"/>
    <w:rsid w:val="00243651"/>
    <w:rsid w:val="00270B18"/>
    <w:rsid w:val="00303BAF"/>
    <w:rsid w:val="00347816"/>
    <w:rsid w:val="003502CE"/>
    <w:rsid w:val="003743E4"/>
    <w:rsid w:val="00380783"/>
    <w:rsid w:val="003924DF"/>
    <w:rsid w:val="0040138E"/>
    <w:rsid w:val="004353ED"/>
    <w:rsid w:val="004512AD"/>
    <w:rsid w:val="00456C5F"/>
    <w:rsid w:val="004754C9"/>
    <w:rsid w:val="004D5587"/>
    <w:rsid w:val="005115AB"/>
    <w:rsid w:val="00515649"/>
    <w:rsid w:val="00570C23"/>
    <w:rsid w:val="00590490"/>
    <w:rsid w:val="00591F6C"/>
    <w:rsid w:val="005C3B94"/>
    <w:rsid w:val="005D7A61"/>
    <w:rsid w:val="006713C1"/>
    <w:rsid w:val="006A1E20"/>
    <w:rsid w:val="006A32E4"/>
    <w:rsid w:val="006F7A8C"/>
    <w:rsid w:val="00737B0D"/>
    <w:rsid w:val="007405E3"/>
    <w:rsid w:val="00744393"/>
    <w:rsid w:val="007630C4"/>
    <w:rsid w:val="007C1011"/>
    <w:rsid w:val="007C2C90"/>
    <w:rsid w:val="007F2798"/>
    <w:rsid w:val="00817CAB"/>
    <w:rsid w:val="00822D5E"/>
    <w:rsid w:val="00833490"/>
    <w:rsid w:val="00852939"/>
    <w:rsid w:val="00890335"/>
    <w:rsid w:val="008A6F34"/>
    <w:rsid w:val="00907C66"/>
    <w:rsid w:val="00920BA0"/>
    <w:rsid w:val="00945B53"/>
    <w:rsid w:val="0096553A"/>
    <w:rsid w:val="00971353"/>
    <w:rsid w:val="0098153C"/>
    <w:rsid w:val="00990556"/>
    <w:rsid w:val="009A26D0"/>
    <w:rsid w:val="009B6046"/>
    <w:rsid w:val="009C199A"/>
    <w:rsid w:val="00A0045D"/>
    <w:rsid w:val="00A03FAD"/>
    <w:rsid w:val="00A32209"/>
    <w:rsid w:val="00A32D57"/>
    <w:rsid w:val="00A44847"/>
    <w:rsid w:val="00A66616"/>
    <w:rsid w:val="00A71830"/>
    <w:rsid w:val="00A75079"/>
    <w:rsid w:val="00A75B45"/>
    <w:rsid w:val="00A86C0A"/>
    <w:rsid w:val="00A91B2A"/>
    <w:rsid w:val="00AA333B"/>
    <w:rsid w:val="00AC6972"/>
    <w:rsid w:val="00AE3820"/>
    <w:rsid w:val="00AF1B40"/>
    <w:rsid w:val="00B1437C"/>
    <w:rsid w:val="00B5542E"/>
    <w:rsid w:val="00B575DF"/>
    <w:rsid w:val="00B6625D"/>
    <w:rsid w:val="00B77834"/>
    <w:rsid w:val="00B93935"/>
    <w:rsid w:val="00B96012"/>
    <w:rsid w:val="00BA1C94"/>
    <w:rsid w:val="00BA495C"/>
    <w:rsid w:val="00BC07BE"/>
    <w:rsid w:val="00C21A37"/>
    <w:rsid w:val="00C42D8B"/>
    <w:rsid w:val="00C715A7"/>
    <w:rsid w:val="00C86266"/>
    <w:rsid w:val="00CA0454"/>
    <w:rsid w:val="00CE395E"/>
    <w:rsid w:val="00CF39CD"/>
    <w:rsid w:val="00D15173"/>
    <w:rsid w:val="00D37F40"/>
    <w:rsid w:val="00D60557"/>
    <w:rsid w:val="00D71534"/>
    <w:rsid w:val="00D9208B"/>
    <w:rsid w:val="00D952BB"/>
    <w:rsid w:val="00DA1567"/>
    <w:rsid w:val="00DD2DEC"/>
    <w:rsid w:val="00DE44E6"/>
    <w:rsid w:val="00DE7162"/>
    <w:rsid w:val="00E3298A"/>
    <w:rsid w:val="00E550E0"/>
    <w:rsid w:val="00E91F9D"/>
    <w:rsid w:val="00EA6BE4"/>
    <w:rsid w:val="00EB264C"/>
    <w:rsid w:val="00EC51F4"/>
    <w:rsid w:val="00EE5BCF"/>
    <w:rsid w:val="00F20FA9"/>
    <w:rsid w:val="00F309E5"/>
    <w:rsid w:val="00F34054"/>
    <w:rsid w:val="00F958A7"/>
    <w:rsid w:val="00F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F70230"/>
    <w:pPr>
      <w:jc w:val="both"/>
    </w:pPr>
    <w:rPr>
      <w:rFonts w:eastAsia="MS Mincho"/>
      <w:sz w:val="24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0230"/>
    <w:pPr>
      <w:spacing w:before="480"/>
      <w:contextualSpacing/>
      <w:outlineLvl w:val="0"/>
    </w:pPr>
    <w:rPr>
      <w:rFonts w:eastAsia="MS Gothic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0230"/>
    <w:pPr>
      <w:spacing w:before="200"/>
      <w:outlineLvl w:val="1"/>
    </w:pPr>
    <w:rPr>
      <w:rFonts w:eastAsia="MS Gothic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0230"/>
    <w:pPr>
      <w:spacing w:before="200" w:line="271" w:lineRule="auto"/>
      <w:outlineLvl w:val="2"/>
    </w:pPr>
    <w:rPr>
      <w:rFonts w:eastAsia="MS Gothic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0230"/>
    <w:pPr>
      <w:spacing w:before="200"/>
      <w:outlineLvl w:val="3"/>
    </w:pPr>
    <w:rPr>
      <w:rFonts w:eastAsia="MS Gothic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F70230"/>
    <w:pPr>
      <w:spacing w:before="200"/>
      <w:outlineLvl w:val="4"/>
    </w:pPr>
    <w:rPr>
      <w:rFonts w:eastAsia="MS Gothic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F70230"/>
    <w:pPr>
      <w:spacing w:line="271" w:lineRule="auto"/>
      <w:outlineLvl w:val="5"/>
    </w:pPr>
    <w:rPr>
      <w:rFonts w:eastAsia="MS Gothic"/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0230"/>
    <w:pPr>
      <w:outlineLvl w:val="6"/>
    </w:pPr>
    <w:rPr>
      <w:rFonts w:eastAsia="MS Gothic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0230"/>
    <w:pPr>
      <w:outlineLvl w:val="7"/>
    </w:pPr>
    <w:rPr>
      <w:rFonts w:eastAsia="MS Gothic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0230"/>
    <w:pPr>
      <w:outlineLvl w:val="8"/>
    </w:pPr>
    <w:rPr>
      <w:rFonts w:eastAsia="MS Gothic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0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0230"/>
    <w:rPr>
      <w:rFonts w:ascii="Tahoma" w:eastAsia="MS Mincho" w:hAnsi="Tahoma" w:cs="Tahoma"/>
      <w:sz w:val="16"/>
      <w:szCs w:val="16"/>
      <w:lang w:val="bg-BG" w:eastAsia="bg-BG"/>
    </w:rPr>
  </w:style>
  <w:style w:type="character" w:styleId="BookTitle">
    <w:name w:val="Book Title"/>
    <w:uiPriority w:val="99"/>
    <w:semiHidden/>
    <w:qFormat/>
    <w:rsid w:val="00F70230"/>
    <w:rPr>
      <w:i/>
      <w:iCs/>
      <w:smallCaps/>
      <w:spacing w:val="5"/>
      <w:lang w:val="bg-BG" w:eastAsia="bg-BG"/>
    </w:rPr>
  </w:style>
  <w:style w:type="paragraph" w:customStyle="1" w:styleId="ECHRHeader">
    <w:name w:val="ECHR_Header"/>
    <w:aliases w:val="Ju_Header"/>
    <w:basedOn w:val="Header"/>
    <w:uiPriority w:val="4"/>
    <w:qFormat/>
    <w:rsid w:val="00F70230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F70230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F70230"/>
    <w:rPr>
      <w:b/>
      <w:bCs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F70230"/>
    <w:rPr>
      <w:sz w:val="22"/>
    </w:rPr>
  </w:style>
  <w:style w:type="character" w:customStyle="1" w:styleId="NoSpacingChar">
    <w:name w:val="No Spacing Char"/>
    <w:link w:val="NoSpacing"/>
    <w:semiHidden/>
    <w:rsid w:val="00F70230"/>
    <w:rPr>
      <w:rFonts w:eastAsia="MS Mincho"/>
      <w:lang w:val="bg-BG" w:eastAsia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F70230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F70230"/>
  </w:style>
  <w:style w:type="paragraph" w:customStyle="1" w:styleId="DecList">
    <w:name w:val="Dec_List"/>
    <w:basedOn w:val="Normal"/>
    <w:uiPriority w:val="9"/>
    <w:semiHidden/>
    <w:qFormat/>
    <w:rsid w:val="00F70230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F70230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F70230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F70230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F70230"/>
    <w:pPr>
      <w:numPr>
        <w:numId w:val="20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F70230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F70230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F70230"/>
    <w:pPr>
      <w:spacing w:after="240"/>
      <w:jc w:val="center"/>
      <w:outlineLvl w:val="0"/>
    </w:pPr>
  </w:style>
  <w:style w:type="paragraph" w:customStyle="1" w:styleId="JuInitialled">
    <w:name w:val="Ju_Initialled"/>
    <w:basedOn w:val="Normal"/>
    <w:uiPriority w:val="31"/>
    <w:qFormat/>
    <w:rsid w:val="00F70230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F70230"/>
    <w:pPr>
      <w:pBdr>
        <w:bottom w:val="single" w:sz="4" w:space="1" w:color="auto"/>
      </w:pBdr>
      <w:contextualSpacing/>
    </w:pPr>
    <w:rPr>
      <w:rFonts w:eastAsia="MS Gothic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F70230"/>
    <w:rPr>
      <w:rFonts w:ascii="Times New Roman" w:eastAsia="MS Gothic" w:hAnsi="Times New Roman" w:cs="Times New Roman"/>
      <w:spacing w:val="5"/>
      <w:sz w:val="52"/>
      <w:szCs w:val="52"/>
      <w:lang w:val="bg-BG" w:eastAsia="bg-BG"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F70230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F70230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F70230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F70230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000000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F70230"/>
    <w:pPr>
      <w:keepNext/>
      <w:keepLines/>
      <w:spacing w:before="240" w:after="120"/>
      <w:ind w:left="1236"/>
    </w:pPr>
    <w:rPr>
      <w:sz w:val="20"/>
    </w:rPr>
  </w:style>
  <w:style w:type="character" w:customStyle="1" w:styleId="JuITMark">
    <w:name w:val="Ju_ITMark"/>
    <w:uiPriority w:val="38"/>
    <w:qFormat/>
    <w:rsid w:val="00F70230"/>
    <w:rPr>
      <w:color w:val="000000"/>
      <w:sz w:val="14"/>
      <w:bdr w:val="none" w:sz="0" w:space="0" w:color="auto"/>
      <w:lang w:val="bg-BG" w:eastAsia="bg-BG"/>
    </w:rPr>
  </w:style>
  <w:style w:type="character" w:customStyle="1" w:styleId="JUNAMES">
    <w:name w:val="JU_NAMES"/>
    <w:uiPriority w:val="17"/>
    <w:qFormat/>
    <w:rsid w:val="00F70230"/>
    <w:rPr>
      <w:smallCaps/>
      <w:lang w:val="bg-BG" w:eastAsia="bg-BG"/>
    </w:rPr>
  </w:style>
  <w:style w:type="paragraph" w:customStyle="1" w:styleId="JuParaSub">
    <w:name w:val="Ju_Para_Sub"/>
    <w:basedOn w:val="ECHRPara"/>
    <w:uiPriority w:val="13"/>
    <w:qFormat/>
    <w:rsid w:val="00F70230"/>
    <w:pPr>
      <w:ind w:left="284"/>
    </w:pPr>
  </w:style>
  <w:style w:type="paragraph" w:styleId="Header">
    <w:name w:val="header"/>
    <w:basedOn w:val="Normal"/>
    <w:link w:val="HeaderChar"/>
    <w:uiPriority w:val="57"/>
    <w:semiHidden/>
    <w:rsid w:val="00F7023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link w:val="Header"/>
    <w:uiPriority w:val="57"/>
    <w:semiHidden/>
    <w:rsid w:val="00F70230"/>
    <w:rPr>
      <w:sz w:val="24"/>
      <w:lang w:val="bg-BG" w:eastAsia="bg-BG"/>
    </w:rPr>
  </w:style>
  <w:style w:type="character" w:customStyle="1" w:styleId="Heading1Char">
    <w:name w:val="Heading 1 Char"/>
    <w:link w:val="Heading1"/>
    <w:uiPriority w:val="99"/>
    <w:semiHidden/>
    <w:rsid w:val="00F70230"/>
    <w:rPr>
      <w:rFonts w:ascii="Times New Roman" w:eastAsia="MS Gothic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F70230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F70230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Heading2Char">
    <w:name w:val="Heading 2 Char"/>
    <w:link w:val="Heading2"/>
    <w:uiPriority w:val="99"/>
    <w:semiHidden/>
    <w:rsid w:val="00F70230"/>
    <w:rPr>
      <w:rFonts w:ascii="Times New Roman" w:eastAsia="MS Gothic" w:hAnsi="Times New Roman" w:cs="Times New Roman"/>
      <w:b/>
      <w:bCs/>
      <w:color w:val="4D4D4D"/>
      <w:sz w:val="26"/>
      <w:szCs w:val="26"/>
      <w:lang w:val="bg-BG" w:eastAsia="bg-BG"/>
    </w:rPr>
  </w:style>
  <w:style w:type="paragraph" w:customStyle="1" w:styleId="JuQuotSub">
    <w:name w:val="Ju_Quot_Sub"/>
    <w:basedOn w:val="ECHRParaQuote"/>
    <w:uiPriority w:val="15"/>
    <w:qFormat/>
    <w:rsid w:val="00F70230"/>
    <w:pPr>
      <w:ind w:left="567"/>
    </w:pPr>
  </w:style>
  <w:style w:type="paragraph" w:customStyle="1" w:styleId="JuCase">
    <w:name w:val="Ju_Case"/>
    <w:basedOn w:val="Normal"/>
    <w:next w:val="ECHRPara"/>
    <w:uiPriority w:val="10"/>
    <w:rsid w:val="00F70230"/>
    <w:pPr>
      <w:ind w:firstLine="284"/>
    </w:pPr>
    <w:rPr>
      <w:b/>
    </w:rPr>
  </w:style>
  <w:style w:type="character" w:customStyle="1" w:styleId="Heading3Char">
    <w:name w:val="Heading 3 Char"/>
    <w:link w:val="Heading3"/>
    <w:uiPriority w:val="99"/>
    <w:semiHidden/>
    <w:rsid w:val="00F70230"/>
    <w:rPr>
      <w:rFonts w:ascii="Times New Roman" w:eastAsia="MS Gothic" w:hAnsi="Times New Roman" w:cs="Times New Roman"/>
      <w:b/>
      <w:bCs/>
      <w:color w:val="5F5F5F"/>
      <w:sz w:val="24"/>
      <w:lang w:val="bg-BG" w:eastAsia="bg-BG"/>
    </w:rPr>
  </w:style>
  <w:style w:type="character" w:customStyle="1" w:styleId="Heading4Char">
    <w:name w:val="Heading 4 Char"/>
    <w:link w:val="Heading4"/>
    <w:uiPriority w:val="99"/>
    <w:semiHidden/>
    <w:rsid w:val="00F70230"/>
    <w:rPr>
      <w:rFonts w:ascii="Times New Roman" w:eastAsia="MS Gothic" w:hAnsi="Times New Roman" w:cs="Times New Roman"/>
      <w:b/>
      <w:bCs/>
      <w:i/>
      <w:iCs/>
      <w:color w:val="777777"/>
      <w:sz w:val="24"/>
      <w:lang w:val="bg-BG" w:eastAsia="bg-BG"/>
    </w:rPr>
  </w:style>
  <w:style w:type="character" w:customStyle="1" w:styleId="Heading5Char">
    <w:name w:val="Heading 5 Char"/>
    <w:link w:val="Heading5"/>
    <w:uiPriority w:val="99"/>
    <w:semiHidden/>
    <w:rsid w:val="00F70230"/>
    <w:rPr>
      <w:rFonts w:ascii="Times New Roman" w:eastAsia="MS Gothic" w:hAnsi="Times New Roman" w:cs="Times New Roman"/>
      <w:b/>
      <w:bCs/>
      <w:color w:val="808080"/>
      <w:lang w:val="bg-BG" w:eastAsia="bg-BG"/>
    </w:rPr>
  </w:style>
  <w:style w:type="character" w:styleId="SubtleEmphasis">
    <w:name w:val="Subtle Emphasis"/>
    <w:uiPriority w:val="99"/>
    <w:semiHidden/>
    <w:qFormat/>
    <w:rsid w:val="00F70230"/>
    <w:rPr>
      <w:i/>
      <w:iCs/>
      <w:lang w:val="bg-BG" w:eastAsia="bg-BG"/>
    </w:rPr>
  </w:style>
  <w:style w:type="table" w:customStyle="1" w:styleId="ECHRTable">
    <w:name w:val="ECHR_Table"/>
    <w:basedOn w:val="TableNormal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F70230"/>
    <w:pPr>
      <w:keepNext/>
      <w:keepLines/>
      <w:spacing w:before="720" w:after="240"/>
      <w:outlineLvl w:val="0"/>
    </w:pPr>
    <w:rPr>
      <w:sz w:val="28"/>
    </w:rPr>
  </w:style>
  <w:style w:type="character" w:styleId="Emphasis">
    <w:name w:val="Emphasis"/>
    <w:uiPriority w:val="99"/>
    <w:semiHidden/>
    <w:qFormat/>
    <w:rsid w:val="00F70230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Footer">
    <w:name w:val="footer"/>
    <w:basedOn w:val="Normal"/>
    <w:link w:val="FooterChar"/>
    <w:uiPriority w:val="57"/>
    <w:semiHidden/>
    <w:rsid w:val="00F70230"/>
    <w:pPr>
      <w:tabs>
        <w:tab w:val="center" w:pos="4536"/>
        <w:tab w:val="right" w:pos="9696"/>
      </w:tabs>
      <w:ind w:left="-680" w:right="-680"/>
    </w:pPr>
    <w:rPr>
      <w:rFonts w:eastAsia="Times New Roman"/>
    </w:rPr>
  </w:style>
  <w:style w:type="character" w:customStyle="1" w:styleId="FooterChar">
    <w:name w:val="Footer Char"/>
    <w:link w:val="Footer"/>
    <w:uiPriority w:val="57"/>
    <w:semiHidden/>
    <w:rsid w:val="00F70230"/>
    <w:rPr>
      <w:sz w:val="24"/>
      <w:lang w:val="bg-BG" w:eastAsia="bg-BG"/>
    </w:rPr>
  </w:style>
  <w:style w:type="character" w:styleId="FootnoteReference">
    <w:name w:val="footnote reference"/>
    <w:uiPriority w:val="99"/>
    <w:semiHidden/>
    <w:rsid w:val="00F70230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F7023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0230"/>
    <w:rPr>
      <w:rFonts w:eastAsia="MS Mincho"/>
      <w:sz w:val="20"/>
      <w:szCs w:val="20"/>
      <w:lang w:val="bg-BG" w:eastAsia="bg-BG"/>
    </w:rPr>
  </w:style>
  <w:style w:type="character" w:customStyle="1" w:styleId="Heading6Char">
    <w:name w:val="Heading 6 Char"/>
    <w:link w:val="Heading6"/>
    <w:uiPriority w:val="99"/>
    <w:semiHidden/>
    <w:rsid w:val="00F70230"/>
    <w:rPr>
      <w:rFonts w:ascii="Times New Roman" w:eastAsia="MS Gothic" w:hAnsi="Times New Roman" w:cs="Times New Roman"/>
      <w:b/>
      <w:bCs/>
      <w:i/>
      <w:iCs/>
      <w:color w:val="7F7F7F"/>
      <w:sz w:val="24"/>
      <w:lang w:val="bg-BG" w:eastAsia="bg-BG" w:bidi="en-US"/>
    </w:rPr>
  </w:style>
  <w:style w:type="character" w:customStyle="1" w:styleId="Heading7Char">
    <w:name w:val="Heading 7 Char"/>
    <w:link w:val="Heading7"/>
    <w:uiPriority w:val="99"/>
    <w:semiHidden/>
    <w:rsid w:val="00F70230"/>
    <w:rPr>
      <w:rFonts w:ascii="Times New Roman" w:eastAsia="MS Gothic" w:hAnsi="Times New Roman" w:cs="Times New Roman"/>
      <w:i/>
      <w:iCs/>
      <w:lang w:val="bg-BG" w:eastAsia="bg-BG" w:bidi="en-US"/>
    </w:rPr>
  </w:style>
  <w:style w:type="character" w:customStyle="1" w:styleId="Heading8Char">
    <w:name w:val="Heading 8 Char"/>
    <w:link w:val="Heading8"/>
    <w:uiPriority w:val="99"/>
    <w:semiHidden/>
    <w:rsid w:val="00F70230"/>
    <w:rPr>
      <w:rFonts w:ascii="Times New Roman" w:eastAsia="MS Gothic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F70230"/>
    <w:rPr>
      <w:rFonts w:ascii="Times New Roman" w:eastAsia="MS Gothic" w:hAnsi="Times New Roman" w:cs="Times New Roman"/>
      <w:i/>
      <w:iCs/>
      <w:spacing w:val="5"/>
      <w:sz w:val="20"/>
      <w:szCs w:val="20"/>
      <w:lang w:val="bg-BG" w:eastAsia="bg-BG" w:bidi="en-US"/>
    </w:rPr>
  </w:style>
  <w:style w:type="character" w:styleId="Hyperlink">
    <w:name w:val="Hyperlink"/>
    <w:uiPriority w:val="99"/>
    <w:semiHidden/>
    <w:rsid w:val="00F70230"/>
    <w:rPr>
      <w:color w:val="0072BC"/>
      <w:u w:val="single"/>
      <w:lang w:val="bg-BG" w:eastAsia="bg-BG"/>
    </w:rPr>
  </w:style>
  <w:style w:type="character" w:styleId="IntenseEmphasis">
    <w:name w:val="Intense Emphasis"/>
    <w:uiPriority w:val="99"/>
    <w:semiHidden/>
    <w:qFormat/>
    <w:rsid w:val="00F70230"/>
    <w:rPr>
      <w:b/>
      <w:bCs/>
      <w:lang w:val="bg-BG" w:eastAsia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F7023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F70230"/>
    <w:rPr>
      <w:rFonts w:eastAsia="MS Mincho"/>
      <w:b/>
      <w:bCs/>
      <w:i/>
      <w:iCs/>
      <w:lang w:val="bg-BG" w:eastAsia="bg-BG" w:bidi="en-US"/>
    </w:rPr>
  </w:style>
  <w:style w:type="character" w:styleId="IntenseReference">
    <w:name w:val="Intense Reference"/>
    <w:uiPriority w:val="99"/>
    <w:semiHidden/>
    <w:qFormat/>
    <w:rsid w:val="00F70230"/>
    <w:rPr>
      <w:smallCaps/>
      <w:spacing w:val="5"/>
      <w:u w:val="single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F70230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F70230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link w:val="Quote"/>
    <w:uiPriority w:val="99"/>
    <w:semiHidden/>
    <w:rsid w:val="00F70230"/>
    <w:rPr>
      <w:rFonts w:eastAsia="MS Mincho"/>
      <w:i/>
      <w:iCs/>
      <w:lang w:val="bg-BG" w:eastAsia="bg-BG" w:bidi="en-US"/>
    </w:rPr>
  </w:style>
  <w:style w:type="character" w:styleId="SubtleReference">
    <w:name w:val="Subtle Reference"/>
    <w:uiPriority w:val="99"/>
    <w:semiHidden/>
    <w:qFormat/>
    <w:rsid w:val="00F70230"/>
    <w:rPr>
      <w:smallCaps/>
      <w:lang w:val="bg-BG" w:eastAsia="bg-BG"/>
    </w:rPr>
  </w:style>
  <w:style w:type="table" w:styleId="TableGrid">
    <w:name w:val="Table Grid"/>
    <w:basedOn w:val="TableNormal"/>
    <w:uiPriority w:val="59"/>
    <w:semiHidden/>
    <w:rsid w:val="00F7023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F70230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F70230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F70230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F70230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F70230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F70230"/>
    <w:pPr>
      <w:keepNext/>
      <w:keepLines/>
      <w:spacing w:before="240"/>
      <w:contextualSpacing/>
      <w:jc w:val="center"/>
    </w:pPr>
    <w:rPr>
      <w:rFonts w:eastAsia="Times New Roman"/>
      <w:b/>
      <w:color w:val="474747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="MS Mincho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="MS Mincho"/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F70230"/>
    <w:pPr>
      <w:keepNext/>
      <w:keepLines/>
      <w:spacing w:before="240"/>
      <w:contextualSpacing/>
      <w:jc w:val="center"/>
    </w:pPr>
    <w:rPr>
      <w:rFonts w:eastAsia="MS Gothic"/>
      <w:b/>
      <w:bCs/>
      <w:color w:val="474747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F70230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F70230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F70230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F70230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F70230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F70230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F70230"/>
    <w:pPr>
      <w:keepNext/>
      <w:keepLines/>
      <w:spacing w:before="240"/>
      <w:ind w:firstLine="284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F70230"/>
    <w:pPr>
      <w:spacing w:before="720" w:after="240"/>
      <w:jc w:val="center"/>
      <w:outlineLvl w:val="0"/>
    </w:pPr>
    <w:rPr>
      <w:b/>
      <w:caps/>
    </w:rPr>
  </w:style>
  <w:style w:type="character" w:styleId="PageNumber">
    <w:name w:val="page number"/>
    <w:uiPriority w:val="99"/>
    <w:semiHidden/>
    <w:rsid w:val="00014566"/>
    <w:rPr>
      <w:sz w:val="18"/>
      <w:lang w:val="bg-BG" w:eastAsia="bg-BG"/>
    </w:rPr>
  </w:style>
  <w:style w:type="paragraph" w:customStyle="1" w:styleId="JuLista">
    <w:name w:val="Ju_List_a"/>
    <w:basedOn w:val="JuList"/>
    <w:uiPriority w:val="28"/>
    <w:qFormat/>
    <w:rsid w:val="00F70230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F70230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link w:val="CommentText"/>
    <w:semiHidden/>
    <w:rsid w:val="00014566"/>
    <w:rPr>
      <w:rFonts w:eastAsia="MS Mincho"/>
      <w:sz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4566"/>
    <w:rPr>
      <w:rFonts w:eastAsia="MS Mincho"/>
      <w:b/>
      <w:bCs/>
      <w:sz w:val="20"/>
      <w:lang w:val="bg-BG" w:eastAsia="bg-BG"/>
    </w:rPr>
  </w:style>
  <w:style w:type="character" w:styleId="EndnoteReference">
    <w:name w:val="endnote reference"/>
    <w:uiPriority w:val="99"/>
    <w:semiHidden/>
    <w:rsid w:val="00014566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014566"/>
    <w:rPr>
      <w:rFonts w:eastAsia="MS Mincho"/>
      <w:sz w:val="20"/>
      <w:lang w:val="bg-BG" w:eastAsia="bg-BG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014566"/>
    <w:rPr>
      <w:rFonts w:ascii="Tahoma" w:eastAsia="MS Mincho" w:hAnsi="Tahoma" w:cs="Tahoma"/>
      <w:sz w:val="20"/>
      <w:lang w:val="bg-BG" w:eastAsia="bg-BG"/>
    </w:rPr>
  </w:style>
  <w:style w:type="paragraph" w:customStyle="1" w:styleId="OpiH1">
    <w:name w:val="Opi_H_1"/>
    <w:basedOn w:val="ECHRHeading2"/>
    <w:uiPriority w:val="42"/>
    <w:qFormat/>
    <w:rsid w:val="00F70230"/>
    <w:pPr>
      <w:ind w:left="635" w:hanging="357"/>
      <w:outlineLvl w:val="2"/>
    </w:p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F70230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F70230"/>
    <w:pPr>
      <w:spacing w:after="600"/>
    </w:pPr>
    <w:rPr>
      <w:rFonts w:eastAsia="MS Gothic"/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F70230"/>
    <w:rPr>
      <w:rFonts w:ascii="Times New Roman" w:eastAsia="MS Gothic" w:hAnsi="Times New Roman" w:cs="Times New Roman"/>
      <w:i/>
      <w:iCs/>
      <w:spacing w:val="13"/>
      <w:sz w:val="24"/>
      <w:szCs w:val="24"/>
      <w:lang w:val="bg-BG" w:eastAsia="bg-BG"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14566"/>
    <w:rPr>
      <w:rFonts w:eastAsia="MS Mincho"/>
      <w:sz w:val="24"/>
      <w:lang w:val="bg-BG" w:eastAsia="bg-BG"/>
    </w:rPr>
  </w:style>
  <w:style w:type="table" w:styleId="ColorfulGrid">
    <w:name w:val="Colorful Grid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link w:val="Dat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link w:val="E-mailSignatur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eastAsia="MS Gothic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eastAsia="MS Gothic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14566"/>
    <w:rPr>
      <w:rFonts w:eastAsia="MS Mincho"/>
      <w:i/>
      <w:iCs/>
      <w:sz w:val="24"/>
      <w:lang w:val="bg-BG" w:eastAsia="bg-BG"/>
    </w:rPr>
  </w:style>
  <w:style w:type="character" w:styleId="HTMLCite">
    <w:name w:val="HTML Cite"/>
    <w:uiPriority w:val="99"/>
    <w:semiHidden/>
    <w:rsid w:val="00014566"/>
    <w:rPr>
      <w:i/>
      <w:iCs/>
      <w:lang w:val="bg-BG" w:eastAsia="bg-BG"/>
    </w:rPr>
  </w:style>
  <w:style w:type="character" w:styleId="HTMLCode">
    <w:name w:val="HTML Code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rsid w:val="00014566"/>
    <w:rPr>
      <w:i/>
      <w:iCs/>
      <w:lang w:val="bg-BG" w:eastAsia="bg-BG"/>
    </w:rPr>
  </w:style>
  <w:style w:type="character" w:styleId="HTMLKeyboard">
    <w:name w:val="HTML Keyboard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4566"/>
    <w:rPr>
      <w:rFonts w:ascii="Consolas" w:eastAsia="MS Mincho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rsid w:val="00014566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rsid w:val="00014566"/>
    <w:rPr>
      <w:i/>
      <w:iCs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eastAsia="MS Gothic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lang w:val="bg-BG" w:eastAsia="bg-BG"/>
    </w:rPr>
  </w:style>
  <w:style w:type="character" w:customStyle="1" w:styleId="MacroTextChar">
    <w:name w:val="Macro Text Char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14566"/>
    <w:rPr>
      <w:rFonts w:ascii="Times New Roman" w:eastAsia="MS Gothic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014566"/>
    <w:rPr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link w:val="NoteHeading"/>
    <w:uiPriority w:val="99"/>
    <w:semiHidden/>
    <w:rsid w:val="00014566"/>
    <w:rPr>
      <w:rFonts w:eastAsia="MS Mincho"/>
      <w:sz w:val="24"/>
      <w:lang w:val="bg-BG" w:eastAsia="bg-BG"/>
    </w:rPr>
  </w:style>
  <w:style w:type="character" w:styleId="PlaceholderText">
    <w:name w:val="Placeholder Text"/>
    <w:uiPriority w:val="99"/>
    <w:semiHidden/>
    <w:rsid w:val="00F70230"/>
    <w:rPr>
      <w:color w:val="000000"/>
      <w:bdr w:val="none" w:sz="0" w:space="0" w:color="auto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14566"/>
    <w:rPr>
      <w:rFonts w:ascii="Consolas" w:eastAsia="MS Mincho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link w:val="Salutation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14566"/>
    <w:rPr>
      <w:rFonts w:eastAsia="MS Mincho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F70230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F70230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F70230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F70230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F70230"/>
  </w:style>
  <w:style w:type="paragraph" w:customStyle="1" w:styleId="OpiParaSub">
    <w:name w:val="Opi_Para_Sub"/>
    <w:basedOn w:val="JuParaSub"/>
    <w:uiPriority w:val="47"/>
    <w:qFormat/>
    <w:rsid w:val="00F70230"/>
  </w:style>
  <w:style w:type="paragraph" w:customStyle="1" w:styleId="OpiQuot">
    <w:name w:val="Opi_Quot"/>
    <w:basedOn w:val="ECHRParaQuote"/>
    <w:uiPriority w:val="48"/>
    <w:qFormat/>
    <w:rsid w:val="00F70230"/>
  </w:style>
  <w:style w:type="paragraph" w:customStyle="1" w:styleId="OpiQuotSub">
    <w:name w:val="Opi_Quot_Sub"/>
    <w:basedOn w:val="JuQuotSub"/>
    <w:uiPriority w:val="49"/>
    <w:qFormat/>
    <w:rsid w:val="00F70230"/>
  </w:style>
  <w:style w:type="paragraph" w:customStyle="1" w:styleId="OpiTranslation">
    <w:name w:val="Opi_Translation"/>
    <w:basedOn w:val="Normal"/>
    <w:next w:val="OpiPara"/>
    <w:uiPriority w:val="40"/>
    <w:qFormat/>
    <w:rsid w:val="00F70230"/>
    <w:pPr>
      <w:jc w:val="center"/>
      <w:outlineLvl w:val="0"/>
    </w:pPr>
    <w:rPr>
      <w:i/>
    </w:rPr>
  </w:style>
  <w:style w:type="character" w:customStyle="1" w:styleId="CLLItalic">
    <w:name w:val="CLL_Italic"/>
    <w:uiPriority w:val="1"/>
    <w:rsid w:val="007A451B"/>
    <w:rPr>
      <w:i/>
      <w:iCs/>
      <w:color w:val="000000"/>
      <w:lang w:val="bg-BG" w:eastAsia="bg-BG"/>
    </w:rPr>
  </w:style>
  <w:style w:type="character" w:customStyle="1" w:styleId="ECHRParaChar">
    <w:name w:val="ECHR_Para Char"/>
    <w:aliases w:val="Ju_Para Char"/>
    <w:link w:val="ECHRPara"/>
    <w:uiPriority w:val="12"/>
    <w:rsid w:val="007A451B"/>
    <w:rPr>
      <w:rFonts w:eastAsia="MS Mincho"/>
      <w:sz w:val="24"/>
      <w:lang w:val="bg-BG" w:eastAsia="bg-BG"/>
    </w:rPr>
  </w:style>
  <w:style w:type="paragraph" w:customStyle="1" w:styleId="jupara">
    <w:name w:val="jupara"/>
    <w:basedOn w:val="Normal"/>
    <w:rsid w:val="00365622"/>
    <w:pPr>
      <w:ind w:firstLine="284"/>
    </w:pPr>
    <w:rPr>
      <w:rFonts w:eastAsia="Times New Roman"/>
      <w:szCs w:val="24"/>
    </w:rPr>
  </w:style>
  <w:style w:type="paragraph" w:customStyle="1" w:styleId="jucase0">
    <w:name w:val="jucase"/>
    <w:basedOn w:val="Normal"/>
    <w:rsid w:val="00365622"/>
    <w:pPr>
      <w:ind w:firstLine="284"/>
    </w:pPr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1549-BD83-4040-8A0E-F83220D8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2018-01-03T14:28:00Z</dcterms:created>
  <dcterms:modified xsi:type="dcterms:W3CDTF">2018-01-03T14:28:00Z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