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539" w:rsidRDefault="00D12539" w:rsidP="00550343">
      <w:pPr>
        <w:jc w:val="center"/>
        <w:rPr>
          <w:lang w:val="en-GB"/>
        </w:rPr>
      </w:pPr>
    </w:p>
    <w:p w:rsidR="00086492" w:rsidRDefault="00086492" w:rsidP="00550343">
      <w:pPr>
        <w:jc w:val="center"/>
        <w:rPr>
          <w:lang w:val="en-GB"/>
        </w:rPr>
      </w:pPr>
    </w:p>
    <w:p w:rsidR="00086492" w:rsidRPr="00474BEE" w:rsidRDefault="00086492" w:rsidP="00550343">
      <w:pPr>
        <w:jc w:val="center"/>
        <w:rPr>
          <w:lang w:val="bg-BG"/>
        </w:rPr>
      </w:pPr>
      <w:r w:rsidRPr="00474BEE">
        <w:rPr>
          <w:lang w:val="bg-BG"/>
        </w:rPr>
        <w:t>ЧЕТВЪРТО ОТДЕЛЕНИЕ</w:t>
      </w:r>
    </w:p>
    <w:p w:rsidR="00083D54" w:rsidRPr="00474BEE" w:rsidRDefault="00083D54" w:rsidP="00550343">
      <w:pPr>
        <w:jc w:val="center"/>
        <w:rPr>
          <w:lang w:val="bg-BG"/>
        </w:rPr>
      </w:pPr>
    </w:p>
    <w:p w:rsidR="00086492" w:rsidRPr="00474BEE" w:rsidRDefault="00086492" w:rsidP="00550343">
      <w:pPr>
        <w:jc w:val="center"/>
        <w:rPr>
          <w:lang w:val="bg-BG"/>
        </w:rPr>
      </w:pPr>
    </w:p>
    <w:p w:rsidR="00086492" w:rsidRPr="00474BEE" w:rsidRDefault="00086492" w:rsidP="00550343">
      <w:pPr>
        <w:jc w:val="center"/>
        <w:rPr>
          <w:lang w:val="bg-BG"/>
        </w:rPr>
      </w:pPr>
    </w:p>
    <w:p w:rsidR="00086492" w:rsidRPr="00474BEE" w:rsidRDefault="00086492" w:rsidP="00550343">
      <w:pPr>
        <w:jc w:val="center"/>
        <w:rPr>
          <w:lang w:val="bg-BG"/>
        </w:rPr>
      </w:pPr>
    </w:p>
    <w:p w:rsidR="00D12539" w:rsidRPr="00474BEE" w:rsidRDefault="00D12539" w:rsidP="00550343">
      <w:pPr>
        <w:jc w:val="center"/>
        <w:rPr>
          <w:lang w:val="en-GB"/>
        </w:rPr>
      </w:pPr>
    </w:p>
    <w:p w:rsidR="00641A1F" w:rsidRPr="00474BEE" w:rsidRDefault="00641A1F" w:rsidP="00641A1F">
      <w:pPr>
        <w:jc w:val="center"/>
        <w:rPr>
          <w:b/>
          <w:lang w:val="en-GB"/>
        </w:rPr>
      </w:pPr>
      <w:r w:rsidRPr="00474BEE">
        <w:rPr>
          <w:b/>
          <w:lang w:val="bg-BG"/>
        </w:rPr>
        <w:t xml:space="preserve">ДЕЛО МЮМЮН </w:t>
      </w:r>
      <w:r w:rsidR="008F6B6E" w:rsidRPr="00474BEE">
        <w:rPr>
          <w:b/>
          <w:lang w:val="bg-BG"/>
        </w:rPr>
        <w:t xml:space="preserve">срещу </w:t>
      </w:r>
      <w:r w:rsidRPr="00474BEE">
        <w:rPr>
          <w:b/>
          <w:lang w:val="bg-BG"/>
        </w:rPr>
        <w:t xml:space="preserve">БЪЛГАРИЯ </w:t>
      </w:r>
    </w:p>
    <w:p w:rsidR="00641A1F" w:rsidRPr="00474BEE" w:rsidRDefault="00641A1F" w:rsidP="00641A1F">
      <w:pPr>
        <w:jc w:val="center"/>
        <w:rPr>
          <w:lang w:val="en-GB"/>
        </w:rPr>
      </w:pPr>
    </w:p>
    <w:p w:rsidR="00641A1F" w:rsidRPr="00474BEE" w:rsidRDefault="00641A1F" w:rsidP="00641A1F">
      <w:pPr>
        <w:jc w:val="center"/>
        <w:rPr>
          <w:i/>
          <w:lang w:val="en-GB"/>
        </w:rPr>
      </w:pPr>
      <w:r w:rsidRPr="00474BEE">
        <w:rPr>
          <w:i/>
          <w:lang w:val="en-GB"/>
        </w:rPr>
        <w:t>(</w:t>
      </w:r>
      <w:proofErr w:type="spellStart"/>
      <w:r w:rsidRPr="00474BEE">
        <w:rPr>
          <w:i/>
        </w:rPr>
        <w:t>Жалба</w:t>
      </w:r>
      <w:proofErr w:type="spellEnd"/>
      <w:r w:rsidRPr="00474BEE">
        <w:rPr>
          <w:i/>
        </w:rPr>
        <w:t xml:space="preserve"> </w:t>
      </w:r>
      <w:r w:rsidRPr="00474BEE">
        <w:rPr>
          <w:i/>
          <w:cs/>
        </w:rPr>
        <w:t>№</w:t>
      </w:r>
      <w:r w:rsidRPr="00474BEE">
        <w:rPr>
          <w:i/>
          <w:lang w:val="en-GB"/>
        </w:rPr>
        <w:t xml:space="preserve"> 67258/13)</w:t>
      </w:r>
    </w:p>
    <w:p w:rsidR="00641A1F" w:rsidRPr="00474BEE" w:rsidRDefault="00641A1F" w:rsidP="00641A1F">
      <w:pPr>
        <w:jc w:val="center"/>
        <w:rPr>
          <w:lang w:val="en-GB"/>
        </w:rPr>
      </w:pPr>
    </w:p>
    <w:p w:rsidR="00641A1F" w:rsidRPr="00474BEE" w:rsidRDefault="00641A1F" w:rsidP="00641A1F">
      <w:pPr>
        <w:jc w:val="center"/>
        <w:rPr>
          <w:lang w:val="en-GB"/>
        </w:rPr>
      </w:pPr>
    </w:p>
    <w:p w:rsidR="00641A1F" w:rsidRPr="00474BEE" w:rsidRDefault="00641A1F" w:rsidP="00641A1F">
      <w:pPr>
        <w:jc w:val="center"/>
        <w:rPr>
          <w:lang w:val="en-GB"/>
        </w:rPr>
      </w:pPr>
    </w:p>
    <w:p w:rsidR="00641A1F" w:rsidRPr="00474BEE" w:rsidRDefault="00641A1F" w:rsidP="00641A1F">
      <w:pPr>
        <w:jc w:val="center"/>
        <w:rPr>
          <w:lang w:val="en-GB"/>
        </w:rPr>
      </w:pPr>
    </w:p>
    <w:p w:rsidR="00641A1F" w:rsidRPr="00474BEE" w:rsidRDefault="00641A1F" w:rsidP="00641A1F">
      <w:pPr>
        <w:jc w:val="center"/>
        <w:rPr>
          <w:lang w:val="en-GB"/>
        </w:rPr>
      </w:pPr>
    </w:p>
    <w:p w:rsidR="00641A1F" w:rsidRPr="00474BEE" w:rsidRDefault="00641A1F" w:rsidP="00641A1F">
      <w:pPr>
        <w:jc w:val="center"/>
        <w:rPr>
          <w:lang w:val="en-GB"/>
        </w:rPr>
      </w:pPr>
    </w:p>
    <w:p w:rsidR="00641A1F" w:rsidRPr="00474BEE" w:rsidRDefault="00641A1F" w:rsidP="00641A1F">
      <w:pPr>
        <w:jc w:val="center"/>
        <w:rPr>
          <w:szCs w:val="24"/>
          <w:lang w:val="bg-BG"/>
        </w:rPr>
      </w:pPr>
      <w:r w:rsidRPr="00474BEE">
        <w:rPr>
          <w:szCs w:val="24"/>
          <w:lang w:val="bg-BG"/>
        </w:rPr>
        <w:t>РЕШЕНИЕ</w:t>
      </w:r>
    </w:p>
    <w:p w:rsidR="00641A1F" w:rsidRPr="00474BEE" w:rsidRDefault="00641A1F" w:rsidP="00641A1F">
      <w:pPr>
        <w:jc w:val="center"/>
        <w:rPr>
          <w:szCs w:val="24"/>
          <w:lang w:val="en-GB"/>
        </w:rPr>
      </w:pPr>
    </w:p>
    <w:p w:rsidR="00641A1F" w:rsidRPr="00474BEE" w:rsidRDefault="000B22B0" w:rsidP="00641A1F">
      <w:pPr>
        <w:jc w:val="center"/>
        <w:rPr>
          <w:i/>
          <w:sz w:val="22"/>
          <w:lang w:val="bg-BG"/>
        </w:rPr>
      </w:pPr>
      <w:r w:rsidRPr="00474BEE">
        <w:rPr>
          <w:i/>
          <w:sz w:val="22"/>
          <w:lang w:val="bg-BG"/>
        </w:rPr>
        <w:t>Тази версия е поправена</w:t>
      </w:r>
      <w:r w:rsidR="00641A1F" w:rsidRPr="00474BEE">
        <w:rPr>
          <w:i/>
          <w:sz w:val="22"/>
          <w:lang w:val="bg-BG"/>
        </w:rPr>
        <w:t xml:space="preserve"> на 27 януари 2016 г. </w:t>
      </w:r>
      <w:r w:rsidR="00DB0DEE" w:rsidRPr="00474BEE">
        <w:rPr>
          <w:i/>
          <w:sz w:val="22"/>
          <w:lang w:val="bg-BG"/>
        </w:rPr>
        <w:t>на основание</w:t>
      </w:r>
      <w:r w:rsidR="00641A1F" w:rsidRPr="00474BEE">
        <w:rPr>
          <w:i/>
          <w:sz w:val="22"/>
          <w:lang w:val="bg-BG"/>
        </w:rPr>
        <w:t xml:space="preserve"> </w:t>
      </w:r>
      <w:r w:rsidR="00A7490C" w:rsidRPr="00474BEE">
        <w:rPr>
          <w:i/>
          <w:sz w:val="22"/>
          <w:lang w:val="bg-BG"/>
        </w:rPr>
        <w:t>п</w:t>
      </w:r>
      <w:r w:rsidR="008F6B6E" w:rsidRPr="00474BEE">
        <w:rPr>
          <w:i/>
          <w:sz w:val="22"/>
          <w:lang w:val="bg-BG"/>
        </w:rPr>
        <w:t>рав</w:t>
      </w:r>
      <w:r w:rsidR="00A7490C" w:rsidRPr="00474BEE">
        <w:rPr>
          <w:i/>
          <w:sz w:val="22"/>
          <w:lang w:val="bg-BG"/>
        </w:rPr>
        <w:t>и</w:t>
      </w:r>
      <w:r w:rsidR="008F6B6E" w:rsidRPr="00474BEE">
        <w:rPr>
          <w:i/>
          <w:sz w:val="22"/>
          <w:lang w:val="bg-BG"/>
        </w:rPr>
        <w:t>ло</w:t>
      </w:r>
      <w:r w:rsidR="00641A1F" w:rsidRPr="00474BEE">
        <w:rPr>
          <w:i/>
          <w:sz w:val="22"/>
          <w:lang w:val="bg-BG"/>
        </w:rPr>
        <w:t xml:space="preserve"> 81 </w:t>
      </w:r>
    </w:p>
    <w:p w:rsidR="00641A1F" w:rsidRPr="00474BEE" w:rsidRDefault="00641A1F" w:rsidP="00641A1F">
      <w:pPr>
        <w:jc w:val="center"/>
        <w:rPr>
          <w:i/>
          <w:sz w:val="22"/>
          <w:lang w:val="bg-BG"/>
        </w:rPr>
      </w:pPr>
      <w:r w:rsidRPr="00474BEE">
        <w:rPr>
          <w:i/>
          <w:sz w:val="22"/>
          <w:lang w:val="bg-BG"/>
        </w:rPr>
        <w:t xml:space="preserve">от Правилника на Съда. </w:t>
      </w:r>
    </w:p>
    <w:p w:rsidR="00641A1F" w:rsidRPr="00474BEE" w:rsidRDefault="00641A1F" w:rsidP="00641A1F">
      <w:pPr>
        <w:jc w:val="center"/>
        <w:rPr>
          <w:sz w:val="22"/>
          <w:lang w:val="bg-BG"/>
        </w:rPr>
      </w:pPr>
    </w:p>
    <w:p w:rsidR="00641A1F" w:rsidRPr="00474BEE" w:rsidRDefault="00641A1F" w:rsidP="00641A1F">
      <w:pPr>
        <w:pStyle w:val="JuCase"/>
        <w:ind w:firstLine="0"/>
        <w:jc w:val="center"/>
        <w:rPr>
          <w:b w:val="0"/>
          <w:lang w:val="bg-BG"/>
        </w:rPr>
      </w:pPr>
      <w:r w:rsidRPr="00474BEE">
        <w:rPr>
          <w:b w:val="0"/>
          <w:lang w:val="bg-BG"/>
        </w:rPr>
        <w:t>СТРАСБУРГ</w:t>
      </w:r>
    </w:p>
    <w:p w:rsidR="00641A1F" w:rsidRPr="00474BEE" w:rsidRDefault="00641A1F" w:rsidP="00641A1F">
      <w:pPr>
        <w:pStyle w:val="JuCase"/>
        <w:ind w:firstLine="0"/>
        <w:jc w:val="center"/>
        <w:rPr>
          <w:b w:val="0"/>
          <w:lang w:val="bg-BG"/>
        </w:rPr>
      </w:pPr>
    </w:p>
    <w:p w:rsidR="00641A1F" w:rsidRPr="00474BEE" w:rsidRDefault="00641A1F" w:rsidP="00641A1F">
      <w:pPr>
        <w:pStyle w:val="JuCase"/>
        <w:ind w:firstLine="0"/>
        <w:jc w:val="center"/>
        <w:rPr>
          <w:b w:val="0"/>
          <w:lang w:val="bg-BG"/>
        </w:rPr>
      </w:pPr>
      <w:r w:rsidRPr="00474BEE">
        <w:rPr>
          <w:b w:val="0"/>
          <w:lang w:val="bg-BG"/>
        </w:rPr>
        <w:t>3 ноември 2015 г.</w:t>
      </w:r>
    </w:p>
    <w:p w:rsidR="00D12539" w:rsidRPr="00474BEE" w:rsidRDefault="00D12539" w:rsidP="00550343">
      <w:pPr>
        <w:pStyle w:val="JuCase"/>
        <w:ind w:firstLine="0"/>
        <w:jc w:val="center"/>
        <w:rPr>
          <w:b w:val="0"/>
          <w:lang w:val="bg-BG"/>
        </w:rPr>
      </w:pPr>
    </w:p>
    <w:p w:rsidR="00641A1F" w:rsidRPr="00474BEE" w:rsidRDefault="00641A1F" w:rsidP="00641A1F">
      <w:pPr>
        <w:pStyle w:val="ECHRPara"/>
        <w:rPr>
          <w:lang w:val="bg-BG"/>
        </w:rPr>
      </w:pPr>
    </w:p>
    <w:p w:rsidR="00D12539" w:rsidRPr="00474BEE" w:rsidRDefault="00D12539" w:rsidP="00550343">
      <w:pPr>
        <w:pStyle w:val="JuCase"/>
        <w:ind w:firstLine="0"/>
        <w:jc w:val="center"/>
        <w:rPr>
          <w:b w:val="0"/>
          <w:lang w:val="bg-BG"/>
        </w:rPr>
      </w:pPr>
    </w:p>
    <w:p w:rsidR="00086492" w:rsidRPr="00474BEE" w:rsidRDefault="00086492" w:rsidP="00086492">
      <w:pPr>
        <w:pStyle w:val="ECHRPara"/>
        <w:rPr>
          <w:lang w:val="bg-BG" w:eastAsia="en-US"/>
        </w:rPr>
      </w:pPr>
    </w:p>
    <w:p w:rsidR="00550343" w:rsidRPr="00474BEE" w:rsidRDefault="00641A1F" w:rsidP="00550343">
      <w:pPr>
        <w:pStyle w:val="jucase0"/>
        <w:ind w:firstLine="0"/>
        <w:jc w:val="center"/>
        <w:rPr>
          <w:color w:val="FF0000"/>
          <w:sz w:val="28"/>
          <w:szCs w:val="28"/>
          <w:u w:val="single"/>
          <w:lang w:val="bg-BG"/>
        </w:rPr>
      </w:pPr>
      <w:r w:rsidRPr="00474BEE">
        <w:rPr>
          <w:color w:val="FF0000"/>
          <w:sz w:val="28"/>
          <w:szCs w:val="28"/>
          <w:u w:val="single"/>
          <w:lang w:val="bg-BG"/>
        </w:rPr>
        <w:t>ОКОНЧАТЕЛНО</w:t>
      </w:r>
    </w:p>
    <w:p w:rsidR="00550343" w:rsidRPr="00474BEE" w:rsidRDefault="00550343" w:rsidP="00550343">
      <w:pPr>
        <w:pStyle w:val="jupara"/>
        <w:tabs>
          <w:tab w:val="left" w:pos="4650"/>
        </w:tabs>
        <w:ind w:firstLine="0"/>
        <w:jc w:val="left"/>
        <w:rPr>
          <w:color w:val="FF0000"/>
          <w:sz w:val="28"/>
          <w:szCs w:val="28"/>
          <w:lang w:val="bg-BG"/>
        </w:rPr>
      </w:pPr>
      <w:r w:rsidRPr="00474BEE">
        <w:rPr>
          <w:color w:val="FF0000"/>
          <w:sz w:val="28"/>
          <w:szCs w:val="28"/>
          <w:lang w:val="bg-BG"/>
        </w:rPr>
        <w:tab/>
      </w:r>
    </w:p>
    <w:p w:rsidR="00550343" w:rsidRPr="00474BEE" w:rsidRDefault="00086492" w:rsidP="00550343">
      <w:pPr>
        <w:pStyle w:val="jupara"/>
        <w:ind w:firstLine="0"/>
        <w:jc w:val="center"/>
        <w:rPr>
          <w:color w:val="FF0000"/>
          <w:sz w:val="28"/>
          <w:szCs w:val="28"/>
          <w:lang w:val="bg-BG"/>
        </w:rPr>
      </w:pPr>
      <w:r w:rsidRPr="00474BEE">
        <w:rPr>
          <w:color w:val="FF0000"/>
          <w:sz w:val="28"/>
          <w:szCs w:val="28"/>
          <w:lang w:val="bg-BG"/>
        </w:rPr>
        <w:t>03.02.</w:t>
      </w:r>
      <w:r w:rsidR="00550343" w:rsidRPr="00474BEE">
        <w:rPr>
          <w:color w:val="FF0000"/>
          <w:sz w:val="28"/>
          <w:szCs w:val="28"/>
          <w:lang w:val="bg-BG"/>
        </w:rPr>
        <w:t>2016</w:t>
      </w:r>
      <w:r w:rsidRPr="00474BEE">
        <w:rPr>
          <w:color w:val="FF0000"/>
          <w:sz w:val="28"/>
          <w:szCs w:val="28"/>
          <w:lang w:val="bg-BG"/>
        </w:rPr>
        <w:t xml:space="preserve"> г.</w:t>
      </w:r>
    </w:p>
    <w:p w:rsidR="00550343" w:rsidRPr="00474BEE" w:rsidRDefault="00550343" w:rsidP="00550343">
      <w:pPr>
        <w:pStyle w:val="jupara"/>
        <w:ind w:firstLine="0"/>
        <w:jc w:val="center"/>
        <w:rPr>
          <w:lang w:val="bg-BG"/>
        </w:rPr>
      </w:pPr>
    </w:p>
    <w:p w:rsidR="00550343" w:rsidRPr="00474BEE" w:rsidRDefault="00641A1F" w:rsidP="00641A1F">
      <w:pPr>
        <w:jc w:val="center"/>
        <w:rPr>
          <w:i/>
          <w:iCs/>
          <w:sz w:val="22"/>
          <w:lang w:val="bg-BG"/>
        </w:rPr>
      </w:pPr>
      <w:r w:rsidRPr="00474BEE">
        <w:rPr>
          <w:i/>
          <w:sz w:val="22"/>
          <w:lang w:val="bg-BG"/>
        </w:rPr>
        <w:t xml:space="preserve">Това решение </w:t>
      </w:r>
      <w:r w:rsidR="00086492" w:rsidRPr="00474BEE">
        <w:rPr>
          <w:i/>
          <w:sz w:val="22"/>
          <w:lang w:val="bg-BG"/>
        </w:rPr>
        <w:t>е станало</w:t>
      </w:r>
      <w:r w:rsidRPr="00474BEE">
        <w:rPr>
          <w:i/>
          <w:sz w:val="22"/>
          <w:lang w:val="bg-BG"/>
        </w:rPr>
        <w:t xml:space="preserve"> окончателно при условията на чл. 44, ал. 2 от Конвенцията. Може да бъде предмет на редакционни промени</w:t>
      </w:r>
      <w:r w:rsidR="00550343" w:rsidRPr="00474BEE">
        <w:rPr>
          <w:i/>
          <w:iCs/>
          <w:sz w:val="22"/>
          <w:lang w:val="bg-BG"/>
        </w:rPr>
        <w:t>.</w:t>
      </w:r>
    </w:p>
    <w:p w:rsidR="00D12539" w:rsidRPr="00474BEE" w:rsidRDefault="00D12539" w:rsidP="00550343">
      <w:pPr>
        <w:pStyle w:val="ECHRPara"/>
        <w:rPr>
          <w:lang w:val="bg-BG"/>
        </w:rPr>
      </w:pPr>
    </w:p>
    <w:p w:rsidR="00621534" w:rsidRPr="00474BEE" w:rsidRDefault="00621534" w:rsidP="00550343">
      <w:pPr>
        <w:pStyle w:val="ECHRPara"/>
        <w:rPr>
          <w:lang w:val="bg-BG"/>
        </w:rPr>
        <w:sectPr w:rsidR="00621534" w:rsidRPr="00474BEE" w:rsidSect="00D12539">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titlePg/>
          <w:docGrid w:linePitch="326"/>
        </w:sectPr>
      </w:pPr>
    </w:p>
    <w:p w:rsidR="00641A1F" w:rsidRPr="00474BEE" w:rsidRDefault="00641A1F" w:rsidP="00641A1F">
      <w:pPr>
        <w:pStyle w:val="JuCase"/>
        <w:rPr>
          <w:bCs/>
          <w:lang w:val="bg-BG"/>
        </w:rPr>
      </w:pPr>
      <w:r w:rsidRPr="00474BEE">
        <w:rPr>
          <w:lang w:val="bg-BG"/>
        </w:rPr>
        <w:lastRenderedPageBreak/>
        <w:t xml:space="preserve">По делото Мюмюн срещу България, </w:t>
      </w:r>
    </w:p>
    <w:p w:rsidR="00641A1F" w:rsidRPr="00474BEE" w:rsidRDefault="00641A1F" w:rsidP="00641A1F">
      <w:pPr>
        <w:pStyle w:val="ECHRPara"/>
        <w:rPr>
          <w:lang w:val="bg-BG"/>
        </w:rPr>
      </w:pPr>
      <w:r w:rsidRPr="00474BEE">
        <w:rPr>
          <w:lang w:val="bg-BG"/>
        </w:rPr>
        <w:t>Европейският съд по правата на човека (Четвърто отделение), заседаващ в състав:</w:t>
      </w:r>
    </w:p>
    <w:p w:rsidR="00641A1F" w:rsidRPr="00474BEE" w:rsidRDefault="00641A1F" w:rsidP="00641A1F">
      <w:pPr>
        <w:pStyle w:val="ECHRDecisionBody"/>
        <w:rPr>
          <w:lang w:val="bg-BG"/>
        </w:rPr>
      </w:pPr>
      <w:r w:rsidRPr="00474BEE">
        <w:rPr>
          <w:lang w:val="bg-BG"/>
        </w:rPr>
        <w:tab/>
      </w:r>
      <w:proofErr w:type="spellStart"/>
      <w:r w:rsidRPr="00474BEE">
        <w:rPr>
          <w:lang w:val="bg-BG"/>
        </w:rPr>
        <w:t>Гуидо</w:t>
      </w:r>
      <w:proofErr w:type="spellEnd"/>
      <w:r w:rsidRPr="00474BEE">
        <w:rPr>
          <w:lang w:val="bg-BG"/>
        </w:rPr>
        <w:t xml:space="preserve"> </w:t>
      </w:r>
      <w:proofErr w:type="spellStart"/>
      <w:r w:rsidRPr="00474BEE">
        <w:rPr>
          <w:lang w:val="bg-BG"/>
        </w:rPr>
        <w:t>Раймонди</w:t>
      </w:r>
      <w:proofErr w:type="spellEnd"/>
      <w:r w:rsidRPr="00474BEE">
        <w:rPr>
          <w:lang w:val="bg-BG"/>
        </w:rPr>
        <w:t xml:space="preserve"> (</w:t>
      </w:r>
      <w:r w:rsidRPr="00474BEE">
        <w:rPr>
          <w:lang w:val="en-GB"/>
        </w:rPr>
        <w:t>Guido</w:t>
      </w:r>
      <w:r w:rsidRPr="00474BEE">
        <w:rPr>
          <w:lang w:val="bg-BG"/>
        </w:rPr>
        <w:t xml:space="preserve"> </w:t>
      </w:r>
      <w:r w:rsidRPr="00474BEE">
        <w:rPr>
          <w:lang w:val="en-GB"/>
        </w:rPr>
        <w:t>Raimondi</w:t>
      </w:r>
      <w:r w:rsidRPr="00474BEE">
        <w:rPr>
          <w:lang w:val="bg-BG"/>
        </w:rPr>
        <w:t>),</w:t>
      </w:r>
      <w:r w:rsidRPr="00474BEE">
        <w:rPr>
          <w:i/>
          <w:lang w:val="bg-BG"/>
        </w:rPr>
        <w:t xml:space="preserve"> </w:t>
      </w:r>
      <w:r w:rsidR="00C11AC8" w:rsidRPr="00474BEE">
        <w:rPr>
          <w:i/>
          <w:lang w:val="bg-BG"/>
        </w:rPr>
        <w:t>п</w:t>
      </w:r>
      <w:r w:rsidRPr="00474BEE">
        <w:rPr>
          <w:i/>
          <w:lang w:val="bg-BG"/>
        </w:rPr>
        <w:t>редседател</w:t>
      </w:r>
      <w:r w:rsidRPr="00474BEE">
        <w:rPr>
          <w:lang w:val="bg-BG"/>
        </w:rPr>
        <w:t>,</w:t>
      </w:r>
      <w:r w:rsidRPr="00474BEE">
        <w:rPr>
          <w:lang w:val="bg-BG"/>
        </w:rPr>
        <w:br/>
      </w:r>
      <w:r w:rsidRPr="00474BEE">
        <w:rPr>
          <w:lang w:val="bg-BG"/>
        </w:rPr>
        <w:tab/>
      </w:r>
      <w:proofErr w:type="spellStart"/>
      <w:r w:rsidRPr="00474BEE">
        <w:rPr>
          <w:lang w:val="bg-BG"/>
        </w:rPr>
        <w:t>Пейви</w:t>
      </w:r>
      <w:proofErr w:type="spellEnd"/>
      <w:r w:rsidRPr="00474BEE">
        <w:rPr>
          <w:lang w:val="bg-BG"/>
        </w:rPr>
        <w:t xml:space="preserve"> </w:t>
      </w:r>
      <w:proofErr w:type="spellStart"/>
      <w:r w:rsidRPr="00474BEE">
        <w:rPr>
          <w:lang w:val="bg-BG"/>
        </w:rPr>
        <w:t>Хирвеле</w:t>
      </w:r>
      <w:proofErr w:type="spellEnd"/>
      <w:r w:rsidRPr="00474BEE">
        <w:rPr>
          <w:lang w:val="bg-BG"/>
        </w:rPr>
        <w:t xml:space="preserve"> (</w:t>
      </w:r>
      <w:r w:rsidRPr="00474BEE">
        <w:rPr>
          <w:lang w:val="en-GB"/>
        </w:rPr>
        <w:t>P</w:t>
      </w:r>
      <w:r w:rsidRPr="00474BEE">
        <w:rPr>
          <w:lang w:val="bg-BG"/>
        </w:rPr>
        <w:t>ä</w:t>
      </w:r>
      <w:proofErr w:type="spellStart"/>
      <w:r w:rsidRPr="00474BEE">
        <w:rPr>
          <w:lang w:val="en-GB"/>
        </w:rPr>
        <w:t>ivi</w:t>
      </w:r>
      <w:proofErr w:type="spellEnd"/>
      <w:r w:rsidRPr="00474BEE">
        <w:rPr>
          <w:lang w:val="bg-BG"/>
        </w:rPr>
        <w:t xml:space="preserve"> </w:t>
      </w:r>
      <w:proofErr w:type="spellStart"/>
      <w:r w:rsidRPr="00474BEE">
        <w:rPr>
          <w:lang w:val="en-GB"/>
        </w:rPr>
        <w:t>Hirvel</w:t>
      </w:r>
      <w:proofErr w:type="spellEnd"/>
      <w:r w:rsidRPr="00474BEE">
        <w:rPr>
          <w:lang w:val="bg-BG"/>
        </w:rPr>
        <w:t>ä),</w:t>
      </w:r>
      <w:r w:rsidRPr="00474BEE">
        <w:rPr>
          <w:i/>
          <w:lang w:val="bg-BG"/>
        </w:rPr>
        <w:br/>
      </w:r>
      <w:r w:rsidRPr="00474BEE">
        <w:rPr>
          <w:lang w:val="bg-BG"/>
        </w:rPr>
        <w:tab/>
      </w:r>
      <w:r w:rsidR="00086492" w:rsidRPr="00474BEE">
        <w:rPr>
          <w:lang w:val="bg-BG"/>
        </w:rPr>
        <w:t>Георге</w:t>
      </w:r>
      <w:r w:rsidRPr="00474BEE">
        <w:rPr>
          <w:lang w:val="bg-BG"/>
        </w:rPr>
        <w:t xml:space="preserve"> </w:t>
      </w:r>
      <w:proofErr w:type="spellStart"/>
      <w:r w:rsidRPr="00474BEE">
        <w:rPr>
          <w:lang w:val="bg-BG"/>
        </w:rPr>
        <w:t>Николау</w:t>
      </w:r>
      <w:proofErr w:type="spellEnd"/>
      <w:r w:rsidRPr="00474BEE">
        <w:rPr>
          <w:lang w:val="bg-BG"/>
        </w:rPr>
        <w:t xml:space="preserve"> (</w:t>
      </w:r>
      <w:r w:rsidRPr="00474BEE">
        <w:rPr>
          <w:lang w:val="en-GB"/>
        </w:rPr>
        <w:t>George</w:t>
      </w:r>
      <w:r w:rsidRPr="00474BEE">
        <w:rPr>
          <w:lang w:val="bg-BG"/>
        </w:rPr>
        <w:t xml:space="preserve"> </w:t>
      </w:r>
      <w:proofErr w:type="spellStart"/>
      <w:r w:rsidRPr="00474BEE">
        <w:rPr>
          <w:lang w:val="en-GB"/>
        </w:rPr>
        <w:t>Nicolaou</w:t>
      </w:r>
      <w:proofErr w:type="spellEnd"/>
      <w:r w:rsidRPr="00474BEE">
        <w:rPr>
          <w:lang w:val="bg-BG"/>
        </w:rPr>
        <w:t>),</w:t>
      </w:r>
      <w:r w:rsidRPr="00474BEE">
        <w:rPr>
          <w:i/>
          <w:lang w:val="bg-BG"/>
        </w:rPr>
        <w:br/>
      </w:r>
      <w:r w:rsidRPr="00474BEE">
        <w:rPr>
          <w:lang w:val="bg-BG"/>
        </w:rPr>
        <w:tab/>
        <w:t xml:space="preserve">Нона </w:t>
      </w:r>
      <w:proofErr w:type="spellStart"/>
      <w:r w:rsidRPr="00474BEE">
        <w:rPr>
          <w:lang w:val="bg-BG"/>
        </w:rPr>
        <w:t>Цоцориа</w:t>
      </w:r>
      <w:proofErr w:type="spellEnd"/>
      <w:r w:rsidRPr="00474BEE">
        <w:rPr>
          <w:lang w:val="bg-BG"/>
        </w:rPr>
        <w:t xml:space="preserve"> (</w:t>
      </w:r>
      <w:r w:rsidRPr="00474BEE">
        <w:rPr>
          <w:lang w:val="en-GB"/>
        </w:rPr>
        <w:t>Nona</w:t>
      </w:r>
      <w:r w:rsidRPr="00474BEE">
        <w:rPr>
          <w:lang w:val="bg-BG"/>
        </w:rPr>
        <w:t xml:space="preserve"> </w:t>
      </w:r>
      <w:proofErr w:type="spellStart"/>
      <w:r w:rsidRPr="00474BEE">
        <w:rPr>
          <w:lang w:val="en-GB"/>
        </w:rPr>
        <w:t>Tsotsoria</w:t>
      </w:r>
      <w:proofErr w:type="spellEnd"/>
      <w:r w:rsidRPr="00474BEE">
        <w:rPr>
          <w:lang w:val="bg-BG"/>
        </w:rPr>
        <w:t>),</w:t>
      </w:r>
      <w:r w:rsidRPr="00474BEE">
        <w:rPr>
          <w:i/>
          <w:lang w:val="bg-BG"/>
        </w:rPr>
        <w:br/>
      </w:r>
      <w:r w:rsidRPr="00474BEE">
        <w:rPr>
          <w:lang w:val="bg-BG"/>
        </w:rPr>
        <w:tab/>
      </w:r>
      <w:proofErr w:type="spellStart"/>
      <w:r w:rsidRPr="00474BEE">
        <w:rPr>
          <w:lang w:val="bg-BG"/>
        </w:rPr>
        <w:t>Кшищоф</w:t>
      </w:r>
      <w:proofErr w:type="spellEnd"/>
      <w:r w:rsidRPr="00474BEE">
        <w:rPr>
          <w:lang w:val="bg-BG"/>
        </w:rPr>
        <w:t xml:space="preserve"> </w:t>
      </w:r>
      <w:proofErr w:type="spellStart"/>
      <w:r w:rsidRPr="00474BEE">
        <w:rPr>
          <w:lang w:val="bg-BG"/>
        </w:rPr>
        <w:t>Войтичек</w:t>
      </w:r>
      <w:proofErr w:type="spellEnd"/>
      <w:r w:rsidRPr="00474BEE">
        <w:rPr>
          <w:lang w:val="bg-BG"/>
        </w:rPr>
        <w:t xml:space="preserve"> (</w:t>
      </w:r>
      <w:r w:rsidRPr="00474BEE">
        <w:rPr>
          <w:lang w:val="en-GB"/>
        </w:rPr>
        <w:t>Krzysztof</w:t>
      </w:r>
      <w:r w:rsidRPr="00474BEE">
        <w:rPr>
          <w:lang w:val="bg-BG"/>
        </w:rPr>
        <w:t xml:space="preserve"> </w:t>
      </w:r>
      <w:proofErr w:type="spellStart"/>
      <w:r w:rsidRPr="00474BEE">
        <w:rPr>
          <w:lang w:val="en-GB"/>
        </w:rPr>
        <w:t>Wojtyczek</w:t>
      </w:r>
      <w:proofErr w:type="spellEnd"/>
      <w:r w:rsidRPr="00474BEE">
        <w:rPr>
          <w:lang w:val="bg-BG"/>
        </w:rPr>
        <w:t>),</w:t>
      </w:r>
      <w:r w:rsidRPr="00474BEE">
        <w:rPr>
          <w:i/>
          <w:lang w:val="bg-BG"/>
        </w:rPr>
        <w:br/>
      </w:r>
      <w:r w:rsidRPr="00474BEE">
        <w:rPr>
          <w:lang w:val="bg-BG"/>
        </w:rPr>
        <w:tab/>
      </w:r>
      <w:proofErr w:type="spellStart"/>
      <w:r w:rsidRPr="00474BEE">
        <w:rPr>
          <w:lang w:val="bg-BG"/>
        </w:rPr>
        <w:t>Фарис</w:t>
      </w:r>
      <w:proofErr w:type="spellEnd"/>
      <w:r w:rsidRPr="00474BEE">
        <w:rPr>
          <w:lang w:val="bg-BG"/>
        </w:rPr>
        <w:t xml:space="preserve"> </w:t>
      </w:r>
      <w:proofErr w:type="spellStart"/>
      <w:r w:rsidRPr="00474BEE">
        <w:rPr>
          <w:lang w:val="bg-BG"/>
        </w:rPr>
        <w:t>Вехабович</w:t>
      </w:r>
      <w:proofErr w:type="spellEnd"/>
      <w:r w:rsidRPr="00474BEE">
        <w:rPr>
          <w:lang w:val="bg-BG"/>
        </w:rPr>
        <w:t xml:space="preserve"> (</w:t>
      </w:r>
      <w:proofErr w:type="spellStart"/>
      <w:r w:rsidRPr="00474BEE">
        <w:rPr>
          <w:lang w:val="en-GB"/>
        </w:rPr>
        <w:t>Faris</w:t>
      </w:r>
      <w:proofErr w:type="spellEnd"/>
      <w:r w:rsidRPr="00474BEE">
        <w:rPr>
          <w:lang w:val="bg-BG"/>
        </w:rPr>
        <w:t xml:space="preserve"> </w:t>
      </w:r>
      <w:proofErr w:type="spellStart"/>
      <w:r w:rsidRPr="00474BEE">
        <w:rPr>
          <w:lang w:val="en-GB"/>
        </w:rPr>
        <w:t>Vehabovi</w:t>
      </w:r>
      <w:proofErr w:type="spellEnd"/>
      <w:r w:rsidRPr="00474BEE">
        <w:rPr>
          <w:lang w:val="bg-BG"/>
        </w:rPr>
        <w:t>ć),</w:t>
      </w:r>
      <w:r w:rsidRPr="00474BEE">
        <w:rPr>
          <w:i/>
          <w:lang w:val="bg-BG"/>
        </w:rPr>
        <w:t xml:space="preserve"> съдии</w:t>
      </w:r>
      <w:r w:rsidRPr="00474BEE">
        <w:rPr>
          <w:lang w:val="bg-BG"/>
        </w:rPr>
        <w:t>,</w:t>
      </w:r>
      <w:r w:rsidRPr="00474BEE">
        <w:rPr>
          <w:lang w:val="bg-BG"/>
        </w:rPr>
        <w:br/>
      </w:r>
      <w:r w:rsidRPr="00474BEE">
        <w:rPr>
          <w:lang w:val="bg-BG"/>
        </w:rPr>
        <w:tab/>
        <w:t>Павлина Панова,</w:t>
      </w:r>
      <w:r w:rsidRPr="00474BEE">
        <w:rPr>
          <w:i/>
          <w:lang w:val="bg-BG"/>
        </w:rPr>
        <w:t xml:space="preserve"> </w:t>
      </w:r>
      <w:r w:rsidR="00BE7923" w:rsidRPr="00474BEE">
        <w:rPr>
          <w:i/>
          <w:lang w:val="bg-BG"/>
        </w:rPr>
        <w:t>съдия</w:t>
      </w:r>
      <w:r w:rsidR="00A7490C" w:rsidRPr="00474BEE">
        <w:rPr>
          <w:i/>
          <w:lang w:val="en-GB"/>
        </w:rPr>
        <w:t xml:space="preserve"> ad</w:t>
      </w:r>
      <w:r w:rsidR="00A7490C" w:rsidRPr="00474BEE">
        <w:rPr>
          <w:i/>
          <w:lang w:val="bg-BG"/>
        </w:rPr>
        <w:t xml:space="preserve"> </w:t>
      </w:r>
      <w:r w:rsidR="00A7490C" w:rsidRPr="00474BEE">
        <w:rPr>
          <w:i/>
          <w:lang w:val="en-GB"/>
        </w:rPr>
        <w:t>hoc</w:t>
      </w:r>
      <w:r w:rsidRPr="00474BEE">
        <w:rPr>
          <w:lang w:val="bg-BG"/>
        </w:rPr>
        <w:t>,</w:t>
      </w:r>
      <w:r w:rsidRPr="00474BEE">
        <w:rPr>
          <w:lang w:val="bg-BG"/>
        </w:rPr>
        <w:br/>
        <w:t xml:space="preserve">и </w:t>
      </w:r>
      <w:proofErr w:type="spellStart"/>
      <w:r w:rsidRPr="00474BEE">
        <w:rPr>
          <w:lang w:val="bg-BG"/>
        </w:rPr>
        <w:t>Франсоаз</w:t>
      </w:r>
      <w:proofErr w:type="spellEnd"/>
      <w:r w:rsidRPr="00474BEE">
        <w:rPr>
          <w:lang w:val="bg-BG"/>
        </w:rPr>
        <w:t xml:space="preserve"> Елен-</w:t>
      </w:r>
      <w:proofErr w:type="spellStart"/>
      <w:r w:rsidRPr="00474BEE">
        <w:rPr>
          <w:lang w:val="bg-BG"/>
        </w:rPr>
        <w:t>Пасо</w:t>
      </w:r>
      <w:proofErr w:type="spellEnd"/>
      <w:r w:rsidRPr="00474BEE">
        <w:rPr>
          <w:lang w:val="bg-BG"/>
        </w:rPr>
        <w:t xml:space="preserve"> (</w:t>
      </w:r>
      <w:r w:rsidRPr="00474BEE">
        <w:rPr>
          <w:lang w:val="en-GB"/>
        </w:rPr>
        <w:t>Fran</w:t>
      </w:r>
      <w:r w:rsidRPr="00474BEE">
        <w:rPr>
          <w:lang w:val="bg-BG"/>
        </w:rPr>
        <w:t>ç</w:t>
      </w:r>
      <w:proofErr w:type="spellStart"/>
      <w:r w:rsidRPr="00474BEE">
        <w:rPr>
          <w:lang w:val="en-GB"/>
        </w:rPr>
        <w:t>oise</w:t>
      </w:r>
      <w:proofErr w:type="spellEnd"/>
      <w:r w:rsidRPr="00474BEE">
        <w:rPr>
          <w:lang w:val="bg-BG"/>
        </w:rPr>
        <w:t xml:space="preserve"> </w:t>
      </w:r>
      <w:proofErr w:type="spellStart"/>
      <w:r w:rsidRPr="00474BEE">
        <w:rPr>
          <w:lang w:val="en-GB"/>
        </w:rPr>
        <w:t>Elens</w:t>
      </w:r>
      <w:proofErr w:type="spellEnd"/>
      <w:r w:rsidRPr="00474BEE">
        <w:rPr>
          <w:lang w:val="bg-BG"/>
        </w:rPr>
        <w:t>-</w:t>
      </w:r>
      <w:proofErr w:type="spellStart"/>
      <w:r w:rsidRPr="00474BEE">
        <w:rPr>
          <w:lang w:val="en-GB"/>
        </w:rPr>
        <w:t>Passos</w:t>
      </w:r>
      <w:proofErr w:type="spellEnd"/>
      <w:r w:rsidRPr="00474BEE">
        <w:rPr>
          <w:lang w:val="bg-BG"/>
        </w:rPr>
        <w:t xml:space="preserve">), </w:t>
      </w:r>
      <w:r w:rsidRPr="00474BEE">
        <w:rPr>
          <w:i/>
          <w:lang w:val="bg-BG"/>
        </w:rPr>
        <w:t>секретар на отделението</w:t>
      </w:r>
      <w:r w:rsidRPr="00474BEE">
        <w:rPr>
          <w:lang w:val="bg-BG"/>
        </w:rPr>
        <w:t>,</w:t>
      </w:r>
    </w:p>
    <w:p w:rsidR="00641A1F" w:rsidRPr="00474BEE" w:rsidRDefault="00641A1F" w:rsidP="00641A1F">
      <w:pPr>
        <w:pStyle w:val="ECHRPara"/>
        <w:rPr>
          <w:lang w:val="bg-BG"/>
        </w:rPr>
      </w:pPr>
      <w:r w:rsidRPr="00474BEE">
        <w:rPr>
          <w:lang w:val="bg-BG"/>
        </w:rPr>
        <w:t>След закрито заседание, проведено на 13 октомври 2015 г.,</w:t>
      </w:r>
    </w:p>
    <w:p w:rsidR="00641A1F" w:rsidRPr="00474BEE" w:rsidRDefault="00641A1F" w:rsidP="00641A1F">
      <w:pPr>
        <w:pStyle w:val="ECHRPara"/>
        <w:rPr>
          <w:lang w:val="bg-BG"/>
        </w:rPr>
      </w:pPr>
      <w:r w:rsidRPr="00474BEE">
        <w:rPr>
          <w:lang w:val="bg-BG"/>
        </w:rPr>
        <w:t>Постанови следното решение, прието на същата дата:</w:t>
      </w:r>
    </w:p>
    <w:p w:rsidR="00641A1F" w:rsidRPr="00474BEE" w:rsidRDefault="00641A1F" w:rsidP="00641A1F">
      <w:pPr>
        <w:pStyle w:val="ECHRPara"/>
        <w:rPr>
          <w:lang w:val="bg-BG"/>
        </w:rPr>
      </w:pPr>
    </w:p>
    <w:p w:rsidR="00641A1F" w:rsidRPr="00474BEE" w:rsidRDefault="00641A1F" w:rsidP="00641A1F">
      <w:pPr>
        <w:pStyle w:val="ECHRTitle1"/>
        <w:rPr>
          <w:lang w:val="bg-BG"/>
        </w:rPr>
      </w:pPr>
      <w:r w:rsidRPr="00474BEE">
        <w:rPr>
          <w:lang w:val="bg-BG"/>
        </w:rPr>
        <w:t>ПРОЦЕДУРА</w:t>
      </w:r>
    </w:p>
    <w:p w:rsidR="00641A1F" w:rsidRPr="00474BEE" w:rsidRDefault="00D16EB7" w:rsidP="00641A1F">
      <w:pPr>
        <w:pStyle w:val="ECHRPara"/>
        <w:rPr>
          <w:lang w:val="bg-BG"/>
        </w:rPr>
      </w:pPr>
      <w:r w:rsidRPr="00474BEE">
        <w:rPr>
          <w:lang w:val="bg-BG"/>
        </w:rPr>
        <w:fldChar w:fldCharType="begin"/>
      </w:r>
      <w:r w:rsidR="00641A1F" w:rsidRPr="00474BEE">
        <w:rPr>
          <w:lang w:val="bg-BG"/>
        </w:rPr>
        <w:instrText xml:space="preserve"> SEQ level0 \*arabic </w:instrText>
      </w:r>
      <w:r w:rsidRPr="00474BEE">
        <w:rPr>
          <w:lang w:val="bg-BG"/>
        </w:rPr>
        <w:fldChar w:fldCharType="separate"/>
      </w:r>
      <w:r w:rsidR="00641A1F" w:rsidRPr="00474BEE">
        <w:rPr>
          <w:noProof/>
          <w:lang w:val="bg-BG"/>
        </w:rPr>
        <w:t>1</w:t>
      </w:r>
      <w:r w:rsidRPr="00474BEE">
        <w:rPr>
          <w:lang w:val="bg-BG"/>
        </w:rPr>
        <w:fldChar w:fldCharType="end"/>
      </w:r>
      <w:r w:rsidR="00641A1F" w:rsidRPr="00474BEE">
        <w:rPr>
          <w:lang w:val="bg-BG"/>
        </w:rPr>
        <w:t>.  Делото е образувано по жалба (</w:t>
      </w:r>
      <w:r w:rsidR="00641A1F" w:rsidRPr="00474BEE">
        <w:rPr>
          <w:szCs w:val="24"/>
          <w:cs/>
          <w:lang w:val="bg-BG"/>
        </w:rPr>
        <w:t>№</w:t>
      </w:r>
      <w:r w:rsidR="00641A1F" w:rsidRPr="00474BEE">
        <w:rPr>
          <w:lang w:val="bg-BG"/>
        </w:rPr>
        <w:t xml:space="preserve"> 67258/13) срещу Република България, подадена в Съда на основание чл. 34 от Конвенцията за защита правата на човека и основните свободи („Конвенцията”) от български гражданин, г-н Нурай </w:t>
      </w:r>
      <w:proofErr w:type="spellStart"/>
      <w:r w:rsidR="00641A1F" w:rsidRPr="00474BEE">
        <w:rPr>
          <w:lang w:val="bg-BG"/>
        </w:rPr>
        <w:t>Байрамали</w:t>
      </w:r>
      <w:proofErr w:type="spellEnd"/>
      <w:r w:rsidR="00641A1F" w:rsidRPr="00474BEE">
        <w:rPr>
          <w:lang w:val="bg-BG"/>
        </w:rPr>
        <w:t xml:space="preserve"> Мюмюн („жалбоподател</w:t>
      </w:r>
      <w:r w:rsidR="00C11AC8" w:rsidRPr="00474BEE">
        <w:rPr>
          <w:lang w:val="bg-BG"/>
        </w:rPr>
        <w:t>я</w:t>
      </w:r>
      <w:r w:rsidR="00641A1F" w:rsidRPr="00474BEE">
        <w:rPr>
          <w:lang w:val="bg-BG"/>
        </w:rPr>
        <w:t xml:space="preserve">“), на 11 октомври 2013 г. </w:t>
      </w:r>
    </w:p>
    <w:p w:rsidR="00641A1F" w:rsidRPr="00474BEE" w:rsidRDefault="00D16EB7" w:rsidP="00641A1F">
      <w:pPr>
        <w:pStyle w:val="ECHRPara"/>
        <w:rPr>
          <w:lang w:val="bg-BG"/>
        </w:rPr>
      </w:pPr>
      <w:r w:rsidRPr="00474BEE">
        <w:rPr>
          <w:lang w:val="bg-BG"/>
        </w:rPr>
        <w:fldChar w:fldCharType="begin"/>
      </w:r>
      <w:r w:rsidR="00641A1F" w:rsidRPr="00474BEE">
        <w:rPr>
          <w:lang w:val="bg-BG"/>
        </w:rPr>
        <w:instrText xml:space="preserve"> SEQ level0 \*arabic </w:instrText>
      </w:r>
      <w:r w:rsidRPr="00474BEE">
        <w:rPr>
          <w:lang w:val="bg-BG"/>
        </w:rPr>
        <w:fldChar w:fldCharType="separate"/>
      </w:r>
      <w:r w:rsidR="00641A1F" w:rsidRPr="00474BEE">
        <w:rPr>
          <w:noProof/>
          <w:lang w:val="bg-BG"/>
        </w:rPr>
        <w:t>2</w:t>
      </w:r>
      <w:r w:rsidRPr="00474BEE">
        <w:rPr>
          <w:lang w:val="bg-BG"/>
        </w:rPr>
        <w:fldChar w:fldCharType="end"/>
      </w:r>
      <w:r w:rsidR="00641A1F" w:rsidRPr="00474BEE">
        <w:rPr>
          <w:lang w:val="bg-BG"/>
        </w:rPr>
        <w:t>.  Жалбоподателят е представляван от г-жа Н. Добрева, адвокат, практикуващ в София. Българското правителство („Правителството“) се представлява о</w:t>
      </w:r>
      <w:r w:rsidR="00C144C4">
        <w:rPr>
          <w:lang w:val="bg-BG"/>
        </w:rPr>
        <w:t>т правителствения агент</w:t>
      </w:r>
      <w:r w:rsidR="00086492" w:rsidRPr="00474BEE">
        <w:rPr>
          <w:lang w:val="bg-BG"/>
        </w:rPr>
        <w:t xml:space="preserve"> г-н В. </w:t>
      </w:r>
      <w:r w:rsidR="00641A1F" w:rsidRPr="00474BEE">
        <w:rPr>
          <w:lang w:val="bg-BG"/>
        </w:rPr>
        <w:t>Обретенов от Министерство</w:t>
      </w:r>
      <w:r w:rsidR="00B476A9" w:rsidRPr="00474BEE">
        <w:rPr>
          <w:lang w:val="bg-BG"/>
        </w:rPr>
        <w:t>то</w:t>
      </w:r>
      <w:r w:rsidR="00641A1F" w:rsidRPr="00474BEE">
        <w:rPr>
          <w:lang w:val="bg-BG"/>
        </w:rPr>
        <w:t xml:space="preserve"> на правосъдието. </w:t>
      </w:r>
    </w:p>
    <w:p w:rsidR="00641A1F" w:rsidRPr="00474BEE" w:rsidRDefault="00D16EB7" w:rsidP="00641A1F">
      <w:pPr>
        <w:pStyle w:val="ECHRPara"/>
        <w:rPr>
          <w:lang w:val="bg-BG"/>
        </w:rPr>
      </w:pPr>
      <w:r w:rsidRPr="00474BEE">
        <w:rPr>
          <w:lang w:val="bg-BG"/>
        </w:rPr>
        <w:fldChar w:fldCharType="begin"/>
      </w:r>
      <w:r w:rsidR="00641A1F" w:rsidRPr="00474BEE">
        <w:rPr>
          <w:lang w:val="bg-BG"/>
        </w:rPr>
        <w:instrText xml:space="preserve"> SEQ level0 \*arabic </w:instrText>
      </w:r>
      <w:r w:rsidRPr="00474BEE">
        <w:rPr>
          <w:lang w:val="bg-BG"/>
        </w:rPr>
        <w:fldChar w:fldCharType="separate"/>
      </w:r>
      <w:r w:rsidR="00641A1F" w:rsidRPr="00474BEE">
        <w:rPr>
          <w:noProof/>
          <w:lang w:val="bg-BG"/>
        </w:rPr>
        <w:t>3</w:t>
      </w:r>
      <w:r w:rsidRPr="00474BEE">
        <w:rPr>
          <w:lang w:val="bg-BG"/>
        </w:rPr>
        <w:fldChar w:fldCharType="end"/>
      </w:r>
      <w:r w:rsidR="00641A1F" w:rsidRPr="00474BEE">
        <w:rPr>
          <w:lang w:val="bg-BG"/>
        </w:rPr>
        <w:t xml:space="preserve">.  Жалбоподателят твърди, че санкциите, наложени на трима </w:t>
      </w:r>
      <w:r w:rsidR="00130606" w:rsidRPr="00474BEE">
        <w:rPr>
          <w:lang w:val="bg-BG"/>
        </w:rPr>
        <w:t>полиц</w:t>
      </w:r>
      <w:r w:rsidR="00B476A9" w:rsidRPr="00474BEE">
        <w:rPr>
          <w:lang w:val="bg-BG"/>
        </w:rPr>
        <w:t>ейски служители</w:t>
      </w:r>
      <w:r w:rsidR="00641A1F" w:rsidRPr="00474BEE">
        <w:rPr>
          <w:lang w:val="bg-BG"/>
        </w:rPr>
        <w:t>, които са го малтретирали в ареста с цел да получат самопризнани</w:t>
      </w:r>
      <w:r w:rsidR="00130606" w:rsidRPr="00474BEE">
        <w:rPr>
          <w:lang w:val="bg-BG"/>
        </w:rPr>
        <w:t>я от него, не съответстват</w:t>
      </w:r>
      <w:r w:rsidR="00641A1F" w:rsidRPr="00474BEE">
        <w:rPr>
          <w:lang w:val="bg-BG"/>
        </w:rPr>
        <w:t xml:space="preserve"> на </w:t>
      </w:r>
      <w:r w:rsidR="00086492" w:rsidRPr="00474BEE">
        <w:rPr>
          <w:lang w:val="bg-BG"/>
        </w:rPr>
        <w:t xml:space="preserve"> </w:t>
      </w:r>
      <w:r w:rsidR="009B1AC1" w:rsidRPr="00474BEE">
        <w:rPr>
          <w:lang w:val="bg-BG"/>
        </w:rPr>
        <w:t>процесуал</w:t>
      </w:r>
      <w:r w:rsidR="00B476A9" w:rsidRPr="00474BEE">
        <w:rPr>
          <w:lang w:val="bg-BG"/>
        </w:rPr>
        <w:t>ния</w:t>
      </w:r>
      <w:r w:rsidR="00130606" w:rsidRPr="00474BEE">
        <w:rPr>
          <w:lang w:val="bg-BG"/>
        </w:rPr>
        <w:t xml:space="preserve"> отговор</w:t>
      </w:r>
      <w:r w:rsidR="00B476A9" w:rsidRPr="00474BEE">
        <w:rPr>
          <w:lang w:val="bg-BG"/>
        </w:rPr>
        <w:t>, който се изисква</w:t>
      </w:r>
      <w:r w:rsidR="009B1AC1" w:rsidRPr="00474BEE">
        <w:rPr>
          <w:lang w:val="bg-BG"/>
        </w:rPr>
        <w:t xml:space="preserve"> </w:t>
      </w:r>
      <w:r w:rsidR="00086492" w:rsidRPr="00474BEE">
        <w:rPr>
          <w:lang w:val="bg-BG"/>
        </w:rPr>
        <w:t>съгласно</w:t>
      </w:r>
      <w:r w:rsidR="00641A1F" w:rsidRPr="00474BEE">
        <w:rPr>
          <w:lang w:val="bg-BG"/>
        </w:rPr>
        <w:t xml:space="preserve"> чл. 3 от Конвенцията</w:t>
      </w:r>
      <w:r w:rsidR="00B476A9" w:rsidRPr="00474BEE">
        <w:rPr>
          <w:lang w:val="bg-BG"/>
        </w:rPr>
        <w:t xml:space="preserve"> за такова отношение</w:t>
      </w:r>
      <w:r w:rsidR="00641A1F" w:rsidRPr="00474BEE">
        <w:rPr>
          <w:lang w:val="bg-BG"/>
        </w:rPr>
        <w:t xml:space="preserve">. </w:t>
      </w:r>
    </w:p>
    <w:p w:rsidR="00641A1F" w:rsidRPr="00474BEE" w:rsidRDefault="00D16EB7" w:rsidP="00641A1F">
      <w:pPr>
        <w:pStyle w:val="ECHRPara"/>
        <w:rPr>
          <w:lang w:val="bg-BG"/>
        </w:rPr>
      </w:pPr>
      <w:r w:rsidRPr="00474BEE">
        <w:rPr>
          <w:lang w:val="bg-BG"/>
        </w:rPr>
        <w:fldChar w:fldCharType="begin"/>
      </w:r>
      <w:r w:rsidR="00641A1F" w:rsidRPr="00474BEE">
        <w:rPr>
          <w:lang w:val="bg-BG"/>
        </w:rPr>
        <w:instrText xml:space="preserve"> SEQ level0 \*arabic </w:instrText>
      </w:r>
      <w:r w:rsidRPr="00474BEE">
        <w:rPr>
          <w:lang w:val="bg-BG"/>
        </w:rPr>
        <w:fldChar w:fldCharType="separate"/>
      </w:r>
      <w:r w:rsidR="00641A1F" w:rsidRPr="00474BEE">
        <w:rPr>
          <w:noProof/>
          <w:lang w:val="bg-BG"/>
        </w:rPr>
        <w:t>4</w:t>
      </w:r>
      <w:r w:rsidRPr="00474BEE">
        <w:rPr>
          <w:lang w:val="bg-BG"/>
        </w:rPr>
        <w:fldChar w:fldCharType="end"/>
      </w:r>
      <w:r w:rsidR="00641A1F" w:rsidRPr="00474BEE">
        <w:rPr>
          <w:lang w:val="bg-BG"/>
        </w:rPr>
        <w:t>.  </w:t>
      </w:r>
      <w:r w:rsidR="00086492" w:rsidRPr="00474BEE">
        <w:rPr>
          <w:lang w:val="bg-BG"/>
        </w:rPr>
        <w:t xml:space="preserve">На 7 юли 2014 г. </w:t>
      </w:r>
      <w:r w:rsidR="00B476A9" w:rsidRPr="00474BEE">
        <w:rPr>
          <w:lang w:val="bg-BG"/>
        </w:rPr>
        <w:t>П</w:t>
      </w:r>
      <w:r w:rsidR="00641A1F" w:rsidRPr="00474BEE">
        <w:rPr>
          <w:lang w:val="bg-BG"/>
        </w:rPr>
        <w:t xml:space="preserve">равителството е </w:t>
      </w:r>
      <w:r w:rsidR="001B2479" w:rsidRPr="00474BEE">
        <w:rPr>
          <w:lang w:val="bg-BG"/>
        </w:rPr>
        <w:t>уведомено за</w:t>
      </w:r>
      <w:r w:rsidR="00993424" w:rsidRPr="00474BEE">
        <w:rPr>
          <w:lang w:val="bg-BG"/>
        </w:rPr>
        <w:t xml:space="preserve"> жалба</w:t>
      </w:r>
      <w:r w:rsidR="001B2479" w:rsidRPr="00474BEE">
        <w:rPr>
          <w:lang w:val="bg-BG"/>
        </w:rPr>
        <w:t>та</w:t>
      </w:r>
      <w:r w:rsidR="00641A1F" w:rsidRPr="00474BEE">
        <w:rPr>
          <w:lang w:val="bg-BG"/>
        </w:rPr>
        <w:t>.</w:t>
      </w:r>
    </w:p>
    <w:p w:rsidR="00641A1F" w:rsidRPr="00474BEE" w:rsidRDefault="00D16EB7" w:rsidP="00641A1F">
      <w:pPr>
        <w:pStyle w:val="ECHRPara"/>
        <w:rPr>
          <w:lang w:val="bg-BG"/>
        </w:rPr>
      </w:pPr>
      <w:r w:rsidRPr="00474BEE">
        <w:rPr>
          <w:lang w:val="bg-BG"/>
        </w:rPr>
        <w:fldChar w:fldCharType="begin"/>
      </w:r>
      <w:r w:rsidR="00641A1F" w:rsidRPr="00474BEE">
        <w:rPr>
          <w:lang w:val="bg-BG"/>
        </w:rPr>
        <w:instrText xml:space="preserve"> SEQ level0 \*arabic </w:instrText>
      </w:r>
      <w:r w:rsidRPr="00474BEE">
        <w:rPr>
          <w:lang w:val="bg-BG"/>
        </w:rPr>
        <w:fldChar w:fldCharType="separate"/>
      </w:r>
      <w:r w:rsidR="00641A1F" w:rsidRPr="00474BEE">
        <w:rPr>
          <w:noProof/>
          <w:lang w:val="bg-BG"/>
        </w:rPr>
        <w:t>5</w:t>
      </w:r>
      <w:r w:rsidRPr="00474BEE">
        <w:rPr>
          <w:lang w:val="bg-BG"/>
        </w:rPr>
        <w:fldChar w:fldCharType="end"/>
      </w:r>
      <w:r w:rsidR="00641A1F" w:rsidRPr="00474BEE">
        <w:rPr>
          <w:lang w:val="bg-BG"/>
        </w:rPr>
        <w:t>.  На 17 април 2015 г. г-н Йонко Грозев, избраният от името на България съдия, се оттегля от делото (</w:t>
      </w:r>
      <w:r w:rsidR="001B2479" w:rsidRPr="00474BEE">
        <w:rPr>
          <w:lang w:val="bg-BG"/>
        </w:rPr>
        <w:t>Правило</w:t>
      </w:r>
      <w:r w:rsidR="00641A1F" w:rsidRPr="00474BEE">
        <w:rPr>
          <w:lang w:val="bg-BG"/>
        </w:rPr>
        <w:t xml:space="preserve"> 28 § 3 от Правилника на Съда). Съответно на 3 септември 2015 г. </w:t>
      </w:r>
      <w:r w:rsidR="001B2479" w:rsidRPr="00474BEE">
        <w:rPr>
          <w:lang w:val="bg-BG"/>
        </w:rPr>
        <w:t>п</w:t>
      </w:r>
      <w:r w:rsidR="00BE7923" w:rsidRPr="00474BEE">
        <w:rPr>
          <w:lang w:val="bg-BG"/>
        </w:rPr>
        <w:t xml:space="preserve">редседателят </w:t>
      </w:r>
      <w:r w:rsidR="00641A1F" w:rsidRPr="00474BEE">
        <w:rPr>
          <w:lang w:val="bg-BG"/>
        </w:rPr>
        <w:t xml:space="preserve">на отделението избира </w:t>
      </w:r>
      <w:r w:rsidR="00BE7923" w:rsidRPr="00474BEE">
        <w:rPr>
          <w:lang w:val="bg-BG"/>
        </w:rPr>
        <w:t xml:space="preserve">г-жа Павлина Панова за </w:t>
      </w:r>
      <w:r w:rsidR="000B22B0" w:rsidRPr="00474BEE">
        <w:rPr>
          <w:lang w:val="bg-BG"/>
        </w:rPr>
        <w:t xml:space="preserve">съдия </w:t>
      </w:r>
      <w:r w:rsidR="00A7490C" w:rsidRPr="00474BEE">
        <w:rPr>
          <w:i/>
          <w:lang w:val="en-GB"/>
        </w:rPr>
        <w:t>ad hoc</w:t>
      </w:r>
      <w:r w:rsidR="00A7490C" w:rsidRPr="00474BEE">
        <w:rPr>
          <w:lang w:val="bg-BG"/>
        </w:rPr>
        <w:t xml:space="preserve"> </w:t>
      </w:r>
      <w:r w:rsidR="000B22B0" w:rsidRPr="00474BEE">
        <w:rPr>
          <w:lang w:val="bg-BG"/>
        </w:rPr>
        <w:t>от списък</w:t>
      </w:r>
      <w:r w:rsidR="00641A1F" w:rsidRPr="00474BEE">
        <w:rPr>
          <w:lang w:val="bg-BG"/>
        </w:rPr>
        <w:t xml:space="preserve"> с петима души, посочени от Република България като подходящи да </w:t>
      </w:r>
      <w:r w:rsidR="00086492" w:rsidRPr="00474BEE">
        <w:rPr>
          <w:lang w:val="bg-BG"/>
        </w:rPr>
        <w:t xml:space="preserve">поемат задълженията на </w:t>
      </w:r>
      <w:r w:rsidR="00A7490C" w:rsidRPr="00474BEE">
        <w:rPr>
          <w:lang w:val="bg-BG"/>
        </w:rPr>
        <w:t xml:space="preserve">такъв </w:t>
      </w:r>
      <w:r w:rsidR="00641A1F" w:rsidRPr="00474BEE">
        <w:rPr>
          <w:lang w:val="bg-BG"/>
        </w:rPr>
        <w:t xml:space="preserve">съдия (чл. 26 § 4 от Конвенцията и </w:t>
      </w:r>
      <w:r w:rsidR="00D3032B" w:rsidRPr="00474BEE">
        <w:rPr>
          <w:lang w:val="bg-BG"/>
        </w:rPr>
        <w:t>Правило</w:t>
      </w:r>
      <w:r w:rsidR="00641A1F" w:rsidRPr="00474BEE">
        <w:rPr>
          <w:lang w:val="bg-BG"/>
        </w:rPr>
        <w:t xml:space="preserve"> 29 § 1 (a) от Правилника на Съда).</w:t>
      </w:r>
      <w:r w:rsidR="00A7490C" w:rsidRPr="00474BEE">
        <w:rPr>
          <w:lang w:val="bg-BG"/>
        </w:rPr>
        <w:t xml:space="preserve"> </w:t>
      </w:r>
    </w:p>
    <w:p w:rsidR="00641A1F" w:rsidRPr="00474BEE" w:rsidRDefault="00641A1F" w:rsidP="00641A1F">
      <w:pPr>
        <w:pStyle w:val="ECHRTitle1"/>
        <w:rPr>
          <w:lang w:val="bg-BG"/>
        </w:rPr>
      </w:pPr>
      <w:r w:rsidRPr="00474BEE">
        <w:rPr>
          <w:lang w:val="bg-BG"/>
        </w:rPr>
        <w:lastRenderedPageBreak/>
        <w:t>ФАКТИТЕ</w:t>
      </w:r>
    </w:p>
    <w:p w:rsidR="00641A1F" w:rsidRPr="00474BEE" w:rsidRDefault="00641A1F" w:rsidP="00641A1F">
      <w:pPr>
        <w:pStyle w:val="ECHRHeading1"/>
        <w:outlineLvl w:val="1"/>
        <w:rPr>
          <w:lang w:val="bg-BG"/>
        </w:rPr>
      </w:pPr>
      <w:r w:rsidRPr="00474BEE">
        <w:rPr>
          <w:lang w:val="bg-BG"/>
        </w:rPr>
        <w:t>I.</w:t>
      </w:r>
      <w:r w:rsidR="00086492" w:rsidRPr="00474BEE">
        <w:rPr>
          <w:lang w:val="bg-BG"/>
        </w:rPr>
        <w:t> ОБСТОЯТЕЛСТВА</w:t>
      </w:r>
      <w:r w:rsidR="00D3032B" w:rsidRPr="00474BEE">
        <w:rPr>
          <w:lang w:val="bg-BG"/>
        </w:rPr>
        <w:t>ТА</w:t>
      </w:r>
      <w:r w:rsidRPr="00474BEE">
        <w:rPr>
          <w:lang w:val="bg-BG"/>
        </w:rPr>
        <w:t xml:space="preserve"> ПО ДЕЛОТО</w:t>
      </w:r>
    </w:p>
    <w:p w:rsidR="00641A1F" w:rsidRPr="00474BEE" w:rsidRDefault="00D16EB7" w:rsidP="00641A1F">
      <w:pPr>
        <w:pStyle w:val="ECHRPara"/>
        <w:rPr>
          <w:lang w:val="bg-BG"/>
        </w:rPr>
      </w:pPr>
      <w:r w:rsidRPr="00474BEE">
        <w:rPr>
          <w:lang w:val="bg-BG"/>
        </w:rPr>
        <w:fldChar w:fldCharType="begin"/>
      </w:r>
      <w:r w:rsidR="00641A1F" w:rsidRPr="00474BEE">
        <w:rPr>
          <w:lang w:val="bg-BG"/>
        </w:rPr>
        <w:instrText xml:space="preserve"> SEQ level0 \*arabic </w:instrText>
      </w:r>
      <w:r w:rsidRPr="00474BEE">
        <w:rPr>
          <w:lang w:val="bg-BG"/>
        </w:rPr>
        <w:fldChar w:fldCharType="separate"/>
      </w:r>
      <w:r w:rsidR="00641A1F" w:rsidRPr="00474BEE">
        <w:rPr>
          <w:noProof/>
          <w:lang w:val="bg-BG"/>
        </w:rPr>
        <w:t>6</w:t>
      </w:r>
      <w:r w:rsidRPr="00474BEE">
        <w:rPr>
          <w:lang w:val="bg-BG"/>
        </w:rPr>
        <w:fldChar w:fldCharType="end"/>
      </w:r>
      <w:r w:rsidR="00641A1F" w:rsidRPr="00474BEE">
        <w:rPr>
          <w:lang w:val="bg-BG"/>
        </w:rPr>
        <w:t xml:space="preserve">.  Жалбоподателят е роден през 1979 г. и живее в село Горно Сахране. </w:t>
      </w:r>
    </w:p>
    <w:p w:rsidR="00641A1F" w:rsidRPr="00474BEE" w:rsidRDefault="00641A1F" w:rsidP="00641A1F">
      <w:pPr>
        <w:pStyle w:val="ECHRHeading2"/>
        <w:outlineLvl w:val="2"/>
        <w:rPr>
          <w:lang w:val="bg-BG"/>
        </w:rPr>
      </w:pPr>
      <w:r w:rsidRPr="00474BEE">
        <w:rPr>
          <w:lang w:val="bg-BG"/>
        </w:rPr>
        <w:t xml:space="preserve">A.  Малтретиране на жалбоподателя на 20 февруари 2012 г. </w:t>
      </w:r>
    </w:p>
    <w:p w:rsidR="00641A1F" w:rsidRPr="00474BEE" w:rsidRDefault="00D16EB7" w:rsidP="00641A1F">
      <w:pPr>
        <w:pStyle w:val="ECHRPara"/>
        <w:rPr>
          <w:lang w:val="bg-BG"/>
        </w:rPr>
      </w:pPr>
      <w:r w:rsidRPr="00474BEE">
        <w:rPr>
          <w:lang w:val="bg-BG"/>
        </w:rPr>
        <w:fldChar w:fldCharType="begin"/>
      </w:r>
      <w:r w:rsidR="00641A1F" w:rsidRPr="00474BEE">
        <w:rPr>
          <w:lang w:val="bg-BG"/>
        </w:rPr>
        <w:instrText xml:space="preserve"> SEQ level0 \*arabic </w:instrText>
      </w:r>
      <w:r w:rsidRPr="00474BEE">
        <w:rPr>
          <w:lang w:val="bg-BG"/>
        </w:rPr>
        <w:fldChar w:fldCharType="separate"/>
      </w:r>
      <w:r w:rsidR="00641A1F" w:rsidRPr="00474BEE">
        <w:rPr>
          <w:noProof/>
          <w:lang w:val="bg-BG"/>
        </w:rPr>
        <w:t>7</w:t>
      </w:r>
      <w:r w:rsidRPr="00474BEE">
        <w:rPr>
          <w:lang w:val="bg-BG"/>
        </w:rPr>
        <w:fldChar w:fldCharType="end"/>
      </w:r>
      <w:r w:rsidR="00641A1F" w:rsidRPr="00474BEE">
        <w:rPr>
          <w:lang w:val="bg-BG"/>
        </w:rPr>
        <w:t xml:space="preserve">.  На сутринта на 20 февруари 2012 г. г-н Н.К. и г-н И.К., служители на полицейското управление в Павел Баня, отиват в дома на жалбоподателя по повод оплакване, че няколко дни по-рано, на 16 февруари, е бил извършен обир. </w:t>
      </w:r>
      <w:r w:rsidR="00130606" w:rsidRPr="00474BEE">
        <w:rPr>
          <w:lang w:val="bg-BG"/>
        </w:rPr>
        <w:t>Полицаите</w:t>
      </w:r>
      <w:r w:rsidR="00641A1F" w:rsidRPr="00474BEE">
        <w:rPr>
          <w:lang w:val="bg-BG"/>
        </w:rPr>
        <w:t xml:space="preserve"> са извършвали проверка по въпроса, без да е бил</w:t>
      </w:r>
      <w:r w:rsidR="00086492" w:rsidRPr="00474BEE">
        <w:rPr>
          <w:lang w:val="bg-BG"/>
        </w:rPr>
        <w:t xml:space="preserve">о започнато официално </w:t>
      </w:r>
      <w:r w:rsidR="001D6864" w:rsidRPr="00474BEE">
        <w:rPr>
          <w:lang w:val="bg-BG"/>
        </w:rPr>
        <w:t xml:space="preserve">наказателно </w:t>
      </w:r>
      <w:r w:rsidR="00641A1F" w:rsidRPr="00474BEE">
        <w:rPr>
          <w:lang w:val="bg-BG"/>
        </w:rPr>
        <w:t xml:space="preserve">разследване. Жалбоподателят не си е у дома, но </w:t>
      </w:r>
      <w:r w:rsidR="00130606" w:rsidRPr="00474BEE">
        <w:rPr>
          <w:lang w:val="bg-BG"/>
        </w:rPr>
        <w:t>полицаите</w:t>
      </w:r>
      <w:r w:rsidR="00641A1F" w:rsidRPr="00474BEE">
        <w:rPr>
          <w:lang w:val="bg-BG"/>
        </w:rPr>
        <w:t xml:space="preserve"> получават телефонния му номер от </w:t>
      </w:r>
      <w:r w:rsidR="001D6864" w:rsidRPr="00474BEE">
        <w:rPr>
          <w:lang w:val="bg-BG"/>
        </w:rPr>
        <w:t xml:space="preserve">неговата </w:t>
      </w:r>
      <w:r w:rsidR="00641A1F" w:rsidRPr="00474BEE">
        <w:rPr>
          <w:lang w:val="bg-BG"/>
        </w:rPr>
        <w:t>съпруга и му се обаждат</w:t>
      </w:r>
      <w:r w:rsidR="001D6864" w:rsidRPr="00474BEE">
        <w:rPr>
          <w:lang w:val="bg-BG"/>
        </w:rPr>
        <w:t>, като му к</w:t>
      </w:r>
      <w:r w:rsidR="00641A1F" w:rsidRPr="00474BEE">
        <w:rPr>
          <w:lang w:val="bg-BG"/>
        </w:rPr>
        <w:t xml:space="preserve">азват му да се яви в полицейското управление за </w:t>
      </w:r>
      <w:r w:rsidR="001D6864" w:rsidRPr="00474BEE">
        <w:rPr>
          <w:lang w:val="bg-BG"/>
        </w:rPr>
        <w:t>проверка</w:t>
      </w:r>
      <w:r w:rsidR="00641A1F" w:rsidRPr="00474BEE">
        <w:rPr>
          <w:lang w:val="bg-BG"/>
        </w:rPr>
        <w:t>.</w:t>
      </w:r>
    </w:p>
    <w:p w:rsidR="00641A1F" w:rsidRPr="00474BEE" w:rsidRDefault="00D16EB7" w:rsidP="00641A1F">
      <w:pPr>
        <w:pStyle w:val="ECHRPara"/>
        <w:rPr>
          <w:lang w:val="bg-BG"/>
        </w:rPr>
      </w:pPr>
      <w:r w:rsidRPr="00474BEE">
        <w:rPr>
          <w:lang w:val="bg-BG"/>
        </w:rPr>
        <w:fldChar w:fldCharType="begin"/>
      </w:r>
      <w:r w:rsidR="00641A1F" w:rsidRPr="00474BEE">
        <w:rPr>
          <w:lang w:val="bg-BG"/>
        </w:rPr>
        <w:instrText xml:space="preserve"> SEQ level0 \*arabic </w:instrText>
      </w:r>
      <w:r w:rsidRPr="00474BEE">
        <w:rPr>
          <w:lang w:val="bg-BG"/>
        </w:rPr>
        <w:fldChar w:fldCharType="separate"/>
      </w:r>
      <w:r w:rsidR="00641A1F" w:rsidRPr="00474BEE">
        <w:rPr>
          <w:noProof/>
          <w:lang w:val="bg-BG"/>
        </w:rPr>
        <w:t>8</w:t>
      </w:r>
      <w:r w:rsidRPr="00474BEE">
        <w:rPr>
          <w:lang w:val="bg-BG"/>
        </w:rPr>
        <w:fldChar w:fldCharType="end"/>
      </w:r>
      <w:r w:rsidR="00641A1F" w:rsidRPr="00474BEE">
        <w:rPr>
          <w:lang w:val="bg-BG"/>
        </w:rPr>
        <w:t>.  Жалбоподателят отива в полицейското управление около 13:00 часа. Според констатациите на наказателн</w:t>
      </w:r>
      <w:r w:rsidR="000B22B0" w:rsidRPr="00474BEE">
        <w:rPr>
          <w:lang w:val="bg-BG"/>
        </w:rPr>
        <w:t>ите съдилища, които по-късно разглеждат</w:t>
      </w:r>
      <w:r w:rsidR="00641A1F" w:rsidRPr="00474BEE">
        <w:rPr>
          <w:lang w:val="bg-BG"/>
        </w:rPr>
        <w:t xml:space="preserve"> събитията (вж</w:t>
      </w:r>
      <w:r w:rsidR="00FA75EB" w:rsidRPr="00474BEE">
        <w:rPr>
          <w:lang w:val="bg-BG"/>
        </w:rPr>
        <w:t>.</w:t>
      </w:r>
      <w:r w:rsidR="00641A1F" w:rsidRPr="00474BEE">
        <w:rPr>
          <w:lang w:val="bg-BG"/>
        </w:rPr>
        <w:t xml:space="preserve"> параграф</w:t>
      </w:r>
      <w:r w:rsidR="00A7490C" w:rsidRPr="00474BEE">
        <w:rPr>
          <w:lang w:val="bg-BG"/>
        </w:rPr>
        <w:t>и</w:t>
      </w:r>
      <w:r w:rsidR="00641A1F" w:rsidRPr="00474BEE">
        <w:rPr>
          <w:lang w:val="bg-BG"/>
        </w:rPr>
        <w:t xml:space="preserve"> 20 и 21 по-долу), жалбоподателят е отведен в стая, в която се намират г-н Н.К., г-н И.К. и трети полицейски служител. Г-н Н.К. пита жалбоподателя дали има нещо</w:t>
      </w:r>
      <w:r w:rsidR="00FA75EB" w:rsidRPr="00474BEE">
        <w:rPr>
          <w:lang w:val="bg-BG"/>
        </w:rPr>
        <w:t xml:space="preserve"> да му каже</w:t>
      </w:r>
      <w:r w:rsidR="00641A1F" w:rsidRPr="00474BEE">
        <w:rPr>
          <w:lang w:val="bg-BG"/>
        </w:rPr>
        <w:t xml:space="preserve">. След като третият полицейски служител излиза от стаята, г-н И.К. вади дървена бухалка и удря жалбоподателя по лявото рамо. Удря го още веднъж и жалбоподателят пада на земята. След това г-н Н.К. го рита с коляно и го удря няколко пъти с гумена палка. Известно време след това друг полицейски служител, г-н Т.А., влиза в стаята, носейки </w:t>
      </w:r>
      <w:proofErr w:type="spellStart"/>
      <w:r w:rsidR="00641A1F" w:rsidRPr="00474BEE">
        <w:rPr>
          <w:lang w:val="bg-BG"/>
        </w:rPr>
        <w:t>електрошокова</w:t>
      </w:r>
      <w:proofErr w:type="spellEnd"/>
      <w:r w:rsidR="00641A1F" w:rsidRPr="00474BEE">
        <w:rPr>
          <w:lang w:val="bg-BG"/>
        </w:rPr>
        <w:t xml:space="preserve"> палка. </w:t>
      </w:r>
      <w:r w:rsidR="008977FB" w:rsidRPr="00474BEE">
        <w:rPr>
          <w:lang w:val="bg-BG"/>
        </w:rPr>
        <w:t xml:space="preserve">Той прилага </w:t>
      </w:r>
      <w:proofErr w:type="spellStart"/>
      <w:r w:rsidR="008977FB" w:rsidRPr="00474BEE">
        <w:rPr>
          <w:lang w:val="bg-BG"/>
        </w:rPr>
        <w:t>електрошок</w:t>
      </w:r>
      <w:proofErr w:type="spellEnd"/>
      <w:r w:rsidR="008977FB" w:rsidRPr="00474BEE">
        <w:rPr>
          <w:lang w:val="bg-BG"/>
        </w:rPr>
        <w:t xml:space="preserve"> </w:t>
      </w:r>
      <w:r w:rsidR="00641A1F" w:rsidRPr="00474BEE">
        <w:rPr>
          <w:lang w:val="bg-BG"/>
        </w:rPr>
        <w:t>по левия крак</w:t>
      </w:r>
      <w:r w:rsidR="008977FB" w:rsidRPr="00474BEE">
        <w:rPr>
          <w:lang w:val="bg-BG"/>
        </w:rPr>
        <w:t xml:space="preserve"> на жалбоподателя</w:t>
      </w:r>
      <w:r w:rsidR="00641A1F" w:rsidRPr="00474BEE">
        <w:rPr>
          <w:lang w:val="bg-BG"/>
        </w:rPr>
        <w:t xml:space="preserve">. </w:t>
      </w:r>
      <w:r w:rsidR="008977FB" w:rsidRPr="00474BEE">
        <w:rPr>
          <w:lang w:val="bg-BG"/>
        </w:rPr>
        <w:t xml:space="preserve">Жалбоподателят </w:t>
      </w:r>
      <w:r w:rsidR="00641A1F" w:rsidRPr="00474BEE">
        <w:rPr>
          <w:lang w:val="bg-BG"/>
        </w:rPr>
        <w:t xml:space="preserve">се свива на пода, докато г-н Н.К. и г-н И.К. продължават да го бият. Побоят продължава с прекъсвания още известно време, след което жалбоподателят успява да се изправи на крака. Друг полицейски служител влиза в стаята и остава за </w:t>
      </w:r>
      <w:r w:rsidR="008977FB" w:rsidRPr="00474BEE">
        <w:rPr>
          <w:lang w:val="bg-BG"/>
        </w:rPr>
        <w:t>известно време</w:t>
      </w:r>
      <w:r w:rsidR="00641A1F" w:rsidRPr="00474BEE">
        <w:rPr>
          <w:lang w:val="bg-BG"/>
        </w:rPr>
        <w:t xml:space="preserve">. След като излиза, г-н Н.К., г-н И.К. и г-н Т.А. отново </w:t>
      </w:r>
      <w:r w:rsidR="00394DD3" w:rsidRPr="00474BEE">
        <w:rPr>
          <w:lang w:val="bg-BG"/>
        </w:rPr>
        <w:t xml:space="preserve">прилагат </w:t>
      </w:r>
      <w:proofErr w:type="spellStart"/>
      <w:r w:rsidR="00394DD3" w:rsidRPr="00474BEE">
        <w:rPr>
          <w:lang w:val="bg-BG"/>
        </w:rPr>
        <w:t>електрошок</w:t>
      </w:r>
      <w:proofErr w:type="spellEnd"/>
      <w:r w:rsidR="00394DD3" w:rsidRPr="00474BEE">
        <w:rPr>
          <w:lang w:val="bg-BG"/>
        </w:rPr>
        <w:t xml:space="preserve"> върху </w:t>
      </w:r>
      <w:r w:rsidR="00641A1F" w:rsidRPr="00474BEE">
        <w:rPr>
          <w:lang w:val="bg-BG"/>
        </w:rPr>
        <w:t xml:space="preserve">жалбоподателя </w:t>
      </w:r>
      <w:r w:rsidR="00394DD3" w:rsidRPr="00474BEE">
        <w:rPr>
          <w:lang w:val="bg-BG"/>
        </w:rPr>
        <w:t xml:space="preserve">и продължават </w:t>
      </w:r>
      <w:r w:rsidR="00641A1F" w:rsidRPr="00474BEE">
        <w:rPr>
          <w:lang w:val="bg-BG"/>
        </w:rPr>
        <w:t xml:space="preserve">да го </w:t>
      </w:r>
      <w:r w:rsidR="00394DD3" w:rsidRPr="00474BEE">
        <w:rPr>
          <w:lang w:val="bg-BG"/>
        </w:rPr>
        <w:t xml:space="preserve">удрят </w:t>
      </w:r>
      <w:r w:rsidR="00641A1F" w:rsidRPr="00474BEE">
        <w:rPr>
          <w:lang w:val="bg-BG"/>
        </w:rPr>
        <w:t xml:space="preserve">и ритат. В един момент, когато главата на жалбоподателя е наведена ниско, </w:t>
      </w:r>
      <w:r w:rsidR="00394DD3" w:rsidRPr="00474BEE">
        <w:rPr>
          <w:lang w:val="bg-BG"/>
        </w:rPr>
        <w:t xml:space="preserve">той е </w:t>
      </w:r>
      <w:r w:rsidR="00641A1F" w:rsidRPr="00474BEE">
        <w:rPr>
          <w:lang w:val="bg-BG"/>
        </w:rPr>
        <w:t>рит</w:t>
      </w:r>
      <w:r w:rsidR="00394DD3" w:rsidRPr="00474BEE">
        <w:rPr>
          <w:lang w:val="bg-BG"/>
        </w:rPr>
        <w:t>нат</w:t>
      </w:r>
      <w:r w:rsidR="00641A1F" w:rsidRPr="00474BEE">
        <w:rPr>
          <w:lang w:val="bg-BG"/>
        </w:rPr>
        <w:t xml:space="preserve"> в носа, </w:t>
      </w:r>
      <w:r w:rsidR="001E1827" w:rsidRPr="00474BEE">
        <w:rPr>
          <w:lang w:val="bg-BG"/>
        </w:rPr>
        <w:t>който</w:t>
      </w:r>
      <w:r w:rsidR="00641A1F" w:rsidRPr="00474BEE">
        <w:rPr>
          <w:lang w:val="bg-BG"/>
        </w:rPr>
        <w:t xml:space="preserve"> започва да кърви, след което побоят приключва.</w:t>
      </w:r>
    </w:p>
    <w:p w:rsidR="00641A1F" w:rsidRPr="00474BEE" w:rsidRDefault="00D16EB7" w:rsidP="00641A1F">
      <w:pPr>
        <w:pStyle w:val="ECHRPara"/>
        <w:rPr>
          <w:lang w:val="bg-BG"/>
        </w:rPr>
      </w:pPr>
      <w:r w:rsidRPr="00474BEE">
        <w:rPr>
          <w:lang w:val="bg-BG"/>
        </w:rPr>
        <w:fldChar w:fldCharType="begin"/>
      </w:r>
      <w:r w:rsidR="00641A1F" w:rsidRPr="00474BEE">
        <w:rPr>
          <w:lang w:val="bg-BG"/>
        </w:rPr>
        <w:instrText xml:space="preserve"> SEQ level0 \*arabic </w:instrText>
      </w:r>
      <w:r w:rsidRPr="00474BEE">
        <w:rPr>
          <w:lang w:val="bg-BG"/>
        </w:rPr>
        <w:fldChar w:fldCharType="separate"/>
      </w:r>
      <w:r w:rsidR="00641A1F" w:rsidRPr="00474BEE">
        <w:rPr>
          <w:noProof/>
          <w:lang w:val="bg-BG"/>
        </w:rPr>
        <w:t>9</w:t>
      </w:r>
      <w:r w:rsidRPr="00474BEE">
        <w:rPr>
          <w:lang w:val="bg-BG"/>
        </w:rPr>
        <w:fldChar w:fldCharType="end"/>
      </w:r>
      <w:r w:rsidR="00641A1F" w:rsidRPr="00474BEE">
        <w:rPr>
          <w:lang w:val="bg-BG"/>
        </w:rPr>
        <w:t xml:space="preserve">.  Ударите, които жалбоподателят </w:t>
      </w:r>
      <w:r w:rsidR="001E1827" w:rsidRPr="00474BEE">
        <w:rPr>
          <w:lang w:val="bg-BG"/>
        </w:rPr>
        <w:t>понася</w:t>
      </w:r>
      <w:r w:rsidR="00641A1F" w:rsidRPr="00474BEE">
        <w:rPr>
          <w:lang w:val="bg-BG"/>
        </w:rPr>
        <w:t xml:space="preserve">, му причиняват хематом на носа, както и хематоми и </w:t>
      </w:r>
      <w:r w:rsidR="001E1827" w:rsidRPr="00474BEE">
        <w:rPr>
          <w:lang w:val="bg-BG"/>
        </w:rPr>
        <w:t xml:space="preserve">наранявания </w:t>
      </w:r>
      <w:r w:rsidR="00641A1F" w:rsidRPr="00474BEE">
        <w:rPr>
          <w:lang w:val="bg-BG"/>
        </w:rPr>
        <w:t xml:space="preserve">в лявата горна част на гърба, лявата част на торса и лявото рамо. </w:t>
      </w:r>
    </w:p>
    <w:p w:rsidR="00641A1F" w:rsidRPr="00474BEE" w:rsidRDefault="00D16EB7" w:rsidP="00641A1F">
      <w:pPr>
        <w:pStyle w:val="ECHRPara"/>
        <w:rPr>
          <w:lang w:val="bg-BG"/>
        </w:rPr>
      </w:pPr>
      <w:r w:rsidRPr="00474BEE">
        <w:rPr>
          <w:lang w:val="bg-BG"/>
        </w:rPr>
        <w:fldChar w:fldCharType="begin"/>
      </w:r>
      <w:r w:rsidR="00641A1F" w:rsidRPr="00474BEE">
        <w:rPr>
          <w:lang w:val="bg-BG"/>
        </w:rPr>
        <w:instrText xml:space="preserve"> SEQ level0 \*arabic </w:instrText>
      </w:r>
      <w:r w:rsidRPr="00474BEE">
        <w:rPr>
          <w:lang w:val="bg-BG"/>
        </w:rPr>
        <w:fldChar w:fldCharType="separate"/>
      </w:r>
      <w:r w:rsidR="00641A1F" w:rsidRPr="00474BEE">
        <w:rPr>
          <w:noProof/>
          <w:lang w:val="bg-BG"/>
        </w:rPr>
        <w:t>10</w:t>
      </w:r>
      <w:r w:rsidRPr="00474BEE">
        <w:rPr>
          <w:lang w:val="bg-BG"/>
        </w:rPr>
        <w:fldChar w:fldCharType="end"/>
      </w:r>
      <w:r w:rsidR="00641A1F" w:rsidRPr="00474BEE">
        <w:rPr>
          <w:lang w:val="bg-BG"/>
        </w:rPr>
        <w:t xml:space="preserve">.  Около 16:00 часа г-н Н.К. изготвя писмено изявление от името на жалбоподателя, според което той не знае нищо за докладвания обир и </w:t>
      </w:r>
      <w:r w:rsidR="001E1827" w:rsidRPr="00474BEE">
        <w:rPr>
          <w:lang w:val="bg-BG"/>
        </w:rPr>
        <w:t xml:space="preserve">го </w:t>
      </w:r>
      <w:r w:rsidR="00641A1F" w:rsidRPr="00474BEE">
        <w:rPr>
          <w:lang w:val="bg-BG"/>
        </w:rPr>
        <w:t xml:space="preserve">дава на жалбоподателя </w:t>
      </w:r>
      <w:r w:rsidR="001E1827" w:rsidRPr="00474BEE">
        <w:rPr>
          <w:lang w:val="bg-BG"/>
        </w:rPr>
        <w:t>за</w:t>
      </w:r>
      <w:r w:rsidR="00641A1F" w:rsidRPr="00474BEE">
        <w:rPr>
          <w:lang w:val="bg-BG"/>
        </w:rPr>
        <w:t xml:space="preserve"> подпи</w:t>
      </w:r>
      <w:r w:rsidR="001E1827" w:rsidRPr="00474BEE">
        <w:rPr>
          <w:lang w:val="bg-BG"/>
        </w:rPr>
        <w:t>с</w:t>
      </w:r>
      <w:r w:rsidR="00641A1F" w:rsidRPr="00474BEE">
        <w:rPr>
          <w:lang w:val="bg-BG"/>
        </w:rPr>
        <w:t xml:space="preserve">. </w:t>
      </w:r>
      <w:r w:rsidR="001B113D" w:rsidRPr="00474BEE">
        <w:rPr>
          <w:lang w:val="bg-BG"/>
        </w:rPr>
        <w:t>Жалбоподателят е о</w:t>
      </w:r>
      <w:r w:rsidR="00641A1F" w:rsidRPr="00474BEE">
        <w:rPr>
          <w:lang w:val="bg-BG"/>
        </w:rPr>
        <w:t xml:space="preserve">свободен около 17:00 часа. </w:t>
      </w:r>
    </w:p>
    <w:p w:rsidR="00641A1F" w:rsidRPr="00474BEE" w:rsidRDefault="00D16EB7" w:rsidP="00641A1F">
      <w:pPr>
        <w:pStyle w:val="ECHRPara"/>
        <w:rPr>
          <w:lang w:val="bg-BG"/>
        </w:rPr>
      </w:pPr>
      <w:r w:rsidRPr="00474BEE">
        <w:rPr>
          <w:lang w:val="bg-BG"/>
        </w:rPr>
        <w:lastRenderedPageBreak/>
        <w:fldChar w:fldCharType="begin"/>
      </w:r>
      <w:r w:rsidR="00641A1F" w:rsidRPr="00474BEE">
        <w:rPr>
          <w:lang w:val="bg-BG"/>
        </w:rPr>
        <w:instrText xml:space="preserve"> SEQ level0 \*arabic </w:instrText>
      </w:r>
      <w:r w:rsidRPr="00474BEE">
        <w:rPr>
          <w:lang w:val="bg-BG"/>
        </w:rPr>
        <w:fldChar w:fldCharType="separate"/>
      </w:r>
      <w:r w:rsidR="00641A1F" w:rsidRPr="00474BEE">
        <w:rPr>
          <w:noProof/>
          <w:lang w:val="bg-BG"/>
        </w:rPr>
        <w:t>11</w:t>
      </w:r>
      <w:r w:rsidRPr="00474BEE">
        <w:rPr>
          <w:lang w:val="bg-BG"/>
        </w:rPr>
        <w:fldChar w:fldCharType="end"/>
      </w:r>
      <w:r w:rsidR="00641A1F" w:rsidRPr="00474BEE">
        <w:rPr>
          <w:lang w:val="bg-BG"/>
        </w:rPr>
        <w:t xml:space="preserve">.  На следващия ден, 21 февруари 2012 г., жалбоподателят е прегледан от съдебен лекар, който установява наличието на множество хематоми и </w:t>
      </w:r>
      <w:r w:rsidR="001B113D" w:rsidRPr="00474BEE">
        <w:rPr>
          <w:lang w:val="bg-BG"/>
        </w:rPr>
        <w:t xml:space="preserve">натъртвания </w:t>
      </w:r>
      <w:r w:rsidR="00641A1F" w:rsidRPr="00474BEE">
        <w:rPr>
          <w:lang w:val="bg-BG"/>
        </w:rPr>
        <w:t>по лицето и горната част на тялото му</w:t>
      </w:r>
      <w:r w:rsidR="001B113D" w:rsidRPr="00474BEE">
        <w:rPr>
          <w:lang w:val="bg-BG"/>
        </w:rPr>
        <w:t>, които</w:t>
      </w:r>
      <w:r w:rsidR="00641A1F" w:rsidRPr="00474BEE">
        <w:rPr>
          <w:lang w:val="bg-BG"/>
        </w:rPr>
        <w:t xml:space="preserve"> </w:t>
      </w:r>
      <w:r w:rsidR="001B113D" w:rsidRPr="00474BEE">
        <w:rPr>
          <w:lang w:val="bg-BG"/>
        </w:rPr>
        <w:t>л</w:t>
      </w:r>
      <w:r w:rsidR="00641A1F" w:rsidRPr="00474BEE">
        <w:rPr>
          <w:lang w:val="bg-BG"/>
        </w:rPr>
        <w:t>екарят смята</w:t>
      </w:r>
      <w:r w:rsidR="001B113D" w:rsidRPr="00474BEE">
        <w:rPr>
          <w:lang w:val="bg-BG"/>
        </w:rPr>
        <w:t xml:space="preserve"> за</w:t>
      </w:r>
      <w:r w:rsidR="00641A1F" w:rsidRPr="00474BEE">
        <w:rPr>
          <w:lang w:val="bg-BG"/>
        </w:rPr>
        <w:t xml:space="preserve"> причинени от „твърди тъпи предмети и предмети с цилиндрична форма“. </w:t>
      </w:r>
    </w:p>
    <w:p w:rsidR="00641A1F" w:rsidRPr="00474BEE" w:rsidRDefault="00C66C52" w:rsidP="00641A1F">
      <w:pPr>
        <w:pStyle w:val="ECHRHeading2"/>
        <w:outlineLvl w:val="2"/>
        <w:rPr>
          <w:lang w:val="bg-BG"/>
        </w:rPr>
      </w:pPr>
      <w:r w:rsidRPr="00474BEE">
        <w:rPr>
          <w:lang w:val="bg-BG"/>
        </w:rPr>
        <w:t>Б</w:t>
      </w:r>
      <w:r w:rsidR="00641A1F" w:rsidRPr="00474BEE">
        <w:rPr>
          <w:lang w:val="bg-BG"/>
        </w:rPr>
        <w:t>.  Наказателно</w:t>
      </w:r>
      <w:r w:rsidR="00A7490C" w:rsidRPr="00474BEE">
        <w:rPr>
          <w:lang w:val="bg-BG"/>
        </w:rPr>
        <w:t>то</w:t>
      </w:r>
      <w:r w:rsidR="00641A1F" w:rsidRPr="00474BEE">
        <w:rPr>
          <w:lang w:val="bg-BG"/>
        </w:rPr>
        <w:t xml:space="preserve"> производство </w:t>
      </w:r>
      <w:r w:rsidRPr="00474BEE">
        <w:rPr>
          <w:lang w:val="bg-BG"/>
        </w:rPr>
        <w:t>срещу полицаите</w:t>
      </w:r>
    </w:p>
    <w:p w:rsidR="00641A1F" w:rsidRPr="00474BEE" w:rsidRDefault="00D16EB7" w:rsidP="00641A1F">
      <w:pPr>
        <w:pStyle w:val="ECHRPara"/>
        <w:rPr>
          <w:lang w:val="bg-BG"/>
        </w:rPr>
      </w:pPr>
      <w:r w:rsidRPr="00474BEE">
        <w:rPr>
          <w:lang w:val="bg-BG"/>
        </w:rPr>
        <w:fldChar w:fldCharType="begin"/>
      </w:r>
      <w:r w:rsidR="00641A1F" w:rsidRPr="00474BEE">
        <w:rPr>
          <w:lang w:val="bg-BG"/>
        </w:rPr>
        <w:instrText xml:space="preserve"> SEQ level0 \*arabic </w:instrText>
      </w:r>
      <w:r w:rsidRPr="00474BEE">
        <w:rPr>
          <w:lang w:val="bg-BG"/>
        </w:rPr>
        <w:fldChar w:fldCharType="separate"/>
      </w:r>
      <w:r w:rsidR="00641A1F" w:rsidRPr="00474BEE">
        <w:rPr>
          <w:noProof/>
          <w:lang w:val="bg-BG"/>
        </w:rPr>
        <w:t>12</w:t>
      </w:r>
      <w:r w:rsidRPr="00474BEE">
        <w:rPr>
          <w:lang w:val="bg-BG"/>
        </w:rPr>
        <w:fldChar w:fldCharType="end"/>
      </w:r>
      <w:r w:rsidR="00641A1F" w:rsidRPr="00474BEE">
        <w:rPr>
          <w:lang w:val="bg-BG"/>
        </w:rPr>
        <w:t xml:space="preserve">.  На 27 февруари 2012 г. жалбоподателят се оплаква относно инцидента пред член на </w:t>
      </w:r>
      <w:r w:rsidR="00A7490C" w:rsidRPr="00474BEE">
        <w:rPr>
          <w:lang w:val="bg-BG"/>
        </w:rPr>
        <w:t>п</w:t>
      </w:r>
      <w:r w:rsidR="00641A1F" w:rsidRPr="00474BEE">
        <w:rPr>
          <w:lang w:val="bg-BG"/>
        </w:rPr>
        <w:t>арламента, който насочва жалбата му към органите на прокуратурата. В резултат</w:t>
      </w:r>
      <w:r w:rsidR="00F30D66" w:rsidRPr="00474BEE">
        <w:rPr>
          <w:lang w:val="bg-BG"/>
        </w:rPr>
        <w:t xml:space="preserve"> на това</w:t>
      </w:r>
      <w:r w:rsidR="00641A1F" w:rsidRPr="00474BEE">
        <w:rPr>
          <w:lang w:val="bg-BG"/>
        </w:rPr>
        <w:t xml:space="preserve"> Районна прокуратура – Казанлък образува наказателно производство срещу тримата </w:t>
      </w:r>
      <w:r w:rsidR="00130606" w:rsidRPr="00474BEE">
        <w:rPr>
          <w:lang w:val="bg-BG"/>
        </w:rPr>
        <w:t>полицаи</w:t>
      </w:r>
      <w:r w:rsidR="00641A1F" w:rsidRPr="00474BEE">
        <w:rPr>
          <w:lang w:val="bg-BG"/>
        </w:rPr>
        <w:t xml:space="preserve">, </w:t>
      </w:r>
      <w:r w:rsidR="00941E60" w:rsidRPr="00474BEE">
        <w:rPr>
          <w:lang w:val="bg-BG"/>
        </w:rPr>
        <w:t xml:space="preserve">които </w:t>
      </w:r>
      <w:r w:rsidR="00641A1F" w:rsidRPr="00474BEE">
        <w:rPr>
          <w:lang w:val="bg-BG"/>
        </w:rPr>
        <w:t>малтретира</w:t>
      </w:r>
      <w:r w:rsidR="00941E60" w:rsidRPr="00474BEE">
        <w:rPr>
          <w:lang w:val="bg-BG"/>
        </w:rPr>
        <w:t>ли</w:t>
      </w:r>
      <w:r w:rsidR="00641A1F" w:rsidRPr="00474BEE">
        <w:rPr>
          <w:lang w:val="bg-BG"/>
        </w:rPr>
        <w:t xml:space="preserve"> жалбоподателя</w:t>
      </w:r>
      <w:r w:rsidR="00941E60" w:rsidRPr="00474BEE">
        <w:rPr>
          <w:lang w:val="bg-BG"/>
        </w:rPr>
        <w:t xml:space="preserve"> и н</w:t>
      </w:r>
      <w:r w:rsidR="00641A1F" w:rsidRPr="00474BEE">
        <w:rPr>
          <w:lang w:val="bg-BG"/>
        </w:rPr>
        <w:t xml:space="preserve">а 1 февруари 2013 г. </w:t>
      </w:r>
      <w:r w:rsidR="00941E60" w:rsidRPr="00474BEE">
        <w:rPr>
          <w:lang w:val="bg-BG"/>
        </w:rPr>
        <w:t>ги</w:t>
      </w:r>
      <w:r w:rsidR="00641A1F" w:rsidRPr="00474BEE">
        <w:rPr>
          <w:lang w:val="bg-BG"/>
        </w:rPr>
        <w:t xml:space="preserve"> обвин</w:t>
      </w:r>
      <w:r w:rsidR="00941E60" w:rsidRPr="00474BEE">
        <w:rPr>
          <w:lang w:val="bg-BG"/>
        </w:rPr>
        <w:t>ява</w:t>
      </w:r>
      <w:r w:rsidR="00641A1F" w:rsidRPr="00474BEE">
        <w:rPr>
          <w:lang w:val="bg-BG"/>
        </w:rPr>
        <w:t xml:space="preserve"> </w:t>
      </w:r>
      <w:r w:rsidR="00C66C52" w:rsidRPr="00474BEE">
        <w:rPr>
          <w:lang w:val="bg-BG"/>
        </w:rPr>
        <w:t>в нанасяне на лека телесна повреда</w:t>
      </w:r>
      <w:r w:rsidR="00641A1F" w:rsidRPr="00474BEE">
        <w:rPr>
          <w:lang w:val="bg-BG"/>
        </w:rPr>
        <w:t xml:space="preserve"> </w:t>
      </w:r>
      <w:r w:rsidR="00163415" w:rsidRPr="00474BEE">
        <w:rPr>
          <w:lang w:val="bg-BG"/>
        </w:rPr>
        <w:t xml:space="preserve">при изпълнение </w:t>
      </w:r>
      <w:r w:rsidR="00641A1F" w:rsidRPr="00474BEE">
        <w:rPr>
          <w:lang w:val="bg-BG"/>
        </w:rPr>
        <w:t>н</w:t>
      </w:r>
      <w:r w:rsidR="00C66C52" w:rsidRPr="00474BEE">
        <w:rPr>
          <w:lang w:val="bg-BG"/>
        </w:rPr>
        <w:t>а служ</w:t>
      </w:r>
      <w:r w:rsidR="00F30D66" w:rsidRPr="00474BEE">
        <w:rPr>
          <w:lang w:val="bg-BG"/>
        </w:rPr>
        <w:t>ебните</w:t>
      </w:r>
      <w:r w:rsidR="00163415" w:rsidRPr="00474BEE">
        <w:rPr>
          <w:lang w:val="bg-BG"/>
        </w:rPr>
        <w:t xml:space="preserve"> им</w:t>
      </w:r>
      <w:r w:rsidR="00641A1F" w:rsidRPr="00474BEE">
        <w:rPr>
          <w:lang w:val="bg-BG"/>
        </w:rPr>
        <w:t xml:space="preserve"> </w:t>
      </w:r>
      <w:r w:rsidR="00F30D66" w:rsidRPr="00474BEE">
        <w:rPr>
          <w:lang w:val="bg-BG"/>
        </w:rPr>
        <w:t xml:space="preserve">задължения </w:t>
      </w:r>
      <w:r w:rsidR="00641A1F" w:rsidRPr="00474BEE">
        <w:rPr>
          <w:lang w:val="bg-BG"/>
        </w:rPr>
        <w:t xml:space="preserve">– престъпление по </w:t>
      </w:r>
      <w:r w:rsidR="00916352" w:rsidRPr="00474BEE">
        <w:rPr>
          <w:lang w:val="bg-BG"/>
        </w:rPr>
        <w:t xml:space="preserve">силата на </w:t>
      </w:r>
      <w:r w:rsidR="00641A1F" w:rsidRPr="00474BEE">
        <w:rPr>
          <w:lang w:val="bg-BG"/>
        </w:rPr>
        <w:t xml:space="preserve">чл. </w:t>
      </w:r>
      <w:r w:rsidR="00C66C52" w:rsidRPr="00474BEE">
        <w:rPr>
          <w:lang w:val="bg-BG"/>
        </w:rPr>
        <w:t>131</w:t>
      </w:r>
      <w:r w:rsidR="00F30D66" w:rsidRPr="00474BEE">
        <w:rPr>
          <w:lang w:val="bg-BG"/>
        </w:rPr>
        <w:t xml:space="preserve"> </w:t>
      </w:r>
      <w:r w:rsidR="00F30D66" w:rsidRPr="00474BEE">
        <w:rPr>
          <w:rFonts w:cs="Calibri"/>
          <w:lang w:val="en-GB"/>
        </w:rPr>
        <w:t>§</w:t>
      </w:r>
      <w:r w:rsidR="00641A1F" w:rsidRPr="00474BEE">
        <w:rPr>
          <w:lang w:val="bg-BG"/>
        </w:rPr>
        <w:t xml:space="preserve"> </w:t>
      </w:r>
      <w:r w:rsidR="00C66C52" w:rsidRPr="00474BEE">
        <w:rPr>
          <w:lang w:val="bg-BG"/>
        </w:rPr>
        <w:t>1 (2)</w:t>
      </w:r>
      <w:r w:rsidR="00AB5EBD" w:rsidRPr="00474BEE">
        <w:rPr>
          <w:lang w:val="bg-BG"/>
        </w:rPr>
        <w:t xml:space="preserve">, разглеждан </w:t>
      </w:r>
      <w:r w:rsidR="00F30D66" w:rsidRPr="00474BEE">
        <w:rPr>
          <w:lang w:val="bg-BG"/>
        </w:rPr>
        <w:t xml:space="preserve">във връзка </w:t>
      </w:r>
      <w:r w:rsidR="00641A1F" w:rsidRPr="00474BEE">
        <w:rPr>
          <w:lang w:val="bg-BG"/>
        </w:rPr>
        <w:t xml:space="preserve">с чл. 130 § 2 от Наказателния кодекс </w:t>
      </w:r>
      <w:r w:rsidR="00916352" w:rsidRPr="00474BEE">
        <w:rPr>
          <w:lang w:val="bg-BG"/>
        </w:rPr>
        <w:t>(„НК“)</w:t>
      </w:r>
      <w:r w:rsidR="00641A1F" w:rsidRPr="00474BEE">
        <w:rPr>
          <w:lang w:val="bg-BG"/>
        </w:rPr>
        <w:t>от 1968 г. (</w:t>
      </w:r>
      <w:r w:rsidR="00C66C52" w:rsidRPr="00474BEE">
        <w:rPr>
          <w:lang w:val="bg-BG"/>
        </w:rPr>
        <w:t>вж</w:t>
      </w:r>
      <w:r w:rsidR="00163415" w:rsidRPr="00474BEE">
        <w:rPr>
          <w:lang w:val="bg-BG"/>
        </w:rPr>
        <w:t>.</w:t>
      </w:r>
      <w:r w:rsidR="00C66C52" w:rsidRPr="00474BEE">
        <w:rPr>
          <w:lang w:val="bg-BG"/>
        </w:rPr>
        <w:t xml:space="preserve"> параграфи 28 и 29 по-долу).</w:t>
      </w:r>
    </w:p>
    <w:p w:rsidR="00641A1F" w:rsidRPr="00474BEE" w:rsidRDefault="00D16EB7" w:rsidP="00641A1F">
      <w:pPr>
        <w:pStyle w:val="ECHRPara"/>
        <w:rPr>
          <w:lang w:val="bg-BG"/>
        </w:rPr>
      </w:pPr>
      <w:r w:rsidRPr="00474BEE">
        <w:rPr>
          <w:lang w:val="bg-BG"/>
        </w:rPr>
        <w:fldChar w:fldCharType="begin"/>
      </w:r>
      <w:r w:rsidR="00641A1F" w:rsidRPr="00474BEE">
        <w:rPr>
          <w:lang w:val="bg-BG"/>
        </w:rPr>
        <w:instrText xml:space="preserve"> SEQ level0 \*arabic </w:instrText>
      </w:r>
      <w:r w:rsidRPr="00474BEE">
        <w:rPr>
          <w:lang w:val="bg-BG"/>
        </w:rPr>
        <w:fldChar w:fldCharType="separate"/>
      </w:r>
      <w:r w:rsidR="00641A1F" w:rsidRPr="00474BEE">
        <w:rPr>
          <w:noProof/>
          <w:lang w:val="bg-BG"/>
        </w:rPr>
        <w:t>13</w:t>
      </w:r>
      <w:r w:rsidRPr="00474BEE">
        <w:rPr>
          <w:lang w:val="bg-BG"/>
        </w:rPr>
        <w:fldChar w:fldCharType="end"/>
      </w:r>
      <w:r w:rsidR="00641A1F" w:rsidRPr="00474BEE">
        <w:rPr>
          <w:lang w:val="bg-BG"/>
        </w:rPr>
        <w:t>.  </w:t>
      </w:r>
      <w:r w:rsidR="00993424" w:rsidRPr="00474BEE">
        <w:rPr>
          <w:lang w:val="bg-BG"/>
        </w:rPr>
        <w:t>Н</w:t>
      </w:r>
      <w:r w:rsidR="00641A1F" w:rsidRPr="00474BEE">
        <w:rPr>
          <w:lang w:val="bg-BG"/>
        </w:rPr>
        <w:t xml:space="preserve">а 1 март 2013 г. прокурорът по делото уведомява жалбоподателя, че тъй като предвиденото наказание за това престъпление е до една година лишаване от свобода, ще се снеме наказателната отговорност на </w:t>
      </w:r>
      <w:r w:rsidR="00130606" w:rsidRPr="00474BEE">
        <w:rPr>
          <w:lang w:val="bg-BG"/>
        </w:rPr>
        <w:t>полицаите</w:t>
      </w:r>
      <w:r w:rsidR="00641A1F" w:rsidRPr="00474BEE">
        <w:rPr>
          <w:lang w:val="bg-BG"/>
        </w:rPr>
        <w:t xml:space="preserve"> и ще се замени с административни наказания, както се изисква по силата н</w:t>
      </w:r>
      <w:r w:rsidR="00C66C52" w:rsidRPr="00474BEE">
        <w:rPr>
          <w:lang w:val="bg-BG"/>
        </w:rPr>
        <w:t>а чл. 78а от НК</w:t>
      </w:r>
      <w:r w:rsidR="00641A1F" w:rsidRPr="00474BEE">
        <w:rPr>
          <w:lang w:val="bg-BG"/>
        </w:rPr>
        <w:t xml:space="preserve"> (в</w:t>
      </w:r>
      <w:r w:rsidR="00916352" w:rsidRPr="00474BEE">
        <w:rPr>
          <w:lang w:val="bg-BG"/>
        </w:rPr>
        <w:t>ж.</w:t>
      </w:r>
      <w:r w:rsidR="00641A1F" w:rsidRPr="00474BEE">
        <w:rPr>
          <w:lang w:val="bg-BG"/>
        </w:rPr>
        <w:t xml:space="preserve"> параграф 42 по-долу). </w:t>
      </w:r>
    </w:p>
    <w:p w:rsidR="00641A1F" w:rsidRPr="00474BEE" w:rsidRDefault="00D16EB7" w:rsidP="00641A1F">
      <w:pPr>
        <w:pStyle w:val="ECHRPara"/>
        <w:rPr>
          <w:lang w:val="bg-BG"/>
        </w:rPr>
      </w:pPr>
      <w:r w:rsidRPr="00474BEE">
        <w:rPr>
          <w:lang w:val="bg-BG"/>
        </w:rPr>
        <w:fldChar w:fldCharType="begin"/>
      </w:r>
      <w:r w:rsidR="00641A1F" w:rsidRPr="00474BEE">
        <w:rPr>
          <w:lang w:val="bg-BG"/>
        </w:rPr>
        <w:instrText xml:space="preserve"> SEQ level0 \*arabic </w:instrText>
      </w:r>
      <w:r w:rsidRPr="00474BEE">
        <w:rPr>
          <w:lang w:val="bg-BG"/>
        </w:rPr>
        <w:fldChar w:fldCharType="separate"/>
      </w:r>
      <w:r w:rsidR="00641A1F" w:rsidRPr="00474BEE">
        <w:rPr>
          <w:noProof/>
          <w:lang w:val="bg-BG"/>
        </w:rPr>
        <w:t>14</w:t>
      </w:r>
      <w:r w:rsidRPr="00474BEE">
        <w:rPr>
          <w:lang w:val="bg-BG"/>
        </w:rPr>
        <w:fldChar w:fldCharType="end"/>
      </w:r>
      <w:r w:rsidR="00641A1F" w:rsidRPr="00474BEE">
        <w:rPr>
          <w:lang w:val="bg-BG"/>
        </w:rPr>
        <w:t xml:space="preserve">.  На 28 март 2013 г. жалбоподателят иска от Районна прокуратура – Казанлък да разгледа възможността за повдигане на обвинения срещу </w:t>
      </w:r>
      <w:r w:rsidR="00130606" w:rsidRPr="00474BEE">
        <w:rPr>
          <w:lang w:val="bg-BG"/>
        </w:rPr>
        <w:t>полиц</w:t>
      </w:r>
      <w:r w:rsidR="0064749B" w:rsidRPr="00474BEE">
        <w:rPr>
          <w:lang w:val="bg-BG"/>
        </w:rPr>
        <w:t>ейските служители</w:t>
      </w:r>
      <w:r w:rsidR="00641A1F" w:rsidRPr="00474BEE">
        <w:rPr>
          <w:lang w:val="bg-BG"/>
        </w:rPr>
        <w:t xml:space="preserve"> по силата на чл. 282 § 1</w:t>
      </w:r>
      <w:r w:rsidR="00C66C52" w:rsidRPr="00474BEE">
        <w:rPr>
          <w:lang w:val="bg-BG"/>
        </w:rPr>
        <w:t xml:space="preserve"> от НК</w:t>
      </w:r>
      <w:r w:rsidR="00641A1F" w:rsidRPr="00474BEE">
        <w:rPr>
          <w:lang w:val="bg-BG"/>
        </w:rPr>
        <w:t xml:space="preserve"> (вж</w:t>
      </w:r>
      <w:r w:rsidR="0064749B" w:rsidRPr="00474BEE">
        <w:rPr>
          <w:lang w:val="bg-BG"/>
        </w:rPr>
        <w:t>.</w:t>
      </w:r>
      <w:r w:rsidR="00641A1F" w:rsidRPr="00474BEE">
        <w:rPr>
          <w:lang w:val="bg-BG"/>
        </w:rPr>
        <w:t xml:space="preserve"> параграф 31 по-долу). Жалбоподателят изтъква, че според практиката на </w:t>
      </w:r>
      <w:r w:rsidR="00F30D66" w:rsidRPr="00474BEE">
        <w:rPr>
          <w:lang w:val="bg-BG"/>
        </w:rPr>
        <w:t>С</w:t>
      </w:r>
      <w:r w:rsidR="00641A1F" w:rsidRPr="00474BEE">
        <w:rPr>
          <w:lang w:val="bg-BG"/>
        </w:rPr>
        <w:t>ъд</w:t>
      </w:r>
      <w:r w:rsidR="0064749B" w:rsidRPr="00474BEE">
        <w:rPr>
          <w:lang w:val="bg-BG"/>
        </w:rPr>
        <w:t>а</w:t>
      </w:r>
      <w:r w:rsidR="00641A1F" w:rsidRPr="00474BEE">
        <w:rPr>
          <w:lang w:val="bg-BG"/>
        </w:rPr>
        <w:t xml:space="preserve"> глоб</w:t>
      </w:r>
      <w:r w:rsidR="00F30D66" w:rsidRPr="00474BEE">
        <w:rPr>
          <w:lang w:val="bg-BG"/>
        </w:rPr>
        <w:t>ата</w:t>
      </w:r>
      <w:r w:rsidR="00641A1F" w:rsidRPr="00474BEE">
        <w:rPr>
          <w:lang w:val="bg-BG"/>
        </w:rPr>
        <w:t>, ко</w:t>
      </w:r>
      <w:r w:rsidR="00F30D66" w:rsidRPr="00474BEE">
        <w:rPr>
          <w:lang w:val="bg-BG"/>
        </w:rPr>
        <w:t>я</w:t>
      </w:r>
      <w:r w:rsidR="00641A1F" w:rsidRPr="00474BEE">
        <w:rPr>
          <w:lang w:val="bg-BG"/>
        </w:rPr>
        <w:t xml:space="preserve">то единствено се предвижда от обвиненията </w:t>
      </w:r>
      <w:r w:rsidR="0064749B" w:rsidRPr="00474BEE">
        <w:rPr>
          <w:lang w:val="bg-BG"/>
        </w:rPr>
        <w:t xml:space="preserve">съгласно </w:t>
      </w:r>
      <w:r w:rsidR="00641A1F" w:rsidRPr="00474BEE">
        <w:rPr>
          <w:lang w:val="bg-BG"/>
        </w:rPr>
        <w:t xml:space="preserve">чл. 131 § 1 (2) във връзка с чл. 130 § 2, не е адекватно наказание за претърпяното от него малтретиране. На 1 април 2013 г. Районна прокуратура – Казанлък отговаря, че не е в нейната </w:t>
      </w:r>
      <w:r w:rsidR="004D623F" w:rsidRPr="00474BEE">
        <w:rPr>
          <w:lang w:val="bg-BG"/>
        </w:rPr>
        <w:t xml:space="preserve">юрисдикция </w:t>
      </w:r>
      <w:r w:rsidR="00641A1F" w:rsidRPr="00474BEE">
        <w:rPr>
          <w:lang w:val="bg-BG"/>
        </w:rPr>
        <w:t xml:space="preserve">да разследва и </w:t>
      </w:r>
      <w:r w:rsidR="004D623F" w:rsidRPr="00474BEE">
        <w:rPr>
          <w:lang w:val="bg-BG"/>
        </w:rPr>
        <w:t xml:space="preserve">преселва </w:t>
      </w:r>
      <w:r w:rsidR="00641A1F" w:rsidRPr="00474BEE">
        <w:rPr>
          <w:lang w:val="bg-BG"/>
        </w:rPr>
        <w:t>престъпления по тази разпоредба</w:t>
      </w:r>
      <w:r w:rsidR="004D623F" w:rsidRPr="00474BEE">
        <w:rPr>
          <w:lang w:val="bg-BG"/>
        </w:rPr>
        <w:t>.</w:t>
      </w:r>
    </w:p>
    <w:p w:rsidR="00641A1F" w:rsidRPr="00474BEE" w:rsidRDefault="00D16EB7" w:rsidP="00641A1F">
      <w:pPr>
        <w:pStyle w:val="ECHRPara"/>
        <w:rPr>
          <w:lang w:val="bg-BG"/>
        </w:rPr>
      </w:pPr>
      <w:r w:rsidRPr="00474BEE">
        <w:rPr>
          <w:lang w:val="bg-BG"/>
        </w:rPr>
        <w:fldChar w:fldCharType="begin"/>
      </w:r>
      <w:r w:rsidR="00641A1F" w:rsidRPr="00474BEE">
        <w:rPr>
          <w:lang w:val="bg-BG"/>
        </w:rPr>
        <w:instrText xml:space="preserve"> SEQ level0 \*arabic </w:instrText>
      </w:r>
      <w:r w:rsidRPr="00474BEE">
        <w:rPr>
          <w:lang w:val="bg-BG"/>
        </w:rPr>
        <w:fldChar w:fldCharType="separate"/>
      </w:r>
      <w:r w:rsidR="00641A1F" w:rsidRPr="00474BEE">
        <w:rPr>
          <w:noProof/>
          <w:lang w:val="bg-BG"/>
        </w:rPr>
        <w:t>15</w:t>
      </w:r>
      <w:r w:rsidRPr="00474BEE">
        <w:rPr>
          <w:lang w:val="bg-BG"/>
        </w:rPr>
        <w:fldChar w:fldCharType="end"/>
      </w:r>
      <w:r w:rsidR="00641A1F" w:rsidRPr="00474BEE">
        <w:rPr>
          <w:lang w:val="bg-BG"/>
        </w:rPr>
        <w:t>.  На 23 април 2013 г. жалбоподателят иска от Районна п</w:t>
      </w:r>
      <w:r w:rsidR="000B22B0" w:rsidRPr="00474BEE">
        <w:rPr>
          <w:lang w:val="bg-BG"/>
        </w:rPr>
        <w:t>рокуратура – Казанлък да разгледа</w:t>
      </w:r>
      <w:r w:rsidR="00641A1F" w:rsidRPr="00474BEE">
        <w:rPr>
          <w:lang w:val="bg-BG"/>
        </w:rPr>
        <w:t xml:space="preserve"> възможността за повдигане на обвинения срещу </w:t>
      </w:r>
      <w:r w:rsidR="00130606" w:rsidRPr="00474BEE">
        <w:rPr>
          <w:lang w:val="bg-BG"/>
        </w:rPr>
        <w:t>полицаите</w:t>
      </w:r>
      <w:r w:rsidR="00641A1F" w:rsidRPr="00474BEE">
        <w:rPr>
          <w:lang w:val="bg-BG"/>
        </w:rPr>
        <w:t xml:space="preserve"> по силата на чл. 287 от Н</w:t>
      </w:r>
      <w:r w:rsidR="001B443E" w:rsidRPr="00474BEE">
        <w:rPr>
          <w:lang w:val="bg-BG"/>
        </w:rPr>
        <w:t>К</w:t>
      </w:r>
      <w:r w:rsidR="00641A1F" w:rsidRPr="00474BEE">
        <w:rPr>
          <w:lang w:val="bg-BG"/>
        </w:rPr>
        <w:t xml:space="preserve"> (вж. параграф 32 по-долу), като изтъква, че разследването и </w:t>
      </w:r>
      <w:r w:rsidR="001B443E" w:rsidRPr="00474BEE">
        <w:rPr>
          <w:lang w:val="bg-BG"/>
        </w:rPr>
        <w:t xml:space="preserve">преследването </w:t>
      </w:r>
      <w:r w:rsidR="00641A1F" w:rsidRPr="00474BEE">
        <w:rPr>
          <w:lang w:val="bg-BG"/>
        </w:rPr>
        <w:t xml:space="preserve">на този </w:t>
      </w:r>
      <w:r w:rsidR="001B443E" w:rsidRPr="00474BEE">
        <w:rPr>
          <w:lang w:val="bg-BG"/>
        </w:rPr>
        <w:t xml:space="preserve">вид </w:t>
      </w:r>
      <w:r w:rsidR="00641A1F" w:rsidRPr="00474BEE">
        <w:rPr>
          <w:lang w:val="bg-BG"/>
        </w:rPr>
        <w:t xml:space="preserve">престъпления попада в </w:t>
      </w:r>
      <w:r w:rsidR="001B443E" w:rsidRPr="00474BEE">
        <w:rPr>
          <w:lang w:val="bg-BG"/>
        </w:rPr>
        <w:t xml:space="preserve">юрисдикцията </w:t>
      </w:r>
      <w:r w:rsidR="00641A1F" w:rsidRPr="00474BEE">
        <w:rPr>
          <w:lang w:val="bg-BG"/>
        </w:rPr>
        <w:t xml:space="preserve">ѝ. </w:t>
      </w:r>
      <w:r w:rsidR="00F30D66" w:rsidRPr="00474BEE">
        <w:rPr>
          <w:lang w:val="bg-BG"/>
        </w:rPr>
        <w:t>Няма данни да</w:t>
      </w:r>
      <w:r w:rsidR="00641A1F" w:rsidRPr="00474BEE">
        <w:rPr>
          <w:lang w:val="bg-BG"/>
        </w:rPr>
        <w:t xml:space="preserve"> е получил отговор.  </w:t>
      </w:r>
    </w:p>
    <w:p w:rsidR="00641A1F" w:rsidRPr="00474BEE" w:rsidRDefault="00D16EB7" w:rsidP="00641A1F">
      <w:pPr>
        <w:pStyle w:val="ECHRPara"/>
        <w:rPr>
          <w:lang w:val="bg-BG"/>
        </w:rPr>
      </w:pPr>
      <w:r w:rsidRPr="00474BEE">
        <w:rPr>
          <w:lang w:val="bg-BG"/>
        </w:rPr>
        <w:fldChar w:fldCharType="begin"/>
      </w:r>
      <w:r w:rsidR="00641A1F" w:rsidRPr="00474BEE">
        <w:rPr>
          <w:lang w:val="bg-BG"/>
        </w:rPr>
        <w:instrText xml:space="preserve"> SEQ level0 \*arabic </w:instrText>
      </w:r>
      <w:r w:rsidRPr="00474BEE">
        <w:rPr>
          <w:lang w:val="bg-BG"/>
        </w:rPr>
        <w:fldChar w:fldCharType="separate"/>
      </w:r>
      <w:r w:rsidR="00641A1F" w:rsidRPr="00474BEE">
        <w:rPr>
          <w:noProof/>
          <w:lang w:val="bg-BG"/>
        </w:rPr>
        <w:t>16</w:t>
      </w:r>
      <w:r w:rsidRPr="00474BEE">
        <w:rPr>
          <w:lang w:val="bg-BG"/>
        </w:rPr>
        <w:fldChar w:fldCharType="end"/>
      </w:r>
      <w:r w:rsidR="00641A1F" w:rsidRPr="00474BEE">
        <w:rPr>
          <w:lang w:val="bg-BG"/>
        </w:rPr>
        <w:t xml:space="preserve">.  Органите на </w:t>
      </w:r>
      <w:r w:rsidR="001B443E" w:rsidRPr="00474BEE">
        <w:rPr>
          <w:lang w:val="bg-BG"/>
        </w:rPr>
        <w:t>п</w:t>
      </w:r>
      <w:r w:rsidR="00641A1F" w:rsidRPr="00474BEE">
        <w:rPr>
          <w:lang w:val="bg-BG"/>
        </w:rPr>
        <w:t xml:space="preserve">рокуратурата се придържат към първоначалните обвинения и на 29 април 2013 г. предлагат на Районен съд – Казанлък да снеме наказателната отговорност от </w:t>
      </w:r>
      <w:r w:rsidR="00130606" w:rsidRPr="00474BEE">
        <w:rPr>
          <w:lang w:val="bg-BG"/>
        </w:rPr>
        <w:t>полицаите</w:t>
      </w:r>
      <w:r w:rsidR="00641A1F" w:rsidRPr="00474BEE">
        <w:rPr>
          <w:lang w:val="bg-BG"/>
        </w:rPr>
        <w:t xml:space="preserve"> и да я замени с административни наказания, допустим</w:t>
      </w:r>
      <w:r w:rsidR="00F30D66" w:rsidRPr="00474BEE">
        <w:rPr>
          <w:lang w:val="bg-BG"/>
        </w:rPr>
        <w:t>и</w:t>
      </w:r>
      <w:r w:rsidR="00641A1F" w:rsidRPr="00474BEE">
        <w:rPr>
          <w:lang w:val="bg-BG"/>
        </w:rPr>
        <w:t xml:space="preserve"> </w:t>
      </w:r>
      <w:r w:rsidR="001B443E" w:rsidRPr="00474BEE">
        <w:rPr>
          <w:lang w:val="bg-BG"/>
        </w:rPr>
        <w:t xml:space="preserve">съгласно </w:t>
      </w:r>
      <w:r w:rsidR="00641A1F" w:rsidRPr="00474BEE">
        <w:rPr>
          <w:lang w:val="bg-BG"/>
        </w:rPr>
        <w:t>чл. 78a § 1 от Н</w:t>
      </w:r>
      <w:r w:rsidR="00216C69" w:rsidRPr="00474BEE">
        <w:rPr>
          <w:lang w:val="bg-BG"/>
        </w:rPr>
        <w:t>К</w:t>
      </w:r>
      <w:r w:rsidR="00641A1F" w:rsidRPr="00474BEE">
        <w:rPr>
          <w:lang w:val="bg-BG"/>
        </w:rPr>
        <w:t xml:space="preserve"> (вж</w:t>
      </w:r>
      <w:r w:rsidR="00216C69" w:rsidRPr="00474BEE">
        <w:rPr>
          <w:lang w:val="bg-BG"/>
        </w:rPr>
        <w:t>.</w:t>
      </w:r>
      <w:r w:rsidR="00641A1F" w:rsidRPr="00474BEE">
        <w:rPr>
          <w:lang w:val="bg-BG"/>
        </w:rPr>
        <w:t xml:space="preserve"> параграф 42 по-долу). </w:t>
      </w:r>
    </w:p>
    <w:p w:rsidR="00641A1F" w:rsidRPr="00474BEE" w:rsidRDefault="00D16EB7" w:rsidP="00641A1F">
      <w:pPr>
        <w:pStyle w:val="ECHRPara"/>
        <w:rPr>
          <w:lang w:val="bg-BG"/>
        </w:rPr>
      </w:pPr>
      <w:r w:rsidRPr="00474BEE">
        <w:rPr>
          <w:lang w:val="bg-BG"/>
        </w:rPr>
        <w:fldChar w:fldCharType="begin"/>
      </w:r>
      <w:r w:rsidR="00641A1F" w:rsidRPr="00474BEE">
        <w:rPr>
          <w:lang w:val="bg-BG"/>
        </w:rPr>
        <w:instrText xml:space="preserve"> SEQ level0 \*arabic </w:instrText>
      </w:r>
      <w:r w:rsidRPr="00474BEE">
        <w:rPr>
          <w:lang w:val="bg-BG"/>
        </w:rPr>
        <w:fldChar w:fldCharType="separate"/>
      </w:r>
      <w:r w:rsidR="00641A1F" w:rsidRPr="00474BEE">
        <w:rPr>
          <w:noProof/>
          <w:lang w:val="bg-BG"/>
        </w:rPr>
        <w:t>17</w:t>
      </w:r>
      <w:r w:rsidRPr="00474BEE">
        <w:rPr>
          <w:lang w:val="bg-BG"/>
        </w:rPr>
        <w:fldChar w:fldCharType="end"/>
      </w:r>
      <w:r w:rsidR="00641A1F" w:rsidRPr="00474BEE">
        <w:rPr>
          <w:lang w:val="bg-BG"/>
        </w:rPr>
        <w:t>.  Н</w:t>
      </w:r>
      <w:r w:rsidR="00CF2E12" w:rsidRPr="00474BEE">
        <w:rPr>
          <w:lang w:val="bg-BG"/>
        </w:rPr>
        <w:t>а 30 април 2013 г., при определ</w:t>
      </w:r>
      <w:r w:rsidR="00641A1F" w:rsidRPr="00474BEE">
        <w:rPr>
          <w:lang w:val="bg-BG"/>
        </w:rPr>
        <w:t xml:space="preserve">яне на делото за </w:t>
      </w:r>
      <w:r w:rsidR="00993424" w:rsidRPr="00474BEE">
        <w:rPr>
          <w:lang w:val="bg-BG"/>
        </w:rPr>
        <w:t xml:space="preserve">разглеждане от </w:t>
      </w:r>
      <w:r w:rsidR="00AB5EBD" w:rsidRPr="00474BEE">
        <w:rPr>
          <w:lang w:val="bg-BG"/>
        </w:rPr>
        <w:t>съда</w:t>
      </w:r>
      <w:r w:rsidR="00641A1F" w:rsidRPr="00474BEE">
        <w:rPr>
          <w:lang w:val="bg-BG"/>
        </w:rPr>
        <w:t xml:space="preserve">, Районен съд – Казанлък отбелязва, че макар жалбоподателят да е </w:t>
      </w:r>
      <w:r w:rsidR="00641A1F" w:rsidRPr="00474BEE">
        <w:rPr>
          <w:lang w:val="bg-BG"/>
        </w:rPr>
        <w:lastRenderedPageBreak/>
        <w:t>изразил желание за завеждане на граждански иск, когато делото влезе в съда, според приложимите правила на наказателната процедура</w:t>
      </w:r>
      <w:r w:rsidR="00C13CD5" w:rsidRPr="00474BEE">
        <w:rPr>
          <w:lang w:val="en-US"/>
        </w:rPr>
        <w:t>,</w:t>
      </w:r>
      <w:r w:rsidR="00641A1F" w:rsidRPr="00474BEE">
        <w:rPr>
          <w:lang w:val="bg-BG"/>
        </w:rPr>
        <w:t xml:space="preserve"> това не е възможно при </w:t>
      </w:r>
      <w:r w:rsidR="00F30D66" w:rsidRPr="00474BEE">
        <w:rPr>
          <w:lang w:val="bg-BG"/>
        </w:rPr>
        <w:t>производства</w:t>
      </w:r>
      <w:r w:rsidR="00C13CD5" w:rsidRPr="00474BEE">
        <w:rPr>
          <w:lang w:val="bg-BG"/>
        </w:rPr>
        <w:t xml:space="preserve"> </w:t>
      </w:r>
      <w:r w:rsidR="00CF2E12" w:rsidRPr="00474BEE">
        <w:rPr>
          <w:lang w:val="bg-BG"/>
        </w:rPr>
        <w:t>по чл. 78а от НК</w:t>
      </w:r>
      <w:r w:rsidR="00641A1F" w:rsidRPr="00474BEE">
        <w:rPr>
          <w:lang w:val="bg-BG"/>
        </w:rPr>
        <w:t xml:space="preserve"> (</w:t>
      </w:r>
      <w:proofErr w:type="spellStart"/>
      <w:r w:rsidR="00641A1F" w:rsidRPr="00474BEE">
        <w:rPr>
          <w:lang w:val="bg-BG"/>
        </w:rPr>
        <w:t>вж</w:t>
      </w:r>
      <w:proofErr w:type="spellEnd"/>
      <w:r w:rsidR="00C13CD5" w:rsidRPr="00474BEE">
        <w:rPr>
          <w:lang w:val="en-US"/>
        </w:rPr>
        <w:t>.</w:t>
      </w:r>
      <w:r w:rsidR="00641A1F" w:rsidRPr="00474BEE">
        <w:rPr>
          <w:lang w:val="bg-BG"/>
        </w:rPr>
        <w:t xml:space="preserve"> параграф 44 по-долу); жалбоподателят е трябвало да бъде уведомен за това.  </w:t>
      </w:r>
    </w:p>
    <w:p w:rsidR="00641A1F" w:rsidRPr="00474BEE" w:rsidRDefault="00D16EB7" w:rsidP="00641A1F">
      <w:pPr>
        <w:pStyle w:val="ECHRPara"/>
        <w:rPr>
          <w:lang w:val="bg-BG"/>
        </w:rPr>
      </w:pPr>
      <w:r w:rsidRPr="00474BEE">
        <w:rPr>
          <w:lang w:val="bg-BG"/>
        </w:rPr>
        <w:fldChar w:fldCharType="begin"/>
      </w:r>
      <w:r w:rsidR="00641A1F" w:rsidRPr="00474BEE">
        <w:rPr>
          <w:lang w:val="bg-BG"/>
        </w:rPr>
        <w:instrText xml:space="preserve"> SEQ level0 \*arabic </w:instrText>
      </w:r>
      <w:r w:rsidRPr="00474BEE">
        <w:rPr>
          <w:lang w:val="bg-BG"/>
        </w:rPr>
        <w:fldChar w:fldCharType="separate"/>
      </w:r>
      <w:r w:rsidR="00641A1F" w:rsidRPr="00474BEE">
        <w:rPr>
          <w:noProof/>
          <w:lang w:val="bg-BG"/>
        </w:rPr>
        <w:t>18</w:t>
      </w:r>
      <w:r w:rsidRPr="00474BEE">
        <w:rPr>
          <w:lang w:val="bg-BG"/>
        </w:rPr>
        <w:fldChar w:fldCharType="end"/>
      </w:r>
      <w:r w:rsidR="00641A1F" w:rsidRPr="00474BEE">
        <w:rPr>
          <w:lang w:val="bg-BG"/>
        </w:rPr>
        <w:t xml:space="preserve">.  На 21 май 2013 г. жалбоподателят </w:t>
      </w:r>
      <w:r w:rsidR="00290815" w:rsidRPr="00474BEE">
        <w:rPr>
          <w:lang w:val="bg-BG"/>
        </w:rPr>
        <w:t xml:space="preserve">моли </w:t>
      </w:r>
      <w:r w:rsidR="00641A1F" w:rsidRPr="00474BEE">
        <w:rPr>
          <w:lang w:val="bg-BG"/>
        </w:rPr>
        <w:t xml:space="preserve">съда да върне делото на органите на прокуратурата, за да могат те да преценят дали </w:t>
      </w:r>
      <w:proofErr w:type="spellStart"/>
      <w:r w:rsidR="00F207E5" w:rsidRPr="00474BEE">
        <w:rPr>
          <w:lang w:val="bg-BG"/>
        </w:rPr>
        <w:t>полиц</w:t>
      </w:r>
      <w:proofErr w:type="spellEnd"/>
      <w:r w:rsidR="00F207E5" w:rsidRPr="00474BEE">
        <w:rPr>
          <w:lang w:val="en-US"/>
        </w:rPr>
        <w:t>e</w:t>
      </w:r>
      <w:proofErr w:type="spellStart"/>
      <w:r w:rsidR="00F207E5" w:rsidRPr="00474BEE">
        <w:rPr>
          <w:lang w:val="bg-BG"/>
        </w:rPr>
        <w:t>йските</w:t>
      </w:r>
      <w:proofErr w:type="spellEnd"/>
      <w:r w:rsidR="00F207E5" w:rsidRPr="00474BEE">
        <w:rPr>
          <w:lang w:val="bg-BG"/>
        </w:rPr>
        <w:t xml:space="preserve"> служители</w:t>
      </w:r>
      <w:r w:rsidR="00641A1F" w:rsidRPr="00474BEE">
        <w:rPr>
          <w:lang w:val="bg-BG"/>
        </w:rPr>
        <w:t xml:space="preserve"> са извършили престъпление </w:t>
      </w:r>
      <w:r w:rsidR="00290815" w:rsidRPr="00474BEE">
        <w:rPr>
          <w:lang w:val="bg-BG"/>
        </w:rPr>
        <w:t xml:space="preserve">съгласно </w:t>
      </w:r>
      <w:r w:rsidR="00641A1F" w:rsidRPr="00474BEE">
        <w:rPr>
          <w:lang w:val="bg-BG"/>
        </w:rPr>
        <w:t>чл. 287 от Н</w:t>
      </w:r>
      <w:r w:rsidR="00290815" w:rsidRPr="00474BEE">
        <w:rPr>
          <w:lang w:val="bg-BG"/>
        </w:rPr>
        <w:t>К</w:t>
      </w:r>
      <w:r w:rsidR="00641A1F" w:rsidRPr="00474BEE">
        <w:rPr>
          <w:lang w:val="bg-BG"/>
        </w:rPr>
        <w:t xml:space="preserve"> (вж</w:t>
      </w:r>
      <w:r w:rsidR="00290815" w:rsidRPr="00474BEE">
        <w:rPr>
          <w:lang w:val="bg-BG"/>
        </w:rPr>
        <w:t>.</w:t>
      </w:r>
      <w:r w:rsidR="00641A1F" w:rsidRPr="00474BEE">
        <w:rPr>
          <w:lang w:val="bg-BG"/>
        </w:rPr>
        <w:t xml:space="preserve"> параграф 32 по-долу). </w:t>
      </w:r>
      <w:r w:rsidR="00F30D66" w:rsidRPr="00474BEE">
        <w:rPr>
          <w:lang w:val="bg-BG"/>
        </w:rPr>
        <w:t xml:space="preserve">На </w:t>
      </w:r>
      <w:r w:rsidR="00641A1F" w:rsidRPr="00474BEE">
        <w:rPr>
          <w:lang w:val="bg-BG"/>
        </w:rPr>
        <w:t>същия ден съдия</w:t>
      </w:r>
      <w:r w:rsidR="00290815" w:rsidRPr="00474BEE">
        <w:rPr>
          <w:lang w:val="bg-BG"/>
        </w:rPr>
        <w:t xml:space="preserve">та </w:t>
      </w:r>
      <w:r w:rsidR="00641A1F" w:rsidRPr="00474BEE">
        <w:rPr>
          <w:lang w:val="bg-BG"/>
        </w:rPr>
        <w:t xml:space="preserve">докладчик уведомява жалбоподателя, че искането му не е допустимо, тъй като той не е страна по делото: според </w:t>
      </w:r>
      <w:r w:rsidR="00F30D66" w:rsidRPr="00474BEE">
        <w:rPr>
          <w:lang w:val="bg-BG"/>
        </w:rPr>
        <w:t xml:space="preserve">приложимите норми </w:t>
      </w:r>
      <w:r w:rsidR="00641A1F" w:rsidRPr="00474BEE">
        <w:rPr>
          <w:lang w:val="bg-BG"/>
        </w:rPr>
        <w:t>на наказателната процедура</w:t>
      </w:r>
      <w:r w:rsidR="00953783" w:rsidRPr="00474BEE">
        <w:rPr>
          <w:lang w:val="bg-BG"/>
        </w:rPr>
        <w:t>,</w:t>
      </w:r>
      <w:r w:rsidR="00641A1F" w:rsidRPr="00474BEE">
        <w:rPr>
          <w:lang w:val="bg-BG"/>
        </w:rPr>
        <w:t xml:space="preserve"> твърдяната жертва на престъплението не може да взема участие като граждански ищец или частен обвинител в производство п</w:t>
      </w:r>
      <w:r w:rsidR="00AB5EBD" w:rsidRPr="00474BEE">
        <w:rPr>
          <w:lang w:val="bg-BG"/>
        </w:rPr>
        <w:t>о чл. 78а от НК</w:t>
      </w:r>
      <w:r w:rsidR="00641A1F" w:rsidRPr="00474BEE">
        <w:rPr>
          <w:lang w:val="bg-BG"/>
        </w:rPr>
        <w:t xml:space="preserve"> (вж. параграф 44 по-долу). Освен това органите на прокуратурата преценя</w:t>
      </w:r>
      <w:r w:rsidR="00953783" w:rsidRPr="00474BEE">
        <w:rPr>
          <w:lang w:val="bg-BG"/>
        </w:rPr>
        <w:t>ва</w:t>
      </w:r>
      <w:r w:rsidR="00641A1F" w:rsidRPr="00474BEE">
        <w:rPr>
          <w:lang w:val="bg-BG"/>
        </w:rPr>
        <w:t>т какви обвинения да повдигнат. Във всички случаи</w:t>
      </w:r>
      <w:r w:rsidR="00AB5EBD" w:rsidRPr="00474BEE">
        <w:rPr>
          <w:lang w:val="bg-BG"/>
        </w:rPr>
        <w:t xml:space="preserve"> чл. 287 от НК</w:t>
      </w:r>
      <w:r w:rsidR="00641A1F" w:rsidRPr="00474BEE">
        <w:rPr>
          <w:lang w:val="bg-BG"/>
        </w:rPr>
        <w:t xml:space="preserve"> не може да се приложи към изложените в обвинителния акт факти. Според тях жалбоподателят е бил малтретиран преди образуването на наказателно производство във връзка с кражбата. В подобно производство той би заемал позиция на обвиняем или свидетел – задължит</w:t>
      </w:r>
      <w:r w:rsidR="00AB5EBD" w:rsidRPr="00474BEE">
        <w:rPr>
          <w:lang w:val="bg-BG"/>
        </w:rPr>
        <w:t>елен за престъплението елемент</w:t>
      </w:r>
      <w:r w:rsidR="00641A1F" w:rsidRPr="00474BEE">
        <w:rPr>
          <w:lang w:val="bg-BG"/>
        </w:rPr>
        <w:t>.</w:t>
      </w:r>
      <w:r w:rsidR="00AB5EBD" w:rsidRPr="00474BEE">
        <w:rPr>
          <w:lang w:val="bg-BG"/>
        </w:rPr>
        <w:t xml:space="preserve"> </w:t>
      </w:r>
      <w:r w:rsidR="00F0373F" w:rsidRPr="00474BEE">
        <w:rPr>
          <w:lang w:val="bg-BG"/>
        </w:rPr>
        <w:t xml:space="preserve">Разпоредбите </w:t>
      </w:r>
      <w:r w:rsidR="00641A1F" w:rsidRPr="00474BEE">
        <w:rPr>
          <w:lang w:val="bg-BG"/>
        </w:rPr>
        <w:t xml:space="preserve">на наказателното право не могат да се тълкуват широко. </w:t>
      </w:r>
    </w:p>
    <w:p w:rsidR="000B37E8" w:rsidRPr="00474BEE" w:rsidRDefault="00D16EB7" w:rsidP="00641A1F">
      <w:pPr>
        <w:pStyle w:val="ECHRPara"/>
        <w:rPr>
          <w:lang w:val="bg-BG"/>
        </w:rPr>
      </w:pPr>
      <w:r w:rsidRPr="00474BEE">
        <w:rPr>
          <w:lang w:val="bg-BG"/>
        </w:rPr>
        <w:fldChar w:fldCharType="begin"/>
      </w:r>
      <w:r w:rsidR="00641A1F" w:rsidRPr="00474BEE">
        <w:rPr>
          <w:lang w:val="bg-BG"/>
        </w:rPr>
        <w:instrText xml:space="preserve"> SEQ level0 \*arabic </w:instrText>
      </w:r>
      <w:r w:rsidRPr="00474BEE">
        <w:rPr>
          <w:lang w:val="bg-BG"/>
        </w:rPr>
        <w:fldChar w:fldCharType="separate"/>
      </w:r>
      <w:r w:rsidR="00641A1F" w:rsidRPr="00474BEE">
        <w:rPr>
          <w:noProof/>
          <w:lang w:val="bg-BG"/>
        </w:rPr>
        <w:t>19</w:t>
      </w:r>
      <w:r w:rsidRPr="00474BEE">
        <w:rPr>
          <w:lang w:val="bg-BG"/>
        </w:rPr>
        <w:fldChar w:fldCharType="end"/>
      </w:r>
      <w:r w:rsidR="00641A1F" w:rsidRPr="00474BEE">
        <w:rPr>
          <w:lang w:val="bg-BG"/>
        </w:rPr>
        <w:t xml:space="preserve">.  Делото на </w:t>
      </w:r>
      <w:r w:rsidR="00130606" w:rsidRPr="00474BEE">
        <w:rPr>
          <w:lang w:val="bg-BG"/>
        </w:rPr>
        <w:t>полицаите</w:t>
      </w:r>
      <w:r w:rsidR="00641A1F" w:rsidRPr="00474BEE">
        <w:rPr>
          <w:lang w:val="bg-BG"/>
        </w:rPr>
        <w:t xml:space="preserve"> се </w:t>
      </w:r>
      <w:r w:rsidR="00F0373F" w:rsidRPr="00474BEE">
        <w:rPr>
          <w:lang w:val="bg-BG"/>
        </w:rPr>
        <w:t xml:space="preserve">провежда </w:t>
      </w:r>
      <w:r w:rsidR="00641A1F" w:rsidRPr="00474BEE">
        <w:rPr>
          <w:lang w:val="bg-BG"/>
        </w:rPr>
        <w:t>на 23 май, 13 ноември и 12 декември 2013 г</w:t>
      </w:r>
      <w:r w:rsidR="00B27C25" w:rsidRPr="00474BEE">
        <w:rPr>
          <w:lang w:val="bg-BG"/>
        </w:rPr>
        <w:t>.</w:t>
      </w:r>
    </w:p>
    <w:p w:rsidR="00717480" w:rsidRPr="00474BEE" w:rsidRDefault="00D16EB7" w:rsidP="004B7317">
      <w:pPr>
        <w:pStyle w:val="ECHRPara"/>
        <w:rPr>
          <w:lang w:val="bg-BG"/>
        </w:rPr>
      </w:pPr>
      <w:r w:rsidRPr="00474BEE">
        <w:rPr>
          <w:lang w:val="bg-BG"/>
        </w:rPr>
        <w:fldChar w:fldCharType="begin"/>
      </w:r>
      <w:r w:rsidR="00AF1549" w:rsidRPr="00474BEE">
        <w:rPr>
          <w:lang w:val="bg-BG"/>
        </w:rPr>
        <w:instrText xml:space="preserve"> SEQ level0 \*arabic </w:instrText>
      </w:r>
      <w:r w:rsidRPr="00474BEE">
        <w:rPr>
          <w:lang w:val="bg-BG"/>
        </w:rPr>
        <w:fldChar w:fldCharType="separate"/>
      </w:r>
      <w:r w:rsidR="00550343" w:rsidRPr="00474BEE">
        <w:rPr>
          <w:noProof/>
          <w:lang w:val="bg-BG"/>
        </w:rPr>
        <w:t>20</w:t>
      </w:r>
      <w:r w:rsidRPr="00474BEE">
        <w:rPr>
          <w:lang w:val="bg-BG"/>
        </w:rPr>
        <w:fldChar w:fldCharType="end"/>
      </w:r>
      <w:r w:rsidR="00AF1549" w:rsidRPr="00474BEE">
        <w:rPr>
          <w:lang w:val="bg-BG"/>
        </w:rPr>
        <w:t>.  </w:t>
      </w:r>
      <w:r w:rsidR="00641A1F" w:rsidRPr="00474BEE">
        <w:rPr>
          <w:lang w:val="bg-BG"/>
        </w:rPr>
        <w:t>Въз основа на направените от него фактически констатации (вж. параграфи 7-11 по-горе) на 12 декември 2013 г. Районен съд – Казанлък приема, че г-н Н.К., г-н И.К. и г-н Т.А.</w:t>
      </w:r>
      <w:r w:rsidR="001F797E" w:rsidRPr="00474BEE">
        <w:rPr>
          <w:lang w:val="bg-BG"/>
        </w:rPr>
        <w:t>,</w:t>
      </w:r>
      <w:r w:rsidR="00641A1F" w:rsidRPr="00474BEE">
        <w:rPr>
          <w:lang w:val="bg-BG"/>
        </w:rPr>
        <w:t xml:space="preserve"> </w:t>
      </w:r>
      <w:r w:rsidR="001F797E" w:rsidRPr="00474BEE">
        <w:rPr>
          <w:lang w:val="bg-BG"/>
        </w:rPr>
        <w:t>действайки съгласувано</w:t>
      </w:r>
      <w:r w:rsidR="00641A1F" w:rsidRPr="00474BEE">
        <w:rPr>
          <w:lang w:val="bg-BG"/>
        </w:rPr>
        <w:t xml:space="preserve"> и умишлено</w:t>
      </w:r>
      <w:r w:rsidR="001F797E" w:rsidRPr="00474BEE">
        <w:rPr>
          <w:lang w:val="bg-BG"/>
        </w:rPr>
        <w:t>,</w:t>
      </w:r>
      <w:r w:rsidR="00641A1F" w:rsidRPr="00474BEE">
        <w:rPr>
          <w:lang w:val="bg-BG"/>
        </w:rPr>
        <w:t xml:space="preserve"> са причинили на жалбоподателя лека телесна повреда в нарушение на чл. 131 § 1 (2), разглеждан </w:t>
      </w:r>
      <w:r w:rsidR="00F30D66" w:rsidRPr="00474BEE">
        <w:rPr>
          <w:lang w:val="bg-BG"/>
        </w:rPr>
        <w:t>във връзка</w:t>
      </w:r>
      <w:r w:rsidR="00641A1F" w:rsidRPr="00474BEE">
        <w:rPr>
          <w:lang w:val="bg-BG"/>
        </w:rPr>
        <w:t xml:space="preserve"> с чл. 130 § 2 от Наказателния кодекс от 1968 г. (вж. параграфи 28 и 29 по-долу). </w:t>
      </w:r>
      <w:r w:rsidR="00F30D66" w:rsidRPr="00474BEE">
        <w:rPr>
          <w:lang w:val="bg-BG"/>
        </w:rPr>
        <w:t>С</w:t>
      </w:r>
      <w:r w:rsidR="00641A1F" w:rsidRPr="00474BEE">
        <w:rPr>
          <w:lang w:val="bg-BG"/>
        </w:rPr>
        <w:t xml:space="preserve">ъдът </w:t>
      </w:r>
      <w:r w:rsidR="00F30D66" w:rsidRPr="00474BEE">
        <w:rPr>
          <w:lang w:val="bg-BG"/>
        </w:rPr>
        <w:t xml:space="preserve">също </w:t>
      </w:r>
      <w:r w:rsidR="00641A1F" w:rsidRPr="00474BEE">
        <w:rPr>
          <w:lang w:val="bg-BG"/>
        </w:rPr>
        <w:t xml:space="preserve">приема, че </w:t>
      </w:r>
      <w:r w:rsidR="00F30D66" w:rsidRPr="00474BEE">
        <w:rPr>
          <w:lang w:val="bg-BG"/>
        </w:rPr>
        <w:t>делото</w:t>
      </w:r>
      <w:r w:rsidR="00641A1F" w:rsidRPr="00474BEE">
        <w:rPr>
          <w:lang w:val="bg-BG"/>
        </w:rPr>
        <w:t xml:space="preserve"> попада </w:t>
      </w:r>
      <w:r w:rsidR="00F30D66" w:rsidRPr="00474BEE">
        <w:rPr>
          <w:lang w:val="bg-BG"/>
        </w:rPr>
        <w:t xml:space="preserve">в обхвата на </w:t>
      </w:r>
      <w:r w:rsidR="00641A1F" w:rsidRPr="00474BEE">
        <w:rPr>
          <w:lang w:val="bg-BG"/>
        </w:rPr>
        <w:t xml:space="preserve">чл. </w:t>
      </w:r>
      <w:r w:rsidR="00BF3BE0" w:rsidRPr="00474BEE">
        <w:rPr>
          <w:lang w:val="bg-BG"/>
        </w:rPr>
        <w:t xml:space="preserve">78a § 1 </w:t>
      </w:r>
      <w:r w:rsidR="00AB5EBD" w:rsidRPr="00474BEE">
        <w:rPr>
          <w:lang w:val="bg-BG"/>
        </w:rPr>
        <w:t>от НК (вж</w:t>
      </w:r>
      <w:r w:rsidR="001F797E" w:rsidRPr="00474BEE">
        <w:rPr>
          <w:lang w:val="bg-BG"/>
        </w:rPr>
        <w:t>.</w:t>
      </w:r>
      <w:r w:rsidR="00AB5EBD" w:rsidRPr="00474BEE">
        <w:rPr>
          <w:lang w:val="bg-BG"/>
        </w:rPr>
        <w:t xml:space="preserve"> параграф</w:t>
      </w:r>
      <w:r w:rsidR="00BF3BE0" w:rsidRPr="00474BEE">
        <w:rPr>
          <w:lang w:val="bg-BG"/>
        </w:rPr>
        <w:t xml:space="preserve"> </w:t>
      </w:r>
      <w:r w:rsidR="00EF1534" w:rsidRPr="00474BEE">
        <w:rPr>
          <w:lang w:val="bg-BG"/>
        </w:rPr>
        <w:t>42</w:t>
      </w:r>
      <w:r w:rsidR="00AB5EBD" w:rsidRPr="00474BEE">
        <w:rPr>
          <w:lang w:val="bg-BG"/>
        </w:rPr>
        <w:t xml:space="preserve"> по-долу</w:t>
      </w:r>
      <w:r w:rsidR="00BF3BE0" w:rsidRPr="00474BEE">
        <w:rPr>
          <w:lang w:val="bg-BG"/>
        </w:rPr>
        <w:t>)</w:t>
      </w:r>
      <w:r w:rsidR="0065625D" w:rsidRPr="00474BEE">
        <w:rPr>
          <w:lang w:val="bg-BG"/>
        </w:rPr>
        <w:t>,</w:t>
      </w:r>
      <w:r w:rsidR="00BF3BE0" w:rsidRPr="00474BEE">
        <w:rPr>
          <w:lang w:val="bg-BG"/>
        </w:rPr>
        <w:t xml:space="preserve"> </w:t>
      </w:r>
      <w:r w:rsidR="004B7317" w:rsidRPr="00474BEE">
        <w:rPr>
          <w:lang w:val="bg-BG"/>
        </w:rPr>
        <w:t>както и че наказателната отговорност на</w:t>
      </w:r>
      <w:r w:rsidR="0065625D" w:rsidRPr="00474BEE">
        <w:rPr>
          <w:lang w:val="bg-BG"/>
        </w:rPr>
        <w:t xml:space="preserve"> </w:t>
      </w:r>
      <w:r w:rsidR="00130606" w:rsidRPr="00474BEE">
        <w:rPr>
          <w:lang w:val="bg-BG"/>
        </w:rPr>
        <w:t>полицаите</w:t>
      </w:r>
      <w:r w:rsidR="0084228B" w:rsidRPr="00474BEE">
        <w:rPr>
          <w:lang w:val="bg-BG"/>
        </w:rPr>
        <w:t xml:space="preserve"> следва да бъде отменена</w:t>
      </w:r>
      <w:r w:rsidR="004B7317" w:rsidRPr="00474BEE">
        <w:rPr>
          <w:lang w:val="bg-BG"/>
        </w:rPr>
        <w:t xml:space="preserve"> и заменена с административни глоби в размер о</w:t>
      </w:r>
      <w:r w:rsidR="0065625D" w:rsidRPr="00474BEE">
        <w:rPr>
          <w:lang w:val="bg-BG"/>
        </w:rPr>
        <w:t>т 1</w:t>
      </w:r>
      <w:r w:rsidR="001F797E" w:rsidRPr="00474BEE">
        <w:rPr>
          <w:lang w:val="bg-BG"/>
        </w:rPr>
        <w:t xml:space="preserve"> </w:t>
      </w:r>
      <w:r w:rsidR="0065625D" w:rsidRPr="00474BEE">
        <w:rPr>
          <w:lang w:val="bg-BG"/>
        </w:rPr>
        <w:t>000 до 5</w:t>
      </w:r>
      <w:r w:rsidR="001F797E" w:rsidRPr="00474BEE">
        <w:rPr>
          <w:lang w:val="bg-BG"/>
        </w:rPr>
        <w:t xml:space="preserve"> </w:t>
      </w:r>
      <w:r w:rsidR="0065625D" w:rsidRPr="00474BEE">
        <w:rPr>
          <w:lang w:val="bg-BG"/>
        </w:rPr>
        <w:t>000 български лева</w:t>
      </w:r>
      <w:r w:rsidR="004B7317" w:rsidRPr="00474BEE">
        <w:rPr>
          <w:lang w:val="bg-BG"/>
        </w:rPr>
        <w:t>. При определяне размера на глобите, съдът намира</w:t>
      </w:r>
      <w:r w:rsidR="0065625D" w:rsidRPr="00474BEE">
        <w:rPr>
          <w:lang w:val="bg-BG"/>
        </w:rPr>
        <w:t>, че добрата характеристика</w:t>
      </w:r>
      <w:r w:rsidR="0084228B" w:rsidRPr="00474BEE">
        <w:rPr>
          <w:lang w:val="bg-BG"/>
        </w:rPr>
        <w:t xml:space="preserve"> на </w:t>
      </w:r>
      <w:r w:rsidR="00130606" w:rsidRPr="00474BEE">
        <w:rPr>
          <w:lang w:val="bg-BG"/>
        </w:rPr>
        <w:t>полицаите</w:t>
      </w:r>
      <w:r w:rsidR="004B7317" w:rsidRPr="00474BEE">
        <w:rPr>
          <w:lang w:val="bg-BG"/>
        </w:rPr>
        <w:t>, както и това, че са причинили на ж</w:t>
      </w:r>
      <w:r w:rsidR="0065625D" w:rsidRPr="00474BEE">
        <w:rPr>
          <w:lang w:val="bg-BG"/>
        </w:rPr>
        <w:t>албоподателя най-лекия вид телесна повреда</w:t>
      </w:r>
      <w:r w:rsidR="004B7317" w:rsidRPr="00474BEE">
        <w:rPr>
          <w:lang w:val="bg-BG"/>
        </w:rPr>
        <w:t xml:space="preserve"> съгласно НК</w:t>
      </w:r>
      <w:r w:rsidR="0065625D" w:rsidRPr="00474BEE">
        <w:rPr>
          <w:lang w:val="bg-BG"/>
        </w:rPr>
        <w:t>,</w:t>
      </w:r>
      <w:r w:rsidR="004B7317" w:rsidRPr="00474BEE">
        <w:rPr>
          <w:lang w:val="bg-BG"/>
        </w:rPr>
        <w:t xml:space="preserve"> са смекчав</w:t>
      </w:r>
      <w:r w:rsidR="0065625D" w:rsidRPr="00474BEE">
        <w:rPr>
          <w:lang w:val="bg-BG"/>
        </w:rPr>
        <w:t>ащи фактори, докато това, че са действали съвместно и</w:t>
      </w:r>
      <w:r w:rsidR="004B7317" w:rsidRPr="00474BEE">
        <w:rPr>
          <w:lang w:val="bg-BG"/>
        </w:rPr>
        <w:t xml:space="preserve"> са нарушили правата на жалбоподателя съгласно </w:t>
      </w:r>
      <w:r w:rsidR="0065625D" w:rsidRPr="00474BEE">
        <w:rPr>
          <w:lang w:val="bg-BG"/>
        </w:rPr>
        <w:t>Конвенцията са утежняващи фактори. Съдът също така взима</w:t>
      </w:r>
      <w:r w:rsidR="004B7317" w:rsidRPr="00474BEE">
        <w:rPr>
          <w:lang w:val="bg-BG"/>
        </w:rPr>
        <w:t xml:space="preserve"> предвид семейното и финансовото положение на </w:t>
      </w:r>
      <w:r w:rsidR="00130606" w:rsidRPr="00474BEE">
        <w:rPr>
          <w:lang w:val="bg-BG"/>
        </w:rPr>
        <w:t>полицаите</w:t>
      </w:r>
      <w:r w:rsidR="004B7317" w:rsidRPr="00474BEE">
        <w:rPr>
          <w:lang w:val="bg-BG"/>
        </w:rPr>
        <w:t>, отбелязвайки по-</w:t>
      </w:r>
      <w:r w:rsidR="00B201AC" w:rsidRPr="00474BEE">
        <w:rPr>
          <w:lang w:val="bg-BG"/>
        </w:rPr>
        <w:t>конкретно</w:t>
      </w:r>
      <w:r w:rsidR="004B7317" w:rsidRPr="00474BEE">
        <w:rPr>
          <w:lang w:val="bg-BG"/>
        </w:rPr>
        <w:t>, че ме</w:t>
      </w:r>
      <w:r w:rsidR="0065625D" w:rsidRPr="00474BEE">
        <w:rPr>
          <w:lang w:val="bg-BG"/>
        </w:rPr>
        <w:t>сечната заплата на първия е</w:t>
      </w:r>
      <w:r w:rsidR="00F207E5" w:rsidRPr="00474BEE">
        <w:rPr>
          <w:lang w:val="bg-BG"/>
        </w:rPr>
        <w:t xml:space="preserve"> 800 лева, а заплатите на останалите двама –</w:t>
      </w:r>
      <w:r w:rsidR="004B7317" w:rsidRPr="00474BEE">
        <w:rPr>
          <w:lang w:val="bg-BG"/>
        </w:rPr>
        <w:t xml:space="preserve"> по 600 лева. Въз основа на всичко това той приема, че целите на наказанието </w:t>
      </w:r>
      <w:r w:rsidR="0065625D" w:rsidRPr="00474BEE">
        <w:rPr>
          <w:lang w:val="bg-BG"/>
        </w:rPr>
        <w:t xml:space="preserve">могат </w:t>
      </w:r>
      <w:r w:rsidR="004B7317" w:rsidRPr="00474BEE">
        <w:rPr>
          <w:lang w:val="bg-BG"/>
        </w:rPr>
        <w:t>да бъдат постигнати, като на всек</w:t>
      </w:r>
      <w:r w:rsidR="0065625D" w:rsidRPr="00474BEE">
        <w:rPr>
          <w:lang w:val="bg-BG"/>
        </w:rPr>
        <w:t>и един от служителите се наложи глоба в размер на 2</w:t>
      </w:r>
      <w:r w:rsidR="00B201AC" w:rsidRPr="00474BEE">
        <w:rPr>
          <w:lang w:val="bg-BG"/>
        </w:rPr>
        <w:t xml:space="preserve"> </w:t>
      </w:r>
      <w:r w:rsidR="004B7317" w:rsidRPr="00474BEE">
        <w:rPr>
          <w:lang w:val="bg-BG"/>
        </w:rPr>
        <w:t xml:space="preserve">000 </w:t>
      </w:r>
      <w:r w:rsidR="0065625D" w:rsidRPr="00474BEE">
        <w:rPr>
          <w:lang w:val="bg-BG"/>
        </w:rPr>
        <w:t>лева</w:t>
      </w:r>
      <w:r w:rsidR="004B7317" w:rsidRPr="00474BEE">
        <w:rPr>
          <w:lang w:val="bg-BG"/>
        </w:rPr>
        <w:t xml:space="preserve"> (</w:t>
      </w:r>
      <w:r w:rsidR="0065625D" w:rsidRPr="00474BEE">
        <w:rPr>
          <w:lang w:val="bg-BG"/>
        </w:rPr>
        <w:t>равностойн</w:t>
      </w:r>
      <w:r w:rsidR="00B201AC" w:rsidRPr="00474BEE">
        <w:rPr>
          <w:lang w:val="bg-BG"/>
        </w:rPr>
        <w:t>а</w:t>
      </w:r>
      <w:r w:rsidR="0065625D" w:rsidRPr="00474BEE">
        <w:rPr>
          <w:lang w:val="bg-BG"/>
        </w:rPr>
        <w:t xml:space="preserve"> на 1</w:t>
      </w:r>
      <w:r w:rsidR="00B201AC" w:rsidRPr="00474BEE">
        <w:rPr>
          <w:lang w:val="bg-BG"/>
        </w:rPr>
        <w:t xml:space="preserve"> </w:t>
      </w:r>
      <w:r w:rsidR="004B7317" w:rsidRPr="00474BEE">
        <w:rPr>
          <w:lang w:val="bg-BG"/>
        </w:rPr>
        <w:t>023 евро). Не е необходимо до</w:t>
      </w:r>
      <w:r w:rsidR="0065625D" w:rsidRPr="00474BEE">
        <w:rPr>
          <w:lang w:val="bg-BG"/>
        </w:rPr>
        <w:t>пълнително</w:t>
      </w:r>
      <w:r w:rsidR="00453C96" w:rsidRPr="00474BEE">
        <w:rPr>
          <w:lang w:val="bg-BG"/>
        </w:rPr>
        <w:t xml:space="preserve"> да бъдат лишени от правото </w:t>
      </w:r>
      <w:r w:rsidR="004B7317" w:rsidRPr="00474BEE">
        <w:rPr>
          <w:lang w:val="bg-BG"/>
        </w:rPr>
        <w:t xml:space="preserve">да работят като </w:t>
      </w:r>
      <w:r w:rsidR="00130606" w:rsidRPr="00474BEE">
        <w:rPr>
          <w:lang w:val="bg-BG"/>
        </w:rPr>
        <w:t>полицаи</w:t>
      </w:r>
      <w:r w:rsidR="004B7317" w:rsidRPr="00474BEE">
        <w:rPr>
          <w:lang w:val="bg-BG"/>
        </w:rPr>
        <w:t xml:space="preserve"> съгласно чл. 78 § 4 от </w:t>
      </w:r>
      <w:r w:rsidR="004B7317" w:rsidRPr="00474BEE">
        <w:rPr>
          <w:lang w:val="bg-BG"/>
        </w:rPr>
        <w:lastRenderedPageBreak/>
        <w:t>НК (вж</w:t>
      </w:r>
      <w:r w:rsidR="00B201AC" w:rsidRPr="00474BEE">
        <w:rPr>
          <w:lang w:val="bg-BG"/>
        </w:rPr>
        <w:t>.</w:t>
      </w:r>
      <w:r w:rsidR="004B7317" w:rsidRPr="00474BEE">
        <w:rPr>
          <w:lang w:val="bg-BG"/>
        </w:rPr>
        <w:t xml:space="preserve"> параграф 42 </w:t>
      </w:r>
      <w:r w:rsidR="00F56301" w:rsidRPr="00474BEE">
        <w:rPr>
          <w:lang w:val="bg-BG"/>
        </w:rPr>
        <w:t xml:space="preserve">в края </w:t>
      </w:r>
      <w:r w:rsidR="004B7317" w:rsidRPr="00474BEE">
        <w:rPr>
          <w:lang w:val="bg-BG"/>
        </w:rPr>
        <w:t>по-долу). Глобите са сметнати за</w:t>
      </w:r>
      <w:r w:rsidR="00453C96" w:rsidRPr="00474BEE">
        <w:rPr>
          <w:lang w:val="bg-BG"/>
        </w:rPr>
        <w:t xml:space="preserve"> достатъчни, за да преосмислят </w:t>
      </w:r>
      <w:r w:rsidR="004B7317" w:rsidRPr="00474BEE">
        <w:rPr>
          <w:lang w:val="bg-BG"/>
        </w:rPr>
        <w:t>своето поведение и</w:t>
      </w:r>
      <w:r w:rsidR="00453C96" w:rsidRPr="00474BEE">
        <w:rPr>
          <w:lang w:val="bg-BG"/>
        </w:rPr>
        <w:t xml:space="preserve"> да се </w:t>
      </w:r>
      <w:r w:rsidR="004B7317" w:rsidRPr="00474BEE">
        <w:rPr>
          <w:lang w:val="bg-BG"/>
        </w:rPr>
        <w:t>въз</w:t>
      </w:r>
      <w:r w:rsidR="00453C96" w:rsidRPr="00474BEE">
        <w:rPr>
          <w:lang w:val="bg-BG"/>
        </w:rPr>
        <w:t>държат</w:t>
      </w:r>
      <w:r w:rsidR="004B7317" w:rsidRPr="00474BEE">
        <w:rPr>
          <w:lang w:val="bg-BG"/>
        </w:rPr>
        <w:t xml:space="preserve"> от прибягване до насилие в бъдеще</w:t>
      </w:r>
      <w:r w:rsidR="00970257" w:rsidRPr="00474BEE">
        <w:rPr>
          <w:lang w:val="bg-BG"/>
        </w:rPr>
        <w:t>.</w:t>
      </w:r>
    </w:p>
    <w:p w:rsidR="00717480" w:rsidRPr="00474BEE" w:rsidRDefault="00D16EB7" w:rsidP="00453C96">
      <w:pPr>
        <w:pStyle w:val="ECHRPara"/>
        <w:rPr>
          <w:lang w:val="bg-BG"/>
        </w:rPr>
      </w:pPr>
      <w:r w:rsidRPr="00474BEE">
        <w:rPr>
          <w:lang w:val="bg-BG"/>
        </w:rPr>
        <w:fldChar w:fldCharType="begin"/>
      </w:r>
      <w:r w:rsidR="00AF1549" w:rsidRPr="00474BEE">
        <w:rPr>
          <w:lang w:val="bg-BG"/>
        </w:rPr>
        <w:instrText xml:space="preserve"> SEQ level0 \*arabic </w:instrText>
      </w:r>
      <w:r w:rsidRPr="00474BEE">
        <w:rPr>
          <w:lang w:val="bg-BG"/>
        </w:rPr>
        <w:fldChar w:fldCharType="separate"/>
      </w:r>
      <w:r w:rsidR="00550343" w:rsidRPr="00474BEE">
        <w:rPr>
          <w:noProof/>
          <w:lang w:val="bg-BG"/>
        </w:rPr>
        <w:t>21</w:t>
      </w:r>
      <w:r w:rsidRPr="00474BEE">
        <w:rPr>
          <w:lang w:val="bg-BG"/>
        </w:rPr>
        <w:fldChar w:fldCharType="end"/>
      </w:r>
      <w:r w:rsidR="00AF1549" w:rsidRPr="00474BEE">
        <w:rPr>
          <w:lang w:val="bg-BG"/>
        </w:rPr>
        <w:t>.  </w:t>
      </w:r>
      <w:r w:rsidR="00130606" w:rsidRPr="00474BEE">
        <w:rPr>
          <w:lang w:val="bg-BG"/>
        </w:rPr>
        <w:t>Полицаите</w:t>
      </w:r>
      <w:r w:rsidR="004B7317" w:rsidRPr="00474BEE">
        <w:rPr>
          <w:lang w:val="bg-BG"/>
        </w:rPr>
        <w:t xml:space="preserve"> </w:t>
      </w:r>
      <w:r w:rsidR="00452768" w:rsidRPr="00474BEE">
        <w:rPr>
          <w:lang w:val="bg-BG"/>
        </w:rPr>
        <w:t>обжалват</w:t>
      </w:r>
      <w:r w:rsidR="004B7317" w:rsidRPr="00474BEE">
        <w:rPr>
          <w:lang w:val="bg-BG"/>
        </w:rPr>
        <w:t xml:space="preserve"> това решение, но н</w:t>
      </w:r>
      <w:r w:rsidR="00453C96" w:rsidRPr="00474BEE">
        <w:rPr>
          <w:lang w:val="bg-BG"/>
        </w:rPr>
        <w:t xml:space="preserve">а 25 април 2014 г. то е </w:t>
      </w:r>
      <w:r w:rsidR="002A2894" w:rsidRPr="00474BEE">
        <w:rPr>
          <w:lang w:val="bg-BG"/>
        </w:rPr>
        <w:t xml:space="preserve">потвърдено </w:t>
      </w:r>
      <w:r w:rsidR="00453C96" w:rsidRPr="00474BEE">
        <w:rPr>
          <w:lang w:val="bg-BG"/>
        </w:rPr>
        <w:t>изцяло</w:t>
      </w:r>
      <w:r w:rsidR="004B7317" w:rsidRPr="00474BEE">
        <w:rPr>
          <w:lang w:val="bg-BG"/>
        </w:rPr>
        <w:t xml:space="preserve"> от Окръжен съд </w:t>
      </w:r>
      <w:r w:rsidR="00453C96" w:rsidRPr="00474BEE">
        <w:rPr>
          <w:lang w:val="bg-BG"/>
        </w:rPr>
        <w:t xml:space="preserve">– </w:t>
      </w:r>
      <w:r w:rsidR="004B7317" w:rsidRPr="00474BEE">
        <w:rPr>
          <w:lang w:val="bg-BG"/>
        </w:rPr>
        <w:t xml:space="preserve">Стара Загора, като неговото решение е окончателно. </w:t>
      </w:r>
      <w:r w:rsidR="00453C96" w:rsidRPr="00474BEE">
        <w:rPr>
          <w:lang w:val="bg-BG"/>
        </w:rPr>
        <w:t xml:space="preserve">Този съд по своя </w:t>
      </w:r>
      <w:r w:rsidR="00F56301" w:rsidRPr="00474BEE">
        <w:rPr>
          <w:lang w:val="bg-BG"/>
        </w:rPr>
        <w:t xml:space="preserve">инициатива </w:t>
      </w:r>
      <w:r w:rsidR="004B7317" w:rsidRPr="00474BEE">
        <w:rPr>
          <w:lang w:val="bg-BG"/>
        </w:rPr>
        <w:t xml:space="preserve">преразглежда наложените наказания на служителите, като напълно се съгласява с мотивите, изложени </w:t>
      </w:r>
      <w:r w:rsidR="002A2894" w:rsidRPr="00474BEE">
        <w:rPr>
          <w:lang w:val="bg-BG"/>
        </w:rPr>
        <w:t xml:space="preserve">от </w:t>
      </w:r>
      <w:r w:rsidR="00F56301" w:rsidRPr="00474BEE">
        <w:rPr>
          <w:lang w:val="bg-BG"/>
        </w:rPr>
        <w:t>низшестоящия</w:t>
      </w:r>
      <w:r w:rsidR="002A2894" w:rsidRPr="00474BEE">
        <w:rPr>
          <w:lang w:val="bg-BG"/>
        </w:rPr>
        <w:t xml:space="preserve"> съд</w:t>
      </w:r>
      <w:r w:rsidR="00453C96" w:rsidRPr="00474BEE">
        <w:rPr>
          <w:lang w:val="bg-BG"/>
        </w:rPr>
        <w:t xml:space="preserve"> </w:t>
      </w:r>
      <w:r w:rsidR="004B7317" w:rsidRPr="00474BEE">
        <w:rPr>
          <w:lang w:val="bg-BG"/>
        </w:rPr>
        <w:t>по този въпрос</w:t>
      </w:r>
      <w:r w:rsidR="006F6E89" w:rsidRPr="00474BEE">
        <w:rPr>
          <w:lang w:val="bg-BG"/>
        </w:rPr>
        <w:t>.</w:t>
      </w:r>
    </w:p>
    <w:p w:rsidR="00717480" w:rsidRPr="00474BEE" w:rsidRDefault="004B7317" w:rsidP="004B7317">
      <w:pPr>
        <w:pStyle w:val="ECHRHeading2"/>
        <w:outlineLvl w:val="2"/>
        <w:rPr>
          <w:lang w:val="bg-BG"/>
        </w:rPr>
      </w:pPr>
      <w:r w:rsidRPr="00474BEE">
        <w:rPr>
          <w:lang w:val="bg-BG"/>
        </w:rPr>
        <w:t>В</w:t>
      </w:r>
      <w:r w:rsidR="00717480" w:rsidRPr="00474BEE">
        <w:rPr>
          <w:lang w:val="bg-BG"/>
        </w:rPr>
        <w:t>.</w:t>
      </w:r>
      <w:r w:rsidR="00717480" w:rsidRPr="00474BEE">
        <w:rPr>
          <w:lang w:val="en-GB"/>
        </w:rPr>
        <w:t>  </w:t>
      </w:r>
      <w:r w:rsidRPr="00474BEE">
        <w:rPr>
          <w:lang w:val="bg-BG"/>
        </w:rPr>
        <w:t xml:space="preserve">Дисциплинарното производство срещу </w:t>
      </w:r>
      <w:r w:rsidR="00130606" w:rsidRPr="00474BEE">
        <w:rPr>
          <w:lang w:val="bg-BG"/>
        </w:rPr>
        <w:t>полиц</w:t>
      </w:r>
      <w:r w:rsidR="00900496" w:rsidRPr="00474BEE">
        <w:rPr>
          <w:lang w:val="bg-BG"/>
        </w:rPr>
        <w:t>ейските служители</w:t>
      </w:r>
    </w:p>
    <w:p w:rsidR="00014566" w:rsidRPr="00474BEE" w:rsidRDefault="00D16EB7" w:rsidP="00550343">
      <w:pPr>
        <w:pStyle w:val="ECHRPara"/>
        <w:rPr>
          <w:lang w:val="bg-BG"/>
        </w:rPr>
      </w:pPr>
      <w:r w:rsidRPr="00474BEE">
        <w:rPr>
          <w:lang w:val="en-GB"/>
        </w:rPr>
        <w:fldChar w:fldCharType="begin"/>
      </w:r>
      <w:r w:rsidR="006F5694" w:rsidRPr="00474BEE">
        <w:rPr>
          <w:lang w:val="bg-BG"/>
        </w:rPr>
        <w:instrText xml:space="preserve"> </w:instrText>
      </w:r>
      <w:r w:rsidR="006F5694" w:rsidRPr="00474BEE">
        <w:rPr>
          <w:lang w:val="en-GB"/>
        </w:rPr>
        <w:instrText>SEQ</w:instrText>
      </w:r>
      <w:r w:rsidR="006F5694" w:rsidRPr="00474BEE">
        <w:rPr>
          <w:lang w:val="bg-BG"/>
        </w:rPr>
        <w:instrText xml:space="preserve"> </w:instrText>
      </w:r>
      <w:r w:rsidR="006F5694" w:rsidRPr="00474BEE">
        <w:rPr>
          <w:lang w:val="en-GB"/>
        </w:rPr>
        <w:instrText>level</w:instrText>
      </w:r>
      <w:r w:rsidR="006F5694" w:rsidRPr="00474BEE">
        <w:rPr>
          <w:lang w:val="bg-BG"/>
        </w:rPr>
        <w:instrText>0 \*</w:instrText>
      </w:r>
      <w:r w:rsidR="006F5694" w:rsidRPr="00474BEE">
        <w:rPr>
          <w:lang w:val="en-GB"/>
        </w:rPr>
        <w:instrText>arabic</w:instrText>
      </w:r>
      <w:r w:rsidR="006F5694" w:rsidRPr="00474BEE">
        <w:rPr>
          <w:lang w:val="bg-BG"/>
        </w:rPr>
        <w:instrText xml:space="preserve"> </w:instrText>
      </w:r>
      <w:r w:rsidRPr="00474BEE">
        <w:rPr>
          <w:lang w:val="en-GB"/>
        </w:rPr>
        <w:fldChar w:fldCharType="separate"/>
      </w:r>
      <w:r w:rsidR="00550343" w:rsidRPr="00474BEE">
        <w:rPr>
          <w:noProof/>
          <w:lang w:val="bg-BG"/>
        </w:rPr>
        <w:t>22</w:t>
      </w:r>
      <w:r w:rsidRPr="00474BEE">
        <w:rPr>
          <w:lang w:val="en-GB"/>
        </w:rPr>
        <w:fldChar w:fldCharType="end"/>
      </w:r>
      <w:r w:rsidR="006F5694" w:rsidRPr="00474BEE">
        <w:rPr>
          <w:lang w:val="bg-BG"/>
        </w:rPr>
        <w:t>.</w:t>
      </w:r>
      <w:r w:rsidR="006F5694" w:rsidRPr="00474BEE">
        <w:rPr>
          <w:lang w:val="en-GB"/>
        </w:rPr>
        <w:t>  </w:t>
      </w:r>
      <w:r w:rsidR="00453C96" w:rsidRPr="00474BEE">
        <w:rPr>
          <w:lang w:val="bg-BG"/>
        </w:rPr>
        <w:t>След подадена жалба от</w:t>
      </w:r>
      <w:r w:rsidR="004B7317" w:rsidRPr="00474BEE">
        <w:rPr>
          <w:lang w:val="bg-BG"/>
        </w:rPr>
        <w:t xml:space="preserve"> жалбоподате</w:t>
      </w:r>
      <w:r w:rsidR="00453C96" w:rsidRPr="00474BEE">
        <w:rPr>
          <w:lang w:val="bg-BG"/>
        </w:rPr>
        <w:t>ля, на 27 февруари 2012 г.</w:t>
      </w:r>
      <w:r w:rsidR="004B7317" w:rsidRPr="00474BEE">
        <w:rPr>
          <w:lang w:val="bg-BG"/>
        </w:rPr>
        <w:t xml:space="preserve"> Районното полицейско управление в Казанлък започва вътрешно разследване</w:t>
      </w:r>
      <w:r w:rsidR="00900496" w:rsidRPr="00474BEE">
        <w:rPr>
          <w:lang w:val="bg-BG"/>
        </w:rPr>
        <w:t xml:space="preserve"> на</w:t>
      </w:r>
      <w:r w:rsidR="004B7317" w:rsidRPr="00474BEE">
        <w:rPr>
          <w:lang w:val="bg-BG"/>
        </w:rPr>
        <w:t xml:space="preserve"> твърденията, че той е бил малтретиран. Н</w:t>
      </w:r>
      <w:r w:rsidR="00453C96" w:rsidRPr="00474BEE">
        <w:rPr>
          <w:lang w:val="bg-BG"/>
        </w:rPr>
        <w:t xml:space="preserve">а 6 март 2012 г. </w:t>
      </w:r>
      <w:r w:rsidR="004B7317" w:rsidRPr="00474BEE">
        <w:rPr>
          <w:lang w:val="bg-BG"/>
        </w:rPr>
        <w:t>жалбоподателя</w:t>
      </w:r>
      <w:r w:rsidR="00453C96" w:rsidRPr="00474BEE">
        <w:rPr>
          <w:lang w:val="bg-BG"/>
        </w:rPr>
        <w:t>т е уведомен</w:t>
      </w:r>
      <w:r w:rsidR="004B7317" w:rsidRPr="00474BEE">
        <w:rPr>
          <w:lang w:val="bg-BG"/>
        </w:rPr>
        <w:t xml:space="preserve">, че </w:t>
      </w:r>
      <w:r w:rsidR="00453C96" w:rsidRPr="00474BEE">
        <w:rPr>
          <w:lang w:val="bg-BG"/>
        </w:rPr>
        <w:t xml:space="preserve">полицейското управление </w:t>
      </w:r>
      <w:r w:rsidR="004B7317" w:rsidRPr="00474BEE">
        <w:rPr>
          <w:lang w:val="bg-BG"/>
        </w:rPr>
        <w:t>е препоръчал</w:t>
      </w:r>
      <w:r w:rsidR="00640202" w:rsidRPr="00474BEE">
        <w:rPr>
          <w:lang w:val="bg-BG"/>
        </w:rPr>
        <w:t>о започване</w:t>
      </w:r>
      <w:r w:rsidR="004B7317" w:rsidRPr="00474BEE">
        <w:rPr>
          <w:lang w:val="bg-BG"/>
        </w:rPr>
        <w:t xml:space="preserve"> на дисциплинарно производство срещу тримата служители. В резултат на това производство на 5 юни и на</w:t>
      </w:r>
      <w:r w:rsidR="00640202" w:rsidRPr="00474BEE">
        <w:rPr>
          <w:lang w:val="bg-BG"/>
        </w:rPr>
        <w:t xml:space="preserve"> 18 октомври 2012 г. съответно</w:t>
      </w:r>
      <w:r w:rsidR="004B7317" w:rsidRPr="00474BEE">
        <w:rPr>
          <w:lang w:val="bg-BG"/>
        </w:rPr>
        <w:t xml:space="preserve"> г-н Н.К. и г-н И.К. са наказани с недоп</w:t>
      </w:r>
      <w:r w:rsidR="00640202" w:rsidRPr="00474BEE">
        <w:rPr>
          <w:lang w:val="bg-BG"/>
        </w:rPr>
        <w:t>ускане до конкурси за повишаване в длъжност</w:t>
      </w:r>
      <w:r w:rsidR="004B7317" w:rsidRPr="00474BEE">
        <w:rPr>
          <w:lang w:val="bg-BG"/>
        </w:rPr>
        <w:t xml:space="preserve"> за период от три години</w:t>
      </w:r>
      <w:r w:rsidR="00CD6890" w:rsidRPr="00474BEE">
        <w:rPr>
          <w:lang w:val="bg-BG"/>
        </w:rPr>
        <w:t xml:space="preserve"> за</w:t>
      </w:r>
      <w:r w:rsidR="004B7317" w:rsidRPr="00474BEE">
        <w:rPr>
          <w:lang w:val="bg-BG"/>
        </w:rPr>
        <w:t xml:space="preserve"> това, че незаконно са задържали жалбоподателя, докато на г-н Т.А. не е наложено дисциплинарно наказание. Дисциплинарната комисия установява, че нито един от тримата полицаи не е малтретирал жалбоподателя</w:t>
      </w:r>
      <w:r w:rsidR="00BA7483" w:rsidRPr="00474BEE">
        <w:rPr>
          <w:lang w:val="bg-BG"/>
        </w:rPr>
        <w:t>.</w:t>
      </w:r>
    </w:p>
    <w:p w:rsidR="00086874" w:rsidRPr="00474BEE" w:rsidRDefault="004B7317" w:rsidP="00550343">
      <w:pPr>
        <w:pStyle w:val="ECHRHeading2"/>
        <w:outlineLvl w:val="2"/>
        <w:rPr>
          <w:lang w:val="bg-BG"/>
        </w:rPr>
      </w:pPr>
      <w:r w:rsidRPr="00474BEE">
        <w:rPr>
          <w:lang w:val="bg-BG"/>
        </w:rPr>
        <w:t>Г.</w:t>
      </w:r>
      <w:r w:rsidRPr="00474BEE">
        <w:rPr>
          <w:lang w:val="en-GB"/>
        </w:rPr>
        <w:t>  </w:t>
      </w:r>
      <w:r w:rsidR="00640202" w:rsidRPr="00474BEE">
        <w:rPr>
          <w:lang w:val="bg-BG"/>
        </w:rPr>
        <w:t>Иск</w:t>
      </w:r>
      <w:r w:rsidR="00F56301" w:rsidRPr="00474BEE">
        <w:rPr>
          <w:lang w:val="bg-BG"/>
        </w:rPr>
        <w:t>ът</w:t>
      </w:r>
      <w:r w:rsidRPr="00474BEE">
        <w:rPr>
          <w:lang w:val="bg-BG"/>
        </w:rPr>
        <w:t xml:space="preserve"> на жалбоподателя за </w:t>
      </w:r>
      <w:r w:rsidR="00F56301" w:rsidRPr="00474BEE">
        <w:rPr>
          <w:lang w:val="bg-BG"/>
        </w:rPr>
        <w:t xml:space="preserve">обезщетение </w:t>
      </w:r>
      <w:r w:rsidR="00CD6890" w:rsidRPr="00474BEE">
        <w:rPr>
          <w:lang w:val="bg-BG"/>
        </w:rPr>
        <w:t>срещу полицията</w:t>
      </w:r>
    </w:p>
    <w:p w:rsidR="004B7317" w:rsidRPr="00474BEE" w:rsidRDefault="00D16EB7" w:rsidP="004B7317">
      <w:pPr>
        <w:pStyle w:val="ECHRPara"/>
        <w:rPr>
          <w:lang w:val="bg-BG"/>
        </w:rPr>
      </w:pPr>
      <w:r w:rsidRPr="00474BEE">
        <w:rPr>
          <w:lang w:val="en-GB"/>
        </w:rPr>
        <w:fldChar w:fldCharType="begin"/>
      </w:r>
      <w:r w:rsidR="00086874" w:rsidRPr="00474BEE">
        <w:rPr>
          <w:lang w:val="bg-BG"/>
        </w:rPr>
        <w:instrText xml:space="preserve"> </w:instrText>
      </w:r>
      <w:r w:rsidR="00086874" w:rsidRPr="00474BEE">
        <w:rPr>
          <w:lang w:val="en-GB"/>
        </w:rPr>
        <w:instrText>SEQ</w:instrText>
      </w:r>
      <w:r w:rsidR="00086874" w:rsidRPr="00474BEE">
        <w:rPr>
          <w:lang w:val="bg-BG"/>
        </w:rPr>
        <w:instrText xml:space="preserve"> </w:instrText>
      </w:r>
      <w:r w:rsidR="00086874" w:rsidRPr="00474BEE">
        <w:rPr>
          <w:lang w:val="en-GB"/>
        </w:rPr>
        <w:instrText>level</w:instrText>
      </w:r>
      <w:r w:rsidR="00086874" w:rsidRPr="00474BEE">
        <w:rPr>
          <w:lang w:val="bg-BG"/>
        </w:rPr>
        <w:instrText>0 \*</w:instrText>
      </w:r>
      <w:r w:rsidR="00086874" w:rsidRPr="00474BEE">
        <w:rPr>
          <w:lang w:val="en-GB"/>
        </w:rPr>
        <w:instrText>arabic</w:instrText>
      </w:r>
      <w:r w:rsidR="00086874" w:rsidRPr="00474BEE">
        <w:rPr>
          <w:lang w:val="bg-BG"/>
        </w:rPr>
        <w:instrText xml:space="preserve"> </w:instrText>
      </w:r>
      <w:r w:rsidRPr="00474BEE">
        <w:rPr>
          <w:lang w:val="en-GB"/>
        </w:rPr>
        <w:fldChar w:fldCharType="separate"/>
      </w:r>
      <w:r w:rsidR="00550343" w:rsidRPr="00474BEE">
        <w:rPr>
          <w:noProof/>
          <w:lang w:val="bg-BG"/>
        </w:rPr>
        <w:t>23</w:t>
      </w:r>
      <w:r w:rsidRPr="00474BEE">
        <w:rPr>
          <w:lang w:val="en-GB"/>
        </w:rPr>
        <w:fldChar w:fldCharType="end"/>
      </w:r>
      <w:r w:rsidR="00086874" w:rsidRPr="00474BEE">
        <w:rPr>
          <w:lang w:val="bg-BG"/>
        </w:rPr>
        <w:t>.</w:t>
      </w:r>
      <w:r w:rsidR="00086874" w:rsidRPr="00474BEE">
        <w:rPr>
          <w:lang w:val="en-GB"/>
        </w:rPr>
        <w:t>  </w:t>
      </w:r>
      <w:r w:rsidR="004B7317" w:rsidRPr="00474BEE">
        <w:rPr>
          <w:lang w:val="bg-BG"/>
        </w:rPr>
        <w:t xml:space="preserve">През август 2014 г. жалбоподателят подава иск за </w:t>
      </w:r>
      <w:r w:rsidR="00F56301" w:rsidRPr="00474BEE">
        <w:rPr>
          <w:lang w:val="bg-BG"/>
        </w:rPr>
        <w:t xml:space="preserve">обезщетение за </w:t>
      </w:r>
      <w:r w:rsidR="004B7317" w:rsidRPr="00474BEE">
        <w:rPr>
          <w:lang w:val="bg-BG"/>
        </w:rPr>
        <w:t xml:space="preserve">вреди съгласно чл. 1 от Закона за отговорността на държавата и общините за вреди </w:t>
      </w:r>
      <w:r w:rsidR="00CD6890" w:rsidRPr="00474BEE">
        <w:rPr>
          <w:lang w:val="bg-BG"/>
        </w:rPr>
        <w:t xml:space="preserve">от </w:t>
      </w:r>
      <w:r w:rsidR="004B7317" w:rsidRPr="00474BEE">
        <w:rPr>
          <w:lang w:val="bg-BG"/>
        </w:rPr>
        <w:t>1988</w:t>
      </w:r>
      <w:r w:rsidR="00CD6890" w:rsidRPr="00474BEE">
        <w:rPr>
          <w:lang w:val="bg-BG"/>
        </w:rPr>
        <w:t xml:space="preserve"> г.</w:t>
      </w:r>
      <w:r w:rsidR="004B7317" w:rsidRPr="00474BEE">
        <w:rPr>
          <w:lang w:val="bg-BG"/>
        </w:rPr>
        <w:t xml:space="preserve"> срещу </w:t>
      </w:r>
      <w:r w:rsidR="006D0A02" w:rsidRPr="00474BEE">
        <w:rPr>
          <w:lang w:val="bg-BG"/>
        </w:rPr>
        <w:t xml:space="preserve">Районното полицейско управление </w:t>
      </w:r>
      <w:r w:rsidR="0070207E" w:rsidRPr="00474BEE">
        <w:rPr>
          <w:lang w:val="bg-BG"/>
        </w:rPr>
        <w:t>в</w:t>
      </w:r>
      <w:r w:rsidR="006D0A02" w:rsidRPr="00474BEE">
        <w:rPr>
          <w:lang w:val="bg-BG"/>
        </w:rPr>
        <w:t xml:space="preserve"> Стара Загора. </w:t>
      </w:r>
      <w:r w:rsidR="004B7317" w:rsidRPr="00474BEE">
        <w:rPr>
          <w:lang w:val="bg-BG"/>
        </w:rPr>
        <w:t>Административният съд в Стара Загора изслушв</w:t>
      </w:r>
      <w:r w:rsidR="006D0A02" w:rsidRPr="00474BEE">
        <w:rPr>
          <w:lang w:val="bg-BG"/>
        </w:rPr>
        <w:t>а делото на 17 декември 2014 г.</w:t>
      </w:r>
      <w:r w:rsidR="004B7317" w:rsidRPr="00474BEE">
        <w:rPr>
          <w:lang w:val="bg-BG"/>
        </w:rPr>
        <w:t xml:space="preserve"> и </w:t>
      </w:r>
      <w:r w:rsidR="0070207E" w:rsidRPr="00474BEE">
        <w:rPr>
          <w:lang w:val="bg-BG"/>
        </w:rPr>
        <w:t xml:space="preserve">с </w:t>
      </w:r>
      <w:r w:rsidR="004B7317" w:rsidRPr="00474BEE">
        <w:rPr>
          <w:lang w:val="bg-BG"/>
        </w:rPr>
        <w:t>ре</w:t>
      </w:r>
      <w:r w:rsidR="006D0A02" w:rsidRPr="00474BEE">
        <w:rPr>
          <w:lang w:val="bg-BG"/>
        </w:rPr>
        <w:t xml:space="preserve">шение от 19 януари 2015 г. </w:t>
      </w:r>
      <w:r w:rsidR="008753A3" w:rsidRPr="00474BEE">
        <w:rPr>
          <w:lang w:val="bg-BG"/>
        </w:rPr>
        <w:t>намира</w:t>
      </w:r>
      <w:r w:rsidR="006D0A02" w:rsidRPr="00474BEE">
        <w:rPr>
          <w:lang w:val="bg-BG"/>
        </w:rPr>
        <w:t xml:space="preserve">, че Районно полицейско управление </w:t>
      </w:r>
      <w:r w:rsidR="004B7317" w:rsidRPr="00474BEE">
        <w:rPr>
          <w:lang w:val="bg-BG"/>
        </w:rPr>
        <w:t xml:space="preserve">Стара Загора </w:t>
      </w:r>
      <w:r w:rsidR="006D0A02" w:rsidRPr="00474BEE">
        <w:rPr>
          <w:lang w:val="bg-BG"/>
        </w:rPr>
        <w:t>е отговорно</w:t>
      </w:r>
      <w:r w:rsidR="004B7317" w:rsidRPr="00474BEE">
        <w:rPr>
          <w:lang w:val="bg-BG"/>
        </w:rPr>
        <w:t xml:space="preserve"> за малтретирането,</w:t>
      </w:r>
      <w:r w:rsidR="00640202" w:rsidRPr="00474BEE">
        <w:rPr>
          <w:lang w:val="bg-BG"/>
        </w:rPr>
        <w:t xml:space="preserve"> претърпяно от жалбоподателя</w:t>
      </w:r>
      <w:r w:rsidR="006D0A02" w:rsidRPr="00474BEE">
        <w:rPr>
          <w:lang w:val="bg-BG"/>
        </w:rPr>
        <w:t xml:space="preserve"> от </w:t>
      </w:r>
      <w:r w:rsidR="004B7317" w:rsidRPr="00474BEE">
        <w:rPr>
          <w:lang w:val="bg-BG"/>
        </w:rPr>
        <w:t>трим</w:t>
      </w:r>
      <w:r w:rsidR="006D0A02" w:rsidRPr="00474BEE">
        <w:rPr>
          <w:lang w:val="bg-BG"/>
        </w:rPr>
        <w:t>ата полицаи, като му присъжда 4</w:t>
      </w:r>
      <w:r w:rsidR="008753A3" w:rsidRPr="00474BEE">
        <w:rPr>
          <w:lang w:val="bg-BG"/>
        </w:rPr>
        <w:t xml:space="preserve"> </w:t>
      </w:r>
      <w:r w:rsidR="004B7317" w:rsidRPr="00474BEE">
        <w:rPr>
          <w:lang w:val="bg-BG"/>
        </w:rPr>
        <w:t xml:space="preserve">000 </w:t>
      </w:r>
      <w:r w:rsidR="006D0A02" w:rsidRPr="00474BEE">
        <w:rPr>
          <w:lang w:val="bg-BG"/>
        </w:rPr>
        <w:t>лева</w:t>
      </w:r>
      <w:r w:rsidR="004B7317" w:rsidRPr="00474BEE">
        <w:t xml:space="preserve"> (</w:t>
      </w:r>
      <w:r w:rsidR="006D0A02" w:rsidRPr="00474BEE">
        <w:rPr>
          <w:lang w:val="bg-BG"/>
        </w:rPr>
        <w:t>равностойност на 2</w:t>
      </w:r>
      <w:r w:rsidR="008753A3" w:rsidRPr="00474BEE">
        <w:rPr>
          <w:lang w:val="bg-BG"/>
        </w:rPr>
        <w:t xml:space="preserve"> </w:t>
      </w:r>
      <w:r w:rsidR="006D0A02" w:rsidRPr="00474BEE">
        <w:rPr>
          <w:lang w:val="bg-BG"/>
        </w:rPr>
        <w:t>0</w:t>
      </w:r>
      <w:r w:rsidR="004B7317" w:rsidRPr="00474BEE">
        <w:rPr>
          <w:lang w:val="bg-BG"/>
        </w:rPr>
        <w:t>45</w:t>
      </w:r>
      <w:r w:rsidR="006D0A02" w:rsidRPr="00474BEE">
        <w:t xml:space="preserve"> </w:t>
      </w:r>
      <w:r w:rsidR="006D0A02" w:rsidRPr="00474BEE">
        <w:rPr>
          <w:lang w:val="bg-BG"/>
        </w:rPr>
        <w:t>евро</w:t>
      </w:r>
      <w:r w:rsidR="004B7317" w:rsidRPr="00474BEE">
        <w:t>)</w:t>
      </w:r>
      <w:r w:rsidR="004B7317" w:rsidRPr="00474BEE">
        <w:rPr>
          <w:lang w:val="bg-BG"/>
        </w:rPr>
        <w:t xml:space="preserve"> </w:t>
      </w:r>
      <w:r w:rsidR="0070207E" w:rsidRPr="00474BEE">
        <w:rPr>
          <w:lang w:val="bg-BG"/>
        </w:rPr>
        <w:t xml:space="preserve">за </w:t>
      </w:r>
      <w:r w:rsidR="004B7317" w:rsidRPr="00474BEE">
        <w:rPr>
          <w:lang w:val="bg-BG"/>
        </w:rPr>
        <w:t>неимуществени вре</w:t>
      </w:r>
      <w:r w:rsidR="006D0A02" w:rsidRPr="00474BEE">
        <w:rPr>
          <w:lang w:val="bg-BG"/>
        </w:rPr>
        <w:t>ди</w:t>
      </w:r>
      <w:r w:rsidR="008753A3" w:rsidRPr="00474BEE">
        <w:rPr>
          <w:lang w:val="bg-BG"/>
        </w:rPr>
        <w:t>, плюс лихва</w:t>
      </w:r>
      <w:r w:rsidR="006D0A02" w:rsidRPr="00474BEE">
        <w:rPr>
          <w:lang w:val="bg-BG"/>
        </w:rPr>
        <w:t xml:space="preserve">. </w:t>
      </w:r>
      <w:r w:rsidR="004B7317" w:rsidRPr="00474BEE">
        <w:rPr>
          <w:lang w:val="bg-BG"/>
        </w:rPr>
        <w:t>Съдът отбелязва по-специално, че малтретирането, на което жалбоподателят е бил подложен, не е било прово</w:t>
      </w:r>
      <w:r w:rsidR="00640202" w:rsidRPr="00474BEE">
        <w:rPr>
          <w:lang w:val="bg-BG"/>
        </w:rPr>
        <w:t>кирано от него по какъвто и да било</w:t>
      </w:r>
      <w:r w:rsidR="004B7317" w:rsidRPr="00474BEE">
        <w:rPr>
          <w:lang w:val="bg-BG"/>
        </w:rPr>
        <w:t xml:space="preserve"> начин, както и че то му е причинило физическа болка за около месец. То също так</w:t>
      </w:r>
      <w:r w:rsidR="00640202" w:rsidRPr="00474BEE">
        <w:rPr>
          <w:lang w:val="bg-BG"/>
        </w:rPr>
        <w:t xml:space="preserve">а му е причинило и чувство на </w:t>
      </w:r>
      <w:r w:rsidR="00C144C4" w:rsidRPr="00474BEE">
        <w:rPr>
          <w:lang w:val="bg-BG"/>
        </w:rPr>
        <w:t>безпокойство</w:t>
      </w:r>
      <w:r w:rsidR="00BA5CB9" w:rsidRPr="00474BEE">
        <w:rPr>
          <w:lang w:val="bg-BG"/>
        </w:rPr>
        <w:t xml:space="preserve">  и тревожност, когато напускал</w:t>
      </w:r>
      <w:r w:rsidR="004B7317" w:rsidRPr="00474BEE">
        <w:rPr>
          <w:lang w:val="bg-BG"/>
        </w:rPr>
        <w:t xml:space="preserve"> дома</w:t>
      </w:r>
      <w:r w:rsidR="00BA5CB9" w:rsidRPr="00474BEE">
        <w:rPr>
          <w:lang w:val="bg-BG"/>
        </w:rPr>
        <w:t xml:space="preserve"> си</w:t>
      </w:r>
      <w:r w:rsidR="004B7317" w:rsidRPr="00474BEE">
        <w:rPr>
          <w:lang w:val="bg-BG"/>
        </w:rPr>
        <w:t>, поради страх, че може да бъде малтретиран отново.</w:t>
      </w:r>
    </w:p>
    <w:p w:rsidR="00086874" w:rsidRPr="00474BEE" w:rsidRDefault="004B7317" w:rsidP="004B7317">
      <w:pPr>
        <w:pStyle w:val="ECHRPara"/>
        <w:rPr>
          <w:lang w:val="bg-BG"/>
        </w:rPr>
      </w:pPr>
      <w:r w:rsidRPr="00474BEE">
        <w:rPr>
          <w:lang w:val="en-GB"/>
        </w:rPr>
        <w:fldChar w:fldCharType="begin"/>
      </w:r>
      <w:r w:rsidRPr="00474BEE">
        <w:rPr>
          <w:lang w:val="bg-BG"/>
        </w:rPr>
        <w:instrText xml:space="preserve"> </w:instrText>
      </w:r>
      <w:r w:rsidRPr="00474BEE">
        <w:rPr>
          <w:lang w:val="en-GB"/>
        </w:rPr>
        <w:instrText>SEQ</w:instrText>
      </w:r>
      <w:r w:rsidRPr="00474BEE">
        <w:rPr>
          <w:lang w:val="bg-BG"/>
        </w:rPr>
        <w:instrText xml:space="preserve"> </w:instrText>
      </w:r>
      <w:r w:rsidRPr="00474BEE">
        <w:rPr>
          <w:lang w:val="en-GB"/>
        </w:rPr>
        <w:instrText>level</w:instrText>
      </w:r>
      <w:r w:rsidRPr="00474BEE">
        <w:rPr>
          <w:lang w:val="bg-BG"/>
        </w:rPr>
        <w:instrText>0 \*</w:instrText>
      </w:r>
      <w:r w:rsidRPr="00474BEE">
        <w:rPr>
          <w:lang w:val="en-GB"/>
        </w:rPr>
        <w:instrText>arabic</w:instrText>
      </w:r>
      <w:r w:rsidRPr="00474BEE">
        <w:rPr>
          <w:lang w:val="bg-BG"/>
        </w:rPr>
        <w:instrText xml:space="preserve"> </w:instrText>
      </w:r>
      <w:r w:rsidRPr="00474BEE">
        <w:rPr>
          <w:lang w:val="en-GB"/>
        </w:rPr>
        <w:fldChar w:fldCharType="separate"/>
      </w:r>
      <w:r w:rsidRPr="00474BEE">
        <w:rPr>
          <w:noProof/>
          <w:lang w:val="bg-BG"/>
        </w:rPr>
        <w:t>24</w:t>
      </w:r>
      <w:r w:rsidRPr="00474BEE">
        <w:rPr>
          <w:lang w:val="en-GB"/>
        </w:rPr>
        <w:fldChar w:fldCharType="end"/>
      </w:r>
      <w:r w:rsidRPr="00474BEE">
        <w:rPr>
          <w:lang w:val="bg-BG"/>
        </w:rPr>
        <w:t>.</w:t>
      </w:r>
      <w:r w:rsidRPr="00474BEE">
        <w:rPr>
          <w:lang w:val="en-GB"/>
        </w:rPr>
        <w:t>  </w:t>
      </w:r>
      <w:r w:rsidR="0070207E" w:rsidRPr="00474BEE">
        <w:rPr>
          <w:lang w:val="bg-BG"/>
        </w:rPr>
        <w:t>Информацията показва</w:t>
      </w:r>
      <w:r w:rsidRPr="00474BEE">
        <w:rPr>
          <w:lang w:val="bg-BG"/>
        </w:rPr>
        <w:t>, че решението все още не е влязло в сила</w:t>
      </w:r>
      <w:r w:rsidR="00C80316" w:rsidRPr="00474BEE">
        <w:rPr>
          <w:lang w:val="bg-BG"/>
        </w:rPr>
        <w:t>.</w:t>
      </w:r>
    </w:p>
    <w:p w:rsidR="00014566" w:rsidRPr="00474BEE" w:rsidRDefault="004B7317" w:rsidP="00550343">
      <w:pPr>
        <w:pStyle w:val="ECHRHeading1"/>
        <w:outlineLvl w:val="1"/>
        <w:rPr>
          <w:lang w:val="bg-BG"/>
        </w:rPr>
      </w:pPr>
      <w:r w:rsidRPr="00474BEE">
        <w:rPr>
          <w:lang w:val="en-GB"/>
        </w:rPr>
        <w:lastRenderedPageBreak/>
        <w:t>II</w:t>
      </w:r>
      <w:r w:rsidRPr="00474BEE">
        <w:rPr>
          <w:lang w:val="bg-BG"/>
        </w:rPr>
        <w:t>.</w:t>
      </w:r>
      <w:r w:rsidRPr="00474BEE">
        <w:rPr>
          <w:lang w:val="en-GB"/>
        </w:rPr>
        <w:t>  </w:t>
      </w:r>
      <w:r w:rsidRPr="00474BEE">
        <w:rPr>
          <w:lang w:val="bg-BG"/>
        </w:rPr>
        <w:t xml:space="preserve">ПРИЛОЖИМО ВЪТРЕШНО </w:t>
      </w:r>
      <w:r w:rsidR="007B693C" w:rsidRPr="00474BEE">
        <w:rPr>
          <w:lang w:val="bg-BG"/>
        </w:rPr>
        <w:t>ПРАВО</w:t>
      </w:r>
    </w:p>
    <w:p w:rsidR="008F2975" w:rsidRPr="00474BEE" w:rsidRDefault="004B7317" w:rsidP="00550343">
      <w:pPr>
        <w:pStyle w:val="ECHRHeading2"/>
        <w:outlineLvl w:val="2"/>
        <w:rPr>
          <w:lang w:val="bg-BG"/>
        </w:rPr>
      </w:pPr>
      <w:r w:rsidRPr="00474BEE">
        <w:rPr>
          <w:lang w:val="en-GB"/>
        </w:rPr>
        <w:t>A</w:t>
      </w:r>
      <w:r w:rsidRPr="00474BEE">
        <w:rPr>
          <w:lang w:val="bg-BG"/>
        </w:rPr>
        <w:t>.</w:t>
      </w:r>
      <w:r w:rsidRPr="00474BEE">
        <w:rPr>
          <w:lang w:val="en-GB"/>
        </w:rPr>
        <w:t>  </w:t>
      </w:r>
      <w:r w:rsidRPr="00474BEE">
        <w:rPr>
          <w:lang w:val="bg-BG"/>
        </w:rPr>
        <w:t>Приложими конституционни разпоредби</w:t>
      </w:r>
    </w:p>
    <w:p w:rsidR="004B7317" w:rsidRPr="00474BEE" w:rsidRDefault="004B7317" w:rsidP="004B7317">
      <w:pPr>
        <w:pStyle w:val="ECHRHeading3"/>
        <w:outlineLvl w:val="3"/>
        <w:rPr>
          <w:lang w:val="bg-BG"/>
        </w:rPr>
      </w:pPr>
      <w:r w:rsidRPr="00474BEE">
        <w:rPr>
          <w:lang w:val="en-GB"/>
        </w:rPr>
        <w:t>1.  </w:t>
      </w:r>
      <w:r w:rsidR="00BA5CB9" w:rsidRPr="00474BEE">
        <w:rPr>
          <w:lang w:val="bg-BG"/>
        </w:rPr>
        <w:t>Обща забрана з</w:t>
      </w:r>
      <w:r w:rsidRPr="00474BEE">
        <w:rPr>
          <w:lang w:val="bg-BG"/>
        </w:rPr>
        <w:t xml:space="preserve">а нечовешко отношение </w:t>
      </w:r>
    </w:p>
    <w:p w:rsidR="004B7317" w:rsidRPr="00474BEE" w:rsidRDefault="004B7317" w:rsidP="004B7317">
      <w:pPr>
        <w:pStyle w:val="ECHRPara"/>
        <w:rPr>
          <w:lang w:val="bg-BG"/>
        </w:rPr>
      </w:pPr>
      <w:r w:rsidRPr="00474BEE">
        <w:rPr>
          <w:lang w:val="en-GB"/>
        </w:rPr>
        <w:fldChar w:fldCharType="begin"/>
      </w:r>
      <w:r w:rsidRPr="00474BEE">
        <w:rPr>
          <w:lang w:val="bg-BG"/>
        </w:rPr>
        <w:instrText xml:space="preserve"> </w:instrText>
      </w:r>
      <w:r w:rsidRPr="00474BEE">
        <w:rPr>
          <w:lang w:val="en-GB"/>
        </w:rPr>
        <w:instrText>SEQ</w:instrText>
      </w:r>
      <w:r w:rsidRPr="00474BEE">
        <w:rPr>
          <w:lang w:val="bg-BG"/>
        </w:rPr>
        <w:instrText xml:space="preserve"> </w:instrText>
      </w:r>
      <w:r w:rsidRPr="00474BEE">
        <w:rPr>
          <w:lang w:val="en-GB"/>
        </w:rPr>
        <w:instrText>level</w:instrText>
      </w:r>
      <w:r w:rsidRPr="00474BEE">
        <w:rPr>
          <w:lang w:val="bg-BG"/>
        </w:rPr>
        <w:instrText>0 \*</w:instrText>
      </w:r>
      <w:r w:rsidRPr="00474BEE">
        <w:rPr>
          <w:lang w:val="en-GB"/>
        </w:rPr>
        <w:instrText>arabic</w:instrText>
      </w:r>
      <w:r w:rsidRPr="00474BEE">
        <w:rPr>
          <w:lang w:val="bg-BG"/>
        </w:rPr>
        <w:instrText xml:space="preserve"> </w:instrText>
      </w:r>
      <w:r w:rsidRPr="00474BEE">
        <w:rPr>
          <w:lang w:val="en-GB"/>
        </w:rPr>
        <w:fldChar w:fldCharType="separate"/>
      </w:r>
      <w:r w:rsidRPr="00474BEE">
        <w:rPr>
          <w:noProof/>
          <w:lang w:val="bg-BG"/>
        </w:rPr>
        <w:t>25</w:t>
      </w:r>
      <w:r w:rsidRPr="00474BEE">
        <w:rPr>
          <w:lang w:val="en-GB"/>
        </w:rPr>
        <w:fldChar w:fldCharType="end"/>
      </w:r>
      <w:r w:rsidRPr="00474BEE">
        <w:rPr>
          <w:lang w:val="bg-BG"/>
        </w:rPr>
        <w:t>.</w:t>
      </w:r>
      <w:r w:rsidRPr="00474BEE">
        <w:rPr>
          <w:lang w:val="en-GB"/>
        </w:rPr>
        <w:t>  </w:t>
      </w:r>
      <w:r w:rsidRPr="00474BEE">
        <w:rPr>
          <w:lang w:val="bg-BG"/>
        </w:rPr>
        <w:t>Чл. 29 § 1 от Конституцията от 1991 г. гласи, наред с другото, че никой не може да бъде подлаган на мъчение, на жестоко, безчовечно или унижаващо отношение.</w:t>
      </w:r>
    </w:p>
    <w:p w:rsidR="004B7317" w:rsidRPr="00474BEE" w:rsidRDefault="004B7317" w:rsidP="004B7317">
      <w:pPr>
        <w:pStyle w:val="ECHRHeading3"/>
        <w:outlineLvl w:val="3"/>
        <w:rPr>
          <w:lang w:val="bg-BG"/>
        </w:rPr>
      </w:pPr>
      <w:r w:rsidRPr="00474BEE">
        <w:rPr>
          <w:lang w:val="bg-BG"/>
        </w:rPr>
        <w:t>2.</w:t>
      </w:r>
      <w:r w:rsidRPr="00474BEE">
        <w:rPr>
          <w:lang w:val="en-GB"/>
        </w:rPr>
        <w:t>  </w:t>
      </w:r>
      <w:r w:rsidRPr="00474BEE">
        <w:rPr>
          <w:lang w:val="bg-BG"/>
        </w:rPr>
        <w:t>Действие</w:t>
      </w:r>
      <w:r w:rsidR="0070207E" w:rsidRPr="00474BEE">
        <w:rPr>
          <w:lang w:val="bg-BG"/>
        </w:rPr>
        <w:t>то</w:t>
      </w:r>
      <w:r w:rsidRPr="00474BEE">
        <w:rPr>
          <w:lang w:val="bg-BG"/>
        </w:rPr>
        <w:t xml:space="preserve"> на международните договори във вътрешното право  </w:t>
      </w:r>
    </w:p>
    <w:p w:rsidR="004B7317" w:rsidRPr="00474BEE" w:rsidRDefault="004B7317" w:rsidP="004B7317">
      <w:pPr>
        <w:pStyle w:val="ECHRPara"/>
        <w:rPr>
          <w:lang w:val="en-GB"/>
        </w:rPr>
      </w:pPr>
      <w:r w:rsidRPr="00474BEE">
        <w:rPr>
          <w:lang w:val="en-GB"/>
        </w:rPr>
        <w:fldChar w:fldCharType="begin"/>
      </w:r>
      <w:r w:rsidRPr="00474BEE">
        <w:rPr>
          <w:lang w:val="en-GB"/>
        </w:rPr>
        <w:instrText xml:space="preserve"> SEQ level0 \*arabic </w:instrText>
      </w:r>
      <w:r w:rsidRPr="00474BEE">
        <w:rPr>
          <w:lang w:val="en-GB"/>
        </w:rPr>
        <w:fldChar w:fldCharType="separate"/>
      </w:r>
      <w:r w:rsidRPr="00474BEE">
        <w:rPr>
          <w:noProof/>
          <w:lang w:val="en-GB"/>
        </w:rPr>
        <w:t>26</w:t>
      </w:r>
      <w:r w:rsidRPr="00474BEE">
        <w:rPr>
          <w:lang w:val="en-GB"/>
        </w:rPr>
        <w:fldChar w:fldCharType="end"/>
      </w:r>
      <w:r w:rsidRPr="00474BEE">
        <w:rPr>
          <w:lang w:val="en-GB"/>
        </w:rPr>
        <w:t>.  </w:t>
      </w:r>
      <w:r w:rsidRPr="00474BEE">
        <w:rPr>
          <w:lang w:val="bg-BG"/>
        </w:rPr>
        <w:t>Чл.</w:t>
      </w:r>
      <w:r w:rsidRPr="00474BEE">
        <w:rPr>
          <w:lang w:val="en-GB"/>
        </w:rPr>
        <w:t xml:space="preserve"> 5 § 4 </w:t>
      </w:r>
      <w:r w:rsidRPr="00474BEE">
        <w:rPr>
          <w:lang w:val="bg-BG"/>
        </w:rPr>
        <w:t>от Конституцията гласи, че международните договори, които (а) са ратифицирани по конституционен ред, (б) са обнародвани и (в) са влезли в сила за Република България, са част от вътрешното право на стран</w:t>
      </w:r>
      <w:r w:rsidR="00BA5CB9" w:rsidRPr="00474BEE">
        <w:rPr>
          <w:lang w:val="bg-BG"/>
        </w:rPr>
        <w:t xml:space="preserve">ата и имат предимство пред </w:t>
      </w:r>
      <w:r w:rsidRPr="00474BEE">
        <w:rPr>
          <w:lang w:val="bg-BG"/>
        </w:rPr>
        <w:t>норми</w:t>
      </w:r>
      <w:r w:rsidR="00BA5CB9" w:rsidRPr="00474BEE">
        <w:rPr>
          <w:lang w:val="bg-BG"/>
        </w:rPr>
        <w:t>те</w:t>
      </w:r>
      <w:r w:rsidRPr="00474BEE">
        <w:rPr>
          <w:lang w:val="bg-BG"/>
        </w:rPr>
        <w:t xml:space="preserve"> на вътрешното законодателство, които им противоречат.  </w:t>
      </w:r>
    </w:p>
    <w:p w:rsidR="004B7317" w:rsidRPr="00474BEE" w:rsidRDefault="004B7317" w:rsidP="004B7317">
      <w:pPr>
        <w:pStyle w:val="ECHRPara"/>
        <w:rPr>
          <w:lang w:val="bg-BG"/>
        </w:rPr>
      </w:pPr>
      <w:r w:rsidRPr="00474BEE">
        <w:rPr>
          <w:lang w:val="en-GB"/>
        </w:rPr>
        <w:fldChar w:fldCharType="begin"/>
      </w:r>
      <w:r w:rsidRPr="00474BEE">
        <w:rPr>
          <w:lang w:val="en-GB"/>
        </w:rPr>
        <w:instrText xml:space="preserve"> SEQ level0 \*arabic </w:instrText>
      </w:r>
      <w:r w:rsidRPr="00474BEE">
        <w:rPr>
          <w:lang w:val="en-GB"/>
        </w:rPr>
        <w:fldChar w:fldCharType="separate"/>
      </w:r>
      <w:r w:rsidRPr="00474BEE">
        <w:rPr>
          <w:noProof/>
          <w:lang w:val="en-GB"/>
        </w:rPr>
        <w:t>27</w:t>
      </w:r>
      <w:r w:rsidRPr="00474BEE">
        <w:rPr>
          <w:lang w:val="en-GB"/>
        </w:rPr>
        <w:fldChar w:fldCharType="end"/>
      </w:r>
      <w:r w:rsidRPr="00474BEE">
        <w:rPr>
          <w:lang w:val="en-GB"/>
        </w:rPr>
        <w:t>.  </w:t>
      </w:r>
      <w:r w:rsidRPr="00474BEE">
        <w:rPr>
          <w:lang w:val="bg-BG"/>
        </w:rPr>
        <w:t xml:space="preserve">В решение от 2 юли 1992 г. </w:t>
      </w:r>
      <w:r w:rsidRPr="00474BEE">
        <w:rPr>
          <w:lang w:val="en-GB"/>
        </w:rPr>
        <w:t>(</w:t>
      </w:r>
      <w:proofErr w:type="spellStart"/>
      <w:r w:rsidRPr="00474BEE">
        <w:rPr>
          <w:lang w:val="en-GB"/>
        </w:rPr>
        <w:t>реш</w:t>
      </w:r>
      <w:proofErr w:type="spellEnd"/>
      <w:r w:rsidRPr="00474BEE">
        <w:rPr>
          <w:lang w:val="en-GB"/>
        </w:rPr>
        <w:t xml:space="preserve">. № 7 </w:t>
      </w:r>
      <w:proofErr w:type="spellStart"/>
      <w:r w:rsidRPr="00474BEE">
        <w:rPr>
          <w:lang w:val="en-GB"/>
        </w:rPr>
        <w:t>от</w:t>
      </w:r>
      <w:proofErr w:type="spellEnd"/>
      <w:r w:rsidRPr="00474BEE">
        <w:rPr>
          <w:lang w:val="en-GB"/>
        </w:rPr>
        <w:t xml:space="preserve"> 02.07.1992 г. </w:t>
      </w:r>
      <w:proofErr w:type="spellStart"/>
      <w:r w:rsidRPr="00474BEE">
        <w:rPr>
          <w:lang w:val="en-GB"/>
        </w:rPr>
        <w:t>по</w:t>
      </w:r>
      <w:proofErr w:type="spellEnd"/>
      <w:r w:rsidRPr="00474BEE">
        <w:rPr>
          <w:lang w:val="en-GB"/>
        </w:rPr>
        <w:t xml:space="preserve"> к. д. № 6/1992 г., КС, </w:t>
      </w:r>
      <w:proofErr w:type="spellStart"/>
      <w:r w:rsidRPr="00474BEE">
        <w:rPr>
          <w:lang w:val="en-GB"/>
        </w:rPr>
        <w:t>обн</w:t>
      </w:r>
      <w:proofErr w:type="spellEnd"/>
      <w:r w:rsidRPr="00474BEE">
        <w:rPr>
          <w:lang w:val="en-GB"/>
        </w:rPr>
        <w:t xml:space="preserve">., ДВ, </w:t>
      </w:r>
      <w:proofErr w:type="spellStart"/>
      <w:r w:rsidRPr="00474BEE">
        <w:rPr>
          <w:lang w:val="en-GB"/>
        </w:rPr>
        <w:t>бр</w:t>
      </w:r>
      <w:proofErr w:type="spellEnd"/>
      <w:r w:rsidRPr="00474BEE">
        <w:rPr>
          <w:lang w:val="en-GB"/>
        </w:rPr>
        <w:t xml:space="preserve">. 56 </w:t>
      </w:r>
      <w:proofErr w:type="spellStart"/>
      <w:r w:rsidRPr="00474BEE">
        <w:rPr>
          <w:lang w:val="en-GB"/>
        </w:rPr>
        <w:t>от</w:t>
      </w:r>
      <w:proofErr w:type="spellEnd"/>
      <w:r w:rsidRPr="00474BEE">
        <w:rPr>
          <w:lang w:val="en-GB"/>
        </w:rPr>
        <w:t xml:space="preserve"> 10.07.1992 г.) </w:t>
      </w:r>
      <w:r w:rsidRPr="00474BEE">
        <w:rPr>
          <w:lang w:val="bg-BG"/>
        </w:rPr>
        <w:t>Конституционният съд приема, че това правило се прилага за всички договори, които отговарят на горните три изисквания. Единствено изключение правят договори, изискващи криминализирането на определени действия или бездействия. Това е така,</w:t>
      </w:r>
      <w:r w:rsidR="008E0607" w:rsidRPr="00474BEE">
        <w:rPr>
          <w:lang w:val="bg-BG"/>
        </w:rPr>
        <w:t xml:space="preserve"> </w:t>
      </w:r>
      <w:r w:rsidR="00C30509" w:rsidRPr="00474BEE">
        <w:rPr>
          <w:lang w:val="bg-BG"/>
        </w:rPr>
        <w:t>защото</w:t>
      </w:r>
      <w:r w:rsidRPr="00474BEE">
        <w:rPr>
          <w:lang w:val="bg-BG"/>
        </w:rPr>
        <w:t xml:space="preserve"> тези договори обикновено не определят точно елементите на </w:t>
      </w:r>
      <w:r w:rsidR="008D235B" w:rsidRPr="00474BEE">
        <w:rPr>
          <w:lang w:val="bg-BG"/>
        </w:rPr>
        <w:t xml:space="preserve">престъпленията </w:t>
      </w:r>
      <w:r w:rsidRPr="00474BEE">
        <w:rPr>
          <w:lang w:val="bg-BG"/>
        </w:rPr>
        <w:t xml:space="preserve">и не излагат </w:t>
      </w:r>
      <w:r w:rsidR="00C30509" w:rsidRPr="00474BEE">
        <w:rPr>
          <w:lang w:val="bg-BG"/>
        </w:rPr>
        <w:t xml:space="preserve">приложимите </w:t>
      </w:r>
      <w:r w:rsidR="008D235B" w:rsidRPr="00474BEE">
        <w:rPr>
          <w:lang w:val="bg-BG"/>
        </w:rPr>
        <w:t>наказания</w:t>
      </w:r>
      <w:r w:rsidR="008F0AA2" w:rsidRPr="00474BEE">
        <w:rPr>
          <w:lang w:val="bg-BG"/>
        </w:rPr>
        <w:t>, оставяйки това да бъде определено от</w:t>
      </w:r>
      <w:r w:rsidRPr="00474BEE">
        <w:rPr>
          <w:lang w:val="bg-BG"/>
        </w:rPr>
        <w:t xml:space="preserve"> държавите</w:t>
      </w:r>
      <w:r w:rsidR="008E0607" w:rsidRPr="00474BEE">
        <w:rPr>
          <w:lang w:val="bg-BG"/>
        </w:rPr>
        <w:t>–</w:t>
      </w:r>
      <w:r w:rsidR="001348E6" w:rsidRPr="00474BEE">
        <w:rPr>
          <w:lang w:val="bg-BG"/>
        </w:rPr>
        <w:t>страни</w:t>
      </w:r>
      <w:r w:rsidR="00C30509" w:rsidRPr="00474BEE">
        <w:rPr>
          <w:lang w:val="bg-BG"/>
        </w:rPr>
        <w:t xml:space="preserve"> по тях</w:t>
      </w:r>
      <w:r w:rsidRPr="00474BEE">
        <w:rPr>
          <w:lang w:val="bg-BG"/>
        </w:rPr>
        <w:t>. Например Конвенцията на ООН срещу изтезанията и други форми на жестоко, нечовешко или унизително отн</w:t>
      </w:r>
      <w:r w:rsidR="007364D5" w:rsidRPr="00474BEE">
        <w:rPr>
          <w:lang w:val="bg-BG"/>
        </w:rPr>
        <w:t>асяне</w:t>
      </w:r>
      <w:r w:rsidRPr="00474BEE">
        <w:rPr>
          <w:lang w:val="bg-BG"/>
        </w:rPr>
        <w:t xml:space="preserve"> или наказание (вж</w:t>
      </w:r>
      <w:r w:rsidR="008D235B" w:rsidRPr="00474BEE">
        <w:rPr>
          <w:lang w:val="bg-BG"/>
        </w:rPr>
        <w:t>.</w:t>
      </w:r>
      <w:r w:rsidRPr="00474BEE">
        <w:rPr>
          <w:lang w:val="bg-BG"/>
        </w:rPr>
        <w:t xml:space="preserve"> параграф 45 по-долу) дефинира</w:t>
      </w:r>
      <w:r w:rsidR="00B973BF" w:rsidRPr="00474BEE">
        <w:rPr>
          <w:lang w:val="bg-BG"/>
        </w:rPr>
        <w:t xml:space="preserve"> термина</w:t>
      </w:r>
      <w:r w:rsidRPr="00474BEE">
        <w:rPr>
          <w:lang w:val="bg-BG"/>
        </w:rPr>
        <w:t xml:space="preserve"> „изтезание” и изисква всички държави </w:t>
      </w:r>
      <w:r w:rsidR="00557D26" w:rsidRPr="00474BEE">
        <w:rPr>
          <w:lang w:val="bg-BG"/>
        </w:rPr>
        <w:t>–</w:t>
      </w:r>
      <w:r w:rsidRPr="00474BEE">
        <w:rPr>
          <w:lang w:val="bg-BG"/>
        </w:rPr>
        <w:t xml:space="preserve"> </w:t>
      </w:r>
      <w:r w:rsidR="001348E6" w:rsidRPr="00474BEE">
        <w:rPr>
          <w:lang w:val="bg-BG"/>
        </w:rPr>
        <w:t>страни по Конвенцията</w:t>
      </w:r>
      <w:r w:rsidRPr="00474BEE">
        <w:rPr>
          <w:lang w:val="bg-BG"/>
        </w:rPr>
        <w:t xml:space="preserve"> да криминализират всички форми на изтезание, но не посочва конкретни н</w:t>
      </w:r>
      <w:r w:rsidR="008E0607" w:rsidRPr="00474BEE">
        <w:rPr>
          <w:lang w:val="bg-BG"/>
        </w:rPr>
        <w:t>арушения и наказания. Друг факт, кой</w:t>
      </w:r>
      <w:r w:rsidRPr="00474BEE">
        <w:rPr>
          <w:lang w:val="bg-BG"/>
        </w:rPr>
        <w:t>то трябва да се има предвид в тази връзка е, че по силата на чл. 5 § 3 от Конституцията и чл. 7 от Конвенцията, престъпления</w:t>
      </w:r>
      <w:r w:rsidR="00B973BF" w:rsidRPr="00474BEE">
        <w:rPr>
          <w:lang w:val="bg-BG"/>
        </w:rPr>
        <w:t>та</w:t>
      </w:r>
      <w:r w:rsidRPr="00474BEE">
        <w:rPr>
          <w:lang w:val="bg-BG"/>
        </w:rPr>
        <w:t xml:space="preserve"> трябва да бъдат</w:t>
      </w:r>
      <w:r w:rsidR="008E0607" w:rsidRPr="00474BEE">
        <w:rPr>
          <w:lang w:val="bg-BG"/>
        </w:rPr>
        <w:t xml:space="preserve"> определени със закон. Определенията</w:t>
      </w:r>
      <w:r w:rsidRPr="00474BEE">
        <w:rPr>
          <w:lang w:val="bg-BG"/>
        </w:rPr>
        <w:t xml:space="preserve"> и изразите, използвани в договори</w:t>
      </w:r>
      <w:r w:rsidR="008E0607" w:rsidRPr="00474BEE">
        <w:rPr>
          <w:lang w:val="bg-BG"/>
        </w:rPr>
        <w:t>те</w:t>
      </w:r>
      <w:r w:rsidRPr="00474BEE">
        <w:rPr>
          <w:lang w:val="bg-BG"/>
        </w:rPr>
        <w:t xml:space="preserve">, биха могли обаче, доколкото те присъстват като елементи на престъпление, посочено в националното наказателно право, да служат като помощно средство при тълкуването на този закон. В този ограничен смисъл, договори, изискващи криминализирането на действия или бездействия, са част от вътрешното право.  </w:t>
      </w:r>
    </w:p>
    <w:p w:rsidR="004B7317" w:rsidRPr="00474BEE" w:rsidRDefault="00727577" w:rsidP="004B7317">
      <w:pPr>
        <w:pStyle w:val="ECHRHeading2"/>
        <w:outlineLvl w:val="2"/>
        <w:rPr>
          <w:lang w:val="bg-BG"/>
        </w:rPr>
      </w:pPr>
      <w:r w:rsidRPr="00474BEE">
        <w:rPr>
          <w:lang w:val="bg-BG"/>
        </w:rPr>
        <w:lastRenderedPageBreak/>
        <w:t>Б</w:t>
      </w:r>
      <w:r w:rsidR="004B7317" w:rsidRPr="00474BEE">
        <w:rPr>
          <w:lang w:val="bg-BG"/>
        </w:rPr>
        <w:t>.</w:t>
      </w:r>
      <w:r w:rsidR="004B7317" w:rsidRPr="00474BEE">
        <w:rPr>
          <w:lang w:val="en-GB"/>
        </w:rPr>
        <w:t>  </w:t>
      </w:r>
      <w:r w:rsidR="004B7317" w:rsidRPr="00474BEE">
        <w:rPr>
          <w:lang w:val="bg-BG"/>
        </w:rPr>
        <w:t xml:space="preserve">Приложими нарушения  </w:t>
      </w:r>
    </w:p>
    <w:p w:rsidR="004B7317" w:rsidRPr="00474BEE" w:rsidRDefault="004B7317" w:rsidP="004B7317">
      <w:pPr>
        <w:pStyle w:val="ECHRHeading3"/>
        <w:outlineLvl w:val="3"/>
        <w:rPr>
          <w:lang w:val="en-GB"/>
        </w:rPr>
      </w:pPr>
      <w:r w:rsidRPr="00474BEE">
        <w:rPr>
          <w:lang w:val="en-GB"/>
        </w:rPr>
        <w:t>1.  </w:t>
      </w:r>
      <w:r w:rsidRPr="00474BEE">
        <w:rPr>
          <w:lang w:val="bg-BG"/>
        </w:rPr>
        <w:t xml:space="preserve">Телесна повреда  </w:t>
      </w:r>
    </w:p>
    <w:p w:rsidR="004B7317" w:rsidRPr="00474BEE" w:rsidRDefault="00B973BF" w:rsidP="00CD6A55">
      <w:pPr>
        <w:shd w:val="clear" w:color="auto" w:fill="FEFEFE"/>
        <w:rPr>
          <w:szCs w:val="24"/>
          <w:lang w:val="bg-BG"/>
        </w:rPr>
      </w:pPr>
      <w:r w:rsidRPr="00474BEE">
        <w:rPr>
          <w:lang w:val="bg-BG"/>
        </w:rPr>
        <w:t xml:space="preserve">      </w:t>
      </w:r>
      <w:r w:rsidR="004B7317" w:rsidRPr="00474BEE">
        <w:rPr>
          <w:lang w:val="bg-BG"/>
        </w:rPr>
        <w:fldChar w:fldCharType="begin"/>
      </w:r>
      <w:r w:rsidR="004B7317" w:rsidRPr="00474BEE">
        <w:rPr>
          <w:lang w:val="bg-BG"/>
        </w:rPr>
        <w:instrText xml:space="preserve"> SEQ level0 \*arabic </w:instrText>
      </w:r>
      <w:r w:rsidR="004B7317" w:rsidRPr="00474BEE">
        <w:rPr>
          <w:lang w:val="bg-BG"/>
        </w:rPr>
        <w:fldChar w:fldCharType="separate"/>
      </w:r>
      <w:r w:rsidR="004B7317" w:rsidRPr="00474BEE">
        <w:rPr>
          <w:noProof/>
          <w:lang w:val="bg-BG"/>
        </w:rPr>
        <w:t>28</w:t>
      </w:r>
      <w:r w:rsidR="004B7317" w:rsidRPr="00474BEE">
        <w:rPr>
          <w:lang w:val="bg-BG"/>
        </w:rPr>
        <w:fldChar w:fldCharType="end"/>
      </w:r>
      <w:r w:rsidR="004B7317" w:rsidRPr="00474BEE">
        <w:rPr>
          <w:lang w:val="bg-BG"/>
        </w:rPr>
        <w:t xml:space="preserve">.  Чл. 128, 129 и 130 от НК </w:t>
      </w:r>
      <w:r w:rsidR="002C187D" w:rsidRPr="00474BEE">
        <w:rPr>
          <w:lang w:val="bg-BG"/>
        </w:rPr>
        <w:t xml:space="preserve">от </w:t>
      </w:r>
      <w:r w:rsidR="004B7317" w:rsidRPr="00474BEE">
        <w:rPr>
          <w:lang w:val="bg-BG"/>
        </w:rPr>
        <w:t>1968</w:t>
      </w:r>
      <w:r w:rsidR="00CD6A55" w:rsidRPr="00474BEE">
        <w:rPr>
          <w:lang w:val="bg-BG"/>
        </w:rPr>
        <w:t xml:space="preserve"> г.</w:t>
      </w:r>
      <w:r w:rsidR="004B7317" w:rsidRPr="00474BEE">
        <w:rPr>
          <w:lang w:val="bg-BG"/>
        </w:rPr>
        <w:t xml:space="preserve"> посочват като престъпление причиняването на тежка, </w:t>
      </w:r>
      <w:r w:rsidR="004B7317" w:rsidRPr="00474BEE">
        <w:rPr>
          <w:szCs w:val="24"/>
          <w:lang w:val="bg-BG"/>
        </w:rPr>
        <w:t>средна или лека телесна повреда. Случаи на тежка телесна повреда са т</w:t>
      </w:r>
      <w:r w:rsidR="008E0607" w:rsidRPr="00474BEE">
        <w:rPr>
          <w:szCs w:val="24"/>
          <w:lang w:val="bg-BG"/>
        </w:rPr>
        <w:t>ези, които включват увреждане</w:t>
      </w:r>
      <w:r w:rsidR="004B7317" w:rsidRPr="00474BEE">
        <w:rPr>
          <w:szCs w:val="24"/>
          <w:lang w:val="bg-BG"/>
        </w:rPr>
        <w:t xml:space="preserve"> на здравето от вида, изчерпателно посочен в чл. 128 § 2:</w:t>
      </w:r>
      <w:r w:rsidR="008E0607" w:rsidRPr="00474BEE">
        <w:rPr>
          <w:szCs w:val="24"/>
          <w:lang w:val="bg-BG"/>
        </w:rPr>
        <w:t xml:space="preserve"> </w:t>
      </w:r>
      <w:r w:rsidR="00CD6A55" w:rsidRPr="00474BEE">
        <w:rPr>
          <w:color w:val="000000"/>
          <w:szCs w:val="24"/>
          <w:lang w:val="bg-BG"/>
        </w:rPr>
        <w:t xml:space="preserve">продължително разстройство на съзнанието; постоянна слепота с едното или с двете очи; постоянна глухота; загуба на речта; детеродна неспособност; обезобразяване, което причинява завинаги разстройство на речта или на сетивен орган; загуба на единия бъбрек, </w:t>
      </w:r>
      <w:proofErr w:type="spellStart"/>
      <w:r w:rsidR="00CD6A55" w:rsidRPr="00474BEE">
        <w:rPr>
          <w:color w:val="000000"/>
          <w:szCs w:val="24"/>
          <w:lang w:val="bg-BG"/>
        </w:rPr>
        <w:t>слезката</w:t>
      </w:r>
      <w:proofErr w:type="spellEnd"/>
      <w:r w:rsidR="00CD6A55" w:rsidRPr="00474BEE">
        <w:rPr>
          <w:color w:val="000000"/>
          <w:szCs w:val="24"/>
          <w:lang w:val="bg-BG"/>
        </w:rPr>
        <w:t xml:space="preserve"> или на крило на белия дроб; загуба или осакатяване на крак или ръка; постоянно общо разстройство на здравето, опасно за живота. </w:t>
      </w:r>
      <w:r w:rsidR="004B7317" w:rsidRPr="00474BEE">
        <w:rPr>
          <w:szCs w:val="24"/>
          <w:lang w:val="bg-BG"/>
        </w:rPr>
        <w:t>Случаи</w:t>
      </w:r>
      <w:r w:rsidR="00063EE8" w:rsidRPr="00474BEE">
        <w:rPr>
          <w:szCs w:val="24"/>
          <w:lang w:val="bg-BG"/>
        </w:rPr>
        <w:t>те</w:t>
      </w:r>
      <w:r w:rsidR="004B7317" w:rsidRPr="00474BEE">
        <w:rPr>
          <w:szCs w:val="24"/>
          <w:lang w:val="bg-BG"/>
        </w:rPr>
        <w:t xml:space="preserve"> на средна телесна повреда са т</w:t>
      </w:r>
      <w:r w:rsidR="00063EE8" w:rsidRPr="00474BEE">
        <w:rPr>
          <w:szCs w:val="24"/>
          <w:lang w:val="bg-BG"/>
        </w:rPr>
        <w:t>ези, които включват увреждане</w:t>
      </w:r>
      <w:r w:rsidR="004B7317" w:rsidRPr="00474BEE">
        <w:rPr>
          <w:szCs w:val="24"/>
          <w:lang w:val="bg-BG"/>
        </w:rPr>
        <w:t xml:space="preserve"> на здравето от вида, изчерпателно посочен в чл. 129 § 2: </w:t>
      </w:r>
      <w:r w:rsidR="00CD6A55" w:rsidRPr="00474BEE">
        <w:rPr>
          <w:color w:val="000000"/>
          <w:szCs w:val="24"/>
          <w:lang w:val="bg-BG"/>
        </w:rPr>
        <w:t>трайно отслабване на зрението или слуха; трайно затрудняване на речта, на движението на крайниците, снагата или врата, на функциите на половите органи без причиняване на детеродна неспособност; счупване на челюст или избиване на зъби, без които се затруднява дъвченето или говоренето; обезобразяване на лицето или на други части от тялото; постоянно разстройство на здравето, неопасно за живота, или разстройство на здравето, временно опасно за живота; наранявания, които проникват в черепната, гръдната и коремната кухина</w:t>
      </w:r>
      <w:r w:rsidR="004B7317" w:rsidRPr="00474BEE">
        <w:rPr>
          <w:szCs w:val="24"/>
          <w:lang w:val="bg-BG"/>
        </w:rPr>
        <w:t>. Лека телесна повреда е</w:t>
      </w:r>
      <w:r w:rsidR="00CD6A55" w:rsidRPr="00474BEE">
        <w:rPr>
          <w:color w:val="000000"/>
          <w:szCs w:val="24"/>
          <w:shd w:val="clear" w:color="auto" w:fill="FEFEFE"/>
          <w:lang w:val="bg-BG"/>
        </w:rPr>
        <w:t xml:space="preserve"> тази, която включва разстройство на здравето, извън случаите, </w:t>
      </w:r>
      <w:r w:rsidR="00CD6A55" w:rsidRPr="00474BEE">
        <w:rPr>
          <w:szCs w:val="24"/>
          <w:lang w:val="bg-BG"/>
        </w:rPr>
        <w:t>посочен</w:t>
      </w:r>
      <w:r w:rsidR="0016562A" w:rsidRPr="00474BEE">
        <w:rPr>
          <w:szCs w:val="24"/>
          <w:lang w:val="bg-BG"/>
        </w:rPr>
        <w:t>и</w:t>
      </w:r>
      <w:r w:rsidR="00CD6A55" w:rsidRPr="00474BEE">
        <w:rPr>
          <w:szCs w:val="24"/>
          <w:lang w:val="bg-BG"/>
        </w:rPr>
        <w:t xml:space="preserve"> в горните алинеи</w:t>
      </w:r>
      <w:r w:rsidR="004B7317" w:rsidRPr="00474BEE">
        <w:rPr>
          <w:szCs w:val="24"/>
          <w:lang w:val="bg-BG"/>
        </w:rPr>
        <w:t xml:space="preserve"> (чл. 130 § 1), или </w:t>
      </w:r>
      <w:r w:rsidR="002F66FF" w:rsidRPr="00474BEE">
        <w:rPr>
          <w:szCs w:val="24"/>
          <w:lang w:val="bg-BG"/>
        </w:rPr>
        <w:t xml:space="preserve">телесна </w:t>
      </w:r>
      <w:r w:rsidR="004B7317" w:rsidRPr="00474BEE">
        <w:rPr>
          <w:szCs w:val="24"/>
          <w:lang w:val="bg-BG"/>
        </w:rPr>
        <w:t xml:space="preserve">повреда, </w:t>
      </w:r>
      <w:r w:rsidR="00CD6A55" w:rsidRPr="00474BEE">
        <w:rPr>
          <w:color w:val="000000"/>
          <w:szCs w:val="24"/>
          <w:shd w:val="clear" w:color="auto" w:fill="FEFEFE"/>
          <w:lang w:val="bg-BG"/>
        </w:rPr>
        <w:t>изразяваща се в причиняване на болка или страдание без разстройство на здравето</w:t>
      </w:r>
      <w:r w:rsidR="004B7317" w:rsidRPr="00474BEE">
        <w:rPr>
          <w:szCs w:val="24"/>
          <w:lang w:val="bg-BG"/>
        </w:rPr>
        <w:t xml:space="preserve"> (чл. 130 § 2).</w:t>
      </w:r>
    </w:p>
    <w:p w:rsidR="004B7317" w:rsidRPr="00474BEE" w:rsidRDefault="004B7317" w:rsidP="00350C93">
      <w:pPr>
        <w:pStyle w:val="ECHRPara"/>
        <w:rPr>
          <w:lang w:val="bg-BG"/>
        </w:rPr>
      </w:pPr>
      <w:r w:rsidRPr="00474BEE">
        <w:rPr>
          <w:szCs w:val="24"/>
          <w:lang w:val="bg-BG"/>
        </w:rPr>
        <w:fldChar w:fldCharType="begin"/>
      </w:r>
      <w:r w:rsidRPr="00474BEE">
        <w:rPr>
          <w:szCs w:val="24"/>
          <w:lang w:val="bg-BG"/>
        </w:rPr>
        <w:instrText xml:space="preserve"> SEQ level0 \*arabic </w:instrText>
      </w:r>
      <w:r w:rsidRPr="00474BEE">
        <w:rPr>
          <w:szCs w:val="24"/>
          <w:lang w:val="bg-BG"/>
        </w:rPr>
        <w:fldChar w:fldCharType="separate"/>
      </w:r>
      <w:r w:rsidRPr="00474BEE">
        <w:rPr>
          <w:noProof/>
          <w:szCs w:val="24"/>
          <w:lang w:val="bg-BG"/>
        </w:rPr>
        <w:t>29</w:t>
      </w:r>
      <w:r w:rsidRPr="00474BEE">
        <w:rPr>
          <w:szCs w:val="24"/>
          <w:lang w:val="bg-BG"/>
        </w:rPr>
        <w:fldChar w:fldCharType="end"/>
      </w:r>
      <w:r w:rsidRPr="00474BEE">
        <w:rPr>
          <w:szCs w:val="24"/>
          <w:lang w:val="bg-BG"/>
        </w:rPr>
        <w:t xml:space="preserve">.  Чл. 131 § 1 </w:t>
      </w:r>
      <w:r w:rsidR="00350C93" w:rsidRPr="00474BEE">
        <w:rPr>
          <w:szCs w:val="24"/>
          <w:lang w:val="bg-BG"/>
        </w:rPr>
        <w:t>представя редица определящи</w:t>
      </w:r>
      <w:r w:rsidRPr="00474BEE">
        <w:rPr>
          <w:szCs w:val="24"/>
          <w:lang w:val="bg-BG"/>
        </w:rPr>
        <w:t xml:space="preserve"> фактор</w:t>
      </w:r>
      <w:r w:rsidR="00350C93" w:rsidRPr="00474BEE">
        <w:rPr>
          <w:szCs w:val="24"/>
          <w:lang w:val="bg-BG"/>
        </w:rPr>
        <w:t>и, уте</w:t>
      </w:r>
      <w:r w:rsidR="00920A02" w:rsidRPr="00474BEE">
        <w:rPr>
          <w:szCs w:val="24"/>
          <w:lang w:val="bg-BG"/>
        </w:rPr>
        <w:t>жняващи престъплението, свързани</w:t>
      </w:r>
      <w:r w:rsidR="00350C93" w:rsidRPr="00474BEE">
        <w:rPr>
          <w:szCs w:val="24"/>
          <w:lang w:val="bg-BG"/>
        </w:rPr>
        <w:t xml:space="preserve"> с </w:t>
      </w:r>
      <w:r w:rsidRPr="00474BEE">
        <w:rPr>
          <w:szCs w:val="24"/>
          <w:lang w:val="bg-BG"/>
        </w:rPr>
        <w:t xml:space="preserve">причиняване на телесна повреда. Санкцията е по-голяма, ако са налице един или два от тези фактора: в случай на лека телесна повреда, до три години лишаване от свобода, ако </w:t>
      </w:r>
      <w:r w:rsidR="00350C93" w:rsidRPr="00474BEE">
        <w:rPr>
          <w:szCs w:val="24"/>
          <w:lang w:val="bg-BG"/>
        </w:rPr>
        <w:t xml:space="preserve">телесната </w:t>
      </w:r>
      <w:r w:rsidRPr="00474BEE">
        <w:rPr>
          <w:szCs w:val="24"/>
          <w:lang w:val="bg-BG"/>
        </w:rPr>
        <w:t xml:space="preserve">повредата </w:t>
      </w:r>
      <w:r w:rsidR="003B29E9" w:rsidRPr="00474BEE">
        <w:rPr>
          <w:szCs w:val="24"/>
          <w:lang w:val="bg-BG"/>
        </w:rPr>
        <w:t>води до разстройство</w:t>
      </w:r>
      <w:r w:rsidRPr="00474BEE">
        <w:rPr>
          <w:szCs w:val="24"/>
          <w:lang w:val="bg-BG"/>
        </w:rPr>
        <w:t xml:space="preserve"> на здравето, и до една година или пробация, ако </w:t>
      </w:r>
      <w:r w:rsidR="00350C93" w:rsidRPr="00474BEE">
        <w:rPr>
          <w:szCs w:val="24"/>
          <w:lang w:val="bg-BG"/>
        </w:rPr>
        <w:t xml:space="preserve">телесната </w:t>
      </w:r>
      <w:r w:rsidRPr="00474BEE">
        <w:rPr>
          <w:szCs w:val="24"/>
          <w:lang w:val="bg-BG"/>
        </w:rPr>
        <w:t xml:space="preserve">повредата </w:t>
      </w:r>
      <w:r w:rsidR="00350C93" w:rsidRPr="00474BEE">
        <w:rPr>
          <w:szCs w:val="24"/>
          <w:lang w:val="bg-BG"/>
        </w:rPr>
        <w:t xml:space="preserve">включва </w:t>
      </w:r>
      <w:r w:rsidRPr="00474BEE">
        <w:rPr>
          <w:szCs w:val="24"/>
          <w:lang w:val="bg-BG"/>
        </w:rPr>
        <w:t xml:space="preserve">единствено болка и страдание. Един от тези фактори е </w:t>
      </w:r>
      <w:r w:rsidR="00350C93" w:rsidRPr="00474BEE">
        <w:rPr>
          <w:szCs w:val="24"/>
          <w:lang w:val="bg-BG"/>
        </w:rPr>
        <w:t>причиняване</w:t>
      </w:r>
      <w:r w:rsidR="00350C93" w:rsidRPr="00474BEE">
        <w:rPr>
          <w:lang w:val="bg-BG"/>
        </w:rPr>
        <w:t xml:space="preserve"> на телесна повреда от полицейски служител при </w:t>
      </w:r>
      <w:r w:rsidR="0021560E" w:rsidRPr="00474BEE">
        <w:rPr>
          <w:lang w:val="bg-BG"/>
        </w:rPr>
        <w:t xml:space="preserve">или по повод </w:t>
      </w:r>
      <w:r w:rsidR="00350C93" w:rsidRPr="00474BEE">
        <w:rPr>
          <w:lang w:val="bg-BG"/>
        </w:rPr>
        <w:t xml:space="preserve">изпълнение на </w:t>
      </w:r>
      <w:r w:rsidR="003B29E9" w:rsidRPr="00474BEE">
        <w:rPr>
          <w:lang w:val="bg-BG"/>
        </w:rPr>
        <w:t>службата или функцията му</w:t>
      </w:r>
      <w:r w:rsidR="00350C93" w:rsidRPr="00474BEE">
        <w:rPr>
          <w:lang w:val="bg-BG"/>
        </w:rPr>
        <w:t xml:space="preserve"> </w:t>
      </w:r>
      <w:r w:rsidRPr="00474BEE">
        <w:rPr>
          <w:lang w:val="bg-BG"/>
        </w:rPr>
        <w:t xml:space="preserve">(чл. 131 § 1 (2)). Други фактори </w:t>
      </w:r>
      <w:r w:rsidR="00350C93" w:rsidRPr="00474BEE">
        <w:rPr>
          <w:lang w:val="bg-BG"/>
        </w:rPr>
        <w:t xml:space="preserve">включват случаи, когато телесната повреда е </w:t>
      </w:r>
      <w:r w:rsidRPr="00474BEE">
        <w:rPr>
          <w:lang w:val="bg-BG"/>
        </w:rPr>
        <w:t>причинена п</w:t>
      </w:r>
      <w:r w:rsidR="00350C93" w:rsidRPr="00474BEE">
        <w:rPr>
          <w:lang w:val="bg-BG"/>
        </w:rPr>
        <w:t>о начин, особено мъчителен за</w:t>
      </w:r>
      <w:r w:rsidRPr="00474BEE">
        <w:rPr>
          <w:lang w:val="bg-BG"/>
        </w:rPr>
        <w:t xml:space="preserve"> пострадалия (чл. 131 § 1 (5)), с</w:t>
      </w:r>
      <w:r w:rsidR="003847B6" w:rsidRPr="00474BEE">
        <w:rPr>
          <w:lang w:val="bg-BG"/>
        </w:rPr>
        <w:t xml:space="preserve"> особена жестокост</w:t>
      </w:r>
      <w:r w:rsidRPr="00474BEE">
        <w:rPr>
          <w:lang w:val="bg-BG"/>
        </w:rPr>
        <w:t xml:space="preserve"> (чл. 131 § 1 (9)), или с ц</w:t>
      </w:r>
      <w:r w:rsidR="003847B6" w:rsidRPr="00474BEE">
        <w:rPr>
          <w:lang w:val="bg-BG"/>
        </w:rPr>
        <w:t>ел да бъде улеснено изпълнението на</w:t>
      </w:r>
      <w:r w:rsidRPr="00474BEE">
        <w:rPr>
          <w:lang w:val="bg-BG"/>
        </w:rPr>
        <w:t xml:space="preserve"> друго престъпление (чл. 131 § 1 (11)).</w:t>
      </w:r>
    </w:p>
    <w:p w:rsidR="004B7317" w:rsidRPr="00474BEE" w:rsidRDefault="004B7317" w:rsidP="004B7317">
      <w:pPr>
        <w:pStyle w:val="ECHRHeading3"/>
        <w:outlineLvl w:val="3"/>
        <w:rPr>
          <w:lang w:val="bg-BG"/>
        </w:rPr>
      </w:pPr>
      <w:r w:rsidRPr="00474BEE">
        <w:rPr>
          <w:lang w:val="bg-BG"/>
        </w:rPr>
        <w:t>2.  Принуда</w:t>
      </w:r>
      <w:r w:rsidR="00350C93" w:rsidRPr="00474BEE">
        <w:rPr>
          <w:lang w:val="bg-BG"/>
        </w:rPr>
        <w:t xml:space="preserve"> </w:t>
      </w:r>
    </w:p>
    <w:p w:rsidR="004B7317" w:rsidRPr="00474BEE" w:rsidRDefault="004B7317" w:rsidP="004B7317">
      <w:pPr>
        <w:pStyle w:val="ECHRPara"/>
        <w:rPr>
          <w:lang w:val="bg-BG"/>
        </w:rPr>
      </w:pPr>
      <w:r w:rsidRPr="00474BEE">
        <w:rPr>
          <w:lang w:val="bg-BG"/>
        </w:rPr>
        <w:fldChar w:fldCharType="begin"/>
      </w:r>
      <w:r w:rsidRPr="00474BEE">
        <w:rPr>
          <w:lang w:val="bg-BG"/>
        </w:rPr>
        <w:instrText xml:space="preserve"> SEQ level0 \*arabic </w:instrText>
      </w:r>
      <w:r w:rsidRPr="00474BEE">
        <w:rPr>
          <w:lang w:val="bg-BG"/>
        </w:rPr>
        <w:fldChar w:fldCharType="separate"/>
      </w:r>
      <w:r w:rsidRPr="00474BEE">
        <w:rPr>
          <w:noProof/>
          <w:lang w:val="bg-BG"/>
        </w:rPr>
        <w:t>30</w:t>
      </w:r>
      <w:r w:rsidRPr="00474BEE">
        <w:rPr>
          <w:lang w:val="bg-BG"/>
        </w:rPr>
        <w:fldChar w:fldCharType="end"/>
      </w:r>
      <w:r w:rsidRPr="00474BEE">
        <w:rPr>
          <w:lang w:val="bg-BG"/>
        </w:rPr>
        <w:t xml:space="preserve">.  Чл. 143 § 1 от </w:t>
      </w:r>
      <w:r w:rsidR="000D4B56" w:rsidRPr="00474BEE">
        <w:rPr>
          <w:lang w:val="bg-BG"/>
        </w:rPr>
        <w:t>НК посочва, че е</w:t>
      </w:r>
      <w:r w:rsidRPr="00474BEE">
        <w:rPr>
          <w:lang w:val="bg-BG"/>
        </w:rPr>
        <w:t xml:space="preserve"> престъпление някой да принуди другиго да извърши, да пропусне или да претърпи нещо, противно на </w:t>
      </w:r>
      <w:r w:rsidRPr="00474BEE">
        <w:rPr>
          <w:lang w:val="bg-BG"/>
        </w:rPr>
        <w:lastRenderedPageBreak/>
        <w:t xml:space="preserve">волята му, като употреби за това сила, заплашване или злоупотреби с властта си. Престъплението се наказва с лишаване от свобода до шест години. Чл. 143 § 2, разглеждан заедно с чл. 142 § 2 (6), предвижда, че ако деянието е извършено от, наред с другото, лице от състава на Министерството на вътрешните работи, наказанието е лишаване от свобода от три до десет години.  </w:t>
      </w:r>
    </w:p>
    <w:p w:rsidR="004B7317" w:rsidRPr="00474BEE" w:rsidRDefault="004B7317" w:rsidP="004B7317">
      <w:pPr>
        <w:pStyle w:val="ECHRHeading3"/>
        <w:outlineLvl w:val="3"/>
        <w:rPr>
          <w:lang w:val="bg-BG"/>
        </w:rPr>
      </w:pPr>
      <w:r w:rsidRPr="00474BEE">
        <w:rPr>
          <w:lang w:val="bg-BG"/>
        </w:rPr>
        <w:t>3.  </w:t>
      </w:r>
      <w:r w:rsidR="000D4B56" w:rsidRPr="00474BEE">
        <w:rPr>
          <w:lang w:val="bg-BG"/>
        </w:rPr>
        <w:t>Престъпление по служба</w:t>
      </w:r>
      <w:r w:rsidRPr="00474BEE">
        <w:rPr>
          <w:lang w:val="bg-BG"/>
        </w:rPr>
        <w:t xml:space="preserve"> </w:t>
      </w:r>
    </w:p>
    <w:p w:rsidR="004B7317" w:rsidRPr="00474BEE" w:rsidRDefault="004B7317" w:rsidP="004B7317">
      <w:pPr>
        <w:pStyle w:val="ECHRPara"/>
        <w:rPr>
          <w:lang w:val="bg-BG"/>
        </w:rPr>
      </w:pPr>
      <w:r w:rsidRPr="00474BEE">
        <w:rPr>
          <w:lang w:val="bg-BG"/>
        </w:rPr>
        <w:fldChar w:fldCharType="begin"/>
      </w:r>
      <w:r w:rsidRPr="00474BEE">
        <w:rPr>
          <w:lang w:val="bg-BG"/>
        </w:rPr>
        <w:instrText xml:space="preserve"> SEQ level0 \*arabic </w:instrText>
      </w:r>
      <w:r w:rsidRPr="00474BEE">
        <w:rPr>
          <w:lang w:val="bg-BG"/>
        </w:rPr>
        <w:fldChar w:fldCharType="separate"/>
      </w:r>
      <w:r w:rsidRPr="00474BEE">
        <w:rPr>
          <w:noProof/>
          <w:lang w:val="bg-BG"/>
        </w:rPr>
        <w:t>31</w:t>
      </w:r>
      <w:r w:rsidRPr="00474BEE">
        <w:rPr>
          <w:lang w:val="bg-BG"/>
        </w:rPr>
        <w:fldChar w:fldCharType="end"/>
      </w:r>
      <w:r w:rsidR="00920A02" w:rsidRPr="00474BEE">
        <w:rPr>
          <w:lang w:val="bg-BG"/>
        </w:rPr>
        <w:t xml:space="preserve">.  Чл. 282 § 1 от НК, който </w:t>
      </w:r>
      <w:r w:rsidRPr="00474BEE">
        <w:rPr>
          <w:lang w:val="bg-BG"/>
        </w:rPr>
        <w:t xml:space="preserve">в частта, занимаваща се с нарушения, извършени от длъжностни лица, </w:t>
      </w:r>
      <w:r w:rsidR="0010309C" w:rsidRPr="00474BEE">
        <w:rPr>
          <w:lang w:val="bg-BG"/>
        </w:rPr>
        <w:t>с</w:t>
      </w:r>
      <w:r w:rsidRPr="00474BEE">
        <w:rPr>
          <w:lang w:val="bg-BG"/>
        </w:rPr>
        <w:t xml:space="preserve">чита </w:t>
      </w:r>
      <w:r w:rsidR="0010309C" w:rsidRPr="00474BEE">
        <w:rPr>
          <w:lang w:val="bg-BG"/>
        </w:rPr>
        <w:t xml:space="preserve">за </w:t>
      </w:r>
      <w:r w:rsidRPr="00474BEE">
        <w:rPr>
          <w:lang w:val="bg-BG"/>
        </w:rPr>
        <w:t>престъпление</w:t>
      </w:r>
      <w:r w:rsidR="00920A02" w:rsidRPr="00474BEE">
        <w:rPr>
          <w:lang w:val="bg-BG"/>
        </w:rPr>
        <w:t xml:space="preserve"> деяния, при които</w:t>
      </w:r>
      <w:r w:rsidR="000D4B56" w:rsidRPr="00474BEE">
        <w:rPr>
          <w:lang w:val="bg-BG"/>
        </w:rPr>
        <w:t xml:space="preserve"> длъжностно лице наруши или </w:t>
      </w:r>
      <w:r w:rsidRPr="00474BEE">
        <w:rPr>
          <w:lang w:val="bg-BG"/>
        </w:rPr>
        <w:t>не изпълни с</w:t>
      </w:r>
      <w:r w:rsidR="000D4B56" w:rsidRPr="00474BEE">
        <w:rPr>
          <w:lang w:val="bg-BG"/>
        </w:rPr>
        <w:t xml:space="preserve">лужебните си задължения, или </w:t>
      </w:r>
      <w:r w:rsidRPr="00474BEE">
        <w:rPr>
          <w:lang w:val="bg-BG"/>
        </w:rPr>
        <w:t>превиши властта или правата си с цел да набави за себе си или за другиго облага</w:t>
      </w:r>
      <w:r w:rsidR="000D4B56" w:rsidRPr="00474BEE">
        <w:rPr>
          <w:lang w:val="bg-BG"/>
        </w:rPr>
        <w:t>, или да причини другиму вреда, като</w:t>
      </w:r>
      <w:r w:rsidRPr="00474BEE">
        <w:rPr>
          <w:lang w:val="bg-BG"/>
        </w:rPr>
        <w:t xml:space="preserve"> от това могат да настъпят немаловажни вредни последици. Престъплението се наказва с до пет години лишаване от свобода, като съдът може</w:t>
      </w:r>
      <w:r w:rsidR="000D4B56" w:rsidRPr="00474BEE">
        <w:rPr>
          <w:lang w:val="bg-BG"/>
        </w:rPr>
        <w:t xml:space="preserve"> допълнително</w:t>
      </w:r>
      <w:r w:rsidR="00920A02" w:rsidRPr="00474BEE">
        <w:rPr>
          <w:lang w:val="bg-BG"/>
        </w:rPr>
        <w:t xml:space="preserve"> да наложи лишаване от правото н</w:t>
      </w:r>
      <w:r w:rsidR="000D4B56" w:rsidRPr="00474BEE">
        <w:rPr>
          <w:lang w:val="bg-BG"/>
        </w:rPr>
        <w:t>а упражнява</w:t>
      </w:r>
      <w:r w:rsidR="00920A02" w:rsidRPr="00474BEE">
        <w:rPr>
          <w:lang w:val="bg-BG"/>
        </w:rPr>
        <w:t>не на</w:t>
      </w:r>
      <w:r w:rsidR="000D4B56" w:rsidRPr="00474BEE">
        <w:rPr>
          <w:lang w:val="bg-BG"/>
        </w:rPr>
        <w:t xml:space="preserve"> професията. </w:t>
      </w:r>
      <w:r w:rsidRPr="00474BEE">
        <w:rPr>
          <w:lang w:val="bg-BG"/>
        </w:rPr>
        <w:t>Разследвания</w:t>
      </w:r>
      <w:r w:rsidR="00D3172D" w:rsidRPr="00474BEE">
        <w:rPr>
          <w:lang w:val="bg-BG"/>
        </w:rPr>
        <w:t>та</w:t>
      </w:r>
      <w:r w:rsidRPr="00474BEE">
        <w:rPr>
          <w:lang w:val="bg-BG"/>
        </w:rPr>
        <w:t xml:space="preserve"> и наказателни</w:t>
      </w:r>
      <w:r w:rsidR="00D3172D" w:rsidRPr="00474BEE">
        <w:rPr>
          <w:lang w:val="bg-BG"/>
        </w:rPr>
        <w:t>те</w:t>
      </w:r>
      <w:r w:rsidRPr="00474BEE">
        <w:rPr>
          <w:lang w:val="bg-BG"/>
        </w:rPr>
        <w:t xml:space="preserve"> преследвания на такъв </w:t>
      </w:r>
      <w:r w:rsidR="00AD4CCD" w:rsidRPr="00474BEE">
        <w:rPr>
          <w:lang w:val="bg-BG"/>
        </w:rPr>
        <w:t xml:space="preserve">вид </w:t>
      </w:r>
      <w:r w:rsidRPr="00474BEE">
        <w:rPr>
          <w:lang w:val="bg-BG"/>
        </w:rPr>
        <w:t>престъплен</w:t>
      </w:r>
      <w:r w:rsidR="000D4B56" w:rsidRPr="00474BEE">
        <w:rPr>
          <w:lang w:val="bg-BG"/>
        </w:rPr>
        <w:t>ия се извършват от окръжната прокуратура, а делата се разглеждат</w:t>
      </w:r>
      <w:r w:rsidRPr="00474BEE">
        <w:rPr>
          <w:lang w:val="bg-BG"/>
        </w:rPr>
        <w:t xml:space="preserve"> от окръжните съдилища (чл.</w:t>
      </w:r>
      <w:r w:rsidR="00C144C4">
        <w:rPr>
          <w:lang w:val="bg-BG"/>
        </w:rPr>
        <w:t xml:space="preserve"> 35 </w:t>
      </w:r>
      <w:r w:rsidRPr="00474BEE">
        <w:rPr>
          <w:lang w:val="bg-BG"/>
        </w:rPr>
        <w:t xml:space="preserve">§ 2 от Наказателнопроцесуалния кодекс </w:t>
      </w:r>
      <w:r w:rsidR="009D0F5F" w:rsidRPr="00474BEE">
        <w:rPr>
          <w:lang w:val="bg-BG"/>
        </w:rPr>
        <w:t xml:space="preserve">от </w:t>
      </w:r>
      <w:r w:rsidRPr="00474BEE">
        <w:rPr>
          <w:lang w:val="bg-BG"/>
        </w:rPr>
        <w:t>2005</w:t>
      </w:r>
      <w:r w:rsidR="000D4B56" w:rsidRPr="00474BEE">
        <w:rPr>
          <w:lang w:val="bg-BG"/>
        </w:rPr>
        <w:t xml:space="preserve"> г.</w:t>
      </w:r>
      <w:r w:rsidRPr="00474BEE">
        <w:rPr>
          <w:lang w:val="bg-BG"/>
        </w:rPr>
        <w:t>).</w:t>
      </w:r>
    </w:p>
    <w:p w:rsidR="004B7317" w:rsidRPr="00474BEE" w:rsidRDefault="004B7317" w:rsidP="004B7317">
      <w:pPr>
        <w:pStyle w:val="ECHRHeading3"/>
        <w:outlineLvl w:val="3"/>
        <w:rPr>
          <w:lang w:val="bg-BG"/>
        </w:rPr>
      </w:pPr>
      <w:r w:rsidRPr="00474BEE">
        <w:rPr>
          <w:lang w:val="bg-BG"/>
        </w:rPr>
        <w:t>4.  Изтръгване на признание или показания</w:t>
      </w:r>
    </w:p>
    <w:p w:rsidR="004B7317" w:rsidRPr="00474BEE" w:rsidRDefault="004B7317" w:rsidP="004B7317">
      <w:pPr>
        <w:pStyle w:val="ECHRHeading4"/>
        <w:outlineLvl w:val="4"/>
        <w:rPr>
          <w:lang w:val="bg-BG"/>
        </w:rPr>
      </w:pPr>
      <w:r w:rsidRPr="00474BEE">
        <w:rPr>
          <w:lang w:val="bg-BG"/>
        </w:rPr>
        <w:t xml:space="preserve">(a)  Текст и законодателна история на чл. 287 от НК </w:t>
      </w:r>
    </w:p>
    <w:p w:rsidR="004B7317" w:rsidRPr="00474BEE" w:rsidRDefault="004B7317" w:rsidP="004B7317">
      <w:pPr>
        <w:pStyle w:val="ECHRPara"/>
        <w:rPr>
          <w:lang w:val="bg-BG"/>
        </w:rPr>
      </w:pPr>
      <w:r w:rsidRPr="00474BEE">
        <w:rPr>
          <w:lang w:val="bg-BG"/>
        </w:rPr>
        <w:fldChar w:fldCharType="begin"/>
      </w:r>
      <w:r w:rsidRPr="00474BEE">
        <w:rPr>
          <w:lang w:val="bg-BG"/>
        </w:rPr>
        <w:instrText xml:space="preserve"> SEQ level0 \*arabic </w:instrText>
      </w:r>
      <w:r w:rsidRPr="00474BEE">
        <w:rPr>
          <w:lang w:val="bg-BG"/>
        </w:rPr>
        <w:fldChar w:fldCharType="separate"/>
      </w:r>
      <w:r w:rsidRPr="00474BEE">
        <w:rPr>
          <w:noProof/>
          <w:lang w:val="bg-BG"/>
        </w:rPr>
        <w:t>32</w:t>
      </w:r>
      <w:r w:rsidRPr="00474BEE">
        <w:rPr>
          <w:lang w:val="bg-BG"/>
        </w:rPr>
        <w:fldChar w:fldCharType="end"/>
      </w:r>
      <w:r w:rsidRPr="00474BEE">
        <w:rPr>
          <w:lang w:val="bg-BG"/>
        </w:rPr>
        <w:t xml:space="preserve">.  Чл. </w:t>
      </w:r>
      <w:r w:rsidR="000D4B56" w:rsidRPr="00474BEE">
        <w:rPr>
          <w:lang w:val="bg-BG"/>
        </w:rPr>
        <w:t>287 е включен в</w:t>
      </w:r>
      <w:r w:rsidRPr="00474BEE">
        <w:rPr>
          <w:lang w:val="bg-BG"/>
        </w:rPr>
        <w:t xml:space="preserve"> раздел</w:t>
      </w:r>
      <w:r w:rsidR="000D4B56" w:rsidRPr="00474BEE">
        <w:rPr>
          <w:lang w:val="bg-BG"/>
        </w:rPr>
        <w:t>а на НК, посветен на</w:t>
      </w:r>
      <w:r w:rsidRPr="00474BEE">
        <w:rPr>
          <w:lang w:val="bg-BG"/>
        </w:rPr>
        <w:t xml:space="preserve"> престъп</w:t>
      </w:r>
      <w:r w:rsidR="000D4B56" w:rsidRPr="00474BEE">
        <w:rPr>
          <w:lang w:val="bg-BG"/>
        </w:rPr>
        <w:t>ления против правосъдието. Съгласно формулировката</w:t>
      </w:r>
      <w:r w:rsidRPr="00474BEE">
        <w:rPr>
          <w:lang w:val="bg-BG"/>
        </w:rPr>
        <w:t xml:space="preserve"> </w:t>
      </w:r>
      <w:r w:rsidR="009D0F5F" w:rsidRPr="00474BEE">
        <w:rPr>
          <w:lang w:val="bg-BG"/>
        </w:rPr>
        <w:t xml:space="preserve">в сила </w:t>
      </w:r>
      <w:r w:rsidRPr="00474BEE">
        <w:rPr>
          <w:lang w:val="bg-BG"/>
        </w:rPr>
        <w:t xml:space="preserve">от 13 </w:t>
      </w:r>
      <w:r w:rsidR="000D4B56" w:rsidRPr="00474BEE">
        <w:rPr>
          <w:lang w:val="bg-BG"/>
        </w:rPr>
        <w:t>октомври 2006 г. той гласи, че е престъпление, когато</w:t>
      </w:r>
      <w:r w:rsidRPr="00474BEE">
        <w:rPr>
          <w:lang w:val="bg-BG"/>
        </w:rPr>
        <w:t xml:space="preserve"> длъжностно лице, което при или по повод изпълнение на службата си, само или чрез другиго, извърши противозаконни принудителни действия спрямо обвиняем, свидетел или вещо</w:t>
      </w:r>
      <w:r w:rsidR="000D4B56" w:rsidRPr="00474BEE">
        <w:rPr>
          <w:lang w:val="bg-BG"/>
        </w:rPr>
        <w:t xml:space="preserve"> лице, за да изтръгне признание</w:t>
      </w:r>
      <w:r w:rsidRPr="00474BEE">
        <w:rPr>
          <w:lang w:val="bg-BG"/>
        </w:rPr>
        <w:t>, показание, заключение или информация от него. Престъплението се наказва с лишаване от свобода от три до десет годин</w:t>
      </w:r>
      <w:r w:rsidR="00920A02" w:rsidRPr="00474BEE">
        <w:rPr>
          <w:lang w:val="bg-BG"/>
        </w:rPr>
        <w:t>и и лишаване от право н</w:t>
      </w:r>
      <w:r w:rsidR="00D3172D" w:rsidRPr="00474BEE">
        <w:rPr>
          <w:lang w:val="bg-BG"/>
        </w:rPr>
        <w:t>а упражнява</w:t>
      </w:r>
      <w:r w:rsidR="00920A02" w:rsidRPr="00474BEE">
        <w:rPr>
          <w:lang w:val="bg-BG"/>
        </w:rPr>
        <w:t>не на</w:t>
      </w:r>
      <w:r w:rsidR="00D3172D" w:rsidRPr="00474BEE">
        <w:rPr>
          <w:lang w:val="bg-BG"/>
        </w:rPr>
        <w:t xml:space="preserve"> професията</w:t>
      </w:r>
      <w:r w:rsidRPr="00474BEE">
        <w:rPr>
          <w:lang w:val="bg-BG"/>
        </w:rPr>
        <w:t>. Разследвания</w:t>
      </w:r>
      <w:r w:rsidR="00D3172D" w:rsidRPr="00474BEE">
        <w:rPr>
          <w:lang w:val="bg-BG"/>
        </w:rPr>
        <w:t>та</w:t>
      </w:r>
      <w:r w:rsidRPr="00474BEE">
        <w:rPr>
          <w:lang w:val="bg-BG"/>
        </w:rPr>
        <w:t xml:space="preserve"> и наказателни</w:t>
      </w:r>
      <w:r w:rsidR="00D3172D" w:rsidRPr="00474BEE">
        <w:rPr>
          <w:lang w:val="bg-BG"/>
        </w:rPr>
        <w:t>те</w:t>
      </w:r>
      <w:r w:rsidRPr="00474BEE">
        <w:rPr>
          <w:lang w:val="bg-BG"/>
        </w:rPr>
        <w:t xml:space="preserve"> преследвания на такъв </w:t>
      </w:r>
      <w:r w:rsidR="009D0F5F" w:rsidRPr="00474BEE">
        <w:rPr>
          <w:lang w:val="bg-BG"/>
        </w:rPr>
        <w:t xml:space="preserve">вид </w:t>
      </w:r>
      <w:r w:rsidRPr="00474BEE">
        <w:rPr>
          <w:lang w:val="bg-BG"/>
        </w:rPr>
        <w:t>престъ</w:t>
      </w:r>
      <w:r w:rsidR="00D3172D" w:rsidRPr="00474BEE">
        <w:rPr>
          <w:lang w:val="bg-BG"/>
        </w:rPr>
        <w:t>пления се извършват от окръжната</w:t>
      </w:r>
      <w:r w:rsidRPr="00474BEE">
        <w:rPr>
          <w:lang w:val="bg-BG"/>
        </w:rPr>
        <w:t xml:space="preserve"> прокуратура</w:t>
      </w:r>
      <w:r w:rsidR="00D3172D" w:rsidRPr="00474BEE">
        <w:rPr>
          <w:lang w:val="bg-BG"/>
        </w:rPr>
        <w:t>, а делата се разглеждат от окръжните</w:t>
      </w:r>
      <w:r w:rsidRPr="00474BEE">
        <w:rPr>
          <w:lang w:val="bg-BG"/>
        </w:rPr>
        <w:t xml:space="preserve"> съдилища (чл. 35 § 1 от Наказателнопроцесуалния кодекс </w:t>
      </w:r>
      <w:r w:rsidR="002744BD" w:rsidRPr="00474BEE">
        <w:rPr>
          <w:lang w:val="bg-BG"/>
        </w:rPr>
        <w:t xml:space="preserve">от </w:t>
      </w:r>
      <w:r w:rsidRPr="00474BEE">
        <w:rPr>
          <w:lang w:val="bg-BG"/>
        </w:rPr>
        <w:t>2005 г.).</w:t>
      </w:r>
      <w:r w:rsidR="00D3172D" w:rsidRPr="00474BEE">
        <w:rPr>
          <w:lang w:val="bg-BG"/>
        </w:rPr>
        <w:t xml:space="preserve"> </w:t>
      </w:r>
    </w:p>
    <w:p w:rsidR="004B7317" w:rsidRPr="00474BEE" w:rsidRDefault="004B7317" w:rsidP="004B7317">
      <w:pPr>
        <w:pStyle w:val="ECHRPara"/>
        <w:rPr>
          <w:lang w:val="bg-BG"/>
        </w:rPr>
      </w:pPr>
      <w:r w:rsidRPr="00474BEE">
        <w:rPr>
          <w:lang w:val="bg-BG"/>
        </w:rPr>
        <w:t xml:space="preserve"> </w:t>
      </w:r>
      <w:r w:rsidRPr="00474BEE">
        <w:rPr>
          <w:lang w:val="bg-BG"/>
        </w:rPr>
        <w:fldChar w:fldCharType="begin"/>
      </w:r>
      <w:r w:rsidRPr="00474BEE">
        <w:rPr>
          <w:lang w:val="bg-BG"/>
        </w:rPr>
        <w:instrText xml:space="preserve"> SEQ level0 \*arabic </w:instrText>
      </w:r>
      <w:r w:rsidRPr="00474BEE">
        <w:rPr>
          <w:lang w:val="bg-BG"/>
        </w:rPr>
        <w:fldChar w:fldCharType="separate"/>
      </w:r>
      <w:r w:rsidRPr="00474BEE">
        <w:rPr>
          <w:noProof/>
          <w:lang w:val="bg-BG"/>
        </w:rPr>
        <w:t>33</w:t>
      </w:r>
      <w:r w:rsidRPr="00474BEE">
        <w:rPr>
          <w:lang w:val="bg-BG"/>
        </w:rPr>
        <w:fldChar w:fldCharType="end"/>
      </w:r>
      <w:r w:rsidRPr="00474BEE">
        <w:rPr>
          <w:lang w:val="bg-BG"/>
        </w:rPr>
        <w:t>.  </w:t>
      </w:r>
      <w:r w:rsidR="00D3172D" w:rsidRPr="00474BEE">
        <w:rPr>
          <w:lang w:val="bg-BG"/>
        </w:rPr>
        <w:t>Преди</w:t>
      </w:r>
      <w:r w:rsidRPr="00474BEE">
        <w:rPr>
          <w:lang w:val="bg-BG"/>
        </w:rPr>
        <w:t xml:space="preserve"> 13 октомври 2006 г. ч</w:t>
      </w:r>
      <w:r w:rsidR="00D3172D" w:rsidRPr="00474BEE">
        <w:rPr>
          <w:lang w:val="bg-BG"/>
        </w:rPr>
        <w:t>л. 287 визира</w:t>
      </w:r>
      <w:r w:rsidRPr="00474BEE">
        <w:rPr>
          <w:lang w:val="bg-BG"/>
        </w:rPr>
        <w:t xml:space="preserve"> не само „обвиняем”, а също и </w:t>
      </w:r>
      <w:r w:rsidR="00D3172D" w:rsidRPr="00474BEE">
        <w:rPr>
          <w:lang w:val="bg-BG"/>
        </w:rPr>
        <w:t xml:space="preserve">„заподозрян”, и „уличен”, </w:t>
      </w:r>
      <w:r w:rsidR="002744BD" w:rsidRPr="00474BEE">
        <w:rPr>
          <w:lang w:val="bg-BG"/>
        </w:rPr>
        <w:t xml:space="preserve">термини </w:t>
      </w:r>
      <w:r w:rsidRPr="00474BEE">
        <w:rPr>
          <w:lang w:val="bg-BG"/>
        </w:rPr>
        <w:t xml:space="preserve">използвани в Наказателнопроцесуалния кодекс </w:t>
      </w:r>
      <w:r w:rsidR="002744BD" w:rsidRPr="00474BEE">
        <w:rPr>
          <w:lang w:val="bg-BG"/>
        </w:rPr>
        <w:t xml:space="preserve">в сила от </w:t>
      </w:r>
      <w:r w:rsidRPr="00474BEE">
        <w:rPr>
          <w:lang w:val="bg-BG"/>
        </w:rPr>
        <w:t>1974 г., в зависимост от вида на съответното наказател</w:t>
      </w:r>
      <w:r w:rsidR="00D3172D" w:rsidRPr="00474BEE">
        <w:rPr>
          <w:lang w:val="bg-BG"/>
        </w:rPr>
        <w:t xml:space="preserve">но производство, </w:t>
      </w:r>
      <w:r w:rsidR="00920A02" w:rsidRPr="00474BEE">
        <w:rPr>
          <w:lang w:val="bg-BG"/>
        </w:rPr>
        <w:t>но тези определения не присъстват</w:t>
      </w:r>
      <w:r w:rsidR="00D3172D" w:rsidRPr="00474BEE">
        <w:rPr>
          <w:lang w:val="bg-BG"/>
        </w:rPr>
        <w:t xml:space="preserve"> в</w:t>
      </w:r>
      <w:r w:rsidRPr="00474BEE">
        <w:rPr>
          <w:lang w:val="bg-BG"/>
        </w:rPr>
        <w:t xml:space="preserve"> Наказателнопроцесуалния кодекс </w:t>
      </w:r>
      <w:r w:rsidR="00D3172D" w:rsidRPr="00474BEE">
        <w:rPr>
          <w:lang w:val="bg-BG"/>
        </w:rPr>
        <w:t>от 2005 г., който влиза</w:t>
      </w:r>
      <w:r w:rsidRPr="00474BEE">
        <w:rPr>
          <w:lang w:val="bg-BG"/>
        </w:rPr>
        <w:t xml:space="preserve"> в сила на 29 </w:t>
      </w:r>
      <w:r w:rsidR="00D3172D" w:rsidRPr="00474BEE">
        <w:rPr>
          <w:lang w:val="bg-BG"/>
        </w:rPr>
        <w:t xml:space="preserve">април 2006 г. и включва </w:t>
      </w:r>
      <w:r w:rsidR="00015F37" w:rsidRPr="00474BEE">
        <w:rPr>
          <w:lang w:val="bg-BG"/>
        </w:rPr>
        <w:t xml:space="preserve">термина </w:t>
      </w:r>
      <w:r w:rsidRPr="00474BEE">
        <w:rPr>
          <w:lang w:val="bg-BG"/>
        </w:rPr>
        <w:t>„обвиняем”, отнасящ се до всички лица, обвинени в извършване на престъпление, независимо от вида на производството.</w:t>
      </w:r>
    </w:p>
    <w:p w:rsidR="004B7317" w:rsidRPr="00474BEE" w:rsidRDefault="004B7317" w:rsidP="004B7317">
      <w:pPr>
        <w:pStyle w:val="ECHRPara"/>
        <w:rPr>
          <w:lang w:val="bg-BG"/>
        </w:rPr>
      </w:pPr>
      <w:r w:rsidRPr="00474BEE">
        <w:rPr>
          <w:lang w:val="bg-BG"/>
        </w:rPr>
        <w:lastRenderedPageBreak/>
        <w:fldChar w:fldCharType="begin"/>
      </w:r>
      <w:r w:rsidRPr="00474BEE">
        <w:rPr>
          <w:lang w:val="bg-BG"/>
        </w:rPr>
        <w:instrText xml:space="preserve"> SEQ level0 \*arabic </w:instrText>
      </w:r>
      <w:r w:rsidRPr="00474BEE">
        <w:rPr>
          <w:lang w:val="bg-BG"/>
        </w:rPr>
        <w:fldChar w:fldCharType="separate"/>
      </w:r>
      <w:r w:rsidRPr="00474BEE">
        <w:rPr>
          <w:noProof/>
          <w:lang w:val="bg-BG"/>
        </w:rPr>
        <w:t>34</w:t>
      </w:r>
      <w:r w:rsidRPr="00474BEE">
        <w:rPr>
          <w:lang w:val="bg-BG"/>
        </w:rPr>
        <w:fldChar w:fldCharType="end"/>
      </w:r>
      <w:r w:rsidRPr="00474BEE">
        <w:rPr>
          <w:lang w:val="bg-BG"/>
        </w:rPr>
        <w:t>.  </w:t>
      </w:r>
      <w:r w:rsidR="00920A02" w:rsidRPr="00474BEE">
        <w:rPr>
          <w:lang w:val="bg-BG"/>
        </w:rPr>
        <w:t xml:space="preserve">Както е </w:t>
      </w:r>
      <w:r w:rsidR="00C25485" w:rsidRPr="00474BEE">
        <w:rPr>
          <w:lang w:val="bg-BG"/>
        </w:rPr>
        <w:t>формулиран</w:t>
      </w:r>
      <w:r w:rsidRPr="00474BEE">
        <w:rPr>
          <w:lang w:val="bg-BG"/>
        </w:rPr>
        <w:t xml:space="preserve"> преди 3 април 2004 г., чл. 287 криминализира единствено деяния извършени </w:t>
      </w:r>
      <w:r w:rsidR="00D3172D" w:rsidRPr="00474BEE">
        <w:rPr>
          <w:lang w:val="bg-BG"/>
        </w:rPr>
        <w:t xml:space="preserve">по скоро </w:t>
      </w:r>
      <w:r w:rsidRPr="00474BEE">
        <w:rPr>
          <w:lang w:val="bg-BG"/>
        </w:rPr>
        <w:t xml:space="preserve">от „орган на властта”, </w:t>
      </w:r>
      <w:r w:rsidR="00D3172D" w:rsidRPr="00474BEE">
        <w:rPr>
          <w:lang w:val="bg-BG"/>
        </w:rPr>
        <w:t xml:space="preserve">а не </w:t>
      </w:r>
      <w:r w:rsidRPr="00474BEE">
        <w:rPr>
          <w:lang w:val="bg-BG"/>
        </w:rPr>
        <w:t xml:space="preserve">от „длъжностно лице”. Формулировката е променена в резултат на законопроект (№ 354-01-80), внесен от група народни представители на 30 юли 2003 г., и предлагащ криминализиране на изтезанието като такова, с </w:t>
      </w:r>
      <w:r w:rsidR="00205C91" w:rsidRPr="00474BEE">
        <w:rPr>
          <w:lang w:val="bg-BG"/>
        </w:rPr>
        <w:t xml:space="preserve">оглед </w:t>
      </w:r>
      <w:r w:rsidRPr="00474BEE">
        <w:rPr>
          <w:lang w:val="bg-BG"/>
        </w:rPr>
        <w:t xml:space="preserve">да бъдат изцяло спазени задълженията на България </w:t>
      </w:r>
      <w:r w:rsidR="00205C91" w:rsidRPr="00474BEE">
        <w:rPr>
          <w:lang w:val="bg-BG"/>
        </w:rPr>
        <w:t xml:space="preserve">съгласно </w:t>
      </w:r>
      <w:r w:rsidRPr="00474BEE">
        <w:rPr>
          <w:lang w:val="bg-BG"/>
        </w:rPr>
        <w:t>Конвенцията на ООН срещу изтезанията и други форми на жестоко, нечовешко или унизително отн</w:t>
      </w:r>
      <w:r w:rsidR="00205C91" w:rsidRPr="00474BEE">
        <w:rPr>
          <w:lang w:val="bg-BG"/>
        </w:rPr>
        <w:t>асяне</w:t>
      </w:r>
      <w:r w:rsidRPr="00474BEE">
        <w:rPr>
          <w:lang w:val="bg-BG"/>
        </w:rPr>
        <w:t xml:space="preserve"> или наказание (вж</w:t>
      </w:r>
      <w:r w:rsidR="00205C91" w:rsidRPr="00474BEE">
        <w:rPr>
          <w:lang w:val="bg-BG"/>
        </w:rPr>
        <w:t>.</w:t>
      </w:r>
      <w:r w:rsidRPr="00474BEE">
        <w:rPr>
          <w:lang w:val="bg-BG"/>
        </w:rPr>
        <w:t xml:space="preserve"> параграф 45 по-долу). Този законопроект е одобрен от парламента на първо четене на 2</w:t>
      </w:r>
      <w:r w:rsidR="00D3172D" w:rsidRPr="00474BEE">
        <w:rPr>
          <w:lang w:val="bg-BG"/>
        </w:rPr>
        <w:t>3 септември 2003 г., но преди второто разглеждане</w:t>
      </w:r>
      <w:r w:rsidRPr="00474BEE">
        <w:rPr>
          <w:lang w:val="bg-BG"/>
        </w:rPr>
        <w:t>, проведено на 12 март 2004 г., е изменен от Комисията по правни въпроси на парламента, предвиждайки промяна на формулировката</w:t>
      </w:r>
      <w:r w:rsidR="00C25485" w:rsidRPr="00474BEE">
        <w:rPr>
          <w:lang w:val="bg-BG"/>
        </w:rPr>
        <w:t xml:space="preserve"> на текста в</w:t>
      </w:r>
      <w:r w:rsidRPr="00474BEE">
        <w:rPr>
          <w:lang w:val="bg-BG"/>
        </w:rPr>
        <w:t xml:space="preserve"> чл. 287, с цел по-скоро разширяване на сферата му на приложение, отколк</w:t>
      </w:r>
      <w:r w:rsidR="00C25485" w:rsidRPr="00474BEE">
        <w:rPr>
          <w:lang w:val="bg-BG"/>
        </w:rPr>
        <w:t xml:space="preserve">ото включване на изтезанието като </w:t>
      </w:r>
      <w:r w:rsidR="004D78B8" w:rsidRPr="00474BEE">
        <w:rPr>
          <w:lang w:val="bg-BG"/>
        </w:rPr>
        <w:t>отделн</w:t>
      </w:r>
      <w:r w:rsidR="00C25485" w:rsidRPr="00474BEE">
        <w:rPr>
          <w:lang w:val="bg-BG"/>
        </w:rPr>
        <w:t>о престъпление</w:t>
      </w:r>
      <w:r w:rsidRPr="00474BEE">
        <w:rPr>
          <w:lang w:val="bg-BG"/>
        </w:rPr>
        <w:t>.</w:t>
      </w:r>
    </w:p>
    <w:p w:rsidR="004B7317" w:rsidRPr="00474BEE" w:rsidRDefault="00BF59DB" w:rsidP="004B7317">
      <w:pPr>
        <w:pStyle w:val="ECHRHeading4"/>
        <w:outlineLvl w:val="4"/>
        <w:rPr>
          <w:lang w:val="bg-BG"/>
        </w:rPr>
      </w:pPr>
      <w:r w:rsidRPr="00474BEE">
        <w:rPr>
          <w:lang w:val="bg-BG"/>
        </w:rPr>
        <w:t>(б</w:t>
      </w:r>
      <w:r w:rsidR="004B7317" w:rsidRPr="00474BEE">
        <w:rPr>
          <w:lang w:val="bg-BG"/>
        </w:rPr>
        <w:t>)</w:t>
      </w:r>
      <w:r w:rsidR="004B7317" w:rsidRPr="00474BEE">
        <w:rPr>
          <w:lang w:val="en-GB"/>
        </w:rPr>
        <w:t>  </w:t>
      </w:r>
      <w:r w:rsidR="00C25485" w:rsidRPr="00474BEE">
        <w:rPr>
          <w:lang w:val="bg-BG"/>
        </w:rPr>
        <w:t>Съдебна практика в съответствие с</w:t>
      </w:r>
      <w:r w:rsidR="004B7317" w:rsidRPr="00474BEE">
        <w:rPr>
          <w:lang w:val="bg-BG"/>
        </w:rPr>
        <w:t xml:space="preserve"> чл. 287 от НК </w:t>
      </w:r>
    </w:p>
    <w:p w:rsidR="004B7317" w:rsidRPr="00474BEE" w:rsidRDefault="004B7317" w:rsidP="00DB324A">
      <w:pPr>
        <w:pStyle w:val="ECHRPara"/>
        <w:rPr>
          <w:lang w:val="bg-BG"/>
        </w:rPr>
      </w:pPr>
      <w:r w:rsidRPr="00474BEE">
        <w:rPr>
          <w:lang w:val="en-GB"/>
        </w:rPr>
        <w:fldChar w:fldCharType="begin"/>
      </w:r>
      <w:r w:rsidRPr="00474BEE">
        <w:rPr>
          <w:lang w:val="bg-BG"/>
        </w:rPr>
        <w:instrText xml:space="preserve"> </w:instrText>
      </w:r>
      <w:r w:rsidRPr="00474BEE">
        <w:rPr>
          <w:lang w:val="en-GB"/>
        </w:rPr>
        <w:instrText>SEQ</w:instrText>
      </w:r>
      <w:r w:rsidRPr="00474BEE">
        <w:rPr>
          <w:lang w:val="bg-BG"/>
        </w:rPr>
        <w:instrText xml:space="preserve"> </w:instrText>
      </w:r>
      <w:r w:rsidRPr="00474BEE">
        <w:rPr>
          <w:lang w:val="en-GB"/>
        </w:rPr>
        <w:instrText>level</w:instrText>
      </w:r>
      <w:r w:rsidRPr="00474BEE">
        <w:rPr>
          <w:lang w:val="bg-BG"/>
        </w:rPr>
        <w:instrText>0 \*</w:instrText>
      </w:r>
      <w:r w:rsidRPr="00474BEE">
        <w:rPr>
          <w:lang w:val="en-GB"/>
        </w:rPr>
        <w:instrText>arabic</w:instrText>
      </w:r>
      <w:r w:rsidRPr="00474BEE">
        <w:rPr>
          <w:lang w:val="bg-BG"/>
        </w:rPr>
        <w:instrText xml:space="preserve"> </w:instrText>
      </w:r>
      <w:r w:rsidRPr="00474BEE">
        <w:rPr>
          <w:lang w:val="en-GB"/>
        </w:rPr>
        <w:fldChar w:fldCharType="separate"/>
      </w:r>
      <w:r w:rsidRPr="00474BEE">
        <w:rPr>
          <w:noProof/>
          <w:lang w:val="bg-BG"/>
        </w:rPr>
        <w:t>35</w:t>
      </w:r>
      <w:r w:rsidRPr="00474BEE">
        <w:rPr>
          <w:lang w:val="en-GB"/>
        </w:rPr>
        <w:fldChar w:fldCharType="end"/>
      </w:r>
      <w:r w:rsidRPr="00474BEE">
        <w:rPr>
          <w:lang w:val="bg-BG"/>
        </w:rPr>
        <w:t>.</w:t>
      </w:r>
      <w:r w:rsidRPr="00474BEE">
        <w:rPr>
          <w:lang w:val="en-GB"/>
        </w:rPr>
        <w:t>  </w:t>
      </w:r>
      <w:r w:rsidRPr="00474BEE">
        <w:rPr>
          <w:lang w:val="bg-BG"/>
        </w:rPr>
        <w:t>В окончателно решение от 7 ноември 2005 г. (присъда № 183 от 07.11.2005 г. по н. д. № 171/2005 г., Военно-апелативен съд) Военно-апелативният съд анализира историята по изготвянето на изменението от 2004 г. на чл. 287 (вж</w:t>
      </w:r>
      <w:r w:rsidR="00EB441A" w:rsidRPr="00474BEE">
        <w:rPr>
          <w:lang w:val="bg-BG"/>
        </w:rPr>
        <w:t>.</w:t>
      </w:r>
      <w:r w:rsidRPr="00474BEE">
        <w:rPr>
          <w:lang w:val="bg-BG"/>
        </w:rPr>
        <w:t xml:space="preserve"> параграф 34 по-горе), като отбелязва, по-</w:t>
      </w:r>
      <w:r w:rsidR="00EB441A" w:rsidRPr="00474BEE">
        <w:rPr>
          <w:lang w:val="bg-BG"/>
        </w:rPr>
        <w:t>конкретно</w:t>
      </w:r>
      <w:r w:rsidRPr="00474BEE">
        <w:rPr>
          <w:lang w:val="bg-BG"/>
        </w:rPr>
        <w:t xml:space="preserve">, че вместо да </w:t>
      </w:r>
      <w:r w:rsidR="00EB441A" w:rsidRPr="00474BEE">
        <w:rPr>
          <w:lang w:val="bg-BG"/>
        </w:rPr>
        <w:t>въведе</w:t>
      </w:r>
      <w:r w:rsidR="00C25485" w:rsidRPr="00474BEE">
        <w:rPr>
          <w:lang w:val="bg-BG"/>
        </w:rPr>
        <w:t xml:space="preserve"> изтезанието като </w:t>
      </w:r>
      <w:r w:rsidR="004D78B8" w:rsidRPr="00474BEE">
        <w:rPr>
          <w:lang w:val="bg-BG"/>
        </w:rPr>
        <w:t>отделн</w:t>
      </w:r>
      <w:r w:rsidR="00C25485" w:rsidRPr="00474BEE">
        <w:rPr>
          <w:lang w:val="bg-BG"/>
        </w:rPr>
        <w:t>о</w:t>
      </w:r>
      <w:r w:rsidR="00DB324A" w:rsidRPr="00474BEE">
        <w:rPr>
          <w:lang w:val="bg-BG"/>
        </w:rPr>
        <w:t xml:space="preserve"> престъпление</w:t>
      </w:r>
      <w:r w:rsidRPr="00474BEE">
        <w:rPr>
          <w:lang w:val="bg-BG"/>
        </w:rPr>
        <w:t xml:space="preserve">, приложимо за всички служители и предпазващо всички </w:t>
      </w:r>
      <w:r w:rsidR="00DB324A" w:rsidRPr="00474BEE">
        <w:rPr>
          <w:lang w:val="bg-BG"/>
        </w:rPr>
        <w:t>лица, които са под властта на длъжностни лица, както е предложено първоначално</w:t>
      </w:r>
      <w:r w:rsidRPr="00474BEE">
        <w:rPr>
          <w:lang w:val="bg-BG"/>
        </w:rPr>
        <w:t xml:space="preserve">, в крайна сметка </w:t>
      </w:r>
      <w:r w:rsidR="00186EBC" w:rsidRPr="00474BEE">
        <w:rPr>
          <w:lang w:val="bg-BG"/>
        </w:rPr>
        <w:t>п</w:t>
      </w:r>
      <w:r w:rsidRPr="00474BEE">
        <w:rPr>
          <w:lang w:val="bg-BG"/>
        </w:rPr>
        <w:t>арламентът избира единствено да измени чл. 287. По мнение на съда, това означава, че само длъжностни лица, на които им е пряко поверено да извършват разпити, биха могли да и</w:t>
      </w:r>
      <w:r w:rsidR="00DB324A" w:rsidRPr="00474BEE">
        <w:rPr>
          <w:lang w:val="bg-BG"/>
        </w:rPr>
        <w:t>звършат престъпления по този член.</w:t>
      </w:r>
      <w:r w:rsidR="00C25485" w:rsidRPr="00474BEE">
        <w:rPr>
          <w:lang w:val="bg-BG"/>
        </w:rPr>
        <w:t xml:space="preserve"> В случая с</w:t>
      </w:r>
      <w:r w:rsidRPr="00474BEE">
        <w:rPr>
          <w:lang w:val="bg-BG"/>
        </w:rPr>
        <w:t xml:space="preserve"> </w:t>
      </w:r>
      <w:r w:rsidR="00C25485" w:rsidRPr="00474BEE">
        <w:rPr>
          <w:lang w:val="bg-BG"/>
        </w:rPr>
        <w:t>полицейски служители</w:t>
      </w:r>
      <w:r w:rsidRPr="00474BEE">
        <w:rPr>
          <w:lang w:val="bg-BG"/>
        </w:rPr>
        <w:t xml:space="preserve">, това означава, само служители, на които са им възложени задачи за разследване от прокурора на разследващия в конкретен случай. Други </w:t>
      </w:r>
      <w:r w:rsidR="00130606" w:rsidRPr="00474BEE">
        <w:rPr>
          <w:lang w:val="bg-BG"/>
        </w:rPr>
        <w:t>полицаи</w:t>
      </w:r>
      <w:r w:rsidRPr="00474BEE">
        <w:rPr>
          <w:lang w:val="bg-BG"/>
        </w:rPr>
        <w:t xml:space="preserve"> не биха могли </w:t>
      </w:r>
      <w:r w:rsidR="00DB324A" w:rsidRPr="00474BEE">
        <w:rPr>
          <w:lang w:val="bg-BG"/>
        </w:rPr>
        <w:t xml:space="preserve">да </w:t>
      </w:r>
      <w:r w:rsidRPr="00474BEE">
        <w:rPr>
          <w:lang w:val="bg-BG"/>
        </w:rPr>
        <w:t xml:space="preserve">извършат такова престъпление. Въз основа на това, съдът оправдава полицейски служител, който е използвал сила с цел да извлече показания от двама обвиняеми в престъпление.   </w:t>
      </w:r>
    </w:p>
    <w:p w:rsidR="004B7317" w:rsidRPr="00474BEE" w:rsidRDefault="004B7317" w:rsidP="004B7317">
      <w:pPr>
        <w:pStyle w:val="ECHRPara"/>
        <w:rPr>
          <w:u w:val="single"/>
          <w:lang w:val="bg-BG"/>
        </w:rPr>
      </w:pPr>
      <w:r w:rsidRPr="00474BEE">
        <w:rPr>
          <w:lang w:val="en-GB"/>
        </w:rPr>
        <w:fldChar w:fldCharType="begin"/>
      </w:r>
      <w:r w:rsidRPr="00474BEE">
        <w:rPr>
          <w:lang w:val="bg-BG"/>
        </w:rPr>
        <w:instrText xml:space="preserve"> </w:instrText>
      </w:r>
      <w:r w:rsidRPr="00474BEE">
        <w:rPr>
          <w:lang w:val="en-GB"/>
        </w:rPr>
        <w:instrText>SEQ</w:instrText>
      </w:r>
      <w:r w:rsidRPr="00474BEE">
        <w:rPr>
          <w:lang w:val="bg-BG"/>
        </w:rPr>
        <w:instrText xml:space="preserve"> </w:instrText>
      </w:r>
      <w:r w:rsidRPr="00474BEE">
        <w:rPr>
          <w:lang w:val="en-GB"/>
        </w:rPr>
        <w:instrText>level</w:instrText>
      </w:r>
      <w:r w:rsidRPr="00474BEE">
        <w:rPr>
          <w:lang w:val="bg-BG"/>
        </w:rPr>
        <w:instrText>0 \*</w:instrText>
      </w:r>
      <w:r w:rsidRPr="00474BEE">
        <w:rPr>
          <w:lang w:val="en-GB"/>
        </w:rPr>
        <w:instrText>arabic</w:instrText>
      </w:r>
      <w:r w:rsidRPr="00474BEE">
        <w:rPr>
          <w:lang w:val="bg-BG"/>
        </w:rPr>
        <w:instrText xml:space="preserve"> </w:instrText>
      </w:r>
      <w:r w:rsidRPr="00474BEE">
        <w:rPr>
          <w:lang w:val="en-GB"/>
        </w:rPr>
        <w:fldChar w:fldCharType="separate"/>
      </w:r>
      <w:r w:rsidRPr="00474BEE">
        <w:rPr>
          <w:noProof/>
          <w:lang w:val="bg-BG"/>
        </w:rPr>
        <w:t>36</w:t>
      </w:r>
      <w:r w:rsidRPr="00474BEE">
        <w:rPr>
          <w:lang w:val="en-GB"/>
        </w:rPr>
        <w:fldChar w:fldCharType="end"/>
      </w:r>
      <w:r w:rsidRPr="00474BEE">
        <w:rPr>
          <w:lang w:val="bg-BG"/>
        </w:rPr>
        <w:t>.</w:t>
      </w:r>
      <w:r w:rsidRPr="00474BEE">
        <w:rPr>
          <w:lang w:val="en-GB"/>
        </w:rPr>
        <w:t>  </w:t>
      </w:r>
      <w:r w:rsidRPr="00474BEE">
        <w:rPr>
          <w:lang w:val="bg-BG"/>
        </w:rPr>
        <w:t>В решение от 9 юни 2008 г. (присъда № 58 от 09.06.2008 г. по н.</w:t>
      </w:r>
      <w:r w:rsidRPr="00474BEE">
        <w:rPr>
          <w:lang w:val="en-GB"/>
        </w:rPr>
        <w:t> </w:t>
      </w:r>
      <w:r w:rsidRPr="00474BEE">
        <w:rPr>
          <w:lang w:val="bg-BG"/>
        </w:rPr>
        <w:t xml:space="preserve">о. х. д. № 58/2007 г., ВС-София) Софийският военен съд разглежда, наред с другото, дали предполагаемите жертви на престъпление по чл. 287 са били редовно призовавани като свидетели, </w:t>
      </w:r>
      <w:r w:rsidR="003739B4" w:rsidRPr="00474BEE">
        <w:rPr>
          <w:lang w:val="bg-BG"/>
        </w:rPr>
        <w:t>за</w:t>
      </w:r>
      <w:r w:rsidRPr="00474BEE">
        <w:rPr>
          <w:lang w:val="bg-BG"/>
        </w:rPr>
        <w:t xml:space="preserve"> да определи д</w:t>
      </w:r>
      <w:r w:rsidR="00554C7A" w:rsidRPr="00474BEE">
        <w:rPr>
          <w:lang w:val="bg-BG"/>
        </w:rPr>
        <w:t xml:space="preserve">али малтретирането, на което </w:t>
      </w:r>
      <w:r w:rsidRPr="00474BEE">
        <w:rPr>
          <w:lang w:val="bg-BG"/>
        </w:rPr>
        <w:t>са били подложени от полицията, попада под тази разпоредба. По-късно, решението е отменено по други причини.</w:t>
      </w:r>
    </w:p>
    <w:p w:rsidR="004B7317" w:rsidRPr="00474BEE" w:rsidRDefault="004B7317" w:rsidP="004B7317">
      <w:pPr>
        <w:pStyle w:val="ECHRPara"/>
        <w:rPr>
          <w:lang w:val="bg-BG"/>
        </w:rPr>
      </w:pPr>
      <w:r w:rsidRPr="00474BEE">
        <w:rPr>
          <w:lang w:val="en-GB"/>
        </w:rPr>
        <w:fldChar w:fldCharType="begin"/>
      </w:r>
      <w:r w:rsidRPr="00474BEE">
        <w:rPr>
          <w:lang w:val="bg-BG"/>
        </w:rPr>
        <w:instrText xml:space="preserve"> </w:instrText>
      </w:r>
      <w:r w:rsidRPr="00474BEE">
        <w:rPr>
          <w:lang w:val="en-GB"/>
        </w:rPr>
        <w:instrText>SEQ</w:instrText>
      </w:r>
      <w:r w:rsidRPr="00474BEE">
        <w:rPr>
          <w:lang w:val="bg-BG"/>
        </w:rPr>
        <w:instrText xml:space="preserve"> </w:instrText>
      </w:r>
      <w:r w:rsidRPr="00474BEE">
        <w:rPr>
          <w:lang w:val="en-GB"/>
        </w:rPr>
        <w:instrText>level</w:instrText>
      </w:r>
      <w:r w:rsidRPr="00474BEE">
        <w:rPr>
          <w:lang w:val="bg-BG"/>
        </w:rPr>
        <w:instrText>0 \*</w:instrText>
      </w:r>
      <w:r w:rsidRPr="00474BEE">
        <w:rPr>
          <w:lang w:val="en-GB"/>
        </w:rPr>
        <w:instrText>arabic</w:instrText>
      </w:r>
      <w:r w:rsidRPr="00474BEE">
        <w:rPr>
          <w:lang w:val="bg-BG"/>
        </w:rPr>
        <w:instrText xml:space="preserve"> </w:instrText>
      </w:r>
      <w:r w:rsidRPr="00474BEE">
        <w:rPr>
          <w:lang w:val="en-GB"/>
        </w:rPr>
        <w:fldChar w:fldCharType="separate"/>
      </w:r>
      <w:r w:rsidRPr="00474BEE">
        <w:rPr>
          <w:noProof/>
          <w:lang w:val="bg-BG"/>
        </w:rPr>
        <w:t>37</w:t>
      </w:r>
      <w:r w:rsidRPr="00474BEE">
        <w:rPr>
          <w:lang w:val="en-GB"/>
        </w:rPr>
        <w:fldChar w:fldCharType="end"/>
      </w:r>
      <w:r w:rsidRPr="00474BEE">
        <w:rPr>
          <w:lang w:val="bg-BG"/>
        </w:rPr>
        <w:t>.</w:t>
      </w:r>
      <w:r w:rsidRPr="00474BEE">
        <w:rPr>
          <w:lang w:val="en-GB"/>
        </w:rPr>
        <w:t>  </w:t>
      </w:r>
      <w:r w:rsidRPr="00474BEE">
        <w:rPr>
          <w:lang w:val="bg-BG"/>
        </w:rPr>
        <w:t>В решение от 10 юли 2009 г. (</w:t>
      </w:r>
      <w:proofErr w:type="spellStart"/>
      <w:r w:rsidRPr="00474BEE">
        <w:rPr>
          <w:lang w:val="bg-BG"/>
        </w:rPr>
        <w:t>реш</w:t>
      </w:r>
      <w:proofErr w:type="spellEnd"/>
      <w:r w:rsidRPr="00474BEE">
        <w:rPr>
          <w:lang w:val="bg-BG"/>
        </w:rPr>
        <w:t>. № 334 от 10.07.2009 г. по н.</w:t>
      </w:r>
      <w:r w:rsidRPr="00474BEE">
        <w:rPr>
          <w:lang w:val="en-GB"/>
        </w:rPr>
        <w:t> </w:t>
      </w:r>
      <w:r w:rsidRPr="00474BEE">
        <w:rPr>
          <w:lang w:val="bg-BG"/>
        </w:rPr>
        <w:t xml:space="preserve">д. № 309/2009 г., ВКС, </w:t>
      </w:r>
      <w:r w:rsidRPr="00474BEE">
        <w:rPr>
          <w:lang w:val="en-GB"/>
        </w:rPr>
        <w:t>I</w:t>
      </w:r>
      <w:r w:rsidRPr="00474BEE">
        <w:rPr>
          <w:lang w:val="bg-BG"/>
        </w:rPr>
        <w:t xml:space="preserve"> н. о.) Върховният касационен съд </w:t>
      </w:r>
      <w:r w:rsidR="003739B4" w:rsidRPr="00474BEE">
        <w:rPr>
          <w:lang w:val="bg-BG"/>
        </w:rPr>
        <w:t>приема</w:t>
      </w:r>
      <w:r w:rsidRPr="00474BEE">
        <w:rPr>
          <w:lang w:val="bg-BG"/>
        </w:rPr>
        <w:t>, че всеки служител, а не само такъв, официално натоварен с извършване на разследване, може да извърши престъплението по чл. 287.</w:t>
      </w:r>
    </w:p>
    <w:p w:rsidR="004B7317" w:rsidRPr="00474BEE" w:rsidRDefault="004B7317" w:rsidP="004B7317">
      <w:pPr>
        <w:pStyle w:val="ECHRPara"/>
        <w:rPr>
          <w:lang w:val="bg-BG"/>
        </w:rPr>
      </w:pPr>
      <w:r w:rsidRPr="00474BEE">
        <w:rPr>
          <w:lang w:val="en-GB"/>
        </w:rPr>
        <w:lastRenderedPageBreak/>
        <w:fldChar w:fldCharType="begin"/>
      </w:r>
      <w:r w:rsidRPr="00474BEE">
        <w:rPr>
          <w:lang w:val="bg-BG"/>
        </w:rPr>
        <w:instrText xml:space="preserve"> </w:instrText>
      </w:r>
      <w:r w:rsidRPr="00474BEE">
        <w:rPr>
          <w:lang w:val="en-GB"/>
        </w:rPr>
        <w:instrText>SEQ</w:instrText>
      </w:r>
      <w:r w:rsidRPr="00474BEE">
        <w:rPr>
          <w:lang w:val="bg-BG"/>
        </w:rPr>
        <w:instrText xml:space="preserve"> </w:instrText>
      </w:r>
      <w:r w:rsidRPr="00474BEE">
        <w:rPr>
          <w:lang w:val="en-GB"/>
        </w:rPr>
        <w:instrText>level</w:instrText>
      </w:r>
      <w:r w:rsidRPr="00474BEE">
        <w:rPr>
          <w:lang w:val="bg-BG"/>
        </w:rPr>
        <w:instrText>0 \*</w:instrText>
      </w:r>
      <w:r w:rsidRPr="00474BEE">
        <w:rPr>
          <w:lang w:val="en-GB"/>
        </w:rPr>
        <w:instrText>arabic</w:instrText>
      </w:r>
      <w:r w:rsidRPr="00474BEE">
        <w:rPr>
          <w:lang w:val="bg-BG"/>
        </w:rPr>
        <w:instrText xml:space="preserve"> </w:instrText>
      </w:r>
      <w:r w:rsidRPr="00474BEE">
        <w:rPr>
          <w:lang w:val="en-GB"/>
        </w:rPr>
        <w:fldChar w:fldCharType="separate"/>
      </w:r>
      <w:r w:rsidRPr="00474BEE">
        <w:rPr>
          <w:noProof/>
          <w:lang w:val="bg-BG"/>
        </w:rPr>
        <w:t>38</w:t>
      </w:r>
      <w:r w:rsidRPr="00474BEE">
        <w:rPr>
          <w:lang w:val="en-GB"/>
        </w:rPr>
        <w:fldChar w:fldCharType="end"/>
      </w:r>
      <w:r w:rsidRPr="00474BEE">
        <w:rPr>
          <w:lang w:val="bg-BG"/>
        </w:rPr>
        <w:t>.</w:t>
      </w:r>
      <w:r w:rsidRPr="00474BEE">
        <w:rPr>
          <w:lang w:val="en-GB"/>
        </w:rPr>
        <w:t>  </w:t>
      </w:r>
      <w:r w:rsidRPr="00474BEE">
        <w:rPr>
          <w:lang w:val="bg-BG"/>
        </w:rPr>
        <w:t>В решение от 11 юли 2013 г. (</w:t>
      </w:r>
      <w:proofErr w:type="spellStart"/>
      <w:r w:rsidRPr="00474BEE">
        <w:rPr>
          <w:lang w:val="bg-BG"/>
        </w:rPr>
        <w:t>реш</w:t>
      </w:r>
      <w:proofErr w:type="spellEnd"/>
      <w:r w:rsidRPr="00474BEE">
        <w:rPr>
          <w:lang w:val="bg-BG"/>
        </w:rPr>
        <w:t>. № 280 от 11.07.2013 г. по н.</w:t>
      </w:r>
      <w:r w:rsidRPr="00474BEE">
        <w:rPr>
          <w:lang w:val="en-GB"/>
        </w:rPr>
        <w:t> </w:t>
      </w:r>
      <w:r w:rsidRPr="00474BEE">
        <w:rPr>
          <w:lang w:val="bg-BG"/>
        </w:rPr>
        <w:t xml:space="preserve">д. № 865/2013 г., ВКС </w:t>
      </w:r>
      <w:r w:rsidRPr="00474BEE">
        <w:rPr>
          <w:lang w:val="en-GB"/>
        </w:rPr>
        <w:t>I</w:t>
      </w:r>
      <w:r w:rsidRPr="00474BEE">
        <w:rPr>
          <w:lang w:val="bg-BG"/>
        </w:rPr>
        <w:t xml:space="preserve"> н. о.) Върховният касационен съд, без сп</w:t>
      </w:r>
      <w:r w:rsidR="00DB324A" w:rsidRPr="00474BEE">
        <w:rPr>
          <w:lang w:val="bg-BG"/>
        </w:rPr>
        <w:t>ециално да се занимава с този въпрос</w:t>
      </w:r>
      <w:r w:rsidRPr="00474BEE">
        <w:rPr>
          <w:lang w:val="bg-BG"/>
        </w:rPr>
        <w:t>, изглежда изхожда от предположението, че престъпление по чл. 287 може да бъде извършено само по отношение на лице, участващо във вече образувани наказателни производства.</w:t>
      </w:r>
    </w:p>
    <w:p w:rsidR="004F6248" w:rsidRPr="00474BEE" w:rsidRDefault="004B7317" w:rsidP="00554C7A">
      <w:pPr>
        <w:pStyle w:val="ECHRPara"/>
        <w:rPr>
          <w:lang w:val="bg-BG"/>
        </w:rPr>
      </w:pPr>
      <w:r w:rsidRPr="00474BEE">
        <w:rPr>
          <w:lang w:val="en-GB"/>
        </w:rPr>
        <w:fldChar w:fldCharType="begin"/>
      </w:r>
      <w:r w:rsidRPr="00474BEE">
        <w:rPr>
          <w:lang w:val="bg-BG"/>
        </w:rPr>
        <w:instrText xml:space="preserve"> </w:instrText>
      </w:r>
      <w:r w:rsidRPr="00474BEE">
        <w:rPr>
          <w:lang w:val="en-GB"/>
        </w:rPr>
        <w:instrText>SEQ</w:instrText>
      </w:r>
      <w:r w:rsidRPr="00474BEE">
        <w:rPr>
          <w:lang w:val="bg-BG"/>
        </w:rPr>
        <w:instrText xml:space="preserve"> </w:instrText>
      </w:r>
      <w:r w:rsidRPr="00474BEE">
        <w:rPr>
          <w:lang w:val="en-GB"/>
        </w:rPr>
        <w:instrText>level</w:instrText>
      </w:r>
      <w:r w:rsidRPr="00474BEE">
        <w:rPr>
          <w:lang w:val="bg-BG"/>
        </w:rPr>
        <w:instrText>0 \*</w:instrText>
      </w:r>
      <w:r w:rsidRPr="00474BEE">
        <w:rPr>
          <w:lang w:val="en-GB"/>
        </w:rPr>
        <w:instrText>arabic</w:instrText>
      </w:r>
      <w:r w:rsidRPr="00474BEE">
        <w:rPr>
          <w:lang w:val="bg-BG"/>
        </w:rPr>
        <w:instrText xml:space="preserve"> </w:instrText>
      </w:r>
      <w:r w:rsidRPr="00474BEE">
        <w:rPr>
          <w:lang w:val="en-GB"/>
        </w:rPr>
        <w:fldChar w:fldCharType="separate"/>
      </w:r>
      <w:r w:rsidRPr="00474BEE">
        <w:rPr>
          <w:noProof/>
          <w:lang w:val="bg-BG"/>
        </w:rPr>
        <w:t>39</w:t>
      </w:r>
      <w:r w:rsidRPr="00474BEE">
        <w:rPr>
          <w:lang w:val="en-GB"/>
        </w:rPr>
        <w:fldChar w:fldCharType="end"/>
      </w:r>
      <w:r w:rsidRPr="00474BEE">
        <w:rPr>
          <w:lang w:val="bg-BG"/>
        </w:rPr>
        <w:t>.</w:t>
      </w:r>
      <w:r w:rsidRPr="00474BEE">
        <w:rPr>
          <w:lang w:val="en-GB"/>
        </w:rPr>
        <w:t>  </w:t>
      </w:r>
      <w:r w:rsidR="00FB3C1D" w:rsidRPr="00474BEE">
        <w:rPr>
          <w:lang w:val="bg-BG"/>
        </w:rPr>
        <w:t>В неотдавнашно</w:t>
      </w:r>
      <w:r w:rsidRPr="00474BEE">
        <w:rPr>
          <w:lang w:val="bg-BG"/>
        </w:rPr>
        <w:t xml:space="preserve"> дело по същата разпоредба, в което полицейски служител слага белезници на човек, обвинен в убийство, докато го разпитва, а след това два пъти го рита и многокр</w:t>
      </w:r>
      <w:r w:rsidR="00DB324A" w:rsidRPr="00474BEE">
        <w:rPr>
          <w:lang w:val="bg-BG"/>
        </w:rPr>
        <w:t xml:space="preserve">атно използва </w:t>
      </w:r>
      <w:proofErr w:type="spellStart"/>
      <w:r w:rsidR="00DB324A" w:rsidRPr="00474BEE">
        <w:rPr>
          <w:lang w:val="bg-BG"/>
        </w:rPr>
        <w:t>електро</w:t>
      </w:r>
      <w:r w:rsidRPr="00474BEE">
        <w:rPr>
          <w:lang w:val="bg-BG"/>
        </w:rPr>
        <w:t>шок</w:t>
      </w:r>
      <w:r w:rsidR="00DB324A" w:rsidRPr="00474BEE">
        <w:rPr>
          <w:lang w:val="bg-BG"/>
        </w:rPr>
        <w:t>ова</w:t>
      </w:r>
      <w:proofErr w:type="spellEnd"/>
      <w:r w:rsidR="00DB324A" w:rsidRPr="00474BEE">
        <w:rPr>
          <w:lang w:val="bg-BG"/>
        </w:rPr>
        <w:t xml:space="preserve"> палка</w:t>
      </w:r>
      <w:r w:rsidR="00554C7A" w:rsidRPr="00474BEE">
        <w:rPr>
          <w:lang w:val="bg-BG"/>
        </w:rPr>
        <w:t xml:space="preserve"> срещу него, с цел да изтръгне</w:t>
      </w:r>
      <w:r w:rsidRPr="00474BEE">
        <w:rPr>
          <w:lang w:val="bg-BG"/>
        </w:rPr>
        <w:t xml:space="preserve"> признание, Върховният касационен съд постановява, наред с другото, че разликата между телесна повреда и престъплението, по смисъла на чл. 287, е, че това престъпле</w:t>
      </w:r>
      <w:r w:rsidR="00DB324A" w:rsidRPr="00474BEE">
        <w:rPr>
          <w:lang w:val="bg-BG"/>
        </w:rPr>
        <w:t>ние включва също и</w:t>
      </w:r>
      <w:r w:rsidRPr="00474BEE">
        <w:rPr>
          <w:lang w:val="bg-BG"/>
        </w:rPr>
        <w:t xml:space="preserve"> незаконно </w:t>
      </w:r>
      <w:r w:rsidR="00554C7A" w:rsidRPr="00474BEE">
        <w:rPr>
          <w:lang w:val="bg-BG"/>
        </w:rPr>
        <w:t>влияние върху</w:t>
      </w:r>
      <w:r w:rsidRPr="00474BEE">
        <w:rPr>
          <w:lang w:val="bg-BG"/>
        </w:rPr>
        <w:t xml:space="preserve"> волята на же</w:t>
      </w:r>
      <w:r w:rsidR="00DB324A" w:rsidRPr="00474BEE">
        <w:rPr>
          <w:lang w:val="bg-BG"/>
        </w:rPr>
        <w:t xml:space="preserve">ртвата. Съдът също така потвърждава условната присъда </w:t>
      </w:r>
      <w:r w:rsidR="0036709B" w:rsidRPr="00474BEE">
        <w:rPr>
          <w:lang w:val="bg-BG"/>
        </w:rPr>
        <w:t xml:space="preserve">за </w:t>
      </w:r>
      <w:r w:rsidRPr="00474BEE">
        <w:rPr>
          <w:lang w:val="bg-BG"/>
        </w:rPr>
        <w:t xml:space="preserve">лишаване от свобода за осемнадесет месеца (под законно установения минимум), наложена от </w:t>
      </w:r>
      <w:r w:rsidR="00186EBC" w:rsidRPr="00474BEE">
        <w:rPr>
          <w:lang w:val="bg-BG"/>
        </w:rPr>
        <w:t>низшестоящите</w:t>
      </w:r>
      <w:r w:rsidRPr="00474BEE">
        <w:rPr>
          <w:lang w:val="bg-BG"/>
        </w:rPr>
        <w:t xml:space="preserve"> съдилища, приемайки, че тъй като </w:t>
      </w:r>
      <w:r w:rsidR="0036709B" w:rsidRPr="00474BEE">
        <w:rPr>
          <w:lang w:val="bg-BG"/>
        </w:rPr>
        <w:t xml:space="preserve">са </w:t>
      </w:r>
      <w:r w:rsidRPr="00474BEE">
        <w:rPr>
          <w:lang w:val="bg-BG"/>
        </w:rPr>
        <w:t>налице много смекчаващи фактори в полза на служителя, като например чисто криминално минало, добра характеристика и добър професионален профил, условната присъда е достатъчна за цели</w:t>
      </w:r>
      <w:r w:rsidR="00DB324A" w:rsidRPr="00474BEE">
        <w:rPr>
          <w:lang w:val="bg-BG"/>
        </w:rPr>
        <w:t xml:space="preserve">те на възпиране. </w:t>
      </w:r>
      <w:r w:rsidRPr="00474BEE">
        <w:rPr>
          <w:lang w:val="bg-BG"/>
        </w:rPr>
        <w:t>Високата степен на опасност</w:t>
      </w:r>
      <w:r w:rsidR="002B7D27" w:rsidRPr="00474BEE">
        <w:rPr>
          <w:lang w:val="bg-BG"/>
        </w:rPr>
        <w:t xml:space="preserve"> </w:t>
      </w:r>
      <w:r w:rsidRPr="00474BEE">
        <w:rPr>
          <w:lang w:val="bg-BG"/>
        </w:rPr>
        <w:t>на престъпления по чл. 287 е ясна, но поста</w:t>
      </w:r>
      <w:r w:rsidR="00186EBC" w:rsidRPr="00474BEE">
        <w:rPr>
          <w:lang w:val="bg-BG"/>
        </w:rPr>
        <w:t>но</w:t>
      </w:r>
      <w:r w:rsidRPr="00474BEE">
        <w:rPr>
          <w:lang w:val="bg-BG"/>
        </w:rPr>
        <w:t>вя</w:t>
      </w:r>
      <w:r w:rsidR="00186EBC" w:rsidRPr="00474BEE">
        <w:rPr>
          <w:lang w:val="bg-BG"/>
        </w:rPr>
        <w:t>ва</w:t>
      </w:r>
      <w:r w:rsidRPr="00474BEE">
        <w:rPr>
          <w:lang w:val="bg-BG"/>
        </w:rPr>
        <w:t xml:space="preserve">щият присъдата съд е длъжен да балансира </w:t>
      </w:r>
      <w:r w:rsidR="00451237" w:rsidRPr="00474BEE">
        <w:rPr>
          <w:lang w:val="bg-BG"/>
        </w:rPr>
        <w:t xml:space="preserve">това </w:t>
      </w:r>
      <w:r w:rsidRPr="00474BEE">
        <w:rPr>
          <w:lang w:val="bg-BG"/>
        </w:rPr>
        <w:t>с характеристиките на конкретния извършител. Ако е надлежно установено, че престъплението е било еднократно и  не показва трайна тенде</w:t>
      </w:r>
      <w:r w:rsidR="00554C7A" w:rsidRPr="00474BEE">
        <w:rPr>
          <w:lang w:val="bg-BG"/>
        </w:rPr>
        <w:t>нция в работата на служител</w:t>
      </w:r>
      <w:r w:rsidR="00B65879" w:rsidRPr="00474BEE">
        <w:rPr>
          <w:lang w:val="bg-BG"/>
        </w:rPr>
        <w:t>я</w:t>
      </w:r>
      <w:r w:rsidR="00554C7A" w:rsidRPr="00474BEE">
        <w:rPr>
          <w:lang w:val="bg-BG"/>
        </w:rPr>
        <w:t>, съдът не може да увеличи присъдата или да откаже да я спре, позовавайки се единствено на съображения във връзка с общо възпиране</w:t>
      </w:r>
      <w:r w:rsidRPr="00474BEE">
        <w:rPr>
          <w:lang w:val="bg-BG"/>
        </w:rPr>
        <w:t xml:space="preserve">. </w:t>
      </w:r>
      <w:r w:rsidR="00D83CAD" w:rsidRPr="00474BEE">
        <w:rPr>
          <w:lang w:val="bg-BG"/>
        </w:rPr>
        <w:t>При разглеждане на</w:t>
      </w:r>
      <w:r w:rsidRPr="00474BEE">
        <w:rPr>
          <w:lang w:val="bg-BG"/>
        </w:rPr>
        <w:t xml:space="preserve"> иска на пострадалия за </w:t>
      </w:r>
      <w:r w:rsidR="00D83CAD" w:rsidRPr="00474BEE">
        <w:rPr>
          <w:lang w:val="bg-BG"/>
        </w:rPr>
        <w:t xml:space="preserve">претърпени </w:t>
      </w:r>
      <w:r w:rsidRPr="00474BEE">
        <w:rPr>
          <w:lang w:val="bg-BG"/>
        </w:rPr>
        <w:t>вреди съдът намира, че малтретирането, на което е бил подложен, му е причинило не само психическа болка, но и страх и безпомощност, значително подсиле</w:t>
      </w:r>
      <w:r w:rsidR="00D83CAD" w:rsidRPr="00474BEE">
        <w:rPr>
          <w:lang w:val="bg-BG"/>
        </w:rPr>
        <w:t xml:space="preserve">ни и от използването на </w:t>
      </w:r>
      <w:proofErr w:type="spellStart"/>
      <w:r w:rsidR="00D83CAD" w:rsidRPr="00474BEE">
        <w:rPr>
          <w:lang w:val="bg-BG"/>
        </w:rPr>
        <w:t>електрошокова</w:t>
      </w:r>
      <w:proofErr w:type="spellEnd"/>
      <w:r w:rsidR="00D83CAD" w:rsidRPr="00474BEE">
        <w:rPr>
          <w:lang w:val="bg-BG"/>
        </w:rPr>
        <w:t xml:space="preserve"> палка. При тези обстоятелства и </w:t>
      </w:r>
      <w:r w:rsidRPr="00474BEE">
        <w:rPr>
          <w:lang w:val="bg-BG"/>
        </w:rPr>
        <w:t xml:space="preserve">като се има предвид, че малтретирането е </w:t>
      </w:r>
      <w:r w:rsidR="00B65879" w:rsidRPr="00474BEE">
        <w:rPr>
          <w:lang w:val="bg-BG"/>
        </w:rPr>
        <w:t xml:space="preserve">сломило </w:t>
      </w:r>
      <w:r w:rsidRPr="00474BEE">
        <w:rPr>
          <w:lang w:val="bg-BG"/>
        </w:rPr>
        <w:t xml:space="preserve">неговата воля и го е подтикнало към признание, не </w:t>
      </w:r>
      <w:r w:rsidR="004F3EDE" w:rsidRPr="00474BEE">
        <w:rPr>
          <w:lang w:val="bg-BG"/>
        </w:rPr>
        <w:t xml:space="preserve">е </w:t>
      </w:r>
      <w:r w:rsidRPr="00474BEE">
        <w:rPr>
          <w:lang w:val="bg-BG"/>
        </w:rPr>
        <w:t xml:space="preserve">преувеличено да се каже, че то може да </w:t>
      </w:r>
      <w:r w:rsidR="004F3EDE" w:rsidRPr="00474BEE">
        <w:rPr>
          <w:lang w:val="bg-BG"/>
        </w:rPr>
        <w:t xml:space="preserve">се </w:t>
      </w:r>
      <w:r w:rsidRPr="00474BEE">
        <w:rPr>
          <w:lang w:val="bg-BG"/>
        </w:rPr>
        <w:t>определ</w:t>
      </w:r>
      <w:r w:rsidR="004F3EDE" w:rsidRPr="00474BEE">
        <w:rPr>
          <w:lang w:val="bg-BG"/>
        </w:rPr>
        <w:t>и</w:t>
      </w:r>
      <w:r w:rsidRPr="00474BEE">
        <w:rPr>
          <w:lang w:val="bg-BG"/>
        </w:rPr>
        <w:t xml:space="preserve"> като изтезание (виж </w:t>
      </w:r>
      <w:proofErr w:type="spellStart"/>
      <w:r w:rsidRPr="00474BEE">
        <w:rPr>
          <w:lang w:val="bg-BG"/>
        </w:rPr>
        <w:t>реш</w:t>
      </w:r>
      <w:proofErr w:type="spellEnd"/>
      <w:r w:rsidRPr="00474BEE">
        <w:rPr>
          <w:lang w:val="bg-BG"/>
        </w:rPr>
        <w:t xml:space="preserve">. </w:t>
      </w:r>
      <w:r w:rsidRPr="00474BEE">
        <w:rPr>
          <w:lang w:val="ru-RU"/>
        </w:rPr>
        <w:t>№ 150 от 15.09.2014 г. по н. д. № 344/ 2014</w:t>
      </w:r>
      <w:r w:rsidRPr="00474BEE">
        <w:rPr>
          <w:lang w:val="fr-FR"/>
        </w:rPr>
        <w:t> </w:t>
      </w:r>
      <w:r w:rsidRPr="00474BEE">
        <w:rPr>
          <w:lang w:val="ru-RU"/>
        </w:rPr>
        <w:t xml:space="preserve">г., ВКС, </w:t>
      </w:r>
      <w:r w:rsidRPr="00474BEE">
        <w:rPr>
          <w:lang w:val="fr-FR"/>
        </w:rPr>
        <w:t>II</w:t>
      </w:r>
      <w:r w:rsidRPr="00474BEE">
        <w:rPr>
          <w:lang w:val="ru-RU"/>
        </w:rPr>
        <w:t xml:space="preserve"> н. о.</w:t>
      </w:r>
      <w:r w:rsidR="003122F9" w:rsidRPr="00474BEE">
        <w:rPr>
          <w:lang w:val="ru-RU"/>
        </w:rPr>
        <w:t>)</w:t>
      </w:r>
      <w:r w:rsidR="00EF7270" w:rsidRPr="00474BEE">
        <w:rPr>
          <w:lang w:val="ru-RU"/>
        </w:rPr>
        <w:t>.</w:t>
      </w:r>
    </w:p>
    <w:p w:rsidR="00C04369" w:rsidRPr="00474BEE" w:rsidRDefault="00487245" w:rsidP="00550343">
      <w:pPr>
        <w:pStyle w:val="ECHRHeading3"/>
        <w:outlineLvl w:val="3"/>
        <w:rPr>
          <w:lang w:val="bg-BG"/>
        </w:rPr>
      </w:pPr>
      <w:r w:rsidRPr="00474BEE">
        <w:rPr>
          <w:lang w:val="bg-BG"/>
        </w:rPr>
        <w:t>5</w:t>
      </w:r>
      <w:r w:rsidR="00C04369" w:rsidRPr="00474BEE">
        <w:rPr>
          <w:lang w:val="bg-BG"/>
        </w:rPr>
        <w:t>.</w:t>
      </w:r>
      <w:r w:rsidR="004B7317" w:rsidRPr="00474BEE">
        <w:rPr>
          <w:lang w:val="bg-BG"/>
        </w:rPr>
        <w:t>  Изтезание</w:t>
      </w:r>
    </w:p>
    <w:p w:rsidR="00031642" w:rsidRPr="00474BEE" w:rsidRDefault="00D16EB7" w:rsidP="00550343">
      <w:pPr>
        <w:pStyle w:val="ECHRPara"/>
        <w:rPr>
          <w:lang w:val="bg-BG"/>
        </w:rPr>
      </w:pPr>
      <w:r w:rsidRPr="00474BEE">
        <w:rPr>
          <w:lang w:val="bg-BG"/>
        </w:rPr>
        <w:fldChar w:fldCharType="begin"/>
      </w:r>
      <w:r w:rsidR="00C04369" w:rsidRPr="00474BEE">
        <w:rPr>
          <w:lang w:val="bg-BG"/>
        </w:rPr>
        <w:instrText xml:space="preserve"> SEQ level0 \*arabic </w:instrText>
      </w:r>
      <w:r w:rsidRPr="00474BEE">
        <w:rPr>
          <w:lang w:val="bg-BG"/>
        </w:rPr>
        <w:fldChar w:fldCharType="separate"/>
      </w:r>
      <w:r w:rsidR="00550343" w:rsidRPr="00474BEE">
        <w:rPr>
          <w:noProof/>
          <w:lang w:val="bg-BG"/>
        </w:rPr>
        <w:t>40</w:t>
      </w:r>
      <w:r w:rsidRPr="00474BEE">
        <w:rPr>
          <w:lang w:val="bg-BG"/>
        </w:rPr>
        <w:fldChar w:fldCharType="end"/>
      </w:r>
      <w:r w:rsidR="00C04369" w:rsidRPr="00474BEE">
        <w:rPr>
          <w:lang w:val="bg-BG"/>
        </w:rPr>
        <w:t>.  </w:t>
      </w:r>
      <w:r w:rsidR="004B7317" w:rsidRPr="00474BEE">
        <w:rPr>
          <w:lang w:val="bg-BG"/>
        </w:rPr>
        <w:t xml:space="preserve">В българското наказателно право </w:t>
      </w:r>
      <w:r w:rsidR="00554C7A" w:rsidRPr="00474BEE">
        <w:rPr>
          <w:lang w:val="bg-BG"/>
        </w:rPr>
        <w:t>не съществува отделно дефинирано</w:t>
      </w:r>
      <w:r w:rsidR="004B7317" w:rsidRPr="00474BEE">
        <w:rPr>
          <w:lang w:val="bg-BG"/>
        </w:rPr>
        <w:t xml:space="preserve"> пре</w:t>
      </w:r>
      <w:r w:rsidR="00554C7A" w:rsidRPr="00474BEE">
        <w:rPr>
          <w:lang w:val="bg-BG"/>
        </w:rPr>
        <w:t xml:space="preserve">стъпление </w:t>
      </w:r>
      <w:r w:rsidR="00D83CAD" w:rsidRPr="00474BEE">
        <w:rPr>
          <w:lang w:val="bg-BG"/>
        </w:rPr>
        <w:t>изтезание. Проектозакон за</w:t>
      </w:r>
      <w:r w:rsidR="004B7317" w:rsidRPr="00474BEE">
        <w:rPr>
          <w:lang w:val="bg-BG"/>
        </w:rPr>
        <w:t xml:space="preserve"> нов Наказателен кодекс, предложен от Правителството пред </w:t>
      </w:r>
      <w:r w:rsidR="00186EBC" w:rsidRPr="00474BEE">
        <w:rPr>
          <w:lang w:val="bg-BG"/>
        </w:rPr>
        <w:t xml:space="preserve">парламента </w:t>
      </w:r>
      <w:r w:rsidR="004B7317" w:rsidRPr="00474BEE">
        <w:rPr>
          <w:lang w:val="bg-BG"/>
        </w:rPr>
        <w:t xml:space="preserve">на 31 </w:t>
      </w:r>
      <w:r w:rsidR="00554C7A" w:rsidRPr="00474BEE">
        <w:rPr>
          <w:lang w:val="bg-BG"/>
        </w:rPr>
        <w:t>януари 2014 г., но така и не</w:t>
      </w:r>
      <w:r w:rsidR="00D83CAD" w:rsidRPr="00474BEE">
        <w:rPr>
          <w:lang w:val="bg-BG"/>
        </w:rPr>
        <w:t>раз</w:t>
      </w:r>
      <w:r w:rsidR="004B7317" w:rsidRPr="00474BEE">
        <w:rPr>
          <w:lang w:val="bg-BG"/>
        </w:rPr>
        <w:t xml:space="preserve">гледан, </w:t>
      </w:r>
      <w:r w:rsidR="009B2AC0" w:rsidRPr="00474BEE">
        <w:rPr>
          <w:lang w:val="bg-BG"/>
        </w:rPr>
        <w:t xml:space="preserve">предвижда </w:t>
      </w:r>
      <w:r w:rsidR="004B7317" w:rsidRPr="00474BEE">
        <w:rPr>
          <w:lang w:val="bg-BG"/>
        </w:rPr>
        <w:t>такова престъп</w:t>
      </w:r>
      <w:r w:rsidR="00D83CAD" w:rsidRPr="00474BEE">
        <w:rPr>
          <w:lang w:val="bg-BG"/>
        </w:rPr>
        <w:t>ление в своя чл. 589, включен</w:t>
      </w:r>
      <w:r w:rsidR="004B7317" w:rsidRPr="00474BEE">
        <w:rPr>
          <w:lang w:val="bg-BG"/>
        </w:rPr>
        <w:t xml:space="preserve"> в раздела, занимаващ се с престъпления срещу човечеството. </w:t>
      </w:r>
      <w:r w:rsidR="00D83CAD" w:rsidRPr="00474BEE">
        <w:rPr>
          <w:lang w:val="bg-BG"/>
        </w:rPr>
        <w:t>Р</w:t>
      </w:r>
      <w:r w:rsidR="004B7317" w:rsidRPr="00474BEE">
        <w:rPr>
          <w:lang w:val="bg-BG"/>
        </w:rPr>
        <w:t>азпоредба</w:t>
      </w:r>
      <w:r w:rsidR="00D83CAD" w:rsidRPr="00474BEE">
        <w:rPr>
          <w:lang w:val="bg-BG"/>
        </w:rPr>
        <w:t>та в проектозакона</w:t>
      </w:r>
      <w:r w:rsidR="004B7317" w:rsidRPr="00474BEE">
        <w:rPr>
          <w:lang w:val="bg-BG"/>
        </w:rPr>
        <w:t xml:space="preserve"> гласи</w:t>
      </w:r>
      <w:r w:rsidR="00615F63" w:rsidRPr="00474BEE">
        <w:rPr>
          <w:lang w:val="bg-BG"/>
        </w:rPr>
        <w:t>:</w:t>
      </w:r>
    </w:p>
    <w:p w:rsidR="004B7317" w:rsidRPr="00474BEE" w:rsidRDefault="00D83CAD" w:rsidP="004B7317">
      <w:pPr>
        <w:pStyle w:val="ECHRParaQuote"/>
        <w:rPr>
          <w:lang w:val="bg-BG"/>
        </w:rPr>
      </w:pPr>
      <w:r w:rsidRPr="00474BEE">
        <w:rPr>
          <w:lang w:val="bg-BG"/>
        </w:rPr>
        <w:t>„</w:t>
      </w:r>
      <w:r w:rsidR="00140AF5" w:rsidRPr="00474BEE">
        <w:rPr>
          <w:lang w:val="bg-BG"/>
        </w:rPr>
        <w:t>1. </w:t>
      </w:r>
      <w:r w:rsidR="004B7317" w:rsidRPr="00474BEE">
        <w:rPr>
          <w:lang w:val="bg-BG"/>
        </w:rPr>
        <w:t xml:space="preserve">Лице, което, в нарушение на международен договор в сила по отношение на Република България, причини на друго лице болка или физическо или психическо страдание, с цел получаване от него или от трето лице </w:t>
      </w:r>
      <w:r w:rsidR="00042A38" w:rsidRPr="00474BEE">
        <w:rPr>
          <w:lang w:val="bg-BG"/>
        </w:rPr>
        <w:t xml:space="preserve">на </w:t>
      </w:r>
      <w:r w:rsidR="004B7317" w:rsidRPr="00474BEE">
        <w:rPr>
          <w:lang w:val="bg-BG"/>
        </w:rPr>
        <w:t xml:space="preserve">сведения или признание, </w:t>
      </w:r>
      <w:r w:rsidR="004B7317" w:rsidRPr="00474BEE">
        <w:rPr>
          <w:lang w:val="bg-BG"/>
        </w:rPr>
        <w:lastRenderedPageBreak/>
        <w:t>наказва го за деяние, което то или трето лице е или се подозира, че е извършило,</w:t>
      </w:r>
      <w:r w:rsidRPr="00474BEE">
        <w:rPr>
          <w:lang w:val="bg-BG"/>
        </w:rPr>
        <w:t xml:space="preserve"> или сплашва или принуждава това лице</w:t>
      </w:r>
      <w:r w:rsidR="004B7317" w:rsidRPr="00474BEE">
        <w:rPr>
          <w:lang w:val="bg-BG"/>
        </w:rPr>
        <w:t xml:space="preserve"> или трето лице, се наказва с три до осем години лишаване от свобода. </w:t>
      </w:r>
    </w:p>
    <w:p w:rsidR="004B7317" w:rsidRPr="00474BEE" w:rsidRDefault="004B7317" w:rsidP="004B7317">
      <w:pPr>
        <w:pStyle w:val="ECHRParaQuote"/>
        <w:rPr>
          <w:lang w:val="bg-BG"/>
        </w:rPr>
      </w:pPr>
      <w:r w:rsidRPr="00474BEE">
        <w:rPr>
          <w:lang w:val="bg-BG"/>
        </w:rPr>
        <w:t xml:space="preserve">2.  Ако престъплението, съгласно параграф 1: </w:t>
      </w:r>
    </w:p>
    <w:p w:rsidR="004B7317" w:rsidRPr="00474BEE" w:rsidRDefault="004B7317" w:rsidP="004B7317">
      <w:pPr>
        <w:pStyle w:val="JuQuotSub"/>
        <w:rPr>
          <w:lang w:val="bg-BG"/>
        </w:rPr>
      </w:pPr>
      <w:r w:rsidRPr="00474BEE">
        <w:rPr>
          <w:lang w:val="bg-BG"/>
        </w:rPr>
        <w:t xml:space="preserve">(1)  е извършено от длъжностно лице в хода на или във връзка с изпълняване на неговата служба или функции;  </w:t>
      </w:r>
    </w:p>
    <w:p w:rsidR="004B7317" w:rsidRPr="00474BEE" w:rsidRDefault="004B7317" w:rsidP="004B7317">
      <w:pPr>
        <w:pStyle w:val="JuQuotSub"/>
        <w:rPr>
          <w:lang w:val="bg-BG"/>
        </w:rPr>
      </w:pPr>
      <w:r w:rsidRPr="00474BEE">
        <w:rPr>
          <w:lang w:val="bg-BG"/>
        </w:rPr>
        <w:t>(2)  е извършено с явното или мълчаливо съгласие на длъжностното лице, в хода на или във връзка с изпълняване на неговата служба или функции;</w:t>
      </w:r>
    </w:p>
    <w:p w:rsidR="004B7317" w:rsidRPr="00474BEE" w:rsidRDefault="004B7317" w:rsidP="004B7317">
      <w:pPr>
        <w:pStyle w:val="JuQuotSub"/>
        <w:rPr>
          <w:lang w:val="bg-BG"/>
        </w:rPr>
      </w:pPr>
      <w:r w:rsidRPr="00474BEE">
        <w:rPr>
          <w:lang w:val="bg-BG"/>
        </w:rPr>
        <w:t>(3)  е довело до средна телесна повреда; или  </w:t>
      </w:r>
    </w:p>
    <w:p w:rsidR="004B7317" w:rsidRPr="00474BEE" w:rsidRDefault="004B7317" w:rsidP="004B7317">
      <w:pPr>
        <w:pStyle w:val="JuQuotSub"/>
        <w:rPr>
          <w:lang w:val="bg-BG"/>
        </w:rPr>
      </w:pPr>
      <w:r w:rsidRPr="00474BEE">
        <w:rPr>
          <w:lang w:val="bg-BG"/>
        </w:rPr>
        <w:t>(4)  </w:t>
      </w:r>
      <w:r w:rsidR="00727577" w:rsidRPr="00474BEE">
        <w:rPr>
          <w:lang w:val="bg-BG"/>
        </w:rPr>
        <w:t>е извършено във връзка със</w:t>
      </w:r>
      <w:r w:rsidRPr="00474BEE">
        <w:rPr>
          <w:lang w:val="bg-BG"/>
        </w:rPr>
        <w:t xml:space="preserve"> защитена характеристика [определена</w:t>
      </w:r>
      <w:r w:rsidR="00727577" w:rsidRPr="00474BEE">
        <w:rPr>
          <w:lang w:val="bg-BG"/>
        </w:rPr>
        <w:t xml:space="preserve"> в параграф 1 (22) от проектозакона </w:t>
      </w:r>
      <w:r w:rsidR="00C76187" w:rsidRPr="00474BEE">
        <w:rPr>
          <w:lang w:val="bg-BG"/>
        </w:rPr>
        <w:t xml:space="preserve">за </w:t>
      </w:r>
      <w:r w:rsidRPr="00474BEE">
        <w:rPr>
          <w:lang w:val="bg-BG"/>
        </w:rPr>
        <w:t>кодекс</w:t>
      </w:r>
      <w:r w:rsidR="00727577" w:rsidRPr="00474BEE">
        <w:rPr>
          <w:lang w:val="bg-BG"/>
        </w:rPr>
        <w:t>а</w:t>
      </w:r>
      <w:r w:rsidRPr="00474BEE">
        <w:rPr>
          <w:lang w:val="bg-BG"/>
        </w:rPr>
        <w:t xml:space="preserve"> като раса, цвят на кожата, националност, етническа принадлежност, произход, религия, вяра, здравословно състояние, възраст, пол или сексуална ориентация] на жертвата,   </w:t>
      </w:r>
    </w:p>
    <w:p w:rsidR="004B7317" w:rsidRPr="00474BEE" w:rsidRDefault="00727577" w:rsidP="004B7317">
      <w:pPr>
        <w:pStyle w:val="ECHRParaQuote"/>
        <w:rPr>
          <w:lang w:val="bg-BG"/>
        </w:rPr>
      </w:pPr>
      <w:r w:rsidRPr="00474BEE">
        <w:rPr>
          <w:lang w:val="bg-BG"/>
        </w:rPr>
        <w:t>н</w:t>
      </w:r>
      <w:r w:rsidR="004B7317" w:rsidRPr="00474BEE">
        <w:rPr>
          <w:lang w:val="bg-BG"/>
        </w:rPr>
        <w:t xml:space="preserve">аказанието </w:t>
      </w:r>
      <w:r w:rsidR="0000477D" w:rsidRPr="00474BEE">
        <w:rPr>
          <w:lang w:val="bg-BG"/>
        </w:rPr>
        <w:t>е</w:t>
      </w:r>
      <w:r w:rsidR="004B7317" w:rsidRPr="00474BEE">
        <w:rPr>
          <w:lang w:val="bg-BG"/>
        </w:rPr>
        <w:t xml:space="preserve"> от пет до дванадесет години лишаване от свобода.   </w:t>
      </w:r>
    </w:p>
    <w:p w:rsidR="004B7317" w:rsidRPr="00474BEE" w:rsidRDefault="004B7317" w:rsidP="004B7317">
      <w:pPr>
        <w:pStyle w:val="ECHRParaQuote"/>
        <w:rPr>
          <w:lang w:val="bg-BG"/>
        </w:rPr>
      </w:pPr>
      <w:r w:rsidRPr="00474BEE">
        <w:rPr>
          <w:lang w:val="bg-BG"/>
        </w:rPr>
        <w:t xml:space="preserve">3.  Ако престъплението по параграфи 1 и 2 е причинило тежка телесна повреда или смърт, наказанието </w:t>
      </w:r>
      <w:r w:rsidR="0000477D" w:rsidRPr="00474BEE">
        <w:rPr>
          <w:lang w:val="bg-BG"/>
        </w:rPr>
        <w:t xml:space="preserve">е </w:t>
      </w:r>
      <w:r w:rsidRPr="00474BEE">
        <w:rPr>
          <w:lang w:val="bg-BG"/>
        </w:rPr>
        <w:t xml:space="preserve">от десет до двадесет години лишаване от свобода или доживотен затвор.   </w:t>
      </w:r>
    </w:p>
    <w:p w:rsidR="00031642" w:rsidRPr="00474BEE" w:rsidRDefault="004B7317" w:rsidP="004B7317">
      <w:pPr>
        <w:pStyle w:val="ECHRParaQuote"/>
        <w:rPr>
          <w:lang w:val="bg-BG"/>
        </w:rPr>
      </w:pPr>
      <w:r w:rsidRPr="00474BEE">
        <w:rPr>
          <w:lang w:val="bg-BG"/>
        </w:rPr>
        <w:t xml:space="preserve">4.  Ако престъплението е причинило смърт или тежка телесна повреда на повече от едно лице, или е особено сериозно, наказанието </w:t>
      </w:r>
      <w:r w:rsidR="0000477D" w:rsidRPr="00474BEE">
        <w:rPr>
          <w:lang w:val="bg-BG"/>
        </w:rPr>
        <w:t>е</w:t>
      </w:r>
      <w:r w:rsidRPr="00474BEE">
        <w:rPr>
          <w:lang w:val="bg-BG"/>
        </w:rPr>
        <w:t xml:space="preserve"> от петнадесет до двадесет години лишаване от свобода или доживотен затвор</w:t>
      </w:r>
      <w:r w:rsidR="00564022" w:rsidRPr="00474BEE">
        <w:rPr>
          <w:lang w:val="bg-BG"/>
        </w:rPr>
        <w:t>.”</w:t>
      </w:r>
    </w:p>
    <w:p w:rsidR="006971B2" w:rsidRPr="00474BEE" w:rsidRDefault="00D16EB7" w:rsidP="00550343">
      <w:pPr>
        <w:pStyle w:val="ECHRPara"/>
        <w:rPr>
          <w:lang w:val="bg-BG"/>
        </w:rPr>
      </w:pPr>
      <w:r w:rsidRPr="00474BEE">
        <w:rPr>
          <w:lang w:val="bg-BG"/>
        </w:rPr>
        <w:fldChar w:fldCharType="begin"/>
      </w:r>
      <w:r w:rsidR="006971B2" w:rsidRPr="00474BEE">
        <w:rPr>
          <w:lang w:val="bg-BG"/>
        </w:rPr>
        <w:instrText xml:space="preserve"> SEQ level0 \*arabic </w:instrText>
      </w:r>
      <w:r w:rsidRPr="00474BEE">
        <w:rPr>
          <w:lang w:val="bg-BG"/>
        </w:rPr>
        <w:fldChar w:fldCharType="separate"/>
      </w:r>
      <w:r w:rsidR="00550343" w:rsidRPr="00474BEE">
        <w:rPr>
          <w:noProof/>
          <w:lang w:val="bg-BG"/>
        </w:rPr>
        <w:t>41</w:t>
      </w:r>
      <w:r w:rsidRPr="00474BEE">
        <w:rPr>
          <w:lang w:val="bg-BG"/>
        </w:rPr>
        <w:fldChar w:fldCharType="end"/>
      </w:r>
      <w:r w:rsidR="006971B2" w:rsidRPr="00474BEE">
        <w:rPr>
          <w:lang w:val="bg-BG"/>
        </w:rPr>
        <w:t>.  </w:t>
      </w:r>
      <w:r w:rsidR="004B7317" w:rsidRPr="00474BEE">
        <w:rPr>
          <w:lang w:val="bg-BG"/>
        </w:rPr>
        <w:t>Поясненията,</w:t>
      </w:r>
      <w:r w:rsidR="00727577" w:rsidRPr="00474BEE">
        <w:rPr>
          <w:lang w:val="bg-BG"/>
        </w:rPr>
        <w:t xml:space="preserve"> придружаващи въпросния проектозакон на</w:t>
      </w:r>
      <w:r w:rsidR="004B7317" w:rsidRPr="00474BEE">
        <w:rPr>
          <w:lang w:val="bg-BG"/>
        </w:rPr>
        <w:t xml:space="preserve"> кодекс</w:t>
      </w:r>
      <w:r w:rsidR="00727577" w:rsidRPr="00474BEE">
        <w:rPr>
          <w:lang w:val="bg-BG"/>
        </w:rPr>
        <w:t>а</w:t>
      </w:r>
      <w:r w:rsidR="004B7317" w:rsidRPr="00474BEE">
        <w:rPr>
          <w:lang w:val="bg-BG"/>
        </w:rPr>
        <w:t xml:space="preserve">, </w:t>
      </w:r>
      <w:r w:rsidR="00727577" w:rsidRPr="00474BEE">
        <w:rPr>
          <w:lang w:val="bg-BG"/>
        </w:rPr>
        <w:t xml:space="preserve">визират в точка 23 </w:t>
      </w:r>
      <w:r w:rsidR="004B7317" w:rsidRPr="00474BEE">
        <w:rPr>
          <w:lang w:val="bg-BG"/>
        </w:rPr>
        <w:t>критиките срещу България заради липсата на отделна разпоредба</w:t>
      </w:r>
      <w:r w:rsidR="00727577" w:rsidRPr="00474BEE">
        <w:rPr>
          <w:lang w:val="bg-BG"/>
        </w:rPr>
        <w:t>,</w:t>
      </w:r>
      <w:r w:rsidR="004B7317" w:rsidRPr="00474BEE">
        <w:rPr>
          <w:lang w:val="bg-BG"/>
        </w:rPr>
        <w:t xml:space="preserve"> забраняваща изтезанията</w:t>
      </w:r>
      <w:r w:rsidR="00727577" w:rsidRPr="00474BEE">
        <w:rPr>
          <w:lang w:val="bg-BG"/>
        </w:rPr>
        <w:t>, в наказателното</w:t>
      </w:r>
      <w:r w:rsidR="004B7317" w:rsidRPr="00474BEE">
        <w:rPr>
          <w:lang w:val="bg-BG"/>
        </w:rPr>
        <w:t xml:space="preserve"> право</w:t>
      </w:r>
      <w:r w:rsidR="00727577" w:rsidRPr="00474BEE">
        <w:rPr>
          <w:lang w:val="bg-BG"/>
        </w:rPr>
        <w:t xml:space="preserve"> на страната</w:t>
      </w:r>
      <w:r w:rsidR="004B7317" w:rsidRPr="00474BEE">
        <w:rPr>
          <w:lang w:val="bg-BG"/>
        </w:rPr>
        <w:t xml:space="preserve"> (вж</w:t>
      </w:r>
      <w:r w:rsidR="0000477D" w:rsidRPr="00474BEE">
        <w:rPr>
          <w:lang w:val="bg-BG"/>
        </w:rPr>
        <w:t>.</w:t>
      </w:r>
      <w:r w:rsidR="004B7317" w:rsidRPr="00474BEE">
        <w:rPr>
          <w:lang w:val="bg-BG"/>
        </w:rPr>
        <w:t xml:space="preserve"> параграфи 4</w:t>
      </w:r>
      <w:r w:rsidR="00727577" w:rsidRPr="00474BEE">
        <w:rPr>
          <w:lang w:val="bg-BG"/>
        </w:rPr>
        <w:t>7, 48 и 49 по-долу), и обясняват, че този проектозакон цели да запълни въпросния</w:t>
      </w:r>
      <w:r w:rsidR="004B7317" w:rsidRPr="00474BEE">
        <w:rPr>
          <w:lang w:val="bg-BG"/>
        </w:rPr>
        <w:t xml:space="preserve"> пропуск</w:t>
      </w:r>
      <w:r w:rsidR="006971B2" w:rsidRPr="00474BEE">
        <w:rPr>
          <w:lang w:val="bg-BG"/>
        </w:rPr>
        <w:t>.</w:t>
      </w:r>
    </w:p>
    <w:p w:rsidR="0013791C" w:rsidRPr="00474BEE" w:rsidRDefault="00727577" w:rsidP="0013791C">
      <w:pPr>
        <w:pStyle w:val="ECHRHeading2"/>
        <w:outlineLvl w:val="2"/>
        <w:rPr>
          <w:lang w:val="bg-BG"/>
        </w:rPr>
      </w:pPr>
      <w:r w:rsidRPr="00474BEE">
        <w:rPr>
          <w:lang w:val="bg-BG"/>
        </w:rPr>
        <w:t>В</w:t>
      </w:r>
      <w:r w:rsidR="00F66F8A" w:rsidRPr="00474BEE">
        <w:rPr>
          <w:lang w:val="bg-BG"/>
        </w:rPr>
        <w:t>.  </w:t>
      </w:r>
      <w:r w:rsidR="0013791C" w:rsidRPr="00474BEE">
        <w:rPr>
          <w:lang w:val="bg-BG"/>
        </w:rPr>
        <w:t>Освобождаване от наказателна отговорност с налагане на административно наказание</w:t>
      </w:r>
    </w:p>
    <w:p w:rsidR="0013791C" w:rsidRPr="00474BEE" w:rsidRDefault="0013791C" w:rsidP="0013791C">
      <w:pPr>
        <w:pStyle w:val="ECHRPara"/>
        <w:rPr>
          <w:lang w:val="bg-BG"/>
        </w:rPr>
      </w:pPr>
      <w:r w:rsidRPr="00474BEE">
        <w:rPr>
          <w:lang w:val="bg-BG"/>
        </w:rPr>
        <w:fldChar w:fldCharType="begin"/>
      </w:r>
      <w:r w:rsidRPr="00474BEE">
        <w:rPr>
          <w:lang w:val="bg-BG"/>
        </w:rPr>
        <w:instrText xml:space="preserve"> SEQ level0 \*arabic </w:instrText>
      </w:r>
      <w:r w:rsidRPr="00474BEE">
        <w:rPr>
          <w:lang w:val="bg-BG"/>
        </w:rPr>
        <w:fldChar w:fldCharType="separate"/>
      </w:r>
      <w:r w:rsidRPr="00474BEE">
        <w:rPr>
          <w:noProof/>
          <w:lang w:val="bg-BG"/>
        </w:rPr>
        <w:t>42</w:t>
      </w:r>
      <w:r w:rsidRPr="00474BEE">
        <w:rPr>
          <w:lang w:val="bg-BG"/>
        </w:rPr>
        <w:fldChar w:fldCharType="end"/>
      </w:r>
      <w:r w:rsidRPr="00474BEE">
        <w:rPr>
          <w:lang w:val="bg-BG"/>
        </w:rPr>
        <w:t xml:space="preserve">.  Чл. 78а § 1 </w:t>
      </w:r>
      <w:r w:rsidR="00727577" w:rsidRPr="00474BEE">
        <w:rPr>
          <w:lang w:val="bg-BG"/>
        </w:rPr>
        <w:t>от Наказателния кодекс</w:t>
      </w:r>
      <w:r w:rsidRPr="00474BEE">
        <w:rPr>
          <w:lang w:val="bg-BG"/>
        </w:rPr>
        <w:t xml:space="preserve"> </w:t>
      </w:r>
      <w:r w:rsidR="008D610C" w:rsidRPr="00474BEE">
        <w:rPr>
          <w:lang w:val="bg-BG"/>
        </w:rPr>
        <w:t xml:space="preserve">от </w:t>
      </w:r>
      <w:r w:rsidRPr="00474BEE">
        <w:rPr>
          <w:lang w:val="bg-BG"/>
        </w:rPr>
        <w:t>1968</w:t>
      </w:r>
      <w:r w:rsidR="00727577" w:rsidRPr="00474BEE">
        <w:rPr>
          <w:lang w:val="bg-BG"/>
        </w:rPr>
        <w:t xml:space="preserve"> </w:t>
      </w:r>
      <w:r w:rsidRPr="00474BEE">
        <w:rPr>
          <w:lang w:val="bg-BG"/>
        </w:rPr>
        <w:t xml:space="preserve">г., както </w:t>
      </w:r>
      <w:r w:rsidR="006B10B5" w:rsidRPr="00474BEE">
        <w:rPr>
          <w:lang w:val="bg-BG"/>
        </w:rPr>
        <w:t xml:space="preserve">гласи </w:t>
      </w:r>
      <w:r w:rsidRPr="00474BEE">
        <w:rPr>
          <w:lang w:val="bg-BG"/>
        </w:rPr>
        <w:t xml:space="preserve">в момента, изисква от съда да замени наказателната отговорност на осъденото лице с административно </w:t>
      </w:r>
      <w:r w:rsidR="00727577" w:rsidRPr="00474BEE">
        <w:rPr>
          <w:lang w:val="bg-BG"/>
        </w:rPr>
        <w:t>наказание – глоба в размер от 1</w:t>
      </w:r>
      <w:r w:rsidR="008D610C" w:rsidRPr="00474BEE">
        <w:rPr>
          <w:lang w:val="bg-BG"/>
        </w:rPr>
        <w:t xml:space="preserve"> </w:t>
      </w:r>
      <w:r w:rsidRPr="00474BEE">
        <w:rPr>
          <w:lang w:val="bg-BG"/>
        </w:rPr>
        <w:t xml:space="preserve">000 </w:t>
      </w:r>
      <w:r w:rsidR="00727577" w:rsidRPr="00474BEE">
        <w:rPr>
          <w:lang w:val="bg-BG"/>
        </w:rPr>
        <w:t>лева</w:t>
      </w:r>
      <w:r w:rsidRPr="00474BEE">
        <w:rPr>
          <w:lang w:val="bg-BG"/>
        </w:rPr>
        <w:t xml:space="preserve"> </w:t>
      </w:r>
      <w:r w:rsidR="00727577" w:rsidRPr="00474BEE">
        <w:rPr>
          <w:lang w:val="bg-BG"/>
        </w:rPr>
        <w:t>до 5</w:t>
      </w:r>
      <w:r w:rsidR="008D610C" w:rsidRPr="00474BEE">
        <w:rPr>
          <w:lang w:val="bg-BG"/>
        </w:rPr>
        <w:t xml:space="preserve"> </w:t>
      </w:r>
      <w:r w:rsidRPr="00474BEE">
        <w:rPr>
          <w:lang w:val="bg-BG"/>
        </w:rPr>
        <w:t xml:space="preserve">000 лева – </w:t>
      </w:r>
      <w:r w:rsidR="00765863" w:rsidRPr="00474BEE">
        <w:rPr>
          <w:lang w:val="bg-BG"/>
        </w:rPr>
        <w:t xml:space="preserve">ако </w:t>
      </w:r>
      <w:r w:rsidRPr="00474BEE">
        <w:rPr>
          <w:lang w:val="bg-BG"/>
        </w:rPr>
        <w:t>(а) за престъплението се предвижда наказание лишаване от свобода до три години или друго по-леко наказание, когато е умишлено, или лишаване от свобода до пет години или друго по-леко наказание, когато е непредпазливо; (б) деецът не е осъждан за престъпление от общ характер и не е освобождаван от наказателна от</w:t>
      </w:r>
      <w:r w:rsidR="00765863" w:rsidRPr="00474BEE">
        <w:rPr>
          <w:lang w:val="bg-BG"/>
        </w:rPr>
        <w:t>говорност с налагане на административно наказание</w:t>
      </w:r>
      <w:r w:rsidRPr="00474BEE">
        <w:rPr>
          <w:lang w:val="bg-BG"/>
        </w:rPr>
        <w:t>; и (в) причинените от престъплението имуществени вреди са възстановени. Наред с глобата, съдът може</w:t>
      </w:r>
      <w:r w:rsidR="00765863" w:rsidRPr="00474BEE">
        <w:rPr>
          <w:lang w:val="bg-BG"/>
        </w:rPr>
        <w:t xml:space="preserve"> да наложи и </w:t>
      </w:r>
      <w:r w:rsidRPr="00474BEE">
        <w:rPr>
          <w:lang w:val="bg-BG"/>
        </w:rPr>
        <w:t>наказание</w:t>
      </w:r>
      <w:r w:rsidR="00765863" w:rsidRPr="00474BEE">
        <w:rPr>
          <w:lang w:val="bg-BG"/>
        </w:rPr>
        <w:t>то</w:t>
      </w:r>
      <w:r w:rsidRPr="00474BEE">
        <w:rPr>
          <w:lang w:val="bg-BG"/>
        </w:rPr>
        <w:t xml:space="preserve"> лишаване от право да се упражнява определена професия или дейност за срок от три години, ако лишаване от такова право е предвидено за съответното престъпление (чл. 78a § 4).</w:t>
      </w:r>
      <w:r w:rsidR="006B10B5" w:rsidRPr="00474BEE">
        <w:rPr>
          <w:lang w:val="bg-BG"/>
        </w:rPr>
        <w:t xml:space="preserve"> </w:t>
      </w:r>
    </w:p>
    <w:p w:rsidR="0013791C" w:rsidRPr="00474BEE" w:rsidRDefault="0013791C" w:rsidP="0013791C">
      <w:pPr>
        <w:pStyle w:val="ECHRPara"/>
        <w:rPr>
          <w:lang w:val="bg-BG"/>
        </w:rPr>
      </w:pPr>
      <w:r w:rsidRPr="00474BEE">
        <w:rPr>
          <w:lang w:val="bg-BG"/>
        </w:rPr>
        <w:lastRenderedPageBreak/>
        <w:fldChar w:fldCharType="begin"/>
      </w:r>
      <w:r w:rsidRPr="00474BEE">
        <w:rPr>
          <w:lang w:val="bg-BG"/>
        </w:rPr>
        <w:instrText xml:space="preserve"> SEQ level0 \*arabic </w:instrText>
      </w:r>
      <w:r w:rsidRPr="00474BEE">
        <w:rPr>
          <w:lang w:val="bg-BG"/>
        </w:rPr>
        <w:fldChar w:fldCharType="separate"/>
      </w:r>
      <w:r w:rsidRPr="00474BEE">
        <w:rPr>
          <w:noProof/>
          <w:lang w:val="bg-BG"/>
        </w:rPr>
        <w:t>43</w:t>
      </w:r>
      <w:r w:rsidRPr="00474BEE">
        <w:rPr>
          <w:lang w:val="bg-BG"/>
        </w:rPr>
        <w:fldChar w:fldCharType="end"/>
      </w:r>
      <w:r w:rsidRPr="00474BEE">
        <w:rPr>
          <w:lang w:val="bg-BG"/>
        </w:rPr>
        <w:t>.  </w:t>
      </w:r>
      <w:r w:rsidR="00765863" w:rsidRPr="00474BEE">
        <w:rPr>
          <w:lang w:val="bg-BG"/>
        </w:rPr>
        <w:t>Съгласно формулировката</w:t>
      </w:r>
      <w:r w:rsidRPr="00474BEE">
        <w:rPr>
          <w:lang w:val="bg-BG"/>
        </w:rPr>
        <w:t xml:space="preserve"> преди март 200</w:t>
      </w:r>
      <w:r w:rsidR="00765863" w:rsidRPr="00474BEE">
        <w:rPr>
          <w:lang w:val="bg-BG"/>
        </w:rPr>
        <w:t>0</w:t>
      </w:r>
      <w:r w:rsidRPr="00474BEE">
        <w:rPr>
          <w:lang w:val="bg-BG"/>
        </w:rPr>
        <w:t xml:space="preserve"> г., чл. 78а не изисква, а просто позволява на съдилищата да освобождават от наказ</w:t>
      </w:r>
      <w:r w:rsidR="006B10B5" w:rsidRPr="00474BEE">
        <w:rPr>
          <w:lang w:val="bg-BG"/>
        </w:rPr>
        <w:t>ателна отговорност и да налагат</w:t>
      </w:r>
      <w:r w:rsidRPr="00474BEE">
        <w:rPr>
          <w:lang w:val="bg-BG"/>
        </w:rPr>
        <w:t xml:space="preserve"> административно наказание (виж </w:t>
      </w:r>
      <w:proofErr w:type="spellStart"/>
      <w:r w:rsidRPr="00474BEE">
        <w:rPr>
          <w:lang w:val="bg-BG"/>
        </w:rPr>
        <w:t>реш</w:t>
      </w:r>
      <w:proofErr w:type="spellEnd"/>
      <w:r w:rsidRPr="00474BEE">
        <w:rPr>
          <w:lang w:val="bg-BG"/>
        </w:rPr>
        <w:t>. № 480 от 13.11.2001 г. по н. д. № 439/2001 г., ВКС, I н. о.).</w:t>
      </w:r>
    </w:p>
    <w:p w:rsidR="0013791C" w:rsidRPr="00474BEE" w:rsidRDefault="0013791C" w:rsidP="0013791C">
      <w:pPr>
        <w:pStyle w:val="ECHRPara"/>
        <w:rPr>
          <w:lang w:val="bg-BG"/>
        </w:rPr>
      </w:pPr>
      <w:r w:rsidRPr="00474BEE">
        <w:rPr>
          <w:lang w:val="bg-BG"/>
        </w:rPr>
        <w:fldChar w:fldCharType="begin"/>
      </w:r>
      <w:r w:rsidRPr="00474BEE">
        <w:rPr>
          <w:lang w:val="bg-BG"/>
        </w:rPr>
        <w:instrText xml:space="preserve"> SEQ level0 \*arabic </w:instrText>
      </w:r>
      <w:r w:rsidRPr="00474BEE">
        <w:rPr>
          <w:lang w:val="bg-BG"/>
        </w:rPr>
        <w:fldChar w:fldCharType="separate"/>
      </w:r>
      <w:r w:rsidRPr="00474BEE">
        <w:rPr>
          <w:noProof/>
          <w:lang w:val="bg-BG"/>
        </w:rPr>
        <w:t>44</w:t>
      </w:r>
      <w:r w:rsidRPr="00474BEE">
        <w:rPr>
          <w:lang w:val="bg-BG"/>
        </w:rPr>
        <w:fldChar w:fldCharType="end"/>
      </w:r>
      <w:r w:rsidRPr="00474BEE">
        <w:rPr>
          <w:lang w:val="bg-BG"/>
        </w:rPr>
        <w:t xml:space="preserve">.  По силата на чл. 376 §§ 3 и 4 от Наказателнопроцесуалния кодекс </w:t>
      </w:r>
      <w:r w:rsidR="0094165C" w:rsidRPr="00474BEE">
        <w:rPr>
          <w:lang w:val="bg-BG"/>
        </w:rPr>
        <w:t xml:space="preserve">в сила от </w:t>
      </w:r>
      <w:r w:rsidRPr="00474BEE">
        <w:rPr>
          <w:lang w:val="bg-BG"/>
        </w:rPr>
        <w:t xml:space="preserve">2005 г., жертвата на престъпление не може да взима участие като граждански ищец или като частен обвинител в съдебните процедури по чл. 78а от НК </w:t>
      </w:r>
      <w:r w:rsidR="0094165C" w:rsidRPr="00474BEE">
        <w:rPr>
          <w:lang w:val="bg-BG"/>
        </w:rPr>
        <w:t xml:space="preserve">от </w:t>
      </w:r>
      <w:r w:rsidRPr="00474BEE">
        <w:rPr>
          <w:lang w:val="bg-BG"/>
        </w:rPr>
        <w:t>1968 г.</w:t>
      </w:r>
    </w:p>
    <w:p w:rsidR="0013791C" w:rsidRPr="00474BEE" w:rsidRDefault="0013791C" w:rsidP="0013791C">
      <w:pPr>
        <w:pStyle w:val="ECHRHeading1"/>
        <w:outlineLvl w:val="1"/>
        <w:rPr>
          <w:lang w:val="bg-BG"/>
        </w:rPr>
      </w:pPr>
      <w:r w:rsidRPr="00474BEE">
        <w:rPr>
          <w:lang w:val="bg-BG"/>
        </w:rPr>
        <w:t xml:space="preserve">III.  ПРИЛОЖИМО МЕЖДУНАРОДНО </w:t>
      </w:r>
      <w:r w:rsidR="00765863" w:rsidRPr="00474BEE">
        <w:rPr>
          <w:lang w:val="bg-BG"/>
        </w:rPr>
        <w:t>ПРАВО И МАТЕРИАЛИ</w:t>
      </w:r>
    </w:p>
    <w:p w:rsidR="0013791C" w:rsidRPr="00474BEE" w:rsidRDefault="0013791C" w:rsidP="0013791C">
      <w:pPr>
        <w:pStyle w:val="ECHRHeading2"/>
        <w:outlineLvl w:val="2"/>
        <w:rPr>
          <w:lang w:val="bg-BG"/>
        </w:rPr>
      </w:pPr>
      <w:r w:rsidRPr="00474BEE">
        <w:rPr>
          <w:lang w:val="bg-BG"/>
        </w:rPr>
        <w:t xml:space="preserve">A.  Конвенция </w:t>
      </w:r>
      <w:r w:rsidR="00D77C10" w:rsidRPr="00474BEE">
        <w:rPr>
          <w:lang w:val="bg-BG"/>
        </w:rPr>
        <w:t xml:space="preserve">против </w:t>
      </w:r>
      <w:r w:rsidRPr="00474BEE">
        <w:rPr>
          <w:lang w:val="bg-BG"/>
        </w:rPr>
        <w:t>изтезания</w:t>
      </w:r>
      <w:r w:rsidR="00765863" w:rsidRPr="00474BEE">
        <w:rPr>
          <w:lang w:val="bg-BG"/>
        </w:rPr>
        <w:t>та</w:t>
      </w:r>
      <w:r w:rsidRPr="00474BEE">
        <w:rPr>
          <w:lang w:val="bg-BG"/>
        </w:rPr>
        <w:t xml:space="preserve"> и други форми на жестоко, нечовешко или унизително отн</w:t>
      </w:r>
      <w:r w:rsidR="00D77C10" w:rsidRPr="00474BEE">
        <w:rPr>
          <w:lang w:val="bg-BG"/>
        </w:rPr>
        <w:t>асяне</w:t>
      </w:r>
      <w:r w:rsidRPr="00474BEE">
        <w:rPr>
          <w:lang w:val="bg-BG"/>
        </w:rPr>
        <w:t xml:space="preserve"> или наказание  </w:t>
      </w:r>
    </w:p>
    <w:p w:rsidR="0013791C" w:rsidRPr="00474BEE" w:rsidRDefault="0013791C" w:rsidP="0013791C">
      <w:pPr>
        <w:pStyle w:val="ECHRPara"/>
        <w:rPr>
          <w:lang w:val="bg-BG"/>
        </w:rPr>
      </w:pPr>
      <w:r w:rsidRPr="00474BEE">
        <w:rPr>
          <w:lang w:val="bg-BG"/>
        </w:rPr>
        <w:fldChar w:fldCharType="begin"/>
      </w:r>
      <w:r w:rsidRPr="00474BEE">
        <w:rPr>
          <w:lang w:val="bg-BG"/>
        </w:rPr>
        <w:instrText xml:space="preserve"> SEQ level0 \*arabic </w:instrText>
      </w:r>
      <w:r w:rsidRPr="00474BEE">
        <w:rPr>
          <w:lang w:val="bg-BG"/>
        </w:rPr>
        <w:fldChar w:fldCharType="separate"/>
      </w:r>
      <w:r w:rsidRPr="00474BEE">
        <w:rPr>
          <w:noProof/>
          <w:lang w:val="bg-BG"/>
        </w:rPr>
        <w:t>45</w:t>
      </w:r>
      <w:r w:rsidRPr="00474BEE">
        <w:rPr>
          <w:lang w:val="bg-BG"/>
        </w:rPr>
        <w:fldChar w:fldCharType="end"/>
      </w:r>
      <w:r w:rsidRPr="00474BEE">
        <w:rPr>
          <w:lang w:val="bg-BG"/>
        </w:rPr>
        <w:t>.  Конвенцията срещу изтезанията и други форми на жестоко, нечовешко или унизително отн</w:t>
      </w:r>
      <w:r w:rsidR="004B2E15" w:rsidRPr="00474BEE">
        <w:rPr>
          <w:lang w:val="bg-BG"/>
        </w:rPr>
        <w:t>асяне</w:t>
      </w:r>
      <w:r w:rsidRPr="00474BEE">
        <w:rPr>
          <w:lang w:val="bg-BG"/>
        </w:rPr>
        <w:t xml:space="preserve"> или наказание (</w:t>
      </w:r>
      <w:r w:rsidRPr="00474BEE">
        <w:rPr>
          <w:szCs w:val="24"/>
          <w:lang w:val="bg-BG"/>
        </w:rPr>
        <w:t xml:space="preserve">1465 </w:t>
      </w:r>
      <w:r w:rsidR="006B10B5" w:rsidRPr="00474BEE">
        <w:rPr>
          <w:color w:val="3C3C3C"/>
          <w:szCs w:val="24"/>
          <w:shd w:val="clear" w:color="auto" w:fill="FFFFFF"/>
        </w:rPr>
        <w:t xml:space="preserve">Сборник </w:t>
      </w:r>
      <w:r w:rsidR="004B2E15" w:rsidRPr="00474BEE">
        <w:rPr>
          <w:color w:val="3C3C3C"/>
          <w:szCs w:val="24"/>
          <w:shd w:val="clear" w:color="auto" w:fill="FFFFFF"/>
          <w:lang w:val="bg-BG"/>
        </w:rPr>
        <w:t xml:space="preserve">с </w:t>
      </w:r>
      <w:r w:rsidR="006B10B5" w:rsidRPr="00474BEE">
        <w:rPr>
          <w:color w:val="3C3C3C"/>
          <w:szCs w:val="24"/>
          <w:shd w:val="clear" w:color="auto" w:fill="FFFFFF"/>
        </w:rPr>
        <w:t>договори на Организацията на обединените нации</w:t>
      </w:r>
      <w:r w:rsidRPr="00474BEE">
        <w:rPr>
          <w:lang w:val="bg-BG"/>
        </w:rPr>
        <w:t xml:space="preserve"> (“UNTS”) 85) е приета от </w:t>
      </w:r>
      <w:r w:rsidR="00186EBC" w:rsidRPr="00474BEE">
        <w:rPr>
          <w:lang w:val="bg-BG"/>
        </w:rPr>
        <w:t>Генералната асамблея</w:t>
      </w:r>
      <w:r w:rsidRPr="00474BEE">
        <w:rPr>
          <w:lang w:val="bg-BG"/>
        </w:rPr>
        <w:t xml:space="preserve"> на ООН  на 10 декември 1984 г. (ООН док. A/39/51, стр. 197). Тя влиза в сила, включително и </w:t>
      </w:r>
      <w:r w:rsidR="00D77C10" w:rsidRPr="00474BEE">
        <w:rPr>
          <w:lang w:val="bg-BG"/>
        </w:rPr>
        <w:t>по отношение на</w:t>
      </w:r>
      <w:r w:rsidRPr="00474BEE">
        <w:rPr>
          <w:lang w:val="bg-BG"/>
        </w:rPr>
        <w:t xml:space="preserve"> България, на 26 юни 1987 г. България е от първите страни, подписали Конвенцията на 10 юни 1986 г. и приели я на 16 декември 1986 г. Превод на текста на Конвенцията е публикуван в Българския държавен вестник на 3 юни 1988 г. (ДВ, бр. 42 от 03.06.1988 г.). Съответните й разпоредби гласят: </w:t>
      </w:r>
    </w:p>
    <w:p w:rsidR="0013791C" w:rsidRPr="00474BEE" w:rsidRDefault="0013791C" w:rsidP="0013791C">
      <w:pPr>
        <w:pStyle w:val="ECHRTitleCentre3"/>
        <w:outlineLvl w:val="9"/>
        <w:rPr>
          <w:lang w:val="bg-BG"/>
        </w:rPr>
      </w:pPr>
      <w:r w:rsidRPr="00474BEE">
        <w:rPr>
          <w:lang w:val="bg-BG"/>
        </w:rPr>
        <w:t xml:space="preserve">Чл. 1 </w:t>
      </w:r>
    </w:p>
    <w:p w:rsidR="0013791C" w:rsidRPr="00474BEE" w:rsidRDefault="0013791C" w:rsidP="0013791C">
      <w:pPr>
        <w:pStyle w:val="ECHRParaQuote"/>
        <w:keepLines/>
        <w:rPr>
          <w:lang w:val="bg-BG"/>
        </w:rPr>
      </w:pPr>
      <w:r w:rsidRPr="00474BEE">
        <w:rPr>
          <w:lang w:val="bg-BG"/>
        </w:rPr>
        <w:t xml:space="preserve">„1.  За целите на тази конвенция терминът „изтезание” означава всяко действие, с което умишлено се причинява силно физическо или психическо страдание или болка на дадено лице, за да се получат от него или от трето лице сведения или признания, за да бъде то наказано за действие, което то или трето лице е извършило или в извършването на което и заподозряно, или за да бъде то или трето лице сплашвано или принуждавано, или по каквато и да е причина, основаваща се на каквато и да е дискриминация, когато такава болка или страдание се причинява от длъжностно лице или друго официално </w:t>
      </w:r>
      <w:proofErr w:type="spellStart"/>
      <w:r w:rsidRPr="00474BEE">
        <w:rPr>
          <w:lang w:val="bg-BG"/>
        </w:rPr>
        <w:t>действуващо</w:t>
      </w:r>
      <w:proofErr w:type="spellEnd"/>
      <w:r w:rsidRPr="00474BEE">
        <w:rPr>
          <w:lang w:val="bg-BG"/>
        </w:rPr>
        <w:t xml:space="preserve"> лице или по негово подстрекателство или с негово явно или мълчаливо съгласие. В това определение не се включват болката и страданието, които произтичат единствено от законни санкции и които са присъщи на тези санкции или настъпват случайно при тях.  </w:t>
      </w:r>
    </w:p>
    <w:p w:rsidR="0013791C" w:rsidRPr="00474BEE" w:rsidRDefault="0013791C" w:rsidP="0013791C">
      <w:pPr>
        <w:pStyle w:val="ECHRParaQuote"/>
        <w:keepLines/>
        <w:rPr>
          <w:lang w:val="bg-BG"/>
        </w:rPr>
      </w:pPr>
      <w:r w:rsidRPr="00474BEE">
        <w:rPr>
          <w:lang w:val="bg-BG"/>
        </w:rPr>
        <w:t>2.  Този чл</w:t>
      </w:r>
      <w:r w:rsidR="00725ADE" w:rsidRPr="00474BEE">
        <w:rPr>
          <w:lang w:val="bg-BG"/>
        </w:rPr>
        <w:t>ен</w:t>
      </w:r>
      <w:r w:rsidRPr="00474BEE">
        <w:rPr>
          <w:lang w:val="bg-BG"/>
        </w:rPr>
        <w:t xml:space="preserve"> не засяга никой международен договор или национално законодателство, което съдържа или може да съдържа разпоредби с по-широко приложение.”  </w:t>
      </w:r>
    </w:p>
    <w:p w:rsidR="0013791C" w:rsidRPr="00474BEE" w:rsidRDefault="0013791C" w:rsidP="0013791C">
      <w:pPr>
        <w:pStyle w:val="ECHRTitleCentre3"/>
        <w:outlineLvl w:val="9"/>
        <w:rPr>
          <w:lang w:val="bg-BG"/>
        </w:rPr>
      </w:pPr>
      <w:r w:rsidRPr="00474BEE">
        <w:rPr>
          <w:lang w:val="bg-BG"/>
        </w:rPr>
        <w:lastRenderedPageBreak/>
        <w:t xml:space="preserve">Чл. 2 </w:t>
      </w:r>
    </w:p>
    <w:p w:rsidR="0013791C" w:rsidRPr="00474BEE" w:rsidRDefault="0013791C" w:rsidP="0013791C">
      <w:pPr>
        <w:pStyle w:val="ECHRParaQuote"/>
        <w:keepNext/>
        <w:keepLines/>
        <w:rPr>
          <w:lang w:val="bg-BG"/>
        </w:rPr>
      </w:pPr>
      <w:r w:rsidRPr="00474BEE">
        <w:rPr>
          <w:lang w:val="bg-BG"/>
        </w:rPr>
        <w:t>„1.  </w:t>
      </w:r>
      <w:r w:rsidR="00765863" w:rsidRPr="00474BEE">
        <w:rPr>
          <w:lang w:val="bg-BG"/>
        </w:rPr>
        <w:t xml:space="preserve">Всяка държава – </w:t>
      </w:r>
      <w:r w:rsidR="001348E6" w:rsidRPr="00474BEE">
        <w:rPr>
          <w:lang w:val="bg-BG"/>
        </w:rPr>
        <w:t xml:space="preserve">страна по </w:t>
      </w:r>
      <w:r w:rsidR="0005058C" w:rsidRPr="00474BEE">
        <w:rPr>
          <w:lang w:val="bg-BG"/>
        </w:rPr>
        <w:t>к</w:t>
      </w:r>
      <w:r w:rsidR="001348E6" w:rsidRPr="00474BEE">
        <w:rPr>
          <w:lang w:val="bg-BG"/>
        </w:rPr>
        <w:t>онвенцията</w:t>
      </w:r>
      <w:r w:rsidR="00765863" w:rsidRPr="00474BEE">
        <w:rPr>
          <w:lang w:val="bg-BG"/>
        </w:rPr>
        <w:t>,</w:t>
      </w:r>
      <w:r w:rsidRPr="00474BEE">
        <w:rPr>
          <w:lang w:val="bg-BG"/>
        </w:rPr>
        <w:t xml:space="preserve"> предприема ефективни законодателни, административни, съдебни и други мерки за предотвратяване на изтезания на всяка територия под нейна юрисдикция.  </w:t>
      </w:r>
    </w:p>
    <w:p w:rsidR="0013791C" w:rsidRPr="00474BEE" w:rsidRDefault="0013791C" w:rsidP="0013791C">
      <w:pPr>
        <w:pStyle w:val="ECHRParaQuote"/>
        <w:keepNext/>
        <w:keepLines/>
        <w:rPr>
          <w:lang w:val="bg-BG"/>
        </w:rPr>
      </w:pPr>
      <w:r w:rsidRPr="00474BEE">
        <w:rPr>
          <w:lang w:val="bg-BG"/>
        </w:rPr>
        <w:t xml:space="preserve">2.  Никакви изключителни обстоятелства от какъвто и да е характер, било то състояние на война или заплаха от война, вътрешна политическа нестабилност или каквото и да е друго извънредно положение, не могат да служат като оправдание за изтезания.  </w:t>
      </w:r>
    </w:p>
    <w:p w:rsidR="0013791C" w:rsidRPr="00474BEE" w:rsidRDefault="0013791C" w:rsidP="0013791C">
      <w:pPr>
        <w:pStyle w:val="ECHRParaQuote"/>
        <w:keepNext/>
        <w:keepLines/>
        <w:rPr>
          <w:lang w:val="bg-BG"/>
        </w:rPr>
      </w:pPr>
      <w:r w:rsidRPr="00474BEE">
        <w:rPr>
          <w:lang w:val="bg-BG"/>
        </w:rPr>
        <w:t>3.  Заповед от висшестоящо длъжностно лице или от държавен орган не може да служи</w:t>
      </w:r>
      <w:r w:rsidR="00765863" w:rsidRPr="00474BEE">
        <w:rPr>
          <w:lang w:val="bg-BG"/>
        </w:rPr>
        <w:t xml:space="preserve"> като оправдание за изтезания.”</w:t>
      </w:r>
    </w:p>
    <w:p w:rsidR="0013791C" w:rsidRPr="00474BEE" w:rsidRDefault="0013791C" w:rsidP="0013791C">
      <w:pPr>
        <w:pStyle w:val="JuQuotSub"/>
        <w:keepLines/>
        <w:rPr>
          <w:lang w:val="bg-BG"/>
        </w:rPr>
      </w:pPr>
      <w:r w:rsidRPr="00474BEE">
        <w:rPr>
          <w:lang w:val="bg-BG"/>
        </w:rPr>
        <w:t>...</w:t>
      </w:r>
    </w:p>
    <w:p w:rsidR="0013791C" w:rsidRPr="00474BEE" w:rsidRDefault="0013791C" w:rsidP="0013791C">
      <w:pPr>
        <w:pStyle w:val="ECHRTitleCentre3"/>
        <w:outlineLvl w:val="9"/>
        <w:rPr>
          <w:lang w:val="bg-BG"/>
        </w:rPr>
      </w:pPr>
      <w:r w:rsidRPr="00474BEE">
        <w:rPr>
          <w:lang w:val="bg-BG"/>
        </w:rPr>
        <w:t>Чл. 4</w:t>
      </w:r>
    </w:p>
    <w:p w:rsidR="0013791C" w:rsidRPr="00474BEE" w:rsidRDefault="0013791C" w:rsidP="0013791C">
      <w:pPr>
        <w:pStyle w:val="ECHRParaQuote"/>
        <w:keepLines/>
        <w:rPr>
          <w:lang w:val="bg-BG"/>
        </w:rPr>
      </w:pPr>
      <w:r w:rsidRPr="00474BEE">
        <w:rPr>
          <w:lang w:val="bg-BG"/>
        </w:rPr>
        <w:t xml:space="preserve">„1.  Всяка държава – </w:t>
      </w:r>
      <w:r w:rsidR="001348E6" w:rsidRPr="00474BEE">
        <w:rPr>
          <w:lang w:val="bg-BG"/>
        </w:rPr>
        <w:t xml:space="preserve">страна по </w:t>
      </w:r>
      <w:r w:rsidR="0005058C" w:rsidRPr="00474BEE">
        <w:rPr>
          <w:lang w:val="bg-BG"/>
        </w:rPr>
        <w:t>к</w:t>
      </w:r>
      <w:r w:rsidR="001348E6" w:rsidRPr="00474BEE">
        <w:rPr>
          <w:lang w:val="bg-BG"/>
        </w:rPr>
        <w:t>онвенцията</w:t>
      </w:r>
      <w:r w:rsidRPr="00474BEE">
        <w:rPr>
          <w:lang w:val="bg-BG"/>
        </w:rPr>
        <w:t xml:space="preserve">, поема задължението всички прояви на изтезания да </w:t>
      </w:r>
      <w:r w:rsidR="00E35191" w:rsidRPr="00474BEE">
        <w:rPr>
          <w:lang w:val="bg-BG"/>
        </w:rPr>
        <w:t>бъдат</w:t>
      </w:r>
      <w:r w:rsidRPr="00474BEE">
        <w:rPr>
          <w:lang w:val="bg-BG"/>
        </w:rPr>
        <w:t xml:space="preserve"> считани за престъпления според наказателното й право. Същото се отнася и за опит да се извърши изтезание, както и за действие на което и да е лице, представляващо съучастие или участие в изтезаване. </w:t>
      </w:r>
    </w:p>
    <w:p w:rsidR="0013791C" w:rsidRPr="00474BEE" w:rsidRDefault="0013791C" w:rsidP="0013791C">
      <w:pPr>
        <w:pStyle w:val="ECHRParaQuote"/>
        <w:keepLines/>
        <w:rPr>
          <w:lang w:val="bg-BG"/>
        </w:rPr>
      </w:pPr>
      <w:r w:rsidRPr="00474BEE">
        <w:rPr>
          <w:lang w:val="bg-BG"/>
        </w:rPr>
        <w:t xml:space="preserve">2.  Всяка държава – </w:t>
      </w:r>
      <w:r w:rsidR="001348E6" w:rsidRPr="00474BEE">
        <w:rPr>
          <w:lang w:val="bg-BG"/>
        </w:rPr>
        <w:t xml:space="preserve">страна по </w:t>
      </w:r>
      <w:r w:rsidR="0005058C" w:rsidRPr="00474BEE">
        <w:rPr>
          <w:lang w:val="bg-BG"/>
        </w:rPr>
        <w:t>к</w:t>
      </w:r>
      <w:r w:rsidR="001348E6" w:rsidRPr="00474BEE">
        <w:rPr>
          <w:lang w:val="bg-BG"/>
        </w:rPr>
        <w:t>онвенцията</w:t>
      </w:r>
      <w:r w:rsidRPr="00474BEE">
        <w:rPr>
          <w:lang w:val="bg-BG"/>
        </w:rPr>
        <w:t xml:space="preserve">, определя наказания, </w:t>
      </w:r>
      <w:proofErr w:type="spellStart"/>
      <w:r w:rsidRPr="00474BEE">
        <w:rPr>
          <w:lang w:val="bg-BG"/>
        </w:rPr>
        <w:t>съответствуващи</w:t>
      </w:r>
      <w:proofErr w:type="spellEnd"/>
      <w:r w:rsidRPr="00474BEE">
        <w:rPr>
          <w:lang w:val="bg-BG"/>
        </w:rPr>
        <w:t xml:space="preserve"> на тези престъпления, като се отчита тежкия</w:t>
      </w:r>
      <w:r w:rsidR="001348E6" w:rsidRPr="00474BEE">
        <w:rPr>
          <w:lang w:val="bg-BG"/>
        </w:rPr>
        <w:t>т</w:t>
      </w:r>
      <w:r w:rsidRPr="00474BEE">
        <w:rPr>
          <w:lang w:val="bg-BG"/>
        </w:rPr>
        <w:t xml:space="preserve"> им характер. „</w:t>
      </w:r>
    </w:p>
    <w:p w:rsidR="0013791C" w:rsidRPr="00474BEE" w:rsidRDefault="0013791C" w:rsidP="0013791C">
      <w:pPr>
        <w:pStyle w:val="ECHRParaQuote"/>
        <w:keepLines/>
        <w:rPr>
          <w:lang w:val="bg-BG"/>
        </w:rPr>
      </w:pPr>
      <w:r w:rsidRPr="00474BEE">
        <w:rPr>
          <w:lang w:val="bg-BG"/>
        </w:rPr>
        <w:t>...</w:t>
      </w:r>
    </w:p>
    <w:p w:rsidR="0013791C" w:rsidRPr="00474BEE" w:rsidRDefault="0013791C" w:rsidP="0013791C">
      <w:pPr>
        <w:pStyle w:val="ECHRTitleCentre3"/>
        <w:outlineLvl w:val="9"/>
        <w:rPr>
          <w:lang w:val="bg-BG"/>
        </w:rPr>
      </w:pPr>
      <w:r w:rsidRPr="00474BEE">
        <w:rPr>
          <w:lang w:val="bg-BG"/>
        </w:rPr>
        <w:t xml:space="preserve">Чл. 12 </w:t>
      </w:r>
    </w:p>
    <w:p w:rsidR="0013791C" w:rsidRPr="00474BEE" w:rsidRDefault="008B0C6F" w:rsidP="0013791C">
      <w:pPr>
        <w:pStyle w:val="ECHRParaQuote"/>
        <w:rPr>
          <w:lang w:val="bg-BG"/>
        </w:rPr>
      </w:pPr>
      <w:r w:rsidRPr="00474BEE">
        <w:rPr>
          <w:lang w:val="bg-BG"/>
        </w:rPr>
        <w:t xml:space="preserve">„Всяка държава – </w:t>
      </w:r>
      <w:r w:rsidR="001348E6" w:rsidRPr="00474BEE">
        <w:rPr>
          <w:lang w:val="bg-BG"/>
        </w:rPr>
        <w:t xml:space="preserve">страна по </w:t>
      </w:r>
      <w:r w:rsidR="0005058C" w:rsidRPr="00474BEE">
        <w:rPr>
          <w:lang w:val="bg-BG"/>
        </w:rPr>
        <w:t>к</w:t>
      </w:r>
      <w:r w:rsidR="001348E6" w:rsidRPr="00474BEE">
        <w:rPr>
          <w:lang w:val="bg-BG"/>
        </w:rPr>
        <w:t>онвенцията</w:t>
      </w:r>
      <w:r w:rsidR="0013791C" w:rsidRPr="00474BEE">
        <w:rPr>
          <w:lang w:val="bg-BG"/>
        </w:rPr>
        <w:t xml:space="preserve">, осигурява бързо и безпристрастно разследване от страна на компетентните си органи на всички случаи, когато има достатъчно основания да се предполага, че на територия под нейна юрисдикция е било извършено изтезание.” </w:t>
      </w:r>
    </w:p>
    <w:p w:rsidR="0013791C" w:rsidRPr="00474BEE" w:rsidRDefault="0013791C" w:rsidP="0013791C">
      <w:pPr>
        <w:pStyle w:val="ECHRPara"/>
        <w:rPr>
          <w:lang w:val="bg-BG"/>
        </w:rPr>
      </w:pPr>
      <w:r w:rsidRPr="00474BEE">
        <w:rPr>
          <w:lang w:val="bg-BG"/>
        </w:rPr>
        <w:fldChar w:fldCharType="begin"/>
      </w:r>
      <w:r w:rsidRPr="00474BEE">
        <w:rPr>
          <w:lang w:val="bg-BG"/>
        </w:rPr>
        <w:instrText xml:space="preserve"> SEQ level0 \*arabic </w:instrText>
      </w:r>
      <w:r w:rsidRPr="00474BEE">
        <w:rPr>
          <w:lang w:val="bg-BG"/>
        </w:rPr>
        <w:fldChar w:fldCharType="separate"/>
      </w:r>
      <w:r w:rsidRPr="00474BEE">
        <w:rPr>
          <w:noProof/>
          <w:lang w:val="bg-BG"/>
        </w:rPr>
        <w:t>46</w:t>
      </w:r>
      <w:r w:rsidRPr="00474BEE">
        <w:rPr>
          <w:lang w:val="bg-BG"/>
        </w:rPr>
        <w:fldChar w:fldCharType="end"/>
      </w:r>
      <w:r w:rsidRPr="00474BEE">
        <w:rPr>
          <w:lang w:val="bg-BG"/>
        </w:rPr>
        <w:t xml:space="preserve">.  В своя </w:t>
      </w:r>
      <w:r w:rsidR="009E4C9D" w:rsidRPr="00474BEE">
        <w:rPr>
          <w:lang w:val="bg-BG"/>
        </w:rPr>
        <w:t>О</w:t>
      </w:r>
      <w:r w:rsidRPr="00474BEE">
        <w:rPr>
          <w:lang w:val="bg-BG"/>
        </w:rPr>
        <w:t xml:space="preserve">бщ коментар № 2 относно прилагането на чл. 2 от тази конвенция от държавите – </w:t>
      </w:r>
      <w:r w:rsidR="001348E6" w:rsidRPr="00474BEE">
        <w:rPr>
          <w:lang w:val="bg-BG"/>
        </w:rPr>
        <w:t xml:space="preserve">страни по </w:t>
      </w:r>
      <w:r w:rsidR="009E4C9D" w:rsidRPr="00474BEE">
        <w:rPr>
          <w:lang w:val="bg-BG"/>
        </w:rPr>
        <w:t xml:space="preserve">нея </w:t>
      </w:r>
      <w:r w:rsidRPr="00474BEE">
        <w:rPr>
          <w:lang w:val="bg-BG"/>
        </w:rPr>
        <w:t xml:space="preserve">(ООН док. CAT/C/GC/2), публикуван на 24 януари 2008 г., </w:t>
      </w:r>
      <w:r w:rsidR="009E4C9D" w:rsidRPr="00474BEE">
        <w:rPr>
          <w:lang w:val="bg-BG"/>
        </w:rPr>
        <w:t>К</w:t>
      </w:r>
      <w:r w:rsidRPr="00474BEE">
        <w:rPr>
          <w:lang w:val="bg-BG"/>
        </w:rPr>
        <w:t>омитетът срещу изтезания</w:t>
      </w:r>
      <w:r w:rsidR="009E4C9D" w:rsidRPr="00474BEE">
        <w:rPr>
          <w:lang w:val="bg-BG"/>
        </w:rPr>
        <w:t xml:space="preserve"> на ООН</w:t>
      </w:r>
      <w:r w:rsidRPr="00474BEE">
        <w:rPr>
          <w:lang w:val="bg-BG"/>
        </w:rPr>
        <w:t xml:space="preserve"> заявява:</w:t>
      </w:r>
    </w:p>
    <w:p w:rsidR="0013791C" w:rsidRPr="00474BEE" w:rsidRDefault="0013791C" w:rsidP="0013791C">
      <w:pPr>
        <w:pStyle w:val="ECHRParaQuote"/>
        <w:rPr>
          <w:lang w:val="bg-BG"/>
        </w:rPr>
      </w:pPr>
      <w:r w:rsidRPr="00474BEE">
        <w:rPr>
          <w:lang w:val="bg-BG"/>
        </w:rPr>
        <w:t xml:space="preserve">„8.  Държавите – </w:t>
      </w:r>
      <w:r w:rsidR="001348E6" w:rsidRPr="00474BEE">
        <w:rPr>
          <w:lang w:val="bg-BG"/>
        </w:rPr>
        <w:t xml:space="preserve">страни по </w:t>
      </w:r>
      <w:r w:rsidR="009E4C9D" w:rsidRPr="00474BEE">
        <w:rPr>
          <w:lang w:val="bg-BG"/>
        </w:rPr>
        <w:t>к</w:t>
      </w:r>
      <w:r w:rsidR="001348E6" w:rsidRPr="00474BEE">
        <w:rPr>
          <w:lang w:val="bg-BG"/>
        </w:rPr>
        <w:t>онвенцията</w:t>
      </w:r>
      <w:r w:rsidR="008B0C6F" w:rsidRPr="00474BEE">
        <w:rPr>
          <w:lang w:val="bg-BG"/>
        </w:rPr>
        <w:t>,</w:t>
      </w:r>
      <w:r w:rsidRPr="00474BEE">
        <w:rPr>
          <w:lang w:val="bg-BG"/>
        </w:rPr>
        <w:t xml:space="preserve"> трябв</w:t>
      </w:r>
      <w:r w:rsidR="001B0A41" w:rsidRPr="00474BEE">
        <w:rPr>
          <w:lang w:val="bg-BG"/>
        </w:rPr>
        <w:t>а да направят престъплението изтезание</w:t>
      </w:r>
      <w:r w:rsidRPr="00474BEE">
        <w:rPr>
          <w:lang w:val="bg-BG"/>
        </w:rPr>
        <w:t xml:space="preserve"> </w:t>
      </w:r>
      <w:r w:rsidR="008B0C6F" w:rsidRPr="00474BEE">
        <w:rPr>
          <w:lang w:val="bg-BG"/>
        </w:rPr>
        <w:t>наказуемо</w:t>
      </w:r>
      <w:r w:rsidRPr="00474BEE">
        <w:rPr>
          <w:lang w:val="bg-BG"/>
        </w:rPr>
        <w:t>, като престъпление</w:t>
      </w:r>
      <w:r w:rsidR="001B0A41" w:rsidRPr="00474BEE">
        <w:rPr>
          <w:lang w:val="bg-BG"/>
        </w:rPr>
        <w:t xml:space="preserve"> включено в </w:t>
      </w:r>
      <w:r w:rsidRPr="00474BEE">
        <w:rPr>
          <w:lang w:val="bg-BG"/>
        </w:rPr>
        <w:t>[тяхното] наказателн</w:t>
      </w:r>
      <w:r w:rsidR="001B0A41" w:rsidRPr="00474BEE">
        <w:rPr>
          <w:lang w:val="bg-BG"/>
        </w:rPr>
        <w:t>о право в съответствие, най-малко</w:t>
      </w:r>
      <w:r w:rsidRPr="00474BEE">
        <w:rPr>
          <w:lang w:val="bg-BG"/>
        </w:rPr>
        <w:t xml:space="preserve">, с елементите на изтезание така, както те са определени в чл. 1 от Конвенцията, както и с изискванията на чл. 4.    </w:t>
      </w:r>
    </w:p>
    <w:p w:rsidR="0013791C" w:rsidRPr="00474BEE" w:rsidRDefault="0013791C" w:rsidP="00606655">
      <w:pPr>
        <w:pStyle w:val="ECHRParaQuote"/>
        <w:rPr>
          <w:lang w:val="bg-BG"/>
        </w:rPr>
      </w:pPr>
      <w:r w:rsidRPr="00474BEE">
        <w:rPr>
          <w:lang w:val="bg-BG"/>
        </w:rPr>
        <w:t>9.  </w:t>
      </w:r>
      <w:r w:rsidR="008B0C6F" w:rsidRPr="00474BEE">
        <w:rPr>
          <w:lang w:val="bg-BG"/>
        </w:rPr>
        <w:t>Сериозните несъответствия</w:t>
      </w:r>
      <w:r w:rsidR="001348E6" w:rsidRPr="00474BEE">
        <w:rPr>
          <w:lang w:val="bg-BG"/>
        </w:rPr>
        <w:t xml:space="preserve"> между дефиницията, съдържаща</w:t>
      </w:r>
      <w:r w:rsidR="001B0A41" w:rsidRPr="00474BEE">
        <w:rPr>
          <w:lang w:val="bg-BG"/>
        </w:rPr>
        <w:t xml:space="preserve"> </w:t>
      </w:r>
      <w:r w:rsidR="001348E6" w:rsidRPr="00474BEE">
        <w:rPr>
          <w:lang w:val="bg-BG"/>
        </w:rPr>
        <w:t>се в Конвенцията и тази</w:t>
      </w:r>
      <w:r w:rsidRPr="00474BEE">
        <w:rPr>
          <w:lang w:val="bg-BG"/>
        </w:rPr>
        <w:t xml:space="preserve">, </w:t>
      </w:r>
      <w:r w:rsidR="001B0A41" w:rsidRPr="00474BEE">
        <w:rPr>
          <w:lang w:val="bg-BG"/>
        </w:rPr>
        <w:t>включен</w:t>
      </w:r>
      <w:r w:rsidR="00D75E5B" w:rsidRPr="00474BEE">
        <w:rPr>
          <w:lang w:val="bg-BG"/>
        </w:rPr>
        <w:t>а</w:t>
      </w:r>
      <w:r w:rsidRPr="00474BEE">
        <w:rPr>
          <w:lang w:val="bg-BG"/>
        </w:rPr>
        <w:t xml:space="preserve"> в националното законодателство, създават реа</w:t>
      </w:r>
      <w:r w:rsidR="001B0A41" w:rsidRPr="00474BEE">
        <w:rPr>
          <w:lang w:val="bg-BG"/>
        </w:rPr>
        <w:t>лни или потенциални вратички за</w:t>
      </w:r>
      <w:r w:rsidRPr="00474BEE">
        <w:rPr>
          <w:lang w:val="bg-BG"/>
        </w:rPr>
        <w:t xml:space="preserve"> безнаказаност. В някои случаи, </w:t>
      </w:r>
      <w:r w:rsidR="00B10563" w:rsidRPr="00474BEE">
        <w:rPr>
          <w:lang w:val="bg-BG"/>
        </w:rPr>
        <w:t xml:space="preserve">дори </w:t>
      </w:r>
      <w:r w:rsidR="001B0A41" w:rsidRPr="00474BEE">
        <w:rPr>
          <w:lang w:val="bg-BG"/>
        </w:rPr>
        <w:t>използва</w:t>
      </w:r>
      <w:r w:rsidR="00B10563" w:rsidRPr="00474BEE">
        <w:rPr>
          <w:lang w:val="bg-BG"/>
        </w:rPr>
        <w:t xml:space="preserve">нето на подобен език </w:t>
      </w:r>
      <w:r w:rsidR="001B0A41" w:rsidRPr="00474BEE">
        <w:rPr>
          <w:lang w:val="bg-BG"/>
        </w:rPr>
        <w:t>може да има различно</w:t>
      </w:r>
      <w:r w:rsidRPr="00474BEE">
        <w:rPr>
          <w:lang w:val="bg-BG"/>
        </w:rPr>
        <w:t xml:space="preserve"> значение </w:t>
      </w:r>
      <w:r w:rsidR="001B0A41" w:rsidRPr="00474BEE">
        <w:rPr>
          <w:lang w:val="bg-BG"/>
        </w:rPr>
        <w:t xml:space="preserve">в </w:t>
      </w:r>
      <w:r w:rsidRPr="00474BEE">
        <w:rPr>
          <w:lang w:val="bg-BG"/>
        </w:rPr>
        <w:t xml:space="preserve">националното законодателство или </w:t>
      </w:r>
      <w:r w:rsidR="001B0A41" w:rsidRPr="00474BEE">
        <w:rPr>
          <w:lang w:val="bg-BG"/>
        </w:rPr>
        <w:t xml:space="preserve">различно </w:t>
      </w:r>
      <w:r w:rsidRPr="00474BEE">
        <w:rPr>
          <w:lang w:val="bg-BG"/>
        </w:rPr>
        <w:t>юридическ</w:t>
      </w:r>
      <w:r w:rsidR="00D75E5B" w:rsidRPr="00474BEE">
        <w:rPr>
          <w:lang w:val="bg-BG"/>
        </w:rPr>
        <w:t>о</w:t>
      </w:r>
      <w:r w:rsidRPr="00474BEE">
        <w:rPr>
          <w:lang w:val="bg-BG"/>
        </w:rPr>
        <w:t xml:space="preserve"> тълк</w:t>
      </w:r>
      <w:r w:rsidR="001B0A41" w:rsidRPr="00474BEE">
        <w:rPr>
          <w:lang w:val="bg-BG"/>
        </w:rPr>
        <w:t>уване</w:t>
      </w:r>
      <w:r w:rsidRPr="00474BEE">
        <w:rPr>
          <w:lang w:val="bg-BG"/>
        </w:rPr>
        <w:t xml:space="preserve">, като по този начин Комитетът призовава всяка държава – </w:t>
      </w:r>
      <w:r w:rsidR="001348E6" w:rsidRPr="00474BEE">
        <w:rPr>
          <w:lang w:val="bg-BG"/>
        </w:rPr>
        <w:t xml:space="preserve">страна по </w:t>
      </w:r>
      <w:r w:rsidR="00D75E5B" w:rsidRPr="00474BEE">
        <w:rPr>
          <w:lang w:val="bg-BG"/>
        </w:rPr>
        <w:t>к</w:t>
      </w:r>
      <w:r w:rsidR="001348E6" w:rsidRPr="00474BEE">
        <w:rPr>
          <w:lang w:val="bg-BG"/>
        </w:rPr>
        <w:t>онвенцията</w:t>
      </w:r>
      <w:r w:rsidR="001B0A41" w:rsidRPr="00474BEE">
        <w:rPr>
          <w:lang w:val="bg-BG"/>
        </w:rPr>
        <w:t>, да гарантира, че всички държавни органи ще</w:t>
      </w:r>
      <w:r w:rsidRPr="00474BEE">
        <w:rPr>
          <w:lang w:val="bg-BG"/>
        </w:rPr>
        <w:t xml:space="preserve"> се придържа</w:t>
      </w:r>
      <w:r w:rsidR="001B0A41" w:rsidRPr="00474BEE">
        <w:rPr>
          <w:lang w:val="bg-BG"/>
        </w:rPr>
        <w:t>т</w:t>
      </w:r>
      <w:r w:rsidR="00B10563" w:rsidRPr="00474BEE">
        <w:rPr>
          <w:lang w:val="bg-BG"/>
        </w:rPr>
        <w:t xml:space="preserve"> към дефиницията, посочена</w:t>
      </w:r>
      <w:r w:rsidRPr="00474BEE">
        <w:rPr>
          <w:lang w:val="bg-BG"/>
        </w:rPr>
        <w:t xml:space="preserve"> в Конвенцията, с цел определяне задълженията на държавата. В същото време, Комитетът признава, че по-обширни</w:t>
      </w:r>
      <w:r w:rsidR="001B0A41" w:rsidRPr="00474BEE">
        <w:rPr>
          <w:lang w:val="bg-BG"/>
        </w:rPr>
        <w:t>те</w:t>
      </w:r>
      <w:r w:rsidRPr="00474BEE">
        <w:rPr>
          <w:lang w:val="bg-BG"/>
        </w:rPr>
        <w:t xml:space="preserve"> </w:t>
      </w:r>
      <w:r w:rsidR="00B10563" w:rsidRPr="00474BEE">
        <w:rPr>
          <w:lang w:val="bg-BG"/>
        </w:rPr>
        <w:t>дефиниции</w:t>
      </w:r>
      <w:r w:rsidR="001B0A41" w:rsidRPr="00474BEE">
        <w:rPr>
          <w:lang w:val="bg-BG"/>
        </w:rPr>
        <w:t xml:space="preserve">, които съществуват в националните правни системи, също допринасят за </w:t>
      </w:r>
      <w:r w:rsidR="00606655" w:rsidRPr="00474BEE">
        <w:rPr>
          <w:lang w:val="bg-BG"/>
        </w:rPr>
        <w:t>постигане на целите и задачите на Конвенцията</w:t>
      </w:r>
      <w:r w:rsidRPr="00474BEE">
        <w:rPr>
          <w:lang w:val="bg-BG"/>
        </w:rPr>
        <w:t xml:space="preserve">, доколкото тяхното съдържание и прилагане е в </w:t>
      </w:r>
      <w:r w:rsidR="008B0C6F" w:rsidRPr="00474BEE">
        <w:rPr>
          <w:lang w:val="bg-BG"/>
        </w:rPr>
        <w:t>съответствие</w:t>
      </w:r>
      <w:r w:rsidRPr="00474BEE">
        <w:rPr>
          <w:lang w:val="bg-BG"/>
        </w:rPr>
        <w:t xml:space="preserve"> със стандартите на </w:t>
      </w:r>
      <w:r w:rsidR="008B0C6F" w:rsidRPr="00474BEE">
        <w:rPr>
          <w:lang w:val="bg-BG"/>
        </w:rPr>
        <w:t>Конвенцията, като минимум. По-сп</w:t>
      </w:r>
      <w:r w:rsidRPr="00474BEE">
        <w:rPr>
          <w:lang w:val="bg-BG"/>
        </w:rPr>
        <w:t>ециално, Комитет</w:t>
      </w:r>
      <w:r w:rsidR="00606655" w:rsidRPr="00474BEE">
        <w:rPr>
          <w:lang w:val="bg-BG"/>
        </w:rPr>
        <w:t xml:space="preserve">ът подчертава, че с цел да се установят </w:t>
      </w:r>
      <w:r w:rsidR="00606655" w:rsidRPr="00474BEE">
        <w:rPr>
          <w:lang w:val="bg-BG"/>
        </w:rPr>
        <w:lastRenderedPageBreak/>
        <w:t>доказателства за намерение и цел в чл. 1, не е необходимо да се извърши субективно разследване на мотивите на извършителите, вместо това, трябва да се правят обективни констатации</w:t>
      </w:r>
      <w:r w:rsidRPr="00474BEE">
        <w:rPr>
          <w:lang w:val="bg-BG"/>
        </w:rPr>
        <w:t>, съгласно обстоятелствата. От съществено значение е да се проучи и</w:t>
      </w:r>
      <w:r w:rsidR="00606655" w:rsidRPr="00474BEE">
        <w:rPr>
          <w:lang w:val="bg-BG"/>
        </w:rPr>
        <w:t xml:space="preserve"> установи отгов</w:t>
      </w:r>
      <w:r w:rsidR="00B10563" w:rsidRPr="00474BEE">
        <w:rPr>
          <w:lang w:val="bg-BG"/>
        </w:rPr>
        <w:t xml:space="preserve">орността на лицата, </w:t>
      </w:r>
      <w:r w:rsidR="00EB17A9" w:rsidRPr="00474BEE">
        <w:rPr>
          <w:lang w:val="bg-BG"/>
        </w:rPr>
        <w:t>част от йерархията</w:t>
      </w:r>
      <w:r w:rsidR="00606655" w:rsidRPr="00474BEE">
        <w:rPr>
          <w:lang w:val="bg-BG"/>
        </w:rPr>
        <w:t xml:space="preserve">, както и тази на </w:t>
      </w:r>
      <w:r w:rsidRPr="00474BEE">
        <w:rPr>
          <w:lang w:val="bg-BG"/>
        </w:rPr>
        <w:t xml:space="preserve">преките извършители.    </w:t>
      </w:r>
    </w:p>
    <w:p w:rsidR="0013791C" w:rsidRPr="00474BEE" w:rsidRDefault="0013791C" w:rsidP="0013791C">
      <w:pPr>
        <w:pStyle w:val="ECHRParaQuote"/>
        <w:rPr>
          <w:lang w:val="bg-BG"/>
        </w:rPr>
      </w:pPr>
      <w:r w:rsidRPr="00474BEE">
        <w:rPr>
          <w:lang w:val="bg-BG"/>
        </w:rPr>
        <w:t>10.  Комитетът призн</w:t>
      </w:r>
      <w:r w:rsidR="008B0C6F" w:rsidRPr="00474BEE">
        <w:rPr>
          <w:lang w:val="bg-BG"/>
        </w:rPr>
        <w:t>а</w:t>
      </w:r>
      <w:r w:rsidRPr="00474BEE">
        <w:rPr>
          <w:lang w:val="bg-BG"/>
        </w:rPr>
        <w:t xml:space="preserve">ва, че повечето държави – </w:t>
      </w:r>
      <w:r w:rsidR="001348E6" w:rsidRPr="00474BEE">
        <w:rPr>
          <w:lang w:val="bg-BG"/>
        </w:rPr>
        <w:t xml:space="preserve">страни по </w:t>
      </w:r>
      <w:r w:rsidR="00EB17A9" w:rsidRPr="00474BEE">
        <w:rPr>
          <w:lang w:val="bg-BG"/>
        </w:rPr>
        <w:t>к</w:t>
      </w:r>
      <w:r w:rsidR="001348E6" w:rsidRPr="00474BEE">
        <w:rPr>
          <w:lang w:val="bg-BG"/>
        </w:rPr>
        <w:t>онвенцията</w:t>
      </w:r>
      <w:r w:rsidRPr="00474BEE">
        <w:rPr>
          <w:lang w:val="bg-BG"/>
        </w:rPr>
        <w:t xml:space="preserve"> идентифицират или дефинират определено поведение като малтретиране в своите наказателни кодекси. В сравнение с изтезанието, малтретирането може да се различава по степен на болка и страдание, като и не изисква доказателство за недопустими цели. Комитетът подчертава, че преследване на поведение единствено </w:t>
      </w:r>
      <w:r w:rsidR="00B10563" w:rsidRPr="00474BEE">
        <w:rPr>
          <w:lang w:val="bg-BG"/>
        </w:rPr>
        <w:t xml:space="preserve">определено </w:t>
      </w:r>
      <w:r w:rsidRPr="00474BEE">
        <w:rPr>
          <w:lang w:val="bg-BG"/>
        </w:rPr>
        <w:t xml:space="preserve">като малтретиране, когато </w:t>
      </w:r>
      <w:r w:rsidR="00B10563" w:rsidRPr="00474BEE">
        <w:rPr>
          <w:lang w:val="bg-BG"/>
        </w:rPr>
        <w:t>в него присъстват и елементи</w:t>
      </w:r>
      <w:r w:rsidRPr="00474BEE">
        <w:rPr>
          <w:lang w:val="bg-BG"/>
        </w:rPr>
        <w:t xml:space="preserve"> на изтезание, би било нарушение на Конвенцията</w:t>
      </w:r>
      <w:r w:rsidR="00EB17A9" w:rsidRPr="00474BEE">
        <w:rPr>
          <w:lang w:val="bg-BG"/>
        </w:rPr>
        <w:t>.</w:t>
      </w:r>
    </w:p>
    <w:p w:rsidR="0013791C" w:rsidRPr="00474BEE" w:rsidRDefault="0013791C" w:rsidP="00467C5F">
      <w:pPr>
        <w:pStyle w:val="ECHRParaQuote"/>
        <w:rPr>
          <w:lang w:val="bg-BG"/>
        </w:rPr>
      </w:pPr>
      <w:r w:rsidRPr="00474BEE">
        <w:rPr>
          <w:lang w:val="bg-BG"/>
        </w:rPr>
        <w:t>11.  О</w:t>
      </w:r>
      <w:r w:rsidR="000D2250" w:rsidRPr="00474BEE">
        <w:rPr>
          <w:lang w:val="bg-BG"/>
        </w:rPr>
        <w:t xml:space="preserve">пределяйки престъплението </w:t>
      </w:r>
      <w:r w:rsidRPr="00474BEE">
        <w:rPr>
          <w:lang w:val="bg-BG"/>
        </w:rPr>
        <w:t>изтезан</w:t>
      </w:r>
      <w:r w:rsidR="00467C5F" w:rsidRPr="00474BEE">
        <w:rPr>
          <w:lang w:val="bg-BG"/>
        </w:rPr>
        <w:t>ие като различаващо се от обичайното</w:t>
      </w:r>
      <w:r w:rsidRPr="00474BEE">
        <w:rPr>
          <w:lang w:val="bg-BG"/>
        </w:rPr>
        <w:t xml:space="preserve"> нападение или други престъпления, Комитетът счита, че д</w:t>
      </w:r>
      <w:r w:rsidR="008B0C6F" w:rsidRPr="00474BEE">
        <w:rPr>
          <w:lang w:val="bg-BG"/>
        </w:rPr>
        <w:t>ъ</w:t>
      </w:r>
      <w:r w:rsidRPr="00474BEE">
        <w:rPr>
          <w:lang w:val="bg-BG"/>
        </w:rPr>
        <w:t xml:space="preserve">ржавите – </w:t>
      </w:r>
      <w:r w:rsidR="001348E6" w:rsidRPr="00474BEE">
        <w:rPr>
          <w:lang w:val="bg-BG"/>
        </w:rPr>
        <w:t xml:space="preserve">страни по </w:t>
      </w:r>
      <w:r w:rsidR="00B63B66" w:rsidRPr="00474BEE">
        <w:rPr>
          <w:lang w:val="bg-BG"/>
        </w:rPr>
        <w:t>к</w:t>
      </w:r>
      <w:r w:rsidR="001348E6" w:rsidRPr="00474BEE">
        <w:rPr>
          <w:lang w:val="bg-BG"/>
        </w:rPr>
        <w:t>онвенцията</w:t>
      </w:r>
      <w:r w:rsidRPr="00474BEE">
        <w:rPr>
          <w:lang w:val="bg-BG"/>
        </w:rPr>
        <w:t xml:space="preserve"> пряко ще подпомогнат за</w:t>
      </w:r>
      <w:r w:rsidR="00467C5F" w:rsidRPr="00474BEE">
        <w:rPr>
          <w:lang w:val="bg-BG"/>
        </w:rPr>
        <w:t xml:space="preserve"> постигане</w:t>
      </w:r>
      <w:r w:rsidRPr="00474BEE">
        <w:rPr>
          <w:lang w:val="bg-BG"/>
        </w:rPr>
        <w:t xml:space="preserve"> основната цел на Конвенцията за предотвратяване на изтезания</w:t>
      </w:r>
      <w:r w:rsidR="00467C5F" w:rsidRPr="00474BEE">
        <w:rPr>
          <w:lang w:val="bg-BG"/>
        </w:rPr>
        <w:t>та и малтретирането. Обо</w:t>
      </w:r>
      <w:r w:rsidR="00B10563" w:rsidRPr="00474BEE">
        <w:rPr>
          <w:lang w:val="bg-BG"/>
        </w:rPr>
        <w:t>значаването и дефинирането</w:t>
      </w:r>
      <w:r w:rsidR="00467C5F" w:rsidRPr="00474BEE">
        <w:rPr>
          <w:lang w:val="bg-BG"/>
        </w:rPr>
        <w:t xml:space="preserve"> на</w:t>
      </w:r>
      <w:r w:rsidRPr="00474BEE">
        <w:rPr>
          <w:lang w:val="bg-BG"/>
        </w:rPr>
        <w:t xml:space="preserve"> това престъпление ще</w:t>
      </w:r>
      <w:r w:rsidR="00467C5F" w:rsidRPr="00474BEE">
        <w:rPr>
          <w:lang w:val="bg-BG"/>
        </w:rPr>
        <w:t xml:space="preserve"> допринесе за постигане целите на Конвенцията, наред с другото, като се обърне внимание на всички, включително извършители, жертви и обществеността, върху особената тежест на престъплението изтезание. </w:t>
      </w:r>
      <w:r w:rsidRPr="00474BEE">
        <w:rPr>
          <w:lang w:val="bg-BG"/>
        </w:rPr>
        <w:t xml:space="preserve">Кодифицирането на това престъпление също така ще (а) подчертае необходимостта от подходящо наказание, </w:t>
      </w:r>
      <w:r w:rsidR="006960BD" w:rsidRPr="00474BEE">
        <w:rPr>
          <w:lang w:val="bg-BG"/>
        </w:rPr>
        <w:t xml:space="preserve">което </w:t>
      </w:r>
      <w:r w:rsidRPr="00474BEE">
        <w:rPr>
          <w:lang w:val="bg-BG"/>
        </w:rPr>
        <w:t>взима предвид тежестта</w:t>
      </w:r>
      <w:r w:rsidR="008B0C6F" w:rsidRPr="00474BEE">
        <w:rPr>
          <w:lang w:val="bg-BG"/>
        </w:rPr>
        <w:t xml:space="preserve"> на престъплението, (б) засили в</w:t>
      </w:r>
      <w:r w:rsidRPr="00474BEE">
        <w:rPr>
          <w:lang w:val="bg-BG"/>
        </w:rPr>
        <w:t>ъзпи</w:t>
      </w:r>
      <w:r w:rsidR="00467C5F" w:rsidRPr="00474BEE">
        <w:rPr>
          <w:lang w:val="bg-BG"/>
        </w:rPr>
        <w:t xml:space="preserve">ращия ефект на самата забрана, </w:t>
      </w:r>
      <w:r w:rsidRPr="00474BEE">
        <w:rPr>
          <w:lang w:val="bg-BG"/>
        </w:rPr>
        <w:t xml:space="preserve">(в) подсили способността на отговорните длъжностни лица за проследяване на </w:t>
      </w:r>
      <w:r w:rsidR="00467C5F" w:rsidRPr="00474BEE">
        <w:rPr>
          <w:lang w:val="bg-BG"/>
        </w:rPr>
        <w:t>конкретно</w:t>
      </w:r>
      <w:r w:rsidR="006960BD" w:rsidRPr="00474BEE">
        <w:rPr>
          <w:lang w:val="bg-BG"/>
        </w:rPr>
        <w:t>то</w:t>
      </w:r>
      <w:r w:rsidR="00467C5F" w:rsidRPr="00474BEE">
        <w:rPr>
          <w:lang w:val="bg-BG"/>
        </w:rPr>
        <w:t xml:space="preserve"> престъпление </w:t>
      </w:r>
      <w:r w:rsidRPr="00474BEE">
        <w:rPr>
          <w:lang w:val="bg-BG"/>
        </w:rPr>
        <w:t xml:space="preserve">изтезание и (г) позволи и даде възможност на обществеността да следи и, когато е необходимо, да оспори действията на държавата, както и нейните бездействия, които нарушават Конвенцията.”  </w:t>
      </w:r>
    </w:p>
    <w:p w:rsidR="0013791C" w:rsidRPr="00474BEE" w:rsidRDefault="0013791C" w:rsidP="0013791C">
      <w:pPr>
        <w:pStyle w:val="ECHRPara"/>
        <w:rPr>
          <w:lang w:val="bg-BG"/>
        </w:rPr>
      </w:pPr>
      <w:r w:rsidRPr="00474BEE">
        <w:rPr>
          <w:lang w:val="bg-BG"/>
        </w:rPr>
        <w:fldChar w:fldCharType="begin"/>
      </w:r>
      <w:r w:rsidRPr="00474BEE">
        <w:rPr>
          <w:lang w:val="bg-BG"/>
        </w:rPr>
        <w:instrText xml:space="preserve"> SEQ level0 \*arabic </w:instrText>
      </w:r>
      <w:r w:rsidRPr="00474BEE">
        <w:rPr>
          <w:lang w:val="bg-BG"/>
        </w:rPr>
        <w:fldChar w:fldCharType="separate"/>
      </w:r>
      <w:r w:rsidRPr="00474BEE">
        <w:rPr>
          <w:noProof/>
          <w:lang w:val="bg-BG"/>
        </w:rPr>
        <w:t>47</w:t>
      </w:r>
      <w:r w:rsidRPr="00474BEE">
        <w:rPr>
          <w:lang w:val="bg-BG"/>
        </w:rPr>
        <w:fldChar w:fldCharType="end"/>
      </w:r>
      <w:r w:rsidRPr="00474BEE">
        <w:rPr>
          <w:lang w:val="bg-BG"/>
        </w:rPr>
        <w:t>.  В заключител</w:t>
      </w:r>
      <w:r w:rsidR="00467C5F" w:rsidRPr="00474BEE">
        <w:rPr>
          <w:lang w:val="bg-BG"/>
        </w:rPr>
        <w:t>н</w:t>
      </w:r>
      <w:r w:rsidR="009A281E" w:rsidRPr="00474BEE">
        <w:rPr>
          <w:lang w:val="bg-BG"/>
        </w:rPr>
        <w:t>ото</w:t>
      </w:r>
      <w:r w:rsidR="00467C5F" w:rsidRPr="00474BEE">
        <w:rPr>
          <w:lang w:val="bg-BG"/>
        </w:rPr>
        <w:t xml:space="preserve"> си </w:t>
      </w:r>
      <w:r w:rsidR="009A281E" w:rsidRPr="00474BEE">
        <w:rPr>
          <w:lang w:val="bg-BG"/>
        </w:rPr>
        <w:t xml:space="preserve">становище за </w:t>
      </w:r>
      <w:r w:rsidRPr="00474BEE">
        <w:rPr>
          <w:lang w:val="bg-BG"/>
        </w:rPr>
        <w:t xml:space="preserve">втория периодичен доклад </w:t>
      </w:r>
      <w:r w:rsidR="00467C5F" w:rsidRPr="00474BEE">
        <w:rPr>
          <w:lang w:val="bg-BG"/>
        </w:rPr>
        <w:t>на България по</w:t>
      </w:r>
      <w:r w:rsidRPr="00474BEE">
        <w:rPr>
          <w:lang w:val="bg-BG"/>
        </w:rPr>
        <w:t xml:space="preserve"> тази Конвенция (ООН док. A/54/44(SUPP), §§ 151-62), публикуван на 1 януари 1999 г., Комитетът срещу изтеза</w:t>
      </w:r>
      <w:r w:rsidR="00B10563" w:rsidRPr="00474BEE">
        <w:rPr>
          <w:lang w:val="bg-BG"/>
        </w:rPr>
        <w:t>ния</w:t>
      </w:r>
      <w:r w:rsidR="00505C85" w:rsidRPr="00474BEE">
        <w:rPr>
          <w:lang w:val="bg-BG"/>
        </w:rPr>
        <w:t xml:space="preserve"> на ООН</w:t>
      </w:r>
      <w:r w:rsidR="00B10563" w:rsidRPr="00474BEE">
        <w:rPr>
          <w:lang w:val="bg-BG"/>
        </w:rPr>
        <w:t xml:space="preserve"> отбелязва със загриженост</w:t>
      </w:r>
      <w:r w:rsidRPr="00474BEE">
        <w:rPr>
          <w:lang w:val="bg-BG"/>
        </w:rPr>
        <w:t xml:space="preserve"> в </w:t>
      </w:r>
      <w:r w:rsidR="00505C85" w:rsidRPr="00474BEE">
        <w:rPr>
          <w:lang w:val="bg-BG"/>
        </w:rPr>
        <w:t xml:space="preserve">параграф </w:t>
      </w:r>
      <w:r w:rsidRPr="00474BEE">
        <w:rPr>
          <w:lang w:val="bg-BG"/>
        </w:rPr>
        <w:t>157, „неспособността да се гаран</w:t>
      </w:r>
      <w:r w:rsidR="00467C5F" w:rsidRPr="00474BEE">
        <w:rPr>
          <w:lang w:val="bg-BG"/>
        </w:rPr>
        <w:t>т</w:t>
      </w:r>
      <w:r w:rsidR="00B10563" w:rsidRPr="00474BEE">
        <w:rPr>
          <w:lang w:val="bg-BG"/>
        </w:rPr>
        <w:t>ира, че всички случаи</w:t>
      </w:r>
      <w:r w:rsidRPr="00474BEE">
        <w:rPr>
          <w:lang w:val="bg-BG"/>
        </w:rPr>
        <w:t xml:space="preserve"> на изтезание се считат за престъпления според наказателното право”, като препоръчва, в </w:t>
      </w:r>
      <w:r w:rsidR="00505C85" w:rsidRPr="00474BEE">
        <w:rPr>
          <w:lang w:val="bg-BG"/>
        </w:rPr>
        <w:t xml:space="preserve">параграф </w:t>
      </w:r>
      <w:r w:rsidRPr="00474BEE">
        <w:rPr>
          <w:lang w:val="bg-BG"/>
        </w:rPr>
        <w:t xml:space="preserve">162 </w:t>
      </w:r>
      <w:r w:rsidR="00467C5F" w:rsidRPr="00474BEE">
        <w:rPr>
          <w:lang w:val="bg-BG"/>
        </w:rPr>
        <w:t xml:space="preserve">(а), България </w:t>
      </w:r>
      <w:r w:rsidR="00505C85" w:rsidRPr="00474BEE">
        <w:rPr>
          <w:lang w:val="bg-BG"/>
        </w:rPr>
        <w:t>„</w:t>
      </w:r>
      <w:r w:rsidR="00467C5F" w:rsidRPr="00474BEE">
        <w:rPr>
          <w:lang w:val="bg-BG"/>
        </w:rPr>
        <w:t>да продължи да по</w:t>
      </w:r>
      <w:r w:rsidRPr="00474BEE">
        <w:rPr>
          <w:lang w:val="bg-BG"/>
        </w:rPr>
        <w:t xml:space="preserve">лага усилия разпоредбите на Конвенцията да бъдат прилагани, и по-специално чл. 1, 2, 4, 5 и 6, чрез приемане на необходимите законодателни мерки в това отношение”.  </w:t>
      </w:r>
    </w:p>
    <w:p w:rsidR="0013791C" w:rsidRPr="00474BEE" w:rsidRDefault="0013791C" w:rsidP="0013791C">
      <w:pPr>
        <w:pStyle w:val="ECHRPara"/>
        <w:rPr>
          <w:lang w:val="bg-BG"/>
        </w:rPr>
      </w:pPr>
      <w:r w:rsidRPr="00474BEE">
        <w:rPr>
          <w:lang w:val="bg-BG"/>
        </w:rPr>
        <w:fldChar w:fldCharType="begin"/>
      </w:r>
      <w:r w:rsidRPr="00474BEE">
        <w:rPr>
          <w:lang w:val="bg-BG"/>
        </w:rPr>
        <w:instrText xml:space="preserve"> SEQ level0 \*arabic </w:instrText>
      </w:r>
      <w:r w:rsidRPr="00474BEE">
        <w:rPr>
          <w:lang w:val="bg-BG"/>
        </w:rPr>
        <w:fldChar w:fldCharType="separate"/>
      </w:r>
      <w:r w:rsidRPr="00474BEE">
        <w:rPr>
          <w:noProof/>
          <w:lang w:val="bg-BG"/>
        </w:rPr>
        <w:t>48</w:t>
      </w:r>
      <w:r w:rsidRPr="00474BEE">
        <w:rPr>
          <w:lang w:val="bg-BG"/>
        </w:rPr>
        <w:fldChar w:fldCharType="end"/>
      </w:r>
      <w:r w:rsidRPr="00474BEE">
        <w:rPr>
          <w:lang w:val="bg-BG"/>
        </w:rPr>
        <w:t>.  В своите заключения и препоръки относно третия перио</w:t>
      </w:r>
      <w:r w:rsidR="00467C5F" w:rsidRPr="00474BEE">
        <w:rPr>
          <w:lang w:val="bg-BG"/>
        </w:rPr>
        <w:t xml:space="preserve">дичен доклад на България по </w:t>
      </w:r>
      <w:r w:rsidRPr="00474BEE">
        <w:rPr>
          <w:lang w:val="bg-BG"/>
        </w:rPr>
        <w:t xml:space="preserve">тази Конвенция (ООН док. CAT/C/CR/32/6), публикуван на 11 юни 2004 г., Комитетът препоръчва, в </w:t>
      </w:r>
      <w:r w:rsidR="00505C85" w:rsidRPr="00474BEE">
        <w:rPr>
          <w:lang w:val="bg-BG"/>
        </w:rPr>
        <w:t xml:space="preserve">параграф </w:t>
      </w:r>
      <w:r w:rsidRPr="00474BEE">
        <w:rPr>
          <w:lang w:val="bg-BG"/>
        </w:rPr>
        <w:t>6 (</w:t>
      </w:r>
      <w:r w:rsidR="00746263" w:rsidRPr="00474BEE">
        <w:rPr>
          <w:lang w:val="bg-BG"/>
        </w:rPr>
        <w:t xml:space="preserve">а), България да </w:t>
      </w:r>
      <w:r w:rsidR="00505C85" w:rsidRPr="00474BEE">
        <w:rPr>
          <w:lang w:val="bg-BG"/>
        </w:rPr>
        <w:t>„</w:t>
      </w:r>
      <w:r w:rsidR="00746263" w:rsidRPr="00474BEE">
        <w:rPr>
          <w:lang w:val="bg-BG"/>
        </w:rPr>
        <w:t>приеме дефиниция</w:t>
      </w:r>
      <w:r w:rsidRPr="00474BEE">
        <w:rPr>
          <w:lang w:val="bg-BG"/>
        </w:rPr>
        <w:t xml:space="preserve"> за изтезанието, ко</w:t>
      </w:r>
      <w:r w:rsidR="00634CC1" w:rsidRPr="00474BEE">
        <w:rPr>
          <w:lang w:val="bg-BG"/>
        </w:rPr>
        <w:t>я</w:t>
      </w:r>
      <w:r w:rsidRPr="00474BEE">
        <w:rPr>
          <w:lang w:val="bg-BG"/>
        </w:rPr>
        <w:t>то да обхваща всички елементи съдържащи се в чл. 1 от Конвенцията, както и в НК да бъде включен</w:t>
      </w:r>
      <w:r w:rsidR="00746263" w:rsidRPr="00474BEE">
        <w:rPr>
          <w:lang w:val="bg-BG"/>
        </w:rPr>
        <w:t>о определение на престъплението</w:t>
      </w:r>
      <w:r w:rsidRPr="00474BEE">
        <w:rPr>
          <w:lang w:val="bg-BG"/>
        </w:rPr>
        <w:t xml:space="preserve"> изтезание, което ясно да отразява тази дефиниция”.</w:t>
      </w:r>
    </w:p>
    <w:p w:rsidR="0013791C" w:rsidRPr="00474BEE" w:rsidRDefault="0013791C" w:rsidP="0013791C">
      <w:pPr>
        <w:pStyle w:val="ECHRPara"/>
        <w:rPr>
          <w:lang w:val="bg-BG"/>
        </w:rPr>
      </w:pPr>
      <w:r w:rsidRPr="00474BEE">
        <w:rPr>
          <w:lang w:val="bg-BG"/>
        </w:rPr>
        <w:fldChar w:fldCharType="begin"/>
      </w:r>
      <w:r w:rsidRPr="00474BEE">
        <w:rPr>
          <w:lang w:val="bg-BG"/>
        </w:rPr>
        <w:instrText xml:space="preserve"> SEQ level0 \*arabic </w:instrText>
      </w:r>
      <w:r w:rsidRPr="00474BEE">
        <w:rPr>
          <w:lang w:val="bg-BG"/>
        </w:rPr>
        <w:fldChar w:fldCharType="separate"/>
      </w:r>
      <w:r w:rsidRPr="00474BEE">
        <w:rPr>
          <w:noProof/>
          <w:lang w:val="bg-BG"/>
        </w:rPr>
        <w:t>49</w:t>
      </w:r>
      <w:r w:rsidRPr="00474BEE">
        <w:rPr>
          <w:lang w:val="bg-BG"/>
        </w:rPr>
        <w:fldChar w:fldCharType="end"/>
      </w:r>
      <w:r w:rsidRPr="00474BEE">
        <w:rPr>
          <w:lang w:val="bg-BG"/>
        </w:rPr>
        <w:t>.  В заключителн</w:t>
      </w:r>
      <w:r w:rsidR="00634CC1" w:rsidRPr="00474BEE">
        <w:rPr>
          <w:lang w:val="bg-BG"/>
        </w:rPr>
        <w:t>ото</w:t>
      </w:r>
      <w:r w:rsidRPr="00474BEE">
        <w:rPr>
          <w:lang w:val="bg-BG"/>
        </w:rPr>
        <w:t xml:space="preserve"> си </w:t>
      </w:r>
      <w:r w:rsidR="00634CC1" w:rsidRPr="00474BEE">
        <w:rPr>
          <w:lang w:val="bg-BG"/>
        </w:rPr>
        <w:t xml:space="preserve">становище </w:t>
      </w:r>
      <w:r w:rsidRPr="00474BEE">
        <w:rPr>
          <w:lang w:val="bg-BG"/>
        </w:rPr>
        <w:t>относно четвъртия и петия пер</w:t>
      </w:r>
      <w:r w:rsidR="00746263" w:rsidRPr="00474BEE">
        <w:rPr>
          <w:lang w:val="bg-BG"/>
        </w:rPr>
        <w:t>иодичен доклад на България по</w:t>
      </w:r>
      <w:r w:rsidRPr="00474BEE">
        <w:rPr>
          <w:lang w:val="bg-BG"/>
        </w:rPr>
        <w:t xml:space="preserve"> тази Конвенци</w:t>
      </w:r>
      <w:r w:rsidR="00746263" w:rsidRPr="00474BEE">
        <w:rPr>
          <w:lang w:val="bg-BG"/>
        </w:rPr>
        <w:t>я</w:t>
      </w:r>
      <w:r w:rsidRPr="00474BEE">
        <w:rPr>
          <w:lang w:val="bg-BG"/>
        </w:rPr>
        <w:t xml:space="preserve"> (ООН док. CAT/C/BGR/CO/4</w:t>
      </w:r>
      <w:r w:rsidRPr="00474BEE">
        <w:rPr>
          <w:lang w:val="bg-BG"/>
        </w:rPr>
        <w:noBreakHyphen/>
        <w:t xml:space="preserve">5), Комитетът взима под внимание, в </w:t>
      </w:r>
      <w:r w:rsidR="00634CC1" w:rsidRPr="00474BEE">
        <w:rPr>
          <w:lang w:val="bg-BG"/>
        </w:rPr>
        <w:t xml:space="preserve">параграф </w:t>
      </w:r>
      <w:r w:rsidRPr="00474BEE">
        <w:rPr>
          <w:lang w:val="bg-BG"/>
        </w:rPr>
        <w:t>6 (i), изменението от 2004 г. на чл. 287 от НК</w:t>
      </w:r>
      <w:r w:rsidR="00634CC1" w:rsidRPr="00474BEE">
        <w:rPr>
          <w:lang w:val="bg-BG"/>
        </w:rPr>
        <w:t xml:space="preserve"> от</w:t>
      </w:r>
      <w:r w:rsidRPr="00474BEE">
        <w:rPr>
          <w:lang w:val="bg-BG"/>
        </w:rPr>
        <w:t xml:space="preserve"> 1968 г. (вж</w:t>
      </w:r>
      <w:r w:rsidR="00634CC1" w:rsidRPr="00474BEE">
        <w:rPr>
          <w:lang w:val="bg-BG"/>
        </w:rPr>
        <w:t>.</w:t>
      </w:r>
      <w:r w:rsidRPr="00474BEE">
        <w:rPr>
          <w:lang w:val="bg-BG"/>
        </w:rPr>
        <w:t xml:space="preserve"> параграфи 32 и 34 по-горе), но продължава в парагра</w:t>
      </w:r>
      <w:r w:rsidR="00746263" w:rsidRPr="00474BEE">
        <w:rPr>
          <w:lang w:val="bg-BG"/>
        </w:rPr>
        <w:t>ф 8 да изразява безпокойството</w:t>
      </w:r>
      <w:r w:rsidRPr="00474BEE">
        <w:rPr>
          <w:lang w:val="bg-BG"/>
        </w:rPr>
        <w:t xml:space="preserve"> си </w:t>
      </w:r>
      <w:r w:rsidRPr="00474BEE">
        <w:rPr>
          <w:lang w:val="bg-BG"/>
        </w:rPr>
        <w:lastRenderedPageBreak/>
        <w:t>относно това, че „изтезанието не е криминализирано като отделно престъпление в закона, както се изисква по силата на Конвенцията”, и да настоява България да „предприеме ефективни законодателни мерки за включване на изтез</w:t>
      </w:r>
      <w:r w:rsidR="00746263" w:rsidRPr="00474BEE">
        <w:rPr>
          <w:lang w:val="bg-BG"/>
        </w:rPr>
        <w:t>анието като отделно и конкретно</w:t>
      </w:r>
      <w:r w:rsidRPr="00474BEE">
        <w:rPr>
          <w:lang w:val="bg-BG"/>
        </w:rPr>
        <w:t xml:space="preserve"> престъпление в своето законодателство, както и да гарантира, че </w:t>
      </w:r>
      <w:r w:rsidR="00832CA4" w:rsidRPr="00474BEE">
        <w:rPr>
          <w:lang w:val="bg-BG"/>
        </w:rPr>
        <w:t xml:space="preserve">наказанията </w:t>
      </w:r>
      <w:r w:rsidRPr="00474BEE">
        <w:rPr>
          <w:lang w:val="bg-BG"/>
        </w:rPr>
        <w:t xml:space="preserve">за изтезание са съизмерими с тежестта на това престъпление”. </w:t>
      </w:r>
    </w:p>
    <w:p w:rsidR="003B1379" w:rsidRPr="00474BEE" w:rsidRDefault="0013791C" w:rsidP="0013791C">
      <w:pPr>
        <w:pStyle w:val="ECHRPara"/>
        <w:rPr>
          <w:lang w:val="bg-BG"/>
        </w:rPr>
      </w:pPr>
      <w:r w:rsidRPr="00474BEE">
        <w:rPr>
          <w:lang w:val="bg-BG"/>
        </w:rPr>
        <w:fldChar w:fldCharType="begin"/>
      </w:r>
      <w:r w:rsidRPr="00474BEE">
        <w:rPr>
          <w:lang w:val="bg-BG"/>
        </w:rPr>
        <w:instrText xml:space="preserve"> SEQ level0 \*arabic </w:instrText>
      </w:r>
      <w:r w:rsidRPr="00474BEE">
        <w:rPr>
          <w:lang w:val="bg-BG"/>
        </w:rPr>
        <w:fldChar w:fldCharType="separate"/>
      </w:r>
      <w:r w:rsidRPr="00474BEE">
        <w:rPr>
          <w:noProof/>
          <w:lang w:val="bg-BG"/>
        </w:rPr>
        <w:t>50</w:t>
      </w:r>
      <w:r w:rsidRPr="00474BEE">
        <w:rPr>
          <w:lang w:val="bg-BG"/>
        </w:rPr>
        <w:fldChar w:fldCharType="end"/>
      </w:r>
      <w:r w:rsidRPr="00474BEE">
        <w:rPr>
          <w:lang w:val="bg-BG"/>
        </w:rPr>
        <w:t>.  Комитетът е направил такива препоръки и към редица други държави – страни по тази Конвенция (вж</w:t>
      </w:r>
      <w:r w:rsidR="00832CA4" w:rsidRPr="00474BEE">
        <w:rPr>
          <w:lang w:val="bg-BG"/>
        </w:rPr>
        <w:t>.</w:t>
      </w:r>
      <w:r w:rsidRPr="00474BEE">
        <w:rPr>
          <w:lang w:val="bg-BG"/>
        </w:rPr>
        <w:t>, например, доклада на Комитета относно неговата тридесет и седма и тридесет и осма сесия, проведени, съответно, през ноември 2006 г. и април – май 2007 г., ООН док. A/62/44, §§ 25-45</w:t>
      </w:r>
      <w:r w:rsidR="003B1379" w:rsidRPr="00474BEE">
        <w:rPr>
          <w:lang w:val="bg-BG"/>
        </w:rPr>
        <w:t>)</w:t>
      </w:r>
      <w:r w:rsidR="00F63FA9" w:rsidRPr="00474BEE">
        <w:rPr>
          <w:lang w:val="bg-BG"/>
        </w:rPr>
        <w:t>.</w:t>
      </w:r>
    </w:p>
    <w:p w:rsidR="0013791C" w:rsidRPr="00474BEE" w:rsidRDefault="00746263" w:rsidP="0013791C">
      <w:pPr>
        <w:pStyle w:val="ECHRHeading2"/>
        <w:outlineLvl w:val="2"/>
        <w:rPr>
          <w:lang w:val="bg-BG"/>
        </w:rPr>
      </w:pPr>
      <w:r w:rsidRPr="00474BEE">
        <w:rPr>
          <w:lang w:val="bg-BG"/>
        </w:rPr>
        <w:t>Б</w:t>
      </w:r>
      <w:r w:rsidR="00104C65" w:rsidRPr="00474BEE">
        <w:rPr>
          <w:lang w:val="bg-BG"/>
        </w:rPr>
        <w:t>.</w:t>
      </w:r>
      <w:r w:rsidRPr="00474BEE">
        <w:rPr>
          <w:lang w:val="bg-BG"/>
        </w:rPr>
        <w:t> Международен</w:t>
      </w:r>
      <w:r w:rsidR="0013791C" w:rsidRPr="00474BEE">
        <w:rPr>
          <w:lang w:val="bg-BG"/>
        </w:rPr>
        <w:t xml:space="preserve"> пакт за граждански и политически права </w:t>
      </w:r>
    </w:p>
    <w:p w:rsidR="0013791C" w:rsidRPr="00474BEE" w:rsidRDefault="0013791C" w:rsidP="0013791C">
      <w:pPr>
        <w:pStyle w:val="ECHRPara"/>
        <w:rPr>
          <w:lang w:val="bg-BG"/>
        </w:rPr>
      </w:pPr>
      <w:r w:rsidRPr="00474BEE">
        <w:rPr>
          <w:lang w:val="bg-BG"/>
        </w:rPr>
        <w:fldChar w:fldCharType="begin"/>
      </w:r>
      <w:r w:rsidRPr="00474BEE">
        <w:rPr>
          <w:lang w:val="bg-BG"/>
        </w:rPr>
        <w:instrText xml:space="preserve"> SEQ level0 \*arabic </w:instrText>
      </w:r>
      <w:r w:rsidRPr="00474BEE">
        <w:rPr>
          <w:lang w:val="bg-BG"/>
        </w:rPr>
        <w:fldChar w:fldCharType="separate"/>
      </w:r>
      <w:r w:rsidRPr="00474BEE">
        <w:rPr>
          <w:noProof/>
          <w:lang w:val="bg-BG"/>
        </w:rPr>
        <w:t>51</w:t>
      </w:r>
      <w:r w:rsidRPr="00474BEE">
        <w:rPr>
          <w:lang w:val="bg-BG"/>
        </w:rPr>
        <w:fldChar w:fldCharType="end"/>
      </w:r>
      <w:r w:rsidRPr="00474BEE">
        <w:rPr>
          <w:lang w:val="bg-BG"/>
        </w:rPr>
        <w:t xml:space="preserve">.  Международният пакт за граждански и политически права </w:t>
      </w:r>
      <w:r w:rsidR="00746263" w:rsidRPr="00474BEE">
        <w:rPr>
          <w:lang w:val="bg-BG"/>
        </w:rPr>
        <w:t>(„МПГПП</w:t>
      </w:r>
      <w:r w:rsidRPr="00474BEE">
        <w:rPr>
          <w:lang w:val="bg-BG"/>
        </w:rPr>
        <w:t xml:space="preserve">”) (999 UNTS 171) е приет от </w:t>
      </w:r>
      <w:r w:rsidR="00B00BE1" w:rsidRPr="00474BEE">
        <w:rPr>
          <w:lang w:val="bg-BG"/>
        </w:rPr>
        <w:t>Генералната асамблея</w:t>
      </w:r>
      <w:r w:rsidRPr="00474BEE">
        <w:rPr>
          <w:lang w:val="bg-BG"/>
        </w:rPr>
        <w:t xml:space="preserve"> на ООН и открит за подписване на 16 декември 1966 г. (ООН док. </w:t>
      </w:r>
      <w:r w:rsidR="00746263" w:rsidRPr="00474BEE">
        <w:rPr>
          <w:lang w:val="bg-BG"/>
        </w:rPr>
        <w:t>A/6316, стр</w:t>
      </w:r>
      <w:r w:rsidRPr="00474BEE">
        <w:rPr>
          <w:lang w:val="bg-BG"/>
        </w:rPr>
        <w:t>. 49). Не</w:t>
      </w:r>
      <w:r w:rsidR="00746263" w:rsidRPr="00474BEE">
        <w:rPr>
          <w:lang w:val="bg-BG"/>
        </w:rPr>
        <w:t>говите основни разпоредби влизат</w:t>
      </w:r>
      <w:r w:rsidRPr="00474BEE">
        <w:rPr>
          <w:lang w:val="bg-BG"/>
        </w:rPr>
        <w:t xml:space="preserve"> в сила, включително и по отношение на България, на 23 март 1976 г. България е едн</w:t>
      </w:r>
      <w:r w:rsidR="004D78B8" w:rsidRPr="00474BEE">
        <w:rPr>
          <w:lang w:val="bg-BG"/>
        </w:rPr>
        <w:t>а от първите страни подписали П</w:t>
      </w:r>
      <w:r w:rsidRPr="00474BEE">
        <w:rPr>
          <w:lang w:val="bg-BG"/>
        </w:rPr>
        <w:t>ак</w:t>
      </w:r>
      <w:r w:rsidR="00746263" w:rsidRPr="00474BEE">
        <w:rPr>
          <w:lang w:val="bg-BG"/>
        </w:rPr>
        <w:t>та на 8 октомври 1968 г., като го</w:t>
      </w:r>
      <w:r w:rsidRPr="00474BEE">
        <w:rPr>
          <w:lang w:val="bg-BG"/>
        </w:rPr>
        <w:t xml:space="preserve"> ратифицира на 21 септември 1970 г. Превод на текста на Пакта е публикуван в Българския държавен вестник на 28 май 1976 г. (ДВ, бр. 43 от 28.05.1976 г.). Съответните му разпоредби гласят: </w:t>
      </w:r>
    </w:p>
    <w:p w:rsidR="0013791C" w:rsidRPr="00474BEE" w:rsidRDefault="0013791C" w:rsidP="0013791C">
      <w:pPr>
        <w:pStyle w:val="ECHRTitleCentre3"/>
        <w:outlineLvl w:val="9"/>
        <w:rPr>
          <w:lang w:val="bg-BG"/>
        </w:rPr>
      </w:pPr>
      <w:r w:rsidRPr="00474BEE">
        <w:rPr>
          <w:lang w:val="bg-BG"/>
        </w:rPr>
        <w:t>Чл. 2 § 2</w:t>
      </w:r>
    </w:p>
    <w:p w:rsidR="0013791C" w:rsidRPr="00474BEE" w:rsidRDefault="0013791C" w:rsidP="0013791C">
      <w:pPr>
        <w:pStyle w:val="ECHRParaQuote"/>
        <w:rPr>
          <w:lang w:val="bg-BG"/>
        </w:rPr>
      </w:pPr>
      <w:r w:rsidRPr="00474BEE">
        <w:rPr>
          <w:lang w:val="bg-BG"/>
        </w:rPr>
        <w:t xml:space="preserve">„Всяка държава – страна по този пакт, където това не се предвижда в съществуващите законодателни или други разпоредби, се задължава да направи необходимите постъпки съгласно конституционните си правила и разпоредбите на този пакт за приемането на такива законодателни или други мерки, необходими за осъществяването на правата, признати в този пакт.” </w:t>
      </w:r>
    </w:p>
    <w:p w:rsidR="0013791C" w:rsidRPr="00474BEE" w:rsidRDefault="0013791C" w:rsidP="0013791C">
      <w:pPr>
        <w:pStyle w:val="ECHRTitleCentre3"/>
        <w:outlineLvl w:val="9"/>
        <w:rPr>
          <w:lang w:val="bg-BG"/>
        </w:rPr>
      </w:pPr>
      <w:r w:rsidRPr="00474BEE">
        <w:rPr>
          <w:lang w:val="bg-BG"/>
        </w:rPr>
        <w:t>Чл. 7</w:t>
      </w:r>
    </w:p>
    <w:p w:rsidR="0013791C" w:rsidRPr="00474BEE" w:rsidRDefault="0013791C" w:rsidP="0013791C">
      <w:pPr>
        <w:pStyle w:val="ECHRParaQuote"/>
        <w:rPr>
          <w:lang w:val="bg-BG"/>
        </w:rPr>
      </w:pPr>
      <w:r w:rsidRPr="00474BEE">
        <w:rPr>
          <w:lang w:val="bg-BG"/>
        </w:rPr>
        <w:t>„Никой не може да бъде под</w:t>
      </w:r>
      <w:r w:rsidR="008B0C6F" w:rsidRPr="00474BEE">
        <w:rPr>
          <w:lang w:val="bg-BG"/>
        </w:rPr>
        <w:t>лаган на мъчение или на жестоко</w:t>
      </w:r>
      <w:r w:rsidRPr="00474BEE">
        <w:rPr>
          <w:lang w:val="bg-BG"/>
        </w:rPr>
        <w:t>, без</w:t>
      </w:r>
      <w:r w:rsidR="008B0C6F" w:rsidRPr="00474BEE">
        <w:rPr>
          <w:lang w:val="bg-BG"/>
        </w:rPr>
        <w:t xml:space="preserve">човечно или унизително </w:t>
      </w:r>
      <w:r w:rsidR="007D3CFD" w:rsidRPr="00474BEE">
        <w:rPr>
          <w:lang w:val="bg-BG"/>
        </w:rPr>
        <w:t xml:space="preserve">третиране </w:t>
      </w:r>
      <w:r w:rsidRPr="00474BEE">
        <w:rPr>
          <w:lang w:val="bg-BG"/>
        </w:rPr>
        <w:t xml:space="preserve">или наказание. ...”   </w:t>
      </w:r>
    </w:p>
    <w:p w:rsidR="00104C65" w:rsidRPr="00474BEE" w:rsidRDefault="0013791C" w:rsidP="0013791C">
      <w:pPr>
        <w:pStyle w:val="ECHRPara"/>
        <w:rPr>
          <w:lang w:val="bg-BG"/>
        </w:rPr>
      </w:pPr>
      <w:r w:rsidRPr="00474BEE">
        <w:rPr>
          <w:lang w:val="bg-BG"/>
        </w:rPr>
        <w:fldChar w:fldCharType="begin"/>
      </w:r>
      <w:r w:rsidRPr="00474BEE">
        <w:rPr>
          <w:lang w:val="bg-BG"/>
        </w:rPr>
        <w:instrText xml:space="preserve"> SEQ level0 \*arabic </w:instrText>
      </w:r>
      <w:r w:rsidRPr="00474BEE">
        <w:rPr>
          <w:lang w:val="bg-BG"/>
        </w:rPr>
        <w:fldChar w:fldCharType="separate"/>
      </w:r>
      <w:r w:rsidRPr="00474BEE">
        <w:rPr>
          <w:noProof/>
          <w:lang w:val="bg-BG"/>
        </w:rPr>
        <w:t>52</w:t>
      </w:r>
      <w:r w:rsidRPr="00474BEE">
        <w:rPr>
          <w:lang w:val="bg-BG"/>
        </w:rPr>
        <w:fldChar w:fldCharType="end"/>
      </w:r>
      <w:r w:rsidRPr="00474BEE">
        <w:rPr>
          <w:lang w:val="bg-BG"/>
        </w:rPr>
        <w:t>.  В заключителн</w:t>
      </w:r>
      <w:r w:rsidR="00844483" w:rsidRPr="00474BEE">
        <w:rPr>
          <w:lang w:val="bg-BG"/>
        </w:rPr>
        <w:t>ото</w:t>
      </w:r>
      <w:r w:rsidRPr="00474BEE">
        <w:rPr>
          <w:lang w:val="bg-BG"/>
        </w:rPr>
        <w:t xml:space="preserve"> си </w:t>
      </w:r>
      <w:r w:rsidR="00844483" w:rsidRPr="00474BEE">
        <w:rPr>
          <w:lang w:val="bg-BG"/>
        </w:rPr>
        <w:t xml:space="preserve">становище </w:t>
      </w:r>
      <w:r w:rsidRPr="00474BEE">
        <w:rPr>
          <w:lang w:val="bg-BG"/>
        </w:rPr>
        <w:t>относно третия периодичен доклад н</w:t>
      </w:r>
      <w:r w:rsidR="00746263" w:rsidRPr="00474BEE">
        <w:rPr>
          <w:lang w:val="bg-BG"/>
        </w:rPr>
        <w:t>а България по</w:t>
      </w:r>
      <w:r w:rsidR="004D78B8" w:rsidRPr="00474BEE">
        <w:rPr>
          <w:lang w:val="bg-BG"/>
        </w:rPr>
        <w:t xml:space="preserve"> Пакта (ООН док. </w:t>
      </w:r>
      <w:r w:rsidRPr="00474BEE">
        <w:rPr>
          <w:lang w:val="bg-BG"/>
        </w:rPr>
        <w:t xml:space="preserve">CCPR/C/BGR/CO/3), публикуван на 19 август 2011 г., Комитетът по правата на човека на ООН взима под внимание в </w:t>
      </w:r>
      <w:r w:rsidR="00844483" w:rsidRPr="00474BEE">
        <w:rPr>
          <w:lang w:val="bg-BG"/>
        </w:rPr>
        <w:t xml:space="preserve">параграф </w:t>
      </w:r>
      <w:r w:rsidRPr="00474BEE">
        <w:rPr>
          <w:lang w:val="bg-BG"/>
        </w:rPr>
        <w:t>13 „измененията, направени в НК от 2004 г.</w:t>
      </w:r>
      <w:r w:rsidR="00844483" w:rsidRPr="00474BEE">
        <w:rPr>
          <w:lang w:val="bg-BG"/>
        </w:rPr>
        <w:t xml:space="preserve"> насам</w:t>
      </w:r>
      <w:r w:rsidRPr="00474BEE">
        <w:rPr>
          <w:lang w:val="bg-BG"/>
        </w:rPr>
        <w:t xml:space="preserve">”, но изразява съжалението си, че „националното законодателство все още не е криминализирало изтезанието и нечовешкото и унизително отношение в съответствие с международните стандарти, като се </w:t>
      </w:r>
      <w:r w:rsidR="00844483" w:rsidRPr="00474BEE">
        <w:rPr>
          <w:lang w:val="bg-BG"/>
        </w:rPr>
        <w:t xml:space="preserve">има </w:t>
      </w:r>
      <w:r w:rsidRPr="00474BEE">
        <w:rPr>
          <w:lang w:val="bg-BG"/>
        </w:rPr>
        <w:t xml:space="preserve">предвид, че чл. 287 и 143 от НК не покриват тези престъпления”, и препоръчва България да „приеме определена дефиниция за изтезанието, която напълно да отговаря на чл. </w:t>
      </w:r>
      <w:r w:rsidRPr="00474BEE">
        <w:rPr>
          <w:lang w:val="bg-BG"/>
        </w:rPr>
        <w:lastRenderedPageBreak/>
        <w:t>1 и 4 от Конвенцията срещу изтезанията [и други форми на жестоко, нечовешко или унизително отн</w:t>
      </w:r>
      <w:r w:rsidR="00FA23E2" w:rsidRPr="00474BEE">
        <w:rPr>
          <w:lang w:val="bg-BG"/>
        </w:rPr>
        <w:t>асяне</w:t>
      </w:r>
      <w:r w:rsidRPr="00474BEE">
        <w:rPr>
          <w:lang w:val="bg-BG"/>
        </w:rPr>
        <w:t xml:space="preserve"> или наказание], и на чл. 7 от Пакта”</w:t>
      </w:r>
      <w:r w:rsidR="00104C65" w:rsidRPr="00474BEE">
        <w:rPr>
          <w:lang w:val="bg-BG"/>
        </w:rPr>
        <w:t>.</w:t>
      </w:r>
    </w:p>
    <w:p w:rsidR="00A47FB1" w:rsidRPr="00474BEE" w:rsidRDefault="00A47FB1" w:rsidP="00550343">
      <w:pPr>
        <w:pStyle w:val="ECHRHeading1"/>
        <w:outlineLvl w:val="1"/>
        <w:rPr>
          <w:lang w:val="bg-BG"/>
        </w:rPr>
      </w:pPr>
      <w:r w:rsidRPr="00474BEE">
        <w:rPr>
          <w:lang w:val="bg-BG"/>
        </w:rPr>
        <w:t>IV.  </w:t>
      </w:r>
      <w:r w:rsidR="0013791C" w:rsidRPr="00474BEE">
        <w:rPr>
          <w:lang w:val="bg-BG"/>
        </w:rPr>
        <w:t xml:space="preserve">ПРИЛОЖИМИ </w:t>
      </w:r>
      <w:r w:rsidR="00B00BE1" w:rsidRPr="00474BEE">
        <w:rPr>
          <w:lang w:val="bg-BG"/>
        </w:rPr>
        <w:t xml:space="preserve">ДОКУМЕНТИ </w:t>
      </w:r>
      <w:r w:rsidR="0013791C" w:rsidRPr="00474BEE">
        <w:rPr>
          <w:lang w:val="bg-BG"/>
        </w:rPr>
        <w:t>НА СЪВЕТА НА ЕВРОПА</w:t>
      </w:r>
    </w:p>
    <w:p w:rsidR="0013791C" w:rsidRPr="00474BEE" w:rsidRDefault="00D16EB7" w:rsidP="0013791C">
      <w:pPr>
        <w:pStyle w:val="ECHRPara"/>
        <w:rPr>
          <w:lang w:val="bg-BG"/>
        </w:rPr>
      </w:pPr>
      <w:r w:rsidRPr="00474BEE">
        <w:rPr>
          <w:lang w:val="bg-BG"/>
        </w:rPr>
        <w:fldChar w:fldCharType="begin"/>
      </w:r>
      <w:r w:rsidR="00A47FB1" w:rsidRPr="00474BEE">
        <w:rPr>
          <w:lang w:val="bg-BG"/>
        </w:rPr>
        <w:instrText xml:space="preserve"> SEQ level0 \*arabic </w:instrText>
      </w:r>
      <w:r w:rsidRPr="00474BEE">
        <w:rPr>
          <w:lang w:val="bg-BG"/>
        </w:rPr>
        <w:fldChar w:fldCharType="separate"/>
      </w:r>
      <w:r w:rsidR="00550343" w:rsidRPr="00474BEE">
        <w:rPr>
          <w:noProof/>
          <w:lang w:val="bg-BG"/>
        </w:rPr>
        <w:t>53</w:t>
      </w:r>
      <w:r w:rsidRPr="00474BEE">
        <w:rPr>
          <w:lang w:val="bg-BG"/>
        </w:rPr>
        <w:fldChar w:fldCharType="end"/>
      </w:r>
      <w:r w:rsidR="002710B8" w:rsidRPr="00474BEE">
        <w:rPr>
          <w:lang w:val="bg-BG"/>
        </w:rPr>
        <w:t>.  </w:t>
      </w:r>
      <w:r w:rsidR="0013791C" w:rsidRPr="00474BEE">
        <w:rPr>
          <w:lang w:val="bg-BG"/>
        </w:rPr>
        <w:t xml:space="preserve">В </w:t>
      </w:r>
      <w:r w:rsidR="00E7613B" w:rsidRPr="00474BEE">
        <w:rPr>
          <w:lang w:val="bg-BG"/>
        </w:rPr>
        <w:t xml:space="preserve">четиринадесетия си </w:t>
      </w:r>
      <w:r w:rsidR="00FA23E2" w:rsidRPr="00474BEE">
        <w:rPr>
          <w:lang w:val="bg-BG"/>
        </w:rPr>
        <w:t>О</w:t>
      </w:r>
      <w:r w:rsidR="00E7613B" w:rsidRPr="00474BEE">
        <w:rPr>
          <w:lang w:val="bg-BG"/>
        </w:rPr>
        <w:t>бщ доклад за</w:t>
      </w:r>
      <w:r w:rsidR="0013791C" w:rsidRPr="00474BEE">
        <w:rPr>
          <w:lang w:val="bg-BG"/>
        </w:rPr>
        <w:t xml:space="preserve"> своята дейност (CPT/</w:t>
      </w:r>
      <w:proofErr w:type="spellStart"/>
      <w:r w:rsidR="0013791C" w:rsidRPr="00474BEE">
        <w:rPr>
          <w:lang w:val="bg-BG"/>
        </w:rPr>
        <w:t>Inf</w:t>
      </w:r>
      <w:proofErr w:type="spellEnd"/>
      <w:r w:rsidR="0013791C" w:rsidRPr="00474BEE">
        <w:rPr>
          <w:lang w:val="bg-BG"/>
        </w:rPr>
        <w:t xml:space="preserve"> (2004) 28), публикуван на 21 септември 2004 г., Съветът на Европа за предотвратяване на изтезания</w:t>
      </w:r>
      <w:r w:rsidR="008B0C6F" w:rsidRPr="00474BEE">
        <w:rPr>
          <w:lang w:val="bg-BG"/>
        </w:rPr>
        <w:t>та</w:t>
      </w:r>
      <w:r w:rsidR="0013791C" w:rsidRPr="00474BEE">
        <w:rPr>
          <w:lang w:val="bg-BG"/>
        </w:rPr>
        <w:t xml:space="preserve"> и нечовешко или унизително отн</w:t>
      </w:r>
      <w:r w:rsidR="0003253B" w:rsidRPr="00474BEE">
        <w:rPr>
          <w:lang w:val="bg-BG"/>
        </w:rPr>
        <w:t>асяне</w:t>
      </w:r>
      <w:r w:rsidR="0013791C" w:rsidRPr="00474BEE">
        <w:rPr>
          <w:lang w:val="bg-BG"/>
        </w:rPr>
        <w:t xml:space="preserve"> заявява, в </w:t>
      </w:r>
      <w:r w:rsidR="00FB3C1D" w:rsidRPr="00474BEE">
        <w:rPr>
          <w:lang w:val="bg-BG"/>
        </w:rPr>
        <w:t xml:space="preserve">параграф </w:t>
      </w:r>
      <w:r w:rsidR="0013791C" w:rsidRPr="00474BEE">
        <w:rPr>
          <w:lang w:val="bg-BG"/>
        </w:rPr>
        <w:t xml:space="preserve">41:   </w:t>
      </w:r>
    </w:p>
    <w:p w:rsidR="0013791C" w:rsidRPr="00474BEE" w:rsidRDefault="00746263" w:rsidP="0013791C">
      <w:pPr>
        <w:pStyle w:val="ECHRParaQuote"/>
        <w:rPr>
          <w:lang w:val="bg-BG"/>
        </w:rPr>
      </w:pPr>
      <w:r w:rsidRPr="00474BEE">
        <w:rPr>
          <w:lang w:val="bg-BG"/>
        </w:rPr>
        <w:t xml:space="preserve">„Очевиден факт е, че </w:t>
      </w:r>
      <w:r w:rsidR="0013791C" w:rsidRPr="00474BEE">
        <w:rPr>
          <w:lang w:val="bg-BG"/>
        </w:rPr>
        <w:t>колко</w:t>
      </w:r>
      <w:r w:rsidRPr="00474BEE">
        <w:rPr>
          <w:lang w:val="bg-BG"/>
        </w:rPr>
        <w:t>то и</w:t>
      </w:r>
      <w:r w:rsidR="0013791C" w:rsidRPr="00474BEE">
        <w:rPr>
          <w:lang w:val="bg-BG"/>
        </w:rPr>
        <w:t xml:space="preserve"> ефективно да бъде дадено разследване, то </w:t>
      </w:r>
      <w:r w:rsidRPr="00474BEE">
        <w:rPr>
          <w:lang w:val="bg-BG"/>
        </w:rPr>
        <w:t xml:space="preserve">не </w:t>
      </w:r>
      <w:r w:rsidR="0013791C" w:rsidRPr="00474BEE">
        <w:rPr>
          <w:lang w:val="bg-BG"/>
        </w:rPr>
        <w:t>би било от голяма полза, ако наложените санкции за малтретиране са неадекватни. Когато дадено малтретиране е доказано, трябва да следва налагането на подходящ</w:t>
      </w:r>
      <w:r w:rsidR="0003253B" w:rsidRPr="00474BEE">
        <w:rPr>
          <w:lang w:val="bg-BG"/>
        </w:rPr>
        <w:t>о</w:t>
      </w:r>
      <w:r w:rsidR="0013791C" w:rsidRPr="00474BEE">
        <w:rPr>
          <w:lang w:val="bg-BG"/>
        </w:rPr>
        <w:t xml:space="preserve"> </w:t>
      </w:r>
      <w:r w:rsidR="0003253B" w:rsidRPr="00474BEE">
        <w:rPr>
          <w:lang w:val="bg-BG"/>
        </w:rPr>
        <w:t>наказание</w:t>
      </w:r>
      <w:r w:rsidR="0013791C" w:rsidRPr="00474BEE">
        <w:rPr>
          <w:lang w:val="bg-BG"/>
        </w:rPr>
        <w:t xml:space="preserve">. Това ще има много силен </w:t>
      </w:r>
      <w:r w:rsidR="00B34537" w:rsidRPr="00474BEE">
        <w:rPr>
          <w:lang w:val="bg-BG"/>
        </w:rPr>
        <w:t xml:space="preserve">възпиращ </w:t>
      </w:r>
      <w:r w:rsidR="0013791C" w:rsidRPr="00474BEE">
        <w:rPr>
          <w:lang w:val="bg-BG"/>
        </w:rPr>
        <w:t xml:space="preserve">ефект. </w:t>
      </w:r>
      <w:r w:rsidR="000A7B72" w:rsidRPr="00474BEE">
        <w:rPr>
          <w:lang w:val="bg-BG"/>
        </w:rPr>
        <w:t>Обратно</w:t>
      </w:r>
      <w:r w:rsidR="008B0C6F" w:rsidRPr="00474BEE">
        <w:rPr>
          <w:lang w:val="bg-BG"/>
        </w:rPr>
        <w:t>, налагането на леки присъди</w:t>
      </w:r>
      <w:r w:rsidR="0013791C" w:rsidRPr="00474BEE">
        <w:rPr>
          <w:lang w:val="bg-BG"/>
        </w:rPr>
        <w:t xml:space="preserve"> може да предизвика единствено атмосфера на безнаказаност.</w:t>
      </w:r>
    </w:p>
    <w:p w:rsidR="00530E23" w:rsidRPr="00474BEE" w:rsidRDefault="0013791C" w:rsidP="0013791C">
      <w:pPr>
        <w:pStyle w:val="ECHRParaQuote"/>
        <w:rPr>
          <w:lang w:val="bg-BG"/>
        </w:rPr>
      </w:pPr>
      <w:r w:rsidRPr="00474BEE">
        <w:rPr>
          <w:lang w:val="bg-BG"/>
        </w:rPr>
        <w:t>Разбира се, съдебните органи са независими, а оттам и свободни да определят, в рамките на параметрите, определени със з</w:t>
      </w:r>
      <w:r w:rsidR="008B0C6F" w:rsidRPr="00474BEE">
        <w:rPr>
          <w:lang w:val="bg-BG"/>
        </w:rPr>
        <w:t>а</w:t>
      </w:r>
      <w:r w:rsidRPr="00474BEE">
        <w:rPr>
          <w:lang w:val="bg-BG"/>
        </w:rPr>
        <w:t>кон, присъдата във всеки отделен случай. Въпреки това, чрез тези параметри, намерението на законодателя трябва да е ясно: че системата на наказателното правораздаване следва да вземе твърда позиция по отношение на изтезанията и други форми на малтретиране. По същия начин, санкции наложени след определянето на дисциплинарна виновност, трябва да бъдат съобразени с тежестта на случая.</w:t>
      </w:r>
      <w:r w:rsidR="00530E23" w:rsidRPr="00474BEE">
        <w:rPr>
          <w:lang w:val="bg-BG"/>
        </w:rPr>
        <w:t>”</w:t>
      </w:r>
    </w:p>
    <w:p w:rsidR="00014566" w:rsidRPr="00474BEE" w:rsidRDefault="0050129F" w:rsidP="00550343">
      <w:pPr>
        <w:pStyle w:val="ECHRTitle1"/>
        <w:rPr>
          <w:lang w:val="bg-BG"/>
        </w:rPr>
      </w:pPr>
      <w:r w:rsidRPr="00474BEE">
        <w:rPr>
          <w:lang w:val="bg-BG"/>
        </w:rPr>
        <w:t>ПРАВОТО</w:t>
      </w:r>
    </w:p>
    <w:p w:rsidR="00014566" w:rsidRPr="00474BEE" w:rsidRDefault="001000FF" w:rsidP="00550343">
      <w:pPr>
        <w:pStyle w:val="ECHRHeading1"/>
        <w:outlineLvl w:val="1"/>
        <w:rPr>
          <w:lang w:val="bg-BG"/>
        </w:rPr>
      </w:pPr>
      <w:r w:rsidRPr="00474BEE">
        <w:rPr>
          <w:lang w:val="bg-BG"/>
        </w:rPr>
        <w:t>I.  </w:t>
      </w:r>
      <w:r w:rsidRPr="00474BEE">
        <w:rPr>
          <w:szCs w:val="24"/>
          <w:lang w:val="bg-BG"/>
        </w:rPr>
        <w:t>ТВЪРД</w:t>
      </w:r>
      <w:r w:rsidR="0050129F" w:rsidRPr="00474BEE">
        <w:rPr>
          <w:szCs w:val="24"/>
          <w:lang w:val="bg-BG"/>
        </w:rPr>
        <w:t>ЯНО</w:t>
      </w:r>
      <w:r w:rsidRPr="00474BEE">
        <w:rPr>
          <w:szCs w:val="24"/>
          <w:lang w:val="bg-BG"/>
        </w:rPr>
        <w:t xml:space="preserve"> НАРУШЕНИЕ НА ЧЛ</w:t>
      </w:r>
      <w:r w:rsidR="0050129F" w:rsidRPr="00474BEE">
        <w:rPr>
          <w:szCs w:val="24"/>
          <w:lang w:val="bg-BG"/>
        </w:rPr>
        <w:t>ЕН</w:t>
      </w:r>
      <w:r w:rsidRPr="00474BEE">
        <w:rPr>
          <w:szCs w:val="24"/>
          <w:lang w:val="bg-BG"/>
        </w:rPr>
        <w:t xml:space="preserve"> 3 ОТ КОНВЕНЦИЯТА</w:t>
      </w:r>
    </w:p>
    <w:p w:rsidR="00014566" w:rsidRPr="00474BEE" w:rsidRDefault="00D16EB7" w:rsidP="00550343">
      <w:pPr>
        <w:pStyle w:val="ECHRPara"/>
        <w:keepNext/>
        <w:keepLines/>
        <w:rPr>
          <w:lang w:val="bg-BG"/>
        </w:rPr>
      </w:pPr>
      <w:r w:rsidRPr="00474BEE">
        <w:rPr>
          <w:lang w:val="bg-BG"/>
        </w:rPr>
        <w:fldChar w:fldCharType="begin"/>
      </w:r>
      <w:r w:rsidR="0074460B" w:rsidRPr="00474BEE">
        <w:rPr>
          <w:lang w:val="bg-BG"/>
        </w:rPr>
        <w:instrText xml:space="preserve"> SEQ level0 \*arabic </w:instrText>
      </w:r>
      <w:r w:rsidRPr="00474BEE">
        <w:rPr>
          <w:lang w:val="bg-BG"/>
        </w:rPr>
        <w:fldChar w:fldCharType="separate"/>
      </w:r>
      <w:r w:rsidR="00550343" w:rsidRPr="00474BEE">
        <w:rPr>
          <w:noProof/>
          <w:lang w:val="bg-BG"/>
        </w:rPr>
        <w:t>54</w:t>
      </w:r>
      <w:r w:rsidRPr="00474BEE">
        <w:rPr>
          <w:lang w:val="bg-BG"/>
        </w:rPr>
        <w:fldChar w:fldCharType="end"/>
      </w:r>
      <w:r w:rsidR="0074460B" w:rsidRPr="00474BEE">
        <w:rPr>
          <w:lang w:val="bg-BG"/>
        </w:rPr>
        <w:t>.  </w:t>
      </w:r>
      <w:r w:rsidR="001000FF" w:rsidRPr="00474BEE">
        <w:rPr>
          <w:szCs w:val="24"/>
          <w:lang w:val="bg-BG"/>
        </w:rPr>
        <w:t>Жалбоподателят се оплаква, че малтретирането, на което е бил подложен, не е получило адекватен процесуален отговор. По-специално той се позовава на наказанията, наложени на тримата малтретирали го служители, твърдейки, че тяхната снизходителност не съответства на тежестта на тяхното деяние. Той се позовава на чл. 3 от Конвенцията, който гласи</w:t>
      </w:r>
      <w:r w:rsidR="00014566" w:rsidRPr="00474BEE">
        <w:rPr>
          <w:lang w:val="bg-BG"/>
        </w:rPr>
        <w:t>:</w:t>
      </w:r>
    </w:p>
    <w:p w:rsidR="00014566" w:rsidRPr="00474BEE" w:rsidRDefault="001000FF" w:rsidP="00550343">
      <w:pPr>
        <w:pStyle w:val="ECHRParaQuote"/>
        <w:rPr>
          <w:szCs w:val="20"/>
          <w:lang w:val="bg-BG"/>
        </w:rPr>
      </w:pPr>
      <w:r w:rsidRPr="00474BEE">
        <w:rPr>
          <w:szCs w:val="20"/>
          <w:lang w:val="bg-BG"/>
        </w:rPr>
        <w:t>„</w:t>
      </w:r>
      <w:r w:rsidRPr="00474BEE">
        <w:rPr>
          <w:color w:val="000000"/>
          <w:szCs w:val="20"/>
          <w:lang w:val="bg-BG"/>
        </w:rPr>
        <w:t>Никой не може да бъде подложен на изтезания или нечовешко или унизително отношение или наказание</w:t>
      </w:r>
      <w:r w:rsidR="006F5694" w:rsidRPr="00474BEE">
        <w:rPr>
          <w:szCs w:val="20"/>
          <w:lang w:val="bg-BG"/>
        </w:rPr>
        <w:t>”</w:t>
      </w:r>
    </w:p>
    <w:p w:rsidR="00014566" w:rsidRPr="00474BEE" w:rsidRDefault="00014566" w:rsidP="00550343">
      <w:pPr>
        <w:pStyle w:val="ECHRHeading2"/>
        <w:outlineLvl w:val="2"/>
        <w:rPr>
          <w:lang w:val="bg-BG"/>
        </w:rPr>
      </w:pPr>
      <w:r w:rsidRPr="00474BEE">
        <w:rPr>
          <w:lang w:val="bg-BG"/>
        </w:rPr>
        <w:t>A.  </w:t>
      </w:r>
      <w:r w:rsidR="001000FF" w:rsidRPr="00474BEE">
        <w:rPr>
          <w:lang w:val="bg-BG"/>
        </w:rPr>
        <w:t>Становищата на страните</w:t>
      </w:r>
    </w:p>
    <w:p w:rsidR="00086874" w:rsidRPr="00474BEE" w:rsidRDefault="00D16EB7" w:rsidP="00550343">
      <w:pPr>
        <w:pStyle w:val="ECHRPara"/>
        <w:rPr>
          <w:lang w:val="bg-BG"/>
        </w:rPr>
      </w:pPr>
      <w:r w:rsidRPr="00474BEE">
        <w:rPr>
          <w:lang w:val="bg-BG"/>
        </w:rPr>
        <w:fldChar w:fldCharType="begin"/>
      </w:r>
      <w:r w:rsidR="006F5694" w:rsidRPr="00474BEE">
        <w:rPr>
          <w:lang w:val="bg-BG"/>
        </w:rPr>
        <w:instrText xml:space="preserve"> SEQ level0 \*arabic </w:instrText>
      </w:r>
      <w:r w:rsidRPr="00474BEE">
        <w:rPr>
          <w:lang w:val="bg-BG"/>
        </w:rPr>
        <w:fldChar w:fldCharType="separate"/>
      </w:r>
      <w:r w:rsidR="00550343" w:rsidRPr="00474BEE">
        <w:rPr>
          <w:noProof/>
          <w:lang w:val="bg-BG"/>
        </w:rPr>
        <w:t>55</w:t>
      </w:r>
      <w:r w:rsidRPr="00474BEE">
        <w:rPr>
          <w:lang w:val="bg-BG"/>
        </w:rPr>
        <w:fldChar w:fldCharType="end"/>
      </w:r>
      <w:r w:rsidR="006F5694" w:rsidRPr="00474BEE">
        <w:rPr>
          <w:lang w:val="bg-BG"/>
        </w:rPr>
        <w:t>.  </w:t>
      </w:r>
      <w:r w:rsidR="001000FF" w:rsidRPr="00474BEE">
        <w:rPr>
          <w:lang w:val="bg-BG"/>
        </w:rPr>
        <w:t xml:space="preserve">Правителството твърди, че наложените на тримата служители наказания са пропорционални и в пълно съответствие с изискванията на чл. 3 от Конвенцията. На първо място властите са извършили бързо и ефективно разследване. Били са събрани и надлежно оценени всички </w:t>
      </w:r>
      <w:r w:rsidR="001000FF" w:rsidRPr="00474BEE">
        <w:rPr>
          <w:lang w:val="bg-BG"/>
        </w:rPr>
        <w:lastRenderedPageBreak/>
        <w:t>касаещи случая доказателства и на тази основа е обмислено внимателно какви санкции да бъдат наложени на замесените служители. При определяне на наказанията Районен съд – Казанлък взема под внимание както изискванията на вътрешното право, така и на чл. 3 от Конвенцията. При обжалването</w:t>
      </w:r>
      <w:r w:rsidR="00446C2F" w:rsidRPr="00474BEE">
        <w:rPr>
          <w:lang w:val="bg-BG"/>
        </w:rPr>
        <w:t>,</w:t>
      </w:r>
      <w:r w:rsidR="001000FF" w:rsidRPr="00474BEE">
        <w:rPr>
          <w:lang w:val="bg-BG"/>
        </w:rPr>
        <w:t xml:space="preserve"> Окръжен съд – Стара Загора по своя инициатива разглежда пропорционалността на наложените наказания, включително и по отношение на </w:t>
      </w:r>
      <w:r w:rsidR="00446C2F" w:rsidRPr="00474BEE">
        <w:rPr>
          <w:lang w:val="bg-BG"/>
        </w:rPr>
        <w:t>въпроса</w:t>
      </w:r>
      <w:r w:rsidR="001000FF" w:rsidRPr="00474BEE">
        <w:rPr>
          <w:lang w:val="bg-BG"/>
        </w:rPr>
        <w:t xml:space="preserve">, че действия на </w:t>
      </w:r>
      <w:r w:rsidR="00130606" w:rsidRPr="00474BEE">
        <w:rPr>
          <w:lang w:val="bg-BG"/>
        </w:rPr>
        <w:t>полицаите</w:t>
      </w:r>
      <w:r w:rsidR="001000FF" w:rsidRPr="00474BEE">
        <w:rPr>
          <w:lang w:val="bg-BG"/>
        </w:rPr>
        <w:t xml:space="preserve"> са нарушили човешките права на жалбоподателя, и не </w:t>
      </w:r>
      <w:r w:rsidR="00446C2F" w:rsidRPr="00474BEE">
        <w:rPr>
          <w:lang w:val="bg-BG"/>
        </w:rPr>
        <w:t xml:space="preserve">ги </w:t>
      </w:r>
      <w:r w:rsidR="001000FF" w:rsidRPr="00474BEE">
        <w:rPr>
          <w:lang w:val="bg-BG"/>
        </w:rPr>
        <w:t xml:space="preserve">намира </w:t>
      </w:r>
      <w:r w:rsidR="00446C2F" w:rsidRPr="00474BEE">
        <w:rPr>
          <w:lang w:val="bg-BG"/>
        </w:rPr>
        <w:t xml:space="preserve">за </w:t>
      </w:r>
      <w:r w:rsidR="001000FF" w:rsidRPr="00474BEE">
        <w:rPr>
          <w:lang w:val="bg-BG"/>
        </w:rPr>
        <w:t>явн</w:t>
      </w:r>
      <w:r w:rsidR="00446C2F" w:rsidRPr="00474BEE">
        <w:rPr>
          <w:lang w:val="bg-BG"/>
        </w:rPr>
        <w:t>о</w:t>
      </w:r>
      <w:r w:rsidR="001000FF" w:rsidRPr="00474BEE">
        <w:rPr>
          <w:lang w:val="bg-BG"/>
        </w:rPr>
        <w:t xml:space="preserve"> несправедлив</w:t>
      </w:r>
      <w:r w:rsidR="00446C2F" w:rsidRPr="00474BEE">
        <w:rPr>
          <w:lang w:val="bg-BG"/>
        </w:rPr>
        <w:t>и</w:t>
      </w:r>
      <w:r w:rsidR="001000FF" w:rsidRPr="00474BEE">
        <w:rPr>
          <w:lang w:val="bg-BG"/>
        </w:rPr>
        <w:t xml:space="preserve">. Това, съчетано с наложените на двама от </w:t>
      </w:r>
      <w:r w:rsidR="004D78B8" w:rsidRPr="00474BEE">
        <w:rPr>
          <w:lang w:val="bg-BG"/>
        </w:rPr>
        <w:t>полицейските служители</w:t>
      </w:r>
      <w:r w:rsidR="001000FF" w:rsidRPr="00474BEE">
        <w:rPr>
          <w:lang w:val="bg-BG"/>
        </w:rPr>
        <w:t xml:space="preserve"> дисциплинарни наказания и присъждането на жалбоподателя на обезщетение за нанесени вреди, показва, че това не представлява ситуация, при която </w:t>
      </w:r>
      <w:r w:rsidR="00130606" w:rsidRPr="00474BEE">
        <w:rPr>
          <w:lang w:val="bg-BG"/>
        </w:rPr>
        <w:t>полицаите</w:t>
      </w:r>
      <w:r w:rsidR="001000FF" w:rsidRPr="00474BEE">
        <w:rPr>
          <w:lang w:val="bg-BG"/>
        </w:rPr>
        <w:t xml:space="preserve"> са били в състояние да посягат безнаказано на правата на намиращите се под техен контрол лица</w:t>
      </w:r>
      <w:r w:rsidR="00AE39A3" w:rsidRPr="00474BEE">
        <w:rPr>
          <w:lang w:val="bg-BG"/>
        </w:rPr>
        <w:t>.</w:t>
      </w:r>
    </w:p>
    <w:p w:rsidR="003A1FD3" w:rsidRPr="00474BEE" w:rsidRDefault="003A1FD3" w:rsidP="003A1FD3">
      <w:pPr>
        <w:pStyle w:val="ECHRPara"/>
        <w:rPr>
          <w:lang w:val="bg-BG"/>
        </w:rPr>
      </w:pPr>
      <w:r w:rsidRPr="00474BEE">
        <w:rPr>
          <w:lang w:val="bg-BG"/>
        </w:rPr>
        <w:t xml:space="preserve">56. Жалбоподателят твърди, че е бил подложен на сериозно малтретиране, причинено му докато е бил под пълен контрол на тримата </w:t>
      </w:r>
      <w:r w:rsidR="00130606" w:rsidRPr="00474BEE">
        <w:rPr>
          <w:lang w:val="bg-BG"/>
        </w:rPr>
        <w:t>полицаи</w:t>
      </w:r>
      <w:r w:rsidRPr="00474BEE">
        <w:rPr>
          <w:lang w:val="bg-BG"/>
        </w:rPr>
        <w:t xml:space="preserve">, с цел да го принудят да признае за извършено престъпление. Въпреки всичко това, органите на прокуратурата повдигат обвинения само </w:t>
      </w:r>
      <w:r w:rsidR="00BD7C14" w:rsidRPr="00474BEE">
        <w:rPr>
          <w:lang w:val="bg-BG"/>
        </w:rPr>
        <w:t xml:space="preserve">съгласно </w:t>
      </w:r>
      <w:r w:rsidRPr="00474BEE">
        <w:rPr>
          <w:lang w:val="bg-BG"/>
        </w:rPr>
        <w:t>чл. 131 § 1 (2) от Наказателния коде</w:t>
      </w:r>
      <w:r w:rsidR="004D78B8" w:rsidRPr="00474BEE">
        <w:rPr>
          <w:lang w:val="bg-BG"/>
        </w:rPr>
        <w:t>кс от 1968 г., а не съвместно с</w:t>
      </w:r>
      <w:r w:rsidRPr="00474BEE">
        <w:rPr>
          <w:lang w:val="bg-BG"/>
        </w:rPr>
        <w:t xml:space="preserve"> тази разпоредба и чл. 287, </w:t>
      </w:r>
      <w:r w:rsidR="00653D6A" w:rsidRPr="00474BEE">
        <w:rPr>
          <w:lang w:val="bg-BG"/>
        </w:rPr>
        <w:t xml:space="preserve">и освен това предлагат </w:t>
      </w:r>
      <w:r w:rsidR="00130606" w:rsidRPr="00474BEE">
        <w:rPr>
          <w:lang w:val="bg-BG"/>
        </w:rPr>
        <w:t>полицаите</w:t>
      </w:r>
      <w:r w:rsidRPr="00474BEE">
        <w:rPr>
          <w:lang w:val="bg-BG"/>
        </w:rPr>
        <w:t xml:space="preserve"> да бъдат освободени от наказателна отговорност, като им се наложат само административни санкции. От гледна точка на жалбоподателя такива санкции, освен </w:t>
      </w:r>
      <w:r w:rsidR="00653D6A" w:rsidRPr="00474BEE">
        <w:rPr>
          <w:lang w:val="bg-BG"/>
        </w:rPr>
        <w:t>това определени</w:t>
      </w:r>
      <w:r w:rsidR="004D78B8" w:rsidRPr="00474BEE">
        <w:rPr>
          <w:lang w:val="bg-BG"/>
        </w:rPr>
        <w:t xml:space="preserve"> по-ниско от средните з</w:t>
      </w:r>
      <w:r w:rsidRPr="00474BEE">
        <w:rPr>
          <w:lang w:val="bg-BG"/>
        </w:rPr>
        <w:t>а приложимия диапазон, не могат да се разглеждат като адекватен отговор на малтретирането, на което е бил подложен. По-високи глоби, съчетани с временна забрана да работят като полицаи – наказания, които биха могли да бъдат наложен</w:t>
      </w:r>
      <w:r w:rsidR="00543DAB" w:rsidRPr="00474BEE">
        <w:rPr>
          <w:lang w:val="bg-BG"/>
        </w:rPr>
        <w:t>и</w:t>
      </w:r>
      <w:r w:rsidRPr="00474BEE">
        <w:rPr>
          <w:lang w:val="bg-BG"/>
        </w:rPr>
        <w:t xml:space="preserve"> по </w:t>
      </w:r>
      <w:r w:rsidR="00653D6A" w:rsidRPr="00474BEE">
        <w:rPr>
          <w:lang w:val="bg-BG"/>
        </w:rPr>
        <w:t>силата на чл. 78а § 4 от НК</w:t>
      </w:r>
      <w:r w:rsidRPr="00474BEE">
        <w:rPr>
          <w:lang w:val="bg-BG"/>
        </w:rPr>
        <w:t xml:space="preserve"> – </w:t>
      </w:r>
      <w:r w:rsidR="00F266AD" w:rsidRPr="00474BEE">
        <w:rPr>
          <w:lang w:val="bg-BG"/>
        </w:rPr>
        <w:t xml:space="preserve">може би </w:t>
      </w:r>
      <w:r w:rsidRPr="00474BEE">
        <w:rPr>
          <w:lang w:val="bg-BG"/>
        </w:rPr>
        <w:t xml:space="preserve">биха били приемливи. Това състояние на нещата се дължи както на поведението на органите, занимаващи се с делото срещу </w:t>
      </w:r>
      <w:r w:rsidR="00130606" w:rsidRPr="00474BEE">
        <w:rPr>
          <w:lang w:val="bg-BG"/>
        </w:rPr>
        <w:t>полицаите</w:t>
      </w:r>
      <w:r w:rsidRPr="00474BEE">
        <w:rPr>
          <w:lang w:val="bg-BG"/>
        </w:rPr>
        <w:t xml:space="preserve">, така и на приложимото законодателство. </w:t>
      </w:r>
      <w:r w:rsidR="00653D6A" w:rsidRPr="00474BEE">
        <w:rPr>
          <w:lang w:val="bg-BG"/>
        </w:rPr>
        <w:t>Р</w:t>
      </w:r>
      <w:r w:rsidRPr="00474BEE">
        <w:rPr>
          <w:lang w:val="bg-BG"/>
        </w:rPr>
        <w:t>айонен съд</w:t>
      </w:r>
      <w:r w:rsidR="004D78B8" w:rsidRPr="00474BEE">
        <w:rPr>
          <w:lang w:val="bg-BG"/>
        </w:rPr>
        <w:t xml:space="preserve"> –</w:t>
      </w:r>
      <w:r w:rsidR="00653D6A" w:rsidRPr="00474BEE">
        <w:rPr>
          <w:lang w:val="bg-BG"/>
        </w:rPr>
        <w:t xml:space="preserve"> Казанлък тълкува чл. 287 от НК</w:t>
      </w:r>
      <w:r w:rsidRPr="00474BEE">
        <w:rPr>
          <w:lang w:val="bg-BG"/>
        </w:rPr>
        <w:t xml:space="preserve"> твърде стриктно, констатирайки, че е приложим само за лица, официално обвинени в извършване на престъпление или официално в ка</w:t>
      </w:r>
      <w:r w:rsidR="004D78B8" w:rsidRPr="00474BEE">
        <w:rPr>
          <w:lang w:val="bg-BG"/>
        </w:rPr>
        <w:t>пацитет на свидетели, и не взи</w:t>
      </w:r>
      <w:r w:rsidRPr="00474BEE">
        <w:rPr>
          <w:lang w:val="bg-BG"/>
        </w:rPr>
        <w:t xml:space="preserve">ма достатъчно предвид стоящите зад малтретирането подбуди. Прокуратурата не обжалва решението на този съд. Освен това, чл. 287, </w:t>
      </w:r>
      <w:r w:rsidR="00B00BE1" w:rsidRPr="00474BEE">
        <w:rPr>
          <w:lang w:val="bg-BG"/>
        </w:rPr>
        <w:t>съгласно настоящата му формулировка</w:t>
      </w:r>
      <w:r w:rsidRPr="00474BEE">
        <w:rPr>
          <w:lang w:val="bg-BG"/>
        </w:rPr>
        <w:t xml:space="preserve">, не </w:t>
      </w:r>
      <w:r w:rsidR="00EF3F69" w:rsidRPr="00474BEE">
        <w:rPr>
          <w:lang w:val="bg-BG"/>
        </w:rPr>
        <w:t>предоставя</w:t>
      </w:r>
      <w:r w:rsidRPr="00474BEE">
        <w:rPr>
          <w:lang w:val="bg-BG"/>
        </w:rPr>
        <w:t xml:space="preserve"> защита на тези, които не попадат в рамките на предвидените в него огранич</w:t>
      </w:r>
      <w:r w:rsidR="00EF3F69" w:rsidRPr="00474BEE">
        <w:rPr>
          <w:lang w:val="bg-BG"/>
        </w:rPr>
        <w:t>ени</w:t>
      </w:r>
      <w:r w:rsidRPr="00474BEE">
        <w:rPr>
          <w:lang w:val="bg-BG"/>
        </w:rPr>
        <w:t xml:space="preserve"> категории, например на лица, разпитани от полицията пред</w:t>
      </w:r>
      <w:r w:rsidR="00EF3F69" w:rsidRPr="00474BEE">
        <w:rPr>
          <w:lang w:val="bg-BG"/>
        </w:rPr>
        <w:t>и</w:t>
      </w:r>
      <w:r w:rsidRPr="00474BEE">
        <w:rPr>
          <w:lang w:val="bg-BG"/>
        </w:rPr>
        <w:t xml:space="preserve"> официалн</w:t>
      </w:r>
      <w:r w:rsidR="00EF3F69" w:rsidRPr="00474BEE">
        <w:rPr>
          <w:lang w:val="bg-BG"/>
        </w:rPr>
        <w:t>ото</w:t>
      </w:r>
      <w:r w:rsidRPr="00474BEE">
        <w:rPr>
          <w:lang w:val="bg-BG"/>
        </w:rPr>
        <w:t xml:space="preserve"> </w:t>
      </w:r>
      <w:r w:rsidR="00EF3F69" w:rsidRPr="00474BEE">
        <w:rPr>
          <w:lang w:val="bg-BG"/>
        </w:rPr>
        <w:t>образуване на</w:t>
      </w:r>
      <w:r w:rsidRPr="00474BEE">
        <w:rPr>
          <w:lang w:val="bg-BG"/>
        </w:rPr>
        <w:t xml:space="preserve"> наказателн</w:t>
      </w:r>
      <w:r w:rsidR="00EF3F69" w:rsidRPr="00474BEE">
        <w:rPr>
          <w:lang w:val="bg-BG"/>
        </w:rPr>
        <w:t>о</w:t>
      </w:r>
      <w:r w:rsidRPr="00474BEE">
        <w:rPr>
          <w:lang w:val="bg-BG"/>
        </w:rPr>
        <w:t xml:space="preserve"> производств</w:t>
      </w:r>
      <w:r w:rsidR="00EF3F69" w:rsidRPr="00474BEE">
        <w:rPr>
          <w:lang w:val="bg-BG"/>
        </w:rPr>
        <w:t>о</w:t>
      </w:r>
      <w:r w:rsidRPr="00474BEE">
        <w:rPr>
          <w:lang w:val="bg-BG"/>
        </w:rPr>
        <w:t xml:space="preserve">, докато чл. 131 § 1 (2), който е с общо приложение, не предвижда адекватни </w:t>
      </w:r>
      <w:r w:rsidR="00EF3F69" w:rsidRPr="00474BEE">
        <w:rPr>
          <w:lang w:val="bg-BG"/>
        </w:rPr>
        <w:t>наказания</w:t>
      </w:r>
      <w:r w:rsidRPr="00474BEE">
        <w:rPr>
          <w:lang w:val="bg-BG"/>
        </w:rPr>
        <w:t>.</w:t>
      </w:r>
    </w:p>
    <w:p w:rsidR="003A1FD3" w:rsidRPr="00474BEE" w:rsidRDefault="003A1FD3" w:rsidP="003A1FD3">
      <w:pPr>
        <w:pStyle w:val="ECHRPara"/>
        <w:rPr>
          <w:lang w:val="bg-BG"/>
        </w:rPr>
      </w:pPr>
    </w:p>
    <w:p w:rsidR="003A1FD3" w:rsidRPr="00474BEE" w:rsidRDefault="003A1FD3" w:rsidP="003A1FD3">
      <w:pPr>
        <w:pStyle w:val="ECHRPara"/>
        <w:rPr>
          <w:b/>
          <w:lang w:val="bg-BG"/>
        </w:rPr>
      </w:pPr>
      <w:r w:rsidRPr="00474BEE">
        <w:rPr>
          <w:b/>
          <w:lang w:val="bg-BG"/>
        </w:rPr>
        <w:t>Б. Преценката на Съда</w:t>
      </w:r>
    </w:p>
    <w:p w:rsidR="003A1FD3" w:rsidRPr="00474BEE" w:rsidRDefault="003A1FD3" w:rsidP="003A1FD3">
      <w:pPr>
        <w:pStyle w:val="ECHRPara"/>
        <w:rPr>
          <w:b/>
          <w:lang w:val="bg-BG"/>
        </w:rPr>
      </w:pPr>
    </w:p>
    <w:p w:rsidR="003A1FD3" w:rsidRPr="00474BEE" w:rsidRDefault="003A1FD3" w:rsidP="003A1FD3">
      <w:pPr>
        <w:pStyle w:val="ECHRPara"/>
        <w:rPr>
          <w:lang w:val="bg-BG"/>
        </w:rPr>
      </w:pPr>
      <w:r w:rsidRPr="00474BEE">
        <w:rPr>
          <w:lang w:val="bg-BG"/>
        </w:rPr>
        <w:lastRenderedPageBreak/>
        <w:t>57. Жалбата не е явно необоснована по смисъла на чл. 35 § 3 (а) от Конвенцията или недопустима на друг</w:t>
      </w:r>
      <w:r w:rsidR="00653D6A" w:rsidRPr="00474BEE">
        <w:rPr>
          <w:lang w:val="bg-BG"/>
        </w:rPr>
        <w:t xml:space="preserve">и основания. Следователно </w:t>
      </w:r>
      <w:r w:rsidRPr="00474BEE">
        <w:rPr>
          <w:lang w:val="bg-BG"/>
        </w:rPr>
        <w:t xml:space="preserve"> </w:t>
      </w:r>
      <w:r w:rsidR="00B00BE1" w:rsidRPr="00474BEE">
        <w:rPr>
          <w:lang w:val="bg-BG"/>
        </w:rPr>
        <w:t xml:space="preserve">трябва да бъде обявена за </w:t>
      </w:r>
      <w:r w:rsidRPr="00474BEE">
        <w:rPr>
          <w:lang w:val="bg-BG"/>
        </w:rPr>
        <w:t>допустима.</w:t>
      </w:r>
    </w:p>
    <w:p w:rsidR="003A1FD3" w:rsidRPr="00474BEE" w:rsidRDefault="003A1FD3" w:rsidP="003A1FD3">
      <w:pPr>
        <w:pStyle w:val="ECHRPara"/>
        <w:rPr>
          <w:lang w:val="bg-BG"/>
        </w:rPr>
      </w:pPr>
    </w:p>
    <w:p w:rsidR="003A1FD3" w:rsidRPr="00474BEE" w:rsidRDefault="003A1FD3" w:rsidP="003A1FD3">
      <w:pPr>
        <w:pStyle w:val="ECHRPara"/>
        <w:rPr>
          <w:i/>
          <w:lang w:val="bg-BG"/>
        </w:rPr>
      </w:pPr>
      <w:r w:rsidRPr="00474BEE">
        <w:rPr>
          <w:i/>
          <w:lang w:val="bg-BG"/>
        </w:rPr>
        <w:t>1. Абсолютен характер на забраната за малтретиране</w:t>
      </w:r>
    </w:p>
    <w:p w:rsidR="003A1FD3" w:rsidRPr="00474BEE" w:rsidRDefault="003A1FD3" w:rsidP="003A1FD3">
      <w:pPr>
        <w:pStyle w:val="ECHRPara"/>
        <w:rPr>
          <w:lang w:val="bg-BG"/>
        </w:rPr>
      </w:pPr>
    </w:p>
    <w:p w:rsidR="003A1FD3" w:rsidRPr="00474BEE" w:rsidRDefault="003A1FD3" w:rsidP="00653D6A">
      <w:pPr>
        <w:pStyle w:val="ECHRPara"/>
        <w:rPr>
          <w:lang w:val="bg-BG"/>
        </w:rPr>
      </w:pPr>
      <w:r w:rsidRPr="00474BEE">
        <w:rPr>
          <w:lang w:val="bg-BG"/>
        </w:rPr>
        <w:t xml:space="preserve">58. Съдът многократно подчертава, че чл. 3 от Конвенцията защитава една от основните ценности на демократичните общества, и посочва, че за разлика от повечето </w:t>
      </w:r>
      <w:proofErr w:type="spellStart"/>
      <w:r w:rsidR="007F1265" w:rsidRPr="00474BEE">
        <w:rPr>
          <w:lang w:val="en-US"/>
        </w:rPr>
        <w:t>материалноправни</w:t>
      </w:r>
      <w:proofErr w:type="spellEnd"/>
      <w:r w:rsidR="007F1265" w:rsidRPr="00474BEE">
        <w:rPr>
          <w:lang w:val="en-US"/>
        </w:rPr>
        <w:t xml:space="preserve"> </w:t>
      </w:r>
      <w:r w:rsidRPr="00474BEE">
        <w:rPr>
          <w:lang w:val="bg-BG"/>
        </w:rPr>
        <w:t>клаузи на Конвенцията, този член не предвижда изключения. Той също така отбелязва, че изключение от този член не е допустимо по силата на чл.</w:t>
      </w:r>
      <w:r w:rsidR="00653D6A" w:rsidRPr="00474BEE">
        <w:rPr>
          <w:lang w:val="bg-BG"/>
        </w:rPr>
        <w:t xml:space="preserve"> 15</w:t>
      </w:r>
      <w:r w:rsidRPr="00474BEE">
        <w:rPr>
          <w:lang w:val="bg-BG"/>
        </w:rPr>
        <w:t xml:space="preserve"> § 2, дори при извънредно положение, застрашаващо съществуването на нацията. </w:t>
      </w:r>
      <w:r w:rsidR="00BB2E51" w:rsidRPr="00474BEE">
        <w:rPr>
          <w:lang w:val="bg-BG"/>
        </w:rPr>
        <w:t>По този начин з</w:t>
      </w:r>
      <w:r w:rsidRPr="00474BEE">
        <w:rPr>
          <w:lang w:val="bg-BG"/>
        </w:rPr>
        <w:t>абрана</w:t>
      </w:r>
      <w:r w:rsidR="00BB2E51" w:rsidRPr="00474BEE">
        <w:rPr>
          <w:lang w:val="bg-BG"/>
        </w:rPr>
        <w:t>та</w:t>
      </w:r>
      <w:r w:rsidRPr="00474BEE">
        <w:rPr>
          <w:lang w:val="bg-BG"/>
        </w:rPr>
        <w:t xml:space="preserve"> </w:t>
      </w:r>
      <w:r w:rsidR="00BB2E51" w:rsidRPr="00474BEE">
        <w:rPr>
          <w:lang w:val="bg-BG"/>
        </w:rPr>
        <w:t xml:space="preserve">за </w:t>
      </w:r>
      <w:r w:rsidRPr="00474BEE">
        <w:rPr>
          <w:lang w:val="bg-BG"/>
        </w:rPr>
        <w:t>изтезания и нечовешко или униз</w:t>
      </w:r>
      <w:r w:rsidR="00653D6A" w:rsidRPr="00474BEE">
        <w:rPr>
          <w:lang w:val="bg-BG"/>
        </w:rPr>
        <w:t>ително отношение</w:t>
      </w:r>
      <w:r w:rsidRPr="00474BEE">
        <w:rPr>
          <w:lang w:val="bg-BG"/>
        </w:rPr>
        <w:t xml:space="preserve"> или наказание се явява абсолютна, независимо от обстоятелствата или поведението на </w:t>
      </w:r>
      <w:r w:rsidR="007F1265" w:rsidRPr="00474BEE">
        <w:rPr>
          <w:lang w:val="bg-BG"/>
        </w:rPr>
        <w:t xml:space="preserve">засегнатото </w:t>
      </w:r>
      <w:r w:rsidRPr="00474BEE">
        <w:rPr>
          <w:lang w:val="bg-BG"/>
        </w:rPr>
        <w:t>лице, по-</w:t>
      </w:r>
      <w:r w:rsidR="007F1265" w:rsidRPr="00474BEE">
        <w:rPr>
          <w:lang w:val="bg-BG"/>
        </w:rPr>
        <w:t xml:space="preserve">конкретно </w:t>
      </w:r>
      <w:r w:rsidRPr="00474BEE">
        <w:rPr>
          <w:lang w:val="bg-BG"/>
        </w:rPr>
        <w:t>дали то е извършило или е заподозряно в извършване на престъпление (вж</w:t>
      </w:r>
      <w:r w:rsidR="00BB2E51" w:rsidRPr="00474BEE">
        <w:rPr>
          <w:lang w:val="bg-BG"/>
        </w:rPr>
        <w:t>.</w:t>
      </w:r>
      <w:r w:rsidRPr="00474BEE">
        <w:rPr>
          <w:lang w:val="bg-BG"/>
        </w:rPr>
        <w:t xml:space="preserve">, наред с много други, </w:t>
      </w:r>
      <w:proofErr w:type="spellStart"/>
      <w:r w:rsidR="00653D6A" w:rsidRPr="00474BEE">
        <w:rPr>
          <w:i/>
          <w:lang w:val="bg-BG"/>
        </w:rPr>
        <w:t>Selmouni</w:t>
      </w:r>
      <w:proofErr w:type="spellEnd"/>
      <w:r w:rsidR="00653D6A" w:rsidRPr="00474BEE">
        <w:rPr>
          <w:i/>
          <w:lang w:val="bg-BG"/>
        </w:rPr>
        <w:t xml:space="preserve"> v. </w:t>
      </w:r>
      <w:proofErr w:type="spellStart"/>
      <w:r w:rsidR="00653D6A" w:rsidRPr="00474BEE">
        <w:rPr>
          <w:i/>
          <w:lang w:val="bg-BG"/>
        </w:rPr>
        <w:t>France</w:t>
      </w:r>
      <w:proofErr w:type="spellEnd"/>
      <w:r w:rsidR="00653D6A" w:rsidRPr="00474BEE">
        <w:rPr>
          <w:lang w:val="bg-BG"/>
        </w:rPr>
        <w:t xml:space="preserve"> [GC], № 25803/94, § 95, ECПЧ 1999-V; </w:t>
      </w:r>
      <w:proofErr w:type="spellStart"/>
      <w:r w:rsidR="00653D6A" w:rsidRPr="00474BEE">
        <w:rPr>
          <w:i/>
          <w:lang w:val="bg-BG"/>
        </w:rPr>
        <w:t>Ramirez</w:t>
      </w:r>
      <w:proofErr w:type="spellEnd"/>
      <w:r w:rsidR="00653D6A" w:rsidRPr="00474BEE">
        <w:rPr>
          <w:i/>
          <w:lang w:val="bg-BG"/>
        </w:rPr>
        <w:t xml:space="preserve"> </w:t>
      </w:r>
      <w:proofErr w:type="spellStart"/>
      <w:r w:rsidR="00653D6A" w:rsidRPr="00474BEE">
        <w:rPr>
          <w:i/>
          <w:lang w:val="bg-BG"/>
        </w:rPr>
        <w:t>Sanchez</w:t>
      </w:r>
      <w:proofErr w:type="spellEnd"/>
      <w:r w:rsidR="00653D6A" w:rsidRPr="00474BEE">
        <w:rPr>
          <w:i/>
          <w:lang w:val="bg-BG"/>
        </w:rPr>
        <w:t xml:space="preserve"> v. </w:t>
      </w:r>
      <w:proofErr w:type="spellStart"/>
      <w:r w:rsidR="00653D6A" w:rsidRPr="00474BEE">
        <w:rPr>
          <w:i/>
          <w:lang w:val="bg-BG"/>
        </w:rPr>
        <w:t>France</w:t>
      </w:r>
      <w:proofErr w:type="spellEnd"/>
      <w:r w:rsidR="00653D6A" w:rsidRPr="00474BEE">
        <w:rPr>
          <w:lang w:val="bg-BG"/>
        </w:rPr>
        <w:t xml:space="preserve"> [GC], № 59450/00, § 116, EСПЧ 2006-IX; и</w:t>
      </w:r>
      <w:r w:rsidR="00653D6A" w:rsidRPr="00474BEE">
        <w:rPr>
          <w:i/>
          <w:lang w:val="bg-BG"/>
        </w:rPr>
        <w:t xml:space="preserve"> </w:t>
      </w:r>
      <w:proofErr w:type="spellStart"/>
      <w:r w:rsidR="00653D6A" w:rsidRPr="00474BEE">
        <w:rPr>
          <w:i/>
          <w:lang w:val="bg-BG"/>
        </w:rPr>
        <w:t>Gäfgen</w:t>
      </w:r>
      <w:proofErr w:type="spellEnd"/>
      <w:r w:rsidR="00653D6A" w:rsidRPr="00474BEE">
        <w:rPr>
          <w:i/>
          <w:lang w:val="bg-BG"/>
        </w:rPr>
        <w:t xml:space="preserve"> v. </w:t>
      </w:r>
      <w:proofErr w:type="spellStart"/>
      <w:r w:rsidR="00653D6A" w:rsidRPr="00474BEE">
        <w:rPr>
          <w:i/>
          <w:lang w:val="bg-BG"/>
        </w:rPr>
        <w:t>Germany</w:t>
      </w:r>
      <w:proofErr w:type="spellEnd"/>
      <w:r w:rsidR="00653D6A" w:rsidRPr="00474BEE">
        <w:rPr>
          <w:lang w:val="bg-BG"/>
        </w:rPr>
        <w:t xml:space="preserve"> [GC], № 22978/05, § 87, EСПЧ 2010</w:t>
      </w:r>
      <w:r w:rsidRPr="00474BEE">
        <w:rPr>
          <w:lang w:val="bg-BG"/>
        </w:rPr>
        <w:t>).</w:t>
      </w:r>
    </w:p>
    <w:p w:rsidR="003A1FD3" w:rsidRPr="00474BEE" w:rsidRDefault="003A1FD3" w:rsidP="003A1FD3">
      <w:pPr>
        <w:pStyle w:val="ECHRPara"/>
        <w:rPr>
          <w:lang w:val="bg-BG"/>
        </w:rPr>
      </w:pPr>
      <w:r w:rsidRPr="00474BEE">
        <w:rPr>
          <w:lang w:val="bg-BG"/>
        </w:rPr>
        <w:t xml:space="preserve">59. </w:t>
      </w:r>
      <w:r w:rsidR="00BB2E51" w:rsidRPr="00474BEE">
        <w:rPr>
          <w:lang w:val="bg-BG"/>
        </w:rPr>
        <w:t>А</w:t>
      </w:r>
      <w:r w:rsidRPr="00474BEE">
        <w:rPr>
          <w:lang w:val="bg-BG"/>
        </w:rPr>
        <w:t>бсолют</w:t>
      </w:r>
      <w:r w:rsidR="00BB2E51" w:rsidRPr="00474BEE">
        <w:rPr>
          <w:lang w:val="bg-BG"/>
        </w:rPr>
        <w:t>ният</w:t>
      </w:r>
      <w:r w:rsidRPr="00474BEE">
        <w:rPr>
          <w:lang w:val="bg-BG"/>
        </w:rPr>
        <w:t xml:space="preserve"> характер на забраната, </w:t>
      </w:r>
      <w:r w:rsidR="00A53956" w:rsidRPr="00474BEE">
        <w:rPr>
          <w:lang w:val="bg-BG"/>
        </w:rPr>
        <w:t xml:space="preserve">изложен </w:t>
      </w:r>
      <w:r w:rsidRPr="00474BEE">
        <w:rPr>
          <w:lang w:val="bg-BG"/>
        </w:rPr>
        <w:t xml:space="preserve">в чл. 3, се отразява и в съдържанието и обхвата на </w:t>
      </w:r>
      <w:proofErr w:type="spellStart"/>
      <w:r w:rsidRPr="00474BEE">
        <w:rPr>
          <w:lang w:val="bg-BG"/>
        </w:rPr>
        <w:t>материалноправните</w:t>
      </w:r>
      <w:proofErr w:type="spellEnd"/>
      <w:r w:rsidRPr="00474BEE">
        <w:rPr>
          <w:lang w:val="bg-BG"/>
        </w:rPr>
        <w:t xml:space="preserve"> и процедурни задължения, произтичащи от него.</w:t>
      </w:r>
    </w:p>
    <w:p w:rsidR="003A1FD3" w:rsidRPr="00474BEE" w:rsidRDefault="003A1FD3" w:rsidP="003A1FD3">
      <w:pPr>
        <w:pStyle w:val="ECHRPara"/>
        <w:rPr>
          <w:lang w:val="bg-BG"/>
        </w:rPr>
      </w:pPr>
    </w:p>
    <w:p w:rsidR="003A1FD3" w:rsidRPr="00474BEE" w:rsidRDefault="003A1FD3" w:rsidP="003A1FD3">
      <w:pPr>
        <w:pStyle w:val="ECHRPara"/>
        <w:rPr>
          <w:i/>
          <w:lang w:val="bg-BG"/>
        </w:rPr>
      </w:pPr>
      <w:r w:rsidRPr="00474BEE">
        <w:rPr>
          <w:i/>
          <w:lang w:val="bg-BG"/>
        </w:rPr>
        <w:t>2. Характеризиране на отношението, на което е подложен жалбоподателя</w:t>
      </w:r>
      <w:r w:rsidR="00653D6A" w:rsidRPr="00474BEE">
        <w:rPr>
          <w:i/>
          <w:lang w:val="bg-BG"/>
        </w:rPr>
        <w:t>т</w:t>
      </w:r>
    </w:p>
    <w:p w:rsidR="003A1FD3" w:rsidRPr="00474BEE" w:rsidRDefault="003A1FD3" w:rsidP="003A1FD3">
      <w:pPr>
        <w:pStyle w:val="ECHRPara"/>
        <w:rPr>
          <w:lang w:val="bg-BG"/>
        </w:rPr>
      </w:pPr>
    </w:p>
    <w:p w:rsidR="003A1FD3" w:rsidRPr="00474BEE" w:rsidRDefault="003A1FD3" w:rsidP="003A1FD3">
      <w:pPr>
        <w:pStyle w:val="ECHRPara"/>
        <w:rPr>
          <w:lang w:val="bg-BG"/>
        </w:rPr>
      </w:pPr>
      <w:r w:rsidRPr="00474BEE">
        <w:rPr>
          <w:lang w:val="bg-BG"/>
        </w:rPr>
        <w:t>60. В настоящия случай</w:t>
      </w:r>
      <w:r w:rsidR="00653D6A" w:rsidRPr="00474BEE">
        <w:rPr>
          <w:lang w:val="bg-BG"/>
        </w:rPr>
        <w:t xml:space="preserve">, </w:t>
      </w:r>
      <w:r w:rsidRPr="00474BEE">
        <w:rPr>
          <w:lang w:val="bg-BG"/>
        </w:rPr>
        <w:t>на първо място трябва да се определи точно отношението, на което е подложен жалбоподателя</w:t>
      </w:r>
      <w:r w:rsidR="006E06F1" w:rsidRPr="00474BEE">
        <w:rPr>
          <w:lang w:val="bg-BG"/>
        </w:rPr>
        <w:t>т</w:t>
      </w:r>
      <w:r w:rsidRPr="00474BEE">
        <w:rPr>
          <w:lang w:val="bg-BG"/>
        </w:rPr>
        <w:t xml:space="preserve"> от страна на тримата полицаи; това е от значение за оценката на Съда на адекватността на процесуалния отговор на властите. Не се оспорва, че това отношение представлява нарушение на чл. 3 от Конвенцията. </w:t>
      </w:r>
      <w:r w:rsidR="00B20790" w:rsidRPr="00474BEE">
        <w:rPr>
          <w:lang w:val="bg-BG"/>
        </w:rPr>
        <w:t xml:space="preserve">Въпреки </w:t>
      </w:r>
      <w:r w:rsidRPr="00474BEE">
        <w:rPr>
          <w:lang w:val="bg-BG"/>
        </w:rPr>
        <w:t xml:space="preserve">това </w:t>
      </w:r>
      <w:r w:rsidR="00B20790" w:rsidRPr="00474BEE">
        <w:rPr>
          <w:lang w:val="bg-BG"/>
        </w:rPr>
        <w:t xml:space="preserve">трябва </w:t>
      </w:r>
      <w:r w:rsidRPr="00474BEE">
        <w:rPr>
          <w:lang w:val="bg-BG"/>
        </w:rPr>
        <w:t xml:space="preserve">да се </w:t>
      </w:r>
      <w:r w:rsidR="00B20790" w:rsidRPr="00474BEE">
        <w:rPr>
          <w:lang w:val="bg-BG"/>
        </w:rPr>
        <w:t xml:space="preserve">разгледа </w:t>
      </w:r>
      <w:r w:rsidRPr="00474BEE">
        <w:rPr>
          <w:lang w:val="bg-BG"/>
        </w:rPr>
        <w:t>дали то трябва да бъде класифицирано като</w:t>
      </w:r>
      <w:r w:rsidR="006E06F1" w:rsidRPr="00474BEE">
        <w:rPr>
          <w:lang w:val="bg-BG"/>
        </w:rPr>
        <w:t xml:space="preserve"> нечовешко и унизително отношение</w:t>
      </w:r>
      <w:r w:rsidRPr="00474BEE">
        <w:rPr>
          <w:lang w:val="bg-BG"/>
        </w:rPr>
        <w:t xml:space="preserve"> или като изтезание.</w:t>
      </w:r>
    </w:p>
    <w:p w:rsidR="003A1FD3" w:rsidRPr="00474BEE" w:rsidRDefault="003A1FD3" w:rsidP="003A1FD3">
      <w:pPr>
        <w:pStyle w:val="ECHRPara"/>
        <w:rPr>
          <w:lang w:val="bg-BG"/>
        </w:rPr>
      </w:pPr>
      <w:r w:rsidRPr="00474BEE">
        <w:rPr>
          <w:lang w:val="bg-BG"/>
        </w:rPr>
        <w:t xml:space="preserve">61. За подробна рекапитулация на своята съдебна практика по този въпрос, Съдът се позовава на неотдавнашното си решение по дело </w:t>
      </w:r>
      <w:proofErr w:type="spellStart"/>
      <w:r w:rsidR="006E06F1" w:rsidRPr="00474BEE">
        <w:rPr>
          <w:i/>
          <w:lang w:val="bg-BG"/>
        </w:rPr>
        <w:t>Cestaro</w:t>
      </w:r>
      <w:proofErr w:type="spellEnd"/>
      <w:r w:rsidR="006E06F1" w:rsidRPr="00474BEE">
        <w:rPr>
          <w:i/>
          <w:lang w:val="bg-BG"/>
        </w:rPr>
        <w:t xml:space="preserve"> </w:t>
      </w:r>
      <w:r w:rsidR="006E06F1" w:rsidRPr="00474BEE">
        <w:rPr>
          <w:i/>
          <w:snapToGrid w:val="0"/>
          <w:lang w:val="bg-BG"/>
        </w:rPr>
        <w:t xml:space="preserve">v. </w:t>
      </w:r>
      <w:proofErr w:type="spellStart"/>
      <w:r w:rsidR="006E06F1" w:rsidRPr="00474BEE">
        <w:rPr>
          <w:i/>
          <w:snapToGrid w:val="0"/>
          <w:lang w:val="bg-BG"/>
        </w:rPr>
        <w:t>Italy</w:t>
      </w:r>
      <w:proofErr w:type="spellEnd"/>
      <w:r w:rsidR="006E06F1" w:rsidRPr="00474BEE">
        <w:rPr>
          <w:snapToGrid w:val="0"/>
          <w:lang w:val="bg-BG"/>
        </w:rPr>
        <w:t xml:space="preserve"> </w:t>
      </w:r>
      <w:r w:rsidRPr="00474BEE">
        <w:rPr>
          <w:lang w:val="bg-BG"/>
        </w:rPr>
        <w:t>(№ 6884/11, §§ 171-76</w:t>
      </w:r>
      <w:r w:rsidR="007679EF" w:rsidRPr="00474BEE">
        <w:rPr>
          <w:lang w:val="bg-BG"/>
        </w:rPr>
        <w:t>,</w:t>
      </w:r>
      <w:r w:rsidRPr="00474BEE">
        <w:rPr>
          <w:lang w:val="bg-BG"/>
        </w:rPr>
        <w:t xml:space="preserve"> 7 април 2015 г.), където разглежда </w:t>
      </w:r>
      <w:r w:rsidR="004D78B8" w:rsidRPr="00474BEE">
        <w:rPr>
          <w:lang w:val="bg-BG"/>
        </w:rPr>
        <w:t>в детайли как различни фактори –</w:t>
      </w:r>
      <w:r w:rsidRPr="00474BEE">
        <w:rPr>
          <w:lang w:val="bg-BG"/>
        </w:rPr>
        <w:t xml:space="preserve"> като тежестта и продължителността на отношението, подбудите зад него и физическите и психолог</w:t>
      </w:r>
      <w:r w:rsidR="004D78B8" w:rsidRPr="00474BEE">
        <w:rPr>
          <w:lang w:val="bg-BG"/>
        </w:rPr>
        <w:t>ическите последици за жертвата –</w:t>
      </w:r>
      <w:r w:rsidRPr="00474BEE">
        <w:rPr>
          <w:lang w:val="bg-BG"/>
        </w:rPr>
        <w:t xml:space="preserve"> подкрепят констатациите му в много случаи.</w:t>
      </w:r>
    </w:p>
    <w:p w:rsidR="003A1FD3" w:rsidRPr="00474BEE" w:rsidRDefault="003A1FD3" w:rsidP="000664B1">
      <w:pPr>
        <w:pStyle w:val="ECHRPara"/>
        <w:rPr>
          <w:lang w:val="bg-BG"/>
        </w:rPr>
      </w:pPr>
      <w:r w:rsidRPr="00474BEE">
        <w:rPr>
          <w:lang w:val="bg-BG"/>
        </w:rPr>
        <w:t xml:space="preserve">62. В настоящия случай малтретирането е упражнено с прекъсвания в продължение на няколко часа и се състои </w:t>
      </w:r>
      <w:r w:rsidR="005B6F92" w:rsidRPr="00474BEE">
        <w:rPr>
          <w:lang w:val="bg-BG"/>
        </w:rPr>
        <w:t xml:space="preserve">от </w:t>
      </w:r>
      <w:r w:rsidRPr="00474BEE">
        <w:rPr>
          <w:lang w:val="bg-BG"/>
        </w:rPr>
        <w:t xml:space="preserve">повтарящи се удари с дървена бухалка и гумена палка, </w:t>
      </w:r>
      <w:r w:rsidR="005B6F92" w:rsidRPr="00474BEE">
        <w:rPr>
          <w:lang w:val="bg-BG"/>
        </w:rPr>
        <w:t xml:space="preserve">множество </w:t>
      </w:r>
      <w:r w:rsidRPr="00474BEE">
        <w:rPr>
          <w:lang w:val="bg-BG"/>
        </w:rPr>
        <w:t xml:space="preserve">ритници и редица електрически </w:t>
      </w:r>
      <w:r w:rsidR="005B6F92" w:rsidRPr="00474BEE">
        <w:rPr>
          <w:lang w:val="bg-BG"/>
        </w:rPr>
        <w:t>шокове</w:t>
      </w:r>
      <w:r w:rsidRPr="00474BEE">
        <w:rPr>
          <w:lang w:val="bg-BG"/>
        </w:rPr>
        <w:t xml:space="preserve">, </w:t>
      </w:r>
      <w:r w:rsidR="005B6F92" w:rsidRPr="00474BEE">
        <w:rPr>
          <w:lang w:val="bg-BG"/>
        </w:rPr>
        <w:t xml:space="preserve">приложени </w:t>
      </w:r>
      <w:r w:rsidRPr="00474BEE">
        <w:rPr>
          <w:lang w:val="bg-BG"/>
        </w:rPr>
        <w:t xml:space="preserve">с </w:t>
      </w:r>
      <w:proofErr w:type="spellStart"/>
      <w:r w:rsidRPr="00474BEE">
        <w:rPr>
          <w:lang w:val="bg-BG"/>
        </w:rPr>
        <w:t>електрошокова</w:t>
      </w:r>
      <w:proofErr w:type="spellEnd"/>
      <w:r w:rsidRPr="00474BEE">
        <w:rPr>
          <w:lang w:val="bg-BG"/>
        </w:rPr>
        <w:t xml:space="preserve"> палка </w:t>
      </w:r>
      <w:r w:rsidR="006E06F1" w:rsidRPr="00474BEE">
        <w:rPr>
          <w:lang w:val="bg-BG"/>
        </w:rPr>
        <w:t>(вж</w:t>
      </w:r>
      <w:r w:rsidR="005B6F92" w:rsidRPr="00474BEE">
        <w:rPr>
          <w:lang w:val="bg-BG"/>
        </w:rPr>
        <w:t>.</w:t>
      </w:r>
      <w:r w:rsidR="006E06F1" w:rsidRPr="00474BEE">
        <w:rPr>
          <w:lang w:val="bg-BG"/>
        </w:rPr>
        <w:t xml:space="preserve"> параграф</w:t>
      </w:r>
      <w:r w:rsidRPr="00474BEE">
        <w:rPr>
          <w:lang w:val="bg-BG"/>
        </w:rPr>
        <w:t xml:space="preserve"> 8 по-горе). Въпреки</w:t>
      </w:r>
      <w:r w:rsidR="005B6F92" w:rsidRPr="00474BEE">
        <w:rPr>
          <w:lang w:val="bg-BG"/>
        </w:rPr>
        <w:t>,</w:t>
      </w:r>
      <w:r w:rsidRPr="00474BEE">
        <w:rPr>
          <w:lang w:val="bg-BG"/>
        </w:rPr>
        <w:t xml:space="preserve"> че </w:t>
      </w:r>
      <w:r w:rsidR="005B6F92" w:rsidRPr="00474BEE">
        <w:rPr>
          <w:lang w:val="bg-BG"/>
        </w:rPr>
        <w:t xml:space="preserve">изглежда </w:t>
      </w:r>
      <w:r w:rsidRPr="00474BEE">
        <w:rPr>
          <w:lang w:val="bg-BG"/>
        </w:rPr>
        <w:t>не вод</w:t>
      </w:r>
      <w:r w:rsidR="00CE23AE" w:rsidRPr="00474BEE">
        <w:rPr>
          <w:lang w:val="bg-BG"/>
        </w:rPr>
        <w:t>и</w:t>
      </w:r>
      <w:r w:rsidRPr="00474BEE">
        <w:rPr>
          <w:lang w:val="bg-BG"/>
        </w:rPr>
        <w:t xml:space="preserve"> до дългосрочно увреждане на </w:t>
      </w:r>
      <w:r w:rsidRPr="00474BEE">
        <w:rPr>
          <w:lang w:val="bg-BG"/>
        </w:rPr>
        <w:lastRenderedPageBreak/>
        <w:t xml:space="preserve">здравето на жалбоподателя, както е видно от факта, че при вътрешното производство </w:t>
      </w:r>
      <w:r w:rsidR="00E35191" w:rsidRPr="00474BEE">
        <w:rPr>
          <w:lang w:val="bg-BG"/>
        </w:rPr>
        <w:t>нараняванията</w:t>
      </w:r>
      <w:r w:rsidRPr="00474BEE">
        <w:rPr>
          <w:lang w:val="bg-BG"/>
        </w:rPr>
        <w:t xml:space="preserve"> му са класифицирани като лека телесна повреда (вж</w:t>
      </w:r>
      <w:r w:rsidR="00A424D0" w:rsidRPr="00474BEE">
        <w:rPr>
          <w:lang w:val="bg-BG"/>
        </w:rPr>
        <w:t>.</w:t>
      </w:r>
      <w:r w:rsidRPr="00474BEE">
        <w:rPr>
          <w:lang w:val="bg-BG"/>
        </w:rPr>
        <w:t xml:space="preserve"> параграфи 12, 20 и 28 по-горе), т</w:t>
      </w:r>
      <w:r w:rsidR="00CE23AE" w:rsidRPr="00474BEE">
        <w:rPr>
          <w:lang w:val="bg-BG"/>
        </w:rPr>
        <w:t>о</w:t>
      </w:r>
      <w:r w:rsidRPr="00474BEE">
        <w:rPr>
          <w:lang w:val="bg-BG"/>
        </w:rPr>
        <w:t xml:space="preserve"> трябва да му </w:t>
      </w:r>
      <w:r w:rsidR="00CE23AE" w:rsidRPr="00474BEE">
        <w:rPr>
          <w:lang w:val="bg-BG"/>
        </w:rPr>
        <w:t xml:space="preserve">е </w:t>
      </w:r>
      <w:r w:rsidRPr="00474BEE">
        <w:rPr>
          <w:lang w:val="bg-BG"/>
        </w:rPr>
        <w:t>причинил</w:t>
      </w:r>
      <w:r w:rsidR="00CE23AE" w:rsidRPr="00474BEE">
        <w:rPr>
          <w:lang w:val="bg-BG"/>
        </w:rPr>
        <w:t>о</w:t>
      </w:r>
      <w:r w:rsidRPr="00474BEE">
        <w:rPr>
          <w:lang w:val="bg-BG"/>
        </w:rPr>
        <w:t xml:space="preserve"> сериозно психическо и физическо страдание</w:t>
      </w:r>
      <w:r w:rsidR="00CE23AE" w:rsidRPr="00474BEE">
        <w:rPr>
          <w:lang w:val="bg-BG"/>
        </w:rPr>
        <w:t xml:space="preserve"> в момента на неговото осъществяване</w:t>
      </w:r>
      <w:r w:rsidRPr="00474BEE">
        <w:rPr>
          <w:lang w:val="bg-BG"/>
        </w:rPr>
        <w:t xml:space="preserve"> (сравни с </w:t>
      </w:r>
      <w:proofErr w:type="spellStart"/>
      <w:r w:rsidR="006E06F1" w:rsidRPr="00474BEE">
        <w:rPr>
          <w:i/>
          <w:lang w:val="bg-BG"/>
        </w:rPr>
        <w:t>Polonskiy</w:t>
      </w:r>
      <w:proofErr w:type="spellEnd"/>
      <w:r w:rsidR="006E06F1" w:rsidRPr="00474BEE">
        <w:rPr>
          <w:i/>
          <w:lang w:val="bg-BG"/>
        </w:rPr>
        <w:t xml:space="preserve"> v. </w:t>
      </w:r>
      <w:proofErr w:type="spellStart"/>
      <w:r w:rsidR="006E06F1" w:rsidRPr="00474BEE">
        <w:rPr>
          <w:i/>
          <w:lang w:val="bg-BG"/>
        </w:rPr>
        <w:t>Russia</w:t>
      </w:r>
      <w:proofErr w:type="spellEnd"/>
      <w:r w:rsidR="006E06F1" w:rsidRPr="00474BEE">
        <w:rPr>
          <w:lang w:val="bg-BG"/>
        </w:rPr>
        <w:t xml:space="preserve">, № 30033/05, </w:t>
      </w:r>
      <w:r w:rsidR="006E06F1" w:rsidRPr="00474BEE">
        <w:rPr>
          <w:snapToGrid w:val="0"/>
          <w:lang w:val="bg-BG"/>
        </w:rPr>
        <w:t xml:space="preserve">§§ 7 и 124, 19 март 2009 г.; </w:t>
      </w:r>
      <w:proofErr w:type="spellStart"/>
      <w:r w:rsidR="006E06F1" w:rsidRPr="00474BEE">
        <w:rPr>
          <w:i/>
          <w:lang w:val="bg-BG"/>
        </w:rPr>
        <w:t>Grigoryev</w:t>
      </w:r>
      <w:proofErr w:type="spellEnd"/>
      <w:r w:rsidR="006E06F1" w:rsidRPr="00474BEE">
        <w:rPr>
          <w:i/>
          <w:lang w:val="bg-BG"/>
        </w:rPr>
        <w:t xml:space="preserve"> v. </w:t>
      </w:r>
      <w:proofErr w:type="spellStart"/>
      <w:r w:rsidR="006E06F1" w:rsidRPr="00474BEE">
        <w:rPr>
          <w:i/>
          <w:lang w:val="bg-BG"/>
        </w:rPr>
        <w:t>Ukraine</w:t>
      </w:r>
      <w:proofErr w:type="spellEnd"/>
      <w:r w:rsidR="006E06F1" w:rsidRPr="00474BEE">
        <w:rPr>
          <w:i/>
          <w:lang w:val="bg-BG"/>
        </w:rPr>
        <w:t>,</w:t>
      </w:r>
      <w:r w:rsidR="006E06F1" w:rsidRPr="00474BEE">
        <w:rPr>
          <w:lang w:val="bg-BG"/>
        </w:rPr>
        <w:t xml:space="preserve"> № 51671/07</w:t>
      </w:r>
      <w:r w:rsidR="006E06F1" w:rsidRPr="00474BEE">
        <w:rPr>
          <w:snapToGrid w:val="0"/>
          <w:szCs w:val="24"/>
          <w:lang w:val="bg-BG"/>
        </w:rPr>
        <w:t xml:space="preserve">, §§ 18 и 64-65, 15 май 2012 г.; и </w:t>
      </w:r>
      <w:proofErr w:type="spellStart"/>
      <w:r w:rsidR="006E06F1" w:rsidRPr="00474BEE">
        <w:rPr>
          <w:i/>
          <w:lang w:val="bg-BG"/>
        </w:rPr>
        <w:t>Zhyzitskyy</w:t>
      </w:r>
      <w:proofErr w:type="spellEnd"/>
      <w:r w:rsidR="006E06F1" w:rsidRPr="00474BEE">
        <w:rPr>
          <w:i/>
          <w:lang w:val="bg-BG"/>
        </w:rPr>
        <w:t xml:space="preserve"> v. </w:t>
      </w:r>
      <w:proofErr w:type="spellStart"/>
      <w:r w:rsidR="006E06F1" w:rsidRPr="00474BEE">
        <w:rPr>
          <w:i/>
          <w:snapToGrid w:val="0"/>
          <w:lang w:val="bg-BG"/>
        </w:rPr>
        <w:t>Ukraine</w:t>
      </w:r>
      <w:proofErr w:type="spellEnd"/>
      <w:r w:rsidR="006E06F1" w:rsidRPr="00474BEE">
        <w:rPr>
          <w:snapToGrid w:val="0"/>
          <w:lang w:val="bg-BG"/>
        </w:rPr>
        <w:t xml:space="preserve">, </w:t>
      </w:r>
      <w:r w:rsidR="006E06F1" w:rsidRPr="00474BEE">
        <w:rPr>
          <w:lang w:val="bg-BG"/>
        </w:rPr>
        <w:t>№ 57980/11</w:t>
      </w:r>
      <w:r w:rsidR="006E06F1" w:rsidRPr="00474BEE">
        <w:rPr>
          <w:snapToGrid w:val="0"/>
          <w:lang w:val="bg-BG"/>
        </w:rPr>
        <w:t xml:space="preserve">, §§ 8 и 43-44, 19 </w:t>
      </w:r>
      <w:r w:rsidRPr="00474BEE">
        <w:rPr>
          <w:lang w:val="bg-BG"/>
        </w:rPr>
        <w:t xml:space="preserve">февруари 2015 г., всички касаещи </w:t>
      </w:r>
      <w:proofErr w:type="spellStart"/>
      <w:r w:rsidR="00CE23AE" w:rsidRPr="00474BEE">
        <w:rPr>
          <w:lang w:val="bg-BG"/>
        </w:rPr>
        <w:t>електрошокови</w:t>
      </w:r>
      <w:proofErr w:type="spellEnd"/>
      <w:r w:rsidRPr="00474BEE">
        <w:rPr>
          <w:lang w:val="bg-BG"/>
        </w:rPr>
        <w:t xml:space="preserve"> удари и побои в хода на </w:t>
      </w:r>
      <w:r w:rsidR="006E06F1" w:rsidRPr="00474BEE">
        <w:rPr>
          <w:lang w:val="bg-BG"/>
        </w:rPr>
        <w:t>разпити при задържане</w:t>
      </w:r>
      <w:r w:rsidRPr="00474BEE">
        <w:rPr>
          <w:lang w:val="bg-BG"/>
        </w:rPr>
        <w:t xml:space="preserve">). Според констатациите на съда, разглеждащ иска за обезщетение на жалбоподателя срещу полицията, малтретирането освен всичко е довело до физически болки </w:t>
      </w:r>
      <w:r w:rsidR="00E57448" w:rsidRPr="00474BEE">
        <w:rPr>
          <w:lang w:val="bg-BG"/>
        </w:rPr>
        <w:t>в продължение на</w:t>
      </w:r>
      <w:r w:rsidRPr="00474BEE">
        <w:rPr>
          <w:lang w:val="bg-BG"/>
        </w:rPr>
        <w:t xml:space="preserve"> месец след това, както и до чувство на страх и тревожност (вж</w:t>
      </w:r>
      <w:r w:rsidR="00E57448" w:rsidRPr="00474BEE">
        <w:rPr>
          <w:lang w:val="bg-BG"/>
        </w:rPr>
        <w:t>.</w:t>
      </w:r>
      <w:r w:rsidRPr="00474BEE">
        <w:rPr>
          <w:lang w:val="bg-BG"/>
        </w:rPr>
        <w:t xml:space="preserve"> параграф 23 по-горе). Съдът също така отбелязва, че малтретирането, проведено в хода </w:t>
      </w:r>
      <w:r w:rsidR="006E06F1" w:rsidRPr="00474BEE">
        <w:rPr>
          <w:lang w:val="bg-BG"/>
        </w:rPr>
        <w:t xml:space="preserve">на </w:t>
      </w:r>
      <w:r w:rsidRPr="00474BEE">
        <w:rPr>
          <w:lang w:val="bg-BG"/>
        </w:rPr>
        <w:t>разпитите при</w:t>
      </w:r>
      <w:r w:rsidR="006E06F1" w:rsidRPr="00474BEE">
        <w:rPr>
          <w:lang w:val="bg-BG"/>
        </w:rPr>
        <w:t xml:space="preserve"> задържане</w:t>
      </w:r>
      <w:r w:rsidRPr="00474BEE">
        <w:rPr>
          <w:lang w:val="bg-BG"/>
        </w:rPr>
        <w:t xml:space="preserve">, е имало за цел да принуди жалбоподателя да признае за извършено престъпление </w:t>
      </w:r>
      <w:r w:rsidR="006E06F1" w:rsidRPr="00474BEE">
        <w:rPr>
          <w:lang w:val="bg-BG"/>
        </w:rPr>
        <w:t>(вж</w:t>
      </w:r>
      <w:r w:rsidR="00E57448" w:rsidRPr="00474BEE">
        <w:rPr>
          <w:lang w:val="bg-BG"/>
        </w:rPr>
        <w:t>.</w:t>
      </w:r>
      <w:r w:rsidR="006E06F1" w:rsidRPr="00474BEE">
        <w:rPr>
          <w:lang w:val="bg-BG"/>
        </w:rPr>
        <w:t xml:space="preserve"> </w:t>
      </w:r>
      <w:proofErr w:type="spellStart"/>
      <w:r w:rsidR="006E06F1" w:rsidRPr="00474BEE">
        <w:rPr>
          <w:i/>
          <w:lang w:val="bg-BG"/>
        </w:rPr>
        <w:t>Polonskiy</w:t>
      </w:r>
      <w:proofErr w:type="spellEnd"/>
      <w:r w:rsidR="006E06F1" w:rsidRPr="00474BEE">
        <w:rPr>
          <w:lang w:val="bg-BG"/>
        </w:rPr>
        <w:t xml:space="preserve">, § 124; </w:t>
      </w:r>
      <w:proofErr w:type="spellStart"/>
      <w:r w:rsidR="006E06F1" w:rsidRPr="00474BEE">
        <w:rPr>
          <w:i/>
          <w:lang w:val="bg-BG"/>
        </w:rPr>
        <w:t>Grigoryev</w:t>
      </w:r>
      <w:proofErr w:type="spellEnd"/>
      <w:r w:rsidR="006E06F1" w:rsidRPr="00474BEE">
        <w:rPr>
          <w:lang w:val="bg-BG"/>
        </w:rPr>
        <w:t xml:space="preserve">, § 64; и </w:t>
      </w:r>
      <w:proofErr w:type="spellStart"/>
      <w:r w:rsidR="006E06F1" w:rsidRPr="00474BEE">
        <w:rPr>
          <w:i/>
          <w:lang w:val="bg-BG"/>
        </w:rPr>
        <w:t>Zhyzitskyy</w:t>
      </w:r>
      <w:proofErr w:type="spellEnd"/>
      <w:r w:rsidR="006E06F1" w:rsidRPr="00474BEE">
        <w:rPr>
          <w:lang w:val="bg-BG"/>
        </w:rPr>
        <w:t>, § 43</w:t>
      </w:r>
      <w:r w:rsidR="000664B1" w:rsidRPr="00474BEE">
        <w:rPr>
          <w:lang w:val="bg-BG"/>
        </w:rPr>
        <w:t>, всички цитирани по-горе, както и</w:t>
      </w:r>
      <w:r w:rsidR="006E06F1" w:rsidRPr="00474BEE">
        <w:rPr>
          <w:lang w:val="bg-BG"/>
        </w:rPr>
        <w:t xml:space="preserve"> </w:t>
      </w:r>
      <w:proofErr w:type="spellStart"/>
      <w:r w:rsidR="000664B1" w:rsidRPr="00474BEE">
        <w:rPr>
          <w:i/>
          <w:lang w:val="bg-BG"/>
        </w:rPr>
        <w:t>Ленев</w:t>
      </w:r>
      <w:proofErr w:type="spellEnd"/>
      <w:r w:rsidR="000664B1" w:rsidRPr="00474BEE">
        <w:rPr>
          <w:i/>
          <w:lang w:val="bg-BG"/>
        </w:rPr>
        <w:t xml:space="preserve"> срещу България</w:t>
      </w:r>
      <w:r w:rsidR="000664B1" w:rsidRPr="00474BEE">
        <w:rPr>
          <w:lang w:val="bg-BG"/>
        </w:rPr>
        <w:t>, №</w:t>
      </w:r>
      <w:r w:rsidR="006E06F1" w:rsidRPr="00474BEE">
        <w:rPr>
          <w:lang w:val="bg-BG"/>
        </w:rPr>
        <w:t xml:space="preserve"> 41452/07</w:t>
      </w:r>
      <w:r w:rsidR="000664B1" w:rsidRPr="00474BEE">
        <w:rPr>
          <w:snapToGrid w:val="0"/>
          <w:lang w:val="bg-BG"/>
        </w:rPr>
        <w:t xml:space="preserve">, § 117, 4 декември </w:t>
      </w:r>
      <w:r w:rsidR="006E06F1" w:rsidRPr="00474BEE">
        <w:rPr>
          <w:snapToGrid w:val="0"/>
          <w:lang w:val="bg-BG"/>
        </w:rPr>
        <w:t>2012</w:t>
      </w:r>
      <w:r w:rsidR="000664B1" w:rsidRPr="00474BEE">
        <w:rPr>
          <w:snapToGrid w:val="0"/>
          <w:lang w:val="bg-BG"/>
        </w:rPr>
        <w:t xml:space="preserve"> г</w:t>
      </w:r>
      <w:r w:rsidRPr="00474BEE">
        <w:rPr>
          <w:lang w:val="bg-BG"/>
        </w:rPr>
        <w:t>.).</w:t>
      </w:r>
    </w:p>
    <w:p w:rsidR="003A1FD3" w:rsidRPr="00474BEE" w:rsidRDefault="00126A18" w:rsidP="003A1FD3">
      <w:pPr>
        <w:pStyle w:val="ECHRPara"/>
        <w:rPr>
          <w:lang w:val="bg-BG"/>
        </w:rPr>
      </w:pPr>
      <w:r w:rsidRPr="00474BEE">
        <w:rPr>
          <w:lang w:val="bg-BG"/>
        </w:rPr>
        <w:t>63. Следователно</w:t>
      </w:r>
      <w:r w:rsidR="003A1FD3" w:rsidRPr="00474BEE">
        <w:rPr>
          <w:lang w:val="bg-BG"/>
        </w:rPr>
        <w:t xml:space="preserve"> </w:t>
      </w:r>
      <w:r w:rsidR="000664B1" w:rsidRPr="00474BEE">
        <w:rPr>
          <w:lang w:val="bg-BG"/>
        </w:rPr>
        <w:t xml:space="preserve">то е </w:t>
      </w:r>
      <w:r w:rsidR="003A1FD3" w:rsidRPr="00474BEE">
        <w:rPr>
          <w:lang w:val="bg-BG"/>
        </w:rPr>
        <w:t>достатъчно сериозно, за да се приеме за изтезание.</w:t>
      </w:r>
    </w:p>
    <w:p w:rsidR="003A1FD3" w:rsidRPr="00474BEE" w:rsidRDefault="003A1FD3" w:rsidP="003A1FD3">
      <w:pPr>
        <w:pStyle w:val="ECHRPara"/>
        <w:rPr>
          <w:lang w:val="bg-BG"/>
        </w:rPr>
      </w:pPr>
      <w:r w:rsidRPr="00474BEE">
        <w:rPr>
          <w:lang w:val="bg-BG"/>
        </w:rPr>
        <w:t xml:space="preserve">64. Наистина, българският Върховен касационен съд наскоро стигна до същото заключение по дело, което също касае използването на </w:t>
      </w:r>
      <w:proofErr w:type="spellStart"/>
      <w:r w:rsidRPr="00474BEE">
        <w:rPr>
          <w:lang w:val="bg-BG"/>
        </w:rPr>
        <w:t>електрошокова</w:t>
      </w:r>
      <w:proofErr w:type="spellEnd"/>
      <w:r w:rsidRPr="00474BEE">
        <w:rPr>
          <w:lang w:val="bg-BG"/>
        </w:rPr>
        <w:t xml:space="preserve"> палка в хода на разпити при</w:t>
      </w:r>
      <w:r w:rsidR="000664B1" w:rsidRPr="00474BEE">
        <w:rPr>
          <w:lang w:val="bg-BG"/>
        </w:rPr>
        <w:t xml:space="preserve"> задържане</w:t>
      </w:r>
      <w:r w:rsidRPr="00474BEE">
        <w:rPr>
          <w:lang w:val="bg-BG"/>
        </w:rPr>
        <w:t xml:space="preserve"> (вж</w:t>
      </w:r>
      <w:r w:rsidR="00E57448" w:rsidRPr="00474BEE">
        <w:rPr>
          <w:lang w:val="bg-BG"/>
        </w:rPr>
        <w:t>.</w:t>
      </w:r>
      <w:r w:rsidRPr="00474BEE">
        <w:rPr>
          <w:lang w:val="bg-BG"/>
        </w:rPr>
        <w:t xml:space="preserve"> параграф 39 по-горе).</w:t>
      </w:r>
    </w:p>
    <w:p w:rsidR="003A1FD3" w:rsidRPr="00474BEE" w:rsidRDefault="003A1FD3" w:rsidP="003A1FD3">
      <w:pPr>
        <w:pStyle w:val="ECHRPara"/>
        <w:rPr>
          <w:lang w:val="bg-BG"/>
        </w:rPr>
      </w:pPr>
    </w:p>
    <w:p w:rsidR="003A1FD3" w:rsidRPr="00474BEE" w:rsidRDefault="003A1FD3" w:rsidP="003A1FD3">
      <w:pPr>
        <w:pStyle w:val="ECHRPara"/>
        <w:rPr>
          <w:i/>
          <w:lang w:val="bg-BG"/>
        </w:rPr>
      </w:pPr>
      <w:r w:rsidRPr="00474BEE">
        <w:rPr>
          <w:i/>
          <w:lang w:val="bg-BG"/>
        </w:rPr>
        <w:t>3. Обхват и съ</w:t>
      </w:r>
      <w:r w:rsidR="000664B1" w:rsidRPr="00474BEE">
        <w:rPr>
          <w:i/>
          <w:lang w:val="bg-BG"/>
        </w:rPr>
        <w:t xml:space="preserve">държание на задълженията </w:t>
      </w:r>
      <w:r w:rsidR="00E57448" w:rsidRPr="00474BEE">
        <w:rPr>
          <w:i/>
          <w:lang w:val="bg-BG"/>
        </w:rPr>
        <w:t xml:space="preserve">съгласно </w:t>
      </w:r>
      <w:r w:rsidR="000664B1" w:rsidRPr="00474BEE">
        <w:rPr>
          <w:i/>
          <w:lang w:val="bg-BG"/>
        </w:rPr>
        <w:t>чл.</w:t>
      </w:r>
      <w:r w:rsidRPr="00474BEE">
        <w:rPr>
          <w:i/>
          <w:lang w:val="bg-BG"/>
        </w:rPr>
        <w:t xml:space="preserve"> 3 от Конвенцията за разследване и подходящо наказание при малтретиране</w:t>
      </w:r>
    </w:p>
    <w:p w:rsidR="003A1FD3" w:rsidRPr="00474BEE" w:rsidRDefault="003A1FD3" w:rsidP="003A1FD3">
      <w:pPr>
        <w:pStyle w:val="ECHRPara"/>
        <w:rPr>
          <w:lang w:val="bg-BG"/>
        </w:rPr>
      </w:pPr>
    </w:p>
    <w:p w:rsidR="00126A18" w:rsidRPr="00474BEE" w:rsidRDefault="003A1FD3" w:rsidP="00126A18">
      <w:pPr>
        <w:pStyle w:val="ECHRPara"/>
        <w:tabs>
          <w:tab w:val="left" w:pos="6312"/>
        </w:tabs>
        <w:rPr>
          <w:i/>
          <w:lang w:val="bg-BG"/>
        </w:rPr>
      </w:pPr>
      <w:r w:rsidRPr="00474BEE">
        <w:rPr>
          <w:lang w:val="bg-BG"/>
        </w:rPr>
        <w:t>65. В дело</w:t>
      </w:r>
      <w:r w:rsidR="00126A18" w:rsidRPr="00474BEE">
        <w:rPr>
          <w:lang w:val="bg-BG"/>
        </w:rPr>
        <w:t>то</w:t>
      </w:r>
      <w:r w:rsidRPr="00474BEE">
        <w:rPr>
          <w:lang w:val="bg-BG"/>
        </w:rPr>
        <w:t xml:space="preserve"> </w:t>
      </w:r>
      <w:r w:rsidRPr="00474BEE">
        <w:rPr>
          <w:i/>
          <w:lang w:val="bg-BG"/>
        </w:rPr>
        <w:t>Асенов и други срещу България</w:t>
      </w:r>
      <w:r w:rsidRPr="00474BEE">
        <w:rPr>
          <w:lang w:val="bg-BG"/>
        </w:rPr>
        <w:t xml:space="preserve"> (28 октомври 1998 г., § 102, </w:t>
      </w:r>
      <w:r w:rsidR="00DE1A42" w:rsidRPr="00474BEE">
        <w:rPr>
          <w:i/>
          <w:lang w:val="bg-BG"/>
        </w:rPr>
        <w:t>Доклади за решения и определения</w:t>
      </w:r>
      <w:r w:rsidR="00DE1A42" w:rsidRPr="00474BEE" w:rsidDel="00DE1A42">
        <w:rPr>
          <w:i/>
          <w:lang w:val="bg-BG"/>
        </w:rPr>
        <w:t xml:space="preserve"> </w:t>
      </w:r>
      <w:r w:rsidRPr="00474BEE">
        <w:rPr>
          <w:lang w:val="bg-BG"/>
        </w:rPr>
        <w:t xml:space="preserve">1998-VIII), Съдът </w:t>
      </w:r>
      <w:r w:rsidR="00DE1A42" w:rsidRPr="00474BEE">
        <w:rPr>
          <w:lang w:val="bg-BG"/>
        </w:rPr>
        <w:t>приема</w:t>
      </w:r>
      <w:r w:rsidRPr="00474BEE">
        <w:rPr>
          <w:lang w:val="bg-BG"/>
        </w:rPr>
        <w:t>, че к</w:t>
      </w:r>
      <w:r w:rsidR="000664B1" w:rsidRPr="00474BEE">
        <w:rPr>
          <w:lang w:val="bg-BG"/>
        </w:rPr>
        <w:t>огато едно лице повдига оспорваното</w:t>
      </w:r>
      <w:r w:rsidRPr="00474BEE">
        <w:rPr>
          <w:lang w:val="bg-BG"/>
        </w:rPr>
        <w:t xml:space="preserve"> оплакване, че е било подложено от полицията или други подобни държавни органи на отношение </w:t>
      </w:r>
      <w:r w:rsidR="00126A18" w:rsidRPr="00474BEE">
        <w:rPr>
          <w:lang w:val="bg-BG"/>
        </w:rPr>
        <w:t>в противоречие с чл.</w:t>
      </w:r>
      <w:r w:rsidRPr="00474BEE">
        <w:rPr>
          <w:lang w:val="bg-BG"/>
        </w:rPr>
        <w:t xml:space="preserve"> 3, тази разпоредба, във връзка с общото задължение на държавата по ч</w:t>
      </w:r>
      <w:r w:rsidR="00126A18" w:rsidRPr="00474BEE">
        <w:rPr>
          <w:lang w:val="bg-BG"/>
        </w:rPr>
        <w:t>л. 1 от Конвенцията да „</w:t>
      </w:r>
      <w:r w:rsidRPr="00474BEE">
        <w:rPr>
          <w:lang w:val="bg-BG"/>
        </w:rPr>
        <w:t xml:space="preserve">осигурява на всяко лице под </w:t>
      </w:r>
      <w:r w:rsidR="00E66A65" w:rsidRPr="00474BEE">
        <w:rPr>
          <w:lang w:val="bg-BG"/>
        </w:rPr>
        <w:t xml:space="preserve">тяхна </w:t>
      </w:r>
      <w:r w:rsidRPr="00474BEE">
        <w:rPr>
          <w:lang w:val="bg-BG"/>
        </w:rPr>
        <w:t xml:space="preserve">юрисдикция правата и </w:t>
      </w:r>
      <w:r w:rsidR="00126A18" w:rsidRPr="00474BEE">
        <w:rPr>
          <w:lang w:val="bg-BG"/>
        </w:rPr>
        <w:t xml:space="preserve">свободите, определени в ... Конвенция[та]”, </w:t>
      </w:r>
      <w:r w:rsidRPr="00474BEE">
        <w:rPr>
          <w:lang w:val="bg-BG"/>
        </w:rPr>
        <w:t xml:space="preserve">изрично </w:t>
      </w:r>
      <w:r w:rsidR="00126A18" w:rsidRPr="00474BEE">
        <w:rPr>
          <w:lang w:val="bg-BG"/>
        </w:rPr>
        <w:t>предполага</w:t>
      </w:r>
      <w:r w:rsidRPr="00474BEE">
        <w:rPr>
          <w:lang w:val="bg-BG"/>
        </w:rPr>
        <w:t xml:space="preserve">, че следва да </w:t>
      </w:r>
      <w:r w:rsidR="00E66A65" w:rsidRPr="00474BEE">
        <w:rPr>
          <w:lang w:val="bg-BG"/>
        </w:rPr>
        <w:t>има</w:t>
      </w:r>
      <w:r w:rsidRPr="00474BEE">
        <w:rPr>
          <w:lang w:val="bg-BG"/>
        </w:rPr>
        <w:t xml:space="preserve"> ефективно официално разследване, което да доведе до установяване и наказване на отговорните лица. От тогава това процедурно задължение е добре уредено в съдебната практика на Съда (вж</w:t>
      </w:r>
      <w:r w:rsidR="008A3584" w:rsidRPr="00474BEE">
        <w:rPr>
          <w:lang w:val="bg-BG"/>
        </w:rPr>
        <w:t>.</w:t>
      </w:r>
      <w:r w:rsidRPr="00474BEE">
        <w:rPr>
          <w:lang w:val="bg-BG"/>
        </w:rPr>
        <w:t xml:space="preserve">, наред с много други, </w:t>
      </w:r>
      <w:proofErr w:type="spellStart"/>
      <w:r w:rsidR="00126A18" w:rsidRPr="00474BEE">
        <w:rPr>
          <w:i/>
          <w:lang w:val="bg-BG"/>
        </w:rPr>
        <w:t>Labita</w:t>
      </w:r>
      <w:proofErr w:type="spellEnd"/>
      <w:r w:rsidR="00126A18" w:rsidRPr="00474BEE">
        <w:rPr>
          <w:i/>
          <w:lang w:val="bg-BG"/>
        </w:rPr>
        <w:t xml:space="preserve"> v. </w:t>
      </w:r>
      <w:proofErr w:type="spellStart"/>
      <w:r w:rsidR="00126A18" w:rsidRPr="00474BEE">
        <w:rPr>
          <w:i/>
          <w:lang w:val="bg-BG"/>
        </w:rPr>
        <w:t>Italy</w:t>
      </w:r>
      <w:proofErr w:type="spellEnd"/>
      <w:r w:rsidR="00126A18" w:rsidRPr="00474BEE">
        <w:rPr>
          <w:lang w:val="bg-BG"/>
        </w:rPr>
        <w:t xml:space="preserve"> [GC], № 26772/95, § 131, ECПЧ 2000-IV; </w:t>
      </w:r>
      <w:proofErr w:type="spellStart"/>
      <w:r w:rsidR="00126A18" w:rsidRPr="00474BEE">
        <w:rPr>
          <w:i/>
          <w:lang w:val="bg-BG"/>
        </w:rPr>
        <w:t>Gäfgen</w:t>
      </w:r>
      <w:proofErr w:type="spellEnd"/>
      <w:r w:rsidR="00126A18" w:rsidRPr="00474BEE">
        <w:rPr>
          <w:lang w:val="bg-BG"/>
        </w:rPr>
        <w:t xml:space="preserve">, цитирано по-горе, § 117; </w:t>
      </w:r>
      <w:r w:rsidR="00126A18" w:rsidRPr="00474BEE">
        <w:rPr>
          <w:snapToGrid w:val="0"/>
          <w:lang w:val="bg-BG"/>
        </w:rPr>
        <w:t xml:space="preserve">и </w:t>
      </w:r>
      <w:proofErr w:type="spellStart"/>
      <w:r w:rsidR="00FB3C1D" w:rsidRPr="00474BEE">
        <w:rPr>
          <w:i/>
          <w:lang w:val="bg-BG"/>
        </w:rPr>
        <w:t>Ленев</w:t>
      </w:r>
      <w:proofErr w:type="spellEnd"/>
      <w:r w:rsidR="00126A18" w:rsidRPr="00474BEE">
        <w:rPr>
          <w:lang w:val="bg-BG"/>
        </w:rPr>
        <w:t>, цитирано по-горе</w:t>
      </w:r>
      <w:r w:rsidR="00126A18" w:rsidRPr="00474BEE">
        <w:rPr>
          <w:snapToGrid w:val="0"/>
          <w:lang w:val="bg-BG"/>
        </w:rPr>
        <w:t>, § 119).</w:t>
      </w:r>
    </w:p>
    <w:p w:rsidR="003A1FD3" w:rsidRPr="00474BEE" w:rsidRDefault="003A1FD3" w:rsidP="00EF4865">
      <w:pPr>
        <w:pStyle w:val="ECHRPara"/>
        <w:rPr>
          <w:lang w:val="bg-BG"/>
        </w:rPr>
      </w:pPr>
      <w:r w:rsidRPr="00474BEE">
        <w:rPr>
          <w:lang w:val="bg-BG"/>
        </w:rPr>
        <w:t xml:space="preserve">66. В случаите, когато това разследване е довело до правни действия пред </w:t>
      </w:r>
      <w:r w:rsidR="008A3584" w:rsidRPr="00474BEE">
        <w:rPr>
          <w:lang w:val="bg-BG"/>
        </w:rPr>
        <w:t>съдилища</w:t>
      </w:r>
      <w:r w:rsidRPr="00474BEE">
        <w:rPr>
          <w:lang w:val="bg-BG"/>
        </w:rPr>
        <w:t>, изискванията на чл. 3 излизат извън обсега на етапа на разследване; производството като цяло, включително и неговата съдебна фаза, трябва да отговарят на тези изисквания (вж</w:t>
      </w:r>
      <w:r w:rsidR="008A3584" w:rsidRPr="00474BEE">
        <w:rPr>
          <w:lang w:val="bg-BG"/>
        </w:rPr>
        <w:t>.</w:t>
      </w:r>
      <w:r w:rsidRPr="00474BEE">
        <w:rPr>
          <w:lang w:val="bg-BG"/>
        </w:rPr>
        <w:t xml:space="preserve"> </w:t>
      </w:r>
      <w:proofErr w:type="spellStart"/>
      <w:r w:rsidR="00EF4865" w:rsidRPr="00474BEE">
        <w:rPr>
          <w:i/>
          <w:lang w:val="bg-BG"/>
        </w:rPr>
        <w:t>Okkalı</w:t>
      </w:r>
      <w:proofErr w:type="spellEnd"/>
      <w:r w:rsidR="00EF4865" w:rsidRPr="00474BEE">
        <w:rPr>
          <w:i/>
          <w:lang w:val="bg-BG"/>
        </w:rPr>
        <w:t xml:space="preserve"> v. </w:t>
      </w:r>
      <w:proofErr w:type="spellStart"/>
      <w:r w:rsidR="00EF4865" w:rsidRPr="00474BEE">
        <w:rPr>
          <w:i/>
          <w:lang w:val="bg-BG"/>
        </w:rPr>
        <w:lastRenderedPageBreak/>
        <w:t>Turkey</w:t>
      </w:r>
      <w:proofErr w:type="spellEnd"/>
      <w:r w:rsidR="00EF4865" w:rsidRPr="00474BEE">
        <w:rPr>
          <w:lang w:val="bg-BG"/>
        </w:rPr>
        <w:t>, № 52067/99, § 65,</w:t>
      </w:r>
      <w:r w:rsidR="00EF4865" w:rsidRPr="00474BEE">
        <w:rPr>
          <w:szCs w:val="24"/>
          <w:lang w:val="bg-BG"/>
        </w:rPr>
        <w:t xml:space="preserve"> EСПЧ 2006-XII (откъси); </w:t>
      </w:r>
      <w:proofErr w:type="spellStart"/>
      <w:r w:rsidR="00EF4865" w:rsidRPr="00474BEE">
        <w:rPr>
          <w:i/>
          <w:lang w:val="bg-BG"/>
        </w:rPr>
        <w:t>Zontul</w:t>
      </w:r>
      <w:proofErr w:type="spellEnd"/>
      <w:r w:rsidR="00EF4865" w:rsidRPr="00474BEE">
        <w:rPr>
          <w:i/>
          <w:lang w:val="bg-BG"/>
        </w:rPr>
        <w:t xml:space="preserve"> v. </w:t>
      </w:r>
      <w:proofErr w:type="spellStart"/>
      <w:r w:rsidR="00EF4865" w:rsidRPr="00474BEE">
        <w:rPr>
          <w:i/>
          <w:lang w:val="bg-BG"/>
        </w:rPr>
        <w:t>Greece</w:t>
      </w:r>
      <w:proofErr w:type="spellEnd"/>
      <w:r w:rsidR="00EF4865" w:rsidRPr="00474BEE">
        <w:rPr>
          <w:lang w:val="bg-BG"/>
        </w:rPr>
        <w:t>, № 12294/07, § 97, 17 януари 2012 г.; и</w:t>
      </w:r>
      <w:r w:rsidR="00EF4865" w:rsidRPr="00474BEE">
        <w:rPr>
          <w:i/>
          <w:lang w:val="bg-BG"/>
        </w:rPr>
        <w:t xml:space="preserve"> </w:t>
      </w:r>
      <w:proofErr w:type="spellStart"/>
      <w:r w:rsidR="00EF4865" w:rsidRPr="00474BEE">
        <w:rPr>
          <w:i/>
          <w:lang w:val="bg-BG"/>
        </w:rPr>
        <w:t>Aleksakhin</w:t>
      </w:r>
      <w:proofErr w:type="spellEnd"/>
      <w:r w:rsidR="00EF4865" w:rsidRPr="00474BEE">
        <w:rPr>
          <w:i/>
          <w:lang w:val="bg-BG"/>
        </w:rPr>
        <w:t xml:space="preserve"> v. </w:t>
      </w:r>
      <w:proofErr w:type="spellStart"/>
      <w:r w:rsidR="00EF4865" w:rsidRPr="00474BEE">
        <w:rPr>
          <w:i/>
          <w:lang w:val="bg-BG"/>
        </w:rPr>
        <w:t>Ukraine</w:t>
      </w:r>
      <w:proofErr w:type="spellEnd"/>
      <w:r w:rsidR="00EF4865" w:rsidRPr="00474BEE">
        <w:rPr>
          <w:lang w:val="bg-BG"/>
        </w:rPr>
        <w:t>, № 31939/06</w:t>
      </w:r>
      <w:r w:rsidR="00EF4865" w:rsidRPr="00474BEE">
        <w:rPr>
          <w:snapToGrid w:val="0"/>
          <w:lang w:val="bg-BG"/>
        </w:rPr>
        <w:t>, § 56, 1</w:t>
      </w:r>
      <w:r w:rsidR="00EF4865" w:rsidRPr="00474BEE">
        <w:rPr>
          <w:lang w:val="bg-BG"/>
        </w:rPr>
        <w:t>9</w:t>
      </w:r>
      <w:r w:rsidR="00EF4865" w:rsidRPr="00474BEE">
        <w:rPr>
          <w:snapToGrid w:val="0"/>
          <w:lang w:val="bg-BG"/>
        </w:rPr>
        <w:t xml:space="preserve"> юли 2012 г., по отношение на производства, свързани с предполагаемо малтретиране от страна на държавни служители, </w:t>
      </w:r>
      <w:r w:rsidR="00EF4865" w:rsidRPr="00474BEE">
        <w:rPr>
          <w:lang w:val="bg-BG"/>
        </w:rPr>
        <w:t xml:space="preserve">и </w:t>
      </w:r>
      <w:proofErr w:type="spellStart"/>
      <w:r w:rsidR="00EF4865" w:rsidRPr="00474BEE">
        <w:rPr>
          <w:i/>
          <w:lang w:val="bg-BG"/>
        </w:rPr>
        <w:t>Muta</w:t>
      </w:r>
      <w:proofErr w:type="spellEnd"/>
      <w:r w:rsidR="00EF4865" w:rsidRPr="00474BEE">
        <w:rPr>
          <w:i/>
          <w:lang w:val="bg-BG"/>
        </w:rPr>
        <w:t xml:space="preserve"> v. </w:t>
      </w:r>
      <w:proofErr w:type="spellStart"/>
      <w:r w:rsidR="00EF4865" w:rsidRPr="00474BEE">
        <w:rPr>
          <w:i/>
          <w:lang w:val="bg-BG"/>
        </w:rPr>
        <w:t>Ukraine</w:t>
      </w:r>
      <w:proofErr w:type="spellEnd"/>
      <w:r w:rsidR="00EF4865" w:rsidRPr="00474BEE">
        <w:rPr>
          <w:i/>
          <w:lang w:val="bg-BG"/>
        </w:rPr>
        <w:t>,</w:t>
      </w:r>
      <w:r w:rsidR="00EF4865" w:rsidRPr="00474BEE">
        <w:rPr>
          <w:lang w:val="bg-BG"/>
        </w:rPr>
        <w:t xml:space="preserve"> № 37246/06</w:t>
      </w:r>
      <w:r w:rsidR="00EF4865" w:rsidRPr="00474BEE">
        <w:rPr>
          <w:snapToGrid w:val="0"/>
          <w:lang w:val="bg-BG"/>
        </w:rPr>
        <w:t xml:space="preserve">, § 62, 31 юли 2012 г.; </w:t>
      </w:r>
      <w:r w:rsidR="00EF4865" w:rsidRPr="00474BEE">
        <w:rPr>
          <w:i/>
          <w:lang w:val="bg-BG"/>
        </w:rPr>
        <w:t>N.A.</w:t>
      </w:r>
      <w:r w:rsidR="00EF4865" w:rsidRPr="00474BEE">
        <w:rPr>
          <w:lang w:val="bg-BG"/>
        </w:rPr>
        <w:t xml:space="preserve"> </w:t>
      </w:r>
      <w:r w:rsidR="00EF4865" w:rsidRPr="00474BEE">
        <w:rPr>
          <w:i/>
          <w:lang w:val="bg-BG"/>
        </w:rPr>
        <w:t xml:space="preserve">v. </w:t>
      </w:r>
      <w:proofErr w:type="spellStart"/>
      <w:r w:rsidR="00EF4865" w:rsidRPr="00474BEE">
        <w:rPr>
          <w:i/>
          <w:lang w:val="bg-BG"/>
        </w:rPr>
        <w:t>the</w:t>
      </w:r>
      <w:proofErr w:type="spellEnd"/>
      <w:r w:rsidR="00EF4865" w:rsidRPr="00474BEE">
        <w:rPr>
          <w:i/>
          <w:lang w:val="bg-BG"/>
        </w:rPr>
        <w:t xml:space="preserve"> Republic of </w:t>
      </w:r>
      <w:proofErr w:type="spellStart"/>
      <w:r w:rsidR="00EF4865" w:rsidRPr="00474BEE">
        <w:rPr>
          <w:i/>
          <w:lang w:val="bg-BG"/>
        </w:rPr>
        <w:t>Moldova</w:t>
      </w:r>
      <w:proofErr w:type="spellEnd"/>
      <w:r w:rsidR="00EF4865" w:rsidRPr="00474BEE">
        <w:rPr>
          <w:lang w:val="bg-BG"/>
        </w:rPr>
        <w:t>, № 13424/06</w:t>
      </w:r>
      <w:r w:rsidR="00EF4865" w:rsidRPr="00474BEE">
        <w:rPr>
          <w:snapToGrid w:val="0"/>
          <w:lang w:val="bg-BG"/>
        </w:rPr>
        <w:t xml:space="preserve">, § 65, 24 септември 2013 г.; и </w:t>
      </w:r>
      <w:proofErr w:type="spellStart"/>
      <w:r w:rsidR="00EF4865" w:rsidRPr="00474BEE">
        <w:rPr>
          <w:i/>
          <w:lang w:val="bg-BG"/>
        </w:rPr>
        <w:t>Ceachir</w:t>
      </w:r>
      <w:proofErr w:type="spellEnd"/>
      <w:r w:rsidR="00EF4865" w:rsidRPr="00474BEE">
        <w:rPr>
          <w:i/>
          <w:lang w:val="bg-BG"/>
        </w:rPr>
        <w:t xml:space="preserve"> v. </w:t>
      </w:r>
      <w:proofErr w:type="spellStart"/>
      <w:r w:rsidR="00EF4865" w:rsidRPr="00474BEE">
        <w:rPr>
          <w:i/>
          <w:lang w:val="bg-BG"/>
        </w:rPr>
        <w:t>Moldova</w:t>
      </w:r>
      <w:proofErr w:type="spellEnd"/>
      <w:r w:rsidR="00EF4865" w:rsidRPr="00474BEE">
        <w:rPr>
          <w:lang w:val="bg-BG"/>
        </w:rPr>
        <w:t>, № 50115/06</w:t>
      </w:r>
      <w:r w:rsidR="00EF4865" w:rsidRPr="00474BEE">
        <w:rPr>
          <w:snapToGrid w:val="0"/>
          <w:lang w:val="bg-BG"/>
        </w:rPr>
        <w:t xml:space="preserve">, § 46, </w:t>
      </w:r>
      <w:r w:rsidRPr="00474BEE">
        <w:rPr>
          <w:lang w:val="bg-BG"/>
        </w:rPr>
        <w:t>10 декември 2013 г. по отношение на производства, свързани с предполагаемо малтретиране от страна на частни лица).</w:t>
      </w:r>
    </w:p>
    <w:p w:rsidR="00EF4865" w:rsidRPr="00474BEE" w:rsidRDefault="003A1FD3" w:rsidP="00EF4865">
      <w:pPr>
        <w:pStyle w:val="ECHRPara"/>
        <w:rPr>
          <w:snapToGrid w:val="0"/>
          <w:lang w:val="bg-BG"/>
        </w:rPr>
      </w:pPr>
      <w:r w:rsidRPr="00474BEE">
        <w:rPr>
          <w:lang w:val="bg-BG"/>
        </w:rPr>
        <w:t>67. Това включва санкциите, наложени в края на това производство. Естествено, не съществува задължение по силата на чл. 3 всички наказателни преследвания за предполагаемо малтретиране да водят до осъдителна или до определена присъда, и не е задача на Съда да се произнася за степента на персонална вина или определяне на подходящо наказа</w:t>
      </w:r>
      <w:r w:rsidR="00FB3C1D" w:rsidRPr="00474BEE">
        <w:rPr>
          <w:lang w:val="bg-BG"/>
        </w:rPr>
        <w:t>ние за лице, признато за виновно</w:t>
      </w:r>
      <w:r w:rsidRPr="00474BEE">
        <w:rPr>
          <w:lang w:val="bg-BG"/>
        </w:rPr>
        <w:t xml:space="preserve"> за малтретиране. Въпреки това, по силата на чл. 19 от Конвенцията и на принципа, че Конвенцията има за цел да гарантира не теоретични или илюзорни, а практични и ефективни права, Съдът трябва да гарантира, че задължението на държавата да защити правата н</w:t>
      </w:r>
      <w:r w:rsidR="00FB3C1D" w:rsidRPr="00474BEE">
        <w:rPr>
          <w:lang w:val="bg-BG"/>
        </w:rPr>
        <w:t xml:space="preserve">а лица под нейна юрисдикция те </w:t>
      </w:r>
      <w:r w:rsidRPr="00474BEE">
        <w:rPr>
          <w:lang w:val="bg-BG"/>
        </w:rPr>
        <w:t>да не се подлагат на отношение в противоречие с чл.</w:t>
      </w:r>
      <w:r w:rsidR="00EF4865" w:rsidRPr="00474BEE">
        <w:rPr>
          <w:lang w:val="bg-BG"/>
        </w:rPr>
        <w:t xml:space="preserve"> 3, </w:t>
      </w:r>
      <w:r w:rsidRPr="00474BEE">
        <w:rPr>
          <w:lang w:val="bg-BG"/>
        </w:rPr>
        <w:t xml:space="preserve">се изпълнява адекватно и че националните власти не позволяват такова отношение да остане </w:t>
      </w:r>
      <w:r w:rsidR="00304A00" w:rsidRPr="00474BEE">
        <w:rPr>
          <w:lang w:val="bg-BG"/>
        </w:rPr>
        <w:t>без</w:t>
      </w:r>
      <w:r w:rsidRPr="00474BEE">
        <w:rPr>
          <w:lang w:val="bg-BG"/>
        </w:rPr>
        <w:t xml:space="preserve">наказано. Това е от съществено значение за поддържане на </w:t>
      </w:r>
      <w:r w:rsidR="00304A00" w:rsidRPr="00474BEE">
        <w:rPr>
          <w:lang w:val="bg-BG"/>
        </w:rPr>
        <w:t xml:space="preserve">общественото </w:t>
      </w:r>
      <w:r w:rsidRPr="00474BEE">
        <w:rPr>
          <w:lang w:val="bg-BG"/>
        </w:rPr>
        <w:t>доверие</w:t>
      </w:r>
      <w:r w:rsidR="00304A00" w:rsidRPr="00474BEE">
        <w:rPr>
          <w:lang w:val="bg-BG"/>
        </w:rPr>
        <w:t xml:space="preserve"> </w:t>
      </w:r>
      <w:r w:rsidRPr="00474BEE">
        <w:rPr>
          <w:lang w:val="bg-BG"/>
        </w:rPr>
        <w:t xml:space="preserve">подкрепа на върховенството на закона и за предотвратяване на прояви на толерантност към или тайни споразумения за извършване на незаконни действия. От това следва, че докато предоставя значителна свобода на националните органи и съдилища в избора на подходящи санкции за </w:t>
      </w:r>
      <w:r w:rsidR="00EF4865" w:rsidRPr="00474BEE">
        <w:rPr>
          <w:lang w:val="bg-BG"/>
        </w:rPr>
        <w:t>прояви на малтретиране</w:t>
      </w:r>
      <w:r w:rsidRPr="00474BEE">
        <w:rPr>
          <w:lang w:val="bg-BG"/>
        </w:rPr>
        <w:t>, Съдът следва да упражнява</w:t>
      </w:r>
      <w:r w:rsidR="00A96716" w:rsidRPr="00474BEE">
        <w:rPr>
          <w:lang w:val="bg-BG"/>
        </w:rPr>
        <w:t xml:space="preserve"> определен</w:t>
      </w:r>
      <w:r w:rsidRPr="00474BEE">
        <w:rPr>
          <w:lang w:val="bg-BG"/>
        </w:rPr>
        <w:t xml:space="preserve"> контрол и </w:t>
      </w:r>
      <w:r w:rsidR="00B55CC0" w:rsidRPr="00474BEE">
        <w:rPr>
          <w:lang w:val="bg-BG"/>
        </w:rPr>
        <w:t xml:space="preserve">да се </w:t>
      </w:r>
      <w:r w:rsidRPr="00474BEE">
        <w:rPr>
          <w:lang w:val="bg-BG"/>
        </w:rPr>
        <w:t>намес</w:t>
      </w:r>
      <w:r w:rsidR="00B55CC0" w:rsidRPr="00474BEE">
        <w:rPr>
          <w:lang w:val="bg-BG"/>
        </w:rPr>
        <w:t>в</w:t>
      </w:r>
      <w:r w:rsidRPr="00474BEE">
        <w:rPr>
          <w:lang w:val="bg-BG"/>
        </w:rPr>
        <w:t>а в случаи на явна диспропорция между тежестта на деянието и наложеното наказание, (вж</w:t>
      </w:r>
      <w:r w:rsidR="00B55CC0" w:rsidRPr="00474BEE">
        <w:rPr>
          <w:lang w:val="bg-BG"/>
        </w:rPr>
        <w:t>.</w:t>
      </w:r>
      <w:r w:rsidRPr="00474BEE">
        <w:rPr>
          <w:lang w:val="bg-BG"/>
        </w:rPr>
        <w:t xml:space="preserve"> </w:t>
      </w:r>
      <w:proofErr w:type="spellStart"/>
      <w:r w:rsidR="00EF4865" w:rsidRPr="00474BEE">
        <w:rPr>
          <w:i/>
          <w:lang w:val="bg-BG"/>
        </w:rPr>
        <w:t>Gäfgen</w:t>
      </w:r>
      <w:proofErr w:type="spellEnd"/>
      <w:r w:rsidR="00EF4865" w:rsidRPr="00474BEE">
        <w:rPr>
          <w:lang w:val="bg-BG"/>
        </w:rPr>
        <w:t xml:space="preserve">, цитирано по-горе, § 123; </w:t>
      </w:r>
      <w:proofErr w:type="spellStart"/>
      <w:r w:rsidR="00EF4865" w:rsidRPr="00474BEE">
        <w:rPr>
          <w:i/>
          <w:lang w:val="bg-BG"/>
        </w:rPr>
        <w:t>Kopylov</w:t>
      </w:r>
      <w:proofErr w:type="spellEnd"/>
      <w:r w:rsidR="00EF4865" w:rsidRPr="00474BEE">
        <w:rPr>
          <w:i/>
          <w:lang w:val="bg-BG"/>
        </w:rPr>
        <w:t xml:space="preserve"> v. </w:t>
      </w:r>
      <w:proofErr w:type="spellStart"/>
      <w:r w:rsidR="00EF4865" w:rsidRPr="00474BEE">
        <w:rPr>
          <w:i/>
          <w:lang w:val="bg-BG"/>
        </w:rPr>
        <w:t>Russia</w:t>
      </w:r>
      <w:proofErr w:type="spellEnd"/>
      <w:r w:rsidR="00EF4865" w:rsidRPr="00474BEE">
        <w:rPr>
          <w:lang w:val="bg-BG"/>
        </w:rPr>
        <w:t>, № 3933/04</w:t>
      </w:r>
      <w:r w:rsidR="00EF4865" w:rsidRPr="00474BEE">
        <w:rPr>
          <w:snapToGrid w:val="0"/>
          <w:szCs w:val="24"/>
          <w:lang w:val="bg-BG"/>
        </w:rPr>
        <w:t xml:space="preserve">, § 140, 29 юли 2010 г.; и </w:t>
      </w:r>
      <w:proofErr w:type="spellStart"/>
      <w:r w:rsidR="00EF4865" w:rsidRPr="00474BEE">
        <w:rPr>
          <w:i/>
          <w:lang w:val="bg-BG"/>
        </w:rPr>
        <w:t>Cestaro</w:t>
      </w:r>
      <w:proofErr w:type="spellEnd"/>
      <w:r w:rsidR="00EF4865" w:rsidRPr="00474BEE">
        <w:rPr>
          <w:snapToGrid w:val="0"/>
          <w:lang w:val="bg-BG"/>
        </w:rPr>
        <w:t>, цитирано по-горе, §§ 205-07).</w:t>
      </w:r>
    </w:p>
    <w:p w:rsidR="003A1FD3" w:rsidRPr="00474BEE" w:rsidRDefault="003A1FD3" w:rsidP="00EF4865">
      <w:pPr>
        <w:pStyle w:val="ECHRPara"/>
        <w:rPr>
          <w:i/>
          <w:lang w:val="bg-BG"/>
        </w:rPr>
      </w:pPr>
      <w:r w:rsidRPr="00474BEE">
        <w:rPr>
          <w:lang w:val="bg-BG"/>
        </w:rPr>
        <w:t>68. Задължителна предпоставка за изпълнението на това задължение в отделни</w:t>
      </w:r>
      <w:r w:rsidR="0045088A" w:rsidRPr="00474BEE">
        <w:rPr>
          <w:lang w:val="bg-BG"/>
        </w:rPr>
        <w:t>те случаи е произтичащото от това</w:t>
      </w:r>
      <w:r w:rsidRPr="00474BEE">
        <w:rPr>
          <w:lang w:val="bg-BG"/>
        </w:rPr>
        <w:t xml:space="preserve"> задължение по силата на чл. 3, държавите да имат наказателно</w:t>
      </w:r>
      <w:r w:rsidR="00EF4865" w:rsidRPr="00474BEE">
        <w:rPr>
          <w:lang w:val="bg-BG"/>
        </w:rPr>
        <w:t>-</w:t>
      </w:r>
      <w:r w:rsidRPr="00474BEE">
        <w:rPr>
          <w:lang w:val="bg-BG"/>
        </w:rPr>
        <w:t>правни разпоредби, подходящи за санкциониране на действия</w:t>
      </w:r>
      <w:r w:rsidR="00EF4865" w:rsidRPr="00474BEE">
        <w:rPr>
          <w:lang w:val="bg-BG"/>
        </w:rPr>
        <w:t>, противоречащи на този член (вж</w:t>
      </w:r>
      <w:r w:rsidR="00DD76BD" w:rsidRPr="00474BEE">
        <w:rPr>
          <w:lang w:val="bg-BG"/>
        </w:rPr>
        <w:t>.</w:t>
      </w:r>
      <w:r w:rsidR="00EF4865" w:rsidRPr="00474BEE">
        <w:rPr>
          <w:lang w:val="bg-BG"/>
        </w:rPr>
        <w:t xml:space="preserve"> </w:t>
      </w:r>
      <w:proofErr w:type="spellStart"/>
      <w:r w:rsidR="00EF4865" w:rsidRPr="00474BEE">
        <w:rPr>
          <w:i/>
          <w:lang w:val="bg-BG"/>
        </w:rPr>
        <w:t>Gäfgen</w:t>
      </w:r>
      <w:proofErr w:type="spellEnd"/>
      <w:r w:rsidR="00EF4865" w:rsidRPr="00474BEE">
        <w:rPr>
          <w:lang w:val="bg-BG"/>
        </w:rPr>
        <w:t>, цитирано по-горе, § 117</w:t>
      </w:r>
      <w:r w:rsidR="00DD76BD" w:rsidRPr="00474BEE">
        <w:rPr>
          <w:lang w:val="bg-BG"/>
        </w:rPr>
        <w:t xml:space="preserve"> в края</w:t>
      </w:r>
      <w:r w:rsidR="00EF4865" w:rsidRPr="00474BEE">
        <w:rPr>
          <w:lang w:val="bg-BG"/>
        </w:rPr>
        <w:t>;</w:t>
      </w:r>
      <w:r w:rsidR="00EF4865" w:rsidRPr="00474BEE">
        <w:rPr>
          <w:i/>
          <w:lang w:val="bg-BG"/>
        </w:rPr>
        <w:t xml:space="preserve"> </w:t>
      </w:r>
      <w:proofErr w:type="spellStart"/>
      <w:r w:rsidR="00EF4865" w:rsidRPr="00474BEE">
        <w:rPr>
          <w:i/>
          <w:lang w:val="bg-BG"/>
        </w:rPr>
        <w:t>Zontul</w:t>
      </w:r>
      <w:proofErr w:type="spellEnd"/>
      <w:r w:rsidR="00EF4865" w:rsidRPr="00474BEE">
        <w:rPr>
          <w:lang w:val="bg-BG"/>
        </w:rPr>
        <w:t>, § 96</w:t>
      </w:r>
      <w:r w:rsidR="00DD76BD" w:rsidRPr="00474BEE">
        <w:rPr>
          <w:lang w:val="bg-BG"/>
        </w:rPr>
        <w:t xml:space="preserve"> в края</w:t>
      </w:r>
      <w:r w:rsidR="00EF4865" w:rsidRPr="00474BEE">
        <w:rPr>
          <w:lang w:val="bg-BG"/>
        </w:rPr>
        <w:t xml:space="preserve">; и </w:t>
      </w:r>
      <w:proofErr w:type="spellStart"/>
      <w:r w:rsidR="00EF4865" w:rsidRPr="00474BEE">
        <w:rPr>
          <w:i/>
          <w:lang w:val="bg-BG"/>
        </w:rPr>
        <w:t>Cestaro</w:t>
      </w:r>
      <w:proofErr w:type="spellEnd"/>
      <w:r w:rsidR="00EF4865" w:rsidRPr="00474BEE">
        <w:rPr>
          <w:lang w:val="bg-BG"/>
        </w:rPr>
        <w:t>, § 209, всички цитирани по-горе</w:t>
      </w:r>
      <w:r w:rsidR="00EF4865" w:rsidRPr="00474BEE">
        <w:rPr>
          <w:snapToGrid w:val="0"/>
          <w:lang w:val="bg-BG"/>
        </w:rPr>
        <w:t xml:space="preserve">). </w:t>
      </w:r>
      <w:r w:rsidR="00EF4865" w:rsidRPr="00474BEE">
        <w:rPr>
          <w:lang w:val="bg-BG"/>
        </w:rPr>
        <w:t xml:space="preserve">Тези разпоредби трябва да бъдат в състояние ефективно да възпират извършването на такива действия </w:t>
      </w:r>
      <w:r w:rsidR="00EF4865" w:rsidRPr="00474BEE">
        <w:rPr>
          <w:snapToGrid w:val="0"/>
          <w:lang w:val="bg-BG"/>
        </w:rPr>
        <w:t>(вж</w:t>
      </w:r>
      <w:r w:rsidR="00DD76BD" w:rsidRPr="00474BEE">
        <w:rPr>
          <w:snapToGrid w:val="0"/>
          <w:lang w:val="bg-BG"/>
        </w:rPr>
        <w:t>.</w:t>
      </w:r>
      <w:r w:rsidR="00EF4865" w:rsidRPr="00474BEE">
        <w:rPr>
          <w:snapToGrid w:val="0"/>
          <w:lang w:val="bg-BG"/>
        </w:rPr>
        <w:t xml:space="preserve"> </w:t>
      </w:r>
      <w:r w:rsidR="00EF4865" w:rsidRPr="00474BEE">
        <w:rPr>
          <w:i/>
          <w:lang w:val="bg-BG"/>
        </w:rPr>
        <w:t xml:space="preserve">A. v. </w:t>
      </w:r>
      <w:proofErr w:type="spellStart"/>
      <w:r w:rsidR="00EF4865" w:rsidRPr="00474BEE">
        <w:rPr>
          <w:i/>
          <w:lang w:val="bg-BG"/>
        </w:rPr>
        <w:t>the</w:t>
      </w:r>
      <w:proofErr w:type="spellEnd"/>
      <w:r w:rsidR="00EF4865" w:rsidRPr="00474BEE">
        <w:rPr>
          <w:i/>
          <w:lang w:val="bg-BG"/>
        </w:rPr>
        <w:t xml:space="preserve"> </w:t>
      </w:r>
      <w:proofErr w:type="spellStart"/>
      <w:r w:rsidR="00EF4865" w:rsidRPr="00474BEE">
        <w:rPr>
          <w:i/>
          <w:lang w:val="bg-BG"/>
        </w:rPr>
        <w:t>United</w:t>
      </w:r>
      <w:proofErr w:type="spellEnd"/>
      <w:r w:rsidR="00EF4865" w:rsidRPr="00474BEE">
        <w:rPr>
          <w:i/>
          <w:lang w:val="bg-BG"/>
        </w:rPr>
        <w:t xml:space="preserve"> </w:t>
      </w:r>
      <w:proofErr w:type="spellStart"/>
      <w:r w:rsidR="00EF4865" w:rsidRPr="00474BEE">
        <w:rPr>
          <w:i/>
          <w:lang w:val="bg-BG"/>
        </w:rPr>
        <w:t>Kingdom</w:t>
      </w:r>
      <w:proofErr w:type="spellEnd"/>
      <w:r w:rsidR="00EF4865" w:rsidRPr="00474BEE">
        <w:rPr>
          <w:lang w:val="bg-BG"/>
        </w:rPr>
        <w:t xml:space="preserve">, 23 септември 1998, § 22, </w:t>
      </w:r>
      <w:r w:rsidR="00DD76BD" w:rsidRPr="00474BEE">
        <w:rPr>
          <w:i/>
          <w:lang w:val="bg-BG"/>
        </w:rPr>
        <w:t>Доклади</w:t>
      </w:r>
      <w:r w:rsidR="00DD76BD" w:rsidRPr="00474BEE">
        <w:rPr>
          <w:lang w:val="bg-BG"/>
        </w:rPr>
        <w:t xml:space="preserve"> </w:t>
      </w:r>
      <w:r w:rsidR="00EF4865" w:rsidRPr="00474BEE">
        <w:rPr>
          <w:lang w:val="bg-BG"/>
        </w:rPr>
        <w:t>1998-VI</w:t>
      </w:r>
      <w:r w:rsidRPr="00474BEE">
        <w:rPr>
          <w:lang w:val="bg-BG"/>
        </w:rPr>
        <w:t>).</w:t>
      </w:r>
    </w:p>
    <w:p w:rsidR="003A1FD3" w:rsidRPr="00474BEE" w:rsidRDefault="003A1FD3" w:rsidP="00EF4865">
      <w:pPr>
        <w:pStyle w:val="ECHRPara"/>
        <w:rPr>
          <w:lang w:val="bg-BG"/>
        </w:rPr>
      </w:pPr>
      <w:r w:rsidRPr="00474BEE">
        <w:rPr>
          <w:lang w:val="bg-BG"/>
        </w:rPr>
        <w:t xml:space="preserve">69. Съдът приема също, че когато държавни служители са обвинени в престъпления, свързани с малтретиране, те следва да бъдат </w:t>
      </w:r>
      <w:r w:rsidR="00EF275F" w:rsidRPr="00474BEE">
        <w:rPr>
          <w:lang w:val="bg-BG"/>
        </w:rPr>
        <w:t xml:space="preserve">отстранени </w:t>
      </w:r>
      <w:r w:rsidRPr="00474BEE">
        <w:rPr>
          <w:lang w:val="bg-BG"/>
        </w:rPr>
        <w:t xml:space="preserve">от </w:t>
      </w:r>
      <w:r w:rsidR="00EF275F" w:rsidRPr="00474BEE">
        <w:rPr>
          <w:lang w:val="bg-BG"/>
        </w:rPr>
        <w:t xml:space="preserve">длъжност, докато са </w:t>
      </w:r>
      <w:r w:rsidRPr="00474BEE">
        <w:rPr>
          <w:lang w:val="bg-BG"/>
        </w:rPr>
        <w:t>разследван</w:t>
      </w:r>
      <w:r w:rsidR="00EF275F" w:rsidRPr="00474BEE">
        <w:rPr>
          <w:lang w:val="bg-BG"/>
        </w:rPr>
        <w:t>и</w:t>
      </w:r>
      <w:r w:rsidRPr="00474BEE">
        <w:rPr>
          <w:lang w:val="bg-BG"/>
        </w:rPr>
        <w:t xml:space="preserve"> или съдени и </w:t>
      </w:r>
      <w:r w:rsidR="00EF275F" w:rsidRPr="00474BEE">
        <w:rPr>
          <w:lang w:val="bg-BG"/>
        </w:rPr>
        <w:t xml:space="preserve">освободени </w:t>
      </w:r>
      <w:r w:rsidRPr="00474BEE">
        <w:rPr>
          <w:lang w:val="bg-BG"/>
        </w:rPr>
        <w:t xml:space="preserve">от </w:t>
      </w:r>
      <w:r w:rsidR="00EF275F" w:rsidRPr="00474BEE">
        <w:rPr>
          <w:lang w:val="bg-BG"/>
        </w:rPr>
        <w:t>длъжност</w:t>
      </w:r>
      <w:r w:rsidRPr="00474BEE">
        <w:rPr>
          <w:lang w:val="bg-BG"/>
        </w:rPr>
        <w:t>, ако бъдат признати за виновни (вж</w:t>
      </w:r>
      <w:r w:rsidR="00106EF2" w:rsidRPr="00474BEE">
        <w:rPr>
          <w:lang w:val="bg-BG"/>
        </w:rPr>
        <w:t>.</w:t>
      </w:r>
      <w:r w:rsidRPr="00474BEE">
        <w:rPr>
          <w:lang w:val="bg-BG"/>
        </w:rPr>
        <w:t xml:space="preserve">, наред с други, </w:t>
      </w:r>
      <w:proofErr w:type="spellStart"/>
      <w:r w:rsidR="00EF4865" w:rsidRPr="00474BEE">
        <w:rPr>
          <w:i/>
          <w:szCs w:val="24"/>
          <w:lang w:val="bg-BG"/>
        </w:rPr>
        <w:t>Abdülsamet</w:t>
      </w:r>
      <w:proofErr w:type="spellEnd"/>
      <w:r w:rsidR="00EF4865" w:rsidRPr="00474BEE">
        <w:rPr>
          <w:i/>
          <w:szCs w:val="24"/>
          <w:lang w:val="bg-BG"/>
        </w:rPr>
        <w:t xml:space="preserve"> </w:t>
      </w:r>
      <w:proofErr w:type="spellStart"/>
      <w:r w:rsidR="00EF4865" w:rsidRPr="00474BEE">
        <w:rPr>
          <w:i/>
          <w:szCs w:val="24"/>
          <w:lang w:val="bg-BG"/>
        </w:rPr>
        <w:t>Yaman</w:t>
      </w:r>
      <w:proofErr w:type="spellEnd"/>
      <w:r w:rsidR="00EF4865" w:rsidRPr="00474BEE">
        <w:rPr>
          <w:i/>
          <w:szCs w:val="24"/>
          <w:lang w:val="bg-BG"/>
        </w:rPr>
        <w:t xml:space="preserve"> v. </w:t>
      </w:r>
      <w:proofErr w:type="spellStart"/>
      <w:r w:rsidR="00EF4865" w:rsidRPr="00474BEE">
        <w:rPr>
          <w:i/>
          <w:szCs w:val="24"/>
          <w:lang w:val="bg-BG"/>
        </w:rPr>
        <w:t>Turkey</w:t>
      </w:r>
      <w:proofErr w:type="spellEnd"/>
      <w:r w:rsidR="00EF4865" w:rsidRPr="00474BEE">
        <w:rPr>
          <w:szCs w:val="24"/>
          <w:lang w:val="bg-BG"/>
        </w:rPr>
        <w:t xml:space="preserve">, № 32446/96, § 55, 2 ноември 2004 г.; </w:t>
      </w:r>
      <w:proofErr w:type="spellStart"/>
      <w:r w:rsidR="00EF4865" w:rsidRPr="00474BEE">
        <w:rPr>
          <w:i/>
          <w:lang w:val="bg-BG"/>
        </w:rPr>
        <w:t>Gäfgen</w:t>
      </w:r>
      <w:proofErr w:type="spellEnd"/>
      <w:r w:rsidR="00EF4865" w:rsidRPr="00474BEE">
        <w:rPr>
          <w:lang w:val="bg-BG"/>
        </w:rPr>
        <w:t xml:space="preserve">, цитирано по-горе, § 125; и </w:t>
      </w:r>
      <w:proofErr w:type="spellStart"/>
      <w:r w:rsidR="00EF4865" w:rsidRPr="00474BEE">
        <w:rPr>
          <w:i/>
          <w:lang w:val="bg-BG"/>
        </w:rPr>
        <w:t>Cestaro</w:t>
      </w:r>
      <w:proofErr w:type="spellEnd"/>
      <w:r w:rsidR="00EF4865" w:rsidRPr="00474BEE">
        <w:rPr>
          <w:lang w:val="bg-BG"/>
        </w:rPr>
        <w:t>, цитирано по-горе, § 210</w:t>
      </w:r>
      <w:r w:rsidR="00EF4865" w:rsidRPr="00474BEE">
        <w:rPr>
          <w:snapToGrid w:val="0"/>
          <w:lang w:val="bg-BG"/>
        </w:rPr>
        <w:t>)</w:t>
      </w:r>
      <w:r w:rsidRPr="00474BEE">
        <w:rPr>
          <w:lang w:val="bg-BG"/>
        </w:rPr>
        <w:t>.</w:t>
      </w:r>
    </w:p>
    <w:p w:rsidR="003A1FD3" w:rsidRPr="00474BEE" w:rsidRDefault="003A1FD3" w:rsidP="003A1FD3">
      <w:pPr>
        <w:pStyle w:val="ECHRPara"/>
        <w:rPr>
          <w:lang w:val="bg-BG"/>
        </w:rPr>
      </w:pPr>
    </w:p>
    <w:p w:rsidR="003A1FD3" w:rsidRPr="00474BEE" w:rsidRDefault="003A1FD3" w:rsidP="003A1FD3">
      <w:pPr>
        <w:pStyle w:val="ECHRPara"/>
        <w:rPr>
          <w:i/>
          <w:lang w:val="bg-BG"/>
        </w:rPr>
      </w:pPr>
      <w:r w:rsidRPr="00474BEE">
        <w:rPr>
          <w:i/>
          <w:lang w:val="bg-BG"/>
        </w:rPr>
        <w:t xml:space="preserve">4. Дали тези задължения са адекватно </w:t>
      </w:r>
      <w:r w:rsidR="00106EF2" w:rsidRPr="00474BEE">
        <w:rPr>
          <w:i/>
          <w:lang w:val="bg-BG"/>
        </w:rPr>
        <w:t xml:space="preserve">изпълнени </w:t>
      </w:r>
      <w:r w:rsidRPr="00474BEE">
        <w:rPr>
          <w:i/>
          <w:lang w:val="bg-BG"/>
        </w:rPr>
        <w:t>в настоящия случай?</w:t>
      </w:r>
    </w:p>
    <w:p w:rsidR="003A1FD3" w:rsidRPr="00474BEE" w:rsidRDefault="003A1FD3" w:rsidP="003A1FD3">
      <w:pPr>
        <w:pStyle w:val="ECHRPara"/>
        <w:rPr>
          <w:lang w:val="bg-BG"/>
        </w:rPr>
      </w:pPr>
    </w:p>
    <w:p w:rsidR="003A1FD3" w:rsidRPr="00474BEE" w:rsidRDefault="003A1FD3" w:rsidP="003A1FD3">
      <w:pPr>
        <w:pStyle w:val="ECHRPara"/>
        <w:rPr>
          <w:lang w:val="bg-BG"/>
        </w:rPr>
      </w:pPr>
      <w:r w:rsidRPr="00474BEE">
        <w:rPr>
          <w:lang w:val="bg-BG"/>
        </w:rPr>
        <w:t>70. В настоящия случай Министерството на вътрешните работи провежда вътрешно разследване и бързо открива дисциплинарно производство срещу тримата полиц</w:t>
      </w:r>
      <w:r w:rsidR="00106EF2" w:rsidRPr="00474BEE">
        <w:rPr>
          <w:lang w:val="bg-BG"/>
        </w:rPr>
        <w:t>ейски служители</w:t>
      </w:r>
      <w:r w:rsidRPr="00474BEE">
        <w:rPr>
          <w:lang w:val="bg-BG"/>
        </w:rPr>
        <w:t xml:space="preserve">, малтретирали жалбоподателя. Въпреки това, производството не довежда до налагане на санкции по отношение на малтретирането, на което жалбоподателят е бил подложен. Единственият резултат </w:t>
      </w:r>
      <w:r w:rsidR="00E02BA0" w:rsidRPr="00474BEE">
        <w:rPr>
          <w:lang w:val="bg-BG"/>
        </w:rPr>
        <w:t xml:space="preserve">от </w:t>
      </w:r>
      <w:r w:rsidR="0094528A" w:rsidRPr="00474BEE">
        <w:rPr>
          <w:lang w:val="bg-BG"/>
        </w:rPr>
        <w:t>него</w:t>
      </w:r>
      <w:r w:rsidR="00E02BA0" w:rsidRPr="00474BEE">
        <w:rPr>
          <w:lang w:val="bg-BG"/>
        </w:rPr>
        <w:t xml:space="preserve"> </w:t>
      </w:r>
      <w:r w:rsidRPr="00474BEE">
        <w:rPr>
          <w:lang w:val="bg-BG"/>
        </w:rPr>
        <w:t>е</w:t>
      </w:r>
      <w:r w:rsidR="00B81E67" w:rsidRPr="00474BEE">
        <w:rPr>
          <w:lang w:val="bg-BG"/>
        </w:rPr>
        <w:t xml:space="preserve">, че двама от полицаите, г-н Н.К. и г-н И.К., са </w:t>
      </w:r>
      <w:r w:rsidRPr="00474BEE">
        <w:rPr>
          <w:lang w:val="bg-BG"/>
        </w:rPr>
        <w:t>лишени от възможността за повишение в длъжност за срок от три години за неправомерно задържане на жалбоподателя (вж</w:t>
      </w:r>
      <w:r w:rsidR="00E02BA0" w:rsidRPr="00474BEE">
        <w:rPr>
          <w:lang w:val="bg-BG"/>
        </w:rPr>
        <w:t>.</w:t>
      </w:r>
      <w:r w:rsidRPr="00474BEE">
        <w:rPr>
          <w:lang w:val="bg-BG"/>
        </w:rPr>
        <w:t xml:space="preserve"> параграф 22 по-горе). </w:t>
      </w:r>
      <w:r w:rsidR="00E02BA0" w:rsidRPr="00474BEE">
        <w:rPr>
          <w:lang w:val="bg-BG"/>
        </w:rPr>
        <w:t xml:space="preserve">Следователно </w:t>
      </w:r>
      <w:r w:rsidR="0094528A" w:rsidRPr="00474BEE">
        <w:rPr>
          <w:lang w:val="bg-BG"/>
        </w:rPr>
        <w:t>това</w:t>
      </w:r>
      <w:r w:rsidRPr="00474BEE">
        <w:rPr>
          <w:lang w:val="bg-BG"/>
        </w:rPr>
        <w:t xml:space="preserve"> производств</w:t>
      </w:r>
      <w:r w:rsidR="0094528A" w:rsidRPr="00474BEE">
        <w:rPr>
          <w:lang w:val="bg-BG"/>
        </w:rPr>
        <w:t>о</w:t>
      </w:r>
      <w:r w:rsidRPr="00474BEE">
        <w:rPr>
          <w:lang w:val="bg-BG"/>
        </w:rPr>
        <w:t xml:space="preserve"> не мо</w:t>
      </w:r>
      <w:r w:rsidR="0094528A" w:rsidRPr="00474BEE">
        <w:rPr>
          <w:lang w:val="bg-BG"/>
        </w:rPr>
        <w:t>же</w:t>
      </w:r>
      <w:r w:rsidRPr="00474BEE">
        <w:rPr>
          <w:lang w:val="bg-BG"/>
        </w:rPr>
        <w:t xml:space="preserve"> да се разглежда като адекватен процесуал</w:t>
      </w:r>
      <w:r w:rsidR="00B81E67" w:rsidRPr="00474BEE">
        <w:rPr>
          <w:lang w:val="bg-BG"/>
        </w:rPr>
        <w:t xml:space="preserve">ен отговор на </w:t>
      </w:r>
      <w:r w:rsidRPr="00474BEE">
        <w:rPr>
          <w:lang w:val="bg-BG"/>
        </w:rPr>
        <w:t>изтезание</w:t>
      </w:r>
      <w:r w:rsidR="00B81E67" w:rsidRPr="00474BEE">
        <w:rPr>
          <w:lang w:val="bg-BG"/>
        </w:rPr>
        <w:t>то</w:t>
      </w:r>
      <w:r w:rsidRPr="00474BEE">
        <w:rPr>
          <w:lang w:val="bg-BG"/>
        </w:rPr>
        <w:t>, на което жалбоподателят е жертва.</w:t>
      </w:r>
    </w:p>
    <w:p w:rsidR="003A1FD3" w:rsidRPr="00474BEE" w:rsidRDefault="003A1FD3" w:rsidP="003A1FD3">
      <w:pPr>
        <w:pStyle w:val="ECHRPara"/>
        <w:rPr>
          <w:lang w:val="bg-BG"/>
        </w:rPr>
      </w:pPr>
      <w:r w:rsidRPr="00474BEE">
        <w:rPr>
          <w:lang w:val="bg-BG"/>
        </w:rPr>
        <w:t xml:space="preserve">71. И още по-важно, полицаите нито са отстранени от длъжност, докато наказателното производство срещу тях е </w:t>
      </w:r>
      <w:r w:rsidR="00B81E67" w:rsidRPr="00474BEE">
        <w:rPr>
          <w:lang w:val="bg-BG"/>
        </w:rPr>
        <w:t xml:space="preserve">било </w:t>
      </w:r>
      <w:r w:rsidRPr="00474BEE">
        <w:rPr>
          <w:lang w:val="bg-BG"/>
        </w:rPr>
        <w:t xml:space="preserve">висящо, нито  </w:t>
      </w:r>
      <w:r w:rsidR="008146A0" w:rsidRPr="00474BEE">
        <w:rPr>
          <w:lang w:val="bg-BG"/>
        </w:rPr>
        <w:t xml:space="preserve">са освободени от длъжност, </w:t>
      </w:r>
      <w:r w:rsidRPr="00474BEE">
        <w:rPr>
          <w:lang w:val="bg-BG"/>
        </w:rPr>
        <w:t>когато са признати за виновни за малтретиране на жалбоподателя.</w:t>
      </w:r>
    </w:p>
    <w:p w:rsidR="003A1FD3" w:rsidRPr="00474BEE" w:rsidRDefault="003A1FD3" w:rsidP="003A1FD3">
      <w:pPr>
        <w:pStyle w:val="ECHRPara"/>
        <w:rPr>
          <w:lang w:val="bg-BG"/>
        </w:rPr>
      </w:pPr>
      <w:r w:rsidRPr="00474BEE">
        <w:rPr>
          <w:lang w:val="bg-BG"/>
        </w:rPr>
        <w:t xml:space="preserve">72. За разлика от това </w:t>
      </w:r>
      <w:r w:rsidR="004E58BE" w:rsidRPr="00474BEE">
        <w:rPr>
          <w:lang w:val="bg-BG"/>
        </w:rPr>
        <w:t>отговорът от прокуратурата</w:t>
      </w:r>
      <w:r w:rsidRPr="00474BEE">
        <w:rPr>
          <w:lang w:val="bg-BG"/>
        </w:rPr>
        <w:t xml:space="preserve"> е по-енергич</w:t>
      </w:r>
      <w:r w:rsidR="0045088A" w:rsidRPr="00474BEE">
        <w:rPr>
          <w:lang w:val="bg-BG"/>
        </w:rPr>
        <w:t>ен. Прокуратурата</w:t>
      </w:r>
      <w:r w:rsidRPr="00474BEE">
        <w:rPr>
          <w:lang w:val="bg-BG"/>
        </w:rPr>
        <w:t xml:space="preserve"> започва незабавно разследване на инцидента. Полицаите бързо </w:t>
      </w:r>
      <w:r w:rsidR="008146A0" w:rsidRPr="00474BEE">
        <w:rPr>
          <w:lang w:val="bg-BG"/>
        </w:rPr>
        <w:t xml:space="preserve">са </w:t>
      </w:r>
      <w:r w:rsidRPr="00474BEE">
        <w:rPr>
          <w:lang w:val="bg-BG"/>
        </w:rPr>
        <w:t>идентифицирани и подведени под отговорност по-малко от година след инцидента, изправени пред съд малко след това и признати за виновни за малтретиране на жалбоподателя по-малко от две години след извършване на деянието. Цялата процедура, включително и етапа на обжалване, е приключена след около две години и два месеца (вж</w:t>
      </w:r>
      <w:r w:rsidR="00E809F4" w:rsidRPr="00474BEE">
        <w:rPr>
          <w:lang w:val="bg-BG"/>
        </w:rPr>
        <w:t>.</w:t>
      </w:r>
      <w:r w:rsidR="0045088A" w:rsidRPr="00474BEE">
        <w:rPr>
          <w:lang w:val="bg-BG"/>
        </w:rPr>
        <w:t xml:space="preserve"> параграфи 12 – </w:t>
      </w:r>
      <w:r w:rsidRPr="00474BEE">
        <w:rPr>
          <w:lang w:val="bg-BG"/>
        </w:rPr>
        <w:t xml:space="preserve">21 по-горе). Следователно не може да се каже, че този аспект на производството показва липса на решителност от страна на властите за подвеждане на </w:t>
      </w:r>
      <w:r w:rsidR="00E809F4" w:rsidRPr="00474BEE">
        <w:rPr>
          <w:lang w:val="bg-BG"/>
        </w:rPr>
        <w:t xml:space="preserve">служителите </w:t>
      </w:r>
      <w:r w:rsidRPr="00474BEE">
        <w:rPr>
          <w:lang w:val="bg-BG"/>
        </w:rPr>
        <w:t>под отговорност</w:t>
      </w:r>
      <w:r w:rsidR="004E58BE" w:rsidRPr="00474BEE">
        <w:rPr>
          <w:lang w:val="bg-BG"/>
        </w:rPr>
        <w:t xml:space="preserve"> (за разлика от</w:t>
      </w:r>
      <w:r w:rsidRPr="00474BEE">
        <w:rPr>
          <w:lang w:val="bg-BG"/>
        </w:rPr>
        <w:t xml:space="preserve"> </w:t>
      </w:r>
      <w:r w:rsidRPr="00474BEE">
        <w:rPr>
          <w:i/>
          <w:lang w:val="bg-BG"/>
        </w:rPr>
        <w:t>Николова и Величкова срещу България</w:t>
      </w:r>
      <w:r w:rsidRPr="00474BEE">
        <w:rPr>
          <w:lang w:val="bg-BG"/>
        </w:rPr>
        <w:t>, № 7888/03, § 59, 20 декември 2007 г..</w:t>
      </w:r>
      <w:r w:rsidR="004E58BE" w:rsidRPr="00474BEE">
        <w:rPr>
          <w:lang w:val="bg-BG"/>
        </w:rPr>
        <w:t xml:space="preserve">; </w:t>
      </w:r>
      <w:r w:rsidRPr="00474BEE">
        <w:rPr>
          <w:i/>
          <w:lang w:val="bg-BG"/>
        </w:rPr>
        <w:t>Филипови срещу България</w:t>
      </w:r>
      <w:r w:rsidRPr="00474BEE">
        <w:rPr>
          <w:lang w:val="bg-BG"/>
        </w:rPr>
        <w:t xml:space="preserve">, № 24867/04, §§ 69-70, 4 декември 2012 г.; и </w:t>
      </w:r>
      <w:proofErr w:type="spellStart"/>
      <w:r w:rsidRPr="00474BEE">
        <w:rPr>
          <w:i/>
          <w:lang w:val="bg-BG"/>
        </w:rPr>
        <w:t>Ленев</w:t>
      </w:r>
      <w:proofErr w:type="spellEnd"/>
      <w:r w:rsidRPr="00474BEE">
        <w:rPr>
          <w:lang w:val="bg-BG"/>
        </w:rPr>
        <w:t>, цитирано по-горе, § 124).</w:t>
      </w:r>
    </w:p>
    <w:p w:rsidR="003A1FD3" w:rsidRPr="00474BEE" w:rsidRDefault="003A1FD3" w:rsidP="003A1FD3">
      <w:pPr>
        <w:pStyle w:val="ECHRPara"/>
        <w:rPr>
          <w:lang w:val="bg-BG"/>
        </w:rPr>
      </w:pPr>
      <w:r w:rsidRPr="00474BEE">
        <w:rPr>
          <w:lang w:val="bg-BG"/>
        </w:rPr>
        <w:t xml:space="preserve">73. Въпреки това не може да се пренебрегне фактът, че органите на прокуратурата повдигат обвинения </w:t>
      </w:r>
      <w:r w:rsidR="00660AAF" w:rsidRPr="00474BEE">
        <w:rPr>
          <w:lang w:val="bg-BG"/>
        </w:rPr>
        <w:t xml:space="preserve">единствено </w:t>
      </w:r>
      <w:r w:rsidRPr="00474BEE">
        <w:rPr>
          <w:lang w:val="bg-BG"/>
        </w:rPr>
        <w:t>съгласно наказателно-правн</w:t>
      </w:r>
      <w:r w:rsidR="00660AAF" w:rsidRPr="00474BEE">
        <w:rPr>
          <w:lang w:val="bg-BG"/>
        </w:rPr>
        <w:t>а</w:t>
      </w:r>
      <w:r w:rsidRPr="00474BEE">
        <w:rPr>
          <w:lang w:val="bg-BG"/>
        </w:rPr>
        <w:t xml:space="preserve"> разпоредб</w:t>
      </w:r>
      <w:r w:rsidR="00660AAF" w:rsidRPr="00474BEE">
        <w:rPr>
          <w:lang w:val="bg-BG"/>
        </w:rPr>
        <w:t>а</w:t>
      </w:r>
      <w:r w:rsidRPr="00474BEE">
        <w:rPr>
          <w:lang w:val="bg-BG"/>
        </w:rPr>
        <w:t>, ко</w:t>
      </w:r>
      <w:r w:rsidR="00660AAF" w:rsidRPr="00474BEE">
        <w:rPr>
          <w:lang w:val="bg-BG"/>
        </w:rPr>
        <w:t>я</w:t>
      </w:r>
      <w:r w:rsidRPr="00474BEE">
        <w:rPr>
          <w:lang w:val="bg-BG"/>
        </w:rPr>
        <w:t>то, почти изцяло фокусиран</w:t>
      </w:r>
      <w:r w:rsidR="00660AAF" w:rsidRPr="00474BEE">
        <w:rPr>
          <w:lang w:val="bg-BG"/>
        </w:rPr>
        <w:t>а</w:t>
      </w:r>
      <w:r w:rsidRPr="00474BEE">
        <w:rPr>
          <w:lang w:val="bg-BG"/>
        </w:rPr>
        <w:t xml:space="preserve"> върху степента на увреждане на физическото здраве на жертвата, вод</w:t>
      </w:r>
      <w:r w:rsidR="00660AAF" w:rsidRPr="00474BEE">
        <w:rPr>
          <w:lang w:val="bg-BG"/>
        </w:rPr>
        <w:t>и</w:t>
      </w:r>
      <w:r w:rsidRPr="00474BEE">
        <w:rPr>
          <w:lang w:val="bg-BG"/>
        </w:rPr>
        <w:t xml:space="preserve"> дори в по-тежки случаи до много леки наказания, ако уврежданията не достигат определен </w:t>
      </w:r>
      <w:r w:rsidR="005C3B01" w:rsidRPr="00474BEE">
        <w:rPr>
          <w:lang w:val="bg-BG"/>
        </w:rPr>
        <w:t xml:space="preserve">праг </w:t>
      </w:r>
      <w:r w:rsidR="0045088A" w:rsidRPr="00474BEE">
        <w:rPr>
          <w:lang w:val="bg-BG"/>
        </w:rPr>
        <w:t>(вж</w:t>
      </w:r>
      <w:r w:rsidR="005C3B01" w:rsidRPr="00474BEE">
        <w:rPr>
          <w:lang w:val="bg-BG"/>
        </w:rPr>
        <w:t>.</w:t>
      </w:r>
      <w:r w:rsidR="0045088A" w:rsidRPr="00474BEE">
        <w:rPr>
          <w:lang w:val="bg-BG"/>
        </w:rPr>
        <w:t xml:space="preserve"> параграфи 13, 16 и 28 – </w:t>
      </w:r>
      <w:r w:rsidRPr="00474BEE">
        <w:rPr>
          <w:lang w:val="bg-BG"/>
        </w:rPr>
        <w:t>29 по-горе). Това, заедно с общо</w:t>
      </w:r>
      <w:r w:rsidR="005C3B01" w:rsidRPr="00474BEE">
        <w:rPr>
          <w:lang w:val="bg-BG"/>
        </w:rPr>
        <w:t>то</w:t>
      </w:r>
      <w:r w:rsidRPr="00474BEE">
        <w:rPr>
          <w:lang w:val="bg-BG"/>
        </w:rPr>
        <w:t xml:space="preserve"> правило на българското наказателно право, че извърш</w:t>
      </w:r>
      <w:r w:rsidR="009F3631" w:rsidRPr="00474BEE">
        <w:rPr>
          <w:lang w:val="bg-BG"/>
        </w:rPr>
        <w:t>илите</w:t>
      </w:r>
      <w:r w:rsidRPr="00474BEE">
        <w:rPr>
          <w:lang w:val="bg-BG"/>
        </w:rPr>
        <w:t xml:space="preserve"> за първи път умишлен</w:t>
      </w:r>
      <w:r w:rsidR="009F3631" w:rsidRPr="00474BEE">
        <w:rPr>
          <w:lang w:val="bg-BG"/>
        </w:rPr>
        <w:t>о</w:t>
      </w:r>
      <w:r w:rsidRPr="00474BEE">
        <w:rPr>
          <w:lang w:val="bg-BG"/>
        </w:rPr>
        <w:t xml:space="preserve"> престъплени</w:t>
      </w:r>
      <w:r w:rsidR="009F3631" w:rsidRPr="00474BEE">
        <w:rPr>
          <w:lang w:val="bg-BG"/>
        </w:rPr>
        <w:t>е</w:t>
      </w:r>
      <w:r w:rsidRPr="00474BEE">
        <w:rPr>
          <w:lang w:val="bg-BG"/>
        </w:rPr>
        <w:t xml:space="preserve"> без изтъкнати имуществени вреди и които се наказват с по-малко от три години лишаване от свобода, </w:t>
      </w:r>
      <w:r w:rsidR="009F3631" w:rsidRPr="00474BEE">
        <w:rPr>
          <w:lang w:val="bg-BG"/>
        </w:rPr>
        <w:t xml:space="preserve">се освобождават от </w:t>
      </w:r>
      <w:r w:rsidRPr="00474BEE">
        <w:rPr>
          <w:lang w:val="bg-BG"/>
        </w:rPr>
        <w:t xml:space="preserve">наказателната отговорност </w:t>
      </w:r>
      <w:r w:rsidR="009F3631" w:rsidRPr="00474BEE">
        <w:rPr>
          <w:lang w:val="bg-BG"/>
        </w:rPr>
        <w:t xml:space="preserve">с налагане на </w:t>
      </w:r>
      <w:r w:rsidRPr="00474BEE">
        <w:rPr>
          <w:lang w:val="bg-BG"/>
        </w:rPr>
        <w:t>административно наказание, гарантира</w:t>
      </w:r>
      <w:r w:rsidR="00650B4B" w:rsidRPr="00474BEE">
        <w:rPr>
          <w:lang w:val="bg-BG"/>
        </w:rPr>
        <w:t>,</w:t>
      </w:r>
      <w:r w:rsidRPr="00474BEE">
        <w:rPr>
          <w:lang w:val="bg-BG"/>
        </w:rPr>
        <w:t xml:space="preserve"> че извършителите се наказват с административни глоби, евентуално съчетани с</w:t>
      </w:r>
      <w:r w:rsidR="004E58BE" w:rsidRPr="00474BEE">
        <w:rPr>
          <w:lang w:val="bg-BG"/>
        </w:rPr>
        <w:t xml:space="preserve"> лишаване от правото на </w:t>
      </w:r>
      <w:r w:rsidR="004E58BE" w:rsidRPr="00474BEE">
        <w:rPr>
          <w:lang w:val="bg-BG"/>
        </w:rPr>
        <w:lastRenderedPageBreak/>
        <w:t xml:space="preserve">упражняване на професията </w:t>
      </w:r>
      <w:r w:rsidRPr="00474BEE">
        <w:rPr>
          <w:lang w:val="bg-BG"/>
        </w:rPr>
        <w:t>(вж</w:t>
      </w:r>
      <w:r w:rsidR="00650B4B" w:rsidRPr="00474BEE">
        <w:rPr>
          <w:lang w:val="bg-BG"/>
        </w:rPr>
        <w:t>.</w:t>
      </w:r>
      <w:r w:rsidRPr="00474BEE">
        <w:rPr>
          <w:lang w:val="bg-BG"/>
        </w:rPr>
        <w:t xml:space="preserve"> параграф 42 по-горе). В случ</w:t>
      </w:r>
      <w:r w:rsidR="0045088A" w:rsidRPr="00474BEE">
        <w:rPr>
          <w:lang w:val="bg-BG"/>
        </w:rPr>
        <w:t>ая българските съдилища определят</w:t>
      </w:r>
      <w:r w:rsidRPr="00474BEE">
        <w:rPr>
          <w:lang w:val="bg-BG"/>
        </w:rPr>
        <w:t xml:space="preserve"> тези глоби </w:t>
      </w:r>
      <w:r w:rsidR="00650B4B" w:rsidRPr="00474BEE">
        <w:rPr>
          <w:lang w:val="bg-BG"/>
        </w:rPr>
        <w:t xml:space="preserve">в размер </w:t>
      </w:r>
      <w:r w:rsidRPr="00474BEE">
        <w:rPr>
          <w:lang w:val="bg-BG"/>
        </w:rPr>
        <w:t>на</w:t>
      </w:r>
      <w:r w:rsidR="004E58BE" w:rsidRPr="00474BEE">
        <w:rPr>
          <w:lang w:val="bg-BG"/>
        </w:rPr>
        <w:t xml:space="preserve"> 2</w:t>
      </w:r>
      <w:r w:rsidR="00650B4B" w:rsidRPr="00474BEE">
        <w:rPr>
          <w:lang w:val="bg-BG"/>
        </w:rPr>
        <w:t xml:space="preserve"> </w:t>
      </w:r>
      <w:r w:rsidR="004E58BE" w:rsidRPr="00474BEE">
        <w:rPr>
          <w:lang w:val="bg-BG"/>
        </w:rPr>
        <w:t>000 лева (равностойни</w:t>
      </w:r>
      <w:r w:rsidRPr="00474BEE">
        <w:rPr>
          <w:lang w:val="bg-BG"/>
        </w:rPr>
        <w:t xml:space="preserve"> на 1</w:t>
      </w:r>
      <w:r w:rsidR="00650B4B" w:rsidRPr="00474BEE">
        <w:rPr>
          <w:lang w:val="bg-BG"/>
        </w:rPr>
        <w:t xml:space="preserve"> </w:t>
      </w:r>
      <w:r w:rsidRPr="00474BEE">
        <w:rPr>
          <w:lang w:val="bg-BG"/>
        </w:rPr>
        <w:t>023 евро), к</w:t>
      </w:r>
      <w:r w:rsidR="004E58BE" w:rsidRPr="00474BEE">
        <w:rPr>
          <w:lang w:val="bg-BG"/>
        </w:rPr>
        <w:t>оето е под средния общовалиден праг</w:t>
      </w:r>
      <w:r w:rsidRPr="00474BEE">
        <w:rPr>
          <w:lang w:val="bg-BG"/>
        </w:rPr>
        <w:t>, и решават</w:t>
      </w:r>
      <w:r w:rsidR="004E58BE" w:rsidRPr="00474BEE">
        <w:rPr>
          <w:lang w:val="bg-BG"/>
        </w:rPr>
        <w:t xml:space="preserve"> да не налагат лишаване от правото на упражняване на професията </w:t>
      </w:r>
      <w:r w:rsidRPr="00474BEE">
        <w:rPr>
          <w:lang w:val="bg-BG"/>
        </w:rPr>
        <w:t>(вж</w:t>
      </w:r>
      <w:r w:rsidR="002F463A" w:rsidRPr="00474BEE">
        <w:rPr>
          <w:lang w:val="bg-BG"/>
        </w:rPr>
        <w:t>.</w:t>
      </w:r>
      <w:r w:rsidRPr="00474BEE">
        <w:rPr>
          <w:lang w:val="bg-BG"/>
        </w:rPr>
        <w:t xml:space="preserve"> параграфи 20 и 21 по-горе).</w:t>
      </w:r>
    </w:p>
    <w:p w:rsidR="003A1FD3" w:rsidRPr="00474BEE" w:rsidRDefault="003A1FD3" w:rsidP="003A1FD3">
      <w:pPr>
        <w:pStyle w:val="ECHRPara"/>
        <w:rPr>
          <w:lang w:val="bg-BG"/>
        </w:rPr>
      </w:pPr>
      <w:r w:rsidRPr="00474BEE">
        <w:rPr>
          <w:lang w:val="bg-BG"/>
        </w:rPr>
        <w:t>74. Съдът вече изрази загриженост, че престъплението нанасяне на теле</w:t>
      </w:r>
      <w:r w:rsidR="004E58BE" w:rsidRPr="00474BEE">
        <w:rPr>
          <w:lang w:val="bg-BG"/>
        </w:rPr>
        <w:t xml:space="preserve">сна повреда </w:t>
      </w:r>
      <w:r w:rsidR="002F463A" w:rsidRPr="00474BEE">
        <w:rPr>
          <w:lang w:val="bg-BG"/>
        </w:rPr>
        <w:t xml:space="preserve">съгласно </w:t>
      </w:r>
      <w:r w:rsidR="004E58BE" w:rsidRPr="00474BEE">
        <w:rPr>
          <w:lang w:val="bg-BG"/>
        </w:rPr>
        <w:t>чл.</w:t>
      </w:r>
      <w:r w:rsidR="0045088A" w:rsidRPr="00474BEE">
        <w:rPr>
          <w:lang w:val="bg-BG"/>
        </w:rPr>
        <w:t xml:space="preserve"> 128 – 1</w:t>
      </w:r>
      <w:r w:rsidRPr="00474BEE">
        <w:rPr>
          <w:lang w:val="bg-BG"/>
        </w:rPr>
        <w:t>30 от българския Наказателен кодекс (вж</w:t>
      </w:r>
      <w:r w:rsidR="002F463A" w:rsidRPr="00474BEE">
        <w:rPr>
          <w:lang w:val="bg-BG"/>
        </w:rPr>
        <w:t>.</w:t>
      </w:r>
      <w:r w:rsidRPr="00474BEE">
        <w:rPr>
          <w:lang w:val="bg-BG"/>
        </w:rPr>
        <w:t xml:space="preserve"> параграф 28 по-горе) не взема достатъчно предвид понесените психологически страдания (вж</w:t>
      </w:r>
      <w:r w:rsidR="002F463A" w:rsidRPr="00474BEE">
        <w:rPr>
          <w:lang w:val="bg-BG"/>
        </w:rPr>
        <w:t>.</w:t>
      </w:r>
      <w:r w:rsidRPr="00474BEE">
        <w:rPr>
          <w:lang w:val="bg-BG"/>
        </w:rPr>
        <w:t xml:space="preserve"> </w:t>
      </w:r>
      <w:r w:rsidRPr="00474BEE">
        <w:rPr>
          <w:i/>
          <w:lang w:val="bg-BG"/>
        </w:rPr>
        <w:t>Христови срещу България</w:t>
      </w:r>
      <w:r w:rsidRPr="00474BEE">
        <w:rPr>
          <w:lang w:val="bg-BG"/>
        </w:rPr>
        <w:t>, №</w:t>
      </w:r>
      <w:r w:rsidR="004E58BE" w:rsidRPr="00474BEE">
        <w:rPr>
          <w:lang w:val="bg-BG"/>
        </w:rPr>
        <w:t xml:space="preserve"> 42697/</w:t>
      </w:r>
      <w:r w:rsidRPr="00474BEE">
        <w:rPr>
          <w:lang w:val="bg-BG"/>
        </w:rPr>
        <w:t>05, § 95, 11 о</w:t>
      </w:r>
      <w:r w:rsidR="004E58BE" w:rsidRPr="00474BEE">
        <w:rPr>
          <w:lang w:val="bg-BG"/>
        </w:rPr>
        <w:t xml:space="preserve">ктомври 2011 г., и </w:t>
      </w:r>
      <w:r w:rsidR="004E58BE" w:rsidRPr="00474BEE">
        <w:rPr>
          <w:i/>
          <w:lang w:val="bg-BG"/>
        </w:rPr>
        <w:t>Гуцанови</w:t>
      </w:r>
      <w:r w:rsidRPr="00474BEE">
        <w:rPr>
          <w:i/>
          <w:lang w:val="bg-BG"/>
        </w:rPr>
        <w:t xml:space="preserve"> срещу България</w:t>
      </w:r>
      <w:r w:rsidRPr="00474BEE">
        <w:rPr>
          <w:lang w:val="bg-BG"/>
        </w:rPr>
        <w:t>, №</w:t>
      </w:r>
      <w:r w:rsidR="004E58BE" w:rsidRPr="00474BEE">
        <w:rPr>
          <w:lang w:val="bg-BG"/>
        </w:rPr>
        <w:t xml:space="preserve"> 34529/10, § 91, ECПЧ</w:t>
      </w:r>
      <w:r w:rsidRPr="00474BEE">
        <w:rPr>
          <w:lang w:val="bg-BG"/>
        </w:rPr>
        <w:t xml:space="preserve"> от </w:t>
      </w:r>
      <w:r w:rsidR="004E58BE" w:rsidRPr="00474BEE">
        <w:rPr>
          <w:lang w:val="bg-BG"/>
        </w:rPr>
        <w:t>2013 г. (откъси</w:t>
      </w:r>
      <w:r w:rsidRPr="00474BEE">
        <w:rPr>
          <w:lang w:val="bg-BG"/>
        </w:rPr>
        <w:t>)). Това е още по-важно в случая, тъй като една от отличителните характеристики н</w:t>
      </w:r>
      <w:r w:rsidR="0045088A" w:rsidRPr="00474BEE">
        <w:rPr>
          <w:lang w:val="bg-BG"/>
        </w:rPr>
        <w:t>а изтезанията е, че те не само – и не винаги –</w:t>
      </w:r>
      <w:r w:rsidRPr="00474BEE">
        <w:rPr>
          <w:lang w:val="bg-BG"/>
        </w:rPr>
        <w:t xml:space="preserve"> сериозно увреждат физическото здраве на лицето, подложено на тях, но също така засягат по много сериозен начин неговото лично достойнство и психологическо благополучие.</w:t>
      </w:r>
    </w:p>
    <w:p w:rsidR="003A1FD3" w:rsidRPr="00474BEE" w:rsidRDefault="003A1FD3" w:rsidP="005148AD">
      <w:pPr>
        <w:pStyle w:val="ECHRPara"/>
        <w:rPr>
          <w:lang w:val="bg-BG"/>
        </w:rPr>
      </w:pPr>
      <w:r w:rsidRPr="00474BEE">
        <w:rPr>
          <w:lang w:val="bg-BG"/>
        </w:rPr>
        <w:t xml:space="preserve">75. Не е необходимо Съдът да преценява дали деянието на полицаите е правилно характеризирано </w:t>
      </w:r>
      <w:r w:rsidR="00E97841" w:rsidRPr="00474BEE">
        <w:rPr>
          <w:lang w:val="bg-BG"/>
        </w:rPr>
        <w:t>съгласно</w:t>
      </w:r>
      <w:r w:rsidRPr="00474BEE">
        <w:rPr>
          <w:lang w:val="bg-BG"/>
        </w:rPr>
        <w:t xml:space="preserve"> българския Наказателен кодекс като лека телесна повреда по смисъла на чл. 131 § 1 (2), във връзка с чл. 130 § 2. Нито пък е в рамките на неговите правомощия да определя дали българските наказателни съдил</w:t>
      </w:r>
      <w:r w:rsidR="00047EA0" w:rsidRPr="00474BEE">
        <w:rPr>
          <w:lang w:val="bg-BG"/>
        </w:rPr>
        <w:t>ища са имали основание да приложат чл. 78а § 1 от НК</w:t>
      </w:r>
      <w:r w:rsidRPr="00474BEE">
        <w:rPr>
          <w:lang w:val="bg-BG"/>
        </w:rPr>
        <w:t xml:space="preserve"> в с</w:t>
      </w:r>
      <w:r w:rsidR="00047EA0" w:rsidRPr="00474BEE">
        <w:rPr>
          <w:lang w:val="bg-BG"/>
        </w:rPr>
        <w:t>лучая</w:t>
      </w:r>
      <w:r w:rsidR="00E97841" w:rsidRPr="00474BEE">
        <w:rPr>
          <w:lang w:val="bg-BG"/>
        </w:rPr>
        <w:t xml:space="preserve"> на служителите</w:t>
      </w:r>
      <w:r w:rsidR="00047EA0" w:rsidRPr="00474BEE">
        <w:rPr>
          <w:lang w:val="bg-BG"/>
        </w:rPr>
        <w:t xml:space="preserve">, дали те правилно </w:t>
      </w:r>
      <w:r w:rsidR="0045088A" w:rsidRPr="00474BEE">
        <w:rPr>
          <w:lang w:val="bg-BG"/>
        </w:rPr>
        <w:t>са определили</w:t>
      </w:r>
      <w:r w:rsidRPr="00474BEE">
        <w:rPr>
          <w:lang w:val="bg-BG"/>
        </w:rPr>
        <w:t xml:space="preserve"> размера на глобите, които присъждат </w:t>
      </w:r>
      <w:r w:rsidR="00047EA0" w:rsidRPr="00474BEE">
        <w:rPr>
          <w:lang w:val="bg-BG"/>
        </w:rPr>
        <w:t xml:space="preserve">на </w:t>
      </w:r>
      <w:r w:rsidR="00130606" w:rsidRPr="00474BEE">
        <w:rPr>
          <w:lang w:val="bg-BG"/>
        </w:rPr>
        <w:t>полицаите</w:t>
      </w:r>
      <w:r w:rsidR="00047EA0" w:rsidRPr="00474BEE">
        <w:rPr>
          <w:lang w:val="bg-BG"/>
        </w:rPr>
        <w:t xml:space="preserve"> </w:t>
      </w:r>
      <w:r w:rsidRPr="00474BEE">
        <w:rPr>
          <w:lang w:val="bg-BG"/>
        </w:rPr>
        <w:t xml:space="preserve">в съответствие </w:t>
      </w:r>
      <w:r w:rsidR="00047EA0" w:rsidRPr="00474BEE">
        <w:rPr>
          <w:lang w:val="bg-BG"/>
        </w:rPr>
        <w:t xml:space="preserve">с </w:t>
      </w:r>
      <w:r w:rsidRPr="00474BEE">
        <w:rPr>
          <w:lang w:val="bg-BG"/>
        </w:rPr>
        <w:t>българското право или дали правилно се въздържат</w:t>
      </w:r>
      <w:r w:rsidR="00047EA0" w:rsidRPr="00474BEE">
        <w:rPr>
          <w:lang w:val="bg-BG"/>
        </w:rPr>
        <w:t xml:space="preserve"> да наложат </w:t>
      </w:r>
      <w:r w:rsidR="005148AD" w:rsidRPr="00474BEE">
        <w:rPr>
          <w:lang w:val="bg-BG"/>
        </w:rPr>
        <w:t>наказание лишаване от право на упражняване на полицейската професия в съответствие с чл. 78а</w:t>
      </w:r>
      <w:r w:rsidRPr="00474BEE">
        <w:rPr>
          <w:lang w:val="bg-BG"/>
        </w:rPr>
        <w:t xml:space="preserve"> § 4. Въпреки това, той е компетентен да разгледа дали начинът, по който българското законодателство се прилага в този случай е довел до резултати в противоречие с изискванията на чл. 3 от Конвенцията. В случая, </w:t>
      </w:r>
      <w:r w:rsidR="005148AD" w:rsidRPr="00474BEE">
        <w:rPr>
          <w:lang w:val="bg-BG"/>
        </w:rPr>
        <w:t xml:space="preserve">на </w:t>
      </w:r>
      <w:r w:rsidR="00B364B4" w:rsidRPr="00474BEE">
        <w:rPr>
          <w:lang w:val="bg-BG"/>
        </w:rPr>
        <w:t xml:space="preserve">г-н </w:t>
      </w:r>
      <w:r w:rsidR="005148AD" w:rsidRPr="00474BEE">
        <w:rPr>
          <w:lang w:val="bg-BG"/>
        </w:rPr>
        <w:t xml:space="preserve">Н.К. е наложена глоба </w:t>
      </w:r>
      <w:r w:rsidRPr="00474BEE">
        <w:rPr>
          <w:lang w:val="bg-BG"/>
        </w:rPr>
        <w:t>в размер на две и половина мес</w:t>
      </w:r>
      <w:r w:rsidR="005148AD" w:rsidRPr="00474BEE">
        <w:rPr>
          <w:lang w:val="bg-BG"/>
        </w:rPr>
        <w:t xml:space="preserve">ечни заплати </w:t>
      </w:r>
      <w:r w:rsidRPr="00474BEE">
        <w:rPr>
          <w:lang w:val="bg-BG"/>
        </w:rPr>
        <w:t xml:space="preserve">и точно под три и половина месечни заплати в случаите на </w:t>
      </w:r>
      <w:r w:rsidR="00047EA0" w:rsidRPr="00474BEE">
        <w:rPr>
          <w:lang w:val="bg-BG"/>
        </w:rPr>
        <w:t>г-н И.К</w:t>
      </w:r>
      <w:r w:rsidRPr="00474BEE">
        <w:rPr>
          <w:lang w:val="bg-BG"/>
        </w:rPr>
        <w:t>. и г-н Т.А. Съдът не пренебрегва</w:t>
      </w:r>
      <w:r w:rsidR="005148AD" w:rsidRPr="00474BEE">
        <w:rPr>
          <w:lang w:val="bg-BG"/>
        </w:rPr>
        <w:t xml:space="preserve"> факта</w:t>
      </w:r>
      <w:r w:rsidRPr="00474BEE">
        <w:rPr>
          <w:lang w:val="bg-BG"/>
        </w:rPr>
        <w:t xml:space="preserve">, че при определяне на размера на глобите българските съдилища са взели под внимание редица смекчаващи </w:t>
      </w:r>
      <w:r w:rsidR="005148AD" w:rsidRPr="00474BEE">
        <w:rPr>
          <w:lang w:val="bg-BG"/>
        </w:rPr>
        <w:t>обстоятелства, както и не пренебрегва</w:t>
      </w:r>
      <w:r w:rsidRPr="00474BEE">
        <w:rPr>
          <w:lang w:val="bg-BG"/>
        </w:rPr>
        <w:t xml:space="preserve"> наскоро изтъкнатите от българския Върховен касационен съд съображения в връзка с друг случай, че като цяло не трябва да се позволява възпиращият ефект да надхвърля смекчаващите обстоятелства във всеки отделен случай (вж</w:t>
      </w:r>
      <w:r w:rsidR="00B364B4" w:rsidRPr="00474BEE">
        <w:rPr>
          <w:lang w:val="bg-BG"/>
        </w:rPr>
        <w:t>.</w:t>
      </w:r>
      <w:r w:rsidRPr="00474BEE">
        <w:rPr>
          <w:lang w:val="bg-BG"/>
        </w:rPr>
        <w:t xml:space="preserve"> параграф 39 по-горе). Въпреки това, в светлината на решения</w:t>
      </w:r>
      <w:r w:rsidR="001164B2" w:rsidRPr="00474BEE">
        <w:rPr>
          <w:lang w:val="bg-BG"/>
        </w:rPr>
        <w:t>та</w:t>
      </w:r>
      <w:r w:rsidRPr="00474BEE">
        <w:rPr>
          <w:lang w:val="bg-BG"/>
        </w:rPr>
        <w:t xml:space="preserve"> </w:t>
      </w:r>
      <w:r w:rsidR="006D77C4" w:rsidRPr="00474BEE">
        <w:rPr>
          <w:lang w:val="bg-BG"/>
        </w:rPr>
        <w:t xml:space="preserve">си </w:t>
      </w:r>
      <w:r w:rsidRPr="00474BEE">
        <w:rPr>
          <w:lang w:val="bg-BG"/>
        </w:rPr>
        <w:t>в подобни случаи (вж</w:t>
      </w:r>
      <w:r w:rsidR="006D77C4" w:rsidRPr="00474BEE">
        <w:rPr>
          <w:lang w:val="bg-BG"/>
        </w:rPr>
        <w:t>.</w:t>
      </w:r>
      <w:r w:rsidRPr="00474BEE">
        <w:rPr>
          <w:lang w:val="bg-BG"/>
        </w:rPr>
        <w:t xml:space="preserve"> </w:t>
      </w:r>
      <w:proofErr w:type="spellStart"/>
      <w:r w:rsidR="005148AD" w:rsidRPr="00474BEE">
        <w:rPr>
          <w:i/>
          <w:lang w:val="bg-BG"/>
        </w:rPr>
        <w:t>Gäfgen</w:t>
      </w:r>
      <w:proofErr w:type="spellEnd"/>
      <w:r w:rsidR="005148AD" w:rsidRPr="00474BEE">
        <w:rPr>
          <w:lang w:val="bg-BG"/>
        </w:rPr>
        <w:t xml:space="preserve">, цитирано по-горе, § 124; </w:t>
      </w:r>
      <w:proofErr w:type="spellStart"/>
      <w:r w:rsidR="005148AD" w:rsidRPr="00474BEE">
        <w:rPr>
          <w:i/>
          <w:lang w:val="bg-BG"/>
        </w:rPr>
        <w:t>Darraj</w:t>
      </w:r>
      <w:proofErr w:type="spellEnd"/>
      <w:r w:rsidR="005148AD" w:rsidRPr="00474BEE">
        <w:rPr>
          <w:i/>
          <w:lang w:val="bg-BG"/>
        </w:rPr>
        <w:t xml:space="preserve"> v. </w:t>
      </w:r>
      <w:proofErr w:type="spellStart"/>
      <w:r w:rsidR="005148AD" w:rsidRPr="00474BEE">
        <w:rPr>
          <w:i/>
          <w:lang w:val="bg-BG"/>
        </w:rPr>
        <w:t>France</w:t>
      </w:r>
      <w:proofErr w:type="spellEnd"/>
      <w:r w:rsidR="005148AD" w:rsidRPr="00474BEE">
        <w:rPr>
          <w:lang w:val="bg-BG"/>
        </w:rPr>
        <w:t>, № 34588/07</w:t>
      </w:r>
      <w:r w:rsidR="005148AD" w:rsidRPr="00474BEE">
        <w:rPr>
          <w:snapToGrid w:val="0"/>
          <w:szCs w:val="24"/>
          <w:lang w:val="bg-BG"/>
        </w:rPr>
        <w:t xml:space="preserve">, § 49, 4 ноември 2010 г.; </w:t>
      </w:r>
      <w:proofErr w:type="spellStart"/>
      <w:r w:rsidR="005148AD" w:rsidRPr="00474BEE">
        <w:rPr>
          <w:i/>
          <w:szCs w:val="24"/>
          <w:lang w:val="bg-BG"/>
        </w:rPr>
        <w:t>Austrianu</w:t>
      </w:r>
      <w:proofErr w:type="spellEnd"/>
      <w:r w:rsidR="005148AD" w:rsidRPr="00474BEE">
        <w:rPr>
          <w:i/>
          <w:szCs w:val="24"/>
          <w:lang w:val="bg-BG"/>
        </w:rPr>
        <w:t xml:space="preserve"> </w:t>
      </w:r>
      <w:r w:rsidR="005148AD" w:rsidRPr="00474BEE">
        <w:rPr>
          <w:i/>
          <w:lang w:val="bg-BG"/>
        </w:rPr>
        <w:t xml:space="preserve">v. </w:t>
      </w:r>
      <w:proofErr w:type="spellStart"/>
      <w:r w:rsidR="005148AD" w:rsidRPr="00474BEE">
        <w:rPr>
          <w:i/>
          <w:lang w:val="bg-BG"/>
        </w:rPr>
        <w:t>Romania</w:t>
      </w:r>
      <w:proofErr w:type="spellEnd"/>
      <w:r w:rsidR="005148AD" w:rsidRPr="00474BEE">
        <w:rPr>
          <w:lang w:val="bg-BG"/>
        </w:rPr>
        <w:t>, № 16117/02</w:t>
      </w:r>
      <w:r w:rsidR="005148AD" w:rsidRPr="00474BEE">
        <w:rPr>
          <w:snapToGrid w:val="0"/>
          <w:lang w:val="bg-BG"/>
        </w:rPr>
        <w:t xml:space="preserve">, §§ 73-74, </w:t>
      </w:r>
      <w:r w:rsidR="005148AD" w:rsidRPr="00474BEE">
        <w:rPr>
          <w:lang w:val="bg-BG"/>
        </w:rPr>
        <w:t>12 </w:t>
      </w:r>
      <w:r w:rsidR="005148AD" w:rsidRPr="00474BEE">
        <w:rPr>
          <w:snapToGrid w:val="0"/>
          <w:lang w:val="bg-BG"/>
        </w:rPr>
        <w:t xml:space="preserve">февруари 2013 г.; и </w:t>
      </w:r>
      <w:proofErr w:type="spellStart"/>
      <w:r w:rsidR="005148AD" w:rsidRPr="00474BEE">
        <w:rPr>
          <w:i/>
          <w:lang w:val="bg-BG"/>
        </w:rPr>
        <w:t>Doiciu</w:t>
      </w:r>
      <w:proofErr w:type="spellEnd"/>
      <w:r w:rsidR="005148AD" w:rsidRPr="00474BEE">
        <w:rPr>
          <w:i/>
          <w:lang w:val="bg-BG"/>
        </w:rPr>
        <w:t xml:space="preserve"> v. </w:t>
      </w:r>
      <w:proofErr w:type="spellStart"/>
      <w:r w:rsidR="005148AD" w:rsidRPr="00474BEE">
        <w:rPr>
          <w:i/>
          <w:lang w:val="bg-BG"/>
        </w:rPr>
        <w:t>Romania</w:t>
      </w:r>
      <w:proofErr w:type="spellEnd"/>
      <w:r w:rsidR="005148AD" w:rsidRPr="00474BEE">
        <w:rPr>
          <w:snapToGrid w:val="0"/>
          <w:lang w:val="bg-BG"/>
        </w:rPr>
        <w:t xml:space="preserve">, </w:t>
      </w:r>
      <w:r w:rsidR="005148AD" w:rsidRPr="00474BEE">
        <w:rPr>
          <w:lang w:val="bg-BG"/>
        </w:rPr>
        <w:t>№ 1454/09</w:t>
      </w:r>
      <w:r w:rsidR="005148AD" w:rsidRPr="00474BEE">
        <w:rPr>
          <w:snapToGrid w:val="0"/>
          <w:lang w:val="bg-BG"/>
        </w:rPr>
        <w:t xml:space="preserve">, §§ 27 и 68-69, </w:t>
      </w:r>
      <w:r w:rsidRPr="00474BEE">
        <w:rPr>
          <w:lang w:val="bg-BG"/>
        </w:rPr>
        <w:t xml:space="preserve">5 май 2015 г., във всички от които наложените само глоби са приети за неадекватни, дори при установяване на приложено нечовешко и унизително отношение), Съдът намира, че тези санкции са явно несъразмерни с тежестта на извършеното от полицаите деяние. Те не </w:t>
      </w:r>
      <w:r w:rsidRPr="00474BEE">
        <w:rPr>
          <w:lang w:val="bg-BG"/>
        </w:rPr>
        <w:lastRenderedPageBreak/>
        <w:t>отразяват адекватно сериозността на извършените изтезания и не могат да се разглеждат като имащи необходимия възпиращ ефект по отношение на държавни служители, които считат, че могат безнаказано да злоупот</w:t>
      </w:r>
      <w:r w:rsidR="0045088A" w:rsidRPr="00474BEE">
        <w:rPr>
          <w:lang w:val="bg-BG"/>
        </w:rPr>
        <w:t>ребяват с правата на поставени</w:t>
      </w:r>
      <w:r w:rsidRPr="00474BEE">
        <w:rPr>
          <w:lang w:val="bg-BG"/>
        </w:rPr>
        <w:t xml:space="preserve"> под техен контрол лица.</w:t>
      </w:r>
    </w:p>
    <w:p w:rsidR="003C4A8B" w:rsidRPr="00474BEE" w:rsidRDefault="00D16EB7" w:rsidP="009D1AE7">
      <w:pPr>
        <w:pStyle w:val="ECHRPara"/>
        <w:rPr>
          <w:i/>
          <w:lang w:val="bg-BG"/>
        </w:rPr>
      </w:pPr>
      <w:r w:rsidRPr="00474BEE">
        <w:rPr>
          <w:snapToGrid w:val="0"/>
          <w:lang w:val="bg-BG"/>
        </w:rPr>
        <w:fldChar w:fldCharType="begin"/>
      </w:r>
      <w:r w:rsidR="00BB6BA5" w:rsidRPr="00474BEE">
        <w:rPr>
          <w:snapToGrid w:val="0"/>
          <w:lang w:val="bg-BG"/>
        </w:rPr>
        <w:instrText xml:space="preserve"> SEQ level0 \*arabic </w:instrText>
      </w:r>
      <w:r w:rsidRPr="00474BEE">
        <w:rPr>
          <w:snapToGrid w:val="0"/>
          <w:lang w:val="bg-BG"/>
        </w:rPr>
        <w:fldChar w:fldCharType="separate"/>
      </w:r>
      <w:r w:rsidR="00550343" w:rsidRPr="00474BEE">
        <w:rPr>
          <w:noProof/>
          <w:snapToGrid w:val="0"/>
          <w:lang w:val="bg-BG"/>
        </w:rPr>
        <w:t>76</w:t>
      </w:r>
      <w:r w:rsidRPr="00474BEE">
        <w:rPr>
          <w:snapToGrid w:val="0"/>
          <w:lang w:val="bg-BG"/>
        </w:rPr>
        <w:fldChar w:fldCharType="end"/>
      </w:r>
      <w:r w:rsidR="00BB6BA5" w:rsidRPr="00474BEE">
        <w:rPr>
          <w:snapToGrid w:val="0"/>
          <w:lang w:val="bg-BG"/>
        </w:rPr>
        <w:t>. </w:t>
      </w:r>
      <w:r w:rsidR="00F67935" w:rsidRPr="00474BEE">
        <w:rPr>
          <w:snapToGrid w:val="0"/>
          <w:lang w:val="bg-BG"/>
        </w:rPr>
        <w:t>Ж</w:t>
      </w:r>
      <w:r w:rsidR="008207FA" w:rsidRPr="00474BEE">
        <w:rPr>
          <w:snapToGrid w:val="0"/>
          <w:lang w:val="bg-BG"/>
        </w:rPr>
        <w:t>албоподателя</w:t>
      </w:r>
      <w:r w:rsidR="00F67935" w:rsidRPr="00474BEE">
        <w:rPr>
          <w:snapToGrid w:val="0"/>
          <w:lang w:val="bg-BG"/>
        </w:rPr>
        <w:t xml:space="preserve">т счита, че това би могло да се избегне, </w:t>
      </w:r>
      <w:r w:rsidR="008207FA" w:rsidRPr="00474BEE">
        <w:rPr>
          <w:snapToGrid w:val="0"/>
          <w:lang w:val="bg-BG"/>
        </w:rPr>
        <w:t>ако орган</w:t>
      </w:r>
      <w:r w:rsidR="00F67935" w:rsidRPr="00474BEE">
        <w:rPr>
          <w:snapToGrid w:val="0"/>
          <w:lang w:val="bg-BG"/>
        </w:rPr>
        <w:t xml:space="preserve">ите на прокуратурата бяха повдигнали обвинения срещу полицаите </w:t>
      </w:r>
      <w:r w:rsidR="00E146E7" w:rsidRPr="00474BEE">
        <w:rPr>
          <w:snapToGrid w:val="0"/>
          <w:lang w:val="bg-BG"/>
        </w:rPr>
        <w:t xml:space="preserve">съгласно </w:t>
      </w:r>
      <w:r w:rsidR="00F67935" w:rsidRPr="00474BEE">
        <w:rPr>
          <w:snapToGrid w:val="0"/>
          <w:lang w:val="bg-BG"/>
        </w:rPr>
        <w:t>чл. 282, алинея 1</w:t>
      </w:r>
      <w:r w:rsidR="008207FA" w:rsidRPr="00474BEE">
        <w:rPr>
          <w:snapToGrid w:val="0"/>
          <w:lang w:val="bg-BG"/>
        </w:rPr>
        <w:t xml:space="preserve"> или 287 от българс</w:t>
      </w:r>
      <w:r w:rsidR="00F67935" w:rsidRPr="00474BEE">
        <w:rPr>
          <w:snapToGrid w:val="0"/>
          <w:lang w:val="bg-BG"/>
        </w:rPr>
        <w:t>кия Наказателен кодекс. Съдът</w:t>
      </w:r>
      <w:r w:rsidR="008207FA" w:rsidRPr="00474BEE">
        <w:rPr>
          <w:snapToGrid w:val="0"/>
          <w:lang w:val="bg-BG"/>
        </w:rPr>
        <w:t xml:space="preserve">, от своя страна, не </w:t>
      </w:r>
      <w:r w:rsidR="0045088A" w:rsidRPr="00474BEE">
        <w:rPr>
          <w:snapToGrid w:val="0"/>
          <w:lang w:val="bg-BG"/>
        </w:rPr>
        <w:t>е убеден, че тези служби са мо</w:t>
      </w:r>
      <w:r w:rsidR="00F67935" w:rsidRPr="00474BEE">
        <w:rPr>
          <w:snapToGrid w:val="0"/>
          <w:lang w:val="bg-BG"/>
        </w:rPr>
        <w:t>гли да действат по този начин. В предишни случаи е установявал</w:t>
      </w:r>
      <w:r w:rsidR="008207FA" w:rsidRPr="00474BEE">
        <w:rPr>
          <w:snapToGrid w:val="0"/>
          <w:lang w:val="bg-BG"/>
        </w:rPr>
        <w:t>, макар и</w:t>
      </w:r>
      <w:r w:rsidR="00F67935" w:rsidRPr="00474BEE">
        <w:rPr>
          <w:snapToGrid w:val="0"/>
          <w:lang w:val="bg-BG"/>
        </w:rPr>
        <w:t xml:space="preserve"> в различен контекст, че обширното тълкуване на чл.</w:t>
      </w:r>
      <w:r w:rsidR="008207FA" w:rsidRPr="00474BEE">
        <w:rPr>
          <w:snapToGrid w:val="0"/>
          <w:lang w:val="bg-BG"/>
        </w:rPr>
        <w:t xml:space="preserve"> 282 в ущърб на </w:t>
      </w:r>
      <w:r w:rsidR="00F67935" w:rsidRPr="00474BEE">
        <w:rPr>
          <w:snapToGrid w:val="0"/>
          <w:lang w:val="bg-BG"/>
        </w:rPr>
        <w:t>даден заподозрян може да се окаже</w:t>
      </w:r>
      <w:r w:rsidR="008207FA" w:rsidRPr="00474BEE">
        <w:rPr>
          <w:snapToGrid w:val="0"/>
          <w:lang w:val="bg-BG"/>
        </w:rPr>
        <w:t xml:space="preserve"> в нарушение на изискването на Конвенция</w:t>
      </w:r>
      <w:r w:rsidR="00F67935" w:rsidRPr="00474BEE">
        <w:rPr>
          <w:snapToGrid w:val="0"/>
          <w:lang w:val="bg-BG"/>
        </w:rPr>
        <w:t xml:space="preserve">та за законност (виж </w:t>
      </w:r>
      <w:r w:rsidR="00F67935" w:rsidRPr="00474BEE">
        <w:rPr>
          <w:i/>
          <w:snapToGrid w:val="0"/>
          <w:lang w:val="bg-BG"/>
        </w:rPr>
        <w:t>Луканов срещу</w:t>
      </w:r>
      <w:r w:rsidR="008207FA" w:rsidRPr="00474BEE">
        <w:rPr>
          <w:i/>
          <w:snapToGrid w:val="0"/>
          <w:lang w:val="bg-BG"/>
        </w:rPr>
        <w:t xml:space="preserve"> България</w:t>
      </w:r>
      <w:r w:rsidR="00F67935" w:rsidRPr="00474BEE">
        <w:rPr>
          <w:snapToGrid w:val="0"/>
          <w:lang w:val="bg-BG"/>
        </w:rPr>
        <w:t xml:space="preserve">, </w:t>
      </w:r>
      <w:r w:rsidR="0045088A" w:rsidRPr="00474BEE">
        <w:rPr>
          <w:snapToGrid w:val="0"/>
          <w:lang w:val="bg-BG"/>
        </w:rPr>
        <w:t xml:space="preserve">20 март 1997 г., §§ 43 – </w:t>
      </w:r>
      <w:r w:rsidR="008207FA" w:rsidRPr="00474BEE">
        <w:rPr>
          <w:snapToGrid w:val="0"/>
          <w:lang w:val="bg-BG"/>
        </w:rPr>
        <w:t xml:space="preserve">44, </w:t>
      </w:r>
      <w:r w:rsidR="00E146E7" w:rsidRPr="00474BEE">
        <w:rPr>
          <w:snapToGrid w:val="0"/>
          <w:lang w:val="bg-BG"/>
        </w:rPr>
        <w:t xml:space="preserve">Доклади </w:t>
      </w:r>
      <w:r w:rsidR="008207FA" w:rsidRPr="00474BEE">
        <w:rPr>
          <w:snapToGrid w:val="0"/>
          <w:lang w:val="bg-BG"/>
        </w:rPr>
        <w:t>1997-II).</w:t>
      </w:r>
      <w:r w:rsidR="00F67935" w:rsidRPr="00474BEE">
        <w:rPr>
          <w:snapToGrid w:val="0"/>
          <w:lang w:val="bg-BG"/>
        </w:rPr>
        <w:t xml:space="preserve"> Вярно е, че в по-скорошен случай Съдът критикува </w:t>
      </w:r>
      <w:r w:rsidR="00E146E7" w:rsidRPr="00474BEE">
        <w:rPr>
          <w:snapToGrid w:val="0"/>
          <w:lang w:val="bg-BG"/>
        </w:rPr>
        <w:t xml:space="preserve">органите на </w:t>
      </w:r>
      <w:r w:rsidR="00F67935" w:rsidRPr="00474BEE">
        <w:rPr>
          <w:snapToGrid w:val="0"/>
          <w:lang w:val="bg-BG"/>
        </w:rPr>
        <w:t>българск</w:t>
      </w:r>
      <w:r w:rsidR="00E146E7" w:rsidRPr="00474BEE">
        <w:rPr>
          <w:snapToGrid w:val="0"/>
          <w:lang w:val="bg-BG"/>
        </w:rPr>
        <w:t>а</w:t>
      </w:r>
      <w:r w:rsidR="00F67935" w:rsidRPr="00474BEE">
        <w:rPr>
          <w:snapToGrid w:val="0"/>
          <w:lang w:val="bg-BG"/>
        </w:rPr>
        <w:t>т</w:t>
      </w:r>
      <w:r w:rsidR="00E146E7" w:rsidRPr="00474BEE">
        <w:rPr>
          <w:snapToGrid w:val="0"/>
          <w:lang w:val="bg-BG"/>
        </w:rPr>
        <w:t>а</w:t>
      </w:r>
      <w:r w:rsidR="00F67935" w:rsidRPr="00474BEE">
        <w:rPr>
          <w:snapToGrid w:val="0"/>
          <w:lang w:val="bg-BG"/>
        </w:rPr>
        <w:t xml:space="preserve"> прокуратура за </w:t>
      </w:r>
      <w:r w:rsidR="001164B2" w:rsidRPr="00474BEE">
        <w:rPr>
          <w:snapToGrid w:val="0"/>
          <w:lang w:val="bg-BG"/>
        </w:rPr>
        <w:t>това, че не са</w:t>
      </w:r>
      <w:r w:rsidR="00F67935" w:rsidRPr="00474BEE">
        <w:rPr>
          <w:snapToGrid w:val="0"/>
          <w:lang w:val="bg-BG"/>
        </w:rPr>
        <w:t xml:space="preserve"> прецени</w:t>
      </w:r>
      <w:r w:rsidR="001164B2" w:rsidRPr="00474BEE">
        <w:rPr>
          <w:snapToGrid w:val="0"/>
          <w:lang w:val="bg-BG"/>
        </w:rPr>
        <w:t>ли</w:t>
      </w:r>
      <w:r w:rsidR="00F67935" w:rsidRPr="00474BEE">
        <w:rPr>
          <w:snapToGrid w:val="0"/>
          <w:lang w:val="bg-BG"/>
        </w:rPr>
        <w:t xml:space="preserve"> дали да </w:t>
      </w:r>
      <w:r w:rsidR="001164B2" w:rsidRPr="00474BEE">
        <w:rPr>
          <w:snapToGrid w:val="0"/>
          <w:lang w:val="bg-BG"/>
        </w:rPr>
        <w:t xml:space="preserve">повдигнат </w:t>
      </w:r>
      <w:r w:rsidR="00F67935" w:rsidRPr="00474BEE">
        <w:rPr>
          <w:snapToGrid w:val="0"/>
          <w:lang w:val="bg-BG"/>
        </w:rPr>
        <w:t xml:space="preserve">обвинение </w:t>
      </w:r>
      <w:r w:rsidR="00E113C0" w:rsidRPr="00474BEE">
        <w:rPr>
          <w:snapToGrid w:val="0"/>
          <w:lang w:val="bg-BG"/>
        </w:rPr>
        <w:t xml:space="preserve">съгласно </w:t>
      </w:r>
      <w:r w:rsidR="00F67935" w:rsidRPr="00474BEE">
        <w:rPr>
          <w:snapToGrid w:val="0"/>
          <w:lang w:val="bg-BG"/>
        </w:rPr>
        <w:t xml:space="preserve">чл. 287 </w:t>
      </w:r>
      <w:r w:rsidR="00E113C0" w:rsidRPr="00474BEE">
        <w:rPr>
          <w:snapToGrid w:val="0"/>
          <w:lang w:val="bg-BG"/>
        </w:rPr>
        <w:t xml:space="preserve">в </w:t>
      </w:r>
      <w:r w:rsidR="00F67935" w:rsidRPr="00474BEE">
        <w:rPr>
          <w:snapToGrid w:val="0"/>
          <w:lang w:val="bg-BG"/>
        </w:rPr>
        <w:t>я</w:t>
      </w:r>
      <w:r w:rsidR="00E113C0" w:rsidRPr="00474BEE">
        <w:rPr>
          <w:snapToGrid w:val="0"/>
          <w:lang w:val="bg-BG"/>
        </w:rPr>
        <w:t>вен</w:t>
      </w:r>
      <w:r w:rsidR="00F67935" w:rsidRPr="00474BEE">
        <w:rPr>
          <w:snapToGrid w:val="0"/>
          <w:lang w:val="bg-BG"/>
        </w:rPr>
        <w:t xml:space="preserve"> случай </w:t>
      </w:r>
      <w:r w:rsidR="00E113C0" w:rsidRPr="00474BEE">
        <w:rPr>
          <w:snapToGrid w:val="0"/>
          <w:lang w:val="bg-BG"/>
        </w:rPr>
        <w:t xml:space="preserve">на </w:t>
      </w:r>
      <w:r w:rsidR="00F67935" w:rsidRPr="00474BEE">
        <w:rPr>
          <w:snapToGrid w:val="0"/>
          <w:lang w:val="bg-BG"/>
        </w:rPr>
        <w:t>малтретиране на заподозрян в хода на разпит при задържане, което по-късно е довело до самопризнания</w:t>
      </w:r>
      <w:r w:rsidR="002C1B67" w:rsidRPr="00474BEE">
        <w:rPr>
          <w:snapToGrid w:val="0"/>
          <w:lang w:val="bg-BG"/>
        </w:rPr>
        <w:t>,</w:t>
      </w:r>
      <w:r w:rsidR="00F67935" w:rsidRPr="00474BEE">
        <w:rPr>
          <w:snapToGrid w:val="0"/>
          <w:lang w:val="bg-BG"/>
        </w:rPr>
        <w:t xml:space="preserve"> </w:t>
      </w:r>
      <w:r w:rsidR="00E113C0" w:rsidRPr="00474BEE">
        <w:rPr>
          <w:snapToGrid w:val="0"/>
          <w:lang w:val="bg-BG"/>
        </w:rPr>
        <w:t xml:space="preserve">използвани </w:t>
      </w:r>
      <w:r w:rsidR="00F67935" w:rsidRPr="00474BEE">
        <w:rPr>
          <w:snapToGrid w:val="0"/>
          <w:lang w:val="bg-BG"/>
        </w:rPr>
        <w:t>в процеса срещу него (вж</w:t>
      </w:r>
      <w:r w:rsidR="00E113C0" w:rsidRPr="00474BEE">
        <w:rPr>
          <w:snapToGrid w:val="0"/>
          <w:lang w:val="bg-BG"/>
        </w:rPr>
        <w:t>.</w:t>
      </w:r>
      <w:r w:rsidR="00F67935" w:rsidRPr="00474BEE">
        <w:rPr>
          <w:snapToGrid w:val="0"/>
          <w:lang w:val="bg-BG"/>
        </w:rPr>
        <w:t xml:space="preserve"> </w:t>
      </w:r>
      <w:proofErr w:type="spellStart"/>
      <w:r w:rsidR="00F67935" w:rsidRPr="00474BEE">
        <w:rPr>
          <w:i/>
          <w:snapToGrid w:val="0"/>
          <w:lang w:val="bg-BG"/>
        </w:rPr>
        <w:t>Ленев</w:t>
      </w:r>
      <w:proofErr w:type="spellEnd"/>
      <w:r w:rsidR="00F67935" w:rsidRPr="00474BEE">
        <w:rPr>
          <w:snapToGrid w:val="0"/>
          <w:lang w:val="bg-BG"/>
        </w:rPr>
        <w:t xml:space="preserve">, цитирано по-горе, § 123, както и </w:t>
      </w:r>
      <w:r w:rsidR="00F67935" w:rsidRPr="00474BEE">
        <w:rPr>
          <w:i/>
          <w:snapToGrid w:val="0"/>
          <w:lang w:val="bg-BG"/>
        </w:rPr>
        <w:t>Велев срещу България</w:t>
      </w:r>
      <w:r w:rsidR="00F67935" w:rsidRPr="00474BEE">
        <w:rPr>
          <w:snapToGrid w:val="0"/>
          <w:lang w:val="bg-BG"/>
        </w:rPr>
        <w:t>, № 43531/08, § 61, 16 април 2013 г.). Въпреки това, в конкретния случай с</w:t>
      </w:r>
      <w:r w:rsidR="0045088A" w:rsidRPr="00474BEE">
        <w:rPr>
          <w:snapToGrid w:val="0"/>
          <w:lang w:val="bg-BG"/>
        </w:rPr>
        <w:t>ъдията докладчик в Районен съд –</w:t>
      </w:r>
      <w:r w:rsidR="00F67935" w:rsidRPr="00474BEE">
        <w:rPr>
          <w:snapToGrid w:val="0"/>
          <w:lang w:val="bg-BG"/>
        </w:rPr>
        <w:t xml:space="preserve"> Казанлък се позовава </w:t>
      </w:r>
      <w:r w:rsidR="000B702E" w:rsidRPr="00474BEE">
        <w:rPr>
          <w:snapToGrid w:val="0"/>
          <w:lang w:val="bg-BG"/>
        </w:rPr>
        <w:t xml:space="preserve">на </w:t>
      </w:r>
      <w:r w:rsidR="00F67935" w:rsidRPr="00474BEE">
        <w:rPr>
          <w:snapToGrid w:val="0"/>
          <w:lang w:val="bg-BG"/>
        </w:rPr>
        <w:t>приложимостта на този член в отгов</w:t>
      </w:r>
      <w:r w:rsidR="0045088A" w:rsidRPr="00474BEE">
        <w:rPr>
          <w:snapToGrid w:val="0"/>
          <w:lang w:val="bg-BG"/>
        </w:rPr>
        <w:t>ор на искането на жалбоподателя</w:t>
      </w:r>
      <w:r w:rsidR="00F67935" w:rsidRPr="00474BEE">
        <w:rPr>
          <w:snapToGrid w:val="0"/>
          <w:lang w:val="bg-BG"/>
        </w:rPr>
        <w:t xml:space="preserve"> делото да се върне на органите на прокуратурата, като отбелязва, че не може да се тълкува като отнасящо се до лица, които н</w:t>
      </w:r>
      <w:r w:rsidR="00C51F5B" w:rsidRPr="00474BEE">
        <w:rPr>
          <w:snapToGrid w:val="0"/>
          <w:lang w:val="bg-BG"/>
        </w:rPr>
        <w:t xml:space="preserve">ямат качеството </w:t>
      </w:r>
      <w:r w:rsidR="003C4A8B" w:rsidRPr="00474BEE">
        <w:rPr>
          <w:lang w:val="bg-BG"/>
        </w:rPr>
        <w:t xml:space="preserve">на обвиняем или свидетел </w:t>
      </w:r>
      <w:r w:rsidR="00F67935" w:rsidRPr="00474BEE">
        <w:rPr>
          <w:snapToGrid w:val="0"/>
          <w:lang w:val="bg-BG"/>
        </w:rPr>
        <w:t>по вече образувано наказателно производство, и че разпоредбите на наказателното право трябва да се тълкува</w:t>
      </w:r>
      <w:r w:rsidR="003C4A8B" w:rsidRPr="00474BEE">
        <w:rPr>
          <w:snapToGrid w:val="0"/>
          <w:lang w:val="bg-BG"/>
        </w:rPr>
        <w:t>т</w:t>
      </w:r>
      <w:r w:rsidR="00F67935" w:rsidRPr="00474BEE">
        <w:rPr>
          <w:snapToGrid w:val="0"/>
          <w:lang w:val="bg-BG"/>
        </w:rPr>
        <w:t xml:space="preserve"> стриктно (вж</w:t>
      </w:r>
      <w:r w:rsidR="004C6CED" w:rsidRPr="00474BEE">
        <w:rPr>
          <w:snapToGrid w:val="0"/>
          <w:lang w:val="bg-BG"/>
        </w:rPr>
        <w:t>.</w:t>
      </w:r>
      <w:r w:rsidR="00F67935" w:rsidRPr="00474BEE">
        <w:rPr>
          <w:snapToGrid w:val="0"/>
          <w:lang w:val="bg-BG"/>
        </w:rPr>
        <w:t xml:space="preserve"> параграф 18 по-горе).</w:t>
      </w:r>
      <w:r w:rsidR="003C4A8B" w:rsidRPr="00474BEE">
        <w:rPr>
          <w:lang w:val="bg-BG"/>
        </w:rPr>
        <w:t xml:space="preserve"> </w:t>
      </w:r>
      <w:r w:rsidR="003C4A8B" w:rsidRPr="00474BEE">
        <w:rPr>
          <w:snapToGrid w:val="0"/>
          <w:lang w:val="bg-BG"/>
        </w:rPr>
        <w:t>Съд</w:t>
      </w:r>
      <w:r w:rsidR="00145924" w:rsidRPr="00474BEE">
        <w:rPr>
          <w:snapToGrid w:val="0"/>
          <w:lang w:val="bg-BG"/>
        </w:rPr>
        <w:t>ът не е компетентен</w:t>
      </w:r>
      <w:r w:rsidR="003C4A8B" w:rsidRPr="00474BEE">
        <w:rPr>
          <w:snapToGrid w:val="0"/>
          <w:lang w:val="bg-BG"/>
        </w:rPr>
        <w:t xml:space="preserve"> да </w:t>
      </w:r>
      <w:r w:rsidR="00145924" w:rsidRPr="00474BEE">
        <w:rPr>
          <w:snapToGrid w:val="0"/>
          <w:lang w:val="bg-BG"/>
        </w:rPr>
        <w:t>прецени</w:t>
      </w:r>
      <w:r w:rsidR="003C4A8B" w:rsidRPr="00474BEE">
        <w:rPr>
          <w:snapToGrid w:val="0"/>
          <w:lang w:val="bg-BG"/>
        </w:rPr>
        <w:t xml:space="preserve"> дали това е правилно от гледна точка на българското право. Все пак, това не изглежда да е лишено от правно основание (вж</w:t>
      </w:r>
      <w:r w:rsidR="006758FB" w:rsidRPr="00474BEE">
        <w:rPr>
          <w:snapToGrid w:val="0"/>
          <w:lang w:val="bg-BG"/>
        </w:rPr>
        <w:t>.</w:t>
      </w:r>
      <w:r w:rsidR="003C4A8B" w:rsidRPr="00474BEE">
        <w:rPr>
          <w:snapToGrid w:val="0"/>
          <w:lang w:val="bg-BG"/>
        </w:rPr>
        <w:t xml:space="preserve"> параграфи 36 и 38 по-горе). Трябва да се отбележи в тази връзка, че националните власти не може да се очаква да изпълняват своите положителни задължения </w:t>
      </w:r>
      <w:r w:rsidR="00145924" w:rsidRPr="00474BEE">
        <w:rPr>
          <w:snapToGrid w:val="0"/>
          <w:lang w:val="bg-BG"/>
        </w:rPr>
        <w:t xml:space="preserve">съгласно </w:t>
      </w:r>
      <w:r w:rsidR="003C4A8B" w:rsidRPr="00474BEE">
        <w:rPr>
          <w:snapToGrid w:val="0"/>
          <w:lang w:val="bg-BG"/>
        </w:rPr>
        <w:t>чл. 3 от Конвенцията, като действат в нарушение на изискванията на чл. 7, едно от които е, че наказателното прав</w:t>
      </w:r>
      <w:r w:rsidR="009D1AE7" w:rsidRPr="00474BEE">
        <w:rPr>
          <w:snapToGrid w:val="0"/>
          <w:lang w:val="bg-BG"/>
        </w:rPr>
        <w:t>о не трябва да се тълкува обширно във вреда на обвинения</w:t>
      </w:r>
      <w:r w:rsidR="003C4A8B" w:rsidRPr="00474BEE">
        <w:rPr>
          <w:snapToGrid w:val="0"/>
          <w:lang w:val="bg-BG"/>
        </w:rPr>
        <w:t xml:space="preserve"> (вж</w:t>
      </w:r>
      <w:r w:rsidR="00145924" w:rsidRPr="00474BEE">
        <w:rPr>
          <w:snapToGrid w:val="0"/>
          <w:lang w:val="bg-BG"/>
        </w:rPr>
        <w:t>.</w:t>
      </w:r>
      <w:r w:rsidR="003C4A8B" w:rsidRPr="00474BEE">
        <w:rPr>
          <w:snapToGrid w:val="0"/>
          <w:lang w:val="bg-BG"/>
        </w:rPr>
        <w:t xml:space="preserve">, наред с много други, </w:t>
      </w:r>
      <w:proofErr w:type="spellStart"/>
      <w:r w:rsidR="009D1AE7" w:rsidRPr="00474BEE">
        <w:rPr>
          <w:i/>
          <w:lang w:val="bg-BG"/>
        </w:rPr>
        <w:t>Başkaya</w:t>
      </w:r>
      <w:proofErr w:type="spellEnd"/>
      <w:r w:rsidR="009D1AE7" w:rsidRPr="00474BEE">
        <w:rPr>
          <w:i/>
          <w:lang w:val="bg-BG"/>
        </w:rPr>
        <w:t xml:space="preserve"> and </w:t>
      </w:r>
      <w:proofErr w:type="spellStart"/>
      <w:r w:rsidR="009D1AE7" w:rsidRPr="00474BEE">
        <w:rPr>
          <w:i/>
          <w:lang w:val="bg-BG"/>
        </w:rPr>
        <w:t>Okçuoğlu</w:t>
      </w:r>
      <w:proofErr w:type="spellEnd"/>
      <w:r w:rsidR="009D1AE7" w:rsidRPr="00474BEE">
        <w:rPr>
          <w:i/>
          <w:lang w:val="bg-BG"/>
        </w:rPr>
        <w:t xml:space="preserve"> v. </w:t>
      </w:r>
      <w:proofErr w:type="spellStart"/>
      <w:r w:rsidR="009D1AE7" w:rsidRPr="00474BEE">
        <w:rPr>
          <w:i/>
          <w:lang w:val="bg-BG"/>
        </w:rPr>
        <w:t>Turkey</w:t>
      </w:r>
      <w:proofErr w:type="spellEnd"/>
      <w:r w:rsidR="009D1AE7" w:rsidRPr="00474BEE">
        <w:rPr>
          <w:lang w:val="bg-BG"/>
        </w:rPr>
        <w:t xml:space="preserve"> [GC], № 23536/94 и 24408/94, § 36, EСПЧ 1999-IV; </w:t>
      </w:r>
      <w:proofErr w:type="spellStart"/>
      <w:r w:rsidR="009D1AE7" w:rsidRPr="00474BEE">
        <w:rPr>
          <w:i/>
          <w:lang w:val="bg-BG"/>
        </w:rPr>
        <w:t>Kononov</w:t>
      </w:r>
      <w:proofErr w:type="spellEnd"/>
      <w:r w:rsidR="009D1AE7" w:rsidRPr="00474BEE">
        <w:rPr>
          <w:i/>
          <w:lang w:val="bg-BG"/>
        </w:rPr>
        <w:t xml:space="preserve"> v. </w:t>
      </w:r>
      <w:proofErr w:type="spellStart"/>
      <w:r w:rsidR="009D1AE7" w:rsidRPr="00474BEE">
        <w:rPr>
          <w:i/>
          <w:lang w:val="bg-BG"/>
        </w:rPr>
        <w:t>Latvia</w:t>
      </w:r>
      <w:proofErr w:type="spellEnd"/>
      <w:r w:rsidR="009D1AE7" w:rsidRPr="00474BEE">
        <w:rPr>
          <w:i/>
          <w:lang w:val="bg-BG"/>
        </w:rPr>
        <w:t xml:space="preserve"> </w:t>
      </w:r>
      <w:r w:rsidR="009D1AE7" w:rsidRPr="00474BEE">
        <w:rPr>
          <w:lang w:val="bg-BG"/>
        </w:rPr>
        <w:t xml:space="preserve">[GC], № 36376/04, § 185, EСПЧ 2010 г.; и </w:t>
      </w:r>
      <w:proofErr w:type="spellStart"/>
      <w:r w:rsidR="009D1AE7" w:rsidRPr="00474BEE">
        <w:rPr>
          <w:i/>
          <w:lang w:val="bg-BG"/>
        </w:rPr>
        <w:t>Del</w:t>
      </w:r>
      <w:proofErr w:type="spellEnd"/>
      <w:r w:rsidR="009D1AE7" w:rsidRPr="00474BEE">
        <w:rPr>
          <w:i/>
          <w:lang w:val="bg-BG"/>
        </w:rPr>
        <w:t xml:space="preserve"> </w:t>
      </w:r>
      <w:proofErr w:type="spellStart"/>
      <w:r w:rsidR="009D1AE7" w:rsidRPr="00474BEE">
        <w:rPr>
          <w:i/>
          <w:iCs/>
          <w:lang w:val="bg-BG"/>
        </w:rPr>
        <w:t>Río</w:t>
      </w:r>
      <w:proofErr w:type="spellEnd"/>
      <w:r w:rsidR="009D1AE7" w:rsidRPr="00474BEE">
        <w:rPr>
          <w:i/>
          <w:lang w:val="bg-BG"/>
        </w:rPr>
        <w:t xml:space="preserve"> </w:t>
      </w:r>
      <w:proofErr w:type="spellStart"/>
      <w:r w:rsidR="009D1AE7" w:rsidRPr="00474BEE">
        <w:rPr>
          <w:i/>
          <w:lang w:val="bg-BG"/>
        </w:rPr>
        <w:t>Prada</w:t>
      </w:r>
      <w:proofErr w:type="spellEnd"/>
      <w:r w:rsidR="009D1AE7" w:rsidRPr="00474BEE">
        <w:rPr>
          <w:lang w:val="bg-BG"/>
        </w:rPr>
        <w:t xml:space="preserve"> </w:t>
      </w:r>
      <w:r w:rsidR="009D1AE7" w:rsidRPr="00474BEE">
        <w:rPr>
          <w:i/>
          <w:lang w:val="bg-BG"/>
        </w:rPr>
        <w:t xml:space="preserve">v. </w:t>
      </w:r>
      <w:proofErr w:type="spellStart"/>
      <w:r w:rsidR="009D1AE7" w:rsidRPr="00474BEE">
        <w:rPr>
          <w:i/>
          <w:lang w:val="bg-BG"/>
        </w:rPr>
        <w:t>Spain</w:t>
      </w:r>
      <w:proofErr w:type="spellEnd"/>
      <w:r w:rsidR="009D1AE7" w:rsidRPr="00474BEE">
        <w:rPr>
          <w:i/>
          <w:lang w:val="bg-BG"/>
        </w:rPr>
        <w:t xml:space="preserve"> </w:t>
      </w:r>
      <w:r w:rsidR="009D1AE7" w:rsidRPr="00474BEE">
        <w:rPr>
          <w:lang w:val="bg-BG"/>
        </w:rPr>
        <w:t>[GC], № 42750/09</w:t>
      </w:r>
      <w:r w:rsidR="009D1AE7" w:rsidRPr="00474BEE">
        <w:rPr>
          <w:snapToGrid w:val="0"/>
          <w:lang w:val="bg-BG"/>
        </w:rPr>
        <w:t xml:space="preserve">, § 78, </w:t>
      </w:r>
      <w:r w:rsidR="009D1AE7" w:rsidRPr="00474BEE">
        <w:rPr>
          <w:lang w:val="bg-BG"/>
        </w:rPr>
        <w:t>ECПЧ 2013 г.</w:t>
      </w:r>
      <w:r w:rsidR="009D1AE7" w:rsidRPr="00474BEE">
        <w:rPr>
          <w:snapToGrid w:val="0"/>
          <w:lang w:val="bg-BG"/>
        </w:rPr>
        <w:t>).</w:t>
      </w:r>
    </w:p>
    <w:p w:rsidR="00BB3043" w:rsidRPr="00474BEE" w:rsidRDefault="00D16EB7" w:rsidP="0029257C">
      <w:pPr>
        <w:pStyle w:val="ECHRPara"/>
        <w:rPr>
          <w:snapToGrid w:val="0"/>
          <w:lang w:val="bg-BG"/>
        </w:rPr>
      </w:pPr>
      <w:r w:rsidRPr="00474BEE">
        <w:rPr>
          <w:snapToGrid w:val="0"/>
          <w:lang w:val="bg-BG"/>
        </w:rPr>
        <w:fldChar w:fldCharType="begin"/>
      </w:r>
      <w:r w:rsidR="00182DBF" w:rsidRPr="00474BEE">
        <w:rPr>
          <w:snapToGrid w:val="0"/>
          <w:lang w:val="bg-BG"/>
        </w:rPr>
        <w:instrText xml:space="preserve"> SEQ level0 \*arabic </w:instrText>
      </w:r>
      <w:r w:rsidRPr="00474BEE">
        <w:rPr>
          <w:snapToGrid w:val="0"/>
          <w:lang w:val="bg-BG"/>
        </w:rPr>
        <w:fldChar w:fldCharType="separate"/>
      </w:r>
      <w:r w:rsidR="00550343" w:rsidRPr="00474BEE">
        <w:rPr>
          <w:noProof/>
          <w:snapToGrid w:val="0"/>
          <w:lang w:val="bg-BG"/>
        </w:rPr>
        <w:t>77</w:t>
      </w:r>
      <w:r w:rsidRPr="00474BEE">
        <w:rPr>
          <w:snapToGrid w:val="0"/>
          <w:lang w:val="bg-BG"/>
        </w:rPr>
        <w:fldChar w:fldCharType="end"/>
      </w:r>
      <w:r w:rsidR="00182DBF" w:rsidRPr="00474BEE">
        <w:rPr>
          <w:snapToGrid w:val="0"/>
          <w:lang w:val="bg-BG"/>
        </w:rPr>
        <w:t>.  </w:t>
      </w:r>
      <w:r w:rsidR="009D1AE7" w:rsidRPr="00474BEE">
        <w:rPr>
          <w:snapToGrid w:val="0"/>
          <w:lang w:val="bg-BG"/>
        </w:rPr>
        <w:t>За Съда, проблемът се корени най-вече в това, че нито едно от престъпленията</w:t>
      </w:r>
      <w:r w:rsidR="009B1AC1" w:rsidRPr="00474BEE">
        <w:rPr>
          <w:snapToGrid w:val="0"/>
          <w:lang w:val="bg-BG"/>
        </w:rPr>
        <w:t>, изтъкнати в настоящия случай –</w:t>
      </w:r>
      <w:r w:rsidR="009D1AE7" w:rsidRPr="00474BEE">
        <w:rPr>
          <w:snapToGrid w:val="0"/>
          <w:lang w:val="bg-BG"/>
        </w:rPr>
        <w:t xml:space="preserve"> телесна повреда, злоупотреба със служебно положение и изтръгване на признани</w:t>
      </w:r>
      <w:r w:rsidR="000C6BF9" w:rsidRPr="00474BEE">
        <w:rPr>
          <w:snapToGrid w:val="0"/>
          <w:lang w:val="bg-BG"/>
        </w:rPr>
        <w:t>е</w:t>
      </w:r>
      <w:r w:rsidR="009D1AE7" w:rsidRPr="00474BEE">
        <w:rPr>
          <w:snapToGrid w:val="0"/>
          <w:lang w:val="bg-BG"/>
        </w:rPr>
        <w:t xml:space="preserve"> </w:t>
      </w:r>
      <w:r w:rsidR="000C6BF9" w:rsidRPr="00474BEE">
        <w:rPr>
          <w:snapToGrid w:val="0"/>
          <w:lang w:val="bg-BG"/>
        </w:rPr>
        <w:t xml:space="preserve">или показание </w:t>
      </w:r>
      <w:r w:rsidR="009D1AE7" w:rsidRPr="00474BEE">
        <w:rPr>
          <w:snapToGrid w:val="0"/>
          <w:lang w:val="bg-BG"/>
        </w:rPr>
        <w:t>(вж</w:t>
      </w:r>
      <w:r w:rsidR="000C6BF9" w:rsidRPr="00474BEE">
        <w:rPr>
          <w:snapToGrid w:val="0"/>
          <w:lang w:val="bg-BG"/>
        </w:rPr>
        <w:t>.</w:t>
      </w:r>
      <w:r w:rsidR="009D1AE7" w:rsidRPr="00474BEE">
        <w:rPr>
          <w:snapToGrid w:val="0"/>
          <w:lang w:val="bg-BG"/>
        </w:rPr>
        <w:t xml:space="preserve"> параграфи 28, 31 и 32 по-горе) – биха могли да категорично да </w:t>
      </w:r>
      <w:r w:rsidR="00BB3043" w:rsidRPr="00474BEE">
        <w:rPr>
          <w:snapToGrid w:val="0"/>
          <w:lang w:val="bg-BG"/>
        </w:rPr>
        <w:t>бъдат свързани с пълната гама от въпроси, които повдига акта на изтезание, на ко</w:t>
      </w:r>
      <w:r w:rsidR="00D504FE" w:rsidRPr="00474BEE">
        <w:rPr>
          <w:snapToGrid w:val="0"/>
          <w:lang w:val="bg-BG"/>
        </w:rPr>
        <w:t>е</w:t>
      </w:r>
      <w:r w:rsidR="00BB3043" w:rsidRPr="00474BEE">
        <w:rPr>
          <w:snapToGrid w:val="0"/>
          <w:lang w:val="bg-BG"/>
        </w:rPr>
        <w:t>то жалбоподателят</w:t>
      </w:r>
      <w:r w:rsidR="00D504FE" w:rsidRPr="00474BEE">
        <w:rPr>
          <w:snapToGrid w:val="0"/>
          <w:lang w:val="bg-BG"/>
        </w:rPr>
        <w:t xml:space="preserve"> става жертва</w:t>
      </w:r>
      <w:r w:rsidR="00BB3043" w:rsidRPr="00474BEE">
        <w:rPr>
          <w:snapToGrid w:val="0"/>
          <w:lang w:val="bg-BG"/>
        </w:rPr>
        <w:t xml:space="preserve"> (вж</w:t>
      </w:r>
      <w:r w:rsidR="00D504FE" w:rsidRPr="00474BEE">
        <w:rPr>
          <w:snapToGrid w:val="0"/>
          <w:lang w:val="bg-BG"/>
        </w:rPr>
        <w:t>.</w:t>
      </w:r>
      <w:r w:rsidR="00EB582F" w:rsidRPr="00474BEE">
        <w:rPr>
          <w:snapToGrid w:val="0"/>
          <w:lang w:val="bg-BG"/>
        </w:rPr>
        <w:t xml:space="preserve">, </w:t>
      </w:r>
      <w:r w:rsidR="00D504FE" w:rsidRPr="00474BEE">
        <w:rPr>
          <w:snapToGrid w:val="0"/>
          <w:lang w:val="bg-BG"/>
        </w:rPr>
        <w:t xml:space="preserve">със </w:t>
      </w:r>
      <w:r w:rsidR="009B1AC1" w:rsidRPr="00474BEE">
        <w:rPr>
          <w:snapToGrid w:val="0"/>
          <w:lang w:val="bg-BG"/>
        </w:rPr>
        <w:t>съответн</w:t>
      </w:r>
      <w:r w:rsidR="00D504FE" w:rsidRPr="00474BEE">
        <w:rPr>
          <w:snapToGrid w:val="0"/>
          <w:lang w:val="bg-BG"/>
        </w:rPr>
        <w:t>ите промени</w:t>
      </w:r>
      <w:r w:rsidR="009B1AC1" w:rsidRPr="00474BEE">
        <w:rPr>
          <w:snapToGrid w:val="0"/>
          <w:lang w:val="bg-BG"/>
        </w:rPr>
        <w:t>,</w:t>
      </w:r>
      <w:r w:rsidR="00EB582F" w:rsidRPr="00474BEE">
        <w:rPr>
          <w:snapToGrid w:val="0"/>
          <w:lang w:val="bg-BG"/>
        </w:rPr>
        <w:t xml:space="preserve"> </w:t>
      </w:r>
      <w:proofErr w:type="spellStart"/>
      <w:r w:rsidR="00EB582F" w:rsidRPr="00474BEE">
        <w:rPr>
          <w:i/>
          <w:snapToGrid w:val="0"/>
          <w:lang w:val="bg-BG"/>
        </w:rPr>
        <w:t>Cestaro</w:t>
      </w:r>
      <w:proofErr w:type="spellEnd"/>
      <w:r w:rsidR="00BB3043" w:rsidRPr="00474BEE">
        <w:rPr>
          <w:snapToGrid w:val="0"/>
          <w:lang w:val="bg-BG"/>
        </w:rPr>
        <w:t>, цитирано по-горе</w:t>
      </w:r>
      <w:r w:rsidR="00EB582F" w:rsidRPr="00474BEE">
        <w:rPr>
          <w:snapToGrid w:val="0"/>
          <w:lang w:val="bg-BG"/>
        </w:rPr>
        <w:t>, §</w:t>
      </w:r>
      <w:r w:rsidR="00040375" w:rsidRPr="00474BEE">
        <w:rPr>
          <w:snapToGrid w:val="0"/>
          <w:lang w:val="bg-BG"/>
        </w:rPr>
        <w:t xml:space="preserve"> </w:t>
      </w:r>
      <w:r w:rsidR="00EB582F" w:rsidRPr="00474BEE">
        <w:rPr>
          <w:snapToGrid w:val="0"/>
          <w:lang w:val="bg-BG"/>
        </w:rPr>
        <w:t>225)</w:t>
      </w:r>
      <w:r w:rsidR="00612EED" w:rsidRPr="00474BEE">
        <w:rPr>
          <w:snapToGrid w:val="0"/>
          <w:lang w:val="bg-BG"/>
        </w:rPr>
        <w:t>.</w:t>
      </w:r>
      <w:r w:rsidR="007352A2" w:rsidRPr="00474BEE">
        <w:rPr>
          <w:snapToGrid w:val="0"/>
          <w:lang w:val="bg-BG"/>
        </w:rPr>
        <w:t xml:space="preserve"> </w:t>
      </w:r>
      <w:r w:rsidR="00BB3043" w:rsidRPr="00474BEE">
        <w:rPr>
          <w:snapToGrid w:val="0"/>
          <w:lang w:val="bg-BG"/>
        </w:rPr>
        <w:t xml:space="preserve">Всъщност, </w:t>
      </w:r>
      <w:r w:rsidR="00BB3043" w:rsidRPr="00474BEE">
        <w:rPr>
          <w:snapToGrid w:val="0"/>
          <w:lang w:val="bg-BG"/>
        </w:rPr>
        <w:lastRenderedPageBreak/>
        <w:t>подобна позиция заема Комитет</w:t>
      </w:r>
      <w:r w:rsidR="00D04D88" w:rsidRPr="00474BEE">
        <w:rPr>
          <w:snapToGrid w:val="0"/>
          <w:lang w:val="bg-BG"/>
        </w:rPr>
        <w:t>ът</w:t>
      </w:r>
      <w:r w:rsidR="00BB3043" w:rsidRPr="00474BEE">
        <w:rPr>
          <w:snapToGrid w:val="0"/>
          <w:lang w:val="bg-BG"/>
        </w:rPr>
        <w:t xml:space="preserve"> срещу изтезания</w:t>
      </w:r>
      <w:r w:rsidR="00D04D88" w:rsidRPr="00474BEE">
        <w:rPr>
          <w:snapToGrid w:val="0"/>
          <w:lang w:val="bg-BG"/>
        </w:rPr>
        <w:t xml:space="preserve"> на ООН</w:t>
      </w:r>
      <w:r w:rsidR="00BB3043" w:rsidRPr="00474BEE">
        <w:rPr>
          <w:snapToGrid w:val="0"/>
          <w:lang w:val="bg-BG"/>
        </w:rPr>
        <w:t xml:space="preserve"> в своя Общ коментар</w:t>
      </w:r>
      <w:r w:rsidR="0029257C" w:rsidRPr="00474BEE">
        <w:rPr>
          <w:snapToGrid w:val="0"/>
          <w:lang w:val="bg-BG"/>
        </w:rPr>
        <w:t xml:space="preserve"> № 2 относно прилагането на чл. 2 от Конвенцията </w:t>
      </w:r>
      <w:r w:rsidR="00D04D88" w:rsidRPr="00474BEE">
        <w:rPr>
          <w:snapToGrid w:val="0"/>
          <w:lang w:val="bg-BG"/>
        </w:rPr>
        <w:t xml:space="preserve">срещу </w:t>
      </w:r>
      <w:r w:rsidR="00BB3043" w:rsidRPr="00474BEE">
        <w:rPr>
          <w:snapToGrid w:val="0"/>
          <w:lang w:val="bg-BG"/>
        </w:rPr>
        <w:t>изтезанията и други форми на жестоко, н</w:t>
      </w:r>
      <w:r w:rsidR="0029257C" w:rsidRPr="00474BEE">
        <w:rPr>
          <w:snapToGrid w:val="0"/>
          <w:lang w:val="bg-BG"/>
        </w:rPr>
        <w:t>ечовешко или унизително отн</w:t>
      </w:r>
      <w:r w:rsidR="00D04D88" w:rsidRPr="00474BEE">
        <w:rPr>
          <w:snapToGrid w:val="0"/>
          <w:lang w:val="bg-BG"/>
        </w:rPr>
        <w:t>асяне</w:t>
      </w:r>
      <w:r w:rsidR="00BB3043" w:rsidRPr="00474BEE">
        <w:rPr>
          <w:snapToGrid w:val="0"/>
          <w:lang w:val="bg-BG"/>
        </w:rPr>
        <w:t xml:space="preserve"> или наказание (в</w:t>
      </w:r>
      <w:r w:rsidR="0029257C" w:rsidRPr="00474BEE">
        <w:rPr>
          <w:snapToGrid w:val="0"/>
          <w:lang w:val="bg-BG"/>
        </w:rPr>
        <w:t>ж</w:t>
      </w:r>
      <w:r w:rsidR="00D04D88" w:rsidRPr="00474BEE">
        <w:rPr>
          <w:snapToGrid w:val="0"/>
          <w:lang w:val="bg-BG"/>
        </w:rPr>
        <w:t>.</w:t>
      </w:r>
      <w:r w:rsidR="0029257C" w:rsidRPr="00474BEE">
        <w:rPr>
          <w:snapToGrid w:val="0"/>
          <w:lang w:val="bg-BG"/>
        </w:rPr>
        <w:t xml:space="preserve"> параграф 46 по-горе). Точно по тази причина, този Комитет, както и </w:t>
      </w:r>
      <w:r w:rsidR="001164B2" w:rsidRPr="00474BEE">
        <w:rPr>
          <w:snapToGrid w:val="0"/>
          <w:lang w:val="bg-BG"/>
        </w:rPr>
        <w:t xml:space="preserve">Комитетът </w:t>
      </w:r>
      <w:r w:rsidR="0029257C" w:rsidRPr="00474BEE">
        <w:rPr>
          <w:snapToGrid w:val="0"/>
          <w:lang w:val="bg-BG"/>
        </w:rPr>
        <w:t>по правата на човека</w:t>
      </w:r>
      <w:r w:rsidR="00D04D88" w:rsidRPr="00474BEE">
        <w:rPr>
          <w:snapToGrid w:val="0"/>
          <w:lang w:val="bg-BG"/>
        </w:rPr>
        <w:t xml:space="preserve"> на ООН</w:t>
      </w:r>
      <w:r w:rsidR="0029257C" w:rsidRPr="00474BEE">
        <w:rPr>
          <w:snapToGrid w:val="0"/>
          <w:lang w:val="bg-BG"/>
        </w:rPr>
        <w:t>,</w:t>
      </w:r>
      <w:r w:rsidR="00BB3043" w:rsidRPr="00474BEE">
        <w:rPr>
          <w:snapToGrid w:val="0"/>
          <w:lang w:val="bg-BG"/>
        </w:rPr>
        <w:t xml:space="preserve"> многократно призова</w:t>
      </w:r>
      <w:r w:rsidR="0029257C" w:rsidRPr="00474BEE">
        <w:rPr>
          <w:snapToGrid w:val="0"/>
          <w:lang w:val="bg-BG"/>
        </w:rPr>
        <w:t>т</w:t>
      </w:r>
      <w:r w:rsidR="00BB3043" w:rsidRPr="00474BEE">
        <w:rPr>
          <w:snapToGrid w:val="0"/>
          <w:lang w:val="bg-BG"/>
        </w:rPr>
        <w:t xml:space="preserve"> България да въведе </w:t>
      </w:r>
      <w:r w:rsidR="004D78B8" w:rsidRPr="00474BEE">
        <w:rPr>
          <w:snapToGrid w:val="0"/>
          <w:lang w:val="bg-BG"/>
        </w:rPr>
        <w:t>изтезанието като отделн</w:t>
      </w:r>
      <w:r w:rsidR="0029257C" w:rsidRPr="00474BEE">
        <w:rPr>
          <w:snapToGrid w:val="0"/>
          <w:lang w:val="bg-BG"/>
        </w:rPr>
        <w:t>о престъпление</w:t>
      </w:r>
      <w:r w:rsidR="00BB3043" w:rsidRPr="00474BEE">
        <w:rPr>
          <w:snapToGrid w:val="0"/>
          <w:lang w:val="bg-BG"/>
        </w:rPr>
        <w:t xml:space="preserve"> (вж</w:t>
      </w:r>
      <w:r w:rsidR="007F25C7" w:rsidRPr="00474BEE">
        <w:rPr>
          <w:snapToGrid w:val="0"/>
          <w:lang w:val="bg-BG"/>
        </w:rPr>
        <w:t>.</w:t>
      </w:r>
      <w:r w:rsidR="00BB3043" w:rsidRPr="00474BEE">
        <w:rPr>
          <w:snapToGrid w:val="0"/>
          <w:lang w:val="bg-BG"/>
        </w:rPr>
        <w:t xml:space="preserve"> параграфи</w:t>
      </w:r>
      <w:r w:rsidR="0029257C" w:rsidRPr="00474BEE">
        <w:rPr>
          <w:snapToGrid w:val="0"/>
          <w:lang w:val="bg-BG"/>
        </w:rPr>
        <w:t xml:space="preserve"> 47, 48, 49 и 52 по-горе), </w:t>
      </w:r>
      <w:r w:rsidR="007F25C7" w:rsidRPr="00474BEE">
        <w:rPr>
          <w:snapToGrid w:val="0"/>
          <w:lang w:val="bg-BG"/>
        </w:rPr>
        <w:t>а</w:t>
      </w:r>
      <w:r w:rsidR="0029257C" w:rsidRPr="00474BEE">
        <w:rPr>
          <w:snapToGrid w:val="0"/>
          <w:lang w:val="bg-BG"/>
        </w:rPr>
        <w:t xml:space="preserve"> </w:t>
      </w:r>
      <w:r w:rsidR="00BB3043" w:rsidRPr="00474BEE">
        <w:rPr>
          <w:snapToGrid w:val="0"/>
          <w:lang w:val="bg-BG"/>
        </w:rPr>
        <w:t>бълг</w:t>
      </w:r>
      <w:r w:rsidR="0029257C" w:rsidRPr="00474BEE">
        <w:rPr>
          <w:snapToGrid w:val="0"/>
          <w:lang w:val="bg-BG"/>
        </w:rPr>
        <w:t xml:space="preserve">арските власти, очевидно </w:t>
      </w:r>
      <w:r w:rsidR="00BB3043" w:rsidRPr="00474BEE">
        <w:rPr>
          <w:snapToGrid w:val="0"/>
          <w:lang w:val="bg-BG"/>
        </w:rPr>
        <w:t>наясно с тази празнота в нака</w:t>
      </w:r>
      <w:r w:rsidR="0029257C" w:rsidRPr="00474BEE">
        <w:rPr>
          <w:snapToGrid w:val="0"/>
          <w:lang w:val="bg-BG"/>
        </w:rPr>
        <w:t xml:space="preserve">зателното право на страната, на </w:t>
      </w:r>
      <w:r w:rsidR="00BB3043" w:rsidRPr="00474BEE">
        <w:rPr>
          <w:snapToGrid w:val="0"/>
          <w:lang w:val="bg-BG"/>
        </w:rPr>
        <w:t>д</w:t>
      </w:r>
      <w:r w:rsidR="009B1AC1" w:rsidRPr="00474BEE">
        <w:rPr>
          <w:snapToGrid w:val="0"/>
          <w:lang w:val="bg-BG"/>
        </w:rPr>
        <w:t>ва пъти се опит</w:t>
      </w:r>
      <w:r w:rsidR="007F25C7" w:rsidRPr="00474BEE">
        <w:rPr>
          <w:snapToGrid w:val="0"/>
          <w:lang w:val="bg-BG"/>
        </w:rPr>
        <w:t>в</w:t>
      </w:r>
      <w:r w:rsidR="009B1AC1" w:rsidRPr="00474BEE">
        <w:rPr>
          <w:snapToGrid w:val="0"/>
          <w:lang w:val="bg-BG"/>
        </w:rPr>
        <w:t>а</w:t>
      </w:r>
      <w:r w:rsidR="007F25C7" w:rsidRPr="00474BEE">
        <w:rPr>
          <w:snapToGrid w:val="0"/>
          <w:lang w:val="bg-BG"/>
        </w:rPr>
        <w:t>т</w:t>
      </w:r>
      <w:r w:rsidR="009B1AC1" w:rsidRPr="00474BEE">
        <w:rPr>
          <w:snapToGrid w:val="0"/>
          <w:lang w:val="bg-BG"/>
        </w:rPr>
        <w:t xml:space="preserve"> да я за</w:t>
      </w:r>
      <w:r w:rsidR="0029257C" w:rsidRPr="00474BEE">
        <w:rPr>
          <w:snapToGrid w:val="0"/>
          <w:lang w:val="bg-BG"/>
        </w:rPr>
        <w:t>пълнят</w:t>
      </w:r>
      <w:r w:rsidR="00BB3043" w:rsidRPr="00474BEE">
        <w:rPr>
          <w:snapToGrid w:val="0"/>
          <w:lang w:val="bg-BG"/>
        </w:rPr>
        <w:t xml:space="preserve"> (вж</w:t>
      </w:r>
      <w:r w:rsidR="007F25C7" w:rsidRPr="00474BEE">
        <w:rPr>
          <w:snapToGrid w:val="0"/>
          <w:lang w:val="bg-BG"/>
        </w:rPr>
        <w:t>.</w:t>
      </w:r>
      <w:r w:rsidR="00BB3043" w:rsidRPr="00474BEE">
        <w:rPr>
          <w:snapToGrid w:val="0"/>
          <w:lang w:val="bg-BG"/>
        </w:rPr>
        <w:t xml:space="preserve"> параграфи 34, 40 и 41 по-горе).   </w:t>
      </w:r>
    </w:p>
    <w:p w:rsidR="00700AB4" w:rsidRPr="00474BEE" w:rsidRDefault="00D16EB7" w:rsidP="0029257C">
      <w:pPr>
        <w:pStyle w:val="ECHRPara"/>
        <w:rPr>
          <w:snapToGrid w:val="0"/>
          <w:lang w:val="bg-BG"/>
        </w:rPr>
      </w:pPr>
      <w:r w:rsidRPr="00474BEE">
        <w:rPr>
          <w:snapToGrid w:val="0"/>
          <w:lang w:val="bg-BG"/>
        </w:rPr>
        <w:fldChar w:fldCharType="begin"/>
      </w:r>
      <w:r w:rsidR="00D2648A" w:rsidRPr="00474BEE">
        <w:rPr>
          <w:snapToGrid w:val="0"/>
          <w:lang w:val="bg-BG"/>
        </w:rPr>
        <w:instrText xml:space="preserve"> SEQ level0 \*arabic </w:instrText>
      </w:r>
      <w:r w:rsidRPr="00474BEE">
        <w:rPr>
          <w:snapToGrid w:val="0"/>
          <w:lang w:val="bg-BG"/>
        </w:rPr>
        <w:fldChar w:fldCharType="separate"/>
      </w:r>
      <w:r w:rsidR="00550343" w:rsidRPr="00474BEE">
        <w:rPr>
          <w:noProof/>
          <w:snapToGrid w:val="0"/>
          <w:lang w:val="bg-BG"/>
        </w:rPr>
        <w:t>78</w:t>
      </w:r>
      <w:r w:rsidRPr="00474BEE">
        <w:rPr>
          <w:snapToGrid w:val="0"/>
          <w:lang w:val="bg-BG"/>
        </w:rPr>
        <w:fldChar w:fldCharType="end"/>
      </w:r>
      <w:r w:rsidR="00D2648A" w:rsidRPr="00474BEE">
        <w:rPr>
          <w:snapToGrid w:val="0"/>
          <w:lang w:val="bg-BG"/>
        </w:rPr>
        <w:t>.  </w:t>
      </w:r>
      <w:r w:rsidR="0029257C" w:rsidRPr="00474BEE">
        <w:rPr>
          <w:snapToGrid w:val="0"/>
          <w:lang w:val="bg-BG"/>
        </w:rPr>
        <w:t xml:space="preserve">Така или иначе, българската правна система не реагира адекватно на деянието изтезание, на което жалбоподателят е </w:t>
      </w:r>
      <w:r w:rsidR="007F25C7" w:rsidRPr="00474BEE">
        <w:rPr>
          <w:snapToGrid w:val="0"/>
          <w:lang w:val="bg-BG"/>
        </w:rPr>
        <w:t>станал жертва</w:t>
      </w:r>
      <w:r w:rsidR="0029257C" w:rsidRPr="00474BEE">
        <w:rPr>
          <w:snapToGrid w:val="0"/>
          <w:lang w:val="bg-BG"/>
        </w:rPr>
        <w:t>. Ето защо е налице нарушение на чл. 3 от Конвенцията</w:t>
      </w:r>
      <w:r w:rsidR="001D1CE7" w:rsidRPr="00474BEE">
        <w:rPr>
          <w:snapToGrid w:val="0"/>
          <w:lang w:val="bg-BG"/>
        </w:rPr>
        <w:t>.</w:t>
      </w:r>
    </w:p>
    <w:p w:rsidR="00014566" w:rsidRPr="00474BEE" w:rsidRDefault="006F5694" w:rsidP="00550343">
      <w:pPr>
        <w:pStyle w:val="ECHRHeading1"/>
        <w:outlineLvl w:val="1"/>
        <w:rPr>
          <w:lang w:val="bg-BG"/>
        </w:rPr>
      </w:pPr>
      <w:r w:rsidRPr="00474BEE">
        <w:rPr>
          <w:lang w:val="bg-BG"/>
        </w:rPr>
        <w:t>II</w:t>
      </w:r>
      <w:r w:rsidR="00D62B24" w:rsidRPr="00474BEE">
        <w:rPr>
          <w:lang w:val="bg-BG"/>
        </w:rPr>
        <w:t>.  ПРИЛ</w:t>
      </w:r>
      <w:r w:rsidR="007F25C7" w:rsidRPr="00474BEE">
        <w:rPr>
          <w:lang w:val="bg-BG"/>
        </w:rPr>
        <w:t>АГАНЕ</w:t>
      </w:r>
      <w:r w:rsidR="00D62B24" w:rsidRPr="00474BEE">
        <w:rPr>
          <w:lang w:val="bg-BG"/>
        </w:rPr>
        <w:t xml:space="preserve"> НА ЧЛ</w:t>
      </w:r>
      <w:r w:rsidR="007F25C7" w:rsidRPr="00474BEE">
        <w:rPr>
          <w:lang w:val="bg-BG"/>
        </w:rPr>
        <w:t>ЕН</w:t>
      </w:r>
      <w:r w:rsidR="00D62B24" w:rsidRPr="00474BEE">
        <w:rPr>
          <w:lang w:val="bg-BG"/>
        </w:rPr>
        <w:t xml:space="preserve"> 41 ОТ КОНВЕНЦИЯТА</w:t>
      </w:r>
    </w:p>
    <w:p w:rsidR="00014566" w:rsidRPr="00474BEE" w:rsidRDefault="00D16EB7" w:rsidP="00550343">
      <w:pPr>
        <w:pStyle w:val="ECHRPara"/>
        <w:keepNext/>
        <w:rPr>
          <w:lang w:val="bg-BG"/>
        </w:rPr>
      </w:pPr>
      <w:r w:rsidRPr="00474BEE">
        <w:rPr>
          <w:lang w:val="bg-BG"/>
        </w:rPr>
        <w:fldChar w:fldCharType="begin"/>
      </w:r>
      <w:r w:rsidR="00B0149D" w:rsidRPr="00474BEE">
        <w:rPr>
          <w:lang w:val="bg-BG"/>
        </w:rPr>
        <w:instrText xml:space="preserve"> SEQ level0 \*arabic </w:instrText>
      </w:r>
      <w:r w:rsidRPr="00474BEE">
        <w:rPr>
          <w:lang w:val="bg-BG"/>
        </w:rPr>
        <w:fldChar w:fldCharType="separate"/>
      </w:r>
      <w:r w:rsidR="00550343" w:rsidRPr="00474BEE">
        <w:rPr>
          <w:noProof/>
          <w:lang w:val="bg-BG"/>
        </w:rPr>
        <w:t>79</w:t>
      </w:r>
      <w:r w:rsidRPr="00474BEE">
        <w:rPr>
          <w:lang w:val="bg-BG"/>
        </w:rPr>
        <w:fldChar w:fldCharType="end"/>
      </w:r>
      <w:r w:rsidR="00D62B24" w:rsidRPr="00474BEE">
        <w:rPr>
          <w:lang w:val="bg-BG"/>
        </w:rPr>
        <w:t>.  Чл. 41 от Конвенцията гласи</w:t>
      </w:r>
      <w:r w:rsidR="00014566" w:rsidRPr="00474BEE">
        <w:rPr>
          <w:lang w:val="bg-BG"/>
        </w:rPr>
        <w:t>:</w:t>
      </w:r>
    </w:p>
    <w:p w:rsidR="00014566" w:rsidRPr="00474BEE" w:rsidRDefault="00D62B24" w:rsidP="00550343">
      <w:pPr>
        <w:pStyle w:val="ECHRParaQuote"/>
        <w:keepLines/>
        <w:rPr>
          <w:lang w:val="bg-BG"/>
        </w:rPr>
      </w:pPr>
      <w:r w:rsidRPr="00474BEE">
        <w:rPr>
          <w:szCs w:val="20"/>
          <w:lang w:val="bg-BG"/>
        </w:rPr>
        <w:t xml:space="preserve">„Ако Съдът установи нарушение на Конвенцията или на Протоколите към нея и ако вътрешното право на съответната </w:t>
      </w:r>
      <w:proofErr w:type="spellStart"/>
      <w:r w:rsidRPr="00474BEE">
        <w:rPr>
          <w:szCs w:val="20"/>
          <w:lang w:val="bg-BG"/>
        </w:rPr>
        <w:t>Високодоговаряща</w:t>
      </w:r>
      <w:proofErr w:type="spellEnd"/>
      <w:r w:rsidRPr="00474BEE">
        <w:rPr>
          <w:szCs w:val="20"/>
          <w:lang w:val="bg-BG"/>
        </w:rPr>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00014566" w:rsidRPr="00474BEE">
        <w:rPr>
          <w:lang w:val="bg-BG"/>
        </w:rPr>
        <w:t>.”</w:t>
      </w:r>
    </w:p>
    <w:p w:rsidR="00014566" w:rsidRPr="00474BEE" w:rsidRDefault="00D62B24" w:rsidP="00550343">
      <w:pPr>
        <w:pStyle w:val="ECHRHeading2"/>
        <w:keepLines w:val="0"/>
        <w:outlineLvl w:val="2"/>
        <w:rPr>
          <w:lang w:val="bg-BG"/>
        </w:rPr>
      </w:pPr>
      <w:r w:rsidRPr="00474BEE">
        <w:rPr>
          <w:lang w:val="bg-BG"/>
        </w:rPr>
        <w:t>A.  </w:t>
      </w:r>
      <w:r w:rsidR="00746C38" w:rsidRPr="00474BEE">
        <w:rPr>
          <w:lang w:val="bg-BG"/>
        </w:rPr>
        <w:t>Обезщетение за</w:t>
      </w:r>
      <w:r w:rsidRPr="00474BEE">
        <w:rPr>
          <w:lang w:val="bg-BG"/>
        </w:rPr>
        <w:t xml:space="preserve"> вреди</w:t>
      </w:r>
    </w:p>
    <w:p w:rsidR="004045A2" w:rsidRPr="00474BEE" w:rsidRDefault="00D16EB7" w:rsidP="004045A2">
      <w:pPr>
        <w:pStyle w:val="ECHRPara"/>
        <w:rPr>
          <w:lang w:val="bg-BG"/>
        </w:rPr>
      </w:pPr>
      <w:r w:rsidRPr="00474BEE">
        <w:rPr>
          <w:lang w:val="bg-BG"/>
        </w:rPr>
        <w:fldChar w:fldCharType="begin"/>
      </w:r>
      <w:r w:rsidR="00B0149D" w:rsidRPr="00474BEE">
        <w:rPr>
          <w:lang w:val="bg-BG"/>
        </w:rPr>
        <w:instrText xml:space="preserve"> SEQ level0 \*arabic </w:instrText>
      </w:r>
      <w:r w:rsidRPr="00474BEE">
        <w:rPr>
          <w:lang w:val="bg-BG"/>
        </w:rPr>
        <w:fldChar w:fldCharType="separate"/>
      </w:r>
      <w:r w:rsidR="00550343" w:rsidRPr="00474BEE">
        <w:rPr>
          <w:noProof/>
          <w:lang w:val="bg-BG"/>
        </w:rPr>
        <w:t>80</w:t>
      </w:r>
      <w:r w:rsidRPr="00474BEE">
        <w:rPr>
          <w:lang w:val="bg-BG"/>
        </w:rPr>
        <w:fldChar w:fldCharType="end"/>
      </w:r>
      <w:r w:rsidR="00014566" w:rsidRPr="00474BEE">
        <w:rPr>
          <w:lang w:val="bg-BG"/>
        </w:rPr>
        <w:t>.  </w:t>
      </w:r>
      <w:r w:rsidR="004045A2" w:rsidRPr="00474BEE">
        <w:rPr>
          <w:lang w:val="bg-BG"/>
        </w:rPr>
        <w:t>Жалбоподателят претендира 4</w:t>
      </w:r>
      <w:r w:rsidR="00746C38" w:rsidRPr="00474BEE">
        <w:rPr>
          <w:lang w:val="bg-BG"/>
        </w:rPr>
        <w:t xml:space="preserve"> </w:t>
      </w:r>
      <w:r w:rsidR="004045A2" w:rsidRPr="00474BEE">
        <w:rPr>
          <w:lang w:val="bg-BG"/>
        </w:rPr>
        <w:t>000 евро за понесено психическо страдание в резултат на неефект</w:t>
      </w:r>
      <w:r w:rsidR="009B1AC1" w:rsidRPr="00474BEE">
        <w:rPr>
          <w:lang w:val="bg-BG"/>
        </w:rPr>
        <w:t>ивен процесуален отговор</w:t>
      </w:r>
      <w:r w:rsidR="004045A2" w:rsidRPr="00474BEE">
        <w:rPr>
          <w:lang w:val="bg-BG"/>
        </w:rPr>
        <w:t xml:space="preserve"> във връзка с малтретирането, на което е бил подложен.</w:t>
      </w:r>
    </w:p>
    <w:p w:rsidR="004045A2" w:rsidRPr="00474BEE" w:rsidRDefault="004045A2" w:rsidP="004045A2">
      <w:pPr>
        <w:pStyle w:val="ECHRPara"/>
        <w:rPr>
          <w:lang w:val="bg-BG"/>
        </w:rPr>
      </w:pPr>
      <w:r w:rsidRPr="00474BEE">
        <w:rPr>
          <w:lang w:val="bg-BG"/>
        </w:rPr>
        <w:t>81. Правителството твърди, че претенцията е прекомерна.</w:t>
      </w:r>
    </w:p>
    <w:p w:rsidR="00014566" w:rsidRPr="00474BEE" w:rsidRDefault="00D16EB7" w:rsidP="008F707C">
      <w:pPr>
        <w:pStyle w:val="ECHRPara"/>
        <w:rPr>
          <w:lang w:val="bg-BG"/>
        </w:rPr>
      </w:pPr>
      <w:r w:rsidRPr="00474BEE">
        <w:rPr>
          <w:lang w:val="bg-BG"/>
        </w:rPr>
        <w:fldChar w:fldCharType="begin"/>
      </w:r>
      <w:r w:rsidR="00B0149D" w:rsidRPr="00474BEE">
        <w:rPr>
          <w:lang w:val="bg-BG"/>
        </w:rPr>
        <w:instrText xml:space="preserve"> SEQ level0 \*arabic </w:instrText>
      </w:r>
      <w:r w:rsidRPr="00474BEE">
        <w:rPr>
          <w:lang w:val="bg-BG"/>
        </w:rPr>
        <w:fldChar w:fldCharType="separate"/>
      </w:r>
      <w:r w:rsidR="00550343" w:rsidRPr="00474BEE">
        <w:rPr>
          <w:noProof/>
          <w:lang w:val="bg-BG"/>
        </w:rPr>
        <w:t>82</w:t>
      </w:r>
      <w:r w:rsidRPr="00474BEE">
        <w:rPr>
          <w:lang w:val="bg-BG"/>
        </w:rPr>
        <w:fldChar w:fldCharType="end"/>
      </w:r>
      <w:r w:rsidR="00014566" w:rsidRPr="00474BEE">
        <w:rPr>
          <w:lang w:val="bg-BG"/>
        </w:rPr>
        <w:t>.  </w:t>
      </w:r>
      <w:r w:rsidR="004045A2" w:rsidRPr="00474BEE">
        <w:rPr>
          <w:lang w:val="bg-BG"/>
        </w:rPr>
        <w:t xml:space="preserve">Съдът счита, че жалбоподателят </w:t>
      </w:r>
      <w:r w:rsidR="00B14E7A" w:rsidRPr="00474BEE">
        <w:rPr>
          <w:lang w:val="bg-BG"/>
        </w:rPr>
        <w:t xml:space="preserve">несъмнено </w:t>
      </w:r>
      <w:r w:rsidR="004045A2" w:rsidRPr="00474BEE">
        <w:rPr>
          <w:lang w:val="bg-BG"/>
        </w:rPr>
        <w:t xml:space="preserve">е понесъл психическо страдание в резултат на неспособността на българските власти да изпълнят задължението си </w:t>
      </w:r>
      <w:r w:rsidR="00B14E7A" w:rsidRPr="00474BEE">
        <w:rPr>
          <w:lang w:val="bg-BG"/>
        </w:rPr>
        <w:t xml:space="preserve">съгласно </w:t>
      </w:r>
      <w:r w:rsidR="004045A2" w:rsidRPr="00474BEE">
        <w:rPr>
          <w:lang w:val="bg-BG"/>
        </w:rPr>
        <w:t>чл. 3 от Конвенцията да предприемат съответните наказателни мерки</w:t>
      </w:r>
      <w:r w:rsidR="00B14E7A" w:rsidRPr="00474BEE">
        <w:rPr>
          <w:lang w:val="bg-BG"/>
        </w:rPr>
        <w:t>,</w:t>
      </w:r>
      <w:r w:rsidR="004045A2" w:rsidRPr="00474BEE">
        <w:rPr>
          <w:lang w:val="bg-BG"/>
        </w:rPr>
        <w:t xml:space="preserve"> по отношение на изтезания</w:t>
      </w:r>
      <w:r w:rsidR="00B14E7A" w:rsidRPr="00474BEE">
        <w:rPr>
          <w:lang w:val="bg-BG"/>
        </w:rPr>
        <w:t>та</w:t>
      </w:r>
      <w:r w:rsidR="004045A2" w:rsidRPr="00474BEE">
        <w:rPr>
          <w:lang w:val="bg-BG"/>
        </w:rPr>
        <w:t xml:space="preserve">, на които </w:t>
      </w:r>
      <w:r w:rsidR="00EC049B" w:rsidRPr="00474BEE">
        <w:rPr>
          <w:lang w:val="bg-BG"/>
        </w:rPr>
        <w:t>е бил подложен</w:t>
      </w:r>
      <w:r w:rsidR="004045A2" w:rsidRPr="00474BEE">
        <w:rPr>
          <w:lang w:val="bg-BG"/>
        </w:rPr>
        <w:t>.</w:t>
      </w:r>
      <w:r w:rsidR="008F707C" w:rsidRPr="00474BEE">
        <w:rPr>
          <w:lang w:val="bg-BG"/>
        </w:rPr>
        <w:t xml:space="preserve"> Произнасяйки се по справедливост, както се изисква съгласно чл.</w:t>
      </w:r>
      <w:r w:rsidR="004045A2" w:rsidRPr="00474BEE">
        <w:rPr>
          <w:lang w:val="bg-BG"/>
        </w:rPr>
        <w:t xml:space="preserve"> </w:t>
      </w:r>
      <w:r w:rsidR="008F707C" w:rsidRPr="00474BEE">
        <w:rPr>
          <w:lang w:val="bg-BG"/>
        </w:rPr>
        <w:t>41 от Конвенцията, Съдът му присъжда цялата сума, която претендира, плюс всички</w:t>
      </w:r>
      <w:r w:rsidR="004045A2" w:rsidRPr="00474BEE">
        <w:rPr>
          <w:lang w:val="bg-BG"/>
        </w:rPr>
        <w:t xml:space="preserve"> данъци, които биха мо</w:t>
      </w:r>
      <w:r w:rsidR="008F707C" w:rsidRPr="00474BEE">
        <w:rPr>
          <w:lang w:val="bg-BG"/>
        </w:rPr>
        <w:t>гли да бъдат наложени</w:t>
      </w:r>
      <w:r w:rsidR="00332A2A" w:rsidRPr="00474BEE">
        <w:rPr>
          <w:lang w:val="bg-BG"/>
        </w:rPr>
        <w:t>.</w:t>
      </w:r>
    </w:p>
    <w:p w:rsidR="00014566" w:rsidRPr="00474BEE" w:rsidRDefault="00D62B24" w:rsidP="00550343">
      <w:pPr>
        <w:pStyle w:val="ECHRHeading2"/>
        <w:outlineLvl w:val="2"/>
        <w:rPr>
          <w:lang w:val="bg-BG"/>
        </w:rPr>
      </w:pPr>
      <w:r w:rsidRPr="00474BEE">
        <w:rPr>
          <w:lang w:val="bg-BG"/>
        </w:rPr>
        <w:t>Б.  Разходи и разноски</w:t>
      </w:r>
    </w:p>
    <w:p w:rsidR="00014566" w:rsidRPr="00474BEE" w:rsidRDefault="00D16EB7" w:rsidP="008F707C">
      <w:pPr>
        <w:pStyle w:val="ECHRPara"/>
        <w:rPr>
          <w:lang w:val="bg-BG"/>
        </w:rPr>
      </w:pPr>
      <w:r w:rsidRPr="00474BEE">
        <w:rPr>
          <w:lang w:val="bg-BG"/>
        </w:rPr>
        <w:fldChar w:fldCharType="begin"/>
      </w:r>
      <w:r w:rsidR="00B0149D" w:rsidRPr="00474BEE">
        <w:rPr>
          <w:lang w:val="bg-BG"/>
        </w:rPr>
        <w:instrText xml:space="preserve"> SEQ level0 \*arabic </w:instrText>
      </w:r>
      <w:r w:rsidRPr="00474BEE">
        <w:rPr>
          <w:lang w:val="bg-BG"/>
        </w:rPr>
        <w:fldChar w:fldCharType="separate"/>
      </w:r>
      <w:r w:rsidR="00550343" w:rsidRPr="00474BEE">
        <w:rPr>
          <w:noProof/>
          <w:lang w:val="bg-BG"/>
        </w:rPr>
        <w:t>83</w:t>
      </w:r>
      <w:r w:rsidRPr="00474BEE">
        <w:rPr>
          <w:lang w:val="bg-BG"/>
        </w:rPr>
        <w:fldChar w:fldCharType="end"/>
      </w:r>
      <w:r w:rsidR="00014566" w:rsidRPr="00474BEE">
        <w:rPr>
          <w:lang w:val="bg-BG"/>
        </w:rPr>
        <w:t>.  </w:t>
      </w:r>
      <w:r w:rsidR="008F707C" w:rsidRPr="00474BEE">
        <w:rPr>
          <w:lang w:val="bg-BG"/>
        </w:rPr>
        <w:t>Жалбоподателят търси възстановяване на 2</w:t>
      </w:r>
      <w:r w:rsidR="00AD0F0A" w:rsidRPr="00474BEE">
        <w:rPr>
          <w:lang w:val="bg-BG"/>
        </w:rPr>
        <w:t xml:space="preserve"> </w:t>
      </w:r>
      <w:r w:rsidR="008F707C" w:rsidRPr="00474BEE">
        <w:rPr>
          <w:lang w:val="bg-BG"/>
        </w:rPr>
        <w:t>650 евро</w:t>
      </w:r>
      <w:r w:rsidR="00AD0F0A" w:rsidRPr="00474BEE">
        <w:rPr>
          <w:lang w:val="bg-BG"/>
        </w:rPr>
        <w:t>, платени за адвокатски хонорари</w:t>
      </w:r>
      <w:r w:rsidR="008F707C" w:rsidRPr="00474BEE">
        <w:rPr>
          <w:lang w:val="bg-BG"/>
        </w:rPr>
        <w:t xml:space="preserve"> (при 100 евро на час) за седем часа работа по наказателното производство срещу </w:t>
      </w:r>
      <w:r w:rsidR="004E0536" w:rsidRPr="00474BEE">
        <w:rPr>
          <w:lang w:val="bg-BG"/>
        </w:rPr>
        <w:t>полицейските служители</w:t>
      </w:r>
      <w:r w:rsidR="008F707C" w:rsidRPr="00474BEE">
        <w:rPr>
          <w:lang w:val="bg-BG"/>
        </w:rPr>
        <w:t xml:space="preserve"> и деветнадесет часа и половина работа по производството пред Съда. В подкрепа на това твърдение той представя график за изработени часове. </w:t>
      </w:r>
      <w:r w:rsidR="008F707C" w:rsidRPr="00474BEE">
        <w:rPr>
          <w:rStyle w:val="ECHRPara"/>
          <w:lang w:val="bg-BG"/>
        </w:rPr>
        <w:lastRenderedPageBreak/>
        <w:t xml:space="preserve">Той </w:t>
      </w:r>
      <w:r w:rsidR="006A66B7" w:rsidRPr="00474BEE">
        <w:rPr>
          <w:rStyle w:val="ECHRPara"/>
          <w:lang w:val="bg-BG"/>
        </w:rPr>
        <w:t>моли</w:t>
      </w:r>
      <w:r w:rsidR="008F707C" w:rsidRPr="00474BEE">
        <w:rPr>
          <w:rStyle w:val="ECHRPara"/>
          <w:lang w:val="bg-BG"/>
        </w:rPr>
        <w:t xml:space="preserve"> всяка присъдена от Съда сума по тази точка да бъде платена директно на неговия законен представител</w:t>
      </w:r>
      <w:r w:rsidR="00B34C51" w:rsidRPr="00474BEE">
        <w:rPr>
          <w:lang w:val="bg-BG"/>
        </w:rPr>
        <w:t>.</w:t>
      </w:r>
    </w:p>
    <w:p w:rsidR="006F5694" w:rsidRPr="00474BEE" w:rsidRDefault="00D16EB7" w:rsidP="00550343">
      <w:pPr>
        <w:pStyle w:val="ECHRPara"/>
        <w:rPr>
          <w:lang w:val="bg-BG"/>
        </w:rPr>
      </w:pPr>
      <w:r w:rsidRPr="00474BEE">
        <w:rPr>
          <w:lang w:val="bg-BG"/>
        </w:rPr>
        <w:fldChar w:fldCharType="begin"/>
      </w:r>
      <w:r w:rsidR="00B0149D" w:rsidRPr="00474BEE">
        <w:rPr>
          <w:lang w:val="bg-BG"/>
        </w:rPr>
        <w:instrText xml:space="preserve"> SEQ level0 \*arabic </w:instrText>
      </w:r>
      <w:r w:rsidRPr="00474BEE">
        <w:rPr>
          <w:lang w:val="bg-BG"/>
        </w:rPr>
        <w:fldChar w:fldCharType="separate"/>
      </w:r>
      <w:r w:rsidR="00550343" w:rsidRPr="00474BEE">
        <w:rPr>
          <w:noProof/>
          <w:lang w:val="bg-BG"/>
        </w:rPr>
        <w:t>84</w:t>
      </w:r>
      <w:r w:rsidRPr="00474BEE">
        <w:rPr>
          <w:lang w:val="bg-BG"/>
        </w:rPr>
        <w:fldChar w:fldCharType="end"/>
      </w:r>
      <w:r w:rsidR="00014566" w:rsidRPr="00474BEE">
        <w:rPr>
          <w:lang w:val="bg-BG"/>
        </w:rPr>
        <w:t>.  </w:t>
      </w:r>
      <w:r w:rsidR="008F707C" w:rsidRPr="00474BEE">
        <w:rPr>
          <w:lang w:val="bg-BG"/>
        </w:rPr>
        <w:t>Правителството твърди, че жалбоподателите имат право да искат възстановяване на разходите, направени</w:t>
      </w:r>
      <w:r w:rsidR="004E0536" w:rsidRPr="00474BEE">
        <w:rPr>
          <w:lang w:val="bg-BG"/>
        </w:rPr>
        <w:t xml:space="preserve"> единствено</w:t>
      </w:r>
      <w:r w:rsidR="008F707C" w:rsidRPr="00474BEE">
        <w:rPr>
          <w:lang w:val="bg-BG"/>
        </w:rPr>
        <w:t xml:space="preserve"> в производството пред този Съд и че почасовата ставка от 100 евро е прекомерно висока.</w:t>
      </w:r>
    </w:p>
    <w:p w:rsidR="002B76EE" w:rsidRPr="00474BEE" w:rsidRDefault="00D16EB7" w:rsidP="00F80622">
      <w:pPr>
        <w:pStyle w:val="ECHRPara"/>
        <w:rPr>
          <w:lang w:val="bg-BG"/>
        </w:rPr>
      </w:pPr>
      <w:r w:rsidRPr="00474BEE">
        <w:rPr>
          <w:lang w:val="bg-BG"/>
        </w:rPr>
        <w:fldChar w:fldCharType="begin"/>
      </w:r>
      <w:r w:rsidR="00B0149D" w:rsidRPr="00474BEE">
        <w:rPr>
          <w:lang w:val="bg-BG"/>
        </w:rPr>
        <w:instrText xml:space="preserve"> SEQ level0 \*arabic </w:instrText>
      </w:r>
      <w:r w:rsidRPr="00474BEE">
        <w:rPr>
          <w:lang w:val="bg-BG"/>
        </w:rPr>
        <w:fldChar w:fldCharType="separate"/>
      </w:r>
      <w:r w:rsidR="00550343" w:rsidRPr="00474BEE">
        <w:rPr>
          <w:noProof/>
          <w:lang w:val="bg-BG"/>
        </w:rPr>
        <w:t>85</w:t>
      </w:r>
      <w:r w:rsidRPr="00474BEE">
        <w:rPr>
          <w:lang w:val="bg-BG"/>
        </w:rPr>
        <w:fldChar w:fldCharType="end"/>
      </w:r>
      <w:r w:rsidR="00014566" w:rsidRPr="00474BEE">
        <w:rPr>
          <w:lang w:val="bg-BG"/>
        </w:rPr>
        <w:t>. </w:t>
      </w:r>
      <w:r w:rsidR="008F707C" w:rsidRPr="00474BEE">
        <w:rPr>
          <w:rStyle w:val="ECHRPara"/>
          <w:lang w:val="bg-BG"/>
        </w:rPr>
        <w:t>Според установената съдебна практика на Съда, разходите и разноските, които са поискани съгласно чл. 41 от Конвенцията, трябва да са били действително направени, нужни и разумни като размер</w:t>
      </w:r>
      <w:r w:rsidR="008F707C" w:rsidRPr="00474BEE">
        <w:rPr>
          <w:lang w:val="bg-BG"/>
        </w:rPr>
        <w:t xml:space="preserve">. Противно на твърдението на </w:t>
      </w:r>
      <w:r w:rsidR="006A66B7" w:rsidRPr="00474BEE">
        <w:rPr>
          <w:lang w:val="bg-BG"/>
        </w:rPr>
        <w:t>П</w:t>
      </w:r>
      <w:r w:rsidR="008F707C" w:rsidRPr="00474BEE">
        <w:rPr>
          <w:lang w:val="bg-BG"/>
        </w:rPr>
        <w:t>равителството, разходите, направени за предотвратяване или за получаване на обезщетение за нарушение на Конвенцията чрез вътрешния правен ред</w:t>
      </w:r>
      <w:r w:rsidR="00AC3DA6" w:rsidRPr="00474BEE">
        <w:rPr>
          <w:lang w:val="bg-BG"/>
        </w:rPr>
        <w:t>,</w:t>
      </w:r>
      <w:r w:rsidR="008F707C" w:rsidRPr="00474BEE">
        <w:rPr>
          <w:lang w:val="bg-BG"/>
        </w:rPr>
        <w:t xml:space="preserve"> подлежат на възстановяване по силата на тази разпоредба (вж</w:t>
      </w:r>
      <w:r w:rsidR="00AC3DA6" w:rsidRPr="00474BEE">
        <w:rPr>
          <w:lang w:val="bg-BG"/>
        </w:rPr>
        <w:t>.</w:t>
      </w:r>
      <w:r w:rsidR="008F707C" w:rsidRPr="00474BEE">
        <w:rPr>
          <w:lang w:val="bg-BG"/>
        </w:rPr>
        <w:t xml:space="preserve">, наред с други </w:t>
      </w:r>
      <w:r w:rsidR="00E35191" w:rsidRPr="00474BEE">
        <w:rPr>
          <w:lang w:val="bg-BG"/>
        </w:rPr>
        <w:t>източници</w:t>
      </w:r>
      <w:r w:rsidR="0069327A" w:rsidRPr="00474BEE">
        <w:rPr>
          <w:lang w:val="bg-BG"/>
        </w:rPr>
        <w:t>,</w:t>
      </w:r>
      <w:r w:rsidR="00205E5F" w:rsidRPr="00474BEE">
        <w:rPr>
          <w:lang w:val="bg-BG"/>
        </w:rPr>
        <w:t xml:space="preserve"> </w:t>
      </w:r>
      <w:proofErr w:type="spellStart"/>
      <w:r w:rsidR="00205E5F" w:rsidRPr="00474BEE">
        <w:rPr>
          <w:i/>
          <w:lang w:val="bg-BG"/>
        </w:rPr>
        <w:t>Neulinger</w:t>
      </w:r>
      <w:proofErr w:type="spellEnd"/>
      <w:r w:rsidR="00205E5F" w:rsidRPr="00474BEE">
        <w:rPr>
          <w:i/>
          <w:lang w:val="bg-BG"/>
        </w:rPr>
        <w:t xml:space="preserve"> and </w:t>
      </w:r>
      <w:proofErr w:type="spellStart"/>
      <w:r w:rsidR="00205E5F" w:rsidRPr="00474BEE">
        <w:rPr>
          <w:i/>
          <w:lang w:val="bg-BG"/>
        </w:rPr>
        <w:t>Shuruk</w:t>
      </w:r>
      <w:proofErr w:type="spellEnd"/>
      <w:r w:rsidR="00205E5F" w:rsidRPr="00474BEE">
        <w:rPr>
          <w:i/>
          <w:lang w:val="bg-BG"/>
        </w:rPr>
        <w:t xml:space="preserve"> v. </w:t>
      </w:r>
      <w:proofErr w:type="spellStart"/>
      <w:r w:rsidR="00205E5F" w:rsidRPr="00474BEE">
        <w:rPr>
          <w:i/>
          <w:lang w:val="bg-BG"/>
        </w:rPr>
        <w:t>Switzerland</w:t>
      </w:r>
      <w:proofErr w:type="spellEnd"/>
      <w:r w:rsidR="00205E5F" w:rsidRPr="00474BEE">
        <w:rPr>
          <w:lang w:val="bg-BG"/>
        </w:rPr>
        <w:t xml:space="preserve"> [GC], </w:t>
      </w:r>
      <w:r w:rsidR="008F707C" w:rsidRPr="00474BEE">
        <w:rPr>
          <w:lang w:val="bg-BG"/>
        </w:rPr>
        <w:t>№</w:t>
      </w:r>
      <w:r w:rsidR="00205E5F" w:rsidRPr="00474BEE">
        <w:rPr>
          <w:lang w:val="bg-BG"/>
        </w:rPr>
        <w:t xml:space="preserve"> 41615/07, § 159, </w:t>
      </w:r>
      <w:r w:rsidR="008F707C" w:rsidRPr="00474BEE">
        <w:rPr>
          <w:lang w:val="bg-BG"/>
        </w:rPr>
        <w:t>EСПЧ</w:t>
      </w:r>
      <w:r w:rsidR="00205E5F" w:rsidRPr="00474BEE">
        <w:rPr>
          <w:lang w:val="bg-BG"/>
        </w:rPr>
        <w:t xml:space="preserve"> 2010; </w:t>
      </w:r>
      <w:proofErr w:type="spellStart"/>
      <w:r w:rsidR="00205E5F" w:rsidRPr="00474BEE">
        <w:rPr>
          <w:i/>
          <w:lang w:val="bg-BG"/>
        </w:rPr>
        <w:t>Nada</w:t>
      </w:r>
      <w:proofErr w:type="spellEnd"/>
      <w:r w:rsidR="00205E5F" w:rsidRPr="00474BEE">
        <w:rPr>
          <w:i/>
          <w:lang w:val="bg-BG"/>
        </w:rPr>
        <w:t xml:space="preserve"> v. </w:t>
      </w:r>
      <w:proofErr w:type="spellStart"/>
      <w:r w:rsidR="00205E5F" w:rsidRPr="00474BEE">
        <w:rPr>
          <w:i/>
          <w:lang w:val="bg-BG"/>
        </w:rPr>
        <w:t>Switzerland</w:t>
      </w:r>
      <w:proofErr w:type="spellEnd"/>
      <w:r w:rsidR="00205E5F" w:rsidRPr="00474BEE">
        <w:rPr>
          <w:i/>
          <w:lang w:val="bg-BG"/>
        </w:rPr>
        <w:t xml:space="preserve"> </w:t>
      </w:r>
      <w:r w:rsidR="00205E5F" w:rsidRPr="00474BEE">
        <w:rPr>
          <w:lang w:val="bg-BG"/>
        </w:rPr>
        <w:t xml:space="preserve">[GC], </w:t>
      </w:r>
      <w:r w:rsidR="008F707C" w:rsidRPr="00474BEE">
        <w:rPr>
          <w:lang w:val="bg-BG"/>
        </w:rPr>
        <w:t>№</w:t>
      </w:r>
      <w:r w:rsidR="00205E5F" w:rsidRPr="00474BEE">
        <w:rPr>
          <w:lang w:val="bg-BG"/>
        </w:rPr>
        <w:t xml:space="preserve"> 10593/08</w:t>
      </w:r>
      <w:r w:rsidR="00205E5F" w:rsidRPr="00474BEE">
        <w:rPr>
          <w:snapToGrid w:val="0"/>
          <w:szCs w:val="24"/>
          <w:lang w:val="bg-BG"/>
        </w:rPr>
        <w:t xml:space="preserve">, § 243, </w:t>
      </w:r>
      <w:r w:rsidR="008F707C" w:rsidRPr="00474BEE">
        <w:rPr>
          <w:snapToGrid w:val="0"/>
          <w:lang w:val="bg-BG"/>
        </w:rPr>
        <w:t>EСПЧ</w:t>
      </w:r>
      <w:r w:rsidR="00205E5F" w:rsidRPr="00474BEE">
        <w:rPr>
          <w:snapToGrid w:val="0"/>
          <w:lang w:val="bg-BG"/>
        </w:rPr>
        <w:t xml:space="preserve"> 2012; </w:t>
      </w:r>
      <w:r w:rsidR="008F707C" w:rsidRPr="00474BEE">
        <w:rPr>
          <w:snapToGrid w:val="0"/>
          <w:lang w:val="bg-BG"/>
        </w:rPr>
        <w:t>и</w:t>
      </w:r>
      <w:r w:rsidR="00205E5F" w:rsidRPr="00474BEE">
        <w:rPr>
          <w:snapToGrid w:val="0"/>
          <w:lang w:val="bg-BG"/>
        </w:rPr>
        <w:t xml:space="preserve"> </w:t>
      </w:r>
      <w:r w:rsidR="008F707C" w:rsidRPr="00474BEE">
        <w:rPr>
          <w:i/>
          <w:lang w:val="bg-BG"/>
        </w:rPr>
        <w:t>Милева и други срещу България</w:t>
      </w:r>
      <w:r w:rsidR="0069327A" w:rsidRPr="00474BEE">
        <w:rPr>
          <w:lang w:val="bg-BG"/>
        </w:rPr>
        <w:t xml:space="preserve">, </w:t>
      </w:r>
      <w:r w:rsidR="008F707C" w:rsidRPr="00474BEE">
        <w:rPr>
          <w:lang w:val="bg-BG"/>
        </w:rPr>
        <w:t>№</w:t>
      </w:r>
      <w:r w:rsidR="00205E5F" w:rsidRPr="00474BEE">
        <w:rPr>
          <w:lang w:val="bg-BG"/>
        </w:rPr>
        <w:t xml:space="preserve"> </w:t>
      </w:r>
      <w:r w:rsidR="0069327A" w:rsidRPr="00474BEE">
        <w:rPr>
          <w:lang w:val="bg-BG"/>
        </w:rPr>
        <w:t xml:space="preserve">43449/02 </w:t>
      </w:r>
      <w:r w:rsidR="008F707C" w:rsidRPr="00474BEE">
        <w:rPr>
          <w:lang w:val="bg-BG"/>
        </w:rPr>
        <w:t>и</w:t>
      </w:r>
      <w:r w:rsidR="0069327A" w:rsidRPr="00474BEE">
        <w:rPr>
          <w:lang w:val="bg-BG"/>
        </w:rPr>
        <w:t xml:space="preserve"> 21475/04</w:t>
      </w:r>
      <w:r w:rsidR="0069327A" w:rsidRPr="00474BEE">
        <w:rPr>
          <w:snapToGrid w:val="0"/>
          <w:szCs w:val="24"/>
          <w:lang w:val="bg-BG"/>
        </w:rPr>
        <w:t>, §</w:t>
      </w:r>
      <w:r w:rsidR="00E4760A" w:rsidRPr="00474BEE">
        <w:rPr>
          <w:snapToGrid w:val="0"/>
          <w:szCs w:val="24"/>
          <w:lang w:val="bg-BG"/>
        </w:rPr>
        <w:t>§</w:t>
      </w:r>
      <w:r w:rsidR="0069327A" w:rsidRPr="00474BEE">
        <w:rPr>
          <w:snapToGrid w:val="0"/>
          <w:szCs w:val="24"/>
          <w:lang w:val="bg-BG"/>
        </w:rPr>
        <w:t xml:space="preserve"> 123</w:t>
      </w:r>
      <w:r w:rsidR="00E4760A" w:rsidRPr="00474BEE">
        <w:rPr>
          <w:snapToGrid w:val="0"/>
          <w:szCs w:val="24"/>
          <w:lang w:val="bg-BG"/>
        </w:rPr>
        <w:t>-24</w:t>
      </w:r>
      <w:r w:rsidR="0069327A" w:rsidRPr="00474BEE">
        <w:rPr>
          <w:snapToGrid w:val="0"/>
          <w:szCs w:val="24"/>
          <w:lang w:val="bg-BG"/>
        </w:rPr>
        <w:t xml:space="preserve">, 25 </w:t>
      </w:r>
      <w:r w:rsidR="008F707C" w:rsidRPr="00474BEE">
        <w:rPr>
          <w:snapToGrid w:val="0"/>
          <w:szCs w:val="24"/>
          <w:lang w:val="bg-BG"/>
        </w:rPr>
        <w:t>ноември</w:t>
      </w:r>
      <w:r w:rsidR="0069327A" w:rsidRPr="00474BEE">
        <w:rPr>
          <w:snapToGrid w:val="0"/>
          <w:szCs w:val="24"/>
          <w:lang w:val="bg-BG"/>
        </w:rPr>
        <w:t xml:space="preserve"> 2010</w:t>
      </w:r>
      <w:r w:rsidR="008F707C" w:rsidRPr="00474BEE">
        <w:rPr>
          <w:snapToGrid w:val="0"/>
          <w:szCs w:val="24"/>
          <w:lang w:val="bg-BG"/>
        </w:rPr>
        <w:t xml:space="preserve"> г.</w:t>
      </w:r>
      <w:r w:rsidR="0069327A" w:rsidRPr="00474BEE">
        <w:rPr>
          <w:lang w:val="bg-BG"/>
        </w:rPr>
        <w:t>).</w:t>
      </w:r>
      <w:r w:rsidR="002B76EE" w:rsidRPr="00474BEE">
        <w:rPr>
          <w:lang w:val="bg-BG"/>
        </w:rPr>
        <w:t xml:space="preserve"> </w:t>
      </w:r>
      <w:r w:rsidR="008F707C" w:rsidRPr="00474BEE">
        <w:rPr>
          <w:lang w:val="bg-BG"/>
        </w:rPr>
        <w:t>Съдът не счита, че почасовата ставка, начислявана от адвокатите на жалбоподателя или броят на часовете, изработени от тях по делото, са прекомерни. Поради това</w:t>
      </w:r>
      <w:r w:rsidR="00F80622" w:rsidRPr="00474BEE">
        <w:rPr>
          <w:lang w:val="bg-BG"/>
        </w:rPr>
        <w:t xml:space="preserve"> присъжда на жалбоподателя пълната сума</w:t>
      </w:r>
      <w:r w:rsidR="008F707C" w:rsidRPr="00474BEE">
        <w:rPr>
          <w:lang w:val="bg-BG"/>
        </w:rPr>
        <w:t xml:space="preserve">. </w:t>
      </w:r>
      <w:r w:rsidR="00F80622" w:rsidRPr="00474BEE">
        <w:rPr>
          <w:lang w:val="bg-BG"/>
        </w:rPr>
        <w:t>По негово искане, тази сума трябва да се плати директно на неговия законен представител</w:t>
      </w:r>
      <w:r w:rsidR="002B76EE" w:rsidRPr="00474BEE">
        <w:rPr>
          <w:lang w:val="bg-BG"/>
        </w:rPr>
        <w:t>.</w:t>
      </w:r>
    </w:p>
    <w:p w:rsidR="00014566" w:rsidRPr="00474BEE" w:rsidRDefault="00D62B24" w:rsidP="00550343">
      <w:pPr>
        <w:pStyle w:val="ECHRHeading2"/>
        <w:outlineLvl w:val="2"/>
        <w:rPr>
          <w:lang w:val="bg-BG"/>
        </w:rPr>
      </w:pPr>
      <w:r w:rsidRPr="00474BEE">
        <w:rPr>
          <w:lang w:val="bg-BG"/>
        </w:rPr>
        <w:t>В.  Лихва за забава</w:t>
      </w:r>
    </w:p>
    <w:p w:rsidR="00014566" w:rsidRPr="00474BEE" w:rsidRDefault="00D16EB7" w:rsidP="00550343">
      <w:pPr>
        <w:pStyle w:val="ECHRPara"/>
        <w:rPr>
          <w:lang w:val="bg-BG"/>
        </w:rPr>
      </w:pPr>
      <w:r w:rsidRPr="00474BEE">
        <w:rPr>
          <w:lang w:val="bg-BG"/>
        </w:rPr>
        <w:fldChar w:fldCharType="begin"/>
      </w:r>
      <w:r w:rsidR="00B0149D" w:rsidRPr="00474BEE">
        <w:rPr>
          <w:lang w:val="bg-BG"/>
        </w:rPr>
        <w:instrText xml:space="preserve"> SEQ level0 \*arabic </w:instrText>
      </w:r>
      <w:r w:rsidRPr="00474BEE">
        <w:rPr>
          <w:lang w:val="bg-BG"/>
        </w:rPr>
        <w:fldChar w:fldCharType="separate"/>
      </w:r>
      <w:r w:rsidR="00550343" w:rsidRPr="00474BEE">
        <w:rPr>
          <w:noProof/>
          <w:lang w:val="bg-BG"/>
        </w:rPr>
        <w:t>86</w:t>
      </w:r>
      <w:r w:rsidRPr="00474BEE">
        <w:rPr>
          <w:lang w:val="bg-BG"/>
        </w:rPr>
        <w:fldChar w:fldCharType="end"/>
      </w:r>
      <w:r w:rsidR="00014566" w:rsidRPr="00474BEE">
        <w:rPr>
          <w:lang w:val="bg-BG"/>
        </w:rPr>
        <w:t>.  </w:t>
      </w:r>
      <w:r w:rsidR="00F80622" w:rsidRPr="00474BEE">
        <w:rPr>
          <w:rStyle w:val="ECHRPara"/>
          <w:lang w:val="bg-BG"/>
        </w:rPr>
        <w:t>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r w:rsidR="00014566" w:rsidRPr="00474BEE">
        <w:rPr>
          <w:lang w:val="bg-BG"/>
        </w:rPr>
        <w:t>.</w:t>
      </w:r>
    </w:p>
    <w:p w:rsidR="00014566" w:rsidRPr="00474BEE" w:rsidRDefault="00D62B24" w:rsidP="00550343">
      <w:pPr>
        <w:pStyle w:val="ECHRTitle1"/>
        <w:spacing w:before="600"/>
        <w:rPr>
          <w:lang w:val="bg-BG"/>
        </w:rPr>
      </w:pPr>
      <w:r w:rsidRPr="00474BEE">
        <w:rPr>
          <w:lang w:val="bg-BG"/>
        </w:rPr>
        <w:t>ПО ТЕЗИ СЪОБРАЖЕНИЯ СЪДЪТ ЕДИНОДУШНО</w:t>
      </w:r>
    </w:p>
    <w:p w:rsidR="00014566" w:rsidRPr="00474BEE" w:rsidRDefault="00B0149D" w:rsidP="00550343">
      <w:pPr>
        <w:pStyle w:val="JuList"/>
        <w:rPr>
          <w:lang w:val="bg-BG"/>
        </w:rPr>
      </w:pPr>
      <w:r w:rsidRPr="00474BEE">
        <w:rPr>
          <w:lang w:val="bg-BG"/>
        </w:rPr>
        <w:t>1.  </w:t>
      </w:r>
      <w:r w:rsidR="00D62B24" w:rsidRPr="00474BEE">
        <w:rPr>
          <w:i/>
          <w:lang w:val="bg-BG"/>
        </w:rPr>
        <w:t>Обявява</w:t>
      </w:r>
      <w:r w:rsidR="00D62B24" w:rsidRPr="00474BEE">
        <w:rPr>
          <w:lang w:val="bg-BG"/>
        </w:rPr>
        <w:t xml:space="preserve"> жалбата за допустима</w:t>
      </w:r>
      <w:r w:rsidRPr="00474BEE">
        <w:rPr>
          <w:lang w:val="bg-BG"/>
        </w:rPr>
        <w:t>;</w:t>
      </w:r>
    </w:p>
    <w:p w:rsidR="00014566" w:rsidRPr="00474BEE" w:rsidRDefault="00014566" w:rsidP="00550343">
      <w:pPr>
        <w:pStyle w:val="JuList"/>
        <w:ind w:left="0" w:firstLine="0"/>
        <w:rPr>
          <w:lang w:val="bg-BG"/>
        </w:rPr>
      </w:pPr>
    </w:p>
    <w:p w:rsidR="00014566" w:rsidRPr="00474BEE" w:rsidRDefault="006F5694" w:rsidP="00550343">
      <w:pPr>
        <w:pStyle w:val="JuList"/>
        <w:rPr>
          <w:lang w:val="bg-BG"/>
        </w:rPr>
      </w:pPr>
      <w:r w:rsidRPr="00474BEE">
        <w:rPr>
          <w:lang w:val="bg-BG"/>
        </w:rPr>
        <w:t>2</w:t>
      </w:r>
      <w:r w:rsidR="00014566" w:rsidRPr="00474BEE">
        <w:rPr>
          <w:lang w:val="bg-BG"/>
        </w:rPr>
        <w:t>.  </w:t>
      </w:r>
      <w:r w:rsidR="00D62B24" w:rsidRPr="00474BEE">
        <w:rPr>
          <w:i/>
          <w:lang w:val="bg-BG"/>
        </w:rPr>
        <w:t>Приема</w:t>
      </w:r>
      <w:r w:rsidR="00D62B24" w:rsidRPr="00474BEE">
        <w:rPr>
          <w:lang w:val="bg-BG"/>
        </w:rPr>
        <w:t>, че е налице нарушение на чл. 13 от Конвенцията</w:t>
      </w:r>
      <w:r w:rsidR="00014566" w:rsidRPr="00474BEE">
        <w:rPr>
          <w:lang w:val="bg-BG"/>
        </w:rPr>
        <w:t>;</w:t>
      </w:r>
    </w:p>
    <w:p w:rsidR="00014566" w:rsidRPr="00474BEE" w:rsidRDefault="00014566" w:rsidP="00550343">
      <w:pPr>
        <w:pStyle w:val="JuList"/>
        <w:rPr>
          <w:lang w:val="bg-BG"/>
        </w:rPr>
      </w:pPr>
    </w:p>
    <w:p w:rsidR="00014566" w:rsidRPr="00474BEE" w:rsidRDefault="006F5694" w:rsidP="00550343">
      <w:pPr>
        <w:pStyle w:val="JuList"/>
        <w:keepNext/>
        <w:rPr>
          <w:lang w:val="bg-BG"/>
        </w:rPr>
      </w:pPr>
      <w:r w:rsidRPr="00474BEE">
        <w:rPr>
          <w:lang w:val="bg-BG"/>
        </w:rPr>
        <w:t>3</w:t>
      </w:r>
      <w:r w:rsidR="00014566" w:rsidRPr="00474BEE">
        <w:rPr>
          <w:lang w:val="bg-BG"/>
        </w:rPr>
        <w:t>.  </w:t>
      </w:r>
      <w:r w:rsidR="00D62B24" w:rsidRPr="00474BEE">
        <w:rPr>
          <w:i/>
          <w:lang w:val="bg-BG"/>
        </w:rPr>
        <w:t>Приема,</w:t>
      </w:r>
    </w:p>
    <w:p w:rsidR="00014566" w:rsidRPr="00474BEE" w:rsidRDefault="00014566" w:rsidP="00550343">
      <w:pPr>
        <w:pStyle w:val="JuLista"/>
        <w:rPr>
          <w:lang w:val="bg-BG"/>
        </w:rPr>
      </w:pPr>
      <w:r w:rsidRPr="00474BEE">
        <w:rPr>
          <w:lang w:val="bg-BG"/>
        </w:rPr>
        <w:t>(a)  </w:t>
      </w:r>
      <w:r w:rsidR="00063C0E" w:rsidRPr="00474BEE">
        <w:rPr>
          <w:rStyle w:val="JuLista"/>
          <w:lang w:val="bg-BG"/>
        </w:rPr>
        <w:t xml:space="preserve">че държавата-ответник трябва да заплати на жалбоподателя в срок от три месеца от датата, на която това решение стане окончателно в съответствие с чл. 44, § 2 от Конвенцията, следните суми, които се изчисляват във </w:t>
      </w:r>
      <w:r w:rsidR="00063C0E" w:rsidRPr="00474BEE">
        <w:rPr>
          <w:rStyle w:val="JuLista"/>
          <w:color w:val="000000"/>
          <w:lang w:val="bg-BG"/>
        </w:rPr>
        <w:t>валутата на държавата-ответник</w:t>
      </w:r>
      <w:r w:rsidR="00063C0E" w:rsidRPr="00474BEE">
        <w:rPr>
          <w:rStyle w:val="JuLista"/>
          <w:lang w:val="bg-BG"/>
        </w:rPr>
        <w:t xml:space="preserve"> по курса към датата на плащането</w:t>
      </w:r>
      <w:r w:rsidRPr="00474BEE">
        <w:rPr>
          <w:lang w:val="bg-BG"/>
        </w:rPr>
        <w:t>:</w:t>
      </w:r>
    </w:p>
    <w:p w:rsidR="00014566" w:rsidRPr="00474BEE" w:rsidRDefault="006F5694" w:rsidP="00550343">
      <w:pPr>
        <w:pStyle w:val="JuListi"/>
        <w:rPr>
          <w:lang w:val="bg-BG"/>
        </w:rPr>
      </w:pPr>
      <w:r w:rsidRPr="00474BEE">
        <w:rPr>
          <w:lang w:val="bg-BG"/>
        </w:rPr>
        <w:t>(i</w:t>
      </w:r>
      <w:r w:rsidR="00D62B24" w:rsidRPr="00474BEE">
        <w:rPr>
          <w:lang w:val="bg-BG"/>
        </w:rPr>
        <w:t>)  4</w:t>
      </w:r>
      <w:r w:rsidR="00E058A9" w:rsidRPr="00474BEE">
        <w:rPr>
          <w:lang w:val="bg-BG"/>
        </w:rPr>
        <w:t xml:space="preserve"> </w:t>
      </w:r>
      <w:r w:rsidR="00D62B24" w:rsidRPr="00474BEE">
        <w:rPr>
          <w:lang w:val="bg-BG"/>
        </w:rPr>
        <w:t>000</w:t>
      </w:r>
      <w:r w:rsidR="00063C0E" w:rsidRPr="00474BEE">
        <w:rPr>
          <w:lang w:val="bg-BG"/>
        </w:rPr>
        <w:t xml:space="preserve"> евро</w:t>
      </w:r>
      <w:r w:rsidR="00D62B24" w:rsidRPr="00474BEE">
        <w:rPr>
          <w:lang w:val="bg-BG"/>
        </w:rPr>
        <w:t xml:space="preserve"> (четири хиляди евро),</w:t>
      </w:r>
      <w:r w:rsidR="00D62B24" w:rsidRPr="00474BEE">
        <w:rPr>
          <w:rStyle w:val="JuListi"/>
          <w:lang w:val="bg-BG"/>
        </w:rPr>
        <w:t xml:space="preserve"> плюс всякакви данъци, които биха могли да </w:t>
      </w:r>
      <w:r w:rsidR="00E058A9" w:rsidRPr="00474BEE">
        <w:rPr>
          <w:rStyle w:val="JuListi"/>
          <w:lang w:val="bg-BG"/>
        </w:rPr>
        <w:t>се начислят</w:t>
      </w:r>
      <w:r w:rsidR="00D62B24" w:rsidRPr="00474BEE">
        <w:rPr>
          <w:lang w:val="bg-BG"/>
        </w:rPr>
        <w:t xml:space="preserve">, </w:t>
      </w:r>
      <w:r w:rsidR="00E058A9" w:rsidRPr="00474BEE">
        <w:rPr>
          <w:lang w:val="bg-BG" w:bidi="bg-BG"/>
        </w:rPr>
        <w:t xml:space="preserve">във връзка с </w:t>
      </w:r>
      <w:r w:rsidR="00D62B24" w:rsidRPr="00474BEE">
        <w:rPr>
          <w:lang w:val="bg-BG"/>
        </w:rPr>
        <w:t>неимуществени вреди</w:t>
      </w:r>
      <w:r w:rsidR="00014566" w:rsidRPr="00474BEE">
        <w:rPr>
          <w:lang w:val="bg-BG"/>
        </w:rPr>
        <w:t>;</w:t>
      </w:r>
    </w:p>
    <w:p w:rsidR="00014566" w:rsidRPr="00474BEE" w:rsidRDefault="006F5694" w:rsidP="00550343">
      <w:pPr>
        <w:pStyle w:val="JuListi"/>
        <w:rPr>
          <w:lang w:val="bg-BG"/>
        </w:rPr>
      </w:pPr>
      <w:r w:rsidRPr="00474BEE">
        <w:rPr>
          <w:lang w:val="bg-BG"/>
        </w:rPr>
        <w:lastRenderedPageBreak/>
        <w:t>(ii</w:t>
      </w:r>
      <w:r w:rsidR="00063C0E" w:rsidRPr="00474BEE">
        <w:rPr>
          <w:lang w:val="bg-BG"/>
        </w:rPr>
        <w:t>)  2</w:t>
      </w:r>
      <w:r w:rsidR="00E058A9" w:rsidRPr="00474BEE">
        <w:rPr>
          <w:lang w:val="bg-BG"/>
        </w:rPr>
        <w:t xml:space="preserve"> </w:t>
      </w:r>
      <w:r w:rsidR="00332A2A" w:rsidRPr="00474BEE">
        <w:rPr>
          <w:lang w:val="bg-BG"/>
        </w:rPr>
        <w:t>650</w:t>
      </w:r>
      <w:r w:rsidR="00063C0E" w:rsidRPr="00474BEE">
        <w:rPr>
          <w:lang w:val="bg-BG"/>
        </w:rPr>
        <w:t xml:space="preserve"> евро</w:t>
      </w:r>
      <w:r w:rsidR="00014566" w:rsidRPr="00474BEE">
        <w:rPr>
          <w:lang w:val="bg-BG"/>
        </w:rPr>
        <w:t xml:space="preserve"> (</w:t>
      </w:r>
      <w:r w:rsidR="00063C0E" w:rsidRPr="00474BEE">
        <w:rPr>
          <w:lang w:val="bg-BG"/>
        </w:rPr>
        <w:t>две хиляди шестстотин и петдесет евро</w:t>
      </w:r>
      <w:r w:rsidR="00014566" w:rsidRPr="00474BEE">
        <w:rPr>
          <w:lang w:val="bg-BG"/>
        </w:rPr>
        <w:t xml:space="preserve">), </w:t>
      </w:r>
      <w:r w:rsidR="003613A2" w:rsidRPr="00474BEE">
        <w:rPr>
          <w:rStyle w:val="JuListi"/>
          <w:lang w:val="bg-BG"/>
        </w:rPr>
        <w:t xml:space="preserve">плюс всякакви данъци, които биха могли да </w:t>
      </w:r>
      <w:r w:rsidR="00E058A9" w:rsidRPr="00474BEE">
        <w:rPr>
          <w:rStyle w:val="JuListi"/>
          <w:lang w:val="bg-BG"/>
        </w:rPr>
        <w:t>се начислят</w:t>
      </w:r>
      <w:r w:rsidR="003613A2" w:rsidRPr="00474BEE">
        <w:rPr>
          <w:rStyle w:val="JuListi"/>
          <w:lang w:val="bg-BG"/>
        </w:rPr>
        <w:t xml:space="preserve"> на жалбоподателя, за направените от него разходи и разноски, </w:t>
      </w:r>
      <w:r w:rsidR="00A07E96" w:rsidRPr="00474BEE">
        <w:rPr>
          <w:rStyle w:val="JuListi"/>
          <w:lang w:val="bg-BG"/>
        </w:rPr>
        <w:t>платими</w:t>
      </w:r>
      <w:r w:rsidR="003613A2" w:rsidRPr="00474BEE">
        <w:rPr>
          <w:rStyle w:val="JuListi"/>
          <w:lang w:val="bg-BG"/>
        </w:rPr>
        <w:t xml:space="preserve"> директно на </w:t>
      </w:r>
      <w:r w:rsidR="003613A2" w:rsidRPr="00474BEE">
        <w:rPr>
          <w:lang w:val="bg-BG"/>
        </w:rPr>
        <w:t>законния представител на жалбоподателя</w:t>
      </w:r>
      <w:r w:rsidR="00014566" w:rsidRPr="00474BEE">
        <w:rPr>
          <w:lang w:val="bg-BG"/>
        </w:rPr>
        <w:t>;</w:t>
      </w:r>
    </w:p>
    <w:p w:rsidR="00014566" w:rsidRPr="00474BEE" w:rsidRDefault="00D62B24" w:rsidP="00550343">
      <w:pPr>
        <w:pStyle w:val="JuLista"/>
        <w:rPr>
          <w:lang w:val="bg-BG"/>
        </w:rPr>
      </w:pPr>
      <w:r w:rsidRPr="00474BEE">
        <w:rPr>
          <w:lang w:val="bg-BG"/>
        </w:rPr>
        <w:t>(б</w:t>
      </w:r>
      <w:r w:rsidR="00014566" w:rsidRPr="00474BEE">
        <w:rPr>
          <w:lang w:val="bg-BG"/>
        </w:rPr>
        <w:t>)  </w:t>
      </w:r>
      <w:r w:rsidRPr="00474BEE">
        <w:rPr>
          <w:rStyle w:val="JuLista"/>
          <w:lang w:val="bg-BG"/>
        </w:rPr>
        <w:t>че от изтичането на упоменатия по-горе тримесечен срок до извършване на плащането се дължи проста лихва върху горепосочените суми в размер, равен на пределната ставка по заеми на Европейската централна банка за периода на забава, към която ставка се добавят три процентни пункта</w:t>
      </w:r>
      <w:r w:rsidR="0080756B" w:rsidRPr="00474BEE">
        <w:rPr>
          <w:lang w:val="bg-BG"/>
        </w:rPr>
        <w:t>.</w:t>
      </w:r>
      <w:r w:rsidR="007D0A9F" w:rsidRPr="00474BEE">
        <w:rPr>
          <w:rStyle w:val="FootnoteReference"/>
          <w:lang w:val="bg-BG"/>
        </w:rPr>
        <w:footnoteReference w:id="1"/>
      </w:r>
    </w:p>
    <w:p w:rsidR="00014566" w:rsidRPr="00474BEE" w:rsidRDefault="00D62B24" w:rsidP="00550343">
      <w:pPr>
        <w:pStyle w:val="JuParaLast"/>
        <w:rPr>
          <w:lang w:val="bg-BG"/>
        </w:rPr>
      </w:pPr>
      <w:r w:rsidRPr="00474BEE">
        <w:rPr>
          <w:lang w:val="bg-BG"/>
        </w:rPr>
        <w:t>Изготвено на английски език и оповестено писмено на 3 ноември 2015 г. в съответствие с Правило 77, §§ 2 и 3 от Правилника на Съда</w:t>
      </w:r>
      <w:r w:rsidR="00014566" w:rsidRPr="00474BEE">
        <w:rPr>
          <w:lang w:val="bg-BG"/>
        </w:rPr>
        <w:t>.</w:t>
      </w:r>
    </w:p>
    <w:p w:rsidR="003B1577" w:rsidRPr="003B1577" w:rsidRDefault="00014566" w:rsidP="00E930B2">
      <w:pPr>
        <w:pStyle w:val="JuSigned"/>
        <w:rPr>
          <w:lang w:val="bg-BG"/>
        </w:rPr>
      </w:pPr>
      <w:r w:rsidRPr="00474BEE">
        <w:rPr>
          <w:lang w:val="bg-BG"/>
        </w:rPr>
        <w:tab/>
      </w:r>
      <w:proofErr w:type="spellStart"/>
      <w:r w:rsidR="00D62B24" w:rsidRPr="00474BEE">
        <w:rPr>
          <w:lang w:val="bg-BG"/>
        </w:rPr>
        <w:t>Франсоаз</w:t>
      </w:r>
      <w:proofErr w:type="spellEnd"/>
      <w:r w:rsidR="00D62B24" w:rsidRPr="00474BEE">
        <w:rPr>
          <w:lang w:val="bg-BG"/>
        </w:rPr>
        <w:t xml:space="preserve"> Елен-</w:t>
      </w:r>
      <w:proofErr w:type="spellStart"/>
      <w:r w:rsidR="00D62B24" w:rsidRPr="00474BEE">
        <w:rPr>
          <w:lang w:val="bg-BG"/>
        </w:rPr>
        <w:t>Пасо</w:t>
      </w:r>
      <w:proofErr w:type="spellEnd"/>
      <w:r w:rsidRPr="00474BEE">
        <w:rPr>
          <w:lang w:val="bg-BG"/>
        </w:rPr>
        <w:tab/>
      </w:r>
      <w:proofErr w:type="spellStart"/>
      <w:r w:rsidR="005A75FF" w:rsidRPr="00474BEE">
        <w:rPr>
          <w:szCs w:val="24"/>
          <w:lang w:val="bg-BG"/>
        </w:rPr>
        <w:t>Гуидо</w:t>
      </w:r>
      <w:proofErr w:type="spellEnd"/>
      <w:r w:rsidR="005A75FF" w:rsidRPr="00474BEE">
        <w:rPr>
          <w:szCs w:val="24"/>
          <w:lang w:val="bg-BG"/>
        </w:rPr>
        <w:t xml:space="preserve"> </w:t>
      </w:r>
      <w:proofErr w:type="spellStart"/>
      <w:r w:rsidR="005A75FF" w:rsidRPr="00474BEE">
        <w:rPr>
          <w:szCs w:val="24"/>
          <w:lang w:val="bg-BG"/>
        </w:rPr>
        <w:t>Раймонди</w:t>
      </w:r>
      <w:proofErr w:type="spellEnd"/>
      <w:r w:rsidR="00E1557C" w:rsidRPr="00474BEE">
        <w:rPr>
          <w:szCs w:val="24"/>
          <w:lang w:val="bg-BG"/>
        </w:rPr>
        <w:br/>
      </w:r>
      <w:r w:rsidRPr="00474BEE">
        <w:rPr>
          <w:lang w:val="bg-BG"/>
        </w:rPr>
        <w:tab/>
      </w:r>
      <w:r w:rsidR="00A07E96" w:rsidRPr="00474BEE">
        <w:rPr>
          <w:lang w:val="bg-BG"/>
        </w:rPr>
        <w:t>с</w:t>
      </w:r>
      <w:r w:rsidR="003B1577" w:rsidRPr="00474BEE">
        <w:rPr>
          <w:iCs/>
          <w:lang w:val="bg-BG"/>
        </w:rPr>
        <w:t>екретар на отделението</w:t>
      </w:r>
      <w:r w:rsidRPr="00474BEE">
        <w:rPr>
          <w:lang w:val="bg-BG"/>
        </w:rPr>
        <w:tab/>
      </w:r>
      <w:r w:rsidR="005A75FF" w:rsidRPr="00474BEE">
        <w:rPr>
          <w:lang w:val="bg-BG"/>
        </w:rPr>
        <w:t>п</w:t>
      </w:r>
      <w:r w:rsidR="005A75FF" w:rsidRPr="00474BEE">
        <w:rPr>
          <w:iCs/>
          <w:lang w:val="bg-BG"/>
        </w:rPr>
        <w:t>редседател</w:t>
      </w:r>
    </w:p>
    <w:sectPr w:rsidR="003B1577" w:rsidRPr="003B1577" w:rsidSect="00D12539">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F3D" w:rsidRDefault="00E57F3D" w:rsidP="00014566">
      <w:r>
        <w:separator/>
      </w:r>
    </w:p>
  </w:endnote>
  <w:endnote w:type="continuationSeparator" w:id="0">
    <w:p w:rsidR="00E57F3D" w:rsidRDefault="00E57F3D"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1A" w:rsidRDefault="00DE2F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1A" w:rsidRDefault="00DE2F1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6B7" w:rsidRPr="00150BFA" w:rsidRDefault="00C144C4" w:rsidP="00D12539">
    <w:pPr>
      <w:jc w:val="center"/>
    </w:pPr>
    <w:r w:rsidRPr="00723C74">
      <w:rPr>
        <w:noProof/>
      </w:rPr>
      <w:drawing>
        <wp:inline distT="0" distB="0" distL="0" distR="0">
          <wp:extent cx="771525" cy="619125"/>
          <wp:effectExtent l="0" t="0" r="0" b="0"/>
          <wp:docPr id="2"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6A66B7" w:rsidRDefault="006A66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F3D" w:rsidRDefault="00E57F3D" w:rsidP="00014566">
      <w:r>
        <w:separator/>
      </w:r>
    </w:p>
  </w:footnote>
  <w:footnote w:type="continuationSeparator" w:id="0">
    <w:p w:rsidR="00E57F3D" w:rsidRDefault="00E57F3D" w:rsidP="00014566">
      <w:r>
        <w:continuationSeparator/>
      </w:r>
    </w:p>
  </w:footnote>
  <w:footnote w:id="1">
    <w:p w:rsidR="006A66B7" w:rsidRPr="007D0A9F" w:rsidRDefault="006A66B7">
      <w:pPr>
        <w:pStyle w:val="FootnoteText"/>
        <w:rPr>
          <w:lang w:val="en-GB"/>
        </w:rPr>
      </w:pPr>
      <w:r w:rsidRPr="007D0A9F">
        <w:footnoteRef/>
      </w:r>
      <w:r w:rsidRPr="007D0A9F">
        <w:rPr>
          <w:lang w:val="en-GB"/>
        </w:rPr>
        <w:t>. </w:t>
      </w:r>
      <w:r>
        <w:rPr>
          <w:lang w:val="bg-BG"/>
        </w:rPr>
        <w:t>Поправен текст</w:t>
      </w:r>
      <w:r w:rsidRPr="00DB0DEE">
        <w:rPr>
          <w:lang w:val="en-GB"/>
        </w:rPr>
        <w:t xml:space="preserve"> на 27 </w:t>
      </w:r>
      <w:proofErr w:type="spellStart"/>
      <w:r w:rsidRPr="00DB0DEE">
        <w:rPr>
          <w:lang w:val="en-GB"/>
        </w:rPr>
        <w:t>януари</w:t>
      </w:r>
      <w:proofErr w:type="spellEnd"/>
      <w:r w:rsidRPr="00DB0DEE">
        <w:rPr>
          <w:lang w:val="en-GB"/>
        </w:rPr>
        <w:t xml:space="preserve"> 2016 г.</w:t>
      </w:r>
      <w:r>
        <w:rPr>
          <w:lang w:val="bg-BG"/>
        </w:rPr>
        <w:t>:</w:t>
      </w:r>
      <w:r>
        <w:rPr>
          <w:lang w:val="en-GB"/>
        </w:rPr>
        <w:t xml:space="preserve"> </w:t>
      </w:r>
      <w:proofErr w:type="spellStart"/>
      <w:r>
        <w:rPr>
          <w:lang w:val="en-GB"/>
        </w:rPr>
        <w:t>точка</w:t>
      </w:r>
      <w:proofErr w:type="spellEnd"/>
      <w:r>
        <w:rPr>
          <w:lang w:val="en-GB"/>
        </w:rPr>
        <w:t xml:space="preserve"> 4 </w:t>
      </w:r>
      <w:r>
        <w:rPr>
          <w:lang w:val="bg-BG"/>
        </w:rPr>
        <w:t xml:space="preserve">от </w:t>
      </w:r>
      <w:r w:rsidR="00B27BF4">
        <w:rPr>
          <w:lang w:val="bg-BG"/>
        </w:rPr>
        <w:t>д</w:t>
      </w:r>
      <w:bookmarkStart w:id="0" w:name="_GoBack"/>
      <w:bookmarkEnd w:id="0"/>
      <w:r w:rsidR="00B27BF4">
        <w:rPr>
          <w:lang w:val="bg-BG"/>
        </w:rPr>
        <w:t>испозитива</w:t>
      </w:r>
      <w:r>
        <w:rPr>
          <w:lang w:val="bg-BG"/>
        </w:rPr>
        <w:t xml:space="preserve"> отпада. Текстът е гласял: „4. </w:t>
      </w:r>
      <w:r w:rsidRPr="00DB0DEE">
        <w:rPr>
          <w:lang w:val="bg-BG"/>
        </w:rPr>
        <w:t xml:space="preserve">Отхвърля останалата част от </w:t>
      </w:r>
      <w:r w:rsidR="00A07E96">
        <w:rPr>
          <w:lang w:val="bg-BG"/>
        </w:rPr>
        <w:t>иска</w:t>
      </w:r>
      <w:r w:rsidR="00A07E96" w:rsidRPr="00DB0DEE">
        <w:rPr>
          <w:lang w:val="bg-BG"/>
        </w:rPr>
        <w:t xml:space="preserve"> </w:t>
      </w:r>
      <w:r w:rsidRPr="00DB0DEE">
        <w:rPr>
          <w:lang w:val="bg-BG"/>
        </w:rPr>
        <w:t>на жалбоподате</w:t>
      </w:r>
      <w:r>
        <w:rPr>
          <w:lang w:val="bg-BG"/>
        </w:rPr>
        <w:t>ля за справедливо обезщетение</w:t>
      </w:r>
      <w:r>
        <w:rPr>
          <w:lang w:val="en-GB"/>
        </w:rPr>
        <w:t>.</w:t>
      </w:r>
      <w:r w:rsidRPr="007D0A9F">
        <w:rPr>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1A" w:rsidRDefault="00DE2F1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6B7" w:rsidRPr="00D12539" w:rsidRDefault="006A66B7" w:rsidP="00D12539">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6B7" w:rsidRPr="00A45145" w:rsidRDefault="00C144C4" w:rsidP="00D12539">
    <w:pPr>
      <w:jc w:val="center"/>
    </w:pPr>
    <w:r w:rsidRPr="00723C74">
      <w:rPr>
        <w:noProof/>
      </w:rPr>
      <w:drawing>
        <wp:inline distT="0" distB="0" distL="0" distR="0">
          <wp:extent cx="2962275" cy="1219200"/>
          <wp:effectExtent l="0" t="0" r="0" b="0"/>
          <wp:docPr id="1"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6A66B7" w:rsidRDefault="006A66B7" w:rsidP="00D12539">
    <w:pPr>
      <w:pStyle w:val="Header"/>
      <w:tabs>
        <w:tab w:val="clear" w:pos="4536"/>
        <w:tab w:val="clear" w:pos="9072"/>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6B7" w:rsidRPr="00FF2306" w:rsidRDefault="006A66B7" w:rsidP="00EE1DA9">
    <w:pPr>
      <w:pStyle w:val="ECHRHeader"/>
      <w:rPr>
        <w:lang w:val="en-GB"/>
      </w:rPr>
    </w:pP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DE2F1A">
      <w:rPr>
        <w:rStyle w:val="PageNumber"/>
        <w:noProof/>
        <w:szCs w:val="18"/>
        <w:lang w:val="en-GB"/>
      </w:rPr>
      <w:t>24</w:t>
    </w:r>
    <w:r>
      <w:rPr>
        <w:rStyle w:val="PageNumber"/>
        <w:szCs w:val="18"/>
        <w:lang w:val="en-GB"/>
      </w:rPr>
      <w:fldChar w:fldCharType="end"/>
    </w:r>
    <w:r w:rsidRPr="00FF2306">
      <w:rPr>
        <w:lang w:val="en-GB"/>
      </w:rPr>
      <w:tab/>
    </w:r>
    <w:r>
      <w:rPr>
        <w:lang w:val="bg-BG"/>
      </w:rPr>
      <w:t>РЕШЕНИЕ МЮНМЮН срещу БЪЛГАРИЯ</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6B7" w:rsidRPr="00D60D87" w:rsidRDefault="006A66B7" w:rsidP="00D60D87">
    <w:pPr>
      <w:pStyle w:val="ECHRHeader"/>
      <w:rPr>
        <w:lang w:val="en-GB"/>
      </w:rPr>
    </w:pPr>
    <w:r w:rsidRPr="00D60D87">
      <w:rPr>
        <w:lang w:val="en-GB"/>
      </w:rPr>
      <w:tab/>
    </w:r>
    <w:r>
      <w:rPr>
        <w:lang w:val="bg-BG"/>
      </w:rPr>
      <w:t xml:space="preserve">РЕШЕНИЕ МЮМЮН срещу БЪЛГАРИЯ </w:t>
    </w:r>
    <w:r w:rsidRPr="00D60D87">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DE2F1A">
      <w:rPr>
        <w:rStyle w:val="PageNumber"/>
        <w:noProof/>
        <w:szCs w:val="18"/>
        <w:lang w:val="en-GB"/>
      </w:rPr>
      <w:t>25</w:t>
    </w:r>
    <w:r>
      <w:rPr>
        <w:rStyle w:val="PageNumber"/>
        <w:szCs w:val="18"/>
        <w:lang w:val="en-GB"/>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imes New Roman" w:hAnsi="Times New Roman" w:hint="default"/>
        <w:color w:val="000000"/>
        <w:sz w:val="28"/>
      </w:rPr>
    </w:lvl>
    <w:lvl w:ilvl="7">
      <w:start w:val="1"/>
      <w:numFmt w:val="none"/>
      <w:lvlText w:val="%8."/>
      <w:lvlJc w:val="left"/>
      <w:pPr>
        <w:ind w:left="2880" w:hanging="360"/>
      </w:pPr>
      <w:rPr>
        <w:rFonts w:ascii="Times New Roman" w:hAnsi="Times New Roman" w:hint="default"/>
        <w:strike w:val="0"/>
        <w:dstrike w:val="0"/>
        <w:color w:val="000000"/>
        <w:sz w:val="28"/>
        <w:vertAlign w:val="baseline"/>
      </w:rPr>
    </w:lvl>
    <w:lvl w:ilvl="8">
      <w:start w:val="1"/>
      <w:numFmt w:val="lowerRoman"/>
      <w:lvlText w:val="%9."/>
      <w:lvlJc w:val="left"/>
      <w:pPr>
        <w:ind w:left="3240" w:hanging="360"/>
      </w:pPr>
      <w:rPr>
        <w:rFonts w:hint="default"/>
      </w:rPr>
    </w:lvl>
  </w:abstractNum>
  <w:abstractNum w:abstractNumId="38" w15:restartNumberingAfterBreak="0">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rPr>
    </w:lvl>
    <w:lvl w:ilvl="7">
      <w:start w:val="1"/>
      <w:numFmt w:val="bullet"/>
      <w:lvlText w:val=""/>
      <w:lvlJc w:val="left"/>
      <w:pPr>
        <w:ind w:left="1985" w:hanging="171"/>
      </w:pPr>
      <w:rPr>
        <w:rFonts w:ascii="Wingdings" w:hAnsi="Wingdings" w:hint="default"/>
        <w:color w:val="000000"/>
      </w:rPr>
    </w:lvl>
    <w:lvl w:ilvl="8">
      <w:start w:val="1"/>
      <w:numFmt w:val="lowerRoman"/>
      <w:lvlText w:val="%9."/>
      <w:lvlJc w:val="left"/>
      <w:pPr>
        <w:ind w:left="3240" w:hanging="360"/>
      </w:pPr>
      <w:rPr>
        <w:rFonts w:hint="default"/>
      </w:rPr>
    </w:lvl>
  </w:abstractNum>
  <w:abstractNum w:abstractNumId="40" w15:restartNumberingAfterBreak="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imes New Roman" w:hAnsi="Times New Roman"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B0149D"/>
    <w:rsid w:val="000030C2"/>
    <w:rsid w:val="00003A55"/>
    <w:rsid w:val="000041F8"/>
    <w:rsid w:val="000042A8"/>
    <w:rsid w:val="00004308"/>
    <w:rsid w:val="0000477D"/>
    <w:rsid w:val="00005BF0"/>
    <w:rsid w:val="0000600C"/>
    <w:rsid w:val="00006B52"/>
    <w:rsid w:val="00006BF5"/>
    <w:rsid w:val="00007154"/>
    <w:rsid w:val="000103AE"/>
    <w:rsid w:val="0001099D"/>
    <w:rsid w:val="000109DB"/>
    <w:rsid w:val="0001118B"/>
    <w:rsid w:val="000115D0"/>
    <w:rsid w:val="00011875"/>
    <w:rsid w:val="00011D69"/>
    <w:rsid w:val="00012AD3"/>
    <w:rsid w:val="00013465"/>
    <w:rsid w:val="00014566"/>
    <w:rsid w:val="00014963"/>
    <w:rsid w:val="000154C4"/>
    <w:rsid w:val="00015C2D"/>
    <w:rsid w:val="00015F00"/>
    <w:rsid w:val="00015F37"/>
    <w:rsid w:val="00016498"/>
    <w:rsid w:val="00016A3D"/>
    <w:rsid w:val="00017E21"/>
    <w:rsid w:val="00022C1D"/>
    <w:rsid w:val="000240DE"/>
    <w:rsid w:val="0002537A"/>
    <w:rsid w:val="00025E24"/>
    <w:rsid w:val="00026B54"/>
    <w:rsid w:val="00030B3E"/>
    <w:rsid w:val="00031642"/>
    <w:rsid w:val="0003253B"/>
    <w:rsid w:val="00034987"/>
    <w:rsid w:val="0003724E"/>
    <w:rsid w:val="00040375"/>
    <w:rsid w:val="00042350"/>
    <w:rsid w:val="00042A38"/>
    <w:rsid w:val="00043288"/>
    <w:rsid w:val="00044348"/>
    <w:rsid w:val="00045FD8"/>
    <w:rsid w:val="00047EA0"/>
    <w:rsid w:val="0005058C"/>
    <w:rsid w:val="000505C1"/>
    <w:rsid w:val="00051329"/>
    <w:rsid w:val="00051E3E"/>
    <w:rsid w:val="0005284B"/>
    <w:rsid w:val="000536F4"/>
    <w:rsid w:val="00053C5C"/>
    <w:rsid w:val="00054B85"/>
    <w:rsid w:val="00054BE7"/>
    <w:rsid w:val="00055DC4"/>
    <w:rsid w:val="0005745A"/>
    <w:rsid w:val="000602DF"/>
    <w:rsid w:val="00061B05"/>
    <w:rsid w:val="00062973"/>
    <w:rsid w:val="00062D5D"/>
    <w:rsid w:val="000632D5"/>
    <w:rsid w:val="000634E8"/>
    <w:rsid w:val="00063C0E"/>
    <w:rsid w:val="00063EE8"/>
    <w:rsid w:val="000644EE"/>
    <w:rsid w:val="00065307"/>
    <w:rsid w:val="0006548B"/>
    <w:rsid w:val="00065E7E"/>
    <w:rsid w:val="00065EDF"/>
    <w:rsid w:val="000664B1"/>
    <w:rsid w:val="00067045"/>
    <w:rsid w:val="00070174"/>
    <w:rsid w:val="00070972"/>
    <w:rsid w:val="000725D1"/>
    <w:rsid w:val="00077684"/>
    <w:rsid w:val="00080309"/>
    <w:rsid w:val="0008184E"/>
    <w:rsid w:val="000821A3"/>
    <w:rsid w:val="00083C5C"/>
    <w:rsid w:val="00083D54"/>
    <w:rsid w:val="00086492"/>
    <w:rsid w:val="00086874"/>
    <w:rsid w:val="00087284"/>
    <w:rsid w:val="0009122C"/>
    <w:rsid w:val="000925AD"/>
    <w:rsid w:val="00092A22"/>
    <w:rsid w:val="00096781"/>
    <w:rsid w:val="000A24EB"/>
    <w:rsid w:val="000A3040"/>
    <w:rsid w:val="000A6449"/>
    <w:rsid w:val="000A7A38"/>
    <w:rsid w:val="000A7B72"/>
    <w:rsid w:val="000B215C"/>
    <w:rsid w:val="000B22B0"/>
    <w:rsid w:val="000B29B5"/>
    <w:rsid w:val="000B37E8"/>
    <w:rsid w:val="000B3815"/>
    <w:rsid w:val="000B3FAE"/>
    <w:rsid w:val="000B5654"/>
    <w:rsid w:val="000B5EA8"/>
    <w:rsid w:val="000B6923"/>
    <w:rsid w:val="000B702E"/>
    <w:rsid w:val="000C033C"/>
    <w:rsid w:val="000C09F3"/>
    <w:rsid w:val="000C0F6F"/>
    <w:rsid w:val="000C1707"/>
    <w:rsid w:val="000C3EF9"/>
    <w:rsid w:val="000C40F2"/>
    <w:rsid w:val="000C517E"/>
    <w:rsid w:val="000C5F3C"/>
    <w:rsid w:val="000C6BF9"/>
    <w:rsid w:val="000C6DCC"/>
    <w:rsid w:val="000D2250"/>
    <w:rsid w:val="000D37AA"/>
    <w:rsid w:val="000D47AA"/>
    <w:rsid w:val="000D4B56"/>
    <w:rsid w:val="000D721F"/>
    <w:rsid w:val="000E00D0"/>
    <w:rsid w:val="000E0174"/>
    <w:rsid w:val="000E069B"/>
    <w:rsid w:val="000E0E82"/>
    <w:rsid w:val="000E1DC5"/>
    <w:rsid w:val="000E223F"/>
    <w:rsid w:val="000E68FC"/>
    <w:rsid w:val="000E6A9D"/>
    <w:rsid w:val="000E7D45"/>
    <w:rsid w:val="000E7F01"/>
    <w:rsid w:val="000F7851"/>
    <w:rsid w:val="000F7FD0"/>
    <w:rsid w:val="001000FF"/>
    <w:rsid w:val="0010309C"/>
    <w:rsid w:val="00104129"/>
    <w:rsid w:val="001048BC"/>
    <w:rsid w:val="00104C65"/>
    <w:rsid w:val="00104E23"/>
    <w:rsid w:val="00106EF2"/>
    <w:rsid w:val="00111B0C"/>
    <w:rsid w:val="0011397F"/>
    <w:rsid w:val="001152FA"/>
    <w:rsid w:val="00115DE3"/>
    <w:rsid w:val="001164B2"/>
    <w:rsid w:val="00120D6C"/>
    <w:rsid w:val="00121E27"/>
    <w:rsid w:val="0012316F"/>
    <w:rsid w:val="001257EC"/>
    <w:rsid w:val="00126202"/>
    <w:rsid w:val="00126A18"/>
    <w:rsid w:val="00126D38"/>
    <w:rsid w:val="00130606"/>
    <w:rsid w:val="00132C6A"/>
    <w:rsid w:val="0013342D"/>
    <w:rsid w:val="00133D33"/>
    <w:rsid w:val="00134051"/>
    <w:rsid w:val="001348E6"/>
    <w:rsid w:val="00134D64"/>
    <w:rsid w:val="00135A30"/>
    <w:rsid w:val="0013612C"/>
    <w:rsid w:val="001363C2"/>
    <w:rsid w:val="0013791C"/>
    <w:rsid w:val="00137FF6"/>
    <w:rsid w:val="00140AF5"/>
    <w:rsid w:val="00141650"/>
    <w:rsid w:val="0014263B"/>
    <w:rsid w:val="0014461E"/>
    <w:rsid w:val="00145924"/>
    <w:rsid w:val="00145AD5"/>
    <w:rsid w:val="00146DB5"/>
    <w:rsid w:val="0015028D"/>
    <w:rsid w:val="00150FB0"/>
    <w:rsid w:val="00151ABE"/>
    <w:rsid w:val="001540F1"/>
    <w:rsid w:val="001558E5"/>
    <w:rsid w:val="00155C37"/>
    <w:rsid w:val="00156681"/>
    <w:rsid w:val="001608C6"/>
    <w:rsid w:val="00162A12"/>
    <w:rsid w:val="001632BD"/>
    <w:rsid w:val="00163415"/>
    <w:rsid w:val="0016562A"/>
    <w:rsid w:val="00166030"/>
    <w:rsid w:val="00166530"/>
    <w:rsid w:val="0016756C"/>
    <w:rsid w:val="0017020A"/>
    <w:rsid w:val="00170703"/>
    <w:rsid w:val="0017380D"/>
    <w:rsid w:val="001764D8"/>
    <w:rsid w:val="00176DE4"/>
    <w:rsid w:val="00177A45"/>
    <w:rsid w:val="00181B23"/>
    <w:rsid w:val="00181CEB"/>
    <w:rsid w:val="00182DBF"/>
    <w:rsid w:val="001832BD"/>
    <w:rsid w:val="00186D58"/>
    <w:rsid w:val="00186EBC"/>
    <w:rsid w:val="00190069"/>
    <w:rsid w:val="001914C2"/>
    <w:rsid w:val="001926DA"/>
    <w:rsid w:val="00193C18"/>
    <w:rsid w:val="001943B5"/>
    <w:rsid w:val="00195134"/>
    <w:rsid w:val="001977EC"/>
    <w:rsid w:val="001979BE"/>
    <w:rsid w:val="001A09AA"/>
    <w:rsid w:val="001A1290"/>
    <w:rsid w:val="001A145B"/>
    <w:rsid w:val="001A19BF"/>
    <w:rsid w:val="001A20DF"/>
    <w:rsid w:val="001A25A3"/>
    <w:rsid w:val="001A3C41"/>
    <w:rsid w:val="001A43BA"/>
    <w:rsid w:val="001A4C42"/>
    <w:rsid w:val="001A674C"/>
    <w:rsid w:val="001B0A41"/>
    <w:rsid w:val="001B113D"/>
    <w:rsid w:val="001B1F5B"/>
    <w:rsid w:val="001B2370"/>
    <w:rsid w:val="001B2479"/>
    <w:rsid w:val="001B2F24"/>
    <w:rsid w:val="001B3B24"/>
    <w:rsid w:val="001B3D43"/>
    <w:rsid w:val="001B41D5"/>
    <w:rsid w:val="001B443E"/>
    <w:rsid w:val="001B5580"/>
    <w:rsid w:val="001B68E2"/>
    <w:rsid w:val="001C08A0"/>
    <w:rsid w:val="001C0F98"/>
    <w:rsid w:val="001C2A42"/>
    <w:rsid w:val="001C76BC"/>
    <w:rsid w:val="001D09F6"/>
    <w:rsid w:val="001D1CE7"/>
    <w:rsid w:val="001D2EFB"/>
    <w:rsid w:val="001D58A4"/>
    <w:rsid w:val="001D63ED"/>
    <w:rsid w:val="001D6457"/>
    <w:rsid w:val="001D6864"/>
    <w:rsid w:val="001D7109"/>
    <w:rsid w:val="001D7348"/>
    <w:rsid w:val="001D7BB0"/>
    <w:rsid w:val="001E035B"/>
    <w:rsid w:val="001E0961"/>
    <w:rsid w:val="001E1443"/>
    <w:rsid w:val="001E1827"/>
    <w:rsid w:val="001E2C9F"/>
    <w:rsid w:val="001E3EAE"/>
    <w:rsid w:val="001E46CC"/>
    <w:rsid w:val="001E6265"/>
    <w:rsid w:val="001E6833"/>
    <w:rsid w:val="001E6F32"/>
    <w:rsid w:val="001F2145"/>
    <w:rsid w:val="001F22F6"/>
    <w:rsid w:val="001F2A96"/>
    <w:rsid w:val="001F5966"/>
    <w:rsid w:val="001F6262"/>
    <w:rsid w:val="001F66D0"/>
    <w:rsid w:val="001F67B0"/>
    <w:rsid w:val="001F797E"/>
    <w:rsid w:val="001F7B3D"/>
    <w:rsid w:val="00200790"/>
    <w:rsid w:val="00203941"/>
    <w:rsid w:val="0020462E"/>
    <w:rsid w:val="00205C91"/>
    <w:rsid w:val="00205E5F"/>
    <w:rsid w:val="00205EE8"/>
    <w:rsid w:val="00205F9F"/>
    <w:rsid w:val="00206CEF"/>
    <w:rsid w:val="00210338"/>
    <w:rsid w:val="002103D9"/>
    <w:rsid w:val="002115FC"/>
    <w:rsid w:val="002121D9"/>
    <w:rsid w:val="00212352"/>
    <w:rsid w:val="002133F8"/>
    <w:rsid w:val="0021423C"/>
    <w:rsid w:val="0021560E"/>
    <w:rsid w:val="0021616C"/>
    <w:rsid w:val="00216C69"/>
    <w:rsid w:val="00220DDA"/>
    <w:rsid w:val="00221504"/>
    <w:rsid w:val="00223E06"/>
    <w:rsid w:val="0022550F"/>
    <w:rsid w:val="00225FFA"/>
    <w:rsid w:val="002272FA"/>
    <w:rsid w:val="0023015B"/>
    <w:rsid w:val="00230D00"/>
    <w:rsid w:val="002315B3"/>
    <w:rsid w:val="00231DF7"/>
    <w:rsid w:val="00231FD1"/>
    <w:rsid w:val="0023273D"/>
    <w:rsid w:val="002339E0"/>
    <w:rsid w:val="00233BDD"/>
    <w:rsid w:val="00233CF8"/>
    <w:rsid w:val="0023538A"/>
    <w:rsid w:val="0023575D"/>
    <w:rsid w:val="00236B19"/>
    <w:rsid w:val="00237148"/>
    <w:rsid w:val="002373D6"/>
    <w:rsid w:val="0024222D"/>
    <w:rsid w:val="002425F0"/>
    <w:rsid w:val="00242A67"/>
    <w:rsid w:val="00242F5C"/>
    <w:rsid w:val="00243E2F"/>
    <w:rsid w:val="00244B0E"/>
    <w:rsid w:val="00244F6C"/>
    <w:rsid w:val="00250FDD"/>
    <w:rsid w:val="00251487"/>
    <w:rsid w:val="00252D31"/>
    <w:rsid w:val="002532C5"/>
    <w:rsid w:val="0025475D"/>
    <w:rsid w:val="00254ECB"/>
    <w:rsid w:val="002564AA"/>
    <w:rsid w:val="00257EF4"/>
    <w:rsid w:val="00260C03"/>
    <w:rsid w:val="0026171B"/>
    <w:rsid w:val="0026173B"/>
    <w:rsid w:val="002653ED"/>
    <w:rsid w:val="0026540E"/>
    <w:rsid w:val="00266791"/>
    <w:rsid w:val="00270E64"/>
    <w:rsid w:val="002710B8"/>
    <w:rsid w:val="00271766"/>
    <w:rsid w:val="002720FE"/>
    <w:rsid w:val="002744BD"/>
    <w:rsid w:val="00275123"/>
    <w:rsid w:val="00276AE6"/>
    <w:rsid w:val="00282240"/>
    <w:rsid w:val="00283AC7"/>
    <w:rsid w:val="00283F4B"/>
    <w:rsid w:val="00284B04"/>
    <w:rsid w:val="0028572A"/>
    <w:rsid w:val="002873D9"/>
    <w:rsid w:val="00287FA3"/>
    <w:rsid w:val="00290815"/>
    <w:rsid w:val="00291A81"/>
    <w:rsid w:val="0029257C"/>
    <w:rsid w:val="002944D1"/>
    <w:rsid w:val="002948AD"/>
    <w:rsid w:val="00294C92"/>
    <w:rsid w:val="002979EB"/>
    <w:rsid w:val="00297A3D"/>
    <w:rsid w:val="002A01CC"/>
    <w:rsid w:val="002A1A03"/>
    <w:rsid w:val="002A2894"/>
    <w:rsid w:val="002A3EDC"/>
    <w:rsid w:val="002A5597"/>
    <w:rsid w:val="002A58F5"/>
    <w:rsid w:val="002A61B1"/>
    <w:rsid w:val="002A663C"/>
    <w:rsid w:val="002B02E9"/>
    <w:rsid w:val="002B3120"/>
    <w:rsid w:val="002B3362"/>
    <w:rsid w:val="002B35EA"/>
    <w:rsid w:val="002B444B"/>
    <w:rsid w:val="002B4CA0"/>
    <w:rsid w:val="002B4FB3"/>
    <w:rsid w:val="002B5194"/>
    <w:rsid w:val="002B5887"/>
    <w:rsid w:val="002B655A"/>
    <w:rsid w:val="002B76EE"/>
    <w:rsid w:val="002B7AC0"/>
    <w:rsid w:val="002B7D27"/>
    <w:rsid w:val="002C0692"/>
    <w:rsid w:val="002C0E27"/>
    <w:rsid w:val="002C187D"/>
    <w:rsid w:val="002C1B67"/>
    <w:rsid w:val="002C1FD5"/>
    <w:rsid w:val="002C3040"/>
    <w:rsid w:val="002C40BE"/>
    <w:rsid w:val="002C4911"/>
    <w:rsid w:val="002C63AC"/>
    <w:rsid w:val="002D022D"/>
    <w:rsid w:val="002D24BB"/>
    <w:rsid w:val="002D259E"/>
    <w:rsid w:val="002D329C"/>
    <w:rsid w:val="002D64FE"/>
    <w:rsid w:val="002D69A8"/>
    <w:rsid w:val="002E161B"/>
    <w:rsid w:val="002E455C"/>
    <w:rsid w:val="002E4F3C"/>
    <w:rsid w:val="002E5175"/>
    <w:rsid w:val="002E548C"/>
    <w:rsid w:val="002E7AE9"/>
    <w:rsid w:val="002F04AA"/>
    <w:rsid w:val="002F0D2B"/>
    <w:rsid w:val="002F168D"/>
    <w:rsid w:val="002F2AF7"/>
    <w:rsid w:val="002F3793"/>
    <w:rsid w:val="002F390C"/>
    <w:rsid w:val="002F42E1"/>
    <w:rsid w:val="002F42EC"/>
    <w:rsid w:val="002F463A"/>
    <w:rsid w:val="002F5824"/>
    <w:rsid w:val="002F6134"/>
    <w:rsid w:val="002F66FF"/>
    <w:rsid w:val="002F724B"/>
    <w:rsid w:val="002F7E1C"/>
    <w:rsid w:val="00300CBC"/>
    <w:rsid w:val="00301A75"/>
    <w:rsid w:val="00302198"/>
    <w:rsid w:val="00302F70"/>
    <w:rsid w:val="00302FD1"/>
    <w:rsid w:val="0030336F"/>
    <w:rsid w:val="0030375E"/>
    <w:rsid w:val="00303CD9"/>
    <w:rsid w:val="003047E8"/>
    <w:rsid w:val="00304A00"/>
    <w:rsid w:val="003122F9"/>
    <w:rsid w:val="00312A30"/>
    <w:rsid w:val="00315059"/>
    <w:rsid w:val="003157B8"/>
    <w:rsid w:val="003172EF"/>
    <w:rsid w:val="00320F72"/>
    <w:rsid w:val="0032463E"/>
    <w:rsid w:val="00326224"/>
    <w:rsid w:val="00326D68"/>
    <w:rsid w:val="0033252B"/>
    <w:rsid w:val="0033278C"/>
    <w:rsid w:val="00332A2A"/>
    <w:rsid w:val="00333087"/>
    <w:rsid w:val="00333DA7"/>
    <w:rsid w:val="003349FF"/>
    <w:rsid w:val="00336307"/>
    <w:rsid w:val="00337EE4"/>
    <w:rsid w:val="00340FFD"/>
    <w:rsid w:val="00341456"/>
    <w:rsid w:val="00341E36"/>
    <w:rsid w:val="003500E5"/>
    <w:rsid w:val="0035011A"/>
    <w:rsid w:val="003506B1"/>
    <w:rsid w:val="00350C93"/>
    <w:rsid w:val="003525D0"/>
    <w:rsid w:val="00354342"/>
    <w:rsid w:val="00355DBA"/>
    <w:rsid w:val="0035680A"/>
    <w:rsid w:val="00356AC7"/>
    <w:rsid w:val="003609FA"/>
    <w:rsid w:val="003613A2"/>
    <w:rsid w:val="00361CC0"/>
    <w:rsid w:val="00363AD7"/>
    <w:rsid w:val="0036404A"/>
    <w:rsid w:val="00365A8E"/>
    <w:rsid w:val="0036709B"/>
    <w:rsid w:val="00370B5B"/>
    <w:rsid w:val="00370EE3"/>
    <w:rsid w:val="003710C8"/>
    <w:rsid w:val="003722A8"/>
    <w:rsid w:val="003739B4"/>
    <w:rsid w:val="00373C01"/>
    <w:rsid w:val="003741BE"/>
    <w:rsid w:val="00374638"/>
    <w:rsid w:val="0037499D"/>
    <w:rsid w:val="003750BE"/>
    <w:rsid w:val="00375530"/>
    <w:rsid w:val="00376F54"/>
    <w:rsid w:val="00377D8F"/>
    <w:rsid w:val="00380A8D"/>
    <w:rsid w:val="003814FE"/>
    <w:rsid w:val="00382C2C"/>
    <w:rsid w:val="003847B6"/>
    <w:rsid w:val="00386FDC"/>
    <w:rsid w:val="00387636"/>
    <w:rsid w:val="00387B9D"/>
    <w:rsid w:val="00387FDE"/>
    <w:rsid w:val="00390B8B"/>
    <w:rsid w:val="00390FDE"/>
    <w:rsid w:val="003923D8"/>
    <w:rsid w:val="0039364F"/>
    <w:rsid w:val="00394DD3"/>
    <w:rsid w:val="00394E90"/>
    <w:rsid w:val="00394EAC"/>
    <w:rsid w:val="0039535D"/>
    <w:rsid w:val="003961E2"/>
    <w:rsid w:val="00396686"/>
    <w:rsid w:val="00396E8F"/>
    <w:rsid w:val="003974B6"/>
    <w:rsid w:val="0039778E"/>
    <w:rsid w:val="00397EAF"/>
    <w:rsid w:val="003A1FD3"/>
    <w:rsid w:val="003A3706"/>
    <w:rsid w:val="003A3931"/>
    <w:rsid w:val="003A4004"/>
    <w:rsid w:val="003A4483"/>
    <w:rsid w:val="003A5D99"/>
    <w:rsid w:val="003A79EE"/>
    <w:rsid w:val="003B125E"/>
    <w:rsid w:val="003B1379"/>
    <w:rsid w:val="003B1577"/>
    <w:rsid w:val="003B21D9"/>
    <w:rsid w:val="003B29E9"/>
    <w:rsid w:val="003B4941"/>
    <w:rsid w:val="003B4BAD"/>
    <w:rsid w:val="003B51FA"/>
    <w:rsid w:val="003B5DA4"/>
    <w:rsid w:val="003B6B41"/>
    <w:rsid w:val="003C0D46"/>
    <w:rsid w:val="003C1958"/>
    <w:rsid w:val="003C2896"/>
    <w:rsid w:val="003C48C0"/>
    <w:rsid w:val="003C4A8B"/>
    <w:rsid w:val="003C5714"/>
    <w:rsid w:val="003C6251"/>
    <w:rsid w:val="003C6AB9"/>
    <w:rsid w:val="003C6B9F"/>
    <w:rsid w:val="003C6E2A"/>
    <w:rsid w:val="003C7565"/>
    <w:rsid w:val="003C7E52"/>
    <w:rsid w:val="003D0299"/>
    <w:rsid w:val="003D04EE"/>
    <w:rsid w:val="003D3DD3"/>
    <w:rsid w:val="003D3F8B"/>
    <w:rsid w:val="003D444A"/>
    <w:rsid w:val="003D5A37"/>
    <w:rsid w:val="003D5C18"/>
    <w:rsid w:val="003D6C61"/>
    <w:rsid w:val="003E0FEA"/>
    <w:rsid w:val="003E2DD4"/>
    <w:rsid w:val="003E3F8E"/>
    <w:rsid w:val="003E4D0E"/>
    <w:rsid w:val="003E516D"/>
    <w:rsid w:val="003E64A8"/>
    <w:rsid w:val="003E6D80"/>
    <w:rsid w:val="003E7031"/>
    <w:rsid w:val="003E77E4"/>
    <w:rsid w:val="003E7841"/>
    <w:rsid w:val="003F05FA"/>
    <w:rsid w:val="003F244A"/>
    <w:rsid w:val="003F30B8"/>
    <w:rsid w:val="003F4336"/>
    <w:rsid w:val="003F4C45"/>
    <w:rsid w:val="003F5F7B"/>
    <w:rsid w:val="003F7D64"/>
    <w:rsid w:val="00400CEF"/>
    <w:rsid w:val="004040D8"/>
    <w:rsid w:val="004045A2"/>
    <w:rsid w:val="004078C2"/>
    <w:rsid w:val="00410A86"/>
    <w:rsid w:val="00414300"/>
    <w:rsid w:val="00414C20"/>
    <w:rsid w:val="00416AD6"/>
    <w:rsid w:val="004207BD"/>
    <w:rsid w:val="00420903"/>
    <w:rsid w:val="00420996"/>
    <w:rsid w:val="00423255"/>
    <w:rsid w:val="00425C67"/>
    <w:rsid w:val="00425D46"/>
    <w:rsid w:val="00426861"/>
    <w:rsid w:val="00427E7A"/>
    <w:rsid w:val="004308C3"/>
    <w:rsid w:val="00431B8B"/>
    <w:rsid w:val="0043331C"/>
    <w:rsid w:val="00434318"/>
    <w:rsid w:val="00434E53"/>
    <w:rsid w:val="004358B9"/>
    <w:rsid w:val="00436104"/>
    <w:rsid w:val="00436307"/>
    <w:rsid w:val="00436AE1"/>
    <w:rsid w:val="00436C49"/>
    <w:rsid w:val="00440C0A"/>
    <w:rsid w:val="00442611"/>
    <w:rsid w:val="00442B48"/>
    <w:rsid w:val="00444478"/>
    <w:rsid w:val="00444781"/>
    <w:rsid w:val="00445113"/>
    <w:rsid w:val="00445366"/>
    <w:rsid w:val="00445FEF"/>
    <w:rsid w:val="00446C2F"/>
    <w:rsid w:val="00447F5B"/>
    <w:rsid w:val="004504CB"/>
    <w:rsid w:val="0045088A"/>
    <w:rsid w:val="00450AA8"/>
    <w:rsid w:val="00451237"/>
    <w:rsid w:val="00452768"/>
    <w:rsid w:val="00453C96"/>
    <w:rsid w:val="00453FF0"/>
    <w:rsid w:val="0045721C"/>
    <w:rsid w:val="004614B9"/>
    <w:rsid w:val="00461DB0"/>
    <w:rsid w:val="00463637"/>
    <w:rsid w:val="00463926"/>
    <w:rsid w:val="004646E0"/>
    <w:rsid w:val="00464C9A"/>
    <w:rsid w:val="00467866"/>
    <w:rsid w:val="00467C5F"/>
    <w:rsid w:val="00470446"/>
    <w:rsid w:val="004722EA"/>
    <w:rsid w:val="00474BEE"/>
    <w:rsid w:val="00474F3D"/>
    <w:rsid w:val="0047547B"/>
    <w:rsid w:val="00476315"/>
    <w:rsid w:val="00477E3A"/>
    <w:rsid w:val="0048082F"/>
    <w:rsid w:val="00480B03"/>
    <w:rsid w:val="0048235D"/>
    <w:rsid w:val="004830A0"/>
    <w:rsid w:val="00483E5F"/>
    <w:rsid w:val="00485FF9"/>
    <w:rsid w:val="0048660E"/>
    <w:rsid w:val="00486AFB"/>
    <w:rsid w:val="00487245"/>
    <w:rsid w:val="004907F0"/>
    <w:rsid w:val="0049140B"/>
    <w:rsid w:val="004923A5"/>
    <w:rsid w:val="004937A5"/>
    <w:rsid w:val="004957F9"/>
    <w:rsid w:val="00495F45"/>
    <w:rsid w:val="00496BFB"/>
    <w:rsid w:val="00497491"/>
    <w:rsid w:val="004A15C7"/>
    <w:rsid w:val="004A5551"/>
    <w:rsid w:val="004B013B"/>
    <w:rsid w:val="004B112B"/>
    <w:rsid w:val="004B1474"/>
    <w:rsid w:val="004B1AAC"/>
    <w:rsid w:val="004B2E15"/>
    <w:rsid w:val="004B4D30"/>
    <w:rsid w:val="004B4F12"/>
    <w:rsid w:val="004B7317"/>
    <w:rsid w:val="004C01E4"/>
    <w:rsid w:val="004C086C"/>
    <w:rsid w:val="004C12D1"/>
    <w:rsid w:val="004C1915"/>
    <w:rsid w:val="004C1F56"/>
    <w:rsid w:val="004C27BC"/>
    <w:rsid w:val="004C6CED"/>
    <w:rsid w:val="004C7499"/>
    <w:rsid w:val="004D0CD5"/>
    <w:rsid w:val="004D13BF"/>
    <w:rsid w:val="004D15F3"/>
    <w:rsid w:val="004D2596"/>
    <w:rsid w:val="004D5311"/>
    <w:rsid w:val="004D5D34"/>
    <w:rsid w:val="004D5DCC"/>
    <w:rsid w:val="004D606F"/>
    <w:rsid w:val="004D623F"/>
    <w:rsid w:val="004D78B8"/>
    <w:rsid w:val="004E0536"/>
    <w:rsid w:val="004E1A87"/>
    <w:rsid w:val="004E5787"/>
    <w:rsid w:val="004E58BE"/>
    <w:rsid w:val="004E5DE9"/>
    <w:rsid w:val="004E6EE4"/>
    <w:rsid w:val="004F10AF"/>
    <w:rsid w:val="004F11A4"/>
    <w:rsid w:val="004F2389"/>
    <w:rsid w:val="004F304D"/>
    <w:rsid w:val="004F3EDE"/>
    <w:rsid w:val="004F61BE"/>
    <w:rsid w:val="004F6248"/>
    <w:rsid w:val="004F66B1"/>
    <w:rsid w:val="004F72A3"/>
    <w:rsid w:val="00500890"/>
    <w:rsid w:val="0050129F"/>
    <w:rsid w:val="00501AE3"/>
    <w:rsid w:val="00502A5C"/>
    <w:rsid w:val="00502AB1"/>
    <w:rsid w:val="00503397"/>
    <w:rsid w:val="00503F59"/>
    <w:rsid w:val="005041B7"/>
    <w:rsid w:val="00504852"/>
    <w:rsid w:val="00504CFF"/>
    <w:rsid w:val="00505C85"/>
    <w:rsid w:val="00507413"/>
    <w:rsid w:val="0051110A"/>
    <w:rsid w:val="00511C07"/>
    <w:rsid w:val="005120CD"/>
    <w:rsid w:val="005148AD"/>
    <w:rsid w:val="005153B9"/>
    <w:rsid w:val="00515BF5"/>
    <w:rsid w:val="00517058"/>
    <w:rsid w:val="005173A6"/>
    <w:rsid w:val="00520BAA"/>
    <w:rsid w:val="00520FE6"/>
    <w:rsid w:val="005221D3"/>
    <w:rsid w:val="00524D56"/>
    <w:rsid w:val="00525208"/>
    <w:rsid w:val="005257A5"/>
    <w:rsid w:val="005264C0"/>
    <w:rsid w:val="00526A8A"/>
    <w:rsid w:val="00527200"/>
    <w:rsid w:val="00530E23"/>
    <w:rsid w:val="00531DF2"/>
    <w:rsid w:val="005328E1"/>
    <w:rsid w:val="005335EB"/>
    <w:rsid w:val="005379F0"/>
    <w:rsid w:val="00541F2D"/>
    <w:rsid w:val="0054397C"/>
    <w:rsid w:val="00543DAB"/>
    <w:rsid w:val="00543F98"/>
    <w:rsid w:val="005442EE"/>
    <w:rsid w:val="00544FC9"/>
    <w:rsid w:val="00547351"/>
    <w:rsid w:val="00547353"/>
    <w:rsid w:val="005474E7"/>
    <w:rsid w:val="00550343"/>
    <w:rsid w:val="005512A3"/>
    <w:rsid w:val="00552C28"/>
    <w:rsid w:val="00554C7A"/>
    <w:rsid w:val="00555162"/>
    <w:rsid w:val="00557484"/>
    <w:rsid w:val="005578CE"/>
    <w:rsid w:val="00557D26"/>
    <w:rsid w:val="005606A6"/>
    <w:rsid w:val="005606B2"/>
    <w:rsid w:val="00561075"/>
    <w:rsid w:val="005614E2"/>
    <w:rsid w:val="00562781"/>
    <w:rsid w:val="0056391F"/>
    <w:rsid w:val="00563BB7"/>
    <w:rsid w:val="00563E83"/>
    <w:rsid w:val="00564022"/>
    <w:rsid w:val="005660C2"/>
    <w:rsid w:val="00566604"/>
    <w:rsid w:val="0057113A"/>
    <w:rsid w:val="0057271C"/>
    <w:rsid w:val="00572845"/>
    <w:rsid w:val="005736E8"/>
    <w:rsid w:val="005772F0"/>
    <w:rsid w:val="00583188"/>
    <w:rsid w:val="005914CA"/>
    <w:rsid w:val="00592483"/>
    <w:rsid w:val="00592772"/>
    <w:rsid w:val="00593378"/>
    <w:rsid w:val="0059376C"/>
    <w:rsid w:val="005943F0"/>
    <w:rsid w:val="0059574A"/>
    <w:rsid w:val="00597AA9"/>
    <w:rsid w:val="005A1B9B"/>
    <w:rsid w:val="005A2A03"/>
    <w:rsid w:val="005A6751"/>
    <w:rsid w:val="005A6836"/>
    <w:rsid w:val="005A75FF"/>
    <w:rsid w:val="005B00B9"/>
    <w:rsid w:val="005B092E"/>
    <w:rsid w:val="005B0A50"/>
    <w:rsid w:val="005B152C"/>
    <w:rsid w:val="005B1EE0"/>
    <w:rsid w:val="005B21A0"/>
    <w:rsid w:val="005B2B24"/>
    <w:rsid w:val="005B2CCC"/>
    <w:rsid w:val="005B4425"/>
    <w:rsid w:val="005B464E"/>
    <w:rsid w:val="005B46BB"/>
    <w:rsid w:val="005B4B94"/>
    <w:rsid w:val="005B6F92"/>
    <w:rsid w:val="005B7799"/>
    <w:rsid w:val="005C117B"/>
    <w:rsid w:val="005C3B01"/>
    <w:rsid w:val="005C3EE8"/>
    <w:rsid w:val="005C400F"/>
    <w:rsid w:val="005C5D7C"/>
    <w:rsid w:val="005D27F6"/>
    <w:rsid w:val="005D34F9"/>
    <w:rsid w:val="005D4190"/>
    <w:rsid w:val="005D58DD"/>
    <w:rsid w:val="005D67A3"/>
    <w:rsid w:val="005D79B1"/>
    <w:rsid w:val="005E10D6"/>
    <w:rsid w:val="005E2988"/>
    <w:rsid w:val="005E2A43"/>
    <w:rsid w:val="005E3085"/>
    <w:rsid w:val="005E3DBF"/>
    <w:rsid w:val="005E7307"/>
    <w:rsid w:val="005E7848"/>
    <w:rsid w:val="005E7B56"/>
    <w:rsid w:val="005F0D43"/>
    <w:rsid w:val="005F2E96"/>
    <w:rsid w:val="005F51E1"/>
    <w:rsid w:val="005F7119"/>
    <w:rsid w:val="00602EFE"/>
    <w:rsid w:val="00603868"/>
    <w:rsid w:val="0060410B"/>
    <w:rsid w:val="006050A5"/>
    <w:rsid w:val="00606655"/>
    <w:rsid w:val="006110FE"/>
    <w:rsid w:val="006116F3"/>
    <w:rsid w:val="00611A64"/>
    <w:rsid w:val="00611C80"/>
    <w:rsid w:val="00612EED"/>
    <w:rsid w:val="00613B60"/>
    <w:rsid w:val="00613CD4"/>
    <w:rsid w:val="00615F63"/>
    <w:rsid w:val="00616DD7"/>
    <w:rsid w:val="00617514"/>
    <w:rsid w:val="00620692"/>
    <w:rsid w:val="00621534"/>
    <w:rsid w:val="0062168E"/>
    <w:rsid w:val="00621E6E"/>
    <w:rsid w:val="00623DAA"/>
    <w:rsid w:val="006242CA"/>
    <w:rsid w:val="00624797"/>
    <w:rsid w:val="00626292"/>
    <w:rsid w:val="00627507"/>
    <w:rsid w:val="006276DB"/>
    <w:rsid w:val="00633717"/>
    <w:rsid w:val="006344E1"/>
    <w:rsid w:val="00634CC1"/>
    <w:rsid w:val="0063522D"/>
    <w:rsid w:val="00635803"/>
    <w:rsid w:val="006370C8"/>
    <w:rsid w:val="00640202"/>
    <w:rsid w:val="00641A1F"/>
    <w:rsid w:val="006426D9"/>
    <w:rsid w:val="0064591A"/>
    <w:rsid w:val="00645E01"/>
    <w:rsid w:val="00646FEC"/>
    <w:rsid w:val="0064749B"/>
    <w:rsid w:val="0065028E"/>
    <w:rsid w:val="00650B4B"/>
    <w:rsid w:val="00653D6A"/>
    <w:rsid w:val="006545C4"/>
    <w:rsid w:val="00654A66"/>
    <w:rsid w:val="00654B64"/>
    <w:rsid w:val="0065517E"/>
    <w:rsid w:val="0065625D"/>
    <w:rsid w:val="0065732F"/>
    <w:rsid w:val="00660AAF"/>
    <w:rsid w:val="00661971"/>
    <w:rsid w:val="00661CE8"/>
    <w:rsid w:val="006623D9"/>
    <w:rsid w:val="006647BC"/>
    <w:rsid w:val="00665113"/>
    <w:rsid w:val="0066550C"/>
    <w:rsid w:val="00665EDB"/>
    <w:rsid w:val="006716F2"/>
    <w:rsid w:val="006719FC"/>
    <w:rsid w:val="00672BC6"/>
    <w:rsid w:val="00674C38"/>
    <w:rsid w:val="006758FB"/>
    <w:rsid w:val="00682BF2"/>
    <w:rsid w:val="0068506D"/>
    <w:rsid w:val="006859CE"/>
    <w:rsid w:val="00691270"/>
    <w:rsid w:val="00692014"/>
    <w:rsid w:val="006926A6"/>
    <w:rsid w:val="0069327A"/>
    <w:rsid w:val="00694BA8"/>
    <w:rsid w:val="006960BD"/>
    <w:rsid w:val="0069649D"/>
    <w:rsid w:val="00696E85"/>
    <w:rsid w:val="006971B2"/>
    <w:rsid w:val="006A037C"/>
    <w:rsid w:val="006A114E"/>
    <w:rsid w:val="006A2E28"/>
    <w:rsid w:val="006A36F4"/>
    <w:rsid w:val="006A3C8F"/>
    <w:rsid w:val="006A3ED1"/>
    <w:rsid w:val="006A406F"/>
    <w:rsid w:val="006A4BEC"/>
    <w:rsid w:val="006A5D1E"/>
    <w:rsid w:val="006A5D3A"/>
    <w:rsid w:val="006A6179"/>
    <w:rsid w:val="006A66B7"/>
    <w:rsid w:val="006A69FF"/>
    <w:rsid w:val="006B0CDD"/>
    <w:rsid w:val="006B10B5"/>
    <w:rsid w:val="006B23FE"/>
    <w:rsid w:val="006B39ED"/>
    <w:rsid w:val="006B4759"/>
    <w:rsid w:val="006B6862"/>
    <w:rsid w:val="006C02EB"/>
    <w:rsid w:val="006C0DF5"/>
    <w:rsid w:val="006C1C43"/>
    <w:rsid w:val="006C23D4"/>
    <w:rsid w:val="006C2850"/>
    <w:rsid w:val="006C5073"/>
    <w:rsid w:val="006C5BD3"/>
    <w:rsid w:val="006C7BB0"/>
    <w:rsid w:val="006D0A02"/>
    <w:rsid w:val="006D17EF"/>
    <w:rsid w:val="006D3237"/>
    <w:rsid w:val="006D344F"/>
    <w:rsid w:val="006D34CA"/>
    <w:rsid w:val="006D400B"/>
    <w:rsid w:val="006D46B9"/>
    <w:rsid w:val="006D5674"/>
    <w:rsid w:val="006D6D1F"/>
    <w:rsid w:val="006D72E4"/>
    <w:rsid w:val="006D77C4"/>
    <w:rsid w:val="006E05F2"/>
    <w:rsid w:val="006E06F1"/>
    <w:rsid w:val="006E2A19"/>
    <w:rsid w:val="006E2E37"/>
    <w:rsid w:val="006E3542"/>
    <w:rsid w:val="006E3CF1"/>
    <w:rsid w:val="006E43DA"/>
    <w:rsid w:val="006E6E43"/>
    <w:rsid w:val="006E7AFF"/>
    <w:rsid w:val="006E7E80"/>
    <w:rsid w:val="006F002A"/>
    <w:rsid w:val="006F1DF9"/>
    <w:rsid w:val="006F24DB"/>
    <w:rsid w:val="006F2603"/>
    <w:rsid w:val="006F4401"/>
    <w:rsid w:val="006F48CA"/>
    <w:rsid w:val="006F4BA1"/>
    <w:rsid w:val="006F4CB3"/>
    <w:rsid w:val="006F5694"/>
    <w:rsid w:val="006F57DB"/>
    <w:rsid w:val="006F64DD"/>
    <w:rsid w:val="006F6E89"/>
    <w:rsid w:val="007002AB"/>
    <w:rsid w:val="00700AB4"/>
    <w:rsid w:val="00700CE4"/>
    <w:rsid w:val="0070163E"/>
    <w:rsid w:val="0070207E"/>
    <w:rsid w:val="00703464"/>
    <w:rsid w:val="007037A4"/>
    <w:rsid w:val="00703968"/>
    <w:rsid w:val="0070509B"/>
    <w:rsid w:val="00705E4A"/>
    <w:rsid w:val="0071332D"/>
    <w:rsid w:val="00715127"/>
    <w:rsid w:val="00715A45"/>
    <w:rsid w:val="00715E8E"/>
    <w:rsid w:val="0071666F"/>
    <w:rsid w:val="00717480"/>
    <w:rsid w:val="007219B7"/>
    <w:rsid w:val="00723580"/>
    <w:rsid w:val="00723755"/>
    <w:rsid w:val="00723B22"/>
    <w:rsid w:val="00723C74"/>
    <w:rsid w:val="00725ADE"/>
    <w:rsid w:val="00725C2D"/>
    <w:rsid w:val="007264DE"/>
    <w:rsid w:val="007266B8"/>
    <w:rsid w:val="007270B7"/>
    <w:rsid w:val="00727577"/>
    <w:rsid w:val="00727802"/>
    <w:rsid w:val="0073136C"/>
    <w:rsid w:val="00731F0F"/>
    <w:rsid w:val="0073238A"/>
    <w:rsid w:val="00733250"/>
    <w:rsid w:val="0073337E"/>
    <w:rsid w:val="0073428D"/>
    <w:rsid w:val="007352A2"/>
    <w:rsid w:val="00735810"/>
    <w:rsid w:val="00736460"/>
    <w:rsid w:val="007364D5"/>
    <w:rsid w:val="00740BB2"/>
    <w:rsid w:val="00741404"/>
    <w:rsid w:val="00741589"/>
    <w:rsid w:val="00742CA0"/>
    <w:rsid w:val="00743859"/>
    <w:rsid w:val="007444A3"/>
    <w:rsid w:val="0074460B"/>
    <w:rsid w:val="007449E5"/>
    <w:rsid w:val="00746263"/>
    <w:rsid w:val="007467AA"/>
    <w:rsid w:val="007469BB"/>
    <w:rsid w:val="00746C38"/>
    <w:rsid w:val="00746C5A"/>
    <w:rsid w:val="00747250"/>
    <w:rsid w:val="00747FF0"/>
    <w:rsid w:val="0075018F"/>
    <w:rsid w:val="00752671"/>
    <w:rsid w:val="00756B94"/>
    <w:rsid w:val="00757234"/>
    <w:rsid w:val="00757237"/>
    <w:rsid w:val="00760AED"/>
    <w:rsid w:val="00760B74"/>
    <w:rsid w:val="00761C1C"/>
    <w:rsid w:val="00762819"/>
    <w:rsid w:val="00762C9D"/>
    <w:rsid w:val="00764D4E"/>
    <w:rsid w:val="00765863"/>
    <w:rsid w:val="00765A1F"/>
    <w:rsid w:val="00766195"/>
    <w:rsid w:val="007679EF"/>
    <w:rsid w:val="00772E65"/>
    <w:rsid w:val="00775942"/>
    <w:rsid w:val="00775B6D"/>
    <w:rsid w:val="00776D68"/>
    <w:rsid w:val="00777020"/>
    <w:rsid w:val="0077744D"/>
    <w:rsid w:val="007774CB"/>
    <w:rsid w:val="007804CF"/>
    <w:rsid w:val="007807AB"/>
    <w:rsid w:val="00780F52"/>
    <w:rsid w:val="00781D40"/>
    <w:rsid w:val="00784847"/>
    <w:rsid w:val="007850A6"/>
    <w:rsid w:val="007850EE"/>
    <w:rsid w:val="00785B95"/>
    <w:rsid w:val="00787F8F"/>
    <w:rsid w:val="00790E96"/>
    <w:rsid w:val="007917B5"/>
    <w:rsid w:val="007921AB"/>
    <w:rsid w:val="00792DE6"/>
    <w:rsid w:val="00793366"/>
    <w:rsid w:val="0079407E"/>
    <w:rsid w:val="00795C2A"/>
    <w:rsid w:val="0079722D"/>
    <w:rsid w:val="007A168A"/>
    <w:rsid w:val="007A2DF3"/>
    <w:rsid w:val="007A4E18"/>
    <w:rsid w:val="007A5637"/>
    <w:rsid w:val="007A5C61"/>
    <w:rsid w:val="007A609C"/>
    <w:rsid w:val="007A716F"/>
    <w:rsid w:val="007A7309"/>
    <w:rsid w:val="007A7612"/>
    <w:rsid w:val="007A78E3"/>
    <w:rsid w:val="007A7FCE"/>
    <w:rsid w:val="007B061D"/>
    <w:rsid w:val="007B11C5"/>
    <w:rsid w:val="007B270A"/>
    <w:rsid w:val="007B4E6E"/>
    <w:rsid w:val="007B6568"/>
    <w:rsid w:val="007B693C"/>
    <w:rsid w:val="007B7384"/>
    <w:rsid w:val="007B7EDA"/>
    <w:rsid w:val="007C0695"/>
    <w:rsid w:val="007C3B54"/>
    <w:rsid w:val="007C419A"/>
    <w:rsid w:val="007C4CC8"/>
    <w:rsid w:val="007C5426"/>
    <w:rsid w:val="007C5798"/>
    <w:rsid w:val="007C6F01"/>
    <w:rsid w:val="007C73ED"/>
    <w:rsid w:val="007D0A9F"/>
    <w:rsid w:val="007D17D0"/>
    <w:rsid w:val="007D2591"/>
    <w:rsid w:val="007D3783"/>
    <w:rsid w:val="007D3CFD"/>
    <w:rsid w:val="007D3D25"/>
    <w:rsid w:val="007D4832"/>
    <w:rsid w:val="007D7AF8"/>
    <w:rsid w:val="007E0DB1"/>
    <w:rsid w:val="007E21B2"/>
    <w:rsid w:val="007E25BC"/>
    <w:rsid w:val="007E2C4E"/>
    <w:rsid w:val="007E5C92"/>
    <w:rsid w:val="007E5F43"/>
    <w:rsid w:val="007E7FC5"/>
    <w:rsid w:val="007F01A7"/>
    <w:rsid w:val="007F0CCF"/>
    <w:rsid w:val="007F1265"/>
    <w:rsid w:val="007F166D"/>
    <w:rsid w:val="007F1905"/>
    <w:rsid w:val="007F25C7"/>
    <w:rsid w:val="007F48BA"/>
    <w:rsid w:val="007F495A"/>
    <w:rsid w:val="007F55B1"/>
    <w:rsid w:val="007F6B21"/>
    <w:rsid w:val="007F6FDB"/>
    <w:rsid w:val="007F7A04"/>
    <w:rsid w:val="007F7AE3"/>
    <w:rsid w:val="00800149"/>
    <w:rsid w:val="008007A1"/>
    <w:rsid w:val="00801300"/>
    <w:rsid w:val="00802C64"/>
    <w:rsid w:val="008059F7"/>
    <w:rsid w:val="00805E52"/>
    <w:rsid w:val="008061D0"/>
    <w:rsid w:val="0080694C"/>
    <w:rsid w:val="0080756B"/>
    <w:rsid w:val="00807CF7"/>
    <w:rsid w:val="00810616"/>
    <w:rsid w:val="00810B38"/>
    <w:rsid w:val="008129F9"/>
    <w:rsid w:val="008146A0"/>
    <w:rsid w:val="00814BD0"/>
    <w:rsid w:val="008150D6"/>
    <w:rsid w:val="008172BF"/>
    <w:rsid w:val="0081787E"/>
    <w:rsid w:val="00817A53"/>
    <w:rsid w:val="008204A8"/>
    <w:rsid w:val="008204C7"/>
    <w:rsid w:val="008207FA"/>
    <w:rsid w:val="00820992"/>
    <w:rsid w:val="008235F2"/>
    <w:rsid w:val="00823602"/>
    <w:rsid w:val="008255F5"/>
    <w:rsid w:val="0082613C"/>
    <w:rsid w:val="00826BB4"/>
    <w:rsid w:val="00826DE1"/>
    <w:rsid w:val="008272F9"/>
    <w:rsid w:val="0083014E"/>
    <w:rsid w:val="00831382"/>
    <w:rsid w:val="0083214A"/>
    <w:rsid w:val="00832CA4"/>
    <w:rsid w:val="00834220"/>
    <w:rsid w:val="008366D7"/>
    <w:rsid w:val="00836F41"/>
    <w:rsid w:val="00837771"/>
    <w:rsid w:val="00840A9E"/>
    <w:rsid w:val="00840B43"/>
    <w:rsid w:val="0084228B"/>
    <w:rsid w:val="00842F5C"/>
    <w:rsid w:val="00844483"/>
    <w:rsid w:val="00845207"/>
    <w:rsid w:val="00845723"/>
    <w:rsid w:val="00845C55"/>
    <w:rsid w:val="00850D0B"/>
    <w:rsid w:val="00851EF9"/>
    <w:rsid w:val="008521E0"/>
    <w:rsid w:val="00852426"/>
    <w:rsid w:val="00852A3A"/>
    <w:rsid w:val="00854CB3"/>
    <w:rsid w:val="0085740D"/>
    <w:rsid w:val="008577FD"/>
    <w:rsid w:val="00860B03"/>
    <w:rsid w:val="008633ED"/>
    <w:rsid w:val="0086497A"/>
    <w:rsid w:val="00865E9D"/>
    <w:rsid w:val="00866764"/>
    <w:rsid w:val="0086676C"/>
    <w:rsid w:val="0086705E"/>
    <w:rsid w:val="008713A1"/>
    <w:rsid w:val="00871B71"/>
    <w:rsid w:val="008749D7"/>
    <w:rsid w:val="008753A3"/>
    <w:rsid w:val="008754AB"/>
    <w:rsid w:val="0087565F"/>
    <w:rsid w:val="0088035A"/>
    <w:rsid w:val="0088060C"/>
    <w:rsid w:val="00884D94"/>
    <w:rsid w:val="00885EB3"/>
    <w:rsid w:val="0088776C"/>
    <w:rsid w:val="00890444"/>
    <w:rsid w:val="00890565"/>
    <w:rsid w:val="008917D9"/>
    <w:rsid w:val="00891988"/>
    <w:rsid w:val="00892686"/>
    <w:rsid w:val="00893104"/>
    <w:rsid w:val="00893576"/>
    <w:rsid w:val="00893E73"/>
    <w:rsid w:val="00894000"/>
    <w:rsid w:val="008969E2"/>
    <w:rsid w:val="008977FB"/>
    <w:rsid w:val="008A0097"/>
    <w:rsid w:val="008A0431"/>
    <w:rsid w:val="008A0E2F"/>
    <w:rsid w:val="008A0E58"/>
    <w:rsid w:val="008A3584"/>
    <w:rsid w:val="008A43C4"/>
    <w:rsid w:val="008A4DDF"/>
    <w:rsid w:val="008A7A4C"/>
    <w:rsid w:val="008B02DC"/>
    <w:rsid w:val="008B0C6F"/>
    <w:rsid w:val="008B1049"/>
    <w:rsid w:val="008B16B4"/>
    <w:rsid w:val="008B2ADE"/>
    <w:rsid w:val="008B31F4"/>
    <w:rsid w:val="008B4427"/>
    <w:rsid w:val="008B57CE"/>
    <w:rsid w:val="008B659F"/>
    <w:rsid w:val="008B79AA"/>
    <w:rsid w:val="008C0043"/>
    <w:rsid w:val="008C0E97"/>
    <w:rsid w:val="008C26DE"/>
    <w:rsid w:val="008C2F3A"/>
    <w:rsid w:val="008C3727"/>
    <w:rsid w:val="008C46A4"/>
    <w:rsid w:val="008C6292"/>
    <w:rsid w:val="008D2225"/>
    <w:rsid w:val="008D235B"/>
    <w:rsid w:val="008D2502"/>
    <w:rsid w:val="008D4752"/>
    <w:rsid w:val="008D5870"/>
    <w:rsid w:val="008D610C"/>
    <w:rsid w:val="008D7795"/>
    <w:rsid w:val="008E0607"/>
    <w:rsid w:val="008E177A"/>
    <w:rsid w:val="008E271C"/>
    <w:rsid w:val="008E4044"/>
    <w:rsid w:val="008E418E"/>
    <w:rsid w:val="008E4B48"/>
    <w:rsid w:val="008E5BC6"/>
    <w:rsid w:val="008E6A25"/>
    <w:rsid w:val="008E73FA"/>
    <w:rsid w:val="008F00C7"/>
    <w:rsid w:val="008F06B8"/>
    <w:rsid w:val="008F0AA2"/>
    <w:rsid w:val="008F1141"/>
    <w:rsid w:val="008F2975"/>
    <w:rsid w:val="008F4BB2"/>
    <w:rsid w:val="008F4BCF"/>
    <w:rsid w:val="008F5193"/>
    <w:rsid w:val="008F5DB8"/>
    <w:rsid w:val="008F6B6E"/>
    <w:rsid w:val="008F6D39"/>
    <w:rsid w:val="008F6DDC"/>
    <w:rsid w:val="008F7008"/>
    <w:rsid w:val="008F707C"/>
    <w:rsid w:val="008F7178"/>
    <w:rsid w:val="00900496"/>
    <w:rsid w:val="009013A7"/>
    <w:rsid w:val="009017FB"/>
    <w:rsid w:val="009017FC"/>
    <w:rsid w:val="00902773"/>
    <w:rsid w:val="00903B43"/>
    <w:rsid w:val="00903C49"/>
    <w:rsid w:val="0090506B"/>
    <w:rsid w:val="009050C9"/>
    <w:rsid w:val="009066FC"/>
    <w:rsid w:val="00906CE9"/>
    <w:rsid w:val="009119E2"/>
    <w:rsid w:val="00912574"/>
    <w:rsid w:val="00912865"/>
    <w:rsid w:val="00913D94"/>
    <w:rsid w:val="009140A3"/>
    <w:rsid w:val="009144A2"/>
    <w:rsid w:val="0091510C"/>
    <w:rsid w:val="009151E0"/>
    <w:rsid w:val="00916352"/>
    <w:rsid w:val="00920A02"/>
    <w:rsid w:val="00920AE2"/>
    <w:rsid w:val="00921195"/>
    <w:rsid w:val="009259AC"/>
    <w:rsid w:val="00926F38"/>
    <w:rsid w:val="00930821"/>
    <w:rsid w:val="00930C15"/>
    <w:rsid w:val="009334F9"/>
    <w:rsid w:val="00934301"/>
    <w:rsid w:val="00936CB6"/>
    <w:rsid w:val="00936CD1"/>
    <w:rsid w:val="00936E34"/>
    <w:rsid w:val="00937A7B"/>
    <w:rsid w:val="00940817"/>
    <w:rsid w:val="0094165C"/>
    <w:rsid w:val="00941747"/>
    <w:rsid w:val="009419D3"/>
    <w:rsid w:val="00941E60"/>
    <w:rsid w:val="00941EFB"/>
    <w:rsid w:val="00941F0E"/>
    <w:rsid w:val="0094456C"/>
    <w:rsid w:val="0094528A"/>
    <w:rsid w:val="009469EB"/>
    <w:rsid w:val="00946A4E"/>
    <w:rsid w:val="00946FF0"/>
    <w:rsid w:val="00947AFB"/>
    <w:rsid w:val="00951D7D"/>
    <w:rsid w:val="00952BD8"/>
    <w:rsid w:val="00952F94"/>
    <w:rsid w:val="00953783"/>
    <w:rsid w:val="00954425"/>
    <w:rsid w:val="00956646"/>
    <w:rsid w:val="00957478"/>
    <w:rsid w:val="009603E4"/>
    <w:rsid w:val="00961DC2"/>
    <w:rsid w:val="009630C7"/>
    <w:rsid w:val="009634AC"/>
    <w:rsid w:val="00966F93"/>
    <w:rsid w:val="00970114"/>
    <w:rsid w:val="00970257"/>
    <w:rsid w:val="00972B55"/>
    <w:rsid w:val="009743B7"/>
    <w:rsid w:val="00975821"/>
    <w:rsid w:val="00975A6E"/>
    <w:rsid w:val="009777FC"/>
    <w:rsid w:val="00980863"/>
    <w:rsid w:val="0098094E"/>
    <w:rsid w:val="0098228B"/>
    <w:rsid w:val="009828DA"/>
    <w:rsid w:val="00985BAB"/>
    <w:rsid w:val="00986032"/>
    <w:rsid w:val="00991A11"/>
    <w:rsid w:val="00992A21"/>
    <w:rsid w:val="00993424"/>
    <w:rsid w:val="0099396A"/>
    <w:rsid w:val="009940BB"/>
    <w:rsid w:val="00995B84"/>
    <w:rsid w:val="009972EA"/>
    <w:rsid w:val="00997F03"/>
    <w:rsid w:val="009A1503"/>
    <w:rsid w:val="009A281E"/>
    <w:rsid w:val="009A2990"/>
    <w:rsid w:val="009A2AE3"/>
    <w:rsid w:val="009A3BED"/>
    <w:rsid w:val="009A46DF"/>
    <w:rsid w:val="009A5548"/>
    <w:rsid w:val="009A6DF9"/>
    <w:rsid w:val="009A760A"/>
    <w:rsid w:val="009B1AC1"/>
    <w:rsid w:val="009B1B5F"/>
    <w:rsid w:val="009B2AC0"/>
    <w:rsid w:val="009B2EC2"/>
    <w:rsid w:val="009B4C92"/>
    <w:rsid w:val="009B4E51"/>
    <w:rsid w:val="009B50AE"/>
    <w:rsid w:val="009B6673"/>
    <w:rsid w:val="009B74BA"/>
    <w:rsid w:val="009C0F78"/>
    <w:rsid w:val="009C191B"/>
    <w:rsid w:val="009C1C19"/>
    <w:rsid w:val="009C1ECE"/>
    <w:rsid w:val="009C2BD6"/>
    <w:rsid w:val="009C3134"/>
    <w:rsid w:val="009C6C17"/>
    <w:rsid w:val="009D0F5F"/>
    <w:rsid w:val="009D1AE7"/>
    <w:rsid w:val="009D317C"/>
    <w:rsid w:val="009D351D"/>
    <w:rsid w:val="009D3D96"/>
    <w:rsid w:val="009D6354"/>
    <w:rsid w:val="009D6D49"/>
    <w:rsid w:val="009D782B"/>
    <w:rsid w:val="009E1F32"/>
    <w:rsid w:val="009E2D7E"/>
    <w:rsid w:val="009E3B5D"/>
    <w:rsid w:val="009E3D05"/>
    <w:rsid w:val="009E3D2E"/>
    <w:rsid w:val="009E4530"/>
    <w:rsid w:val="009E4C9D"/>
    <w:rsid w:val="009E5829"/>
    <w:rsid w:val="009E5A53"/>
    <w:rsid w:val="009E6EA0"/>
    <w:rsid w:val="009E7337"/>
    <w:rsid w:val="009E776C"/>
    <w:rsid w:val="009F0924"/>
    <w:rsid w:val="009F322C"/>
    <w:rsid w:val="009F3631"/>
    <w:rsid w:val="009F600C"/>
    <w:rsid w:val="009F6FA9"/>
    <w:rsid w:val="009F769A"/>
    <w:rsid w:val="00A03AEA"/>
    <w:rsid w:val="00A07E96"/>
    <w:rsid w:val="00A103AB"/>
    <w:rsid w:val="00A13075"/>
    <w:rsid w:val="00A132A6"/>
    <w:rsid w:val="00A1342D"/>
    <w:rsid w:val="00A1726E"/>
    <w:rsid w:val="00A204CF"/>
    <w:rsid w:val="00A22F8C"/>
    <w:rsid w:val="00A23164"/>
    <w:rsid w:val="00A23D49"/>
    <w:rsid w:val="00A24379"/>
    <w:rsid w:val="00A25220"/>
    <w:rsid w:val="00A252B4"/>
    <w:rsid w:val="00A27004"/>
    <w:rsid w:val="00A2741A"/>
    <w:rsid w:val="00A3062D"/>
    <w:rsid w:val="00A30C29"/>
    <w:rsid w:val="00A318FF"/>
    <w:rsid w:val="00A342A8"/>
    <w:rsid w:val="00A34DD6"/>
    <w:rsid w:val="00A35FBE"/>
    <w:rsid w:val="00A36819"/>
    <w:rsid w:val="00A36989"/>
    <w:rsid w:val="00A36F6D"/>
    <w:rsid w:val="00A424D0"/>
    <w:rsid w:val="00A42C2F"/>
    <w:rsid w:val="00A43628"/>
    <w:rsid w:val="00A47FB1"/>
    <w:rsid w:val="00A51ABB"/>
    <w:rsid w:val="00A52A0A"/>
    <w:rsid w:val="00A52C00"/>
    <w:rsid w:val="00A52EFE"/>
    <w:rsid w:val="00A53859"/>
    <w:rsid w:val="00A53956"/>
    <w:rsid w:val="00A54192"/>
    <w:rsid w:val="00A545E3"/>
    <w:rsid w:val="00A5561C"/>
    <w:rsid w:val="00A56113"/>
    <w:rsid w:val="00A56557"/>
    <w:rsid w:val="00A569A5"/>
    <w:rsid w:val="00A6035E"/>
    <w:rsid w:val="00A60EFF"/>
    <w:rsid w:val="00A6144C"/>
    <w:rsid w:val="00A61BF4"/>
    <w:rsid w:val="00A61D90"/>
    <w:rsid w:val="00A63B0A"/>
    <w:rsid w:val="00A64059"/>
    <w:rsid w:val="00A64546"/>
    <w:rsid w:val="00A649F7"/>
    <w:rsid w:val="00A65955"/>
    <w:rsid w:val="00A66617"/>
    <w:rsid w:val="00A671F8"/>
    <w:rsid w:val="00A673A4"/>
    <w:rsid w:val="00A679B9"/>
    <w:rsid w:val="00A724AE"/>
    <w:rsid w:val="00A73329"/>
    <w:rsid w:val="00A7490C"/>
    <w:rsid w:val="00A76C97"/>
    <w:rsid w:val="00A81B71"/>
    <w:rsid w:val="00A81EBD"/>
    <w:rsid w:val="00A82359"/>
    <w:rsid w:val="00A840C6"/>
    <w:rsid w:val="00A856B1"/>
    <w:rsid w:val="00A865D2"/>
    <w:rsid w:val="00A92AA4"/>
    <w:rsid w:val="00A93E2A"/>
    <w:rsid w:val="00A94C20"/>
    <w:rsid w:val="00A96716"/>
    <w:rsid w:val="00A96ED6"/>
    <w:rsid w:val="00AA227F"/>
    <w:rsid w:val="00AA3BC7"/>
    <w:rsid w:val="00AA3BDB"/>
    <w:rsid w:val="00AA4818"/>
    <w:rsid w:val="00AA5500"/>
    <w:rsid w:val="00AA6044"/>
    <w:rsid w:val="00AA754A"/>
    <w:rsid w:val="00AB099E"/>
    <w:rsid w:val="00AB107C"/>
    <w:rsid w:val="00AB4328"/>
    <w:rsid w:val="00AB5EBD"/>
    <w:rsid w:val="00AB5FA0"/>
    <w:rsid w:val="00AB63F3"/>
    <w:rsid w:val="00AC1CB5"/>
    <w:rsid w:val="00AC2FD3"/>
    <w:rsid w:val="00AC3DA6"/>
    <w:rsid w:val="00AC4432"/>
    <w:rsid w:val="00AC550B"/>
    <w:rsid w:val="00AC5D2E"/>
    <w:rsid w:val="00AC74E0"/>
    <w:rsid w:val="00AD0406"/>
    <w:rsid w:val="00AD08BF"/>
    <w:rsid w:val="00AD0F0A"/>
    <w:rsid w:val="00AD40CC"/>
    <w:rsid w:val="00AD4C0D"/>
    <w:rsid w:val="00AD4CCD"/>
    <w:rsid w:val="00AE03A0"/>
    <w:rsid w:val="00AE0A2E"/>
    <w:rsid w:val="00AE174E"/>
    <w:rsid w:val="00AE354C"/>
    <w:rsid w:val="00AE39A3"/>
    <w:rsid w:val="00AE3B73"/>
    <w:rsid w:val="00AE483D"/>
    <w:rsid w:val="00AE51DB"/>
    <w:rsid w:val="00AE59D3"/>
    <w:rsid w:val="00AE5BE9"/>
    <w:rsid w:val="00AF10D3"/>
    <w:rsid w:val="00AF1549"/>
    <w:rsid w:val="00AF1E58"/>
    <w:rsid w:val="00AF2D34"/>
    <w:rsid w:val="00AF4B07"/>
    <w:rsid w:val="00AF6186"/>
    <w:rsid w:val="00AF64E5"/>
    <w:rsid w:val="00AF6B10"/>
    <w:rsid w:val="00AF7A3A"/>
    <w:rsid w:val="00B00BE1"/>
    <w:rsid w:val="00B00EB8"/>
    <w:rsid w:val="00B0149D"/>
    <w:rsid w:val="00B03A71"/>
    <w:rsid w:val="00B05A33"/>
    <w:rsid w:val="00B071E6"/>
    <w:rsid w:val="00B10563"/>
    <w:rsid w:val="00B109B8"/>
    <w:rsid w:val="00B1271F"/>
    <w:rsid w:val="00B133C6"/>
    <w:rsid w:val="00B14E7A"/>
    <w:rsid w:val="00B1538D"/>
    <w:rsid w:val="00B160DB"/>
    <w:rsid w:val="00B201AC"/>
    <w:rsid w:val="00B20790"/>
    <w:rsid w:val="00B20836"/>
    <w:rsid w:val="00B22D06"/>
    <w:rsid w:val="00B22DB7"/>
    <w:rsid w:val="00B235BB"/>
    <w:rsid w:val="00B257C0"/>
    <w:rsid w:val="00B26E6E"/>
    <w:rsid w:val="00B27A44"/>
    <w:rsid w:val="00B27BF4"/>
    <w:rsid w:val="00B27C25"/>
    <w:rsid w:val="00B30BBF"/>
    <w:rsid w:val="00B315BC"/>
    <w:rsid w:val="00B31D29"/>
    <w:rsid w:val="00B33C03"/>
    <w:rsid w:val="00B34537"/>
    <w:rsid w:val="00B34C51"/>
    <w:rsid w:val="00B364B4"/>
    <w:rsid w:val="00B41209"/>
    <w:rsid w:val="00B44E56"/>
    <w:rsid w:val="00B4510F"/>
    <w:rsid w:val="00B4556E"/>
    <w:rsid w:val="00B46543"/>
    <w:rsid w:val="00B47690"/>
    <w:rsid w:val="00B476A9"/>
    <w:rsid w:val="00B47D33"/>
    <w:rsid w:val="00B507C1"/>
    <w:rsid w:val="00B52BB9"/>
    <w:rsid w:val="00B52BE0"/>
    <w:rsid w:val="00B53A3F"/>
    <w:rsid w:val="00B5405B"/>
    <w:rsid w:val="00B54133"/>
    <w:rsid w:val="00B55CC0"/>
    <w:rsid w:val="00B613C2"/>
    <w:rsid w:val="00B62DA4"/>
    <w:rsid w:val="00B6359E"/>
    <w:rsid w:val="00B63B66"/>
    <w:rsid w:val="00B65126"/>
    <w:rsid w:val="00B65670"/>
    <w:rsid w:val="00B65787"/>
    <w:rsid w:val="00B65879"/>
    <w:rsid w:val="00B701ED"/>
    <w:rsid w:val="00B702E2"/>
    <w:rsid w:val="00B70A1F"/>
    <w:rsid w:val="00B73C52"/>
    <w:rsid w:val="00B750F2"/>
    <w:rsid w:val="00B8086C"/>
    <w:rsid w:val="00B811F6"/>
    <w:rsid w:val="00B8125E"/>
    <w:rsid w:val="00B81E67"/>
    <w:rsid w:val="00B85011"/>
    <w:rsid w:val="00B861A0"/>
    <w:rsid w:val="00B861B4"/>
    <w:rsid w:val="00B86DFE"/>
    <w:rsid w:val="00B8773B"/>
    <w:rsid w:val="00B90514"/>
    <w:rsid w:val="00B90990"/>
    <w:rsid w:val="00B916F4"/>
    <w:rsid w:val="00B922FF"/>
    <w:rsid w:val="00B9281E"/>
    <w:rsid w:val="00B935BD"/>
    <w:rsid w:val="00B93925"/>
    <w:rsid w:val="00B95187"/>
    <w:rsid w:val="00B954AE"/>
    <w:rsid w:val="00B95F00"/>
    <w:rsid w:val="00B973BF"/>
    <w:rsid w:val="00BA0CC2"/>
    <w:rsid w:val="00BA2D55"/>
    <w:rsid w:val="00BA3FA5"/>
    <w:rsid w:val="00BA47C8"/>
    <w:rsid w:val="00BA5CB9"/>
    <w:rsid w:val="00BA71B1"/>
    <w:rsid w:val="00BA7483"/>
    <w:rsid w:val="00BB0637"/>
    <w:rsid w:val="00BB07EC"/>
    <w:rsid w:val="00BB0A38"/>
    <w:rsid w:val="00BB0FCB"/>
    <w:rsid w:val="00BB2AE2"/>
    <w:rsid w:val="00BB2E51"/>
    <w:rsid w:val="00BB3043"/>
    <w:rsid w:val="00BB345F"/>
    <w:rsid w:val="00BB4413"/>
    <w:rsid w:val="00BB4B4D"/>
    <w:rsid w:val="00BB5883"/>
    <w:rsid w:val="00BB68EA"/>
    <w:rsid w:val="00BB68EF"/>
    <w:rsid w:val="00BB6AD6"/>
    <w:rsid w:val="00BB6BA5"/>
    <w:rsid w:val="00BB6F2D"/>
    <w:rsid w:val="00BB7A51"/>
    <w:rsid w:val="00BB7A77"/>
    <w:rsid w:val="00BC1C27"/>
    <w:rsid w:val="00BC305A"/>
    <w:rsid w:val="00BC38E9"/>
    <w:rsid w:val="00BC6BBF"/>
    <w:rsid w:val="00BC6BC2"/>
    <w:rsid w:val="00BC7C35"/>
    <w:rsid w:val="00BC7F45"/>
    <w:rsid w:val="00BD1572"/>
    <w:rsid w:val="00BD2DC9"/>
    <w:rsid w:val="00BD5090"/>
    <w:rsid w:val="00BD7C14"/>
    <w:rsid w:val="00BE14E3"/>
    <w:rsid w:val="00BE256A"/>
    <w:rsid w:val="00BE2C4C"/>
    <w:rsid w:val="00BE3774"/>
    <w:rsid w:val="00BE41E5"/>
    <w:rsid w:val="00BE42E4"/>
    <w:rsid w:val="00BE7923"/>
    <w:rsid w:val="00BE79E2"/>
    <w:rsid w:val="00BF0BBB"/>
    <w:rsid w:val="00BF1F28"/>
    <w:rsid w:val="00BF3BE0"/>
    <w:rsid w:val="00BF4109"/>
    <w:rsid w:val="00BF4CC3"/>
    <w:rsid w:val="00BF59DB"/>
    <w:rsid w:val="00BF61E6"/>
    <w:rsid w:val="00BF64E1"/>
    <w:rsid w:val="00C01380"/>
    <w:rsid w:val="00C017DC"/>
    <w:rsid w:val="00C03213"/>
    <w:rsid w:val="00C04369"/>
    <w:rsid w:val="00C04E69"/>
    <w:rsid w:val="00C054C7"/>
    <w:rsid w:val="00C057B5"/>
    <w:rsid w:val="00C11AB8"/>
    <w:rsid w:val="00C11AC8"/>
    <w:rsid w:val="00C12391"/>
    <w:rsid w:val="00C13298"/>
    <w:rsid w:val="00C13B11"/>
    <w:rsid w:val="00C13B45"/>
    <w:rsid w:val="00C13CD5"/>
    <w:rsid w:val="00C144C4"/>
    <w:rsid w:val="00C14770"/>
    <w:rsid w:val="00C147EA"/>
    <w:rsid w:val="00C15C61"/>
    <w:rsid w:val="00C20017"/>
    <w:rsid w:val="00C20501"/>
    <w:rsid w:val="00C20BBE"/>
    <w:rsid w:val="00C21150"/>
    <w:rsid w:val="00C21E3C"/>
    <w:rsid w:val="00C22687"/>
    <w:rsid w:val="00C23F14"/>
    <w:rsid w:val="00C24B6B"/>
    <w:rsid w:val="00C25485"/>
    <w:rsid w:val="00C26B66"/>
    <w:rsid w:val="00C272EE"/>
    <w:rsid w:val="00C3011E"/>
    <w:rsid w:val="00C30509"/>
    <w:rsid w:val="00C317EE"/>
    <w:rsid w:val="00C3224A"/>
    <w:rsid w:val="00C32E4D"/>
    <w:rsid w:val="00C32FFB"/>
    <w:rsid w:val="00C333A0"/>
    <w:rsid w:val="00C36A81"/>
    <w:rsid w:val="00C41100"/>
    <w:rsid w:val="00C41974"/>
    <w:rsid w:val="00C41B63"/>
    <w:rsid w:val="00C4283C"/>
    <w:rsid w:val="00C447AD"/>
    <w:rsid w:val="00C47242"/>
    <w:rsid w:val="00C51F5B"/>
    <w:rsid w:val="00C52265"/>
    <w:rsid w:val="00C53F4A"/>
    <w:rsid w:val="00C54125"/>
    <w:rsid w:val="00C55B54"/>
    <w:rsid w:val="00C56B1F"/>
    <w:rsid w:val="00C57ACC"/>
    <w:rsid w:val="00C6098E"/>
    <w:rsid w:val="00C6152C"/>
    <w:rsid w:val="00C621C2"/>
    <w:rsid w:val="00C62747"/>
    <w:rsid w:val="00C648A3"/>
    <w:rsid w:val="00C65B5F"/>
    <w:rsid w:val="00C6692A"/>
    <w:rsid w:val="00C66C52"/>
    <w:rsid w:val="00C709C8"/>
    <w:rsid w:val="00C74810"/>
    <w:rsid w:val="00C752B5"/>
    <w:rsid w:val="00C76187"/>
    <w:rsid w:val="00C7758B"/>
    <w:rsid w:val="00C80316"/>
    <w:rsid w:val="00C80350"/>
    <w:rsid w:val="00C81D96"/>
    <w:rsid w:val="00C90D68"/>
    <w:rsid w:val="00C915E8"/>
    <w:rsid w:val="00C918D0"/>
    <w:rsid w:val="00C939B7"/>
    <w:rsid w:val="00C939FE"/>
    <w:rsid w:val="00C93CC9"/>
    <w:rsid w:val="00C949C7"/>
    <w:rsid w:val="00C95DB7"/>
    <w:rsid w:val="00C969BD"/>
    <w:rsid w:val="00CA045F"/>
    <w:rsid w:val="00CA1B20"/>
    <w:rsid w:val="00CA2884"/>
    <w:rsid w:val="00CA3116"/>
    <w:rsid w:val="00CA3326"/>
    <w:rsid w:val="00CA4BDA"/>
    <w:rsid w:val="00CA4CE5"/>
    <w:rsid w:val="00CA70A4"/>
    <w:rsid w:val="00CB1BAE"/>
    <w:rsid w:val="00CB1F66"/>
    <w:rsid w:val="00CB2951"/>
    <w:rsid w:val="00CB2D52"/>
    <w:rsid w:val="00CB5474"/>
    <w:rsid w:val="00CC0214"/>
    <w:rsid w:val="00CC1FDB"/>
    <w:rsid w:val="00CC3B7A"/>
    <w:rsid w:val="00CC4F1C"/>
    <w:rsid w:val="00CD0DF3"/>
    <w:rsid w:val="00CD282B"/>
    <w:rsid w:val="00CD2CF7"/>
    <w:rsid w:val="00CD4296"/>
    <w:rsid w:val="00CD4C35"/>
    <w:rsid w:val="00CD6890"/>
    <w:rsid w:val="00CD6A55"/>
    <w:rsid w:val="00CD7369"/>
    <w:rsid w:val="00CE0146"/>
    <w:rsid w:val="00CE0B0E"/>
    <w:rsid w:val="00CE23AE"/>
    <w:rsid w:val="00CE3831"/>
    <w:rsid w:val="00CE7BA3"/>
    <w:rsid w:val="00CE7BD6"/>
    <w:rsid w:val="00CF23EE"/>
    <w:rsid w:val="00CF2C71"/>
    <w:rsid w:val="00CF2E12"/>
    <w:rsid w:val="00CF5B9F"/>
    <w:rsid w:val="00D00ABB"/>
    <w:rsid w:val="00D0206D"/>
    <w:rsid w:val="00D024F5"/>
    <w:rsid w:val="00D025AD"/>
    <w:rsid w:val="00D02985"/>
    <w:rsid w:val="00D02EEC"/>
    <w:rsid w:val="00D03551"/>
    <w:rsid w:val="00D036E4"/>
    <w:rsid w:val="00D045BC"/>
    <w:rsid w:val="00D0465B"/>
    <w:rsid w:val="00D04D88"/>
    <w:rsid w:val="00D06A63"/>
    <w:rsid w:val="00D07E0E"/>
    <w:rsid w:val="00D107A9"/>
    <w:rsid w:val="00D10A0A"/>
    <w:rsid w:val="00D11478"/>
    <w:rsid w:val="00D11CE2"/>
    <w:rsid w:val="00D12539"/>
    <w:rsid w:val="00D1353E"/>
    <w:rsid w:val="00D14D45"/>
    <w:rsid w:val="00D15ED0"/>
    <w:rsid w:val="00D16EB7"/>
    <w:rsid w:val="00D21B3E"/>
    <w:rsid w:val="00D21FED"/>
    <w:rsid w:val="00D22826"/>
    <w:rsid w:val="00D23FC9"/>
    <w:rsid w:val="00D24251"/>
    <w:rsid w:val="00D25DB1"/>
    <w:rsid w:val="00D2648A"/>
    <w:rsid w:val="00D2734E"/>
    <w:rsid w:val="00D27DE8"/>
    <w:rsid w:val="00D3032B"/>
    <w:rsid w:val="00D3052F"/>
    <w:rsid w:val="00D3172D"/>
    <w:rsid w:val="00D31CCE"/>
    <w:rsid w:val="00D33B04"/>
    <w:rsid w:val="00D33F05"/>
    <w:rsid w:val="00D343E2"/>
    <w:rsid w:val="00D361A2"/>
    <w:rsid w:val="00D3623F"/>
    <w:rsid w:val="00D37D84"/>
    <w:rsid w:val="00D40982"/>
    <w:rsid w:val="00D40C3E"/>
    <w:rsid w:val="00D419BB"/>
    <w:rsid w:val="00D43301"/>
    <w:rsid w:val="00D44C2E"/>
    <w:rsid w:val="00D45414"/>
    <w:rsid w:val="00D47490"/>
    <w:rsid w:val="00D504FE"/>
    <w:rsid w:val="00D51194"/>
    <w:rsid w:val="00D53075"/>
    <w:rsid w:val="00D53C0F"/>
    <w:rsid w:val="00D53D28"/>
    <w:rsid w:val="00D5421D"/>
    <w:rsid w:val="00D54327"/>
    <w:rsid w:val="00D55BE2"/>
    <w:rsid w:val="00D566BD"/>
    <w:rsid w:val="00D56ED8"/>
    <w:rsid w:val="00D57A4D"/>
    <w:rsid w:val="00D60AA7"/>
    <w:rsid w:val="00D60CCC"/>
    <w:rsid w:val="00D60D87"/>
    <w:rsid w:val="00D62B24"/>
    <w:rsid w:val="00D62E74"/>
    <w:rsid w:val="00D63A3B"/>
    <w:rsid w:val="00D64141"/>
    <w:rsid w:val="00D6435F"/>
    <w:rsid w:val="00D64EF8"/>
    <w:rsid w:val="00D66D09"/>
    <w:rsid w:val="00D679F4"/>
    <w:rsid w:val="00D7053F"/>
    <w:rsid w:val="00D73111"/>
    <w:rsid w:val="00D747DD"/>
    <w:rsid w:val="00D75E28"/>
    <w:rsid w:val="00D75E5B"/>
    <w:rsid w:val="00D7710B"/>
    <w:rsid w:val="00D77134"/>
    <w:rsid w:val="00D771D1"/>
    <w:rsid w:val="00D772C2"/>
    <w:rsid w:val="00D77C10"/>
    <w:rsid w:val="00D77D4A"/>
    <w:rsid w:val="00D8008E"/>
    <w:rsid w:val="00D80381"/>
    <w:rsid w:val="00D80A84"/>
    <w:rsid w:val="00D82C45"/>
    <w:rsid w:val="00D839DA"/>
    <w:rsid w:val="00D83CAD"/>
    <w:rsid w:val="00D8485A"/>
    <w:rsid w:val="00D87DDE"/>
    <w:rsid w:val="00D908A8"/>
    <w:rsid w:val="00D9272B"/>
    <w:rsid w:val="00D94F19"/>
    <w:rsid w:val="00D977B6"/>
    <w:rsid w:val="00DA1D96"/>
    <w:rsid w:val="00DA38C9"/>
    <w:rsid w:val="00DA3FF4"/>
    <w:rsid w:val="00DA48C6"/>
    <w:rsid w:val="00DA4A31"/>
    <w:rsid w:val="00DA5C1B"/>
    <w:rsid w:val="00DA6AE5"/>
    <w:rsid w:val="00DA71D9"/>
    <w:rsid w:val="00DA7B04"/>
    <w:rsid w:val="00DB0DEE"/>
    <w:rsid w:val="00DB1E1E"/>
    <w:rsid w:val="00DB324A"/>
    <w:rsid w:val="00DB36C2"/>
    <w:rsid w:val="00DB65F8"/>
    <w:rsid w:val="00DB7196"/>
    <w:rsid w:val="00DB779D"/>
    <w:rsid w:val="00DB7A14"/>
    <w:rsid w:val="00DC169B"/>
    <w:rsid w:val="00DC1FA4"/>
    <w:rsid w:val="00DC2A0F"/>
    <w:rsid w:val="00DC2AB9"/>
    <w:rsid w:val="00DC4A13"/>
    <w:rsid w:val="00DC63F0"/>
    <w:rsid w:val="00DC7756"/>
    <w:rsid w:val="00DD1579"/>
    <w:rsid w:val="00DD2ED8"/>
    <w:rsid w:val="00DD2F01"/>
    <w:rsid w:val="00DD411A"/>
    <w:rsid w:val="00DD4318"/>
    <w:rsid w:val="00DD6EE5"/>
    <w:rsid w:val="00DD75DE"/>
    <w:rsid w:val="00DD76BD"/>
    <w:rsid w:val="00DE19F9"/>
    <w:rsid w:val="00DE1A42"/>
    <w:rsid w:val="00DE2F1A"/>
    <w:rsid w:val="00DE386C"/>
    <w:rsid w:val="00DE477F"/>
    <w:rsid w:val="00DE4D35"/>
    <w:rsid w:val="00DE664F"/>
    <w:rsid w:val="00DE6D82"/>
    <w:rsid w:val="00DF00ED"/>
    <w:rsid w:val="00DF0549"/>
    <w:rsid w:val="00DF098B"/>
    <w:rsid w:val="00DF0C29"/>
    <w:rsid w:val="00DF113F"/>
    <w:rsid w:val="00DF11C4"/>
    <w:rsid w:val="00DF147E"/>
    <w:rsid w:val="00DF210C"/>
    <w:rsid w:val="00DF2562"/>
    <w:rsid w:val="00DF2A52"/>
    <w:rsid w:val="00DF3C05"/>
    <w:rsid w:val="00DF4B6A"/>
    <w:rsid w:val="00DF5080"/>
    <w:rsid w:val="00DF5A7E"/>
    <w:rsid w:val="00DF5C74"/>
    <w:rsid w:val="00E0014D"/>
    <w:rsid w:val="00E009C2"/>
    <w:rsid w:val="00E01C60"/>
    <w:rsid w:val="00E02838"/>
    <w:rsid w:val="00E02BA0"/>
    <w:rsid w:val="00E02C09"/>
    <w:rsid w:val="00E02D83"/>
    <w:rsid w:val="00E034F9"/>
    <w:rsid w:val="00E0366B"/>
    <w:rsid w:val="00E0368A"/>
    <w:rsid w:val="00E0410B"/>
    <w:rsid w:val="00E04D59"/>
    <w:rsid w:val="00E0500D"/>
    <w:rsid w:val="00E050A8"/>
    <w:rsid w:val="00E058A9"/>
    <w:rsid w:val="00E0685B"/>
    <w:rsid w:val="00E07DA1"/>
    <w:rsid w:val="00E10A62"/>
    <w:rsid w:val="00E113C0"/>
    <w:rsid w:val="00E11676"/>
    <w:rsid w:val="00E123CB"/>
    <w:rsid w:val="00E1433D"/>
    <w:rsid w:val="00E146E7"/>
    <w:rsid w:val="00E1557C"/>
    <w:rsid w:val="00E17E97"/>
    <w:rsid w:val="00E20E13"/>
    <w:rsid w:val="00E2105A"/>
    <w:rsid w:val="00E21DBC"/>
    <w:rsid w:val="00E24F33"/>
    <w:rsid w:val="00E255A9"/>
    <w:rsid w:val="00E26033"/>
    <w:rsid w:val="00E26313"/>
    <w:rsid w:val="00E266B2"/>
    <w:rsid w:val="00E275D7"/>
    <w:rsid w:val="00E277B5"/>
    <w:rsid w:val="00E27DBE"/>
    <w:rsid w:val="00E30242"/>
    <w:rsid w:val="00E304FA"/>
    <w:rsid w:val="00E30886"/>
    <w:rsid w:val="00E32245"/>
    <w:rsid w:val="00E32AB1"/>
    <w:rsid w:val="00E3408F"/>
    <w:rsid w:val="00E35191"/>
    <w:rsid w:val="00E3640C"/>
    <w:rsid w:val="00E36C71"/>
    <w:rsid w:val="00E370BF"/>
    <w:rsid w:val="00E37EB2"/>
    <w:rsid w:val="00E40404"/>
    <w:rsid w:val="00E4116D"/>
    <w:rsid w:val="00E421D6"/>
    <w:rsid w:val="00E435E7"/>
    <w:rsid w:val="00E43C7A"/>
    <w:rsid w:val="00E459C6"/>
    <w:rsid w:val="00E47589"/>
    <w:rsid w:val="00E4760A"/>
    <w:rsid w:val="00E50593"/>
    <w:rsid w:val="00E5105C"/>
    <w:rsid w:val="00E516BE"/>
    <w:rsid w:val="00E524A8"/>
    <w:rsid w:val="00E53A91"/>
    <w:rsid w:val="00E5519D"/>
    <w:rsid w:val="00E552BB"/>
    <w:rsid w:val="00E5639E"/>
    <w:rsid w:val="00E56428"/>
    <w:rsid w:val="00E57448"/>
    <w:rsid w:val="00E57F3D"/>
    <w:rsid w:val="00E602B9"/>
    <w:rsid w:val="00E608E2"/>
    <w:rsid w:val="00E64915"/>
    <w:rsid w:val="00E652D4"/>
    <w:rsid w:val="00E65373"/>
    <w:rsid w:val="00E661D4"/>
    <w:rsid w:val="00E662DA"/>
    <w:rsid w:val="00E66A65"/>
    <w:rsid w:val="00E70091"/>
    <w:rsid w:val="00E720F5"/>
    <w:rsid w:val="00E73B84"/>
    <w:rsid w:val="00E74639"/>
    <w:rsid w:val="00E74ABF"/>
    <w:rsid w:val="00E7613B"/>
    <w:rsid w:val="00E76D47"/>
    <w:rsid w:val="00E809F4"/>
    <w:rsid w:val="00E849F7"/>
    <w:rsid w:val="00E84DCB"/>
    <w:rsid w:val="00E84F75"/>
    <w:rsid w:val="00E85509"/>
    <w:rsid w:val="00E86138"/>
    <w:rsid w:val="00E86EAF"/>
    <w:rsid w:val="00E877BB"/>
    <w:rsid w:val="00E900F0"/>
    <w:rsid w:val="00E90302"/>
    <w:rsid w:val="00E90747"/>
    <w:rsid w:val="00E928B3"/>
    <w:rsid w:val="00E930B2"/>
    <w:rsid w:val="00E937B9"/>
    <w:rsid w:val="00E942F6"/>
    <w:rsid w:val="00E957AA"/>
    <w:rsid w:val="00E9597F"/>
    <w:rsid w:val="00E9664D"/>
    <w:rsid w:val="00E97396"/>
    <w:rsid w:val="00E97841"/>
    <w:rsid w:val="00E9788C"/>
    <w:rsid w:val="00EA185E"/>
    <w:rsid w:val="00EA24E7"/>
    <w:rsid w:val="00EA4818"/>
    <w:rsid w:val="00EA50BC"/>
    <w:rsid w:val="00EA592A"/>
    <w:rsid w:val="00EA5C30"/>
    <w:rsid w:val="00EA6EB9"/>
    <w:rsid w:val="00EB14E4"/>
    <w:rsid w:val="00EB17A9"/>
    <w:rsid w:val="00EB1E50"/>
    <w:rsid w:val="00EB2420"/>
    <w:rsid w:val="00EB29C8"/>
    <w:rsid w:val="00EB32A5"/>
    <w:rsid w:val="00EB34ED"/>
    <w:rsid w:val="00EB441A"/>
    <w:rsid w:val="00EB582F"/>
    <w:rsid w:val="00EB7BE0"/>
    <w:rsid w:val="00EC011D"/>
    <w:rsid w:val="00EC049B"/>
    <w:rsid w:val="00EC20E9"/>
    <w:rsid w:val="00EC315E"/>
    <w:rsid w:val="00EC4FE8"/>
    <w:rsid w:val="00ED077C"/>
    <w:rsid w:val="00ED1190"/>
    <w:rsid w:val="00ED2710"/>
    <w:rsid w:val="00ED6544"/>
    <w:rsid w:val="00ED7AC2"/>
    <w:rsid w:val="00EE0277"/>
    <w:rsid w:val="00EE1DA9"/>
    <w:rsid w:val="00EE290C"/>
    <w:rsid w:val="00EE3C18"/>
    <w:rsid w:val="00EE3E00"/>
    <w:rsid w:val="00EE4A51"/>
    <w:rsid w:val="00EE5DD2"/>
    <w:rsid w:val="00EE68BA"/>
    <w:rsid w:val="00EF1534"/>
    <w:rsid w:val="00EF25C2"/>
    <w:rsid w:val="00EF275F"/>
    <w:rsid w:val="00EF3864"/>
    <w:rsid w:val="00EF3F69"/>
    <w:rsid w:val="00EF41F1"/>
    <w:rsid w:val="00EF4865"/>
    <w:rsid w:val="00EF4F08"/>
    <w:rsid w:val="00EF7270"/>
    <w:rsid w:val="00F00A4A"/>
    <w:rsid w:val="00F00A79"/>
    <w:rsid w:val="00F00E86"/>
    <w:rsid w:val="00F034B6"/>
    <w:rsid w:val="00F0373F"/>
    <w:rsid w:val="00F075AF"/>
    <w:rsid w:val="00F07C1E"/>
    <w:rsid w:val="00F1013F"/>
    <w:rsid w:val="00F105DB"/>
    <w:rsid w:val="00F108BB"/>
    <w:rsid w:val="00F11179"/>
    <w:rsid w:val="00F11F2E"/>
    <w:rsid w:val="00F132BC"/>
    <w:rsid w:val="00F1358D"/>
    <w:rsid w:val="00F13D80"/>
    <w:rsid w:val="00F16AAA"/>
    <w:rsid w:val="00F207E5"/>
    <w:rsid w:val="00F2112B"/>
    <w:rsid w:val="00F21161"/>
    <w:rsid w:val="00F218EF"/>
    <w:rsid w:val="00F21BC7"/>
    <w:rsid w:val="00F22437"/>
    <w:rsid w:val="00F235F6"/>
    <w:rsid w:val="00F25CC3"/>
    <w:rsid w:val="00F264B3"/>
    <w:rsid w:val="00F266A2"/>
    <w:rsid w:val="00F266AD"/>
    <w:rsid w:val="00F267AB"/>
    <w:rsid w:val="00F27C48"/>
    <w:rsid w:val="00F30D66"/>
    <w:rsid w:val="00F32269"/>
    <w:rsid w:val="00F33564"/>
    <w:rsid w:val="00F426C1"/>
    <w:rsid w:val="00F44BC6"/>
    <w:rsid w:val="00F45E70"/>
    <w:rsid w:val="00F5115C"/>
    <w:rsid w:val="00F52911"/>
    <w:rsid w:val="00F551DA"/>
    <w:rsid w:val="00F56301"/>
    <w:rsid w:val="00F56A6F"/>
    <w:rsid w:val="00F56E0D"/>
    <w:rsid w:val="00F5709C"/>
    <w:rsid w:val="00F57E5D"/>
    <w:rsid w:val="00F63FA9"/>
    <w:rsid w:val="00F6440D"/>
    <w:rsid w:val="00F64CFB"/>
    <w:rsid w:val="00F64EF1"/>
    <w:rsid w:val="00F663C8"/>
    <w:rsid w:val="00F66F8A"/>
    <w:rsid w:val="00F67935"/>
    <w:rsid w:val="00F70239"/>
    <w:rsid w:val="00F7061A"/>
    <w:rsid w:val="00F71AA6"/>
    <w:rsid w:val="00F71C00"/>
    <w:rsid w:val="00F72EED"/>
    <w:rsid w:val="00F763E5"/>
    <w:rsid w:val="00F76E7B"/>
    <w:rsid w:val="00F80622"/>
    <w:rsid w:val="00F80FC3"/>
    <w:rsid w:val="00F81037"/>
    <w:rsid w:val="00F841A8"/>
    <w:rsid w:val="00F8765F"/>
    <w:rsid w:val="00F87FA0"/>
    <w:rsid w:val="00F90767"/>
    <w:rsid w:val="00F90A1E"/>
    <w:rsid w:val="00F91AB3"/>
    <w:rsid w:val="00F921D9"/>
    <w:rsid w:val="00F96074"/>
    <w:rsid w:val="00F9620C"/>
    <w:rsid w:val="00F979E2"/>
    <w:rsid w:val="00FA04AA"/>
    <w:rsid w:val="00FA23E2"/>
    <w:rsid w:val="00FA40E5"/>
    <w:rsid w:val="00FA4BE6"/>
    <w:rsid w:val="00FA4C0D"/>
    <w:rsid w:val="00FA5537"/>
    <w:rsid w:val="00FA5679"/>
    <w:rsid w:val="00FA685B"/>
    <w:rsid w:val="00FA75EB"/>
    <w:rsid w:val="00FB0788"/>
    <w:rsid w:val="00FB08A3"/>
    <w:rsid w:val="00FB0C01"/>
    <w:rsid w:val="00FB0FC8"/>
    <w:rsid w:val="00FB3C1D"/>
    <w:rsid w:val="00FB5E62"/>
    <w:rsid w:val="00FC0638"/>
    <w:rsid w:val="00FC18F2"/>
    <w:rsid w:val="00FC24CD"/>
    <w:rsid w:val="00FC39E5"/>
    <w:rsid w:val="00FC3A78"/>
    <w:rsid w:val="00FC43E7"/>
    <w:rsid w:val="00FC5816"/>
    <w:rsid w:val="00FC5FFE"/>
    <w:rsid w:val="00FD0850"/>
    <w:rsid w:val="00FD1005"/>
    <w:rsid w:val="00FD1533"/>
    <w:rsid w:val="00FD3180"/>
    <w:rsid w:val="00FD4499"/>
    <w:rsid w:val="00FD495D"/>
    <w:rsid w:val="00FD6C75"/>
    <w:rsid w:val="00FE03D6"/>
    <w:rsid w:val="00FE1404"/>
    <w:rsid w:val="00FE1DCA"/>
    <w:rsid w:val="00FE1DFA"/>
    <w:rsid w:val="00FE3B64"/>
    <w:rsid w:val="00FE3E2F"/>
    <w:rsid w:val="00FE510F"/>
    <w:rsid w:val="00FE6583"/>
    <w:rsid w:val="00FE69C5"/>
    <w:rsid w:val="00FE71B3"/>
    <w:rsid w:val="00FE7989"/>
    <w:rsid w:val="00FE7E10"/>
    <w:rsid w:val="00FF0030"/>
    <w:rsid w:val="00FF0409"/>
    <w:rsid w:val="00FF0565"/>
    <w:rsid w:val="00FF42C5"/>
    <w:rsid w:val="00FF44C5"/>
    <w:rsid w:val="00FF47E0"/>
    <w:rsid w:val="00FF59AB"/>
    <w:rsid w:val="00FF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48DC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A0A"/>
    <w:pPr>
      <w:jc w:val="both"/>
    </w:pPr>
    <w:rPr>
      <w:sz w:val="24"/>
      <w:szCs w:val="22"/>
    </w:rPr>
  </w:style>
  <w:style w:type="paragraph" w:styleId="Heading1">
    <w:name w:val="heading 1"/>
    <w:basedOn w:val="Normal"/>
    <w:next w:val="Normal"/>
    <w:link w:val="Heading1Char"/>
    <w:uiPriority w:val="99"/>
    <w:qFormat/>
    <w:rsid w:val="00DB779D"/>
    <w:pPr>
      <w:spacing w:before="480"/>
      <w:contextualSpacing/>
      <w:outlineLvl w:val="0"/>
    </w:pPr>
    <w:rPr>
      <w:b/>
      <w:bCs/>
      <w:color w:val="333333"/>
      <w:sz w:val="28"/>
      <w:szCs w:val="28"/>
    </w:rPr>
  </w:style>
  <w:style w:type="paragraph" w:styleId="Heading2">
    <w:name w:val="heading 2"/>
    <w:basedOn w:val="Normal"/>
    <w:next w:val="Normal"/>
    <w:link w:val="Heading2Char"/>
    <w:uiPriority w:val="99"/>
    <w:qFormat/>
    <w:rsid w:val="00DB779D"/>
    <w:pPr>
      <w:spacing w:before="200"/>
      <w:outlineLvl w:val="1"/>
    </w:pPr>
    <w:rPr>
      <w:b/>
      <w:bCs/>
      <w:color w:val="4D4D4D"/>
      <w:sz w:val="26"/>
      <w:szCs w:val="26"/>
    </w:rPr>
  </w:style>
  <w:style w:type="paragraph" w:styleId="Heading3">
    <w:name w:val="heading 3"/>
    <w:basedOn w:val="Normal"/>
    <w:next w:val="Normal"/>
    <w:link w:val="Heading3Char"/>
    <w:uiPriority w:val="99"/>
    <w:qFormat/>
    <w:rsid w:val="00DB779D"/>
    <w:pPr>
      <w:spacing w:before="200" w:line="271" w:lineRule="auto"/>
      <w:outlineLvl w:val="2"/>
    </w:pPr>
    <w:rPr>
      <w:b/>
      <w:bCs/>
      <w:color w:val="5F5F5F"/>
    </w:rPr>
  </w:style>
  <w:style w:type="paragraph" w:styleId="Heading4">
    <w:name w:val="heading 4"/>
    <w:basedOn w:val="Normal"/>
    <w:next w:val="Normal"/>
    <w:link w:val="Heading4Char"/>
    <w:uiPriority w:val="99"/>
    <w:qFormat/>
    <w:rsid w:val="00DB779D"/>
    <w:pPr>
      <w:spacing w:before="200"/>
      <w:outlineLvl w:val="3"/>
    </w:pPr>
    <w:rPr>
      <w:b/>
      <w:bCs/>
      <w:i/>
      <w:iCs/>
      <w:color w:val="777777"/>
    </w:rPr>
  </w:style>
  <w:style w:type="paragraph" w:styleId="Heading5">
    <w:name w:val="heading 5"/>
    <w:basedOn w:val="Normal"/>
    <w:next w:val="Normal"/>
    <w:link w:val="Heading5Char"/>
    <w:uiPriority w:val="99"/>
    <w:qFormat/>
    <w:rsid w:val="00D10A0A"/>
    <w:pPr>
      <w:spacing w:before="200"/>
      <w:outlineLvl w:val="4"/>
    </w:pPr>
    <w:rPr>
      <w:b/>
      <w:bCs/>
      <w:color w:val="808080"/>
      <w:sz w:val="22"/>
    </w:rPr>
  </w:style>
  <w:style w:type="paragraph" w:styleId="Heading6">
    <w:name w:val="heading 6"/>
    <w:basedOn w:val="Normal"/>
    <w:next w:val="Normal"/>
    <w:link w:val="Heading6Char"/>
    <w:uiPriority w:val="99"/>
    <w:qFormat/>
    <w:rsid w:val="00DB779D"/>
    <w:pPr>
      <w:spacing w:line="271" w:lineRule="auto"/>
      <w:outlineLvl w:val="5"/>
    </w:pPr>
    <w:rPr>
      <w:b/>
      <w:bCs/>
      <w:i/>
      <w:iCs/>
      <w:color w:val="7F7F7F"/>
      <w:lang w:bidi="en-US"/>
    </w:rPr>
  </w:style>
  <w:style w:type="paragraph" w:styleId="Heading7">
    <w:name w:val="heading 7"/>
    <w:basedOn w:val="Normal"/>
    <w:next w:val="Normal"/>
    <w:link w:val="Heading7Char"/>
    <w:uiPriority w:val="99"/>
    <w:qFormat/>
    <w:rsid w:val="00D10A0A"/>
    <w:pPr>
      <w:outlineLvl w:val="6"/>
    </w:pPr>
    <w:rPr>
      <w:i/>
      <w:iCs/>
      <w:sz w:val="22"/>
      <w:lang w:bidi="en-US"/>
    </w:rPr>
  </w:style>
  <w:style w:type="paragraph" w:styleId="Heading8">
    <w:name w:val="heading 8"/>
    <w:basedOn w:val="Normal"/>
    <w:next w:val="Normal"/>
    <w:link w:val="Heading8Char"/>
    <w:uiPriority w:val="99"/>
    <w:qFormat/>
    <w:rsid w:val="00D10A0A"/>
    <w:pPr>
      <w:outlineLvl w:val="7"/>
    </w:pPr>
    <w:rPr>
      <w:sz w:val="20"/>
      <w:szCs w:val="20"/>
      <w:lang w:bidi="en-US"/>
    </w:rPr>
  </w:style>
  <w:style w:type="paragraph" w:styleId="Heading9">
    <w:name w:val="heading 9"/>
    <w:basedOn w:val="Normal"/>
    <w:next w:val="Normal"/>
    <w:link w:val="Heading9Char"/>
    <w:uiPriority w:val="99"/>
    <w:qFormat/>
    <w:rsid w:val="00D10A0A"/>
    <w:pPr>
      <w:outlineLvl w:val="8"/>
    </w:pPr>
    <w:rPr>
      <w:i/>
      <w:iCs/>
      <w:spacing w:val="5"/>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779D"/>
    <w:rPr>
      <w:rFonts w:ascii="Tahoma" w:hAnsi="Tahoma" w:cs="Tahoma"/>
      <w:sz w:val="16"/>
      <w:szCs w:val="16"/>
    </w:rPr>
  </w:style>
  <w:style w:type="character" w:customStyle="1" w:styleId="BalloonTextChar">
    <w:name w:val="Balloon Text Char"/>
    <w:link w:val="BalloonText"/>
    <w:uiPriority w:val="99"/>
    <w:semiHidden/>
    <w:rsid w:val="00DB779D"/>
    <w:rPr>
      <w:rFonts w:ascii="Tahoma" w:eastAsia="Times New Roman" w:hAnsi="Tahoma" w:cs="Tahoma"/>
      <w:sz w:val="16"/>
      <w:szCs w:val="16"/>
    </w:rPr>
  </w:style>
  <w:style w:type="character" w:styleId="BookTitle">
    <w:name w:val="Book Title"/>
    <w:uiPriority w:val="99"/>
    <w:qFormat/>
    <w:rsid w:val="00D10A0A"/>
    <w:rPr>
      <w:i/>
      <w:iCs/>
      <w:smallCaps/>
      <w:spacing w:val="5"/>
    </w:rPr>
  </w:style>
  <w:style w:type="paragraph" w:customStyle="1" w:styleId="ECHRHeader">
    <w:name w:val="ECHR_Header"/>
    <w:aliases w:val="Ju_Header"/>
    <w:basedOn w:val="Header"/>
    <w:uiPriority w:val="4"/>
    <w:qFormat/>
    <w:rsid w:val="00D10A0A"/>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DB779D"/>
    <w:pPr>
      <w:jc w:val="left"/>
    </w:pPr>
    <w:rPr>
      <w:sz w:val="8"/>
    </w:rPr>
  </w:style>
  <w:style w:type="character" w:styleId="Strong">
    <w:name w:val="Strong"/>
    <w:uiPriority w:val="99"/>
    <w:qFormat/>
    <w:rsid w:val="00D10A0A"/>
    <w:rPr>
      <w:b/>
      <w:bCs/>
    </w:rPr>
  </w:style>
  <w:style w:type="paragraph" w:styleId="NoSpacing">
    <w:name w:val="No Spacing"/>
    <w:basedOn w:val="Normal"/>
    <w:link w:val="NoSpacingChar"/>
    <w:qFormat/>
    <w:rsid w:val="00D10A0A"/>
    <w:rPr>
      <w:sz w:val="22"/>
    </w:rPr>
  </w:style>
  <w:style w:type="character" w:customStyle="1" w:styleId="NoSpacingChar">
    <w:name w:val="No Spacing Char"/>
    <w:link w:val="NoSpacing"/>
    <w:semiHidden/>
    <w:rsid w:val="00D10A0A"/>
    <w:rPr>
      <w:rFonts w:eastAsia="Times New Roman"/>
    </w:rPr>
  </w:style>
  <w:style w:type="paragraph" w:customStyle="1" w:styleId="ECHRFooterLine">
    <w:name w:val="ECHR_Footer_Line"/>
    <w:aliases w:val="Footer_Line"/>
    <w:basedOn w:val="Normal"/>
    <w:next w:val="ECHRFooter"/>
    <w:uiPriority w:val="57"/>
    <w:semiHidden/>
    <w:rsid w:val="00DB779D"/>
    <w:pPr>
      <w:pBdr>
        <w:top w:val="single" w:sz="6" w:space="1" w:color="5F5F5F"/>
      </w:pBdr>
      <w:tabs>
        <w:tab w:val="center" w:pos="4536"/>
        <w:tab w:val="right" w:pos="9696"/>
      </w:tabs>
      <w:ind w:left="-680" w:right="-680"/>
      <w:jc w:val="left"/>
    </w:pPr>
    <w:rPr>
      <w:color w:val="5F5F5F"/>
    </w:rPr>
  </w:style>
  <w:style w:type="paragraph" w:customStyle="1" w:styleId="OpiPara">
    <w:name w:val="Opi_Para"/>
    <w:basedOn w:val="ECHRPara"/>
    <w:uiPriority w:val="46"/>
    <w:qFormat/>
    <w:rsid w:val="00D10A0A"/>
  </w:style>
  <w:style w:type="paragraph" w:customStyle="1" w:styleId="JuParaSub">
    <w:name w:val="Ju_Para_Sub"/>
    <w:basedOn w:val="ECHRPara"/>
    <w:uiPriority w:val="13"/>
    <w:qFormat/>
    <w:rsid w:val="00D10A0A"/>
    <w:pPr>
      <w:ind w:left="284"/>
    </w:pPr>
  </w:style>
  <w:style w:type="paragraph" w:customStyle="1" w:styleId="OpiParaSub">
    <w:name w:val="Opi_Para_Sub"/>
    <w:basedOn w:val="JuParaSub"/>
    <w:uiPriority w:val="47"/>
    <w:qFormat/>
    <w:rsid w:val="00D10A0A"/>
  </w:style>
  <w:style w:type="paragraph" w:customStyle="1" w:styleId="ECHRTitleCentre3">
    <w:name w:val="ECHR_Title_Centre_3"/>
    <w:aliases w:val="Ju_H_Article"/>
    <w:basedOn w:val="Normal"/>
    <w:next w:val="ECHRParaQuote"/>
    <w:uiPriority w:val="27"/>
    <w:qFormat/>
    <w:rsid w:val="00D10A0A"/>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D10A0A"/>
    <w:pPr>
      <w:keepNext/>
      <w:keepLines/>
      <w:spacing w:after="240"/>
      <w:jc w:val="center"/>
      <w:outlineLvl w:val="0"/>
    </w:pPr>
    <w:rPr>
      <w:sz w:val="28"/>
    </w:rPr>
  </w:style>
  <w:style w:type="paragraph" w:customStyle="1" w:styleId="OpiQuot">
    <w:name w:val="Opi_Quot"/>
    <w:basedOn w:val="ECHRParaQuote"/>
    <w:uiPriority w:val="48"/>
    <w:qFormat/>
    <w:rsid w:val="00D10A0A"/>
  </w:style>
  <w:style w:type="paragraph" w:customStyle="1" w:styleId="OpiQuotSub">
    <w:name w:val="Opi_Quot_Sub"/>
    <w:basedOn w:val="JuQuotSub"/>
    <w:uiPriority w:val="49"/>
    <w:qFormat/>
    <w:rsid w:val="00D10A0A"/>
  </w:style>
  <w:style w:type="paragraph" w:customStyle="1" w:styleId="JuInitialled">
    <w:name w:val="Ju_Initialled"/>
    <w:basedOn w:val="Normal"/>
    <w:uiPriority w:val="31"/>
    <w:qFormat/>
    <w:rsid w:val="00D10A0A"/>
    <w:pPr>
      <w:tabs>
        <w:tab w:val="center" w:pos="6407"/>
      </w:tabs>
      <w:spacing w:before="720"/>
      <w:jc w:val="right"/>
    </w:pPr>
  </w:style>
  <w:style w:type="paragraph" w:customStyle="1" w:styleId="ECHRTitleCentre2">
    <w:name w:val="ECHR_Title_Centre_2"/>
    <w:aliases w:val="Dec_H_Case"/>
    <w:basedOn w:val="Normal"/>
    <w:next w:val="ECHRPara"/>
    <w:uiPriority w:val="8"/>
    <w:rsid w:val="00DB779D"/>
    <w:pPr>
      <w:spacing w:after="240"/>
      <w:jc w:val="center"/>
      <w:outlineLvl w:val="0"/>
    </w:pPr>
  </w:style>
  <w:style w:type="paragraph" w:customStyle="1" w:styleId="OpiHA">
    <w:name w:val="Opi_H_A"/>
    <w:basedOn w:val="ECHRHeading1"/>
    <w:next w:val="OpiPara"/>
    <w:uiPriority w:val="41"/>
    <w:qFormat/>
    <w:rsid w:val="00D10A0A"/>
    <w:pPr>
      <w:tabs>
        <w:tab w:val="clear" w:pos="357"/>
      </w:tabs>
      <w:outlineLvl w:val="1"/>
    </w:pPr>
    <w:rPr>
      <w:b/>
    </w:rPr>
  </w:style>
  <w:style w:type="paragraph" w:styleId="Title">
    <w:name w:val="Title"/>
    <w:basedOn w:val="Normal"/>
    <w:next w:val="Normal"/>
    <w:link w:val="TitleChar"/>
    <w:uiPriority w:val="99"/>
    <w:qFormat/>
    <w:rsid w:val="00D10A0A"/>
    <w:pPr>
      <w:pBdr>
        <w:bottom w:val="single" w:sz="4" w:space="1" w:color="auto"/>
      </w:pBdr>
      <w:contextualSpacing/>
    </w:pPr>
    <w:rPr>
      <w:spacing w:val="5"/>
      <w:sz w:val="52"/>
      <w:szCs w:val="52"/>
      <w:lang w:bidi="en-US"/>
    </w:rPr>
  </w:style>
  <w:style w:type="character" w:customStyle="1" w:styleId="TitleChar">
    <w:name w:val="Title Char"/>
    <w:link w:val="Title"/>
    <w:uiPriority w:val="99"/>
    <w:semiHidden/>
    <w:rsid w:val="00D10A0A"/>
    <w:rPr>
      <w:rFonts w:ascii="Times New Roman" w:eastAsia="Times New Roman" w:hAnsi="Times New Roman" w:cs="Times New Roman"/>
      <w:spacing w:val="5"/>
      <w:sz w:val="52"/>
      <w:szCs w:val="52"/>
      <w:lang w:bidi="en-US"/>
    </w:rPr>
  </w:style>
  <w:style w:type="paragraph" w:customStyle="1" w:styleId="ECHRHeading3">
    <w:name w:val="ECHR_Heading_3"/>
    <w:aliases w:val="Ju_H_1."/>
    <w:basedOn w:val="Heading3"/>
    <w:next w:val="ECHRPara"/>
    <w:uiPriority w:val="21"/>
    <w:qFormat/>
    <w:rsid w:val="00D10A0A"/>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D10A0A"/>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D10A0A"/>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D10A0A"/>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D10A0A"/>
    <w:pPr>
      <w:keepNext/>
      <w:keepLines/>
      <w:spacing w:before="240" w:after="120"/>
      <w:ind w:left="1236"/>
    </w:pPr>
    <w:rPr>
      <w:sz w:val="20"/>
    </w:rPr>
  </w:style>
  <w:style w:type="paragraph" w:customStyle="1" w:styleId="JuQuotSub">
    <w:name w:val="Ju_Quot_Sub"/>
    <w:basedOn w:val="ECHRParaQuote"/>
    <w:uiPriority w:val="15"/>
    <w:qFormat/>
    <w:rsid w:val="00D10A0A"/>
    <w:pPr>
      <w:ind w:left="567"/>
    </w:pPr>
  </w:style>
  <w:style w:type="character" w:customStyle="1" w:styleId="JUNAMES">
    <w:name w:val="JU_NAMES"/>
    <w:uiPriority w:val="17"/>
    <w:qFormat/>
    <w:rsid w:val="00D10A0A"/>
    <w:rPr>
      <w:caps w:val="0"/>
      <w:smallCaps/>
    </w:rPr>
  </w:style>
  <w:style w:type="character" w:customStyle="1" w:styleId="JuITMark">
    <w:name w:val="Ju_ITMark"/>
    <w:uiPriority w:val="38"/>
    <w:qFormat/>
    <w:rsid w:val="00D10A0A"/>
    <w:rPr>
      <w:vanish w:val="0"/>
      <w:color w:val="auto"/>
      <w:sz w:val="14"/>
    </w:rPr>
  </w:style>
  <w:style w:type="paragraph" w:styleId="Header">
    <w:name w:val="header"/>
    <w:basedOn w:val="Normal"/>
    <w:link w:val="HeaderChar"/>
    <w:uiPriority w:val="57"/>
    <w:semiHidden/>
    <w:rsid w:val="00DB779D"/>
    <w:pPr>
      <w:tabs>
        <w:tab w:val="center" w:pos="4536"/>
        <w:tab w:val="right" w:pos="9072"/>
      </w:tabs>
    </w:pPr>
  </w:style>
  <w:style w:type="character" w:customStyle="1" w:styleId="HeaderChar">
    <w:name w:val="Header Char"/>
    <w:link w:val="Header"/>
    <w:uiPriority w:val="57"/>
    <w:semiHidden/>
    <w:rsid w:val="00DB779D"/>
    <w:rPr>
      <w:sz w:val="24"/>
    </w:rPr>
  </w:style>
  <w:style w:type="character" w:customStyle="1" w:styleId="Heading1Char">
    <w:name w:val="Heading 1 Char"/>
    <w:link w:val="Heading1"/>
    <w:uiPriority w:val="99"/>
    <w:semiHidden/>
    <w:rsid w:val="00DB779D"/>
    <w:rPr>
      <w:rFonts w:ascii="Times New Roman" w:eastAsia="Times New Roman" w:hAnsi="Times New Roman" w:cs="Times New Roman"/>
      <w:b/>
      <w:bCs/>
      <w:color w:val="333333"/>
      <w:sz w:val="28"/>
      <w:szCs w:val="28"/>
    </w:rPr>
  </w:style>
  <w:style w:type="paragraph" w:customStyle="1" w:styleId="ECHRHeading1">
    <w:name w:val="ECHR_Heading_1"/>
    <w:aliases w:val="Ju_H_I_Roman"/>
    <w:basedOn w:val="Heading1"/>
    <w:next w:val="ECHRPara"/>
    <w:uiPriority w:val="19"/>
    <w:qFormat/>
    <w:rsid w:val="00D10A0A"/>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D10A0A"/>
    <w:pPr>
      <w:keepNext/>
      <w:keepLines/>
      <w:tabs>
        <w:tab w:val="left" w:pos="584"/>
      </w:tabs>
      <w:spacing w:before="360" w:after="240"/>
      <w:ind w:left="584" w:hanging="352"/>
    </w:pPr>
    <w:rPr>
      <w:color w:val="auto"/>
      <w:sz w:val="24"/>
    </w:rPr>
  </w:style>
  <w:style w:type="character" w:customStyle="1" w:styleId="Heading2Char">
    <w:name w:val="Heading 2 Char"/>
    <w:link w:val="Heading2"/>
    <w:uiPriority w:val="99"/>
    <w:semiHidden/>
    <w:rsid w:val="00DB779D"/>
    <w:rPr>
      <w:rFonts w:ascii="Times New Roman" w:eastAsia="Times New Roman" w:hAnsi="Times New Roman" w:cs="Times New Roman"/>
      <w:b/>
      <w:bCs/>
      <w:color w:val="4D4D4D"/>
      <w:sz w:val="26"/>
      <w:szCs w:val="26"/>
    </w:rPr>
  </w:style>
  <w:style w:type="paragraph" w:customStyle="1" w:styleId="OpiTranslation">
    <w:name w:val="Opi_Translation"/>
    <w:basedOn w:val="Normal"/>
    <w:next w:val="OpiPara"/>
    <w:uiPriority w:val="40"/>
    <w:qFormat/>
    <w:rsid w:val="00D10A0A"/>
    <w:pPr>
      <w:jc w:val="center"/>
      <w:outlineLvl w:val="0"/>
    </w:pPr>
    <w:rPr>
      <w:i/>
    </w:rPr>
  </w:style>
  <w:style w:type="paragraph" w:customStyle="1" w:styleId="JuCase">
    <w:name w:val="Ju_Case"/>
    <w:basedOn w:val="Normal"/>
    <w:next w:val="ECHRPara"/>
    <w:uiPriority w:val="10"/>
    <w:rsid w:val="00DB779D"/>
    <w:pPr>
      <w:ind w:firstLine="284"/>
    </w:pPr>
    <w:rPr>
      <w:b/>
    </w:rPr>
  </w:style>
  <w:style w:type="character" w:customStyle="1" w:styleId="Heading3Char">
    <w:name w:val="Heading 3 Char"/>
    <w:link w:val="Heading3"/>
    <w:uiPriority w:val="99"/>
    <w:semiHidden/>
    <w:rsid w:val="00DB779D"/>
    <w:rPr>
      <w:rFonts w:ascii="Times New Roman" w:eastAsia="Times New Roman" w:hAnsi="Times New Roman" w:cs="Times New Roman"/>
      <w:b/>
      <w:bCs/>
      <w:color w:val="5F5F5F"/>
      <w:sz w:val="24"/>
    </w:rPr>
  </w:style>
  <w:style w:type="character" w:customStyle="1" w:styleId="Heading4Char">
    <w:name w:val="Heading 4 Char"/>
    <w:link w:val="Heading4"/>
    <w:uiPriority w:val="99"/>
    <w:semiHidden/>
    <w:rsid w:val="00DB779D"/>
    <w:rPr>
      <w:rFonts w:ascii="Times New Roman" w:eastAsia="Times New Roman" w:hAnsi="Times New Roman" w:cs="Times New Roman"/>
      <w:b/>
      <w:bCs/>
      <w:i/>
      <w:iCs/>
      <w:color w:val="777777"/>
      <w:sz w:val="24"/>
    </w:rPr>
  </w:style>
  <w:style w:type="character" w:customStyle="1" w:styleId="Heading5Char">
    <w:name w:val="Heading 5 Char"/>
    <w:link w:val="Heading5"/>
    <w:uiPriority w:val="99"/>
    <w:semiHidden/>
    <w:rsid w:val="00D10A0A"/>
    <w:rPr>
      <w:rFonts w:ascii="Times New Roman" w:eastAsia="Times New Roman" w:hAnsi="Times New Roman" w:cs="Times New Roman"/>
      <w:b/>
      <w:bCs/>
      <w:color w:val="808080"/>
    </w:rPr>
  </w:style>
  <w:style w:type="character" w:styleId="SubtleEmphasis">
    <w:name w:val="Subtle Emphasis"/>
    <w:uiPriority w:val="99"/>
    <w:qFormat/>
    <w:rsid w:val="00D10A0A"/>
    <w:rPr>
      <w:i/>
      <w:iCs/>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ECHRPara"/>
    <w:uiPriority w:val="18"/>
    <w:qFormat/>
    <w:rsid w:val="00D10A0A"/>
    <w:pPr>
      <w:keepNext/>
      <w:keepLines/>
      <w:spacing w:before="720" w:after="240"/>
      <w:outlineLvl w:val="0"/>
    </w:pPr>
    <w:rPr>
      <w:sz w:val="28"/>
    </w:rPr>
  </w:style>
  <w:style w:type="character" w:styleId="Emphasis">
    <w:name w:val="Emphasis"/>
    <w:uiPriority w:val="99"/>
    <w:qFormat/>
    <w:rsid w:val="00D10A0A"/>
    <w:rPr>
      <w:b/>
      <w:bCs/>
      <w:i/>
      <w:iCs/>
      <w:spacing w:val="10"/>
      <w:bdr w:val="none" w:sz="0" w:space="0" w:color="auto"/>
      <w:shd w:val="clear" w:color="auto" w:fill="auto"/>
    </w:rPr>
  </w:style>
  <w:style w:type="paragraph" w:styleId="Footer">
    <w:name w:val="footer"/>
    <w:basedOn w:val="Normal"/>
    <w:link w:val="FooterChar"/>
    <w:uiPriority w:val="57"/>
    <w:semiHidden/>
    <w:rsid w:val="00DB779D"/>
    <w:pPr>
      <w:tabs>
        <w:tab w:val="center" w:pos="4536"/>
        <w:tab w:val="right" w:pos="9696"/>
      </w:tabs>
      <w:ind w:left="-680" w:right="-680"/>
    </w:pPr>
  </w:style>
  <w:style w:type="character" w:customStyle="1" w:styleId="FooterChar">
    <w:name w:val="Footer Char"/>
    <w:link w:val="Footer"/>
    <w:uiPriority w:val="57"/>
    <w:semiHidden/>
    <w:rsid w:val="00DB779D"/>
    <w:rPr>
      <w:sz w:val="24"/>
    </w:rPr>
  </w:style>
  <w:style w:type="character" w:styleId="FootnoteReference">
    <w:name w:val="footnote reference"/>
    <w:uiPriority w:val="99"/>
    <w:semiHidden/>
    <w:rsid w:val="00DB779D"/>
    <w:rPr>
      <w:vertAlign w:val="superscript"/>
    </w:rPr>
  </w:style>
  <w:style w:type="paragraph" w:styleId="FootnoteText">
    <w:name w:val="footnote text"/>
    <w:basedOn w:val="Normal"/>
    <w:link w:val="FootnoteTextChar"/>
    <w:uiPriority w:val="99"/>
    <w:semiHidden/>
    <w:rsid w:val="00DB779D"/>
    <w:rPr>
      <w:sz w:val="20"/>
      <w:szCs w:val="20"/>
    </w:rPr>
  </w:style>
  <w:style w:type="character" w:customStyle="1" w:styleId="FootnoteTextChar">
    <w:name w:val="Footnote Text Char"/>
    <w:link w:val="FootnoteText"/>
    <w:uiPriority w:val="99"/>
    <w:semiHidden/>
    <w:rsid w:val="00DB779D"/>
    <w:rPr>
      <w:rFonts w:eastAsia="Times New Roman"/>
      <w:sz w:val="20"/>
      <w:szCs w:val="20"/>
    </w:rPr>
  </w:style>
  <w:style w:type="character" w:customStyle="1" w:styleId="Heading6Char">
    <w:name w:val="Heading 6 Char"/>
    <w:link w:val="Heading6"/>
    <w:uiPriority w:val="99"/>
    <w:semiHidden/>
    <w:rsid w:val="00DB779D"/>
    <w:rPr>
      <w:rFonts w:ascii="Times New Roman" w:eastAsia="Times New Roman" w:hAnsi="Times New Roman" w:cs="Times New Roman"/>
      <w:b/>
      <w:bCs/>
      <w:i/>
      <w:iCs/>
      <w:color w:val="7F7F7F"/>
      <w:sz w:val="24"/>
      <w:lang w:bidi="en-US"/>
    </w:rPr>
  </w:style>
  <w:style w:type="character" w:customStyle="1" w:styleId="Heading7Char">
    <w:name w:val="Heading 7 Char"/>
    <w:link w:val="Heading7"/>
    <w:uiPriority w:val="99"/>
    <w:semiHidden/>
    <w:rsid w:val="00D10A0A"/>
    <w:rPr>
      <w:rFonts w:ascii="Times New Roman" w:eastAsia="Times New Roman" w:hAnsi="Times New Roman" w:cs="Times New Roman"/>
      <w:i/>
      <w:iCs/>
      <w:lang w:bidi="en-US"/>
    </w:rPr>
  </w:style>
  <w:style w:type="character" w:customStyle="1" w:styleId="Heading8Char">
    <w:name w:val="Heading 8 Char"/>
    <w:link w:val="Heading8"/>
    <w:uiPriority w:val="99"/>
    <w:semiHidden/>
    <w:rsid w:val="00D10A0A"/>
    <w:rPr>
      <w:rFonts w:ascii="Times New Roman" w:eastAsia="Times New Roman" w:hAnsi="Times New Roman" w:cs="Times New Roman"/>
      <w:sz w:val="20"/>
      <w:szCs w:val="20"/>
      <w:lang w:bidi="en-US"/>
    </w:rPr>
  </w:style>
  <w:style w:type="character" w:customStyle="1" w:styleId="Heading9Char">
    <w:name w:val="Heading 9 Char"/>
    <w:link w:val="Heading9"/>
    <w:uiPriority w:val="99"/>
    <w:semiHidden/>
    <w:rsid w:val="00D10A0A"/>
    <w:rPr>
      <w:rFonts w:ascii="Times New Roman" w:eastAsia="Times New Roman" w:hAnsi="Times New Roman" w:cs="Times New Roman"/>
      <w:i/>
      <w:iCs/>
      <w:spacing w:val="5"/>
      <w:sz w:val="20"/>
      <w:szCs w:val="20"/>
      <w:lang w:bidi="en-US"/>
    </w:rPr>
  </w:style>
  <w:style w:type="character" w:styleId="Hyperlink">
    <w:name w:val="Hyperlink"/>
    <w:uiPriority w:val="99"/>
    <w:semiHidden/>
    <w:rsid w:val="00DB779D"/>
    <w:rPr>
      <w:color w:val="0072BC"/>
      <w:u w:val="single"/>
    </w:rPr>
  </w:style>
  <w:style w:type="character" w:styleId="IntenseEmphasis">
    <w:name w:val="Intense Emphasis"/>
    <w:uiPriority w:val="99"/>
    <w:qFormat/>
    <w:rsid w:val="00D10A0A"/>
    <w:rPr>
      <w:b/>
      <w:bCs/>
    </w:rPr>
  </w:style>
  <w:style w:type="paragraph" w:styleId="IntenseQuote">
    <w:name w:val="Intense Quote"/>
    <w:basedOn w:val="Normal"/>
    <w:next w:val="Normal"/>
    <w:link w:val="IntenseQuoteChar"/>
    <w:uiPriority w:val="99"/>
    <w:qFormat/>
    <w:rsid w:val="00D10A0A"/>
    <w:pPr>
      <w:pBdr>
        <w:bottom w:val="single" w:sz="4" w:space="1" w:color="auto"/>
      </w:pBdr>
      <w:spacing w:before="200" w:after="280"/>
      <w:ind w:left="1008" w:right="1152"/>
    </w:pPr>
    <w:rPr>
      <w:b/>
      <w:bCs/>
      <w:i/>
      <w:iCs/>
      <w:sz w:val="22"/>
      <w:lang w:bidi="en-US"/>
    </w:rPr>
  </w:style>
  <w:style w:type="character" w:customStyle="1" w:styleId="IntenseQuoteChar">
    <w:name w:val="Intense Quote Char"/>
    <w:link w:val="IntenseQuote"/>
    <w:uiPriority w:val="99"/>
    <w:semiHidden/>
    <w:rsid w:val="00D10A0A"/>
    <w:rPr>
      <w:rFonts w:eastAsia="Times New Roman"/>
      <w:b/>
      <w:bCs/>
      <w:i/>
      <w:iCs/>
      <w:lang w:bidi="en-US"/>
    </w:rPr>
  </w:style>
  <w:style w:type="character" w:styleId="IntenseReference">
    <w:name w:val="Intense Reference"/>
    <w:uiPriority w:val="99"/>
    <w:qFormat/>
    <w:rsid w:val="00D10A0A"/>
    <w:rPr>
      <w:smallCaps/>
      <w:spacing w:val="5"/>
      <w:u w:val="single"/>
    </w:rPr>
  </w:style>
  <w:style w:type="paragraph" w:styleId="ListParagraph">
    <w:name w:val="List Paragraph"/>
    <w:basedOn w:val="Normal"/>
    <w:uiPriority w:val="99"/>
    <w:qFormat/>
    <w:rsid w:val="00D10A0A"/>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qFormat/>
    <w:rsid w:val="00D10A0A"/>
    <w:pPr>
      <w:spacing w:before="200"/>
      <w:ind w:left="360" w:right="360"/>
    </w:pPr>
    <w:rPr>
      <w:i/>
      <w:iCs/>
      <w:sz w:val="22"/>
      <w:lang w:bidi="en-US"/>
    </w:rPr>
  </w:style>
  <w:style w:type="character" w:customStyle="1" w:styleId="QuoteChar">
    <w:name w:val="Quote Char"/>
    <w:link w:val="Quote"/>
    <w:uiPriority w:val="99"/>
    <w:semiHidden/>
    <w:rsid w:val="00D10A0A"/>
    <w:rPr>
      <w:rFonts w:eastAsia="Times New Roman"/>
      <w:i/>
      <w:iCs/>
      <w:lang w:bidi="en-US"/>
    </w:rPr>
  </w:style>
  <w:style w:type="character" w:styleId="SubtleReference">
    <w:name w:val="Subtle Reference"/>
    <w:uiPriority w:val="99"/>
    <w:qFormat/>
    <w:rsid w:val="00D10A0A"/>
    <w:rPr>
      <w:smallCaps/>
    </w:rPr>
  </w:style>
  <w:style w:type="table" w:styleId="TableGrid">
    <w:name w:val="Table Grid"/>
    <w:basedOn w:val="TableNormal"/>
    <w:uiPriority w:val="59"/>
    <w:semiHidden/>
    <w:rsid w:val="00DB7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DB779D"/>
    <w:pPr>
      <w:spacing w:before="120" w:after="60"/>
      <w:ind w:left="340" w:right="340" w:hanging="340"/>
    </w:pPr>
    <w:rPr>
      <w:color w:val="0D0D0D"/>
    </w:rPr>
  </w:style>
  <w:style w:type="paragraph" w:styleId="TOC2">
    <w:name w:val="toc 2"/>
    <w:basedOn w:val="Normal"/>
    <w:next w:val="Normal"/>
    <w:autoRedefine/>
    <w:uiPriority w:val="99"/>
    <w:semiHidden/>
    <w:rsid w:val="00DB779D"/>
    <w:pPr>
      <w:spacing w:after="60"/>
      <w:ind w:left="680" w:right="340" w:hanging="340"/>
    </w:pPr>
  </w:style>
  <w:style w:type="paragraph" w:styleId="TOC3">
    <w:name w:val="toc 3"/>
    <w:basedOn w:val="Normal"/>
    <w:next w:val="Normal"/>
    <w:autoRedefine/>
    <w:uiPriority w:val="99"/>
    <w:semiHidden/>
    <w:rsid w:val="00DB779D"/>
    <w:pPr>
      <w:spacing w:after="60"/>
      <w:ind w:left="1020" w:right="340" w:hanging="340"/>
    </w:pPr>
  </w:style>
  <w:style w:type="paragraph" w:styleId="TOC4">
    <w:name w:val="toc 4"/>
    <w:basedOn w:val="Normal"/>
    <w:next w:val="Normal"/>
    <w:autoRedefine/>
    <w:uiPriority w:val="99"/>
    <w:semiHidden/>
    <w:rsid w:val="00DB779D"/>
    <w:pPr>
      <w:tabs>
        <w:tab w:val="right" w:leader="dot" w:pos="9017"/>
      </w:tabs>
      <w:spacing w:after="60"/>
      <w:ind w:left="1361" w:right="340" w:hanging="340"/>
    </w:pPr>
  </w:style>
  <w:style w:type="paragraph" w:styleId="TOC5">
    <w:name w:val="toc 5"/>
    <w:basedOn w:val="Normal"/>
    <w:next w:val="Normal"/>
    <w:autoRedefine/>
    <w:uiPriority w:val="99"/>
    <w:semiHidden/>
    <w:rsid w:val="00DB779D"/>
    <w:pPr>
      <w:spacing w:after="60"/>
      <w:ind w:left="1701" w:right="340" w:hanging="340"/>
    </w:pPr>
  </w:style>
  <w:style w:type="paragraph" w:styleId="TOCHeading">
    <w:name w:val="TOC Heading"/>
    <w:basedOn w:val="Heading1"/>
    <w:next w:val="Normal"/>
    <w:uiPriority w:val="99"/>
    <w:qFormat/>
    <w:rsid w:val="00D10A0A"/>
    <w:pPr>
      <w:outlineLvl w:val="9"/>
    </w:pPr>
    <w:rPr>
      <w:color w:val="474747"/>
    </w:rPr>
  </w:style>
  <w:style w:type="table" w:customStyle="1" w:styleId="UGTable">
    <w:name w:val="UG_Table"/>
    <w:basedOn w:val="TableNormal"/>
    <w:uiPriority w:val="99"/>
    <w:rsid w:val="00801300"/>
    <w:rPr>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DB779D"/>
    <w:pPr>
      <w:spacing w:before="120"/>
    </w:pPr>
    <w:rPr>
      <w:b/>
      <w:bCs/>
      <w:color w:val="474747"/>
      <w:szCs w:val="24"/>
    </w:rPr>
  </w:style>
  <w:style w:type="paragraph" w:customStyle="1" w:styleId="ECHRParaQuote">
    <w:name w:val="ECHR_Para_Quote"/>
    <w:aliases w:val="Ju_Quot"/>
    <w:basedOn w:val="Normal"/>
    <w:uiPriority w:val="14"/>
    <w:qFormat/>
    <w:rsid w:val="00D10A0A"/>
    <w:pPr>
      <w:spacing w:before="120" w:after="120"/>
      <w:ind w:left="425" w:firstLine="142"/>
    </w:pPr>
    <w:rPr>
      <w:sz w:val="20"/>
    </w:rPr>
  </w:style>
  <w:style w:type="paragraph" w:customStyle="1" w:styleId="ECHRPara">
    <w:name w:val="ECHR_Para"/>
    <w:aliases w:val="Ju_Para,Left,First line:  0 cm"/>
    <w:basedOn w:val="Normal"/>
    <w:link w:val="ECHRParaChar"/>
    <w:uiPriority w:val="12"/>
    <w:qFormat/>
    <w:rsid w:val="00D10A0A"/>
    <w:pPr>
      <w:ind w:firstLine="284"/>
    </w:pPr>
    <w:rPr>
      <w:szCs w:val="20"/>
      <w:lang w:val="x-none" w:eastAsia="x-none"/>
    </w:r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DB779D"/>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D10A0A"/>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D10A0A"/>
    <w:pPr>
      <w:ind w:left="340" w:hanging="340"/>
    </w:pPr>
  </w:style>
  <w:style w:type="paragraph" w:customStyle="1" w:styleId="JuSigned">
    <w:name w:val="Ju_Signed"/>
    <w:basedOn w:val="Normal"/>
    <w:next w:val="JuParaLast"/>
    <w:uiPriority w:val="32"/>
    <w:qFormat/>
    <w:rsid w:val="00D10A0A"/>
    <w:pPr>
      <w:tabs>
        <w:tab w:val="center" w:pos="851"/>
        <w:tab w:val="center" w:pos="6407"/>
      </w:tabs>
      <w:spacing w:before="720"/>
      <w:jc w:val="left"/>
    </w:pPr>
  </w:style>
  <w:style w:type="paragraph" w:customStyle="1" w:styleId="JuParaLast">
    <w:name w:val="Ju_Para_Last"/>
    <w:basedOn w:val="Normal"/>
    <w:next w:val="ECHRPara"/>
    <w:uiPriority w:val="30"/>
    <w:qFormat/>
    <w:rsid w:val="00D10A0A"/>
    <w:pPr>
      <w:keepNext/>
      <w:keepLines/>
      <w:spacing w:before="240"/>
      <w:ind w:firstLine="284"/>
    </w:pPr>
  </w:style>
  <w:style w:type="paragraph" w:customStyle="1" w:styleId="JuCourt">
    <w:name w:val="Ju_Court"/>
    <w:basedOn w:val="Normal"/>
    <w:next w:val="Normal"/>
    <w:uiPriority w:val="16"/>
    <w:qFormat/>
    <w:rsid w:val="00D10A0A"/>
    <w:pPr>
      <w:tabs>
        <w:tab w:val="left" w:pos="907"/>
        <w:tab w:val="left" w:pos="1701"/>
        <w:tab w:val="right" w:pos="7371"/>
      </w:tabs>
      <w:spacing w:before="240"/>
      <w:ind w:left="397" w:hanging="397"/>
      <w:jc w:val="left"/>
    </w:pPr>
    <w:rPr>
      <w:lang w:bidi="en-US"/>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D10A0A"/>
    <w:pPr>
      <w:ind w:left="346" w:firstLine="0"/>
    </w:pPr>
  </w:style>
  <w:style w:type="paragraph" w:customStyle="1" w:styleId="JuListi">
    <w:name w:val="Ju_List_i"/>
    <w:basedOn w:val="Normal"/>
    <w:next w:val="JuLista"/>
    <w:uiPriority w:val="28"/>
    <w:qFormat/>
    <w:rsid w:val="00D10A0A"/>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link w:val="CommentText"/>
    <w:semiHidden/>
    <w:rsid w:val="00014566"/>
    <w:rPr>
      <w:rFonts w:eastAsia="Times New Roman"/>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Times New Roman"/>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link w:val="EndnoteText"/>
    <w:uiPriority w:val="99"/>
    <w:semiHidden/>
    <w:rsid w:val="00014566"/>
    <w:rPr>
      <w:rFonts w:eastAsia="Times New Roman"/>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link w:val="DocumentMap"/>
    <w:uiPriority w:val="99"/>
    <w:semiHidden/>
    <w:rsid w:val="00014566"/>
    <w:rPr>
      <w:rFonts w:ascii="Tahoma" w:eastAsia="Times New Roman" w:hAnsi="Tahoma" w:cs="Tahoma"/>
      <w:sz w:val="20"/>
      <w:shd w:val="clear" w:color="auto" w:fill="000080"/>
    </w:rPr>
  </w:style>
  <w:style w:type="paragraph" w:customStyle="1" w:styleId="OpiH1">
    <w:name w:val="Opi_H_1"/>
    <w:basedOn w:val="ECHRHeading2"/>
    <w:uiPriority w:val="42"/>
    <w:qFormat/>
    <w:rsid w:val="00D10A0A"/>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0">
    <w:name w:val="Opi_H_a"/>
    <w:basedOn w:val="ECHRHeading3"/>
    <w:uiPriority w:val="43"/>
    <w:qFormat/>
    <w:rsid w:val="00D10A0A"/>
    <w:pPr>
      <w:ind w:left="833" w:hanging="357"/>
      <w:outlineLvl w:val="3"/>
    </w:pPr>
    <w:rPr>
      <w:b/>
      <w:i w:val="0"/>
      <w:sz w:val="20"/>
    </w:rPr>
  </w:style>
  <w:style w:type="paragraph" w:styleId="Subtitle">
    <w:name w:val="Subtitle"/>
    <w:basedOn w:val="Normal"/>
    <w:next w:val="Normal"/>
    <w:link w:val="SubtitleChar"/>
    <w:uiPriority w:val="99"/>
    <w:qFormat/>
    <w:rsid w:val="00D10A0A"/>
    <w:pPr>
      <w:spacing w:after="600"/>
    </w:pPr>
    <w:rPr>
      <w:i/>
      <w:iCs/>
      <w:spacing w:val="13"/>
      <w:szCs w:val="24"/>
      <w:lang w:bidi="en-US"/>
    </w:rPr>
  </w:style>
  <w:style w:type="character" w:customStyle="1" w:styleId="SubtitleChar">
    <w:name w:val="Subtitle Char"/>
    <w:link w:val="Subtitle"/>
    <w:uiPriority w:val="99"/>
    <w:semiHidden/>
    <w:rsid w:val="00D10A0A"/>
    <w:rPr>
      <w:rFonts w:ascii="Times New Roman" w:eastAsia="Times New Roman" w:hAnsi="Times New Roman" w:cs="Times New Roman"/>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link w:val="BodyText"/>
    <w:uiPriority w:val="99"/>
    <w:semiHidden/>
    <w:rsid w:val="00014566"/>
    <w:rPr>
      <w:rFonts w:eastAsia="Times New Roman"/>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link w:val="BodyText2"/>
    <w:uiPriority w:val="99"/>
    <w:semiHidden/>
    <w:rsid w:val="00014566"/>
    <w:rPr>
      <w:rFonts w:eastAsia="Times New Roman"/>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uiPriority w:val="99"/>
    <w:semiHidden/>
    <w:rsid w:val="00014566"/>
    <w:rPr>
      <w:rFonts w:eastAsia="Times New Roman"/>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uiPriority w:val="99"/>
    <w:semiHidden/>
    <w:rsid w:val="00014566"/>
    <w:rPr>
      <w:rFonts w:eastAsia="Times New Roman"/>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link w:val="BodyTextIndent"/>
    <w:uiPriority w:val="99"/>
    <w:semiHidden/>
    <w:rsid w:val="00014566"/>
    <w:rPr>
      <w:rFonts w:eastAsia="Times New Roman"/>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uiPriority w:val="99"/>
    <w:semiHidden/>
    <w:rsid w:val="00014566"/>
    <w:rPr>
      <w:rFonts w:eastAsia="Times New Roman"/>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link w:val="BodyTextIndent2"/>
    <w:uiPriority w:val="99"/>
    <w:semiHidden/>
    <w:rsid w:val="00014566"/>
    <w:rPr>
      <w:rFonts w:eastAsia="Times New Roman"/>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uiPriority w:val="99"/>
    <w:semiHidden/>
    <w:rsid w:val="00014566"/>
    <w:rPr>
      <w:rFonts w:eastAsia="Times New Roman"/>
      <w:sz w:val="16"/>
      <w:szCs w:val="16"/>
    </w:rPr>
  </w:style>
  <w:style w:type="paragraph" w:styleId="Caption">
    <w:name w:val="caption"/>
    <w:basedOn w:val="Normal"/>
    <w:next w:val="Normal"/>
    <w:uiPriority w:val="99"/>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link w:val="Closing"/>
    <w:uiPriority w:val="99"/>
    <w:semiHidden/>
    <w:rsid w:val="00014566"/>
    <w:rPr>
      <w:rFonts w:eastAsia="Times New Roman"/>
      <w:sz w:val="24"/>
    </w:rPr>
  </w:style>
  <w:style w:type="table" w:customStyle="1" w:styleId="ColorfulGrid1">
    <w:name w:val="Colorful Grid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1">
    <w:name w:val="Colorful List1"/>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1">
    <w:name w:val="Colorful Shading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1">
    <w:name w:val="Dark List1"/>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style>
  <w:style w:type="character" w:customStyle="1" w:styleId="DateChar">
    <w:name w:val="Date Char"/>
    <w:link w:val="Date"/>
    <w:uiPriority w:val="99"/>
    <w:semiHidden/>
    <w:rsid w:val="00014566"/>
    <w:rPr>
      <w:rFonts w:eastAsia="Times New Roman"/>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link w:val="E-mailSignature"/>
    <w:uiPriority w:val="99"/>
    <w:semiHidden/>
    <w:rsid w:val="00014566"/>
    <w:rPr>
      <w:rFonts w:eastAsia="Times New Roman"/>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szCs w:val="24"/>
    </w:rPr>
  </w:style>
  <w:style w:type="paragraph" w:styleId="EnvelopeReturn">
    <w:name w:val="envelope return"/>
    <w:basedOn w:val="Normal"/>
    <w:uiPriority w:val="99"/>
    <w:semiHidden/>
    <w:rsid w:val="00014566"/>
    <w:rPr>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link w:val="HTMLAddress"/>
    <w:uiPriority w:val="99"/>
    <w:semiHidden/>
    <w:rsid w:val="00014566"/>
    <w:rPr>
      <w:rFonts w:eastAsia="Times New Roman"/>
      <w:i/>
      <w:iCs/>
      <w:sz w:val="24"/>
    </w:rPr>
  </w:style>
  <w:style w:type="character" w:styleId="HTMLCite">
    <w:name w:val="HTML Cite"/>
    <w:uiPriority w:val="99"/>
    <w:semiHidden/>
    <w:rsid w:val="00014566"/>
    <w:rPr>
      <w:i/>
      <w:iCs/>
    </w:rPr>
  </w:style>
  <w:style w:type="character" w:styleId="HTMLCode">
    <w:name w:val="HTML Code"/>
    <w:uiPriority w:val="99"/>
    <w:semiHidden/>
    <w:rsid w:val="00014566"/>
    <w:rPr>
      <w:rFonts w:ascii="Consolas" w:hAnsi="Consolas" w:cs="Consolas"/>
      <w:sz w:val="20"/>
      <w:szCs w:val="20"/>
    </w:rPr>
  </w:style>
  <w:style w:type="character" w:styleId="HTMLDefinition">
    <w:name w:val="HTML Definition"/>
    <w:uiPriority w:val="99"/>
    <w:semiHidden/>
    <w:rsid w:val="00014566"/>
    <w:rPr>
      <w:i/>
      <w:iCs/>
    </w:rPr>
  </w:style>
  <w:style w:type="character" w:styleId="HTMLKeyboard">
    <w:name w:val="HTML Keyboard"/>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link w:val="HTMLPreformatted"/>
    <w:uiPriority w:val="99"/>
    <w:semiHidden/>
    <w:rsid w:val="00014566"/>
    <w:rPr>
      <w:rFonts w:ascii="Consolas" w:eastAsia="Times New Roman" w:hAnsi="Consolas" w:cs="Consolas"/>
      <w:sz w:val="20"/>
      <w:szCs w:val="20"/>
    </w:rPr>
  </w:style>
  <w:style w:type="character" w:styleId="HTMLSample">
    <w:name w:val="HTML Sample"/>
    <w:uiPriority w:val="99"/>
    <w:semiHidden/>
    <w:rsid w:val="00014566"/>
    <w:rPr>
      <w:rFonts w:ascii="Consolas" w:hAnsi="Consolas" w:cs="Consolas"/>
      <w:sz w:val="24"/>
      <w:szCs w:val="24"/>
    </w:rPr>
  </w:style>
  <w:style w:type="character" w:styleId="HTMLTypewriter">
    <w:name w:val="HTML Typewriter"/>
    <w:uiPriority w:val="99"/>
    <w:semiHidden/>
    <w:rsid w:val="00014566"/>
    <w:rPr>
      <w:rFonts w:ascii="Consolas" w:hAnsi="Consolas" w:cs="Consolas"/>
      <w:sz w:val="20"/>
      <w:szCs w:val="20"/>
    </w:rPr>
  </w:style>
  <w:style w:type="character" w:styleId="HTMLVariable">
    <w:name w:val="HTML Variable"/>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b/>
      <w:bCs/>
    </w:rPr>
  </w:style>
  <w:style w:type="table" w:customStyle="1" w:styleId="LightGrid1">
    <w:name w:val="Light Grid1"/>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Times New Roman"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1">
    <w:name w:val="Light List1"/>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1">
    <w:name w:val="Light Shading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val="en-GB" w:eastAsia="fr-FR"/>
    </w:rPr>
  </w:style>
  <w:style w:type="character" w:customStyle="1" w:styleId="MacroTextChar">
    <w:name w:val="Macro Text Char"/>
    <w:link w:val="MacroText"/>
    <w:uiPriority w:val="99"/>
    <w:semiHidden/>
    <w:rsid w:val="00014566"/>
    <w:rPr>
      <w:rFonts w:ascii="Consolas" w:hAnsi="Consolas" w:cs="Consolas"/>
      <w:lang w:val="en-GB" w:eastAsia="fr-FR" w:bidi="ar-SA"/>
    </w:rPr>
  </w:style>
  <w:style w:type="table" w:customStyle="1" w:styleId="MediumGrid11">
    <w:name w:val="Medium Grid 1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MediumGrid21">
    <w:name w:val="Medium Grid 21"/>
    <w:basedOn w:val="TableNormal"/>
    <w:uiPriority w:val="99"/>
    <w:semiHidden/>
    <w:rsid w:val="00014566"/>
    <w:rPr>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1">
    <w:name w:val="Medium Grid 3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1">
    <w:name w:val="Medium List 1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Times New Roman"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Times New Roman"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Times New Roman"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Times New Roman"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1">
    <w:name w:val="Medium List 21"/>
    <w:basedOn w:val="TableNormal"/>
    <w:uiPriority w:val="99"/>
    <w:semiHidden/>
    <w:rsid w:val="00014566"/>
    <w:rPr>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1">
    <w:name w:val="Medium Shading 1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1">
    <w:name w:val="Medium Shading 2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link w:val="MessageHeader"/>
    <w:uiPriority w:val="99"/>
    <w:semiHidden/>
    <w:rsid w:val="00014566"/>
    <w:rPr>
      <w:rFonts w:ascii="Times New Roman" w:eastAsia="Times New Roman" w:hAnsi="Times New Roman" w:cs="Times New Roman"/>
      <w:sz w:val="24"/>
      <w:szCs w:val="24"/>
      <w:shd w:val="pct20" w:color="auto" w:fill="auto"/>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link w:val="NoteHeading"/>
    <w:uiPriority w:val="99"/>
    <w:semiHidden/>
    <w:rsid w:val="00014566"/>
    <w:rPr>
      <w:rFonts w:eastAsia="Times New Roman"/>
      <w:sz w:val="24"/>
    </w:rPr>
  </w:style>
  <w:style w:type="character" w:styleId="PlaceholderText">
    <w:name w:val="Placeholder Tex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link w:val="PlainText"/>
    <w:uiPriority w:val="99"/>
    <w:semiHidden/>
    <w:rsid w:val="00014566"/>
    <w:rPr>
      <w:rFonts w:ascii="Consolas" w:eastAsia="Times New Roman"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link w:val="Salutation"/>
    <w:uiPriority w:val="99"/>
    <w:semiHidden/>
    <w:rsid w:val="00014566"/>
    <w:rPr>
      <w:rFonts w:eastAsia="Times New Roman"/>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link w:val="Signature"/>
    <w:uiPriority w:val="99"/>
    <w:semiHidden/>
    <w:rsid w:val="00014566"/>
    <w:rPr>
      <w:rFonts w:eastAsia="Times New Roman"/>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i">
    <w:name w:val="Opi_H_i"/>
    <w:basedOn w:val="ECHRHeading4"/>
    <w:uiPriority w:val="44"/>
    <w:qFormat/>
    <w:rsid w:val="00D10A0A"/>
    <w:pPr>
      <w:ind w:left="1037" w:hanging="357"/>
      <w:outlineLvl w:val="4"/>
    </w:pPr>
    <w:rPr>
      <w:b w:val="0"/>
      <w:i/>
    </w:rPr>
  </w:style>
  <w:style w:type="paragraph" w:customStyle="1" w:styleId="DummyStyle">
    <w:name w:val="Dummy_Style"/>
    <w:basedOn w:val="Normal"/>
    <w:semiHidden/>
    <w:qFormat/>
    <w:rsid w:val="00D10A0A"/>
    <w:rPr>
      <w:color w:val="00B050"/>
    </w:rPr>
  </w:style>
  <w:style w:type="character" w:customStyle="1" w:styleId="ECHRParaChar">
    <w:name w:val="ECHR_Para Char"/>
    <w:aliases w:val="Ju_Para Char"/>
    <w:link w:val="ECHRPara"/>
    <w:uiPriority w:val="12"/>
    <w:rsid w:val="00B0149D"/>
    <w:rPr>
      <w:rFonts w:eastAsia="Times New Roman"/>
      <w:sz w:val="24"/>
    </w:rPr>
  </w:style>
  <w:style w:type="paragraph" w:customStyle="1" w:styleId="jupara">
    <w:name w:val="jupara"/>
    <w:basedOn w:val="Normal"/>
    <w:rsid w:val="00550343"/>
    <w:pPr>
      <w:ind w:firstLine="284"/>
    </w:pPr>
    <w:rPr>
      <w:szCs w:val="24"/>
      <w:lang w:val="en-GB" w:eastAsia="en-GB"/>
    </w:rPr>
  </w:style>
  <w:style w:type="paragraph" w:customStyle="1" w:styleId="jucase0">
    <w:name w:val="jucase"/>
    <w:basedOn w:val="Normal"/>
    <w:rsid w:val="00550343"/>
    <w:pPr>
      <w:ind w:firstLine="284"/>
    </w:pPr>
    <w:rPr>
      <w:b/>
      <w:bCs/>
      <w:szCs w:val="24"/>
      <w:lang w:val="en-GB" w:eastAsia="en-GB"/>
    </w:rPr>
  </w:style>
  <w:style w:type="character" w:customStyle="1" w:styleId="apple-converted-space">
    <w:name w:val="apple-converted-space"/>
    <w:basedOn w:val="DefaultParagraphFont"/>
    <w:rsid w:val="00CD6A55"/>
  </w:style>
  <w:style w:type="character" w:customStyle="1" w:styleId="samedocreference">
    <w:name w:val="samedocreference"/>
    <w:basedOn w:val="DefaultParagraphFont"/>
    <w:rsid w:val="00CD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992">
      <w:bodyDiv w:val="1"/>
      <w:marLeft w:val="0"/>
      <w:marRight w:val="0"/>
      <w:marTop w:val="0"/>
      <w:marBottom w:val="0"/>
      <w:divBdr>
        <w:top w:val="none" w:sz="0" w:space="0" w:color="auto"/>
        <w:left w:val="none" w:sz="0" w:space="0" w:color="auto"/>
        <w:bottom w:val="none" w:sz="0" w:space="0" w:color="auto"/>
        <w:right w:val="none" w:sz="0" w:space="0" w:color="auto"/>
      </w:divBdr>
      <w:divsChild>
        <w:div w:id="1047606426">
          <w:marLeft w:val="0"/>
          <w:marRight w:val="0"/>
          <w:marTop w:val="0"/>
          <w:marBottom w:val="0"/>
          <w:divBdr>
            <w:top w:val="none" w:sz="0" w:space="0" w:color="auto"/>
            <w:left w:val="none" w:sz="0" w:space="0" w:color="auto"/>
            <w:bottom w:val="none" w:sz="0" w:space="0" w:color="auto"/>
            <w:right w:val="none" w:sz="0" w:space="0" w:color="auto"/>
          </w:divBdr>
          <w:divsChild>
            <w:div w:id="1494950399">
              <w:marLeft w:val="0"/>
              <w:marRight w:val="0"/>
              <w:marTop w:val="0"/>
              <w:marBottom w:val="0"/>
              <w:divBdr>
                <w:top w:val="none" w:sz="0" w:space="0" w:color="auto"/>
                <w:left w:val="none" w:sz="0" w:space="0" w:color="auto"/>
                <w:bottom w:val="none" w:sz="0" w:space="0" w:color="auto"/>
                <w:right w:val="none" w:sz="0" w:space="0" w:color="auto"/>
              </w:divBdr>
              <w:divsChild>
                <w:div w:id="787818307">
                  <w:marLeft w:val="0"/>
                  <w:marRight w:val="0"/>
                  <w:marTop w:val="0"/>
                  <w:marBottom w:val="0"/>
                  <w:divBdr>
                    <w:top w:val="none" w:sz="0" w:space="0" w:color="auto"/>
                    <w:left w:val="none" w:sz="0" w:space="0" w:color="auto"/>
                    <w:bottom w:val="none" w:sz="0" w:space="0" w:color="auto"/>
                    <w:right w:val="none" w:sz="0" w:space="0" w:color="auto"/>
                  </w:divBdr>
                  <w:divsChild>
                    <w:div w:id="5231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42814">
      <w:bodyDiv w:val="1"/>
      <w:marLeft w:val="0"/>
      <w:marRight w:val="0"/>
      <w:marTop w:val="0"/>
      <w:marBottom w:val="0"/>
      <w:divBdr>
        <w:top w:val="none" w:sz="0" w:space="0" w:color="auto"/>
        <w:left w:val="none" w:sz="0" w:space="0" w:color="auto"/>
        <w:bottom w:val="none" w:sz="0" w:space="0" w:color="auto"/>
        <w:right w:val="none" w:sz="0" w:space="0" w:color="auto"/>
      </w:divBdr>
      <w:divsChild>
        <w:div w:id="709498281">
          <w:marLeft w:val="0"/>
          <w:marRight w:val="0"/>
          <w:marTop w:val="0"/>
          <w:marBottom w:val="0"/>
          <w:divBdr>
            <w:top w:val="none" w:sz="0" w:space="0" w:color="auto"/>
            <w:left w:val="none" w:sz="0" w:space="0" w:color="auto"/>
            <w:bottom w:val="none" w:sz="0" w:space="0" w:color="auto"/>
            <w:right w:val="none" w:sz="0" w:space="0" w:color="auto"/>
          </w:divBdr>
          <w:divsChild>
            <w:div w:id="239798007">
              <w:marLeft w:val="0"/>
              <w:marRight w:val="0"/>
              <w:marTop w:val="0"/>
              <w:marBottom w:val="0"/>
              <w:divBdr>
                <w:top w:val="none" w:sz="0" w:space="0" w:color="auto"/>
                <w:left w:val="none" w:sz="0" w:space="0" w:color="auto"/>
                <w:bottom w:val="none" w:sz="0" w:space="0" w:color="auto"/>
                <w:right w:val="none" w:sz="0" w:space="0" w:color="auto"/>
              </w:divBdr>
              <w:divsChild>
                <w:div w:id="1992975140">
                  <w:marLeft w:val="0"/>
                  <w:marRight w:val="0"/>
                  <w:marTop w:val="0"/>
                  <w:marBottom w:val="0"/>
                  <w:divBdr>
                    <w:top w:val="none" w:sz="0" w:space="0" w:color="auto"/>
                    <w:left w:val="none" w:sz="0" w:space="0" w:color="auto"/>
                    <w:bottom w:val="none" w:sz="0" w:space="0" w:color="auto"/>
                    <w:right w:val="none" w:sz="0" w:space="0" w:color="auto"/>
                  </w:divBdr>
                  <w:divsChild>
                    <w:div w:id="11730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23081">
      <w:bodyDiv w:val="1"/>
      <w:marLeft w:val="0"/>
      <w:marRight w:val="0"/>
      <w:marTop w:val="0"/>
      <w:marBottom w:val="0"/>
      <w:divBdr>
        <w:top w:val="none" w:sz="0" w:space="0" w:color="auto"/>
        <w:left w:val="none" w:sz="0" w:space="0" w:color="auto"/>
        <w:bottom w:val="none" w:sz="0" w:space="0" w:color="auto"/>
        <w:right w:val="none" w:sz="0" w:space="0" w:color="auto"/>
      </w:divBdr>
      <w:divsChild>
        <w:div w:id="1523200939">
          <w:marLeft w:val="0"/>
          <w:marRight w:val="0"/>
          <w:marTop w:val="0"/>
          <w:marBottom w:val="0"/>
          <w:divBdr>
            <w:top w:val="none" w:sz="0" w:space="0" w:color="auto"/>
            <w:left w:val="none" w:sz="0" w:space="0" w:color="auto"/>
            <w:bottom w:val="none" w:sz="0" w:space="0" w:color="auto"/>
            <w:right w:val="none" w:sz="0" w:space="0" w:color="auto"/>
          </w:divBdr>
        </w:div>
      </w:divsChild>
    </w:div>
    <w:div w:id="1145969079">
      <w:bodyDiv w:val="1"/>
      <w:marLeft w:val="0"/>
      <w:marRight w:val="0"/>
      <w:marTop w:val="0"/>
      <w:marBottom w:val="0"/>
      <w:divBdr>
        <w:top w:val="none" w:sz="0" w:space="0" w:color="auto"/>
        <w:left w:val="none" w:sz="0" w:space="0" w:color="auto"/>
        <w:bottom w:val="none" w:sz="0" w:space="0" w:color="auto"/>
        <w:right w:val="none" w:sz="0" w:space="0" w:color="auto"/>
      </w:divBdr>
    </w:div>
    <w:div w:id="1249344717">
      <w:bodyDiv w:val="1"/>
      <w:marLeft w:val="0"/>
      <w:marRight w:val="0"/>
      <w:marTop w:val="0"/>
      <w:marBottom w:val="0"/>
      <w:divBdr>
        <w:top w:val="none" w:sz="0" w:space="0" w:color="auto"/>
        <w:left w:val="none" w:sz="0" w:space="0" w:color="auto"/>
        <w:bottom w:val="none" w:sz="0" w:space="0" w:color="auto"/>
        <w:right w:val="none" w:sz="0" w:space="0" w:color="auto"/>
      </w:divBdr>
      <w:divsChild>
        <w:div w:id="747271758">
          <w:marLeft w:val="0"/>
          <w:marRight w:val="0"/>
          <w:marTop w:val="0"/>
          <w:marBottom w:val="0"/>
          <w:divBdr>
            <w:top w:val="none" w:sz="0" w:space="0" w:color="auto"/>
            <w:left w:val="none" w:sz="0" w:space="0" w:color="auto"/>
            <w:bottom w:val="none" w:sz="0" w:space="0" w:color="auto"/>
            <w:right w:val="none" w:sz="0" w:space="0" w:color="auto"/>
          </w:divBdr>
          <w:divsChild>
            <w:div w:id="2038655148">
              <w:marLeft w:val="0"/>
              <w:marRight w:val="0"/>
              <w:marTop w:val="0"/>
              <w:marBottom w:val="0"/>
              <w:divBdr>
                <w:top w:val="none" w:sz="0" w:space="0" w:color="auto"/>
                <w:left w:val="none" w:sz="0" w:space="0" w:color="auto"/>
                <w:bottom w:val="none" w:sz="0" w:space="0" w:color="auto"/>
                <w:right w:val="none" w:sz="0" w:space="0" w:color="auto"/>
              </w:divBdr>
              <w:divsChild>
                <w:div w:id="459231674">
                  <w:marLeft w:val="0"/>
                  <w:marRight w:val="0"/>
                  <w:marTop w:val="0"/>
                  <w:marBottom w:val="0"/>
                  <w:divBdr>
                    <w:top w:val="none" w:sz="0" w:space="0" w:color="auto"/>
                    <w:left w:val="none" w:sz="0" w:space="0" w:color="auto"/>
                    <w:bottom w:val="none" w:sz="0" w:space="0" w:color="auto"/>
                    <w:right w:val="none" w:sz="0" w:space="0" w:color="auto"/>
                  </w:divBdr>
                  <w:divsChild>
                    <w:div w:id="2160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5732">
      <w:bodyDiv w:val="1"/>
      <w:marLeft w:val="0"/>
      <w:marRight w:val="0"/>
      <w:marTop w:val="0"/>
      <w:marBottom w:val="0"/>
      <w:divBdr>
        <w:top w:val="none" w:sz="0" w:space="0" w:color="auto"/>
        <w:left w:val="none" w:sz="0" w:space="0" w:color="auto"/>
        <w:bottom w:val="none" w:sz="0" w:space="0" w:color="auto"/>
        <w:right w:val="none" w:sz="0" w:space="0" w:color="auto"/>
      </w:divBdr>
      <w:divsChild>
        <w:div w:id="1856723322">
          <w:marLeft w:val="0"/>
          <w:marRight w:val="0"/>
          <w:marTop w:val="0"/>
          <w:marBottom w:val="0"/>
          <w:divBdr>
            <w:top w:val="none" w:sz="0" w:space="0" w:color="auto"/>
            <w:left w:val="none" w:sz="0" w:space="0" w:color="auto"/>
            <w:bottom w:val="none" w:sz="0" w:space="0" w:color="auto"/>
            <w:right w:val="none" w:sz="0" w:space="0" w:color="auto"/>
          </w:divBdr>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27423705">
      <w:bodyDiv w:val="1"/>
      <w:marLeft w:val="0"/>
      <w:marRight w:val="0"/>
      <w:marTop w:val="0"/>
      <w:marBottom w:val="0"/>
      <w:divBdr>
        <w:top w:val="none" w:sz="0" w:space="0" w:color="auto"/>
        <w:left w:val="none" w:sz="0" w:space="0" w:color="auto"/>
        <w:bottom w:val="none" w:sz="0" w:space="0" w:color="auto"/>
        <w:right w:val="none" w:sz="0" w:space="0" w:color="auto"/>
      </w:divBdr>
      <w:divsChild>
        <w:div w:id="554509971">
          <w:marLeft w:val="0"/>
          <w:marRight w:val="0"/>
          <w:marTop w:val="0"/>
          <w:marBottom w:val="0"/>
          <w:divBdr>
            <w:top w:val="none" w:sz="0" w:space="0" w:color="auto"/>
            <w:left w:val="none" w:sz="0" w:space="0" w:color="auto"/>
            <w:bottom w:val="none" w:sz="0" w:space="0" w:color="auto"/>
            <w:right w:val="none" w:sz="0" w:space="0" w:color="auto"/>
          </w:divBdr>
          <w:divsChild>
            <w:div w:id="2067071360">
              <w:marLeft w:val="0"/>
              <w:marRight w:val="0"/>
              <w:marTop w:val="0"/>
              <w:marBottom w:val="0"/>
              <w:divBdr>
                <w:top w:val="none" w:sz="0" w:space="0" w:color="auto"/>
                <w:left w:val="none" w:sz="0" w:space="0" w:color="auto"/>
                <w:bottom w:val="none" w:sz="0" w:space="0" w:color="auto"/>
                <w:right w:val="none" w:sz="0" w:space="0" w:color="auto"/>
              </w:divBdr>
              <w:divsChild>
                <w:div w:id="1605309831">
                  <w:marLeft w:val="0"/>
                  <w:marRight w:val="0"/>
                  <w:marTop w:val="0"/>
                  <w:marBottom w:val="0"/>
                  <w:divBdr>
                    <w:top w:val="none" w:sz="0" w:space="0" w:color="auto"/>
                    <w:left w:val="none" w:sz="0" w:space="0" w:color="auto"/>
                    <w:bottom w:val="none" w:sz="0" w:space="0" w:color="auto"/>
                    <w:right w:val="none" w:sz="0" w:space="0" w:color="auto"/>
                  </w:divBdr>
                  <w:divsChild>
                    <w:div w:id="1466048573">
                      <w:marLeft w:val="0"/>
                      <w:marRight w:val="0"/>
                      <w:marTop w:val="0"/>
                      <w:marBottom w:val="0"/>
                      <w:divBdr>
                        <w:top w:val="none" w:sz="0" w:space="0" w:color="auto"/>
                        <w:left w:val="none" w:sz="0" w:space="0" w:color="auto"/>
                        <w:bottom w:val="none" w:sz="0" w:space="0" w:color="auto"/>
                        <w:right w:val="none" w:sz="0" w:space="0" w:color="auto"/>
                      </w:divBdr>
                      <w:divsChild>
                        <w:div w:id="2003661581">
                          <w:marLeft w:val="0"/>
                          <w:marRight w:val="0"/>
                          <w:marTop w:val="0"/>
                          <w:marBottom w:val="0"/>
                          <w:divBdr>
                            <w:top w:val="none" w:sz="0" w:space="0" w:color="auto"/>
                            <w:left w:val="none" w:sz="0" w:space="0" w:color="auto"/>
                            <w:bottom w:val="none" w:sz="0" w:space="0" w:color="auto"/>
                            <w:right w:val="none" w:sz="0" w:space="0" w:color="auto"/>
                          </w:divBdr>
                          <w:divsChild>
                            <w:div w:id="16834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081088">
      <w:bodyDiv w:val="1"/>
      <w:marLeft w:val="0"/>
      <w:marRight w:val="0"/>
      <w:marTop w:val="0"/>
      <w:marBottom w:val="0"/>
      <w:divBdr>
        <w:top w:val="none" w:sz="0" w:space="0" w:color="auto"/>
        <w:left w:val="none" w:sz="0" w:space="0" w:color="auto"/>
        <w:bottom w:val="none" w:sz="0" w:space="0" w:color="auto"/>
        <w:right w:val="none" w:sz="0" w:space="0" w:color="auto"/>
      </w:divBdr>
      <w:divsChild>
        <w:div w:id="1584876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9766</Words>
  <Characters>55672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2016-07-15T07:10:00Z</dcterms:created>
  <dcterms:modified xsi:type="dcterms:W3CDTF">2016-07-15T07:11:00Z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