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014566" w:rsidRPr="00262D6B" w:rsidRDefault="00014566" w:rsidP="00262D6B">
      <w:pPr>
        <w:jc w:val="center"/>
      </w:pPr>
    </w:p>
    <w:p w:rsidR="00014566" w:rsidRPr="00262D6B" w:rsidRDefault="00F64136" w:rsidP="00262D6B">
      <w:pPr>
        <w:jc w:val="center"/>
      </w:pPr>
      <w:r>
        <w:t>ПЕТО ОТДЕЛЕНИЕ</w:t>
      </w:r>
    </w:p>
    <w:p w:rsidR="00014566" w:rsidRPr="00262D6B" w:rsidRDefault="00014566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014566" w:rsidRPr="00262D6B" w:rsidRDefault="00014566" w:rsidP="00262D6B">
      <w:pPr>
        <w:jc w:val="center"/>
        <w:rPr>
          <w:b/>
        </w:rPr>
      </w:pPr>
      <w:r>
        <w:rPr>
          <w:b/>
        </w:rPr>
        <w:t xml:space="preserve">МИРЯНА ПЕТРОВА </w:t>
      </w:r>
      <w:r w:rsidR="00A72DF0">
        <w:rPr>
          <w:b/>
        </w:rPr>
        <w:t xml:space="preserve">срещу </w:t>
      </w:r>
      <w:r>
        <w:rPr>
          <w:b/>
        </w:rPr>
        <w:t>БЪЛГАРИЯ</w:t>
      </w:r>
    </w:p>
    <w:p w:rsidR="00014566" w:rsidRPr="00262D6B" w:rsidRDefault="00014566" w:rsidP="00262D6B">
      <w:pPr>
        <w:jc w:val="center"/>
      </w:pPr>
    </w:p>
    <w:p w:rsidR="00014566" w:rsidRPr="00262D6B" w:rsidRDefault="00014566" w:rsidP="00262D6B">
      <w:pPr>
        <w:jc w:val="center"/>
        <w:rPr>
          <w:i/>
        </w:rPr>
      </w:pPr>
      <w:r>
        <w:rPr>
          <w:i/>
        </w:rPr>
        <w:t xml:space="preserve">(Жалба № </w:t>
      </w:r>
      <w:bookmarkStart w:id="0" w:name="_GoBack"/>
      <w:r>
        <w:rPr>
          <w:i/>
        </w:rPr>
        <w:t>57148/08</w:t>
      </w:r>
      <w:bookmarkEnd w:id="0"/>
      <w:r>
        <w:rPr>
          <w:i/>
        </w:rPr>
        <w:t>)</w:t>
      </w:r>
    </w:p>
    <w:p w:rsidR="00014566" w:rsidRPr="00262D6B" w:rsidRDefault="00014566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014566" w:rsidRPr="00262D6B" w:rsidRDefault="00546B55" w:rsidP="00262D6B">
      <w:pPr>
        <w:jc w:val="center"/>
      </w:pPr>
      <w:r>
        <w:t>РЕШЕНИЕ</w:t>
      </w:r>
    </w:p>
    <w:p w:rsidR="00B5630D" w:rsidRPr="00262D6B" w:rsidRDefault="00B5630D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  <w:r>
        <w:t>СТРАСБУРГ</w:t>
      </w: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  <w:r>
        <w:t>21 юли 2016 г.</w:t>
      </w:r>
    </w:p>
    <w:p w:rsidR="00546B55" w:rsidRPr="00262D6B" w:rsidRDefault="00546B55" w:rsidP="00262D6B">
      <w:pPr>
        <w:jc w:val="center"/>
      </w:pPr>
    </w:p>
    <w:p w:rsidR="001D706E" w:rsidRPr="008345B0" w:rsidRDefault="001D706E" w:rsidP="001D706E">
      <w:pPr>
        <w:jc w:val="center"/>
      </w:pPr>
    </w:p>
    <w:p w:rsidR="001D706E" w:rsidRDefault="001D706E" w:rsidP="001D706E">
      <w:pPr>
        <w:jc w:val="center"/>
      </w:pPr>
      <w:r>
        <w:t>ОКОНЧАТЕЛНО</w:t>
      </w:r>
    </w:p>
    <w:p w:rsidR="001D706E" w:rsidRPr="001D706E" w:rsidRDefault="001D706E" w:rsidP="001D706E">
      <w:pPr>
        <w:jc w:val="center"/>
      </w:pPr>
    </w:p>
    <w:p w:rsidR="001D706E" w:rsidRPr="008345B0" w:rsidRDefault="001D706E" w:rsidP="001D706E">
      <w:pPr>
        <w:jc w:val="center"/>
      </w:pPr>
      <w:r w:rsidRPr="008345B0">
        <w:t>21/10/2016</w:t>
      </w: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center"/>
      </w:pPr>
    </w:p>
    <w:p w:rsidR="00546B55" w:rsidRPr="00262D6B" w:rsidRDefault="00546B55" w:rsidP="00262D6B">
      <w:pPr>
        <w:jc w:val="left"/>
        <w:rPr>
          <w:i/>
        </w:rPr>
      </w:pPr>
      <w:r>
        <w:rPr>
          <w:i/>
        </w:rPr>
        <w:t xml:space="preserve">Това решение </w:t>
      </w:r>
      <w:r w:rsidR="001D706E">
        <w:rPr>
          <w:i/>
        </w:rPr>
        <w:t>е</w:t>
      </w:r>
      <w:r>
        <w:rPr>
          <w:i/>
        </w:rPr>
        <w:t xml:space="preserve"> окончателно при условията на чл. 44, ал. 2 от </w:t>
      </w:r>
      <w:r w:rsidR="001D706E">
        <w:rPr>
          <w:i/>
        </w:rPr>
        <w:t>К</w:t>
      </w:r>
      <w:r>
        <w:rPr>
          <w:i/>
        </w:rPr>
        <w:t>онвенцията. Може да бъде предмет на редакционни промени.</w:t>
      </w:r>
    </w:p>
    <w:p w:rsidR="00132E95" w:rsidRPr="00262D6B" w:rsidRDefault="00132E95" w:rsidP="00262D6B">
      <w:pPr>
        <w:pStyle w:val="ECHRPara"/>
        <w:sectPr w:rsidR="00132E95" w:rsidRPr="00262D6B" w:rsidSect="00546B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262D6B" w:rsidRDefault="00014566" w:rsidP="00262D6B">
      <w:pPr>
        <w:pStyle w:val="JuCase"/>
        <w:rPr>
          <w:bCs/>
        </w:rPr>
      </w:pPr>
      <w:r>
        <w:lastRenderedPageBreak/>
        <w:t>По делото Миряна Петрова срещу България,</w:t>
      </w:r>
    </w:p>
    <w:p w:rsidR="00014566" w:rsidRPr="00262D6B" w:rsidRDefault="00014566" w:rsidP="00262D6B">
      <w:pPr>
        <w:pStyle w:val="ECHRPara"/>
      </w:pPr>
      <w:r>
        <w:t>Европейският съд по правата на човека (Пето отделение), заседаващ в състав:</w:t>
      </w:r>
    </w:p>
    <w:p w:rsidR="00014566" w:rsidRPr="00262D6B" w:rsidRDefault="00546B55" w:rsidP="00262D6B">
      <w:pPr>
        <w:pStyle w:val="ECHRDecisionBody"/>
      </w:pPr>
      <w:r>
        <w:tab/>
      </w:r>
      <w:proofErr w:type="spellStart"/>
      <w:r>
        <w:t>Ангелика</w:t>
      </w:r>
      <w:proofErr w:type="spellEnd"/>
      <w:r>
        <w:t xml:space="preserve"> </w:t>
      </w:r>
      <w:proofErr w:type="spellStart"/>
      <w:r>
        <w:t>Нусбергер</w:t>
      </w:r>
      <w:proofErr w:type="spellEnd"/>
      <w:r>
        <w:t xml:space="preserve"> (</w:t>
      </w:r>
      <w:proofErr w:type="spellStart"/>
      <w:r>
        <w:t>Angelika</w:t>
      </w:r>
      <w:proofErr w:type="spellEnd"/>
      <w:r>
        <w:t xml:space="preserve"> </w:t>
      </w:r>
      <w:proofErr w:type="spellStart"/>
      <w:r>
        <w:t>Nußberger</w:t>
      </w:r>
      <w:proofErr w:type="spellEnd"/>
      <w:r>
        <w:t>),</w:t>
      </w:r>
      <w:r>
        <w:rPr>
          <w:i/>
        </w:rPr>
        <w:t xml:space="preserve"> председател</w:t>
      </w:r>
      <w:r>
        <w:t>,</w:t>
      </w:r>
      <w:r>
        <w:br/>
      </w:r>
      <w:r>
        <w:tab/>
      </w:r>
      <w:proofErr w:type="spellStart"/>
      <w:r w:rsidR="00A72DF0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),</w:t>
      </w:r>
      <w:r>
        <w:rPr>
          <w:i/>
        </w:rPr>
        <w:br/>
      </w:r>
      <w:r>
        <w:tab/>
      </w:r>
      <w:proofErr w:type="spellStart"/>
      <w:r>
        <w:t>Ери</w:t>
      </w:r>
      <w:r w:rsidR="00A72DF0">
        <w:t>К</w:t>
      </w:r>
      <w:proofErr w:type="spellEnd"/>
      <w:r>
        <w:t xml:space="preserve"> </w:t>
      </w:r>
      <w:proofErr w:type="spellStart"/>
      <w:r>
        <w:t>Мьозе</w:t>
      </w:r>
      <w:proofErr w:type="spellEnd"/>
      <w:r>
        <w:t xml:space="preserve"> (</w:t>
      </w:r>
      <w:proofErr w:type="spellStart"/>
      <w:r>
        <w:t>Erik</w:t>
      </w:r>
      <w:proofErr w:type="spellEnd"/>
      <w:r>
        <w:t xml:space="preserve"> </w:t>
      </w:r>
      <w:proofErr w:type="spellStart"/>
      <w:r>
        <w:t>Møse</w:t>
      </w:r>
      <w:proofErr w:type="spellEnd"/>
      <w:r>
        <w:t>),</w:t>
      </w:r>
      <w:r>
        <w:rPr>
          <w:i/>
        </w:rP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rPr>
          <w:i/>
        </w:rPr>
        <w:br/>
      </w:r>
      <w:r>
        <w:tab/>
        <w:t>Йонко Грозев (</w:t>
      </w:r>
      <w:proofErr w:type="spellStart"/>
      <w:r>
        <w:t>Yonko</w:t>
      </w:r>
      <w:proofErr w:type="spellEnd"/>
      <w:r>
        <w:t xml:space="preserve"> </w:t>
      </w:r>
      <w:proofErr w:type="spellStart"/>
      <w:r>
        <w:t>Grozev</w:t>
      </w:r>
      <w:proofErr w:type="spellEnd"/>
      <w:r>
        <w:t>),</w:t>
      </w:r>
      <w:r>
        <w:rPr>
          <w:i/>
        </w:rPr>
        <w:br/>
      </w:r>
      <w:r>
        <w:tab/>
        <w:t xml:space="preserve">Карло </w:t>
      </w:r>
      <w:proofErr w:type="spellStart"/>
      <w:r>
        <w:t>Ранцони</w:t>
      </w:r>
      <w:proofErr w:type="spellEnd"/>
      <w:r>
        <w:t xml:space="preserve"> (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Ranzoni</w:t>
      </w:r>
      <w:proofErr w:type="spellEnd"/>
      <w:r>
        <w:t>),</w:t>
      </w:r>
      <w:r>
        <w:rPr>
          <w:i/>
        </w:rPr>
        <w:br/>
      </w:r>
      <w:r>
        <w:tab/>
      </w:r>
      <w:proofErr w:type="spellStart"/>
      <w:r>
        <w:t>Мартинш</w:t>
      </w:r>
      <w:proofErr w:type="spellEnd"/>
      <w:r>
        <w:t xml:space="preserve"> </w:t>
      </w:r>
      <w:proofErr w:type="spellStart"/>
      <w:r>
        <w:t>Митс</w:t>
      </w:r>
      <w:proofErr w:type="spellEnd"/>
      <w:r>
        <w:t xml:space="preserve"> (</w:t>
      </w:r>
      <w:proofErr w:type="spellStart"/>
      <w:r>
        <w:t>Mārtiņš</w:t>
      </w:r>
      <w:proofErr w:type="spellEnd"/>
      <w:r>
        <w:t xml:space="preserve"> </w:t>
      </w:r>
      <w:proofErr w:type="spellStart"/>
      <w:r>
        <w:t>Mits</w:t>
      </w:r>
      <w:proofErr w:type="spellEnd"/>
      <w:r>
        <w:t>),</w:t>
      </w:r>
      <w:r>
        <w:rPr>
          <w:i/>
        </w:rPr>
        <w:t xml:space="preserve"> съдии</w:t>
      </w:r>
      <w:r>
        <w:t>,</w:t>
      </w:r>
      <w:r>
        <w:br/>
        <w:t xml:space="preserve">и </w:t>
      </w:r>
      <w:proofErr w:type="spellStart"/>
      <w:r>
        <w:t>Клаудия</w:t>
      </w:r>
      <w:proofErr w:type="spellEnd"/>
      <w:r>
        <w:t xml:space="preserve"> </w:t>
      </w:r>
      <w:proofErr w:type="spellStart"/>
      <w:r>
        <w:t>Вестердик</w:t>
      </w:r>
      <w:proofErr w:type="spellEnd"/>
      <w:r>
        <w:t xml:space="preserve"> (</w:t>
      </w:r>
      <w:proofErr w:type="spellStart"/>
      <w:r>
        <w:t>Claudia</w:t>
      </w:r>
      <w:proofErr w:type="spellEnd"/>
      <w:r>
        <w:t xml:space="preserve"> </w:t>
      </w:r>
      <w:proofErr w:type="spellStart"/>
      <w:r>
        <w:t>Westerdiek</w:t>
      </w:r>
      <w:proofErr w:type="spellEnd"/>
      <w:r>
        <w:t xml:space="preserve">), </w:t>
      </w:r>
      <w:r>
        <w:rPr>
          <w:i/>
        </w:rPr>
        <w:t>секретар на отделението</w:t>
      </w:r>
      <w:r>
        <w:t>,</w:t>
      </w:r>
    </w:p>
    <w:p w:rsidR="00014566" w:rsidRPr="00262D6B" w:rsidRDefault="00014566" w:rsidP="00262D6B">
      <w:pPr>
        <w:pStyle w:val="ECHRPara"/>
      </w:pPr>
      <w:r>
        <w:t>След закрито заседание, проведено на 28 юни 2016 г.,</w:t>
      </w:r>
    </w:p>
    <w:p w:rsidR="00014566" w:rsidRPr="00262D6B" w:rsidRDefault="00014566" w:rsidP="00262D6B">
      <w:pPr>
        <w:pStyle w:val="ECHRPara"/>
      </w:pPr>
      <w:r>
        <w:t>Постановява следното решение, прието на същата дата:</w:t>
      </w:r>
    </w:p>
    <w:p w:rsidR="00014566" w:rsidRPr="00262D6B" w:rsidRDefault="00014566" w:rsidP="00262D6B">
      <w:pPr>
        <w:pStyle w:val="ECHRTitle1"/>
      </w:pPr>
      <w:r>
        <w:t>ПРОЦЕДУРА</w:t>
      </w:r>
    </w:p>
    <w:p w:rsidR="00F6413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</w:t>
        </w:r>
      </w:fldSimple>
      <w:r w:rsidR="00F64136">
        <w:t>.  Делото е образувано по жалба (№ 57148/08) срещу Република България, подадена в Съда на основание чл. 34 от Конвенцията за защита на правата на човека и основните свободи (”Конвенцията”) от българска гражданка, г-жа Миряна Георгиева Петрова (”жалбоподателката”</w:t>
      </w:r>
      <w:r w:rsidR="00593D3C">
        <w:t>)</w:t>
      </w:r>
      <w:r w:rsidR="00F64136">
        <w:t>, на 31 октомври 2008 г.</w:t>
      </w:r>
    </w:p>
    <w:p w:rsidR="00F6413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</w:t>
        </w:r>
      </w:fldSimple>
      <w:r w:rsidR="00F64136">
        <w:t xml:space="preserve">.  Жалбоподателката се представлява от г-жа С. Стефанова и г-н М. </w:t>
      </w:r>
      <w:proofErr w:type="spellStart"/>
      <w:r w:rsidR="00F64136">
        <w:t>Екимджиев</w:t>
      </w:r>
      <w:proofErr w:type="spellEnd"/>
      <w:r w:rsidR="00F64136">
        <w:t>, адвокати, практикуващи в Пловдив. Българското правителство („Правителството”) се представлява от правителствения агент г-жа И. Станчева-</w:t>
      </w:r>
      <w:proofErr w:type="spellStart"/>
      <w:r w:rsidR="00F64136">
        <w:t>Чинова</w:t>
      </w:r>
      <w:proofErr w:type="spellEnd"/>
      <w:r w:rsidR="008345B0">
        <w:t>,</w:t>
      </w:r>
      <w:r w:rsidR="00F64136">
        <w:t xml:space="preserve"> от Министерство на правосъдието.</w:t>
      </w:r>
    </w:p>
    <w:p w:rsidR="00E8129B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</w:t>
        </w:r>
      </w:fldSimple>
      <w:r w:rsidR="00F64136">
        <w:t xml:space="preserve">.  Жалбоподателката твърди по-конкретно, че не е могла ефективно да оспори отказа за предоставяне на </w:t>
      </w:r>
      <w:r w:rsidR="00433BBA" w:rsidRPr="003E78A2">
        <w:t>разрешение</w:t>
      </w:r>
      <w:r w:rsidR="00F64136" w:rsidRPr="00433BBA">
        <w:t xml:space="preserve"> за достъп</w:t>
      </w:r>
      <w:r w:rsidR="00F64136" w:rsidRPr="002445CC">
        <w:t xml:space="preserve"> до </w:t>
      </w:r>
      <w:r w:rsidR="008345B0">
        <w:t>класифицирана информация</w:t>
      </w:r>
      <w:r w:rsidR="00F64136" w:rsidRPr="002445CC">
        <w:t>,</w:t>
      </w:r>
      <w:r w:rsidR="00F64136">
        <w:t xml:space="preserve"> въз основа на който трудовият ѝ договор с Национална служба </w:t>
      </w:r>
      <w:r w:rsidR="00BC67A5">
        <w:t>„С</w:t>
      </w:r>
      <w:r w:rsidR="00F64136">
        <w:t>игурност</w:t>
      </w:r>
      <w:r w:rsidR="00BC67A5">
        <w:t>“</w:t>
      </w:r>
      <w:r w:rsidR="00F64136">
        <w:t xml:space="preserve"> е прекратен. Този отказ е представлявал </w:t>
      </w:r>
      <w:r w:rsidR="002560DD">
        <w:t xml:space="preserve">отричане </w:t>
      </w:r>
      <w:r w:rsidR="00F64136">
        <w:t>на правото ѝ на достъп до съд.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</w:t>
        </w:r>
      </w:fldSimple>
      <w:r w:rsidR="00F64136">
        <w:t xml:space="preserve">.  На 7 септември 2015 г. </w:t>
      </w:r>
      <w:r w:rsidR="008A68BB">
        <w:t xml:space="preserve">Правителството е уведомено за жалбата </w:t>
      </w:r>
      <w:r w:rsidR="00F64136">
        <w:t>отн</w:t>
      </w:r>
      <w:r w:rsidR="008A68BB">
        <w:t>осно</w:t>
      </w:r>
      <w:r w:rsidR="00F64136">
        <w:t xml:space="preserve"> липса на достъп до съд по чл. 6, а останалата част от жалбата е обявена за недопустима съгласно </w:t>
      </w:r>
      <w:r w:rsidR="008A68BB">
        <w:t>правило</w:t>
      </w:r>
      <w:r w:rsidR="00F64136">
        <w:t>. 54 § 3 от Правилника на Съда.</w:t>
      </w:r>
    </w:p>
    <w:p w:rsidR="00014566" w:rsidRPr="00262D6B" w:rsidRDefault="00014566" w:rsidP="00262D6B">
      <w:pPr>
        <w:pStyle w:val="ECHRTitle1"/>
      </w:pPr>
      <w:r>
        <w:t>ФАКТИТЕ</w:t>
      </w:r>
    </w:p>
    <w:p w:rsidR="00014566" w:rsidRPr="00262D6B" w:rsidRDefault="00014566" w:rsidP="00262D6B">
      <w:pPr>
        <w:pStyle w:val="ECHRHeading1"/>
      </w:pPr>
      <w:r>
        <w:t>I.  ОБСТОЯТЕЛСТВА ПО ДЕЛОТО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5</w:t>
        </w:r>
      </w:fldSimple>
      <w:r w:rsidR="00F64136">
        <w:t>.  Жалбоподателката е родена през 1950 г. и живее в София.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6</w:t>
        </w:r>
      </w:fldSimple>
      <w:r w:rsidR="00F64136">
        <w:t xml:space="preserve">.  Жалбоподателката е работила в Националната служба за сигурност като системен оператор от 1981 г. Тя твърди, че с оглед на естеството на задълженията ѝ, е </w:t>
      </w:r>
      <w:r w:rsidR="00F64136" w:rsidRPr="00A04FB6">
        <w:t xml:space="preserve">имала </w:t>
      </w:r>
      <w:r w:rsidR="005C426C" w:rsidRPr="004934CC">
        <w:t xml:space="preserve">разрешение </w:t>
      </w:r>
      <w:r w:rsidR="00F64136" w:rsidRPr="004934CC">
        <w:t>за достъп до класифицирана информация, представляваща държавна тайна. С</w:t>
      </w:r>
      <w:r w:rsidR="005C426C" w:rsidRPr="004934CC">
        <w:t>ъгласно</w:t>
      </w:r>
      <w:r w:rsidR="00F64136" w:rsidRPr="004934CC">
        <w:t xml:space="preserve"> длъжностната характеристика на жалбоподателката, притежанието на такова </w:t>
      </w:r>
      <w:r w:rsidR="00B947BD" w:rsidRPr="004934CC">
        <w:t xml:space="preserve">разрешение </w:t>
      </w:r>
      <w:r w:rsidR="00F64136" w:rsidRPr="004934CC">
        <w:t xml:space="preserve">за </w:t>
      </w:r>
      <w:r w:rsidR="00B947BD" w:rsidRPr="004934CC">
        <w:t xml:space="preserve">достъп </w:t>
      </w:r>
      <w:r w:rsidR="00F64136" w:rsidRPr="004934CC">
        <w:t xml:space="preserve">е </w:t>
      </w:r>
      <w:r w:rsidR="00F64136">
        <w:t>предпоставка да заема длъжността.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7</w:t>
        </w:r>
      </w:fldSimple>
      <w:r w:rsidR="003C06A2">
        <w:t xml:space="preserve">.  На 30 април 2002 г. Законът за защита на класифицираната информация (по-нататък “Закона”) е обнародван в Държавен вестник. Съгласно Закона за защита на класифицираната информация, </w:t>
      </w:r>
      <w:r w:rsidR="002560DD">
        <w:t>разрешенията</w:t>
      </w:r>
      <w:r w:rsidR="00271EA7" w:rsidRPr="00271EA7">
        <w:t xml:space="preserve">, </w:t>
      </w:r>
      <w:r w:rsidR="00271EA7">
        <w:t xml:space="preserve">предоставящи достъп до класифицирана информация, които са </w:t>
      </w:r>
      <w:r w:rsidR="00271EA7" w:rsidRPr="00271EA7">
        <w:t xml:space="preserve">издадени по реда на действащите нормативни актове преди влизането в сила на закона, запазват действието си до </w:t>
      </w:r>
      <w:r w:rsidR="002560DD">
        <w:t xml:space="preserve">замяната им с </w:t>
      </w:r>
      <w:r w:rsidR="00271EA7" w:rsidRPr="00271EA7">
        <w:t xml:space="preserve"> </w:t>
      </w:r>
      <w:proofErr w:type="spellStart"/>
      <w:r w:rsidR="00BC67A5">
        <w:t>допуск</w:t>
      </w:r>
      <w:proofErr w:type="spellEnd"/>
      <w:r w:rsidR="00BC67A5">
        <w:t xml:space="preserve">, позволяващ </w:t>
      </w:r>
      <w:r w:rsidR="00271EA7" w:rsidRPr="00271EA7">
        <w:t>достъп</w:t>
      </w:r>
      <w:r w:rsidR="00271EA7">
        <w:t xml:space="preserve"> </w:t>
      </w:r>
      <w:r w:rsidR="003C06A2">
        <w:t>до класифицирана информация. Ръководителите на организационните единици, в които работят лица</w:t>
      </w:r>
      <w:r w:rsidR="002445CC">
        <w:t xml:space="preserve"> с </w:t>
      </w:r>
      <w:proofErr w:type="spellStart"/>
      <w:r w:rsidR="002445CC" w:rsidRPr="002445CC">
        <w:t>допуск</w:t>
      </w:r>
      <w:proofErr w:type="spellEnd"/>
      <w:r w:rsidR="003C06A2">
        <w:t xml:space="preserve"> и чиито </w:t>
      </w:r>
      <w:r w:rsidR="002445CC">
        <w:t xml:space="preserve">длъжности </w:t>
      </w:r>
      <w:r w:rsidR="003C06A2">
        <w:t xml:space="preserve">изискват те да имат достъп до класифицирана информация, </w:t>
      </w:r>
      <w:r w:rsidR="002445CC" w:rsidRPr="002445CC">
        <w:t>са длъжни да поискат</w:t>
      </w:r>
      <w:r w:rsidR="002445CC">
        <w:t xml:space="preserve"> </w:t>
      </w:r>
      <w:r w:rsidR="003C06A2">
        <w:t xml:space="preserve">издаване на </w:t>
      </w:r>
      <w:r w:rsidR="002445CC">
        <w:t>разрешения за достъп</w:t>
      </w:r>
      <w:r w:rsidR="003C06A2">
        <w:t xml:space="preserve"> в съответствие с изискванията на закона. Неспазването на </w:t>
      </w:r>
      <w:r w:rsidR="002445CC" w:rsidRPr="002445CC">
        <w:t xml:space="preserve">това задължение води до прекратяване действието на вече издадените </w:t>
      </w:r>
      <w:proofErr w:type="spellStart"/>
      <w:r w:rsidR="002445CC" w:rsidRPr="002445CC">
        <w:t>допуски</w:t>
      </w:r>
      <w:proofErr w:type="spellEnd"/>
      <w:r w:rsidR="003C06A2">
        <w:t>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8</w:t>
        </w:r>
      </w:fldSimple>
      <w:r w:rsidR="003C06A2">
        <w:t xml:space="preserve">.  На 3 юни 2003 г., в съответствие с това задължение, директорът на Национална служба </w:t>
      </w:r>
      <w:r w:rsidR="00BC67A5">
        <w:t>„С</w:t>
      </w:r>
      <w:r w:rsidR="003C06A2">
        <w:t>игурност</w:t>
      </w:r>
      <w:r w:rsidR="00BC67A5">
        <w:t>“</w:t>
      </w:r>
      <w:r w:rsidR="003C06A2">
        <w:t xml:space="preserve"> издава решение, с което отказва на жалбоподателката </w:t>
      </w:r>
      <w:r w:rsidR="00426690">
        <w:t>разрешение за</w:t>
      </w:r>
      <w:r w:rsidR="003C06A2">
        <w:t xml:space="preserve"> достъп до класифицирана информация. Жалбоподателката твърди, че това решение </w:t>
      </w:r>
      <w:r w:rsidR="00426690">
        <w:t>с</w:t>
      </w:r>
      <w:r w:rsidR="003C06A2">
        <w:t xml:space="preserve">е </w:t>
      </w:r>
      <w:r w:rsidR="00426690">
        <w:t>основава</w:t>
      </w:r>
      <w:r w:rsidR="003C06A2">
        <w:t xml:space="preserve"> на психологически тест. Решението не съдържа никакви мотиви по отношение на отказа с изключение на позоваване на чл. 57 от Закона за защита на класифицираната информация.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9</w:t>
        </w:r>
      </w:fldSimple>
      <w:r w:rsidR="003C06A2">
        <w:t xml:space="preserve">.  Жалбоподателката </w:t>
      </w:r>
      <w:r w:rsidR="003C06A2" w:rsidRPr="00F02AD4">
        <w:t>подава жалба</w:t>
      </w:r>
      <w:r w:rsidR="003C06A2">
        <w:t xml:space="preserve"> срещу отказа до Държавната комисия по сигурността на информацията. Последната с решение от 5 февруари 2004 г. потвърждава отказа. Това решение е окончателно и не подлежи на съдебен контрол.</w:t>
      </w:r>
    </w:p>
    <w:p w:rsidR="00546B5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10</w:t>
        </w:r>
      </w:fldSimple>
      <w:r w:rsidR="003C06A2">
        <w:t xml:space="preserve">.  На 27 април 2004 г. директорът на Национална служба </w:t>
      </w:r>
      <w:r w:rsidR="00573390">
        <w:t>„С</w:t>
      </w:r>
      <w:r w:rsidR="003C06A2">
        <w:t>игурност</w:t>
      </w:r>
      <w:r w:rsidR="00573390">
        <w:t>“</w:t>
      </w:r>
      <w:r w:rsidR="003C06A2">
        <w:t xml:space="preserve"> </w:t>
      </w:r>
      <w:r w:rsidR="00765FBD" w:rsidRPr="001D706E">
        <w:t>разпорежда</w:t>
      </w:r>
      <w:r w:rsidR="00765FBD">
        <w:t xml:space="preserve"> </w:t>
      </w:r>
      <w:r w:rsidR="003C06A2">
        <w:t xml:space="preserve"> жалбоподателката</w:t>
      </w:r>
      <w:r w:rsidR="00765FBD">
        <w:t xml:space="preserve"> да бъде освободена от длъжност</w:t>
      </w:r>
      <w:r w:rsidR="003C06A2">
        <w:t xml:space="preserve">. </w:t>
      </w:r>
      <w:r w:rsidR="003C06A2" w:rsidRPr="00F02AD4">
        <w:t xml:space="preserve">Причината </w:t>
      </w:r>
      <w:r w:rsidR="00F02AD4" w:rsidRPr="003E78A2">
        <w:t>да бъде</w:t>
      </w:r>
      <w:r w:rsidR="00F02AD4" w:rsidRPr="00F02AD4">
        <w:t xml:space="preserve"> </w:t>
      </w:r>
      <w:r w:rsidR="003C06A2" w:rsidRPr="00F02AD4">
        <w:t>прекрат</w:t>
      </w:r>
      <w:r w:rsidR="00F02AD4" w:rsidRPr="003E78A2">
        <w:t>ено</w:t>
      </w:r>
      <w:r w:rsidR="003C06A2" w:rsidRPr="00F02AD4">
        <w:t xml:space="preserve"> т</w:t>
      </w:r>
      <w:r w:rsidR="003C06A2" w:rsidRPr="002B3BA2">
        <w:t>рудов</w:t>
      </w:r>
      <w:r w:rsidR="00F02AD4" w:rsidRPr="003E78A2">
        <w:t>ото</w:t>
      </w:r>
      <w:r w:rsidR="003C06A2" w:rsidRPr="00F02AD4">
        <w:t xml:space="preserve"> правоотношени</w:t>
      </w:r>
      <w:r w:rsidR="00F02AD4" w:rsidRPr="003E78A2">
        <w:t>е</w:t>
      </w:r>
      <w:r w:rsidR="003C06A2" w:rsidRPr="00F02AD4">
        <w:t xml:space="preserve"> с нея е отказът да ѝ се предостави </w:t>
      </w:r>
      <w:r w:rsidR="00765FBD" w:rsidRPr="00EC07A7">
        <w:t>разрешение за достъп</w:t>
      </w:r>
      <w:r w:rsidR="003C06A2" w:rsidRPr="00EC07A7">
        <w:t>, чието притежание е необходимо условие за това тя да може да изпълнява задълженията си.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11</w:t>
        </w:r>
      </w:fldSimple>
      <w:r w:rsidR="003C06A2">
        <w:t>.  Жалбоподателката оспорва освобождаването си</w:t>
      </w:r>
      <w:r w:rsidR="00076443">
        <w:t xml:space="preserve"> от длъжност</w:t>
      </w:r>
      <w:r w:rsidR="003C06A2">
        <w:t xml:space="preserve"> </w:t>
      </w:r>
      <w:r w:rsidR="00573390">
        <w:t xml:space="preserve">в </w:t>
      </w:r>
      <w:proofErr w:type="spellStart"/>
      <w:r w:rsidR="00573390">
        <w:t>триинстанционно</w:t>
      </w:r>
      <w:proofErr w:type="spellEnd"/>
      <w:r w:rsidR="00573390">
        <w:t xml:space="preserve"> производство</w:t>
      </w:r>
      <w:r w:rsidR="003C06A2">
        <w:t xml:space="preserve">. Тя оспорва обективността и законосъобразността на процедурата по освобождаване от длъжност, като твърди, че е изпълнила всички условия за издаване на </w:t>
      </w:r>
      <w:r w:rsidR="00076443">
        <w:t>разрешение за достъп</w:t>
      </w:r>
      <w:r w:rsidR="003C06A2">
        <w:t xml:space="preserve"> и че е била освободена поради негативните лични отношения между нея и прекия ѝ ръководител. Според жалбоподателката </w:t>
      </w:r>
      <w:r w:rsidR="00DA1104">
        <w:t xml:space="preserve">разрешението </w:t>
      </w:r>
      <w:r w:rsidR="003C06A2">
        <w:t xml:space="preserve">вероятно </w:t>
      </w:r>
      <w:r w:rsidR="003028D2">
        <w:t xml:space="preserve">й </w:t>
      </w:r>
      <w:r w:rsidR="003C06A2">
        <w:t xml:space="preserve">е отказано, тъй като тя е страдала от </w:t>
      </w:r>
      <w:r w:rsidR="003C06A2">
        <w:lastRenderedPageBreak/>
        <w:t xml:space="preserve">депресивна невроза през 1995 г., състояние, което според нея вече не е </w:t>
      </w:r>
      <w:r w:rsidR="0064772B">
        <w:t>актуално</w:t>
      </w:r>
      <w:r w:rsidR="003C06A2">
        <w:t xml:space="preserve">. Искането на жалбоподателката да бъде </w:t>
      </w:r>
      <w:r w:rsidR="003028D2">
        <w:t xml:space="preserve">назначена </w:t>
      </w:r>
      <w:r w:rsidR="003C06A2">
        <w:t>психиатрична експертиза е отхвърлено от Софийски районен съд.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12</w:t>
        </w:r>
      </w:fldSimple>
      <w:r w:rsidR="003C06A2">
        <w:t xml:space="preserve">.  С решение от 11 май 2005 г. Софийски районен съд отхвърля </w:t>
      </w:r>
      <w:r w:rsidR="002B3BA2">
        <w:t xml:space="preserve">оплакванията </w:t>
      </w:r>
      <w:r w:rsidR="003C06A2">
        <w:t xml:space="preserve">на жалбоподателката, обосновавайки се, че отказът на директора на Националната служба за сигурност да предостави </w:t>
      </w:r>
      <w:r w:rsidR="005716B9">
        <w:t>разрешение за достъп</w:t>
      </w:r>
      <w:r w:rsidR="003C06A2">
        <w:t xml:space="preserve"> на жалбоподателката е окончателен и валиден административен акт и той прави освобождаването на жалбоподателката неизбежно, защото тя вече не е в състояние да изпълнява задълженията си. Съдът допълва, че отказът не подлежи на съдебен контрол; следователно съдът не е компетентен да разгледа в рамките на процедурата по освобождаване от длъжност каквито и да било материални или процедурни въпроси, свързани с неговата законосъобразност.</w:t>
      </w:r>
    </w:p>
    <w:p w:rsidR="00546B5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13</w:t>
        </w:r>
      </w:fldSimple>
      <w:r w:rsidR="003C06A2">
        <w:t>.  При обжалване</w:t>
      </w:r>
      <w:r w:rsidR="00CA0934">
        <w:t>то</w:t>
      </w:r>
      <w:r w:rsidR="003C06A2">
        <w:t xml:space="preserve"> Софийски градски съд с </w:t>
      </w:r>
      <w:r w:rsidR="002B3BA2">
        <w:t xml:space="preserve">определение </w:t>
      </w:r>
      <w:r w:rsidR="003C06A2">
        <w:t xml:space="preserve">от 6 април 2006 г. потвърждава решението на предходната съдебна инстанция, </w:t>
      </w:r>
      <w:r w:rsidR="00FD2173">
        <w:t xml:space="preserve">като </w:t>
      </w:r>
      <w:r w:rsidR="003C06A2">
        <w:t>подкрепя мотивите ѝ.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14</w:t>
        </w:r>
      </w:fldSimple>
      <w:r w:rsidR="009D386A">
        <w:t xml:space="preserve">.  На 19 юни 2008 г. Върховният касационен съд потвърждава тези </w:t>
      </w:r>
      <w:r w:rsidR="00CA0934">
        <w:t>решения</w:t>
      </w:r>
      <w:r w:rsidR="009D386A">
        <w:t>.</w:t>
      </w:r>
    </w:p>
    <w:p w:rsidR="00014566" w:rsidRPr="00262D6B" w:rsidRDefault="00014566" w:rsidP="00262D6B">
      <w:pPr>
        <w:pStyle w:val="ECHRHeading1"/>
      </w:pPr>
      <w:r>
        <w:t>II.  ПРИЛОЖИМО ВЪТРЕШНО ПРАВО И ПРАКТИКА</w:t>
      </w:r>
    </w:p>
    <w:p w:rsidR="005D280A" w:rsidRPr="00262D6B" w:rsidRDefault="001662EF" w:rsidP="00262D6B">
      <w:pPr>
        <w:pStyle w:val="ECHRHeading2"/>
      </w:pPr>
      <w:r>
        <w:t>А. Конституцията от 1991 г.</w:t>
      </w:r>
    </w:p>
    <w:p w:rsidR="001662EF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15</w:t>
        </w:r>
      </w:fldSimple>
      <w:r w:rsidR="001662EF">
        <w:t>.  Чл. 120 от Конституцията гласи:</w:t>
      </w:r>
    </w:p>
    <w:p w:rsidR="005D280A" w:rsidRPr="00262D6B" w:rsidRDefault="005D280A" w:rsidP="00262D6B">
      <w:pPr>
        <w:pStyle w:val="ECHRParaQuote"/>
      </w:pPr>
      <w:r>
        <w:t>“1.  Съдилищата осъществяват контрол за законност на актове и действия на административните органи.</w:t>
      </w:r>
    </w:p>
    <w:p w:rsidR="00496B9B" w:rsidRPr="00262D6B" w:rsidRDefault="005D280A" w:rsidP="00262D6B">
      <w:pPr>
        <w:pStyle w:val="ECHRParaQuote"/>
      </w:pPr>
      <w:r>
        <w:t>2.  Гражданите и юридическите лица могат да обжалват всички административни актове, които ги засягат, освен изрично посочените със закон.”</w:t>
      </w:r>
    </w:p>
    <w:p w:rsidR="005D280A" w:rsidRPr="00262D6B" w:rsidRDefault="00824A78" w:rsidP="00262D6B">
      <w:pPr>
        <w:pStyle w:val="ECHRHeading2"/>
      </w:pPr>
      <w:r>
        <w:t>Б.  Закон за защита на класифицираната информация от 2002 г.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16</w:t>
        </w:r>
      </w:fldSimple>
      <w:r w:rsidR="003C06A2">
        <w:t>.  Чл. 40</w:t>
      </w:r>
      <w:r w:rsidR="00A14715">
        <w:t>, ал.</w:t>
      </w:r>
      <w:r w:rsidR="003C06A2">
        <w:t xml:space="preserve"> 1 от този Закон гласи, че разрешение за достъп до класифицирана информация, извън случаите по чл. 39 (</w:t>
      </w:r>
      <w:r w:rsidR="003C06A2" w:rsidRPr="008A3D78">
        <w:t xml:space="preserve">отнасящ се до достъп до класифицирана информация във връзка с изпълнение на ограничен набор от служебни задължения на най-високо </w:t>
      </w:r>
      <w:r w:rsidR="008A3D78" w:rsidRPr="003E78A2">
        <w:t xml:space="preserve">ниво </w:t>
      </w:r>
      <w:r w:rsidR="003C06A2" w:rsidRPr="008A3D78">
        <w:t>на държавната</w:t>
      </w:r>
      <w:r w:rsidR="003C06A2" w:rsidRPr="00387A00">
        <w:t xml:space="preserve"> власт), се издава единствено на лице, което</w:t>
      </w:r>
      <w:r w:rsidR="003C06A2">
        <w:t xml:space="preserve"> отговаря на следните изисквания: а) притежава българско гражданство; б) е пълнолетно; в) има завършено средно образование; г) не е осъждано за умишлено престъпление от общ характер, независимо от реабилитацията; д) срещу </w:t>
      </w:r>
      <w:r w:rsidR="00C17575">
        <w:t xml:space="preserve">лицето </w:t>
      </w:r>
      <w:r w:rsidR="003C06A2">
        <w:t xml:space="preserve">няма образувано досъдебно или съдебно производство за умишлено престъпление от общ характер; е) е надеждно от гледна точка на сигурността; ж) не страда от психически </w:t>
      </w:r>
      <w:r w:rsidR="003C06A2">
        <w:lastRenderedPageBreak/>
        <w:t>заболявания (</w:t>
      </w:r>
      <w:r w:rsidR="00C17575" w:rsidRPr="00A14715">
        <w:t>удостоверени по съответния ред</w:t>
      </w:r>
      <w:r w:rsidR="003C06A2">
        <w:t>); и з) е определено като надеждно за опазване на тайна.</w:t>
      </w:r>
    </w:p>
    <w:p w:rsidR="00F6466F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17</w:t>
        </w:r>
      </w:fldSimple>
      <w:r w:rsidR="003C06A2">
        <w:t>.  Чл. 57</w:t>
      </w:r>
      <w:r w:rsidR="00A14715">
        <w:t>, ал.</w:t>
      </w:r>
      <w:r w:rsidR="003C06A2">
        <w:t xml:space="preserve"> 1 гласи, че </w:t>
      </w:r>
      <w:r w:rsidR="00387A00">
        <w:t xml:space="preserve">се отказва </w:t>
      </w:r>
      <w:r w:rsidR="003C06A2">
        <w:t>издаване</w:t>
      </w:r>
      <w:r w:rsidR="00387A00">
        <w:t>то</w:t>
      </w:r>
      <w:r w:rsidR="003C06A2">
        <w:t xml:space="preserve"> на разрешение за достъп до класифицирана информация, когато в хода на проучването </w:t>
      </w:r>
      <w:r w:rsidR="00387A00">
        <w:t>с</w:t>
      </w:r>
      <w:r w:rsidR="003C06A2">
        <w:t>е установ</w:t>
      </w:r>
      <w:r w:rsidR="00387A00">
        <w:t>и</w:t>
      </w:r>
      <w:r w:rsidR="003C06A2">
        <w:t xml:space="preserve">, че проучваното лице не отговаря на някое от изискванията по чл. 40 § 1. </w:t>
      </w:r>
      <w:r w:rsidR="00387A00">
        <w:t xml:space="preserve">Съгласно </w:t>
      </w:r>
      <w:r w:rsidR="003C06A2">
        <w:t>чл. 11 и чл. 49 проучвания</w:t>
      </w:r>
      <w:r w:rsidR="00387A00">
        <w:t>та</w:t>
      </w:r>
      <w:r w:rsidR="003C06A2">
        <w:t xml:space="preserve"> за </w:t>
      </w:r>
      <w:r w:rsidR="00A816AA">
        <w:t>надеждност</w:t>
      </w:r>
      <w:r w:rsidR="00387A00">
        <w:t xml:space="preserve"> </w:t>
      </w:r>
      <w:r w:rsidR="003C06A2">
        <w:t xml:space="preserve">на служители на националните служби за сигурност се извършват от същите тези национални служби за сигурност, които са компетентни </w:t>
      </w:r>
      <w:r w:rsidR="00A14715">
        <w:t xml:space="preserve">и </w:t>
      </w:r>
      <w:r w:rsidR="003C06A2">
        <w:t>да предоставят или отка</w:t>
      </w:r>
      <w:r w:rsidR="00A14715">
        <w:t>жат</w:t>
      </w:r>
      <w:r w:rsidR="003C06A2">
        <w:t xml:space="preserve"> </w:t>
      </w:r>
      <w:r w:rsidR="00A816AA">
        <w:t>разрешение за достъп</w:t>
      </w:r>
      <w:r w:rsidR="003C06A2">
        <w:t>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18</w:t>
        </w:r>
      </w:fldSimple>
      <w:r w:rsidR="00496B9B">
        <w:t>.  </w:t>
      </w:r>
      <w:r w:rsidR="00A816AA">
        <w:t xml:space="preserve">Съгласно </w:t>
      </w:r>
      <w:r w:rsidR="00496B9B">
        <w:t>чл. 57</w:t>
      </w:r>
      <w:r w:rsidR="00A14715">
        <w:t>, ал.</w:t>
      </w:r>
      <w:r w:rsidR="00496B9B">
        <w:t xml:space="preserve"> 3 и 5 отказът за издаване на </w:t>
      </w:r>
      <w:r w:rsidR="00A816AA">
        <w:t xml:space="preserve">разрешение </w:t>
      </w:r>
      <w:r w:rsidR="00496B9B">
        <w:t xml:space="preserve">за </w:t>
      </w:r>
      <w:r w:rsidR="00A816AA">
        <w:t xml:space="preserve">достъп </w:t>
      </w:r>
      <w:r w:rsidR="00496B9B">
        <w:t xml:space="preserve">не се мотивира, </w:t>
      </w:r>
      <w:r w:rsidR="00A816AA">
        <w:t>като</w:t>
      </w:r>
      <w:r w:rsidR="00496B9B">
        <w:t xml:space="preserve"> се посочва само правното основание за такъв отказ. Отказ</w:t>
      </w:r>
      <w:r w:rsidR="00A14715">
        <w:t>ът</w:t>
      </w:r>
      <w:r w:rsidR="00496B9B">
        <w:t xml:space="preserve"> за предоставяне на достъп до класифицирана информация не подлежи на обжалване пред съдилищата. С решение от 25 септември 2002 г. Конституционният съд </w:t>
      </w:r>
      <w:r w:rsidR="00F4313F">
        <w:t>приема</w:t>
      </w:r>
      <w:r w:rsidR="00496B9B">
        <w:t>, че решението на законодателя да не позвол</w:t>
      </w:r>
      <w:r w:rsidR="00F4313F">
        <w:t>ява</w:t>
      </w:r>
      <w:r w:rsidR="00496B9B">
        <w:t xml:space="preserve"> такива откази да бъдат подлагани на съдебен контрол е обосновано от необходимостта за защита на националната сигурност и не е в противоречие с Конституцията (вж. </w:t>
      </w:r>
      <w:proofErr w:type="spellStart"/>
      <w:r w:rsidR="00496B9B">
        <w:t>реш</w:t>
      </w:r>
      <w:proofErr w:type="spellEnd"/>
      <w:r w:rsidR="00496B9B">
        <w:t xml:space="preserve">. № 3 от 25.09.2002 г. на КС на РБ по </w:t>
      </w:r>
      <w:proofErr w:type="spellStart"/>
      <w:r w:rsidR="00496B9B">
        <w:t>конст</w:t>
      </w:r>
      <w:proofErr w:type="spellEnd"/>
      <w:r w:rsidR="00496B9B">
        <w:t>. д. № 11/2002 г.).</w:t>
      </w:r>
    </w:p>
    <w:p w:rsidR="005D280A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19</w:t>
        </w:r>
      </w:fldSimple>
      <w:r w:rsidR="003C06A2">
        <w:t xml:space="preserve">.  По силата на </w:t>
      </w:r>
      <w:r w:rsidR="00A14715">
        <w:t>параграф</w:t>
      </w:r>
      <w:r w:rsidR="003C06A2">
        <w:t xml:space="preserve"> 10 от преходните и заключителните разпоредби на Закона </w:t>
      </w:r>
      <w:proofErr w:type="spellStart"/>
      <w:r w:rsidR="003C06A2">
        <w:t>допуските</w:t>
      </w:r>
      <w:proofErr w:type="spellEnd"/>
      <w:r w:rsidR="003C06A2">
        <w:t xml:space="preserve">, издадени </w:t>
      </w:r>
      <w:r w:rsidR="004D2D7B" w:rsidRPr="004D2D7B">
        <w:t>по реда на действащите нормативни актове</w:t>
      </w:r>
      <w:r w:rsidR="003C06A2">
        <w:t xml:space="preserve"> преди влизането в сила на този закон, запазват действието си до издаване на разрешения за достъп.  Ръководителите на организационни единици, в които работят лица</w:t>
      </w:r>
      <w:r w:rsidR="004D2D7B" w:rsidRPr="004D2D7B">
        <w:t xml:space="preserve"> с </w:t>
      </w:r>
      <w:proofErr w:type="spellStart"/>
      <w:r w:rsidR="004D2D7B" w:rsidRPr="004D2D7B">
        <w:t>допуск</w:t>
      </w:r>
      <w:proofErr w:type="spellEnd"/>
      <w:r w:rsidR="003C06A2">
        <w:t xml:space="preserve"> и чиито </w:t>
      </w:r>
      <w:r w:rsidR="004D2D7B">
        <w:t>длъжности</w:t>
      </w:r>
      <w:r w:rsidR="004D2D7B" w:rsidRPr="004D2D7B">
        <w:t xml:space="preserve"> или конкретно възложени задачи</w:t>
      </w:r>
      <w:r w:rsidR="004D2D7B">
        <w:t xml:space="preserve"> </w:t>
      </w:r>
      <w:r w:rsidR="003C06A2">
        <w:t xml:space="preserve">изискват достъп до класифицирана информация, </w:t>
      </w:r>
      <w:r w:rsidR="004D2D7B" w:rsidRPr="004D2D7B">
        <w:t>са длъжни</w:t>
      </w:r>
      <w:r w:rsidR="004D2D7B" w:rsidRPr="004D2D7B" w:rsidDel="004D2D7B">
        <w:t xml:space="preserve"> </w:t>
      </w:r>
      <w:r w:rsidR="003C06A2">
        <w:t>да поискат издаването на разрешения за достъп в съответствие с изискванията на закона и в три месе</w:t>
      </w:r>
      <w:r w:rsidR="0027405D">
        <w:t>чен срок</w:t>
      </w:r>
      <w:r w:rsidR="003C06A2">
        <w:t xml:space="preserve"> от влизането му в сила. </w:t>
      </w:r>
      <w:r w:rsidR="0027405D" w:rsidRPr="0027405D">
        <w:t xml:space="preserve">Неизпълнението на това задължение води до прекратяване действието на вече издадените </w:t>
      </w:r>
      <w:proofErr w:type="spellStart"/>
      <w:r w:rsidR="0027405D" w:rsidRPr="0027405D">
        <w:t>допуски</w:t>
      </w:r>
      <w:proofErr w:type="spellEnd"/>
      <w:r w:rsidR="003C06A2">
        <w:t>.</w:t>
      </w:r>
    </w:p>
    <w:p w:rsidR="000E6762" w:rsidRPr="00262D6B" w:rsidRDefault="00783DBC" w:rsidP="00262D6B">
      <w:pPr>
        <w:pStyle w:val="ECHRHeading2"/>
      </w:pPr>
      <w:r>
        <w:t>В. Кодекс на труда от 1986 г.</w:t>
      </w:r>
    </w:p>
    <w:p w:rsidR="00983633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20</w:t>
        </w:r>
      </w:fldSimple>
      <w:r w:rsidR="00983633">
        <w:t xml:space="preserve">.  Чл. 328 § 1 (2) от </w:t>
      </w:r>
      <w:r w:rsidR="006A02CB">
        <w:t>К</w:t>
      </w:r>
      <w:r w:rsidR="00983633">
        <w:t>одекс</w:t>
      </w:r>
      <w:r w:rsidR="006A02CB">
        <w:t>а на труда</w:t>
      </w:r>
      <w:r w:rsidR="00983633">
        <w:t xml:space="preserve"> гласи, че работодател може да прекрати трудов договор, като отправи предизвестие до работника или служителя, когато този работник или служител на може да изпълнява задълженията си по обективни причини.</w:t>
      </w:r>
    </w:p>
    <w:p w:rsidR="00546B5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21</w:t>
        </w:r>
      </w:fldSimple>
      <w:r w:rsidR="00983633">
        <w:t>.  </w:t>
      </w:r>
      <w:r w:rsidR="006A02CB">
        <w:t xml:space="preserve">Съгласно </w:t>
      </w:r>
      <w:r w:rsidR="00983633">
        <w:t xml:space="preserve">чл. 344 когато служител смята, че е бил несправедливо уволнен, той може да </w:t>
      </w:r>
      <w:r w:rsidR="00C17575" w:rsidRPr="00EF313E">
        <w:t xml:space="preserve">предяви </w:t>
      </w:r>
      <w:r w:rsidR="00983633" w:rsidRPr="00EF313E">
        <w:t>иск</w:t>
      </w:r>
      <w:r w:rsidR="00983633">
        <w:t xml:space="preserve">, </w:t>
      </w:r>
      <w:r w:rsidR="00C1111C">
        <w:t xml:space="preserve">с който да оспори </w:t>
      </w:r>
      <w:r w:rsidR="00983633">
        <w:t>законността на уволнението си пред гражданските съдилища.</w:t>
      </w:r>
    </w:p>
    <w:p w:rsidR="00A94100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22</w:t>
        </w:r>
      </w:fldSimple>
      <w:r w:rsidR="00A94100">
        <w:t>.  Горните разпоредби са приложими за прекратяване на трудовите договори на държавни служители.</w:t>
      </w:r>
    </w:p>
    <w:p w:rsidR="00014566" w:rsidRPr="00262D6B" w:rsidRDefault="00E233D3" w:rsidP="00262D6B">
      <w:pPr>
        <w:pStyle w:val="ECHRTitle1"/>
      </w:pPr>
      <w:r>
        <w:lastRenderedPageBreak/>
        <w:t>ПРАВОТО</w:t>
      </w:r>
    </w:p>
    <w:p w:rsidR="00014566" w:rsidRPr="00262D6B" w:rsidRDefault="00014566" w:rsidP="00262D6B">
      <w:pPr>
        <w:pStyle w:val="ECHRHeading1"/>
      </w:pPr>
      <w:r>
        <w:t>I. ТВЪРДЯНО НАРУШЕНИЕ НА ЧЛ. 6 ОТ КОНВЕНЦИЯТА</w:t>
      </w:r>
    </w:p>
    <w:p w:rsidR="0018037E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23</w:t>
        </w:r>
      </w:fldSimple>
      <w:r w:rsidR="00F64136">
        <w:t xml:space="preserve">.  Жалбоподателката се оплаква, че не е могла ефективно да оспори отказа за предоставяне на </w:t>
      </w:r>
      <w:r w:rsidR="00E233D3">
        <w:t xml:space="preserve">разрешение </w:t>
      </w:r>
      <w:r w:rsidR="00F64136">
        <w:t xml:space="preserve">за достъп до държавни тайни, въз основа на който трудовият ѝ договор с Национална служба </w:t>
      </w:r>
      <w:r w:rsidR="00C1111C">
        <w:t>„С</w:t>
      </w:r>
      <w:r w:rsidR="00F64136">
        <w:t>игурност</w:t>
      </w:r>
      <w:r w:rsidR="00C1111C">
        <w:t>“</w:t>
      </w:r>
      <w:r w:rsidR="00F64136">
        <w:t xml:space="preserve"> е прекратен. Освен това тя се оплаква, че </w:t>
      </w:r>
      <w:r w:rsidR="00C1111C">
        <w:t xml:space="preserve">действителността </w:t>
      </w:r>
      <w:r w:rsidR="00F64136">
        <w:t xml:space="preserve">на този отказ не </w:t>
      </w:r>
      <w:r w:rsidR="005F22E9">
        <w:t>подлежи</w:t>
      </w:r>
      <w:r w:rsidR="00F64136">
        <w:t xml:space="preserve"> на </w:t>
      </w:r>
      <w:r w:rsidR="005F22E9" w:rsidRPr="00D34B3A">
        <w:t>проверка</w:t>
      </w:r>
      <w:r w:rsidR="005F22E9">
        <w:t xml:space="preserve"> </w:t>
      </w:r>
      <w:r w:rsidR="00F64136">
        <w:t xml:space="preserve">в хода на съдебното производство за нейното уволнение. </w:t>
      </w:r>
      <w:r w:rsidR="005F22E9">
        <w:t>Като се п</w:t>
      </w:r>
      <w:r w:rsidR="00F64136">
        <w:t>озовава на чл. 6 § 1 и чл. 13 от Конвенцията тя твърди, че в резултат на това ѝ е бил отказан достъп до съд.</w:t>
      </w:r>
    </w:p>
    <w:p w:rsidR="0018037E" w:rsidRPr="00262D6B" w:rsidRDefault="00A20199" w:rsidP="00262D6B">
      <w:pPr>
        <w:pStyle w:val="ECHRPara"/>
      </w:pPr>
      <w:fldSimple w:instr=" SEQ level0 \*arabic ">
        <w:r w:rsidR="00262D6B" w:rsidRPr="00EC07A7">
          <w:rPr>
            <w:noProof/>
          </w:rPr>
          <w:t>24</w:t>
        </w:r>
      </w:fldSimple>
      <w:r w:rsidR="0018037E" w:rsidRPr="00EC07A7">
        <w:t>.  Съдът отбелязва, че изискванията на чл. 13 от Конвенцията са по-малко строги</w:t>
      </w:r>
      <w:r w:rsidR="002B3BA2" w:rsidRPr="003E78A2">
        <w:t xml:space="preserve"> и</w:t>
      </w:r>
      <w:r w:rsidR="0018037E" w:rsidRPr="00EC07A7">
        <w:t xml:space="preserve"> в такива </w:t>
      </w:r>
      <w:r w:rsidR="002B3BA2" w:rsidRPr="003E78A2">
        <w:t>случаи</w:t>
      </w:r>
      <w:r w:rsidR="002B3BA2" w:rsidRPr="00233768">
        <w:t xml:space="preserve"> </w:t>
      </w:r>
      <w:r w:rsidR="0018037E" w:rsidRPr="00EC07A7">
        <w:t xml:space="preserve">се </w:t>
      </w:r>
      <w:r w:rsidR="00C1111C">
        <w:t>поглъщат</w:t>
      </w:r>
      <w:r w:rsidR="0018037E" w:rsidRPr="00EC07A7">
        <w:t xml:space="preserve"> от тези на чл. 6 § 1 (вж., наред с други решения, </w:t>
      </w:r>
      <w:proofErr w:type="spellStart"/>
      <w:r w:rsidR="0018037E" w:rsidRPr="00EC07A7">
        <w:rPr>
          <w:i/>
        </w:rPr>
        <w:t>Vasilescu</w:t>
      </w:r>
      <w:proofErr w:type="spellEnd"/>
      <w:r w:rsidR="0018037E" w:rsidRPr="00EC07A7">
        <w:rPr>
          <w:i/>
        </w:rPr>
        <w:t xml:space="preserve"> v. </w:t>
      </w:r>
      <w:proofErr w:type="spellStart"/>
      <w:r w:rsidR="0018037E" w:rsidRPr="00EC07A7">
        <w:rPr>
          <w:i/>
        </w:rPr>
        <w:t>Romania</w:t>
      </w:r>
      <w:proofErr w:type="spellEnd"/>
      <w:r w:rsidR="0018037E" w:rsidRPr="00EC07A7">
        <w:t xml:space="preserve">, 22 май 1998 г., § 43, </w:t>
      </w:r>
      <w:r w:rsidR="0018037E" w:rsidRPr="00EC07A7">
        <w:rPr>
          <w:i/>
        </w:rPr>
        <w:t xml:space="preserve">Доклади за решения и определения </w:t>
      </w:r>
      <w:r w:rsidR="0018037E" w:rsidRPr="00EC07A7">
        <w:t xml:space="preserve">1998-III). Поради това той </w:t>
      </w:r>
      <w:r w:rsidR="002B3BA2" w:rsidRPr="003E78A2">
        <w:t>счита</w:t>
      </w:r>
      <w:r w:rsidR="0018037E" w:rsidRPr="00233768">
        <w:t xml:space="preserve">, че горните оплаквания </w:t>
      </w:r>
      <w:r w:rsidR="009B2721">
        <w:t>следва</w:t>
      </w:r>
      <w:r w:rsidR="009B2721" w:rsidRPr="00233768">
        <w:t xml:space="preserve"> </w:t>
      </w:r>
      <w:r w:rsidR="0018037E" w:rsidRPr="00EC07A7">
        <w:t xml:space="preserve">да </w:t>
      </w:r>
      <w:r w:rsidR="002B3BA2" w:rsidRPr="003E78A2">
        <w:t>се</w:t>
      </w:r>
      <w:r w:rsidR="002B3BA2" w:rsidRPr="00233768">
        <w:t xml:space="preserve"> </w:t>
      </w:r>
      <w:r w:rsidR="0018037E" w:rsidRPr="00EC07A7">
        <w:t>разгле</w:t>
      </w:r>
      <w:r w:rsidR="002B3BA2" w:rsidRPr="003E78A2">
        <w:t>ждат</w:t>
      </w:r>
      <w:r w:rsidR="0018037E" w:rsidRPr="00EC07A7">
        <w:t xml:space="preserve"> единствено </w:t>
      </w:r>
      <w:r w:rsidR="00233768" w:rsidRPr="003E78A2">
        <w:t>с оглед</w:t>
      </w:r>
      <w:r w:rsidR="0018037E" w:rsidRPr="00EC07A7">
        <w:t xml:space="preserve"> на последната разпоредба, която в </w:t>
      </w:r>
      <w:r w:rsidR="00233768" w:rsidRPr="003E78A2">
        <w:t>приложимата</w:t>
      </w:r>
      <w:r w:rsidR="00233768" w:rsidRPr="00233768">
        <w:t xml:space="preserve"> </w:t>
      </w:r>
      <w:r w:rsidR="0018037E" w:rsidRPr="00EC07A7">
        <w:t>си част гласи:</w:t>
      </w:r>
    </w:p>
    <w:p w:rsidR="00014566" w:rsidRPr="00262D6B" w:rsidRDefault="004C4C06" w:rsidP="00262D6B">
      <w:pPr>
        <w:pStyle w:val="ECHRParaQuote"/>
      </w:pPr>
      <w:r>
        <w:t xml:space="preserve">“Всяко лице, при решаването на правен спор относно  </w:t>
      </w:r>
      <w:r>
        <w:br/>
        <w:t>неговите граждански права и задължения..., има право на справедливо и публично гледане на неговото дело в разумен срок, от независим и безпристрастен съд, създаден в съответствие със закона.”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25</w:t>
        </w:r>
      </w:fldSimple>
      <w:r w:rsidR="00F64136">
        <w:t>.  Правителството оспорва аргументите на жалбоподателката.</w:t>
      </w:r>
    </w:p>
    <w:p w:rsidR="00014566" w:rsidRPr="00262D6B" w:rsidRDefault="00014566" w:rsidP="00262D6B">
      <w:pPr>
        <w:pStyle w:val="ECHRHeading2"/>
      </w:pPr>
      <w:r>
        <w:t>A.  Допустимост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26</w:t>
        </w:r>
      </w:fldSimple>
      <w:r w:rsidR="00F64136">
        <w:t xml:space="preserve">.  Съдът отбелязва, че </w:t>
      </w:r>
      <w:r w:rsidR="00A11DAA">
        <w:t>жалбата</w:t>
      </w:r>
      <w:r w:rsidR="00F64136">
        <w:t xml:space="preserve"> не е явно необоснован</w:t>
      </w:r>
      <w:r w:rsidR="00A11DAA">
        <w:t>а</w:t>
      </w:r>
      <w:r w:rsidR="00F64136">
        <w:t xml:space="preserve"> по смисъла на чл. 35 § 3(а) от Конвенцията. Той отбелязва още, че </w:t>
      </w:r>
      <w:r w:rsidR="00A11DAA">
        <w:t xml:space="preserve">тя </w:t>
      </w:r>
      <w:r w:rsidR="00F64136">
        <w:t>не е недопустим</w:t>
      </w:r>
      <w:r w:rsidR="00A11DAA">
        <w:t>а</w:t>
      </w:r>
      <w:r w:rsidR="00F64136">
        <w:t xml:space="preserve"> на други основания. Следователно </w:t>
      </w:r>
      <w:r w:rsidR="00A11DAA">
        <w:t>жалбата е</w:t>
      </w:r>
      <w:r w:rsidR="00F64136">
        <w:t xml:space="preserve"> допустим</w:t>
      </w:r>
      <w:r w:rsidR="00A11DAA">
        <w:t>а</w:t>
      </w:r>
      <w:r w:rsidR="00F64136">
        <w:t>.</w:t>
      </w:r>
    </w:p>
    <w:p w:rsidR="00014566" w:rsidRPr="00262D6B" w:rsidRDefault="00014566" w:rsidP="00262D6B">
      <w:pPr>
        <w:pStyle w:val="ECHRHeading2"/>
      </w:pPr>
      <w:r>
        <w:t xml:space="preserve">Б. </w:t>
      </w:r>
      <w:r w:rsidR="00A11DAA">
        <w:t>По същество</w:t>
      </w:r>
    </w:p>
    <w:p w:rsidR="00EF7F8C" w:rsidRPr="00262D6B" w:rsidRDefault="00EF7F8C" w:rsidP="00262D6B">
      <w:pPr>
        <w:pStyle w:val="ECHRHeading3"/>
      </w:pPr>
      <w:r>
        <w:t>1.  </w:t>
      </w:r>
      <w:r w:rsidR="00A11DAA">
        <w:t xml:space="preserve">Становища </w:t>
      </w:r>
      <w:r>
        <w:t>на страните</w:t>
      </w:r>
    </w:p>
    <w:p w:rsidR="00354B28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27</w:t>
        </w:r>
      </w:fldSimple>
      <w:r w:rsidR="00F64136">
        <w:t>.  </w:t>
      </w:r>
      <w:r w:rsidR="000E0F93">
        <w:t>Като се позовава</w:t>
      </w:r>
      <w:r w:rsidR="00F64136">
        <w:t xml:space="preserve"> на решението на Съда по </w:t>
      </w:r>
      <w:proofErr w:type="spellStart"/>
      <w:r w:rsidR="00F64136">
        <w:rPr>
          <w:i/>
        </w:rPr>
        <w:t>Vilho</w:t>
      </w:r>
      <w:proofErr w:type="spellEnd"/>
      <w:r w:rsidR="00F64136">
        <w:rPr>
          <w:i/>
        </w:rPr>
        <w:t xml:space="preserve"> </w:t>
      </w:r>
      <w:proofErr w:type="spellStart"/>
      <w:r w:rsidR="00F64136">
        <w:rPr>
          <w:i/>
        </w:rPr>
        <w:t>Eskelinen</w:t>
      </w:r>
      <w:proofErr w:type="spellEnd"/>
      <w:r w:rsidR="00F64136">
        <w:rPr>
          <w:i/>
        </w:rPr>
        <w:t xml:space="preserve"> </w:t>
      </w:r>
      <w:proofErr w:type="spellStart"/>
      <w:r w:rsidR="00F64136">
        <w:rPr>
          <w:i/>
        </w:rPr>
        <w:t>and</w:t>
      </w:r>
      <w:proofErr w:type="spellEnd"/>
      <w:r w:rsidR="00F64136">
        <w:rPr>
          <w:i/>
        </w:rPr>
        <w:t xml:space="preserve"> </w:t>
      </w:r>
      <w:proofErr w:type="spellStart"/>
      <w:r w:rsidR="00F64136">
        <w:rPr>
          <w:i/>
        </w:rPr>
        <w:t>Others</w:t>
      </w:r>
      <w:proofErr w:type="spellEnd"/>
      <w:r w:rsidR="00F64136">
        <w:rPr>
          <w:i/>
        </w:rPr>
        <w:t xml:space="preserve"> v. </w:t>
      </w:r>
      <w:proofErr w:type="spellStart"/>
      <w:r w:rsidR="00F64136">
        <w:rPr>
          <w:i/>
        </w:rPr>
        <w:t>Finland</w:t>
      </w:r>
      <w:proofErr w:type="spellEnd"/>
      <w:r w:rsidR="00F64136">
        <w:rPr>
          <w:i/>
        </w:rPr>
        <w:t xml:space="preserve"> </w:t>
      </w:r>
      <w:r w:rsidR="00F64136">
        <w:t xml:space="preserve">[GC] жалбоподателката твърди, че чл. 6 от Конвенцията </w:t>
      </w:r>
      <w:r w:rsidR="009B2721">
        <w:t xml:space="preserve">следва </w:t>
      </w:r>
      <w:r w:rsidR="00F64136">
        <w:t xml:space="preserve">да се смята за приложим към нейния случай (вж. </w:t>
      </w:r>
      <w:proofErr w:type="spellStart"/>
      <w:r w:rsidR="00F64136">
        <w:rPr>
          <w:i/>
        </w:rPr>
        <w:t>Vilho</w:t>
      </w:r>
      <w:proofErr w:type="spellEnd"/>
      <w:r w:rsidR="00F64136">
        <w:rPr>
          <w:i/>
        </w:rPr>
        <w:t xml:space="preserve"> </w:t>
      </w:r>
      <w:proofErr w:type="spellStart"/>
      <w:r w:rsidR="00F64136">
        <w:rPr>
          <w:i/>
        </w:rPr>
        <w:t>Eskelinen</w:t>
      </w:r>
      <w:proofErr w:type="spellEnd"/>
      <w:r w:rsidR="00F64136">
        <w:rPr>
          <w:i/>
        </w:rPr>
        <w:t xml:space="preserve"> </w:t>
      </w:r>
      <w:proofErr w:type="spellStart"/>
      <w:r w:rsidR="00F64136">
        <w:rPr>
          <w:i/>
        </w:rPr>
        <w:t>and</w:t>
      </w:r>
      <w:proofErr w:type="spellEnd"/>
      <w:r w:rsidR="00F64136">
        <w:rPr>
          <w:i/>
        </w:rPr>
        <w:t> </w:t>
      </w:r>
      <w:proofErr w:type="spellStart"/>
      <w:r w:rsidR="00F64136">
        <w:rPr>
          <w:i/>
        </w:rPr>
        <w:t>Others</w:t>
      </w:r>
      <w:proofErr w:type="spellEnd"/>
      <w:r w:rsidR="00F64136">
        <w:t xml:space="preserve">, цитирано по-горе, § 62, ЕСПЧ 2007-II). Тя твърди по-конкретно, че отказът на директора на Национална служба </w:t>
      </w:r>
      <w:r w:rsidR="009B2721">
        <w:t>“С</w:t>
      </w:r>
      <w:r w:rsidR="00F64136">
        <w:t>игурност</w:t>
      </w:r>
      <w:r w:rsidR="009B2721">
        <w:t>“</w:t>
      </w:r>
      <w:r w:rsidR="00F64136">
        <w:t xml:space="preserve"> да ѝ предостави </w:t>
      </w:r>
      <w:r w:rsidR="000E0F93">
        <w:t>разрешение за достъп</w:t>
      </w:r>
      <w:r w:rsidR="00F64136">
        <w:t xml:space="preserve"> е довело до нейното автоматично уволнение. Като се има предвид, че този отказ сам по себе си не подлежи на съдебен контрол, единственото средство за подлагането му на проверка е в рамките на гражданско производство </w:t>
      </w:r>
      <w:r w:rsidR="005B4C4D">
        <w:t xml:space="preserve">за </w:t>
      </w:r>
      <w:r w:rsidR="00F64136">
        <w:t xml:space="preserve">законността на уволнението. Правната рамка обаче изключва такава проверка. Въпреки че жалбоподателката признава, че съображения </w:t>
      </w:r>
      <w:r w:rsidR="00F64136">
        <w:lastRenderedPageBreak/>
        <w:t>свързани с националната сигурност в някои случаи мо</w:t>
      </w:r>
      <w:r w:rsidR="005B4C4D">
        <w:t>гат</w:t>
      </w:r>
      <w:r w:rsidR="00F64136">
        <w:t xml:space="preserve"> да обосноват ограничения на правото на достъп до съд, тя е била поставена в положение, при което не може да бъде намерено </w:t>
      </w:r>
      <w:r w:rsidR="009B2721">
        <w:t xml:space="preserve">оправдание </w:t>
      </w:r>
      <w:r w:rsidR="00F64136">
        <w:t>за липсата на компетентност на съд</w:t>
      </w:r>
      <w:r w:rsidR="005B4C4D">
        <w:t>илищат</w:t>
      </w:r>
      <w:r w:rsidR="00F64136">
        <w:t>а да разгледа</w:t>
      </w:r>
      <w:r w:rsidR="005B4C4D">
        <w:t>т</w:t>
      </w:r>
      <w:r w:rsidR="00F64136">
        <w:t xml:space="preserve"> основанията, на които ѝ е отказан достъп до класифицирана информация, което неизбежно </w:t>
      </w:r>
      <w:r w:rsidR="00924B7E">
        <w:t>води</w:t>
      </w:r>
      <w:r w:rsidR="00F64136">
        <w:t xml:space="preserve"> до прекратяването на трудовия ѝ договор.</w:t>
      </w:r>
    </w:p>
    <w:p w:rsidR="00A07172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28</w:t>
        </w:r>
      </w:fldSimple>
      <w:r w:rsidR="003C06A2">
        <w:t>.  </w:t>
      </w:r>
      <w:r w:rsidR="00924B7E">
        <w:t>Като се п</w:t>
      </w:r>
      <w:r w:rsidR="003C06A2">
        <w:t xml:space="preserve">озовава на делата </w:t>
      </w:r>
      <w:proofErr w:type="spellStart"/>
      <w:r w:rsidR="003C06A2">
        <w:rPr>
          <w:i/>
        </w:rPr>
        <w:t>Pellegrin</w:t>
      </w:r>
      <w:proofErr w:type="spellEnd"/>
      <w:r w:rsidR="003C06A2">
        <w:rPr>
          <w:i/>
        </w:rPr>
        <w:t xml:space="preserve"> v. </w:t>
      </w:r>
      <w:proofErr w:type="spellStart"/>
      <w:r w:rsidR="003C06A2">
        <w:rPr>
          <w:i/>
        </w:rPr>
        <w:t>France</w:t>
      </w:r>
      <w:proofErr w:type="spellEnd"/>
      <w:r w:rsidR="003C06A2">
        <w:t xml:space="preserve"> [GC] (жалба № 28541/95, ЕСПЧ 1999-VIII) и</w:t>
      </w:r>
      <w:r w:rsidR="003C06A2">
        <w:rPr>
          <w:i/>
        </w:rPr>
        <w:t xml:space="preserve"> </w:t>
      </w:r>
      <w:proofErr w:type="spellStart"/>
      <w:r w:rsidR="003C06A2">
        <w:rPr>
          <w:i/>
        </w:rPr>
        <w:t>Vilho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Eskelinen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and</w:t>
      </w:r>
      <w:proofErr w:type="spellEnd"/>
      <w:r w:rsidR="003C06A2">
        <w:rPr>
          <w:i/>
        </w:rPr>
        <w:t> </w:t>
      </w:r>
      <w:proofErr w:type="spellStart"/>
      <w:r w:rsidR="003C06A2">
        <w:rPr>
          <w:i/>
        </w:rPr>
        <w:t>Others</w:t>
      </w:r>
      <w:proofErr w:type="spellEnd"/>
      <w:r w:rsidR="003C06A2">
        <w:t xml:space="preserve">, цитирано по-горе, Правителството твърди, че чл. 6 не </w:t>
      </w:r>
      <w:r w:rsidR="00374163">
        <w:t xml:space="preserve">следва </w:t>
      </w:r>
      <w:r w:rsidR="003C06A2">
        <w:t>да се смята за приложим към настоящия случай. Оплакването на жалбоподателката засяга по същество право, което не може да се разглежда като “гражданско” право. По-конкретно правото да се получи достъп до класифицирана информация включва упражняването на правомощия, предоставени от публичното право, и зависи от специалното задължение за доверие и лоялност, което се изисква от държавните служители</w:t>
      </w:r>
      <w:r w:rsidR="00B23CE3">
        <w:t>,</w:t>
      </w:r>
      <w:r w:rsidR="003C06A2">
        <w:t xml:space="preserve"> като жалбоподателката</w:t>
      </w:r>
      <w:r w:rsidR="00B23CE3">
        <w:t>,</w:t>
      </w:r>
      <w:r w:rsidR="003C06A2">
        <w:t xml:space="preserve"> към техния работодател. Ето защо това </w:t>
      </w:r>
      <w:r w:rsidR="003C06A2" w:rsidRPr="00A76A89">
        <w:t xml:space="preserve">право </w:t>
      </w:r>
      <w:r w:rsidR="003C06A2" w:rsidRPr="00EC07A7">
        <w:t>не може да има ефект</w:t>
      </w:r>
      <w:r w:rsidR="003C06A2">
        <w:t xml:space="preserve"> върху въпроси, свързани с имуществените интереси на жалбоподателката по трудовия ѝ договор. Нещо повече, липсата на достъп до съд в настоящия случай е в съответствие с критериите на </w:t>
      </w:r>
      <w:r w:rsidR="00B23CE3">
        <w:t xml:space="preserve">съдебната </w:t>
      </w:r>
      <w:r w:rsidR="003C06A2">
        <w:t xml:space="preserve">практика на Съда: това е предвидено изрично </w:t>
      </w:r>
      <w:r w:rsidR="00570005">
        <w:t xml:space="preserve">във </w:t>
      </w:r>
      <w:r w:rsidR="003C06A2">
        <w:t xml:space="preserve">вътрешното </w:t>
      </w:r>
      <w:r w:rsidR="00570005">
        <w:t xml:space="preserve">законодателство </w:t>
      </w:r>
      <w:r w:rsidR="003C06A2">
        <w:t xml:space="preserve">(вж. параграф 18 по-горе) и е оправдано от обективни причини предвид задължението на държавата </w:t>
      </w:r>
      <w:r w:rsidR="00374163">
        <w:t>да защитава</w:t>
      </w:r>
      <w:r w:rsidR="003C06A2">
        <w:t xml:space="preserve"> националната сигурност. Жалбоподателката е била служител на Национална служба </w:t>
      </w:r>
      <w:r w:rsidR="00374163">
        <w:t>„С</w:t>
      </w:r>
      <w:r w:rsidR="003C06A2">
        <w:t>игурност</w:t>
      </w:r>
      <w:r w:rsidR="00374163">
        <w:t>“</w:t>
      </w:r>
      <w:r w:rsidR="003C06A2">
        <w:t xml:space="preserve"> и от нея се е изисквало - като се има предвид високото ниво на чувствителност на информацията, достъпна в рамките на тази институция - да притежава </w:t>
      </w:r>
      <w:r w:rsidR="002C0E45">
        <w:t>разрешение за достъп</w:t>
      </w:r>
      <w:r w:rsidR="003C06A2">
        <w:t xml:space="preserve">. Това изискване е приложимо не само за жалбоподателката, но и за всички лица, работещи на подобни </w:t>
      </w:r>
      <w:r w:rsidR="009B2874">
        <w:t>длъжности</w:t>
      </w:r>
      <w:r w:rsidR="003C06A2">
        <w:t xml:space="preserve">. Тъй като притежаването на такова </w:t>
      </w:r>
      <w:r w:rsidR="009B2874">
        <w:t>разрешение за достъп</w:t>
      </w:r>
      <w:r w:rsidR="003C06A2">
        <w:t xml:space="preserve"> е предпоставка за това тя да продължава да изпълнява задълженията си, нейният работодател е бил длъжен да разпореди нейното уволнение, след като ѝ е отказан достъп до класифицирана информация.</w:t>
      </w:r>
    </w:p>
    <w:p w:rsidR="006A2BDB" w:rsidRPr="00262D6B" w:rsidRDefault="006A2BDB" w:rsidP="00262D6B">
      <w:pPr>
        <w:pStyle w:val="ECHRHeading3"/>
      </w:pPr>
      <w:r>
        <w:t>2.  Преценка</w:t>
      </w:r>
      <w:r w:rsidR="009B2874">
        <w:t>та</w:t>
      </w:r>
      <w:r>
        <w:t xml:space="preserve"> на Съда</w:t>
      </w:r>
    </w:p>
    <w:p w:rsidR="000D39A2" w:rsidRPr="00262D6B" w:rsidRDefault="000D39A2" w:rsidP="00262D6B">
      <w:pPr>
        <w:pStyle w:val="ECHRHeading4"/>
      </w:pPr>
      <w:r>
        <w:t>(а)  Приложимост на чл. 6 § 1 от Конвенцията</w:t>
      </w:r>
    </w:p>
    <w:p w:rsidR="00910852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29</w:t>
        </w:r>
      </w:fldSimple>
      <w:r w:rsidR="00F64136">
        <w:t xml:space="preserve">.  Съдът </w:t>
      </w:r>
      <w:r w:rsidR="00B13873">
        <w:t>напомня</w:t>
      </w:r>
      <w:r w:rsidR="00F64136">
        <w:t xml:space="preserve">, че за да </w:t>
      </w:r>
      <w:r w:rsidR="00B65A67">
        <w:t xml:space="preserve">бъде </w:t>
      </w:r>
      <w:r w:rsidR="00F64136">
        <w:t xml:space="preserve">чл. 6 § 1 от Конвенцията приложим в своя граждански аспект, трябва да има реален и сериозен спор за право, за което може да се каже </w:t>
      </w:r>
      <w:r w:rsidR="00DE09A5">
        <w:t>поне</w:t>
      </w:r>
      <w:r w:rsidR="00F64136">
        <w:t xml:space="preserve"> на доказуеми основания, че е признато във вътрешното </w:t>
      </w:r>
      <w:r w:rsidR="00DE09A5">
        <w:t>законодателство</w:t>
      </w:r>
      <w:r w:rsidR="00F64136">
        <w:t xml:space="preserve">. Спорът може да се отнася не само за действителното съществуване на правото, но и за неговия обхват и начина на упражняването му. Нещо повече, изходът на производството трябва да бъде пряко решаващ за това право (вж., наред </w:t>
      </w:r>
      <w:r w:rsidR="00F64136">
        <w:lastRenderedPageBreak/>
        <w:t xml:space="preserve">с много други решения, </w:t>
      </w:r>
      <w:proofErr w:type="spellStart"/>
      <w:r w:rsidR="00F64136">
        <w:rPr>
          <w:i/>
        </w:rPr>
        <w:t>Efendiyeva</w:t>
      </w:r>
      <w:proofErr w:type="spellEnd"/>
      <w:r w:rsidR="00F64136">
        <w:rPr>
          <w:i/>
        </w:rPr>
        <w:t xml:space="preserve"> v. </w:t>
      </w:r>
      <w:proofErr w:type="spellStart"/>
      <w:r w:rsidR="00F64136">
        <w:rPr>
          <w:i/>
        </w:rPr>
        <w:t>Azerbaijan</w:t>
      </w:r>
      <w:proofErr w:type="spellEnd"/>
      <w:r w:rsidR="00F64136">
        <w:t>, № 31556/03, § 39, 25 октомври 2007 г.).</w:t>
      </w:r>
    </w:p>
    <w:p w:rsidR="005A1B1C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30</w:t>
        </w:r>
      </w:fldSimple>
      <w:r w:rsidR="00910852">
        <w:t>.  В настоящия случай жалбоподателката твърди, че уволнението ѝ след повече от двадесет години работа на същ</w:t>
      </w:r>
      <w:r w:rsidR="00CA6AAE">
        <w:t>ата</w:t>
      </w:r>
      <w:r w:rsidR="00910852">
        <w:t xml:space="preserve"> позиция се основава изцяло на отказа </w:t>
      </w:r>
      <w:r w:rsidR="00CD2752">
        <w:t>да й се</w:t>
      </w:r>
      <w:r w:rsidR="00910852">
        <w:t xml:space="preserve"> предостав</w:t>
      </w:r>
      <w:r w:rsidR="00CD2752">
        <w:t>и</w:t>
      </w:r>
      <w:r w:rsidR="00910852">
        <w:t xml:space="preserve"> </w:t>
      </w:r>
      <w:r w:rsidR="00CD2752">
        <w:t xml:space="preserve">разрешение </w:t>
      </w:r>
      <w:r w:rsidR="00910852">
        <w:t xml:space="preserve">за достъп до държавни тайни и че ѝ е отказан достъп до съд, за да </w:t>
      </w:r>
      <w:r w:rsidR="000B6A2C">
        <w:t xml:space="preserve">оспори този отказ по съдебен </w:t>
      </w:r>
      <w:r w:rsidR="000B6A2C" w:rsidRPr="000B6A2C">
        <w:t>ред</w:t>
      </w:r>
      <w:r w:rsidR="00910852">
        <w:t xml:space="preserve">. </w:t>
      </w:r>
      <w:r w:rsidR="0047129B">
        <w:t>Тази с</w:t>
      </w:r>
      <w:r w:rsidR="00910852">
        <w:t>итуация възник</w:t>
      </w:r>
      <w:r w:rsidR="0047129B">
        <w:t>ва</w:t>
      </w:r>
      <w:r w:rsidR="00910852">
        <w:t>, защото националните съдилища са отказали да упражнят независим контрол по отношение на този отказ.</w:t>
      </w:r>
    </w:p>
    <w:p w:rsidR="005A1B1C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31</w:t>
        </w:r>
      </w:fldSimple>
      <w:r w:rsidR="005A1B1C">
        <w:t xml:space="preserve">.  Съдът отбелязва в самото начало, че </w:t>
      </w:r>
      <w:r w:rsidR="00A76A89" w:rsidRPr="00EC07A7">
        <w:t>залогът</w:t>
      </w:r>
      <w:r w:rsidR="005A1B1C" w:rsidRPr="00EC07A7">
        <w:t xml:space="preserve"> за жалбоподателката</w:t>
      </w:r>
      <w:r w:rsidR="005A1B1C">
        <w:t xml:space="preserve"> в конкретния случай, не е правото на достъп до държавни тайни, което като такова не </w:t>
      </w:r>
      <w:r w:rsidR="0018118B">
        <w:t xml:space="preserve">се </w:t>
      </w:r>
      <w:r w:rsidR="005A1B1C">
        <w:t xml:space="preserve">гарантира от Конвенцията, а по-скоро правата на жалбоподателката, които са засегнати вследствие на отказа за издаване на </w:t>
      </w:r>
      <w:r w:rsidR="00513C84">
        <w:t>разрешение</w:t>
      </w:r>
      <w:r w:rsidR="005A1B1C">
        <w:t xml:space="preserve"> за такъв достъп. </w:t>
      </w:r>
      <w:r w:rsidR="00513C84">
        <w:t>Според</w:t>
      </w:r>
      <w:r w:rsidR="005A1B1C">
        <w:t xml:space="preserve"> Съда този отказ има решаващо влияние върху личната ситуация на жалбоподателката - при липса на необходимото </w:t>
      </w:r>
      <w:r w:rsidR="00513C84">
        <w:t>разрешение</w:t>
      </w:r>
      <w:r w:rsidR="005A1B1C">
        <w:t xml:space="preserve">, тя не е в състояние да продължи да работи на длъжността, която е </w:t>
      </w:r>
      <w:r w:rsidR="00513C84">
        <w:t xml:space="preserve">заемала </w:t>
      </w:r>
      <w:r w:rsidR="005A1B1C">
        <w:t xml:space="preserve">в продължение на години, и това има ясни имуществени последици за нея. Връзката между решението да не </w:t>
      </w:r>
      <w:r w:rsidR="00E257F7">
        <w:t xml:space="preserve">бъде </w:t>
      </w:r>
      <w:r w:rsidR="007A0ED1">
        <w:t>предостав</w:t>
      </w:r>
      <w:r w:rsidR="00E257F7">
        <w:t>ено</w:t>
      </w:r>
      <w:r w:rsidR="007A0ED1">
        <w:t xml:space="preserve"> разрешение </w:t>
      </w:r>
      <w:r w:rsidR="005A1B1C">
        <w:t xml:space="preserve">за </w:t>
      </w:r>
      <w:r w:rsidR="007A0ED1">
        <w:t xml:space="preserve">достъп </w:t>
      </w:r>
      <w:r w:rsidR="005A1B1C">
        <w:t xml:space="preserve">на жалбоподателката и нейната загуба на доход следователно е </w:t>
      </w:r>
      <w:r w:rsidR="007A0ED1">
        <w:t>много повече от</w:t>
      </w:r>
      <w:r w:rsidR="005A1B1C">
        <w:t xml:space="preserve"> </w:t>
      </w:r>
      <w:r w:rsidR="007A0ED1">
        <w:t xml:space="preserve">неясна </w:t>
      </w:r>
      <w:r w:rsidR="005A1B1C">
        <w:t xml:space="preserve">или далечна (вж. </w:t>
      </w:r>
      <w:proofErr w:type="spellStart"/>
      <w:r w:rsidR="005A1B1C">
        <w:rPr>
          <w:i/>
        </w:rPr>
        <w:t>Boulois</w:t>
      </w:r>
      <w:proofErr w:type="spellEnd"/>
      <w:r w:rsidR="005A1B1C">
        <w:rPr>
          <w:i/>
        </w:rPr>
        <w:t xml:space="preserve"> v. </w:t>
      </w:r>
      <w:proofErr w:type="spellStart"/>
      <w:r w:rsidR="005A1B1C">
        <w:rPr>
          <w:i/>
        </w:rPr>
        <w:t>Luxembourg</w:t>
      </w:r>
      <w:proofErr w:type="spellEnd"/>
      <w:r w:rsidR="005A1B1C">
        <w:rPr>
          <w:i/>
        </w:rPr>
        <w:t xml:space="preserve"> </w:t>
      </w:r>
      <w:r w:rsidR="005A1B1C">
        <w:t xml:space="preserve">[GC], № 37575/04, § 90, ЕСПЧ 2012 г., и </w:t>
      </w:r>
      <w:proofErr w:type="spellStart"/>
      <w:r w:rsidR="005A1B1C">
        <w:rPr>
          <w:i/>
        </w:rPr>
        <w:t>Ternovskis</w:t>
      </w:r>
      <w:proofErr w:type="spellEnd"/>
      <w:r w:rsidR="005A1B1C">
        <w:rPr>
          <w:i/>
        </w:rPr>
        <w:t xml:space="preserve"> v. </w:t>
      </w:r>
      <w:proofErr w:type="spellStart"/>
      <w:r w:rsidR="005A1B1C">
        <w:rPr>
          <w:i/>
        </w:rPr>
        <w:t>Latvia</w:t>
      </w:r>
      <w:proofErr w:type="spellEnd"/>
      <w:r w:rsidR="005A1B1C">
        <w:t xml:space="preserve"> (№ 33637/02, § 44, 29 април 2014 г.).</w:t>
      </w:r>
    </w:p>
    <w:p w:rsidR="00546B55" w:rsidRPr="00262D6B" w:rsidRDefault="00A20199" w:rsidP="00262D6B">
      <w:pPr>
        <w:pStyle w:val="ECHRPara"/>
        <w:rPr>
          <w:i/>
        </w:rPr>
      </w:pPr>
      <w:fldSimple w:instr=" SEQ level0 \*arabic ">
        <w:r w:rsidR="00262D6B" w:rsidRPr="00262D6B">
          <w:rPr>
            <w:noProof/>
          </w:rPr>
          <w:t>32</w:t>
        </w:r>
      </w:fldSimple>
      <w:r w:rsidR="003C06A2">
        <w:t xml:space="preserve">.  Поради това Съдът намира, че е налице спор за право, признато съгласно българското законодателство - правото на лице да не бъде </w:t>
      </w:r>
      <w:r w:rsidR="003C06A2" w:rsidRPr="004B1600">
        <w:t>несправедливо уволнено от своята работа</w:t>
      </w:r>
      <w:r w:rsidR="003C06A2">
        <w:t xml:space="preserve">, че спорът е </w:t>
      </w:r>
      <w:r w:rsidR="003D28EB">
        <w:t xml:space="preserve">реален </w:t>
      </w:r>
      <w:r w:rsidR="003C06A2">
        <w:t>и сериозен</w:t>
      </w:r>
      <w:r w:rsidR="003D28EB">
        <w:t>,</w:t>
      </w:r>
      <w:r w:rsidR="003C06A2">
        <w:t xml:space="preserve"> и че изходът </w:t>
      </w:r>
      <w:r w:rsidR="003D28EB">
        <w:t xml:space="preserve">от </w:t>
      </w:r>
      <w:r w:rsidR="003C06A2">
        <w:t xml:space="preserve">производството пред националните съдилища е пряко решаващ за </w:t>
      </w:r>
      <w:r w:rsidR="003D28EB">
        <w:t xml:space="preserve">въпросното </w:t>
      </w:r>
      <w:r w:rsidR="003C06A2">
        <w:t xml:space="preserve">право (вж. </w:t>
      </w:r>
      <w:proofErr w:type="spellStart"/>
      <w:r w:rsidR="003C06A2">
        <w:rPr>
          <w:i/>
        </w:rPr>
        <w:t>Фазлийски</w:t>
      </w:r>
      <w:proofErr w:type="spellEnd"/>
      <w:r w:rsidR="003C06A2">
        <w:rPr>
          <w:i/>
        </w:rPr>
        <w:t xml:space="preserve"> срещу България</w:t>
      </w:r>
      <w:r w:rsidR="003C06A2">
        <w:t>, № 40908/05, § 52, 16 април 2013 г.).</w:t>
      </w:r>
    </w:p>
    <w:p w:rsidR="000D39A2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33</w:t>
        </w:r>
      </w:fldSimple>
      <w:r w:rsidR="007A0388">
        <w:t xml:space="preserve">.  Остава да се установи дали това право може да се характеризира като “гражданско” по смисъла на чл. 6 § 1 от Конвенцията. В тази връзка следва да се отбележи, че жалбоподателката е била държавен служител, заемащ длъжност в Национална служба </w:t>
      </w:r>
      <w:r w:rsidR="00CA6AAE">
        <w:t>„С</w:t>
      </w:r>
      <w:r w:rsidR="007A0388">
        <w:t>игурност</w:t>
      </w:r>
      <w:r w:rsidR="00CA6AAE">
        <w:t>“</w:t>
      </w:r>
      <w:r w:rsidR="007A0388">
        <w:t>, и че спорът, който тя е искала да бъде решен в рамките на производството, което тя зав</w:t>
      </w:r>
      <w:r w:rsidR="00B57B8E">
        <w:t>е</w:t>
      </w:r>
      <w:r w:rsidR="00D40B5E">
        <w:t>жда</w:t>
      </w:r>
      <w:r w:rsidR="007A0388">
        <w:t xml:space="preserve"> пред националните съдилища, се отнася до законността на уволнението ѝ от т</w:t>
      </w:r>
      <w:r w:rsidR="00D40B5E">
        <w:t>о</w:t>
      </w:r>
      <w:r w:rsidR="007A0388">
        <w:t xml:space="preserve">зи </w:t>
      </w:r>
      <w:r w:rsidR="00D40B5E">
        <w:t xml:space="preserve">пост </w:t>
      </w:r>
      <w:r w:rsidR="007A0388">
        <w:t>(вж. параграфи 6 и 11-14 по-горе).</w:t>
      </w:r>
    </w:p>
    <w:p w:rsidR="00824A78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34</w:t>
        </w:r>
      </w:fldSimple>
      <w:r w:rsidR="00824A78">
        <w:t xml:space="preserve">.  Съдът отбелязва в това отношение, че чл. 6 се прилага в своя граждански аспект за всички спорове, свързани с държавни служители, освен ако (а) националното законодателство на съответната държавата изрично отказва достъп до съд на </w:t>
      </w:r>
      <w:r w:rsidR="00D40B5E">
        <w:t>лица</w:t>
      </w:r>
      <w:r w:rsidR="00824A78">
        <w:t xml:space="preserve">, заемащи въпросния пост или категория служители, и (б) че изключването е оправдано </w:t>
      </w:r>
      <w:r w:rsidR="00D40B5E">
        <w:t xml:space="preserve">по </w:t>
      </w:r>
      <w:r w:rsidR="00824A78">
        <w:t xml:space="preserve">обективни причини (вж. </w:t>
      </w:r>
      <w:proofErr w:type="spellStart"/>
      <w:r w:rsidR="00824A78">
        <w:rPr>
          <w:i/>
        </w:rPr>
        <w:t>Vilho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Eskelinen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and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Others</w:t>
      </w:r>
      <w:proofErr w:type="spellEnd"/>
      <w:r w:rsidR="00824A78">
        <w:t xml:space="preserve"> и други, цитирано по-горе, § 62). Ако </w:t>
      </w:r>
      <w:r w:rsidR="001F5672">
        <w:t>националното законодателство</w:t>
      </w:r>
      <w:r w:rsidR="00824A78">
        <w:t xml:space="preserve"> не забранява достъпа до съд, Съдът не </w:t>
      </w:r>
      <w:r w:rsidR="00CA6AAE">
        <w:t xml:space="preserve">следва </w:t>
      </w:r>
      <w:r w:rsidR="00824A78">
        <w:t xml:space="preserve">да разглежда втория от тези критерии (вж. </w:t>
      </w:r>
      <w:proofErr w:type="spellStart"/>
      <w:r w:rsidR="00824A78">
        <w:rPr>
          <w:i/>
        </w:rPr>
        <w:t>Rizhamadze</w:t>
      </w:r>
      <w:proofErr w:type="spellEnd"/>
      <w:r w:rsidR="00824A78">
        <w:rPr>
          <w:i/>
        </w:rPr>
        <w:t xml:space="preserve"> v. </w:t>
      </w:r>
      <w:proofErr w:type="spellStart"/>
      <w:r w:rsidR="00824A78">
        <w:rPr>
          <w:i/>
        </w:rPr>
        <w:t>Georgia</w:t>
      </w:r>
      <w:proofErr w:type="spellEnd"/>
      <w:r w:rsidR="00824A78">
        <w:t xml:space="preserve">, № 2745/03, §§ 27-28, 31 юли 2007 г.; </w:t>
      </w:r>
      <w:proofErr w:type="spellStart"/>
      <w:r w:rsidR="00824A78">
        <w:rPr>
          <w:i/>
        </w:rPr>
        <w:t>Efendiyeva</w:t>
      </w:r>
      <w:proofErr w:type="spellEnd"/>
      <w:r w:rsidR="00824A78">
        <w:t>, цитирано по-</w:t>
      </w:r>
      <w:r w:rsidR="00824A78">
        <w:lastRenderedPageBreak/>
        <w:t xml:space="preserve">горе, § 41; </w:t>
      </w:r>
      <w:proofErr w:type="spellStart"/>
      <w:r w:rsidR="00824A78">
        <w:rPr>
          <w:i/>
        </w:rPr>
        <w:t>Romuald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Kozłowski</w:t>
      </w:r>
      <w:proofErr w:type="spellEnd"/>
      <w:r w:rsidR="00824A78">
        <w:t xml:space="preserve"> </w:t>
      </w:r>
      <w:r w:rsidR="00824A78">
        <w:rPr>
          <w:i/>
        </w:rPr>
        <w:t xml:space="preserve">v. </w:t>
      </w:r>
      <w:proofErr w:type="spellStart"/>
      <w:r w:rsidR="00824A78">
        <w:rPr>
          <w:i/>
        </w:rPr>
        <w:t>Poland</w:t>
      </w:r>
      <w:proofErr w:type="spellEnd"/>
      <w:r w:rsidR="00824A78">
        <w:t xml:space="preserve">, № 46601/06, § 24, 20 януари 2009 г.; и </w:t>
      </w:r>
      <w:proofErr w:type="spellStart"/>
      <w:r w:rsidR="00824A78">
        <w:rPr>
          <w:i/>
        </w:rPr>
        <w:t>Фазлийски</w:t>
      </w:r>
      <w:proofErr w:type="spellEnd"/>
      <w:r w:rsidR="00824A78">
        <w:t>, цитирано по-горе, § 54).</w:t>
      </w:r>
    </w:p>
    <w:p w:rsidR="008921B2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35</w:t>
        </w:r>
      </w:fldSimple>
      <w:r w:rsidR="00824A78">
        <w:t xml:space="preserve">.  Що се отнася до настоящия случай Съдът отбелязва, че </w:t>
      </w:r>
      <w:r w:rsidR="00E00956">
        <w:t>съгласно националното</w:t>
      </w:r>
      <w:r w:rsidR="002C5124">
        <w:t xml:space="preserve"> </w:t>
      </w:r>
      <w:r w:rsidR="002C5124" w:rsidRPr="00B57B8E">
        <w:t>законодателство</w:t>
      </w:r>
      <w:r w:rsidR="00824A78">
        <w:t xml:space="preserve"> спорове относно </w:t>
      </w:r>
      <w:r w:rsidR="00E00956">
        <w:t xml:space="preserve">освобождаването от длъжност </w:t>
      </w:r>
      <w:r w:rsidR="00824A78">
        <w:t xml:space="preserve">на държавни служители от Националната служба </w:t>
      </w:r>
      <w:r w:rsidR="00CA6AAE">
        <w:t>„С</w:t>
      </w:r>
      <w:r w:rsidR="00824A78">
        <w:t>игурност</w:t>
      </w:r>
      <w:r w:rsidR="00CA6AAE">
        <w:t>“</w:t>
      </w:r>
      <w:r w:rsidR="00824A78">
        <w:t xml:space="preserve"> подлежат на съдебен контрол</w:t>
      </w:r>
      <w:r w:rsidR="0070380F">
        <w:t xml:space="preserve"> по общия ред</w:t>
      </w:r>
      <w:r w:rsidR="00824A78">
        <w:t xml:space="preserve">. Приложимата процедура е същата, както във </w:t>
      </w:r>
      <w:r w:rsidR="0070380F">
        <w:t>всяко друго съдебно производство</w:t>
      </w:r>
      <w:r w:rsidR="00824A78">
        <w:t xml:space="preserve"> (вж. параграфи 20</w:t>
      </w:r>
      <w:r w:rsidR="00824A78">
        <w:noBreakHyphen/>
        <w:t xml:space="preserve">22 по-горе). Следва, че по критерия </w:t>
      </w:r>
      <w:proofErr w:type="spellStart"/>
      <w:r w:rsidR="00824A78">
        <w:rPr>
          <w:i/>
        </w:rPr>
        <w:t>Vilho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Eskelinen</w:t>
      </w:r>
      <w:proofErr w:type="spellEnd"/>
      <w:r w:rsidR="00824A78">
        <w:t xml:space="preserve"> , чл. 6 § 1 е приложим в настоящия случай (вж. </w:t>
      </w:r>
      <w:proofErr w:type="spellStart"/>
      <w:r w:rsidR="00824A78">
        <w:rPr>
          <w:i/>
        </w:rPr>
        <w:t>Vilho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Eskelinen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and</w:t>
      </w:r>
      <w:proofErr w:type="spellEnd"/>
      <w:r w:rsidR="00824A78">
        <w:rPr>
          <w:i/>
        </w:rPr>
        <w:t> </w:t>
      </w:r>
      <w:proofErr w:type="spellStart"/>
      <w:r w:rsidR="00824A78">
        <w:rPr>
          <w:i/>
        </w:rPr>
        <w:t>Others</w:t>
      </w:r>
      <w:proofErr w:type="spellEnd"/>
      <w:r w:rsidR="00824A78">
        <w:t xml:space="preserve">, цитирано по-горе, §§ 62 и 63, ЕСПЧ 2007-IV). Фактът, че производството се отнася до </w:t>
      </w:r>
      <w:r w:rsidR="00463CBA">
        <w:t xml:space="preserve">освобождаването </w:t>
      </w:r>
      <w:r w:rsidR="00824A78">
        <w:t xml:space="preserve">на жалбоподателката от </w:t>
      </w:r>
      <w:r w:rsidR="0070380F">
        <w:t xml:space="preserve">позицията </w:t>
      </w:r>
      <w:r w:rsidR="00824A78">
        <w:t>ѝ, а не до въпрос, свързан с нейната заплата, надбавки и други подобни права, не променя това заключение (вж.</w:t>
      </w:r>
      <w:r w:rsidR="00824A78">
        <w:rPr>
          <w:i/>
        </w:rPr>
        <w:t xml:space="preserve"> </w:t>
      </w:r>
      <w:proofErr w:type="spellStart"/>
      <w:r w:rsidR="00824A78">
        <w:rPr>
          <w:i/>
        </w:rPr>
        <w:t>Cvetković</w:t>
      </w:r>
      <w:proofErr w:type="spellEnd"/>
      <w:r w:rsidR="00824A78">
        <w:rPr>
          <w:i/>
        </w:rPr>
        <w:t xml:space="preserve"> v. </w:t>
      </w:r>
      <w:proofErr w:type="spellStart"/>
      <w:r w:rsidR="00824A78">
        <w:rPr>
          <w:i/>
        </w:rPr>
        <w:t>Serbia</w:t>
      </w:r>
      <w:proofErr w:type="spellEnd"/>
      <w:r w:rsidR="00824A78">
        <w:t xml:space="preserve">, № 17271/04, § 38, 10 юни 2008 г.; </w:t>
      </w:r>
      <w:proofErr w:type="spellStart"/>
      <w:r w:rsidR="00824A78">
        <w:rPr>
          <w:i/>
        </w:rPr>
        <w:t>Romuald</w:t>
      </w:r>
      <w:proofErr w:type="spellEnd"/>
      <w:r w:rsidR="00824A78">
        <w:rPr>
          <w:i/>
        </w:rPr>
        <w:t xml:space="preserve"> </w:t>
      </w:r>
      <w:proofErr w:type="spellStart"/>
      <w:r w:rsidR="00824A78">
        <w:rPr>
          <w:i/>
        </w:rPr>
        <w:t>Kozłowski</w:t>
      </w:r>
      <w:proofErr w:type="spellEnd"/>
      <w:r w:rsidR="00824A78">
        <w:t xml:space="preserve">, цитирано по-горе, § 24; </w:t>
      </w:r>
      <w:r w:rsidR="00824A78">
        <w:rPr>
          <w:i/>
        </w:rPr>
        <w:t xml:space="preserve">Bayer v. </w:t>
      </w:r>
      <w:proofErr w:type="spellStart"/>
      <w:r w:rsidR="00824A78">
        <w:rPr>
          <w:i/>
        </w:rPr>
        <w:t>Germany</w:t>
      </w:r>
      <w:proofErr w:type="spellEnd"/>
      <w:r w:rsidR="00824A78">
        <w:t xml:space="preserve">, № 8453/04, §§ 38-39, 16 юли 2009 г.; и </w:t>
      </w:r>
      <w:proofErr w:type="spellStart"/>
      <w:r w:rsidR="00824A78">
        <w:rPr>
          <w:i/>
        </w:rPr>
        <w:t>Фазлийски</w:t>
      </w:r>
      <w:proofErr w:type="spellEnd"/>
      <w:r w:rsidR="00824A78">
        <w:t>, цитирано по-горе, § 55).</w:t>
      </w:r>
    </w:p>
    <w:p w:rsidR="00824A78" w:rsidRPr="00262D6B" w:rsidRDefault="008921B2" w:rsidP="00262D6B">
      <w:pPr>
        <w:pStyle w:val="ECHRHeading4"/>
      </w:pPr>
      <w:r>
        <w:t xml:space="preserve">(б) </w:t>
      </w:r>
      <w:r w:rsidRPr="00A76A89">
        <w:t>Съответствие</w:t>
      </w:r>
      <w:r>
        <w:t xml:space="preserve"> с чл. 6 § 1 от Конвенцията</w:t>
      </w:r>
    </w:p>
    <w:p w:rsidR="000D62FE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36</w:t>
        </w:r>
      </w:fldSimple>
      <w:r w:rsidR="008921B2">
        <w:t xml:space="preserve">.  Трябва да се подчертае </w:t>
      </w:r>
      <w:r w:rsidR="00872CF0">
        <w:t xml:space="preserve">още </w:t>
      </w:r>
      <w:r w:rsidR="008921B2">
        <w:t xml:space="preserve">в началото, че </w:t>
      </w:r>
      <w:r w:rsidR="00872CF0">
        <w:t xml:space="preserve">съгласно </w:t>
      </w:r>
      <w:r w:rsidR="008921B2">
        <w:t xml:space="preserve">чл. 19 от Конвенцията, задължението на Съда е да осигури спазване на </w:t>
      </w:r>
      <w:r w:rsidR="001D30FA">
        <w:t>задълженията</w:t>
      </w:r>
      <w:r w:rsidR="008921B2">
        <w:t xml:space="preserve">, поети от Високодоговарящите </w:t>
      </w:r>
      <w:r w:rsidR="001D30FA">
        <w:t xml:space="preserve">страни </w:t>
      </w:r>
      <w:r w:rsidR="008921B2">
        <w:t xml:space="preserve">по Конвенцията. Съдът не е </w:t>
      </w:r>
      <w:r w:rsidR="0070380F">
        <w:t>следваща инстанция</w:t>
      </w:r>
      <w:r w:rsidR="008921B2">
        <w:t xml:space="preserve"> </w:t>
      </w:r>
      <w:r w:rsidR="00007BCF">
        <w:t xml:space="preserve">по отношение </w:t>
      </w:r>
      <w:r w:rsidR="008921B2">
        <w:t xml:space="preserve">на националните съдилища (вж. </w:t>
      </w:r>
      <w:r w:rsidR="008921B2">
        <w:rPr>
          <w:i/>
        </w:rPr>
        <w:t>Йорданова и Тошев срещу България</w:t>
      </w:r>
      <w:r w:rsidR="008921B2">
        <w:t xml:space="preserve">, № 5126/05, § 65, 2 октомври 2012 г., и </w:t>
      </w:r>
      <w:proofErr w:type="spellStart"/>
      <w:r w:rsidR="008921B2">
        <w:rPr>
          <w:i/>
        </w:rPr>
        <w:t>Фазлийски</w:t>
      </w:r>
      <w:proofErr w:type="spellEnd"/>
      <w:r w:rsidR="008921B2">
        <w:t xml:space="preserve">, цитирано по-горе, § 56) и не е негова функция да </w:t>
      </w:r>
      <w:r w:rsidR="0085018C">
        <w:t>разглежда</w:t>
      </w:r>
      <w:r w:rsidR="008921B2">
        <w:t xml:space="preserve"> фактически или правни грешки, които се твърди, че са извършени от тези съдилища, освен ако и доколкото те наруш</w:t>
      </w:r>
      <w:r w:rsidR="0085018C">
        <w:t>ават</w:t>
      </w:r>
      <w:r w:rsidR="008921B2">
        <w:t xml:space="preserve"> права и свободи, защитени от Конвенцията (вж., наред с много други решения, </w:t>
      </w:r>
      <w:proofErr w:type="spellStart"/>
      <w:r w:rsidR="008921B2">
        <w:rPr>
          <w:i/>
        </w:rPr>
        <w:t>Csősz</w:t>
      </w:r>
      <w:proofErr w:type="spellEnd"/>
      <w:r w:rsidR="008921B2">
        <w:rPr>
          <w:i/>
        </w:rPr>
        <w:t xml:space="preserve"> v. </w:t>
      </w:r>
      <w:proofErr w:type="spellStart"/>
      <w:r w:rsidR="008921B2">
        <w:rPr>
          <w:i/>
        </w:rPr>
        <w:t>Hungary</w:t>
      </w:r>
      <w:proofErr w:type="spellEnd"/>
      <w:r w:rsidR="008921B2">
        <w:t xml:space="preserve">, № 34418/04, § 33, 29 януари 2008 г.). От това следва, че Съдът не може да определи дали </w:t>
      </w:r>
      <w:r w:rsidR="00E64FFF">
        <w:t xml:space="preserve">освобождаването </w:t>
      </w:r>
      <w:r w:rsidR="008921B2">
        <w:t xml:space="preserve">на жалбоподателката от </w:t>
      </w:r>
      <w:r w:rsidR="00E64FFF">
        <w:t>поста й</w:t>
      </w:r>
      <w:r w:rsidR="008921B2">
        <w:t xml:space="preserve"> е закон</w:t>
      </w:r>
      <w:r w:rsidR="00E64FFF">
        <w:t>осъобразно</w:t>
      </w:r>
      <w:r w:rsidR="008921B2">
        <w:t xml:space="preserve"> или дали заключенията на националните съдилища във връзка с това уволнение са правилни от гледна точка на българското право. Задачата на Съда се ограничава до проверка дали производството пред тези съдилища </w:t>
      </w:r>
      <w:r w:rsidR="00E64FFF">
        <w:t xml:space="preserve">е в съответствие с </w:t>
      </w:r>
      <w:r w:rsidR="008921B2">
        <w:t>изискванията на чл. 6 § 1 от Конвенцията.</w:t>
      </w:r>
    </w:p>
    <w:p w:rsidR="006A2BDB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37</w:t>
        </w:r>
      </w:fldSimple>
      <w:r w:rsidR="000D62FE">
        <w:t xml:space="preserve">.  Вярно е, че във </w:t>
      </w:r>
      <w:proofErr w:type="spellStart"/>
      <w:r w:rsidR="000D62FE">
        <w:rPr>
          <w:i/>
        </w:rPr>
        <w:t>Vilho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Eskelinen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and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Others</w:t>
      </w:r>
      <w:proofErr w:type="spellEnd"/>
      <w:r w:rsidR="000D62FE">
        <w:t xml:space="preserve"> Съдът посочва, че “заключението относно приложимостта на чл. 6 не засяга въпроса как различните гаранции на същия член (например обхвата на </w:t>
      </w:r>
      <w:r w:rsidR="00070CAF" w:rsidRPr="003E78A2">
        <w:t>проверка</w:t>
      </w:r>
      <w:r w:rsidR="000D62FE" w:rsidRPr="00D34B3A">
        <w:t>,</w:t>
      </w:r>
      <w:r w:rsidR="000D62FE">
        <w:t xml:space="preserve"> който се изисква от националните съдилища ... трябва да се прилагат по отношение на спорове, свързани с държавни служители” (вж. </w:t>
      </w:r>
      <w:proofErr w:type="spellStart"/>
      <w:r w:rsidR="000D62FE">
        <w:rPr>
          <w:i/>
        </w:rPr>
        <w:t>Vilho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Eskelinen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and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Others</w:t>
      </w:r>
      <w:proofErr w:type="spellEnd"/>
      <w:r w:rsidR="000D62FE">
        <w:t xml:space="preserve">, цитирано по-горе, § 64). </w:t>
      </w:r>
      <w:r w:rsidR="0080563C">
        <w:t>Тъй като е</w:t>
      </w:r>
      <w:r w:rsidR="000D62FE">
        <w:t xml:space="preserve">дна от тези гаранции е, че “съдът”, който разглежда делото, трябва да е компетентен да разглежда всички фактически и правни въпроси, от значение за спора пред него (вж., наред с други решения, </w:t>
      </w:r>
      <w:proofErr w:type="spellStart"/>
      <w:r w:rsidR="000D62FE">
        <w:rPr>
          <w:i/>
        </w:rPr>
        <w:t>Terra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Woningen</w:t>
      </w:r>
      <w:proofErr w:type="spellEnd"/>
      <w:r w:rsidR="000D62FE">
        <w:rPr>
          <w:i/>
        </w:rPr>
        <w:t xml:space="preserve"> B.V. v. </w:t>
      </w:r>
      <w:proofErr w:type="spellStart"/>
      <w:r w:rsidR="000D62FE">
        <w:rPr>
          <w:i/>
        </w:rPr>
        <w:t>the</w:t>
      </w:r>
      <w:proofErr w:type="spellEnd"/>
      <w:r w:rsidR="000D62FE">
        <w:rPr>
          <w:i/>
        </w:rPr>
        <w:t xml:space="preserve"> </w:t>
      </w:r>
      <w:proofErr w:type="spellStart"/>
      <w:r w:rsidR="000D62FE">
        <w:rPr>
          <w:i/>
        </w:rPr>
        <w:t>Netherlands</w:t>
      </w:r>
      <w:proofErr w:type="spellEnd"/>
      <w:r w:rsidR="000D62FE">
        <w:t xml:space="preserve">, 17 декември 1996 г., § 52, </w:t>
      </w:r>
      <w:r w:rsidR="000D62FE">
        <w:rPr>
          <w:i/>
        </w:rPr>
        <w:t xml:space="preserve">Доклади за </w:t>
      </w:r>
      <w:r w:rsidR="000D62FE" w:rsidRPr="005D5CB3">
        <w:rPr>
          <w:i/>
        </w:rPr>
        <w:t>решения и определения</w:t>
      </w:r>
      <w:r w:rsidR="000D62FE">
        <w:rPr>
          <w:i/>
        </w:rPr>
        <w:t xml:space="preserve"> </w:t>
      </w:r>
      <w:r w:rsidR="000D62FE">
        <w:lastRenderedPageBreak/>
        <w:t xml:space="preserve">1996-VI; </w:t>
      </w:r>
      <w:proofErr w:type="spellStart"/>
      <w:r w:rsidR="000D62FE">
        <w:rPr>
          <w:i/>
        </w:rPr>
        <w:t>П</w:t>
      </w:r>
      <w:r w:rsidR="00317863">
        <w:rPr>
          <w:i/>
        </w:rPr>
        <w:t>у</w:t>
      </w:r>
      <w:r w:rsidR="000D62FE">
        <w:rPr>
          <w:i/>
        </w:rPr>
        <w:t>тер</w:t>
      </w:r>
      <w:proofErr w:type="spellEnd"/>
      <w:r w:rsidR="000D62FE">
        <w:rPr>
          <w:i/>
        </w:rPr>
        <w:t xml:space="preserve"> срещу България</w:t>
      </w:r>
      <w:r w:rsidR="000D62FE">
        <w:t xml:space="preserve">, № 38780/02, § 47, 2 декември 2010 г., и </w:t>
      </w:r>
      <w:proofErr w:type="spellStart"/>
      <w:r w:rsidR="000D62FE">
        <w:rPr>
          <w:i/>
        </w:rPr>
        <w:t>Фазлийски</w:t>
      </w:r>
      <w:proofErr w:type="spellEnd"/>
      <w:r w:rsidR="000D62FE">
        <w:t>, цитирано по-горе, § 57), основният въпрос в настоящия случа</w:t>
      </w:r>
      <w:r w:rsidR="009172B9">
        <w:t>й</w:t>
      </w:r>
      <w:r w:rsidR="000D62FE">
        <w:t xml:space="preserve"> е дали това изискване се прилага еднакво и без квалификация по отношение на спорове, свързани с издаването на </w:t>
      </w:r>
      <w:r w:rsidR="009172B9">
        <w:t xml:space="preserve">разрешения </w:t>
      </w:r>
      <w:r w:rsidR="000D62FE">
        <w:t xml:space="preserve">за </w:t>
      </w:r>
      <w:r w:rsidR="009172B9">
        <w:t xml:space="preserve">достъп </w:t>
      </w:r>
      <w:r w:rsidR="000D62FE">
        <w:t xml:space="preserve">на държавен служител, работещ в Националната служба </w:t>
      </w:r>
      <w:r w:rsidR="0080563C">
        <w:t>„С</w:t>
      </w:r>
      <w:r w:rsidR="000D62FE">
        <w:t>игурност</w:t>
      </w:r>
      <w:r w:rsidR="0080563C">
        <w:t>“</w:t>
      </w:r>
      <w:r w:rsidR="000D62FE">
        <w:t xml:space="preserve">. По този въпрос Съдът намира настоящата жалба за подобна на делото </w:t>
      </w:r>
      <w:proofErr w:type="spellStart"/>
      <w:r w:rsidR="000D62FE">
        <w:rPr>
          <w:i/>
        </w:rPr>
        <w:t>Фазлийски</w:t>
      </w:r>
      <w:proofErr w:type="spellEnd"/>
      <w:r w:rsidR="000D62FE">
        <w:rPr>
          <w:i/>
        </w:rPr>
        <w:t>,</w:t>
      </w:r>
      <w:r w:rsidR="000D62FE">
        <w:t xml:space="preserve"> цитирано по-горе, </w:t>
      </w:r>
      <w:r w:rsidR="00853A83">
        <w:t xml:space="preserve">където </w:t>
      </w:r>
      <w:r w:rsidR="000D62FE">
        <w:t xml:space="preserve">Съдът </w:t>
      </w:r>
      <w:r w:rsidR="00853A83">
        <w:t>намира</w:t>
      </w:r>
      <w:r w:rsidR="000D62FE">
        <w:t xml:space="preserve">, че отказът на Върховния административен съд да проведе </w:t>
      </w:r>
      <w:r w:rsidR="000D62FE" w:rsidRPr="00A76A89">
        <w:t>независима проверка на въпрос</w:t>
      </w:r>
      <w:r w:rsidR="000D62FE" w:rsidRPr="00EC07A7">
        <w:t>, който е от съществено значение за реш</w:t>
      </w:r>
      <w:r w:rsidR="000D62FE">
        <w:t xml:space="preserve">аване на делото на жалбоподателя, а именно неговата психическа пригодност за работа в Министерство на вътрешните работи - представлява нарушение на чл. 6 § 1 от Конвенцията (вж. </w:t>
      </w:r>
      <w:proofErr w:type="spellStart"/>
      <w:r w:rsidR="000D62FE">
        <w:rPr>
          <w:i/>
        </w:rPr>
        <w:t>Фазлийски</w:t>
      </w:r>
      <w:proofErr w:type="spellEnd"/>
      <w:r w:rsidR="000D62FE">
        <w:t>, цитирано по-горе, §§ 58</w:t>
      </w:r>
      <w:r w:rsidR="000D62FE">
        <w:noBreakHyphen/>
        <w:t>63).</w:t>
      </w:r>
    </w:p>
    <w:p w:rsidR="00D2732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38</w:t>
        </w:r>
      </w:fldSimple>
      <w:r w:rsidR="00D27325">
        <w:t xml:space="preserve">.  Що се отнася до настоящия случай, Съдът </w:t>
      </w:r>
      <w:r w:rsidR="0080563C">
        <w:t xml:space="preserve">следва </w:t>
      </w:r>
      <w:r w:rsidR="00D27325">
        <w:t xml:space="preserve">да вземе предвид факта, че при освобождаването на жалбоподателката от </w:t>
      </w:r>
      <w:r w:rsidR="0080563C">
        <w:t xml:space="preserve">позицията </w:t>
      </w:r>
      <w:r w:rsidR="00D27325">
        <w:t xml:space="preserve">ѝ, директорът на Национална служба </w:t>
      </w:r>
      <w:r w:rsidR="0080563C">
        <w:t>„С</w:t>
      </w:r>
      <w:r w:rsidR="00D27325">
        <w:t>игурност</w:t>
      </w:r>
      <w:r w:rsidR="0080563C">
        <w:t>“</w:t>
      </w:r>
      <w:r w:rsidR="00D27325">
        <w:t xml:space="preserve"> не упражнява право на преценка. </w:t>
      </w:r>
      <w:r w:rsidR="007361D9">
        <w:t>Изглежда</w:t>
      </w:r>
      <w:r w:rsidR="00D27325">
        <w:t xml:space="preserve">, че той е бил длъжен да освободи жалбоподателката, като се има предвид, че тя вече не притежава </w:t>
      </w:r>
      <w:r w:rsidR="00E6680F">
        <w:t xml:space="preserve">разрешение </w:t>
      </w:r>
      <w:r w:rsidR="00D27325">
        <w:t xml:space="preserve">за </w:t>
      </w:r>
      <w:r w:rsidR="00E6680F">
        <w:t>достъп</w:t>
      </w:r>
      <w:r w:rsidR="00D27325">
        <w:t xml:space="preserve">, което е необходимо условие за изпълняване на нейните задължения (вж. параграфи 6, 10 и 20 по-горе). В действителност Правителството потвърждава това в своето становище (вж. параграф 28 по-горе). Настоящият случай следователно не засяга интензивността, с която националните съдилища трябва да упражняват контрол върху </w:t>
      </w:r>
      <w:r w:rsidR="00F25AB7" w:rsidRPr="00707785">
        <w:t>осъществяването</w:t>
      </w:r>
      <w:r w:rsidR="00F25AB7">
        <w:t xml:space="preserve"> </w:t>
      </w:r>
      <w:r w:rsidR="00D27325">
        <w:t>на административното право на преценка (</w:t>
      </w:r>
      <w:proofErr w:type="spellStart"/>
      <w:r w:rsidR="00D27325">
        <w:rPr>
          <w:i/>
        </w:rPr>
        <w:t>Фазлийски</w:t>
      </w:r>
      <w:proofErr w:type="spellEnd"/>
      <w:r w:rsidR="00D27325">
        <w:t>, цитирано по-горе, § 58).</w:t>
      </w:r>
    </w:p>
    <w:p w:rsidR="004005A4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39</w:t>
        </w:r>
      </w:fldSimple>
      <w:r w:rsidR="004005A4">
        <w:t>.  </w:t>
      </w:r>
      <w:r w:rsidR="00F25AB7">
        <w:t>Следователно изглежда</w:t>
      </w:r>
      <w:r w:rsidR="004005A4">
        <w:t>, че закон</w:t>
      </w:r>
      <w:r w:rsidR="00F25AB7">
        <w:t>осъобраз</w:t>
      </w:r>
      <w:r w:rsidR="004005A4">
        <w:t xml:space="preserve">ността на освобождаването на жалбоподателката от </w:t>
      </w:r>
      <w:r w:rsidR="00F25AB7">
        <w:t>поста й</w:t>
      </w:r>
      <w:r w:rsidR="004005A4">
        <w:t xml:space="preserve"> е изцяло </w:t>
      </w:r>
      <w:r w:rsidR="00F25AB7">
        <w:t xml:space="preserve">предопределено </w:t>
      </w:r>
      <w:r w:rsidR="004005A4">
        <w:t xml:space="preserve">от това, че ѝ е отказан достъп до класифицирана информация. Няма нищо </w:t>
      </w:r>
      <w:r w:rsidR="00761A8E">
        <w:t xml:space="preserve">само </w:t>
      </w:r>
      <w:r w:rsidR="004005A4">
        <w:t xml:space="preserve">по </w:t>
      </w:r>
      <w:r w:rsidR="00761A8E">
        <w:t>себе си</w:t>
      </w:r>
      <w:r w:rsidR="004005A4">
        <w:t xml:space="preserve"> нередно във факта, че </w:t>
      </w:r>
      <w:r w:rsidR="00761A8E">
        <w:t>пре</w:t>
      </w:r>
      <w:r w:rsidR="004005A4">
        <w:t xml:space="preserve">ценката дали такъв достъп </w:t>
      </w:r>
      <w:r w:rsidR="00761A8E">
        <w:t xml:space="preserve">трябва да се предостави </w:t>
      </w:r>
      <w:r w:rsidR="004005A4">
        <w:t xml:space="preserve">е извършена от служители на Национална служба </w:t>
      </w:r>
      <w:r w:rsidR="00FC42E0">
        <w:t>„С</w:t>
      </w:r>
      <w:r w:rsidR="004005A4">
        <w:t>игурност</w:t>
      </w:r>
      <w:r w:rsidR="00FC42E0">
        <w:t>“</w:t>
      </w:r>
      <w:r w:rsidR="004005A4">
        <w:t>, където работи жалбоподателката (вж</w:t>
      </w:r>
      <w:r w:rsidR="004005A4" w:rsidRPr="00707785">
        <w:t xml:space="preserve">., </w:t>
      </w:r>
      <w:proofErr w:type="spellStart"/>
      <w:r w:rsidR="004005A4" w:rsidRPr="00070CAF">
        <w:rPr>
          <w:i/>
        </w:rPr>
        <w:t>mutatis</w:t>
      </w:r>
      <w:proofErr w:type="spellEnd"/>
      <w:r w:rsidR="004005A4" w:rsidRPr="00070CAF">
        <w:rPr>
          <w:i/>
        </w:rPr>
        <w:t xml:space="preserve"> </w:t>
      </w:r>
      <w:proofErr w:type="spellStart"/>
      <w:r w:rsidR="004005A4" w:rsidRPr="00070CAF">
        <w:rPr>
          <w:i/>
        </w:rPr>
        <w:t>mutandis</w:t>
      </w:r>
      <w:proofErr w:type="spellEnd"/>
      <w:r w:rsidR="004005A4">
        <w:t xml:space="preserve">, </w:t>
      </w:r>
      <w:proofErr w:type="spellStart"/>
      <w:r w:rsidR="004005A4">
        <w:rPr>
          <w:i/>
        </w:rPr>
        <w:t>Фазлийски</w:t>
      </w:r>
      <w:proofErr w:type="spellEnd"/>
      <w:r w:rsidR="004005A4">
        <w:t>, цитирано по-горе, § 59). Въпреки това Съдът все пак трябва да провери</w:t>
      </w:r>
      <w:r w:rsidR="00134348">
        <w:t>,</w:t>
      </w:r>
      <w:r w:rsidR="004005A4">
        <w:t xml:space="preserve"> в съответствие с гаранциите по чл. 6</w:t>
      </w:r>
      <w:r w:rsidR="00134348">
        <w:t>,</w:t>
      </w:r>
      <w:r w:rsidR="004005A4">
        <w:t xml:space="preserve"> дали твърденията на жалбоподателката по отношение на уволнението ѝ са разгледани от независим съд.</w:t>
      </w:r>
    </w:p>
    <w:p w:rsidR="00546B5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40</w:t>
        </w:r>
      </w:fldSimple>
      <w:r w:rsidR="004005A4">
        <w:t xml:space="preserve">.  Съдът отбелязва, че жалбоподателката е </w:t>
      </w:r>
      <w:r w:rsidR="00FC42E0">
        <w:t>имала право да започне</w:t>
      </w:r>
      <w:r w:rsidR="004005A4">
        <w:t xml:space="preserve"> производство, за да търси отмяна на уволнението, възстановяване на длъжност и обезщетение за загуба на доход. Изглежда обаче, че в нито един етап от това производство съдилищата не се занимават с определянето на това дали е съществувало основание за отказ на </w:t>
      </w:r>
      <w:r w:rsidR="00BD4CDB">
        <w:t xml:space="preserve">разрешение </w:t>
      </w:r>
      <w:r w:rsidR="004005A4">
        <w:t xml:space="preserve">за </w:t>
      </w:r>
      <w:r w:rsidR="00BD4CDB">
        <w:t xml:space="preserve">достъп </w:t>
      </w:r>
      <w:r w:rsidR="004005A4">
        <w:t xml:space="preserve">на жалбоподателката, въпреки че този отказ е направил нейното уволнение неизбежно (вж. параграфи 11 и 14 по-горе). Жалбоподателката не е информирана за фактическите обстоятелства, взети предвид при вземането на решение, че ще бъде отказано </w:t>
      </w:r>
      <w:r w:rsidR="00BD4CDB">
        <w:t xml:space="preserve">разрешение </w:t>
      </w:r>
      <w:r w:rsidR="004005A4">
        <w:t xml:space="preserve">за </w:t>
      </w:r>
      <w:r w:rsidR="00BD4CDB">
        <w:t>достъп</w:t>
      </w:r>
      <w:r w:rsidR="004005A4">
        <w:t xml:space="preserve">. Тя също така не </w:t>
      </w:r>
      <w:r w:rsidR="00BD4CDB">
        <w:t xml:space="preserve">е </w:t>
      </w:r>
      <w:r w:rsidR="004005A4">
        <w:t xml:space="preserve">могла да твърди, че </w:t>
      </w:r>
      <w:r w:rsidR="004005A4">
        <w:lastRenderedPageBreak/>
        <w:t xml:space="preserve">информацията, на която се основава на това решение, е правилна или неправилна, пълна или непълна и надеждна или ненадеждна. Изводът на съдилищата, че са обвързани от официалния отказ да се предостави достъп до класифицирана информация и че не могат да го </w:t>
      </w:r>
      <w:r w:rsidR="0032426B">
        <w:t xml:space="preserve">подложат на разглеждане </w:t>
      </w:r>
      <w:r w:rsidR="004005A4">
        <w:t xml:space="preserve">по какъвто и да </w:t>
      </w:r>
      <w:r w:rsidR="0032426B">
        <w:t xml:space="preserve">е </w:t>
      </w:r>
      <w:r w:rsidR="004005A4">
        <w:t>начин, е в съответствие с приложим</w:t>
      </w:r>
      <w:r w:rsidR="0032426B">
        <w:t>ото</w:t>
      </w:r>
      <w:r w:rsidR="004005A4">
        <w:t xml:space="preserve"> национално законодателство (вж. параграф 18 по-горе). Този Съд от своя страна </w:t>
      </w:r>
      <w:r w:rsidR="0032426B">
        <w:t>намира</w:t>
      </w:r>
      <w:r w:rsidR="004005A4">
        <w:t xml:space="preserve">, че в своето изключително позоваване на този отказ в </w:t>
      </w:r>
      <w:r w:rsidR="00205138">
        <w:t xml:space="preserve">случая </w:t>
      </w:r>
      <w:r w:rsidR="004005A4">
        <w:t xml:space="preserve">на жалбоподателката, националните съдилища отказват </w:t>
      </w:r>
      <w:r w:rsidR="007378DD">
        <w:t xml:space="preserve">самостоятелно </w:t>
      </w:r>
      <w:r w:rsidR="004005A4">
        <w:t xml:space="preserve">да </w:t>
      </w:r>
      <w:r w:rsidR="007378DD">
        <w:t xml:space="preserve">разгледат </w:t>
      </w:r>
      <w:r w:rsidR="004005A4">
        <w:t>въпрос, който е от съществено значение за решаването на делото, и по този начин сами се лишават от компетентност да разгледат спора (вж</w:t>
      </w:r>
      <w:r w:rsidR="00EC07A7">
        <w:t>.</w:t>
      </w:r>
      <w:r w:rsidR="004005A4">
        <w:t xml:space="preserve">, </w:t>
      </w:r>
      <w:proofErr w:type="spellStart"/>
      <w:r w:rsidR="004005A4">
        <w:rPr>
          <w:i/>
        </w:rPr>
        <w:t>mutatis</w:t>
      </w:r>
      <w:proofErr w:type="spellEnd"/>
      <w:r w:rsidR="004005A4">
        <w:rPr>
          <w:i/>
        </w:rPr>
        <w:t xml:space="preserve"> </w:t>
      </w:r>
      <w:proofErr w:type="spellStart"/>
      <w:r w:rsidR="004005A4">
        <w:rPr>
          <w:i/>
        </w:rPr>
        <w:t>mutandis</w:t>
      </w:r>
      <w:proofErr w:type="spellEnd"/>
      <w:r w:rsidR="004005A4">
        <w:t xml:space="preserve">, </w:t>
      </w:r>
      <w:r w:rsidR="004005A4">
        <w:rPr>
          <w:i/>
        </w:rPr>
        <w:t>И.Д. срещу България</w:t>
      </w:r>
      <w:r w:rsidR="004005A4">
        <w:t xml:space="preserve">, № 43578/98, § 50, 28 април 2005 г., и </w:t>
      </w:r>
      <w:proofErr w:type="spellStart"/>
      <w:r w:rsidR="004005A4">
        <w:rPr>
          <w:i/>
        </w:rPr>
        <w:t>Фазлийски</w:t>
      </w:r>
      <w:proofErr w:type="spellEnd"/>
      <w:r w:rsidR="004005A4">
        <w:t>, цитирано по-горе, § 59).</w:t>
      </w:r>
      <w:r w:rsidR="003A4DEA">
        <w:t xml:space="preserve"> В същото време</w:t>
      </w:r>
      <w:r w:rsidR="004005A4">
        <w:t xml:space="preserve"> Съдът с</w:t>
      </w:r>
      <w:r w:rsidR="003A4DEA">
        <w:t>чита</w:t>
      </w:r>
      <w:r w:rsidR="004005A4">
        <w:t xml:space="preserve">, че отказът </w:t>
      </w:r>
      <w:r w:rsidR="003A4DEA">
        <w:t xml:space="preserve">да се </w:t>
      </w:r>
      <w:r w:rsidR="004005A4">
        <w:t>предостав</w:t>
      </w:r>
      <w:r w:rsidR="003A4DEA">
        <w:t>и</w:t>
      </w:r>
      <w:r w:rsidR="004005A4">
        <w:t xml:space="preserve"> </w:t>
      </w:r>
      <w:r w:rsidR="003A4DEA">
        <w:t xml:space="preserve">разрешение </w:t>
      </w:r>
      <w:r w:rsidR="004005A4">
        <w:t xml:space="preserve">за </w:t>
      </w:r>
      <w:r w:rsidR="003A4DEA">
        <w:t xml:space="preserve">достъп </w:t>
      </w:r>
      <w:r w:rsidR="004005A4">
        <w:t xml:space="preserve">на жалбоподателката и </w:t>
      </w:r>
      <w:r w:rsidR="003A4DEA">
        <w:t>предхождащ</w:t>
      </w:r>
      <w:r w:rsidR="007378DD">
        <w:t>ото</w:t>
      </w:r>
      <w:r w:rsidR="003A4DEA">
        <w:t xml:space="preserve"> го</w:t>
      </w:r>
      <w:r w:rsidR="004005A4">
        <w:t xml:space="preserve"> </w:t>
      </w:r>
      <w:r w:rsidR="00EC07A7" w:rsidRPr="003E78A2">
        <w:t>проучване</w:t>
      </w:r>
      <w:r w:rsidR="00EC07A7" w:rsidRPr="00EC07A7">
        <w:t xml:space="preserve"> </w:t>
      </w:r>
      <w:r w:rsidR="004005A4" w:rsidRPr="00EC07A7">
        <w:t xml:space="preserve">за </w:t>
      </w:r>
      <w:r w:rsidR="00EC07A7" w:rsidRPr="00EC07A7">
        <w:t>надеждност</w:t>
      </w:r>
      <w:r w:rsidR="00EC07A7">
        <w:t xml:space="preserve"> </w:t>
      </w:r>
      <w:r w:rsidR="004005A4">
        <w:t xml:space="preserve">са част от стандартната вътрешна процедура на работодателя на жалбоподателката – Национална служба </w:t>
      </w:r>
      <w:r w:rsidR="007378DD">
        <w:t>„С</w:t>
      </w:r>
      <w:r w:rsidR="004005A4">
        <w:t>игурност</w:t>
      </w:r>
      <w:r w:rsidR="007378DD">
        <w:t>“</w:t>
      </w:r>
      <w:r w:rsidR="004005A4">
        <w:t xml:space="preserve">, която е част от изпълнителната власт. </w:t>
      </w:r>
      <w:r w:rsidR="00A27F6A">
        <w:t xml:space="preserve">Следователно </w:t>
      </w:r>
      <w:r w:rsidR="004005A4">
        <w:t xml:space="preserve">не може да се каже, че този орган </w:t>
      </w:r>
      <w:r w:rsidR="00A27F6A">
        <w:t xml:space="preserve">е </w:t>
      </w:r>
      <w:r w:rsidR="007378DD">
        <w:t xml:space="preserve">спазил </w:t>
      </w:r>
      <w:r w:rsidR="004005A4">
        <w:t xml:space="preserve">гаранциите на чл. 6. Поради това Съдът </w:t>
      </w:r>
      <w:r w:rsidR="007378DD">
        <w:t xml:space="preserve">следва </w:t>
      </w:r>
      <w:r w:rsidR="004005A4">
        <w:t xml:space="preserve">да разгледа дали самият отказ на Националната служба за сигурност е предмет на пряк контрол от съд (виж, </w:t>
      </w:r>
      <w:proofErr w:type="spellStart"/>
      <w:r w:rsidR="004005A4">
        <w:rPr>
          <w:i/>
        </w:rPr>
        <w:t>mutatis</w:t>
      </w:r>
      <w:proofErr w:type="spellEnd"/>
      <w:r w:rsidR="004005A4">
        <w:rPr>
          <w:i/>
        </w:rPr>
        <w:t xml:space="preserve"> </w:t>
      </w:r>
      <w:proofErr w:type="spellStart"/>
      <w:r w:rsidR="004005A4">
        <w:rPr>
          <w:i/>
        </w:rPr>
        <w:t>mutandis</w:t>
      </w:r>
      <w:proofErr w:type="spellEnd"/>
      <w:r w:rsidR="004005A4">
        <w:t xml:space="preserve">, </w:t>
      </w:r>
      <w:r w:rsidR="004005A4">
        <w:rPr>
          <w:i/>
        </w:rPr>
        <w:t>Капитал банк АД срещу България</w:t>
      </w:r>
      <w:r w:rsidR="004005A4">
        <w:t xml:space="preserve">, § 104;. </w:t>
      </w:r>
      <w:proofErr w:type="spellStart"/>
      <w:r w:rsidR="004005A4">
        <w:rPr>
          <w:i/>
        </w:rPr>
        <w:t>Obermeier</w:t>
      </w:r>
      <w:proofErr w:type="spellEnd"/>
      <w:r w:rsidR="004005A4">
        <w:t xml:space="preserve">, цитирано по-горе § 70; </w:t>
      </w:r>
      <w:r w:rsidR="004005A4">
        <w:rPr>
          <w:i/>
        </w:rPr>
        <w:t>И.Д.</w:t>
      </w:r>
      <w:r w:rsidR="004005A4">
        <w:t xml:space="preserve">, цитирано по-горе, § 53; и </w:t>
      </w:r>
      <w:proofErr w:type="spellStart"/>
      <w:r w:rsidR="004005A4">
        <w:rPr>
          <w:i/>
        </w:rPr>
        <w:t>Фазлийски</w:t>
      </w:r>
      <w:proofErr w:type="spellEnd"/>
      <w:r w:rsidR="004005A4">
        <w:t xml:space="preserve">, цитирано по-горе, § 61). Това явно не е така - националните съдилища изрично констатират, че тези откази </w:t>
      </w:r>
      <w:r w:rsidR="000C3735">
        <w:t xml:space="preserve">- </w:t>
      </w:r>
      <w:r w:rsidR="004005A4">
        <w:t xml:space="preserve">съгласно </w:t>
      </w:r>
      <w:r w:rsidR="000C3735">
        <w:t xml:space="preserve">националното </w:t>
      </w:r>
      <w:r w:rsidR="004005A4">
        <w:t>законодателство (вж. параграфи 12 и 18 по-горе)</w:t>
      </w:r>
      <w:r w:rsidR="000C3735">
        <w:t>,</w:t>
      </w:r>
      <w:r w:rsidR="004005A4">
        <w:t xml:space="preserve"> не са </w:t>
      </w:r>
      <w:r w:rsidR="000C3735">
        <w:t xml:space="preserve">обект </w:t>
      </w:r>
      <w:r w:rsidR="004005A4">
        <w:t xml:space="preserve">на каквато и да </w:t>
      </w:r>
      <w:r w:rsidR="00341897">
        <w:t xml:space="preserve">е </w:t>
      </w:r>
      <w:r w:rsidR="004005A4">
        <w:t>форма на съдебен контрол.</w:t>
      </w:r>
    </w:p>
    <w:p w:rsidR="00546B5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41</w:t>
        </w:r>
      </w:fldSimple>
      <w:r w:rsidR="003F0EE2">
        <w:t>.  Вярно е, че жалбоподателката</w:t>
      </w:r>
      <w:r w:rsidR="008F0541">
        <w:t xml:space="preserve"> е</w:t>
      </w:r>
      <w:r w:rsidR="003F0EE2">
        <w:t xml:space="preserve"> заема</w:t>
      </w:r>
      <w:r w:rsidR="008F0541">
        <w:t>ла</w:t>
      </w:r>
      <w:r w:rsidR="003F0EE2">
        <w:t xml:space="preserve"> пост, предоставящ ѝ достъп до информация, </w:t>
      </w:r>
      <w:r w:rsidR="008F0541">
        <w:t xml:space="preserve">която </w:t>
      </w:r>
      <w:r w:rsidR="003F0EE2">
        <w:t xml:space="preserve">представлява държавна тайна (вж. параграф 6 по-горе). Вярно е също, че този Съд, макар и в различен контекст, приема, че </w:t>
      </w:r>
      <w:r w:rsidR="003F0EE2" w:rsidRPr="008239FD">
        <w:t xml:space="preserve">легитимни </w:t>
      </w:r>
      <w:r w:rsidR="003F0EE2">
        <w:t>съображения за национална сигурност могат да обосноват ограничения на правата, залегнали в чл. 6 § 1 от Конвенцията, но той също така заключва, че те не трябва да предотвратява</w:t>
      </w:r>
      <w:r w:rsidR="008749D1">
        <w:t>т</w:t>
      </w:r>
      <w:r w:rsidR="003F0EE2">
        <w:t xml:space="preserve"> съдебно </w:t>
      </w:r>
      <w:r w:rsidR="007378DD">
        <w:t xml:space="preserve">разглеждане </w:t>
      </w:r>
      <w:r w:rsidR="003F0EE2">
        <w:t xml:space="preserve">по същество на оплакванията на жалбоподателите, като по този начин представляват непропорционално ограничение на правото им на достъп до съд (вж. </w:t>
      </w:r>
      <w:proofErr w:type="spellStart"/>
      <w:r w:rsidR="003F0EE2">
        <w:rPr>
          <w:i/>
        </w:rPr>
        <w:t>Tinnelly</w:t>
      </w:r>
      <w:proofErr w:type="spellEnd"/>
      <w:r w:rsidR="003F0EE2">
        <w:rPr>
          <w:i/>
        </w:rPr>
        <w:t xml:space="preserve"> &amp; </w:t>
      </w:r>
      <w:proofErr w:type="spellStart"/>
      <w:r w:rsidR="003F0EE2">
        <w:rPr>
          <w:i/>
        </w:rPr>
        <w:t>Sons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Ltd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and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Others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and</w:t>
      </w:r>
      <w:proofErr w:type="spellEnd"/>
      <w:r w:rsidR="003F0EE2">
        <w:rPr>
          <w:i/>
        </w:rPr>
        <w:t> </w:t>
      </w:r>
      <w:proofErr w:type="spellStart"/>
      <w:r w:rsidR="003F0EE2">
        <w:rPr>
          <w:i/>
        </w:rPr>
        <w:t>McElduff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and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Others</w:t>
      </w:r>
      <w:proofErr w:type="spellEnd"/>
      <w:r w:rsidR="003F0EE2">
        <w:rPr>
          <w:i/>
        </w:rPr>
        <w:t xml:space="preserve"> v. </w:t>
      </w:r>
      <w:proofErr w:type="spellStart"/>
      <w:r w:rsidR="003F0EE2">
        <w:rPr>
          <w:i/>
        </w:rPr>
        <w:t>the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United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Kingdom</w:t>
      </w:r>
      <w:proofErr w:type="spellEnd"/>
      <w:r w:rsidR="003F0EE2">
        <w:t xml:space="preserve">, 10 юли 1998 г., § 76, </w:t>
      </w:r>
      <w:r w:rsidR="003F0EE2">
        <w:rPr>
          <w:i/>
        </w:rPr>
        <w:t xml:space="preserve">Доклади </w:t>
      </w:r>
      <w:r w:rsidR="003F0EE2" w:rsidRPr="00EC07A7">
        <w:rPr>
          <w:i/>
        </w:rPr>
        <w:t>за решения и определения</w:t>
      </w:r>
      <w:r w:rsidR="003F0EE2">
        <w:t xml:space="preserve"> 1998-IV, и </w:t>
      </w:r>
      <w:proofErr w:type="spellStart"/>
      <w:r w:rsidR="003F0EE2">
        <w:rPr>
          <w:i/>
        </w:rPr>
        <w:t>Devenney</w:t>
      </w:r>
      <w:proofErr w:type="spellEnd"/>
      <w:r w:rsidR="003F0EE2">
        <w:rPr>
          <w:i/>
        </w:rPr>
        <w:t xml:space="preserve"> v. </w:t>
      </w:r>
      <w:proofErr w:type="spellStart"/>
      <w:r w:rsidR="003F0EE2">
        <w:rPr>
          <w:i/>
        </w:rPr>
        <w:t>the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United</w:t>
      </w:r>
      <w:proofErr w:type="spellEnd"/>
      <w:r w:rsidR="003F0EE2">
        <w:rPr>
          <w:i/>
        </w:rPr>
        <w:t xml:space="preserve"> </w:t>
      </w:r>
      <w:proofErr w:type="spellStart"/>
      <w:r w:rsidR="003F0EE2">
        <w:rPr>
          <w:i/>
        </w:rPr>
        <w:t>Kingdom</w:t>
      </w:r>
      <w:proofErr w:type="spellEnd"/>
      <w:r w:rsidR="003F0EE2">
        <w:t>, № 24265/94, § 26, 19 март 2002 г.).</w:t>
      </w:r>
    </w:p>
    <w:p w:rsidR="006A2BDB" w:rsidRPr="003E78A2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42</w:t>
        </w:r>
      </w:fldSimple>
      <w:r w:rsidR="003C06A2">
        <w:t xml:space="preserve">.  В </w:t>
      </w:r>
      <w:proofErr w:type="spellStart"/>
      <w:r w:rsidR="003C06A2">
        <w:rPr>
          <w:i/>
        </w:rPr>
        <w:t>Tinnelly</w:t>
      </w:r>
      <w:proofErr w:type="spellEnd"/>
      <w:r w:rsidR="003C06A2">
        <w:rPr>
          <w:i/>
        </w:rPr>
        <w:t xml:space="preserve"> &amp; </w:t>
      </w:r>
      <w:proofErr w:type="spellStart"/>
      <w:r w:rsidR="003C06A2">
        <w:rPr>
          <w:i/>
        </w:rPr>
        <w:t>Sons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Ltd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and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Others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and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McElduff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and</w:t>
      </w:r>
      <w:proofErr w:type="spellEnd"/>
      <w:r w:rsidR="003C06A2">
        <w:rPr>
          <w:i/>
        </w:rPr>
        <w:t xml:space="preserve"> </w:t>
      </w:r>
      <w:proofErr w:type="spellStart"/>
      <w:r w:rsidR="003C06A2">
        <w:rPr>
          <w:i/>
        </w:rPr>
        <w:t>Others</w:t>
      </w:r>
      <w:proofErr w:type="spellEnd"/>
      <w:r w:rsidR="003C06A2">
        <w:t>, цитирано по-горе, дружеството жалбоподател, след като първоначално е препоръчано за възлагане на договор с Електрическите служби на Северна Ирландия (</w:t>
      </w:r>
      <w:proofErr w:type="spellStart"/>
      <w:r w:rsidR="003C06A2">
        <w:t>Northern</w:t>
      </w:r>
      <w:proofErr w:type="spellEnd"/>
      <w:r w:rsidR="003C06A2">
        <w:t xml:space="preserve"> </w:t>
      </w:r>
      <w:proofErr w:type="spellStart"/>
      <w:r w:rsidR="003C06A2">
        <w:t>Ireland</w:t>
      </w:r>
      <w:proofErr w:type="spellEnd"/>
      <w:r w:rsidR="003C06A2">
        <w:t xml:space="preserve"> </w:t>
      </w:r>
      <w:proofErr w:type="spellStart"/>
      <w:r w:rsidR="003C06A2">
        <w:t>Electricity</w:t>
      </w:r>
      <w:proofErr w:type="spellEnd"/>
      <w:r w:rsidR="003C06A2">
        <w:t xml:space="preserve"> Services), впоследствие получ</w:t>
      </w:r>
      <w:r w:rsidR="00740A43">
        <w:t>ава</w:t>
      </w:r>
      <w:r w:rsidR="003C06A2">
        <w:t xml:space="preserve"> отказ за възлагането на такъв договор въз основа на това, че му е издадено отрицателно </w:t>
      </w:r>
      <w:r w:rsidR="003C06A2" w:rsidRPr="00D34B3A">
        <w:t>удостоверение за сигурност</w:t>
      </w:r>
      <w:r w:rsidR="003C06A2">
        <w:t xml:space="preserve"> от държавния секретар за Северна Ирландия. Молбата на дружеството за </w:t>
      </w:r>
      <w:r w:rsidR="00D04D16">
        <w:t xml:space="preserve">разглеждане </w:t>
      </w:r>
      <w:r w:rsidR="00D04D16">
        <w:lastRenderedPageBreak/>
        <w:t xml:space="preserve">от съд </w:t>
      </w:r>
      <w:r w:rsidR="003C06A2">
        <w:t xml:space="preserve">е отхвърлена. Съдът констатира, че </w:t>
      </w:r>
      <w:r w:rsidR="00D04D16">
        <w:t xml:space="preserve">съдебното </w:t>
      </w:r>
      <w:r w:rsidR="003C06A2">
        <w:t xml:space="preserve">производството в случая </w:t>
      </w:r>
      <w:r w:rsidR="00D04D16">
        <w:t xml:space="preserve">въобще </w:t>
      </w:r>
      <w:r w:rsidR="003C06A2">
        <w:t>не е довело до пълна проверка на фактичес</w:t>
      </w:r>
      <w:r w:rsidR="00D04D16">
        <w:t>кото основание</w:t>
      </w:r>
      <w:r w:rsidR="003C06A2">
        <w:t xml:space="preserve"> на удостоверението; такава проверка е можела да потвърди, че решението за отказ на договора е наистина “действие, извършено за гарантиране на националната сигурност или за защита на обществената сигурност или обществения ред.” Съдът смята, че </w:t>
      </w:r>
      <w:r w:rsidR="00EB6AAC">
        <w:t xml:space="preserve">трябва </w:t>
      </w:r>
      <w:r w:rsidR="003C06A2">
        <w:t xml:space="preserve">да се оцени </w:t>
      </w:r>
      <w:r w:rsidR="00EB6AAC">
        <w:t xml:space="preserve">дали </w:t>
      </w:r>
      <w:r w:rsidR="003C06A2">
        <w:t xml:space="preserve">съществува разумна връзка на пропорционалност между </w:t>
      </w:r>
      <w:r w:rsidR="00880D3A">
        <w:t xml:space="preserve">съображенията </w:t>
      </w:r>
      <w:r w:rsidR="003C06A2">
        <w:t xml:space="preserve">за защита на националната сигурност, посочена от властите, и въздействието, което използваните за тази цел средства са имали върху правото на дружеството на достъп до съд. Съдът </w:t>
      </w:r>
      <w:r w:rsidR="00880D3A">
        <w:t>намира</w:t>
      </w:r>
      <w:r w:rsidR="003C06A2">
        <w:t xml:space="preserve">, че окончателното естество на </w:t>
      </w:r>
      <w:r w:rsidR="003C06A2" w:rsidRPr="00D34B3A">
        <w:t xml:space="preserve">удостоверението - тоест не може да има независим съдебен контрол по отношение на фактите, на които се основава издаването му - представлява непропорционално ограничение на правото на </w:t>
      </w:r>
      <w:r w:rsidR="003C06A2" w:rsidRPr="00DA5643">
        <w:t xml:space="preserve">жалбоподателя </w:t>
      </w:r>
      <w:r w:rsidR="008507C7" w:rsidRPr="00DA5643">
        <w:t xml:space="preserve">на достъп </w:t>
      </w:r>
      <w:r w:rsidR="003C06A2" w:rsidRPr="003E78A2">
        <w:t xml:space="preserve">до съд (вж. </w:t>
      </w:r>
      <w:proofErr w:type="spellStart"/>
      <w:r w:rsidR="003C06A2" w:rsidRPr="003E78A2">
        <w:rPr>
          <w:i/>
        </w:rPr>
        <w:t>Tinnelly</w:t>
      </w:r>
      <w:proofErr w:type="spellEnd"/>
      <w:r w:rsidR="003C06A2" w:rsidRPr="003E78A2">
        <w:rPr>
          <w:i/>
        </w:rPr>
        <w:t xml:space="preserve"> &amp; </w:t>
      </w:r>
      <w:proofErr w:type="spellStart"/>
      <w:r w:rsidR="003C06A2" w:rsidRPr="003E78A2">
        <w:rPr>
          <w:i/>
        </w:rPr>
        <w:t>Sons</w:t>
      </w:r>
      <w:proofErr w:type="spellEnd"/>
      <w:r w:rsidR="003C06A2" w:rsidRPr="003E78A2">
        <w:rPr>
          <w:i/>
        </w:rPr>
        <w:t xml:space="preserve"> </w:t>
      </w:r>
      <w:proofErr w:type="spellStart"/>
      <w:r w:rsidR="003C06A2" w:rsidRPr="003E78A2">
        <w:rPr>
          <w:i/>
        </w:rPr>
        <w:t>Ltd</w:t>
      </w:r>
      <w:proofErr w:type="spellEnd"/>
      <w:r w:rsidR="003C06A2" w:rsidRPr="003E78A2">
        <w:rPr>
          <w:i/>
        </w:rPr>
        <w:t xml:space="preserve"> </w:t>
      </w:r>
      <w:proofErr w:type="spellStart"/>
      <w:r w:rsidR="003C06A2" w:rsidRPr="003E78A2">
        <w:rPr>
          <w:i/>
        </w:rPr>
        <w:t>and</w:t>
      </w:r>
      <w:proofErr w:type="spellEnd"/>
      <w:r w:rsidR="003C06A2" w:rsidRPr="003E78A2">
        <w:rPr>
          <w:i/>
        </w:rPr>
        <w:t xml:space="preserve"> </w:t>
      </w:r>
      <w:proofErr w:type="spellStart"/>
      <w:r w:rsidR="003C06A2" w:rsidRPr="003E78A2">
        <w:rPr>
          <w:i/>
        </w:rPr>
        <w:t>Others</w:t>
      </w:r>
      <w:proofErr w:type="spellEnd"/>
      <w:r w:rsidR="003C06A2" w:rsidRPr="003E78A2">
        <w:rPr>
          <w:i/>
        </w:rPr>
        <w:t xml:space="preserve"> </w:t>
      </w:r>
      <w:proofErr w:type="spellStart"/>
      <w:r w:rsidR="003C06A2" w:rsidRPr="003E78A2">
        <w:rPr>
          <w:i/>
        </w:rPr>
        <w:t>and</w:t>
      </w:r>
      <w:proofErr w:type="spellEnd"/>
      <w:r w:rsidR="003C06A2" w:rsidRPr="003E78A2">
        <w:rPr>
          <w:i/>
        </w:rPr>
        <w:t xml:space="preserve"> </w:t>
      </w:r>
      <w:proofErr w:type="spellStart"/>
      <w:r w:rsidR="003C06A2" w:rsidRPr="003E78A2">
        <w:rPr>
          <w:i/>
        </w:rPr>
        <w:t>McElduff</w:t>
      </w:r>
      <w:proofErr w:type="spellEnd"/>
      <w:r w:rsidR="003C06A2" w:rsidRPr="003E78A2">
        <w:rPr>
          <w:i/>
        </w:rPr>
        <w:t xml:space="preserve"> </w:t>
      </w:r>
      <w:proofErr w:type="spellStart"/>
      <w:r w:rsidR="003C06A2" w:rsidRPr="003E78A2">
        <w:rPr>
          <w:i/>
        </w:rPr>
        <w:t>and</w:t>
      </w:r>
      <w:proofErr w:type="spellEnd"/>
      <w:r w:rsidR="003C06A2" w:rsidRPr="003E78A2">
        <w:rPr>
          <w:i/>
        </w:rPr>
        <w:t xml:space="preserve"> </w:t>
      </w:r>
      <w:proofErr w:type="spellStart"/>
      <w:r w:rsidR="003C06A2" w:rsidRPr="003E78A2">
        <w:rPr>
          <w:i/>
        </w:rPr>
        <w:t>Others</w:t>
      </w:r>
      <w:proofErr w:type="spellEnd"/>
      <w:r w:rsidR="003C06A2" w:rsidRPr="003E78A2">
        <w:rPr>
          <w:i/>
        </w:rPr>
        <w:t>,</w:t>
      </w:r>
      <w:r w:rsidR="003C06A2" w:rsidRPr="003E78A2">
        <w:t xml:space="preserve"> цитирано по-горе, §§ 76-79).</w:t>
      </w:r>
    </w:p>
    <w:p w:rsidR="006A2BDB" w:rsidRPr="00262D6B" w:rsidRDefault="00A20199" w:rsidP="00262D6B">
      <w:pPr>
        <w:pStyle w:val="ECHRPara"/>
      </w:pPr>
      <w:fldSimple w:instr=" SEQ level0 \*arabic ">
        <w:r w:rsidR="00262D6B" w:rsidRPr="003E78A2">
          <w:rPr>
            <w:noProof/>
          </w:rPr>
          <w:t>43</w:t>
        </w:r>
      </w:fldSimple>
      <w:r w:rsidR="003C06A2" w:rsidRPr="003E78A2">
        <w:t>.  Тези констатации с</w:t>
      </w:r>
      <w:r w:rsidR="00341897" w:rsidRPr="003E78A2">
        <w:t>е</w:t>
      </w:r>
      <w:r w:rsidR="003C06A2" w:rsidRPr="003E78A2">
        <w:t xml:space="preserve"> повт</w:t>
      </w:r>
      <w:r w:rsidR="00341897" w:rsidRPr="003E78A2">
        <w:t>арят</w:t>
      </w:r>
      <w:r w:rsidR="003C06A2" w:rsidRPr="003E78A2">
        <w:t xml:space="preserve"> в </w:t>
      </w:r>
      <w:proofErr w:type="spellStart"/>
      <w:r w:rsidR="003C06A2" w:rsidRPr="003E78A2">
        <w:rPr>
          <w:i/>
        </w:rPr>
        <w:t>Devenney</w:t>
      </w:r>
      <w:proofErr w:type="spellEnd"/>
      <w:r w:rsidR="003C06A2" w:rsidRPr="003E78A2">
        <w:t>, цитирано по-горе, където трудовият договор на жалбоподателя е прекратен при издаването на отрицателно удостоверение за сигурност от държавния секретар и той не мо</w:t>
      </w:r>
      <w:r w:rsidR="00994F1B" w:rsidRPr="003E78A2">
        <w:t>гъл</w:t>
      </w:r>
      <w:r w:rsidR="003C06A2" w:rsidRPr="003E78A2">
        <w:t xml:space="preserve"> да получи независим контрол по отношение на основанието за издаване на удостоверението</w:t>
      </w:r>
      <w:r w:rsidR="003C06A2">
        <w:t xml:space="preserve"> или на уволнението, до което това води (вж. </w:t>
      </w:r>
      <w:proofErr w:type="spellStart"/>
      <w:r w:rsidR="003C06A2">
        <w:rPr>
          <w:i/>
        </w:rPr>
        <w:t>Devenney</w:t>
      </w:r>
      <w:proofErr w:type="spellEnd"/>
      <w:r w:rsidR="003C06A2">
        <w:t>, цитирано по-горе, §§ 27-29).</w:t>
      </w:r>
    </w:p>
    <w:p w:rsidR="00546B5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44</w:t>
        </w:r>
      </w:fldSimple>
      <w:r w:rsidR="003C06A2">
        <w:t xml:space="preserve">.  Съдът вече е констатирал в настоящия случай, че съдилищата отказват да проверят </w:t>
      </w:r>
      <w:proofErr w:type="spellStart"/>
      <w:r w:rsidR="003C06A2">
        <w:t>материалноправните</w:t>
      </w:r>
      <w:proofErr w:type="spellEnd"/>
      <w:r w:rsidR="003C06A2">
        <w:t xml:space="preserve"> причини, които са в основата на отказа на </w:t>
      </w:r>
      <w:r w:rsidR="00994F1B">
        <w:t xml:space="preserve">разрешение </w:t>
      </w:r>
      <w:r w:rsidR="003C06A2">
        <w:t xml:space="preserve">за </w:t>
      </w:r>
      <w:r w:rsidR="00994F1B">
        <w:t xml:space="preserve">достъп </w:t>
      </w:r>
      <w:r w:rsidR="003C06A2">
        <w:t>и че неговия окончателен характер има ефекта на предотвратяване на съдебно решаване по същество на оплакванията на жалбоподателката (вж. параграф 40 по-горе). Въпреки това нито решенията на съдилищата в мотивите им, нито Правителството в становището си, което се отнася само до въпроси, свързани с прил</w:t>
      </w:r>
      <w:r w:rsidR="00FC1F83">
        <w:t>ожимостта</w:t>
      </w:r>
      <w:r w:rsidR="003C06A2">
        <w:t xml:space="preserve"> на чл. 6 (вж. параграф 28 по-горе)</w:t>
      </w:r>
      <w:r w:rsidR="00FC1F83">
        <w:t>,</w:t>
      </w:r>
      <w:r w:rsidR="003C06A2">
        <w:t xml:space="preserve"> се опитват да обосноват този отказ </w:t>
      </w:r>
      <w:r w:rsidR="00FC1F83">
        <w:t xml:space="preserve">за </w:t>
      </w:r>
      <w:r w:rsidR="003C06A2">
        <w:t xml:space="preserve">достъп до съд с подходяща компетентност по отношение на неговата пропорционалност към посочената </w:t>
      </w:r>
      <w:r w:rsidR="003C06A2" w:rsidRPr="00FC1F83">
        <w:t>легитимна</w:t>
      </w:r>
      <w:r w:rsidR="003C06A2">
        <w:t xml:space="preserve"> цел </w:t>
      </w:r>
      <w:r w:rsidR="00FC1F83">
        <w:t xml:space="preserve">за </w:t>
      </w:r>
      <w:r w:rsidR="003C06A2">
        <w:t>защита на националната сигурност.</w:t>
      </w:r>
    </w:p>
    <w:p w:rsidR="00546B55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45</w:t>
        </w:r>
      </w:fldSimple>
      <w:r w:rsidR="00F64136">
        <w:t>.  Гореизложените съображения са достатъчни за Съда да заключи, че е налице нарушение на чл. 6 § 1.</w:t>
      </w:r>
    </w:p>
    <w:p w:rsidR="00014566" w:rsidRPr="00262D6B" w:rsidRDefault="0018037E" w:rsidP="00262D6B">
      <w:pPr>
        <w:pStyle w:val="ECHRHeading1"/>
      </w:pPr>
      <w:r>
        <w:t>II.  ПРИЛОЖЕНИЕ НА ЧЛ. 41 ОТ КОНВЕНЦИЯТА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46</w:t>
        </w:r>
      </w:fldSimple>
      <w:r w:rsidR="00F64136">
        <w:t>.  Чл. 41 от Конвенцията гласи:</w:t>
      </w:r>
    </w:p>
    <w:p w:rsidR="00014566" w:rsidRPr="00262D6B" w:rsidRDefault="00014566" w:rsidP="00262D6B">
      <w:pPr>
        <w:pStyle w:val="ECHRParaQuote"/>
        <w:keepNext/>
        <w:keepLines/>
      </w:pPr>
      <w:r>
        <w:lastRenderedPageBreak/>
        <w:t xml:space="preserve">“Ако Съдът установи нарушение на Конвенцията или на  </w:t>
      </w:r>
      <w:r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262D6B" w:rsidRDefault="00014566" w:rsidP="00262D6B">
      <w:pPr>
        <w:pStyle w:val="ECHRHeading2"/>
      </w:pPr>
      <w:r>
        <w:t>А. Обезщетение за вреди</w:t>
      </w:r>
    </w:p>
    <w:p w:rsidR="00966D87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47</w:t>
        </w:r>
      </w:fldSimple>
      <w:r w:rsidR="00F64136">
        <w:t>.  Жалбоподателката претендира 30</w:t>
      </w:r>
      <w:r w:rsidR="00BA7448">
        <w:t xml:space="preserve"> </w:t>
      </w:r>
      <w:r w:rsidR="00F64136">
        <w:t>000 евро неимуществени вреди, претърпени в резултат на факта, че не е могла да получи решение на своите претенции от съд.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48</w:t>
        </w:r>
      </w:fldSimple>
      <w:r w:rsidR="00F64136">
        <w:t>.  Правителството оспорва претенцията на жалбоподателката.</w:t>
      </w:r>
    </w:p>
    <w:p w:rsidR="004916D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49</w:t>
        </w:r>
      </w:fldSimple>
      <w:r w:rsidR="00F64136">
        <w:t xml:space="preserve">.  Съдът констатира, че жалбоподателката е претърпяла неимуществени вреди поради нарушението на чл. 6 § 1 от Конвенцията, констатирано в настоящия случай (вж. </w:t>
      </w:r>
      <w:r w:rsidR="00F64136">
        <w:rPr>
          <w:i/>
        </w:rPr>
        <w:t>И.Д.</w:t>
      </w:r>
      <w:r w:rsidR="00F64136">
        <w:t xml:space="preserve">, и </w:t>
      </w:r>
      <w:proofErr w:type="spellStart"/>
      <w:r w:rsidR="00F64136">
        <w:rPr>
          <w:i/>
        </w:rPr>
        <w:t>Фазлийски</w:t>
      </w:r>
      <w:proofErr w:type="spellEnd"/>
      <w:r w:rsidR="00F64136">
        <w:t>, § 75, и двете цитирани по-горе). Следователно, произнасяйки се по справедливост, Съдът присъжда на жалбоподателката 2</w:t>
      </w:r>
      <w:r w:rsidR="00412742">
        <w:t xml:space="preserve"> </w:t>
      </w:r>
      <w:r w:rsidR="00F64136">
        <w:t>400 евро</w:t>
      </w:r>
      <w:r w:rsidR="00BA7448">
        <w:t>,</w:t>
      </w:r>
      <w:r w:rsidR="00F64136">
        <w:t xml:space="preserve"> плюс</w:t>
      </w:r>
      <w:r w:rsidR="00BA7448">
        <w:t xml:space="preserve"> всякакви</w:t>
      </w:r>
      <w:r w:rsidR="00F64136">
        <w:t xml:space="preserve"> данъци, които могат да бъдат начислени върху тази сума.</w:t>
      </w:r>
    </w:p>
    <w:p w:rsidR="001A0973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50</w:t>
        </w:r>
      </w:fldSimple>
      <w:r w:rsidR="001A0973">
        <w:t xml:space="preserve">.  Освен това трябва да се </w:t>
      </w:r>
      <w:r w:rsidR="00D67D6D">
        <w:t>отбележи</w:t>
      </w:r>
      <w:r w:rsidR="001A0973">
        <w:t xml:space="preserve">, че решение, в което Съдът констатира нарушение на Конвенцията или на протоколите към нея, налага на държавата-ответник правно задължение не само да заплати </w:t>
      </w:r>
      <w:r w:rsidR="00D67D6D" w:rsidRPr="00D67D6D">
        <w:t xml:space="preserve">на заинтересованите лица, отпуснати като справедливо обезщетение </w:t>
      </w:r>
      <w:r w:rsidR="001A0973">
        <w:t>суми, но също така и да избере</w:t>
      </w:r>
      <w:r w:rsidR="00C066D8">
        <w:t>,</w:t>
      </w:r>
      <w:r w:rsidR="001A0973">
        <w:t xml:space="preserve"> под надзора на Комитета на министрите</w:t>
      </w:r>
      <w:r w:rsidR="00C066D8">
        <w:t>,</w:t>
      </w:r>
      <w:r w:rsidR="001A0973">
        <w:t xml:space="preserve"> общите и/или, ако е уместно, индивидуални мерки, които да </w:t>
      </w:r>
      <w:r w:rsidR="00C066D8" w:rsidRPr="00C066D8">
        <w:t>приложи в своя вътрешен правов ре</w:t>
      </w:r>
      <w:r w:rsidR="00C066D8">
        <w:t>д</w:t>
      </w:r>
      <w:r w:rsidR="001A0973">
        <w:t xml:space="preserve">, за да се сложи край на нарушението и за да се обезщетят, доколкото е възможно, неговите </w:t>
      </w:r>
      <w:r w:rsidR="00992578">
        <w:t xml:space="preserve">последици </w:t>
      </w:r>
      <w:r w:rsidR="001A0973">
        <w:t xml:space="preserve">(вж. </w:t>
      </w:r>
      <w:r w:rsidR="001A0973">
        <w:rPr>
          <w:i/>
        </w:rPr>
        <w:t>Станев срещу България</w:t>
      </w:r>
      <w:r w:rsidR="001A0973">
        <w:t xml:space="preserve"> [GC], № 36760/06, § 254, ЕСПЧ 2012 г.). Най-подходящата форма на обезщетение в случаите, когато жалбоподател не е имал достъп до съд в нарушение на чл. 6 § 1 от Конвенцията, като правило</w:t>
      </w:r>
      <w:r w:rsidR="00992578">
        <w:t>,</w:t>
      </w:r>
      <w:r w:rsidR="001A0973">
        <w:t xml:space="preserve"> е своевременно възобновяване на производството и повторно разглеждане на делото в съответствие с всички изисквания на справедливия процес (вж., наред с други решения, </w:t>
      </w:r>
      <w:r w:rsidR="001A0973">
        <w:rPr>
          <w:i/>
        </w:rPr>
        <w:t>Янакиев срещу България</w:t>
      </w:r>
      <w:r w:rsidR="001A0973">
        <w:t xml:space="preserve">, № 40476/98, § 90, 10 август 2006 г., и </w:t>
      </w:r>
      <w:proofErr w:type="spellStart"/>
      <w:r w:rsidR="001A0973">
        <w:rPr>
          <w:i/>
        </w:rPr>
        <w:t>Фазлийски</w:t>
      </w:r>
      <w:proofErr w:type="spellEnd"/>
      <w:r w:rsidR="001A0973">
        <w:t>, цитирано по-горе, § 76).</w:t>
      </w:r>
    </w:p>
    <w:p w:rsidR="00014566" w:rsidRPr="00262D6B" w:rsidRDefault="00014566" w:rsidP="00262D6B">
      <w:pPr>
        <w:pStyle w:val="ECHRHeading2"/>
      </w:pPr>
      <w:r>
        <w:t>Б. Разходи и разноски</w:t>
      </w:r>
    </w:p>
    <w:p w:rsidR="00367D2B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51</w:t>
        </w:r>
      </w:fldSimple>
      <w:r w:rsidR="00F64136">
        <w:t xml:space="preserve">.  Жалбоподателката </w:t>
      </w:r>
      <w:r w:rsidR="00C03594">
        <w:t xml:space="preserve">претендира </w:t>
      </w:r>
      <w:r w:rsidR="00F64136">
        <w:t>възстановяване на 3</w:t>
      </w:r>
      <w:r w:rsidR="00C03594">
        <w:t xml:space="preserve"> </w:t>
      </w:r>
      <w:r w:rsidR="00F64136">
        <w:t>900 евро</w:t>
      </w:r>
      <w:r w:rsidR="00C03594">
        <w:t>, платени</w:t>
      </w:r>
      <w:r w:rsidR="00F64136">
        <w:t xml:space="preserve"> за адвокатски хонорари за производството пред Съда (тридесет часа работа по 130 евро на час), както и 59 евро за пощенски и </w:t>
      </w:r>
      <w:r w:rsidR="00C03594">
        <w:t xml:space="preserve">канцеларски </w:t>
      </w:r>
      <w:r w:rsidR="00F64136">
        <w:t xml:space="preserve">разходи и 75 евро </w:t>
      </w:r>
      <w:r w:rsidR="00C03594">
        <w:t xml:space="preserve">за такса </w:t>
      </w:r>
      <w:r w:rsidR="00F64136">
        <w:t xml:space="preserve">за превод. Тя представя споразумение за хонорар между нея и нейните адвокати,  справка за изработените часове и копия на два фиша за писма, изпратени с препоръчана поща. Жалбоподателката </w:t>
      </w:r>
      <w:r w:rsidR="00293B90">
        <w:t>също моли</w:t>
      </w:r>
      <w:r w:rsidR="00F64136">
        <w:t xml:space="preserve"> всяка сума, присъдена от Съда по тази </w:t>
      </w:r>
      <w:r w:rsidR="00293B90">
        <w:t>точка</w:t>
      </w:r>
      <w:r w:rsidR="00F64136">
        <w:t xml:space="preserve">, да бъде заплатена по банковата сметка </w:t>
      </w:r>
      <w:r w:rsidR="00F64136">
        <w:lastRenderedPageBreak/>
        <w:t xml:space="preserve">на нейните представители г-жа С. Стефанова и г-н М. </w:t>
      </w:r>
      <w:proofErr w:type="spellStart"/>
      <w:r w:rsidR="00F64136">
        <w:t>Екимджиев</w:t>
      </w:r>
      <w:proofErr w:type="spellEnd"/>
      <w:r w:rsidR="00F64136">
        <w:t xml:space="preserve">, </w:t>
      </w:r>
      <w:r w:rsidR="001531FF">
        <w:t xml:space="preserve">без </w:t>
      </w:r>
      <w:r w:rsidR="00F64136">
        <w:t xml:space="preserve">сумата от 500 евро, които тя </w:t>
      </w:r>
      <w:r w:rsidR="001531FF">
        <w:t xml:space="preserve">предварително </w:t>
      </w:r>
      <w:r w:rsidR="00F64136">
        <w:t>им е платила.</w:t>
      </w:r>
    </w:p>
    <w:p w:rsidR="00367D2B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52</w:t>
        </w:r>
      </w:fldSimple>
      <w:r w:rsidR="00367D2B">
        <w:t>.  Правителството оспорва горната претенция.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53</w:t>
        </w:r>
      </w:fldSimple>
      <w:r w:rsidR="00367D2B">
        <w:t>.  С</w:t>
      </w:r>
      <w:r w:rsidR="001531FF">
        <w:t>ъгласно</w:t>
      </w:r>
      <w:r w:rsidR="00367D2B">
        <w:t xml:space="preserve"> </w:t>
      </w:r>
      <w:r w:rsidR="001531FF">
        <w:t xml:space="preserve">съдебната </w:t>
      </w:r>
      <w:r w:rsidR="00367D2B">
        <w:t xml:space="preserve">практика на Съда, жалбоподател има право на възстановяване на разходи и разноски, доколкото </w:t>
      </w:r>
      <w:r w:rsidR="001531FF">
        <w:t>с</w:t>
      </w:r>
      <w:r w:rsidR="00367D2B">
        <w:t xml:space="preserve">е </w:t>
      </w:r>
      <w:r w:rsidR="001531FF">
        <w:t>установи</w:t>
      </w:r>
      <w:r w:rsidR="00367D2B">
        <w:t>, че те са действително и необходимо направени и са разум</w:t>
      </w:r>
      <w:r w:rsidR="001531FF">
        <w:t>ни по</w:t>
      </w:r>
      <w:r w:rsidR="00367D2B">
        <w:t xml:space="preserve"> размер. В настоящия случай, като вз</w:t>
      </w:r>
      <w:r w:rsidR="00E90EE9">
        <w:t>има</w:t>
      </w:r>
      <w:r w:rsidR="00367D2B">
        <w:t xml:space="preserve"> предвид информацията, с която разполага, и горните критерии, Съдът намира за разумно да присъди сумата от 2 000 евро</w:t>
      </w:r>
      <w:r w:rsidR="00E90EE9">
        <w:t>,</w:t>
      </w:r>
      <w:r w:rsidR="00367D2B">
        <w:t xml:space="preserve"> плюс</w:t>
      </w:r>
      <w:r w:rsidR="00E90EE9">
        <w:t xml:space="preserve"> всякакви</w:t>
      </w:r>
      <w:r w:rsidR="00367D2B">
        <w:t xml:space="preserve"> данъци, които могат да бъдат начислени на жалбоподателката, покриващи разходи по всички </w:t>
      </w:r>
      <w:r w:rsidR="00E90EE9">
        <w:t>точки</w:t>
      </w:r>
      <w:r w:rsidR="00367D2B">
        <w:t xml:space="preserve">. 500 евро (петстотин евро) от тази сума </w:t>
      </w:r>
      <w:r w:rsidR="00E90EE9">
        <w:t xml:space="preserve">е </w:t>
      </w:r>
      <w:r w:rsidR="00367D2B">
        <w:t>плат</w:t>
      </w:r>
      <w:r w:rsidR="00E90EE9">
        <w:t>има</w:t>
      </w:r>
      <w:r w:rsidR="00367D2B">
        <w:t xml:space="preserve"> на жалбоподателката, а оставащите 1</w:t>
      </w:r>
      <w:r w:rsidR="00E90EE9">
        <w:t xml:space="preserve"> </w:t>
      </w:r>
      <w:r w:rsidR="00367D2B">
        <w:t xml:space="preserve">500 евро </w:t>
      </w:r>
      <w:r w:rsidR="00E90EE9">
        <w:t>са</w:t>
      </w:r>
      <w:r w:rsidR="00367D2B">
        <w:t xml:space="preserve"> плат</w:t>
      </w:r>
      <w:r w:rsidR="00E90EE9">
        <w:t>ими по</w:t>
      </w:r>
      <w:r w:rsidR="00367D2B">
        <w:t xml:space="preserve"> банковата сметка на представителите на жалбоподателката</w:t>
      </w:r>
      <w:r w:rsidR="00E90EE9">
        <w:t>,</w:t>
      </w:r>
      <w:r w:rsidR="00367D2B">
        <w:t xml:space="preserve"> г-жа С. Стефанова и г-н М. </w:t>
      </w:r>
      <w:proofErr w:type="spellStart"/>
      <w:r w:rsidR="00367D2B">
        <w:t>Екимджиев</w:t>
      </w:r>
      <w:proofErr w:type="spellEnd"/>
      <w:r w:rsidR="00367D2B">
        <w:t>.</w:t>
      </w:r>
    </w:p>
    <w:p w:rsidR="00014566" w:rsidRPr="00262D6B" w:rsidRDefault="00014566" w:rsidP="00262D6B">
      <w:pPr>
        <w:pStyle w:val="ECHRHeading2"/>
      </w:pPr>
      <w:r>
        <w:t>В. Лихва за забава</w:t>
      </w:r>
    </w:p>
    <w:p w:rsidR="00014566" w:rsidRPr="00262D6B" w:rsidRDefault="00A20199" w:rsidP="00262D6B">
      <w:pPr>
        <w:pStyle w:val="ECHRPara"/>
      </w:pPr>
      <w:fldSimple w:instr=" SEQ level0 \*arabic ">
        <w:r w:rsidR="00262D6B" w:rsidRPr="00262D6B">
          <w:rPr>
            <w:noProof/>
          </w:rPr>
          <w:t>54</w:t>
        </w:r>
      </w:fldSimple>
      <w:r w:rsidR="00F64136">
        <w:t xml:space="preserve">.  Съдът </w:t>
      </w:r>
      <w:r w:rsidR="00203C94">
        <w:t xml:space="preserve">намира </w:t>
      </w:r>
      <w:r w:rsidR="00F64136">
        <w:t>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262D6B" w:rsidRDefault="00BB5883" w:rsidP="00262D6B">
      <w:pPr>
        <w:pStyle w:val="ECHRTitle1"/>
      </w:pPr>
      <w:r>
        <w:t>ПО ТЕЗИ СЪОБРАЖЕНИЯ СЪДЪТ ЕДИНОДУШНО</w:t>
      </w:r>
    </w:p>
    <w:p w:rsidR="00B637B9" w:rsidRPr="00262D6B" w:rsidRDefault="00B637B9" w:rsidP="00262D6B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262D6B" w:rsidRDefault="00014566" w:rsidP="00262D6B">
      <w:pPr>
        <w:pStyle w:val="JuList"/>
        <w:ind w:left="0" w:firstLine="0"/>
      </w:pPr>
    </w:p>
    <w:p w:rsidR="00014566" w:rsidRPr="00262D6B" w:rsidRDefault="001A0973" w:rsidP="00262D6B">
      <w:pPr>
        <w:pStyle w:val="JuList"/>
      </w:pPr>
      <w:r>
        <w:t>2.  </w:t>
      </w:r>
      <w:r>
        <w:rPr>
          <w:i/>
        </w:rPr>
        <w:t>Приема</w:t>
      </w:r>
      <w:r>
        <w:t>, че е налице нарушение на чл. 6 § 1 от Конвенцията;</w:t>
      </w:r>
    </w:p>
    <w:p w:rsidR="00014566" w:rsidRPr="00262D6B" w:rsidRDefault="00014566" w:rsidP="00262D6B">
      <w:pPr>
        <w:pStyle w:val="JuList"/>
      </w:pPr>
    </w:p>
    <w:p w:rsidR="00546B55" w:rsidRPr="00262D6B" w:rsidRDefault="001A0973" w:rsidP="00262D6B">
      <w:pPr>
        <w:pStyle w:val="JuList"/>
      </w:pPr>
      <w:r>
        <w:t>3.  </w:t>
      </w:r>
      <w:r>
        <w:rPr>
          <w:i/>
        </w:rPr>
        <w:t>Приема,</w:t>
      </w:r>
    </w:p>
    <w:p w:rsidR="00014566" w:rsidRPr="00262D6B" w:rsidRDefault="00014566" w:rsidP="00262D6B">
      <w:pPr>
        <w:pStyle w:val="JuLista"/>
      </w:pPr>
      <w:r>
        <w:t xml:space="preserve">(а) че държавата-ответник трябва да заплати на жалбоподателката в срок от три месеца от датата, на която решението стане окончателно в съответствие с чл. 44, § 2 от Конвенцията, следните суми, които се </w:t>
      </w:r>
      <w:r w:rsidR="004934CC">
        <w:t xml:space="preserve">конвертират </w:t>
      </w:r>
      <w:r>
        <w:t>в български лева по курса</w:t>
      </w:r>
      <w:r w:rsidR="00203C94">
        <w:t>, валиден</w:t>
      </w:r>
      <w:r>
        <w:t xml:space="preserve"> към датата на плащането:</w:t>
      </w:r>
    </w:p>
    <w:p w:rsidR="00014566" w:rsidRPr="00262D6B" w:rsidRDefault="00014566" w:rsidP="00262D6B">
      <w:pPr>
        <w:pStyle w:val="JuListi"/>
      </w:pPr>
      <w:r>
        <w:t xml:space="preserve">(i) 2 400 евро (две хиляди и четиристотин евро), плюс всякакви данъци, които биха могли да се </w:t>
      </w:r>
      <w:r w:rsidRPr="003765B1">
        <w:t>начислят</w:t>
      </w:r>
      <w:r w:rsidRPr="00070CAF">
        <w:t>, по отношение на</w:t>
      </w:r>
      <w:r>
        <w:t xml:space="preserve"> неимуществени вреди;</w:t>
      </w:r>
    </w:p>
    <w:p w:rsidR="00B701EB" w:rsidRPr="00262D6B" w:rsidRDefault="00014566" w:rsidP="00262D6B">
      <w:pPr>
        <w:pStyle w:val="JuListi"/>
      </w:pPr>
      <w:r>
        <w:t>(ii) 2</w:t>
      </w:r>
      <w:r w:rsidR="00512099">
        <w:t xml:space="preserve"> </w:t>
      </w:r>
      <w:r>
        <w:t>000 евро (две хиляди евро), плюс всякакви данъци, които биха могли да се начислят на жалбоподателката, по отношение на разходи и разноски, като 500 евро (петстотин евро) от посочената сума да бъдат платени на жалбоподателката и 1</w:t>
      </w:r>
      <w:r w:rsidR="00CE4CAF">
        <w:t xml:space="preserve"> </w:t>
      </w:r>
      <w:r>
        <w:t xml:space="preserve">500 евро (хиляда и петстотин евро) да бъдат платени </w:t>
      </w:r>
      <w:r w:rsidR="00CE4CAF">
        <w:t xml:space="preserve">по </w:t>
      </w:r>
      <w:r>
        <w:t xml:space="preserve">банковата </w:t>
      </w:r>
      <w:r>
        <w:lastRenderedPageBreak/>
        <w:t>сметка на представителите на жалбоподателката</w:t>
      </w:r>
      <w:r w:rsidR="00CE4CAF">
        <w:t>,</w:t>
      </w:r>
      <w:r>
        <w:t xml:space="preserve"> г-жа С. Стефанова и г-н М. </w:t>
      </w:r>
      <w:proofErr w:type="spellStart"/>
      <w:r>
        <w:t>Екимджиев</w:t>
      </w:r>
      <w:proofErr w:type="spellEnd"/>
      <w:r>
        <w:t>;</w:t>
      </w:r>
    </w:p>
    <w:p w:rsidR="00014566" w:rsidRPr="00262D6B" w:rsidRDefault="00014566" w:rsidP="00262D6B">
      <w:pPr>
        <w:pStyle w:val="JuLista"/>
        <w:keepNext/>
        <w:keepLines/>
      </w:pPr>
      <w:r>
        <w:t xml:space="preserve">(б) </w:t>
      </w:r>
      <w:r w:rsidR="00C60157" w:rsidRPr="00C60157">
        <w:t>че 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</w:t>
      </w:r>
      <w:r>
        <w:t>;</w:t>
      </w:r>
    </w:p>
    <w:p w:rsidR="00014566" w:rsidRPr="00262D6B" w:rsidRDefault="00014566" w:rsidP="00262D6B">
      <w:pPr>
        <w:pStyle w:val="JuList"/>
      </w:pPr>
    </w:p>
    <w:p w:rsidR="00014566" w:rsidRPr="00262D6B" w:rsidRDefault="005D1F5C" w:rsidP="00262D6B">
      <w:pPr>
        <w:pStyle w:val="JuList"/>
      </w:pPr>
      <w:r>
        <w:t>4.  </w:t>
      </w:r>
      <w:r>
        <w:rPr>
          <w:i/>
        </w:rPr>
        <w:t>Отхвърля</w:t>
      </w:r>
      <w:r>
        <w:t xml:space="preserve"> останалата част от </w:t>
      </w:r>
      <w:r w:rsidR="004D1855">
        <w:t xml:space="preserve">исковете </w:t>
      </w:r>
      <w:r>
        <w:t>на жалбоподателката за справедливо обезщетение.</w:t>
      </w:r>
    </w:p>
    <w:p w:rsidR="00014566" w:rsidRPr="00262D6B" w:rsidRDefault="00014566" w:rsidP="00262D6B">
      <w:pPr>
        <w:pStyle w:val="JuParaLast"/>
      </w:pPr>
      <w:r>
        <w:t xml:space="preserve">Изготвено на английски език и оповестено писмено на 21 юли 2016 г., в съответствие с </w:t>
      </w:r>
      <w:r w:rsidR="004D1855">
        <w:t>правило</w:t>
      </w:r>
      <w:r>
        <w:t xml:space="preserve"> 77 §§ 2 и 3 от Правилника на Съда.</w:t>
      </w:r>
    </w:p>
    <w:p w:rsidR="004D15F3" w:rsidRPr="00262D6B" w:rsidRDefault="00014566" w:rsidP="00262D6B">
      <w:pPr>
        <w:pStyle w:val="JuSigned"/>
        <w:tabs>
          <w:tab w:val="clear" w:pos="851"/>
          <w:tab w:val="center" w:pos="993"/>
        </w:tabs>
      </w:pPr>
      <w:r>
        <w:tab/>
      </w:r>
      <w:proofErr w:type="spellStart"/>
      <w:r>
        <w:t>Клаудия</w:t>
      </w:r>
      <w:proofErr w:type="spellEnd"/>
      <w:r>
        <w:t xml:space="preserve"> </w:t>
      </w:r>
      <w:proofErr w:type="spellStart"/>
      <w:r>
        <w:t>Вестердик</w:t>
      </w:r>
      <w:proofErr w:type="spellEnd"/>
      <w:r>
        <w:t xml:space="preserve"> </w:t>
      </w:r>
      <w:r>
        <w:tab/>
      </w:r>
      <w:proofErr w:type="spellStart"/>
      <w:r>
        <w:t>Ангелика</w:t>
      </w:r>
      <w:proofErr w:type="spellEnd"/>
      <w:r>
        <w:t xml:space="preserve"> </w:t>
      </w:r>
      <w:proofErr w:type="spellStart"/>
      <w:r>
        <w:t>Нусбергер</w:t>
      </w:r>
      <w:proofErr w:type="spellEnd"/>
      <w:r>
        <w:br/>
      </w:r>
      <w:r>
        <w:tab/>
      </w:r>
      <w:r w:rsidR="004D1855">
        <w:t>с</w:t>
      </w:r>
      <w:r>
        <w:t>екретар</w:t>
      </w:r>
      <w:r>
        <w:tab/>
      </w:r>
      <w:r w:rsidR="004D1855">
        <w:t>п</w:t>
      </w:r>
      <w:r>
        <w:t>редседател</w:t>
      </w:r>
    </w:p>
    <w:sectPr w:rsidR="004D15F3" w:rsidRPr="00262D6B" w:rsidSect="00546B55">
      <w:headerReference w:type="even" r:id="rId13"/>
      <w:headerReference w:type="default" r:id="rId14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99" w:rsidRPr="0032676F" w:rsidRDefault="00A20199" w:rsidP="00014566">
      <w:pPr>
        <w:rPr>
          <w:lang w:val="en-GB"/>
        </w:rPr>
      </w:pPr>
      <w:r w:rsidRPr="0032676F">
        <w:rPr>
          <w:lang w:val="en-GB"/>
        </w:rPr>
        <w:separator/>
      </w:r>
    </w:p>
  </w:endnote>
  <w:endnote w:type="continuationSeparator" w:id="0">
    <w:p w:rsidR="00A20199" w:rsidRPr="0032676F" w:rsidRDefault="00A20199" w:rsidP="00014566">
      <w:pPr>
        <w:rPr>
          <w:lang w:val="en-GB"/>
        </w:rPr>
      </w:pPr>
      <w:r w:rsidRPr="0032676F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4B" w:rsidRDefault="00CF2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4B" w:rsidRDefault="00CF2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43" w:rsidRPr="00150BFA" w:rsidRDefault="00740A43" w:rsidP="00740A43">
    <w:pPr>
      <w:jc w:val="center"/>
    </w:pPr>
    <w:r>
      <w:rPr>
        <w:noProof/>
        <w:lang w:val="en-US" w:eastAsia="en-US" w:bidi="ar-SA"/>
      </w:rPr>
      <w:drawing>
        <wp:inline distT="0" distB="0" distL="0" distR="0" wp14:anchorId="15307A79" wp14:editId="7FD7301F">
          <wp:extent cx="771525" cy="619125"/>
          <wp:effectExtent l="0" t="0" r="9525" b="9525"/>
          <wp:docPr id="43" name="Picture 4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A43" w:rsidRDefault="0074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99" w:rsidRPr="0032676F" w:rsidRDefault="00A20199" w:rsidP="00014566">
      <w:pPr>
        <w:rPr>
          <w:lang w:val="en-GB"/>
        </w:rPr>
      </w:pPr>
      <w:r w:rsidRPr="0032676F">
        <w:rPr>
          <w:lang w:val="en-GB"/>
        </w:rPr>
        <w:separator/>
      </w:r>
    </w:p>
  </w:footnote>
  <w:footnote w:type="continuationSeparator" w:id="0">
    <w:p w:rsidR="00A20199" w:rsidRPr="0032676F" w:rsidRDefault="00A20199" w:rsidP="00014566">
      <w:pPr>
        <w:rPr>
          <w:lang w:val="en-GB"/>
        </w:rPr>
      </w:pPr>
      <w:r w:rsidRPr="0032676F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4B" w:rsidRDefault="00CF2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43" w:rsidRPr="0032676F" w:rsidRDefault="00740A43" w:rsidP="00546B55">
    <w:pPr>
      <w:pStyle w:val="ECHR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43" w:rsidRPr="00A45145" w:rsidRDefault="00740A43" w:rsidP="00740A43">
    <w:pPr>
      <w:jc w:val="center"/>
    </w:pPr>
    <w:r>
      <w:rPr>
        <w:noProof/>
        <w:lang w:val="en-US" w:eastAsia="en-US" w:bidi="ar-SA"/>
      </w:rPr>
      <w:drawing>
        <wp:inline distT="0" distB="0" distL="0" distR="0" wp14:anchorId="4C4E2D02" wp14:editId="6E21791F">
          <wp:extent cx="2962275" cy="1219200"/>
          <wp:effectExtent l="0" t="0" r="9525" b="0"/>
          <wp:docPr id="42" name="Picture 4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A43" w:rsidRDefault="00740A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43" w:rsidRPr="0032676F" w:rsidRDefault="00740A43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CF204B">
      <w:rPr>
        <w:rStyle w:val="PageNumber"/>
        <w:noProof/>
        <w:szCs w:val="18"/>
      </w:rPr>
      <w:t>14</w:t>
    </w:r>
    <w:r>
      <w:rPr>
        <w:rStyle w:val="PageNumber"/>
        <w:szCs w:val="18"/>
      </w:rPr>
      <w:fldChar w:fldCharType="end"/>
    </w:r>
    <w:r>
      <w:tab/>
      <w:t xml:space="preserve">РЕШЕНИЕ МИРЯНА ПЕТРОВА </w:t>
    </w:r>
    <w:r w:rsidR="00D34B3A">
      <w:t xml:space="preserve">срещу </w:t>
    </w:r>
    <w:r>
      <w:t>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43" w:rsidRPr="0032676F" w:rsidRDefault="00740A43" w:rsidP="00D60D87">
    <w:pPr>
      <w:pStyle w:val="ECHRHeader"/>
    </w:pPr>
    <w:r>
      <w:tab/>
      <w:t xml:space="preserve">РЕШЕНИЕ МИРЯНА ПЕТРОВА </w:t>
    </w:r>
    <w:r w:rsidR="00D34B3A">
      <w:t xml:space="preserve">срещу </w:t>
    </w:r>
    <w:r>
      <w:t>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CF204B">
      <w:rPr>
        <w:rStyle w:val="PageNumber"/>
        <w:noProof/>
        <w:szCs w:val="18"/>
      </w:rPr>
      <w:t>13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F64136"/>
    <w:rsid w:val="000010ED"/>
    <w:rsid w:val="000041F8"/>
    <w:rsid w:val="000042A8"/>
    <w:rsid w:val="00004308"/>
    <w:rsid w:val="0000559E"/>
    <w:rsid w:val="00005BF0"/>
    <w:rsid w:val="00007154"/>
    <w:rsid w:val="0000768B"/>
    <w:rsid w:val="00007BCF"/>
    <w:rsid w:val="000103AE"/>
    <w:rsid w:val="00011D69"/>
    <w:rsid w:val="00012AD3"/>
    <w:rsid w:val="00014566"/>
    <w:rsid w:val="00014A96"/>
    <w:rsid w:val="00015C2D"/>
    <w:rsid w:val="00015F00"/>
    <w:rsid w:val="00022C1D"/>
    <w:rsid w:val="00022E22"/>
    <w:rsid w:val="00034987"/>
    <w:rsid w:val="00045AF1"/>
    <w:rsid w:val="0005496C"/>
    <w:rsid w:val="00056379"/>
    <w:rsid w:val="000602DF"/>
    <w:rsid w:val="00061B05"/>
    <w:rsid w:val="00061F97"/>
    <w:rsid w:val="00062025"/>
    <w:rsid w:val="00062973"/>
    <w:rsid w:val="00062D5D"/>
    <w:rsid w:val="000632D5"/>
    <w:rsid w:val="000644EE"/>
    <w:rsid w:val="00070CAF"/>
    <w:rsid w:val="00071ABC"/>
    <w:rsid w:val="00076443"/>
    <w:rsid w:val="00081933"/>
    <w:rsid w:val="0008533D"/>
    <w:rsid w:val="000856D7"/>
    <w:rsid w:val="000925AD"/>
    <w:rsid w:val="000A24EB"/>
    <w:rsid w:val="000A6DE9"/>
    <w:rsid w:val="000B53A7"/>
    <w:rsid w:val="000B6923"/>
    <w:rsid w:val="000B6A2C"/>
    <w:rsid w:val="000C033C"/>
    <w:rsid w:val="000C3735"/>
    <w:rsid w:val="000C5F3C"/>
    <w:rsid w:val="000C6DCC"/>
    <w:rsid w:val="000D39A2"/>
    <w:rsid w:val="000D47AA"/>
    <w:rsid w:val="000D62FE"/>
    <w:rsid w:val="000D721F"/>
    <w:rsid w:val="000E069B"/>
    <w:rsid w:val="000E0E82"/>
    <w:rsid w:val="000E0F93"/>
    <w:rsid w:val="000E1DC5"/>
    <w:rsid w:val="000E223F"/>
    <w:rsid w:val="000E35AC"/>
    <w:rsid w:val="000E6762"/>
    <w:rsid w:val="000E7D45"/>
    <w:rsid w:val="000F762B"/>
    <w:rsid w:val="000F7851"/>
    <w:rsid w:val="00104E23"/>
    <w:rsid w:val="00111B0C"/>
    <w:rsid w:val="00120D6C"/>
    <w:rsid w:val="001257EC"/>
    <w:rsid w:val="00132C6A"/>
    <w:rsid w:val="00132E95"/>
    <w:rsid w:val="00133D33"/>
    <w:rsid w:val="00134348"/>
    <w:rsid w:val="00134D64"/>
    <w:rsid w:val="00135044"/>
    <w:rsid w:val="00135A30"/>
    <w:rsid w:val="0013612C"/>
    <w:rsid w:val="00137FF6"/>
    <w:rsid w:val="00141650"/>
    <w:rsid w:val="00147448"/>
    <w:rsid w:val="001531FF"/>
    <w:rsid w:val="00162A12"/>
    <w:rsid w:val="001662EF"/>
    <w:rsid w:val="00166530"/>
    <w:rsid w:val="0018037E"/>
    <w:rsid w:val="0018118B"/>
    <w:rsid w:val="001832BD"/>
    <w:rsid w:val="0018613B"/>
    <w:rsid w:val="001943B5"/>
    <w:rsid w:val="00195134"/>
    <w:rsid w:val="001A0973"/>
    <w:rsid w:val="001A145B"/>
    <w:rsid w:val="001A4ACC"/>
    <w:rsid w:val="001A674C"/>
    <w:rsid w:val="001B266B"/>
    <w:rsid w:val="001B3B24"/>
    <w:rsid w:val="001C0F98"/>
    <w:rsid w:val="001C27D9"/>
    <w:rsid w:val="001C2A42"/>
    <w:rsid w:val="001C3AEF"/>
    <w:rsid w:val="001C3B4E"/>
    <w:rsid w:val="001C4D66"/>
    <w:rsid w:val="001D30FA"/>
    <w:rsid w:val="001D63ED"/>
    <w:rsid w:val="001D706E"/>
    <w:rsid w:val="001D7348"/>
    <w:rsid w:val="001E035B"/>
    <w:rsid w:val="001E0961"/>
    <w:rsid w:val="001E3EAE"/>
    <w:rsid w:val="001E5348"/>
    <w:rsid w:val="001E6F32"/>
    <w:rsid w:val="001F2145"/>
    <w:rsid w:val="001F5672"/>
    <w:rsid w:val="001F6262"/>
    <w:rsid w:val="001F67B0"/>
    <w:rsid w:val="001F7B3D"/>
    <w:rsid w:val="00203C94"/>
    <w:rsid w:val="00205138"/>
    <w:rsid w:val="00205F9F"/>
    <w:rsid w:val="00210338"/>
    <w:rsid w:val="002115FC"/>
    <w:rsid w:val="002133F8"/>
    <w:rsid w:val="0021423C"/>
    <w:rsid w:val="00230D00"/>
    <w:rsid w:val="00231DF7"/>
    <w:rsid w:val="00231FD1"/>
    <w:rsid w:val="00233768"/>
    <w:rsid w:val="002339E0"/>
    <w:rsid w:val="00233CF8"/>
    <w:rsid w:val="0023575D"/>
    <w:rsid w:val="00237148"/>
    <w:rsid w:val="00241402"/>
    <w:rsid w:val="0024222D"/>
    <w:rsid w:val="002445CC"/>
    <w:rsid w:val="00244B0E"/>
    <w:rsid w:val="00244F6C"/>
    <w:rsid w:val="002532C5"/>
    <w:rsid w:val="002560DD"/>
    <w:rsid w:val="00260C03"/>
    <w:rsid w:val="00261E68"/>
    <w:rsid w:val="00262D6B"/>
    <w:rsid w:val="0026540E"/>
    <w:rsid w:val="00271EA7"/>
    <w:rsid w:val="0027225C"/>
    <w:rsid w:val="0027405D"/>
    <w:rsid w:val="00275123"/>
    <w:rsid w:val="00282240"/>
    <w:rsid w:val="00284415"/>
    <w:rsid w:val="0028572A"/>
    <w:rsid w:val="00293B90"/>
    <w:rsid w:val="002948AD"/>
    <w:rsid w:val="00294C05"/>
    <w:rsid w:val="00294C92"/>
    <w:rsid w:val="002A01CC"/>
    <w:rsid w:val="002A61B1"/>
    <w:rsid w:val="002A663C"/>
    <w:rsid w:val="002A74CD"/>
    <w:rsid w:val="002B1E6C"/>
    <w:rsid w:val="002B3BA2"/>
    <w:rsid w:val="002B444B"/>
    <w:rsid w:val="002B5887"/>
    <w:rsid w:val="002B5E90"/>
    <w:rsid w:val="002C0692"/>
    <w:rsid w:val="002C0E27"/>
    <w:rsid w:val="002C0E45"/>
    <w:rsid w:val="002C3040"/>
    <w:rsid w:val="002C5124"/>
    <w:rsid w:val="002D022D"/>
    <w:rsid w:val="002D24BB"/>
    <w:rsid w:val="002F2AF7"/>
    <w:rsid w:val="002F7E1C"/>
    <w:rsid w:val="003012FD"/>
    <w:rsid w:val="00301A75"/>
    <w:rsid w:val="003028D2"/>
    <w:rsid w:val="00302F70"/>
    <w:rsid w:val="0030336F"/>
    <w:rsid w:val="0030375E"/>
    <w:rsid w:val="00312A30"/>
    <w:rsid w:val="00317863"/>
    <w:rsid w:val="00320F72"/>
    <w:rsid w:val="0032426B"/>
    <w:rsid w:val="0032463E"/>
    <w:rsid w:val="00326224"/>
    <w:rsid w:val="0032676F"/>
    <w:rsid w:val="00337EE4"/>
    <w:rsid w:val="00340FFD"/>
    <w:rsid w:val="00341897"/>
    <w:rsid w:val="003506B1"/>
    <w:rsid w:val="00354B28"/>
    <w:rsid w:val="0035689E"/>
    <w:rsid w:val="00356AC7"/>
    <w:rsid w:val="003609FA"/>
    <w:rsid w:val="00367D2B"/>
    <w:rsid w:val="003710C8"/>
    <w:rsid w:val="00374163"/>
    <w:rsid w:val="003750BE"/>
    <w:rsid w:val="0037510E"/>
    <w:rsid w:val="003765B1"/>
    <w:rsid w:val="003858B2"/>
    <w:rsid w:val="00387A00"/>
    <w:rsid w:val="00387B9D"/>
    <w:rsid w:val="0039364F"/>
    <w:rsid w:val="00396686"/>
    <w:rsid w:val="0039778E"/>
    <w:rsid w:val="003A0030"/>
    <w:rsid w:val="003A4DEA"/>
    <w:rsid w:val="003A5FEB"/>
    <w:rsid w:val="003B4941"/>
    <w:rsid w:val="003C06A2"/>
    <w:rsid w:val="003C5714"/>
    <w:rsid w:val="003C6B9F"/>
    <w:rsid w:val="003C6E2A"/>
    <w:rsid w:val="003D0299"/>
    <w:rsid w:val="003D28EB"/>
    <w:rsid w:val="003E6D80"/>
    <w:rsid w:val="003E78A2"/>
    <w:rsid w:val="003E7F51"/>
    <w:rsid w:val="003F04EE"/>
    <w:rsid w:val="003F05FA"/>
    <w:rsid w:val="003F0EE2"/>
    <w:rsid w:val="003F244A"/>
    <w:rsid w:val="003F30B8"/>
    <w:rsid w:val="003F4C45"/>
    <w:rsid w:val="003F5F7B"/>
    <w:rsid w:val="003F79EB"/>
    <w:rsid w:val="003F7D64"/>
    <w:rsid w:val="004005A4"/>
    <w:rsid w:val="00410790"/>
    <w:rsid w:val="00412742"/>
    <w:rsid w:val="00414300"/>
    <w:rsid w:val="00415F44"/>
    <w:rsid w:val="00425C67"/>
    <w:rsid w:val="00426690"/>
    <w:rsid w:val="00427E7A"/>
    <w:rsid w:val="00433A1A"/>
    <w:rsid w:val="00433BBA"/>
    <w:rsid w:val="00436307"/>
    <w:rsid w:val="00436C49"/>
    <w:rsid w:val="00445366"/>
    <w:rsid w:val="00447F5B"/>
    <w:rsid w:val="00461DB0"/>
    <w:rsid w:val="00463926"/>
    <w:rsid w:val="00463CBA"/>
    <w:rsid w:val="004646E0"/>
    <w:rsid w:val="00464C9A"/>
    <w:rsid w:val="0047129B"/>
    <w:rsid w:val="00471EFE"/>
    <w:rsid w:val="00474F3D"/>
    <w:rsid w:val="00477E3A"/>
    <w:rsid w:val="00481F11"/>
    <w:rsid w:val="00483E5F"/>
    <w:rsid w:val="00485FF9"/>
    <w:rsid w:val="004907F0"/>
    <w:rsid w:val="0049140B"/>
    <w:rsid w:val="004916D6"/>
    <w:rsid w:val="004923A5"/>
    <w:rsid w:val="004934CC"/>
    <w:rsid w:val="00496422"/>
    <w:rsid w:val="00496B9B"/>
    <w:rsid w:val="00496BFB"/>
    <w:rsid w:val="004A15C7"/>
    <w:rsid w:val="004B013B"/>
    <w:rsid w:val="004B112B"/>
    <w:rsid w:val="004B1600"/>
    <w:rsid w:val="004C01E4"/>
    <w:rsid w:val="004C086C"/>
    <w:rsid w:val="004C1F56"/>
    <w:rsid w:val="004C27BC"/>
    <w:rsid w:val="004C4C06"/>
    <w:rsid w:val="004D02E1"/>
    <w:rsid w:val="004D15F3"/>
    <w:rsid w:val="004D1855"/>
    <w:rsid w:val="004D1FF9"/>
    <w:rsid w:val="004D2D7B"/>
    <w:rsid w:val="004D5311"/>
    <w:rsid w:val="004D5773"/>
    <w:rsid w:val="004D5DCC"/>
    <w:rsid w:val="004D7BA6"/>
    <w:rsid w:val="004F10AF"/>
    <w:rsid w:val="004F11A4"/>
    <w:rsid w:val="004F2389"/>
    <w:rsid w:val="004F2AB9"/>
    <w:rsid w:val="004F304D"/>
    <w:rsid w:val="004F61BE"/>
    <w:rsid w:val="004F66B1"/>
    <w:rsid w:val="00511C07"/>
    <w:rsid w:val="00512099"/>
    <w:rsid w:val="00513C84"/>
    <w:rsid w:val="005173A6"/>
    <w:rsid w:val="00520BAA"/>
    <w:rsid w:val="00522BB2"/>
    <w:rsid w:val="00525208"/>
    <w:rsid w:val="00525729"/>
    <w:rsid w:val="005257A5"/>
    <w:rsid w:val="005264C0"/>
    <w:rsid w:val="00526A8A"/>
    <w:rsid w:val="00531DF2"/>
    <w:rsid w:val="00532469"/>
    <w:rsid w:val="0053501D"/>
    <w:rsid w:val="005401EB"/>
    <w:rsid w:val="005442EE"/>
    <w:rsid w:val="00546B55"/>
    <w:rsid w:val="00547353"/>
    <w:rsid w:val="005474E7"/>
    <w:rsid w:val="005512A3"/>
    <w:rsid w:val="00553C87"/>
    <w:rsid w:val="00555C06"/>
    <w:rsid w:val="005578CE"/>
    <w:rsid w:val="0056124F"/>
    <w:rsid w:val="00562781"/>
    <w:rsid w:val="00563E83"/>
    <w:rsid w:val="00570005"/>
    <w:rsid w:val="005716B9"/>
    <w:rsid w:val="0057271C"/>
    <w:rsid w:val="00572845"/>
    <w:rsid w:val="00573390"/>
    <w:rsid w:val="00592772"/>
    <w:rsid w:val="00592F4A"/>
    <w:rsid w:val="00593D3C"/>
    <w:rsid w:val="0059574A"/>
    <w:rsid w:val="005A1B1C"/>
    <w:rsid w:val="005A1B9B"/>
    <w:rsid w:val="005A3D1F"/>
    <w:rsid w:val="005A6751"/>
    <w:rsid w:val="005B092E"/>
    <w:rsid w:val="005B152C"/>
    <w:rsid w:val="005B1EE0"/>
    <w:rsid w:val="005B2B24"/>
    <w:rsid w:val="005B4425"/>
    <w:rsid w:val="005B4B94"/>
    <w:rsid w:val="005B4C4D"/>
    <w:rsid w:val="005B4E93"/>
    <w:rsid w:val="005C3EE8"/>
    <w:rsid w:val="005C426C"/>
    <w:rsid w:val="005D1F5C"/>
    <w:rsid w:val="005D280A"/>
    <w:rsid w:val="005D2D5F"/>
    <w:rsid w:val="005D34F9"/>
    <w:rsid w:val="005D4190"/>
    <w:rsid w:val="005D5CB3"/>
    <w:rsid w:val="005D67A3"/>
    <w:rsid w:val="005E2988"/>
    <w:rsid w:val="005E2A43"/>
    <w:rsid w:val="005E3085"/>
    <w:rsid w:val="005E438A"/>
    <w:rsid w:val="005F214F"/>
    <w:rsid w:val="005F22E9"/>
    <w:rsid w:val="005F51E1"/>
    <w:rsid w:val="0060034A"/>
    <w:rsid w:val="006042D0"/>
    <w:rsid w:val="00611C80"/>
    <w:rsid w:val="006200B6"/>
    <w:rsid w:val="00620692"/>
    <w:rsid w:val="006242CA"/>
    <w:rsid w:val="00627507"/>
    <w:rsid w:val="00631E27"/>
    <w:rsid w:val="00633717"/>
    <w:rsid w:val="006344E1"/>
    <w:rsid w:val="0064772B"/>
    <w:rsid w:val="00650047"/>
    <w:rsid w:val="006545C4"/>
    <w:rsid w:val="00655E14"/>
    <w:rsid w:val="00661971"/>
    <w:rsid w:val="00661CE8"/>
    <w:rsid w:val="006623D9"/>
    <w:rsid w:val="0066550C"/>
    <w:rsid w:val="006716F2"/>
    <w:rsid w:val="00682BF2"/>
    <w:rsid w:val="006859CE"/>
    <w:rsid w:val="00691270"/>
    <w:rsid w:val="00694BA8"/>
    <w:rsid w:val="00695DF3"/>
    <w:rsid w:val="006A02CB"/>
    <w:rsid w:val="006A037C"/>
    <w:rsid w:val="006A2BDB"/>
    <w:rsid w:val="006A36F4"/>
    <w:rsid w:val="006A406F"/>
    <w:rsid w:val="006A5D3A"/>
    <w:rsid w:val="006A7BF3"/>
    <w:rsid w:val="006B7763"/>
    <w:rsid w:val="006C23D4"/>
    <w:rsid w:val="006C5A6C"/>
    <w:rsid w:val="006C7BB0"/>
    <w:rsid w:val="006D0E3D"/>
    <w:rsid w:val="006D3237"/>
    <w:rsid w:val="006E2E37"/>
    <w:rsid w:val="006E3CF1"/>
    <w:rsid w:val="006E7E80"/>
    <w:rsid w:val="006F1DF9"/>
    <w:rsid w:val="006F24DB"/>
    <w:rsid w:val="006F3FFB"/>
    <w:rsid w:val="006F48CA"/>
    <w:rsid w:val="006F64DD"/>
    <w:rsid w:val="0070380F"/>
    <w:rsid w:val="00707785"/>
    <w:rsid w:val="00710C4E"/>
    <w:rsid w:val="00715127"/>
    <w:rsid w:val="00715C87"/>
    <w:rsid w:val="00715E8E"/>
    <w:rsid w:val="00721140"/>
    <w:rsid w:val="00723580"/>
    <w:rsid w:val="00723755"/>
    <w:rsid w:val="0073136C"/>
    <w:rsid w:val="00731F0F"/>
    <w:rsid w:val="00733250"/>
    <w:rsid w:val="00734943"/>
    <w:rsid w:val="007361D9"/>
    <w:rsid w:val="007378DD"/>
    <w:rsid w:val="00740A43"/>
    <w:rsid w:val="00741404"/>
    <w:rsid w:val="007449E5"/>
    <w:rsid w:val="00746C5A"/>
    <w:rsid w:val="00747FF0"/>
    <w:rsid w:val="00761A8E"/>
    <w:rsid w:val="00764D4E"/>
    <w:rsid w:val="00765A1F"/>
    <w:rsid w:val="00765FBD"/>
    <w:rsid w:val="007722BF"/>
    <w:rsid w:val="00775B6D"/>
    <w:rsid w:val="00776D68"/>
    <w:rsid w:val="00782114"/>
    <w:rsid w:val="00783DBC"/>
    <w:rsid w:val="007850EE"/>
    <w:rsid w:val="00785B95"/>
    <w:rsid w:val="00790E96"/>
    <w:rsid w:val="00793366"/>
    <w:rsid w:val="007A0388"/>
    <w:rsid w:val="007A0ED1"/>
    <w:rsid w:val="007A2308"/>
    <w:rsid w:val="007A3392"/>
    <w:rsid w:val="007A716F"/>
    <w:rsid w:val="007B270A"/>
    <w:rsid w:val="007C0695"/>
    <w:rsid w:val="007C419A"/>
    <w:rsid w:val="007C4CC8"/>
    <w:rsid w:val="007C5426"/>
    <w:rsid w:val="007C54D9"/>
    <w:rsid w:val="007C5798"/>
    <w:rsid w:val="007D4832"/>
    <w:rsid w:val="007E21B2"/>
    <w:rsid w:val="007E2C4E"/>
    <w:rsid w:val="007E2F4F"/>
    <w:rsid w:val="007F1905"/>
    <w:rsid w:val="007F4750"/>
    <w:rsid w:val="00801300"/>
    <w:rsid w:val="00802B94"/>
    <w:rsid w:val="00802C64"/>
    <w:rsid w:val="0080563C"/>
    <w:rsid w:val="00805E52"/>
    <w:rsid w:val="008061D0"/>
    <w:rsid w:val="00810B38"/>
    <w:rsid w:val="008204C7"/>
    <w:rsid w:val="00820992"/>
    <w:rsid w:val="00823602"/>
    <w:rsid w:val="008239FD"/>
    <w:rsid w:val="00824A78"/>
    <w:rsid w:val="008255F5"/>
    <w:rsid w:val="00825A43"/>
    <w:rsid w:val="0083014E"/>
    <w:rsid w:val="0083214A"/>
    <w:rsid w:val="00833EC2"/>
    <w:rsid w:val="00834220"/>
    <w:rsid w:val="008345B0"/>
    <w:rsid w:val="008368FF"/>
    <w:rsid w:val="00845723"/>
    <w:rsid w:val="0085018C"/>
    <w:rsid w:val="008507C7"/>
    <w:rsid w:val="00850E40"/>
    <w:rsid w:val="00851EF9"/>
    <w:rsid w:val="00853A83"/>
    <w:rsid w:val="008577FD"/>
    <w:rsid w:val="00860B03"/>
    <w:rsid w:val="00864708"/>
    <w:rsid w:val="0086497A"/>
    <w:rsid w:val="008713A1"/>
    <w:rsid w:val="00872CF0"/>
    <w:rsid w:val="00873C14"/>
    <w:rsid w:val="008749D1"/>
    <w:rsid w:val="008750FA"/>
    <w:rsid w:val="00875318"/>
    <w:rsid w:val="008754AB"/>
    <w:rsid w:val="0088050F"/>
    <w:rsid w:val="0088060C"/>
    <w:rsid w:val="00880D3A"/>
    <w:rsid w:val="008921B2"/>
    <w:rsid w:val="00893576"/>
    <w:rsid w:val="00893E73"/>
    <w:rsid w:val="008A3D78"/>
    <w:rsid w:val="008A43C4"/>
    <w:rsid w:val="008A68BB"/>
    <w:rsid w:val="008A724B"/>
    <w:rsid w:val="008B02DC"/>
    <w:rsid w:val="008B57CE"/>
    <w:rsid w:val="008B659F"/>
    <w:rsid w:val="008C26DE"/>
    <w:rsid w:val="008D2225"/>
    <w:rsid w:val="008D4752"/>
    <w:rsid w:val="008D552A"/>
    <w:rsid w:val="008D7781"/>
    <w:rsid w:val="008E2076"/>
    <w:rsid w:val="008E271C"/>
    <w:rsid w:val="008E418E"/>
    <w:rsid w:val="008E5BC6"/>
    <w:rsid w:val="008E6A25"/>
    <w:rsid w:val="008F0541"/>
    <w:rsid w:val="008F32CF"/>
    <w:rsid w:val="008F5193"/>
    <w:rsid w:val="009013A7"/>
    <w:rsid w:val="009017FB"/>
    <w:rsid w:val="009017FC"/>
    <w:rsid w:val="009026F6"/>
    <w:rsid w:val="00903B43"/>
    <w:rsid w:val="0090506B"/>
    <w:rsid w:val="009050C9"/>
    <w:rsid w:val="009066FC"/>
    <w:rsid w:val="00910852"/>
    <w:rsid w:val="00911CF8"/>
    <w:rsid w:val="00912759"/>
    <w:rsid w:val="009140A3"/>
    <w:rsid w:val="009144A2"/>
    <w:rsid w:val="0091510C"/>
    <w:rsid w:val="0091576D"/>
    <w:rsid w:val="009172B9"/>
    <w:rsid w:val="00924B7E"/>
    <w:rsid w:val="009259AC"/>
    <w:rsid w:val="00926F38"/>
    <w:rsid w:val="00934301"/>
    <w:rsid w:val="00936CD1"/>
    <w:rsid w:val="00941747"/>
    <w:rsid w:val="00941EFB"/>
    <w:rsid w:val="00947AFB"/>
    <w:rsid w:val="009509A2"/>
    <w:rsid w:val="00951D7D"/>
    <w:rsid w:val="00952C12"/>
    <w:rsid w:val="009630C7"/>
    <w:rsid w:val="00966D87"/>
    <w:rsid w:val="00971534"/>
    <w:rsid w:val="00972B55"/>
    <w:rsid w:val="00973C96"/>
    <w:rsid w:val="009743B7"/>
    <w:rsid w:val="00981050"/>
    <w:rsid w:val="0098228B"/>
    <w:rsid w:val="0098235F"/>
    <w:rsid w:val="009828DA"/>
    <w:rsid w:val="00983633"/>
    <w:rsid w:val="00985BAB"/>
    <w:rsid w:val="00992578"/>
    <w:rsid w:val="00994F1B"/>
    <w:rsid w:val="00997F03"/>
    <w:rsid w:val="009A46DF"/>
    <w:rsid w:val="009B1B5F"/>
    <w:rsid w:val="009B2721"/>
    <w:rsid w:val="009B2874"/>
    <w:rsid w:val="009B2EC2"/>
    <w:rsid w:val="009B5152"/>
    <w:rsid w:val="009B6673"/>
    <w:rsid w:val="009C191B"/>
    <w:rsid w:val="009C2BD6"/>
    <w:rsid w:val="009D386A"/>
    <w:rsid w:val="009E1F32"/>
    <w:rsid w:val="009E2A4C"/>
    <w:rsid w:val="009E5829"/>
    <w:rsid w:val="009E776C"/>
    <w:rsid w:val="009F483A"/>
    <w:rsid w:val="00A023F9"/>
    <w:rsid w:val="00A046D6"/>
    <w:rsid w:val="00A04FB6"/>
    <w:rsid w:val="00A07172"/>
    <w:rsid w:val="00A11DAA"/>
    <w:rsid w:val="00A14715"/>
    <w:rsid w:val="00A1726E"/>
    <w:rsid w:val="00A20199"/>
    <w:rsid w:val="00A204CF"/>
    <w:rsid w:val="00A23D49"/>
    <w:rsid w:val="00A25031"/>
    <w:rsid w:val="00A27004"/>
    <w:rsid w:val="00A27F6A"/>
    <w:rsid w:val="00A30C29"/>
    <w:rsid w:val="00A34DD6"/>
    <w:rsid w:val="00A36819"/>
    <w:rsid w:val="00A36989"/>
    <w:rsid w:val="00A43628"/>
    <w:rsid w:val="00A54192"/>
    <w:rsid w:val="00A6035E"/>
    <w:rsid w:val="00A6144C"/>
    <w:rsid w:val="00A66617"/>
    <w:rsid w:val="00A671F8"/>
    <w:rsid w:val="00A673A4"/>
    <w:rsid w:val="00A724AE"/>
    <w:rsid w:val="00A72DF0"/>
    <w:rsid w:val="00A73329"/>
    <w:rsid w:val="00A76A89"/>
    <w:rsid w:val="00A7742B"/>
    <w:rsid w:val="00A816AA"/>
    <w:rsid w:val="00A82359"/>
    <w:rsid w:val="00A8620C"/>
    <w:rsid w:val="00A865D2"/>
    <w:rsid w:val="00A94100"/>
    <w:rsid w:val="00A94C20"/>
    <w:rsid w:val="00A96ED6"/>
    <w:rsid w:val="00AA227F"/>
    <w:rsid w:val="00AA3BC7"/>
    <w:rsid w:val="00AA754A"/>
    <w:rsid w:val="00AB099E"/>
    <w:rsid w:val="00AB1B90"/>
    <w:rsid w:val="00AB4328"/>
    <w:rsid w:val="00AB5FA0"/>
    <w:rsid w:val="00AC3C0F"/>
    <w:rsid w:val="00AE0A2E"/>
    <w:rsid w:val="00AE354C"/>
    <w:rsid w:val="00AE4A31"/>
    <w:rsid w:val="00AF3556"/>
    <w:rsid w:val="00AF4B07"/>
    <w:rsid w:val="00AF6186"/>
    <w:rsid w:val="00AF7A3A"/>
    <w:rsid w:val="00B11404"/>
    <w:rsid w:val="00B13873"/>
    <w:rsid w:val="00B160DB"/>
    <w:rsid w:val="00B20836"/>
    <w:rsid w:val="00B235BB"/>
    <w:rsid w:val="00B23CE3"/>
    <w:rsid w:val="00B27011"/>
    <w:rsid w:val="00B27A44"/>
    <w:rsid w:val="00B30BBF"/>
    <w:rsid w:val="00B33C03"/>
    <w:rsid w:val="00B44E56"/>
    <w:rsid w:val="00B46543"/>
    <w:rsid w:val="00B47D33"/>
    <w:rsid w:val="00B52BE0"/>
    <w:rsid w:val="00B53A45"/>
    <w:rsid w:val="00B54133"/>
    <w:rsid w:val="00B5489B"/>
    <w:rsid w:val="00B5630D"/>
    <w:rsid w:val="00B57B8E"/>
    <w:rsid w:val="00B637B9"/>
    <w:rsid w:val="00B65A67"/>
    <w:rsid w:val="00B701EB"/>
    <w:rsid w:val="00B701ED"/>
    <w:rsid w:val="00B7168F"/>
    <w:rsid w:val="00B8086C"/>
    <w:rsid w:val="00B861B4"/>
    <w:rsid w:val="00B86DFE"/>
    <w:rsid w:val="00B90990"/>
    <w:rsid w:val="00B922FF"/>
    <w:rsid w:val="00B9281E"/>
    <w:rsid w:val="00B93925"/>
    <w:rsid w:val="00B947BD"/>
    <w:rsid w:val="00B95187"/>
    <w:rsid w:val="00BA2D55"/>
    <w:rsid w:val="00BA71B1"/>
    <w:rsid w:val="00BA7448"/>
    <w:rsid w:val="00BA791D"/>
    <w:rsid w:val="00BB0637"/>
    <w:rsid w:val="00BB345F"/>
    <w:rsid w:val="00BB5539"/>
    <w:rsid w:val="00BB5883"/>
    <w:rsid w:val="00BB68EA"/>
    <w:rsid w:val="00BC1C27"/>
    <w:rsid w:val="00BC67A5"/>
    <w:rsid w:val="00BC6BBF"/>
    <w:rsid w:val="00BD1572"/>
    <w:rsid w:val="00BD3DAB"/>
    <w:rsid w:val="00BD4CDB"/>
    <w:rsid w:val="00BE14E3"/>
    <w:rsid w:val="00BE3774"/>
    <w:rsid w:val="00BE41E5"/>
    <w:rsid w:val="00BF0BBB"/>
    <w:rsid w:val="00BF4109"/>
    <w:rsid w:val="00BF4CC3"/>
    <w:rsid w:val="00C03594"/>
    <w:rsid w:val="00C054C7"/>
    <w:rsid w:val="00C057B5"/>
    <w:rsid w:val="00C066D8"/>
    <w:rsid w:val="00C1111C"/>
    <w:rsid w:val="00C17575"/>
    <w:rsid w:val="00C21D8B"/>
    <w:rsid w:val="00C22687"/>
    <w:rsid w:val="00C32E4D"/>
    <w:rsid w:val="00C33237"/>
    <w:rsid w:val="00C333A0"/>
    <w:rsid w:val="00C3665F"/>
    <w:rsid w:val="00C36A81"/>
    <w:rsid w:val="00C41974"/>
    <w:rsid w:val="00C419C8"/>
    <w:rsid w:val="00C44109"/>
    <w:rsid w:val="00C447AD"/>
    <w:rsid w:val="00C53418"/>
    <w:rsid w:val="00C53F4A"/>
    <w:rsid w:val="00C54125"/>
    <w:rsid w:val="00C55B54"/>
    <w:rsid w:val="00C60157"/>
    <w:rsid w:val="00C6098E"/>
    <w:rsid w:val="00C6152C"/>
    <w:rsid w:val="00C621C2"/>
    <w:rsid w:val="00C73730"/>
    <w:rsid w:val="00C74810"/>
    <w:rsid w:val="00C84720"/>
    <w:rsid w:val="00C90D68"/>
    <w:rsid w:val="00C939FE"/>
    <w:rsid w:val="00CA0934"/>
    <w:rsid w:val="00CA4BDA"/>
    <w:rsid w:val="00CA6AAE"/>
    <w:rsid w:val="00CB1F66"/>
    <w:rsid w:val="00CB1FCD"/>
    <w:rsid w:val="00CB2951"/>
    <w:rsid w:val="00CC3D7A"/>
    <w:rsid w:val="00CD2752"/>
    <w:rsid w:val="00CD282B"/>
    <w:rsid w:val="00CD4C35"/>
    <w:rsid w:val="00CD7369"/>
    <w:rsid w:val="00CE0B0E"/>
    <w:rsid w:val="00CE3831"/>
    <w:rsid w:val="00CE4CAF"/>
    <w:rsid w:val="00CE67DA"/>
    <w:rsid w:val="00CF204B"/>
    <w:rsid w:val="00D00ABB"/>
    <w:rsid w:val="00D02EEC"/>
    <w:rsid w:val="00D03551"/>
    <w:rsid w:val="00D03560"/>
    <w:rsid w:val="00D04D16"/>
    <w:rsid w:val="00D06A63"/>
    <w:rsid w:val="00D07E0E"/>
    <w:rsid w:val="00D11478"/>
    <w:rsid w:val="00D14106"/>
    <w:rsid w:val="00D15ED0"/>
    <w:rsid w:val="00D21B3E"/>
    <w:rsid w:val="00D21FED"/>
    <w:rsid w:val="00D24251"/>
    <w:rsid w:val="00D27325"/>
    <w:rsid w:val="00D32A99"/>
    <w:rsid w:val="00D33019"/>
    <w:rsid w:val="00D343E2"/>
    <w:rsid w:val="00D34B3A"/>
    <w:rsid w:val="00D361A2"/>
    <w:rsid w:val="00D40B5E"/>
    <w:rsid w:val="00D42791"/>
    <w:rsid w:val="00D44C2E"/>
    <w:rsid w:val="00D45414"/>
    <w:rsid w:val="00D53C0F"/>
    <w:rsid w:val="00D566BD"/>
    <w:rsid w:val="00D57A4D"/>
    <w:rsid w:val="00D60AA7"/>
    <w:rsid w:val="00D60D87"/>
    <w:rsid w:val="00D6435F"/>
    <w:rsid w:val="00D67D6D"/>
    <w:rsid w:val="00D75E28"/>
    <w:rsid w:val="00D772C2"/>
    <w:rsid w:val="00D8008E"/>
    <w:rsid w:val="00D82C45"/>
    <w:rsid w:val="00D835EA"/>
    <w:rsid w:val="00D908A8"/>
    <w:rsid w:val="00D93055"/>
    <w:rsid w:val="00D934BA"/>
    <w:rsid w:val="00D977B6"/>
    <w:rsid w:val="00DA1104"/>
    <w:rsid w:val="00DA4A31"/>
    <w:rsid w:val="00DA5643"/>
    <w:rsid w:val="00DA61F2"/>
    <w:rsid w:val="00DA7B04"/>
    <w:rsid w:val="00DB36C2"/>
    <w:rsid w:val="00DB7196"/>
    <w:rsid w:val="00DB7FB6"/>
    <w:rsid w:val="00DC169B"/>
    <w:rsid w:val="00DC2AB9"/>
    <w:rsid w:val="00DC63F0"/>
    <w:rsid w:val="00DD2AA6"/>
    <w:rsid w:val="00DD4B06"/>
    <w:rsid w:val="00DD6EE5"/>
    <w:rsid w:val="00DE02A8"/>
    <w:rsid w:val="00DE09A5"/>
    <w:rsid w:val="00DE1B8E"/>
    <w:rsid w:val="00DE386C"/>
    <w:rsid w:val="00DE4D35"/>
    <w:rsid w:val="00DF0549"/>
    <w:rsid w:val="00DF098B"/>
    <w:rsid w:val="00DF11C4"/>
    <w:rsid w:val="00DF210C"/>
    <w:rsid w:val="00DF4B6A"/>
    <w:rsid w:val="00E00956"/>
    <w:rsid w:val="00E02C09"/>
    <w:rsid w:val="00E04D59"/>
    <w:rsid w:val="00E04FC4"/>
    <w:rsid w:val="00E07DA1"/>
    <w:rsid w:val="00E123CB"/>
    <w:rsid w:val="00E1557C"/>
    <w:rsid w:val="00E20E13"/>
    <w:rsid w:val="00E21DBC"/>
    <w:rsid w:val="00E233D3"/>
    <w:rsid w:val="00E257F7"/>
    <w:rsid w:val="00E275D7"/>
    <w:rsid w:val="00E27DBE"/>
    <w:rsid w:val="00E32AB1"/>
    <w:rsid w:val="00E3401E"/>
    <w:rsid w:val="00E36C71"/>
    <w:rsid w:val="00E40404"/>
    <w:rsid w:val="00E41AB3"/>
    <w:rsid w:val="00E459C6"/>
    <w:rsid w:val="00E47589"/>
    <w:rsid w:val="00E64915"/>
    <w:rsid w:val="00E64FFF"/>
    <w:rsid w:val="00E661D4"/>
    <w:rsid w:val="00E6680F"/>
    <w:rsid w:val="00E70091"/>
    <w:rsid w:val="00E720F5"/>
    <w:rsid w:val="00E76D47"/>
    <w:rsid w:val="00E8129B"/>
    <w:rsid w:val="00E849F7"/>
    <w:rsid w:val="00E90302"/>
    <w:rsid w:val="00E90EE9"/>
    <w:rsid w:val="00E9597F"/>
    <w:rsid w:val="00E97396"/>
    <w:rsid w:val="00EA185E"/>
    <w:rsid w:val="00EA592A"/>
    <w:rsid w:val="00EB14E4"/>
    <w:rsid w:val="00EB32A5"/>
    <w:rsid w:val="00EB34ED"/>
    <w:rsid w:val="00EB48FF"/>
    <w:rsid w:val="00EB6AAC"/>
    <w:rsid w:val="00EB7BE0"/>
    <w:rsid w:val="00EC07A7"/>
    <w:rsid w:val="00EC315E"/>
    <w:rsid w:val="00EC451A"/>
    <w:rsid w:val="00ED077C"/>
    <w:rsid w:val="00ED1135"/>
    <w:rsid w:val="00ED1190"/>
    <w:rsid w:val="00ED3B20"/>
    <w:rsid w:val="00ED6544"/>
    <w:rsid w:val="00EE0277"/>
    <w:rsid w:val="00EE1DA9"/>
    <w:rsid w:val="00EE3E00"/>
    <w:rsid w:val="00EE5DD2"/>
    <w:rsid w:val="00EF232C"/>
    <w:rsid w:val="00EF313E"/>
    <w:rsid w:val="00EF41F1"/>
    <w:rsid w:val="00EF4F08"/>
    <w:rsid w:val="00EF7F8C"/>
    <w:rsid w:val="00F00A79"/>
    <w:rsid w:val="00F00E86"/>
    <w:rsid w:val="00F00F8B"/>
    <w:rsid w:val="00F02AD4"/>
    <w:rsid w:val="00F030B7"/>
    <w:rsid w:val="00F07C1E"/>
    <w:rsid w:val="00F105DB"/>
    <w:rsid w:val="00F132BC"/>
    <w:rsid w:val="00F13D80"/>
    <w:rsid w:val="00F16AAA"/>
    <w:rsid w:val="00F21161"/>
    <w:rsid w:val="00F218EF"/>
    <w:rsid w:val="00F21BC7"/>
    <w:rsid w:val="00F24BBC"/>
    <w:rsid w:val="00F25AB7"/>
    <w:rsid w:val="00F266A2"/>
    <w:rsid w:val="00F30AF1"/>
    <w:rsid w:val="00F321FF"/>
    <w:rsid w:val="00F32269"/>
    <w:rsid w:val="00F40823"/>
    <w:rsid w:val="00F4313F"/>
    <w:rsid w:val="00F4457E"/>
    <w:rsid w:val="00F55CE8"/>
    <w:rsid w:val="00F56A6F"/>
    <w:rsid w:val="00F5709C"/>
    <w:rsid w:val="00F638B8"/>
    <w:rsid w:val="00F64136"/>
    <w:rsid w:val="00F6466F"/>
    <w:rsid w:val="00F64EF1"/>
    <w:rsid w:val="00F8765F"/>
    <w:rsid w:val="00F90767"/>
    <w:rsid w:val="00F908B4"/>
    <w:rsid w:val="00F97CFB"/>
    <w:rsid w:val="00FA685B"/>
    <w:rsid w:val="00FB0C01"/>
    <w:rsid w:val="00FB177E"/>
    <w:rsid w:val="00FC18F2"/>
    <w:rsid w:val="00FC1F83"/>
    <w:rsid w:val="00FC39E5"/>
    <w:rsid w:val="00FC3A78"/>
    <w:rsid w:val="00FC42E0"/>
    <w:rsid w:val="00FC5FFE"/>
    <w:rsid w:val="00FD1005"/>
    <w:rsid w:val="00FD2173"/>
    <w:rsid w:val="00FD2503"/>
    <w:rsid w:val="00FD3180"/>
    <w:rsid w:val="00FD3935"/>
    <w:rsid w:val="00FD3C4F"/>
    <w:rsid w:val="00FD5850"/>
    <w:rsid w:val="00FD6C75"/>
    <w:rsid w:val="00FE57F8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32E95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32E9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32E9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32E9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32E9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32E9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32E9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32E9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32E9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32E9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95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132E95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32E9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132E95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132E95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132E95"/>
  </w:style>
  <w:style w:type="character" w:customStyle="1" w:styleId="NoSpacingChar">
    <w:name w:val="No Spacing Char"/>
    <w:basedOn w:val="DefaultParagraphFont"/>
    <w:link w:val="NoSpacing"/>
    <w:semiHidden/>
    <w:rsid w:val="00132E95"/>
    <w:rPr>
      <w:rFonts w:eastAsiaTheme="minorEastAsia"/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32E9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132E95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semiHidden/>
    <w:qFormat/>
    <w:rsid w:val="00132E95"/>
  </w:style>
  <w:style w:type="paragraph" w:customStyle="1" w:styleId="JuParaSub">
    <w:name w:val="Ju_Para_Sub"/>
    <w:basedOn w:val="ECHRPara"/>
    <w:uiPriority w:val="13"/>
    <w:qFormat/>
    <w:rsid w:val="00132E95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32E95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32E95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semiHidden/>
    <w:qFormat/>
    <w:rsid w:val="00132E95"/>
  </w:style>
  <w:style w:type="paragraph" w:customStyle="1" w:styleId="OpiQuot">
    <w:name w:val="Opi_Quot"/>
    <w:basedOn w:val="ECHRParaQuote"/>
    <w:uiPriority w:val="48"/>
    <w:semiHidden/>
    <w:qFormat/>
    <w:rsid w:val="00132E95"/>
  </w:style>
  <w:style w:type="paragraph" w:customStyle="1" w:styleId="OpiQuotSub">
    <w:name w:val="Opi_Quot_Sub"/>
    <w:basedOn w:val="JuQuotSub"/>
    <w:uiPriority w:val="49"/>
    <w:semiHidden/>
    <w:qFormat/>
    <w:rsid w:val="00132E95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132E95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qFormat/>
    <w:rsid w:val="00132E95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132E9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32E95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32E9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32E9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32E9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32E9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32E95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132E95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132E95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132E95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132E9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132E95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32E95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32E9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32E95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32E95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132E95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132E95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32E95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32E95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32E95"/>
    <w:rPr>
      <w:rFonts w:asciiTheme="majorHAnsi" w:eastAsiaTheme="majorEastAsia" w:hAnsiTheme="majorHAnsi" w:cstheme="majorBidi"/>
      <w:b/>
      <w:bCs/>
      <w:color w:val="808080"/>
      <w:sz w:val="24"/>
    </w:rPr>
  </w:style>
  <w:style w:type="character" w:styleId="SubtleEmphasis">
    <w:name w:val="Subtle Emphasis"/>
    <w:uiPriority w:val="99"/>
    <w:semiHidden/>
    <w:qFormat/>
    <w:rsid w:val="00132E95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32E95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132E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132E95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132E95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132E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32E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E95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32E9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32E95"/>
    <w:rPr>
      <w:rFonts w:asciiTheme="majorHAnsi" w:eastAsiaTheme="majorEastAsia" w:hAnsiTheme="majorHAnsi" w:cstheme="majorBidi"/>
      <w:i/>
      <w:iCs/>
      <w:sz w:val="24"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32E95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32E95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132E95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132E9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32E9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32E95"/>
    <w:rPr>
      <w:rFonts w:eastAsiaTheme="minorEastAsia"/>
      <w:b/>
      <w:bCs/>
      <w:i/>
      <w:iCs/>
      <w:sz w:val="24"/>
      <w:lang w:bidi="bg-BG"/>
    </w:rPr>
  </w:style>
  <w:style w:type="character" w:styleId="IntenseReference">
    <w:name w:val="Intense Reference"/>
    <w:uiPriority w:val="99"/>
    <w:semiHidden/>
    <w:qFormat/>
    <w:rsid w:val="00132E95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132E95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132E9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32E95"/>
    <w:rPr>
      <w:rFonts w:eastAsiaTheme="minorEastAsia"/>
      <w:i/>
      <w:iCs/>
      <w:sz w:val="24"/>
      <w:lang w:bidi="bg-BG"/>
    </w:rPr>
  </w:style>
  <w:style w:type="character" w:styleId="SubtleReference">
    <w:name w:val="Subtle Reference"/>
    <w:uiPriority w:val="99"/>
    <w:semiHidden/>
    <w:qFormat/>
    <w:rsid w:val="00132E95"/>
    <w:rPr>
      <w:smallCaps/>
    </w:rPr>
  </w:style>
  <w:style w:type="table" w:styleId="TableGrid">
    <w:name w:val="Table Grid"/>
    <w:basedOn w:val="TableNormal"/>
    <w:uiPriority w:val="59"/>
    <w:rsid w:val="00132E9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132E95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132E95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132E95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132E95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132E95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132E95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132E95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132E95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32E95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32E95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132E95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132E95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132E95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132E95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132E95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132E95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32E95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132E95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qFormat/>
    <w:rsid w:val="00132E95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32E9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32E95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1456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132E9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DecList">
    <w:name w:val="Dec_List"/>
    <w:basedOn w:val="Normal"/>
    <w:uiPriority w:val="9"/>
    <w:qFormat/>
    <w:rsid w:val="00132E95"/>
    <w:pPr>
      <w:spacing w:before="240"/>
      <w:ind w:left="284"/>
    </w:pPr>
  </w:style>
  <w:style w:type="paragraph" w:customStyle="1" w:styleId="OpiH1">
    <w:name w:val="Opi_H_1"/>
    <w:basedOn w:val="ECHRHeading2"/>
    <w:uiPriority w:val="42"/>
    <w:semiHidden/>
    <w:qFormat/>
    <w:rsid w:val="00132E95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132E95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132E95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132E95"/>
    <w:rPr>
      <w:color w:val="00B050"/>
    </w:rPr>
  </w:style>
  <w:style w:type="character" w:customStyle="1" w:styleId="ECHRParaChar">
    <w:name w:val="ECHR_Para Char"/>
    <w:aliases w:val="Ju_Para Char"/>
    <w:link w:val="ECHRPara"/>
    <w:uiPriority w:val="12"/>
    <w:rsid w:val="00EF7F8C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2017-01-23T09:16:00Z</dcterms:created>
  <dcterms:modified xsi:type="dcterms:W3CDTF">2017-01-23T09:16:00Z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