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D6" w:rsidRPr="00880770" w:rsidRDefault="00C168D6" w:rsidP="00FF46F4">
      <w:pPr>
        <w:jc w:val="center"/>
        <w:rPr>
          <w:b/>
          <w:lang w:val="en-US"/>
        </w:rPr>
      </w:pPr>
      <w:bookmarkStart w:id="0" w:name="_GoBack"/>
      <w:bookmarkEnd w:id="0"/>
    </w:p>
    <w:p w:rsidR="008C3B4F" w:rsidRPr="00FF46F4" w:rsidRDefault="008C3B4F" w:rsidP="00FF46F4">
      <w:pPr>
        <w:jc w:val="center"/>
        <w:rPr>
          <w:b/>
        </w:rPr>
      </w:pPr>
    </w:p>
    <w:p w:rsidR="00C168D6" w:rsidRPr="00FF46F4" w:rsidRDefault="00C168D6" w:rsidP="00FF46F4">
      <w:pPr>
        <w:jc w:val="center"/>
        <w:rPr>
          <w:b/>
        </w:rPr>
      </w:pPr>
    </w:p>
    <w:p w:rsidR="00014566" w:rsidRPr="00FF46F4" w:rsidRDefault="001B0DDC" w:rsidP="00FF46F4">
      <w:pPr>
        <w:jc w:val="center"/>
      </w:pPr>
      <w:r>
        <w:t>ПЕТО ОТДЕЛЕНИЕ</w:t>
      </w:r>
    </w:p>
    <w:p w:rsidR="00C168D6" w:rsidRPr="00FF46F4" w:rsidRDefault="00C168D6" w:rsidP="00FF46F4">
      <w:pPr>
        <w:jc w:val="center"/>
        <w:rPr>
          <w:b/>
        </w:rPr>
      </w:pPr>
      <w:bookmarkStart w:id="1" w:name="To"/>
    </w:p>
    <w:p w:rsidR="008C3B4F" w:rsidRPr="00FF46F4" w:rsidRDefault="008C3B4F" w:rsidP="00FF46F4">
      <w:pPr>
        <w:jc w:val="center"/>
        <w:rPr>
          <w:b/>
        </w:rPr>
      </w:pPr>
    </w:p>
    <w:p w:rsidR="008C3B4F" w:rsidRPr="00FF46F4" w:rsidRDefault="008C3B4F" w:rsidP="00FF46F4">
      <w:pPr>
        <w:jc w:val="center"/>
        <w:rPr>
          <w:b/>
        </w:rPr>
      </w:pPr>
    </w:p>
    <w:p w:rsidR="00C168D6" w:rsidRPr="00FF46F4" w:rsidRDefault="00C168D6" w:rsidP="00FF46F4">
      <w:pPr>
        <w:jc w:val="center"/>
        <w:rPr>
          <w:b/>
        </w:rPr>
      </w:pPr>
    </w:p>
    <w:p w:rsidR="00C168D6" w:rsidRPr="00FF46F4" w:rsidRDefault="00C168D6" w:rsidP="00FF46F4">
      <w:pPr>
        <w:jc w:val="center"/>
        <w:rPr>
          <w:b/>
        </w:rPr>
      </w:pPr>
    </w:p>
    <w:p w:rsidR="00C168D6" w:rsidRPr="00FF46F4" w:rsidRDefault="00C168D6" w:rsidP="00FF46F4">
      <w:pPr>
        <w:jc w:val="center"/>
        <w:rPr>
          <w:b/>
        </w:rPr>
      </w:pPr>
    </w:p>
    <w:p w:rsidR="00014566" w:rsidRPr="00FF46F4" w:rsidRDefault="00014566" w:rsidP="00FF46F4">
      <w:pPr>
        <w:jc w:val="center"/>
        <w:rPr>
          <w:b/>
        </w:rPr>
      </w:pPr>
      <w:r>
        <w:rPr>
          <w:b/>
        </w:rPr>
        <w:t xml:space="preserve">ДЕЛО </w:t>
      </w:r>
      <w:bookmarkEnd w:id="1"/>
      <w:r>
        <w:rPr>
          <w:b/>
        </w:rPr>
        <w:t>МИХАЙЛОВ СРЕЩУ БЪЛГАРИЯ</w:t>
      </w:r>
    </w:p>
    <w:p w:rsidR="00D737B7" w:rsidRPr="00FF46F4" w:rsidRDefault="00D737B7" w:rsidP="00FF46F4">
      <w:pPr>
        <w:jc w:val="center"/>
        <w:rPr>
          <w:i/>
        </w:rPr>
      </w:pPr>
    </w:p>
    <w:p w:rsidR="00014566" w:rsidRPr="00FF46F4" w:rsidRDefault="00014566" w:rsidP="00FF46F4">
      <w:pPr>
        <w:jc w:val="center"/>
        <w:rPr>
          <w:i/>
        </w:rPr>
      </w:pPr>
      <w:r>
        <w:rPr>
          <w:i/>
        </w:rPr>
        <w:t>(Жалба № 50371/09)</w:t>
      </w:r>
    </w:p>
    <w:p w:rsidR="00014566" w:rsidRPr="00FF46F4" w:rsidRDefault="00014566" w:rsidP="00FF46F4">
      <w:pPr>
        <w:jc w:val="center"/>
      </w:pPr>
    </w:p>
    <w:p w:rsidR="00CB7742" w:rsidRPr="00FF46F4" w:rsidRDefault="00CB7742" w:rsidP="00FF46F4">
      <w:pPr>
        <w:jc w:val="center"/>
      </w:pPr>
    </w:p>
    <w:p w:rsidR="00CB7742" w:rsidRPr="00FF46F4" w:rsidRDefault="00CB7742" w:rsidP="00FF46F4">
      <w:pPr>
        <w:jc w:val="center"/>
      </w:pPr>
    </w:p>
    <w:p w:rsidR="00CB7742" w:rsidRPr="00FF46F4" w:rsidRDefault="00CB7742" w:rsidP="00FF46F4">
      <w:pPr>
        <w:jc w:val="center"/>
      </w:pPr>
    </w:p>
    <w:p w:rsidR="00CB7742" w:rsidRPr="00FF46F4" w:rsidRDefault="00CB7742" w:rsidP="00FF46F4">
      <w:pPr>
        <w:jc w:val="center"/>
      </w:pPr>
    </w:p>
    <w:p w:rsidR="00CB7742" w:rsidRPr="00FF46F4" w:rsidRDefault="00CB7742" w:rsidP="00FF46F4">
      <w:pPr>
        <w:jc w:val="center"/>
      </w:pPr>
    </w:p>
    <w:p w:rsidR="00FF46F4" w:rsidRPr="00FF46F4" w:rsidRDefault="00FF46F4" w:rsidP="00FF46F4">
      <w:pPr>
        <w:jc w:val="center"/>
      </w:pPr>
    </w:p>
    <w:p w:rsidR="00FF46F4" w:rsidRPr="00FF46F4" w:rsidRDefault="00FF46F4" w:rsidP="00FF46F4">
      <w:pPr>
        <w:jc w:val="center"/>
      </w:pPr>
    </w:p>
    <w:p w:rsidR="00FF46F4" w:rsidRPr="00FF46F4" w:rsidRDefault="00FF46F4" w:rsidP="00FF46F4">
      <w:pPr>
        <w:jc w:val="center"/>
      </w:pPr>
    </w:p>
    <w:p w:rsidR="00FF46F4" w:rsidRPr="00FF46F4" w:rsidRDefault="00FF46F4" w:rsidP="00FF46F4">
      <w:pPr>
        <w:jc w:val="center"/>
      </w:pPr>
    </w:p>
    <w:p w:rsidR="00FF46F4" w:rsidRPr="00FF46F4" w:rsidRDefault="00FF46F4" w:rsidP="00FF46F4">
      <w:pPr>
        <w:jc w:val="center"/>
      </w:pPr>
    </w:p>
    <w:p w:rsidR="00CB7742" w:rsidRPr="00FF46F4" w:rsidRDefault="00CB7742" w:rsidP="00FF46F4">
      <w:pPr>
        <w:jc w:val="center"/>
      </w:pPr>
    </w:p>
    <w:p w:rsidR="00CB7742" w:rsidRPr="00FF46F4" w:rsidRDefault="00CB7742" w:rsidP="00FF46F4">
      <w:pPr>
        <w:jc w:val="center"/>
      </w:pPr>
    </w:p>
    <w:p w:rsidR="00014566" w:rsidRPr="00FF46F4" w:rsidRDefault="00C168D6" w:rsidP="00FF46F4">
      <w:pPr>
        <w:jc w:val="center"/>
        <w:rPr>
          <w:szCs w:val="24"/>
        </w:rPr>
      </w:pPr>
      <w:r>
        <w:t>РЕШЕНИЕ</w:t>
      </w:r>
    </w:p>
    <w:p w:rsidR="00014566" w:rsidRPr="00FF46F4" w:rsidRDefault="00014566" w:rsidP="00FF46F4">
      <w:pPr>
        <w:jc w:val="center"/>
        <w:rPr>
          <w:szCs w:val="24"/>
        </w:rPr>
      </w:pPr>
    </w:p>
    <w:p w:rsidR="008C3B4F" w:rsidRPr="00FF46F4" w:rsidRDefault="008C3B4F" w:rsidP="00FF46F4">
      <w:pPr>
        <w:jc w:val="center"/>
        <w:rPr>
          <w:szCs w:val="24"/>
        </w:rPr>
      </w:pPr>
    </w:p>
    <w:p w:rsidR="008C3B4F" w:rsidRPr="00FF46F4" w:rsidRDefault="008C3B4F" w:rsidP="00FF46F4">
      <w:pPr>
        <w:jc w:val="center"/>
        <w:rPr>
          <w:szCs w:val="24"/>
        </w:rPr>
      </w:pPr>
    </w:p>
    <w:p w:rsidR="00C168D6" w:rsidRPr="00FF46F4" w:rsidRDefault="00C168D6" w:rsidP="00FF46F4">
      <w:pPr>
        <w:jc w:val="center"/>
        <w:rPr>
          <w:sz w:val="22"/>
        </w:rPr>
      </w:pPr>
    </w:p>
    <w:p w:rsidR="00C168D6" w:rsidRPr="00FF46F4" w:rsidRDefault="00C168D6" w:rsidP="00FF46F4">
      <w:pPr>
        <w:jc w:val="center"/>
        <w:rPr>
          <w:sz w:val="22"/>
        </w:rPr>
      </w:pPr>
      <w:r>
        <w:rPr>
          <w:sz w:val="22"/>
        </w:rPr>
        <w:t>СТРАСБУРГ</w:t>
      </w:r>
    </w:p>
    <w:p w:rsidR="00C168D6" w:rsidRPr="00FF46F4" w:rsidRDefault="00C168D6" w:rsidP="00FF46F4">
      <w:pPr>
        <w:jc w:val="center"/>
        <w:rPr>
          <w:sz w:val="22"/>
        </w:rPr>
      </w:pPr>
    </w:p>
    <w:p w:rsidR="00C168D6" w:rsidRPr="00FF46F4" w:rsidRDefault="00C168D6" w:rsidP="00FF46F4">
      <w:pPr>
        <w:jc w:val="center"/>
        <w:rPr>
          <w:sz w:val="22"/>
        </w:rPr>
      </w:pPr>
      <w:r>
        <w:rPr>
          <w:sz w:val="22"/>
        </w:rPr>
        <w:t>13 октомври 2016 г.</w:t>
      </w:r>
    </w:p>
    <w:p w:rsidR="00C168D6" w:rsidRPr="00FF46F4" w:rsidRDefault="00C168D6" w:rsidP="00FF46F4">
      <w:pPr>
        <w:jc w:val="center"/>
        <w:rPr>
          <w:sz w:val="22"/>
        </w:rPr>
      </w:pPr>
    </w:p>
    <w:p w:rsidR="00C168D6" w:rsidRPr="00FF46F4" w:rsidRDefault="00C168D6" w:rsidP="00FF46F4">
      <w:pPr>
        <w:jc w:val="center"/>
        <w:rPr>
          <w:sz w:val="22"/>
        </w:rPr>
      </w:pPr>
    </w:p>
    <w:p w:rsidR="008C3B4F" w:rsidRPr="00FF46F4" w:rsidRDefault="008C3B4F" w:rsidP="00FF46F4">
      <w:pPr>
        <w:jc w:val="center"/>
        <w:rPr>
          <w:sz w:val="22"/>
        </w:rPr>
      </w:pPr>
    </w:p>
    <w:p w:rsidR="005B589B" w:rsidRPr="00FF46F4" w:rsidRDefault="00C168D6" w:rsidP="00FF46F4">
      <w:r>
        <w:rPr>
          <w:i/>
          <w:sz w:val="22"/>
        </w:rPr>
        <w:t>Настоящото решение е окончателно, но може да бъде предмет на редакционни промени.</w:t>
      </w:r>
    </w:p>
    <w:p w:rsidR="00C168D6" w:rsidRPr="00FF46F4" w:rsidRDefault="00C168D6" w:rsidP="00FF46F4">
      <w:pPr>
        <w:pStyle w:val="JuCase"/>
        <w:sectPr w:rsidR="00C168D6" w:rsidRPr="00FF46F4" w:rsidSect="00C168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FF46F4" w:rsidRDefault="00014566" w:rsidP="00FF46F4">
      <w:pPr>
        <w:pStyle w:val="JuCase"/>
        <w:rPr>
          <w:bCs/>
        </w:rPr>
      </w:pPr>
      <w:r>
        <w:lastRenderedPageBreak/>
        <w:t>По делото Михайлов срещу България,</w:t>
      </w:r>
    </w:p>
    <w:p w:rsidR="00014566" w:rsidRPr="00FF46F4" w:rsidRDefault="00014566" w:rsidP="00FF46F4">
      <w:pPr>
        <w:pStyle w:val="ECHRPara"/>
      </w:pPr>
      <w:r>
        <w:t>Европейският съд по правата на човека (Пето отделение), заседаващ като комитет</w:t>
      </w:r>
      <w:r w:rsidR="00426FFC" w:rsidRPr="00620AED">
        <w:t xml:space="preserve"> в състав</w:t>
      </w:r>
      <w:r>
        <w:t>:</w:t>
      </w:r>
    </w:p>
    <w:p w:rsidR="00014566" w:rsidRPr="00FF46F4" w:rsidRDefault="008C3B4F" w:rsidP="00FF46F4">
      <w:pPr>
        <w:pStyle w:val="ECHRDecisionBody"/>
      </w:pPr>
      <w:r>
        <w:tab/>
      </w:r>
      <w:proofErr w:type="spellStart"/>
      <w:r w:rsidR="004852BD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</w:r>
      <w:proofErr w:type="spellStart"/>
      <w:r>
        <w:t>Фарис</w:t>
      </w:r>
      <w:proofErr w:type="spellEnd"/>
      <w:r>
        <w:t xml:space="preserve"> </w:t>
      </w:r>
      <w:proofErr w:type="spellStart"/>
      <w:r>
        <w:t>Вехабович</w:t>
      </w:r>
      <w:proofErr w:type="spellEnd"/>
      <w:r>
        <w:t xml:space="preserve"> (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Vehabović</w:t>
      </w:r>
      <w:proofErr w:type="spellEnd"/>
      <w:r>
        <w:t>),</w:t>
      </w:r>
      <w:r>
        <w:rPr>
          <w:i/>
        </w:rPr>
        <w:br/>
      </w:r>
      <w:r>
        <w:tab/>
        <w:t xml:space="preserve">Карло </w:t>
      </w:r>
      <w:proofErr w:type="spellStart"/>
      <w:r>
        <w:t>Ранцони</w:t>
      </w:r>
      <w:proofErr w:type="spellEnd"/>
      <w:r>
        <w:t xml:space="preserve"> (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Ranzoni</w:t>
      </w:r>
      <w:proofErr w:type="spellEnd"/>
      <w:r>
        <w:t>),</w:t>
      </w:r>
      <w:r>
        <w:rPr>
          <w:i/>
        </w:rPr>
        <w:t xml:space="preserve"> съдии,</w:t>
      </w:r>
      <w:r>
        <w:br/>
        <w:t xml:space="preserve">и Милан </w:t>
      </w:r>
      <w:proofErr w:type="spellStart"/>
      <w:r>
        <w:t>Бла</w:t>
      </w:r>
      <w:r w:rsidR="004852BD">
        <w:t>с</w:t>
      </w:r>
      <w:r>
        <w:t>ко</w:t>
      </w:r>
      <w:proofErr w:type="spellEnd"/>
      <w:r>
        <w:t xml:space="preserve"> 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 xml:space="preserve">), </w:t>
      </w:r>
      <w:r>
        <w:rPr>
          <w:i/>
        </w:rPr>
        <w:t>заместник-секретар на отделението,</w:t>
      </w:r>
    </w:p>
    <w:p w:rsidR="00014566" w:rsidRPr="00FF46F4" w:rsidRDefault="00014566" w:rsidP="00FF46F4">
      <w:pPr>
        <w:pStyle w:val="ECHRPara"/>
      </w:pPr>
      <w:r>
        <w:t>След закрито заседание, проведено на 20 септември 2016 г.,</w:t>
      </w:r>
    </w:p>
    <w:p w:rsidR="00014566" w:rsidRPr="00FF46F4" w:rsidRDefault="00014566" w:rsidP="00FF46F4">
      <w:pPr>
        <w:pStyle w:val="ECHRPara"/>
      </w:pPr>
      <w:r>
        <w:t xml:space="preserve">Постановява следното решение, прието на </w:t>
      </w:r>
      <w:r w:rsidR="004852BD">
        <w:t xml:space="preserve">същата </w:t>
      </w:r>
      <w:r>
        <w:t>дата:</w:t>
      </w:r>
    </w:p>
    <w:p w:rsidR="00014566" w:rsidRPr="00FF46F4" w:rsidRDefault="00014566" w:rsidP="00FF46F4">
      <w:pPr>
        <w:pStyle w:val="ECHRTitle1"/>
      </w:pPr>
      <w:r>
        <w:t>ПРОЦЕДУРА</w:t>
      </w:r>
    </w:p>
    <w:p w:rsidR="001B0DDC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</w:t>
        </w:r>
      </w:fldSimple>
      <w:r w:rsidR="001B0DDC">
        <w:t>.  Делото е образувано по жалба (№ 50371/09) срещу Република България, подадена в Съда на основание чл. 34 от Конвенцията за защита на правата на човека и основните свободи (”Конвенцията”) от български граждани, г-н Кръстю Василев Михайлов (”жалбоподателя”), на 29 април 2009 г.</w:t>
      </w:r>
    </w:p>
    <w:p w:rsidR="002A22BF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</w:t>
        </w:r>
      </w:fldSimple>
      <w:r w:rsidR="002A22BF">
        <w:t xml:space="preserve">.  Жалбоподателят умира на 18 ноември 2013 г. и неговите наследници, съпругата му Калинка Василева Михайлова и синът му Васил Кръстев Михайлов, изразяват желание да </w:t>
      </w:r>
      <w:r w:rsidR="004852BD">
        <w:t xml:space="preserve">поддържат </w:t>
      </w:r>
      <w:r w:rsidR="002A22BF">
        <w:t xml:space="preserve">жалбата </w:t>
      </w:r>
      <w:r w:rsidR="004852BD">
        <w:t xml:space="preserve">от </w:t>
      </w:r>
      <w:r w:rsidR="002A22BF">
        <w:t xml:space="preserve">негово </w:t>
      </w:r>
      <w:r w:rsidR="004852BD">
        <w:t>име</w:t>
      </w:r>
      <w:r w:rsidR="002A22BF">
        <w:t>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3</w:t>
        </w:r>
      </w:fldSimple>
      <w:r w:rsidR="001B0DDC">
        <w:t>.  Жалбоподателят се представлява от г-жа С. Стефанова и г-н А. Атанасов, адвокати, практикуващи в Пловдив. След смъртта на жалбоподателя, г-жа Стефанова представлява</w:t>
      </w:r>
      <w:r w:rsidR="006423E7" w:rsidRPr="00620AED">
        <w:t xml:space="preserve"> </w:t>
      </w:r>
      <w:r w:rsidR="006423E7">
        <w:t>и</w:t>
      </w:r>
      <w:r w:rsidR="001B0DDC">
        <w:t xml:space="preserve"> неговите наследници. Българското правителство („Правителството”) се представлява от правителствения агент г-жа Й. Стоянова от Министерство на правосъдието.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4</w:t>
        </w:r>
      </w:fldSimple>
      <w:r w:rsidR="001B0DDC">
        <w:t xml:space="preserve">.  На 10 януари 2014 г. </w:t>
      </w:r>
      <w:r w:rsidR="006B0B28">
        <w:t xml:space="preserve">Правителството е уведомено за </w:t>
      </w:r>
      <w:r w:rsidR="001B0DDC">
        <w:t>жалбата</w:t>
      </w:r>
      <w:r w:rsidR="006B0B28">
        <w:t>.</w:t>
      </w:r>
    </w:p>
    <w:p w:rsidR="00014566" w:rsidRPr="00FF46F4" w:rsidRDefault="00014566" w:rsidP="00FF46F4">
      <w:pPr>
        <w:pStyle w:val="ECHRTitle1"/>
      </w:pPr>
      <w:r>
        <w:t>ФАКТИТЕ</w:t>
      </w:r>
    </w:p>
    <w:p w:rsidR="00014566" w:rsidRPr="00FF46F4" w:rsidRDefault="00014566" w:rsidP="00FF46F4">
      <w:pPr>
        <w:pStyle w:val="ECHRHeading1"/>
      </w:pPr>
      <w:r>
        <w:t>I.  ОБСТОЯТЕЛСТВАТА НА ДЕЛОТО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5</w:t>
        </w:r>
      </w:fldSimple>
      <w:r w:rsidR="001B0DDC">
        <w:t>.  Жалбоподателят е роден през 1927 г.</w:t>
      </w:r>
    </w:p>
    <w:p w:rsidR="002A22BF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6</w:t>
        </w:r>
      </w:fldSimple>
      <w:r w:rsidR="001B0DDC">
        <w:t xml:space="preserve">.  Той е притежавал къща с двор в Пловдив, която е отчуждена през 1982 г. въз основа на чл. 98 (1) от Закона за териториалното и селищно устройство от 1973 г. с оглед на изграждането на жилищна сграда. В </w:t>
      </w:r>
      <w:r w:rsidR="003079DC">
        <w:t>заповедта</w:t>
      </w:r>
      <w:r w:rsidR="001B0DDC">
        <w:t xml:space="preserve"> за отчуждаване се посочва, че жалбоподателят трябва да бъде обезщетен с двустаен апартамент и гараж в сграда, която общината възнамерява да построи.</w:t>
      </w:r>
    </w:p>
    <w:p w:rsidR="002A22BF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7</w:t>
        </w:r>
      </w:fldSimple>
      <w:r w:rsidR="00D35194">
        <w:t>.  На неуточнена дата апартаментът, който се полага като обезщетение, е построен и предоставен. Жалбоподателят обаче никога не получава гаража, който също му се полага.</w:t>
      </w:r>
    </w:p>
    <w:p w:rsidR="00A46C9E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8</w:t>
        </w:r>
      </w:fldSimple>
      <w:r w:rsidR="00D35194">
        <w:t>.  През април 2008 г. жалбоподателят подава жалба до Община Пловдив за неуспеха да му бъде предоставен гараж. С писмо от 11 юни 2008 г. заместник-кметът на Пловдив го информира, че общината няма налични гаражи и че в момента изгражда сграда с подземни гаражи, един от които може да му бъде предложен.</w:t>
      </w:r>
    </w:p>
    <w:p w:rsidR="00A46C9E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9</w:t>
        </w:r>
      </w:fldSimple>
      <w:r w:rsidR="00D35194">
        <w:t>.  През февруари 2010 г. жалбоподателят</w:t>
      </w:r>
      <w:r w:rsidR="00F4010B" w:rsidRPr="00F4010B">
        <w:t xml:space="preserve"> </w:t>
      </w:r>
      <w:r w:rsidR="00F4010B">
        <w:t>отново</w:t>
      </w:r>
      <w:r w:rsidR="00D35194">
        <w:t xml:space="preserve"> пише до общината и в отговор е информиран, че строителството на по-рано споменатата сграда не е завършено.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10</w:t>
        </w:r>
      </w:fldSimple>
      <w:r w:rsidR="00D35194">
        <w:t>.  През 2014 г. общината предлага на наследниците на жалбоподателя гараж, който последните отказват, тъй като се намира на повече от десет километра от местоживеенето им.</w:t>
      </w:r>
    </w:p>
    <w:p w:rsidR="00014566" w:rsidRPr="00FF46F4" w:rsidRDefault="00014566" w:rsidP="00FF46F4">
      <w:pPr>
        <w:pStyle w:val="ECHRHeading1"/>
      </w:pPr>
      <w:r>
        <w:t>II.  ПРИЛОЖИМО ВЪТРЕШНО ПРАВО И ПРАКТИКА</w:t>
      </w:r>
    </w:p>
    <w:p w:rsidR="00B74158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11</w:t>
        </w:r>
      </w:fldSimple>
      <w:r w:rsidR="001B0DDC">
        <w:t xml:space="preserve">.  Приложимото вътрешно право и практика са обобщени в решението на Съда по делото </w:t>
      </w:r>
      <w:r w:rsidR="001B0DDC">
        <w:rPr>
          <w:i/>
        </w:rPr>
        <w:t xml:space="preserve">Кирилова и други срещу България </w:t>
      </w:r>
      <w:r w:rsidR="001B0DDC">
        <w:t>(№ 42908/98, 44038/98, 44816/98 и 7319/02, §§ 72-79, 9 юни 2005 г.).</w:t>
      </w:r>
    </w:p>
    <w:p w:rsidR="00014566" w:rsidRPr="00FF46F4" w:rsidRDefault="00E85A7D" w:rsidP="00FF46F4">
      <w:pPr>
        <w:pStyle w:val="ECHRTitle1"/>
      </w:pPr>
      <w:r>
        <w:t>ПРАВОТО</w:t>
      </w:r>
    </w:p>
    <w:p w:rsidR="00370EA2" w:rsidRPr="00FF46F4" w:rsidRDefault="00370EA2" w:rsidP="00FF46F4">
      <w:pPr>
        <w:pStyle w:val="ECHRHeading1"/>
      </w:pPr>
      <w:r>
        <w:t>I. ПРЕДВАРИТЕЛЕН ВЪПРОС</w:t>
      </w:r>
    </w:p>
    <w:p w:rsidR="00370EA2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12</w:t>
        </w:r>
      </w:fldSimple>
      <w:r w:rsidR="00370EA2">
        <w:t>.  Жалбоподателят умира на 18 ноември 2013 г. и неговите съпруга и син изразяват желание да п</w:t>
      </w:r>
      <w:r w:rsidR="00E85A7D">
        <w:t>оддържат</w:t>
      </w:r>
      <w:r w:rsidR="00370EA2">
        <w:t xml:space="preserve"> жалбата </w:t>
      </w:r>
      <w:r w:rsidR="00E85A7D">
        <w:t xml:space="preserve">от </w:t>
      </w:r>
      <w:r w:rsidR="00370EA2">
        <w:t xml:space="preserve">негово </w:t>
      </w:r>
      <w:r w:rsidR="00E85A7D">
        <w:t xml:space="preserve">име </w:t>
      </w:r>
      <w:r w:rsidR="00370EA2">
        <w:t xml:space="preserve">(вж. параграф 2 по-горе). Не се оспорва, че те имат </w:t>
      </w:r>
      <w:r w:rsidR="0080368E">
        <w:t xml:space="preserve">това </w:t>
      </w:r>
      <w:r w:rsidR="00370EA2">
        <w:t xml:space="preserve">право и Съдът не вижда причина да приеме друго (вж., наред с други, </w:t>
      </w:r>
      <w:proofErr w:type="spellStart"/>
      <w:r w:rsidR="00370EA2">
        <w:rPr>
          <w:i/>
        </w:rPr>
        <w:t>Streltsov</w:t>
      </w:r>
      <w:proofErr w:type="spellEnd"/>
      <w:r w:rsidR="00370EA2">
        <w:rPr>
          <w:i/>
        </w:rPr>
        <w:t xml:space="preserve"> </w:t>
      </w:r>
      <w:proofErr w:type="spellStart"/>
      <w:r w:rsidR="00370EA2">
        <w:rPr>
          <w:i/>
        </w:rPr>
        <w:t>and</w:t>
      </w:r>
      <w:proofErr w:type="spellEnd"/>
      <w:r w:rsidR="00370EA2">
        <w:rPr>
          <w:i/>
        </w:rPr>
        <w:t xml:space="preserve"> </w:t>
      </w:r>
      <w:proofErr w:type="spellStart"/>
      <w:r w:rsidR="00370EA2">
        <w:rPr>
          <w:i/>
        </w:rPr>
        <w:t>other</w:t>
      </w:r>
      <w:proofErr w:type="spellEnd"/>
      <w:r w:rsidR="00370EA2">
        <w:rPr>
          <w:i/>
        </w:rPr>
        <w:t xml:space="preserve"> “</w:t>
      </w:r>
      <w:proofErr w:type="spellStart"/>
      <w:r w:rsidR="00370EA2">
        <w:rPr>
          <w:i/>
        </w:rPr>
        <w:t>Novocherkassk</w:t>
      </w:r>
      <w:proofErr w:type="spellEnd"/>
      <w:r w:rsidR="00370EA2">
        <w:rPr>
          <w:i/>
        </w:rPr>
        <w:t xml:space="preserve"> </w:t>
      </w:r>
      <w:proofErr w:type="spellStart"/>
      <w:r w:rsidR="00370EA2">
        <w:rPr>
          <w:i/>
        </w:rPr>
        <w:t>military</w:t>
      </w:r>
      <w:proofErr w:type="spellEnd"/>
      <w:r w:rsidR="00370EA2">
        <w:rPr>
          <w:i/>
        </w:rPr>
        <w:t xml:space="preserve"> </w:t>
      </w:r>
      <w:proofErr w:type="spellStart"/>
      <w:r w:rsidR="00370EA2">
        <w:rPr>
          <w:i/>
        </w:rPr>
        <w:t>pensioners</w:t>
      </w:r>
      <w:proofErr w:type="spellEnd"/>
      <w:r w:rsidR="00370EA2">
        <w:rPr>
          <w:i/>
        </w:rPr>
        <w:t xml:space="preserve">” </w:t>
      </w:r>
      <w:proofErr w:type="spellStart"/>
      <w:r w:rsidR="00370EA2">
        <w:rPr>
          <w:i/>
        </w:rPr>
        <w:t>cases</w:t>
      </w:r>
      <w:proofErr w:type="spellEnd"/>
      <w:r w:rsidR="00370EA2">
        <w:rPr>
          <w:i/>
        </w:rPr>
        <w:t xml:space="preserve"> v. </w:t>
      </w:r>
      <w:proofErr w:type="spellStart"/>
      <w:r w:rsidR="00370EA2">
        <w:rPr>
          <w:i/>
        </w:rPr>
        <w:t>Russia</w:t>
      </w:r>
      <w:proofErr w:type="spellEnd"/>
      <w:r w:rsidR="00370EA2">
        <w:t xml:space="preserve">, № 8549/06 и </w:t>
      </w:r>
      <w:r w:rsidR="0080368E">
        <w:t>сл.,</w:t>
      </w:r>
      <w:r w:rsidR="00370EA2">
        <w:t xml:space="preserve"> § 36, 29 юли 2010 г.).</w:t>
      </w:r>
    </w:p>
    <w:p w:rsidR="00014566" w:rsidRPr="00FF46F4" w:rsidRDefault="00370EA2" w:rsidP="00FF46F4">
      <w:pPr>
        <w:pStyle w:val="ECHRHeading1"/>
      </w:pPr>
      <w:r>
        <w:t>II.  ТВЪРДЯНО НАРУШЕНИЕ НА ЧЛ. 1 ОТ ПРОТОКОЛ № 1</w:t>
      </w:r>
    </w:p>
    <w:p w:rsidR="00A46C9E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13</w:t>
        </w:r>
      </w:fldSimple>
      <w:r w:rsidR="001B0DDC">
        <w:t>.  Жалбоподателят се оплаква, че властите не успяват в продължение на дълъг период от време да му предостав</w:t>
      </w:r>
      <w:r w:rsidR="0080368E">
        <w:t>ят</w:t>
      </w:r>
      <w:r w:rsidR="001B0DDC">
        <w:t xml:space="preserve"> гаража, който му се полага като обезщетение за неговия отчужден имот, както и че не разполага с ефективно вътрешноправно средство за защита в това отношение.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14</w:t>
        </w:r>
      </w:fldSimple>
      <w:r w:rsidR="00A46C9E">
        <w:t xml:space="preserve">.  Жалбоподателят се позовава на чл. 1 от Протокол № 1 и чл. 13 от Конвенцията. Съдът </w:t>
      </w:r>
      <w:r w:rsidR="0080368E">
        <w:t>счита</w:t>
      </w:r>
      <w:r w:rsidR="00A46C9E">
        <w:t xml:space="preserve">, че е достатъчно да разгледа жалбата </w:t>
      </w:r>
      <w:r w:rsidR="00085479">
        <w:t>единствено съгласно</w:t>
      </w:r>
      <w:r w:rsidR="00A46C9E">
        <w:t xml:space="preserve"> чл. 1 от Протокол № 1, който гласи следното:</w:t>
      </w:r>
    </w:p>
    <w:p w:rsidR="00FA4375" w:rsidRPr="00FF46F4" w:rsidRDefault="00FA4375" w:rsidP="00FF46F4">
      <w:pPr>
        <w:pStyle w:val="ECHRParaQuote"/>
      </w:pPr>
      <w:r>
        <w:lastRenderedPageBreak/>
        <w:t>"</w:t>
      </w:r>
      <w:proofErr w:type="spellStart"/>
      <w:r>
        <w:t>Βсяко</w:t>
      </w:r>
      <w:proofErr w:type="spellEnd"/>
      <w:r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014566" w:rsidRPr="00FF46F4" w:rsidRDefault="00FA4375" w:rsidP="00FF46F4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15</w:t>
        </w:r>
      </w:fldSimple>
      <w:r w:rsidR="001B0DDC">
        <w:t>.  Съдът отбелязва, че жалбата не е явно необоснована по смисъла на чл. 35 § 3 (а) от Конвенцията. Той отбелязва още, че тя не е н</w:t>
      </w:r>
      <w:r w:rsidR="003079DC">
        <w:t>едопустима на друго</w:t>
      </w:r>
      <w:r w:rsidR="001B0DDC">
        <w:t xml:space="preserve"> основани</w:t>
      </w:r>
      <w:r w:rsidR="003079DC">
        <w:t>е</w:t>
      </w:r>
      <w:r w:rsidR="001B0DDC">
        <w:t xml:space="preserve">. Следователно тя </w:t>
      </w:r>
      <w:r w:rsidR="004D69CD">
        <w:t>е</w:t>
      </w:r>
      <w:r w:rsidR="001B0DDC">
        <w:t xml:space="preserve"> допустима.</w:t>
      </w:r>
    </w:p>
    <w:p w:rsidR="00370EA2" w:rsidRPr="00FF46F4" w:rsidRDefault="00424605" w:rsidP="00FF46F4">
      <w:pPr>
        <w:pStyle w:val="ECHRPara"/>
        <w:rPr>
          <w:i/>
        </w:rPr>
      </w:pPr>
      <w:fldSimple w:instr=" SEQ level0 \*arabic ">
        <w:r w:rsidR="00723DE5">
          <w:rPr>
            <w:noProof/>
          </w:rPr>
          <w:t>16</w:t>
        </w:r>
      </w:fldSimple>
      <w:r w:rsidR="00D35194">
        <w:t xml:space="preserve">.  По </w:t>
      </w:r>
      <w:r w:rsidR="003079DC">
        <w:t>същество</w:t>
      </w:r>
      <w:r w:rsidR="004D69CD">
        <w:t xml:space="preserve"> </w:t>
      </w:r>
      <w:r w:rsidR="00D35194">
        <w:t>Съдът първо отбелязва, че случаят е подобен на тези, разгледани от него в</w:t>
      </w:r>
      <w:r w:rsidR="00D35194">
        <w:rPr>
          <w:i/>
        </w:rPr>
        <w:t xml:space="preserve"> Кирилова и други</w:t>
      </w:r>
      <w:r w:rsidR="00D35194">
        <w:t xml:space="preserve">, цитирано по-горе (вж. също </w:t>
      </w:r>
      <w:r w:rsidR="00D35194">
        <w:rPr>
          <w:i/>
        </w:rPr>
        <w:t>Лазаров срещу България</w:t>
      </w:r>
      <w:r w:rsidR="00D35194">
        <w:t xml:space="preserve">, № 21352/02, 22 май 2008 г.; </w:t>
      </w:r>
      <w:r w:rsidR="00D35194">
        <w:rPr>
          <w:i/>
        </w:rPr>
        <w:t>Антонови срещу България</w:t>
      </w:r>
      <w:r w:rsidR="00D35194">
        <w:t xml:space="preserve">, № 20827/02, 1 октомври 2009 г.; </w:t>
      </w:r>
      <w:r w:rsidR="00D35194">
        <w:rPr>
          <w:i/>
        </w:rPr>
        <w:t>Дичев срещу България</w:t>
      </w:r>
      <w:r w:rsidR="00D35194">
        <w:t xml:space="preserve">, № 1355/04, 27 януари 2011 г.; и </w:t>
      </w:r>
      <w:proofErr w:type="spellStart"/>
      <w:r w:rsidR="00D35194">
        <w:rPr>
          <w:i/>
        </w:rPr>
        <w:t>Балездрови</w:t>
      </w:r>
      <w:proofErr w:type="spellEnd"/>
      <w:r w:rsidR="00D35194">
        <w:rPr>
          <w:i/>
        </w:rPr>
        <w:t xml:space="preserve"> срещу България</w:t>
      </w:r>
      <w:r w:rsidR="00D35194">
        <w:t xml:space="preserve"> [Комитет], № 36772/06, 20 септември 2011 г.).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17</w:t>
        </w:r>
      </w:fldSimple>
      <w:r w:rsidR="001B0DDC">
        <w:t>.  Както в тези случаи (вж. например</w:t>
      </w:r>
      <w:r w:rsidR="001B0DDC">
        <w:rPr>
          <w:i/>
        </w:rPr>
        <w:t xml:space="preserve"> Кирилова и други</w:t>
      </w:r>
      <w:r w:rsidR="001B0DDC">
        <w:t xml:space="preserve">, § 104, и </w:t>
      </w:r>
      <w:r w:rsidR="001B0DDC">
        <w:rPr>
          <w:i/>
        </w:rPr>
        <w:t>Антонови</w:t>
      </w:r>
      <w:r w:rsidR="001B0DDC">
        <w:t xml:space="preserve">, § 28), Съдът </w:t>
      </w:r>
      <w:r w:rsidR="004D69CD">
        <w:t>счита</w:t>
      </w:r>
      <w:r w:rsidR="001B0DDC">
        <w:t xml:space="preserve">, че решението за отчуждаване от 1982 г., в което се посочва, че жалбоподателят трябва да получи гараж като обезщетение (вж. параграф 6 по-горе), създава за него право, което не се оспорва от властите и се определя като “притежание” по смисъла на чл. 1 от Протокол № 1. Неуспехът на властите да предоставят този гараж представлява намеса в правата на жалбоподателя, която </w:t>
      </w:r>
      <w:r w:rsidR="00AC3F23">
        <w:t>трябва да се</w:t>
      </w:r>
      <w:r w:rsidR="001B0DDC">
        <w:t xml:space="preserve"> разгледа в рамките на първото изречение на първия параграф на чл. 1 от Протокол № 1, </w:t>
      </w:r>
      <w:r w:rsidR="003079DC">
        <w:t>кой</w:t>
      </w:r>
      <w:r w:rsidR="00AC3F23">
        <w:t xml:space="preserve">то </w:t>
      </w:r>
      <w:r w:rsidR="001B0DDC">
        <w:t xml:space="preserve">определя общо принципа </w:t>
      </w:r>
      <w:r w:rsidR="00AC3F23">
        <w:t>з</w:t>
      </w:r>
      <w:r w:rsidR="001B0DDC">
        <w:t xml:space="preserve">а мирно ползване на собственост (вж. </w:t>
      </w:r>
      <w:r w:rsidR="001B0DDC">
        <w:rPr>
          <w:i/>
        </w:rPr>
        <w:t>Кирилова и други</w:t>
      </w:r>
      <w:r w:rsidR="001B0DDC">
        <w:t xml:space="preserve">, § 105, и </w:t>
      </w:r>
      <w:r w:rsidR="001B0DDC">
        <w:rPr>
          <w:i/>
        </w:rPr>
        <w:t>Лазаров</w:t>
      </w:r>
      <w:r w:rsidR="001B0DDC">
        <w:t>, § 28, и двете цитирани по-горе).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18</w:t>
        </w:r>
      </w:fldSimple>
      <w:r w:rsidR="001B0DDC">
        <w:t xml:space="preserve">.  За да установи дали българската държава е изпълнила задълженията си по чл. 1 от Протокол № 1, Съдът трябва да </w:t>
      </w:r>
      <w:r w:rsidR="00AC3F23">
        <w:t xml:space="preserve">определи </w:t>
      </w:r>
      <w:r w:rsidR="001B0DDC">
        <w:t xml:space="preserve">дали е постигнат справедлив баланс между общия интерес и правата на жалбоподателката. Много големите закъснения в плащането на обезщетения в съчетание с нежеланието на властите </w:t>
      </w:r>
      <w:r w:rsidR="003134FB">
        <w:t xml:space="preserve">да </w:t>
      </w:r>
      <w:r w:rsidR="001B0DDC">
        <w:t>разреша</w:t>
      </w:r>
      <w:r w:rsidR="003134FB">
        <w:t>т</w:t>
      </w:r>
      <w:r w:rsidR="001B0DDC">
        <w:t xml:space="preserve"> проблема са фактори, които наред с другото, могат да нарушат този баланс (вж. </w:t>
      </w:r>
      <w:r w:rsidR="001B0DDC">
        <w:rPr>
          <w:i/>
        </w:rPr>
        <w:t>Кирилова и други</w:t>
      </w:r>
      <w:r w:rsidR="001B0DDC">
        <w:t>, цитирано по-горе, § 123).</w:t>
      </w:r>
    </w:p>
    <w:p w:rsidR="009E4BCA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19</w:t>
        </w:r>
      </w:fldSimple>
      <w:r w:rsidR="001B0DDC">
        <w:t xml:space="preserve">.  Правото на жалбоподателя да получи гараж възниква през 1982 г., преди тридесет и четири години, като двадесет и четири от тях, а именно след 7 септември 1992 г., когато Конвенцията влиза в сила за България, са в рамките на времевата компетентност на Съда. Такъв дълъг период изглежда очевидно необоснован (вж. </w:t>
      </w:r>
      <w:r w:rsidR="001B0DDC">
        <w:rPr>
          <w:i/>
        </w:rPr>
        <w:t>Дичев</w:t>
      </w:r>
      <w:r w:rsidR="001B0DDC">
        <w:t>, цитирано по-горе, § 28).</w:t>
      </w:r>
    </w:p>
    <w:p w:rsidR="009E4BCA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20</w:t>
        </w:r>
      </w:fldSimple>
      <w:r w:rsidR="00D35194">
        <w:t xml:space="preserve">.  Няма индикации, че това забавяне се дължи на жалбоподателя или неговите наследници. По-конкретно, наследниците не могат да бъдат обвинявани за отказа им да приемат гаража, </w:t>
      </w:r>
      <w:r w:rsidR="00703961">
        <w:t xml:space="preserve">които им се </w:t>
      </w:r>
      <w:r w:rsidR="00D35194">
        <w:t>предл</w:t>
      </w:r>
      <w:r w:rsidR="00703961">
        <w:t>ага</w:t>
      </w:r>
      <w:r w:rsidR="00D35194">
        <w:t xml:space="preserve"> </w:t>
      </w:r>
      <w:r w:rsidR="00D35194">
        <w:lastRenderedPageBreak/>
        <w:t>през 2014 г. (вж. параграф 9 по-горе), тъй като причината, посочена от тях, че е далеч от местоживеенето им, изглежда приемлива и адекватна. В същото време най-малко два пъти, през 2008 и 2010 г., жалбоподателят се свързва с общинските власти в Пловдив</w:t>
      </w:r>
      <w:r w:rsidR="00703961">
        <w:t xml:space="preserve"> като ги</w:t>
      </w:r>
      <w:r w:rsidR="00D35194">
        <w:t xml:space="preserve"> призовава да намерят решение (вж. параграфи 8-9 по-горе).</w:t>
      </w:r>
    </w:p>
    <w:p w:rsidR="009E4BCA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21</w:t>
        </w:r>
      </w:fldSimple>
      <w:r w:rsidR="00D35194">
        <w:t xml:space="preserve">.  В случаи като настоящия е задължение на властите да действат своевременно и по подходящ и последователен начин. Вместо това те </w:t>
      </w:r>
      <w:r w:rsidR="00703961">
        <w:t xml:space="preserve">възприемат </w:t>
      </w:r>
      <w:r w:rsidR="00D35194">
        <w:t>пасив</w:t>
      </w:r>
      <w:r w:rsidR="00703961">
        <w:t>е</w:t>
      </w:r>
      <w:r w:rsidR="00D35194">
        <w:t xml:space="preserve">н </w:t>
      </w:r>
      <w:r w:rsidR="00703961">
        <w:t>подход</w:t>
      </w:r>
      <w:r w:rsidR="00D35194">
        <w:t xml:space="preserve">, </w:t>
      </w:r>
      <w:r w:rsidR="002C6E65">
        <w:t>като п</w:t>
      </w:r>
      <w:r w:rsidR="00D35194">
        <w:t>оставя</w:t>
      </w:r>
      <w:r w:rsidR="002C6E65">
        <w:t>т</w:t>
      </w:r>
      <w:r w:rsidR="00D35194">
        <w:t xml:space="preserve"> жалбоподателя в положение на несигурност </w:t>
      </w:r>
      <w:r w:rsidR="002C6E65">
        <w:t>относно</w:t>
      </w:r>
      <w:r w:rsidR="00D35194">
        <w:t xml:space="preserve"> дали и кога той ще получи обезщетението, на което има право. Към това трябва да се добави и липсата на ефективни вътрешн</w:t>
      </w:r>
      <w:r w:rsidR="002C6E65">
        <w:t>о</w:t>
      </w:r>
      <w:r w:rsidR="00D35194">
        <w:t xml:space="preserve">правни средства за защита за </w:t>
      </w:r>
      <w:r w:rsidR="002C6E65">
        <w:t xml:space="preserve">поправяне </w:t>
      </w:r>
      <w:r w:rsidR="00D35194">
        <w:t xml:space="preserve">на ситуацията. Това положение не може да се счита за съвместимо със задълженията на държавата по чл. 1 от Протокол № 1 (вж. </w:t>
      </w:r>
      <w:r w:rsidR="00D35194">
        <w:rPr>
          <w:i/>
        </w:rPr>
        <w:t>Кирилова и други</w:t>
      </w:r>
      <w:r w:rsidR="00D35194">
        <w:t xml:space="preserve">, §§ 121 и 123, </w:t>
      </w:r>
      <w:r w:rsidR="00D35194">
        <w:rPr>
          <w:i/>
        </w:rPr>
        <w:t>Антонови</w:t>
      </w:r>
      <w:r w:rsidR="00D35194">
        <w:t xml:space="preserve">, § 30, и </w:t>
      </w:r>
      <w:r w:rsidR="00D35194">
        <w:rPr>
          <w:i/>
        </w:rPr>
        <w:t>Дичев</w:t>
      </w:r>
      <w:r w:rsidR="00D35194">
        <w:t>, § 30, всички цитирани по-горе).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22</w:t>
        </w:r>
      </w:fldSimple>
      <w:r w:rsidR="00541747">
        <w:t>.  Следователно е налице нарушение на тази разпоредба.</w:t>
      </w:r>
    </w:p>
    <w:p w:rsidR="00014566" w:rsidRPr="00FF46F4" w:rsidRDefault="00541747" w:rsidP="00FF46F4">
      <w:pPr>
        <w:pStyle w:val="ECHRHeading1"/>
      </w:pPr>
      <w:r>
        <w:t>III.  ПРИЛОЖЕНИЕ НА ЧЛ. 41 ОТ КОНВЕНЦИЯТА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23</w:t>
        </w:r>
      </w:fldSimple>
      <w:r w:rsidR="001B0DDC">
        <w:t>.  Чл. 41 от Конвенцията гласи:</w:t>
      </w:r>
    </w:p>
    <w:p w:rsidR="00014566" w:rsidRPr="00FF46F4" w:rsidRDefault="00014566" w:rsidP="00FF46F4">
      <w:pPr>
        <w:pStyle w:val="ECHRParaQuote"/>
        <w:keepNext/>
        <w:keepLines/>
      </w:pPr>
      <w:r>
        <w:t xml:space="preserve">“Ако Съдът установи нарушение на Конвенцията или на  </w:t>
      </w:r>
      <w:r>
        <w:br/>
        <w:t xml:space="preserve">Протоколите към нея и ако вътрешното право на съответната </w:t>
      </w:r>
      <w:proofErr w:type="spellStart"/>
      <w:r>
        <w:t>Високодоговаряща</w:t>
      </w:r>
      <w:proofErr w:type="spellEnd"/>
      <w: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34554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24</w:t>
        </w:r>
      </w:fldSimple>
      <w:r w:rsidR="00034554">
        <w:t>.  Наследниците на жалбоподателя не предявяват претенци</w:t>
      </w:r>
      <w:r w:rsidR="002C6E65">
        <w:t>и</w:t>
      </w:r>
      <w:r w:rsidR="00034554">
        <w:t xml:space="preserve"> за имуществени вреди или по отношение на разходи и разноски. Съответно Съдът счита, че няма причина да им присъжда каквато и да било сум</w:t>
      </w:r>
      <w:r w:rsidR="00A22722">
        <w:t>и</w:t>
      </w:r>
      <w:r w:rsidR="00034554">
        <w:t xml:space="preserve"> в това отношение.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25</w:t>
        </w:r>
      </w:fldSimple>
      <w:r w:rsidR="001B0DDC">
        <w:t>.  По отношение на неимуществени вреди наследниците на жалбоп</w:t>
      </w:r>
      <w:r w:rsidR="003079DC">
        <w:t>одателя претендират 20 000 евро</w:t>
      </w:r>
      <w:r w:rsidR="001B0DDC">
        <w:t>. Правителството оспорва претенцията като преувеличена.</w:t>
      </w:r>
    </w:p>
    <w:p w:rsidR="00034554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26</w:t>
        </w:r>
      </w:fldSimple>
      <w:r w:rsidR="00D35194">
        <w:t xml:space="preserve">.  Съдът </w:t>
      </w:r>
      <w:r w:rsidR="00A22722">
        <w:t>счита</w:t>
      </w:r>
      <w:r w:rsidR="00D35194">
        <w:t xml:space="preserve">, че жалбоподателят </w:t>
      </w:r>
      <w:r w:rsidR="00A22722">
        <w:t>несъмнено</w:t>
      </w:r>
      <w:r w:rsidR="00D35194">
        <w:t xml:space="preserve"> е изпитал безсилие в резултат на продължителния неуспех на властите да предоставят гаража, на който той има право, и в резултат на нежеланието им да </w:t>
      </w:r>
      <w:r w:rsidR="00A22722">
        <w:t>раз</w:t>
      </w:r>
      <w:r w:rsidR="00D35194">
        <w:t xml:space="preserve">решат проблема му в продължение на дълъг период от време. Произнасяйки се по справедливост Съдът присъжда 2000 евро по отношение на неимуществени вреди. Присъдената сума </w:t>
      </w:r>
      <w:r w:rsidR="0086631A">
        <w:t>е</w:t>
      </w:r>
      <w:r w:rsidR="00D35194">
        <w:t xml:space="preserve"> плати</w:t>
      </w:r>
      <w:r w:rsidR="0086631A">
        <w:t>ма на</w:t>
      </w:r>
      <w:r w:rsidR="00D35194">
        <w:t xml:space="preserve"> наследниците на жалбоподателя, чиито имена са посочени в параграф 2 по-горе.</w:t>
      </w:r>
    </w:p>
    <w:p w:rsidR="00014566" w:rsidRPr="00FF46F4" w:rsidRDefault="00424605" w:rsidP="00FF46F4">
      <w:pPr>
        <w:pStyle w:val="ECHRPara"/>
      </w:pPr>
      <w:fldSimple w:instr=" SEQ level0 \*arabic ">
        <w:r w:rsidR="00723DE5">
          <w:rPr>
            <w:noProof/>
          </w:rPr>
          <w:t>27</w:t>
        </w:r>
      </w:fldSimple>
      <w:r w:rsidR="001B0DDC">
        <w:t>.  Накрая 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FF46F4" w:rsidRDefault="00BB5883" w:rsidP="00FF46F4">
      <w:pPr>
        <w:pStyle w:val="ECHRTitle1"/>
      </w:pPr>
      <w:r>
        <w:lastRenderedPageBreak/>
        <w:t>ПО ТЕЗИ СЪОБРАЖЕНИЯ СЪДЪТ ЕДИНОДУШНО</w:t>
      </w:r>
    </w:p>
    <w:p w:rsidR="00A20767" w:rsidRPr="00FF46F4" w:rsidRDefault="00A20767" w:rsidP="00FF46F4">
      <w:pPr>
        <w:pStyle w:val="JuList"/>
      </w:pPr>
      <w:r>
        <w:t>1.  </w:t>
      </w:r>
      <w:r>
        <w:rPr>
          <w:i/>
        </w:rPr>
        <w:t>Приема</w:t>
      </w:r>
      <w:r>
        <w:t>, че наследниците на покойния жалбоподател</w:t>
      </w:r>
      <w:r w:rsidR="00210597">
        <w:t>,</w:t>
      </w:r>
      <w:r>
        <w:t xml:space="preserve"> Калинка Василева Михайлова и Васил Кръстев Михайлов</w:t>
      </w:r>
      <w:r w:rsidR="00210597">
        <w:t>,</w:t>
      </w:r>
      <w:r>
        <w:t xml:space="preserve"> </w:t>
      </w:r>
      <w:r w:rsidR="00210597">
        <w:t>имат легитимация</w:t>
      </w:r>
      <w:r>
        <w:t xml:space="preserve"> да п</w:t>
      </w:r>
      <w:r w:rsidR="00210597">
        <w:t xml:space="preserve">оддържат </w:t>
      </w:r>
      <w:r w:rsidR="0070533A">
        <w:t>производството</w:t>
      </w:r>
      <w:r w:rsidR="00210597">
        <w:t xml:space="preserve"> от негово име</w:t>
      </w:r>
      <w:r>
        <w:t>;</w:t>
      </w:r>
    </w:p>
    <w:p w:rsidR="00A20767" w:rsidRPr="00FF46F4" w:rsidRDefault="00A20767" w:rsidP="00FF46F4">
      <w:pPr>
        <w:pStyle w:val="JuList"/>
      </w:pPr>
    </w:p>
    <w:p w:rsidR="00B637B9" w:rsidRPr="00FF46F4" w:rsidRDefault="00A20767" w:rsidP="00FF46F4">
      <w:pPr>
        <w:pStyle w:val="JuList"/>
      </w:pPr>
      <w:r>
        <w:t>2.  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FF46F4" w:rsidRDefault="00014566" w:rsidP="00FF46F4">
      <w:pPr>
        <w:pStyle w:val="JuList"/>
        <w:ind w:left="0" w:firstLine="0"/>
      </w:pPr>
    </w:p>
    <w:p w:rsidR="00014566" w:rsidRPr="00FF46F4" w:rsidRDefault="00A20767" w:rsidP="00FF46F4">
      <w:pPr>
        <w:pStyle w:val="JuList"/>
      </w:pPr>
      <w:r>
        <w:t>3.  </w:t>
      </w:r>
      <w:r>
        <w:rPr>
          <w:i/>
        </w:rPr>
        <w:t>Приема</w:t>
      </w:r>
      <w:r>
        <w:t>, че е налице нарушение на чл. 1 от Протокол № 1;</w:t>
      </w:r>
    </w:p>
    <w:p w:rsidR="00014566" w:rsidRPr="00FF46F4" w:rsidRDefault="00014566" w:rsidP="00FF46F4">
      <w:pPr>
        <w:pStyle w:val="JuList"/>
      </w:pPr>
    </w:p>
    <w:p w:rsidR="001B0DDC" w:rsidRPr="00FF46F4" w:rsidRDefault="00A20767" w:rsidP="00FF46F4">
      <w:pPr>
        <w:pStyle w:val="JuList"/>
      </w:pPr>
      <w:r>
        <w:t>4.  </w:t>
      </w:r>
      <w:r>
        <w:rPr>
          <w:i/>
        </w:rPr>
        <w:t>Приема,</w:t>
      </w:r>
    </w:p>
    <w:p w:rsidR="00014566" w:rsidRPr="00FF46F4" w:rsidRDefault="00014566" w:rsidP="00FF46F4">
      <w:pPr>
        <w:pStyle w:val="JuLista"/>
      </w:pPr>
      <w:r>
        <w:t>(i) че държава</w:t>
      </w:r>
      <w:r w:rsidR="0070533A">
        <w:t>та-ответник</w:t>
      </w:r>
      <w:r>
        <w:t xml:space="preserve"> трябва да плати съвместно на наследниците на жалбоподателя в рамките на три месеца 2 000 евро (две хиляди евро), които трябва да се конвертират в български лева по курса, </w:t>
      </w:r>
      <w:r w:rsidR="0070533A">
        <w:t xml:space="preserve">валиден </w:t>
      </w:r>
      <w:r>
        <w:t xml:space="preserve">към датата на </w:t>
      </w:r>
      <w:r w:rsidR="0070533A">
        <w:t>плащането</w:t>
      </w:r>
      <w:r>
        <w:t>, плюс всякакви данъци, които биха могли да се начислят по отношение на неимуществени вреди;</w:t>
      </w:r>
    </w:p>
    <w:p w:rsidR="00014566" w:rsidRPr="00FF46F4" w:rsidRDefault="00014566" w:rsidP="00FF46F4">
      <w:pPr>
        <w:pStyle w:val="JuLista"/>
      </w:pPr>
      <w:r>
        <w:t xml:space="preserve">(б) че от изтичането на </w:t>
      </w:r>
      <w:r w:rsidR="0070533A">
        <w:t>горес</w:t>
      </w:r>
      <w:r>
        <w:t xml:space="preserve">поменатия тримесечен срок до плащането се дължи проста лихва върху горепосочената сума в размер, равен на пределната ставка по заеми на Европейската централна банка </w:t>
      </w:r>
      <w:r w:rsidR="001E7454">
        <w:t>за срока</w:t>
      </w:r>
      <w:r>
        <w:t xml:space="preserve"> на забава, към която се добавят три процентни пункта;</w:t>
      </w:r>
    </w:p>
    <w:p w:rsidR="00014566" w:rsidRPr="00FF46F4" w:rsidRDefault="00014566" w:rsidP="00FF46F4">
      <w:pPr>
        <w:pStyle w:val="JuList"/>
      </w:pPr>
    </w:p>
    <w:p w:rsidR="00014566" w:rsidRPr="00FF46F4" w:rsidRDefault="00A20767" w:rsidP="00FF46F4">
      <w:pPr>
        <w:pStyle w:val="JuList"/>
      </w:pPr>
      <w:r>
        <w:t>5.  </w:t>
      </w:r>
      <w:r>
        <w:rPr>
          <w:i/>
        </w:rPr>
        <w:t>Отхвърля</w:t>
      </w:r>
      <w:r>
        <w:t xml:space="preserve"> останалата част от иска на жалбоподателя за справедливо обезщетение.</w:t>
      </w:r>
    </w:p>
    <w:p w:rsidR="00014566" w:rsidRPr="00FF46F4" w:rsidRDefault="00014566" w:rsidP="00FF46F4">
      <w:pPr>
        <w:pStyle w:val="JuParaLast"/>
      </w:pPr>
      <w:r>
        <w:t>Изготвено на английски език и оповестено писмено на 13 октомври 2016 г. в съответствие с правило 77, §§ 2 и 3 от Правилника на Съда.</w:t>
      </w:r>
    </w:p>
    <w:p w:rsidR="00014566" w:rsidRPr="00FF46F4" w:rsidRDefault="00014566" w:rsidP="00FF46F4">
      <w:pPr>
        <w:pStyle w:val="JuSigned"/>
      </w:pPr>
      <w:r>
        <w:tab/>
        <w:t xml:space="preserve">Милан </w:t>
      </w:r>
      <w:proofErr w:type="spellStart"/>
      <w:r>
        <w:t>Бла</w:t>
      </w:r>
      <w:r w:rsidR="001E7454">
        <w:t>с</w:t>
      </w:r>
      <w:r>
        <w:t>ко</w:t>
      </w:r>
      <w:proofErr w:type="spellEnd"/>
      <w:r>
        <w:tab/>
      </w:r>
      <w:proofErr w:type="spellStart"/>
      <w:r w:rsidR="001E7454">
        <w:t>Кх</w:t>
      </w:r>
      <w:r>
        <w:t>анлар</w:t>
      </w:r>
      <w:proofErr w:type="spellEnd"/>
      <w:r>
        <w:t xml:space="preserve"> Хаджиев</w:t>
      </w:r>
      <w:r>
        <w:br/>
      </w:r>
      <w:r w:rsidR="001E7454">
        <w:t>з</w:t>
      </w:r>
      <w:r>
        <w:t>аместник-секретар</w:t>
      </w:r>
      <w:r>
        <w:tab/>
      </w:r>
      <w:r w:rsidR="001E7454">
        <w:t>п</w:t>
      </w:r>
      <w:r>
        <w:t>редседател</w:t>
      </w:r>
    </w:p>
    <w:sectPr w:rsidR="00014566" w:rsidRPr="00FF46F4" w:rsidSect="00C168D6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05" w:rsidRPr="003A441D" w:rsidRDefault="00424605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424605" w:rsidRPr="003A441D" w:rsidRDefault="00424605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0C" w:rsidRDefault="00453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0C" w:rsidRDefault="00453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D6" w:rsidRPr="00150BFA" w:rsidRDefault="00C168D6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249583A3" wp14:editId="16E7D451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8D6" w:rsidRDefault="00C1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05" w:rsidRPr="003A441D" w:rsidRDefault="00424605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424605" w:rsidRPr="003A441D" w:rsidRDefault="00424605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0C" w:rsidRDefault="00453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A0" w:rsidRPr="00C168D6" w:rsidRDefault="00AB5FA0" w:rsidP="00C168D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D6" w:rsidRPr="00A45145" w:rsidRDefault="00C168D6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233736B7" wp14:editId="183AD8A2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8D6" w:rsidRDefault="00C16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D6" w:rsidRPr="003A441D" w:rsidRDefault="00C168D6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45300C">
      <w:rPr>
        <w:rStyle w:val="PageNumber"/>
        <w:noProof/>
        <w:szCs w:val="18"/>
      </w:rPr>
      <w:t>4</w:t>
    </w:r>
    <w:r>
      <w:rPr>
        <w:rStyle w:val="PageNumber"/>
        <w:szCs w:val="18"/>
      </w:rPr>
      <w:fldChar w:fldCharType="end"/>
    </w:r>
    <w:r>
      <w:tab/>
      <w:t>РЕШЕНИЕ МИХАЙЛОВ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D6" w:rsidRPr="003A441D" w:rsidRDefault="00C168D6" w:rsidP="00D60D87">
    <w:pPr>
      <w:pStyle w:val="ECHRHeader"/>
    </w:pPr>
    <w:r>
      <w:tab/>
    </w:r>
    <w:r>
      <w:t>РЕШЕНИЕ МИХАЙЛОВ СРЕЩУ 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45300C">
      <w:rPr>
        <w:rStyle w:val="PageNumber"/>
        <w:noProof/>
        <w:szCs w:val="18"/>
      </w:rPr>
      <w:t>5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1B0DDC"/>
    <w:rsid w:val="000010ED"/>
    <w:rsid w:val="000041F8"/>
    <w:rsid w:val="000042A8"/>
    <w:rsid w:val="00004308"/>
    <w:rsid w:val="00005BF0"/>
    <w:rsid w:val="00007154"/>
    <w:rsid w:val="000103AE"/>
    <w:rsid w:val="00011D69"/>
    <w:rsid w:val="00012AD3"/>
    <w:rsid w:val="00014566"/>
    <w:rsid w:val="00015C2D"/>
    <w:rsid w:val="00015F00"/>
    <w:rsid w:val="00022C1D"/>
    <w:rsid w:val="00034554"/>
    <w:rsid w:val="00034987"/>
    <w:rsid w:val="000350E3"/>
    <w:rsid w:val="000602DF"/>
    <w:rsid w:val="00061B05"/>
    <w:rsid w:val="00062973"/>
    <w:rsid w:val="00062D5D"/>
    <w:rsid w:val="000632D5"/>
    <w:rsid w:val="000644EE"/>
    <w:rsid w:val="00071ABC"/>
    <w:rsid w:val="0007552F"/>
    <w:rsid w:val="00085479"/>
    <w:rsid w:val="000856D7"/>
    <w:rsid w:val="000925AD"/>
    <w:rsid w:val="000A24EB"/>
    <w:rsid w:val="000B6923"/>
    <w:rsid w:val="000C033C"/>
    <w:rsid w:val="000C5F3C"/>
    <w:rsid w:val="000C6DCC"/>
    <w:rsid w:val="000D13C5"/>
    <w:rsid w:val="000D47AA"/>
    <w:rsid w:val="000D721F"/>
    <w:rsid w:val="000E069B"/>
    <w:rsid w:val="000E0E82"/>
    <w:rsid w:val="000E1DC5"/>
    <w:rsid w:val="000E223F"/>
    <w:rsid w:val="000E35AC"/>
    <w:rsid w:val="000E7D45"/>
    <w:rsid w:val="000F7851"/>
    <w:rsid w:val="00104E23"/>
    <w:rsid w:val="00110C5E"/>
    <w:rsid w:val="00111B0C"/>
    <w:rsid w:val="00120D6C"/>
    <w:rsid w:val="001257EC"/>
    <w:rsid w:val="00132477"/>
    <w:rsid w:val="00132C6A"/>
    <w:rsid w:val="00133D33"/>
    <w:rsid w:val="00134D64"/>
    <w:rsid w:val="00135A30"/>
    <w:rsid w:val="0013612C"/>
    <w:rsid w:val="00137FF6"/>
    <w:rsid w:val="00141650"/>
    <w:rsid w:val="00162A12"/>
    <w:rsid w:val="00166530"/>
    <w:rsid w:val="001825C3"/>
    <w:rsid w:val="001832BD"/>
    <w:rsid w:val="001943B5"/>
    <w:rsid w:val="00195134"/>
    <w:rsid w:val="001A145B"/>
    <w:rsid w:val="001A674C"/>
    <w:rsid w:val="001B0DDC"/>
    <w:rsid w:val="001B3B24"/>
    <w:rsid w:val="001B4B40"/>
    <w:rsid w:val="001C0F98"/>
    <w:rsid w:val="001C2A42"/>
    <w:rsid w:val="001D63ED"/>
    <w:rsid w:val="001D7348"/>
    <w:rsid w:val="001D7BAF"/>
    <w:rsid w:val="001E0199"/>
    <w:rsid w:val="001E035B"/>
    <w:rsid w:val="001E0961"/>
    <w:rsid w:val="001E3EAE"/>
    <w:rsid w:val="001E5348"/>
    <w:rsid w:val="001E6F32"/>
    <w:rsid w:val="001E7454"/>
    <w:rsid w:val="001F2145"/>
    <w:rsid w:val="001F237F"/>
    <w:rsid w:val="001F6262"/>
    <w:rsid w:val="001F67B0"/>
    <w:rsid w:val="001F7B3D"/>
    <w:rsid w:val="00202BBD"/>
    <w:rsid w:val="00205F9F"/>
    <w:rsid w:val="00210338"/>
    <w:rsid w:val="00210597"/>
    <w:rsid w:val="002115FC"/>
    <w:rsid w:val="002133F8"/>
    <w:rsid w:val="0021423C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532C5"/>
    <w:rsid w:val="00260C03"/>
    <w:rsid w:val="0026540E"/>
    <w:rsid w:val="0027225C"/>
    <w:rsid w:val="00275123"/>
    <w:rsid w:val="00282240"/>
    <w:rsid w:val="0028572A"/>
    <w:rsid w:val="0028757A"/>
    <w:rsid w:val="002948AD"/>
    <w:rsid w:val="00294C05"/>
    <w:rsid w:val="00294C92"/>
    <w:rsid w:val="002A01CC"/>
    <w:rsid w:val="002A22BF"/>
    <w:rsid w:val="002A61B1"/>
    <w:rsid w:val="002A663C"/>
    <w:rsid w:val="002B1E6C"/>
    <w:rsid w:val="002B444B"/>
    <w:rsid w:val="002B5887"/>
    <w:rsid w:val="002B7864"/>
    <w:rsid w:val="002C0692"/>
    <w:rsid w:val="002C0E27"/>
    <w:rsid w:val="002C3040"/>
    <w:rsid w:val="002C6E65"/>
    <w:rsid w:val="002D022D"/>
    <w:rsid w:val="002D24BB"/>
    <w:rsid w:val="002F2AF7"/>
    <w:rsid w:val="002F7E1C"/>
    <w:rsid w:val="00301A75"/>
    <w:rsid w:val="00302F70"/>
    <w:rsid w:val="0030336F"/>
    <w:rsid w:val="0030375E"/>
    <w:rsid w:val="003079DC"/>
    <w:rsid w:val="00312A30"/>
    <w:rsid w:val="003134FB"/>
    <w:rsid w:val="00320F72"/>
    <w:rsid w:val="0032463E"/>
    <w:rsid w:val="00326224"/>
    <w:rsid w:val="0032676F"/>
    <w:rsid w:val="00337EE4"/>
    <w:rsid w:val="00340FFD"/>
    <w:rsid w:val="003506B1"/>
    <w:rsid w:val="0035257A"/>
    <w:rsid w:val="00356AC7"/>
    <w:rsid w:val="003609FA"/>
    <w:rsid w:val="00370EA2"/>
    <w:rsid w:val="003710C8"/>
    <w:rsid w:val="003750BE"/>
    <w:rsid w:val="00387B9D"/>
    <w:rsid w:val="0039364F"/>
    <w:rsid w:val="00396686"/>
    <w:rsid w:val="0039778E"/>
    <w:rsid w:val="003A441D"/>
    <w:rsid w:val="003B4941"/>
    <w:rsid w:val="003C5714"/>
    <w:rsid w:val="003C6B9F"/>
    <w:rsid w:val="003C6E2A"/>
    <w:rsid w:val="003D0299"/>
    <w:rsid w:val="003E6D80"/>
    <w:rsid w:val="003F05FA"/>
    <w:rsid w:val="003F244A"/>
    <w:rsid w:val="003F30B8"/>
    <w:rsid w:val="003F4C45"/>
    <w:rsid w:val="003F5F7B"/>
    <w:rsid w:val="003F7D64"/>
    <w:rsid w:val="00414300"/>
    <w:rsid w:val="00424605"/>
    <w:rsid w:val="00425C67"/>
    <w:rsid w:val="00426FFC"/>
    <w:rsid w:val="00427E7A"/>
    <w:rsid w:val="00436307"/>
    <w:rsid w:val="00436C49"/>
    <w:rsid w:val="00445366"/>
    <w:rsid w:val="00447F5B"/>
    <w:rsid w:val="0045300C"/>
    <w:rsid w:val="00461DB0"/>
    <w:rsid w:val="00463926"/>
    <w:rsid w:val="004646E0"/>
    <w:rsid w:val="00464C9A"/>
    <w:rsid w:val="00474F3D"/>
    <w:rsid w:val="00477E3A"/>
    <w:rsid w:val="00483E5F"/>
    <w:rsid w:val="004852BD"/>
    <w:rsid w:val="00485FF9"/>
    <w:rsid w:val="004907F0"/>
    <w:rsid w:val="0049140B"/>
    <w:rsid w:val="004923A5"/>
    <w:rsid w:val="00496BFB"/>
    <w:rsid w:val="00497D04"/>
    <w:rsid w:val="004A15C7"/>
    <w:rsid w:val="004B013B"/>
    <w:rsid w:val="004B112B"/>
    <w:rsid w:val="004C01E4"/>
    <w:rsid w:val="004C086C"/>
    <w:rsid w:val="004C1F56"/>
    <w:rsid w:val="004C27BC"/>
    <w:rsid w:val="004D15F3"/>
    <w:rsid w:val="004D5311"/>
    <w:rsid w:val="004D5DCC"/>
    <w:rsid w:val="004D69CD"/>
    <w:rsid w:val="004D6F3A"/>
    <w:rsid w:val="004F10AF"/>
    <w:rsid w:val="004F11A4"/>
    <w:rsid w:val="004F2389"/>
    <w:rsid w:val="004F304D"/>
    <w:rsid w:val="004F61BE"/>
    <w:rsid w:val="004F66B1"/>
    <w:rsid w:val="00511C07"/>
    <w:rsid w:val="005173A6"/>
    <w:rsid w:val="00520BAA"/>
    <w:rsid w:val="00525208"/>
    <w:rsid w:val="005257A5"/>
    <w:rsid w:val="005264C0"/>
    <w:rsid w:val="00526A8A"/>
    <w:rsid w:val="00531DF2"/>
    <w:rsid w:val="00541747"/>
    <w:rsid w:val="005442EE"/>
    <w:rsid w:val="00547353"/>
    <w:rsid w:val="005474E7"/>
    <w:rsid w:val="005512A3"/>
    <w:rsid w:val="005578CE"/>
    <w:rsid w:val="00562781"/>
    <w:rsid w:val="00563E83"/>
    <w:rsid w:val="0057271C"/>
    <w:rsid w:val="00572845"/>
    <w:rsid w:val="00592772"/>
    <w:rsid w:val="0059574A"/>
    <w:rsid w:val="005A1B9B"/>
    <w:rsid w:val="005A6751"/>
    <w:rsid w:val="005B092E"/>
    <w:rsid w:val="005B152C"/>
    <w:rsid w:val="005B1AA8"/>
    <w:rsid w:val="005B1EE0"/>
    <w:rsid w:val="005B2B24"/>
    <w:rsid w:val="005B4425"/>
    <w:rsid w:val="005B4B94"/>
    <w:rsid w:val="005B589B"/>
    <w:rsid w:val="005C3EE8"/>
    <w:rsid w:val="005D34F9"/>
    <w:rsid w:val="005D4190"/>
    <w:rsid w:val="005D67A3"/>
    <w:rsid w:val="005D67BC"/>
    <w:rsid w:val="005E2988"/>
    <w:rsid w:val="005E2A43"/>
    <w:rsid w:val="005E3085"/>
    <w:rsid w:val="005E438A"/>
    <w:rsid w:val="005F51E1"/>
    <w:rsid w:val="00611C80"/>
    <w:rsid w:val="00620692"/>
    <w:rsid w:val="00620AED"/>
    <w:rsid w:val="006242CA"/>
    <w:rsid w:val="00627507"/>
    <w:rsid w:val="00633717"/>
    <w:rsid w:val="006344E1"/>
    <w:rsid w:val="006423E7"/>
    <w:rsid w:val="006545C4"/>
    <w:rsid w:val="00661971"/>
    <w:rsid w:val="00661CE8"/>
    <w:rsid w:val="0066200D"/>
    <w:rsid w:val="006623D9"/>
    <w:rsid w:val="0066550C"/>
    <w:rsid w:val="006716F2"/>
    <w:rsid w:val="00682BF2"/>
    <w:rsid w:val="006859CE"/>
    <w:rsid w:val="00691270"/>
    <w:rsid w:val="00694BA8"/>
    <w:rsid w:val="006A037C"/>
    <w:rsid w:val="006A36F4"/>
    <w:rsid w:val="006A406F"/>
    <w:rsid w:val="006A5D3A"/>
    <w:rsid w:val="006B0B28"/>
    <w:rsid w:val="006B3D44"/>
    <w:rsid w:val="006C23D4"/>
    <w:rsid w:val="006C2FAB"/>
    <w:rsid w:val="006C7BB0"/>
    <w:rsid w:val="006D3237"/>
    <w:rsid w:val="006E2E37"/>
    <w:rsid w:val="006E3CF1"/>
    <w:rsid w:val="006E6E3F"/>
    <w:rsid w:val="006E7E80"/>
    <w:rsid w:val="006F1DF9"/>
    <w:rsid w:val="006F24DB"/>
    <w:rsid w:val="006F48CA"/>
    <w:rsid w:val="006F64DD"/>
    <w:rsid w:val="00702DF8"/>
    <w:rsid w:val="00703961"/>
    <w:rsid w:val="0070533A"/>
    <w:rsid w:val="00715127"/>
    <w:rsid w:val="00715E8E"/>
    <w:rsid w:val="00723580"/>
    <w:rsid w:val="00723755"/>
    <w:rsid w:val="00723DE5"/>
    <w:rsid w:val="0073136C"/>
    <w:rsid w:val="00731F0F"/>
    <w:rsid w:val="00733250"/>
    <w:rsid w:val="00741404"/>
    <w:rsid w:val="007449E5"/>
    <w:rsid w:val="00746C5A"/>
    <w:rsid w:val="00747FF0"/>
    <w:rsid w:val="0076095F"/>
    <w:rsid w:val="00764D4E"/>
    <w:rsid w:val="00765A1F"/>
    <w:rsid w:val="00775B6D"/>
    <w:rsid w:val="00776D68"/>
    <w:rsid w:val="007850EE"/>
    <w:rsid w:val="00785B95"/>
    <w:rsid w:val="00790E96"/>
    <w:rsid w:val="00793366"/>
    <w:rsid w:val="007A716F"/>
    <w:rsid w:val="007B270A"/>
    <w:rsid w:val="007C0695"/>
    <w:rsid w:val="007C419A"/>
    <w:rsid w:val="007C4CC8"/>
    <w:rsid w:val="007C5426"/>
    <w:rsid w:val="007C5798"/>
    <w:rsid w:val="007D4832"/>
    <w:rsid w:val="007E21B2"/>
    <w:rsid w:val="007E2C4E"/>
    <w:rsid w:val="007F1905"/>
    <w:rsid w:val="00801300"/>
    <w:rsid w:val="00802C64"/>
    <w:rsid w:val="0080368E"/>
    <w:rsid w:val="00805E52"/>
    <w:rsid w:val="008061D0"/>
    <w:rsid w:val="00810B38"/>
    <w:rsid w:val="008204C7"/>
    <w:rsid w:val="00820992"/>
    <w:rsid w:val="00823602"/>
    <w:rsid w:val="008246DF"/>
    <w:rsid w:val="008255F5"/>
    <w:rsid w:val="008271D1"/>
    <w:rsid w:val="0083014E"/>
    <w:rsid w:val="0083214A"/>
    <w:rsid w:val="00834220"/>
    <w:rsid w:val="00845723"/>
    <w:rsid w:val="00851EF9"/>
    <w:rsid w:val="008577FD"/>
    <w:rsid w:val="00860B03"/>
    <w:rsid w:val="0086497A"/>
    <w:rsid w:val="0086631A"/>
    <w:rsid w:val="008713A1"/>
    <w:rsid w:val="0087325A"/>
    <w:rsid w:val="008754AB"/>
    <w:rsid w:val="0088060C"/>
    <w:rsid w:val="00880770"/>
    <w:rsid w:val="00883C5A"/>
    <w:rsid w:val="0088775F"/>
    <w:rsid w:val="00893576"/>
    <w:rsid w:val="00893E73"/>
    <w:rsid w:val="008A43C4"/>
    <w:rsid w:val="008B02DC"/>
    <w:rsid w:val="008B57CE"/>
    <w:rsid w:val="008B659F"/>
    <w:rsid w:val="008C26DE"/>
    <w:rsid w:val="008C3B4F"/>
    <w:rsid w:val="008D2225"/>
    <w:rsid w:val="008D4752"/>
    <w:rsid w:val="008D552A"/>
    <w:rsid w:val="008E271C"/>
    <w:rsid w:val="008E418E"/>
    <w:rsid w:val="008E5BC6"/>
    <w:rsid w:val="008E6A25"/>
    <w:rsid w:val="008F5193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20DC7"/>
    <w:rsid w:val="009259AC"/>
    <w:rsid w:val="00926F38"/>
    <w:rsid w:val="00934301"/>
    <w:rsid w:val="00936CD1"/>
    <w:rsid w:val="00941747"/>
    <w:rsid w:val="00941EFB"/>
    <w:rsid w:val="00947AFB"/>
    <w:rsid w:val="00951D7D"/>
    <w:rsid w:val="00952C12"/>
    <w:rsid w:val="009630C7"/>
    <w:rsid w:val="00972B55"/>
    <w:rsid w:val="009743B7"/>
    <w:rsid w:val="0098228B"/>
    <w:rsid w:val="009828DA"/>
    <w:rsid w:val="00985BAB"/>
    <w:rsid w:val="00997F03"/>
    <w:rsid w:val="009A46DF"/>
    <w:rsid w:val="009B1B5F"/>
    <w:rsid w:val="009B2EC2"/>
    <w:rsid w:val="009B6673"/>
    <w:rsid w:val="009C191B"/>
    <w:rsid w:val="009C2BD6"/>
    <w:rsid w:val="009E1F32"/>
    <w:rsid w:val="009E4BCA"/>
    <w:rsid w:val="009E5829"/>
    <w:rsid w:val="009E776C"/>
    <w:rsid w:val="009F3A07"/>
    <w:rsid w:val="00A10922"/>
    <w:rsid w:val="00A1726E"/>
    <w:rsid w:val="00A204CF"/>
    <w:rsid w:val="00A20767"/>
    <w:rsid w:val="00A22722"/>
    <w:rsid w:val="00A23D49"/>
    <w:rsid w:val="00A27004"/>
    <w:rsid w:val="00A30C29"/>
    <w:rsid w:val="00A34DD6"/>
    <w:rsid w:val="00A36819"/>
    <w:rsid w:val="00A36989"/>
    <w:rsid w:val="00A43628"/>
    <w:rsid w:val="00A46C9E"/>
    <w:rsid w:val="00A54192"/>
    <w:rsid w:val="00A6035E"/>
    <w:rsid w:val="00A6144C"/>
    <w:rsid w:val="00A66617"/>
    <w:rsid w:val="00A671F8"/>
    <w:rsid w:val="00A673A4"/>
    <w:rsid w:val="00A724AE"/>
    <w:rsid w:val="00A73329"/>
    <w:rsid w:val="00A82359"/>
    <w:rsid w:val="00A865D2"/>
    <w:rsid w:val="00A94C20"/>
    <w:rsid w:val="00A96ED6"/>
    <w:rsid w:val="00AA227F"/>
    <w:rsid w:val="00AA3BC7"/>
    <w:rsid w:val="00AA754A"/>
    <w:rsid w:val="00AB099E"/>
    <w:rsid w:val="00AB4328"/>
    <w:rsid w:val="00AB5FA0"/>
    <w:rsid w:val="00AC3F23"/>
    <w:rsid w:val="00AE0A2E"/>
    <w:rsid w:val="00AE354C"/>
    <w:rsid w:val="00AF4B07"/>
    <w:rsid w:val="00AF6186"/>
    <w:rsid w:val="00AF7A3A"/>
    <w:rsid w:val="00B160DB"/>
    <w:rsid w:val="00B20836"/>
    <w:rsid w:val="00B235BB"/>
    <w:rsid w:val="00B2779F"/>
    <w:rsid w:val="00B27A44"/>
    <w:rsid w:val="00B30BBF"/>
    <w:rsid w:val="00B33C03"/>
    <w:rsid w:val="00B3514C"/>
    <w:rsid w:val="00B44E56"/>
    <w:rsid w:val="00B46543"/>
    <w:rsid w:val="00B47D33"/>
    <w:rsid w:val="00B52BE0"/>
    <w:rsid w:val="00B54133"/>
    <w:rsid w:val="00B637B9"/>
    <w:rsid w:val="00B701ED"/>
    <w:rsid w:val="00B74158"/>
    <w:rsid w:val="00B8086C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40F0"/>
    <w:rsid w:val="00BB5883"/>
    <w:rsid w:val="00BB68EA"/>
    <w:rsid w:val="00BC1C27"/>
    <w:rsid w:val="00BC5B04"/>
    <w:rsid w:val="00BC6BBF"/>
    <w:rsid w:val="00BD1572"/>
    <w:rsid w:val="00BE14E3"/>
    <w:rsid w:val="00BE3774"/>
    <w:rsid w:val="00BE41E5"/>
    <w:rsid w:val="00BE4E67"/>
    <w:rsid w:val="00BF0BBB"/>
    <w:rsid w:val="00BF4109"/>
    <w:rsid w:val="00BF4CC3"/>
    <w:rsid w:val="00C054C7"/>
    <w:rsid w:val="00C057B5"/>
    <w:rsid w:val="00C168D6"/>
    <w:rsid w:val="00C20D42"/>
    <w:rsid w:val="00C22687"/>
    <w:rsid w:val="00C32E4D"/>
    <w:rsid w:val="00C333A0"/>
    <w:rsid w:val="00C36A81"/>
    <w:rsid w:val="00C41974"/>
    <w:rsid w:val="00C447AD"/>
    <w:rsid w:val="00C53F4A"/>
    <w:rsid w:val="00C54125"/>
    <w:rsid w:val="00C55B54"/>
    <w:rsid w:val="00C6098E"/>
    <w:rsid w:val="00C6152C"/>
    <w:rsid w:val="00C621C2"/>
    <w:rsid w:val="00C74810"/>
    <w:rsid w:val="00C90D68"/>
    <w:rsid w:val="00C939FE"/>
    <w:rsid w:val="00CA2CD6"/>
    <w:rsid w:val="00CA4AD3"/>
    <w:rsid w:val="00CA4BDA"/>
    <w:rsid w:val="00CB1F66"/>
    <w:rsid w:val="00CB2951"/>
    <w:rsid w:val="00CB7742"/>
    <w:rsid w:val="00CD282B"/>
    <w:rsid w:val="00CD4C35"/>
    <w:rsid w:val="00CD7369"/>
    <w:rsid w:val="00CE0B0E"/>
    <w:rsid w:val="00CE3831"/>
    <w:rsid w:val="00D00ABB"/>
    <w:rsid w:val="00D02EEC"/>
    <w:rsid w:val="00D03551"/>
    <w:rsid w:val="00D04DEF"/>
    <w:rsid w:val="00D06A63"/>
    <w:rsid w:val="00D07E0E"/>
    <w:rsid w:val="00D11478"/>
    <w:rsid w:val="00D15ED0"/>
    <w:rsid w:val="00D21B3E"/>
    <w:rsid w:val="00D21FED"/>
    <w:rsid w:val="00D24251"/>
    <w:rsid w:val="00D343E2"/>
    <w:rsid w:val="00D35194"/>
    <w:rsid w:val="00D361A2"/>
    <w:rsid w:val="00D44C2E"/>
    <w:rsid w:val="00D45414"/>
    <w:rsid w:val="00D52CA1"/>
    <w:rsid w:val="00D53C0F"/>
    <w:rsid w:val="00D566BD"/>
    <w:rsid w:val="00D57A4D"/>
    <w:rsid w:val="00D60AA7"/>
    <w:rsid w:val="00D60D87"/>
    <w:rsid w:val="00D6435F"/>
    <w:rsid w:val="00D737B7"/>
    <w:rsid w:val="00D75E28"/>
    <w:rsid w:val="00D772C2"/>
    <w:rsid w:val="00D8008E"/>
    <w:rsid w:val="00D8121F"/>
    <w:rsid w:val="00D82C45"/>
    <w:rsid w:val="00D835EA"/>
    <w:rsid w:val="00D908A8"/>
    <w:rsid w:val="00D96E46"/>
    <w:rsid w:val="00D977B6"/>
    <w:rsid w:val="00DA4A31"/>
    <w:rsid w:val="00DA61F2"/>
    <w:rsid w:val="00DA7B04"/>
    <w:rsid w:val="00DB2371"/>
    <w:rsid w:val="00DB36C2"/>
    <w:rsid w:val="00DB7196"/>
    <w:rsid w:val="00DC169B"/>
    <w:rsid w:val="00DC2AB9"/>
    <w:rsid w:val="00DC63F0"/>
    <w:rsid w:val="00DD26EB"/>
    <w:rsid w:val="00DD6EE5"/>
    <w:rsid w:val="00DE12E9"/>
    <w:rsid w:val="00DE1B8E"/>
    <w:rsid w:val="00DE386C"/>
    <w:rsid w:val="00DE4D35"/>
    <w:rsid w:val="00DE64C0"/>
    <w:rsid w:val="00DF0549"/>
    <w:rsid w:val="00DF098B"/>
    <w:rsid w:val="00DF11C4"/>
    <w:rsid w:val="00DF210C"/>
    <w:rsid w:val="00DF4B6A"/>
    <w:rsid w:val="00E02C09"/>
    <w:rsid w:val="00E04D59"/>
    <w:rsid w:val="00E07DA1"/>
    <w:rsid w:val="00E123CB"/>
    <w:rsid w:val="00E1557C"/>
    <w:rsid w:val="00E20E13"/>
    <w:rsid w:val="00E21B4B"/>
    <w:rsid w:val="00E21DBC"/>
    <w:rsid w:val="00E275D7"/>
    <w:rsid w:val="00E27DBE"/>
    <w:rsid w:val="00E32AB1"/>
    <w:rsid w:val="00E36C71"/>
    <w:rsid w:val="00E40404"/>
    <w:rsid w:val="00E45095"/>
    <w:rsid w:val="00E4584F"/>
    <w:rsid w:val="00E459C6"/>
    <w:rsid w:val="00E47589"/>
    <w:rsid w:val="00E575D1"/>
    <w:rsid w:val="00E64915"/>
    <w:rsid w:val="00E661D4"/>
    <w:rsid w:val="00E70091"/>
    <w:rsid w:val="00E720F5"/>
    <w:rsid w:val="00E76D47"/>
    <w:rsid w:val="00E849F7"/>
    <w:rsid w:val="00E85A7D"/>
    <w:rsid w:val="00E90302"/>
    <w:rsid w:val="00E9597F"/>
    <w:rsid w:val="00E97396"/>
    <w:rsid w:val="00EA185E"/>
    <w:rsid w:val="00EA592A"/>
    <w:rsid w:val="00EB14E4"/>
    <w:rsid w:val="00EB32A5"/>
    <w:rsid w:val="00EB34ED"/>
    <w:rsid w:val="00EB7BE0"/>
    <w:rsid w:val="00EC315E"/>
    <w:rsid w:val="00ED077C"/>
    <w:rsid w:val="00ED1190"/>
    <w:rsid w:val="00ED6544"/>
    <w:rsid w:val="00EE0277"/>
    <w:rsid w:val="00EE1DA9"/>
    <w:rsid w:val="00EE3E00"/>
    <w:rsid w:val="00EE5DD2"/>
    <w:rsid w:val="00EF41F1"/>
    <w:rsid w:val="00EF4F08"/>
    <w:rsid w:val="00F00A79"/>
    <w:rsid w:val="00F00E86"/>
    <w:rsid w:val="00F00F8B"/>
    <w:rsid w:val="00F07C1E"/>
    <w:rsid w:val="00F105DB"/>
    <w:rsid w:val="00F132BC"/>
    <w:rsid w:val="00F13D80"/>
    <w:rsid w:val="00F16AAA"/>
    <w:rsid w:val="00F21161"/>
    <w:rsid w:val="00F218EF"/>
    <w:rsid w:val="00F21BC7"/>
    <w:rsid w:val="00F266A2"/>
    <w:rsid w:val="00F32269"/>
    <w:rsid w:val="00F4010B"/>
    <w:rsid w:val="00F4457E"/>
    <w:rsid w:val="00F56A6F"/>
    <w:rsid w:val="00F5709C"/>
    <w:rsid w:val="00F64EF1"/>
    <w:rsid w:val="00F668F4"/>
    <w:rsid w:val="00F8765F"/>
    <w:rsid w:val="00F90767"/>
    <w:rsid w:val="00F9362F"/>
    <w:rsid w:val="00FA4375"/>
    <w:rsid w:val="00FA685B"/>
    <w:rsid w:val="00FB0C01"/>
    <w:rsid w:val="00FC18F2"/>
    <w:rsid w:val="00FC39E5"/>
    <w:rsid w:val="00FC3A78"/>
    <w:rsid w:val="00FC5FFE"/>
    <w:rsid w:val="00FD1005"/>
    <w:rsid w:val="00FD3180"/>
    <w:rsid w:val="00FD6C75"/>
    <w:rsid w:val="00FE71B3"/>
    <w:rsid w:val="00FF42C5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271D1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271D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271D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271D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271D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8271D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271D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271D1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271D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271D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D1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8271D1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8271D1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8271D1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8271D1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8271D1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8271D1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8271D1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8271D1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8271D1"/>
  </w:style>
  <w:style w:type="paragraph" w:customStyle="1" w:styleId="JuParaSub">
    <w:name w:val="Ju_Para_Sub"/>
    <w:basedOn w:val="ECHRPara"/>
    <w:uiPriority w:val="13"/>
    <w:unhideWhenUsed/>
    <w:qFormat/>
    <w:rsid w:val="008271D1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8271D1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8271D1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8271D1"/>
  </w:style>
  <w:style w:type="paragraph" w:customStyle="1" w:styleId="OpiQuot">
    <w:name w:val="Opi_Quot"/>
    <w:basedOn w:val="ECHRParaQuote"/>
    <w:uiPriority w:val="48"/>
    <w:qFormat/>
    <w:rsid w:val="008271D1"/>
  </w:style>
  <w:style w:type="paragraph" w:customStyle="1" w:styleId="OpiQuotSub">
    <w:name w:val="Opi_Quot_Sub"/>
    <w:basedOn w:val="JuQuotSub"/>
    <w:uiPriority w:val="49"/>
    <w:qFormat/>
    <w:rsid w:val="008271D1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8271D1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8271D1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8271D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271D1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8271D1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8271D1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8271D1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8271D1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8271D1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8271D1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8271D1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8271D1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8271D1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8271D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8271D1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8271D1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8271D1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271D1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8271D1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8271D1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271D1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271D1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271D1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8271D1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8271D1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8271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8271D1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8271D1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8271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271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1D1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271D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271D1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271D1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271D1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8271D1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8271D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271D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271D1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8271D1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8271D1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8271D1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271D1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8271D1"/>
    <w:rPr>
      <w:smallCaps/>
    </w:rPr>
  </w:style>
  <w:style w:type="table" w:styleId="TableGrid">
    <w:name w:val="Table Grid"/>
    <w:basedOn w:val="TableNormal"/>
    <w:uiPriority w:val="59"/>
    <w:semiHidden/>
    <w:rsid w:val="008271D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8271D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271D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8271D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8271D1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8271D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8271D1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8271D1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8271D1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8271D1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8271D1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8271D1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8271D1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8271D1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8271D1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8271D1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8271D1"/>
    <w:pPr>
      <w:ind w:left="346" w:firstLine="0"/>
    </w:pPr>
  </w:style>
  <w:style w:type="paragraph" w:customStyle="1" w:styleId="OpiTranslation">
    <w:name w:val="Opi_Translation"/>
    <w:basedOn w:val="Normal"/>
    <w:next w:val="OpiPara"/>
    <w:uiPriority w:val="40"/>
    <w:qFormat/>
    <w:rsid w:val="008271D1"/>
    <w:pPr>
      <w:jc w:val="center"/>
      <w:outlineLvl w:val="0"/>
    </w:pPr>
    <w:rPr>
      <w:i/>
    </w:r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DecHTitle">
    <w:name w:val="Dec_H_Title"/>
    <w:basedOn w:val="ECHRTitleCentre1"/>
    <w:uiPriority w:val="7"/>
    <w:qFormat/>
    <w:rsid w:val="008271D1"/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JuCourt">
    <w:name w:val="Ju_Court"/>
    <w:basedOn w:val="Normal"/>
    <w:next w:val="Normal"/>
    <w:uiPriority w:val="16"/>
    <w:qFormat/>
    <w:rsid w:val="008271D1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8271D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8271D1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8271D1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8271D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8271D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DecList">
    <w:name w:val="Dec_List"/>
    <w:basedOn w:val="Normal"/>
    <w:uiPriority w:val="9"/>
    <w:qFormat/>
    <w:rsid w:val="008271D1"/>
    <w:pPr>
      <w:spacing w:before="240"/>
      <w:ind w:left="284"/>
    </w:pPr>
  </w:style>
  <w:style w:type="paragraph" w:customStyle="1" w:styleId="JuListi">
    <w:name w:val="Ju_List_i"/>
    <w:basedOn w:val="Normal"/>
    <w:next w:val="JuLista"/>
    <w:uiPriority w:val="28"/>
    <w:qFormat/>
    <w:rsid w:val="008271D1"/>
    <w:pPr>
      <w:ind w:left="794"/>
    </w:pPr>
  </w:style>
  <w:style w:type="paragraph" w:customStyle="1" w:styleId="OpiH1">
    <w:name w:val="Opi_H_1"/>
    <w:basedOn w:val="ECHRHeading2"/>
    <w:uiPriority w:val="42"/>
    <w:qFormat/>
    <w:rsid w:val="008271D1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8271D1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8271D1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8271D1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8271D1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FA4375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1411-E85B-4779-B82F-EDC9B625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2016-12-07T09:13:00Z</dcterms:created>
  <dcterms:modified xsi:type="dcterms:W3CDTF">2016-12-07T09:13:00Z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