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81" w:rsidRPr="00C02AC8" w:rsidRDefault="00470981" w:rsidP="00C02AC8">
      <w:pPr>
        <w:jc w:val="center"/>
      </w:pPr>
    </w:p>
    <w:p w:rsidR="00EB45B8" w:rsidRPr="00C02AC8" w:rsidRDefault="00EB45B8" w:rsidP="00C02AC8">
      <w:pPr>
        <w:jc w:val="center"/>
      </w:pPr>
    </w:p>
    <w:p w:rsidR="00EB45B8" w:rsidRPr="00C02AC8" w:rsidRDefault="00EB45B8" w:rsidP="00C02AC8">
      <w:pPr>
        <w:jc w:val="center"/>
      </w:pPr>
    </w:p>
    <w:p w:rsidR="00470981" w:rsidRPr="00E9312C" w:rsidRDefault="00354D47" w:rsidP="00C02AC8">
      <w:pPr>
        <w:jc w:val="center"/>
      </w:pPr>
      <w:r w:rsidRPr="00E9312C">
        <w:t>ПЕТО ОТДЕЛЕНИЕ</w:t>
      </w:r>
    </w:p>
    <w:p w:rsidR="00470981" w:rsidRPr="00DA3B09" w:rsidRDefault="00470981" w:rsidP="00C02AC8">
      <w:pPr>
        <w:jc w:val="center"/>
      </w:pPr>
    </w:p>
    <w:p w:rsidR="00EB45B8" w:rsidRPr="00DA3B09" w:rsidRDefault="00EB45B8" w:rsidP="00C02AC8">
      <w:pPr>
        <w:jc w:val="center"/>
      </w:pPr>
    </w:p>
    <w:p w:rsidR="00EB45B8" w:rsidRPr="00DA3B09" w:rsidRDefault="00EB45B8" w:rsidP="00C02AC8">
      <w:pPr>
        <w:jc w:val="center"/>
      </w:pPr>
    </w:p>
    <w:p w:rsidR="00EB45B8" w:rsidRPr="00DA3B09" w:rsidRDefault="00EB45B8" w:rsidP="00C02AC8">
      <w:pPr>
        <w:jc w:val="center"/>
      </w:pPr>
    </w:p>
    <w:p w:rsidR="00EB45B8" w:rsidRPr="00DA3B09" w:rsidRDefault="00EB45B8" w:rsidP="00C02AC8">
      <w:pPr>
        <w:jc w:val="center"/>
      </w:pPr>
    </w:p>
    <w:p w:rsidR="00EB45B8" w:rsidRPr="00DA3B09" w:rsidRDefault="00EB45B8" w:rsidP="00C02AC8">
      <w:pPr>
        <w:jc w:val="center"/>
      </w:pPr>
    </w:p>
    <w:p w:rsidR="007D338C" w:rsidRPr="00DA3B09" w:rsidRDefault="007D338C" w:rsidP="00C02AC8">
      <w:pPr>
        <w:jc w:val="center"/>
      </w:pPr>
    </w:p>
    <w:p w:rsidR="00EB45B8" w:rsidRPr="00DA3B09" w:rsidRDefault="00EB45B8" w:rsidP="00C02AC8">
      <w:pPr>
        <w:jc w:val="center"/>
      </w:pPr>
    </w:p>
    <w:p w:rsidR="00470981" w:rsidRPr="00DA3B09" w:rsidRDefault="00470981" w:rsidP="00C02AC8">
      <w:pPr>
        <w:jc w:val="center"/>
        <w:rPr>
          <w:b/>
        </w:rPr>
      </w:pPr>
      <w:bookmarkStart w:id="0" w:name="To"/>
      <w:r w:rsidRPr="00DA3B09">
        <w:rPr>
          <w:b/>
        </w:rPr>
        <w:t xml:space="preserve">ДЕЛО </w:t>
      </w:r>
      <w:bookmarkEnd w:id="0"/>
      <w:r w:rsidRPr="00DA3B09">
        <w:rPr>
          <w:b/>
        </w:rPr>
        <w:t>МИХАЛЕВИ СРЕЩУ БЪЛГАРИЯ</w:t>
      </w:r>
    </w:p>
    <w:p w:rsidR="00470981" w:rsidRPr="00DA3B09" w:rsidRDefault="00470981" w:rsidP="00C02AC8">
      <w:pPr>
        <w:jc w:val="center"/>
      </w:pPr>
    </w:p>
    <w:p w:rsidR="00470981" w:rsidRPr="00DA3B09" w:rsidRDefault="00470981" w:rsidP="00C02AC8">
      <w:pPr>
        <w:jc w:val="center"/>
        <w:rPr>
          <w:i/>
        </w:rPr>
      </w:pPr>
      <w:r w:rsidRPr="00DA3B09">
        <w:rPr>
          <w:i/>
        </w:rPr>
        <w:t>(Жалба № 63481/11)</w:t>
      </w:r>
    </w:p>
    <w:p w:rsidR="00EB45B8" w:rsidRPr="00DA3B09" w:rsidRDefault="00EB45B8" w:rsidP="00C02AC8">
      <w:pPr>
        <w:jc w:val="center"/>
        <w:rPr>
          <w:i/>
        </w:rPr>
      </w:pPr>
    </w:p>
    <w:p w:rsidR="00EB45B8" w:rsidRPr="00DA3B09" w:rsidRDefault="00EB45B8" w:rsidP="00C02AC8">
      <w:pPr>
        <w:jc w:val="center"/>
        <w:rPr>
          <w:i/>
        </w:rPr>
      </w:pPr>
    </w:p>
    <w:p w:rsidR="00EB45B8" w:rsidRPr="00DA3B09" w:rsidRDefault="00EB45B8" w:rsidP="00C02AC8">
      <w:pPr>
        <w:jc w:val="center"/>
        <w:rPr>
          <w:i/>
        </w:rPr>
      </w:pPr>
    </w:p>
    <w:p w:rsidR="00EB45B8" w:rsidRPr="00DA3B09" w:rsidRDefault="00EB45B8" w:rsidP="00C02AC8">
      <w:pPr>
        <w:jc w:val="center"/>
        <w:rPr>
          <w:i/>
        </w:rPr>
      </w:pPr>
    </w:p>
    <w:p w:rsidR="00EB45B8" w:rsidRPr="00DA3B09" w:rsidRDefault="00EB45B8" w:rsidP="00C02AC8">
      <w:pPr>
        <w:jc w:val="center"/>
        <w:rPr>
          <w:i/>
        </w:rPr>
      </w:pPr>
    </w:p>
    <w:p w:rsidR="00354D47" w:rsidRPr="00DA3B09" w:rsidRDefault="00EB45B8" w:rsidP="00C02AC8">
      <w:pPr>
        <w:jc w:val="center"/>
        <w:rPr>
          <w:szCs w:val="24"/>
        </w:rPr>
      </w:pPr>
      <w:r w:rsidRPr="00DA3B09">
        <w:t>РЕШЕНИЕ</w:t>
      </w:r>
    </w:p>
    <w:p w:rsidR="00470981" w:rsidRPr="00DA3B09" w:rsidRDefault="00354D47" w:rsidP="00C02AC8">
      <w:pPr>
        <w:jc w:val="center"/>
        <w:rPr>
          <w:i/>
          <w:szCs w:val="24"/>
        </w:rPr>
      </w:pPr>
      <w:r w:rsidRPr="00DA3B09">
        <w:rPr>
          <w:i/>
        </w:rPr>
        <w:t>(Справедливо обезщетение)</w:t>
      </w:r>
    </w:p>
    <w:p w:rsidR="00EB45B8" w:rsidRPr="00DA3B09" w:rsidRDefault="00EB45B8" w:rsidP="00C02AC8">
      <w:pPr>
        <w:jc w:val="center"/>
        <w:rPr>
          <w:szCs w:val="24"/>
        </w:rPr>
      </w:pPr>
    </w:p>
    <w:p w:rsidR="007D338C" w:rsidRPr="00DA3B09" w:rsidRDefault="007D338C" w:rsidP="00C02AC8">
      <w:pPr>
        <w:jc w:val="center"/>
        <w:rPr>
          <w:szCs w:val="24"/>
        </w:rPr>
      </w:pPr>
    </w:p>
    <w:p w:rsidR="007D338C" w:rsidRPr="00DA3B09" w:rsidRDefault="007D338C" w:rsidP="00C02AC8">
      <w:pPr>
        <w:jc w:val="center"/>
        <w:rPr>
          <w:szCs w:val="24"/>
        </w:rPr>
      </w:pPr>
    </w:p>
    <w:p w:rsidR="007D338C" w:rsidRPr="00DA3B09" w:rsidRDefault="007D338C" w:rsidP="00C02AC8">
      <w:pPr>
        <w:jc w:val="center"/>
        <w:rPr>
          <w:szCs w:val="24"/>
        </w:rPr>
      </w:pPr>
    </w:p>
    <w:p w:rsidR="007D338C" w:rsidRPr="00DA3B09" w:rsidRDefault="007D338C" w:rsidP="00C02AC8">
      <w:pPr>
        <w:jc w:val="center"/>
        <w:rPr>
          <w:szCs w:val="24"/>
        </w:rPr>
      </w:pPr>
    </w:p>
    <w:p w:rsidR="00EB45B8" w:rsidRPr="00DA3B09" w:rsidRDefault="00EB45B8" w:rsidP="00C02AC8">
      <w:pPr>
        <w:jc w:val="center"/>
        <w:rPr>
          <w:szCs w:val="24"/>
        </w:rPr>
      </w:pPr>
    </w:p>
    <w:p w:rsidR="00EB45B8" w:rsidRPr="00DA3B09" w:rsidRDefault="00EB45B8" w:rsidP="00C02AC8">
      <w:pPr>
        <w:jc w:val="center"/>
        <w:rPr>
          <w:szCs w:val="24"/>
        </w:rPr>
      </w:pPr>
      <w:r w:rsidRPr="00DA3B09">
        <w:t>СТРАСБУРГ</w:t>
      </w:r>
    </w:p>
    <w:p w:rsidR="00EB45B8" w:rsidRPr="00DA3B09" w:rsidRDefault="00EB45B8" w:rsidP="00C02AC8">
      <w:pPr>
        <w:jc w:val="center"/>
        <w:rPr>
          <w:szCs w:val="24"/>
        </w:rPr>
      </w:pPr>
    </w:p>
    <w:p w:rsidR="00EB45B8" w:rsidRPr="00DA3B09" w:rsidRDefault="00EB45B8" w:rsidP="00C02AC8">
      <w:pPr>
        <w:jc w:val="center"/>
        <w:rPr>
          <w:szCs w:val="24"/>
        </w:rPr>
      </w:pPr>
    </w:p>
    <w:p w:rsidR="00EB45B8" w:rsidRPr="00DA3B09" w:rsidRDefault="00EB45B8" w:rsidP="00C02AC8">
      <w:pPr>
        <w:jc w:val="center"/>
        <w:rPr>
          <w:szCs w:val="24"/>
        </w:rPr>
      </w:pPr>
      <w:r w:rsidRPr="00DA3B09">
        <w:t>16 май 2019 г.</w:t>
      </w:r>
    </w:p>
    <w:p w:rsidR="00EB45B8" w:rsidRPr="00DA3B09" w:rsidRDefault="00EB45B8" w:rsidP="00C02AC8">
      <w:pPr>
        <w:jc w:val="center"/>
        <w:rPr>
          <w:szCs w:val="24"/>
        </w:rPr>
      </w:pPr>
    </w:p>
    <w:p w:rsidR="00EB45B8" w:rsidRPr="00DA3B09" w:rsidRDefault="00EB45B8" w:rsidP="00C02AC8">
      <w:pPr>
        <w:jc w:val="center"/>
        <w:rPr>
          <w:szCs w:val="24"/>
        </w:rPr>
      </w:pPr>
    </w:p>
    <w:p w:rsidR="00EB45B8" w:rsidRPr="00DA3B09" w:rsidRDefault="00EB45B8" w:rsidP="00C02AC8">
      <w:pPr>
        <w:jc w:val="center"/>
        <w:rPr>
          <w:szCs w:val="24"/>
        </w:rPr>
      </w:pPr>
    </w:p>
    <w:p w:rsidR="009775F9" w:rsidRPr="00DA3B09" w:rsidRDefault="00EB45B8" w:rsidP="00C02AC8">
      <w:pPr>
        <w:rPr>
          <w:szCs w:val="24"/>
        </w:rPr>
      </w:pPr>
      <w:r w:rsidRPr="00DA3B09">
        <w:rPr>
          <w:i/>
          <w:sz w:val="22"/>
        </w:rPr>
        <w:t>Настоящото решение е окончателно, но може да бъде предмет на редакционни промени.</w:t>
      </w:r>
    </w:p>
    <w:p w:rsidR="00EB45B8" w:rsidRPr="00DA3B09" w:rsidRDefault="00EB45B8" w:rsidP="00C02AC8">
      <w:pPr>
        <w:pStyle w:val="JuCase"/>
        <w:sectPr w:rsidR="00EB45B8" w:rsidRPr="00DA3B09" w:rsidSect="00EB45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titlePg/>
          <w:docGrid w:linePitch="326"/>
        </w:sectPr>
      </w:pPr>
    </w:p>
    <w:p w:rsidR="00470981" w:rsidRPr="00DA3B09" w:rsidRDefault="00470981" w:rsidP="00C02AC8">
      <w:pPr>
        <w:pStyle w:val="JuCase"/>
        <w:rPr>
          <w:b w:val="0"/>
          <w:bCs/>
        </w:rPr>
      </w:pPr>
      <w:r w:rsidRPr="00DA3B09">
        <w:lastRenderedPageBreak/>
        <w:t>По делото Михалеви срещу България,</w:t>
      </w:r>
    </w:p>
    <w:p w:rsidR="00470981" w:rsidRPr="00DA3B09" w:rsidRDefault="00470981" w:rsidP="00C02AC8">
      <w:pPr>
        <w:pStyle w:val="ECHRPara"/>
        <w:rPr>
          <w:b/>
        </w:rPr>
      </w:pPr>
      <w:r w:rsidRPr="00DA3B09">
        <w:t>Европейският съд по правата на човека (Пето отделение), заседаващ като комитет</w:t>
      </w:r>
      <w:r w:rsidR="00E025E6" w:rsidRPr="00282F4B">
        <w:t xml:space="preserve"> </w:t>
      </w:r>
      <w:r w:rsidR="00E025E6" w:rsidRPr="00DA3B09">
        <w:t>в състав</w:t>
      </w:r>
      <w:r w:rsidRPr="00DA3B09">
        <w:t>:</w:t>
      </w:r>
    </w:p>
    <w:p w:rsidR="00470981" w:rsidRPr="00DA3B09" w:rsidRDefault="00EB45B8" w:rsidP="00C02AC8">
      <w:pPr>
        <w:pStyle w:val="ECHRDecisionBody"/>
      </w:pPr>
      <w:r w:rsidRPr="00DA3B09">
        <w:tab/>
        <w:t xml:space="preserve">Габриеле Куцко-Щадлмайер (Gabriele Kucsko-Stadlmayer), </w:t>
      </w:r>
      <w:r w:rsidRPr="00DA3B09">
        <w:rPr>
          <w:i/>
        </w:rPr>
        <w:t>председател,</w:t>
      </w:r>
      <w:r w:rsidRPr="00DA3B09">
        <w:br/>
      </w:r>
      <w:r w:rsidRPr="00DA3B09">
        <w:tab/>
        <w:t>Йонко Грозев (Yonko Grozev),</w:t>
      </w:r>
      <w:r w:rsidRPr="00DA3B09">
        <w:br/>
      </w:r>
      <w:r w:rsidRPr="00DA3B09">
        <w:tab/>
        <w:t>Ладо Чантурия (Lado Chanturia),</w:t>
      </w:r>
      <w:r w:rsidRPr="00DA3B09">
        <w:rPr>
          <w:i/>
        </w:rPr>
        <w:t xml:space="preserve"> съдии,</w:t>
      </w:r>
      <w:r w:rsidRPr="00DA3B09">
        <w:br/>
        <w:t>и Милан Бла</w:t>
      </w:r>
      <w:r w:rsidR="006050D4">
        <w:t>с</w:t>
      </w:r>
      <w:r w:rsidRPr="00DA3B09">
        <w:t xml:space="preserve">ко (Milan Blaško), </w:t>
      </w:r>
      <w:r w:rsidRPr="00DA3B09">
        <w:rPr>
          <w:i/>
        </w:rPr>
        <w:t>заместник-секретар на отделението,</w:t>
      </w:r>
    </w:p>
    <w:p w:rsidR="00470981" w:rsidRPr="00DA3B09" w:rsidRDefault="00470981" w:rsidP="00C02AC8">
      <w:pPr>
        <w:pStyle w:val="ECHRPara"/>
      </w:pPr>
      <w:r w:rsidRPr="00DA3B09">
        <w:t>След закрито заседание, проведено на 23 април 2019 г.,</w:t>
      </w:r>
    </w:p>
    <w:p w:rsidR="00470981" w:rsidRPr="00DA3B09" w:rsidRDefault="00470981" w:rsidP="00C02AC8">
      <w:pPr>
        <w:pStyle w:val="ECHRPara"/>
      </w:pPr>
      <w:r w:rsidRPr="00DA3B09">
        <w:t>Постановява следното решение, прието на същата дата:</w:t>
      </w:r>
    </w:p>
    <w:p w:rsidR="00470981" w:rsidRPr="00DA3B09" w:rsidRDefault="00470981" w:rsidP="00C02AC8">
      <w:pPr>
        <w:pStyle w:val="ECHRTitle1"/>
      </w:pPr>
      <w:r w:rsidRPr="00DA3B09">
        <w:t>ПРОЦЕДУРА</w:t>
      </w:r>
    </w:p>
    <w:p w:rsidR="00354D47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1</w:t>
      </w:r>
      <w:r>
        <w:rPr>
          <w:noProof/>
        </w:rPr>
        <w:fldChar w:fldCharType="end"/>
      </w:r>
      <w:r w:rsidR="00354D47" w:rsidRPr="00E9312C">
        <w:t xml:space="preserve">.  Делото е образувано по жалба (№ 63481/11) срещу Република България, подадена в Съда на основание чл. 34 от Конвенцията за защита на правата на човека и основните </w:t>
      </w:r>
      <w:r w:rsidR="00354D47" w:rsidRPr="00DA3B09">
        <w:t>свободи (”Конвенцията”) от двама български граждани, г-н Цветан Цветанов Михалев и г-жа Елеонора Петкова Михалева, на 26 септември 2011 г.</w:t>
      </w:r>
    </w:p>
    <w:p w:rsidR="00112229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2</w:t>
      </w:r>
      <w:r>
        <w:rPr>
          <w:noProof/>
        </w:rPr>
        <w:fldChar w:fldCharType="end"/>
      </w:r>
      <w:r w:rsidR="00112229" w:rsidRPr="00E9312C">
        <w:t>.  Жалбоподателите се представляват от г-жа Н. Седефова, адвокат, практикуващ в София. Бълга</w:t>
      </w:r>
      <w:r w:rsidR="00112229" w:rsidRPr="00DA3B09">
        <w:t>рското правителство („Правителството”) се представлява от правителствения агент г-жа Р. Николова от Министерство на правосъдието.</w:t>
      </w:r>
    </w:p>
    <w:p w:rsidR="00470981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3</w:t>
      </w:r>
      <w:r>
        <w:rPr>
          <w:noProof/>
        </w:rPr>
        <w:fldChar w:fldCharType="end"/>
      </w:r>
      <w:r w:rsidR="00354D47" w:rsidRPr="00E9312C">
        <w:t xml:space="preserve">.  В решение, постановено на 21 юни 2018 г. („основното решение“, вж. </w:t>
      </w:r>
      <w:r w:rsidR="00354D47" w:rsidRPr="00DA3B09">
        <w:rPr>
          <w:i/>
        </w:rPr>
        <w:t>Михалеви срещу България</w:t>
      </w:r>
      <w:r w:rsidR="00354D47" w:rsidRPr="00DA3B09">
        <w:t xml:space="preserve"> [Комитет], № 63481/11, 21 юни 2018 г.), Съдът констатира нарушение на чл. 1 от Протокол № 1</w:t>
      </w:r>
      <w:r w:rsidR="000A7EA2" w:rsidRPr="00282F4B">
        <w:t>, тъй като</w:t>
      </w:r>
      <w:r w:rsidR="00354D47" w:rsidRPr="00DA3B09">
        <w:t xml:space="preserve"> жалбоподателите не са могли да получат обезщетение за имот, отчужден през 1947 г. от тех</w:t>
      </w:r>
      <w:r w:rsidR="000A7EA2">
        <w:t>ния</w:t>
      </w:r>
      <w:r w:rsidR="00354D47" w:rsidRPr="00DA3B09">
        <w:t xml:space="preserve"> </w:t>
      </w:r>
      <w:r w:rsidR="000A7EA2">
        <w:t>наследодател</w:t>
      </w:r>
      <w:r w:rsidR="00354D47" w:rsidRPr="00DA3B09">
        <w:t xml:space="preserve">. Съгласно </w:t>
      </w:r>
      <w:r w:rsidR="00A86D18" w:rsidRPr="00DA3B09">
        <w:t>националното законодателство</w:t>
      </w:r>
      <w:r w:rsidR="00354D47" w:rsidRPr="00DA3B09">
        <w:t xml:space="preserve"> собствениците на отчуждено имущество или техните наследници трябва да получат обезщетение, по-конкретно чрез компенсаторни записи, в случаите, когато реституцията в натура на такова имущество е невъзможна. Когато обаче тече срокът</w:t>
      </w:r>
      <w:r w:rsidR="000A7EA2">
        <w:t>, в рамките на който е могло да се подаде</w:t>
      </w:r>
      <w:r w:rsidR="00354D47" w:rsidRPr="00DA3B09">
        <w:t xml:space="preserve"> искане </w:t>
      </w:r>
      <w:r w:rsidR="000A7EA2">
        <w:t>за</w:t>
      </w:r>
      <w:r w:rsidR="00354D47" w:rsidRPr="00DA3B09">
        <w:t xml:space="preserve"> обезщетение (през 1997-98 г.), жалбоподателите оправдано смятат, че въпрос</w:t>
      </w:r>
      <w:r w:rsidR="00354D47" w:rsidRPr="00DA3B09">
        <w:lastRenderedPageBreak/>
        <w:t>ният имот е бил предмет на реституция, настъпваща</w:t>
      </w:r>
      <w:r w:rsidR="00354D47" w:rsidRPr="00DA3B09">
        <w:rPr>
          <w:i/>
        </w:rPr>
        <w:t xml:space="preserve"> ex lege</w:t>
      </w:r>
      <w:r w:rsidR="00354D47" w:rsidRPr="00DA3B09">
        <w:t xml:space="preserve"> - факт, признат по-</w:t>
      </w:r>
      <w:r w:rsidR="000A7EA2">
        <w:t>специално</w:t>
      </w:r>
      <w:r w:rsidR="00354D47" w:rsidRPr="00DA3B09">
        <w:t xml:space="preserve"> от представители на властите. През 2003 г., когато дружество, ползва</w:t>
      </w:r>
      <w:r w:rsidR="000A7EA2">
        <w:t>ло</w:t>
      </w:r>
      <w:r w:rsidR="00354D47" w:rsidRPr="00DA3B09">
        <w:t xml:space="preserve"> имота дотогава </w:t>
      </w:r>
      <w:r w:rsidR="000A7EA2">
        <w:t>за</w:t>
      </w:r>
      <w:r w:rsidR="00354D47" w:rsidRPr="00DA3B09">
        <w:t>плаща</w:t>
      </w:r>
      <w:r w:rsidR="000A7EA2">
        <w:t>ло</w:t>
      </w:r>
      <w:r w:rsidR="00354D47" w:rsidRPr="00DA3B09">
        <w:t xml:space="preserve"> наем на жалбоподателите, започва да оспорва факта на реституцията, и през 2010 г., когато националните съдилища за първи път постановяват, че всъщност не </w:t>
      </w:r>
      <w:r w:rsidR="000A7EA2">
        <w:t>е настъпил реституционен ефект по отношение на процесния имот</w:t>
      </w:r>
      <w:r w:rsidR="00354D47" w:rsidRPr="00DA3B09">
        <w:t xml:space="preserve">, жалбоподателите вече не могат да търсят обезщетение вместо реституция поради изтичане на </w:t>
      </w:r>
      <w:r w:rsidR="000A7EA2">
        <w:t xml:space="preserve">законовия </w:t>
      </w:r>
      <w:r w:rsidR="00354D47" w:rsidRPr="00DA3B09">
        <w:t>срок.</w:t>
      </w:r>
    </w:p>
    <w:p w:rsidR="00470981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4</w:t>
      </w:r>
      <w:r>
        <w:rPr>
          <w:noProof/>
        </w:rPr>
        <w:fldChar w:fldCharType="end"/>
      </w:r>
      <w:r w:rsidR="00354D47" w:rsidRPr="00E9312C">
        <w:t>.  Жалбоподателите търсят справедливо обезщетение по чл. 41 от Конвенцията.</w:t>
      </w:r>
    </w:p>
    <w:p w:rsidR="00470981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5</w:t>
      </w:r>
      <w:r>
        <w:rPr>
          <w:noProof/>
        </w:rPr>
        <w:fldChar w:fldCharType="end"/>
      </w:r>
      <w:r w:rsidR="00354D47" w:rsidRPr="00E9312C">
        <w:t>.  Тъй като въпросът за прилагането на чл. 41 от Конвенцията не е бил готов за решение по отношение на вреди, Съдът го е запазил</w:t>
      </w:r>
      <w:r w:rsidR="00354D47" w:rsidRPr="00DA3B09">
        <w:t xml:space="preserve"> и е приканил </w:t>
      </w:r>
      <w:r w:rsidR="00DA7F83">
        <w:t>п</w:t>
      </w:r>
      <w:r w:rsidR="00354D47" w:rsidRPr="00DA3B09">
        <w:t>равителството и жалбоподателките да представят в срок от четири месеца своите писмени становища по въпроса и по-конкретно да уведомят Съда за всяко евентуално постигнато споразумение (пак там, § 39, и точка 3 от диспозитива).</w:t>
      </w:r>
    </w:p>
    <w:p w:rsidR="00354D47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6</w:t>
      </w:r>
      <w:r>
        <w:rPr>
          <w:noProof/>
        </w:rPr>
        <w:fldChar w:fldCharType="end"/>
      </w:r>
      <w:r w:rsidR="00354D47" w:rsidRPr="00E9312C">
        <w:t xml:space="preserve">.  И жалбоподателите, и Правителството подават становища. Те информират Съда, че не </w:t>
      </w:r>
      <w:r w:rsidR="00354D47" w:rsidRPr="00DA3B09">
        <w:t>усп</w:t>
      </w:r>
      <w:r w:rsidR="00E025E6" w:rsidRPr="00DA3B09">
        <w:t>яват</w:t>
      </w:r>
      <w:r w:rsidR="00354D47" w:rsidRPr="00DA3B09">
        <w:t xml:space="preserve"> да постигнат споразумение.</w:t>
      </w:r>
    </w:p>
    <w:p w:rsidR="00470981" w:rsidRPr="00DA3B09" w:rsidRDefault="00E025E6" w:rsidP="00C02AC8">
      <w:pPr>
        <w:pStyle w:val="ECHRTitle1"/>
      </w:pPr>
      <w:r w:rsidRPr="00DA3B09">
        <w:t>ПРАВОТО</w:t>
      </w:r>
    </w:p>
    <w:p w:rsidR="00354D47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7</w:t>
      </w:r>
      <w:r>
        <w:rPr>
          <w:noProof/>
        </w:rPr>
        <w:fldChar w:fldCharType="end"/>
      </w:r>
      <w:r w:rsidR="00354D47" w:rsidRPr="00E9312C">
        <w:t>.  Чл. 41 от Конвенцията гласи:</w:t>
      </w:r>
    </w:p>
    <w:p w:rsidR="00354D47" w:rsidRPr="00DA3B09" w:rsidRDefault="00354D47" w:rsidP="00C02AC8">
      <w:pPr>
        <w:pStyle w:val="ECHRParaQuote"/>
      </w:pPr>
      <w:r w:rsidRPr="00DA3B09">
        <w:t>„Ако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обезщетение, Съдът, ако е необходимо, постановява предоставянето на справедливо обезщетение на потърпевшата страна.“</w:t>
      </w:r>
    </w:p>
    <w:p w:rsidR="00354D47" w:rsidRPr="00DA3B09" w:rsidRDefault="00354D47" w:rsidP="00C02AC8">
      <w:pPr>
        <w:pStyle w:val="ECHRHeading2"/>
      </w:pPr>
      <w:r w:rsidRPr="00DA3B09">
        <w:lastRenderedPageBreak/>
        <w:t xml:space="preserve">А. </w:t>
      </w:r>
      <w:r w:rsidR="00E025E6" w:rsidRPr="00DA3B09">
        <w:t>В</w:t>
      </w:r>
      <w:r w:rsidRPr="00DA3B09">
        <w:t>реди</w:t>
      </w:r>
    </w:p>
    <w:p w:rsidR="006544E2" w:rsidRPr="00DA3B09" w:rsidRDefault="003E7AF6" w:rsidP="00C02AC8">
      <w:pPr>
        <w:pStyle w:val="ECHRHeading3"/>
      </w:pPr>
      <w:r w:rsidRPr="00DA3B09">
        <w:t>1.  Приложимо вътрешно право и факти от предисторията</w:t>
      </w:r>
    </w:p>
    <w:p w:rsidR="003E7AF6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8</w:t>
      </w:r>
      <w:r>
        <w:rPr>
          <w:noProof/>
        </w:rPr>
        <w:fldChar w:fldCharType="end"/>
      </w:r>
      <w:r w:rsidR="003E7AF6" w:rsidRPr="00E9312C">
        <w:t>.  Законът за обезщетяване на собственици на одържавени имоти (наричан по-долу ”Закона за обезщетяване” - вж. §§ 17-18 от основното решение) влиза в сила през 1997 г.</w:t>
      </w:r>
    </w:p>
    <w:p w:rsidR="003E7AF6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9</w:t>
      </w:r>
      <w:r>
        <w:rPr>
          <w:noProof/>
        </w:rPr>
        <w:fldChar w:fldCharType="end"/>
      </w:r>
      <w:r w:rsidR="003E7AF6" w:rsidRPr="00E9312C">
        <w:t xml:space="preserve">.  Един от начините за </w:t>
      </w:r>
      <w:r w:rsidR="003E7AF6" w:rsidRPr="00DA3B09">
        <w:t>обезщетяване, които той предвижда, е чрез т.нар. компенса</w:t>
      </w:r>
      <w:r w:rsidR="00A86D18" w:rsidRPr="00DA3B09">
        <w:t>торни</w:t>
      </w:r>
      <w:r w:rsidR="003E7AF6" w:rsidRPr="00DA3B09">
        <w:t xml:space="preserve"> записи. Те не могат да бъдат заменени за пари в брой и могат да бъдат използвани за участие в приватизационни търгове. Те се търгуват на фондовата борса, а тяхната пазарна стойност до голяма степен зависи от наличието на приватизационни оферти.</w:t>
      </w:r>
    </w:p>
    <w:p w:rsidR="003E7AF6" w:rsidRPr="00DA3B09" w:rsidRDefault="00F76570" w:rsidP="00C02AC8">
      <w:pPr>
        <w:pStyle w:val="ECHRPara"/>
      </w:pPr>
      <w:r>
        <w:fldChar w:fldCharType="begin"/>
      </w:r>
      <w:r>
        <w:instrText xml:space="preserve"> SEQ lev</w:instrText>
      </w:r>
      <w:r>
        <w:instrText xml:space="preserve">el0 \*arabic </w:instrText>
      </w:r>
      <w:r>
        <w:fldChar w:fldCharType="separate"/>
      </w:r>
      <w:r w:rsidR="00C02AC8" w:rsidRPr="00DA3B09">
        <w:rPr>
          <w:noProof/>
        </w:rPr>
        <w:t>10</w:t>
      </w:r>
      <w:r>
        <w:rPr>
          <w:noProof/>
        </w:rPr>
        <w:fldChar w:fldCharType="end"/>
      </w:r>
      <w:r w:rsidR="003E7AF6" w:rsidRPr="00E9312C">
        <w:t>.  </w:t>
      </w:r>
      <w:r w:rsidR="00DA7F83">
        <w:t>В периода м</w:t>
      </w:r>
      <w:r w:rsidR="003E7AF6" w:rsidRPr="00E9312C">
        <w:t xml:space="preserve">ежду септември 2002 г., когато започва търговията на фондовата борса, и октомври 2004 г., записите се търгуват </w:t>
      </w:r>
      <w:r w:rsidR="003E7AF6" w:rsidRPr="00DA3B09">
        <w:t xml:space="preserve">между 20% и 30% от номиналната им стойност. Цените започват да се повишават през ноември 2004 г., когато повече държавни дружества са </w:t>
      </w:r>
      <w:r w:rsidR="00DA7F83">
        <w:t>обявени</w:t>
      </w:r>
      <w:r w:rsidR="003E7AF6" w:rsidRPr="00DA3B09">
        <w:t xml:space="preserve"> за приватизация и в </w:t>
      </w:r>
      <w:r w:rsidR="00DA7F83">
        <w:t>продължение</w:t>
      </w:r>
      <w:r w:rsidR="003E7AF6" w:rsidRPr="00DA3B09">
        <w:t xml:space="preserve"> на няколко месеца компенсаторните записи се търгуват на около 80-90% от номиналната им стойност, като през януари 2005 г. дори достигат 113% от тази стойност. След това цените постепенно намаляват. От 2005 до 2007 г. те варират между около 50% и 80% от номиналната стойност на записите, от 2007 до 2009 г. - между 25% и 40% от номиналната стойност, а след август 2009 г. - обикновено между 15% и около 25% от тази стойност. Към средата на 2013 г. цените леко се увеличават, достигайки между около 30% и 40% от номиналната стойност на записите, като за кратък период между февруари и октомври 2014 г. дори надхвърлят 50% от тази стойност. От средата на 2016 г. записите се търгуват на около 20-35% от номиналната им стойност.</w:t>
      </w:r>
    </w:p>
    <w:p w:rsidR="007058E8" w:rsidRPr="00DA3B09" w:rsidRDefault="003E7AF6" w:rsidP="00C02AC8">
      <w:pPr>
        <w:pStyle w:val="ECHRHeading3"/>
      </w:pPr>
      <w:r w:rsidRPr="00DA3B09">
        <w:lastRenderedPageBreak/>
        <w:t>2.  Тези на страните</w:t>
      </w:r>
    </w:p>
    <w:p w:rsidR="00473988" w:rsidRPr="00DA3B09" w:rsidRDefault="007058E8" w:rsidP="00C02AC8">
      <w:pPr>
        <w:pStyle w:val="ECHRHeading4"/>
      </w:pPr>
      <w:r w:rsidRPr="00DA3B09">
        <w:t>(а) Претенциите на жалбоподателите</w:t>
      </w:r>
    </w:p>
    <w:p w:rsidR="00354D47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11</w:t>
      </w:r>
      <w:r>
        <w:rPr>
          <w:noProof/>
        </w:rPr>
        <w:fldChar w:fldCharType="end"/>
      </w:r>
      <w:r w:rsidR="00354D47" w:rsidRPr="00E9312C">
        <w:t xml:space="preserve">.  Жалбоподателите претендират </w:t>
      </w:r>
      <w:r w:rsidR="00354D47" w:rsidRPr="00DA3B09">
        <w:t>стойността на компенсаторните записи, които биха получили, ако са могли да направят това на национално ниво. Те представят експертиза, в която номиналната стойност на въпросните записи е изчислена на 506 000 български лева</w:t>
      </w:r>
      <w:r w:rsidR="00E33856" w:rsidRPr="00DA3B09">
        <w:t>,</w:t>
      </w:r>
      <w:r w:rsidR="00354D47" w:rsidRPr="00DA3B09">
        <w:t xml:space="preserve"> равностойността на 258 000 евро. Експертът използва формулата, предвидена в Закона за обезщетяването. Един от елементите на тази формула е средната месечна заплата през тримесечието, предхождащо присъждането на компенсаторни записи; експертът взема предвид данните за първото тримесечие на 2017 г.</w:t>
      </w:r>
    </w:p>
    <w:p w:rsidR="0027692D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12</w:t>
      </w:r>
      <w:r>
        <w:rPr>
          <w:noProof/>
        </w:rPr>
        <w:fldChar w:fldCharType="end"/>
      </w:r>
      <w:r w:rsidR="0027692D" w:rsidRPr="00E9312C">
        <w:t>.  Ж</w:t>
      </w:r>
      <w:r w:rsidR="0027692D" w:rsidRPr="00DA3B09">
        <w:t xml:space="preserve">албоподателите претендират тази номинална стойност, а именно 258 000 евро. Те изтъкват, че макар пазарната стойност на компенсаторните записи обикновено </w:t>
      </w:r>
      <w:r w:rsidR="00E33856" w:rsidRPr="00DA3B09">
        <w:t xml:space="preserve">да </w:t>
      </w:r>
      <w:r w:rsidR="0027692D" w:rsidRPr="00DA3B09">
        <w:t xml:space="preserve">е по-ниска от номиналната стойност, има периоди, в които записите всъщност се търгуват на номиналната им стойност. Освен това жалбоподателите твърдят, че </w:t>
      </w:r>
      <w:r w:rsidR="00E33856" w:rsidRPr="00DA3B09">
        <w:t>присъждането на</w:t>
      </w:r>
      <w:r w:rsidR="0027692D" w:rsidRPr="00DA3B09">
        <w:t xml:space="preserve"> </w:t>
      </w:r>
      <w:r w:rsidR="00E33856" w:rsidRPr="00DA3B09">
        <w:t xml:space="preserve">е </w:t>
      </w:r>
      <w:r w:rsidR="0027692D" w:rsidRPr="00DA3B09">
        <w:t>по-малко от номиналната стойност на компенсаторните записи ще им наложи прекомерна индивидуална тежест.</w:t>
      </w:r>
    </w:p>
    <w:p w:rsidR="0027692D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13</w:t>
      </w:r>
      <w:r>
        <w:rPr>
          <w:noProof/>
        </w:rPr>
        <w:fldChar w:fldCharType="end"/>
      </w:r>
      <w:r w:rsidR="0027692D" w:rsidRPr="00E9312C">
        <w:t>.  Жалбоподателите претендират допълн</w:t>
      </w:r>
      <w:r w:rsidR="0027692D" w:rsidRPr="00DA3B09">
        <w:t xml:space="preserve">ително лихва за забава върху сумата, посочена по-горе (258 000 евро). Според техните изчисления, направени в съответствие с </w:t>
      </w:r>
      <w:r w:rsidR="00A86D18" w:rsidRPr="00DA3B09">
        <w:t xml:space="preserve">националните </w:t>
      </w:r>
      <w:r w:rsidR="0027692D" w:rsidRPr="00DA3B09">
        <w:t>правила и обхващащи периода след 2002 г. (през тази година влиза в сила решение за присъждане на обезщетение за друг техен имот - вж. § 9 от основното решение), тази лихва възлиза на 890 668 лева, равностойността на 455 000 евро.</w:t>
      </w:r>
    </w:p>
    <w:p w:rsidR="007058E8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14</w:t>
      </w:r>
      <w:r>
        <w:rPr>
          <w:noProof/>
        </w:rPr>
        <w:fldChar w:fldCharType="end"/>
      </w:r>
      <w:r w:rsidR="007058E8" w:rsidRPr="00E9312C">
        <w:t>.  </w:t>
      </w:r>
      <w:r w:rsidR="007058E8" w:rsidRPr="00DA3B09">
        <w:t xml:space="preserve">Жалбоподателите призовават Съда да не намалява присъждането на вреди </w:t>
      </w:r>
      <w:r w:rsidR="00C34451">
        <w:t>поради</w:t>
      </w:r>
      <w:r w:rsidR="007058E8" w:rsidRPr="00DA3B09">
        <w:t xml:space="preserve"> това, че в продължение на много години преди 2003 г. те получава</w:t>
      </w:r>
      <w:r w:rsidR="00ED4A5B" w:rsidRPr="00DA3B09">
        <w:t>т</w:t>
      </w:r>
      <w:r w:rsidR="007058E8" w:rsidRPr="00DA3B09">
        <w:t xml:space="preserve"> наем за спорния имот. В § 33 от основното решение Съдът посочва, че това обстоятелство може да е от значение за оценката му по чл. 41 от Конвенцията. Жалбоподателите изтъкват обаче, че въпросният наем е платен от трето лице - държавно дружество - а не от самата държава, и че получените от тях суми са загубили голяма част от стойността си поради обезценяването на българската валута през 90-те години на </w:t>
      </w:r>
      <w:r w:rsidR="007058E8" w:rsidRPr="00DA3B09">
        <w:lastRenderedPageBreak/>
        <w:t xml:space="preserve">20 в. Между 1994 </w:t>
      </w:r>
      <w:r w:rsidR="00ED4A5B" w:rsidRPr="00DA3B09">
        <w:t xml:space="preserve">г. </w:t>
      </w:r>
      <w:r w:rsidR="007058E8" w:rsidRPr="00DA3B09">
        <w:t>и 1999 г. те получ</w:t>
      </w:r>
      <w:r w:rsidR="00ED4A5B" w:rsidRPr="00DA3B09">
        <w:t>ават</w:t>
      </w:r>
      <w:r w:rsidR="007058E8" w:rsidRPr="00DA3B09">
        <w:t xml:space="preserve"> наем, който след деноминацията на стария български лев през 1999 г. е равен на 1009 лева, равностойността на 516 евро.</w:t>
      </w:r>
    </w:p>
    <w:p w:rsidR="003C6003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15</w:t>
      </w:r>
      <w:r>
        <w:rPr>
          <w:noProof/>
        </w:rPr>
        <w:fldChar w:fldCharType="end"/>
      </w:r>
      <w:r w:rsidR="003C6003" w:rsidRPr="00E9312C">
        <w:t xml:space="preserve">.  Жалбоподателите </w:t>
      </w:r>
      <w:r w:rsidR="003C6003" w:rsidRPr="00DA3B09">
        <w:t>заявяват, че желаят присъ</w:t>
      </w:r>
      <w:r w:rsidR="00C34451">
        <w:t xml:space="preserve">дените </w:t>
      </w:r>
      <w:r w:rsidR="00C34451" w:rsidRPr="00DA3B09">
        <w:t xml:space="preserve">от Съда </w:t>
      </w:r>
      <w:r w:rsidR="00C34451">
        <w:t xml:space="preserve">суми за </w:t>
      </w:r>
      <w:r w:rsidR="00C34451" w:rsidRPr="00DA3B09">
        <w:t>имуществени вреди</w:t>
      </w:r>
      <w:r w:rsidR="003C6003" w:rsidRPr="00DA3B09">
        <w:t xml:space="preserve"> , да бъд</w:t>
      </w:r>
      <w:r w:rsidR="00C34451">
        <w:t>ат</w:t>
      </w:r>
      <w:r w:rsidR="003C6003" w:rsidRPr="00DA3B09">
        <w:t xml:space="preserve"> разделен</w:t>
      </w:r>
      <w:r w:rsidR="00C34451">
        <w:t>и</w:t>
      </w:r>
      <w:r w:rsidR="003C6003" w:rsidRPr="00DA3B09">
        <w:t xml:space="preserve"> поравно между двамата.</w:t>
      </w:r>
    </w:p>
    <w:p w:rsidR="003C6003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16</w:t>
      </w:r>
      <w:r>
        <w:rPr>
          <w:noProof/>
        </w:rPr>
        <w:fldChar w:fldCharType="end"/>
      </w:r>
      <w:r w:rsidR="003C6003" w:rsidRPr="00E9312C">
        <w:t>.  На последно място жалбоподателите претендират 5000 евро по отношение на неимуществени вреди.</w:t>
      </w:r>
    </w:p>
    <w:p w:rsidR="007058E8" w:rsidRPr="00DA3B09" w:rsidRDefault="007058E8" w:rsidP="00C02AC8">
      <w:pPr>
        <w:pStyle w:val="ECHRHeading4"/>
      </w:pPr>
      <w:r w:rsidRPr="00DA3B09">
        <w:t>(б) Позицията на Правителството</w:t>
      </w:r>
    </w:p>
    <w:p w:rsidR="007058E8" w:rsidRPr="00DA3B09" w:rsidRDefault="00F76570" w:rsidP="00C02AC8">
      <w:pPr>
        <w:pStyle w:val="ECHRPara"/>
        <w:rPr>
          <w:snapToGrid w:val="0"/>
        </w:rPr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17</w:t>
      </w:r>
      <w:r>
        <w:rPr>
          <w:noProof/>
        </w:rPr>
        <w:fldChar w:fldCharType="end"/>
      </w:r>
      <w:r w:rsidR="007058E8" w:rsidRPr="00E9312C">
        <w:t xml:space="preserve">.  Правителството призовава Съда да присъди на жалбоподателите обща сума, сравнима с тази в аналогичното дело </w:t>
      </w:r>
      <w:r w:rsidR="007058E8" w:rsidRPr="00DA3B09">
        <w:rPr>
          <w:i/>
        </w:rPr>
        <w:t>Явашев и други срещу България</w:t>
      </w:r>
      <w:r w:rsidR="007058E8" w:rsidRPr="00DA3B09">
        <w:t xml:space="preserve"> (№ 41661/05, § 77, 6 ноември 2012 г.).</w:t>
      </w:r>
    </w:p>
    <w:p w:rsidR="00855521" w:rsidRPr="00DA3B09" w:rsidRDefault="00855521" w:rsidP="00C02AC8">
      <w:pPr>
        <w:pStyle w:val="ECHRPara"/>
        <w:rPr>
          <w:snapToGrid w:val="0"/>
        </w:rPr>
      </w:pPr>
      <w:r w:rsidRPr="00DA3B09">
        <w:rPr>
          <w:snapToGrid w:val="0"/>
        </w:rPr>
        <w:fldChar w:fldCharType="begin"/>
      </w:r>
      <w:r w:rsidRPr="00DA3B09">
        <w:rPr>
          <w:snapToGrid w:val="0"/>
        </w:rPr>
        <w:instrText xml:space="preserve"> SEQ level0 \*arabic </w:instrText>
      </w:r>
      <w:r w:rsidRPr="00DA3B09">
        <w:rPr>
          <w:snapToGrid w:val="0"/>
        </w:rPr>
        <w:fldChar w:fldCharType="separate"/>
      </w:r>
      <w:r w:rsidR="00C02AC8" w:rsidRPr="00DA3B09">
        <w:rPr>
          <w:noProof/>
          <w:snapToGrid w:val="0"/>
        </w:rPr>
        <w:t>18</w:t>
      </w:r>
      <w:r w:rsidRPr="00DA3B09">
        <w:rPr>
          <w:snapToGrid w:val="0"/>
        </w:rPr>
        <w:fldChar w:fldCharType="end"/>
      </w:r>
      <w:r w:rsidRPr="00E9312C">
        <w:t xml:space="preserve">.  Ако Съдът реши да присъди стойността на обезщетението, което е могло да бъде получено на национално ниво, </w:t>
      </w:r>
      <w:r w:rsidR="00C34451">
        <w:t>п</w:t>
      </w:r>
      <w:r w:rsidRPr="00E9312C">
        <w:t xml:space="preserve">равителството посочва, че през април 2003 г. жалбоподателите </w:t>
      </w:r>
      <w:r w:rsidRPr="00DA3B09">
        <w:t>биха получили записи с номинална стойност 132 827 лева, равностойността на 68 000 евро. В подкрепа на това твърдение</w:t>
      </w:r>
      <w:r w:rsidR="00C34451">
        <w:t>,</w:t>
      </w:r>
      <w:r w:rsidRPr="00DA3B09">
        <w:t xml:space="preserve"> </w:t>
      </w:r>
      <w:r w:rsidR="00C34451">
        <w:t>п</w:t>
      </w:r>
      <w:r w:rsidRPr="00DA3B09">
        <w:t>равителството представя експерт</w:t>
      </w:r>
      <w:r w:rsidR="00C34451">
        <w:t>на</w:t>
      </w:r>
      <w:r w:rsidRPr="00DA3B09">
        <w:t xml:space="preserve"> оценка. Използвайки същата предвидена в закона формула като експерта, ангажиран от жалбоподателите (вж. параграф 11 по-горе), и променяйки само един елемент в него, а именно средната месечна заплата през тримесечието, предхождащо присъждането на компенсаторните записи, експертът изчислява, че номиналната стойност на тези записи е щяла да бъде посочената по-горе сума - 132 827 лв., през април 2003 г. (като се вземе предвид средната заплата през първото тримесечие на 2003 г.) и 566 025 лв., равностойността на 289 000 евро, през септември 2018 г. (като се вземе предвид средната заплата през второто тримесечие на 2018 г.).</w:t>
      </w:r>
    </w:p>
    <w:p w:rsidR="00C7656B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19</w:t>
      </w:r>
      <w:r>
        <w:rPr>
          <w:noProof/>
        </w:rPr>
        <w:fldChar w:fldCharType="end"/>
      </w:r>
      <w:r w:rsidR="00C7656B" w:rsidRPr="00E9312C">
        <w:t>.  Ако Съдът присъди някоя от тез</w:t>
      </w:r>
      <w:r w:rsidR="00C7656B" w:rsidRPr="00DA3B09">
        <w:t xml:space="preserve">и суми, </w:t>
      </w:r>
      <w:r w:rsidR="00C34451">
        <w:t>п</w:t>
      </w:r>
      <w:r w:rsidR="00C7656B" w:rsidRPr="00DA3B09">
        <w:t xml:space="preserve">равителството твърди, че към нея не трябва да се добавя лихва. Освен това </w:t>
      </w:r>
      <w:r w:rsidR="00C34451">
        <w:t>се</w:t>
      </w:r>
      <w:r w:rsidR="00C7656B" w:rsidRPr="00DA3B09">
        <w:t xml:space="preserve"> изтъква, че в продължение на много години преди 2003 г. жалбоподателите получава</w:t>
      </w:r>
      <w:r w:rsidR="00CF449F" w:rsidRPr="00DA3B09">
        <w:t>т</w:t>
      </w:r>
      <w:r w:rsidR="00C7656B" w:rsidRPr="00DA3B09">
        <w:t xml:space="preserve"> наем за спорния имот, което </w:t>
      </w:r>
      <w:r w:rsidR="00C34451">
        <w:t>представлява</w:t>
      </w:r>
      <w:r w:rsidR="00C7656B" w:rsidRPr="00DA3B09">
        <w:t xml:space="preserve"> равностойно обезщетение. </w:t>
      </w:r>
      <w:r w:rsidR="00C34451">
        <w:t>Правителството</w:t>
      </w:r>
      <w:r w:rsidR="00C7656B" w:rsidRPr="00DA3B09">
        <w:t xml:space="preserve"> представя писмо от дружеството Т., което е </w:t>
      </w:r>
      <w:r w:rsidR="00C34451">
        <w:t>из</w:t>
      </w:r>
      <w:r w:rsidR="00C7656B" w:rsidRPr="00DA3B09">
        <w:t>плащало този наем, в което се заявява, че дружеството вече не съхранява документи, показващи точните изплатени суми.</w:t>
      </w:r>
    </w:p>
    <w:p w:rsidR="007058E8" w:rsidRPr="00DA3B09" w:rsidRDefault="007058E8" w:rsidP="00C02AC8">
      <w:pPr>
        <w:pStyle w:val="ECHRHeading4"/>
      </w:pPr>
      <w:r w:rsidRPr="00DA3B09">
        <w:lastRenderedPageBreak/>
        <w:t xml:space="preserve">(в) Отговорът на жалбоподателите на становището на </w:t>
      </w:r>
      <w:r w:rsidR="00C34451">
        <w:t>п</w:t>
      </w:r>
      <w:r w:rsidRPr="00DA3B09">
        <w:t>равителството</w:t>
      </w:r>
    </w:p>
    <w:p w:rsidR="007058E8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20</w:t>
      </w:r>
      <w:r>
        <w:rPr>
          <w:noProof/>
        </w:rPr>
        <w:fldChar w:fldCharType="end"/>
      </w:r>
      <w:r w:rsidR="007058E8" w:rsidRPr="00E9312C">
        <w:t>.  След по</w:t>
      </w:r>
      <w:r w:rsidR="007058E8" w:rsidRPr="00DA3B09">
        <w:t xml:space="preserve">лучаване на становището на </w:t>
      </w:r>
      <w:r w:rsidR="00C34451">
        <w:t>п</w:t>
      </w:r>
      <w:r w:rsidR="007058E8" w:rsidRPr="00DA3B09">
        <w:t xml:space="preserve">равителството и по-конкретно на </w:t>
      </w:r>
      <w:r w:rsidR="00C34451">
        <w:t>експертната оценка</w:t>
      </w:r>
      <w:r w:rsidR="007058E8" w:rsidRPr="00DA3B09">
        <w:t>, посочен</w:t>
      </w:r>
      <w:r w:rsidR="00C34451">
        <w:t>а</w:t>
      </w:r>
      <w:r w:rsidR="007058E8" w:rsidRPr="00DA3B09">
        <w:t xml:space="preserve"> в параграф 18 по-горе, жалбоподателите заявяват, че желаят да увеличат претенцията си за имуществени вреди </w:t>
      </w:r>
      <w:r w:rsidR="001712E2" w:rsidRPr="00DA3B09">
        <w:t xml:space="preserve">на </w:t>
      </w:r>
      <w:r w:rsidR="007058E8" w:rsidRPr="00DA3B09">
        <w:t xml:space="preserve">566 025 лева (289 000 евро) - номиналната стойност на компенсаторните записи за техния имот към септември 2018 г., изчислена от ангажирания от </w:t>
      </w:r>
      <w:r w:rsidR="00C34451">
        <w:t>п</w:t>
      </w:r>
      <w:r w:rsidR="007058E8" w:rsidRPr="00DA3B09">
        <w:t>равителството експерт. Жалбоподателите обосновават решението си да основават претенцията си на номиналната стойност на записите към тази дата с факта, че според тях Законът за обезщетяването има за цел да осигури обезщетение, което е „възможно най-актуализирано“. Освен това те обосновават претенцията си за присъждане на пълната номинална стойност на записите като посочват, че компенсаторните записи могат да бъдат използвани като платежно средство при приватизационни търгове.</w:t>
      </w:r>
    </w:p>
    <w:p w:rsidR="00102B71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21</w:t>
      </w:r>
      <w:r>
        <w:rPr>
          <w:noProof/>
        </w:rPr>
        <w:fldChar w:fldCharType="end"/>
      </w:r>
      <w:r w:rsidR="00102B71" w:rsidRPr="00E9312C">
        <w:t xml:space="preserve">.  Жалбоподателите отбелязват, че за разлика от жалбоподателите в </w:t>
      </w:r>
      <w:r w:rsidR="00102B71" w:rsidRPr="00DA3B09">
        <w:rPr>
          <w:i/>
        </w:rPr>
        <w:t>Явашев и други</w:t>
      </w:r>
      <w:r w:rsidR="00102B71" w:rsidRPr="00DA3B09">
        <w:t xml:space="preserve"> (цитирано по-горе), те не претендират пазарната стойност на отчужденото имущество, а стойността на обезщетението, което са могли да получат на национално ниво.</w:t>
      </w:r>
    </w:p>
    <w:p w:rsidR="00102B71" w:rsidRPr="00DA3B09" w:rsidRDefault="00F76570" w:rsidP="00C02AC8">
      <w:pPr>
        <w:pStyle w:val="ECHRPara"/>
      </w:pPr>
      <w:r>
        <w:fldChar w:fldCharType="begin"/>
      </w:r>
      <w:r>
        <w:instrText xml:space="preserve"> SEQ level0 \</w:instrText>
      </w:r>
      <w:r>
        <w:instrText xml:space="preserve">*arabic </w:instrText>
      </w:r>
      <w:r>
        <w:fldChar w:fldCharType="separate"/>
      </w:r>
      <w:r w:rsidR="00C02AC8" w:rsidRPr="00DA3B09">
        <w:rPr>
          <w:noProof/>
        </w:rPr>
        <w:t>22</w:t>
      </w:r>
      <w:r>
        <w:rPr>
          <w:noProof/>
        </w:rPr>
        <w:fldChar w:fldCharType="end"/>
      </w:r>
      <w:r w:rsidR="00102B71" w:rsidRPr="00E9312C">
        <w:t xml:space="preserve">.  Жалбоподателите повтарят, че сумите, които </w:t>
      </w:r>
      <w:r w:rsidR="00102B71" w:rsidRPr="00DA3B09">
        <w:t>получ</w:t>
      </w:r>
      <w:r w:rsidR="001712E2" w:rsidRPr="00DA3B09">
        <w:t>ават</w:t>
      </w:r>
      <w:r w:rsidR="00102B71" w:rsidRPr="00DA3B09">
        <w:t xml:space="preserve"> от дружеството Т. като наем преди 2003 г., са „незначителни“. Освен това дружеството има право да </w:t>
      </w:r>
      <w:r w:rsidR="001712E2" w:rsidRPr="00DA3B09">
        <w:t xml:space="preserve">претендира </w:t>
      </w:r>
      <w:r w:rsidR="00102B71" w:rsidRPr="00DA3B09">
        <w:t>обратно такива суми.</w:t>
      </w:r>
    </w:p>
    <w:p w:rsidR="007058E8" w:rsidRPr="00DA3B09" w:rsidRDefault="007058E8" w:rsidP="00C02AC8">
      <w:pPr>
        <w:pStyle w:val="ECHRHeading4"/>
      </w:pPr>
      <w:r w:rsidRPr="00DA3B09">
        <w:t>(г) Коментари на Правителството относно претенциите на жалбоподателите</w:t>
      </w:r>
    </w:p>
    <w:p w:rsidR="007058E8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23</w:t>
      </w:r>
      <w:r>
        <w:rPr>
          <w:noProof/>
        </w:rPr>
        <w:fldChar w:fldCharType="end"/>
      </w:r>
      <w:r w:rsidR="007058E8" w:rsidRPr="00E9312C">
        <w:t xml:space="preserve">.  Правителството отново призова Съда да намали всяко присъждане по отношение на имуществените вреди </w:t>
      </w:r>
      <w:r w:rsidR="00C34451">
        <w:t>и</w:t>
      </w:r>
      <w:r w:rsidR="007058E8" w:rsidRPr="00E9312C">
        <w:t xml:space="preserve"> да вземе предвид наемът, получен </w:t>
      </w:r>
      <w:r w:rsidR="007058E8" w:rsidRPr="00DA3B09">
        <w:t>от жалбоподателите преди 2003 г., като посочва, че той не е бил незначителна сума към съответния момент.</w:t>
      </w:r>
    </w:p>
    <w:p w:rsidR="006918C7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24</w:t>
      </w:r>
      <w:r>
        <w:rPr>
          <w:noProof/>
        </w:rPr>
        <w:fldChar w:fldCharType="end"/>
      </w:r>
      <w:r w:rsidR="006918C7" w:rsidRPr="00E9312C">
        <w:t xml:space="preserve">.  На последно място Правителството оспорва претенциите на жалбоподателите по отношение на неимуществени вреди (вж. параграф </w:t>
      </w:r>
      <w:r w:rsidR="006918C7" w:rsidRPr="00DA3B09">
        <w:t>16 по-горе), като ги смята за прекомерни.</w:t>
      </w:r>
    </w:p>
    <w:p w:rsidR="007058E8" w:rsidRPr="00DA3B09" w:rsidRDefault="007058E8" w:rsidP="00C02AC8">
      <w:pPr>
        <w:pStyle w:val="ECHRHeading3"/>
      </w:pPr>
      <w:r w:rsidRPr="00DA3B09">
        <w:lastRenderedPageBreak/>
        <w:t>2.  Преценка</w:t>
      </w:r>
      <w:r w:rsidR="001712E2" w:rsidRPr="00DA3B09">
        <w:t>та</w:t>
      </w:r>
      <w:r w:rsidRPr="00DA3B09">
        <w:t xml:space="preserve"> на Съда</w:t>
      </w:r>
    </w:p>
    <w:p w:rsidR="00782BC2" w:rsidRPr="00DA3B09" w:rsidRDefault="00782BC2" w:rsidP="00C02AC8">
      <w:pPr>
        <w:pStyle w:val="ECHRHeading4"/>
      </w:pPr>
      <w:r w:rsidRPr="00DA3B09">
        <w:t>(а) Имуществени вреди</w:t>
      </w:r>
    </w:p>
    <w:p w:rsidR="007058E8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25</w:t>
      </w:r>
      <w:r>
        <w:rPr>
          <w:noProof/>
        </w:rPr>
        <w:fldChar w:fldCharType="end"/>
      </w:r>
      <w:r w:rsidR="007058E8" w:rsidRPr="00E9312C">
        <w:t xml:space="preserve">.  В аналогичното дело </w:t>
      </w:r>
      <w:r w:rsidR="007058E8" w:rsidRPr="00DA3B09">
        <w:rPr>
          <w:i/>
        </w:rPr>
        <w:t>Явашев и други</w:t>
      </w:r>
      <w:r w:rsidR="007058E8" w:rsidRPr="00DA3B09">
        <w:t xml:space="preserve"> (цитирано по-горе, §§ 72-77), което има по-широк предмет и в което жалбоподателите се оплакват допълнително от констатацията на националните съдилища, че имотът, който те претендират, не им е реституиран, жалбоподателите </w:t>
      </w:r>
      <w:r w:rsidR="00963E4D">
        <w:t xml:space="preserve">са </w:t>
      </w:r>
      <w:r w:rsidR="007058E8" w:rsidRPr="00DA3B09">
        <w:t>претендира</w:t>
      </w:r>
      <w:r w:rsidR="00963E4D">
        <w:t>ли</w:t>
      </w:r>
      <w:r w:rsidR="007058E8" w:rsidRPr="00DA3B09">
        <w:t xml:space="preserve"> по отношение на имуществени вреди пазарната стойност на този имот. Съдът, след като констатира нарушение на чл. 1 от Протокол № 1 към Конвенцията само по отношение на невъзможността им да получат обезщетение вместо реституция, не присъжда</w:t>
      </w:r>
      <w:r w:rsidR="00963E4D">
        <w:t xml:space="preserve"> </w:t>
      </w:r>
      <w:proofErr w:type="spellStart"/>
      <w:r w:rsidR="00963E4D">
        <w:t>обезщетенние</w:t>
      </w:r>
      <w:proofErr w:type="spellEnd"/>
      <w:r w:rsidR="007058E8" w:rsidRPr="00DA3B09">
        <w:t>, отразяващо тази стойност. Тъй като страните не представ</w:t>
      </w:r>
      <w:r w:rsidR="001712E2" w:rsidRPr="00DA3B09">
        <w:t>ят</w:t>
      </w:r>
      <w:r w:rsidR="007058E8" w:rsidRPr="00DA3B09">
        <w:t xml:space="preserve"> становища относно размера на обезщетението, което жалбоподателите са могли да получат, Съдът отбелязва, че не може да спекулира по въпроса и като се произнася по справедливост, присъжда на тримата жалбоподатели обща сума, 20 000 евро, за обезщетение за всички имуществени и неимуществени вреди, претърпени от тях в резултат на нарушението.</w:t>
      </w:r>
    </w:p>
    <w:p w:rsidR="006F681F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26</w:t>
      </w:r>
      <w:r>
        <w:rPr>
          <w:noProof/>
        </w:rPr>
        <w:fldChar w:fldCharType="end"/>
      </w:r>
      <w:r w:rsidR="006F681F" w:rsidRPr="00E9312C">
        <w:t>.  В настоящ</w:t>
      </w:r>
      <w:r w:rsidR="001712E2" w:rsidRPr="00DA3B09">
        <w:t>ия случай</w:t>
      </w:r>
      <w:r w:rsidR="006F681F" w:rsidRPr="00DA3B09">
        <w:t xml:space="preserve"> страните представят конкретни становища по отношение на обезщетението, което жалбоподателите са могли да получат на национално ниво, и Съдът не вижда причина да се произнася по справедливост</w:t>
      </w:r>
      <w:r w:rsidR="00AF5C77">
        <w:t>,</w:t>
      </w:r>
      <w:r w:rsidR="006F681F" w:rsidRPr="00DA3B09">
        <w:t xml:space="preserve"> както </w:t>
      </w:r>
      <w:r w:rsidR="00AF5C77">
        <w:t>по делото</w:t>
      </w:r>
      <w:r w:rsidR="006F681F" w:rsidRPr="00DA3B09">
        <w:t xml:space="preserve"> </w:t>
      </w:r>
      <w:proofErr w:type="spellStart"/>
      <w:r w:rsidR="006F681F" w:rsidRPr="00DA3B09">
        <w:rPr>
          <w:i/>
        </w:rPr>
        <w:t>Явашев</w:t>
      </w:r>
      <w:proofErr w:type="spellEnd"/>
      <w:r w:rsidR="006F681F" w:rsidRPr="00DA3B09">
        <w:rPr>
          <w:i/>
        </w:rPr>
        <w:t xml:space="preserve"> и други</w:t>
      </w:r>
      <w:r w:rsidR="006F681F" w:rsidRPr="00DA3B09">
        <w:t>.</w:t>
      </w:r>
    </w:p>
    <w:p w:rsidR="006F681F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27</w:t>
      </w:r>
      <w:r>
        <w:rPr>
          <w:noProof/>
        </w:rPr>
        <w:fldChar w:fldCharType="end"/>
      </w:r>
      <w:r w:rsidR="006F681F" w:rsidRPr="00E9312C">
        <w:t>.  </w:t>
      </w:r>
      <w:r w:rsidR="00AF5C77">
        <w:t>Съдът</w:t>
      </w:r>
      <w:r w:rsidR="006F681F" w:rsidRPr="00E9312C">
        <w:t xml:space="preserve"> </w:t>
      </w:r>
      <w:r w:rsidR="00AF5C77">
        <w:t>припомня</w:t>
      </w:r>
      <w:r w:rsidR="006F681F" w:rsidRPr="00E9312C">
        <w:t xml:space="preserve">, че съдебно решение, в което </w:t>
      </w:r>
      <w:r w:rsidR="00AF5C77">
        <w:t>е</w:t>
      </w:r>
      <w:r w:rsidR="006F681F" w:rsidRPr="00E9312C">
        <w:t xml:space="preserve"> констатира</w:t>
      </w:r>
      <w:r w:rsidR="00AF5C77">
        <w:t>но</w:t>
      </w:r>
      <w:r w:rsidR="006F681F" w:rsidRPr="00E9312C">
        <w:t xml:space="preserve"> нарушение на Конвенцията, налага на държавата-ответник правно задължение да сложи край на нарушението и да поправи последиците от него по такъв начин, че</w:t>
      </w:r>
      <w:r w:rsidR="006F681F" w:rsidRPr="00DA3B09">
        <w:t xml:space="preserve"> да възстанови доколкото е възможно съществуващото положение преди нарушението (вж. наред с много други решения </w:t>
      </w:r>
      <w:r w:rsidR="006F681F" w:rsidRPr="00DA3B09">
        <w:rPr>
          <w:i/>
        </w:rPr>
        <w:t>Brumărescu v. Romania</w:t>
      </w:r>
      <w:r w:rsidR="006F681F" w:rsidRPr="00DA3B09">
        <w:t xml:space="preserve"> (справедливо обезщетение) [GC], № 28342/95, § 19, ЕСПЧ 2001</w:t>
      </w:r>
      <w:r w:rsidR="006F681F" w:rsidRPr="00DA3B09">
        <w:noBreakHyphen/>
        <w:t xml:space="preserve">I; и </w:t>
      </w:r>
      <w:r w:rsidR="006F681F" w:rsidRPr="00DA3B09">
        <w:rPr>
          <w:i/>
        </w:rPr>
        <w:t xml:space="preserve">Vistiņš and Perepjolkins v. Latvia </w:t>
      </w:r>
      <w:r w:rsidR="006F681F" w:rsidRPr="00DA3B09">
        <w:t>(справедливо обезщетение) [GC], № 71243/01, § 33, ЕСПЧ 2014 г.).</w:t>
      </w:r>
    </w:p>
    <w:p w:rsidR="0010771F" w:rsidRPr="00DA3B09" w:rsidRDefault="00F76570" w:rsidP="001712E2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28</w:t>
      </w:r>
      <w:r>
        <w:rPr>
          <w:noProof/>
        </w:rPr>
        <w:fldChar w:fldCharType="end"/>
      </w:r>
      <w:r w:rsidR="0010771F" w:rsidRPr="00E9312C">
        <w:t>.  </w:t>
      </w:r>
      <w:r w:rsidR="00AF5C77">
        <w:t>Съобразявайки</w:t>
      </w:r>
      <w:r w:rsidR="0010771F" w:rsidRPr="00E9312C">
        <w:t xml:space="preserve"> обстоятелствата </w:t>
      </w:r>
      <w:r w:rsidR="00AF5C77">
        <w:t>по</w:t>
      </w:r>
      <w:r w:rsidR="001712E2" w:rsidRPr="00DA3B09">
        <w:t xml:space="preserve"> </w:t>
      </w:r>
      <w:r w:rsidR="0010771F" w:rsidRPr="00DA3B09">
        <w:t>настоящ</w:t>
      </w:r>
      <w:r w:rsidR="001712E2" w:rsidRPr="00DA3B09">
        <w:t>ия случай</w:t>
      </w:r>
      <w:r w:rsidR="0010771F" w:rsidRPr="00DA3B09">
        <w:t xml:space="preserve"> Съдът отбелязва, че страните изглежда са съгласни, че</w:t>
      </w:r>
      <w:r w:rsidR="00AF5C77">
        <w:t xml:space="preserve"> не би имало</w:t>
      </w:r>
      <w:r w:rsidR="0010771F" w:rsidRPr="00DA3B09">
        <w:t xml:space="preserve"> нарушение на правата на жалбоподателите, </w:t>
      </w:r>
      <w:r w:rsidR="00AF5C77">
        <w:t xml:space="preserve">ако </w:t>
      </w:r>
      <w:r w:rsidR="0010771F" w:rsidRPr="00DA3B09">
        <w:t>те са могли да получат компенсаторни записи през 2002-03 г. По-кон</w:t>
      </w:r>
      <w:r w:rsidR="0010771F" w:rsidRPr="00DA3B09">
        <w:lastRenderedPageBreak/>
        <w:t>кретно, решение за присъждане на обезщетение</w:t>
      </w:r>
      <w:r w:rsidR="001712E2" w:rsidRPr="00DA3B09">
        <w:t xml:space="preserve"> на жалбоподателите</w:t>
      </w:r>
      <w:r w:rsidR="0010771F" w:rsidRPr="00DA3B09">
        <w:t xml:space="preserve"> съгласно Закона за обезщетяването </w:t>
      </w:r>
      <w:r w:rsidR="00307046">
        <w:t>по отношение на движимата им собственост</w:t>
      </w:r>
      <w:r w:rsidR="0010771F" w:rsidRPr="00DA3B09">
        <w:t xml:space="preserve"> влиза в сила през септември 2002 г. (вж. § 9 от основното решение) и жалбоподателите са на мнение, че приблизително по същото време са могли да имат получат обезщетение и за въпросния имот (вж. параграф 13 по-горе). От своя страна Правителството представя експертиза, посочваща наред с другото номиналната стойност на компенсаторните записи, които жалбоподателите са могли да получат през април 2003 г. (вж. параграф 18 по-горе).</w:t>
      </w:r>
    </w:p>
    <w:p w:rsidR="005648A2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29</w:t>
      </w:r>
      <w:r>
        <w:rPr>
          <w:noProof/>
        </w:rPr>
        <w:fldChar w:fldCharType="end"/>
      </w:r>
      <w:r w:rsidR="005648A2" w:rsidRPr="00E9312C">
        <w:t>.  Като повтаря, че обезщетението за имуществени вреди съгласно чл. 41 от Конвенцията трябва да доведе до възможно най-близкото положение до това, ко</w:t>
      </w:r>
      <w:r w:rsidR="005648A2" w:rsidRPr="00DA3B09">
        <w:t xml:space="preserve">ето би съществувало, ако въпросното нарушение не е </w:t>
      </w:r>
      <w:r w:rsidR="00307046">
        <w:t>извършено</w:t>
      </w:r>
      <w:r w:rsidR="005648A2" w:rsidRPr="00DA3B09">
        <w:t xml:space="preserve">, Съдът намира за основателно да приеме като отправна точка на своя анализ сумата на компенсаторните записи, която жалбоподателите биха получили през 2002-03 г. На Съда </w:t>
      </w:r>
      <w:r w:rsidR="001712E2" w:rsidRPr="00DA3B09">
        <w:t xml:space="preserve">е </w:t>
      </w:r>
      <w:r w:rsidR="005648A2" w:rsidRPr="00DA3B09">
        <w:t>предоставена експертна оценка на номиналната стойност на тези записи към април 2003 г., като тази стойност е равна на 68 000 евро (вж. параграф 18 по-горе).</w:t>
      </w:r>
    </w:p>
    <w:p w:rsidR="005648A2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30</w:t>
      </w:r>
      <w:r>
        <w:rPr>
          <w:noProof/>
        </w:rPr>
        <w:fldChar w:fldCharType="end"/>
      </w:r>
      <w:r w:rsidR="005648A2" w:rsidRPr="00E9312C">
        <w:t>.  </w:t>
      </w:r>
      <w:r w:rsidR="005648A2" w:rsidRPr="00DA3B09">
        <w:t xml:space="preserve">Освен това </w:t>
      </w:r>
      <w:r w:rsidR="00307046">
        <w:t xml:space="preserve">на следващо място </w:t>
      </w:r>
      <w:r w:rsidR="005648A2" w:rsidRPr="00DA3B09">
        <w:t xml:space="preserve">Съдът отбелязва, че съгласно </w:t>
      </w:r>
      <w:r w:rsidR="001712E2" w:rsidRPr="00DA3B09">
        <w:t>националното законодателство</w:t>
      </w:r>
      <w:r w:rsidR="005648A2" w:rsidRPr="00DA3B09">
        <w:t xml:space="preserve"> компенсаторни записи като тези, които жалбоподателите са могли да получат, не могат да бъдат заменяни за пари</w:t>
      </w:r>
      <w:r w:rsidR="0082508B">
        <w:t>чни средства в брой</w:t>
      </w:r>
      <w:r w:rsidR="005648A2" w:rsidRPr="00DA3B09">
        <w:t xml:space="preserve">. Жалбоподателите са могли да ги продадат на инвеститори (вж. параграфи 9-10 по-горе) или евентуално, както изглежда, че твърдят (вж. параграф 20 по-горе), да ги използват, за да участват директно в приватизационни търгове. Във всеки случай, предвид колебанията в нивата, на които се търгуват записи на фондовата борса (вж. параграф 10 по-горе), и по-общо и по отношение на аргумента на жалбоподателите, че са могли да участват директно в приватизационни търгове - предвид несигурността на икономическия процес (вж. например „Басарба“ ООД срещу България (справедливо обезщетение), № 77660/01, § 26, 20 януари 2011 г.), Съдът не намира за доказано, че ако не е </w:t>
      </w:r>
      <w:r w:rsidR="00307046">
        <w:t>извършено</w:t>
      </w:r>
      <w:r w:rsidR="005648A2" w:rsidRPr="00DA3B09">
        <w:t xml:space="preserve"> нарушението на техните права, жалбоподателите в крайна сметка са щели да получат равностойността на номиналната стойност на записите. С оглед на наличните данни и признавайки неизбежната степен на спекулация по </w:t>
      </w:r>
      <w:r w:rsidR="005648A2" w:rsidRPr="00DA3B09">
        <w:lastRenderedPageBreak/>
        <w:t>въпроса, Съдът намира за разумно да заключи, че жалбоподателите са могли да получат за своите записи равностойността на около 41 000 евро.</w:t>
      </w:r>
    </w:p>
    <w:p w:rsidR="007524DC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31</w:t>
      </w:r>
      <w:r>
        <w:rPr>
          <w:noProof/>
        </w:rPr>
        <w:fldChar w:fldCharType="end"/>
      </w:r>
      <w:r w:rsidR="007524DC" w:rsidRPr="00E9312C">
        <w:t>.  Към тази сума трябва да се добави лихва. Съдът постановява, че пр</w:t>
      </w:r>
      <w:r w:rsidR="007524DC" w:rsidRPr="00DA3B09">
        <w:t xml:space="preserve">иложимият лихвен процент, който има за цел да компенсира загубата на </w:t>
      </w:r>
      <w:r w:rsidR="00D16E22">
        <w:t xml:space="preserve">присъдената </w:t>
      </w:r>
      <w:r w:rsidR="007524DC" w:rsidRPr="00DA3B09">
        <w:t xml:space="preserve">стойност във времето, следва да отразява националните икономически условия като равнищата на инфлация и лихвения процент през съответния период (вж. </w:t>
      </w:r>
      <w:r w:rsidR="007524DC" w:rsidRPr="00DA3B09">
        <w:rPr>
          <w:i/>
        </w:rPr>
        <w:t>Runkee and White v. the United Kingdom</w:t>
      </w:r>
      <w:r w:rsidR="007524DC" w:rsidRPr="00DA3B09">
        <w:t xml:space="preserve">, № 42949/98 и 53134/99, § 52, 10 май 2007 г., и </w:t>
      </w:r>
      <w:r w:rsidR="007524DC" w:rsidRPr="00DA3B09">
        <w:rPr>
          <w:i/>
        </w:rPr>
        <w:t>Vaskrsić v. Slovenia</w:t>
      </w:r>
      <w:r w:rsidR="007524DC" w:rsidRPr="00DA3B09">
        <w:t xml:space="preserve">, № 31371/12, § 98, 25 април 2017 г.). В скорошно дело срещу България Съдът намира, че е разумно да се прилага лихвен процент, равен на основния лихвен процент на Българската народна банка през съответния период плюс един процентен пункт (вж. </w:t>
      </w:r>
      <w:r w:rsidR="007524DC" w:rsidRPr="00DA3B09">
        <w:rPr>
          <w:i/>
        </w:rPr>
        <w:t>Бояджиева и „Глория Интернешънъл Лимитид“ ЕООД срещу България</w:t>
      </w:r>
      <w:r w:rsidR="007524DC" w:rsidRPr="00DA3B09">
        <w:t>, №</w:t>
      </w:r>
      <w:r w:rsidR="007524DC" w:rsidRPr="00DA3B09">
        <w:rPr>
          <w:rStyle w:val="ECHRParaChar"/>
        </w:rPr>
        <w:t> </w:t>
      </w:r>
      <w:r w:rsidR="007524DC" w:rsidRPr="00DA3B09">
        <w:t>41299/09 и 11132/10, § 55, 5 юли 2018 г.), и ще следва същия подход в настоящ</w:t>
      </w:r>
      <w:r w:rsidR="00AF02A0" w:rsidRPr="00DA3B09">
        <w:t>ия случай</w:t>
      </w:r>
      <w:r w:rsidR="007524DC" w:rsidRPr="00DA3B09">
        <w:t xml:space="preserve">. Следователно той присъжда на жалбоподателите 16 000 евро </w:t>
      </w:r>
      <w:r w:rsidR="00D16E22">
        <w:t>на това основание</w:t>
      </w:r>
      <w:r w:rsidR="007524DC" w:rsidRPr="00DA3B09">
        <w:t>.</w:t>
      </w:r>
    </w:p>
    <w:p w:rsidR="00782BC2" w:rsidRPr="00DA3B09" w:rsidRDefault="00F76570" w:rsidP="00C02AC8">
      <w:pPr>
        <w:pStyle w:val="ECHRPara"/>
        <w:rPr>
          <w:i/>
        </w:rPr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32</w:t>
      </w:r>
      <w:r>
        <w:rPr>
          <w:noProof/>
        </w:rPr>
        <w:fldChar w:fldCharType="end"/>
      </w:r>
      <w:r w:rsidR="00782BC2" w:rsidRPr="00E9312C">
        <w:t xml:space="preserve">.  Съдът не вижда причина да намали присъждането за имуществени вреди предвид факта, че до 2003 г. жалбоподателите получават наем за ползването на спорната сграда. Страните не </w:t>
      </w:r>
      <w:r w:rsidR="00782BC2" w:rsidRPr="00DA3B09">
        <w:t>му предостав</w:t>
      </w:r>
      <w:r w:rsidR="00AF02A0" w:rsidRPr="00DA3B09">
        <w:t>ят</w:t>
      </w:r>
      <w:r w:rsidR="00782BC2" w:rsidRPr="00DA3B09">
        <w:t xml:space="preserve"> конкретна информация за размера на наема, платен за целия въпросен период, нито за действителната текуща стойност на получената сума. Освен това въпросният наем е платен от дружеството Т., което въпреки че е държавно преди 2003 г., остава отделно юридическо лице. В допълнение, както посочват жалбоподателите (вж. параграф 22 по-горе), дружеството може да </w:t>
      </w:r>
      <w:r w:rsidR="00AF02A0" w:rsidRPr="00DA3B09">
        <w:t xml:space="preserve">претендира </w:t>
      </w:r>
      <w:r w:rsidR="00782BC2" w:rsidRPr="00DA3B09">
        <w:t>обратно не</w:t>
      </w:r>
      <w:r w:rsidR="0082508B">
        <w:t>надлежно</w:t>
      </w:r>
      <w:r w:rsidR="00782BC2" w:rsidRPr="00DA3B09">
        <w:t xml:space="preserve"> платен наем. И накрая, всяко плащане от негова страна преди 2003 г. не може да замени обезщетението, което би било дължимо от държавата (вж. § 33 от основното решение).</w:t>
      </w:r>
    </w:p>
    <w:p w:rsidR="005648A2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33</w:t>
      </w:r>
      <w:r>
        <w:rPr>
          <w:noProof/>
        </w:rPr>
        <w:fldChar w:fldCharType="end"/>
      </w:r>
      <w:r w:rsidR="00782BC2" w:rsidRPr="00E9312C">
        <w:t>.  Общото присъ</w:t>
      </w:r>
      <w:r w:rsidR="0082508B">
        <w:t>дено обезщетение за</w:t>
      </w:r>
      <w:r w:rsidR="00782BC2" w:rsidRPr="00E9312C">
        <w:t xml:space="preserve"> имуществени вреди </w:t>
      </w:r>
      <w:r w:rsidR="00AF02A0" w:rsidRPr="00DA3B09">
        <w:t xml:space="preserve">следователно </w:t>
      </w:r>
      <w:r w:rsidR="00782BC2" w:rsidRPr="00DA3B09">
        <w:t>е 57 000 евро. По молба на жалбоподателите (вж. параграф 15 по-горе) всеки от тях трябва да получи половината от него, а именно 28 500 евро.</w:t>
      </w:r>
    </w:p>
    <w:p w:rsidR="00782BC2" w:rsidRPr="00DA3B09" w:rsidRDefault="00782BC2" w:rsidP="00C02AC8">
      <w:pPr>
        <w:pStyle w:val="ECHRHeading4"/>
      </w:pPr>
      <w:r w:rsidRPr="00DA3B09">
        <w:lastRenderedPageBreak/>
        <w:t>(б) Неимуществени вреди</w:t>
      </w:r>
    </w:p>
    <w:p w:rsidR="00782BC2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34</w:t>
      </w:r>
      <w:r>
        <w:rPr>
          <w:noProof/>
        </w:rPr>
        <w:fldChar w:fldCharType="end"/>
      </w:r>
      <w:r w:rsidR="00782BC2" w:rsidRPr="00E9312C">
        <w:t xml:space="preserve">.  На последно място Съдът е на мнение, че жалбоподателите </w:t>
      </w:r>
      <w:r w:rsidR="00AF02A0" w:rsidRPr="00DA3B09">
        <w:t>несъмнено</w:t>
      </w:r>
      <w:r w:rsidR="00782BC2" w:rsidRPr="00DA3B09">
        <w:t xml:space="preserve"> са претърпели неимуществени вреди, за които констатацията на нарушение на Конвенцията в основното решение не е достатъчно средство за защита.</w:t>
      </w:r>
      <w:r w:rsidR="00A86D18" w:rsidRPr="00DA3B09">
        <w:t xml:space="preserve"> </w:t>
      </w:r>
      <w:r w:rsidR="00AF02A0" w:rsidRPr="00DA3B09">
        <w:t>О</w:t>
      </w:r>
      <w:r w:rsidR="00782BC2" w:rsidRPr="00DA3B09">
        <w:t>тсъждайки по справедливост, той присъжда на всеки от тях 2 000 евро по тази позиция.</w:t>
      </w:r>
    </w:p>
    <w:p w:rsidR="00354D47" w:rsidRPr="00DA3B09" w:rsidRDefault="00354D47" w:rsidP="00C02AC8">
      <w:pPr>
        <w:pStyle w:val="ECHRHeading2"/>
      </w:pPr>
      <w:r w:rsidRPr="00DA3B09">
        <w:t>Б. Лихва за забава</w:t>
      </w:r>
    </w:p>
    <w:p w:rsidR="00470981" w:rsidRPr="00DA3B09" w:rsidRDefault="00F76570" w:rsidP="00C02AC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C02AC8" w:rsidRPr="00DA3B09">
        <w:rPr>
          <w:noProof/>
        </w:rPr>
        <w:t>35</w:t>
      </w:r>
      <w:r>
        <w:rPr>
          <w:noProof/>
        </w:rPr>
        <w:fldChar w:fldCharType="end"/>
      </w:r>
      <w:r w:rsidR="00354D47" w:rsidRPr="00E9312C">
        <w:t xml:space="preserve">.  Съдът </w:t>
      </w:r>
      <w:r w:rsidR="00AF02A0" w:rsidRPr="00DA3B09">
        <w:t xml:space="preserve">счита </w:t>
      </w:r>
      <w:r w:rsidR="00354D47" w:rsidRPr="00DA3B09">
        <w:t>за уместно лихвата за забава да бъде обвързана с пределната ставка по заеми на Европейската централна банка, към която се добавят три процентни пункта.</w:t>
      </w:r>
    </w:p>
    <w:p w:rsidR="00470981" w:rsidRPr="00DA3B09" w:rsidRDefault="00450E83" w:rsidP="00C02AC8">
      <w:pPr>
        <w:pStyle w:val="ECHRTitle1"/>
      </w:pPr>
      <w:r w:rsidRPr="00DA3B09">
        <w:t>ПО ТЕЗИ СЪОБРАЖЕНИЯ СЪДЪТ ЕДИНОДУШНО</w:t>
      </w:r>
    </w:p>
    <w:p w:rsidR="00354D47" w:rsidRPr="00DA3B09" w:rsidRDefault="00C23F8A" w:rsidP="00C02AC8">
      <w:pPr>
        <w:pStyle w:val="JuList"/>
      </w:pPr>
      <w:r w:rsidRPr="00DA3B09">
        <w:t>1.  </w:t>
      </w:r>
      <w:r w:rsidRPr="00DA3B09">
        <w:rPr>
          <w:i/>
        </w:rPr>
        <w:t>Приема,</w:t>
      </w:r>
    </w:p>
    <w:p w:rsidR="00354D47" w:rsidRPr="00DA3B09" w:rsidRDefault="00354D47" w:rsidP="00C02AC8">
      <w:pPr>
        <w:pStyle w:val="JuLista"/>
      </w:pPr>
      <w:r w:rsidRPr="00DA3B09">
        <w:t xml:space="preserve">(а) че държавата-ответник трябва да заплати на всеки от жалбоподателите в срок от три месеца следните суми плюс всякакви данъци, които биха могли да се начислят, които се изчисляват в </w:t>
      </w:r>
      <w:bookmarkStart w:id="1" w:name="_GoBack"/>
      <w:bookmarkEnd w:id="1"/>
      <w:r w:rsidRPr="00DA3B09">
        <w:t>български лева по курса</w:t>
      </w:r>
      <w:r w:rsidR="00AF02A0" w:rsidRPr="00DA3B09">
        <w:t>, валиден</w:t>
      </w:r>
      <w:r w:rsidRPr="00DA3B09">
        <w:t xml:space="preserve"> към датата на плащането:</w:t>
      </w:r>
    </w:p>
    <w:p w:rsidR="00354D47" w:rsidRPr="00DA3B09" w:rsidRDefault="00354D47" w:rsidP="00C02AC8">
      <w:pPr>
        <w:pStyle w:val="JuListi"/>
      </w:pPr>
      <w:r w:rsidRPr="00DA3B09">
        <w:t xml:space="preserve">(i) 28 500 </w:t>
      </w:r>
      <w:r w:rsidR="00AF02A0" w:rsidRPr="00DA3B09">
        <w:t xml:space="preserve">евро </w:t>
      </w:r>
      <w:r w:rsidRPr="00DA3B09">
        <w:t>(двадесет и осем хиляди и петстотин евро) по отношение на имуществени вреди;</w:t>
      </w:r>
    </w:p>
    <w:p w:rsidR="00354D47" w:rsidRPr="00DA3B09" w:rsidRDefault="00354D47" w:rsidP="00C02AC8">
      <w:pPr>
        <w:pStyle w:val="JuListi"/>
      </w:pPr>
      <w:r w:rsidRPr="00DA3B09">
        <w:t xml:space="preserve">(ii) 2000 </w:t>
      </w:r>
      <w:r w:rsidR="00AF02A0" w:rsidRPr="00DA3B09">
        <w:t xml:space="preserve">евро </w:t>
      </w:r>
      <w:r w:rsidRPr="00DA3B09">
        <w:t>(две хиляди евро) по отношение на неимуществени вреди;</w:t>
      </w:r>
    </w:p>
    <w:p w:rsidR="00354D47" w:rsidRPr="00DA3B09" w:rsidRDefault="00354D47" w:rsidP="00C02AC8">
      <w:pPr>
        <w:pStyle w:val="JuLista"/>
      </w:pPr>
      <w:r w:rsidRPr="00DA3B09">
        <w:t xml:space="preserve">(б) че от изтичането на </w:t>
      </w:r>
      <w:r w:rsidR="00AF02A0" w:rsidRPr="00DA3B09">
        <w:t>горес</w:t>
      </w:r>
      <w:r w:rsidRPr="00DA3B09">
        <w:t xml:space="preserve">поменатия тримесечен срок до плащането се дължи проста лихва върху горепосочените суми в размер, равен на пределната ставка по заеми на Европейската централна банка </w:t>
      </w:r>
      <w:r w:rsidR="00AF02A0" w:rsidRPr="00DA3B09">
        <w:t>за срока</w:t>
      </w:r>
      <w:r w:rsidRPr="00DA3B09">
        <w:t xml:space="preserve"> на забава, към която се добавят три процентни пункта;</w:t>
      </w:r>
    </w:p>
    <w:p w:rsidR="00354D47" w:rsidRPr="00DA3B09" w:rsidRDefault="00354D47" w:rsidP="00C02AC8">
      <w:pPr>
        <w:pStyle w:val="JuList"/>
      </w:pPr>
    </w:p>
    <w:p w:rsidR="00470981" w:rsidRPr="00DA3B09" w:rsidRDefault="00354D47" w:rsidP="00C02AC8">
      <w:pPr>
        <w:pStyle w:val="JuList"/>
      </w:pPr>
      <w:r w:rsidRPr="00DA3B09">
        <w:t>2.  </w:t>
      </w:r>
      <w:r w:rsidRPr="00DA3B09">
        <w:rPr>
          <w:i/>
        </w:rPr>
        <w:t>Отхвърля</w:t>
      </w:r>
      <w:r w:rsidRPr="00DA3B09">
        <w:t xml:space="preserve"> останалата част от </w:t>
      </w:r>
      <w:r w:rsidR="00AF02A0" w:rsidRPr="00DA3B09">
        <w:t xml:space="preserve">иска </w:t>
      </w:r>
      <w:r w:rsidRPr="00DA3B09">
        <w:t>на жалбоподателите за справедливо обезщетение.</w:t>
      </w:r>
    </w:p>
    <w:p w:rsidR="00661C0E" w:rsidRPr="00DA3B09" w:rsidRDefault="00470981" w:rsidP="00C02AC8">
      <w:pPr>
        <w:pStyle w:val="JuParaLast"/>
      </w:pPr>
      <w:r w:rsidRPr="00DA3B09">
        <w:lastRenderedPageBreak/>
        <w:t xml:space="preserve">Изготвено на английски език и оповестено писмено на 16 май 2019 г. в съответствие с </w:t>
      </w:r>
      <w:r w:rsidR="00AF02A0" w:rsidRPr="00DA3B09">
        <w:t>п</w:t>
      </w:r>
      <w:r w:rsidRPr="00DA3B09">
        <w:t>равило 77 §§ 2 и 3 от Правилника на Съда.</w:t>
      </w:r>
    </w:p>
    <w:p w:rsidR="00EB447C" w:rsidRPr="00C02AC8" w:rsidRDefault="00470981" w:rsidP="00C02AC8">
      <w:pPr>
        <w:pStyle w:val="JuSigned"/>
        <w:tabs>
          <w:tab w:val="clear" w:pos="6407"/>
          <w:tab w:val="center" w:pos="5670"/>
        </w:tabs>
      </w:pPr>
      <w:r w:rsidRPr="00DA3B09">
        <w:tab/>
        <w:t xml:space="preserve">Милан </w:t>
      </w:r>
      <w:proofErr w:type="spellStart"/>
      <w:r w:rsidRPr="00DA3B09">
        <w:t>Бла</w:t>
      </w:r>
      <w:r w:rsidR="00AF02A0" w:rsidRPr="00DA3B09">
        <w:t>с</w:t>
      </w:r>
      <w:r w:rsidRPr="00DA3B09">
        <w:t>ко</w:t>
      </w:r>
      <w:proofErr w:type="spellEnd"/>
      <w:r w:rsidRPr="00DA3B09">
        <w:tab/>
        <w:t xml:space="preserve">Габриеле </w:t>
      </w:r>
      <w:proofErr w:type="spellStart"/>
      <w:r w:rsidRPr="00DA3B09">
        <w:t>Куцко-Щадлмайер</w:t>
      </w:r>
      <w:proofErr w:type="spellEnd"/>
      <w:r w:rsidRPr="00DA3B09">
        <w:br/>
      </w:r>
      <w:r w:rsidRPr="00DA3B09">
        <w:tab/>
      </w:r>
      <w:r w:rsidR="00AF02A0" w:rsidRPr="00DA3B09">
        <w:t>з</w:t>
      </w:r>
      <w:r w:rsidRPr="00DA3B09">
        <w:t>аместник-секретар</w:t>
      </w:r>
      <w:r w:rsidRPr="00DA3B09">
        <w:tab/>
      </w:r>
      <w:r w:rsidR="00AF02A0" w:rsidRPr="00DA3B09">
        <w:t>п</w:t>
      </w:r>
      <w:r w:rsidRPr="00DA3B09">
        <w:t>редседател</w:t>
      </w:r>
    </w:p>
    <w:p w:rsidR="00F00CBE" w:rsidRPr="00C02AC8" w:rsidRDefault="00F00CBE" w:rsidP="00C02AC8">
      <w:pPr>
        <w:pStyle w:val="JuParaLast"/>
      </w:pPr>
    </w:p>
    <w:sectPr w:rsidR="00F00CBE" w:rsidRPr="00C02AC8" w:rsidSect="00EB45B8">
      <w:headerReference w:type="even" r:id="rId14"/>
      <w:headerReference w:type="default" r:id="rId15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10" w:rsidRPr="00B17171" w:rsidRDefault="009A4710" w:rsidP="00470981">
      <w:r w:rsidRPr="00B17171">
        <w:separator/>
      </w:r>
    </w:p>
  </w:endnote>
  <w:endnote w:type="continuationSeparator" w:id="0">
    <w:p w:rsidR="009A4710" w:rsidRPr="00B17171" w:rsidRDefault="009A4710" w:rsidP="00470981">
      <w:r w:rsidRPr="00B171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70" w:rsidRDefault="00F76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70" w:rsidRDefault="00F765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B8" w:rsidRPr="00150BFA" w:rsidRDefault="00EB45B8" w:rsidP="0020718E">
    <w:pPr>
      <w:jc w:val="center"/>
    </w:pPr>
    <w:r>
      <w:rPr>
        <w:noProof/>
        <w:lang w:val="en-US" w:eastAsia="en-US" w:bidi="ar-SA"/>
      </w:rPr>
      <w:drawing>
        <wp:inline distT="0" distB="0" distL="0" distR="0" wp14:anchorId="0E36BD72" wp14:editId="650E7FAD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45B8" w:rsidRDefault="00EB4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10" w:rsidRPr="00B17171" w:rsidRDefault="009A4710" w:rsidP="00470981">
      <w:r w:rsidRPr="00B17171">
        <w:separator/>
      </w:r>
    </w:p>
  </w:footnote>
  <w:footnote w:type="continuationSeparator" w:id="0">
    <w:p w:rsidR="009A4710" w:rsidRPr="00B17171" w:rsidRDefault="009A4710" w:rsidP="00470981">
      <w:r w:rsidRPr="00B171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70" w:rsidRDefault="00F76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C42" w:rsidRPr="00EB45B8" w:rsidRDefault="007F4C42" w:rsidP="00EB45B8">
    <w:pPr>
      <w:pStyle w:val="Header"/>
      <w:jc w:val="center"/>
      <w:rPr>
        <w:rStyle w:val="PageNumber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B8" w:rsidRPr="00A45145" w:rsidRDefault="00EB45B8" w:rsidP="00A45145">
    <w:pPr>
      <w:jc w:val="center"/>
    </w:pPr>
    <w:r>
      <w:rPr>
        <w:noProof/>
        <w:lang w:val="en-US" w:eastAsia="en-US" w:bidi="ar-SA"/>
      </w:rPr>
      <w:drawing>
        <wp:inline distT="0" distB="0" distL="0" distR="0" wp14:anchorId="1CBCF41C" wp14:editId="17ED85E7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4D47" w:rsidRDefault="00354D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B8" w:rsidRPr="00B17171" w:rsidRDefault="00EB45B8" w:rsidP="00660DC0">
    <w:pPr>
      <w:pStyle w:val="ECHR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6570">
      <w:rPr>
        <w:rStyle w:val="PageNumber"/>
        <w:noProof/>
      </w:rPr>
      <w:t>8</w:t>
    </w:r>
    <w:r>
      <w:rPr>
        <w:rStyle w:val="PageNumber"/>
      </w:rPr>
      <w:fldChar w:fldCharType="end"/>
    </w:r>
    <w:r>
      <w:tab/>
      <w:t>РЕШЕНИЕ МИХАЛЕВИ СРЕЩУ БЪЛГАРИЯ (СПРАВЕДЛИВО ОБЕЗЩЕТЕНИЕ)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B8" w:rsidRPr="00B17171" w:rsidRDefault="00EB45B8" w:rsidP="00874819">
    <w:pPr>
      <w:pStyle w:val="ECHRHeader"/>
      <w:rPr>
        <w:rStyle w:val="PageNumber"/>
      </w:rPr>
    </w:pPr>
    <w:r>
      <w:tab/>
      <w:t>РЕШЕНИЕ МИХАЛЕВИ СРЕЩУ БЪЛГАРИЯ (СПРАВЕДЛИВО ОБЕЗЩЕТЕНИЕ)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6570">
      <w:rPr>
        <w:rStyle w:val="PageNumber"/>
        <w:noProof/>
      </w:rPr>
      <w:t>7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A298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A25C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1E2A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A66C9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B244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7AB4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EE70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D61E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E133365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3A5D472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580374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MM" w:val="0"/>
    <w:docVar w:name="NBEMMDOC" w:val="0"/>
  </w:docVars>
  <w:rsids>
    <w:rsidRoot w:val="00354D47"/>
    <w:rsid w:val="000041F8"/>
    <w:rsid w:val="000042A8"/>
    <w:rsid w:val="00004308"/>
    <w:rsid w:val="0000538B"/>
    <w:rsid w:val="00005BF0"/>
    <w:rsid w:val="00007154"/>
    <w:rsid w:val="000103AE"/>
    <w:rsid w:val="00011D69"/>
    <w:rsid w:val="00012AD3"/>
    <w:rsid w:val="00015C2D"/>
    <w:rsid w:val="00015F00"/>
    <w:rsid w:val="00022C1D"/>
    <w:rsid w:val="00034987"/>
    <w:rsid w:val="0005251B"/>
    <w:rsid w:val="0005709F"/>
    <w:rsid w:val="000602DF"/>
    <w:rsid w:val="00061B05"/>
    <w:rsid w:val="000632D5"/>
    <w:rsid w:val="000644EE"/>
    <w:rsid w:val="000925AD"/>
    <w:rsid w:val="000A24EB"/>
    <w:rsid w:val="000A50D5"/>
    <w:rsid w:val="000A7EA2"/>
    <w:rsid w:val="000B6923"/>
    <w:rsid w:val="000C5F3C"/>
    <w:rsid w:val="000C6DCC"/>
    <w:rsid w:val="000D0465"/>
    <w:rsid w:val="000D06A1"/>
    <w:rsid w:val="000D3EB2"/>
    <w:rsid w:val="000D47AA"/>
    <w:rsid w:val="000D721F"/>
    <w:rsid w:val="000E069B"/>
    <w:rsid w:val="000E0E82"/>
    <w:rsid w:val="000E1DC5"/>
    <w:rsid w:val="000E223F"/>
    <w:rsid w:val="000E7D45"/>
    <w:rsid w:val="000F7851"/>
    <w:rsid w:val="00102B71"/>
    <w:rsid w:val="00104E23"/>
    <w:rsid w:val="0010771F"/>
    <w:rsid w:val="00111B0C"/>
    <w:rsid w:val="00112229"/>
    <w:rsid w:val="00120D6C"/>
    <w:rsid w:val="001257EC"/>
    <w:rsid w:val="00133D33"/>
    <w:rsid w:val="00134D64"/>
    <w:rsid w:val="00135A30"/>
    <w:rsid w:val="0013612C"/>
    <w:rsid w:val="00137FF6"/>
    <w:rsid w:val="00141650"/>
    <w:rsid w:val="00151D19"/>
    <w:rsid w:val="00156847"/>
    <w:rsid w:val="00162A12"/>
    <w:rsid w:val="00166530"/>
    <w:rsid w:val="001708CD"/>
    <w:rsid w:val="001712E2"/>
    <w:rsid w:val="001772E8"/>
    <w:rsid w:val="00182E68"/>
    <w:rsid w:val="001832BD"/>
    <w:rsid w:val="001943B5"/>
    <w:rsid w:val="00195134"/>
    <w:rsid w:val="001A145B"/>
    <w:rsid w:val="001A674C"/>
    <w:rsid w:val="001B1BA6"/>
    <w:rsid w:val="001B3B24"/>
    <w:rsid w:val="001C0F98"/>
    <w:rsid w:val="001C2A42"/>
    <w:rsid w:val="001D63ED"/>
    <w:rsid w:val="001D7348"/>
    <w:rsid w:val="001E035B"/>
    <w:rsid w:val="001E0961"/>
    <w:rsid w:val="001E3EAE"/>
    <w:rsid w:val="001E6F32"/>
    <w:rsid w:val="001F2145"/>
    <w:rsid w:val="001F6262"/>
    <w:rsid w:val="001F67B0"/>
    <w:rsid w:val="001F7B3D"/>
    <w:rsid w:val="00205F9F"/>
    <w:rsid w:val="00210338"/>
    <w:rsid w:val="002115FC"/>
    <w:rsid w:val="0021279B"/>
    <w:rsid w:val="0021423C"/>
    <w:rsid w:val="00221183"/>
    <w:rsid w:val="00230D00"/>
    <w:rsid w:val="00231DF7"/>
    <w:rsid w:val="00231FD1"/>
    <w:rsid w:val="002339E0"/>
    <w:rsid w:val="00233CF8"/>
    <w:rsid w:val="0023575D"/>
    <w:rsid w:val="00237148"/>
    <w:rsid w:val="0024222D"/>
    <w:rsid w:val="00244B0E"/>
    <w:rsid w:val="00244F6C"/>
    <w:rsid w:val="002532C5"/>
    <w:rsid w:val="00260C03"/>
    <w:rsid w:val="0026540E"/>
    <w:rsid w:val="00275123"/>
    <w:rsid w:val="0027692D"/>
    <w:rsid w:val="00277201"/>
    <w:rsid w:val="00277C9A"/>
    <w:rsid w:val="00282240"/>
    <w:rsid w:val="00282F4B"/>
    <w:rsid w:val="002948AD"/>
    <w:rsid w:val="002A01CC"/>
    <w:rsid w:val="002A2744"/>
    <w:rsid w:val="002A61B1"/>
    <w:rsid w:val="002A663C"/>
    <w:rsid w:val="002B444B"/>
    <w:rsid w:val="002B5887"/>
    <w:rsid w:val="002B6161"/>
    <w:rsid w:val="002C0E27"/>
    <w:rsid w:val="002C3040"/>
    <w:rsid w:val="002D022D"/>
    <w:rsid w:val="002D24BB"/>
    <w:rsid w:val="002F2AF7"/>
    <w:rsid w:val="002F7E1C"/>
    <w:rsid w:val="00301A75"/>
    <w:rsid w:val="00302F70"/>
    <w:rsid w:val="0030336F"/>
    <w:rsid w:val="0030375E"/>
    <w:rsid w:val="00307046"/>
    <w:rsid w:val="00312A30"/>
    <w:rsid w:val="00315B5B"/>
    <w:rsid w:val="00320F72"/>
    <w:rsid w:val="0032463E"/>
    <w:rsid w:val="00326224"/>
    <w:rsid w:val="003304EF"/>
    <w:rsid w:val="00337EE4"/>
    <w:rsid w:val="00340FFD"/>
    <w:rsid w:val="003506B1"/>
    <w:rsid w:val="00354D47"/>
    <w:rsid w:val="00356AC7"/>
    <w:rsid w:val="003609FA"/>
    <w:rsid w:val="003710C8"/>
    <w:rsid w:val="003750BE"/>
    <w:rsid w:val="00387B9D"/>
    <w:rsid w:val="0039364F"/>
    <w:rsid w:val="00395193"/>
    <w:rsid w:val="00396686"/>
    <w:rsid w:val="0039778E"/>
    <w:rsid w:val="003A7B02"/>
    <w:rsid w:val="003B4941"/>
    <w:rsid w:val="003C5714"/>
    <w:rsid w:val="003C6003"/>
    <w:rsid w:val="003C6B9F"/>
    <w:rsid w:val="003C6E2A"/>
    <w:rsid w:val="003D0299"/>
    <w:rsid w:val="003D3CFB"/>
    <w:rsid w:val="003E6D80"/>
    <w:rsid w:val="003E7AF6"/>
    <w:rsid w:val="003F05FA"/>
    <w:rsid w:val="003F244A"/>
    <w:rsid w:val="003F30B8"/>
    <w:rsid w:val="003F4C45"/>
    <w:rsid w:val="003F5F7B"/>
    <w:rsid w:val="003F6D21"/>
    <w:rsid w:val="003F7D64"/>
    <w:rsid w:val="00414300"/>
    <w:rsid w:val="004160FF"/>
    <w:rsid w:val="00425C67"/>
    <w:rsid w:val="00427E7A"/>
    <w:rsid w:val="00432C6F"/>
    <w:rsid w:val="00436C49"/>
    <w:rsid w:val="00445366"/>
    <w:rsid w:val="00447F5B"/>
    <w:rsid w:val="00450E83"/>
    <w:rsid w:val="00461DB0"/>
    <w:rsid w:val="00463926"/>
    <w:rsid w:val="00464C9A"/>
    <w:rsid w:val="00465244"/>
    <w:rsid w:val="00470981"/>
    <w:rsid w:val="00473988"/>
    <w:rsid w:val="00474F3D"/>
    <w:rsid w:val="00477E3A"/>
    <w:rsid w:val="00483E5F"/>
    <w:rsid w:val="00484D30"/>
    <w:rsid w:val="00485FF9"/>
    <w:rsid w:val="004861EB"/>
    <w:rsid w:val="004907F0"/>
    <w:rsid w:val="0049140B"/>
    <w:rsid w:val="004923A5"/>
    <w:rsid w:val="00496BFB"/>
    <w:rsid w:val="00496CAA"/>
    <w:rsid w:val="004A15C7"/>
    <w:rsid w:val="004A5FE5"/>
    <w:rsid w:val="004B013B"/>
    <w:rsid w:val="004B06C3"/>
    <w:rsid w:val="004B112B"/>
    <w:rsid w:val="004C01E4"/>
    <w:rsid w:val="004C086C"/>
    <w:rsid w:val="004C1F56"/>
    <w:rsid w:val="004C27BC"/>
    <w:rsid w:val="004C27D1"/>
    <w:rsid w:val="004D09D9"/>
    <w:rsid w:val="004D15F3"/>
    <w:rsid w:val="004D5311"/>
    <w:rsid w:val="004D5DCC"/>
    <w:rsid w:val="004E050C"/>
    <w:rsid w:val="004E09EE"/>
    <w:rsid w:val="004F10AF"/>
    <w:rsid w:val="004F11A4"/>
    <w:rsid w:val="004F2389"/>
    <w:rsid w:val="004F304D"/>
    <w:rsid w:val="004F61BE"/>
    <w:rsid w:val="004F66B1"/>
    <w:rsid w:val="00511C07"/>
    <w:rsid w:val="005173A6"/>
    <w:rsid w:val="00520BAA"/>
    <w:rsid w:val="00525208"/>
    <w:rsid w:val="005257A5"/>
    <w:rsid w:val="005264C0"/>
    <w:rsid w:val="00526A8A"/>
    <w:rsid w:val="00531DF2"/>
    <w:rsid w:val="00534D7C"/>
    <w:rsid w:val="005442EE"/>
    <w:rsid w:val="00547353"/>
    <w:rsid w:val="005474E7"/>
    <w:rsid w:val="005512A3"/>
    <w:rsid w:val="005578CE"/>
    <w:rsid w:val="00562781"/>
    <w:rsid w:val="005648A2"/>
    <w:rsid w:val="0057271C"/>
    <w:rsid w:val="00572845"/>
    <w:rsid w:val="00592772"/>
    <w:rsid w:val="0059574A"/>
    <w:rsid w:val="005A1B9B"/>
    <w:rsid w:val="005A3EA1"/>
    <w:rsid w:val="005A6751"/>
    <w:rsid w:val="005B092E"/>
    <w:rsid w:val="005B152C"/>
    <w:rsid w:val="005B1EE0"/>
    <w:rsid w:val="005B2B24"/>
    <w:rsid w:val="005B4425"/>
    <w:rsid w:val="005B4B94"/>
    <w:rsid w:val="005C3EE8"/>
    <w:rsid w:val="005D34F9"/>
    <w:rsid w:val="005D4190"/>
    <w:rsid w:val="005D67A3"/>
    <w:rsid w:val="005E2988"/>
    <w:rsid w:val="005E3085"/>
    <w:rsid w:val="005F51E1"/>
    <w:rsid w:val="006050D4"/>
    <w:rsid w:val="00611C80"/>
    <w:rsid w:val="00616468"/>
    <w:rsid w:val="00620692"/>
    <w:rsid w:val="0062381B"/>
    <w:rsid w:val="006242CA"/>
    <w:rsid w:val="00627507"/>
    <w:rsid w:val="00633717"/>
    <w:rsid w:val="006344E1"/>
    <w:rsid w:val="0065447F"/>
    <w:rsid w:val="006544E2"/>
    <w:rsid w:val="006545C4"/>
    <w:rsid w:val="00660DC0"/>
    <w:rsid w:val="00661971"/>
    <w:rsid w:val="00661C0E"/>
    <w:rsid w:val="00661CE8"/>
    <w:rsid w:val="006623D9"/>
    <w:rsid w:val="0066550C"/>
    <w:rsid w:val="006716F2"/>
    <w:rsid w:val="00682BF2"/>
    <w:rsid w:val="006859CE"/>
    <w:rsid w:val="00691270"/>
    <w:rsid w:val="006918C7"/>
    <w:rsid w:val="00694BA8"/>
    <w:rsid w:val="006A037C"/>
    <w:rsid w:val="006A36F4"/>
    <w:rsid w:val="006A406F"/>
    <w:rsid w:val="006A5D3A"/>
    <w:rsid w:val="006C23D4"/>
    <w:rsid w:val="006C7BB0"/>
    <w:rsid w:val="006D3237"/>
    <w:rsid w:val="006E2E37"/>
    <w:rsid w:val="006E3CF1"/>
    <w:rsid w:val="006E64D0"/>
    <w:rsid w:val="006E7E80"/>
    <w:rsid w:val="006F07D3"/>
    <w:rsid w:val="006F48CA"/>
    <w:rsid w:val="006F64DD"/>
    <w:rsid w:val="006F681F"/>
    <w:rsid w:val="00704DDA"/>
    <w:rsid w:val="007058E8"/>
    <w:rsid w:val="00715127"/>
    <w:rsid w:val="00715E8E"/>
    <w:rsid w:val="00723580"/>
    <w:rsid w:val="00723755"/>
    <w:rsid w:val="007242BF"/>
    <w:rsid w:val="0073136C"/>
    <w:rsid w:val="00731F0F"/>
    <w:rsid w:val="00733250"/>
    <w:rsid w:val="007377C2"/>
    <w:rsid w:val="00741404"/>
    <w:rsid w:val="007449E5"/>
    <w:rsid w:val="00747FF0"/>
    <w:rsid w:val="007524DC"/>
    <w:rsid w:val="00764D4E"/>
    <w:rsid w:val="00765A1F"/>
    <w:rsid w:val="00775B6D"/>
    <w:rsid w:val="00776D68"/>
    <w:rsid w:val="00782BC2"/>
    <w:rsid w:val="007850EE"/>
    <w:rsid w:val="00785B95"/>
    <w:rsid w:val="00790E96"/>
    <w:rsid w:val="00793366"/>
    <w:rsid w:val="007A26F7"/>
    <w:rsid w:val="007A4A39"/>
    <w:rsid w:val="007A716F"/>
    <w:rsid w:val="007B270A"/>
    <w:rsid w:val="007C0695"/>
    <w:rsid w:val="007C419A"/>
    <w:rsid w:val="007C4CC8"/>
    <w:rsid w:val="007C5426"/>
    <w:rsid w:val="007C5798"/>
    <w:rsid w:val="007D338C"/>
    <w:rsid w:val="007D4832"/>
    <w:rsid w:val="007D7232"/>
    <w:rsid w:val="007E21B2"/>
    <w:rsid w:val="007E2495"/>
    <w:rsid w:val="007E2C4E"/>
    <w:rsid w:val="007F1905"/>
    <w:rsid w:val="007F4C42"/>
    <w:rsid w:val="00802C64"/>
    <w:rsid w:val="00805E52"/>
    <w:rsid w:val="008061D0"/>
    <w:rsid w:val="00810B38"/>
    <w:rsid w:val="008162D3"/>
    <w:rsid w:val="008204C7"/>
    <w:rsid w:val="00820992"/>
    <w:rsid w:val="00823602"/>
    <w:rsid w:val="0082508B"/>
    <w:rsid w:val="008255F5"/>
    <w:rsid w:val="0083014E"/>
    <w:rsid w:val="008318B1"/>
    <w:rsid w:val="0083214A"/>
    <w:rsid w:val="00834220"/>
    <w:rsid w:val="00845723"/>
    <w:rsid w:val="00851B7B"/>
    <w:rsid w:val="00851EF9"/>
    <w:rsid w:val="00855521"/>
    <w:rsid w:val="008577FD"/>
    <w:rsid w:val="00860B03"/>
    <w:rsid w:val="0086497A"/>
    <w:rsid w:val="008713A1"/>
    <w:rsid w:val="00874819"/>
    <w:rsid w:val="008754AB"/>
    <w:rsid w:val="0088060C"/>
    <w:rsid w:val="008858F2"/>
    <w:rsid w:val="0089051B"/>
    <w:rsid w:val="00893576"/>
    <w:rsid w:val="00893E73"/>
    <w:rsid w:val="008A3EAD"/>
    <w:rsid w:val="008B02DC"/>
    <w:rsid w:val="008B57CE"/>
    <w:rsid w:val="008B6F63"/>
    <w:rsid w:val="008C26DE"/>
    <w:rsid w:val="008D2225"/>
    <w:rsid w:val="008D4752"/>
    <w:rsid w:val="008D77D0"/>
    <w:rsid w:val="008E271C"/>
    <w:rsid w:val="008E418E"/>
    <w:rsid w:val="008E5BC6"/>
    <w:rsid w:val="008E6A25"/>
    <w:rsid w:val="008F5193"/>
    <w:rsid w:val="009013A7"/>
    <w:rsid w:val="009017FB"/>
    <w:rsid w:val="009017FC"/>
    <w:rsid w:val="0090506B"/>
    <w:rsid w:val="009050C9"/>
    <w:rsid w:val="0090521D"/>
    <w:rsid w:val="009066FC"/>
    <w:rsid w:val="009140A3"/>
    <w:rsid w:val="009144A2"/>
    <w:rsid w:val="0091510C"/>
    <w:rsid w:val="00924286"/>
    <w:rsid w:val="009259AC"/>
    <w:rsid w:val="00926F38"/>
    <w:rsid w:val="00934301"/>
    <w:rsid w:val="00936CD1"/>
    <w:rsid w:val="00941747"/>
    <w:rsid w:val="00941EFB"/>
    <w:rsid w:val="00947AFB"/>
    <w:rsid w:val="00951D7D"/>
    <w:rsid w:val="00952297"/>
    <w:rsid w:val="009630C7"/>
    <w:rsid w:val="00963E4D"/>
    <w:rsid w:val="00972B55"/>
    <w:rsid w:val="009743B7"/>
    <w:rsid w:val="00975D2B"/>
    <w:rsid w:val="009775F9"/>
    <w:rsid w:val="0098228B"/>
    <w:rsid w:val="009828DA"/>
    <w:rsid w:val="00985BAB"/>
    <w:rsid w:val="00990DA2"/>
    <w:rsid w:val="00993913"/>
    <w:rsid w:val="009A4710"/>
    <w:rsid w:val="009B1B5F"/>
    <w:rsid w:val="009B6673"/>
    <w:rsid w:val="009C191B"/>
    <w:rsid w:val="009C2BD6"/>
    <w:rsid w:val="009C40C2"/>
    <w:rsid w:val="009E1F32"/>
    <w:rsid w:val="009E776C"/>
    <w:rsid w:val="00A1726E"/>
    <w:rsid w:val="00A204CF"/>
    <w:rsid w:val="00A22A01"/>
    <w:rsid w:val="00A23D49"/>
    <w:rsid w:val="00A26EB1"/>
    <w:rsid w:val="00A27004"/>
    <w:rsid w:val="00A30C29"/>
    <w:rsid w:val="00A34DD6"/>
    <w:rsid w:val="00A36819"/>
    <w:rsid w:val="00A36989"/>
    <w:rsid w:val="00A43628"/>
    <w:rsid w:val="00A54192"/>
    <w:rsid w:val="00A6035E"/>
    <w:rsid w:val="00A6144C"/>
    <w:rsid w:val="00A62B2C"/>
    <w:rsid w:val="00A66617"/>
    <w:rsid w:val="00A671F8"/>
    <w:rsid w:val="00A673A4"/>
    <w:rsid w:val="00A724AE"/>
    <w:rsid w:val="00A73329"/>
    <w:rsid w:val="00A82359"/>
    <w:rsid w:val="00A8269D"/>
    <w:rsid w:val="00A86370"/>
    <w:rsid w:val="00A865D2"/>
    <w:rsid w:val="00A86D18"/>
    <w:rsid w:val="00A94C20"/>
    <w:rsid w:val="00AA227F"/>
    <w:rsid w:val="00AA3BC7"/>
    <w:rsid w:val="00AA49B3"/>
    <w:rsid w:val="00AA754A"/>
    <w:rsid w:val="00AB07C7"/>
    <w:rsid w:val="00AB099E"/>
    <w:rsid w:val="00AB4328"/>
    <w:rsid w:val="00AC377E"/>
    <w:rsid w:val="00AE0A2E"/>
    <w:rsid w:val="00AE354C"/>
    <w:rsid w:val="00AF02A0"/>
    <w:rsid w:val="00AF29A8"/>
    <w:rsid w:val="00AF4B07"/>
    <w:rsid w:val="00AF5C77"/>
    <w:rsid w:val="00AF6186"/>
    <w:rsid w:val="00AF7A3A"/>
    <w:rsid w:val="00B160DB"/>
    <w:rsid w:val="00B17171"/>
    <w:rsid w:val="00B20836"/>
    <w:rsid w:val="00B235BB"/>
    <w:rsid w:val="00B27A44"/>
    <w:rsid w:val="00B30BBF"/>
    <w:rsid w:val="00B33C03"/>
    <w:rsid w:val="00B41F84"/>
    <w:rsid w:val="00B44A56"/>
    <w:rsid w:val="00B44E56"/>
    <w:rsid w:val="00B45294"/>
    <w:rsid w:val="00B46543"/>
    <w:rsid w:val="00B47D33"/>
    <w:rsid w:val="00B52BE0"/>
    <w:rsid w:val="00B54133"/>
    <w:rsid w:val="00B575C6"/>
    <w:rsid w:val="00B63A2C"/>
    <w:rsid w:val="00B64E18"/>
    <w:rsid w:val="00B701ED"/>
    <w:rsid w:val="00B771A0"/>
    <w:rsid w:val="00B8086C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1C27"/>
    <w:rsid w:val="00BC51AA"/>
    <w:rsid w:val="00BC6BBF"/>
    <w:rsid w:val="00BD1572"/>
    <w:rsid w:val="00BE14E3"/>
    <w:rsid w:val="00BE1959"/>
    <w:rsid w:val="00BE3774"/>
    <w:rsid w:val="00BE41E5"/>
    <w:rsid w:val="00BF4109"/>
    <w:rsid w:val="00BF4CC3"/>
    <w:rsid w:val="00BF59E6"/>
    <w:rsid w:val="00C02A51"/>
    <w:rsid w:val="00C02AC8"/>
    <w:rsid w:val="00C04250"/>
    <w:rsid w:val="00C054C7"/>
    <w:rsid w:val="00C057B5"/>
    <w:rsid w:val="00C12505"/>
    <w:rsid w:val="00C22687"/>
    <w:rsid w:val="00C23F8A"/>
    <w:rsid w:val="00C32E4D"/>
    <w:rsid w:val="00C333A0"/>
    <w:rsid w:val="00C34451"/>
    <w:rsid w:val="00C36A81"/>
    <w:rsid w:val="00C37C81"/>
    <w:rsid w:val="00C41974"/>
    <w:rsid w:val="00C50F05"/>
    <w:rsid w:val="00C53F4A"/>
    <w:rsid w:val="00C54125"/>
    <w:rsid w:val="00C55B54"/>
    <w:rsid w:val="00C6098E"/>
    <w:rsid w:val="00C6152C"/>
    <w:rsid w:val="00C6735C"/>
    <w:rsid w:val="00C7285F"/>
    <w:rsid w:val="00C74810"/>
    <w:rsid w:val="00C7595B"/>
    <w:rsid w:val="00C7656B"/>
    <w:rsid w:val="00C808C9"/>
    <w:rsid w:val="00C90D68"/>
    <w:rsid w:val="00C939FE"/>
    <w:rsid w:val="00C93F04"/>
    <w:rsid w:val="00C97101"/>
    <w:rsid w:val="00C97557"/>
    <w:rsid w:val="00CA4BDA"/>
    <w:rsid w:val="00CB1F66"/>
    <w:rsid w:val="00CB2951"/>
    <w:rsid w:val="00CD282B"/>
    <w:rsid w:val="00CD4C35"/>
    <w:rsid w:val="00CD7369"/>
    <w:rsid w:val="00CE0B0E"/>
    <w:rsid w:val="00CE3831"/>
    <w:rsid w:val="00CF0317"/>
    <w:rsid w:val="00CF449F"/>
    <w:rsid w:val="00D00ABB"/>
    <w:rsid w:val="00D02EEC"/>
    <w:rsid w:val="00D03551"/>
    <w:rsid w:val="00D06A63"/>
    <w:rsid w:val="00D07E0E"/>
    <w:rsid w:val="00D11478"/>
    <w:rsid w:val="00D15ED0"/>
    <w:rsid w:val="00D16E22"/>
    <w:rsid w:val="00D21B3E"/>
    <w:rsid w:val="00D21FED"/>
    <w:rsid w:val="00D24251"/>
    <w:rsid w:val="00D34363"/>
    <w:rsid w:val="00D343E2"/>
    <w:rsid w:val="00D361A2"/>
    <w:rsid w:val="00D3746A"/>
    <w:rsid w:val="00D44C2E"/>
    <w:rsid w:val="00D45414"/>
    <w:rsid w:val="00D566BD"/>
    <w:rsid w:val="00D57A4D"/>
    <w:rsid w:val="00D60AA7"/>
    <w:rsid w:val="00D6435F"/>
    <w:rsid w:val="00D75E28"/>
    <w:rsid w:val="00D772C2"/>
    <w:rsid w:val="00D8008E"/>
    <w:rsid w:val="00D82C45"/>
    <w:rsid w:val="00D8396B"/>
    <w:rsid w:val="00D908A8"/>
    <w:rsid w:val="00D977B6"/>
    <w:rsid w:val="00DA3B09"/>
    <w:rsid w:val="00DA4A31"/>
    <w:rsid w:val="00DA7B04"/>
    <w:rsid w:val="00DA7F83"/>
    <w:rsid w:val="00DB36C2"/>
    <w:rsid w:val="00DC169B"/>
    <w:rsid w:val="00DC299E"/>
    <w:rsid w:val="00DC2AB9"/>
    <w:rsid w:val="00DC63F0"/>
    <w:rsid w:val="00DD6EE5"/>
    <w:rsid w:val="00DE386C"/>
    <w:rsid w:val="00DE4D35"/>
    <w:rsid w:val="00DF098B"/>
    <w:rsid w:val="00DF11C4"/>
    <w:rsid w:val="00DF20A6"/>
    <w:rsid w:val="00DF210C"/>
    <w:rsid w:val="00DF4B6A"/>
    <w:rsid w:val="00E025E6"/>
    <w:rsid w:val="00E02C09"/>
    <w:rsid w:val="00E04D59"/>
    <w:rsid w:val="00E07DA1"/>
    <w:rsid w:val="00E123CB"/>
    <w:rsid w:val="00E20E13"/>
    <w:rsid w:val="00E21DBC"/>
    <w:rsid w:val="00E25EF9"/>
    <w:rsid w:val="00E275D7"/>
    <w:rsid w:val="00E27DBE"/>
    <w:rsid w:val="00E32AB1"/>
    <w:rsid w:val="00E32BC0"/>
    <w:rsid w:val="00E33856"/>
    <w:rsid w:val="00E36C71"/>
    <w:rsid w:val="00E40404"/>
    <w:rsid w:val="00E459C6"/>
    <w:rsid w:val="00E47589"/>
    <w:rsid w:val="00E64915"/>
    <w:rsid w:val="00E661D4"/>
    <w:rsid w:val="00E70091"/>
    <w:rsid w:val="00E720F5"/>
    <w:rsid w:val="00E752EC"/>
    <w:rsid w:val="00E76D47"/>
    <w:rsid w:val="00E83D9F"/>
    <w:rsid w:val="00E849F7"/>
    <w:rsid w:val="00E85166"/>
    <w:rsid w:val="00E90302"/>
    <w:rsid w:val="00E9312C"/>
    <w:rsid w:val="00E97396"/>
    <w:rsid w:val="00EA185E"/>
    <w:rsid w:val="00EA5433"/>
    <w:rsid w:val="00EA592A"/>
    <w:rsid w:val="00EB14E4"/>
    <w:rsid w:val="00EB32A5"/>
    <w:rsid w:val="00EB34ED"/>
    <w:rsid w:val="00EB447C"/>
    <w:rsid w:val="00EB45B8"/>
    <w:rsid w:val="00EB72E2"/>
    <w:rsid w:val="00EB7BE0"/>
    <w:rsid w:val="00EC315E"/>
    <w:rsid w:val="00ED077C"/>
    <w:rsid w:val="00ED1190"/>
    <w:rsid w:val="00ED4A5B"/>
    <w:rsid w:val="00ED6544"/>
    <w:rsid w:val="00EE0277"/>
    <w:rsid w:val="00EE3E00"/>
    <w:rsid w:val="00EE5DD2"/>
    <w:rsid w:val="00EF3E6B"/>
    <w:rsid w:val="00F00A79"/>
    <w:rsid w:val="00F00CBE"/>
    <w:rsid w:val="00F00E86"/>
    <w:rsid w:val="00F07C1E"/>
    <w:rsid w:val="00F105DB"/>
    <w:rsid w:val="00F132BC"/>
    <w:rsid w:val="00F13B25"/>
    <w:rsid w:val="00F13D80"/>
    <w:rsid w:val="00F16AAA"/>
    <w:rsid w:val="00F21161"/>
    <w:rsid w:val="00F218EF"/>
    <w:rsid w:val="00F21BC7"/>
    <w:rsid w:val="00F266A2"/>
    <w:rsid w:val="00F279A6"/>
    <w:rsid w:val="00F32269"/>
    <w:rsid w:val="00F56025"/>
    <w:rsid w:val="00F56A6F"/>
    <w:rsid w:val="00F5709C"/>
    <w:rsid w:val="00F6181E"/>
    <w:rsid w:val="00F64EF1"/>
    <w:rsid w:val="00F76570"/>
    <w:rsid w:val="00F8765F"/>
    <w:rsid w:val="00F90767"/>
    <w:rsid w:val="00F925B4"/>
    <w:rsid w:val="00FA3743"/>
    <w:rsid w:val="00FA4ECC"/>
    <w:rsid w:val="00FA685B"/>
    <w:rsid w:val="00FB0C01"/>
    <w:rsid w:val="00FC18F2"/>
    <w:rsid w:val="00FC237A"/>
    <w:rsid w:val="00FC2705"/>
    <w:rsid w:val="00FC39E5"/>
    <w:rsid w:val="00FC3A78"/>
    <w:rsid w:val="00FC5FCB"/>
    <w:rsid w:val="00FD1005"/>
    <w:rsid w:val="00FD6C75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7" w:unhideWhenUsed="1"/>
    <w:lsdException w:name="footer" w:semiHidden="1" w:uiPriority="5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7D338C"/>
    <w:pPr>
      <w:jc w:val="both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7D338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7D338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7D338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7D338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7D338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7D338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7D338C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7D338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7D338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D3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8C"/>
    <w:rPr>
      <w:rFonts w:ascii="Tahoma" w:eastAsiaTheme="minorEastAsia" w:hAnsi="Tahoma" w:cs="Tahoma"/>
      <w:sz w:val="16"/>
      <w:szCs w:val="16"/>
      <w:lang w:val="bg-BG"/>
    </w:rPr>
  </w:style>
  <w:style w:type="character" w:styleId="BookTitle">
    <w:name w:val="Book Title"/>
    <w:uiPriority w:val="99"/>
    <w:semiHidden/>
    <w:qFormat/>
    <w:rsid w:val="007D338C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Header"/>
    <w:uiPriority w:val="4"/>
    <w:qFormat/>
    <w:rsid w:val="007D338C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Footer"/>
    <w:uiPriority w:val="57"/>
    <w:semiHidden/>
    <w:rsid w:val="007D338C"/>
    <w:pPr>
      <w:jc w:val="left"/>
    </w:pPr>
    <w:rPr>
      <w:sz w:val="8"/>
    </w:rPr>
  </w:style>
  <w:style w:type="character" w:styleId="Strong">
    <w:name w:val="Strong"/>
    <w:uiPriority w:val="99"/>
    <w:semiHidden/>
    <w:qFormat/>
    <w:rsid w:val="007D338C"/>
    <w:rPr>
      <w:b/>
      <w:bCs/>
    </w:rPr>
  </w:style>
  <w:style w:type="paragraph" w:styleId="NoSpacing">
    <w:name w:val="No Spacing"/>
    <w:basedOn w:val="Normal"/>
    <w:link w:val="NoSpacingChar"/>
    <w:semiHidden/>
    <w:qFormat/>
    <w:rsid w:val="007D338C"/>
    <w:rPr>
      <w:sz w:val="22"/>
    </w:rPr>
  </w:style>
  <w:style w:type="character" w:customStyle="1" w:styleId="NoSpacingChar">
    <w:name w:val="No Spacing Char"/>
    <w:basedOn w:val="DefaultParagraphFont"/>
    <w:link w:val="NoSpacing"/>
    <w:semiHidden/>
    <w:rsid w:val="007D338C"/>
    <w:rPr>
      <w:rFonts w:eastAsiaTheme="minorEastAsia"/>
    </w:rPr>
  </w:style>
  <w:style w:type="paragraph" w:customStyle="1" w:styleId="ECHRFooterLine">
    <w:name w:val="ECHR_Footer_Line"/>
    <w:aliases w:val="Footer_Line"/>
    <w:basedOn w:val="Normal"/>
    <w:next w:val="ECHRFooter"/>
    <w:uiPriority w:val="57"/>
    <w:semiHidden/>
    <w:rsid w:val="007D338C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DecHTitle">
    <w:name w:val="Dec_H_Title"/>
    <w:basedOn w:val="ECHRTitleCentre1"/>
    <w:uiPriority w:val="7"/>
    <w:semiHidden/>
    <w:qFormat/>
    <w:rsid w:val="007D338C"/>
  </w:style>
  <w:style w:type="paragraph" w:customStyle="1" w:styleId="DecList">
    <w:name w:val="Dec_List"/>
    <w:basedOn w:val="Normal"/>
    <w:uiPriority w:val="9"/>
    <w:semiHidden/>
    <w:qFormat/>
    <w:rsid w:val="007D338C"/>
    <w:pPr>
      <w:spacing w:before="240"/>
      <w:ind w:left="284"/>
    </w:pPr>
  </w:style>
  <w:style w:type="paragraph" w:customStyle="1" w:styleId="DummyStyle">
    <w:name w:val="Dummy_Style"/>
    <w:basedOn w:val="Normal"/>
    <w:semiHidden/>
    <w:qFormat/>
    <w:rsid w:val="007D338C"/>
    <w:rPr>
      <w:color w:val="00B050"/>
    </w:rPr>
  </w:style>
  <w:style w:type="paragraph" w:customStyle="1" w:styleId="ECHRTitleCentre3">
    <w:name w:val="ECHR_Title_Centre_3"/>
    <w:aliases w:val="Ju_H_Article"/>
    <w:basedOn w:val="Normal"/>
    <w:next w:val="ECHRParaQuote"/>
    <w:uiPriority w:val="27"/>
    <w:qFormat/>
    <w:rsid w:val="007D338C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</w:rPr>
  </w:style>
  <w:style w:type="paragraph" w:customStyle="1" w:styleId="ECHRTitleCentre1">
    <w:name w:val="ECHR_Title_Centre_1"/>
    <w:aliases w:val="Opi_H_Head"/>
    <w:basedOn w:val="Normal"/>
    <w:next w:val="OpiPara"/>
    <w:uiPriority w:val="39"/>
    <w:qFormat/>
    <w:rsid w:val="007D338C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AppQuestion">
    <w:name w:val="Ju_App_Question"/>
    <w:basedOn w:val="Normal"/>
    <w:uiPriority w:val="5"/>
    <w:semiHidden/>
    <w:qFormat/>
    <w:rsid w:val="007D338C"/>
    <w:pPr>
      <w:numPr>
        <w:numId w:val="27"/>
      </w:numPr>
      <w:jc w:val="left"/>
    </w:pPr>
    <w:rPr>
      <w:b/>
    </w:rPr>
  </w:style>
  <w:style w:type="paragraph" w:customStyle="1" w:styleId="JuCourt">
    <w:name w:val="Ju_Court"/>
    <w:basedOn w:val="Normal"/>
    <w:next w:val="Normal"/>
    <w:uiPriority w:val="16"/>
    <w:qFormat/>
    <w:rsid w:val="007D338C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</w:style>
  <w:style w:type="paragraph" w:customStyle="1" w:styleId="JuInitialled">
    <w:name w:val="Ju_Initialled"/>
    <w:basedOn w:val="Normal"/>
    <w:uiPriority w:val="31"/>
    <w:qFormat/>
    <w:rsid w:val="007D338C"/>
    <w:pPr>
      <w:tabs>
        <w:tab w:val="center" w:pos="6407"/>
      </w:tabs>
      <w:spacing w:before="720"/>
      <w:jc w:val="right"/>
    </w:pPr>
  </w:style>
  <w:style w:type="paragraph" w:customStyle="1" w:styleId="ECHRTitleCentre2">
    <w:name w:val="ECHR_Title_Centre_2"/>
    <w:aliases w:val="Dec_H_Case"/>
    <w:basedOn w:val="Normal"/>
    <w:next w:val="ECHRPara"/>
    <w:uiPriority w:val="8"/>
    <w:qFormat/>
    <w:rsid w:val="007D338C"/>
    <w:pPr>
      <w:spacing w:after="240"/>
      <w:jc w:val="center"/>
      <w:outlineLvl w:val="0"/>
    </w:pPr>
    <w:rPr>
      <w:rFonts w:asciiTheme="majorHAnsi" w:hAnsiTheme="majorHAnsi"/>
    </w:rPr>
  </w:style>
  <w:style w:type="character" w:customStyle="1" w:styleId="JUNAMES">
    <w:name w:val="JU_NAMES"/>
    <w:uiPriority w:val="17"/>
    <w:qFormat/>
    <w:rsid w:val="007D338C"/>
    <w:rPr>
      <w:caps w:val="0"/>
      <w:smallCaps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7D338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7D338C"/>
    <w:rPr>
      <w:rFonts w:asciiTheme="majorHAnsi" w:eastAsiaTheme="majorEastAsia" w:hAnsiTheme="majorHAnsi" w:cstheme="majorBidi"/>
      <w:spacing w:val="5"/>
      <w:sz w:val="52"/>
      <w:szCs w:val="52"/>
      <w:lang w:bidi="bg-BG"/>
    </w:rPr>
  </w:style>
  <w:style w:type="paragraph" w:customStyle="1" w:styleId="JuParaSub">
    <w:name w:val="Ju_Para_Sub"/>
    <w:basedOn w:val="ECHRPara"/>
    <w:uiPriority w:val="13"/>
    <w:qFormat/>
    <w:rsid w:val="007D338C"/>
    <w:pPr>
      <w:ind w:left="284"/>
    </w:pPr>
  </w:style>
  <w:style w:type="paragraph" w:customStyle="1" w:styleId="JuQuotSub">
    <w:name w:val="Ju_Quot_Sub"/>
    <w:basedOn w:val="ECHRParaQuote"/>
    <w:uiPriority w:val="15"/>
    <w:qFormat/>
    <w:rsid w:val="007D338C"/>
    <w:pPr>
      <w:ind w:left="567"/>
    </w:pPr>
  </w:style>
  <w:style w:type="paragraph" w:customStyle="1" w:styleId="ECHRHeading1">
    <w:name w:val="ECHR_Heading_1"/>
    <w:aliases w:val="Ju_H_I_Roman"/>
    <w:basedOn w:val="Heading1"/>
    <w:next w:val="ECHRPara"/>
    <w:uiPriority w:val="19"/>
    <w:qFormat/>
    <w:rsid w:val="007D338C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3">
    <w:name w:val="ECHR_Heading_3"/>
    <w:aliases w:val="Ju_H_1."/>
    <w:basedOn w:val="Heading3"/>
    <w:next w:val="ECHRPara"/>
    <w:uiPriority w:val="21"/>
    <w:qFormat/>
    <w:rsid w:val="007D338C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Heading4"/>
    <w:next w:val="ECHRPara"/>
    <w:uiPriority w:val="22"/>
    <w:qFormat/>
    <w:rsid w:val="007D338C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Heading5"/>
    <w:next w:val="ECHRPara"/>
    <w:uiPriority w:val="23"/>
    <w:qFormat/>
    <w:rsid w:val="007D338C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Heading6"/>
    <w:next w:val="ECHRPara"/>
    <w:uiPriority w:val="24"/>
    <w:qFormat/>
    <w:rsid w:val="007D338C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"/>
    <w:basedOn w:val="Heading7"/>
    <w:next w:val="ECHRPara"/>
    <w:uiPriority w:val="25"/>
    <w:qFormat/>
    <w:rsid w:val="007D338C"/>
    <w:pPr>
      <w:keepNext/>
      <w:keepLines/>
      <w:spacing w:before="240" w:after="120"/>
      <w:ind w:left="1236"/>
    </w:pPr>
    <w:rPr>
      <w:sz w:val="20"/>
    </w:rPr>
  </w:style>
  <w:style w:type="paragraph" w:styleId="Header">
    <w:name w:val="header"/>
    <w:basedOn w:val="Normal"/>
    <w:link w:val="HeaderChar"/>
    <w:uiPriority w:val="57"/>
    <w:semiHidden/>
    <w:rsid w:val="007D338C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57"/>
    <w:semiHidden/>
    <w:rsid w:val="007D338C"/>
    <w:rPr>
      <w:sz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7D338C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Title">
    <w:name w:val="Ju_Title"/>
    <w:basedOn w:val="Normal"/>
    <w:next w:val="ECHRPara"/>
    <w:uiPriority w:val="3"/>
    <w:semiHidden/>
    <w:qFormat/>
    <w:rsid w:val="007D338C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ECHRHeading2">
    <w:name w:val="ECHR_Heading_2"/>
    <w:aliases w:val="Ju_H_A"/>
    <w:basedOn w:val="Heading2"/>
    <w:next w:val="ECHRPara"/>
    <w:uiPriority w:val="20"/>
    <w:qFormat/>
    <w:rsid w:val="007D338C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D338C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OpiH1">
    <w:name w:val="Opi_H_1"/>
    <w:basedOn w:val="ECHRHeading2"/>
    <w:uiPriority w:val="42"/>
    <w:qFormat/>
    <w:rsid w:val="007D338C"/>
    <w:pPr>
      <w:ind w:left="635" w:hanging="357"/>
      <w:outlineLvl w:val="2"/>
    </w:pPr>
  </w:style>
  <w:style w:type="character" w:customStyle="1" w:styleId="JuITMark">
    <w:name w:val="Ju_ITMark"/>
    <w:basedOn w:val="DefaultParagraphFont"/>
    <w:uiPriority w:val="38"/>
    <w:qFormat/>
    <w:rsid w:val="007D338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D338C"/>
    <w:rPr>
      <w:rFonts w:asciiTheme="majorHAnsi" w:eastAsiaTheme="majorEastAsia" w:hAnsiTheme="majorHAnsi" w:cstheme="majorBidi"/>
      <w:b/>
      <w:bCs/>
      <w:color w:val="5F5F5F"/>
      <w:sz w:val="24"/>
      <w:lang w:val="bg-BG"/>
    </w:rPr>
  </w:style>
  <w:style w:type="paragraph" w:customStyle="1" w:styleId="OpiHa">
    <w:name w:val="Opi_H_a"/>
    <w:basedOn w:val="ECHRHeading3"/>
    <w:uiPriority w:val="43"/>
    <w:qFormat/>
    <w:rsid w:val="007D338C"/>
    <w:pPr>
      <w:ind w:left="833" w:hanging="357"/>
      <w:outlineLvl w:val="3"/>
    </w:pPr>
    <w:rPr>
      <w:b/>
      <w:i w:val="0"/>
      <w:sz w:val="20"/>
    </w:rPr>
  </w:style>
  <w:style w:type="paragraph" w:customStyle="1" w:styleId="ECHRDecisionBody">
    <w:name w:val="ECHR_Decision_Body"/>
    <w:aliases w:val="Ju_Judges"/>
    <w:basedOn w:val="Normal"/>
    <w:uiPriority w:val="11"/>
    <w:qFormat/>
    <w:rsid w:val="007D338C"/>
    <w:pPr>
      <w:tabs>
        <w:tab w:val="left" w:pos="567"/>
        <w:tab w:val="left" w:pos="1134"/>
      </w:tabs>
      <w:jc w:val="left"/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7D338C"/>
    <w:rPr>
      <w:rFonts w:asciiTheme="majorHAnsi" w:eastAsiaTheme="majorEastAsia" w:hAnsiTheme="majorHAnsi" w:cstheme="majorBidi"/>
      <w:b/>
      <w:bCs/>
      <w:i/>
      <w:iCs/>
      <w:color w:val="777777"/>
      <w:sz w:val="24"/>
      <w:lang w:val="bg-BG"/>
    </w:rPr>
  </w:style>
  <w:style w:type="paragraph" w:customStyle="1" w:styleId="ECHRPara">
    <w:name w:val="ECHR_Para"/>
    <w:aliases w:val="Ju_Para"/>
    <w:basedOn w:val="Normal"/>
    <w:link w:val="ECHRParaChar"/>
    <w:uiPriority w:val="12"/>
    <w:qFormat/>
    <w:rsid w:val="007D338C"/>
    <w:pPr>
      <w:ind w:firstLine="284"/>
    </w:pPr>
  </w:style>
  <w:style w:type="character" w:customStyle="1" w:styleId="Heading5Char">
    <w:name w:val="Heading 5 Char"/>
    <w:basedOn w:val="DefaultParagraphFont"/>
    <w:link w:val="Heading5"/>
    <w:uiPriority w:val="99"/>
    <w:semiHidden/>
    <w:rsid w:val="007D338C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JuList">
    <w:name w:val="Ju_List"/>
    <w:basedOn w:val="Normal"/>
    <w:uiPriority w:val="28"/>
    <w:qFormat/>
    <w:rsid w:val="007D338C"/>
    <w:pPr>
      <w:ind w:left="340" w:hanging="340"/>
    </w:pPr>
  </w:style>
  <w:style w:type="paragraph" w:customStyle="1" w:styleId="JuSigned">
    <w:name w:val="Ju_Signed"/>
    <w:basedOn w:val="Normal"/>
    <w:next w:val="JuParaLast"/>
    <w:uiPriority w:val="32"/>
    <w:qFormat/>
    <w:rsid w:val="007D338C"/>
    <w:pPr>
      <w:tabs>
        <w:tab w:val="center" w:pos="851"/>
        <w:tab w:val="center" w:pos="6407"/>
      </w:tabs>
      <w:spacing w:before="720"/>
      <w:jc w:val="left"/>
    </w:pPr>
  </w:style>
  <w:style w:type="character" w:styleId="SubtleEmphasis">
    <w:name w:val="Subtle Emphasis"/>
    <w:uiPriority w:val="99"/>
    <w:semiHidden/>
    <w:qFormat/>
    <w:rsid w:val="007D338C"/>
    <w:rPr>
      <w:i/>
      <w:iCs/>
    </w:rPr>
  </w:style>
  <w:style w:type="table" w:customStyle="1" w:styleId="ECHRTable">
    <w:name w:val="ECHR_Table"/>
    <w:basedOn w:val="TableNormal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4C086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Normal"/>
    <w:next w:val="ECHRPara"/>
    <w:uiPriority w:val="18"/>
    <w:qFormat/>
    <w:rsid w:val="007D338C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Emphasis">
    <w:name w:val="Emphasis"/>
    <w:uiPriority w:val="99"/>
    <w:semiHidden/>
    <w:qFormat/>
    <w:rsid w:val="007D33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">
    <w:name w:val="footer"/>
    <w:basedOn w:val="Normal"/>
    <w:link w:val="FooterChar"/>
    <w:uiPriority w:val="57"/>
    <w:semiHidden/>
    <w:rsid w:val="007D338C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57"/>
    <w:semiHidden/>
    <w:rsid w:val="007D338C"/>
    <w:rPr>
      <w:sz w:val="24"/>
      <w:lang w:val="bg-BG"/>
    </w:rPr>
  </w:style>
  <w:style w:type="character" w:styleId="FootnoteReference">
    <w:name w:val="footnote reference"/>
    <w:basedOn w:val="DefaultParagraphFont"/>
    <w:uiPriority w:val="99"/>
    <w:semiHidden/>
    <w:rsid w:val="007D33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D33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38C"/>
    <w:rPr>
      <w:rFonts w:eastAsiaTheme="minorEastAsia"/>
      <w:sz w:val="20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D338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bg-BG" w:bidi="bg-BG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D338C"/>
    <w:rPr>
      <w:rFonts w:asciiTheme="majorHAnsi" w:eastAsiaTheme="majorEastAsia" w:hAnsiTheme="majorHAnsi" w:cstheme="majorBidi"/>
      <w:i/>
      <w:iCs/>
      <w:lang w:bidi="bg-B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D338C"/>
    <w:rPr>
      <w:rFonts w:asciiTheme="majorHAnsi" w:eastAsiaTheme="majorEastAsia" w:hAnsiTheme="majorHAnsi" w:cstheme="majorBidi"/>
      <w:sz w:val="20"/>
      <w:szCs w:val="20"/>
      <w:lang w:bidi="bg-B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D338C"/>
    <w:rPr>
      <w:rFonts w:asciiTheme="majorHAnsi" w:eastAsiaTheme="majorEastAsia" w:hAnsiTheme="majorHAnsi" w:cstheme="majorBidi"/>
      <w:i/>
      <w:iCs/>
      <w:spacing w:val="5"/>
      <w:sz w:val="20"/>
      <w:szCs w:val="20"/>
      <w:lang w:bidi="bg-BG"/>
    </w:rPr>
  </w:style>
  <w:style w:type="character" w:styleId="Hyperlink">
    <w:name w:val="Hyperlink"/>
    <w:basedOn w:val="DefaultParagraphFont"/>
    <w:uiPriority w:val="99"/>
    <w:semiHidden/>
    <w:rsid w:val="007D338C"/>
    <w:rPr>
      <w:color w:val="0072BC" w:themeColor="hyperlink"/>
      <w:u w:val="single"/>
    </w:rPr>
  </w:style>
  <w:style w:type="character" w:styleId="IntenseEmphasis">
    <w:name w:val="Intense Emphasis"/>
    <w:uiPriority w:val="99"/>
    <w:semiHidden/>
    <w:qFormat/>
    <w:rsid w:val="007D338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7D338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7D338C"/>
    <w:rPr>
      <w:rFonts w:eastAsiaTheme="minorEastAsia"/>
      <w:b/>
      <w:bCs/>
      <w:i/>
      <w:iCs/>
      <w:lang w:bidi="bg-BG"/>
    </w:rPr>
  </w:style>
  <w:style w:type="character" w:styleId="IntenseReference">
    <w:name w:val="Intense Reference"/>
    <w:uiPriority w:val="99"/>
    <w:semiHidden/>
    <w:qFormat/>
    <w:rsid w:val="007D338C"/>
    <w:rPr>
      <w:smallCaps/>
      <w:spacing w:val="5"/>
      <w:u w:val="single"/>
    </w:rPr>
  </w:style>
  <w:style w:type="paragraph" w:styleId="ListParagraph">
    <w:name w:val="List Paragraph"/>
    <w:basedOn w:val="Normal"/>
    <w:uiPriority w:val="99"/>
    <w:semiHidden/>
    <w:qFormat/>
    <w:rsid w:val="007D338C"/>
    <w:pPr>
      <w:ind w:left="720"/>
      <w:contextualSpacing/>
    </w:pPr>
  </w:style>
  <w:style w:type="table" w:customStyle="1" w:styleId="LtrTableAddress">
    <w:name w:val="Ltr_Table_Address"/>
    <w:basedOn w:val="TableNormal"/>
    <w:uiPriority w:val="99"/>
    <w:rsid w:val="001E6F32"/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9"/>
    <w:semiHidden/>
    <w:qFormat/>
    <w:rsid w:val="007D338C"/>
    <w:pPr>
      <w:spacing w:before="200"/>
      <w:ind w:left="360" w:right="360"/>
    </w:pPr>
    <w:rPr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7D338C"/>
    <w:rPr>
      <w:rFonts w:eastAsiaTheme="minorEastAsia"/>
      <w:i/>
      <w:iCs/>
      <w:lang w:bidi="bg-BG"/>
    </w:rPr>
  </w:style>
  <w:style w:type="character" w:styleId="SubtleReference">
    <w:name w:val="Subtle Reference"/>
    <w:uiPriority w:val="99"/>
    <w:semiHidden/>
    <w:qFormat/>
    <w:rsid w:val="007D338C"/>
    <w:rPr>
      <w:smallCaps/>
    </w:rPr>
  </w:style>
  <w:style w:type="table" w:styleId="TableGrid">
    <w:name w:val="Table Grid"/>
    <w:basedOn w:val="TableNormal"/>
    <w:uiPriority w:val="59"/>
    <w:semiHidden/>
    <w:rsid w:val="007D338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7D338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9"/>
    <w:semiHidden/>
    <w:rsid w:val="007D338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7D338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7D338C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9"/>
    <w:semiHidden/>
    <w:rsid w:val="007D338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9"/>
    <w:semiHidden/>
    <w:qFormat/>
    <w:rsid w:val="007D338C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TableNormal"/>
    <w:uiPriority w:val="99"/>
    <w:rsid w:val="00572845"/>
    <w:rPr>
      <w:rFonts w:eastAsiaTheme="minorEastAsia"/>
      <w:sz w:val="20"/>
    </w:rPr>
    <w:tblPr>
      <w:tblInd w:w="-964" w:type="dxa"/>
      <w:tblCellMar>
        <w:left w:w="57" w:type="dxa"/>
        <w:bottom w:w="57" w:type="dxa"/>
        <w:right w:w="113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3609FA"/>
    <w:rPr>
      <w:rFonts w:eastAsiaTheme="minorEastAsia"/>
    </w:rPr>
    <w:tblPr>
      <w:tblInd w:w="113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TableNormal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9"/>
    <w:semiHidden/>
    <w:rsid w:val="007D338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customStyle="1" w:styleId="ECHRParaQuote">
    <w:name w:val="ECHR_Para_Quote"/>
    <w:aliases w:val="Ju_Quot"/>
    <w:basedOn w:val="Normal"/>
    <w:uiPriority w:val="14"/>
    <w:qFormat/>
    <w:rsid w:val="007D338C"/>
    <w:pPr>
      <w:spacing w:before="120" w:after="120"/>
      <w:ind w:left="425" w:firstLine="142"/>
    </w:pPr>
    <w:rPr>
      <w:sz w:val="20"/>
    </w:rPr>
  </w:style>
  <w:style w:type="table" w:customStyle="1" w:styleId="ECHRTableSimpleBox">
    <w:name w:val="ECHR_Table_Simple_Box"/>
    <w:basedOn w:val="TableNormal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TableNormal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7D338C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TableNormal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table" w:customStyle="1" w:styleId="ECHRHeaderTableReduced">
    <w:name w:val="ECHR_Header_Table_Reduced"/>
    <w:basedOn w:val="TableNormal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ParaLast">
    <w:name w:val="Ju_Para_Last"/>
    <w:basedOn w:val="Normal"/>
    <w:next w:val="ECHRPara"/>
    <w:uiPriority w:val="30"/>
    <w:qFormat/>
    <w:rsid w:val="007D338C"/>
    <w:pPr>
      <w:keepNext/>
      <w:keepLines/>
      <w:spacing w:before="240"/>
      <w:ind w:firstLine="284"/>
    </w:pPr>
  </w:style>
  <w:style w:type="paragraph" w:customStyle="1" w:styleId="JuCase">
    <w:name w:val="Ju_Case"/>
    <w:basedOn w:val="Normal"/>
    <w:next w:val="ECHRPara"/>
    <w:uiPriority w:val="10"/>
    <w:rsid w:val="007D338C"/>
    <w:pPr>
      <w:ind w:firstLine="284"/>
    </w:pPr>
    <w:rPr>
      <w:b/>
    </w:rPr>
  </w:style>
  <w:style w:type="paragraph" w:styleId="CommentText">
    <w:name w:val="annotation text"/>
    <w:basedOn w:val="Normal"/>
    <w:link w:val="CommentTextChar"/>
    <w:uiPriority w:val="99"/>
    <w:semiHidden/>
    <w:rsid w:val="00470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98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0981"/>
    <w:rPr>
      <w:b/>
      <w:bCs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981"/>
    <w:rPr>
      <w:rFonts w:eastAsiaTheme="minorEastAsia"/>
      <w:b/>
      <w:bCs/>
      <w:sz w:val="20"/>
      <w:szCs w:val="20"/>
    </w:rPr>
  </w:style>
  <w:style w:type="character" w:styleId="PageNumber">
    <w:name w:val="page number"/>
    <w:uiPriority w:val="99"/>
    <w:semiHidden/>
    <w:rsid w:val="00470981"/>
    <w:rPr>
      <w:sz w:val="18"/>
    </w:rPr>
  </w:style>
  <w:style w:type="paragraph" w:customStyle="1" w:styleId="JuLista">
    <w:name w:val="Ju_List_a"/>
    <w:basedOn w:val="JuList"/>
    <w:uiPriority w:val="28"/>
    <w:qFormat/>
    <w:rsid w:val="007D338C"/>
    <w:pPr>
      <w:ind w:left="346" w:firstLine="0"/>
    </w:pPr>
  </w:style>
  <w:style w:type="paragraph" w:customStyle="1" w:styleId="JuListi">
    <w:name w:val="Ju_List_i"/>
    <w:basedOn w:val="Normal"/>
    <w:next w:val="JuLista"/>
    <w:uiPriority w:val="28"/>
    <w:qFormat/>
    <w:rsid w:val="007D338C"/>
    <w:pPr>
      <w:ind w:left="794"/>
    </w:pPr>
  </w:style>
  <w:style w:type="character" w:styleId="CommentReference">
    <w:name w:val="annotation reference"/>
    <w:uiPriority w:val="99"/>
    <w:semiHidden/>
    <w:rsid w:val="00470981"/>
    <w:rPr>
      <w:sz w:val="16"/>
    </w:rPr>
  </w:style>
  <w:style w:type="character" w:styleId="EndnoteReference">
    <w:name w:val="endnote reference"/>
    <w:basedOn w:val="DefaultParagraphFont"/>
    <w:uiPriority w:val="99"/>
    <w:semiHidden/>
    <w:rsid w:val="007D338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D338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338C"/>
    <w:rPr>
      <w:rFonts w:eastAsiaTheme="minorEastAsia"/>
      <w:sz w:val="20"/>
      <w:szCs w:val="20"/>
      <w:lang w:val="bg-BG"/>
    </w:rPr>
  </w:style>
  <w:style w:type="character" w:styleId="FollowedHyperlink">
    <w:name w:val="FollowedHyperlink"/>
    <w:uiPriority w:val="99"/>
    <w:semiHidden/>
    <w:rsid w:val="00470981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47098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981"/>
    <w:rPr>
      <w:rFonts w:ascii="Tahoma" w:eastAsiaTheme="minorEastAsia" w:hAnsi="Tahoma" w:cs="Tahoma"/>
      <w:sz w:val="20"/>
      <w:shd w:val="clear" w:color="auto" w:fill="000080"/>
    </w:rPr>
  </w:style>
  <w:style w:type="paragraph" w:styleId="ListBullet">
    <w:name w:val="List Bullet"/>
    <w:basedOn w:val="Normal"/>
    <w:uiPriority w:val="99"/>
    <w:semiHidden/>
    <w:rsid w:val="00470981"/>
    <w:pPr>
      <w:numPr>
        <w:numId w:val="4"/>
      </w:numPr>
    </w:p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7D33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7D338C"/>
    <w:rPr>
      <w:rFonts w:asciiTheme="majorHAnsi" w:eastAsiaTheme="majorEastAsia" w:hAnsiTheme="majorHAnsi" w:cstheme="majorBidi"/>
      <w:i/>
      <w:iCs/>
      <w:spacing w:val="13"/>
      <w:sz w:val="24"/>
      <w:szCs w:val="24"/>
      <w:lang w:bidi="bg-BG"/>
    </w:rPr>
  </w:style>
  <w:style w:type="numbering" w:styleId="111111">
    <w:name w:val="Outline List 2"/>
    <w:basedOn w:val="NoList"/>
    <w:uiPriority w:val="99"/>
    <w:semiHidden/>
    <w:rsid w:val="00470981"/>
    <w:pPr>
      <w:numPr>
        <w:numId w:val="5"/>
      </w:numPr>
    </w:pPr>
  </w:style>
  <w:style w:type="numbering" w:styleId="1ai">
    <w:name w:val="Outline List 1"/>
    <w:basedOn w:val="NoList"/>
    <w:uiPriority w:val="99"/>
    <w:semiHidden/>
    <w:rsid w:val="00470981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rsid w:val="00470981"/>
    <w:pPr>
      <w:numPr>
        <w:numId w:val="7"/>
      </w:numPr>
    </w:pPr>
  </w:style>
  <w:style w:type="paragraph" w:styleId="Bibliography">
    <w:name w:val="Bibliography"/>
    <w:basedOn w:val="Normal"/>
    <w:next w:val="Normal"/>
    <w:uiPriority w:val="99"/>
    <w:semiHidden/>
    <w:unhideWhenUsed/>
    <w:rsid w:val="00470981"/>
  </w:style>
  <w:style w:type="paragraph" w:styleId="BlockText">
    <w:name w:val="Block Text"/>
    <w:basedOn w:val="Normal"/>
    <w:uiPriority w:val="99"/>
    <w:semiHidden/>
    <w:rsid w:val="00470981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9"/>
    <w:semiHidden/>
    <w:rsid w:val="004709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0981"/>
    <w:rPr>
      <w:rFonts w:eastAsiaTheme="minorEastAsia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4709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981"/>
    <w:rPr>
      <w:rFonts w:eastAsiaTheme="minorEastAsia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4709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981"/>
    <w:rPr>
      <w:rFonts w:eastAsiaTheme="minorEastAs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7098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981"/>
    <w:rPr>
      <w:rFonts w:eastAsiaTheme="minorEastAsia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709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981"/>
    <w:rPr>
      <w:rFonts w:eastAsiaTheme="minorEastAsia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7098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981"/>
    <w:rPr>
      <w:rFonts w:eastAsiaTheme="minorEastAsia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4709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981"/>
    <w:rPr>
      <w:rFonts w:eastAsiaTheme="minorEastAsia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709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981"/>
    <w:rPr>
      <w:rFonts w:eastAsiaTheme="minorEastAsia"/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qFormat/>
    <w:rsid w:val="00470981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47098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981"/>
    <w:rPr>
      <w:rFonts w:eastAsiaTheme="minorEastAsia"/>
      <w:sz w:val="24"/>
    </w:rPr>
  </w:style>
  <w:style w:type="table" w:styleId="ColorfulGrid">
    <w:name w:val="Colorful Grid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470981"/>
  </w:style>
  <w:style w:type="character" w:customStyle="1" w:styleId="DateChar">
    <w:name w:val="Date Char"/>
    <w:basedOn w:val="DefaultParagraphFont"/>
    <w:link w:val="Date"/>
    <w:uiPriority w:val="99"/>
    <w:semiHidden/>
    <w:rsid w:val="00470981"/>
    <w:rPr>
      <w:rFonts w:eastAsiaTheme="minorEastAsia"/>
      <w:sz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47098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981"/>
    <w:rPr>
      <w:rFonts w:eastAsiaTheme="minorEastAsia"/>
      <w:sz w:val="24"/>
    </w:rPr>
  </w:style>
  <w:style w:type="paragraph" w:styleId="EnvelopeAddress">
    <w:name w:val="envelope address"/>
    <w:basedOn w:val="Normal"/>
    <w:uiPriority w:val="99"/>
    <w:semiHidden/>
    <w:rsid w:val="00470981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470981"/>
    <w:rPr>
      <w:rFonts w:asciiTheme="majorHAnsi" w:eastAsiaTheme="majorEastAsia" w:hAnsiTheme="majorHAnsi" w:cstheme="majorBidi"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470981"/>
  </w:style>
  <w:style w:type="paragraph" w:styleId="HTMLAddress">
    <w:name w:val="HTML Address"/>
    <w:basedOn w:val="Normal"/>
    <w:link w:val="HTMLAddressChar"/>
    <w:uiPriority w:val="99"/>
    <w:semiHidden/>
    <w:rsid w:val="0047098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981"/>
    <w:rPr>
      <w:rFonts w:eastAsiaTheme="minorEastAsia"/>
      <w:i/>
      <w:iCs/>
      <w:sz w:val="24"/>
    </w:rPr>
  </w:style>
  <w:style w:type="character" w:styleId="HTMLCite">
    <w:name w:val="HTML Cite"/>
    <w:basedOn w:val="DefaultParagraphFont"/>
    <w:uiPriority w:val="99"/>
    <w:semiHidden/>
    <w:rsid w:val="00470981"/>
    <w:rPr>
      <w:i/>
      <w:iCs/>
    </w:rPr>
  </w:style>
  <w:style w:type="character" w:styleId="HTMLCode">
    <w:name w:val="HTML Code"/>
    <w:basedOn w:val="DefaultParagraphFont"/>
    <w:uiPriority w:val="99"/>
    <w:semiHidden/>
    <w:rsid w:val="0047098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470981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470981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47098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981"/>
    <w:rPr>
      <w:rFonts w:ascii="Consolas" w:eastAsiaTheme="minorEastAsia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470981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470981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47098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470981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47098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7098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7098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7098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7098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7098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7098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7098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47098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47098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470981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470981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470981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470981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470981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470981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470981"/>
  </w:style>
  <w:style w:type="paragraph" w:styleId="List">
    <w:name w:val="List"/>
    <w:basedOn w:val="Normal"/>
    <w:uiPriority w:val="99"/>
    <w:semiHidden/>
    <w:rsid w:val="0047098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47098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47098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47098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470981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470981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rsid w:val="00470981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rsid w:val="0047098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470981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rsid w:val="0047098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47098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47098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47098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47098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470981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rsid w:val="0047098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47098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47098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470981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rsid w:val="004709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981"/>
    <w:rPr>
      <w:rFonts w:ascii="Consolas" w:hAnsi="Consolas" w:cs="Consolas"/>
      <w:sz w:val="20"/>
      <w:szCs w:val="20"/>
      <w:lang w:val="bg-BG" w:eastAsia="bg-BG"/>
    </w:rPr>
  </w:style>
  <w:style w:type="table" w:styleId="MediumGrid1">
    <w:name w:val="Medium Grid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4709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9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470981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47098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47098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981"/>
    <w:rPr>
      <w:rFonts w:eastAsiaTheme="minorEastAsia"/>
      <w:sz w:val="24"/>
    </w:rPr>
  </w:style>
  <w:style w:type="character" w:styleId="PlaceholderText">
    <w:name w:val="Placeholder Text"/>
    <w:basedOn w:val="DefaultParagraphFont"/>
    <w:uiPriority w:val="99"/>
    <w:semiHidden/>
    <w:rsid w:val="007D338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9"/>
    <w:semiHidden/>
    <w:rsid w:val="0047098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981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7098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981"/>
    <w:rPr>
      <w:rFonts w:eastAsiaTheme="minorEastAsia"/>
      <w:sz w:val="24"/>
    </w:rPr>
  </w:style>
  <w:style w:type="paragraph" w:styleId="Signature">
    <w:name w:val="Signature"/>
    <w:basedOn w:val="Normal"/>
    <w:link w:val="SignatureChar"/>
    <w:uiPriority w:val="99"/>
    <w:semiHidden/>
    <w:rsid w:val="0047098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981"/>
    <w:rPr>
      <w:rFonts w:eastAsiaTheme="minorEastAsia"/>
      <w:sz w:val="24"/>
    </w:rPr>
  </w:style>
  <w:style w:type="table" w:styleId="Table3Deffects1">
    <w:name w:val="Table 3D effects 1"/>
    <w:basedOn w:val="TableNormal"/>
    <w:uiPriority w:val="99"/>
    <w:semiHidden/>
    <w:rsid w:val="00470981"/>
    <w:pPr>
      <w:suppressAutoHyphen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470981"/>
    <w:pPr>
      <w:suppressAutoHyphens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470981"/>
    <w:pPr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470981"/>
    <w:pPr>
      <w:suppressAutoHyphen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470981"/>
    <w:pPr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470981"/>
    <w:pPr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470981"/>
    <w:pPr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470981"/>
    <w:pPr>
      <w:suppressAutoHyphens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470981"/>
    <w:pPr>
      <w:suppressAutoHyphens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470981"/>
    <w:pPr>
      <w:suppressAutoHyphens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470981"/>
    <w:pPr>
      <w:suppressAutoHyphens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470981"/>
    <w:pPr>
      <w:suppressAutoHyphens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470981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470981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470981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470981"/>
    <w:pPr>
      <w:suppressAutoHyphens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470981"/>
    <w:pPr>
      <w:suppressAutoHyphen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470981"/>
    <w:pPr>
      <w:suppressAutoHyphen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470981"/>
    <w:pPr>
      <w:suppressAutoHyphens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470981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470981"/>
    <w:pPr>
      <w:suppressAutoHyphens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470981"/>
    <w:pPr>
      <w:suppressAutoHyphens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470981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470981"/>
    <w:pPr>
      <w:suppressAutoHyphen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470981"/>
    <w:pPr>
      <w:suppressAutoHyphens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470981"/>
    <w:pPr>
      <w:suppressAutoHyphen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470981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70981"/>
  </w:style>
  <w:style w:type="table" w:styleId="TableProfessional">
    <w:name w:val="Table Professional"/>
    <w:basedOn w:val="TableNormal"/>
    <w:uiPriority w:val="99"/>
    <w:semiHidden/>
    <w:rsid w:val="00470981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470981"/>
    <w:pPr>
      <w:suppressAutoHyphen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470981"/>
    <w:pPr>
      <w:suppressAutoHyphens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470981"/>
    <w:pPr>
      <w:suppressAutoHyphen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470981"/>
    <w:pPr>
      <w:suppressAutoHyphen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4709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470981"/>
    <w:pPr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470981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470981"/>
    <w:pPr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9"/>
    <w:semiHidden/>
    <w:rsid w:val="007D338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9"/>
    <w:semiHidden/>
    <w:rsid w:val="007D338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9"/>
    <w:semiHidden/>
    <w:rsid w:val="0047098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470981"/>
    <w:pPr>
      <w:spacing w:after="100"/>
      <w:ind w:left="1920"/>
    </w:pPr>
  </w:style>
  <w:style w:type="paragraph" w:customStyle="1" w:styleId="OpiHA0">
    <w:name w:val="Opi_H_A"/>
    <w:basedOn w:val="ECHRHeading1"/>
    <w:next w:val="OpiPara"/>
    <w:uiPriority w:val="41"/>
    <w:qFormat/>
    <w:rsid w:val="007D338C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7D338C"/>
    <w:pPr>
      <w:ind w:left="1037" w:hanging="357"/>
      <w:outlineLvl w:val="4"/>
    </w:pPr>
    <w:rPr>
      <w:b w:val="0"/>
      <w:i/>
    </w:rPr>
  </w:style>
  <w:style w:type="paragraph" w:customStyle="1" w:styleId="OpiPara">
    <w:name w:val="Opi_Para"/>
    <w:basedOn w:val="ECHRPara"/>
    <w:uiPriority w:val="46"/>
    <w:qFormat/>
    <w:rsid w:val="007D338C"/>
  </w:style>
  <w:style w:type="paragraph" w:customStyle="1" w:styleId="OpiParaSub">
    <w:name w:val="Opi_Para_Sub"/>
    <w:basedOn w:val="JuParaSub"/>
    <w:uiPriority w:val="47"/>
    <w:qFormat/>
    <w:rsid w:val="007D338C"/>
  </w:style>
  <w:style w:type="paragraph" w:customStyle="1" w:styleId="OpiQuot">
    <w:name w:val="Opi_Quot"/>
    <w:basedOn w:val="ECHRParaQuote"/>
    <w:uiPriority w:val="48"/>
    <w:qFormat/>
    <w:rsid w:val="007D338C"/>
  </w:style>
  <w:style w:type="paragraph" w:customStyle="1" w:styleId="OpiQuotSub">
    <w:name w:val="Opi_Quot_Sub"/>
    <w:basedOn w:val="JuQuotSub"/>
    <w:uiPriority w:val="49"/>
    <w:qFormat/>
    <w:rsid w:val="007D338C"/>
  </w:style>
  <w:style w:type="paragraph" w:customStyle="1" w:styleId="OpiTranslation">
    <w:name w:val="Opi_Translation"/>
    <w:basedOn w:val="Normal"/>
    <w:next w:val="OpiPara"/>
    <w:uiPriority w:val="40"/>
    <w:qFormat/>
    <w:rsid w:val="007D338C"/>
    <w:pPr>
      <w:jc w:val="center"/>
      <w:outlineLvl w:val="0"/>
    </w:pPr>
    <w:rPr>
      <w:i/>
    </w:rPr>
  </w:style>
  <w:style w:type="character" w:customStyle="1" w:styleId="ECHRParaChar">
    <w:name w:val="ECHR_Para Char"/>
    <w:aliases w:val="Ju_Para Char"/>
    <w:link w:val="ECHRPara"/>
    <w:uiPriority w:val="12"/>
    <w:rsid w:val="004E09EE"/>
    <w:rPr>
      <w:rFonts w:eastAsiaTheme="minorEastAsia"/>
      <w:sz w:val="24"/>
      <w:lang w:val="bg-BG"/>
    </w:rPr>
  </w:style>
  <w:style w:type="paragraph" w:customStyle="1" w:styleId="JuHeaderLandscape">
    <w:name w:val="Ju_Header_Landscape"/>
    <w:basedOn w:val="ECHRHeader"/>
    <w:uiPriority w:val="4"/>
    <w:qFormat/>
    <w:rsid w:val="007D338C"/>
    <w:pPr>
      <w:tabs>
        <w:tab w:val="clear" w:pos="3686"/>
        <w:tab w:val="clear" w:pos="7371"/>
        <w:tab w:val="center" w:pos="6146"/>
        <w:tab w:val="right" w:pos="1229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1C302-826E-4F28-AA01-41877B05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2019-10-25T11:38:00Z</dcterms:created>
  <dcterms:modified xsi:type="dcterms:W3CDTF">2019-10-25T11:38:00Z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