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CA" w:rsidRPr="00FD4998" w:rsidRDefault="009B39CA" w:rsidP="009B39CA">
      <w:pPr>
        <w:pStyle w:val="ECHRDecisionBody"/>
        <w:rPr>
          <w:lang w:val="en-US"/>
        </w:rPr>
      </w:pPr>
      <w:bookmarkStart w:id="0" w:name="_GoBack"/>
      <w:bookmarkEnd w:id="0"/>
    </w:p>
    <w:p w:rsidR="009B39CA" w:rsidRPr="003872E0" w:rsidRDefault="009B39CA" w:rsidP="009B39CA">
      <w:pPr>
        <w:pStyle w:val="ECHRDecisionBody"/>
      </w:pPr>
    </w:p>
    <w:p w:rsidR="009B39CA" w:rsidRPr="003872E0" w:rsidRDefault="009B39CA" w:rsidP="009B39CA">
      <w:pPr>
        <w:pStyle w:val="ECHRDecisionBody"/>
      </w:pPr>
    </w:p>
    <w:p w:rsidR="009B39CA" w:rsidRPr="003872E0" w:rsidRDefault="009B39CA" w:rsidP="009B39CA">
      <w:pPr>
        <w:jc w:val="center"/>
      </w:pPr>
      <w:r>
        <w:rPr>
          <w:rStyle w:val="Normal"/>
        </w:rPr>
        <w:t>ПЕТО ОТДЕЛЕНИЕ</w:t>
      </w: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  <w:rPr>
          <w:b/>
        </w:rPr>
      </w:pPr>
      <w:bookmarkStart w:id="1" w:name="To"/>
      <w:r>
        <w:rPr>
          <w:rStyle w:val="Normal"/>
          <w:b/>
        </w:rPr>
        <w:t xml:space="preserve">ДЕЛО </w:t>
      </w:r>
      <w:bookmarkEnd w:id="1"/>
      <w:r>
        <w:rPr>
          <w:rStyle w:val="Normal"/>
          <w:b/>
        </w:rPr>
        <w:t>КОСТОВ СРЕЩУ БЪЛГАРИЯ</w:t>
      </w: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  <w:rPr>
          <w:i/>
        </w:rPr>
      </w:pPr>
      <w:r>
        <w:rPr>
          <w:rStyle w:val="Normal"/>
          <w:i/>
        </w:rPr>
        <w:t xml:space="preserve">(Жалба </w:t>
      </w:r>
      <w:r>
        <w:rPr>
          <w:rStyle w:val="Normal"/>
          <w:i/>
          <w:cs/>
        </w:rPr>
        <w:t xml:space="preserve">№ </w:t>
      </w:r>
      <w:r>
        <w:rPr>
          <w:rStyle w:val="Normal"/>
          <w:i/>
        </w:rPr>
        <w:t>3851/13)</w:t>
      </w: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</w:pPr>
    </w:p>
    <w:p w:rsidR="009B39CA" w:rsidRPr="003872E0" w:rsidRDefault="009B39CA" w:rsidP="009B39CA">
      <w:pPr>
        <w:jc w:val="center"/>
        <w:rPr>
          <w:szCs w:val="24"/>
        </w:rPr>
      </w:pPr>
      <w:r>
        <w:rPr>
          <w:rStyle w:val="Normal"/>
        </w:rPr>
        <w:t>РЕШЕНИЕ</w:t>
      </w:r>
    </w:p>
    <w:p w:rsidR="009B39CA" w:rsidRPr="003872E0" w:rsidRDefault="009B39CA" w:rsidP="009B39CA">
      <w:pPr>
        <w:pStyle w:val="ECHRPara"/>
      </w:pPr>
    </w:p>
    <w:p w:rsidR="009B39CA" w:rsidRPr="003872E0" w:rsidRDefault="009B39CA" w:rsidP="009B39CA">
      <w:pPr>
        <w:pStyle w:val="ECHRPara"/>
      </w:pPr>
    </w:p>
    <w:p w:rsidR="009B39CA" w:rsidRPr="003872E0" w:rsidRDefault="009B39CA" w:rsidP="009B39CA">
      <w:pPr>
        <w:pStyle w:val="JuCase"/>
        <w:ind w:firstLine="0"/>
        <w:jc w:val="center"/>
        <w:rPr>
          <w:b w:val="0"/>
        </w:rPr>
      </w:pPr>
      <w:r>
        <w:rPr>
          <w:rStyle w:val="JuCase"/>
          <w:b w:val="0"/>
        </w:rPr>
        <w:t>СТРАСБУРГ</w:t>
      </w:r>
    </w:p>
    <w:p w:rsidR="009B39CA" w:rsidRPr="003872E0" w:rsidRDefault="009B39CA" w:rsidP="009B39CA">
      <w:pPr>
        <w:pStyle w:val="ECHRPara"/>
      </w:pPr>
    </w:p>
    <w:p w:rsidR="009B39CA" w:rsidRPr="003872E0" w:rsidRDefault="009B39CA" w:rsidP="009B39CA">
      <w:pPr>
        <w:pStyle w:val="JuCase"/>
        <w:ind w:firstLine="0"/>
        <w:jc w:val="center"/>
        <w:rPr>
          <w:b w:val="0"/>
        </w:rPr>
      </w:pPr>
      <w:r>
        <w:rPr>
          <w:rStyle w:val="JuCase"/>
          <w:b w:val="0"/>
        </w:rPr>
        <w:t>16 март 2017 г.</w:t>
      </w:r>
    </w:p>
    <w:p w:rsidR="009B39CA" w:rsidRPr="003872E0" w:rsidRDefault="009B39CA" w:rsidP="009B39CA">
      <w:pPr>
        <w:pStyle w:val="JuCase"/>
        <w:ind w:firstLine="0"/>
        <w:rPr>
          <w:b w:val="0"/>
        </w:rPr>
      </w:pPr>
    </w:p>
    <w:p w:rsidR="009B39CA" w:rsidRPr="003872E0" w:rsidRDefault="009B39CA" w:rsidP="009B39CA">
      <w:pPr>
        <w:pStyle w:val="JuCase"/>
        <w:ind w:firstLine="0"/>
        <w:rPr>
          <w:b w:val="0"/>
          <w:i/>
          <w:sz w:val="22"/>
        </w:rPr>
      </w:pPr>
    </w:p>
    <w:p w:rsidR="009B39CA" w:rsidRPr="003872E0" w:rsidRDefault="009B39CA" w:rsidP="009B39CA">
      <w:pPr>
        <w:pStyle w:val="JuCase"/>
        <w:rPr>
          <w:b w:val="0"/>
          <w:i/>
          <w:sz w:val="22"/>
        </w:rPr>
      </w:pPr>
    </w:p>
    <w:p w:rsidR="009B39CA" w:rsidRPr="003872E0" w:rsidRDefault="009B39CA" w:rsidP="009B39CA">
      <w:pPr>
        <w:pStyle w:val="ECHRPara"/>
      </w:pPr>
    </w:p>
    <w:p w:rsidR="009B39CA" w:rsidRPr="003872E0" w:rsidRDefault="009B39CA" w:rsidP="009B39CA">
      <w:pPr>
        <w:pStyle w:val="JuCase"/>
        <w:rPr>
          <w:b w:val="0"/>
          <w:i/>
          <w:sz w:val="22"/>
        </w:rPr>
      </w:pPr>
    </w:p>
    <w:p w:rsidR="009B39CA" w:rsidRPr="00ED2271" w:rsidRDefault="009B39CA" w:rsidP="00ED2271">
      <w:pPr>
        <w:rPr>
          <w:i/>
        </w:rPr>
      </w:pPr>
      <w:r w:rsidRPr="00ED2271">
        <w:rPr>
          <w:i/>
        </w:rPr>
        <w:t>Настоящото решение е окончателно, но може да бъде предмет на редакционни промени.</w:t>
      </w:r>
    </w:p>
    <w:p w:rsidR="009B39CA" w:rsidRDefault="009B39CA" w:rsidP="009B39CA">
      <w:pPr>
        <w:pStyle w:val="JuCase"/>
      </w:pPr>
      <w:r>
        <w:rPr>
          <w:rStyle w:val="JuCase"/>
          <w:i/>
        </w:rPr>
        <w:t xml:space="preserve"> </w:t>
      </w:r>
      <w:r>
        <w:br w:type="page"/>
      </w:r>
      <w:r>
        <w:rPr>
          <w:rStyle w:val="JuCase"/>
        </w:rPr>
        <w:lastRenderedPageBreak/>
        <w:t xml:space="preserve">По делото </w:t>
      </w:r>
      <w:r w:rsidR="00094628">
        <w:rPr>
          <w:rStyle w:val="JuCase"/>
        </w:rPr>
        <w:t xml:space="preserve">на </w:t>
      </w:r>
      <w:r>
        <w:rPr>
          <w:rStyle w:val="JuCase"/>
        </w:rPr>
        <w:t>Костов срещу България,</w:t>
      </w:r>
    </w:p>
    <w:p w:rsidR="009B39CA" w:rsidRPr="003872E0" w:rsidRDefault="009B39CA" w:rsidP="009B39CA">
      <w:pPr>
        <w:pStyle w:val="ECHRPara"/>
      </w:pPr>
      <w:r>
        <w:rPr>
          <w:rStyle w:val="ECHRPara"/>
        </w:rPr>
        <w:t>Европейският съд по правата на човека (Пето отделение), заседаващ като комитет</w:t>
      </w:r>
      <w:r w:rsidR="00094628">
        <w:rPr>
          <w:rStyle w:val="ECHRPara"/>
        </w:rPr>
        <w:t xml:space="preserve"> в състав</w:t>
      </w:r>
      <w:r>
        <w:rPr>
          <w:rStyle w:val="ECHRPara"/>
        </w:rPr>
        <w:t>:</w:t>
      </w:r>
    </w:p>
    <w:p w:rsidR="009B39CA" w:rsidRPr="003872E0" w:rsidRDefault="009B39CA" w:rsidP="009B39CA">
      <w:pPr>
        <w:pStyle w:val="ECHRDecisionBody"/>
      </w:pPr>
      <w:r>
        <w:rPr>
          <w:rStyle w:val="ECHRDecisionBody"/>
        </w:rPr>
        <w:tab/>
      </w:r>
      <w:r w:rsidRPr="00ED2271">
        <w:rPr>
          <w:rStyle w:val="ECHRDecisionBody"/>
        </w:rPr>
        <w:t xml:space="preserve">Фарис </w:t>
      </w:r>
      <w:proofErr w:type="spellStart"/>
      <w:r w:rsidRPr="00ED2271">
        <w:rPr>
          <w:rStyle w:val="ECHRDecisionBody"/>
        </w:rPr>
        <w:t>Вехабович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Faris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Vehabović</w:t>
      </w:r>
      <w:proofErr w:type="spellEnd"/>
      <w:r>
        <w:rPr>
          <w:rStyle w:val="ECHRDecisionBody"/>
        </w:rPr>
        <w:t>),</w:t>
      </w:r>
      <w:r>
        <w:rPr>
          <w:rStyle w:val="ECHRDecisionBody"/>
          <w:i/>
        </w:rPr>
        <w:t xml:space="preserve"> Председател</w:t>
      </w:r>
      <w:r>
        <w:rPr>
          <w:rStyle w:val="ECHRDecisionBody"/>
        </w:rPr>
        <w:t>,</w:t>
      </w:r>
      <w:r>
        <w:br/>
      </w:r>
      <w:r>
        <w:rPr>
          <w:rStyle w:val="ECHRDecisionBody"/>
        </w:rPr>
        <w:tab/>
      </w:r>
      <w:r w:rsidRPr="00ED2271">
        <w:rPr>
          <w:rStyle w:val="ECHRDecisionBody"/>
        </w:rPr>
        <w:t>Карло Ранцони</w:t>
      </w:r>
      <w:r>
        <w:rPr>
          <w:rStyle w:val="ECHRDecisionBody"/>
        </w:rPr>
        <w:t xml:space="preserve"> (Carlo Ranzoni),</w:t>
      </w:r>
      <w:r>
        <w:br/>
      </w:r>
      <w:r>
        <w:rPr>
          <w:rStyle w:val="ECHRDecisionBody"/>
        </w:rPr>
        <w:tab/>
      </w:r>
      <w:r w:rsidRPr="00ED2271">
        <w:rPr>
          <w:rStyle w:val="ECHRDecisionBody"/>
        </w:rPr>
        <w:t>Летиф Хюсеинов</w:t>
      </w:r>
      <w:r>
        <w:rPr>
          <w:rStyle w:val="ECHRDecisionBody"/>
        </w:rPr>
        <w:t xml:space="preserve"> (Lәtif Hüseynov),</w:t>
      </w:r>
      <w:r>
        <w:rPr>
          <w:rStyle w:val="ECHRDecisionBody"/>
          <w:i/>
        </w:rPr>
        <w:t xml:space="preserve"> съдии</w:t>
      </w:r>
      <w:r>
        <w:rPr>
          <w:rStyle w:val="ECHRDecisionBody"/>
        </w:rPr>
        <w:t>,</w:t>
      </w:r>
      <w:r>
        <w:br/>
      </w:r>
      <w:r>
        <w:rPr>
          <w:rStyle w:val="ECHRDecisionBody"/>
        </w:rPr>
        <w:t xml:space="preserve">и </w:t>
      </w:r>
      <w:r w:rsidRPr="00ED2271">
        <w:rPr>
          <w:rStyle w:val="ECHRDecisionBody"/>
        </w:rPr>
        <w:t xml:space="preserve">Ан-Мари </w:t>
      </w:r>
      <w:proofErr w:type="spellStart"/>
      <w:r w:rsidRPr="00ED2271">
        <w:rPr>
          <w:rStyle w:val="ECHRDecisionBody"/>
        </w:rPr>
        <w:t>Дуген</w:t>
      </w:r>
      <w:proofErr w:type="spellEnd"/>
      <w:r>
        <w:rPr>
          <w:rStyle w:val="ECHRDecisionBody"/>
        </w:rPr>
        <w:t xml:space="preserve"> (</w:t>
      </w:r>
      <w:proofErr w:type="spellStart"/>
      <w:r>
        <w:rPr>
          <w:rStyle w:val="ECHRDecisionBody"/>
        </w:rPr>
        <w:t>Anne-Marie</w:t>
      </w:r>
      <w:proofErr w:type="spellEnd"/>
      <w:r>
        <w:rPr>
          <w:rStyle w:val="ECHRDecisionBody"/>
        </w:rPr>
        <w:t xml:space="preserve"> </w:t>
      </w:r>
      <w:proofErr w:type="spellStart"/>
      <w:r>
        <w:rPr>
          <w:rStyle w:val="ECHRDecisionBody"/>
        </w:rPr>
        <w:t>Dougin</w:t>
      </w:r>
      <w:proofErr w:type="spellEnd"/>
      <w:r>
        <w:rPr>
          <w:rStyle w:val="ECHRDecisionBody"/>
        </w:rPr>
        <w:t xml:space="preserve">), </w:t>
      </w:r>
      <w:r>
        <w:rPr>
          <w:rStyle w:val="ECHRDecisionBody"/>
          <w:i/>
        </w:rPr>
        <w:t>заместник-секретар на отделението</w:t>
      </w:r>
      <w:r>
        <w:rPr>
          <w:rStyle w:val="ECHRDecisionBody"/>
        </w:rPr>
        <w:t>,</w:t>
      </w:r>
    </w:p>
    <w:p w:rsidR="009B39CA" w:rsidRPr="003872E0" w:rsidRDefault="009B39CA" w:rsidP="009B39CA">
      <w:pPr>
        <w:pStyle w:val="ECHRPara"/>
      </w:pPr>
      <w:r>
        <w:rPr>
          <w:rStyle w:val="ECHRPara"/>
        </w:rPr>
        <w:t>След закрито заседание, проведено на 21 февруари 2017 г.,</w:t>
      </w:r>
    </w:p>
    <w:p w:rsidR="009B39CA" w:rsidRPr="003872E0" w:rsidRDefault="009B39CA" w:rsidP="009B39CA">
      <w:pPr>
        <w:pStyle w:val="ECHRPara"/>
      </w:pPr>
      <w:r>
        <w:rPr>
          <w:rStyle w:val="ECHRPara"/>
        </w:rPr>
        <w:t xml:space="preserve">Постановява следното решение, прието на </w:t>
      </w:r>
      <w:r w:rsidR="00550A1C">
        <w:rPr>
          <w:rStyle w:val="ECHRPara"/>
        </w:rPr>
        <w:t xml:space="preserve">същата </w:t>
      </w:r>
      <w:r>
        <w:rPr>
          <w:rStyle w:val="ECHRPara"/>
        </w:rPr>
        <w:t>дата:</w:t>
      </w:r>
    </w:p>
    <w:p w:rsidR="009B39CA" w:rsidRPr="003872E0" w:rsidRDefault="009B39CA" w:rsidP="009B39CA">
      <w:pPr>
        <w:pStyle w:val="ECHRTitle1"/>
      </w:pPr>
      <w:r>
        <w:rPr>
          <w:rStyle w:val="ECHRTitle1"/>
        </w:rPr>
        <w:t>ПРОЦЕДУРА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</w:t>
      </w:r>
      <w:r>
        <w:fldChar w:fldCharType="end"/>
      </w:r>
      <w:r>
        <w:rPr>
          <w:rStyle w:val="ECHRPara"/>
        </w:rPr>
        <w:t>.  Делото е образувано по жалба (</w:t>
      </w:r>
      <w:r>
        <w:rPr>
          <w:rStyle w:val="ECHRPara"/>
          <w:cs/>
        </w:rPr>
        <w:t xml:space="preserve">№ </w:t>
      </w:r>
      <w:r>
        <w:rPr>
          <w:rStyle w:val="ECHRPara"/>
        </w:rPr>
        <w:t>3851/13) срещу Република България, подадена в Съда на основание чл. 34 от Конвенцията за защита на правата на човека и основните свободи (</w:t>
      </w:r>
      <w:r>
        <w:rPr>
          <w:rStyle w:val="ECHRPara"/>
          <w:cs/>
        </w:rPr>
        <w:t>”</w:t>
      </w:r>
      <w:r>
        <w:rPr>
          <w:rStyle w:val="ECHRPara"/>
        </w:rPr>
        <w:t>Конвенцията</w:t>
      </w:r>
      <w:r>
        <w:rPr>
          <w:rStyle w:val="ECHRPara"/>
          <w:cs/>
        </w:rPr>
        <w:t>”</w:t>
      </w:r>
      <w:r>
        <w:rPr>
          <w:rStyle w:val="ECHRPara"/>
        </w:rPr>
        <w:t>) от български граждани, г-н Марин Цветанов Костов (</w:t>
      </w:r>
      <w:r>
        <w:rPr>
          <w:rStyle w:val="ECHRPara"/>
          <w:cs/>
        </w:rPr>
        <w:t>”</w:t>
      </w:r>
      <w:r>
        <w:rPr>
          <w:rStyle w:val="ECHRPara"/>
        </w:rPr>
        <w:t>жалбоподателя</w:t>
      </w:r>
      <w:r w:rsidR="00550A1C">
        <w:rPr>
          <w:rStyle w:val="ECHRPara"/>
        </w:rPr>
        <w:t>т</w:t>
      </w:r>
      <w:r>
        <w:rPr>
          <w:rStyle w:val="ECHRPara"/>
          <w:cs/>
        </w:rPr>
        <w:t>”</w:t>
      </w:r>
      <w:r>
        <w:rPr>
          <w:rStyle w:val="ECHRPara"/>
        </w:rPr>
        <w:t>), на 12 декември 2012 г.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</w:t>
      </w:r>
      <w:r>
        <w:fldChar w:fldCharType="end"/>
      </w:r>
      <w:r>
        <w:rPr>
          <w:rStyle w:val="ECHRPara"/>
        </w:rPr>
        <w:t>.  Българското правителство (</w:t>
      </w:r>
      <w:r>
        <w:rPr>
          <w:rStyle w:val="ECHRPara"/>
          <w:cs/>
        </w:rPr>
        <w:t>„</w:t>
      </w:r>
      <w:r>
        <w:rPr>
          <w:rStyle w:val="ECHRPara"/>
        </w:rPr>
        <w:t>Правителството</w:t>
      </w:r>
      <w:r>
        <w:rPr>
          <w:rStyle w:val="ECHRPara"/>
          <w:cs/>
        </w:rPr>
        <w:t>”</w:t>
      </w:r>
      <w:r>
        <w:rPr>
          <w:rStyle w:val="ECHRPara"/>
        </w:rPr>
        <w:t>) се представлява от правителствения агент г-жа К. Радкова от Министерство на правосъдието.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</w:t>
      </w:r>
      <w:r>
        <w:fldChar w:fldCharType="end"/>
      </w:r>
      <w:r>
        <w:rPr>
          <w:rStyle w:val="ECHRPara"/>
        </w:rPr>
        <w:t xml:space="preserve">.  На 10 януари 2014 г. </w:t>
      </w:r>
      <w:r w:rsidR="00D9782D">
        <w:rPr>
          <w:rStyle w:val="ECHRPara"/>
        </w:rPr>
        <w:t>Правителството е уведомено за жалбата</w:t>
      </w:r>
      <w:r>
        <w:rPr>
          <w:rStyle w:val="ECHRPara"/>
        </w:rPr>
        <w:t xml:space="preserve"> </w:t>
      </w:r>
      <w:r w:rsidR="00D9782D">
        <w:rPr>
          <w:rStyle w:val="ECHRPara"/>
        </w:rPr>
        <w:t xml:space="preserve">относно </w:t>
      </w:r>
      <w:r w:rsidRPr="00ED2271">
        <w:rPr>
          <w:rStyle w:val="ECHRPara"/>
        </w:rPr>
        <w:t>продължителния</w:t>
      </w:r>
      <w:r>
        <w:rPr>
          <w:rStyle w:val="ECHRPara"/>
        </w:rPr>
        <w:t xml:space="preserve"> неуспех на властите да предоставят на жалбоподателя обезщетение за отчужден имот на неговия баща, а останалата част от жалбата е обявена за недопустима съгласно </w:t>
      </w:r>
      <w:r w:rsidR="00043E50">
        <w:rPr>
          <w:rStyle w:val="ECHRPara"/>
        </w:rPr>
        <w:t>п</w:t>
      </w:r>
      <w:r>
        <w:rPr>
          <w:rStyle w:val="ECHRPara"/>
        </w:rPr>
        <w:t>равило 54 § 3 от Правилника на Съда.</w:t>
      </w:r>
    </w:p>
    <w:p w:rsidR="009B39CA" w:rsidRPr="003872E0" w:rsidRDefault="009B39CA" w:rsidP="009B39CA">
      <w:pPr>
        <w:pStyle w:val="ECHRTitle1"/>
      </w:pPr>
      <w:r>
        <w:rPr>
          <w:rStyle w:val="ECHRTitle1"/>
        </w:rPr>
        <w:t>ФАКТИТЕ</w:t>
      </w:r>
    </w:p>
    <w:p w:rsidR="009B39CA" w:rsidRPr="003872E0" w:rsidRDefault="009B39CA" w:rsidP="009B39CA">
      <w:pPr>
        <w:pStyle w:val="ECHRHeading1"/>
      </w:pPr>
      <w:r>
        <w:rPr>
          <w:rStyle w:val="ECHRHeading1"/>
        </w:rPr>
        <w:t>I.  ОБСТОЯТЕЛСТВА ПО ДЕЛОТО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4</w:t>
      </w:r>
      <w:r>
        <w:fldChar w:fldCharType="end"/>
      </w:r>
      <w:r>
        <w:rPr>
          <w:rStyle w:val="ECHRPara"/>
        </w:rPr>
        <w:t>.  Жалбоподателят е роден през 1956 г. и живее в София.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5</w:t>
      </w:r>
      <w:r>
        <w:fldChar w:fldCharType="end"/>
      </w:r>
      <w:r>
        <w:rPr>
          <w:rStyle w:val="ECHRPara"/>
        </w:rPr>
        <w:t>.  Бащата на жалбоподателя е съсобственик на парцел и къща в София.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6</w:t>
      </w:r>
      <w:r>
        <w:fldChar w:fldCharType="end"/>
      </w:r>
      <w:r>
        <w:rPr>
          <w:rStyle w:val="ECHRPara"/>
        </w:rPr>
        <w:t xml:space="preserve">.  С решение на кмета от 15 юли 1981 г. имотът е отчужден с оглед изграждането на жилищна сграда. Решението въз основа на чл. 98 (1) от Закона за териториалното и селищно устройство от 1973 г. (ЗТСУ) </w:t>
      </w:r>
      <w:r w:rsidR="00D9782D">
        <w:rPr>
          <w:rStyle w:val="ECHRPara"/>
        </w:rPr>
        <w:t>посочва</w:t>
      </w:r>
      <w:r>
        <w:rPr>
          <w:rStyle w:val="ECHRPara"/>
        </w:rPr>
        <w:t>, че бащата на жалбоподателя и жалбоподателя трябва да</w:t>
      </w:r>
      <w:r w:rsidR="00D9782D">
        <w:rPr>
          <w:rStyle w:val="ECHRPara"/>
        </w:rPr>
        <w:t xml:space="preserve"> бъдат обезщетени с </w:t>
      </w:r>
      <w:r>
        <w:rPr>
          <w:rStyle w:val="ECHRPara"/>
        </w:rPr>
        <w:t>тристаен апартамент.</w:t>
      </w:r>
    </w:p>
    <w:p w:rsidR="009B39CA" w:rsidRPr="00ED2271" w:rsidRDefault="009B39CA" w:rsidP="009B39CA">
      <w:pPr>
        <w:pStyle w:val="ECHRPara"/>
      </w:pPr>
      <w:r>
        <w:lastRenderedPageBreak/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7</w:t>
      </w:r>
      <w:r>
        <w:fldChar w:fldCharType="end"/>
      </w:r>
      <w:r>
        <w:rPr>
          <w:rStyle w:val="ECHRPara"/>
        </w:rPr>
        <w:t xml:space="preserve">.  С допълнително решение от 25 март 1987 г. въз основа на чл. 100 от Закона за териториалното и селищно устройство, кметът определя точното местоположение, размер и други подробности по отношение на бъдещия апартамент, предложен като обезщетение. Той трябва да е с площ от 109 квадратни метра и е идентифициран като апартамент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17 на петия етаж на жилищна сграда, която </w:t>
      </w:r>
      <w:r w:rsidRPr="00ED2271">
        <w:rPr>
          <w:rStyle w:val="ECHRPara"/>
        </w:rPr>
        <w:t>да бъде построена от държавно предприятие. На последно място е решено, че апартаментът ще бъде даден директно на жалбоподателя.</w:t>
      </w:r>
    </w:p>
    <w:p w:rsidR="009B39CA" w:rsidRPr="00ED2271" w:rsidRDefault="009B39CA" w:rsidP="009B39CA">
      <w:pPr>
        <w:pStyle w:val="ECHRPara"/>
      </w:pPr>
      <w:r w:rsidRPr="00ED2271">
        <w:fldChar w:fldCharType="begin"/>
      </w:r>
      <w:r w:rsidRPr="00ED2271">
        <w:rPr>
          <w:rStyle w:val="ECHRPara"/>
        </w:rPr>
        <w:instrText xml:space="preserve"> SEQ level0 \*arabic </w:instrText>
      </w:r>
      <w:r w:rsidRPr="00ED2271">
        <w:fldChar w:fldCharType="separate"/>
      </w:r>
      <w:r w:rsidRPr="00ED2271">
        <w:rPr>
          <w:rStyle w:val="ECHRPara"/>
        </w:rPr>
        <w:t>8</w:t>
      </w:r>
      <w:r w:rsidRPr="00ED2271">
        <w:fldChar w:fldCharType="end"/>
      </w:r>
      <w:r w:rsidRPr="00ED2271">
        <w:rPr>
          <w:rStyle w:val="ECHRPara"/>
        </w:rPr>
        <w:t>.  През 1989 г. жалбоподателят заплаща на властите частта</w:t>
      </w:r>
      <w:r>
        <w:rPr>
          <w:rStyle w:val="ECHRPara"/>
        </w:rPr>
        <w:t xml:space="preserve"> от стойността на бъдещия апартамент, която не се покрива от стойността на отчуждения имот. През 1990 г. Столична община го настанява временно </w:t>
      </w:r>
      <w:r w:rsidRPr="00ED2271">
        <w:rPr>
          <w:rStyle w:val="ECHRPara"/>
        </w:rPr>
        <w:t>в апартамент, който е собственост на държавното предприятие Б.</w:t>
      </w:r>
    </w:p>
    <w:p w:rsidR="009B39CA" w:rsidRPr="003872E0" w:rsidRDefault="009B39CA" w:rsidP="009B39CA">
      <w:pPr>
        <w:pStyle w:val="ECHRPara"/>
      </w:pPr>
      <w:r w:rsidRPr="00ED2271">
        <w:fldChar w:fldCharType="begin"/>
      </w:r>
      <w:r w:rsidRPr="00ED2271">
        <w:rPr>
          <w:rStyle w:val="ECHRPara"/>
        </w:rPr>
        <w:instrText xml:space="preserve"> SEQ level0 \*arabic </w:instrText>
      </w:r>
      <w:r w:rsidRPr="00ED2271">
        <w:fldChar w:fldCharType="separate"/>
      </w:r>
      <w:r w:rsidRPr="00ED2271">
        <w:rPr>
          <w:rStyle w:val="ECHRPara"/>
        </w:rPr>
        <w:t>9</w:t>
      </w:r>
      <w:r w:rsidRPr="00ED2271">
        <w:fldChar w:fldCharType="end"/>
      </w:r>
      <w:r w:rsidRPr="00ED2271">
        <w:rPr>
          <w:rStyle w:val="ECHRPara"/>
        </w:rPr>
        <w:t>.  На неуточнена дата строителството на сградата, в която апартаментът трябва да се намира, започва. През 1996 г. Столична община сключва договор с дружеството Б., наследник на държавното предприятие, като му възлага строителните работи. Дружеството</w:t>
      </w:r>
      <w:r>
        <w:rPr>
          <w:rStyle w:val="ECHRPara"/>
        </w:rPr>
        <w:t xml:space="preserve"> е задължено да изгради за своя сметка и да предаде на общината в рамките на двадесет и четири месеца апартаментите, предназначени за обезщетение на собствениците на отчуждени имоти; в замяна на това то трябва да стане собственик на останалата част от сградата.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10</w:t>
      </w:r>
      <w:r>
        <w:fldChar w:fldCharType="end"/>
      </w:r>
      <w:r>
        <w:rPr>
          <w:rStyle w:val="ECHRPara"/>
        </w:rPr>
        <w:t xml:space="preserve">.  Строителството обаче не е завършено в определения срок. През 2005 г. в контекста на </w:t>
      </w:r>
      <w:r w:rsidRPr="00ED2271">
        <w:rPr>
          <w:rStyle w:val="ECHRPara"/>
        </w:rPr>
        <w:t>ликвидацията на дружеството Б.</w:t>
      </w:r>
      <w:r>
        <w:rPr>
          <w:rStyle w:val="ECHRPara"/>
        </w:rPr>
        <w:t xml:space="preserve"> сградата, все още недовършена, е продадена на друго дружество. Последното очевидно препродава имота на трето дружество, което през 2006 г. </w:t>
      </w:r>
      <w:r w:rsidRPr="00ED2271">
        <w:rPr>
          <w:rStyle w:val="ECHRPara"/>
        </w:rPr>
        <w:t xml:space="preserve">получава </w:t>
      </w:r>
      <w:r w:rsidRPr="00F14C09">
        <w:rPr>
          <w:rStyle w:val="ECHRPara"/>
        </w:rPr>
        <w:t>нотариален акт, който го обявява</w:t>
      </w:r>
      <w:r w:rsidR="00087448" w:rsidRPr="00ED2271">
        <w:rPr>
          <w:rStyle w:val="ECHRPara"/>
        </w:rPr>
        <w:t xml:space="preserve"> за</w:t>
      </w:r>
      <w:r w:rsidRPr="00ED2271">
        <w:rPr>
          <w:rStyle w:val="ECHRPara"/>
        </w:rPr>
        <w:t xml:space="preserve"> собственик</w:t>
      </w:r>
      <w:r>
        <w:rPr>
          <w:rStyle w:val="ECHRPara"/>
        </w:rPr>
        <w:t xml:space="preserve"> на сградата и апартаментите в нея, включително и половината от апартамент </w:t>
      </w:r>
      <w:r>
        <w:rPr>
          <w:rStyle w:val="ECHRPara"/>
          <w:cs/>
        </w:rPr>
        <w:t xml:space="preserve">№ </w:t>
      </w:r>
      <w:r>
        <w:rPr>
          <w:rStyle w:val="ECHRPara"/>
        </w:rPr>
        <w:t>17 на петия етаж</w:t>
      </w:r>
      <w:r w:rsidRPr="00ED2271">
        <w:rPr>
          <w:rStyle w:val="ECHRPara"/>
        </w:rPr>
        <w:t xml:space="preserve">; въпреки това, за разлика от </w:t>
      </w:r>
      <w:r w:rsidR="00087448">
        <w:rPr>
          <w:rStyle w:val="ECHRPara"/>
        </w:rPr>
        <w:t>посоченото</w:t>
      </w:r>
      <w:r>
        <w:rPr>
          <w:rStyle w:val="ECHRPara"/>
        </w:rPr>
        <w:t xml:space="preserve"> в решението от 25 март 1987 г. (вж. параграф 7 по-горе), площта на този апартамент е описана като 91, а не 109 квадратни метра. Жалбоподателят представя </w:t>
      </w:r>
      <w:r w:rsidRPr="00ED2271">
        <w:rPr>
          <w:rStyle w:val="ECHRPara"/>
        </w:rPr>
        <w:t>удостоверение за обитаване на въпросната сграда от 5 октомври 2007 г., но твърди</w:t>
      </w:r>
      <w:r>
        <w:rPr>
          <w:rStyle w:val="ECHRPara"/>
        </w:rPr>
        <w:t xml:space="preserve">, че то се отнася само за </w:t>
      </w:r>
      <w:r>
        <w:rPr>
          <w:rStyle w:val="ECHRPara"/>
          <w:cs/>
        </w:rPr>
        <w:t>“</w:t>
      </w:r>
      <w:r>
        <w:rPr>
          <w:rStyle w:val="ECHRPara"/>
        </w:rPr>
        <w:t>определени строителни дейности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и че сградата </w:t>
      </w:r>
      <w:r w:rsidR="008460A7">
        <w:rPr>
          <w:rStyle w:val="ECHRPara"/>
        </w:rPr>
        <w:t>не се ползва</w:t>
      </w:r>
      <w:r>
        <w:rPr>
          <w:rStyle w:val="ECHRPara"/>
        </w:rPr>
        <w:t>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11</w:t>
      </w:r>
      <w:r>
        <w:fldChar w:fldCharType="end"/>
      </w:r>
      <w:r>
        <w:rPr>
          <w:rStyle w:val="ECHRPara"/>
        </w:rPr>
        <w:t xml:space="preserve">.  Междувременно жалбоподателят подава няколко </w:t>
      </w:r>
      <w:r w:rsidRPr="00ED2271">
        <w:rPr>
          <w:rStyle w:val="ECHRPara"/>
        </w:rPr>
        <w:t xml:space="preserve">искания до общинските власти в София с молба процедурата по </w:t>
      </w:r>
      <w:r w:rsidR="008460A7" w:rsidRPr="00ED2271">
        <w:rPr>
          <w:rStyle w:val="ECHRPara"/>
        </w:rPr>
        <w:t>обезщетяване да се завърши</w:t>
      </w:r>
      <w:r w:rsidR="008460A7">
        <w:rPr>
          <w:rStyle w:val="ECHRPara"/>
        </w:rPr>
        <w:t xml:space="preserve"> </w:t>
      </w:r>
      <w:r>
        <w:rPr>
          <w:rStyle w:val="ECHRPara"/>
        </w:rPr>
        <w:t xml:space="preserve">и да </w:t>
      </w:r>
      <w:r w:rsidR="008460A7">
        <w:rPr>
          <w:rStyle w:val="ECHRPara"/>
        </w:rPr>
        <w:t xml:space="preserve">се </w:t>
      </w:r>
      <w:r>
        <w:rPr>
          <w:rStyle w:val="ECHRPara"/>
        </w:rPr>
        <w:t>предостави полагащия му се апартамент. В писмо от 25 юли 2000 г. общината го информира, че дружеството Б. е уверило властите, че полага усилия да изпълни задълженията си. В друго писмо от 13 август 2004 г. общината информира жалбоподателя, че дружеството носи отговорност</w:t>
      </w:r>
      <w:r w:rsidR="00122F8D">
        <w:rPr>
          <w:rStyle w:val="ECHRPara"/>
        </w:rPr>
        <w:t>та</w:t>
      </w:r>
      <w:r>
        <w:rPr>
          <w:rStyle w:val="ECHRPara"/>
        </w:rPr>
        <w:t xml:space="preserve"> да му предостави апартамента. На последно място, в писмо от 8 ноември 2011 г. Столична община информира жалбоподателя, че той е трябвало да </w:t>
      </w:r>
      <w:r w:rsidRPr="00ED2271">
        <w:rPr>
          <w:rStyle w:val="ECHRPara"/>
        </w:rPr>
        <w:t xml:space="preserve">предяви претенциите си в процедурата </w:t>
      </w:r>
      <w:r w:rsidR="00122F8D" w:rsidRPr="00ED2271">
        <w:rPr>
          <w:rStyle w:val="ECHRPara"/>
        </w:rPr>
        <w:t xml:space="preserve">по </w:t>
      </w:r>
      <w:r w:rsidRPr="00ED2271">
        <w:rPr>
          <w:rStyle w:val="ECHRPara"/>
        </w:rPr>
        <w:t>ликвидация на дружеството</w:t>
      </w:r>
      <w:r>
        <w:rPr>
          <w:rStyle w:val="ECHRPara"/>
        </w:rPr>
        <w:t xml:space="preserve"> Б. или трябва да се </w:t>
      </w:r>
      <w:r>
        <w:rPr>
          <w:rStyle w:val="ECHRPara"/>
        </w:rPr>
        <w:lastRenderedPageBreak/>
        <w:t xml:space="preserve">свърже с настоящия собственик на сградата, за </w:t>
      </w:r>
      <w:r w:rsidR="00122F8D">
        <w:rPr>
          <w:rStyle w:val="ECHRPara"/>
        </w:rPr>
        <w:t xml:space="preserve">да </w:t>
      </w:r>
      <w:r>
        <w:rPr>
          <w:rStyle w:val="ECHRPara"/>
        </w:rPr>
        <w:t>поиска полагащия му се апартамент.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12</w:t>
      </w:r>
      <w:r>
        <w:fldChar w:fldCharType="end"/>
      </w:r>
      <w:r>
        <w:rPr>
          <w:rStyle w:val="ECHRPara"/>
        </w:rPr>
        <w:t xml:space="preserve">.  През 2007 г. жалбоподателят е </w:t>
      </w:r>
      <w:r w:rsidRPr="00ED2271">
        <w:rPr>
          <w:rStyle w:val="ECHRPara"/>
        </w:rPr>
        <w:t>изваден от апартамента</w:t>
      </w:r>
      <w:r>
        <w:rPr>
          <w:rStyle w:val="ECHRPara"/>
        </w:rPr>
        <w:t xml:space="preserve">, където той е бил временно настанен, след като </w:t>
      </w:r>
      <w:r w:rsidR="00737B4B">
        <w:rPr>
          <w:rStyle w:val="ECHRPara"/>
        </w:rPr>
        <w:t xml:space="preserve">апартаментът </w:t>
      </w:r>
      <w:r>
        <w:rPr>
          <w:rStyle w:val="ECHRPara"/>
        </w:rPr>
        <w:t xml:space="preserve">е бил продаден на </w:t>
      </w:r>
      <w:r w:rsidR="00737B4B">
        <w:rPr>
          <w:rStyle w:val="ECHRPara"/>
        </w:rPr>
        <w:t>частно лице</w:t>
      </w:r>
      <w:r>
        <w:rPr>
          <w:rStyle w:val="ECHRPara"/>
        </w:rPr>
        <w:t xml:space="preserve"> в </w:t>
      </w:r>
      <w:r w:rsidRPr="00ED2271">
        <w:rPr>
          <w:rStyle w:val="ECHRPara"/>
        </w:rPr>
        <w:t>контекста на ликвидацията на дружеството Б.</w:t>
      </w:r>
      <w:r>
        <w:rPr>
          <w:rStyle w:val="ECHRPara"/>
        </w:rPr>
        <w:t xml:space="preserve"> В последвалото съдебно производство, с което той </w:t>
      </w:r>
      <w:r w:rsidR="00737B4B" w:rsidRPr="00ED2271">
        <w:rPr>
          <w:rStyle w:val="ECHRPara"/>
        </w:rPr>
        <w:t xml:space="preserve">безуспешно </w:t>
      </w:r>
      <w:r w:rsidRPr="00ED2271">
        <w:rPr>
          <w:rStyle w:val="ECHRPara"/>
        </w:rPr>
        <w:t>о</w:t>
      </w:r>
      <w:r>
        <w:rPr>
          <w:rStyle w:val="ECHRPara"/>
        </w:rPr>
        <w:t xml:space="preserve">спорва </w:t>
      </w:r>
      <w:r w:rsidRPr="00ED2271">
        <w:rPr>
          <w:rStyle w:val="ECHRPara"/>
        </w:rPr>
        <w:t>това изваждане</w:t>
      </w:r>
      <w:r>
        <w:rPr>
          <w:rStyle w:val="ECHRPara"/>
        </w:rPr>
        <w:t>, е установено, че по това време жалбоподателят не живее в апартамента</w:t>
      </w:r>
      <w:r w:rsidR="00737B4B" w:rsidRPr="00ED2271">
        <w:rPr>
          <w:rStyle w:val="ECHRPara"/>
        </w:rPr>
        <w:t>,</w:t>
      </w:r>
      <w:r w:rsidR="00D46AE2">
        <w:rPr>
          <w:rStyle w:val="ECHRPara"/>
        </w:rPr>
        <w:t xml:space="preserve"> </w:t>
      </w:r>
      <w:r>
        <w:rPr>
          <w:rStyle w:val="ECHRPara"/>
        </w:rPr>
        <w:t>че той е необитаем и в много лошо състояние.</w:t>
      </w:r>
    </w:p>
    <w:p w:rsidR="009B39CA" w:rsidRPr="003872E0" w:rsidRDefault="009B39CA" w:rsidP="009B39CA">
      <w:pPr>
        <w:pStyle w:val="ECHRHeading1"/>
      </w:pPr>
      <w:r>
        <w:rPr>
          <w:rStyle w:val="ECHRHeading1"/>
        </w:rPr>
        <w:t>II.  ПРИЛОЖИМО ВЪТРЕШНО ПРАВО И ПРАКТИКА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13</w:t>
      </w:r>
      <w:r>
        <w:fldChar w:fldCharType="end"/>
      </w:r>
      <w:r>
        <w:rPr>
          <w:rStyle w:val="ECHRPara"/>
        </w:rPr>
        <w:t>.  </w:t>
      </w:r>
      <w:r w:rsidRPr="00ED2271">
        <w:rPr>
          <w:rStyle w:val="ECHRPara"/>
        </w:rPr>
        <w:t>Приложимото</w:t>
      </w:r>
      <w:r>
        <w:rPr>
          <w:rStyle w:val="ECHRPara"/>
        </w:rPr>
        <w:t xml:space="preserve"> вътрешно право и практика са обобщени в решението на Съда по делото </w:t>
      </w:r>
      <w:r>
        <w:rPr>
          <w:rStyle w:val="ECHRPara"/>
          <w:i/>
        </w:rPr>
        <w:t xml:space="preserve">Кирилова и други срещу България </w:t>
      </w:r>
      <w:r>
        <w:rPr>
          <w:rStyle w:val="ECHRPara"/>
        </w:rPr>
        <w:t>(</w:t>
      </w:r>
      <w:r>
        <w:rPr>
          <w:rStyle w:val="ECHRPara"/>
          <w:cs/>
        </w:rPr>
        <w:t>№</w:t>
      </w:r>
      <w:r>
        <w:rPr>
          <w:rStyle w:val="ECHRPara"/>
        </w:rPr>
        <w:t> 42908/98, 44038/98, 44816/98 и 7319/02, §§ 72-79, 9 юни 2005 г.).</w:t>
      </w:r>
    </w:p>
    <w:p w:rsidR="009B39CA" w:rsidRPr="003872E0" w:rsidRDefault="009B39CA" w:rsidP="009B39CA">
      <w:pPr>
        <w:pStyle w:val="ECHRTitle1"/>
      </w:pPr>
      <w:r>
        <w:rPr>
          <w:rStyle w:val="ECHRTitle1"/>
        </w:rPr>
        <w:t>ЗАКОНЪТ</w:t>
      </w:r>
    </w:p>
    <w:p w:rsidR="009B39CA" w:rsidRPr="003872E0" w:rsidRDefault="009B39CA" w:rsidP="009B39CA">
      <w:pPr>
        <w:pStyle w:val="ECHRHeading1"/>
      </w:pPr>
      <w:r>
        <w:rPr>
          <w:rStyle w:val="ECHRHeading1"/>
        </w:rPr>
        <w:t>I. ТВЪРД</w:t>
      </w:r>
      <w:r w:rsidR="00A321C2">
        <w:rPr>
          <w:rStyle w:val="ECHRHeading1"/>
        </w:rPr>
        <w:t>Я</w:t>
      </w:r>
      <w:r>
        <w:rPr>
          <w:rStyle w:val="ECHRHeading1"/>
        </w:rPr>
        <w:t>Н</w:t>
      </w:r>
      <w:r w:rsidR="00A321C2">
        <w:rPr>
          <w:rStyle w:val="ECHRHeading1"/>
        </w:rPr>
        <w:t>О</w:t>
      </w:r>
      <w:r>
        <w:rPr>
          <w:rStyle w:val="ECHRHeading1"/>
        </w:rPr>
        <w:t xml:space="preserve"> НАРУШЕНИ</w:t>
      </w:r>
      <w:r w:rsidR="00A321C2">
        <w:rPr>
          <w:rStyle w:val="ECHRHeading1"/>
        </w:rPr>
        <w:t>Е</w:t>
      </w:r>
      <w:r>
        <w:rPr>
          <w:rStyle w:val="ECHRHeading1"/>
        </w:rPr>
        <w:t xml:space="preserve"> НА ЧЛ. 1 ОТ ПРОТОКОЛ </w:t>
      </w:r>
      <w:r>
        <w:rPr>
          <w:rStyle w:val="ECHRHeading1"/>
          <w:cs/>
        </w:rPr>
        <w:t xml:space="preserve">№ </w:t>
      </w:r>
      <w:r>
        <w:rPr>
          <w:rStyle w:val="ECHRHeading1"/>
        </w:rPr>
        <w:t>1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14</w:t>
      </w:r>
      <w:r>
        <w:fldChar w:fldCharType="end"/>
      </w:r>
      <w:r>
        <w:rPr>
          <w:rStyle w:val="ECHRPara"/>
        </w:rPr>
        <w:t xml:space="preserve">.  Жалбоподателят се оплаква по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>1, че властите в продължение на много години не успяват да му предоставят апартамента, който му се полага като обезщетение за отчуждения имот на баща му.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15</w:t>
      </w:r>
      <w:r>
        <w:fldChar w:fldCharType="end"/>
      </w:r>
      <w:r>
        <w:rPr>
          <w:rStyle w:val="ECHRPara"/>
        </w:rPr>
        <w:t>.  </w:t>
      </w:r>
      <w:r w:rsidRPr="00ED2271">
        <w:rPr>
          <w:rStyle w:val="ECHRPara"/>
        </w:rPr>
        <w:t>Чл. 1 от Протокол</w:t>
      </w:r>
      <w:r>
        <w:rPr>
          <w:rStyle w:val="ECHRPara"/>
        </w:rPr>
        <w:t xml:space="preserve">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</w:t>
      </w:r>
      <w:r w:rsidR="0047493D">
        <w:rPr>
          <w:rStyle w:val="ECHRPara"/>
        </w:rPr>
        <w:t xml:space="preserve">предвижда </w:t>
      </w:r>
      <w:r>
        <w:rPr>
          <w:rStyle w:val="ECHRPara"/>
        </w:rPr>
        <w:t>следното:</w:t>
      </w:r>
    </w:p>
    <w:p w:rsidR="009B39CA" w:rsidRPr="003872E0" w:rsidRDefault="009B39CA" w:rsidP="009B39CA">
      <w:pPr>
        <w:pStyle w:val="ECHRParaQuote"/>
      </w:pPr>
      <w:r>
        <w:rPr>
          <w:rStyle w:val="ECHRParaQuote"/>
        </w:rPr>
        <w:t>"Βсяко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9B39CA" w:rsidRPr="003872E0" w:rsidRDefault="009B39CA" w:rsidP="009B39CA">
      <w:pPr>
        <w:pStyle w:val="ECHRParaQuote"/>
      </w:pPr>
      <w:r>
        <w:rPr>
          <w:rStyle w:val="ECHRParaQuote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16</w:t>
      </w:r>
      <w:r>
        <w:fldChar w:fldCharType="end"/>
      </w:r>
      <w:r>
        <w:rPr>
          <w:rStyle w:val="ECHRPara"/>
        </w:rPr>
        <w:t>.  </w:t>
      </w:r>
      <w:r w:rsidRPr="00ED2271">
        <w:rPr>
          <w:rStyle w:val="ECHRPara"/>
        </w:rPr>
        <w:t>Правителството оспорва оплакването</w:t>
      </w:r>
      <w:r>
        <w:rPr>
          <w:rStyle w:val="ECHRPara"/>
        </w:rPr>
        <w:t>. То твърди, че жалбоподателят не е изчерпал наличните вътрешн</w:t>
      </w:r>
      <w:r w:rsidR="00381286">
        <w:rPr>
          <w:rStyle w:val="ECHRPara"/>
        </w:rPr>
        <w:t>о</w:t>
      </w:r>
      <w:r>
        <w:rPr>
          <w:rStyle w:val="ECHRPara"/>
        </w:rPr>
        <w:t xml:space="preserve">правни средства за защита, тъй като е имал на разположение </w:t>
      </w:r>
      <w:r>
        <w:rPr>
          <w:rStyle w:val="ECHRPara"/>
          <w:cs/>
        </w:rPr>
        <w:t>“</w:t>
      </w:r>
      <w:r>
        <w:rPr>
          <w:rStyle w:val="ECHRPara"/>
        </w:rPr>
        <w:t xml:space="preserve">няколко възможности да </w:t>
      </w:r>
      <w:r w:rsidRPr="00ED2271">
        <w:rPr>
          <w:rStyle w:val="ECHRPara"/>
        </w:rPr>
        <w:t>преследва по съдебен ред отговорните общински и частни лица</w:t>
      </w:r>
      <w:r w:rsidRPr="00ED2271">
        <w:rPr>
          <w:rStyle w:val="ECHRPara"/>
          <w:cs/>
        </w:rPr>
        <w:t>”</w:t>
      </w:r>
      <w:r w:rsidRPr="00ED2271">
        <w:rPr>
          <w:rStyle w:val="ECHRPara"/>
        </w:rPr>
        <w:t>.</w:t>
      </w:r>
      <w:r>
        <w:rPr>
          <w:rStyle w:val="ECHRPara"/>
        </w:rPr>
        <w:t xml:space="preserve"> Освен това, без да представя или да се позовава на каквито и да било доказателства, Правителството твърди, че на жалбоподателя вече е предоставен полагащият му се апартамент.</w:t>
      </w:r>
    </w:p>
    <w:p w:rsidR="009B39CA" w:rsidRPr="003872E0" w:rsidRDefault="009B39CA" w:rsidP="009B39CA">
      <w:pPr>
        <w:pStyle w:val="ECHRPara"/>
      </w:pPr>
      <w:r>
        <w:lastRenderedPageBreak/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17</w:t>
      </w:r>
      <w:r>
        <w:fldChar w:fldCharType="end"/>
      </w:r>
      <w:r>
        <w:rPr>
          <w:rStyle w:val="ECHRPara"/>
        </w:rPr>
        <w:t>.  Жалбоподателят от своя страна твърди, че не е получил никакво обезщетение и посочва, че той е платил стойността на полагащия му се апартамент още през 1989 г.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18</w:t>
      </w:r>
      <w:r>
        <w:fldChar w:fldCharType="end"/>
      </w:r>
      <w:r>
        <w:rPr>
          <w:rStyle w:val="ECHRPara"/>
        </w:rPr>
        <w:t xml:space="preserve">.  Съдът отбелязва, че доводът на Правителството за недопустимост поради неизчерпване на </w:t>
      </w:r>
      <w:proofErr w:type="spellStart"/>
      <w:r>
        <w:rPr>
          <w:rStyle w:val="ECHRPara"/>
        </w:rPr>
        <w:t>вътрешн</w:t>
      </w:r>
      <w:proofErr w:type="spellEnd"/>
      <w:r w:rsidR="002C4744">
        <w:rPr>
          <w:rStyle w:val="ECHRPara"/>
          <w:lang w:val="en-GB"/>
        </w:rPr>
        <w:t>o</w:t>
      </w:r>
      <w:r>
        <w:rPr>
          <w:rStyle w:val="ECHRPara"/>
        </w:rPr>
        <w:t xml:space="preserve">правни средства за защита (вж. параграф 16 по-горе) е </w:t>
      </w:r>
      <w:r w:rsidRPr="00ED2271">
        <w:rPr>
          <w:rStyle w:val="ECHRPara"/>
        </w:rPr>
        <w:t>твърде неясен. Т</w:t>
      </w:r>
      <w:r>
        <w:rPr>
          <w:rStyle w:val="ECHRPara"/>
        </w:rPr>
        <w:t>ой следователно го отхвърля.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19</w:t>
      </w:r>
      <w:r>
        <w:fldChar w:fldCharType="end"/>
      </w:r>
      <w:r>
        <w:rPr>
          <w:rStyle w:val="ECHRPara"/>
        </w:rPr>
        <w:t>.  Той отбелязва освен това, че жалбата не е явно необоснована по смисъла на член 35 § 3 (а) от Конвенцията или недопустима на каквото и да било други основания. Следователно тя трябва да бъде обявена за допустима.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20</w:t>
      </w:r>
      <w:r>
        <w:fldChar w:fldCharType="end"/>
      </w:r>
      <w:r>
        <w:rPr>
          <w:rStyle w:val="ECHRPara"/>
        </w:rPr>
        <w:t>.  </w:t>
      </w:r>
      <w:r w:rsidRPr="00ED2271">
        <w:rPr>
          <w:rStyle w:val="ECHRPara"/>
        </w:rPr>
        <w:t>По</w:t>
      </w:r>
      <w:r>
        <w:rPr>
          <w:rStyle w:val="ECHRPara"/>
        </w:rPr>
        <w:t xml:space="preserve"> </w:t>
      </w:r>
      <w:r w:rsidR="00C50B13">
        <w:rPr>
          <w:rStyle w:val="ECHRPara"/>
        </w:rPr>
        <w:t xml:space="preserve">същество </w:t>
      </w:r>
      <w:r>
        <w:rPr>
          <w:rStyle w:val="ECHRPara"/>
        </w:rPr>
        <w:t>Съдът първо отбелязва, че случаят е подобен на тези, разгледани от него в</w:t>
      </w:r>
      <w:r>
        <w:rPr>
          <w:rStyle w:val="ECHRPara"/>
          <w:i/>
        </w:rPr>
        <w:t xml:space="preserve"> Кирилова и други</w:t>
      </w:r>
      <w:r>
        <w:rPr>
          <w:rStyle w:val="ECHRPara"/>
        </w:rPr>
        <w:t xml:space="preserve">, цитирано по-горе, както и поредица от последващи дела (вж. например </w:t>
      </w:r>
      <w:r>
        <w:rPr>
          <w:rStyle w:val="ECHRPara"/>
          <w:i/>
        </w:rPr>
        <w:t>Лазаров срещу България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21352/02, 22 май 2008 г.; </w:t>
      </w:r>
      <w:r>
        <w:rPr>
          <w:rStyle w:val="ECHRPara"/>
          <w:i/>
        </w:rPr>
        <w:t>Антонови срещу България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20827/02, 1 октомври 2009 г.; </w:t>
      </w:r>
      <w:r>
        <w:rPr>
          <w:rStyle w:val="ECHRPara"/>
          <w:i/>
        </w:rPr>
        <w:t>Дичев срещу България</w:t>
      </w:r>
      <w:r>
        <w:rPr>
          <w:rStyle w:val="ECHRPara"/>
        </w:rPr>
        <w:t xml:space="preserve">, </w:t>
      </w:r>
      <w:r>
        <w:rPr>
          <w:rStyle w:val="ECHRPara"/>
          <w:cs/>
        </w:rPr>
        <w:t xml:space="preserve">№ </w:t>
      </w:r>
      <w:r>
        <w:rPr>
          <w:rStyle w:val="ECHRPara"/>
        </w:rPr>
        <w:t>1355/04, 27 януари 2011 г.).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21</w:t>
      </w:r>
      <w:r>
        <w:fldChar w:fldCharType="end"/>
      </w:r>
      <w:r>
        <w:rPr>
          <w:rStyle w:val="ECHRPara"/>
        </w:rPr>
        <w:t>.  Както в предходните дела (вж. например</w:t>
      </w:r>
      <w:r>
        <w:rPr>
          <w:rStyle w:val="ECHRPara"/>
          <w:i/>
        </w:rPr>
        <w:t xml:space="preserve"> Кирилова и други</w:t>
      </w:r>
      <w:r>
        <w:rPr>
          <w:rStyle w:val="ECHRPara"/>
        </w:rPr>
        <w:t xml:space="preserve">, § 104, и </w:t>
      </w:r>
      <w:r>
        <w:rPr>
          <w:rStyle w:val="ECHRPara"/>
          <w:i/>
        </w:rPr>
        <w:t>Антонови</w:t>
      </w:r>
      <w:r>
        <w:rPr>
          <w:rStyle w:val="ECHRPara"/>
        </w:rPr>
        <w:t xml:space="preserve">, § 28, и двете цитирани по-горе), Съдът е на мнение, че решенията от 15 юли 1981 г и 25 март 1987 г., в които се посочва, че жалбоподателят трябва да получи апартамент като обезщетение за отчуждения имот на баща му (вж. параграфи 6 и 7 по-горе), създава в негова полза право, което не </w:t>
      </w:r>
      <w:r w:rsidR="00A53F63">
        <w:rPr>
          <w:rStyle w:val="ECHRPara"/>
        </w:rPr>
        <w:t>е оспорено</w:t>
      </w:r>
      <w:r>
        <w:rPr>
          <w:rStyle w:val="ECHRPara"/>
        </w:rPr>
        <w:t xml:space="preserve"> от властите и се определя като </w:t>
      </w:r>
      <w:r>
        <w:rPr>
          <w:rStyle w:val="ECHRPara"/>
          <w:cs/>
        </w:rPr>
        <w:t>“</w:t>
      </w:r>
      <w:r>
        <w:rPr>
          <w:rStyle w:val="ECHRPara"/>
        </w:rPr>
        <w:t>притежание</w:t>
      </w:r>
      <w:r>
        <w:rPr>
          <w:rStyle w:val="ECHRPara"/>
          <w:cs/>
        </w:rPr>
        <w:t xml:space="preserve">” </w:t>
      </w:r>
      <w:r>
        <w:rPr>
          <w:rStyle w:val="ECHRPara"/>
        </w:rPr>
        <w:t xml:space="preserve">по смисъла на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1. Продължителният неуспех от страна на властите да предоставят въпросния апартамент представлява намеса в правата на жалбоподателя, която следва да бъде разгледана в рамките на първото изречение на първия параграф на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1, </w:t>
      </w:r>
      <w:r w:rsidR="009064A8">
        <w:rPr>
          <w:rStyle w:val="ECHRPara"/>
        </w:rPr>
        <w:t xml:space="preserve">който определя </w:t>
      </w:r>
      <w:r w:rsidRPr="00ED2271">
        <w:rPr>
          <w:rStyle w:val="ECHRPara"/>
        </w:rPr>
        <w:t xml:space="preserve">общо принципа </w:t>
      </w:r>
      <w:r w:rsidR="007A6227" w:rsidRPr="00ED2271">
        <w:rPr>
          <w:rStyle w:val="ECHRPara"/>
        </w:rPr>
        <w:t>з</w:t>
      </w:r>
      <w:r w:rsidRPr="00ED2271">
        <w:rPr>
          <w:rStyle w:val="ECHRPara"/>
        </w:rPr>
        <w:t>а мирно ползване на собстве</w:t>
      </w:r>
      <w:r w:rsidRPr="00A80F8D">
        <w:rPr>
          <w:rStyle w:val="ECHRPara"/>
        </w:rPr>
        <w:t>ност</w:t>
      </w:r>
      <w:r w:rsidR="00A80F8D">
        <w:rPr>
          <w:rStyle w:val="ECHRPara"/>
        </w:rPr>
        <w:t>та</w:t>
      </w:r>
      <w:r>
        <w:rPr>
          <w:rStyle w:val="ECHRPara"/>
        </w:rPr>
        <w:t xml:space="preserve"> (вж. </w:t>
      </w:r>
      <w:r>
        <w:rPr>
          <w:rStyle w:val="ECHRPara"/>
          <w:i/>
        </w:rPr>
        <w:t>Кирилова и други</w:t>
      </w:r>
      <w:r>
        <w:rPr>
          <w:rStyle w:val="ECHRPara"/>
        </w:rPr>
        <w:t xml:space="preserve">, § 105, и </w:t>
      </w:r>
      <w:r>
        <w:rPr>
          <w:rStyle w:val="ECHRPara"/>
          <w:i/>
        </w:rPr>
        <w:t>Лазаров</w:t>
      </w:r>
      <w:r>
        <w:rPr>
          <w:rStyle w:val="ECHRPara"/>
        </w:rPr>
        <w:t>, § 28, и двете цитирани по-горе).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22</w:t>
      </w:r>
      <w:r>
        <w:fldChar w:fldCharType="end"/>
      </w:r>
      <w:r>
        <w:rPr>
          <w:rStyle w:val="ECHRPara"/>
        </w:rPr>
        <w:t xml:space="preserve">.  За да установи дали българската държава е изпълнила задълженията си по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1, Съдът трябва да провери дали е постигнат справедлив баланс между общия интерес и правата на жалбоподателя. Той трябва да вземе предвид по-конкретно продължителността на забавянето в предоставянето на обезщетение, поведението на страните, както и това дали властите демонстрират желание за разрешаване на проблема (вж. </w:t>
      </w:r>
      <w:r>
        <w:rPr>
          <w:rStyle w:val="ECHRPara"/>
          <w:i/>
        </w:rPr>
        <w:t>Кирилова и други</w:t>
      </w:r>
      <w:r>
        <w:rPr>
          <w:rStyle w:val="ECHRPara"/>
        </w:rPr>
        <w:t>, цитирано по-горе, §§ 106 и 123).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23</w:t>
      </w:r>
      <w:r>
        <w:fldChar w:fldCharType="end"/>
      </w:r>
      <w:r>
        <w:rPr>
          <w:rStyle w:val="ECHRPara"/>
        </w:rPr>
        <w:t xml:space="preserve">.  Правото в полза на жалбоподателя да му бъде предоставен апартамент възниква през 1981 г. и е потвърдено през 1987 г. Въпреки това Съдът ще вземе под внимание само периода, който е в рамките на неговата </w:t>
      </w:r>
      <w:r w:rsidRPr="00ED2271">
        <w:rPr>
          <w:rStyle w:val="ECHRPara"/>
        </w:rPr>
        <w:t>времева компетентност</w:t>
      </w:r>
      <w:r>
        <w:rPr>
          <w:rStyle w:val="ECHRPara"/>
        </w:rPr>
        <w:t xml:space="preserve">, а именно след 7 септември 1992 г., когато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>1 влиза в сила по отношение на България.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24</w:t>
      </w:r>
      <w:r>
        <w:fldChar w:fldCharType="end"/>
      </w:r>
      <w:r>
        <w:rPr>
          <w:rStyle w:val="ECHRPara"/>
        </w:rPr>
        <w:t xml:space="preserve">.  Страните не постигат съгласие по въпроса дали на жалбоподателя е бил предоставен полагащият му се апартамент. </w:t>
      </w:r>
      <w:r>
        <w:rPr>
          <w:rStyle w:val="ECHRPara"/>
        </w:rPr>
        <w:lastRenderedPageBreak/>
        <w:t xml:space="preserve">Правителството твърди, че го е получил, докато жалбоподателят оспорва този факт, </w:t>
      </w:r>
      <w:r w:rsidRPr="00ED2271">
        <w:rPr>
          <w:rStyle w:val="ECHRPara"/>
        </w:rPr>
        <w:t xml:space="preserve">обяснявайки, че удостоверението от 2007 г. за обитаване на сградата, в която се намира апартамента му, се отнася само до </w:t>
      </w:r>
      <w:r w:rsidRPr="00ED2271">
        <w:rPr>
          <w:rStyle w:val="ECHRPara"/>
          <w:cs/>
        </w:rPr>
        <w:t>“</w:t>
      </w:r>
      <w:r w:rsidRPr="00ED2271">
        <w:rPr>
          <w:rStyle w:val="ECHRPara"/>
        </w:rPr>
        <w:t>определени строителни дейности</w:t>
      </w:r>
      <w:r>
        <w:rPr>
          <w:rStyle w:val="ECHRPara"/>
          <w:cs/>
        </w:rPr>
        <w:t xml:space="preserve">”  </w:t>
      </w:r>
      <w:r>
        <w:rPr>
          <w:rStyle w:val="ECHRPara"/>
        </w:rPr>
        <w:t>(вж. параграфи 10 и 16 по-горе).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25</w:t>
      </w:r>
      <w:r>
        <w:fldChar w:fldCharType="end"/>
      </w:r>
      <w:r>
        <w:rPr>
          <w:rStyle w:val="ECHRPara"/>
        </w:rPr>
        <w:t xml:space="preserve">.  Съдът от своя страна приема твърдението на жалбоподателя. Той отбелязва, че Правителството не се позовава на каквито и да било документи, за да обоснове твърдението си, че дължимото на </w:t>
      </w:r>
      <w:r w:rsidRPr="00ED2271">
        <w:rPr>
          <w:rStyle w:val="ECHRPara"/>
        </w:rPr>
        <w:t>жалбоподателя обезщетение му е било предоставено, а именно че е получил действителното владение на апартамента,</w:t>
      </w:r>
      <w:r>
        <w:rPr>
          <w:rStyle w:val="ECHRPara"/>
        </w:rPr>
        <w:t xml:space="preserve"> обещан му през 1987 г. Освен това Столична община, която е органът, пряко отговорен за предоставяне на обезщетение на жалбоподателя, никога не е твърдяла, че апартаментът вече му е бил даден, по-конкретно в писмото ѝ до него от 8 ноември 2011 г. (вж. параграф 11 по-горе). На последно място Съдът отбелязва, че през 2006 г. частно дружество бе признато за собственик на част от този апартамент (вж. параграф 10 по-горе) и не е доказано, </w:t>
      </w:r>
      <w:r w:rsidRPr="00ED2271">
        <w:rPr>
          <w:rStyle w:val="ECHRPara"/>
        </w:rPr>
        <w:t>че това признаване е било анулирано.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26</w:t>
      </w:r>
      <w:r>
        <w:fldChar w:fldCharType="end"/>
      </w:r>
      <w:r>
        <w:rPr>
          <w:rStyle w:val="ECHRPara"/>
        </w:rPr>
        <w:t>.  Поради това Съдът заключава, че производството за обезщетение по отношение на жалбоподателя е все още висящо и че жалбоподателят не е получил дължимото обезщетение тридесет и шест години след отчуждаването на имота на баща му през 1981 г., двадесет и пет от които - след 1992 г. - в рамките на времевата компетентност на Съда.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27</w:t>
      </w:r>
      <w:r>
        <w:fldChar w:fldCharType="end"/>
      </w:r>
      <w:r>
        <w:rPr>
          <w:rStyle w:val="ECHRPara"/>
        </w:rPr>
        <w:t xml:space="preserve">.  Този период е явно прекомерен, а властите не са представили никаква </w:t>
      </w:r>
      <w:r w:rsidR="006A2B7B">
        <w:rPr>
          <w:rStyle w:val="ECHRPara"/>
        </w:rPr>
        <w:t xml:space="preserve">оправдание </w:t>
      </w:r>
      <w:r>
        <w:rPr>
          <w:rStyle w:val="ECHRPara"/>
        </w:rPr>
        <w:t>за толкова продължително забавяне в предоставянето на обезщетение на жалбоподателя. По-конкретно Съдът посочва, че решението на Столична община да възложи строителството на сградата, в която апартаментът на жалбоподателя е трябвало да се намира, на дружество, което след това не успява да изпълни поетото от него задължение (вж. параграфи 9-10 по-горе), не може да я освободи от собствените ѝ задължения. Съдът също така не може да приеме, че от жалбоподателя е трябвало да се очаква да поиска дължимото от страна на властите обезщетение от частни лица, както е предложено в писмото на общината до него от 8 ноември 2011 г. (вж. параграф 11 по-горе).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28</w:t>
      </w:r>
      <w:r>
        <w:fldChar w:fldCharType="end"/>
      </w:r>
      <w:r>
        <w:rPr>
          <w:rStyle w:val="ECHRPara"/>
        </w:rPr>
        <w:t>.  В случаи като настоящия е задължение на властите да действат своевременно и по подходящ и последователен начин. Вместо това, както е отбелязано по-горе, тези власти се стремят да избегнат отговорността, като насочват жалбоподателя към частни лица, и иначе заемат главно пасивна позиция, оставяйки жалбоподателя в положение на несигурност по отношение на това дали и кога той ще получи обезщетението, на което има право. Към това трябва да се прибави и липсата на ефективни вътрешн</w:t>
      </w:r>
      <w:r w:rsidR="00EA01A1">
        <w:rPr>
          <w:rStyle w:val="ECHRPara"/>
        </w:rPr>
        <w:t>о</w:t>
      </w:r>
      <w:r>
        <w:rPr>
          <w:rStyle w:val="ECHRPara"/>
        </w:rPr>
        <w:t xml:space="preserve">правни средства за защита за поправяне на ситуацията (вж. </w:t>
      </w:r>
      <w:r>
        <w:rPr>
          <w:rStyle w:val="ECHRPara"/>
          <w:i/>
        </w:rPr>
        <w:t>Кирилова и други</w:t>
      </w:r>
      <w:r>
        <w:rPr>
          <w:rStyle w:val="ECHRPara"/>
        </w:rPr>
        <w:t xml:space="preserve">, §§ 121 и 123, </w:t>
      </w:r>
      <w:r>
        <w:rPr>
          <w:rStyle w:val="ECHRPara"/>
          <w:i/>
        </w:rPr>
        <w:t>Антонови</w:t>
      </w:r>
      <w:r>
        <w:rPr>
          <w:rStyle w:val="ECHRPara"/>
        </w:rPr>
        <w:t xml:space="preserve">, § 30, и </w:t>
      </w:r>
      <w:r>
        <w:rPr>
          <w:rStyle w:val="ECHRPara"/>
          <w:i/>
        </w:rPr>
        <w:t>Дичев</w:t>
      </w:r>
      <w:r>
        <w:rPr>
          <w:rStyle w:val="ECHRPara"/>
        </w:rPr>
        <w:t xml:space="preserve">, § 30, всички цитирани по-горе). Горното означава, че властите не успяват да постигнат справедлив баланс между обществения интерес и правата на жалбоподателя, както се изисква по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>1.</w:t>
      </w:r>
    </w:p>
    <w:p w:rsidR="009B39CA" w:rsidRPr="003872E0" w:rsidRDefault="009B39CA" w:rsidP="009B39CA">
      <w:pPr>
        <w:pStyle w:val="ECHRPara"/>
      </w:pPr>
      <w:r>
        <w:lastRenderedPageBreak/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29</w:t>
      </w:r>
      <w:r>
        <w:fldChar w:fldCharType="end"/>
      </w:r>
      <w:r>
        <w:rPr>
          <w:rStyle w:val="ECHRPara"/>
        </w:rPr>
        <w:t>.  Следователно е налице нарушение на тази разпоредба.</w:t>
      </w:r>
    </w:p>
    <w:p w:rsidR="009B39CA" w:rsidRPr="003872E0" w:rsidRDefault="009B39CA" w:rsidP="009B39CA">
      <w:pPr>
        <w:pStyle w:val="ECHRHeading1"/>
      </w:pPr>
      <w:r>
        <w:rPr>
          <w:rStyle w:val="ECHRHeading1"/>
        </w:rPr>
        <w:t>II.  </w:t>
      </w:r>
      <w:r w:rsidR="0047493D">
        <w:rPr>
          <w:rStyle w:val="ECHRHeading1"/>
        </w:rPr>
        <w:t xml:space="preserve">ПРИЛОЖЕНИЕ </w:t>
      </w:r>
      <w:r>
        <w:rPr>
          <w:rStyle w:val="ECHRHeading1"/>
        </w:rPr>
        <w:t>НА ЧЛЕН 41 ОТ КОНВЕНЦИЯТА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30</w:t>
      </w:r>
      <w:r>
        <w:fldChar w:fldCharType="end"/>
      </w:r>
      <w:r>
        <w:rPr>
          <w:rStyle w:val="ECHRPara"/>
        </w:rPr>
        <w:t xml:space="preserve">.  Чл. 41 </w:t>
      </w:r>
      <w:r w:rsidRPr="00ED2271">
        <w:rPr>
          <w:rStyle w:val="ECHRPara"/>
        </w:rPr>
        <w:t>от Конвенцията гласи:</w:t>
      </w:r>
    </w:p>
    <w:p w:rsidR="009B39CA" w:rsidRPr="003872E0" w:rsidRDefault="009B39CA" w:rsidP="009B39CA">
      <w:pPr>
        <w:pStyle w:val="ECHRParaQuote"/>
        <w:keepNext/>
        <w:keepLines/>
      </w:pPr>
      <w:r>
        <w:rPr>
          <w:rStyle w:val="ECHRParaQuote"/>
          <w:cs/>
        </w:rPr>
        <w:t>“</w:t>
      </w:r>
      <w:r>
        <w:rPr>
          <w:rStyle w:val="ECHRParaQuote"/>
        </w:rPr>
        <w:t>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</w:t>
      </w:r>
      <w:r>
        <w:rPr>
          <w:rStyle w:val="ECHRParaQuote"/>
          <w:cs/>
        </w:rPr>
        <w:t>”</w:t>
      </w:r>
    </w:p>
    <w:p w:rsidR="009B39CA" w:rsidRPr="003872E0" w:rsidRDefault="009B39CA" w:rsidP="009B39CA">
      <w:pPr>
        <w:pStyle w:val="ECHRHeading2"/>
      </w:pPr>
      <w:r>
        <w:rPr>
          <w:rStyle w:val="ECHRHeading2"/>
        </w:rPr>
        <w:t>А. Обезщетение за вреди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31</w:t>
      </w:r>
      <w:r>
        <w:fldChar w:fldCharType="end"/>
      </w:r>
      <w:r>
        <w:rPr>
          <w:rStyle w:val="ECHRPara"/>
        </w:rPr>
        <w:t xml:space="preserve">.  По позицията за имуществени вреди жалбоподателят претендира на националните органи да бъде наредено от Съда да му върнат отчуждения имот на баща му и да му предоставят дължимия му апартамент, както е описан в решението от 25 март 1987 г. Той претендира в допълнение обезщетение в размер на 120 000 евро. </w:t>
      </w:r>
      <w:r w:rsidRPr="00ED2271">
        <w:rPr>
          <w:rStyle w:val="ECHRPara"/>
        </w:rPr>
        <w:t>П</w:t>
      </w:r>
      <w:r w:rsidRPr="00AF41C6">
        <w:rPr>
          <w:rStyle w:val="ECHRPara"/>
        </w:rPr>
        <w:t>ри условията на евентуалност</w:t>
      </w:r>
      <w:r w:rsidRPr="00ED2271">
        <w:rPr>
          <w:rStyle w:val="ECHRPara"/>
        </w:rPr>
        <w:t xml:space="preserve"> жалбоподателят претендира само дължимия</w:t>
      </w:r>
      <w:r>
        <w:rPr>
          <w:rStyle w:val="ECHRPara"/>
        </w:rPr>
        <w:t xml:space="preserve"> му апартамент, отново както е описан в решението от 25 март 1987 г., и обезщетение в размер на 250 000 евро.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32</w:t>
      </w:r>
      <w:r>
        <w:fldChar w:fldCharType="end"/>
      </w:r>
      <w:r>
        <w:rPr>
          <w:rStyle w:val="ECHRPara"/>
        </w:rPr>
        <w:t>.  За неимуществени вреди жалбоподателят претендира 200 000 евро.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33</w:t>
      </w:r>
      <w:r>
        <w:fldChar w:fldCharType="end"/>
      </w:r>
      <w:r>
        <w:rPr>
          <w:rStyle w:val="ECHRPara"/>
        </w:rPr>
        <w:t xml:space="preserve">.  Правителството оспорва претенциите, като ги </w:t>
      </w:r>
      <w:r w:rsidRPr="00ED2271">
        <w:rPr>
          <w:rStyle w:val="ECHRPara"/>
        </w:rPr>
        <w:t xml:space="preserve">намира за </w:t>
      </w:r>
      <w:r w:rsidRPr="00ED2271">
        <w:rPr>
          <w:rStyle w:val="ECHRPara"/>
          <w:cs/>
        </w:rPr>
        <w:t>“</w:t>
      </w:r>
      <w:r w:rsidRPr="00ED2271">
        <w:rPr>
          <w:rStyle w:val="ECHRPara"/>
        </w:rPr>
        <w:t>силно преувеличени</w:t>
      </w:r>
      <w:r w:rsidRPr="00ED2271">
        <w:rPr>
          <w:rStyle w:val="ECHRPara"/>
          <w:cs/>
        </w:rPr>
        <w:t>”</w:t>
      </w:r>
      <w:r w:rsidRPr="00ED2271">
        <w:rPr>
          <w:rStyle w:val="ECHRPara"/>
        </w:rPr>
        <w:t>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34</w:t>
      </w:r>
      <w:r>
        <w:fldChar w:fldCharType="end"/>
      </w:r>
      <w:r>
        <w:rPr>
          <w:rStyle w:val="ECHRPara"/>
        </w:rPr>
        <w:t xml:space="preserve">.  Съдът отбелязва в самото начало, че за него няма правно основание да нареди на властите да отменят отчуждаването и да върнат на </w:t>
      </w:r>
      <w:r w:rsidRPr="00ED2271">
        <w:rPr>
          <w:rStyle w:val="ECHRPara"/>
        </w:rPr>
        <w:t>жалбоподателя бившия имот на баща му. Той отбелязва освен това, че не може да нареди на властите</w:t>
      </w:r>
      <w:r>
        <w:rPr>
          <w:rStyle w:val="ECHRPara"/>
        </w:rPr>
        <w:t xml:space="preserve"> да предоставят на жалбоподателя апартамента, описан в решението от 25 март 1987 г., тъй като такъв апартамент с площ от 109 квадратни метра очевидно не съществува, след като апартамент </w:t>
      </w:r>
      <w:r>
        <w:rPr>
          <w:rStyle w:val="ECHRPara"/>
          <w:cs/>
        </w:rPr>
        <w:t xml:space="preserve">№ </w:t>
      </w:r>
      <w:r>
        <w:rPr>
          <w:rStyle w:val="ECHRPara"/>
        </w:rPr>
        <w:t>17 на петия етаж във въпросната сграда е с размер от 91 квадратни метра (вж. параграфи 7 и 10 по-горе).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35</w:t>
      </w:r>
      <w:r>
        <w:fldChar w:fldCharType="end"/>
      </w:r>
      <w:r>
        <w:rPr>
          <w:rStyle w:val="ECHRPara"/>
        </w:rPr>
        <w:t xml:space="preserve">.  Съдът следователно смята, че по отношение на вредите, произтичащи от продължаващия неуспех на властите да предоставят апартамента, който се полага на жалбоподателя, най-добрият начин да се заличат последиците от нарушението на чл. 1 от Протокол </w:t>
      </w:r>
      <w:r>
        <w:rPr>
          <w:rStyle w:val="ECHRPara"/>
          <w:cs/>
        </w:rPr>
        <w:t xml:space="preserve">№ </w:t>
      </w:r>
      <w:r>
        <w:rPr>
          <w:rStyle w:val="ECHRPara"/>
        </w:rPr>
        <w:t xml:space="preserve">1 би бил </w:t>
      </w:r>
      <w:r w:rsidR="00F20A52">
        <w:rPr>
          <w:rStyle w:val="ECHRPara"/>
        </w:rPr>
        <w:t>държавата -ответник</w:t>
      </w:r>
      <w:r>
        <w:rPr>
          <w:rStyle w:val="ECHRPara"/>
        </w:rPr>
        <w:t xml:space="preserve"> да предостави на жалбоподателя апартамент, равностоен на този, описан в решението от 25 </w:t>
      </w:r>
      <w:r w:rsidR="00112902">
        <w:rPr>
          <w:rStyle w:val="ECHRPara"/>
        </w:rPr>
        <w:t xml:space="preserve">март </w:t>
      </w:r>
      <w:r>
        <w:rPr>
          <w:rStyle w:val="ECHRPara"/>
        </w:rPr>
        <w:t>1987 г.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36</w:t>
      </w:r>
      <w:r>
        <w:fldChar w:fldCharType="end"/>
      </w:r>
      <w:r>
        <w:rPr>
          <w:rStyle w:val="ECHRPara"/>
        </w:rPr>
        <w:t xml:space="preserve">.  Ако </w:t>
      </w:r>
      <w:r w:rsidR="00150BE1">
        <w:rPr>
          <w:rStyle w:val="ECHRPara"/>
        </w:rPr>
        <w:t>държавата - ответник</w:t>
      </w:r>
      <w:r>
        <w:rPr>
          <w:rStyle w:val="ECHRPara"/>
        </w:rPr>
        <w:t xml:space="preserve"> не направи това в рамките на три месеца, трябва да заплати на жалбоподателя сума, съответстваща на текущата стойност на апартамента (вж. </w:t>
      </w:r>
      <w:r>
        <w:rPr>
          <w:rStyle w:val="ECHRPara"/>
          <w:i/>
        </w:rPr>
        <w:t>Кирилова и други срещу България</w:t>
      </w:r>
      <w:r>
        <w:rPr>
          <w:rStyle w:val="ECHRPara"/>
        </w:rPr>
        <w:t xml:space="preserve"> (справедливо обезщетение), </w:t>
      </w:r>
      <w:r>
        <w:rPr>
          <w:rStyle w:val="ECHRPara"/>
          <w:cs/>
        </w:rPr>
        <w:t>№</w:t>
      </w:r>
      <w:r>
        <w:rPr>
          <w:rStyle w:val="ECHRPara"/>
        </w:rPr>
        <w:t xml:space="preserve"> 42908/98, 44038/98, 44816/98 и 7319/02, § 27, 14 юни 2007 г.). Страните не се произнасят по отношение на тази стойност. Съдът, като взема предвид наличната му информация </w:t>
      </w:r>
      <w:r>
        <w:rPr>
          <w:rStyle w:val="ECHRPara"/>
        </w:rPr>
        <w:lastRenderedPageBreak/>
        <w:t>за пазара на имоти в София, го оценява на 82 000 евро. Съответно Правителството трябва да плати като обезщетение тази сума.</w:t>
      </w:r>
    </w:p>
    <w:p w:rsidR="009B39CA" w:rsidRPr="003872E0" w:rsidRDefault="009B39CA" w:rsidP="009B39CA">
      <w:pPr>
        <w:pStyle w:val="ECHRPara"/>
        <w:rPr>
          <w:b/>
        </w:rPr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37</w:t>
      </w:r>
      <w:r>
        <w:fldChar w:fldCharType="end"/>
      </w:r>
      <w:r>
        <w:rPr>
          <w:rStyle w:val="ECHRPara"/>
        </w:rPr>
        <w:t xml:space="preserve">.  Освен това, що се отнася до останалите претенции на жалбоподателя по отношение на имуществени вреди, Съдът разбира, че жалбоподателят претендира обезщетение за вреди, претърпени в резултат на невъзможността му да използва дължимия му апартамент за продължителен период от време. Съдът се съгласява, че жалбоподателя трябва да е претърпял такива вреди (вж. </w:t>
      </w:r>
      <w:r>
        <w:rPr>
          <w:rStyle w:val="ECHRPara"/>
          <w:i/>
        </w:rPr>
        <w:t>Кирилова и други</w:t>
      </w:r>
      <w:r>
        <w:rPr>
          <w:rStyle w:val="ECHRPara"/>
        </w:rPr>
        <w:t xml:space="preserve"> (справедливо обезщетение), цитирано по-горе, § 33) и произнасяйки се по справедливост, му присъжда 10 000 евро по тази позиция.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38</w:t>
      </w:r>
      <w:r>
        <w:fldChar w:fldCharType="end"/>
      </w:r>
      <w:r>
        <w:rPr>
          <w:rStyle w:val="ECHRPara"/>
        </w:rPr>
        <w:t>.  На последно място, като взима предвид, че жалбоподателят трябва да е изпитал безсилие в резултат на неуспеха на властите да предоставят апартамента и на нежеланието им да решат проблема в продължение на толкова дълъг период от време, Съдът намира за уместно да присъди на жалбоподателя 4 000 евро за неимуществени вреди.</w:t>
      </w:r>
    </w:p>
    <w:p w:rsidR="009B39CA" w:rsidRPr="003872E0" w:rsidRDefault="009B39CA" w:rsidP="009B39CA">
      <w:pPr>
        <w:pStyle w:val="ECHRHeading2"/>
      </w:pPr>
      <w:r>
        <w:rPr>
          <w:rStyle w:val="ECHRHeading2"/>
        </w:rPr>
        <w:t>Б. Разходи и разноски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39</w:t>
      </w:r>
      <w:r>
        <w:fldChar w:fldCharType="end"/>
      </w:r>
      <w:r>
        <w:rPr>
          <w:rStyle w:val="ECHRPara"/>
        </w:rPr>
        <w:t xml:space="preserve">.  Жалбоподателят претендира също 4231 български лева (BGN), равностойността на приблизително 2160 евро, за разходи и разноски, направени във връзка с </w:t>
      </w:r>
      <w:r w:rsidR="00D37D1E">
        <w:rPr>
          <w:rStyle w:val="ECHRPara"/>
        </w:rPr>
        <w:t xml:space="preserve">националното </w:t>
      </w:r>
      <w:r>
        <w:rPr>
          <w:rStyle w:val="ECHRPara"/>
        </w:rPr>
        <w:t xml:space="preserve">производство, с което той оспорва </w:t>
      </w:r>
      <w:r w:rsidRPr="00ED2271">
        <w:rPr>
          <w:rStyle w:val="ECHRPara"/>
        </w:rPr>
        <w:t>изваждането</w:t>
      </w:r>
      <w:r>
        <w:rPr>
          <w:rStyle w:val="ECHRPara"/>
        </w:rPr>
        <w:t xml:space="preserve"> си от апартамента, където той е бил временно настанен през 1990 г. (вж. параграф 12 по-горе).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40</w:t>
      </w:r>
      <w:r>
        <w:fldChar w:fldCharType="end"/>
      </w:r>
      <w:r>
        <w:rPr>
          <w:rStyle w:val="ECHRPara"/>
        </w:rPr>
        <w:t>.  За производството пред Съда жалбоподателят претендира 43</w:t>
      </w:r>
      <w:r w:rsidR="00AB2E4B">
        <w:rPr>
          <w:rStyle w:val="ECHRPara"/>
        </w:rPr>
        <w:t>,</w:t>
      </w:r>
      <w:r>
        <w:rPr>
          <w:rStyle w:val="ECHRPara"/>
        </w:rPr>
        <w:t>40 лева, равностойността на 22 евро, за пощенски разходи. В подкрепа на тази претенция той представя съответните касови бележки.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41</w:t>
      </w:r>
      <w:r>
        <w:fldChar w:fldCharType="end"/>
      </w:r>
      <w:r>
        <w:rPr>
          <w:rStyle w:val="ECHRPara"/>
        </w:rPr>
        <w:t>.  Правителството оспорва претенциите.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42</w:t>
      </w:r>
      <w:r>
        <w:fldChar w:fldCharType="end"/>
      </w:r>
      <w:r>
        <w:rPr>
          <w:rStyle w:val="ECHRPara"/>
        </w:rPr>
        <w:t xml:space="preserve">.  С оглед на документите и информацията, с която разполага, Съдът отхвърля претенцията за разходи и разноски във </w:t>
      </w:r>
      <w:r w:rsidR="00AB2E4B">
        <w:rPr>
          <w:rStyle w:val="ECHRPara"/>
        </w:rPr>
        <w:t xml:space="preserve">националното </w:t>
      </w:r>
      <w:r>
        <w:rPr>
          <w:rStyle w:val="ECHRPara"/>
        </w:rPr>
        <w:t xml:space="preserve">производство. Той отбелязва, че това производство се отнася за жилище, в което жалбоподателят не е живял по това време (вж. параграф 12 по-горе), което означава, че във въпросното производство той не </w:t>
      </w:r>
      <w:r w:rsidRPr="00ED2271">
        <w:rPr>
          <w:rStyle w:val="ECHRPara"/>
        </w:rPr>
        <w:t>се е опитвал да облекчи ситуацията, в която е поставен</w:t>
      </w:r>
      <w:r>
        <w:rPr>
          <w:rStyle w:val="ECHRPara"/>
        </w:rPr>
        <w:t xml:space="preserve"> в резултат на продължителното неизпълнение на задължението </w:t>
      </w:r>
      <w:r w:rsidR="00AB2E4B">
        <w:rPr>
          <w:rStyle w:val="ECHRPara"/>
        </w:rPr>
        <w:t xml:space="preserve">на </w:t>
      </w:r>
      <w:r>
        <w:rPr>
          <w:rStyle w:val="ECHRPara"/>
        </w:rPr>
        <w:t xml:space="preserve">властите да му предоставят полагащия му се апартамент, и следователно не е било с цел избягване на последствията от </w:t>
      </w:r>
      <w:r w:rsidRPr="00ED2271">
        <w:rPr>
          <w:rStyle w:val="ECHRPara"/>
        </w:rPr>
        <w:t>нарушението на правата му,</w:t>
      </w:r>
      <w:r>
        <w:rPr>
          <w:rStyle w:val="ECHRPara"/>
        </w:rPr>
        <w:t xml:space="preserve"> констатирано по настоящото дело.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43</w:t>
      </w:r>
      <w:r>
        <w:fldChar w:fldCharType="end"/>
      </w:r>
      <w:r>
        <w:rPr>
          <w:rStyle w:val="ECHRPara"/>
        </w:rPr>
        <w:t>.  От друга страна Съдът намира, че е оправдано да присъди разноските, направени в производството пред него, в размер на 22 евро (вж. параграф 40 по-горе).</w:t>
      </w:r>
    </w:p>
    <w:p w:rsidR="009B39CA" w:rsidRPr="003872E0" w:rsidRDefault="009B39CA" w:rsidP="009B39CA">
      <w:pPr>
        <w:pStyle w:val="ECHRHeading2"/>
      </w:pPr>
      <w:r>
        <w:rPr>
          <w:rStyle w:val="ECHRHeading2"/>
        </w:rPr>
        <w:lastRenderedPageBreak/>
        <w:t>В. Лихва за забава</w:t>
      </w:r>
    </w:p>
    <w:p w:rsidR="009B39CA" w:rsidRPr="003872E0" w:rsidRDefault="009B39CA" w:rsidP="009B39CA">
      <w:pPr>
        <w:pStyle w:val="ECHRPara"/>
      </w:pPr>
      <w:r>
        <w:fldChar w:fldCharType="begin"/>
      </w:r>
      <w:r>
        <w:rPr>
          <w:rStyle w:val="ECHRPara"/>
        </w:rPr>
        <w:instrText xml:space="preserve"> SEQ level0 \*arabic </w:instrText>
      </w:r>
      <w:r>
        <w:fldChar w:fldCharType="separate"/>
      </w:r>
      <w:r>
        <w:rPr>
          <w:rStyle w:val="ECHRPara"/>
        </w:rPr>
        <w:t>44</w:t>
      </w:r>
      <w:r>
        <w:fldChar w:fldCharType="end"/>
      </w:r>
      <w:r>
        <w:rPr>
          <w:rStyle w:val="ECHRPara"/>
        </w:rPr>
        <w:t>.  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9B39CA" w:rsidRPr="003872E0" w:rsidRDefault="009B39CA" w:rsidP="009B39CA">
      <w:pPr>
        <w:pStyle w:val="ECHRTitle1"/>
      </w:pPr>
      <w:r>
        <w:rPr>
          <w:rStyle w:val="ECHRTitle1"/>
        </w:rPr>
        <w:t>ПО ТЕЗИ СЪОБРАЖЕНИЯ СЪДЪТ ЕДИНОДУШНО</w:t>
      </w:r>
    </w:p>
    <w:p w:rsidR="009B39CA" w:rsidRPr="003872E0" w:rsidRDefault="009B39CA" w:rsidP="009B39CA">
      <w:pPr>
        <w:pStyle w:val="JuList"/>
      </w:pPr>
      <w:r>
        <w:rPr>
          <w:rStyle w:val="JuList"/>
        </w:rPr>
        <w:t>1.  </w:t>
      </w:r>
      <w:r>
        <w:rPr>
          <w:rStyle w:val="JuList"/>
          <w:i/>
        </w:rPr>
        <w:t>Обявява</w:t>
      </w:r>
      <w:r>
        <w:rPr>
          <w:rStyle w:val="JuList"/>
        </w:rPr>
        <w:t xml:space="preserve"> жалбата за допустима;</w:t>
      </w:r>
    </w:p>
    <w:p w:rsidR="009B39CA" w:rsidRPr="003872E0" w:rsidRDefault="009B39CA" w:rsidP="009B39CA">
      <w:pPr>
        <w:pStyle w:val="JuList"/>
        <w:ind w:left="0" w:firstLine="0"/>
      </w:pPr>
    </w:p>
    <w:p w:rsidR="009B39CA" w:rsidRPr="003872E0" w:rsidRDefault="009B39CA" w:rsidP="009B39CA">
      <w:pPr>
        <w:pStyle w:val="JuList"/>
      </w:pPr>
      <w:r>
        <w:rPr>
          <w:rStyle w:val="JuList"/>
        </w:rPr>
        <w:t>2.  </w:t>
      </w:r>
      <w:r>
        <w:rPr>
          <w:rStyle w:val="JuList"/>
          <w:i/>
        </w:rPr>
        <w:t>Приема</w:t>
      </w:r>
      <w:r>
        <w:rPr>
          <w:rStyle w:val="JuList"/>
        </w:rPr>
        <w:t xml:space="preserve">, че е налице нарушение на чл. 1 от Протокол </w:t>
      </w:r>
      <w:r>
        <w:rPr>
          <w:rStyle w:val="JuList"/>
          <w:cs/>
        </w:rPr>
        <w:t xml:space="preserve">№ </w:t>
      </w:r>
      <w:r>
        <w:rPr>
          <w:rStyle w:val="JuList"/>
        </w:rPr>
        <w:t>1;</w:t>
      </w:r>
    </w:p>
    <w:p w:rsidR="009B39CA" w:rsidRPr="003872E0" w:rsidRDefault="009B39CA" w:rsidP="009B39CA">
      <w:pPr>
        <w:pStyle w:val="JuList"/>
      </w:pPr>
    </w:p>
    <w:p w:rsidR="009B39CA" w:rsidRPr="003872E0" w:rsidRDefault="009B39CA" w:rsidP="009B39CA">
      <w:pPr>
        <w:pStyle w:val="JuList"/>
      </w:pPr>
      <w:r>
        <w:rPr>
          <w:rStyle w:val="JuList"/>
        </w:rPr>
        <w:t>3.  </w:t>
      </w:r>
      <w:r>
        <w:rPr>
          <w:rStyle w:val="JuList"/>
          <w:i/>
        </w:rPr>
        <w:t>Приема</w:t>
      </w:r>
      <w:r>
        <w:rPr>
          <w:rStyle w:val="JuList"/>
        </w:rPr>
        <w:t xml:space="preserve">, че </w:t>
      </w:r>
      <w:r w:rsidR="004F23B1">
        <w:rPr>
          <w:rStyle w:val="JuList"/>
        </w:rPr>
        <w:t>държавата - ответник</w:t>
      </w:r>
      <w:r>
        <w:rPr>
          <w:rStyle w:val="JuList"/>
        </w:rPr>
        <w:t xml:space="preserve"> трябва да предостави на жалбоподателя в срок от три месеца собствеността и владението на апартамент, равностоен на този, който е определен за него в решението от 25 март 1987 г.</w:t>
      </w:r>
    </w:p>
    <w:p w:rsidR="009B39CA" w:rsidRPr="003872E0" w:rsidRDefault="009B39CA" w:rsidP="009B39CA">
      <w:pPr>
        <w:pStyle w:val="JuList"/>
      </w:pPr>
    </w:p>
    <w:p w:rsidR="009B39CA" w:rsidRPr="003872E0" w:rsidRDefault="009B39CA" w:rsidP="009B39CA">
      <w:pPr>
        <w:pStyle w:val="JuList"/>
      </w:pPr>
      <w:r>
        <w:rPr>
          <w:rStyle w:val="JuList"/>
        </w:rPr>
        <w:t>4.  </w:t>
      </w:r>
      <w:r>
        <w:rPr>
          <w:rStyle w:val="JuList"/>
          <w:i/>
        </w:rPr>
        <w:t>Приема</w:t>
      </w:r>
      <w:r>
        <w:rPr>
          <w:rStyle w:val="JuList"/>
        </w:rPr>
        <w:t xml:space="preserve">, че ако това не бъде направено, </w:t>
      </w:r>
      <w:r w:rsidR="004F23B1">
        <w:rPr>
          <w:rStyle w:val="JuList"/>
        </w:rPr>
        <w:t>държавата - ответник</w:t>
      </w:r>
      <w:r>
        <w:rPr>
          <w:rStyle w:val="JuList"/>
        </w:rPr>
        <w:t xml:space="preserve"> трябва да заплати на жалбоподателя в рамките на същия период от три месеца 82 000 евро (осемдесет и две хиляди евро);</w:t>
      </w:r>
    </w:p>
    <w:p w:rsidR="009B39CA" w:rsidRPr="003872E0" w:rsidRDefault="009B39CA" w:rsidP="009B39CA">
      <w:pPr>
        <w:pStyle w:val="JuList"/>
      </w:pPr>
    </w:p>
    <w:p w:rsidR="009B39CA" w:rsidRPr="003872E0" w:rsidRDefault="009B39CA" w:rsidP="009B39CA">
      <w:pPr>
        <w:pStyle w:val="JuList"/>
      </w:pPr>
      <w:r>
        <w:rPr>
          <w:rStyle w:val="JuList"/>
        </w:rPr>
        <w:t>5.  </w:t>
      </w:r>
      <w:r>
        <w:rPr>
          <w:rStyle w:val="JuList"/>
          <w:i/>
        </w:rPr>
        <w:t xml:space="preserve">Приема, </w:t>
      </w:r>
      <w:r>
        <w:rPr>
          <w:rStyle w:val="JuList"/>
        </w:rPr>
        <w:t xml:space="preserve">че </w:t>
      </w:r>
      <w:r w:rsidR="00D37D1E" w:rsidRPr="00D37D1E">
        <w:rPr>
          <w:rStyle w:val="JuList"/>
        </w:rPr>
        <w:t xml:space="preserve">държавата-ответник </w:t>
      </w:r>
      <w:r>
        <w:rPr>
          <w:rStyle w:val="JuList"/>
        </w:rPr>
        <w:t xml:space="preserve">трябва освен това да заплати на жалбоподателя в срок от три месеца следните суми, които се </w:t>
      </w:r>
      <w:r w:rsidR="00D37D1E" w:rsidRPr="00D37D1E">
        <w:rPr>
          <w:rStyle w:val="JuList"/>
        </w:rPr>
        <w:t xml:space="preserve">конвертират </w:t>
      </w:r>
      <w:r>
        <w:rPr>
          <w:rStyle w:val="JuList"/>
        </w:rPr>
        <w:t>в български лева по курса</w:t>
      </w:r>
      <w:r w:rsidR="00D37D1E">
        <w:rPr>
          <w:rStyle w:val="JuList"/>
        </w:rPr>
        <w:t>, валиден</w:t>
      </w:r>
      <w:r>
        <w:rPr>
          <w:rStyle w:val="JuList"/>
        </w:rPr>
        <w:t xml:space="preserve"> към датата на плащането:</w:t>
      </w:r>
    </w:p>
    <w:p w:rsidR="009B39CA" w:rsidRPr="003872E0" w:rsidRDefault="009B39CA" w:rsidP="009B39CA">
      <w:pPr>
        <w:pStyle w:val="JuListi"/>
      </w:pPr>
      <w:r>
        <w:rPr>
          <w:rStyle w:val="JuListi"/>
        </w:rPr>
        <w:t>(i) 10 000 евро (десет хиляди евро), плюс всякакви данъци, които биха могли да се начислят по отношение на имуществени вреди;</w:t>
      </w:r>
    </w:p>
    <w:p w:rsidR="009B39CA" w:rsidRPr="003872E0" w:rsidRDefault="009B39CA" w:rsidP="009B39CA">
      <w:pPr>
        <w:pStyle w:val="JuListi"/>
      </w:pPr>
      <w:r>
        <w:rPr>
          <w:rStyle w:val="JuListi"/>
        </w:rPr>
        <w:t>(ii) 4 000 евро (четири хиляди евро), плюс всякакви данъци, които биха могли да се начислят по отношение на неимуществени вреди;</w:t>
      </w:r>
    </w:p>
    <w:p w:rsidR="009B39CA" w:rsidRPr="003872E0" w:rsidRDefault="009B39CA" w:rsidP="009B39CA">
      <w:pPr>
        <w:pStyle w:val="JuListi"/>
      </w:pPr>
      <w:r>
        <w:rPr>
          <w:rStyle w:val="JuListi"/>
        </w:rPr>
        <w:t>(iii) 22 евро (двадесет и две евро), плюс всякакви данъци, които биха могли да се начислят на жалбоподателя, по отношение на разходи и разноски;</w:t>
      </w:r>
    </w:p>
    <w:p w:rsidR="009B39CA" w:rsidRPr="003872E0" w:rsidRDefault="009B39CA" w:rsidP="009B39CA">
      <w:pPr>
        <w:pStyle w:val="JuLista"/>
      </w:pPr>
    </w:p>
    <w:p w:rsidR="009B39CA" w:rsidRPr="003872E0" w:rsidRDefault="009B39CA" w:rsidP="009B39CA">
      <w:pPr>
        <w:pStyle w:val="JuList"/>
      </w:pPr>
      <w:r>
        <w:rPr>
          <w:rStyle w:val="JuList"/>
        </w:rPr>
        <w:t>6.  </w:t>
      </w:r>
      <w:r w:rsidRPr="00ED2271">
        <w:rPr>
          <w:rStyle w:val="JuList"/>
          <w:i/>
        </w:rPr>
        <w:t>Приема</w:t>
      </w:r>
      <w:r>
        <w:rPr>
          <w:rStyle w:val="JuList"/>
          <w:i/>
        </w:rPr>
        <w:t>,</w:t>
      </w:r>
      <w:r>
        <w:rPr>
          <w:rStyle w:val="JuList"/>
        </w:rPr>
        <w:t xml:space="preserve"> че от изтичането на </w:t>
      </w:r>
      <w:r w:rsidR="008B05E1" w:rsidRPr="008B05E1">
        <w:rPr>
          <w:rStyle w:val="JuList"/>
        </w:rPr>
        <w:t xml:space="preserve">гореспоменатия </w:t>
      </w:r>
      <w:r>
        <w:rPr>
          <w:rStyle w:val="JuList"/>
        </w:rPr>
        <w:t xml:space="preserve">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8B05E1">
        <w:rPr>
          <w:rStyle w:val="JuList"/>
        </w:rPr>
        <w:t>за срока</w:t>
      </w:r>
      <w:r>
        <w:rPr>
          <w:rStyle w:val="JuList"/>
        </w:rPr>
        <w:t xml:space="preserve"> на забава, към която се добавят три процентни пункта;</w:t>
      </w:r>
    </w:p>
    <w:p w:rsidR="009B39CA" w:rsidRPr="003872E0" w:rsidRDefault="009B39CA" w:rsidP="009B39CA">
      <w:pPr>
        <w:pStyle w:val="JuList"/>
      </w:pPr>
    </w:p>
    <w:p w:rsidR="009B39CA" w:rsidRPr="003872E0" w:rsidRDefault="009B39CA" w:rsidP="009B39CA">
      <w:pPr>
        <w:pStyle w:val="JuList"/>
      </w:pPr>
      <w:r>
        <w:rPr>
          <w:rStyle w:val="JuList"/>
        </w:rPr>
        <w:t>7.  </w:t>
      </w:r>
      <w:r>
        <w:rPr>
          <w:rStyle w:val="JuList"/>
          <w:i/>
        </w:rPr>
        <w:t>Отхвърля</w:t>
      </w:r>
      <w:r>
        <w:rPr>
          <w:rStyle w:val="JuList"/>
        </w:rPr>
        <w:t xml:space="preserve"> останалата част от иска на жалбоподателя за справедливо обезщетение.</w:t>
      </w:r>
    </w:p>
    <w:p w:rsidR="009B39CA" w:rsidRDefault="009B39CA" w:rsidP="009B39CA">
      <w:pPr>
        <w:pStyle w:val="JuParaLast"/>
        <w:rPr>
          <w:rStyle w:val="JuParaLast"/>
        </w:rPr>
      </w:pPr>
      <w:r>
        <w:rPr>
          <w:rStyle w:val="JuParaLast"/>
        </w:rPr>
        <w:lastRenderedPageBreak/>
        <w:t xml:space="preserve">Изготвено на английски език и оповестено писмено на 16 март 2017 г. в съответствие с </w:t>
      </w:r>
      <w:r w:rsidR="008B05E1">
        <w:rPr>
          <w:rStyle w:val="JuParaLast"/>
        </w:rPr>
        <w:t>п</w:t>
      </w:r>
      <w:r>
        <w:rPr>
          <w:rStyle w:val="JuParaLast"/>
        </w:rPr>
        <w:t>равило 77 §§ 2 и 16 от Правилника на Съда.</w:t>
      </w:r>
    </w:p>
    <w:p w:rsidR="008B05E1" w:rsidRDefault="008B05E1" w:rsidP="00ED2271">
      <w:pPr>
        <w:pStyle w:val="ECHRPara"/>
      </w:pPr>
    </w:p>
    <w:p w:rsidR="008B05E1" w:rsidRPr="00ED2271" w:rsidRDefault="008B05E1" w:rsidP="00ED2271">
      <w:pPr>
        <w:pStyle w:val="ECHRPara"/>
      </w:pPr>
    </w:p>
    <w:p w:rsidR="008B05E1" w:rsidRDefault="009B39CA" w:rsidP="00ED2271">
      <w:pPr>
        <w:pStyle w:val="JuSigned"/>
        <w:tabs>
          <w:tab w:val="clear" w:pos="851"/>
          <w:tab w:val="center" w:pos="1418"/>
        </w:tabs>
        <w:spacing w:before="0"/>
        <w:ind w:left="-630"/>
        <w:rPr>
          <w:rStyle w:val="JuSigned"/>
        </w:rPr>
      </w:pPr>
      <w:r>
        <w:rPr>
          <w:rStyle w:val="JuSigned"/>
          <w:color w:val="000000"/>
        </w:rPr>
        <w:t xml:space="preserve">Ан-Мари </w:t>
      </w:r>
      <w:proofErr w:type="spellStart"/>
      <w:r>
        <w:rPr>
          <w:rStyle w:val="JuSigned"/>
          <w:color w:val="000000"/>
        </w:rPr>
        <w:t>Дуген</w:t>
      </w:r>
      <w:proofErr w:type="spellEnd"/>
      <w:r>
        <w:rPr>
          <w:rStyle w:val="JuSigned"/>
          <w:color w:val="000000"/>
        </w:rPr>
        <w:t xml:space="preserve"> </w:t>
      </w:r>
      <w:r w:rsidR="008B05E1">
        <w:rPr>
          <w:rStyle w:val="JuSigned"/>
          <w:color w:val="000000"/>
        </w:rPr>
        <w:tab/>
      </w:r>
      <w:r>
        <w:rPr>
          <w:rStyle w:val="JuSigned"/>
          <w:color w:val="000000"/>
        </w:rPr>
        <w:tab/>
      </w:r>
      <w:proofErr w:type="spellStart"/>
      <w:r>
        <w:rPr>
          <w:rStyle w:val="JuSigned"/>
          <w:color w:val="000000"/>
        </w:rPr>
        <w:t>Фарис</w:t>
      </w:r>
      <w:proofErr w:type="spellEnd"/>
      <w:r>
        <w:rPr>
          <w:rStyle w:val="JuSigned"/>
          <w:color w:val="000000"/>
        </w:rPr>
        <w:t xml:space="preserve"> </w:t>
      </w:r>
      <w:proofErr w:type="spellStart"/>
      <w:r>
        <w:rPr>
          <w:rStyle w:val="JuSigned"/>
          <w:color w:val="000000"/>
        </w:rPr>
        <w:t>Вехабович</w:t>
      </w:r>
      <w:proofErr w:type="spellEnd"/>
      <w:r>
        <w:rPr>
          <w:rStyle w:val="JuSigned"/>
          <w:color w:val="000000"/>
        </w:rPr>
        <w:t xml:space="preserve"> </w:t>
      </w:r>
    </w:p>
    <w:p w:rsidR="009B39CA" w:rsidRPr="003872E0" w:rsidRDefault="009B39CA" w:rsidP="00ED2271">
      <w:pPr>
        <w:pStyle w:val="JuSigned"/>
        <w:tabs>
          <w:tab w:val="clear" w:pos="851"/>
          <w:tab w:val="center" w:pos="1418"/>
        </w:tabs>
        <w:spacing w:before="0"/>
        <w:ind w:left="-630"/>
      </w:pPr>
      <w:r>
        <w:rPr>
          <w:rStyle w:val="JuSigned"/>
        </w:rPr>
        <w:t xml:space="preserve"> </w:t>
      </w:r>
      <w:r w:rsidR="008B05E1">
        <w:rPr>
          <w:rStyle w:val="JuSigned"/>
        </w:rPr>
        <w:t>з</w:t>
      </w:r>
      <w:r>
        <w:rPr>
          <w:rStyle w:val="JuSigned"/>
        </w:rPr>
        <w:t>аместник-секретар</w:t>
      </w:r>
      <w:r>
        <w:rPr>
          <w:rStyle w:val="JuSigned"/>
        </w:rPr>
        <w:tab/>
      </w:r>
      <w:r w:rsidR="008B05E1">
        <w:rPr>
          <w:rStyle w:val="JuSigned"/>
        </w:rPr>
        <w:t>председател</w:t>
      </w:r>
    </w:p>
    <w:p w:rsidR="009B39CA" w:rsidRPr="003872E0" w:rsidRDefault="009B39CA" w:rsidP="009B39CA">
      <w:pPr>
        <w:pStyle w:val="JuParaLast"/>
      </w:pPr>
    </w:p>
    <w:sectPr w:rsidR="009B39CA" w:rsidRPr="003872E0" w:rsidSect="00ED2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B6" w:rsidRPr="00535BB8" w:rsidRDefault="00DD6AB6" w:rsidP="009B39CA">
      <w:r>
        <w:separator/>
      </w:r>
    </w:p>
  </w:endnote>
  <w:endnote w:type="continuationSeparator" w:id="0">
    <w:p w:rsidR="00DD6AB6" w:rsidRPr="00535BB8" w:rsidRDefault="00DD6AB6" w:rsidP="009B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D6" w:rsidRDefault="005B5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D6" w:rsidRDefault="005B5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CA" w:rsidRPr="004F4368" w:rsidRDefault="00FD4998" w:rsidP="009B39CA">
    <w:pPr>
      <w:pStyle w:val="Footer"/>
      <w:jc w:val="center"/>
    </w:pPr>
    <w:r>
      <w:rPr>
        <w:noProof/>
        <w:lang w:val="en-US" w:eastAsia="en-US"/>
      </w:rPr>
      <w:drawing>
        <wp:inline distT="0" distB="0" distL="0" distR="0">
          <wp:extent cx="771525" cy="619125"/>
          <wp:effectExtent l="0" t="0" r="0" b="0"/>
          <wp:docPr id="2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9CA" w:rsidRDefault="009B3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B6" w:rsidRPr="00535BB8" w:rsidRDefault="00DD6AB6" w:rsidP="009B39CA">
      <w:r>
        <w:separator/>
      </w:r>
    </w:p>
  </w:footnote>
  <w:footnote w:type="continuationSeparator" w:id="0">
    <w:p w:rsidR="00DD6AB6" w:rsidRPr="00535BB8" w:rsidRDefault="00DD6AB6" w:rsidP="009B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CA" w:rsidRPr="003A441D" w:rsidRDefault="009B39CA" w:rsidP="009B39CA">
    <w:pPr>
      <w:pStyle w:val="ECHRHeader"/>
    </w:pPr>
    <w:r w:rsidRPr="00F14C09">
      <w:rPr>
        <w:rStyle w:val="PageNumber"/>
      </w:rPr>
      <w:fldChar w:fldCharType="begin"/>
    </w:r>
    <w:r w:rsidRPr="00F14C09">
      <w:rPr>
        <w:rStyle w:val="PageNumber"/>
      </w:rPr>
      <w:instrText xml:space="preserve"> PAGE </w:instrText>
    </w:r>
    <w:r w:rsidRPr="00F14C09">
      <w:rPr>
        <w:rStyle w:val="PageNumber"/>
      </w:rPr>
      <w:fldChar w:fldCharType="separate"/>
    </w:r>
    <w:r w:rsidR="005B53D6">
      <w:rPr>
        <w:rStyle w:val="PageNumber"/>
        <w:noProof/>
      </w:rPr>
      <w:t>8</w:t>
    </w:r>
    <w:r w:rsidRPr="00F14C09">
      <w:rPr>
        <w:rStyle w:val="PageNumber"/>
      </w:rPr>
      <w:fldChar w:fldCharType="end"/>
    </w:r>
    <w:r w:rsidRPr="00F14C09">
      <w:rPr>
        <w:rStyle w:val="ECHRHeader"/>
      </w:rPr>
      <w:tab/>
      <w:t xml:space="preserve">РЕШЕНИЕ </w:t>
    </w:r>
    <w:r w:rsidR="006F3578" w:rsidRPr="00ED2271">
      <w:rPr>
        <w:rStyle w:val="ECHRHeader"/>
      </w:rPr>
      <w:t xml:space="preserve">КОСТОВ </w:t>
    </w:r>
    <w:r w:rsidRPr="00ED2271">
      <w:rPr>
        <w:rStyle w:val="ECHRHeader"/>
      </w:rPr>
      <w:t>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CA" w:rsidRPr="003A441D" w:rsidRDefault="009B39CA" w:rsidP="009B39CA">
    <w:pPr>
      <w:pStyle w:val="ECHRHeader"/>
    </w:pPr>
    <w:r>
      <w:rPr>
        <w:rStyle w:val="ECHRHeader"/>
      </w:rPr>
      <w:tab/>
    </w:r>
    <w:r>
      <w:rPr>
        <w:rStyle w:val="ECHRHeader"/>
      </w:rPr>
      <w:t xml:space="preserve">РЕШЕНИЕ </w:t>
    </w:r>
    <w:r w:rsidR="00F14C09">
      <w:rPr>
        <w:rStyle w:val="ECHRHeader"/>
      </w:rPr>
      <w:t xml:space="preserve">КОСТОВ </w:t>
    </w:r>
    <w:r>
      <w:rPr>
        <w:rStyle w:val="ECHRHeader"/>
      </w:rPr>
      <w:t>СРЕЩУ БЪЛГАРИЯ</w:t>
    </w:r>
    <w:r>
      <w:rPr>
        <w:rStyle w:val="ECHRHead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53D6">
      <w:rPr>
        <w:rStyle w:val="PageNumber"/>
        <w:noProof/>
      </w:rPr>
      <w:t>9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CA" w:rsidRDefault="00FD4998" w:rsidP="009B39CA">
    <w:pPr>
      <w:pStyle w:val="Header"/>
      <w:tabs>
        <w:tab w:val="clear" w:pos="4536"/>
      </w:tabs>
      <w:ind w:right="-155"/>
      <w:jc w:val="center"/>
    </w:pPr>
    <w:r>
      <w:rPr>
        <w:noProof/>
        <w:lang w:val="en-US" w:eastAsia="en-US"/>
      </w:rPr>
      <w:drawing>
        <wp:inline distT="0" distB="0" distL="0" distR="0">
          <wp:extent cx="2962275" cy="12192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7B4F07"/>
    <w:rsid w:val="00043E50"/>
    <w:rsid w:val="00074906"/>
    <w:rsid w:val="00087448"/>
    <w:rsid w:val="00094628"/>
    <w:rsid w:val="000B2D86"/>
    <w:rsid w:val="00112902"/>
    <w:rsid w:val="00122F8D"/>
    <w:rsid w:val="00150BE1"/>
    <w:rsid w:val="002C4744"/>
    <w:rsid w:val="00381286"/>
    <w:rsid w:val="003925AA"/>
    <w:rsid w:val="003F2A2F"/>
    <w:rsid w:val="0047493D"/>
    <w:rsid w:val="00483490"/>
    <w:rsid w:val="00495569"/>
    <w:rsid w:val="004F23B1"/>
    <w:rsid w:val="004F6F6D"/>
    <w:rsid w:val="00550A1C"/>
    <w:rsid w:val="005678EF"/>
    <w:rsid w:val="005978EF"/>
    <w:rsid w:val="005B53D6"/>
    <w:rsid w:val="005D161F"/>
    <w:rsid w:val="00644C0F"/>
    <w:rsid w:val="0065694F"/>
    <w:rsid w:val="006A2B7B"/>
    <w:rsid w:val="006D2AD3"/>
    <w:rsid w:val="006F3578"/>
    <w:rsid w:val="00737B4B"/>
    <w:rsid w:val="0077069F"/>
    <w:rsid w:val="007A6227"/>
    <w:rsid w:val="007C300C"/>
    <w:rsid w:val="008135E1"/>
    <w:rsid w:val="008460A7"/>
    <w:rsid w:val="008A08F4"/>
    <w:rsid w:val="008A103D"/>
    <w:rsid w:val="008B05E1"/>
    <w:rsid w:val="008E67C6"/>
    <w:rsid w:val="008F5CFA"/>
    <w:rsid w:val="009064A8"/>
    <w:rsid w:val="009135FC"/>
    <w:rsid w:val="00951118"/>
    <w:rsid w:val="00951AD0"/>
    <w:rsid w:val="00982EE6"/>
    <w:rsid w:val="009B0DDA"/>
    <w:rsid w:val="009B39CA"/>
    <w:rsid w:val="009B4E1E"/>
    <w:rsid w:val="009B6B32"/>
    <w:rsid w:val="009D1B96"/>
    <w:rsid w:val="009F503A"/>
    <w:rsid w:val="00A321C2"/>
    <w:rsid w:val="00A53F63"/>
    <w:rsid w:val="00A80F8D"/>
    <w:rsid w:val="00AB2E4B"/>
    <w:rsid w:val="00AF41C6"/>
    <w:rsid w:val="00BE7976"/>
    <w:rsid w:val="00C50B13"/>
    <w:rsid w:val="00CD2E72"/>
    <w:rsid w:val="00D07614"/>
    <w:rsid w:val="00D154C5"/>
    <w:rsid w:val="00D32974"/>
    <w:rsid w:val="00D37D1E"/>
    <w:rsid w:val="00D46AE2"/>
    <w:rsid w:val="00D9782D"/>
    <w:rsid w:val="00DD6AB6"/>
    <w:rsid w:val="00E66891"/>
    <w:rsid w:val="00E94EDB"/>
    <w:rsid w:val="00E95654"/>
    <w:rsid w:val="00EA01A1"/>
    <w:rsid w:val="00ED2271"/>
    <w:rsid w:val="00EF3753"/>
    <w:rsid w:val="00F14C09"/>
    <w:rsid w:val="00F172B6"/>
    <w:rsid w:val="00F20A52"/>
    <w:rsid w:val="00F63EE2"/>
    <w:rsid w:val="00FA3B1A"/>
    <w:rsid w:val="00F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00067"/>
    <w:pPr>
      <w:jc w:val="both"/>
    </w:pPr>
    <w:rPr>
      <w:rFonts w:eastAsia="MS Mincho"/>
      <w:sz w:val="24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000067"/>
    <w:pPr>
      <w:spacing w:before="480"/>
      <w:contextualSpacing/>
      <w:outlineLvl w:val="0"/>
    </w:pPr>
    <w:rPr>
      <w:rFonts w:eastAsia="MS Gothic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00067"/>
    <w:pPr>
      <w:spacing w:before="200"/>
      <w:outlineLvl w:val="1"/>
    </w:pPr>
    <w:rPr>
      <w:rFonts w:eastAsia="MS Gothic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00067"/>
    <w:pPr>
      <w:spacing w:before="200" w:line="271" w:lineRule="auto"/>
      <w:outlineLvl w:val="2"/>
    </w:pPr>
    <w:rPr>
      <w:rFonts w:eastAsia="MS Gothic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00067"/>
    <w:pPr>
      <w:spacing w:before="200"/>
      <w:outlineLvl w:val="3"/>
    </w:pPr>
    <w:rPr>
      <w:rFonts w:eastAsia="MS Gothic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000067"/>
    <w:pPr>
      <w:spacing w:before="200"/>
      <w:outlineLvl w:val="4"/>
    </w:pPr>
    <w:rPr>
      <w:rFonts w:eastAsia="MS Gothic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000067"/>
    <w:pPr>
      <w:spacing w:line="271" w:lineRule="auto"/>
      <w:outlineLvl w:val="5"/>
    </w:pPr>
    <w:rPr>
      <w:rFonts w:eastAsia="MS Gothic"/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00067"/>
    <w:pPr>
      <w:outlineLvl w:val="6"/>
    </w:pPr>
    <w:rPr>
      <w:rFonts w:eastAsia="MS Gothic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00067"/>
    <w:pPr>
      <w:outlineLvl w:val="7"/>
    </w:pPr>
    <w:rPr>
      <w:rFonts w:eastAsia="MS Gothic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00067"/>
    <w:pPr>
      <w:outlineLvl w:val="8"/>
    </w:pPr>
    <w:rPr>
      <w:rFonts w:eastAsia="MS Gothic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0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067"/>
    <w:rPr>
      <w:rFonts w:ascii="Tahoma" w:eastAsia="MS Mincho" w:hAnsi="Tahoma" w:cs="Tahoma"/>
      <w:sz w:val="16"/>
      <w:szCs w:val="16"/>
      <w:lang w:val="bg-BG" w:eastAsia="bg-BG"/>
    </w:rPr>
  </w:style>
  <w:style w:type="character" w:styleId="BookTitle">
    <w:name w:val="Book Title"/>
    <w:uiPriority w:val="99"/>
    <w:semiHidden/>
    <w:qFormat/>
    <w:rsid w:val="00000067"/>
    <w:rPr>
      <w:i/>
      <w:iCs/>
      <w:smallCaps/>
      <w:spacing w:val="5"/>
      <w:lang w:val="bg-BG" w:eastAsia="bg-BG"/>
    </w:rPr>
  </w:style>
  <w:style w:type="paragraph" w:customStyle="1" w:styleId="ECHRHeader">
    <w:name w:val="ECHR_Header"/>
    <w:aliases w:val="Ju_Header"/>
    <w:basedOn w:val="Header"/>
    <w:uiPriority w:val="4"/>
    <w:qFormat/>
    <w:rsid w:val="00000067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000067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000067"/>
    <w:rPr>
      <w:b/>
      <w:bCs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000067"/>
  </w:style>
  <w:style w:type="character" w:customStyle="1" w:styleId="NoSpacingChar">
    <w:name w:val="No Spacing Char"/>
    <w:link w:val="NoSpacing"/>
    <w:semiHidden/>
    <w:rsid w:val="00000067"/>
    <w:rPr>
      <w:rFonts w:eastAsia="MS Mincho"/>
      <w:sz w:val="24"/>
      <w:lang w:val="bg-BG" w:eastAsia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000067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5"/>
    <w:qFormat/>
    <w:rsid w:val="00000067"/>
    <w:pPr>
      <w:numPr>
        <w:numId w:val="15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000067"/>
  </w:style>
  <w:style w:type="paragraph" w:customStyle="1" w:styleId="JuParaSub">
    <w:name w:val="Ju_Para_Sub"/>
    <w:basedOn w:val="ECHRPara"/>
    <w:uiPriority w:val="13"/>
    <w:unhideWhenUsed/>
    <w:qFormat/>
    <w:rsid w:val="00000067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000067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000067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OpiParaSub">
    <w:name w:val="Opi_Para_Sub"/>
    <w:basedOn w:val="JuParaSub"/>
    <w:uiPriority w:val="47"/>
    <w:unhideWhenUsed/>
    <w:qFormat/>
    <w:rsid w:val="00000067"/>
  </w:style>
  <w:style w:type="paragraph" w:customStyle="1" w:styleId="OpiQuot">
    <w:name w:val="Opi_Quot"/>
    <w:basedOn w:val="ECHRParaQuote"/>
    <w:uiPriority w:val="48"/>
    <w:qFormat/>
    <w:rsid w:val="00000067"/>
  </w:style>
  <w:style w:type="paragraph" w:customStyle="1" w:styleId="OpiQuotSub">
    <w:name w:val="Opi_Quot_Sub"/>
    <w:basedOn w:val="JuQuotSub"/>
    <w:uiPriority w:val="49"/>
    <w:qFormat/>
    <w:rsid w:val="00000067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000067"/>
    <w:pPr>
      <w:spacing w:after="240"/>
      <w:jc w:val="center"/>
      <w:outlineLvl w:val="0"/>
    </w:pPr>
    <w:rPr>
      <w:i/>
    </w:rPr>
  </w:style>
  <w:style w:type="paragraph" w:customStyle="1" w:styleId="JuTitle">
    <w:name w:val="Ju_Title"/>
    <w:basedOn w:val="Normal"/>
    <w:next w:val="ECHRPara"/>
    <w:uiPriority w:val="3"/>
    <w:qFormat/>
    <w:rsid w:val="00000067"/>
    <w:pPr>
      <w:spacing w:before="720" w:after="240"/>
      <w:jc w:val="center"/>
      <w:outlineLvl w:val="0"/>
    </w:pPr>
    <w:rPr>
      <w:b/>
      <w:caps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000067"/>
    <w:pPr>
      <w:pBdr>
        <w:bottom w:val="single" w:sz="4" w:space="1" w:color="auto"/>
      </w:pBdr>
      <w:contextualSpacing/>
    </w:pPr>
    <w:rPr>
      <w:rFonts w:eastAsia="MS Gothic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000067"/>
    <w:rPr>
      <w:rFonts w:ascii="Times New Roman" w:eastAsia="MS Gothic" w:hAnsi="Times New Roman" w:cs="Times New Roman"/>
      <w:spacing w:val="5"/>
      <w:sz w:val="52"/>
      <w:szCs w:val="52"/>
      <w:lang w:val="bg-BG" w:eastAsia="bg-BG"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000067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000067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000067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000067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000000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000067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15"/>
    <w:qFormat/>
    <w:rsid w:val="00000067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000067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000067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57"/>
    <w:semiHidden/>
    <w:rsid w:val="0000006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link w:val="Header"/>
    <w:uiPriority w:val="57"/>
    <w:semiHidden/>
    <w:rsid w:val="00000067"/>
    <w:rPr>
      <w:sz w:val="24"/>
      <w:lang w:val="bg-BG" w:eastAsia="bg-BG"/>
    </w:rPr>
  </w:style>
  <w:style w:type="character" w:customStyle="1" w:styleId="Heading1Char">
    <w:name w:val="Heading 1 Char"/>
    <w:link w:val="Heading1"/>
    <w:uiPriority w:val="99"/>
    <w:semiHidden/>
    <w:rsid w:val="00000067"/>
    <w:rPr>
      <w:rFonts w:ascii="Times New Roman" w:eastAsia="MS Gothic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000067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000067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Heading2Char">
    <w:name w:val="Heading 2 Char"/>
    <w:link w:val="Heading2"/>
    <w:uiPriority w:val="99"/>
    <w:semiHidden/>
    <w:rsid w:val="00000067"/>
    <w:rPr>
      <w:rFonts w:ascii="Times New Roman" w:eastAsia="MS Gothic" w:hAnsi="Times New Roman" w:cs="Times New Roman"/>
      <w:b/>
      <w:bCs/>
      <w:color w:val="4D4D4D"/>
      <w:sz w:val="26"/>
      <w:szCs w:val="26"/>
      <w:lang w:val="bg-BG" w:eastAsia="bg-BG"/>
    </w:rPr>
  </w:style>
  <w:style w:type="character" w:customStyle="1" w:styleId="JUNAMES">
    <w:name w:val="JU_NAMES"/>
    <w:uiPriority w:val="17"/>
    <w:qFormat/>
    <w:rsid w:val="00000067"/>
    <w:rPr>
      <w:smallCaps/>
      <w:lang w:val="bg-BG" w:eastAsia="bg-BG"/>
    </w:rPr>
  </w:style>
  <w:style w:type="paragraph" w:customStyle="1" w:styleId="JuCase">
    <w:name w:val="Ju_Case"/>
    <w:basedOn w:val="Normal"/>
    <w:next w:val="ECHRPara"/>
    <w:uiPriority w:val="10"/>
    <w:rsid w:val="00000067"/>
    <w:pPr>
      <w:ind w:firstLine="284"/>
    </w:pPr>
    <w:rPr>
      <w:b/>
    </w:rPr>
  </w:style>
  <w:style w:type="character" w:customStyle="1" w:styleId="Heading3Char">
    <w:name w:val="Heading 3 Char"/>
    <w:link w:val="Heading3"/>
    <w:uiPriority w:val="99"/>
    <w:semiHidden/>
    <w:rsid w:val="00000067"/>
    <w:rPr>
      <w:rFonts w:ascii="Times New Roman" w:eastAsia="MS Gothic" w:hAnsi="Times New Roman" w:cs="Times New Roman"/>
      <w:b/>
      <w:bCs/>
      <w:color w:val="5F5F5F"/>
      <w:sz w:val="24"/>
      <w:lang w:val="bg-BG" w:eastAsia="bg-BG"/>
    </w:rPr>
  </w:style>
  <w:style w:type="character" w:customStyle="1" w:styleId="Heading4Char">
    <w:name w:val="Heading 4 Char"/>
    <w:link w:val="Heading4"/>
    <w:uiPriority w:val="99"/>
    <w:semiHidden/>
    <w:rsid w:val="00000067"/>
    <w:rPr>
      <w:rFonts w:ascii="Times New Roman" w:eastAsia="MS Gothic" w:hAnsi="Times New Roman" w:cs="Times New Roman"/>
      <w:b/>
      <w:bCs/>
      <w:i/>
      <w:iCs/>
      <w:color w:val="777777"/>
      <w:sz w:val="24"/>
      <w:lang w:val="bg-BG" w:eastAsia="bg-BG"/>
    </w:rPr>
  </w:style>
  <w:style w:type="character" w:customStyle="1" w:styleId="Heading5Char">
    <w:name w:val="Heading 5 Char"/>
    <w:link w:val="Heading5"/>
    <w:uiPriority w:val="99"/>
    <w:semiHidden/>
    <w:rsid w:val="00000067"/>
    <w:rPr>
      <w:rFonts w:ascii="Times New Roman" w:eastAsia="MS Gothic" w:hAnsi="Times New Roman" w:cs="Times New Roman"/>
      <w:b/>
      <w:bCs/>
      <w:color w:val="808080"/>
      <w:sz w:val="24"/>
      <w:lang w:val="bg-BG" w:eastAsia="bg-BG"/>
    </w:rPr>
  </w:style>
  <w:style w:type="character" w:styleId="SubtleEmphasis">
    <w:name w:val="Subtle Emphasis"/>
    <w:uiPriority w:val="99"/>
    <w:semiHidden/>
    <w:qFormat/>
    <w:rsid w:val="00000067"/>
    <w:rPr>
      <w:i/>
      <w:iCs/>
      <w:lang w:val="bg-BG" w:eastAsia="bg-BG"/>
    </w:rPr>
  </w:style>
  <w:style w:type="table" w:customStyle="1" w:styleId="ECHRTable">
    <w:name w:val="ECHR_Table"/>
    <w:basedOn w:val="TableNormal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000067"/>
    <w:pPr>
      <w:keepNext/>
      <w:keepLines/>
      <w:spacing w:before="720" w:after="240"/>
      <w:outlineLvl w:val="0"/>
    </w:pPr>
    <w:rPr>
      <w:sz w:val="28"/>
    </w:rPr>
  </w:style>
  <w:style w:type="character" w:styleId="Emphasis">
    <w:name w:val="Emphasis"/>
    <w:uiPriority w:val="99"/>
    <w:semiHidden/>
    <w:qFormat/>
    <w:rsid w:val="00000067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Footer">
    <w:name w:val="footer"/>
    <w:basedOn w:val="Normal"/>
    <w:link w:val="FooterChar"/>
    <w:uiPriority w:val="99"/>
    <w:rsid w:val="00000067"/>
    <w:pPr>
      <w:tabs>
        <w:tab w:val="center" w:pos="4536"/>
        <w:tab w:val="right" w:pos="9696"/>
      </w:tabs>
      <w:ind w:left="-680" w:right="-680"/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000067"/>
    <w:rPr>
      <w:sz w:val="24"/>
      <w:lang w:val="bg-BG" w:eastAsia="bg-BG"/>
    </w:rPr>
  </w:style>
  <w:style w:type="character" w:styleId="FootnoteReference">
    <w:name w:val="footnote reference"/>
    <w:uiPriority w:val="99"/>
    <w:semiHidden/>
    <w:rsid w:val="00000067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0000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00067"/>
    <w:rPr>
      <w:rFonts w:eastAsia="MS Mincho"/>
      <w:sz w:val="20"/>
      <w:szCs w:val="20"/>
      <w:lang w:val="bg-BG" w:eastAsia="bg-BG"/>
    </w:rPr>
  </w:style>
  <w:style w:type="character" w:customStyle="1" w:styleId="Heading6Char">
    <w:name w:val="Heading 6 Char"/>
    <w:link w:val="Heading6"/>
    <w:uiPriority w:val="99"/>
    <w:semiHidden/>
    <w:rsid w:val="00000067"/>
    <w:rPr>
      <w:rFonts w:ascii="Times New Roman" w:eastAsia="MS Gothic" w:hAnsi="Times New Roman" w:cs="Times New Roman"/>
      <w:b/>
      <w:bCs/>
      <w:i/>
      <w:iCs/>
      <w:color w:val="7F7F7F"/>
      <w:sz w:val="24"/>
      <w:lang w:val="bg-BG" w:eastAsia="bg-BG" w:bidi="en-US"/>
    </w:rPr>
  </w:style>
  <w:style w:type="character" w:customStyle="1" w:styleId="Heading7Char">
    <w:name w:val="Heading 7 Char"/>
    <w:link w:val="Heading7"/>
    <w:uiPriority w:val="99"/>
    <w:semiHidden/>
    <w:rsid w:val="00000067"/>
    <w:rPr>
      <w:rFonts w:ascii="Times New Roman" w:eastAsia="MS Gothic" w:hAnsi="Times New Roman" w:cs="Times New Roman"/>
      <w:i/>
      <w:iCs/>
      <w:sz w:val="24"/>
      <w:lang w:val="bg-BG" w:eastAsia="bg-BG" w:bidi="en-US"/>
    </w:rPr>
  </w:style>
  <w:style w:type="character" w:customStyle="1" w:styleId="Heading8Char">
    <w:name w:val="Heading 8 Char"/>
    <w:link w:val="Heading8"/>
    <w:uiPriority w:val="99"/>
    <w:semiHidden/>
    <w:rsid w:val="00000067"/>
    <w:rPr>
      <w:rFonts w:ascii="Times New Roman" w:eastAsia="MS Gothic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000067"/>
    <w:rPr>
      <w:rFonts w:ascii="Times New Roman" w:eastAsia="MS Gothic" w:hAnsi="Times New Roman" w:cs="Times New Roman"/>
      <w:i/>
      <w:iCs/>
      <w:spacing w:val="5"/>
      <w:sz w:val="20"/>
      <w:szCs w:val="20"/>
      <w:lang w:val="bg-BG" w:eastAsia="bg-BG" w:bidi="en-US"/>
    </w:rPr>
  </w:style>
  <w:style w:type="character" w:styleId="Hyperlink">
    <w:name w:val="Hyperlink"/>
    <w:uiPriority w:val="99"/>
    <w:rsid w:val="00000067"/>
    <w:rPr>
      <w:color w:val="0072BC"/>
      <w:u w:val="single"/>
      <w:lang w:val="bg-BG" w:eastAsia="bg-BG"/>
    </w:rPr>
  </w:style>
  <w:style w:type="character" w:styleId="IntenseEmphasis">
    <w:name w:val="Intense Emphasis"/>
    <w:uiPriority w:val="99"/>
    <w:semiHidden/>
    <w:qFormat/>
    <w:rsid w:val="00000067"/>
    <w:rPr>
      <w:b/>
      <w:bCs/>
      <w:lang w:val="bg-BG" w:eastAsia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0006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000067"/>
    <w:rPr>
      <w:rFonts w:eastAsia="MS Mincho"/>
      <w:b/>
      <w:bCs/>
      <w:i/>
      <w:iCs/>
      <w:sz w:val="24"/>
      <w:lang w:val="bg-BG" w:eastAsia="bg-BG" w:bidi="en-US"/>
    </w:rPr>
  </w:style>
  <w:style w:type="character" w:styleId="IntenseReference">
    <w:name w:val="Intense Reference"/>
    <w:uiPriority w:val="99"/>
    <w:semiHidden/>
    <w:qFormat/>
    <w:rsid w:val="00000067"/>
    <w:rPr>
      <w:smallCaps/>
      <w:spacing w:val="5"/>
      <w:u w:val="single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000067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000067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link w:val="Quote"/>
    <w:uiPriority w:val="99"/>
    <w:semiHidden/>
    <w:rsid w:val="00000067"/>
    <w:rPr>
      <w:rFonts w:eastAsia="MS Mincho"/>
      <w:i/>
      <w:iCs/>
      <w:sz w:val="24"/>
      <w:lang w:val="bg-BG" w:eastAsia="bg-BG" w:bidi="en-US"/>
    </w:rPr>
  </w:style>
  <w:style w:type="character" w:styleId="SubtleReference">
    <w:name w:val="Subtle Reference"/>
    <w:uiPriority w:val="99"/>
    <w:semiHidden/>
    <w:qFormat/>
    <w:rsid w:val="00000067"/>
    <w:rPr>
      <w:smallCaps/>
      <w:lang w:val="bg-BG" w:eastAsia="bg-BG"/>
    </w:rPr>
  </w:style>
  <w:style w:type="table" w:styleId="TableGrid">
    <w:name w:val="Table Grid"/>
    <w:basedOn w:val="TableNormal"/>
    <w:uiPriority w:val="59"/>
    <w:rsid w:val="0000006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000067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000067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000067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000067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000067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000067"/>
    <w:pPr>
      <w:keepNext/>
      <w:keepLines/>
      <w:spacing w:before="240"/>
      <w:contextualSpacing/>
      <w:jc w:val="center"/>
    </w:pPr>
    <w:rPr>
      <w:rFonts w:eastAsia="Times New Roman"/>
      <w:b/>
      <w:color w:val="474747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="MS Mincho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="MS Mincho"/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000067"/>
    <w:pPr>
      <w:keepNext/>
      <w:keepLines/>
      <w:spacing w:before="240"/>
      <w:contextualSpacing/>
      <w:jc w:val="center"/>
    </w:pPr>
    <w:rPr>
      <w:rFonts w:eastAsia="MS Gothic"/>
      <w:b/>
      <w:bCs/>
      <w:color w:val="474747"/>
      <w:sz w:val="28"/>
      <w:szCs w:val="24"/>
    </w:rPr>
  </w:style>
  <w:style w:type="paragraph" w:customStyle="1" w:styleId="ECHRParaQuote">
    <w:name w:val="ECHR_Para_Quote"/>
    <w:aliases w:val="Ju_Quot"/>
    <w:basedOn w:val="Normal"/>
    <w:qFormat/>
    <w:rsid w:val="00000067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JuParaChar"/>
    <w:uiPriority w:val="12"/>
    <w:qFormat/>
    <w:rsid w:val="00000067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000067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000067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000067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000067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000067"/>
    <w:pPr>
      <w:keepNext/>
      <w:keepLines/>
      <w:spacing w:before="240"/>
      <w:ind w:firstLine="284"/>
    </w:pPr>
  </w:style>
  <w:style w:type="paragraph" w:customStyle="1" w:styleId="JuCourt">
    <w:name w:val="Ju_Court"/>
    <w:basedOn w:val="Normal"/>
    <w:next w:val="Normal"/>
    <w:uiPriority w:val="16"/>
    <w:qFormat/>
    <w:rsid w:val="00000067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character" w:styleId="PageNumber">
    <w:name w:val="page number"/>
    <w:uiPriority w:val="99"/>
    <w:semiHidden/>
    <w:rsid w:val="00014566"/>
    <w:rPr>
      <w:sz w:val="18"/>
      <w:lang w:val="bg-BG" w:eastAsia="bg-BG"/>
    </w:rPr>
  </w:style>
  <w:style w:type="paragraph" w:customStyle="1" w:styleId="JuLista">
    <w:name w:val="Ju_List_a"/>
    <w:basedOn w:val="JuList"/>
    <w:uiPriority w:val="28"/>
    <w:qFormat/>
    <w:rsid w:val="00000067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000067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</w:rPr>
  </w:style>
  <w:style w:type="character" w:customStyle="1" w:styleId="CommentTextChar">
    <w:name w:val="Comment Text Char"/>
    <w:link w:val="CommentText"/>
    <w:semiHidden/>
    <w:rsid w:val="00014566"/>
    <w:rPr>
      <w:rFonts w:eastAsia="MS Mincho"/>
      <w:sz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4566"/>
    <w:rPr>
      <w:rFonts w:eastAsia="MS Mincho"/>
      <w:b/>
      <w:bCs/>
      <w:sz w:val="20"/>
      <w:lang w:val="bg-BG" w:eastAsia="bg-BG"/>
    </w:rPr>
  </w:style>
  <w:style w:type="character" w:styleId="EndnoteReference">
    <w:name w:val="endnote reference"/>
    <w:uiPriority w:val="99"/>
    <w:semiHidden/>
    <w:rsid w:val="00014566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014566"/>
    <w:rPr>
      <w:rFonts w:eastAsia="MS Mincho"/>
      <w:sz w:val="20"/>
      <w:lang w:val="bg-BG" w:eastAsia="bg-BG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014566"/>
    <w:rPr>
      <w:rFonts w:ascii="Tahoma" w:eastAsia="MS Mincho" w:hAnsi="Tahoma" w:cs="Tahoma"/>
      <w:sz w:val="20"/>
      <w:lang w:val="bg-BG" w:eastAsia="bg-BG"/>
    </w:rPr>
  </w:style>
  <w:style w:type="character" w:customStyle="1" w:styleId="JuNames0">
    <w:name w:val="Ju_Names"/>
    <w:rsid w:val="00014566"/>
    <w:rPr>
      <w:smallCaps/>
      <w:lang w:val="bg-BG" w:eastAsia="bg-BG"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character" w:customStyle="1" w:styleId="JuITMark">
    <w:name w:val="Ju_ITMark"/>
    <w:uiPriority w:val="38"/>
    <w:qFormat/>
    <w:rsid w:val="00000067"/>
    <w:rPr>
      <w:color w:val="000000"/>
      <w:sz w:val="14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000067"/>
    <w:pPr>
      <w:spacing w:after="600"/>
    </w:pPr>
    <w:rPr>
      <w:rFonts w:eastAsia="MS Gothic"/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000067"/>
    <w:rPr>
      <w:rFonts w:ascii="Times New Roman" w:eastAsia="MS Gothic" w:hAnsi="Times New Roman" w:cs="Times New Roman"/>
      <w:i/>
      <w:iCs/>
      <w:spacing w:val="13"/>
      <w:sz w:val="24"/>
      <w:szCs w:val="24"/>
      <w:lang w:val="bg-BG" w:eastAsia="bg-BG"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14566"/>
    <w:rPr>
      <w:rFonts w:eastAsia="MS Mincho"/>
      <w:sz w:val="24"/>
      <w:lang w:val="bg-BG" w:eastAsia="bg-BG"/>
    </w:rPr>
  </w:style>
  <w:style w:type="table" w:styleId="ColorfulGrid">
    <w:name w:val="Colorful Grid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link w:val="Dat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link w:val="E-mailSignatur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eastAsia="MS Gothic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eastAsia="MS Gothic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14566"/>
    <w:rPr>
      <w:rFonts w:eastAsia="MS Mincho"/>
      <w:i/>
      <w:iCs/>
      <w:sz w:val="24"/>
      <w:lang w:val="bg-BG" w:eastAsia="bg-BG"/>
    </w:rPr>
  </w:style>
  <w:style w:type="character" w:styleId="HTMLCite">
    <w:name w:val="HTML Cite"/>
    <w:uiPriority w:val="99"/>
    <w:semiHidden/>
    <w:rsid w:val="00014566"/>
    <w:rPr>
      <w:i/>
      <w:iCs/>
      <w:lang w:val="bg-BG" w:eastAsia="bg-BG"/>
    </w:rPr>
  </w:style>
  <w:style w:type="character" w:styleId="HTMLCode">
    <w:name w:val="HTML Code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rsid w:val="00014566"/>
    <w:rPr>
      <w:i/>
      <w:iCs/>
      <w:lang w:val="bg-BG" w:eastAsia="bg-BG"/>
    </w:rPr>
  </w:style>
  <w:style w:type="character" w:styleId="HTMLKeyboard">
    <w:name w:val="HTML Keyboard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4566"/>
    <w:rPr>
      <w:rFonts w:ascii="Consolas" w:eastAsia="MS Mincho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rsid w:val="00014566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rsid w:val="00014566"/>
    <w:rPr>
      <w:i/>
      <w:iCs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eastAsia="MS Gothic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lang w:val="bg-BG" w:eastAsia="bg-BG"/>
    </w:rPr>
  </w:style>
  <w:style w:type="character" w:customStyle="1" w:styleId="MacroTextChar">
    <w:name w:val="Macro Text Char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14566"/>
    <w:rPr>
      <w:rFonts w:ascii="Times New Roman" w:eastAsia="MS Gothic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014566"/>
    <w:rPr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link w:val="NoteHeading"/>
    <w:uiPriority w:val="99"/>
    <w:semiHidden/>
    <w:rsid w:val="00014566"/>
    <w:rPr>
      <w:rFonts w:eastAsia="MS Mincho"/>
      <w:sz w:val="24"/>
      <w:lang w:val="bg-BG" w:eastAsia="bg-BG"/>
    </w:rPr>
  </w:style>
  <w:style w:type="character" w:styleId="PlaceholderText">
    <w:name w:val="Placeholder Text"/>
    <w:uiPriority w:val="99"/>
    <w:semiHidden/>
    <w:rsid w:val="00000067"/>
    <w:rPr>
      <w:color w:val="000000"/>
      <w:bdr w:val="none" w:sz="0" w:space="0" w:color="auto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14566"/>
    <w:rPr>
      <w:rFonts w:ascii="Consolas" w:eastAsia="MS Mincho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link w:val="Salutation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14566"/>
    <w:rPr>
      <w:rFonts w:eastAsia="MS Mincho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000067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000067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Translation">
    <w:name w:val="Opi_Translation"/>
    <w:basedOn w:val="Normal"/>
    <w:next w:val="OpiPara"/>
    <w:uiPriority w:val="40"/>
    <w:qFormat/>
    <w:rsid w:val="00000067"/>
    <w:pPr>
      <w:jc w:val="center"/>
      <w:outlineLvl w:val="0"/>
    </w:pPr>
    <w:rPr>
      <w:i/>
    </w:rPr>
  </w:style>
  <w:style w:type="paragraph" w:customStyle="1" w:styleId="DecHTitle">
    <w:name w:val="Dec_H_Title"/>
    <w:basedOn w:val="ECHRTitleCentre1"/>
    <w:uiPriority w:val="7"/>
    <w:qFormat/>
    <w:rsid w:val="00000067"/>
  </w:style>
  <w:style w:type="paragraph" w:customStyle="1" w:styleId="DecList">
    <w:name w:val="Dec_List"/>
    <w:basedOn w:val="Normal"/>
    <w:uiPriority w:val="9"/>
    <w:qFormat/>
    <w:rsid w:val="00000067"/>
    <w:pPr>
      <w:spacing w:before="240"/>
      <w:ind w:left="284"/>
    </w:pPr>
  </w:style>
  <w:style w:type="paragraph" w:customStyle="1" w:styleId="OpiH1">
    <w:name w:val="Opi_H_1"/>
    <w:basedOn w:val="ECHRHeading2"/>
    <w:uiPriority w:val="42"/>
    <w:qFormat/>
    <w:rsid w:val="00000067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000067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000067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000067"/>
    <w:rPr>
      <w:color w:val="00B050"/>
    </w:rPr>
  </w:style>
  <w:style w:type="paragraph" w:customStyle="1" w:styleId="JuHeaderLandscape">
    <w:name w:val="Ju_Header_Landscape"/>
    <w:basedOn w:val="ECHRHeader"/>
    <w:uiPriority w:val="4"/>
    <w:qFormat/>
    <w:rsid w:val="00000067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JuParaChar">
    <w:name w:val="Ju_Para Char"/>
    <w:aliases w:val="ECHR_Para Char"/>
    <w:link w:val="ECHRPara"/>
    <w:uiPriority w:val="12"/>
    <w:rsid w:val="00936CA0"/>
    <w:rPr>
      <w:rFonts w:eastAsia="MS Mincho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6922-4C12-4E22-90D3-21AF9771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2017-12-11T08:22:00Z</dcterms:created>
  <dcterms:modified xsi:type="dcterms:W3CDTF">2017-12-11T08:22:00Z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