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D4726C" w:rsidRDefault="00014566" w:rsidP="001B7481">
      <w:pPr>
        <w:jc w:val="center"/>
      </w:pPr>
      <w:bookmarkStart w:id="0" w:name="_GoBack"/>
      <w:bookmarkEnd w:id="0"/>
    </w:p>
    <w:p w:rsidR="00202F81" w:rsidRPr="00D4726C" w:rsidRDefault="00202F81" w:rsidP="001B7481">
      <w:pPr>
        <w:jc w:val="center"/>
      </w:pPr>
    </w:p>
    <w:p w:rsidR="00202F81" w:rsidRPr="00D4726C" w:rsidRDefault="00202F81" w:rsidP="001B7481">
      <w:pPr>
        <w:jc w:val="center"/>
      </w:pPr>
    </w:p>
    <w:p w:rsidR="00014566" w:rsidRPr="00D4726C" w:rsidRDefault="001779A6" w:rsidP="001B7481">
      <w:pPr>
        <w:jc w:val="center"/>
      </w:pPr>
      <w:r w:rsidRPr="00D4726C">
        <w:t>ЧЕТВЪРТО ОТДЕЛЕНИЕ</w:t>
      </w:r>
    </w:p>
    <w:p w:rsidR="00014566" w:rsidRPr="00D4726C" w:rsidRDefault="00014566"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014566" w:rsidRPr="00D4726C" w:rsidRDefault="00014566" w:rsidP="001B7481">
      <w:pPr>
        <w:jc w:val="center"/>
        <w:rPr>
          <w:b/>
        </w:rPr>
      </w:pPr>
      <w:bookmarkStart w:id="1" w:name="To"/>
      <w:r w:rsidRPr="00D4726C">
        <w:rPr>
          <w:b/>
        </w:rPr>
        <w:t xml:space="preserve">ДЕЛО </w:t>
      </w:r>
      <w:bookmarkEnd w:id="1"/>
      <w:r w:rsidRPr="00D4726C">
        <w:rPr>
          <w:b/>
        </w:rPr>
        <w:t xml:space="preserve">КОНСТАНТИН СТЕФАНОВ </w:t>
      </w:r>
      <w:r w:rsidR="002663B6" w:rsidRPr="00D4726C">
        <w:rPr>
          <w:b/>
        </w:rPr>
        <w:t>срещу</w:t>
      </w:r>
      <w:r w:rsidRPr="00D4726C">
        <w:rPr>
          <w:b/>
        </w:rPr>
        <w:t xml:space="preserve"> БЪЛГАРИЯ</w:t>
      </w:r>
    </w:p>
    <w:p w:rsidR="00014566" w:rsidRPr="00D4726C" w:rsidRDefault="00014566" w:rsidP="001B7481">
      <w:pPr>
        <w:jc w:val="center"/>
      </w:pPr>
    </w:p>
    <w:p w:rsidR="00014566" w:rsidRPr="00D4726C" w:rsidRDefault="00014566" w:rsidP="001B7481">
      <w:pPr>
        <w:jc w:val="center"/>
        <w:rPr>
          <w:i/>
        </w:rPr>
      </w:pPr>
      <w:r w:rsidRPr="00D4726C">
        <w:rPr>
          <w:i/>
        </w:rPr>
        <w:t>(Жалба № 35399/05)</w:t>
      </w:r>
    </w:p>
    <w:p w:rsidR="00014566" w:rsidRPr="00D4726C" w:rsidRDefault="00014566" w:rsidP="001B7481">
      <w:pPr>
        <w:jc w:val="center"/>
      </w:pPr>
    </w:p>
    <w:p w:rsidR="00014566" w:rsidRPr="00D4726C" w:rsidRDefault="00014566" w:rsidP="001B7481">
      <w:pPr>
        <w:jc w:val="center"/>
      </w:pPr>
    </w:p>
    <w:p w:rsidR="00014566" w:rsidRPr="00D4726C" w:rsidRDefault="00014566" w:rsidP="001B7481">
      <w:pPr>
        <w:jc w:val="center"/>
      </w:pPr>
    </w:p>
    <w:p w:rsidR="00014566" w:rsidRPr="00D4726C" w:rsidRDefault="00014566" w:rsidP="001B7481">
      <w:pPr>
        <w:jc w:val="center"/>
      </w:pPr>
    </w:p>
    <w:p w:rsidR="00014566" w:rsidRPr="00D4726C" w:rsidRDefault="00014566" w:rsidP="001B7481">
      <w:pPr>
        <w:jc w:val="center"/>
      </w:pPr>
    </w:p>
    <w:p w:rsidR="00014566" w:rsidRPr="00D4726C" w:rsidRDefault="00014566"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C206A8" w:rsidRPr="00D4726C" w:rsidRDefault="00202F81" w:rsidP="001B7481">
      <w:pPr>
        <w:jc w:val="center"/>
      </w:pPr>
      <w:r w:rsidRPr="00D4726C">
        <w:t>РЕШЕНИЕ</w:t>
      </w: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p>
    <w:p w:rsidR="00202F81" w:rsidRPr="00D4726C" w:rsidRDefault="00202F81" w:rsidP="001B7481">
      <w:pPr>
        <w:jc w:val="center"/>
      </w:pPr>
      <w:r w:rsidRPr="00D4726C">
        <w:t>СТРАСБУРГ</w:t>
      </w:r>
    </w:p>
    <w:p w:rsidR="00202F81" w:rsidRPr="00D4726C" w:rsidRDefault="00202F81" w:rsidP="001B7481">
      <w:pPr>
        <w:jc w:val="center"/>
      </w:pPr>
    </w:p>
    <w:p w:rsidR="00202F81" w:rsidRPr="00D4726C" w:rsidRDefault="00202F81" w:rsidP="001B7481">
      <w:pPr>
        <w:jc w:val="center"/>
      </w:pPr>
      <w:r w:rsidRPr="00D4726C">
        <w:t>27 октомври 2015 г.</w:t>
      </w:r>
    </w:p>
    <w:p w:rsidR="00202F81" w:rsidRPr="00D4726C" w:rsidRDefault="00202F81" w:rsidP="001B7481">
      <w:pPr>
        <w:jc w:val="center"/>
      </w:pPr>
    </w:p>
    <w:p w:rsidR="00202F81" w:rsidRPr="00D4726C" w:rsidRDefault="00202F81" w:rsidP="001B7481">
      <w:pPr>
        <w:jc w:val="center"/>
      </w:pPr>
    </w:p>
    <w:p w:rsidR="001B7481" w:rsidRPr="00D4726C" w:rsidRDefault="001B7481" w:rsidP="001B7481">
      <w:pPr>
        <w:pStyle w:val="jucase0"/>
        <w:ind w:firstLine="0"/>
        <w:jc w:val="center"/>
        <w:rPr>
          <w:color w:val="FF0000"/>
          <w:sz w:val="28"/>
          <w:szCs w:val="28"/>
          <w:u w:val="single"/>
        </w:rPr>
      </w:pPr>
      <w:r w:rsidRPr="00D4726C">
        <w:rPr>
          <w:color w:val="FF0000"/>
          <w:sz w:val="28"/>
          <w:u w:val="single"/>
        </w:rPr>
        <w:t>ОКОНЧАТЕЛНО</w:t>
      </w:r>
    </w:p>
    <w:p w:rsidR="001B7481" w:rsidRPr="00D4726C" w:rsidRDefault="001B7481" w:rsidP="001B7481">
      <w:pPr>
        <w:pStyle w:val="jupara"/>
        <w:tabs>
          <w:tab w:val="left" w:pos="4650"/>
        </w:tabs>
        <w:ind w:firstLine="0"/>
        <w:jc w:val="left"/>
        <w:rPr>
          <w:color w:val="FF0000"/>
          <w:sz w:val="28"/>
          <w:szCs w:val="28"/>
        </w:rPr>
      </w:pPr>
      <w:r w:rsidRPr="00D4726C">
        <w:tab/>
      </w:r>
    </w:p>
    <w:p w:rsidR="001B7481" w:rsidRPr="00D4726C" w:rsidRDefault="001B7481" w:rsidP="001B7481">
      <w:pPr>
        <w:pStyle w:val="jupara"/>
        <w:ind w:firstLine="0"/>
        <w:jc w:val="center"/>
        <w:rPr>
          <w:color w:val="FF0000"/>
          <w:sz w:val="28"/>
          <w:szCs w:val="28"/>
        </w:rPr>
      </w:pPr>
      <w:r w:rsidRPr="00D4726C">
        <w:rPr>
          <w:color w:val="FF0000"/>
          <w:sz w:val="28"/>
        </w:rPr>
        <w:t>27 януари 2016 г.</w:t>
      </w:r>
    </w:p>
    <w:p w:rsidR="001B7481" w:rsidRPr="00D4726C" w:rsidRDefault="001B7481" w:rsidP="001B7481">
      <w:pPr>
        <w:pStyle w:val="jupara"/>
        <w:ind w:firstLine="0"/>
        <w:jc w:val="center"/>
      </w:pPr>
    </w:p>
    <w:p w:rsidR="001B7481" w:rsidRPr="00D4726C" w:rsidRDefault="001B7481" w:rsidP="001B7481">
      <w:pPr>
        <w:jc w:val="center"/>
        <w:rPr>
          <w:i/>
          <w:iCs/>
          <w:sz w:val="22"/>
        </w:rPr>
      </w:pPr>
      <w:r w:rsidRPr="00D4726C">
        <w:rPr>
          <w:i/>
          <w:sz w:val="22"/>
        </w:rPr>
        <w:t xml:space="preserve">Това решение </w:t>
      </w:r>
      <w:r w:rsidR="002663B6">
        <w:rPr>
          <w:i/>
          <w:sz w:val="22"/>
        </w:rPr>
        <w:t xml:space="preserve">е </w:t>
      </w:r>
      <w:r w:rsidRPr="00D4726C">
        <w:rPr>
          <w:i/>
          <w:sz w:val="22"/>
        </w:rPr>
        <w:t>ста</w:t>
      </w:r>
      <w:r w:rsidR="002663B6">
        <w:rPr>
          <w:i/>
          <w:sz w:val="22"/>
        </w:rPr>
        <w:t>н</w:t>
      </w:r>
      <w:r w:rsidRPr="00D4726C">
        <w:rPr>
          <w:i/>
          <w:sz w:val="22"/>
        </w:rPr>
        <w:t>а</w:t>
      </w:r>
      <w:r w:rsidR="002663B6">
        <w:rPr>
          <w:i/>
          <w:sz w:val="22"/>
        </w:rPr>
        <w:t>ло</w:t>
      </w:r>
      <w:r w:rsidRPr="00D4726C">
        <w:rPr>
          <w:i/>
          <w:sz w:val="22"/>
        </w:rPr>
        <w:t xml:space="preserve"> окончателно при условията на чл. 44, ал. 2 от Конвенцията. То може да бъде предмет на редакционни промени.</w:t>
      </w:r>
    </w:p>
    <w:p w:rsidR="00202F81" w:rsidRPr="00D4726C" w:rsidRDefault="00202F81" w:rsidP="001B7481">
      <w:pPr>
        <w:pStyle w:val="JuCase"/>
        <w:sectPr w:rsidR="00202F81" w:rsidRPr="00D4726C" w:rsidSect="00202F8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D4726C" w:rsidRDefault="00014566" w:rsidP="001B7481">
      <w:pPr>
        <w:pStyle w:val="JuCase"/>
        <w:rPr>
          <w:bCs/>
        </w:rPr>
      </w:pPr>
      <w:r w:rsidRPr="00D4726C">
        <w:lastRenderedPageBreak/>
        <w:t>По делото Константин Стефанов срещу България,</w:t>
      </w:r>
    </w:p>
    <w:p w:rsidR="00014566" w:rsidRPr="00D4726C" w:rsidRDefault="00014566" w:rsidP="001B7481">
      <w:pPr>
        <w:pStyle w:val="ECHRPara"/>
      </w:pPr>
      <w:r w:rsidRPr="00D4726C">
        <w:t>Европейският съд по правата на човека (Четвърто отделение), заседаващ в следния състав:</w:t>
      </w:r>
    </w:p>
    <w:p w:rsidR="00014566" w:rsidRPr="00D4726C" w:rsidRDefault="00202F81" w:rsidP="001B7481">
      <w:pPr>
        <w:pStyle w:val="ECHRDecisionBody"/>
      </w:pPr>
      <w:r w:rsidRPr="00D4726C">
        <w:tab/>
      </w:r>
      <w:proofErr w:type="spellStart"/>
      <w:r w:rsidRPr="00D4726C">
        <w:t>Гуидо</w:t>
      </w:r>
      <w:proofErr w:type="spellEnd"/>
      <w:r w:rsidRPr="00D4726C">
        <w:t xml:space="preserve"> </w:t>
      </w:r>
      <w:proofErr w:type="spellStart"/>
      <w:r w:rsidRPr="00D4726C">
        <w:t>Раймонди</w:t>
      </w:r>
      <w:proofErr w:type="spellEnd"/>
      <w:r w:rsidRPr="00D4726C">
        <w:t xml:space="preserve"> (</w:t>
      </w:r>
      <w:proofErr w:type="spellStart"/>
      <w:r w:rsidRPr="00D4726C">
        <w:t>Guido</w:t>
      </w:r>
      <w:proofErr w:type="spellEnd"/>
      <w:r w:rsidRPr="00D4726C">
        <w:t xml:space="preserve"> </w:t>
      </w:r>
      <w:proofErr w:type="spellStart"/>
      <w:r w:rsidRPr="00D4726C">
        <w:t>Raimondi</w:t>
      </w:r>
      <w:proofErr w:type="spellEnd"/>
      <w:r w:rsidRPr="00D4726C">
        <w:t>,</w:t>
      </w:r>
      <w:r w:rsidRPr="00D4726C">
        <w:rPr>
          <w:i/>
        </w:rPr>
        <w:t xml:space="preserve"> ), председател</w:t>
      </w:r>
      <w:r w:rsidRPr="00D4726C">
        <w:rPr>
          <w:i/>
        </w:rPr>
        <w:br/>
      </w:r>
      <w:r w:rsidRPr="00D4726C">
        <w:tab/>
      </w:r>
      <w:proofErr w:type="spellStart"/>
      <w:r w:rsidRPr="00D4726C">
        <w:rPr>
          <w:i/>
        </w:rPr>
        <w:t>Пейви</w:t>
      </w:r>
      <w:proofErr w:type="spellEnd"/>
      <w:r w:rsidRPr="00D4726C">
        <w:rPr>
          <w:i/>
        </w:rPr>
        <w:t xml:space="preserve"> </w:t>
      </w:r>
      <w:proofErr w:type="spellStart"/>
      <w:r w:rsidRPr="00D4726C">
        <w:rPr>
          <w:i/>
        </w:rPr>
        <w:t>Хирвеле</w:t>
      </w:r>
      <w:proofErr w:type="spellEnd"/>
      <w:r w:rsidRPr="00D4726C">
        <w:rPr>
          <w:i/>
        </w:rPr>
        <w:t xml:space="preserve"> </w:t>
      </w:r>
      <w:r w:rsidRPr="00ED4F06">
        <w:t>(</w:t>
      </w:r>
      <w:proofErr w:type="spellStart"/>
      <w:r w:rsidRPr="00F94028">
        <w:t>Päivi</w:t>
      </w:r>
      <w:proofErr w:type="spellEnd"/>
      <w:r w:rsidRPr="00F94028">
        <w:t xml:space="preserve"> </w:t>
      </w:r>
      <w:proofErr w:type="spellStart"/>
      <w:r w:rsidRPr="00F94028">
        <w:t>Hirvelä</w:t>
      </w:r>
      <w:proofErr w:type="spellEnd"/>
      <w:r w:rsidRPr="00ED4F06">
        <w:t>),</w:t>
      </w:r>
      <w:r w:rsidRPr="00ED4F06">
        <w:br/>
      </w:r>
      <w:r w:rsidR="002663B6">
        <w:rPr>
          <w:i/>
        </w:rPr>
        <w:tab/>
      </w:r>
      <w:r w:rsidRPr="00D4726C">
        <w:rPr>
          <w:i/>
        </w:rPr>
        <w:t xml:space="preserve">Георге </w:t>
      </w:r>
      <w:proofErr w:type="spellStart"/>
      <w:r w:rsidRPr="00D4726C">
        <w:rPr>
          <w:i/>
        </w:rPr>
        <w:t>Николау</w:t>
      </w:r>
      <w:proofErr w:type="spellEnd"/>
      <w:r w:rsidR="002663B6">
        <w:t xml:space="preserve"> (</w:t>
      </w:r>
      <w:proofErr w:type="spellStart"/>
      <w:r w:rsidRPr="00D4726C">
        <w:t>George</w:t>
      </w:r>
      <w:proofErr w:type="spellEnd"/>
      <w:r w:rsidRPr="00D4726C">
        <w:t xml:space="preserve"> </w:t>
      </w:r>
      <w:proofErr w:type="spellStart"/>
      <w:r w:rsidRPr="00D4726C">
        <w:t>Nicolaou</w:t>
      </w:r>
      <w:proofErr w:type="spellEnd"/>
      <w:r w:rsidR="002663B6">
        <w:t>)</w:t>
      </w:r>
      <w:r w:rsidRPr="00D4726C">
        <w:t>,</w:t>
      </w:r>
      <w:r w:rsidRPr="00D4726C">
        <w:rPr>
          <w:i/>
        </w:rPr>
        <w:br/>
      </w:r>
      <w:r w:rsidR="002663B6">
        <w:rPr>
          <w:i/>
        </w:rPr>
        <w:tab/>
      </w:r>
      <w:proofErr w:type="spellStart"/>
      <w:r w:rsidRPr="00D4726C">
        <w:rPr>
          <w:i/>
        </w:rPr>
        <w:t>Леди</w:t>
      </w:r>
      <w:proofErr w:type="spellEnd"/>
      <w:r w:rsidRPr="00D4726C">
        <w:rPr>
          <w:i/>
        </w:rPr>
        <w:t xml:space="preserve"> </w:t>
      </w:r>
      <w:proofErr w:type="spellStart"/>
      <w:r w:rsidRPr="00D4726C">
        <w:rPr>
          <w:i/>
        </w:rPr>
        <w:t>Бианку</w:t>
      </w:r>
      <w:proofErr w:type="spellEnd"/>
      <w:r w:rsidRPr="00D4726C">
        <w:rPr>
          <w:i/>
        </w:rPr>
        <w:t xml:space="preserve"> </w:t>
      </w:r>
      <w:r w:rsidR="002663B6">
        <w:t>(</w:t>
      </w:r>
      <w:proofErr w:type="spellStart"/>
      <w:r w:rsidRPr="00D4726C">
        <w:t>Ledi</w:t>
      </w:r>
      <w:proofErr w:type="spellEnd"/>
      <w:r w:rsidRPr="00D4726C">
        <w:t xml:space="preserve"> </w:t>
      </w:r>
      <w:proofErr w:type="spellStart"/>
      <w:r w:rsidRPr="00D4726C">
        <w:t>Bianku</w:t>
      </w:r>
      <w:proofErr w:type="spellEnd"/>
      <w:r w:rsidR="002663B6">
        <w:t>)</w:t>
      </w:r>
      <w:r w:rsidRPr="00D4726C">
        <w:t>,</w:t>
      </w:r>
      <w:r w:rsidRPr="00D4726C">
        <w:rPr>
          <w:i/>
        </w:rPr>
        <w:br/>
      </w:r>
      <w:r w:rsidR="002663B6">
        <w:rPr>
          <w:i/>
        </w:rPr>
        <w:tab/>
      </w:r>
      <w:r w:rsidRPr="00D4726C">
        <w:rPr>
          <w:i/>
        </w:rPr>
        <w:t xml:space="preserve">Пол </w:t>
      </w:r>
      <w:proofErr w:type="spellStart"/>
      <w:r w:rsidRPr="00D4726C">
        <w:rPr>
          <w:i/>
        </w:rPr>
        <w:t>Махоуни</w:t>
      </w:r>
      <w:proofErr w:type="spellEnd"/>
      <w:r w:rsidR="002663B6">
        <w:t xml:space="preserve"> (</w:t>
      </w:r>
      <w:proofErr w:type="spellStart"/>
      <w:r w:rsidRPr="00D4726C">
        <w:t>Paul</w:t>
      </w:r>
      <w:proofErr w:type="spellEnd"/>
      <w:r w:rsidRPr="00D4726C">
        <w:t xml:space="preserve"> </w:t>
      </w:r>
      <w:proofErr w:type="spellStart"/>
      <w:r w:rsidRPr="00D4726C">
        <w:t>Mahoney</w:t>
      </w:r>
      <w:proofErr w:type="spellEnd"/>
      <w:r w:rsidR="002663B6">
        <w:t>)</w:t>
      </w:r>
      <w:r w:rsidRPr="00D4726C">
        <w:t>,</w:t>
      </w:r>
      <w:r w:rsidRPr="00D4726C">
        <w:rPr>
          <w:i/>
        </w:rPr>
        <w:br/>
      </w:r>
      <w:r w:rsidR="002663B6">
        <w:rPr>
          <w:i/>
        </w:rPr>
        <w:tab/>
      </w:r>
      <w:proofErr w:type="spellStart"/>
      <w:r w:rsidRPr="00D4726C">
        <w:rPr>
          <w:i/>
        </w:rPr>
        <w:t>Кшищоф</w:t>
      </w:r>
      <w:proofErr w:type="spellEnd"/>
      <w:r w:rsidRPr="00D4726C">
        <w:rPr>
          <w:i/>
        </w:rPr>
        <w:t xml:space="preserve"> </w:t>
      </w:r>
      <w:proofErr w:type="spellStart"/>
      <w:r w:rsidRPr="00D4726C">
        <w:rPr>
          <w:i/>
        </w:rPr>
        <w:t>Войтичек</w:t>
      </w:r>
      <w:proofErr w:type="spellEnd"/>
      <w:r w:rsidR="002663B6">
        <w:t xml:space="preserve"> (</w:t>
      </w:r>
      <w:proofErr w:type="spellStart"/>
      <w:r w:rsidRPr="00D4726C">
        <w:t>Krzysztof</w:t>
      </w:r>
      <w:proofErr w:type="spellEnd"/>
      <w:r w:rsidRPr="00D4726C">
        <w:t xml:space="preserve"> </w:t>
      </w:r>
      <w:proofErr w:type="spellStart"/>
      <w:r w:rsidRPr="00D4726C">
        <w:t>Wojtyczek</w:t>
      </w:r>
      <w:proofErr w:type="spellEnd"/>
      <w:r w:rsidR="002663B6">
        <w:t>)</w:t>
      </w:r>
      <w:r w:rsidRPr="00D4726C">
        <w:t>,</w:t>
      </w:r>
      <w:r w:rsidRPr="00D4726C">
        <w:rPr>
          <w:i/>
        </w:rPr>
        <w:br/>
      </w:r>
      <w:r w:rsidRPr="00D4726C">
        <w:tab/>
      </w:r>
      <w:r w:rsidRPr="00D4726C">
        <w:rPr>
          <w:i/>
        </w:rPr>
        <w:t>Йонко Грозев</w:t>
      </w:r>
      <w:r w:rsidRPr="00D4726C">
        <w:t>,</w:t>
      </w:r>
      <w:r w:rsidRPr="00D4726C">
        <w:rPr>
          <w:i/>
        </w:rPr>
        <w:t xml:space="preserve"> съдии,</w:t>
      </w:r>
      <w:r w:rsidRPr="00D4726C">
        <w:br/>
        <w:t xml:space="preserve">и </w:t>
      </w:r>
      <w:proofErr w:type="spellStart"/>
      <w:r w:rsidRPr="00D4726C">
        <w:t>Фатош</w:t>
      </w:r>
      <w:proofErr w:type="spellEnd"/>
      <w:r w:rsidRPr="00D4726C">
        <w:t xml:space="preserve"> </w:t>
      </w:r>
      <w:proofErr w:type="spellStart"/>
      <w:r w:rsidRPr="00D4726C">
        <w:t>Арачи</w:t>
      </w:r>
      <w:proofErr w:type="spellEnd"/>
      <w:r w:rsidRPr="00D4726C">
        <w:t xml:space="preserve">, </w:t>
      </w:r>
      <w:r w:rsidR="002663B6">
        <w:rPr>
          <w:i/>
        </w:rPr>
        <w:t>з</w:t>
      </w:r>
      <w:r w:rsidRPr="00D4726C">
        <w:rPr>
          <w:i/>
        </w:rPr>
        <w:t>аместник-секретар на отделението,</w:t>
      </w:r>
    </w:p>
    <w:p w:rsidR="00014566" w:rsidRPr="00D4726C" w:rsidRDefault="00014566" w:rsidP="001B7481">
      <w:pPr>
        <w:pStyle w:val="ECHRPara"/>
      </w:pPr>
      <w:r w:rsidRPr="00D4726C">
        <w:t>След закрито заседание, проведено на 6 октомври 2015 г.,</w:t>
      </w:r>
    </w:p>
    <w:p w:rsidR="00014566" w:rsidRPr="00D4726C" w:rsidRDefault="00014566" w:rsidP="001B7481">
      <w:pPr>
        <w:pStyle w:val="ECHRPara"/>
      </w:pPr>
      <w:r w:rsidRPr="00D4726C">
        <w:t>Постановява следното решение, прието на същата дата:</w:t>
      </w:r>
    </w:p>
    <w:p w:rsidR="00014566" w:rsidRPr="00D4726C" w:rsidRDefault="00014566" w:rsidP="001B7481">
      <w:pPr>
        <w:pStyle w:val="ECHRTitle1"/>
      </w:pPr>
      <w:r w:rsidRPr="00D4726C">
        <w:t>ПРОЦЕДУРА</w:t>
      </w:r>
    </w:p>
    <w:p w:rsidR="001779A6" w:rsidRPr="00D4726C" w:rsidRDefault="009E5013" w:rsidP="001B7481">
      <w:pPr>
        <w:pStyle w:val="ECHRPara"/>
      </w:pPr>
      <w:fldSimple w:instr=" SEQ level0 \*arabic ">
        <w:r w:rsidR="00D4726C">
          <w:rPr>
            <w:noProof/>
          </w:rPr>
          <w:t>1</w:t>
        </w:r>
      </w:fldSimple>
      <w:r w:rsidR="001779A6" w:rsidRPr="00D4726C">
        <w:t xml:space="preserve">.  Делото е образувано по жалба (№ 35399/05) срещу Република България, подадена в Съда на основание чл. 34 от Конвенцията за защита правата и основните свободи на човека ("Конвенцията") от български гражданин, </w:t>
      </w:r>
      <w:r w:rsidR="002663B6">
        <w:t>г</w:t>
      </w:r>
      <w:r w:rsidR="001779A6" w:rsidRPr="00D4726C">
        <w:t xml:space="preserve">-н Константин Стефанов </w:t>
      </w:r>
      <w:proofErr w:type="spellStart"/>
      <w:r w:rsidR="001779A6" w:rsidRPr="00D4726C">
        <w:t>Стефанов</w:t>
      </w:r>
      <w:proofErr w:type="spellEnd"/>
      <w:r w:rsidR="001779A6" w:rsidRPr="00D4726C">
        <w:t xml:space="preserve"> ("жалбоподателят")</w:t>
      </w:r>
      <w:r w:rsidR="002663B6">
        <w:t>,</w:t>
      </w:r>
      <w:r w:rsidR="001779A6" w:rsidRPr="00D4726C">
        <w:t xml:space="preserve"> на 20 септември 2005 г.</w:t>
      </w:r>
    </w:p>
    <w:p w:rsidR="001779A6" w:rsidRPr="00D4726C" w:rsidRDefault="009E5013" w:rsidP="001B7481">
      <w:pPr>
        <w:pStyle w:val="ECHRPara"/>
      </w:pPr>
      <w:fldSimple w:instr=" SEQ level0 \*arabic ">
        <w:r w:rsidR="00D4726C">
          <w:rPr>
            <w:noProof/>
          </w:rPr>
          <w:t>2</w:t>
        </w:r>
      </w:fldSimple>
      <w:r w:rsidR="001779A6" w:rsidRPr="00D4726C">
        <w:t xml:space="preserve">.  Жалбоподателят е представляван от </w:t>
      </w:r>
      <w:r w:rsidR="002663B6">
        <w:t>г</w:t>
      </w:r>
      <w:r w:rsidR="001779A6" w:rsidRPr="00D4726C">
        <w:t xml:space="preserve">-н М. Нейков, адвокат, практикуващ в град Пловдив. Българското правителство („Правителството”) се представлява от правителствения агент </w:t>
      </w:r>
      <w:r w:rsidR="002663B6">
        <w:t>г</w:t>
      </w:r>
      <w:r w:rsidR="001779A6" w:rsidRPr="00D4726C">
        <w:t>-жа Н. Николова от Министерство</w:t>
      </w:r>
      <w:r w:rsidR="002663B6">
        <w:t>то</w:t>
      </w:r>
      <w:r w:rsidR="001779A6" w:rsidRPr="00D4726C">
        <w:t xml:space="preserve"> на правосъдието.</w:t>
      </w:r>
    </w:p>
    <w:p w:rsidR="00407ED2" w:rsidRPr="00D4726C" w:rsidRDefault="009E5013" w:rsidP="001B7481">
      <w:pPr>
        <w:pStyle w:val="ECHRPara"/>
      </w:pPr>
      <w:fldSimple w:instr=" SEQ level0 \*arabic ">
        <w:r w:rsidR="00D4726C">
          <w:rPr>
            <w:noProof/>
          </w:rPr>
          <w:t>3</w:t>
        </w:r>
      </w:fldSimple>
      <w:r w:rsidR="001779A6" w:rsidRPr="00D4726C">
        <w:t>.  Жалбоподателят по-</w:t>
      </w:r>
      <w:r w:rsidR="002663B6">
        <w:t>конкретно</w:t>
      </w:r>
      <w:r w:rsidR="002663B6" w:rsidRPr="00D4726C">
        <w:t xml:space="preserve"> </w:t>
      </w:r>
      <w:r w:rsidR="001779A6" w:rsidRPr="00D4726C">
        <w:t xml:space="preserve">твърди, че правото му на мирно ползване на притежанията му е било нарушено в резултат на това, че не е получил заплащане за правните си услуги и че му е била наложена неправомерно глоба по време на съдебно производство, в което той е бил назначен да участва като </w:t>
      </w:r>
      <w:r w:rsidR="00F94028">
        <w:t xml:space="preserve">служебен </w:t>
      </w:r>
      <w:r w:rsidR="001779A6" w:rsidRPr="00D4726C">
        <w:t>защитник.</w:t>
      </w:r>
    </w:p>
    <w:p w:rsidR="00014566" w:rsidRPr="00D4726C" w:rsidRDefault="009E5013" w:rsidP="001B7481">
      <w:pPr>
        <w:pStyle w:val="ECHRPara"/>
      </w:pPr>
      <w:fldSimple w:instr=" SEQ level0 \*arabic ">
        <w:r w:rsidR="00D4726C">
          <w:rPr>
            <w:noProof/>
          </w:rPr>
          <w:t>4</w:t>
        </w:r>
      </w:fldSimple>
      <w:r w:rsidR="001779A6" w:rsidRPr="00D4726C">
        <w:t xml:space="preserve">.  На 24 май 2011 г. </w:t>
      </w:r>
      <w:r w:rsidR="00F94028">
        <w:t>П</w:t>
      </w:r>
      <w:r w:rsidR="001779A6" w:rsidRPr="00D4726C">
        <w:t>равителството е уведомено за жалбата.</w:t>
      </w:r>
    </w:p>
    <w:p w:rsidR="00014566" w:rsidRPr="00D4726C" w:rsidRDefault="00014566" w:rsidP="001B7481">
      <w:pPr>
        <w:pStyle w:val="ECHRTitle1"/>
      </w:pPr>
      <w:r w:rsidRPr="00D4726C">
        <w:t>ФАКТИТЕ</w:t>
      </w:r>
    </w:p>
    <w:p w:rsidR="00014566" w:rsidRPr="00D4726C" w:rsidRDefault="00014566" w:rsidP="001B7481">
      <w:pPr>
        <w:pStyle w:val="ECHRHeading1"/>
      </w:pPr>
      <w:r w:rsidRPr="00D4726C">
        <w:t>ОБСТОЯТЕЛСТВАТА ПО ДЕЛОТО</w:t>
      </w:r>
    </w:p>
    <w:p w:rsidR="00014566" w:rsidRPr="00D4726C" w:rsidRDefault="009E5013" w:rsidP="001B7481">
      <w:pPr>
        <w:pStyle w:val="ECHRPara"/>
      </w:pPr>
      <w:fldSimple w:instr=" SEQ level0 \*arabic ">
        <w:r w:rsidR="00D4726C">
          <w:rPr>
            <w:noProof/>
          </w:rPr>
          <w:t>5</w:t>
        </w:r>
      </w:fldSimple>
      <w:r w:rsidR="001779A6" w:rsidRPr="00D4726C">
        <w:t>.  Жалбоподателят е роден през 1974 г. Той е адвокат, който живее и практикува в град Пловдив.</w:t>
      </w:r>
    </w:p>
    <w:p w:rsidR="001779A6" w:rsidRPr="00D4726C" w:rsidRDefault="009E5013" w:rsidP="001B7481">
      <w:pPr>
        <w:pStyle w:val="ECHRPara"/>
        <w:rPr>
          <w:b/>
        </w:rPr>
      </w:pPr>
      <w:fldSimple w:instr=" SEQ level0 \*arabic ">
        <w:r w:rsidR="00D4726C">
          <w:rPr>
            <w:noProof/>
          </w:rPr>
          <w:t>6</w:t>
        </w:r>
      </w:fldSimple>
      <w:r w:rsidR="001779A6" w:rsidRPr="00D4726C">
        <w:t>.  Фактите по делото могат да бъдат обобщени по следния начин.</w:t>
      </w:r>
    </w:p>
    <w:p w:rsidR="001779A6" w:rsidRPr="00D4726C" w:rsidRDefault="009E5013" w:rsidP="001B7481">
      <w:pPr>
        <w:pStyle w:val="ECHRPara"/>
      </w:pPr>
      <w:fldSimple w:instr=" SEQ level0 \*arabic ">
        <w:r w:rsidR="00D4726C">
          <w:rPr>
            <w:noProof/>
          </w:rPr>
          <w:t>7</w:t>
        </w:r>
      </w:fldSimple>
      <w:r w:rsidR="001779A6" w:rsidRPr="00D4726C">
        <w:t xml:space="preserve">.  В началото на 2005 г., в хода на наказателното производство срещу Н.Р. и друго лице по обвинение за квалифицирана кражба, наказуема с лишаване от свобода до петнадесет години, Пловдивският </w:t>
      </w:r>
      <w:r w:rsidR="00F94028">
        <w:t>районен</w:t>
      </w:r>
      <w:r w:rsidR="00F94028" w:rsidRPr="00D4726C">
        <w:t xml:space="preserve"> </w:t>
      </w:r>
      <w:r w:rsidR="001779A6" w:rsidRPr="00D4726C">
        <w:t>съд ("</w:t>
      </w:r>
      <w:r w:rsidR="00F94028">
        <w:t>Район</w:t>
      </w:r>
      <w:r w:rsidR="001779A6" w:rsidRPr="00D4726C">
        <w:t xml:space="preserve">ният съд") решава, че в интерес на правосъдието трябва да бъдат назначени двама адвокати за процесуални защитници на двамата обвиняеми, които не </w:t>
      </w:r>
      <w:r w:rsidR="00F94028">
        <w:t>могат</w:t>
      </w:r>
      <w:r w:rsidR="001779A6" w:rsidRPr="00D4726C">
        <w:t xml:space="preserve"> да си позволят да платят за адвокат жела</w:t>
      </w:r>
      <w:r w:rsidR="00F94028">
        <w:t>ят</w:t>
      </w:r>
      <w:r w:rsidR="001779A6" w:rsidRPr="00D4726C">
        <w:t xml:space="preserve"> да бъдат представлявани от так</w:t>
      </w:r>
      <w:r w:rsidR="00F94028">
        <w:t>ъ</w:t>
      </w:r>
      <w:r w:rsidR="001779A6" w:rsidRPr="00D4726C">
        <w:t>в.</w:t>
      </w:r>
    </w:p>
    <w:p w:rsidR="001779A6" w:rsidRPr="00D4726C" w:rsidRDefault="009E5013" w:rsidP="001B7481">
      <w:pPr>
        <w:pStyle w:val="ECHRPara"/>
      </w:pPr>
      <w:fldSimple w:instr=" SEQ level0 \*arabic ">
        <w:r w:rsidR="00D4726C">
          <w:rPr>
            <w:noProof/>
          </w:rPr>
          <w:t>8</w:t>
        </w:r>
      </w:fldSimple>
      <w:r w:rsidR="00E218C9" w:rsidRPr="00D4726C">
        <w:t>.  </w:t>
      </w:r>
      <w:r w:rsidR="00F94028">
        <w:t>Район</w:t>
      </w:r>
      <w:r w:rsidR="00F94028" w:rsidRPr="00D4726C">
        <w:t xml:space="preserve">ният </w:t>
      </w:r>
      <w:r w:rsidR="00E218C9" w:rsidRPr="00D4726C">
        <w:t xml:space="preserve">съд изпраща искане до Пловдивската адвокатска колегия с молба да назначи двама адвокати за процесуални защитници, които да представляват обвиняемите. В писмото се посочва, </w:t>
      </w:r>
      <w:r w:rsidR="00F94028">
        <w:t>наред с</w:t>
      </w:r>
      <w:r w:rsidR="00E218C9" w:rsidRPr="00ED4F06">
        <w:t xml:space="preserve"> другото</w:t>
      </w:r>
      <w:r w:rsidR="00E218C9" w:rsidRPr="00D4726C">
        <w:t xml:space="preserve">, че възнаграждението на процесуалния защитник ще бъде определено в съответствие с Наредбата на </w:t>
      </w:r>
      <w:r w:rsidR="00F94028">
        <w:t>Висшия</w:t>
      </w:r>
      <w:r w:rsidR="00F94028" w:rsidRPr="00D4726C">
        <w:t xml:space="preserve"> </w:t>
      </w:r>
      <w:r w:rsidR="00E218C9" w:rsidRPr="00D4726C">
        <w:t>адвокатск</w:t>
      </w:r>
      <w:r w:rsidR="00F94028">
        <w:t>и съвет</w:t>
      </w:r>
      <w:r w:rsidR="00E218C9" w:rsidRPr="00D4726C">
        <w:t xml:space="preserve"> за минималн</w:t>
      </w:r>
      <w:r w:rsidR="00F94028">
        <w:t>ите размери на адвокатските</w:t>
      </w:r>
      <w:r w:rsidR="00E218C9" w:rsidRPr="00D4726C">
        <w:t xml:space="preserve"> възнаграждени</w:t>
      </w:r>
      <w:r w:rsidR="00F94028">
        <w:t>я</w:t>
      </w:r>
      <w:r w:rsidR="00E218C9" w:rsidRPr="00D4726C">
        <w:t xml:space="preserve"> от 2004 г. ("Наредба</w:t>
      </w:r>
      <w:r w:rsidR="00F94028">
        <w:t>та</w:t>
      </w:r>
      <w:r w:rsidR="00E218C9" w:rsidRPr="00D4726C">
        <w:t xml:space="preserve"> за възнагражденията").</w:t>
      </w:r>
    </w:p>
    <w:p w:rsidR="00407ED2" w:rsidRPr="00D4726C" w:rsidRDefault="009E5013" w:rsidP="001B7481">
      <w:pPr>
        <w:pStyle w:val="ECHRPara"/>
      </w:pPr>
      <w:fldSimple w:instr=" SEQ level0 \*arabic ">
        <w:r w:rsidR="00D4726C">
          <w:rPr>
            <w:noProof/>
          </w:rPr>
          <w:t>9</w:t>
        </w:r>
      </w:fldSimple>
      <w:r w:rsidR="00634E7F" w:rsidRPr="00D4726C">
        <w:t xml:space="preserve">.  С писмо от 31 май 2005 г., изпратено до жалбоподателя и до </w:t>
      </w:r>
      <w:r w:rsidR="00F94028">
        <w:t>Район</w:t>
      </w:r>
      <w:r w:rsidR="00F94028" w:rsidRPr="00D4726C">
        <w:t xml:space="preserve">ния </w:t>
      </w:r>
      <w:r w:rsidR="00F94028">
        <w:t>с</w:t>
      </w:r>
      <w:r w:rsidR="00634E7F" w:rsidRPr="00D4726C">
        <w:t xml:space="preserve">ъд, Пловдивската </w:t>
      </w:r>
      <w:r w:rsidR="00F94028">
        <w:t>а</w:t>
      </w:r>
      <w:r w:rsidR="00634E7F" w:rsidRPr="00D4726C">
        <w:t>двокатска колегия избира жалбоподателя</w:t>
      </w:r>
      <w:r w:rsidR="00F94028">
        <w:t>т</w:t>
      </w:r>
      <w:r w:rsidR="00634E7F" w:rsidRPr="00D4726C">
        <w:t xml:space="preserve"> да представлява </w:t>
      </w:r>
      <w:r w:rsidR="00F94028">
        <w:t>Н</w:t>
      </w:r>
      <w:r w:rsidR="00634E7F" w:rsidRPr="00D4726C">
        <w:t>.</w:t>
      </w:r>
      <w:r w:rsidR="00F94028">
        <w:t>Р</w:t>
      </w:r>
      <w:r w:rsidR="00634E7F" w:rsidRPr="00D4726C">
        <w:t>. Писмото съдържа следния текст:</w:t>
      </w:r>
    </w:p>
    <w:p w:rsidR="00407ED2" w:rsidRPr="00D4726C" w:rsidRDefault="001779A6" w:rsidP="001B7481">
      <w:pPr>
        <w:pStyle w:val="ECHRParaQuote"/>
      </w:pPr>
      <w:r w:rsidRPr="00D4726C">
        <w:t xml:space="preserve">"В съответствие с </w:t>
      </w:r>
      <w:r w:rsidR="00F94028">
        <w:t>чл.</w:t>
      </w:r>
      <w:r w:rsidR="00F94028" w:rsidRPr="00D4726C">
        <w:t xml:space="preserve"> </w:t>
      </w:r>
      <w:r w:rsidRPr="00D4726C">
        <w:t xml:space="preserve">44 от Закона за адвокатурата </w:t>
      </w:r>
      <w:r w:rsidR="0016378F">
        <w:t>В</w:t>
      </w:r>
      <w:r w:rsidRPr="00D4726C">
        <w:t xml:space="preserve">ие трябва да изпълнявате ролята на защитник на </w:t>
      </w:r>
      <w:r w:rsidR="0016378F">
        <w:t>обвиняемия</w:t>
      </w:r>
      <w:r w:rsidR="0016378F" w:rsidRPr="00D4726C">
        <w:t xml:space="preserve"> </w:t>
      </w:r>
      <w:r w:rsidRPr="00D4726C">
        <w:t xml:space="preserve">... и да се явите на изслушването в хода на съдебното производство. Неспазването на това може да доведе до дисциплинарни действия по реда на Закона за адвокатурата и гражданска отговорност </w:t>
      </w:r>
      <w:r w:rsidRPr="00ED4F06">
        <w:t>по отношение на</w:t>
      </w:r>
      <w:r w:rsidRPr="00A77E76">
        <w:t xml:space="preserve"> </w:t>
      </w:r>
      <w:r w:rsidRPr="00D4726C">
        <w:t>страните [</w:t>
      </w:r>
      <w:r w:rsidR="00191EB8">
        <w:t>в</w:t>
      </w:r>
      <w:r w:rsidR="00191EB8" w:rsidRPr="00D4726C">
        <w:t xml:space="preserve"> </w:t>
      </w:r>
      <w:r w:rsidRPr="00D4726C">
        <w:t>наказателното производство].</w:t>
      </w:r>
    </w:p>
    <w:p w:rsidR="001779A6" w:rsidRPr="00D4726C" w:rsidRDefault="001779A6" w:rsidP="001B7481">
      <w:pPr>
        <w:pStyle w:val="ECHRParaQuote"/>
      </w:pPr>
      <w:r w:rsidRPr="00D4726C">
        <w:t>В решението си да [</w:t>
      </w:r>
      <w:r w:rsidR="00191EB8">
        <w:t>В</w:t>
      </w:r>
      <w:r w:rsidRPr="00D4726C">
        <w:t>и] назначи [като] служебен защитник, [наказателн</w:t>
      </w:r>
      <w:r w:rsidR="00191EB8">
        <w:t>ият</w:t>
      </w:r>
      <w:r w:rsidRPr="00D4726C">
        <w:t>] съд ... трябва да [</w:t>
      </w:r>
      <w:r w:rsidR="00191EB8">
        <w:t>В</w:t>
      </w:r>
      <w:r w:rsidRPr="00D4726C">
        <w:t>и] определи възнаграждение в размер, не по-нисък от минималн</w:t>
      </w:r>
      <w:r w:rsidR="00191EB8">
        <w:t>ия</w:t>
      </w:r>
      <w:r w:rsidRPr="00D4726C">
        <w:t xml:space="preserve">, предвиден в </w:t>
      </w:r>
      <w:r w:rsidR="00191EB8">
        <w:t>Н</w:t>
      </w:r>
      <w:r w:rsidRPr="00D4726C">
        <w:t>аредбата</w:t>
      </w:r>
      <w:r w:rsidR="00191EB8">
        <w:t xml:space="preserve"> за възнагражденията</w:t>
      </w:r>
      <w:r w:rsidRPr="00D4726C">
        <w:t xml:space="preserve">. В противен случай трябва да откажете да предоставите процесуално представителство, защото сте изложени на риск от дисциплинарни [санкции] за нарушение на </w:t>
      </w:r>
      <w:r w:rsidR="00191EB8">
        <w:t>чл.</w:t>
      </w:r>
      <w:r w:rsidR="00191EB8" w:rsidRPr="00D4726C">
        <w:t xml:space="preserve"> </w:t>
      </w:r>
      <w:r w:rsidRPr="00D4726C">
        <w:t xml:space="preserve">132 (6) от Закона за адвокатурата и указанията на </w:t>
      </w:r>
      <w:r w:rsidR="00191EB8">
        <w:t>Висшия</w:t>
      </w:r>
      <w:r w:rsidR="00191EB8" w:rsidRPr="00D4726C">
        <w:t xml:space="preserve"> </w:t>
      </w:r>
      <w:r w:rsidR="00191EB8">
        <w:t>а</w:t>
      </w:r>
      <w:r w:rsidRPr="00D4726C">
        <w:t>двокатск</w:t>
      </w:r>
      <w:r w:rsidR="00191EB8">
        <w:t>и съвет</w:t>
      </w:r>
      <w:r w:rsidRPr="00D4726C">
        <w:t xml:space="preserve"> ... "</w:t>
      </w:r>
    </w:p>
    <w:p w:rsidR="001779A6" w:rsidRPr="00D4726C" w:rsidRDefault="009E5013" w:rsidP="001B7481">
      <w:pPr>
        <w:pStyle w:val="ECHRPara"/>
      </w:pPr>
      <w:fldSimple w:instr=" SEQ level0 \*arabic ">
        <w:r w:rsidR="00D4726C">
          <w:rPr>
            <w:noProof/>
          </w:rPr>
          <w:t>10</w:t>
        </w:r>
      </w:fldSimple>
      <w:r w:rsidR="007B795A" w:rsidRPr="00D4726C">
        <w:t xml:space="preserve">.  Пловдивският </w:t>
      </w:r>
      <w:r w:rsidR="00191EB8">
        <w:t>районен</w:t>
      </w:r>
      <w:r w:rsidR="00191EB8" w:rsidRPr="00D4726C">
        <w:t xml:space="preserve"> </w:t>
      </w:r>
      <w:r w:rsidR="007B795A" w:rsidRPr="00D4726C">
        <w:t>съд провежда заседание по наказателно</w:t>
      </w:r>
      <w:r w:rsidR="00191EB8">
        <w:t>то</w:t>
      </w:r>
      <w:r w:rsidR="007B795A" w:rsidRPr="00D4726C">
        <w:t xml:space="preserve"> дело срещу </w:t>
      </w:r>
      <w:r w:rsidR="00191EB8">
        <w:t>Н.Р.</w:t>
      </w:r>
      <w:r w:rsidR="007B795A" w:rsidRPr="00D4726C">
        <w:t xml:space="preserve"> на 10 юни 2005 г. В началото на съдебното заседание, около 15:30 часа, съдът назначава жалбоподателя за адвокат на </w:t>
      </w:r>
      <w:r w:rsidR="00191EB8">
        <w:t>Н</w:t>
      </w:r>
      <w:r w:rsidR="007B795A" w:rsidRPr="00D4726C">
        <w:t>.</w:t>
      </w:r>
      <w:r w:rsidR="00191EB8">
        <w:t>Р.</w:t>
      </w:r>
      <w:r w:rsidR="007B795A" w:rsidRPr="00D4726C">
        <w:t xml:space="preserve"> и го приканва да представи позицията си по отношение на това дали съществуват пречки за даване ход на делото или не.</w:t>
      </w:r>
    </w:p>
    <w:p w:rsidR="00407ED2" w:rsidRPr="00D4726C" w:rsidRDefault="009E5013" w:rsidP="001B7481">
      <w:pPr>
        <w:pStyle w:val="ECHRPara"/>
      </w:pPr>
      <w:fldSimple w:instr=" SEQ level0 \*arabic ">
        <w:r w:rsidR="00D4726C">
          <w:rPr>
            <w:noProof/>
          </w:rPr>
          <w:t>11</w:t>
        </w:r>
      </w:fldSimple>
      <w:r w:rsidR="00634E7F" w:rsidRPr="00D4726C">
        <w:t xml:space="preserve">.  Жалбоподателят отговаря, че той би представлявал </w:t>
      </w:r>
      <w:r w:rsidR="00191EB8">
        <w:t>Н.Р.</w:t>
      </w:r>
      <w:r w:rsidR="00634E7F" w:rsidRPr="00D4726C">
        <w:t xml:space="preserve">, ако съдът се ангажира да се съобрази с член 44(2) от Закона за адвокатурата, който на свой ред се позовава на Наредбата за възнагражденията, като по този начин определя възнаграждението </w:t>
      </w:r>
      <w:r w:rsidR="00191EB8">
        <w:t>си</w:t>
      </w:r>
      <w:r w:rsidR="00191EB8" w:rsidRPr="00D4726C">
        <w:t xml:space="preserve"> </w:t>
      </w:r>
      <w:r w:rsidR="00634E7F" w:rsidRPr="00D4726C">
        <w:t>на или над минималните 550 български лева (</w:t>
      </w:r>
      <w:r w:rsidR="00191EB8">
        <w:t>лв.</w:t>
      </w:r>
      <w:r w:rsidR="00634E7F" w:rsidRPr="00D4726C">
        <w:t xml:space="preserve">; еквивалент на </w:t>
      </w:r>
      <w:r w:rsidR="00191EB8">
        <w:t>близо</w:t>
      </w:r>
      <w:r w:rsidR="00634E7F" w:rsidRPr="00D4726C">
        <w:t xml:space="preserve"> 280 </w:t>
      </w:r>
      <w:r w:rsidR="00191EB8">
        <w:t>е</w:t>
      </w:r>
      <w:r w:rsidR="00634E7F" w:rsidRPr="00D4726C">
        <w:t>вро), както е предвидено в закона.</w:t>
      </w:r>
    </w:p>
    <w:p w:rsidR="00407ED2" w:rsidRPr="00D4726C" w:rsidRDefault="009E5013" w:rsidP="001B7481">
      <w:pPr>
        <w:pStyle w:val="ECHRPara"/>
      </w:pPr>
      <w:fldSimple w:instr=" SEQ level0 \*arabic ">
        <w:r w:rsidR="00D4726C">
          <w:rPr>
            <w:noProof/>
          </w:rPr>
          <w:t>12</w:t>
        </w:r>
      </w:fldSimple>
      <w:r w:rsidR="008C723A" w:rsidRPr="00D4726C">
        <w:t>.  Председателят на съдебния състав отказва да определи минимално възнаграждение в дадения момент. Той предупреждава жалбоподателя, че ще го глоби, ако откаже да изпълнява функциите на процесуален защитник на подсъдимия.</w:t>
      </w:r>
    </w:p>
    <w:p w:rsidR="00407ED2" w:rsidRPr="00D4726C" w:rsidRDefault="009E5013" w:rsidP="001B7481">
      <w:pPr>
        <w:pStyle w:val="ECHRPara"/>
      </w:pPr>
      <w:fldSimple w:instr=" SEQ level0 \*arabic ">
        <w:r w:rsidR="00D4726C">
          <w:rPr>
            <w:noProof/>
          </w:rPr>
          <w:t>13</w:t>
        </w:r>
      </w:fldSimple>
      <w:r w:rsidR="008C723A" w:rsidRPr="00D4726C">
        <w:t>.  След тази размяна на реплики жалбоподателят отказва да представлява подсъдимия и напуска залата.</w:t>
      </w:r>
      <w:bookmarkStart w:id="2" w:name="CourtFine"/>
    </w:p>
    <w:p w:rsidR="00407ED2" w:rsidRPr="00D4726C" w:rsidRDefault="009E5013" w:rsidP="001B7481">
      <w:pPr>
        <w:pStyle w:val="ECHRPara"/>
      </w:pPr>
      <w:fldSimple w:instr=" SEQ level0 \*arabic ">
        <w:r w:rsidR="00D4726C">
          <w:rPr>
            <w:noProof/>
          </w:rPr>
          <w:t>14</w:t>
        </w:r>
      </w:fldSimple>
      <w:bookmarkEnd w:id="2"/>
      <w:r w:rsidR="00634E7F" w:rsidRPr="00D4726C">
        <w:t xml:space="preserve">.  Съдът </w:t>
      </w:r>
      <w:r w:rsidR="00191EB8">
        <w:t>налага глоба на</w:t>
      </w:r>
      <w:r w:rsidR="00191EB8" w:rsidRPr="00D4726C">
        <w:t xml:space="preserve"> </w:t>
      </w:r>
      <w:r w:rsidR="00634E7F" w:rsidRPr="00D4726C">
        <w:t>жалбоподателя</w:t>
      </w:r>
      <w:r w:rsidR="00191EB8">
        <w:t xml:space="preserve"> в размер на</w:t>
      </w:r>
      <w:r w:rsidR="00634E7F" w:rsidRPr="00D4726C">
        <w:t xml:space="preserve"> 500 лв</w:t>
      </w:r>
      <w:r w:rsidR="00191EB8">
        <w:t>.</w:t>
      </w:r>
      <w:r w:rsidR="00634E7F" w:rsidRPr="00D4726C">
        <w:t xml:space="preserve"> (около 260 </w:t>
      </w:r>
      <w:r w:rsidR="00191EB8">
        <w:t>е</w:t>
      </w:r>
      <w:r w:rsidR="00634E7F" w:rsidRPr="00D4726C">
        <w:t>вро). Решението за налагане на глобата се позовава на чл</w:t>
      </w:r>
      <w:r w:rsidR="00191EB8">
        <w:t>.</w:t>
      </w:r>
      <w:r w:rsidR="00634E7F" w:rsidRPr="00D4726C">
        <w:t xml:space="preserve"> 269 § 7 НПК от 1974 г. (вж</w:t>
      </w:r>
      <w:r w:rsidR="00191EB8">
        <w:t>.</w:t>
      </w:r>
      <w:r w:rsidR="00634E7F" w:rsidRPr="00D4726C">
        <w:t xml:space="preserve"> параграф 33 по-долу) и </w:t>
      </w:r>
      <w:r w:rsidR="00191EB8">
        <w:t>гласи</w:t>
      </w:r>
      <w:r w:rsidR="00634E7F" w:rsidRPr="00D4726C">
        <w:t>:</w:t>
      </w:r>
    </w:p>
    <w:p w:rsidR="00407ED2" w:rsidRPr="00D4726C" w:rsidRDefault="001779A6" w:rsidP="001B7481">
      <w:pPr>
        <w:pStyle w:val="ECHRParaQuote"/>
      </w:pPr>
      <w:r w:rsidRPr="00D4726C">
        <w:t>"</w:t>
      </w:r>
      <w:r w:rsidR="00191EB8">
        <w:t>Според съда</w:t>
      </w:r>
      <w:r w:rsidRPr="00D4726C">
        <w:t xml:space="preserve"> адвокат</w:t>
      </w:r>
      <w:r w:rsidR="00191EB8">
        <w:t>ите</w:t>
      </w:r>
      <w:r w:rsidRPr="00D4726C">
        <w:t>, ко</w:t>
      </w:r>
      <w:r w:rsidR="00191EB8">
        <w:t>и</w:t>
      </w:r>
      <w:r w:rsidRPr="00D4726C">
        <w:t xml:space="preserve">то вече </w:t>
      </w:r>
      <w:r w:rsidR="00191EB8">
        <w:t>са</w:t>
      </w:r>
      <w:r w:rsidRPr="00D4726C">
        <w:t xml:space="preserve"> назначен</w:t>
      </w:r>
      <w:r w:rsidR="00191EB8">
        <w:t>и</w:t>
      </w:r>
      <w:r w:rsidRPr="00D4726C">
        <w:t xml:space="preserve"> да изпълнява</w:t>
      </w:r>
      <w:r w:rsidR="00191EB8">
        <w:t>т</w:t>
      </w:r>
      <w:r w:rsidRPr="00D4726C">
        <w:t xml:space="preserve"> функциите на процесуален защитник не би трябвало да пита</w:t>
      </w:r>
      <w:r w:rsidR="00191EB8">
        <w:t>т</w:t>
      </w:r>
      <w:r w:rsidRPr="00D4726C">
        <w:t xml:space="preserve"> за възнаграждението си [на този етап от производството]. Съдът ще бъде в състояние да определи тази сума едва след събирането на всички доказателства и след окончателните устни състезания. Повдигайки въпроса за определяне на възнаграждението си на минимум 550 лв</w:t>
      </w:r>
      <w:r w:rsidR="00191EB8">
        <w:t>.</w:t>
      </w:r>
      <w:r w:rsidRPr="00D4726C">
        <w:t xml:space="preserve"> преди разглеждането на делото, [двамата адвокати] показват явно неуважение към съда и са в нарушение на </w:t>
      </w:r>
      <w:r w:rsidR="00065DA4">
        <w:t>Н</w:t>
      </w:r>
      <w:r w:rsidRPr="00D4726C">
        <w:t xml:space="preserve">аказателнопроцесуалния кодекс. Въпреки предупреждението, което не коментират, те отказват да изпълняват задълженията си на процесуални представители, определени от Пловдивската адвокатска колегия по заявка на съда ... и напускат залата. </w:t>
      </w:r>
      <w:r w:rsidR="00065DA4">
        <w:t>Като се има предвид,</w:t>
      </w:r>
      <w:r w:rsidRPr="00D4726C">
        <w:t xml:space="preserve"> че в настоящия случай </w:t>
      </w:r>
      <w:r w:rsidR="00065DA4">
        <w:t>подсъдимите</w:t>
      </w:r>
      <w:r w:rsidR="00065DA4" w:rsidRPr="00D4726C">
        <w:t xml:space="preserve"> </w:t>
      </w:r>
      <w:r w:rsidRPr="00D4726C">
        <w:t>трябва да бъдат процесуално представлявани от адвокат ... изслушването се налага да бъде отложено поради неоправданото отсъствие на процесуалн</w:t>
      </w:r>
      <w:r w:rsidR="00065DA4">
        <w:t>ите им</w:t>
      </w:r>
      <w:r w:rsidRPr="00D4726C">
        <w:t xml:space="preserve"> защитни</w:t>
      </w:r>
      <w:r w:rsidR="00065DA4">
        <w:t>ци</w:t>
      </w:r>
      <w:r w:rsidRPr="00D4726C">
        <w:t>.</w:t>
      </w:r>
    </w:p>
    <w:p w:rsidR="001779A6" w:rsidRPr="00D4726C" w:rsidRDefault="001779A6" w:rsidP="001B7481">
      <w:pPr>
        <w:pStyle w:val="ECHRParaQuote"/>
      </w:pPr>
      <w:r w:rsidRPr="00D4726C">
        <w:t>Ето защо [жалбоподателят и другият адвокат] са наказани с глоба от 500 лв</w:t>
      </w:r>
      <w:r w:rsidR="00065DA4">
        <w:t>.</w:t>
      </w:r>
      <w:r w:rsidRPr="00D4726C">
        <w:t xml:space="preserve"> всеки."</w:t>
      </w:r>
    </w:p>
    <w:p w:rsidR="001779A6" w:rsidRPr="00D4726C" w:rsidRDefault="009E5013" w:rsidP="001B7481">
      <w:pPr>
        <w:pStyle w:val="ECHRPara"/>
      </w:pPr>
      <w:fldSimple w:instr=" SEQ level0 \*arabic ">
        <w:r w:rsidR="00D4726C">
          <w:rPr>
            <w:noProof/>
          </w:rPr>
          <w:t>15</w:t>
        </w:r>
      </w:fldSimple>
      <w:r w:rsidR="002D2382" w:rsidRPr="00D4726C">
        <w:t>.  </w:t>
      </w:r>
      <w:r w:rsidR="00065DA4">
        <w:t>След това</w:t>
      </w:r>
      <w:r w:rsidR="00065DA4" w:rsidRPr="00D4726C">
        <w:t xml:space="preserve"> </w:t>
      </w:r>
      <w:r w:rsidR="002D2382" w:rsidRPr="00D4726C">
        <w:t xml:space="preserve">прокурорът </w:t>
      </w:r>
      <w:r w:rsidR="00065DA4">
        <w:t>иска</w:t>
      </w:r>
      <w:r w:rsidR="002D2382" w:rsidRPr="00D4726C">
        <w:t xml:space="preserve"> един час почивка, за да може да бъде намерен нов процесуален представител за обвиняемия. Той твърди, че с оглед на принципа за експедитивност на наказателното производство и на факта, че всички свидетели и вещи лица са в съдебната зала, съдебното заседание не следва да бъде отлагано за по-късна дата. Съдът уважава искането и решава да даде ход на делото в 16:40 часа на същия ден.</w:t>
      </w:r>
    </w:p>
    <w:p w:rsidR="001779A6" w:rsidRPr="00D4726C" w:rsidRDefault="009E5013" w:rsidP="001B7481">
      <w:pPr>
        <w:pStyle w:val="ECHRPara"/>
      </w:pPr>
      <w:fldSimple w:instr=" SEQ level0 \*arabic ">
        <w:r w:rsidR="00D4726C">
          <w:rPr>
            <w:noProof/>
          </w:rPr>
          <w:t>16</w:t>
        </w:r>
      </w:fldSimple>
      <w:r w:rsidR="00634E7F" w:rsidRPr="00D4726C">
        <w:t>.  Заседанието се възобновява, както е предвидено. Прокурорът моли съда да назначи друг адвокат, който присъства в съдебна зала</w:t>
      </w:r>
      <w:r w:rsidR="00065DA4">
        <w:t>,</w:t>
      </w:r>
      <w:r w:rsidR="00634E7F" w:rsidRPr="00D4726C">
        <w:t xml:space="preserve"> </w:t>
      </w:r>
      <w:r w:rsidR="00065DA4">
        <w:t>за</w:t>
      </w:r>
      <w:r w:rsidR="00065DA4" w:rsidRPr="00D4726C">
        <w:t xml:space="preserve"> </w:t>
      </w:r>
      <w:r w:rsidR="00634E7F" w:rsidRPr="00D4726C">
        <w:t>адвокат на обвиняемия и да му даде време да се запознае с материалите по делото. Съдът уважава молбата.</w:t>
      </w:r>
    </w:p>
    <w:p w:rsidR="00407ED2" w:rsidRPr="00D4726C" w:rsidRDefault="009E5013" w:rsidP="001B7481">
      <w:pPr>
        <w:pStyle w:val="ECHRPara"/>
      </w:pPr>
      <w:fldSimple w:instr=" SEQ level0 \*arabic ">
        <w:r w:rsidR="00D4726C">
          <w:rPr>
            <w:noProof/>
          </w:rPr>
          <w:t>17</w:t>
        </w:r>
      </w:fldSimple>
      <w:r w:rsidR="00634E7F" w:rsidRPr="00D4726C">
        <w:t xml:space="preserve">.  В 16:55 часа новият адвокат заявява, че се е запознал със случая и е съгласен да бъде назначен </w:t>
      </w:r>
      <w:r w:rsidR="00065DA4">
        <w:t>за</w:t>
      </w:r>
      <w:r w:rsidR="00634E7F" w:rsidRPr="00D4726C">
        <w:t xml:space="preserve"> защитник. Съдът изпълнява тази молба и дава ход на делото. Производството приключва със споразумение между прокурора и подсъдимите. Съдът определя възнаграждението на новия процесуален защитник да бъде 30 лв</w:t>
      </w:r>
      <w:r w:rsidR="00065DA4">
        <w:t xml:space="preserve">. </w:t>
      </w:r>
      <w:r w:rsidR="00634E7F" w:rsidRPr="00D4726C">
        <w:t xml:space="preserve">(около 15 </w:t>
      </w:r>
      <w:r w:rsidR="00065DA4">
        <w:t>е</w:t>
      </w:r>
      <w:r w:rsidR="00634E7F" w:rsidRPr="00D4726C">
        <w:t>вро).</w:t>
      </w:r>
    </w:p>
    <w:p w:rsidR="009455CB" w:rsidRPr="00D4726C" w:rsidRDefault="009E5013" w:rsidP="001B7481">
      <w:pPr>
        <w:pStyle w:val="ECHRPara"/>
      </w:pPr>
      <w:fldSimple w:instr=" SEQ level0 \*arabic ">
        <w:r w:rsidR="00D4726C">
          <w:rPr>
            <w:noProof/>
          </w:rPr>
          <w:t>18</w:t>
        </w:r>
      </w:fldSimple>
      <w:r w:rsidR="00634E7F" w:rsidRPr="00D4726C">
        <w:t>.  На неуточнена дата жалбоподателят обжалва глобата, която му е наложена (вж</w:t>
      </w:r>
      <w:r w:rsidR="00065DA4">
        <w:t>.</w:t>
      </w:r>
      <w:r w:rsidR="00634E7F" w:rsidRPr="00D4726C">
        <w:t xml:space="preserve"> параграф 14 по-горе). Той твърди, че не е бил назначен от </w:t>
      </w:r>
      <w:r w:rsidR="00065DA4">
        <w:t>Районния</w:t>
      </w:r>
      <w:r w:rsidR="00065DA4" w:rsidRPr="00D4726C">
        <w:t xml:space="preserve"> </w:t>
      </w:r>
      <w:r w:rsidR="00065DA4">
        <w:t>с</w:t>
      </w:r>
      <w:r w:rsidR="00634E7F" w:rsidRPr="00D4726C">
        <w:t>ъд в съответствие със закона. По-</w:t>
      </w:r>
      <w:r w:rsidR="00065DA4">
        <w:t>конкретно</w:t>
      </w:r>
      <w:r w:rsidR="00634E7F" w:rsidRPr="00D4726C">
        <w:t xml:space="preserve"> съдът е бил длъжен по закон, </w:t>
      </w:r>
      <w:r w:rsidR="00065DA4">
        <w:t>в частност</w:t>
      </w:r>
      <w:r w:rsidR="00634E7F" w:rsidRPr="00D4726C">
        <w:t xml:space="preserve"> Закона за адвокатурата, да определи възнаграждението му в самото решение, с което го назначава за служебен защитник (вж</w:t>
      </w:r>
      <w:r w:rsidR="00065DA4">
        <w:t>.</w:t>
      </w:r>
      <w:r w:rsidR="00634E7F" w:rsidRPr="00D4726C">
        <w:t xml:space="preserve"> параграф 30 по-долу); </w:t>
      </w:r>
      <w:r w:rsidR="00065DA4">
        <w:t>с</w:t>
      </w:r>
      <w:r w:rsidR="00634E7F" w:rsidRPr="00D4726C">
        <w:t xml:space="preserve">ъдът също така е трябвало да определи сумата съгласно Наредбата за възнагражденията. Отказвайки да се съобрази с тези законови изисквания, съдът </w:t>
      </w:r>
      <w:r w:rsidR="00065DA4">
        <w:t xml:space="preserve">е </w:t>
      </w:r>
      <w:r w:rsidR="00634E7F" w:rsidRPr="00D4726C">
        <w:t>наруш</w:t>
      </w:r>
      <w:r w:rsidR="00065DA4">
        <w:t>ил</w:t>
      </w:r>
      <w:r w:rsidR="00634E7F" w:rsidRPr="00D4726C">
        <w:t xml:space="preserve"> закона. Ето защо отказът на жалбоподателя да изпълнява ролята на процесуален защитник е бил оправдан; той не е трябвало да бъде държан </w:t>
      </w:r>
      <w:r w:rsidR="00634E7F" w:rsidRPr="00D4726C">
        <w:lastRenderedPageBreak/>
        <w:t>отговорен за отлагането на делото и не е действал непочтително. Следователно, заявява той, глобата е била незаконосъобразна.</w:t>
      </w:r>
    </w:p>
    <w:p w:rsidR="00014566" w:rsidRPr="00D4726C" w:rsidRDefault="009E5013" w:rsidP="001B7481">
      <w:pPr>
        <w:pStyle w:val="ECHRPara"/>
      </w:pPr>
      <w:fldSimple w:instr=" SEQ level0 \*arabic ">
        <w:r w:rsidR="00D4726C">
          <w:rPr>
            <w:noProof/>
          </w:rPr>
          <w:t>19</w:t>
        </w:r>
      </w:fldSimple>
      <w:r w:rsidR="009455CB" w:rsidRPr="00D4726C">
        <w:t xml:space="preserve">.  На 11 юли 2005 г. Пловдивският </w:t>
      </w:r>
      <w:r w:rsidR="008A2740">
        <w:t>окръжен</w:t>
      </w:r>
      <w:r w:rsidR="008A2740" w:rsidRPr="00D4726C">
        <w:t xml:space="preserve"> </w:t>
      </w:r>
      <w:r w:rsidR="009455CB" w:rsidRPr="00D4726C">
        <w:t>съд</w:t>
      </w:r>
      <w:r w:rsidR="008A2740" w:rsidRPr="008A2740">
        <w:t xml:space="preserve"> </w:t>
      </w:r>
      <w:r w:rsidR="008A2740" w:rsidRPr="00D4726C">
        <w:t>отхвърля жалбата на жалбоподателя срещу глобата</w:t>
      </w:r>
      <w:r w:rsidR="009455CB" w:rsidRPr="00D4726C">
        <w:t xml:space="preserve"> с окончателно решение. Съдът признава, че по силата на член 44(2) от Закона за адвокатурата възнаграждението, което трябва да бъде изплатено на процесуален защитник, назначен от съда</w:t>
      </w:r>
      <w:r w:rsidR="008A2740">
        <w:t>,</w:t>
      </w:r>
      <w:r w:rsidR="009455CB" w:rsidRPr="00D4726C">
        <w:t xml:space="preserve"> трябва да бъде посочено в постановлението за неговото назначаване, а също така, че това възнаграждение не трябва да бъде по-ниско от минималното, предвидено в </w:t>
      </w:r>
      <w:r w:rsidR="008A2740">
        <w:t>Н</w:t>
      </w:r>
      <w:r w:rsidR="009455CB" w:rsidRPr="00D4726C">
        <w:t xml:space="preserve">аредбата </w:t>
      </w:r>
      <w:r w:rsidR="008A2740">
        <w:t xml:space="preserve">за </w:t>
      </w:r>
      <w:r w:rsidR="009455CB" w:rsidRPr="00D4726C">
        <w:t>възнаграждени</w:t>
      </w:r>
      <w:r w:rsidR="008A2740">
        <w:t>ята</w:t>
      </w:r>
      <w:r w:rsidR="009455CB" w:rsidRPr="00D4726C">
        <w:t xml:space="preserve">. Въпреки това съдът </w:t>
      </w:r>
      <w:r w:rsidR="008A2740">
        <w:t>констатира</w:t>
      </w:r>
      <w:r w:rsidR="009455CB" w:rsidRPr="00D4726C">
        <w:t>, че точният размер на дължимото възнаграждение може да се определи едва в края на производството. Причината за това е, че Наредбата за възнагражденията предвижда по-ниска сума в случай на прекратяване на наказателното производство поради сключване на споразумение с прокуратурата (вж</w:t>
      </w:r>
      <w:r w:rsidR="008A2740">
        <w:t>.</w:t>
      </w:r>
      <w:r w:rsidR="009455CB" w:rsidRPr="00D4726C">
        <w:t xml:space="preserve"> параграф 28 по-долу). Съдът не може от самото начало да предскаже изхода на делото. Ето защо настояването на жалбоподателя за предварително определяне на неговия хонорар е в противоречие с чл</w:t>
      </w:r>
      <w:r w:rsidR="008A2740">
        <w:t>.</w:t>
      </w:r>
      <w:r w:rsidR="009455CB" w:rsidRPr="00D4726C">
        <w:t xml:space="preserve"> 44 от Закона за адвокатурата. По този начин жалбоподателят е причинил неоправдано отлагане и правилно е бил глобен по чл</w:t>
      </w:r>
      <w:r w:rsidR="008A2740">
        <w:t>.</w:t>
      </w:r>
      <w:r w:rsidR="009455CB" w:rsidRPr="00D4726C">
        <w:t xml:space="preserve"> 269 § 7 от НПК. В крайна сметка Съдът </w:t>
      </w:r>
      <w:r w:rsidR="008A2740">
        <w:t>приема</w:t>
      </w:r>
      <w:r w:rsidR="009455CB" w:rsidRPr="00D4726C">
        <w:t>, че размерът на глобата е пропорционален на сериозността на правонарушението.</w:t>
      </w:r>
    </w:p>
    <w:p w:rsidR="00014566" w:rsidRPr="00D4726C" w:rsidRDefault="004B5021" w:rsidP="001B7481">
      <w:pPr>
        <w:pStyle w:val="ECHRHeading1"/>
      </w:pPr>
      <w:r w:rsidRPr="00D4726C">
        <w:t xml:space="preserve">II.  ПРИЛОЖИМО ВЪТРЕШНО </w:t>
      </w:r>
      <w:r w:rsidR="008A2740">
        <w:t>ПРАВО</w:t>
      </w:r>
    </w:p>
    <w:p w:rsidR="00634E7F" w:rsidRPr="00D4726C" w:rsidRDefault="00634E7F" w:rsidP="001B7481">
      <w:pPr>
        <w:pStyle w:val="ECHRHeading2"/>
      </w:pPr>
      <w:r w:rsidRPr="00D4726C">
        <w:t>A.  Назначаване на процесуален защитник от съда</w:t>
      </w:r>
    </w:p>
    <w:p w:rsidR="00634E7F" w:rsidRPr="00D4726C" w:rsidRDefault="009E5013" w:rsidP="001B7481">
      <w:pPr>
        <w:pStyle w:val="ECHRPara"/>
      </w:pPr>
      <w:fldSimple w:instr=" SEQ level0 \*arabic ">
        <w:r w:rsidR="00D4726C">
          <w:rPr>
            <w:noProof/>
          </w:rPr>
          <w:t>20</w:t>
        </w:r>
      </w:fldSimple>
      <w:r w:rsidR="0094543B" w:rsidRPr="00D4726C">
        <w:t xml:space="preserve">.  Член 70 </w:t>
      </w:r>
      <w:r w:rsidR="008A2740">
        <w:t>от</w:t>
      </w:r>
      <w:r w:rsidR="008A2740" w:rsidRPr="00D4726C">
        <w:t xml:space="preserve"> </w:t>
      </w:r>
      <w:r w:rsidR="0094543B" w:rsidRPr="00D4726C">
        <w:t xml:space="preserve">Наказателнопроцесуалния кодекс от 1974 г. ("НПК от 1974 г.") съдържа списък на обстоятелствата, които изискват назначаването на процесуален защитник от съда. Те, </w:t>
      </w:r>
      <w:r w:rsidR="008A2740">
        <w:t>наред с</w:t>
      </w:r>
      <w:r w:rsidR="0094543B" w:rsidRPr="00D4726C">
        <w:t xml:space="preserve"> другото, включват ситуации, при които обвиняемият желае да бъде представляван от адвокат, а е налице и друг обвиняем с противоречиви интереси, който вече има нает адвокат (чл</w:t>
      </w:r>
      <w:r w:rsidR="008A2740">
        <w:t>.</w:t>
      </w:r>
      <w:r w:rsidR="0094543B" w:rsidRPr="00D4726C">
        <w:t xml:space="preserve"> 70, ал</w:t>
      </w:r>
      <w:r w:rsidR="008A2740">
        <w:t>.</w:t>
      </w:r>
      <w:r w:rsidR="0094543B" w:rsidRPr="00D4726C">
        <w:t xml:space="preserve"> 1 (5) във връзка с член 70 § 2 НПК от 1974 г.). Назначаването на процесуален защитник също е задължително, когато обвиняемият не може да си позволи да наеме адвокат</w:t>
      </w:r>
      <w:r w:rsidR="008A2740">
        <w:t>,</w:t>
      </w:r>
      <w:r w:rsidR="0094543B" w:rsidRPr="00D4726C">
        <w:t xml:space="preserve"> но желае да бъде представляван от такъв и интересите на правосъдието го изискват (чл</w:t>
      </w:r>
      <w:r w:rsidR="008A2740">
        <w:t>.</w:t>
      </w:r>
      <w:r w:rsidR="0094543B" w:rsidRPr="00D4726C">
        <w:t xml:space="preserve"> 70 § 1 (7) НПК от 1974 г.). Отделно от обстоятелствата, предвидени в чл</w:t>
      </w:r>
      <w:r w:rsidR="008A2740">
        <w:t>.</w:t>
      </w:r>
      <w:r w:rsidR="0094543B" w:rsidRPr="00D4726C">
        <w:t xml:space="preserve"> 70 </w:t>
      </w:r>
      <w:r w:rsidR="008A2740">
        <w:t>от</w:t>
      </w:r>
      <w:r w:rsidR="008A2740" w:rsidRPr="00D4726C">
        <w:t xml:space="preserve"> </w:t>
      </w:r>
      <w:r w:rsidR="0094543B" w:rsidRPr="00D4726C">
        <w:t xml:space="preserve">НПК от 1974 г., съдът е задължен да назначи процесуален защитник, </w:t>
      </w:r>
      <w:r w:rsidR="008A2740">
        <w:t>когато</w:t>
      </w:r>
      <w:r w:rsidR="0094543B" w:rsidRPr="00D4726C">
        <w:t xml:space="preserve"> обвиняемият не е представляван и прокурорът е предложил сключване на споразумение (чл</w:t>
      </w:r>
      <w:r w:rsidR="008A2740">
        <w:t>.</w:t>
      </w:r>
      <w:r w:rsidR="0094543B" w:rsidRPr="00D4726C">
        <w:t xml:space="preserve"> 414к </w:t>
      </w:r>
      <w:r w:rsidR="008A2740">
        <w:t xml:space="preserve">от </w:t>
      </w:r>
      <w:r w:rsidR="0094543B" w:rsidRPr="00D4726C">
        <w:t>НПК от 1974 г.). Подобни разпоредби се появяват в Наказателнопроцесуалния кодекс ("НПК"), който влиза в сила през 2006 г. (чл</w:t>
      </w:r>
      <w:r w:rsidR="00D40736">
        <w:t>.</w:t>
      </w:r>
      <w:r w:rsidR="0094543B" w:rsidRPr="00D4726C">
        <w:t xml:space="preserve"> 94 § 1 и </w:t>
      </w:r>
      <w:r w:rsidR="00D40736">
        <w:t xml:space="preserve">чл. </w:t>
      </w:r>
      <w:r w:rsidR="0094543B" w:rsidRPr="00D4726C">
        <w:t xml:space="preserve">384 </w:t>
      </w:r>
      <w:r w:rsidR="00D40736">
        <w:t>от</w:t>
      </w:r>
      <w:r w:rsidR="00D40736" w:rsidRPr="00D4726C">
        <w:t xml:space="preserve"> </w:t>
      </w:r>
      <w:r w:rsidR="0094543B" w:rsidRPr="00D4726C">
        <w:t>НПК от 2006 г.).</w:t>
      </w:r>
    </w:p>
    <w:p w:rsidR="00407ED2" w:rsidRPr="00D4726C" w:rsidRDefault="009E5013" w:rsidP="001B7481">
      <w:pPr>
        <w:pStyle w:val="ECHRPara"/>
      </w:pPr>
      <w:fldSimple w:instr=" SEQ level0 \*arabic ">
        <w:r w:rsidR="00D4726C">
          <w:rPr>
            <w:noProof/>
          </w:rPr>
          <w:t>21</w:t>
        </w:r>
      </w:fldSimple>
      <w:r w:rsidR="00FB389B" w:rsidRPr="00D4726C">
        <w:t xml:space="preserve">.  Когато съд, разглеждащ дадено наказателно </w:t>
      </w:r>
      <w:r w:rsidR="00D40736">
        <w:t>дел</w:t>
      </w:r>
      <w:r w:rsidR="00D40736" w:rsidRPr="00D4726C">
        <w:t>о</w:t>
      </w:r>
      <w:r w:rsidR="00D40736">
        <w:t>,</w:t>
      </w:r>
      <w:r w:rsidR="00D40736" w:rsidRPr="00D4726C">
        <w:t xml:space="preserve"> </w:t>
      </w:r>
      <w:r w:rsidR="00FB389B" w:rsidRPr="00D4726C">
        <w:t>реши да назначи процесуален защитник, се информира съответната адвокатска колегия, която избира един от своите членове за изпълнение на задачата, като го предлага за назначаване от съда, разглеждащ въпросното дело (</w:t>
      </w:r>
      <w:r w:rsidR="00D40736">
        <w:t>чл.</w:t>
      </w:r>
      <w:r w:rsidR="00D40736" w:rsidRPr="00D4726C">
        <w:t xml:space="preserve"> </w:t>
      </w:r>
      <w:r w:rsidR="00FB389B" w:rsidRPr="00D4726C">
        <w:t>44 § 2 от Закона за адвокатурата).</w:t>
      </w:r>
    </w:p>
    <w:p w:rsidR="00634E7F" w:rsidRPr="00D4726C" w:rsidRDefault="009E5013" w:rsidP="001B7481">
      <w:pPr>
        <w:pStyle w:val="ECHRPara"/>
      </w:pPr>
      <w:fldSimple w:instr=" SEQ level0 \*arabic ">
        <w:r w:rsidR="00D4726C">
          <w:rPr>
            <w:noProof/>
          </w:rPr>
          <w:t>22</w:t>
        </w:r>
      </w:fldSimple>
      <w:r w:rsidR="00FB389B" w:rsidRPr="00D4726C">
        <w:t>.  На 1 януари 2006 г. разпоредбите относно назначаването на процесуални защитници са изменени и стават част от новоприетия Закон за правната помощ (</w:t>
      </w:r>
      <w:r w:rsidR="00942925">
        <w:t>членове</w:t>
      </w:r>
      <w:r w:rsidR="00942925" w:rsidRPr="00D4726C">
        <w:t xml:space="preserve"> </w:t>
      </w:r>
      <w:r w:rsidR="00FB389B" w:rsidRPr="00D4726C">
        <w:t xml:space="preserve">21 до 26). Съгласно новия режим след като е предоставена безплатна правна помощ, комисията за правна помощ изпраща копие от решението си на местната адвокатска колегия, която </w:t>
      </w:r>
      <w:r w:rsidR="00942925">
        <w:t>номинира</w:t>
      </w:r>
      <w:r w:rsidR="00942925" w:rsidRPr="00D4726C">
        <w:t xml:space="preserve"> </w:t>
      </w:r>
      <w:r w:rsidR="00FB389B" w:rsidRPr="00D4726C">
        <w:t>адвокат, който да бъде назначен за процесуален представител на обвиняемия (</w:t>
      </w:r>
      <w:r w:rsidR="00942925">
        <w:t>ч</w:t>
      </w:r>
      <w:r w:rsidR="00FB389B" w:rsidRPr="00D4726C">
        <w:t>л</w:t>
      </w:r>
      <w:r w:rsidR="00942925">
        <w:t>.</w:t>
      </w:r>
      <w:r w:rsidR="00FB389B" w:rsidRPr="00D4726C">
        <w:t xml:space="preserve"> 25 § 4).</w:t>
      </w:r>
    </w:p>
    <w:p w:rsidR="00634E7F" w:rsidRPr="00D4726C" w:rsidRDefault="00AA3BCB" w:rsidP="001B7481">
      <w:pPr>
        <w:pStyle w:val="ECHRHeading2"/>
      </w:pPr>
      <w:r w:rsidRPr="00D4726C">
        <w:t>B.  Обстоятелства, при които назначеният от съда защитник може да си направи отвод</w:t>
      </w:r>
    </w:p>
    <w:p w:rsidR="00407ED2" w:rsidRPr="00D4726C" w:rsidRDefault="009E5013" w:rsidP="001B7481">
      <w:pPr>
        <w:pStyle w:val="ECHRPara"/>
      </w:pPr>
      <w:fldSimple w:instr=" SEQ level0 \*arabic ">
        <w:r w:rsidR="00D4726C">
          <w:rPr>
            <w:noProof/>
          </w:rPr>
          <w:t>23</w:t>
        </w:r>
      </w:fldSimple>
      <w:r w:rsidR="00FB389B" w:rsidRPr="00D4726C">
        <w:t>.  </w:t>
      </w:r>
      <w:r w:rsidR="00942925">
        <w:t>Член</w:t>
      </w:r>
      <w:r w:rsidR="00942925" w:rsidRPr="00D4726C">
        <w:t xml:space="preserve"> </w:t>
      </w:r>
      <w:r w:rsidR="00FB389B" w:rsidRPr="00D4726C">
        <w:t>44(1) от Закона за адвокатурата предвижда, че всеки адвокат на обвиняемия, който е назначен от съда, е длъжен да действа в защита на обвиняемия.</w:t>
      </w:r>
    </w:p>
    <w:p w:rsidR="00634E7F" w:rsidRPr="00D4726C" w:rsidRDefault="009E5013" w:rsidP="001B7481">
      <w:pPr>
        <w:pStyle w:val="ECHRPara"/>
      </w:pPr>
      <w:fldSimple w:instr=" SEQ level0 \*arabic ">
        <w:r w:rsidR="00D4726C">
          <w:rPr>
            <w:noProof/>
          </w:rPr>
          <w:t>24</w:t>
        </w:r>
      </w:fldSimple>
      <w:r w:rsidR="00FB389B" w:rsidRPr="00D4726C">
        <w:t>.  Всеки процесуален представител, независимо дали е  назначен от обвиняемия или от съда, има право да с</w:t>
      </w:r>
      <w:r w:rsidR="00942925">
        <w:t>е</w:t>
      </w:r>
      <w:r w:rsidR="00FB389B" w:rsidRPr="00D4726C">
        <w:t xml:space="preserve"> </w:t>
      </w:r>
      <w:r w:rsidR="00942925">
        <w:t>откаже</w:t>
      </w:r>
      <w:r w:rsidR="00FB389B" w:rsidRPr="00D4726C">
        <w:t xml:space="preserve"> единствено в ситуации, </w:t>
      </w:r>
      <w:r w:rsidR="006F05B0">
        <w:t>в</w:t>
      </w:r>
      <w:r w:rsidR="00FB389B" w:rsidRPr="00D4726C">
        <w:t xml:space="preserve"> които съществуват "</w:t>
      </w:r>
      <w:r w:rsidR="006F05B0">
        <w:t>независещи от него</w:t>
      </w:r>
      <w:r w:rsidR="006F05B0" w:rsidRPr="00D4726C">
        <w:t xml:space="preserve"> </w:t>
      </w:r>
      <w:r w:rsidR="00FB389B" w:rsidRPr="00D4726C">
        <w:t>причини", които правят изпълнението на неговите задължения "невъзможно" (чл</w:t>
      </w:r>
      <w:r w:rsidR="00942925">
        <w:t>.</w:t>
      </w:r>
      <w:r w:rsidR="00FB389B" w:rsidRPr="00D4726C">
        <w:t xml:space="preserve"> 35 от Закона за адвокатурата и чл</w:t>
      </w:r>
      <w:r w:rsidR="006F05B0">
        <w:t>.</w:t>
      </w:r>
      <w:r w:rsidR="00FB389B" w:rsidRPr="00D4726C">
        <w:t xml:space="preserve"> 71 </w:t>
      </w:r>
      <w:r w:rsidR="006F05B0">
        <w:t>от</w:t>
      </w:r>
      <w:r w:rsidR="00FB389B" w:rsidRPr="00D4726C">
        <w:t xml:space="preserve"> НПК от 1974 г.).</w:t>
      </w:r>
    </w:p>
    <w:p w:rsidR="00407ED2" w:rsidRPr="00D4726C" w:rsidRDefault="00AA3BCB" w:rsidP="001B7481">
      <w:pPr>
        <w:pStyle w:val="ECHRHeading2"/>
      </w:pPr>
      <w:r w:rsidRPr="00D4726C">
        <w:t xml:space="preserve">C.  Общи правила за минималните </w:t>
      </w:r>
      <w:r w:rsidR="006F05B0">
        <w:t xml:space="preserve">адвокатски възнаграждения </w:t>
      </w:r>
    </w:p>
    <w:p w:rsidR="00634E7F" w:rsidRPr="00D4726C" w:rsidRDefault="009E5013" w:rsidP="001B7481">
      <w:pPr>
        <w:pStyle w:val="ECHRPara"/>
      </w:pPr>
      <w:fldSimple w:instr=" SEQ level0 \*arabic ">
        <w:r w:rsidR="00D4726C">
          <w:rPr>
            <w:noProof/>
          </w:rPr>
          <w:t>25</w:t>
        </w:r>
      </w:fldSimple>
      <w:r w:rsidR="00FB389B" w:rsidRPr="00D4726C">
        <w:t xml:space="preserve">.  Адвокатите нямат право да таксуват хонорари, по-ниски от тези, определени от </w:t>
      </w:r>
      <w:r w:rsidR="006F05B0">
        <w:t>Висшия а</w:t>
      </w:r>
      <w:r w:rsidR="00FB389B" w:rsidRPr="00D4726C">
        <w:t>двокатск</w:t>
      </w:r>
      <w:r w:rsidR="006F05B0">
        <w:t>и съвет</w:t>
      </w:r>
      <w:r w:rsidR="00FB389B" w:rsidRPr="00D4726C">
        <w:t xml:space="preserve">. Те могат да предлагат услугите си </w:t>
      </w:r>
      <w:r w:rsidR="006F05B0" w:rsidRPr="001B7481">
        <w:rPr>
          <w:i/>
          <w:lang w:val="en-GB"/>
        </w:rPr>
        <w:t>pro bono</w:t>
      </w:r>
      <w:r w:rsidR="00FB389B" w:rsidRPr="00D4726C">
        <w:rPr>
          <w:i/>
        </w:rPr>
        <w:t xml:space="preserve"> </w:t>
      </w:r>
      <w:r w:rsidR="00FB389B" w:rsidRPr="00ED4F06">
        <w:t>на</w:t>
      </w:r>
      <w:r w:rsidR="006F05B0">
        <w:t xml:space="preserve"> материално затруднени лица</w:t>
      </w:r>
      <w:r w:rsidR="00FB389B" w:rsidRPr="00D4726C">
        <w:t xml:space="preserve"> (</w:t>
      </w:r>
      <w:r w:rsidR="006F05B0">
        <w:t>членове</w:t>
      </w:r>
      <w:r w:rsidR="006F05B0" w:rsidRPr="00D4726C">
        <w:t xml:space="preserve"> </w:t>
      </w:r>
      <w:r w:rsidR="00FB389B" w:rsidRPr="00D4726C">
        <w:t>36(2) и 38(1) от Закона за адвокатурата).</w:t>
      </w:r>
    </w:p>
    <w:p w:rsidR="00407ED2" w:rsidRPr="00D4726C" w:rsidRDefault="009E5013" w:rsidP="001B7481">
      <w:pPr>
        <w:pStyle w:val="ECHRPara"/>
      </w:pPr>
      <w:fldSimple w:instr=" SEQ level0 \*arabic ">
        <w:r w:rsidR="00D4726C">
          <w:rPr>
            <w:noProof/>
          </w:rPr>
          <w:t>26</w:t>
        </w:r>
      </w:fldSimple>
      <w:r w:rsidR="00731305" w:rsidRPr="00D4726C">
        <w:t>.  </w:t>
      </w:r>
      <w:r w:rsidR="006F05B0">
        <w:t>Към момента на събитията</w:t>
      </w:r>
      <w:r w:rsidR="00731305" w:rsidRPr="00D4726C">
        <w:t xml:space="preserve"> минималните </w:t>
      </w:r>
      <w:r w:rsidR="006F05B0">
        <w:t>възнаграждения</w:t>
      </w:r>
      <w:r w:rsidR="006F05B0" w:rsidRPr="00D4726C">
        <w:t xml:space="preserve"> </w:t>
      </w:r>
      <w:r w:rsidR="00731305" w:rsidRPr="00D4726C">
        <w:t>са определени в Наредбата за възнагражденията.</w:t>
      </w:r>
    </w:p>
    <w:p w:rsidR="00407ED2" w:rsidRPr="00D4726C" w:rsidRDefault="009E5013" w:rsidP="001B7481">
      <w:pPr>
        <w:pStyle w:val="ECHRPara"/>
      </w:pPr>
      <w:fldSimple w:instr=" SEQ level0 \*arabic ">
        <w:r w:rsidR="00D4726C">
          <w:rPr>
            <w:noProof/>
          </w:rPr>
          <w:t>27</w:t>
        </w:r>
      </w:fldSimple>
      <w:r w:rsidR="00731305" w:rsidRPr="00D4726C">
        <w:t xml:space="preserve">.  Минималните </w:t>
      </w:r>
      <w:r w:rsidR="006F05B0">
        <w:t>възнаграждения</w:t>
      </w:r>
      <w:r w:rsidR="006F05B0" w:rsidRPr="00D4726C">
        <w:t xml:space="preserve"> </w:t>
      </w:r>
      <w:r w:rsidR="006F05B0">
        <w:t>варират</w:t>
      </w:r>
      <w:r w:rsidR="00731305" w:rsidRPr="00D4726C">
        <w:t xml:space="preserve"> в зависимост от типа на правн</w:t>
      </w:r>
      <w:r w:rsidR="006F05B0">
        <w:t>а</w:t>
      </w:r>
      <w:r w:rsidR="00731305" w:rsidRPr="00D4726C">
        <w:t>т</w:t>
      </w:r>
      <w:r w:rsidR="006F05B0">
        <w:t>а</w:t>
      </w:r>
      <w:r w:rsidR="00731305" w:rsidRPr="00D4726C">
        <w:t xml:space="preserve"> работ</w:t>
      </w:r>
      <w:r w:rsidR="006F05B0">
        <w:t>а</w:t>
      </w:r>
      <w:r w:rsidR="00731305" w:rsidRPr="00D4726C">
        <w:t xml:space="preserve"> и съответния етап на производство (</w:t>
      </w:r>
      <w:r w:rsidR="006F05B0">
        <w:t>членове</w:t>
      </w:r>
      <w:r w:rsidR="00731305" w:rsidRPr="00D4726C">
        <w:t xml:space="preserve"> 12-16 от Наредбата за възнагражденията по отношение на наказателните производства).</w:t>
      </w:r>
    </w:p>
    <w:p w:rsidR="00634E7F" w:rsidRPr="00D4726C" w:rsidRDefault="00AA3BCB" w:rsidP="001B7481">
      <w:pPr>
        <w:pStyle w:val="ECHRHeading2"/>
      </w:pPr>
      <w:r w:rsidRPr="00D4726C">
        <w:t xml:space="preserve">D.  Адвокатски </w:t>
      </w:r>
      <w:r w:rsidR="006F05B0">
        <w:t>възнаграждения</w:t>
      </w:r>
      <w:r w:rsidRPr="00D4726C">
        <w:t xml:space="preserve"> </w:t>
      </w:r>
      <w:r w:rsidR="006F05B0">
        <w:t>з</w:t>
      </w:r>
      <w:r w:rsidRPr="00D4726C">
        <w:t>а назначените от съда адвокати</w:t>
      </w:r>
    </w:p>
    <w:p w:rsidR="00407ED2" w:rsidRPr="00D4726C" w:rsidRDefault="009E5013" w:rsidP="001B7481">
      <w:pPr>
        <w:pStyle w:val="ECHRPara"/>
      </w:pPr>
      <w:fldSimple w:instr=" SEQ level0 \*arabic ">
        <w:r w:rsidR="00D4726C">
          <w:rPr>
            <w:noProof/>
          </w:rPr>
          <w:t>28</w:t>
        </w:r>
      </w:fldSimple>
      <w:r w:rsidR="009E6547" w:rsidRPr="00D4726C">
        <w:t>.  </w:t>
      </w:r>
      <w:r w:rsidR="006F05B0">
        <w:t>Към момента на събитията</w:t>
      </w:r>
      <w:r w:rsidR="009E6547" w:rsidRPr="00D4726C">
        <w:t>, в съответствие с чл</w:t>
      </w:r>
      <w:r w:rsidR="006F05B0">
        <w:t>.</w:t>
      </w:r>
      <w:r w:rsidR="009E6547" w:rsidRPr="00D4726C">
        <w:t xml:space="preserve"> 44(2) от Закона за адвокатурата, съдилищата са длъжни да определят хонорара на назначения от съда процесуален защитник до степен, не по-ниска от тази, определена в Наредбата за възнагражденията. Възнаграждението, което </w:t>
      </w:r>
      <w:r w:rsidR="006F05B0" w:rsidRPr="00D4726C">
        <w:t>предвижда</w:t>
      </w:r>
      <w:r w:rsidR="006F05B0">
        <w:t xml:space="preserve"> </w:t>
      </w:r>
      <w:r w:rsidR="009E6547" w:rsidRPr="00D4726C">
        <w:t xml:space="preserve">Наредбата за </w:t>
      </w:r>
      <w:r w:rsidR="006F05B0">
        <w:t>процесуално</w:t>
      </w:r>
      <w:r w:rsidR="006F05B0" w:rsidRPr="00D4726C">
        <w:t xml:space="preserve"> </w:t>
      </w:r>
      <w:r w:rsidR="009E6547" w:rsidRPr="00D4726C">
        <w:t>представителство в случаите, когато престъплението е наказуемо с присъда до петнадесет години</w:t>
      </w:r>
      <w:r w:rsidR="006F05B0">
        <w:t>,</w:t>
      </w:r>
      <w:r w:rsidR="009E6547" w:rsidRPr="00D4726C">
        <w:t xml:space="preserve"> е 550 лв. В случай че производството бъде прекратено поради сключване на споразумение</w:t>
      </w:r>
      <w:r w:rsidR="006F05B0">
        <w:t>,</w:t>
      </w:r>
      <w:r w:rsidR="009E6547" w:rsidRPr="00D4726C">
        <w:t xml:space="preserve"> тази сума е 150 лв.</w:t>
      </w:r>
    </w:p>
    <w:p w:rsidR="00407ED2" w:rsidRPr="00D4726C" w:rsidRDefault="009E5013" w:rsidP="001B7481">
      <w:pPr>
        <w:pStyle w:val="ECHRPara"/>
      </w:pPr>
      <w:fldSimple w:instr=" SEQ level0 \*arabic ">
        <w:r w:rsidR="00D4726C">
          <w:rPr>
            <w:noProof/>
          </w:rPr>
          <w:t>29</w:t>
        </w:r>
      </w:fldSimple>
      <w:r w:rsidR="0060369F" w:rsidRPr="00D4726C">
        <w:t>.  С приемането на Закона за правната помощ, в сила от 1 януари 2006 г., Наредбата за възнагражденията не се прилага за назначени от съда процесуални представители. В съответствие с това ново законодателство Министерският съвет приема Наредба за з</w:t>
      </w:r>
      <w:r w:rsidR="006F05B0">
        <w:t>а</w:t>
      </w:r>
      <w:r w:rsidR="0060369F" w:rsidRPr="00D4726C">
        <w:t>плащане</w:t>
      </w:r>
      <w:r w:rsidR="006F05B0">
        <w:t>то</w:t>
      </w:r>
      <w:r w:rsidR="0060369F" w:rsidRPr="00D4726C">
        <w:t xml:space="preserve"> на правната помощ от 2006 г. ("Наредба за правната помощ"), която определя специфичните правила във връзка с възнаграждението на назначени</w:t>
      </w:r>
      <w:r w:rsidR="0002228F">
        <w:t>те</w:t>
      </w:r>
      <w:r w:rsidR="0060369F" w:rsidRPr="00D4726C">
        <w:t xml:space="preserve"> от съда защитни</w:t>
      </w:r>
      <w:r w:rsidR="0002228F">
        <w:t>ци</w:t>
      </w:r>
      <w:r w:rsidR="0060369F" w:rsidRPr="00D4726C">
        <w:t>, като предвижда както минимални, така и максимални суми за плащане. Законът за правната помощ въвежда нова система за обработка на реалното плащане на хонорар</w:t>
      </w:r>
      <w:r w:rsidR="0002228F">
        <w:t>и</w:t>
      </w:r>
      <w:r w:rsidR="0060369F" w:rsidRPr="00D4726C">
        <w:t xml:space="preserve"> на назначени от съда процесуалн</w:t>
      </w:r>
      <w:r w:rsidR="0002228F">
        <w:t>и</w:t>
      </w:r>
      <w:r w:rsidR="0060369F" w:rsidRPr="00D4726C">
        <w:t xml:space="preserve"> защитни</w:t>
      </w:r>
      <w:r w:rsidR="0002228F">
        <w:t>ци</w:t>
      </w:r>
      <w:r w:rsidR="0060369F" w:rsidRPr="00D4726C">
        <w:t xml:space="preserve">, </w:t>
      </w:r>
      <w:r w:rsidR="0002228F">
        <w:t xml:space="preserve">които </w:t>
      </w:r>
      <w:r w:rsidR="0060369F" w:rsidRPr="00D4726C">
        <w:t xml:space="preserve">до влизането </w:t>
      </w:r>
      <w:r w:rsidR="0002228F">
        <w:t xml:space="preserve">му </w:t>
      </w:r>
      <w:r w:rsidR="0060369F" w:rsidRPr="00D4726C">
        <w:t xml:space="preserve">в сила, са </w:t>
      </w:r>
      <w:r w:rsidR="0002228F">
        <w:t>се</w:t>
      </w:r>
      <w:r w:rsidR="0060369F" w:rsidRPr="00D4726C">
        <w:t xml:space="preserve"> пла</w:t>
      </w:r>
      <w:r w:rsidR="0002228F">
        <w:t>щали</w:t>
      </w:r>
      <w:r w:rsidR="0060369F" w:rsidRPr="00D4726C">
        <w:t xml:space="preserve"> от бюджета на съда.</w:t>
      </w:r>
    </w:p>
    <w:p w:rsidR="00634E7F" w:rsidRPr="00D4726C" w:rsidRDefault="00AA3BCB" w:rsidP="001B7481">
      <w:pPr>
        <w:pStyle w:val="ECHRHeading2"/>
      </w:pPr>
      <w:r w:rsidRPr="00D4726C">
        <w:t>E.  </w:t>
      </w:r>
      <w:r w:rsidR="0002228F">
        <w:t>О</w:t>
      </w:r>
      <w:r w:rsidRPr="00D4726C">
        <w:t>пределя</w:t>
      </w:r>
      <w:r w:rsidR="0002228F">
        <w:t>не на възнагражденията</w:t>
      </w:r>
      <w:r w:rsidRPr="00D4726C">
        <w:t xml:space="preserve"> на назначените от </w:t>
      </w:r>
      <w:r w:rsidR="0002228F">
        <w:t>с</w:t>
      </w:r>
      <w:r w:rsidRPr="00D4726C">
        <w:t>ъда защитници</w:t>
      </w:r>
    </w:p>
    <w:bookmarkStart w:id="3" w:name="Para32"/>
    <w:p w:rsidR="00407ED2" w:rsidRPr="00D4726C" w:rsidRDefault="003D6941" w:rsidP="001B7481">
      <w:pPr>
        <w:pStyle w:val="ECHRPara"/>
      </w:pPr>
      <w:r w:rsidRPr="00D4726C">
        <w:fldChar w:fldCharType="begin"/>
      </w:r>
      <w:r w:rsidRPr="00D4726C">
        <w:instrText xml:space="preserve"> SEQ level0 \*arabic </w:instrText>
      </w:r>
      <w:r w:rsidRPr="00D4726C">
        <w:fldChar w:fldCharType="separate"/>
      </w:r>
      <w:r w:rsidR="00D4726C">
        <w:rPr>
          <w:noProof/>
        </w:rPr>
        <w:t>30</w:t>
      </w:r>
      <w:r w:rsidRPr="00D4726C">
        <w:fldChar w:fldCharType="end"/>
      </w:r>
      <w:bookmarkEnd w:id="3"/>
      <w:r w:rsidRPr="00D4726C">
        <w:t xml:space="preserve">.  Към </w:t>
      </w:r>
      <w:r w:rsidR="0002228F">
        <w:t>момента на събитията ч</w:t>
      </w:r>
      <w:r w:rsidRPr="00D4726C">
        <w:t>л</w:t>
      </w:r>
      <w:r w:rsidR="0002228F">
        <w:t>.</w:t>
      </w:r>
      <w:r w:rsidRPr="00D4726C">
        <w:t xml:space="preserve"> 44(2) от Закона за адвокатурата предвижда </w:t>
      </w:r>
      <w:r w:rsidR="0002228F">
        <w:t xml:space="preserve">в </w:t>
      </w:r>
      <w:r w:rsidRPr="00D4726C">
        <w:t>решението на съда за назначаване на адвокат да</w:t>
      </w:r>
      <w:r w:rsidR="0002228F">
        <w:t xml:space="preserve"> се</w:t>
      </w:r>
      <w:r w:rsidRPr="00D4726C">
        <w:t xml:space="preserve"> посочва размера на неговото възнаграждение.</w:t>
      </w:r>
    </w:p>
    <w:p w:rsidR="00407ED2" w:rsidRPr="00D4726C" w:rsidRDefault="009E5013" w:rsidP="001B7481">
      <w:pPr>
        <w:pStyle w:val="ECHRPara"/>
      </w:pPr>
      <w:fldSimple w:instr=" SEQ level0 \*arabic ">
        <w:r w:rsidR="00D4726C">
          <w:rPr>
            <w:noProof/>
          </w:rPr>
          <w:t>31</w:t>
        </w:r>
      </w:fldSimple>
      <w:r w:rsidR="004C50A7" w:rsidRPr="00D4726C">
        <w:t>.  Считано от 1 януари 2006 г. нови</w:t>
      </w:r>
      <w:r w:rsidR="0002228F">
        <w:t>те</w:t>
      </w:r>
      <w:r w:rsidR="004C50A7" w:rsidRPr="00D4726C">
        <w:t xml:space="preserve"> </w:t>
      </w:r>
      <w:r w:rsidR="0002228F">
        <w:t xml:space="preserve">приложими </w:t>
      </w:r>
      <w:r w:rsidR="004C50A7" w:rsidRPr="00D4726C">
        <w:t>разпоредби на Закона за правната помощ вече не изискват възнаграждението на процесуалния защитник да бъде посочено в решението на съда за неговото назначаване (</w:t>
      </w:r>
      <w:r w:rsidR="0002228F">
        <w:t>чл.</w:t>
      </w:r>
      <w:r w:rsidR="0002228F" w:rsidRPr="00D4726C">
        <w:t xml:space="preserve"> </w:t>
      </w:r>
      <w:r w:rsidR="004C50A7" w:rsidRPr="00D4726C">
        <w:t>25 §§ 1 и 4). Съгласно новата система при приключване на наказателното производство назначеният от съда адвокат изготвя доклад за извършената работа, заверен от съответния адвокатски съвет</w:t>
      </w:r>
      <w:r w:rsidR="0002228F">
        <w:t>,</w:t>
      </w:r>
      <w:r w:rsidR="004C50A7" w:rsidRPr="00D4726C">
        <w:t xml:space="preserve"> и го предоставя на Националното бюро за правна помощ. Бюрото плаща адвокатските хонорари в съответствие с вида и количеството на извършената работа, в рамките на ограниченията, предвидени в Наредбата за правната помощ. Бюрото не е обвързано с доклада на процесуалния защитник и може да определи по-висока или по-ниска сума (</w:t>
      </w:r>
      <w:r w:rsidR="0002228F">
        <w:t>членове</w:t>
      </w:r>
      <w:r w:rsidR="0002228F" w:rsidRPr="00D4726C">
        <w:t xml:space="preserve"> </w:t>
      </w:r>
      <w:r w:rsidR="004C50A7" w:rsidRPr="00D4726C">
        <w:t>37-39 от Закона за безплатната правна помощ и раздели 1-12 от Наредбата за правната помощ). Бюрото може също да откаже да плати, ако става въпрос за случай на нарушение или липса на необходимо старание (раздел 4 от Наредбата за правната помощ).</w:t>
      </w:r>
    </w:p>
    <w:p w:rsidR="00634E7F" w:rsidRPr="00D4726C" w:rsidRDefault="00AA3BCB" w:rsidP="001B7481">
      <w:pPr>
        <w:pStyle w:val="ECHRHeading2"/>
        <w:ind w:left="636"/>
      </w:pPr>
      <w:r w:rsidRPr="00D4726C">
        <w:t>F.  Глоби, налагани от председателя на състава</w:t>
      </w:r>
    </w:p>
    <w:p w:rsidR="00407ED2" w:rsidRPr="00D4726C" w:rsidRDefault="009E5013" w:rsidP="001B7481">
      <w:pPr>
        <w:pStyle w:val="ECHRPara"/>
      </w:pPr>
      <w:fldSimple w:instr=" SEQ level0 \*arabic ">
        <w:r w:rsidR="00D4726C">
          <w:rPr>
            <w:noProof/>
          </w:rPr>
          <w:t>32</w:t>
        </w:r>
      </w:fldSimple>
      <w:r w:rsidR="004C50A7" w:rsidRPr="00D4726C">
        <w:t>.  </w:t>
      </w:r>
      <w:r w:rsidR="0002228F">
        <w:t>Член</w:t>
      </w:r>
      <w:r w:rsidR="0002228F" w:rsidRPr="00D4726C">
        <w:t xml:space="preserve"> </w:t>
      </w:r>
      <w:r w:rsidR="004C50A7" w:rsidRPr="00D4726C">
        <w:t xml:space="preserve">103 </w:t>
      </w:r>
      <w:r w:rsidR="0002228F">
        <w:t>от</w:t>
      </w:r>
      <w:r w:rsidR="004C50A7" w:rsidRPr="00D4726C">
        <w:t xml:space="preserve"> Закона за съдебната власт от 1994 г., който е в сила към съответния момент, </w:t>
      </w:r>
      <w:r w:rsidR="0002228F">
        <w:t>предвижда</w:t>
      </w:r>
      <w:r w:rsidR="004C50A7" w:rsidRPr="00D4726C">
        <w:t xml:space="preserve">, че по време на съдебните заседания председателят на съда е отговорен за поддържането на реда; съдията може да издава задължителни разпореждания и да санкционира тези, които действат в нарушение на установените правила в съответствие с приложимото процесуално право. Същите правила са </w:t>
      </w:r>
      <w:r w:rsidR="0002228F">
        <w:t>възпроизведени</w:t>
      </w:r>
      <w:r w:rsidR="0002228F" w:rsidRPr="00D4726C">
        <w:t xml:space="preserve"> </w:t>
      </w:r>
      <w:r w:rsidR="0002228F">
        <w:t>в</w:t>
      </w:r>
      <w:r w:rsidR="004C50A7" w:rsidRPr="00D4726C">
        <w:t xml:space="preserve"> Закона за съдебната </w:t>
      </w:r>
      <w:r w:rsidR="0002228F">
        <w:t>власт</w:t>
      </w:r>
      <w:r w:rsidR="0002228F" w:rsidRPr="00D4726C">
        <w:t xml:space="preserve"> </w:t>
      </w:r>
      <w:r w:rsidR="004C50A7" w:rsidRPr="00D4726C">
        <w:t>от 2007 г.</w:t>
      </w:r>
    </w:p>
    <w:p w:rsidR="00634E7F" w:rsidRPr="00D4726C" w:rsidRDefault="009E5013" w:rsidP="001B7481">
      <w:pPr>
        <w:pStyle w:val="ECHRPara"/>
      </w:pPr>
      <w:fldSimple w:instr=" SEQ level0 \*arabic ">
        <w:r w:rsidR="00D4726C">
          <w:rPr>
            <w:noProof/>
          </w:rPr>
          <w:t>33</w:t>
        </w:r>
      </w:fldSimple>
      <w:r w:rsidR="004C50A7" w:rsidRPr="00D4726C">
        <w:t xml:space="preserve">.  В съответствие с член 269 § 7 </w:t>
      </w:r>
      <w:r w:rsidR="0002228F">
        <w:t>от</w:t>
      </w:r>
      <w:r w:rsidR="0002228F" w:rsidRPr="00D4726C">
        <w:t xml:space="preserve"> </w:t>
      </w:r>
      <w:r w:rsidR="004C50A7" w:rsidRPr="00D4726C">
        <w:t>НПК от 1974 г., който е в сила към съответния момент, когато дадено съдебно заседание се отлага в резултат на неявяване на някоя от страните, председателят може да наложи глоба в размер до 500 лв</w:t>
      </w:r>
      <w:r w:rsidR="0002228F">
        <w:t>.</w:t>
      </w:r>
      <w:r w:rsidR="004C50A7" w:rsidRPr="00D4726C">
        <w:t xml:space="preserve"> на въпросната страна.</w:t>
      </w:r>
    </w:p>
    <w:p w:rsidR="00634E7F" w:rsidRPr="00D4726C" w:rsidRDefault="004C50A7" w:rsidP="001B7481">
      <w:pPr>
        <w:pStyle w:val="ECHRHeading2"/>
        <w:ind w:left="636"/>
      </w:pPr>
      <w:r w:rsidRPr="00D4726C">
        <w:t>G.  Дисциплинарни мерки от адвокатски</w:t>
      </w:r>
      <w:r w:rsidR="0002228F">
        <w:t>те колегии</w:t>
      </w:r>
      <w:r w:rsidRPr="00D4726C">
        <w:t xml:space="preserve"> срещу адвокатите</w:t>
      </w:r>
    </w:p>
    <w:p w:rsidR="00014566" w:rsidRPr="00D4726C" w:rsidRDefault="009E5013" w:rsidP="001B7481">
      <w:pPr>
        <w:pStyle w:val="ECHRPara"/>
      </w:pPr>
      <w:fldSimple w:instr=" SEQ level0 \*arabic ">
        <w:r w:rsidR="00D4726C">
          <w:rPr>
            <w:noProof/>
          </w:rPr>
          <w:t>34</w:t>
        </w:r>
      </w:fldSimple>
      <w:r w:rsidR="00C94798" w:rsidRPr="00D4726C">
        <w:t xml:space="preserve">.  Съгласно </w:t>
      </w:r>
      <w:r w:rsidR="00372716">
        <w:t>ч</w:t>
      </w:r>
      <w:r w:rsidR="00372716" w:rsidRPr="00D4726C">
        <w:t>л</w:t>
      </w:r>
      <w:r w:rsidR="00372716">
        <w:t>.</w:t>
      </w:r>
      <w:r w:rsidR="00372716" w:rsidRPr="00D4726C">
        <w:t xml:space="preserve"> </w:t>
      </w:r>
      <w:r w:rsidR="00C94798" w:rsidRPr="00D4726C">
        <w:t xml:space="preserve">132 (6) от Закона за адвокатурата се счита за дисциплинарно нарушение даден адвокат да изпълнява ролята на процесуален защитник на обвиняем в нарушение на условията, предвидени в закона. В </w:t>
      </w:r>
      <w:r w:rsidR="00372716">
        <w:t>ч</w:t>
      </w:r>
      <w:r w:rsidR="00C94798" w:rsidRPr="00D4726C">
        <w:t>л</w:t>
      </w:r>
      <w:r w:rsidR="00372716">
        <w:t>.</w:t>
      </w:r>
      <w:r w:rsidR="00C94798" w:rsidRPr="00D4726C">
        <w:t xml:space="preserve"> 133 от Закона за адвокатурата се изброяват различните видове дисциплинарни наказания, </w:t>
      </w:r>
      <w:r w:rsidR="00372716">
        <w:t>приложими</w:t>
      </w:r>
      <w:r w:rsidR="00372716" w:rsidRPr="00D4726C">
        <w:t xml:space="preserve"> </w:t>
      </w:r>
      <w:r w:rsidR="00C94798" w:rsidRPr="00D4726C">
        <w:t>за адвокатите. Те включват порицание, глоба в размер до осем минималн</w:t>
      </w:r>
      <w:r w:rsidR="00372716">
        <w:t>и</w:t>
      </w:r>
      <w:r w:rsidR="00C94798" w:rsidRPr="00D4726C">
        <w:t xml:space="preserve"> работн</w:t>
      </w:r>
      <w:r w:rsidR="00372716">
        <w:t>и</w:t>
      </w:r>
      <w:r w:rsidR="00C94798" w:rsidRPr="00D4726C">
        <w:t xml:space="preserve"> заплат</w:t>
      </w:r>
      <w:r w:rsidR="00372716">
        <w:t>и</w:t>
      </w:r>
      <w:r w:rsidR="00C94798" w:rsidRPr="00D4726C">
        <w:t xml:space="preserve"> и </w:t>
      </w:r>
      <w:r w:rsidR="00372716">
        <w:t>лишаване от право да упражнява</w:t>
      </w:r>
      <w:r w:rsidR="00C94798" w:rsidRPr="00D4726C">
        <w:t xml:space="preserve"> адвокатската </w:t>
      </w:r>
      <w:r w:rsidR="00372716">
        <w:t>професия</w:t>
      </w:r>
      <w:r w:rsidR="00372716" w:rsidRPr="00D4726C">
        <w:t xml:space="preserve"> </w:t>
      </w:r>
      <w:r w:rsidR="00C94798" w:rsidRPr="00D4726C">
        <w:t>за срок от три месеца до пет години.</w:t>
      </w:r>
    </w:p>
    <w:p w:rsidR="00014566" w:rsidRPr="00D4726C" w:rsidRDefault="00372716" w:rsidP="001B7481">
      <w:pPr>
        <w:pStyle w:val="ECHRTitle1"/>
      </w:pPr>
      <w:r>
        <w:t>ПРАВОТО</w:t>
      </w:r>
    </w:p>
    <w:p w:rsidR="00014566" w:rsidRPr="00D4726C" w:rsidRDefault="00014566" w:rsidP="001B7481">
      <w:pPr>
        <w:pStyle w:val="ECHRHeading1"/>
      </w:pPr>
      <w:r w:rsidRPr="00D4726C">
        <w:t>I. ТВЪРДЯ</w:t>
      </w:r>
      <w:r w:rsidR="00372716">
        <w:t>НО</w:t>
      </w:r>
      <w:r w:rsidRPr="00D4726C">
        <w:t xml:space="preserve"> НАРУШЕНИ</w:t>
      </w:r>
      <w:r w:rsidR="00372716">
        <w:t>Е</w:t>
      </w:r>
      <w:r w:rsidRPr="00D4726C">
        <w:t xml:space="preserve"> </w:t>
      </w:r>
      <w:r w:rsidR="00372716">
        <w:t>НА</w:t>
      </w:r>
      <w:r w:rsidRPr="00D4726C">
        <w:t xml:space="preserve"> ЧЛ.</w:t>
      </w:r>
      <w:r w:rsidR="00372716">
        <w:t xml:space="preserve"> </w:t>
      </w:r>
      <w:r w:rsidRPr="00D4726C">
        <w:t>1 ОТ ПРОТОКОЛ № 1 КЪМ КОНВЕНЦИЯТА</w:t>
      </w:r>
    </w:p>
    <w:p w:rsidR="00014566" w:rsidRPr="00D4726C" w:rsidRDefault="009E5013" w:rsidP="001B7481">
      <w:pPr>
        <w:pStyle w:val="ECHRPara"/>
      </w:pPr>
      <w:fldSimple w:instr=" SEQ level0 \*arabic ">
        <w:r w:rsidR="00D4726C">
          <w:rPr>
            <w:noProof/>
          </w:rPr>
          <w:t>35</w:t>
        </w:r>
      </w:fldSimple>
      <w:r w:rsidR="001779A6" w:rsidRPr="00D4726C">
        <w:t xml:space="preserve">.  Жалбоподателят се оплаква, че като не заплаща адвокатския му хонорар за процесуално представителство и като му налага глоба, Пловдивският </w:t>
      </w:r>
      <w:r w:rsidR="00372716">
        <w:t>районен</w:t>
      </w:r>
      <w:r w:rsidR="00372716" w:rsidRPr="00D4726C">
        <w:t xml:space="preserve"> </w:t>
      </w:r>
      <w:r w:rsidR="001779A6" w:rsidRPr="00D4726C">
        <w:t>съд е нарушил правото му на мирно ползване на притежанията му, защитено от чл.</w:t>
      </w:r>
      <w:r w:rsidR="00372716">
        <w:t xml:space="preserve"> </w:t>
      </w:r>
      <w:r w:rsidR="001779A6" w:rsidRPr="00D4726C">
        <w:t>1 от Протокол № 1 към Конвенцията, който гласи следното:</w:t>
      </w:r>
    </w:p>
    <w:p w:rsidR="007618C4" w:rsidRPr="00D4726C" w:rsidRDefault="007618C4" w:rsidP="001B7481">
      <w:pPr>
        <w:pStyle w:val="ECHRParaQuote"/>
      </w:pPr>
      <w:r w:rsidRPr="00D4726C">
        <w:t>"Всяко физическо или юридическо лице има право мирно да се ползва от своите притежания. Никой не може да бъде лиш</w:t>
      </w:r>
      <w:r w:rsidR="00372716">
        <w:t>е</w:t>
      </w:r>
      <w:r w:rsidRPr="00D4726C">
        <w:t xml:space="preserve">н от своите притежания освен в интерес на обществото и съгласно условията, предвидени в закона и </w:t>
      </w:r>
      <w:r w:rsidR="00372716">
        <w:t>в</w:t>
      </w:r>
      <w:r w:rsidR="00372716" w:rsidRPr="00D4726C">
        <w:t xml:space="preserve"> </w:t>
      </w:r>
      <w:r w:rsidRPr="00D4726C">
        <w:t>общите принципи на международното право.</w:t>
      </w:r>
    </w:p>
    <w:p w:rsidR="00014566" w:rsidRPr="00D4726C" w:rsidRDefault="007618C4" w:rsidP="001B7481">
      <w:pPr>
        <w:pStyle w:val="ECHRParaQuote"/>
      </w:pPr>
      <w:r w:rsidRPr="00D4726C">
        <w:t xml:space="preserve">Предходните разпоредби не накърняват по никакъв начин правото на държавите да въвеждат такива закони, каквито сметнат за необходими </w:t>
      </w:r>
      <w:r w:rsidR="00372716">
        <w:t>за</w:t>
      </w:r>
      <w:r w:rsidRPr="00D4726C">
        <w:t xml:space="preserve"> осъществяването на контрол върху ползването на притежанията в съответствие с общия интерес или за осигуряване </w:t>
      </w:r>
      <w:r w:rsidR="00372716">
        <w:t xml:space="preserve">на </w:t>
      </w:r>
      <w:r w:rsidRPr="00D4726C">
        <w:t>плащането на данъци или други постъпления или глоби."</w:t>
      </w:r>
    </w:p>
    <w:p w:rsidR="00014566" w:rsidRPr="00D4726C" w:rsidRDefault="00014566" w:rsidP="001B7481">
      <w:pPr>
        <w:pStyle w:val="ECHRHeading2"/>
      </w:pPr>
      <w:r w:rsidRPr="00D4726C">
        <w:t>A.  Допустимост</w:t>
      </w:r>
    </w:p>
    <w:p w:rsidR="0020259A" w:rsidRPr="00D4726C" w:rsidRDefault="0020259A" w:rsidP="001B7481">
      <w:pPr>
        <w:pStyle w:val="ECHRHeading3"/>
      </w:pPr>
      <w:r w:rsidRPr="00D4726C">
        <w:t>1.  </w:t>
      </w:r>
      <w:r w:rsidR="001C6186">
        <w:t>Становището</w:t>
      </w:r>
      <w:r w:rsidR="00372716" w:rsidRPr="00D4726C">
        <w:t xml:space="preserve"> </w:t>
      </w:r>
      <w:r w:rsidRPr="00D4726C">
        <w:t>на Правителството</w:t>
      </w:r>
    </w:p>
    <w:p w:rsidR="00407ED2" w:rsidRPr="00D4726C" w:rsidRDefault="009E5013" w:rsidP="001B7481">
      <w:pPr>
        <w:pStyle w:val="ECHRPara"/>
      </w:pPr>
      <w:fldSimple w:instr=" SEQ level0 \*arabic ">
        <w:r w:rsidR="00D4726C">
          <w:rPr>
            <w:noProof/>
          </w:rPr>
          <w:t>36</w:t>
        </w:r>
      </w:fldSimple>
      <w:r w:rsidR="001779A6" w:rsidRPr="00D4726C">
        <w:t>.  Правителството на първо място твърди, че оплакването на жалбоподателя за адвокатски</w:t>
      </w:r>
      <w:r w:rsidR="00372716">
        <w:t>я</w:t>
      </w:r>
      <w:r w:rsidR="001779A6" w:rsidRPr="00D4726C">
        <w:t xml:space="preserve"> хонорар е недопустимо, тъй като самият той е бил отговорен за това, че не е получил въпросния хонорар. Като се има предвид, че той доброволно е избрал да не извършва работата, необходима за заплащане на адвокатския хонорар, той не може да има претенции за получаване на заплащане.</w:t>
      </w:r>
    </w:p>
    <w:p w:rsidR="007618C4" w:rsidRPr="00D4726C" w:rsidRDefault="009E5013" w:rsidP="001B7481">
      <w:pPr>
        <w:pStyle w:val="ECHRPara"/>
      </w:pPr>
      <w:fldSimple w:instr=" SEQ level0 \*arabic ">
        <w:r w:rsidR="00D4726C">
          <w:rPr>
            <w:noProof/>
          </w:rPr>
          <w:t>37</w:t>
        </w:r>
      </w:fldSimple>
      <w:r w:rsidR="0060162C" w:rsidRPr="00D4726C">
        <w:t xml:space="preserve">.  На второ място, що се отнася до оплакването, свързано с глобата, </w:t>
      </w:r>
      <w:r w:rsidR="008E1BA5">
        <w:t>П</w:t>
      </w:r>
      <w:r w:rsidR="0060162C" w:rsidRPr="00D4726C">
        <w:t xml:space="preserve">равителството твърди, че жалбоподателят не е претърпял значителни вреди, така че жалбата трябва да бъде отхвърлена. Това е така, защото размерът на </w:t>
      </w:r>
      <w:r w:rsidR="008E1BA5">
        <w:t xml:space="preserve">наложената му </w:t>
      </w:r>
      <w:r w:rsidR="0060162C" w:rsidRPr="00D4726C">
        <w:t xml:space="preserve">глоба е малък, а той не е доказал, че това </w:t>
      </w:r>
      <w:r w:rsidR="008E1BA5">
        <w:t>с</w:t>
      </w:r>
      <w:r w:rsidR="0060162C" w:rsidRPr="00D4726C">
        <w:t xml:space="preserve">е </w:t>
      </w:r>
      <w:r w:rsidR="008E1BA5">
        <w:t>е отразило</w:t>
      </w:r>
      <w:r w:rsidR="008E1BA5" w:rsidRPr="00D4726C">
        <w:t xml:space="preserve"> </w:t>
      </w:r>
      <w:r w:rsidR="0060162C" w:rsidRPr="00D4726C">
        <w:t xml:space="preserve">негативно </w:t>
      </w:r>
      <w:r w:rsidR="008E1BA5">
        <w:t xml:space="preserve">върху </w:t>
      </w:r>
      <w:r w:rsidR="0060162C" w:rsidRPr="00D4726C">
        <w:t>финансовото му състояние.</w:t>
      </w:r>
    </w:p>
    <w:p w:rsidR="00407ED2" w:rsidRPr="00D4726C" w:rsidRDefault="007C1576" w:rsidP="001B7481">
      <w:pPr>
        <w:pStyle w:val="ECHRHeading3"/>
      </w:pPr>
      <w:r w:rsidRPr="00D4726C">
        <w:t>2.  </w:t>
      </w:r>
      <w:r w:rsidR="001C6186">
        <w:t>Становището</w:t>
      </w:r>
      <w:r w:rsidR="008E1BA5" w:rsidRPr="00D4726C">
        <w:t xml:space="preserve"> </w:t>
      </w:r>
      <w:r w:rsidRPr="00D4726C">
        <w:t>на жалбоподателя</w:t>
      </w:r>
    </w:p>
    <w:p w:rsidR="00C841C3" w:rsidRPr="00D4726C" w:rsidRDefault="009E5013" w:rsidP="001B7481">
      <w:pPr>
        <w:pStyle w:val="ECHRPara"/>
      </w:pPr>
      <w:fldSimple w:instr=" SEQ level0 \*arabic ">
        <w:r w:rsidR="00D4726C">
          <w:rPr>
            <w:noProof/>
          </w:rPr>
          <w:t>38</w:t>
        </w:r>
      </w:fldSimple>
      <w:r w:rsidR="00731BC3" w:rsidRPr="00D4726C">
        <w:t>.  Жалбоподателят изразява несъгласие. По-конкретно той посочва, че е бил неправомерно лишен от адвокатския си хонорар за представ</w:t>
      </w:r>
      <w:r w:rsidR="008E1BA5">
        <w:t>ителство</w:t>
      </w:r>
      <w:r w:rsidR="00731BC3" w:rsidRPr="00D4726C">
        <w:t xml:space="preserve"> на обвиняем по наказателно дело, който хонорар му се е полагал съгласно вътрешното право.</w:t>
      </w:r>
    </w:p>
    <w:p w:rsidR="00407ED2" w:rsidRPr="00D4726C" w:rsidRDefault="009E5013" w:rsidP="001B7481">
      <w:pPr>
        <w:pStyle w:val="ECHRPara"/>
      </w:pPr>
      <w:fldSimple w:instr=" SEQ level0 \*arabic ">
        <w:r w:rsidR="00D4726C">
          <w:rPr>
            <w:noProof/>
          </w:rPr>
          <w:t>39</w:t>
        </w:r>
      </w:fldSimple>
      <w:r w:rsidR="0006797F" w:rsidRPr="00D4726C">
        <w:t>.  Освен това,</w:t>
      </w:r>
      <w:r w:rsidR="008E1BA5">
        <w:t xml:space="preserve"> като му</w:t>
      </w:r>
      <w:r w:rsidR="0006797F" w:rsidRPr="00D4726C">
        <w:t xml:space="preserve"> налага</w:t>
      </w:r>
      <w:r w:rsidR="008E1BA5">
        <w:t>т</w:t>
      </w:r>
      <w:r w:rsidR="0006797F" w:rsidRPr="00D4726C">
        <w:t xml:space="preserve"> глоба, властите са нарушили правото му мирно да се ползва от притежанията си.</w:t>
      </w:r>
    </w:p>
    <w:p w:rsidR="0020259A" w:rsidRPr="00D4726C" w:rsidRDefault="009E5013" w:rsidP="001B7481">
      <w:pPr>
        <w:pStyle w:val="ECHRPara"/>
      </w:pPr>
      <w:fldSimple w:instr=" SEQ level0 \*arabic ">
        <w:r w:rsidR="00D4726C">
          <w:rPr>
            <w:noProof/>
          </w:rPr>
          <w:t>40</w:t>
        </w:r>
      </w:fldSimple>
      <w:r w:rsidR="00075618" w:rsidRPr="00D4726C">
        <w:t xml:space="preserve">.  На последно място, нито размерът на хонорара, който той не е получил, нито глобата може да се опишат като пренебрежими. Съвсем отделно от тяхната парична стойност (280 </w:t>
      </w:r>
      <w:r w:rsidR="008E1BA5">
        <w:t>е</w:t>
      </w:r>
      <w:r w:rsidR="00075618" w:rsidRPr="00D4726C">
        <w:t xml:space="preserve">вро адвокатски хонорар и 260 </w:t>
      </w:r>
      <w:r w:rsidR="008E1BA5">
        <w:t>е</w:t>
      </w:r>
      <w:r w:rsidR="00075618" w:rsidRPr="00D4726C">
        <w:t>вро глоба), като нито една от тях не е незначителна сама по себе си, и двете са проява на липса на уважение на съда към жалбоподателя, което му се е отразило негативно.</w:t>
      </w:r>
    </w:p>
    <w:p w:rsidR="0020259A" w:rsidRPr="00D4726C" w:rsidRDefault="008757D6" w:rsidP="001B7481">
      <w:pPr>
        <w:pStyle w:val="ECHRHeading3"/>
      </w:pPr>
      <w:r w:rsidRPr="00D4726C">
        <w:t>3.  Преценка</w:t>
      </w:r>
      <w:r w:rsidR="008E1BA5">
        <w:t>та</w:t>
      </w:r>
      <w:r w:rsidRPr="00D4726C">
        <w:t xml:space="preserve"> на Съда</w:t>
      </w:r>
    </w:p>
    <w:p w:rsidR="00082B0F" w:rsidRPr="00D4726C" w:rsidRDefault="008757D6" w:rsidP="001B7481">
      <w:pPr>
        <w:pStyle w:val="ECHRHeading4"/>
      </w:pPr>
      <w:r w:rsidRPr="00D4726C">
        <w:t>(a)  Хонорар за процесуално представителство</w:t>
      </w:r>
    </w:p>
    <w:p w:rsidR="00407ED2" w:rsidRPr="00D4726C" w:rsidRDefault="009E5013" w:rsidP="001B7481">
      <w:pPr>
        <w:pStyle w:val="ECHRPara"/>
      </w:pPr>
      <w:fldSimple w:instr=" SEQ level0 \*arabic ">
        <w:r w:rsidR="00D4726C">
          <w:rPr>
            <w:noProof/>
          </w:rPr>
          <w:t>41</w:t>
        </w:r>
      </w:fldSimple>
      <w:r w:rsidR="00A265A4" w:rsidRPr="00D4726C">
        <w:t>.  Съдът подчертава, че чл</w:t>
      </w:r>
      <w:r w:rsidR="008E1BA5">
        <w:t>.</w:t>
      </w:r>
      <w:r w:rsidR="00A265A4" w:rsidRPr="00D4726C">
        <w:t xml:space="preserve"> 1 </w:t>
      </w:r>
      <w:r w:rsidR="008E1BA5">
        <w:t>от</w:t>
      </w:r>
      <w:r w:rsidR="00A265A4" w:rsidRPr="00D4726C">
        <w:t xml:space="preserve"> Протокол № 1 към Конвенцията е приложим само за притежанията на дадено лице (вж</w:t>
      </w:r>
      <w:r w:rsidR="0036393C">
        <w:t>.</w:t>
      </w:r>
      <w:r w:rsidR="00A265A4" w:rsidRPr="00D4726C">
        <w:t xml:space="preserve"> </w:t>
      </w:r>
      <w:proofErr w:type="spellStart"/>
      <w:r w:rsidR="00A265A4" w:rsidRPr="00D4726C">
        <w:rPr>
          <w:i/>
        </w:rPr>
        <w:t>Marckx</w:t>
      </w:r>
      <w:proofErr w:type="spellEnd"/>
      <w:r w:rsidR="00A265A4" w:rsidRPr="00D4726C">
        <w:rPr>
          <w:i/>
        </w:rPr>
        <w:t xml:space="preserve"> v. </w:t>
      </w:r>
      <w:proofErr w:type="spellStart"/>
      <w:r w:rsidR="00A265A4" w:rsidRPr="00D4726C">
        <w:rPr>
          <w:i/>
        </w:rPr>
        <w:t>Belgium</w:t>
      </w:r>
      <w:proofErr w:type="spellEnd"/>
      <w:r w:rsidR="00A265A4" w:rsidRPr="00D4726C">
        <w:t xml:space="preserve">, 13 юни 1979 г., § 50, серия А, № 31 и </w:t>
      </w:r>
      <w:proofErr w:type="spellStart"/>
      <w:r w:rsidR="00A265A4" w:rsidRPr="00D4726C">
        <w:rPr>
          <w:i/>
        </w:rPr>
        <w:t>Anheuser-Busch</w:t>
      </w:r>
      <w:proofErr w:type="spellEnd"/>
      <w:r w:rsidR="00A265A4" w:rsidRPr="00D4726C">
        <w:rPr>
          <w:i/>
        </w:rPr>
        <w:t xml:space="preserve"> </w:t>
      </w:r>
      <w:proofErr w:type="spellStart"/>
      <w:r w:rsidR="00A265A4" w:rsidRPr="00D4726C">
        <w:rPr>
          <w:i/>
        </w:rPr>
        <w:t>Inc</w:t>
      </w:r>
      <w:proofErr w:type="spellEnd"/>
      <w:r w:rsidR="00A265A4" w:rsidRPr="00D4726C">
        <w:rPr>
          <w:i/>
        </w:rPr>
        <w:t>. v. </w:t>
      </w:r>
      <w:proofErr w:type="spellStart"/>
      <w:r w:rsidR="00A265A4" w:rsidRPr="00D4726C">
        <w:rPr>
          <w:i/>
        </w:rPr>
        <w:t>Portugal</w:t>
      </w:r>
      <w:proofErr w:type="spellEnd"/>
      <w:r w:rsidR="00A265A4" w:rsidRPr="00D4726C">
        <w:t xml:space="preserve"> [GC], № 73049/01, § 64, ЕСПЧ 2007</w:t>
      </w:r>
      <w:r w:rsidR="00A265A4" w:rsidRPr="00D4726C">
        <w:noBreakHyphen/>
        <w:t xml:space="preserve">I [GC]), които могат да бъдат както "съществуващи притежания", така и активи, включително </w:t>
      </w:r>
      <w:r w:rsidR="00BA2F49">
        <w:t>искове</w:t>
      </w:r>
      <w:r w:rsidR="00A265A4" w:rsidRPr="00D4726C">
        <w:t>, по отношение на които жалбоподателят може да твърди, че той или тя има най-малкото "законното очакване" да получи правото за необезпокоявано ползване на собствеността (вж</w:t>
      </w:r>
      <w:r w:rsidR="0036393C">
        <w:t>.</w:t>
      </w:r>
      <w:r w:rsidR="00A265A4" w:rsidRPr="00D4726C">
        <w:t xml:space="preserve"> </w:t>
      </w:r>
      <w:r w:rsidR="00A265A4" w:rsidRPr="00D4726C">
        <w:rPr>
          <w:i/>
        </w:rPr>
        <w:t xml:space="preserve">J.A. </w:t>
      </w:r>
      <w:proofErr w:type="spellStart"/>
      <w:r w:rsidR="00A265A4" w:rsidRPr="00D4726C">
        <w:rPr>
          <w:i/>
        </w:rPr>
        <w:t>Pye</w:t>
      </w:r>
      <w:proofErr w:type="spellEnd"/>
      <w:r w:rsidR="00A265A4" w:rsidRPr="00D4726C">
        <w:rPr>
          <w:i/>
        </w:rPr>
        <w:t xml:space="preserve"> (Oxford) </w:t>
      </w:r>
      <w:proofErr w:type="spellStart"/>
      <w:r w:rsidR="00A265A4" w:rsidRPr="00D4726C">
        <w:rPr>
          <w:i/>
        </w:rPr>
        <w:t>Ltd</w:t>
      </w:r>
      <w:proofErr w:type="spellEnd"/>
      <w:r w:rsidR="00A265A4" w:rsidRPr="00D4726C">
        <w:rPr>
          <w:i/>
        </w:rPr>
        <w:t xml:space="preserve"> </w:t>
      </w:r>
      <w:proofErr w:type="spellStart"/>
      <w:r w:rsidR="00A265A4" w:rsidRPr="00D4726C">
        <w:rPr>
          <w:i/>
        </w:rPr>
        <w:t>and</w:t>
      </w:r>
      <w:proofErr w:type="spellEnd"/>
      <w:r w:rsidR="00A265A4" w:rsidRPr="00D4726C">
        <w:rPr>
          <w:i/>
        </w:rPr>
        <w:t xml:space="preserve"> J.A. </w:t>
      </w:r>
      <w:proofErr w:type="spellStart"/>
      <w:r w:rsidR="00A265A4" w:rsidRPr="00D4726C">
        <w:rPr>
          <w:i/>
        </w:rPr>
        <w:t>Pye</w:t>
      </w:r>
      <w:proofErr w:type="spellEnd"/>
      <w:r w:rsidR="00A265A4" w:rsidRPr="00D4726C">
        <w:rPr>
          <w:i/>
        </w:rPr>
        <w:t xml:space="preserve"> (Oxford) </w:t>
      </w:r>
      <w:proofErr w:type="spellStart"/>
      <w:r w:rsidR="00A265A4" w:rsidRPr="00D4726C">
        <w:rPr>
          <w:i/>
        </w:rPr>
        <w:t>Land</w:t>
      </w:r>
      <w:proofErr w:type="spellEnd"/>
      <w:r w:rsidR="00A265A4" w:rsidRPr="00D4726C">
        <w:rPr>
          <w:i/>
        </w:rPr>
        <w:t xml:space="preserve"> </w:t>
      </w:r>
      <w:proofErr w:type="spellStart"/>
      <w:r w:rsidR="00A265A4" w:rsidRPr="00D4726C">
        <w:rPr>
          <w:i/>
        </w:rPr>
        <w:t>Ltd</w:t>
      </w:r>
      <w:proofErr w:type="spellEnd"/>
      <w:r w:rsidR="00A265A4" w:rsidRPr="00D4726C">
        <w:rPr>
          <w:i/>
        </w:rPr>
        <w:t xml:space="preserve"> v. </w:t>
      </w:r>
      <w:proofErr w:type="spellStart"/>
      <w:r w:rsidR="00A265A4" w:rsidRPr="00D4726C">
        <w:rPr>
          <w:i/>
        </w:rPr>
        <w:t>the</w:t>
      </w:r>
      <w:proofErr w:type="spellEnd"/>
      <w:r w:rsidR="00A265A4" w:rsidRPr="00D4726C">
        <w:rPr>
          <w:i/>
        </w:rPr>
        <w:t xml:space="preserve"> </w:t>
      </w:r>
      <w:proofErr w:type="spellStart"/>
      <w:r w:rsidR="00A265A4" w:rsidRPr="00D4726C">
        <w:rPr>
          <w:i/>
        </w:rPr>
        <w:t>United</w:t>
      </w:r>
      <w:proofErr w:type="spellEnd"/>
      <w:r w:rsidR="00A265A4" w:rsidRPr="00D4726C">
        <w:rPr>
          <w:i/>
        </w:rPr>
        <w:t xml:space="preserve"> </w:t>
      </w:r>
      <w:proofErr w:type="spellStart"/>
      <w:r w:rsidR="00A265A4" w:rsidRPr="00D4726C">
        <w:rPr>
          <w:i/>
        </w:rPr>
        <w:t>Kingdom</w:t>
      </w:r>
      <w:proofErr w:type="spellEnd"/>
      <w:r w:rsidR="00A265A4" w:rsidRPr="00D4726C">
        <w:t xml:space="preserve"> [GC], § 61; </w:t>
      </w:r>
      <w:proofErr w:type="spellStart"/>
      <w:r w:rsidR="00A265A4" w:rsidRPr="00D4726C">
        <w:rPr>
          <w:i/>
        </w:rPr>
        <w:t>Von</w:t>
      </w:r>
      <w:proofErr w:type="spellEnd"/>
      <w:r w:rsidR="00A265A4" w:rsidRPr="00D4726C">
        <w:rPr>
          <w:i/>
        </w:rPr>
        <w:t xml:space="preserve"> </w:t>
      </w:r>
      <w:proofErr w:type="spellStart"/>
      <w:r w:rsidR="00A265A4" w:rsidRPr="00D4726C">
        <w:rPr>
          <w:i/>
        </w:rPr>
        <w:t>Maltzan</w:t>
      </w:r>
      <w:proofErr w:type="spellEnd"/>
      <w:r w:rsidR="00A265A4" w:rsidRPr="00D4726C">
        <w:rPr>
          <w:i/>
        </w:rPr>
        <w:t xml:space="preserve"> и </w:t>
      </w:r>
      <w:proofErr w:type="spellStart"/>
      <w:r w:rsidR="00A265A4" w:rsidRPr="00D4726C">
        <w:rPr>
          <w:i/>
        </w:rPr>
        <w:t>Others</w:t>
      </w:r>
      <w:proofErr w:type="spellEnd"/>
      <w:r w:rsidR="00A265A4" w:rsidRPr="00D4726C">
        <w:rPr>
          <w:i/>
        </w:rPr>
        <w:t xml:space="preserve"> v. </w:t>
      </w:r>
      <w:proofErr w:type="spellStart"/>
      <w:r w:rsidR="00A265A4" w:rsidRPr="00D4726C">
        <w:rPr>
          <w:i/>
        </w:rPr>
        <w:t>Germany</w:t>
      </w:r>
      <w:proofErr w:type="spellEnd"/>
      <w:r w:rsidR="00A265A4" w:rsidRPr="00D4726C">
        <w:rPr>
          <w:i/>
        </w:rPr>
        <w:t xml:space="preserve"> (</w:t>
      </w:r>
      <w:r w:rsidR="0036393C">
        <w:rPr>
          <w:i/>
        </w:rPr>
        <w:t>РД</w:t>
      </w:r>
      <w:r w:rsidR="00A265A4" w:rsidRPr="00D4726C">
        <w:rPr>
          <w:i/>
        </w:rPr>
        <w:t>) [GC], № 71916/01, 71917/01 и 10260/02, § 74 (c), ЕСПЧ 2005</w:t>
      </w:r>
      <w:r w:rsidR="00A265A4" w:rsidRPr="00D4726C">
        <w:noBreakHyphen/>
      </w:r>
      <w:r w:rsidR="00A265A4" w:rsidRPr="00D4726C">
        <w:rPr>
          <w:i/>
        </w:rPr>
        <w:t>V</w:t>
      </w:r>
      <w:r w:rsidR="00A265A4" w:rsidRPr="00D4726C">
        <w:t xml:space="preserve">; и </w:t>
      </w:r>
      <w:proofErr w:type="spellStart"/>
      <w:r w:rsidR="00A265A4" w:rsidRPr="00D4726C">
        <w:rPr>
          <w:i/>
        </w:rPr>
        <w:t>Kopecký</w:t>
      </w:r>
      <w:proofErr w:type="spellEnd"/>
      <w:r w:rsidR="00A265A4" w:rsidRPr="00D4726C">
        <w:rPr>
          <w:i/>
        </w:rPr>
        <w:t xml:space="preserve"> v. </w:t>
      </w:r>
      <w:proofErr w:type="spellStart"/>
      <w:r w:rsidR="00A265A4" w:rsidRPr="00D4726C">
        <w:rPr>
          <w:i/>
        </w:rPr>
        <w:t>Slovakia</w:t>
      </w:r>
      <w:proofErr w:type="spellEnd"/>
      <w:r w:rsidR="00A265A4" w:rsidRPr="00D4726C">
        <w:rPr>
          <w:i/>
        </w:rPr>
        <w:t xml:space="preserve"> </w:t>
      </w:r>
      <w:r w:rsidR="00A265A4" w:rsidRPr="00D4726C">
        <w:t>[GC], № 44912/98, § 35 (c), ЕСПЧ 2004</w:t>
      </w:r>
      <w:r w:rsidR="00A265A4" w:rsidRPr="00D4726C">
        <w:noBreakHyphen/>
        <w:t>IX). Важното в това отношение е, че чл. 1 от Протокол № 1 не гарантира право на придобиване на собственост (вж</w:t>
      </w:r>
      <w:r w:rsidR="0036393C">
        <w:t>.</w:t>
      </w:r>
      <w:r w:rsidR="00A265A4" w:rsidRPr="00D4726C">
        <w:t xml:space="preserve"> </w:t>
      </w:r>
      <w:proofErr w:type="spellStart"/>
      <w:r w:rsidR="00A265A4" w:rsidRPr="00D4726C">
        <w:rPr>
          <w:i/>
        </w:rPr>
        <w:t>Slivenko</w:t>
      </w:r>
      <w:proofErr w:type="spellEnd"/>
      <w:r w:rsidR="00A265A4" w:rsidRPr="00D4726C">
        <w:rPr>
          <w:i/>
        </w:rPr>
        <w:t> </w:t>
      </w:r>
      <w:proofErr w:type="spellStart"/>
      <w:r w:rsidR="00A265A4" w:rsidRPr="00D4726C">
        <w:rPr>
          <w:i/>
        </w:rPr>
        <w:t>and</w:t>
      </w:r>
      <w:proofErr w:type="spellEnd"/>
      <w:r w:rsidR="00A265A4" w:rsidRPr="00D4726C">
        <w:rPr>
          <w:i/>
        </w:rPr>
        <w:t> </w:t>
      </w:r>
      <w:proofErr w:type="spellStart"/>
      <w:r w:rsidR="00A265A4" w:rsidRPr="00D4726C">
        <w:rPr>
          <w:i/>
        </w:rPr>
        <w:t>Others</w:t>
      </w:r>
      <w:proofErr w:type="spellEnd"/>
      <w:r w:rsidR="00A265A4" w:rsidRPr="00D4726C">
        <w:rPr>
          <w:i/>
        </w:rPr>
        <w:t> v. </w:t>
      </w:r>
      <w:proofErr w:type="spellStart"/>
      <w:r w:rsidR="00A265A4" w:rsidRPr="00D4726C">
        <w:rPr>
          <w:i/>
        </w:rPr>
        <w:t>Latvia</w:t>
      </w:r>
      <w:proofErr w:type="spellEnd"/>
      <w:r w:rsidR="00A265A4" w:rsidRPr="00D4726C">
        <w:t xml:space="preserve"> (</w:t>
      </w:r>
      <w:r w:rsidR="0036393C">
        <w:t>РД</w:t>
      </w:r>
      <w:r w:rsidR="00A265A4" w:rsidRPr="00D4726C">
        <w:t xml:space="preserve">) [GC], № 48321/99, § 121, ЕСПЧ  2002-II, и </w:t>
      </w:r>
      <w:proofErr w:type="spellStart"/>
      <w:r w:rsidR="00A265A4" w:rsidRPr="00D4726C">
        <w:t>Kopecký</w:t>
      </w:r>
      <w:proofErr w:type="spellEnd"/>
      <w:r w:rsidR="00A265A4" w:rsidRPr="00D4726C">
        <w:t>, цитирано по-горе, § 35(b)). Бъдещите приходи представляват "притежание", само ако доходът вече е спечелен или</w:t>
      </w:r>
      <w:r w:rsidR="0036393C">
        <w:t xml:space="preserve"> когато</w:t>
      </w:r>
      <w:r w:rsidR="00A265A4" w:rsidRPr="00D4726C">
        <w:t xml:space="preserve"> </w:t>
      </w:r>
      <w:r w:rsidR="0036393C">
        <w:t xml:space="preserve">по отношение на него </w:t>
      </w:r>
      <w:r w:rsidR="00A265A4" w:rsidRPr="00D4726C">
        <w:t>съществува</w:t>
      </w:r>
      <w:r w:rsidR="0036393C">
        <w:t xml:space="preserve"> изпълнимо искане</w:t>
      </w:r>
      <w:r w:rsidR="00A265A4" w:rsidRPr="00D4726C">
        <w:t xml:space="preserve"> (вж</w:t>
      </w:r>
      <w:r w:rsidR="0036393C">
        <w:t>.</w:t>
      </w:r>
      <w:r w:rsidR="00A265A4" w:rsidRPr="00D4726C">
        <w:t xml:space="preserve"> </w:t>
      </w:r>
      <w:proofErr w:type="spellStart"/>
      <w:r w:rsidR="00A265A4" w:rsidRPr="00D4726C">
        <w:rPr>
          <w:i/>
        </w:rPr>
        <w:t>Ian</w:t>
      </w:r>
      <w:proofErr w:type="spellEnd"/>
      <w:r w:rsidR="00A265A4" w:rsidRPr="00D4726C">
        <w:rPr>
          <w:i/>
        </w:rPr>
        <w:t xml:space="preserve"> </w:t>
      </w:r>
      <w:proofErr w:type="spellStart"/>
      <w:r w:rsidR="00A265A4" w:rsidRPr="00D4726C">
        <w:rPr>
          <w:i/>
        </w:rPr>
        <w:t>Edgar</w:t>
      </w:r>
      <w:proofErr w:type="spellEnd"/>
      <w:r w:rsidR="00A265A4" w:rsidRPr="00D4726C">
        <w:rPr>
          <w:i/>
        </w:rPr>
        <w:t xml:space="preserve"> (</w:t>
      </w:r>
      <w:proofErr w:type="spellStart"/>
      <w:r w:rsidR="00A265A4" w:rsidRPr="00D4726C">
        <w:rPr>
          <w:i/>
        </w:rPr>
        <w:t>Liverpool</w:t>
      </w:r>
      <w:proofErr w:type="spellEnd"/>
      <w:r w:rsidR="00A265A4" w:rsidRPr="00D4726C">
        <w:rPr>
          <w:i/>
        </w:rPr>
        <w:t xml:space="preserve">) </w:t>
      </w:r>
      <w:proofErr w:type="spellStart"/>
      <w:r w:rsidR="00A265A4" w:rsidRPr="00D4726C">
        <w:rPr>
          <w:i/>
        </w:rPr>
        <w:t>Ltd</w:t>
      </w:r>
      <w:proofErr w:type="spellEnd"/>
      <w:r w:rsidR="00A265A4" w:rsidRPr="00D4726C">
        <w:rPr>
          <w:i/>
        </w:rPr>
        <w:t xml:space="preserve"> v. </w:t>
      </w:r>
      <w:proofErr w:type="spellStart"/>
      <w:r w:rsidR="00A265A4" w:rsidRPr="00D4726C">
        <w:rPr>
          <w:i/>
        </w:rPr>
        <w:t>United</w:t>
      </w:r>
      <w:proofErr w:type="spellEnd"/>
      <w:r w:rsidR="00A265A4" w:rsidRPr="00D4726C">
        <w:rPr>
          <w:i/>
        </w:rPr>
        <w:t xml:space="preserve"> </w:t>
      </w:r>
      <w:proofErr w:type="spellStart"/>
      <w:r w:rsidR="00A265A4" w:rsidRPr="00D4726C">
        <w:rPr>
          <w:i/>
        </w:rPr>
        <w:t>Kingdom</w:t>
      </w:r>
      <w:proofErr w:type="spellEnd"/>
      <w:r w:rsidR="00A265A4" w:rsidRPr="00D4726C">
        <w:t xml:space="preserve">  (</w:t>
      </w:r>
      <w:r w:rsidR="0036393C">
        <w:t>РД</w:t>
      </w:r>
      <w:r w:rsidR="00A265A4" w:rsidRPr="00D4726C">
        <w:t xml:space="preserve">), № 37683/97, 25 януари 2000 г.; </w:t>
      </w:r>
      <w:proofErr w:type="spellStart"/>
      <w:r w:rsidR="00A265A4" w:rsidRPr="00D4726C">
        <w:rPr>
          <w:i/>
        </w:rPr>
        <w:t>Wendenburg</w:t>
      </w:r>
      <w:proofErr w:type="spellEnd"/>
      <w:r w:rsidR="00A265A4" w:rsidRPr="00D4726C">
        <w:rPr>
          <w:i/>
        </w:rPr>
        <w:t xml:space="preserve"> v. </w:t>
      </w:r>
      <w:proofErr w:type="spellStart"/>
      <w:r w:rsidR="00A265A4" w:rsidRPr="00D4726C">
        <w:rPr>
          <w:i/>
        </w:rPr>
        <w:t>Germany</w:t>
      </w:r>
      <w:proofErr w:type="spellEnd"/>
      <w:r w:rsidR="00A265A4" w:rsidRPr="00D4726C">
        <w:t xml:space="preserve"> (</w:t>
      </w:r>
      <w:r w:rsidR="0036393C">
        <w:t>РД</w:t>
      </w:r>
      <w:r w:rsidR="00A265A4" w:rsidRPr="00D4726C">
        <w:t xml:space="preserve">), № 71630/01, 6 февруари 2003 г.; </w:t>
      </w:r>
      <w:proofErr w:type="spellStart"/>
      <w:r w:rsidR="00A265A4" w:rsidRPr="00D4726C">
        <w:rPr>
          <w:i/>
        </w:rPr>
        <w:t>Levänen</w:t>
      </w:r>
      <w:proofErr w:type="spellEnd"/>
      <w:r w:rsidR="00A265A4" w:rsidRPr="00D4726C">
        <w:rPr>
          <w:i/>
        </w:rPr>
        <w:t xml:space="preserve"> </w:t>
      </w:r>
      <w:proofErr w:type="spellStart"/>
      <w:r w:rsidR="00A265A4" w:rsidRPr="00D4726C">
        <w:rPr>
          <w:i/>
        </w:rPr>
        <w:t>and</w:t>
      </w:r>
      <w:proofErr w:type="spellEnd"/>
      <w:r w:rsidR="00A265A4" w:rsidRPr="00D4726C">
        <w:rPr>
          <w:i/>
        </w:rPr>
        <w:t xml:space="preserve"> </w:t>
      </w:r>
      <w:proofErr w:type="spellStart"/>
      <w:r w:rsidR="00A265A4" w:rsidRPr="00D4726C">
        <w:rPr>
          <w:i/>
        </w:rPr>
        <w:t>Others</w:t>
      </w:r>
      <w:proofErr w:type="spellEnd"/>
      <w:r w:rsidR="00A265A4" w:rsidRPr="00D4726C">
        <w:rPr>
          <w:i/>
        </w:rPr>
        <w:t xml:space="preserve"> v. </w:t>
      </w:r>
      <w:proofErr w:type="spellStart"/>
      <w:r w:rsidR="00A265A4" w:rsidRPr="00D4726C">
        <w:rPr>
          <w:i/>
        </w:rPr>
        <w:t>Finland</w:t>
      </w:r>
      <w:proofErr w:type="spellEnd"/>
      <w:r w:rsidR="00A265A4" w:rsidRPr="00D4726C">
        <w:t xml:space="preserve"> (</w:t>
      </w:r>
      <w:r w:rsidR="0036393C">
        <w:t>РД</w:t>
      </w:r>
      <w:r w:rsidR="00A265A4" w:rsidRPr="00D4726C">
        <w:t>), № 34600/03</w:t>
      </w:r>
      <w:r w:rsidR="0036393C">
        <w:t>,</w:t>
      </w:r>
      <w:r w:rsidR="00A265A4" w:rsidRPr="00D4726C">
        <w:t xml:space="preserve"> 11 април 2006 г.; </w:t>
      </w:r>
      <w:proofErr w:type="spellStart"/>
      <w:r w:rsidR="00A265A4" w:rsidRPr="00D4726C">
        <w:rPr>
          <w:i/>
        </w:rPr>
        <w:t>Anheuser-Busch</w:t>
      </w:r>
      <w:proofErr w:type="spellEnd"/>
      <w:r w:rsidR="00A265A4" w:rsidRPr="00D4726C">
        <w:rPr>
          <w:i/>
        </w:rPr>
        <w:t xml:space="preserve"> </w:t>
      </w:r>
      <w:proofErr w:type="spellStart"/>
      <w:r w:rsidR="00A265A4" w:rsidRPr="00D4726C">
        <w:rPr>
          <w:i/>
        </w:rPr>
        <w:t>Inc</w:t>
      </w:r>
      <w:proofErr w:type="spellEnd"/>
      <w:r w:rsidR="00A265A4" w:rsidRPr="00D4726C">
        <w:t xml:space="preserve">, цитирано по-горе, § 64; и </w:t>
      </w:r>
      <w:r w:rsidR="00A265A4" w:rsidRPr="00D4726C">
        <w:rPr>
          <w:i/>
        </w:rPr>
        <w:t xml:space="preserve">N.K.M. v. </w:t>
      </w:r>
      <w:proofErr w:type="spellStart"/>
      <w:r w:rsidR="00A265A4" w:rsidRPr="00D4726C">
        <w:rPr>
          <w:i/>
        </w:rPr>
        <w:t>Hungary</w:t>
      </w:r>
      <w:proofErr w:type="spellEnd"/>
      <w:r w:rsidR="00A265A4" w:rsidRPr="00D4726C">
        <w:t>, № 66529/11, § 36, 14 май 2013 г.).</w:t>
      </w:r>
    </w:p>
    <w:p w:rsidR="00407ED2" w:rsidRPr="00D4726C" w:rsidRDefault="009E5013" w:rsidP="001B7481">
      <w:pPr>
        <w:pStyle w:val="ECHRPara"/>
      </w:pPr>
      <w:fldSimple w:instr=" SEQ level0 \*arabic ">
        <w:r w:rsidR="00D4726C">
          <w:rPr>
            <w:noProof/>
          </w:rPr>
          <w:t>42</w:t>
        </w:r>
      </w:fldSimple>
      <w:r w:rsidR="00D24B30" w:rsidRPr="00D4726C">
        <w:t xml:space="preserve">.  В конкретния случай следва да се отбележи, че жалбоподателят по собствена воля решава да не извършва работата, необходима за да бъде платен хонорарът. След като му е било казано от председателстващия съдия, че неговият хонорар няма да бъде определен в началото на съдебното заседание, жалбоподателят избира да напусне залата и се отказва от ролята си на назначен от съда процесуален защитник. Ето защо той нито </w:t>
      </w:r>
      <w:r w:rsidR="00BA2F49">
        <w:t xml:space="preserve">е </w:t>
      </w:r>
      <w:r w:rsidR="00D24B30" w:rsidRPr="00D4726C">
        <w:t xml:space="preserve">спечелил бъдещия хонорар, нито пък </w:t>
      </w:r>
      <w:r w:rsidR="00BA2F49">
        <w:t xml:space="preserve">е </w:t>
      </w:r>
      <w:r w:rsidR="00D24B30" w:rsidRPr="00D4726C">
        <w:t>имал други основания да претендира за него.</w:t>
      </w:r>
    </w:p>
    <w:p w:rsidR="00CC5979" w:rsidRPr="00D4726C" w:rsidRDefault="009E5013" w:rsidP="001B7481">
      <w:pPr>
        <w:pStyle w:val="ECHRPara"/>
      </w:pPr>
      <w:fldSimple w:instr=" SEQ level0 \*arabic ">
        <w:r w:rsidR="00D4726C">
          <w:rPr>
            <w:noProof/>
          </w:rPr>
          <w:t>43</w:t>
        </w:r>
      </w:fldSimple>
      <w:r w:rsidR="00F0010E" w:rsidRPr="00D4726C">
        <w:t xml:space="preserve">.  От това следва, че </w:t>
      </w:r>
      <w:r w:rsidR="00BA2F49">
        <w:t xml:space="preserve">тази част от </w:t>
      </w:r>
      <w:r w:rsidR="00F0010E" w:rsidRPr="00D4726C">
        <w:t>жалбата е явно необоснована и трябва да бъде отхвърлена в съответствие с чл. 35 §§ 3 (а) и 4 от Конвенцията.</w:t>
      </w:r>
    </w:p>
    <w:p w:rsidR="00082B0F" w:rsidRPr="00D4726C" w:rsidRDefault="008757D6" w:rsidP="001B7481">
      <w:pPr>
        <w:pStyle w:val="ECHRHeading4"/>
      </w:pPr>
      <w:r w:rsidRPr="00D4726C">
        <w:t>(б) От</w:t>
      </w:r>
      <w:r w:rsidR="00BA2F49">
        <w:t>носно</w:t>
      </w:r>
      <w:r w:rsidRPr="00D4726C">
        <w:t xml:space="preserve"> глобата</w:t>
      </w:r>
    </w:p>
    <w:p w:rsidR="00082B0F" w:rsidRPr="00D4726C" w:rsidRDefault="009E5013" w:rsidP="001B7481">
      <w:pPr>
        <w:pStyle w:val="ECHRPara"/>
      </w:pPr>
      <w:fldSimple w:instr=" SEQ level0 \*arabic ">
        <w:r w:rsidR="00D4726C">
          <w:rPr>
            <w:noProof/>
          </w:rPr>
          <w:t>44</w:t>
        </w:r>
      </w:fldSimple>
      <w:r w:rsidR="001604E9" w:rsidRPr="00D4726C">
        <w:t xml:space="preserve">.  Съдът отбелязва, че това дали жалбоподателят е претърпял значителни вреди представлява основен елемент </w:t>
      </w:r>
      <w:r w:rsidR="00BA2F49">
        <w:t>н</w:t>
      </w:r>
      <w:r w:rsidR="001604E9" w:rsidRPr="00D4726C">
        <w:t>а критерия, изложен в член 35 § 3 (</w:t>
      </w:r>
      <w:r w:rsidR="00BA2F49">
        <w:rPr>
          <w:lang w:val="en-US"/>
        </w:rPr>
        <w:t>b</w:t>
      </w:r>
      <w:r w:rsidR="001604E9" w:rsidRPr="00D4726C">
        <w:t>) от Конвенцията (вж</w:t>
      </w:r>
      <w:r w:rsidR="00BA2F49">
        <w:t>.</w:t>
      </w:r>
      <w:r w:rsidR="001604E9" w:rsidRPr="00D4726C">
        <w:t xml:space="preserve"> </w:t>
      </w:r>
      <w:proofErr w:type="spellStart"/>
      <w:r w:rsidR="001604E9" w:rsidRPr="00D4726C">
        <w:rPr>
          <w:i/>
        </w:rPr>
        <w:t>Adrian</w:t>
      </w:r>
      <w:proofErr w:type="spellEnd"/>
      <w:r w:rsidR="001604E9" w:rsidRPr="00D4726C">
        <w:rPr>
          <w:i/>
        </w:rPr>
        <w:t xml:space="preserve"> </w:t>
      </w:r>
      <w:proofErr w:type="spellStart"/>
      <w:r w:rsidR="001604E9" w:rsidRPr="00D4726C">
        <w:rPr>
          <w:i/>
        </w:rPr>
        <w:t>Mihai</w:t>
      </w:r>
      <w:proofErr w:type="spellEnd"/>
      <w:r w:rsidR="001604E9" w:rsidRPr="00D4726C">
        <w:rPr>
          <w:i/>
        </w:rPr>
        <w:t xml:space="preserve"> </w:t>
      </w:r>
      <w:proofErr w:type="spellStart"/>
      <w:r w:rsidR="001604E9" w:rsidRPr="00D4726C">
        <w:rPr>
          <w:i/>
        </w:rPr>
        <w:t>Ionescu</w:t>
      </w:r>
      <w:proofErr w:type="spellEnd"/>
      <w:r w:rsidR="001604E9" w:rsidRPr="00D4726C">
        <w:rPr>
          <w:i/>
        </w:rPr>
        <w:t xml:space="preserve"> v. </w:t>
      </w:r>
      <w:proofErr w:type="spellStart"/>
      <w:r w:rsidR="001604E9" w:rsidRPr="00D4726C">
        <w:rPr>
          <w:i/>
        </w:rPr>
        <w:t>Romania</w:t>
      </w:r>
      <w:proofErr w:type="spellEnd"/>
      <w:r w:rsidR="001604E9" w:rsidRPr="00D4726C">
        <w:t xml:space="preserve"> (</w:t>
      </w:r>
      <w:r w:rsidR="00BA2F49">
        <w:t>РД</w:t>
      </w:r>
      <w:r w:rsidR="001604E9" w:rsidRPr="00D4726C">
        <w:t xml:space="preserve">), № </w:t>
      </w:r>
      <w:hyperlink r:id="rId14" w:history="1">
        <w:r w:rsidR="001604E9" w:rsidRPr="00D4726C">
          <w:t>36659/04</w:t>
        </w:r>
      </w:hyperlink>
      <w:r w:rsidR="001604E9" w:rsidRPr="00D4726C">
        <w:t>, 1 юни 2010 г.; вж</w:t>
      </w:r>
      <w:r w:rsidR="00BA2F49">
        <w:t>.</w:t>
      </w:r>
      <w:r w:rsidR="001604E9" w:rsidRPr="00D4726C">
        <w:t xml:space="preserve"> също </w:t>
      </w:r>
      <w:proofErr w:type="spellStart"/>
      <w:r w:rsidR="001604E9" w:rsidRPr="00D4726C">
        <w:rPr>
          <w:i/>
        </w:rPr>
        <w:t>Korolev</w:t>
      </w:r>
      <w:proofErr w:type="spellEnd"/>
      <w:r w:rsidR="001604E9" w:rsidRPr="00D4726C">
        <w:rPr>
          <w:i/>
        </w:rPr>
        <w:t xml:space="preserve"> v. </w:t>
      </w:r>
      <w:proofErr w:type="spellStart"/>
      <w:r w:rsidR="001604E9" w:rsidRPr="00D4726C">
        <w:rPr>
          <w:i/>
        </w:rPr>
        <w:t>Russia</w:t>
      </w:r>
      <w:proofErr w:type="spellEnd"/>
      <w:r w:rsidR="001604E9" w:rsidRPr="00D4726C">
        <w:t xml:space="preserve"> (</w:t>
      </w:r>
      <w:r w:rsidR="00BA2F49">
        <w:t>РД</w:t>
      </w:r>
      <w:r w:rsidR="001604E9" w:rsidRPr="00D4726C">
        <w:t xml:space="preserve">), № </w:t>
      </w:r>
      <w:hyperlink r:id="rId15" w:history="1">
        <w:r w:rsidR="001604E9" w:rsidRPr="00D4726C">
          <w:t>25551/05</w:t>
        </w:r>
      </w:hyperlink>
      <w:r w:rsidR="001604E9" w:rsidRPr="00D4726C">
        <w:t xml:space="preserve">, 1 юли 2010 г.). Вдъхновен от общия принцип </w:t>
      </w:r>
      <w:proofErr w:type="spellStart"/>
      <w:r w:rsidR="001604E9" w:rsidRPr="00D4726C">
        <w:rPr>
          <w:i/>
        </w:rPr>
        <w:t>de</w:t>
      </w:r>
      <w:proofErr w:type="spellEnd"/>
      <w:r w:rsidR="001604E9" w:rsidRPr="00D4726C">
        <w:rPr>
          <w:i/>
        </w:rPr>
        <w:t> </w:t>
      </w:r>
      <w:proofErr w:type="spellStart"/>
      <w:r w:rsidR="001604E9" w:rsidRPr="00D4726C">
        <w:rPr>
          <w:i/>
        </w:rPr>
        <w:t>minimis</w:t>
      </w:r>
      <w:proofErr w:type="spellEnd"/>
      <w:r w:rsidR="001604E9" w:rsidRPr="00D4726C">
        <w:rPr>
          <w:i/>
        </w:rPr>
        <w:t xml:space="preserve"> </w:t>
      </w:r>
      <w:proofErr w:type="spellStart"/>
      <w:r w:rsidR="001604E9" w:rsidRPr="00D4726C">
        <w:rPr>
          <w:i/>
        </w:rPr>
        <w:t>non</w:t>
      </w:r>
      <w:proofErr w:type="spellEnd"/>
      <w:r w:rsidR="001604E9" w:rsidRPr="00D4726C">
        <w:rPr>
          <w:i/>
        </w:rPr>
        <w:t xml:space="preserve"> </w:t>
      </w:r>
      <w:proofErr w:type="spellStart"/>
      <w:r w:rsidR="001604E9" w:rsidRPr="00D4726C">
        <w:rPr>
          <w:i/>
        </w:rPr>
        <w:t>curat</w:t>
      </w:r>
      <w:proofErr w:type="spellEnd"/>
      <w:r w:rsidR="001604E9" w:rsidRPr="00D4726C">
        <w:rPr>
          <w:i/>
        </w:rPr>
        <w:t xml:space="preserve"> </w:t>
      </w:r>
      <w:proofErr w:type="spellStart"/>
      <w:r w:rsidR="001604E9" w:rsidRPr="00D4726C">
        <w:rPr>
          <w:i/>
        </w:rPr>
        <w:t>praetor</w:t>
      </w:r>
      <w:proofErr w:type="spellEnd"/>
      <w:r w:rsidR="001604E9" w:rsidRPr="00D4726C">
        <w:t xml:space="preserve">, този критерий за допустимост се основава на предпоставката, че нарушението на едно право, което все пак е реално от чисто правна гледна точка, трябва да достигне минимално ниво на суровост, за да гарантира разглеждане от международен съд. Оценката на това минимално ниво е </w:t>
      </w:r>
      <w:r w:rsidR="00BA2F49">
        <w:t>до голяма степен</w:t>
      </w:r>
      <w:r w:rsidR="001604E9" w:rsidRPr="00D4726C">
        <w:t xml:space="preserve"> относи</w:t>
      </w:r>
      <w:r w:rsidR="00BA2F49">
        <w:t>телна</w:t>
      </w:r>
      <w:r w:rsidR="001604E9" w:rsidRPr="00D4726C">
        <w:t xml:space="preserve"> и зависи от всички обстоятелства по делото. Тежестта на нарушението трябва да се оценява, като се вземат предвид както субективните възприятия на жалбоподателя, така и това, което е обективно заложено в конкретния случай (вж</w:t>
      </w:r>
      <w:r w:rsidR="00BA2F49">
        <w:t>.</w:t>
      </w:r>
      <w:r w:rsidR="001604E9" w:rsidRPr="00D4726C">
        <w:t xml:space="preserve"> </w:t>
      </w:r>
      <w:proofErr w:type="spellStart"/>
      <w:r w:rsidR="001604E9" w:rsidRPr="00D4726C">
        <w:rPr>
          <w:i/>
        </w:rPr>
        <w:t>Korolev</w:t>
      </w:r>
      <w:proofErr w:type="spellEnd"/>
      <w:r w:rsidR="001604E9" w:rsidRPr="00D4726C">
        <w:t>, цитирано по-горе). С други думи липсата на съществен недостатък може да се основава на критерии, като например финансовото въздействие на разглеждания въпрос или значението на делото за жалбоподателя (вж</w:t>
      </w:r>
      <w:r w:rsidR="00BA2F49">
        <w:t>.</w:t>
      </w:r>
      <w:r w:rsidR="001604E9" w:rsidRPr="00D4726C">
        <w:t xml:space="preserve"> </w:t>
      </w:r>
      <w:proofErr w:type="spellStart"/>
      <w:r w:rsidR="001604E9" w:rsidRPr="00D4726C">
        <w:rPr>
          <w:i/>
        </w:rPr>
        <w:t>Adrian</w:t>
      </w:r>
      <w:proofErr w:type="spellEnd"/>
      <w:r w:rsidR="001604E9" w:rsidRPr="00D4726C">
        <w:rPr>
          <w:i/>
        </w:rPr>
        <w:t xml:space="preserve"> </w:t>
      </w:r>
      <w:proofErr w:type="spellStart"/>
      <w:r w:rsidR="001604E9" w:rsidRPr="00D4726C">
        <w:rPr>
          <w:i/>
        </w:rPr>
        <w:t>Mihai</w:t>
      </w:r>
      <w:proofErr w:type="spellEnd"/>
      <w:r w:rsidR="001604E9" w:rsidRPr="00D4726C">
        <w:rPr>
          <w:i/>
        </w:rPr>
        <w:t xml:space="preserve"> </w:t>
      </w:r>
      <w:proofErr w:type="spellStart"/>
      <w:r w:rsidR="001604E9" w:rsidRPr="00D4726C">
        <w:rPr>
          <w:i/>
        </w:rPr>
        <w:t>Ionescu</w:t>
      </w:r>
      <w:proofErr w:type="spellEnd"/>
      <w:r w:rsidR="001604E9" w:rsidRPr="00D4726C">
        <w:t xml:space="preserve">, цитирано по-горе). В тази връзка Съдът отбелязва, че по делото </w:t>
      </w:r>
      <w:proofErr w:type="spellStart"/>
      <w:r w:rsidR="001604E9" w:rsidRPr="00D4726C">
        <w:rPr>
          <w:i/>
        </w:rPr>
        <w:t>Adrian</w:t>
      </w:r>
      <w:proofErr w:type="spellEnd"/>
      <w:r w:rsidR="001604E9" w:rsidRPr="00D4726C">
        <w:rPr>
          <w:i/>
        </w:rPr>
        <w:t xml:space="preserve"> </w:t>
      </w:r>
      <w:proofErr w:type="spellStart"/>
      <w:r w:rsidR="001604E9" w:rsidRPr="00D4726C">
        <w:rPr>
          <w:i/>
        </w:rPr>
        <w:t>Mihai</w:t>
      </w:r>
      <w:proofErr w:type="spellEnd"/>
      <w:r w:rsidR="001604E9" w:rsidRPr="00D4726C">
        <w:rPr>
          <w:i/>
        </w:rPr>
        <w:t xml:space="preserve"> </w:t>
      </w:r>
      <w:proofErr w:type="spellStart"/>
      <w:r w:rsidR="001604E9" w:rsidRPr="00D4726C">
        <w:rPr>
          <w:i/>
        </w:rPr>
        <w:t>Ionescu</w:t>
      </w:r>
      <w:proofErr w:type="spellEnd"/>
      <w:r w:rsidR="001604E9" w:rsidRPr="00D4726C">
        <w:t xml:space="preserve"> (цитирано по-горе) Съдът </w:t>
      </w:r>
      <w:r w:rsidR="00BA2F49">
        <w:t xml:space="preserve">вече </w:t>
      </w:r>
      <w:r w:rsidR="001604E9" w:rsidRPr="00D4726C">
        <w:t xml:space="preserve">е преценил, че имуществените вреди от около 90 </w:t>
      </w:r>
      <w:r w:rsidR="00BA2F49">
        <w:t>е</w:t>
      </w:r>
      <w:r w:rsidR="001604E9" w:rsidRPr="00D4726C">
        <w:t xml:space="preserve">вро, които жалбоподателят твърди, че е претърпял, не достигат необходимото ниво на значимост. Той също така оценява като незначителна имуществената загуба от 0.5 </w:t>
      </w:r>
      <w:r w:rsidR="00BA2F49">
        <w:t>е</w:t>
      </w:r>
      <w:r w:rsidR="001604E9" w:rsidRPr="00D4726C">
        <w:t xml:space="preserve">вро, които жалбоподателят твърди, че е претърпял по делото </w:t>
      </w:r>
      <w:proofErr w:type="spellStart"/>
      <w:r w:rsidR="001604E9" w:rsidRPr="00D4726C">
        <w:rPr>
          <w:i/>
        </w:rPr>
        <w:t>Korolev</w:t>
      </w:r>
      <w:proofErr w:type="spellEnd"/>
      <w:r w:rsidR="001604E9" w:rsidRPr="00D4726C">
        <w:t>, цитирано по-горе.</w:t>
      </w:r>
    </w:p>
    <w:p w:rsidR="00407ED2" w:rsidRPr="00D4726C" w:rsidRDefault="009E5013" w:rsidP="001B7481">
      <w:pPr>
        <w:pStyle w:val="ECHRPara"/>
      </w:pPr>
      <w:fldSimple w:instr=" SEQ level0 \*arabic ">
        <w:r w:rsidR="00D4726C">
          <w:rPr>
            <w:noProof/>
          </w:rPr>
          <w:t>45</w:t>
        </w:r>
      </w:fldSimple>
      <w:r w:rsidR="00B33F65" w:rsidRPr="00D4726C">
        <w:t xml:space="preserve">.  По отношение на позицията на </w:t>
      </w:r>
      <w:r w:rsidR="00BA2F49">
        <w:t>П</w:t>
      </w:r>
      <w:r w:rsidR="00B33F65" w:rsidRPr="00D4726C">
        <w:t xml:space="preserve">равителството, че жалбоподателят в конкретния случай не е претърпял значителна вреда, тъй като размерът на глобата е незначителен, Съдът отбелязва следното. На жалбоподателя е наложена глоба от около 260 </w:t>
      </w:r>
      <w:r w:rsidR="00BA2F49">
        <w:t>е</w:t>
      </w:r>
      <w:r w:rsidR="00B33F65" w:rsidRPr="00D4726C">
        <w:t xml:space="preserve">вро от националните съдилища в контекста на наказателното дело, по което той е бил назначен да изпълнява ролята на процесуален защитник на един от обвиняемите. Нито една от страните не предоставя информация за финансовото състояние на жалбоподателя. Съдът отбелязва, че според проучване, поръчано от Европейската обсерватория </w:t>
      </w:r>
      <w:r w:rsidR="0093243E">
        <w:t>н</w:t>
      </w:r>
      <w:r w:rsidR="00B33F65" w:rsidRPr="00D4726C">
        <w:t xml:space="preserve">а </w:t>
      </w:r>
      <w:r w:rsidR="0093243E">
        <w:t>професионалн</w:t>
      </w:r>
      <w:r w:rsidR="00B33F65" w:rsidRPr="00D4726C">
        <w:t xml:space="preserve">ия живот (агенция на Европейския съюз), минималната месечна работна заплата в България към момента на </w:t>
      </w:r>
      <w:r w:rsidR="0093243E">
        <w:t xml:space="preserve">настъпване на </w:t>
      </w:r>
      <w:r w:rsidR="00B33F65" w:rsidRPr="00D4726C">
        <w:t xml:space="preserve">фактите е около 61 </w:t>
      </w:r>
      <w:r w:rsidR="0093243E">
        <w:t>е</w:t>
      </w:r>
      <w:r w:rsidR="00B33F65" w:rsidRPr="00D4726C">
        <w:t>вро. Дори да се приеме, че жалбоподателят е адвокат на свободна практика, чиито доходи не са обвързани с нивото на минималната работна заплата, Съдът счита горепосочената информация за показателна за общия стандарт на живот в страната в тогавашния момент и като так</w:t>
      </w:r>
      <w:r w:rsidR="0093243E">
        <w:t>а</w:t>
      </w:r>
      <w:r w:rsidR="00B33F65" w:rsidRPr="00D4726C">
        <w:t xml:space="preserve">ва </w:t>
      </w:r>
      <w:r w:rsidR="0093243E">
        <w:t>я</w:t>
      </w:r>
      <w:r w:rsidR="00B33F65" w:rsidRPr="00D4726C">
        <w:t xml:space="preserve"> намира за приложим</w:t>
      </w:r>
      <w:r w:rsidR="0093243E">
        <w:t>а</w:t>
      </w:r>
      <w:r w:rsidR="00B33F65" w:rsidRPr="00D4726C">
        <w:t>.</w:t>
      </w:r>
    </w:p>
    <w:p w:rsidR="00407ED2" w:rsidRPr="00D4726C" w:rsidRDefault="009E5013" w:rsidP="001B7481">
      <w:pPr>
        <w:pStyle w:val="ECHRPara"/>
      </w:pPr>
      <w:fldSimple w:instr=" SEQ level0 \*arabic ">
        <w:r w:rsidR="00D4726C">
          <w:rPr>
            <w:noProof/>
          </w:rPr>
          <w:t>46</w:t>
        </w:r>
      </w:fldSimple>
      <w:r w:rsidR="00D76AC4" w:rsidRPr="00D4726C">
        <w:t>.  Съдът отбелязва също, че глобата, която е предмет на жалбата, е наложена на жалбоподателя като имуществена санкция или като санкция за това, което националният съд счита за неуважително поведение по време на производството по делото. Ето защо в допълнение към и отделно от имуществения интерес на жалбоподателя да не бъде глобен, е необходимо също да се вземе предвид и факт</w:t>
      </w:r>
      <w:r w:rsidR="0093243E">
        <w:t>ът</w:t>
      </w:r>
      <w:r w:rsidR="00D76AC4" w:rsidRPr="00D4726C">
        <w:t xml:space="preserve">, че въпросът за това дали той е бил глобен законно </w:t>
      </w:r>
      <w:r w:rsidR="0093243E">
        <w:t>касае</w:t>
      </w:r>
      <w:r w:rsidR="00D76AC4" w:rsidRPr="00D4726C">
        <w:t xml:space="preserve"> принципен въпрос за него, </w:t>
      </w:r>
      <w:r w:rsidR="0093243E">
        <w:t>а именно</w:t>
      </w:r>
      <w:r w:rsidR="00D76AC4" w:rsidRPr="00D4726C">
        <w:t xml:space="preserve"> зачитане на позицията му като адвокат при упражняване на професионалната му дейност.</w:t>
      </w:r>
    </w:p>
    <w:p w:rsidR="00300DB2" w:rsidRPr="00D4726C" w:rsidRDefault="009E5013" w:rsidP="001B7481">
      <w:pPr>
        <w:pStyle w:val="ECHRPara"/>
      </w:pPr>
      <w:fldSimple w:instr=" SEQ level0 \*arabic ">
        <w:r w:rsidR="00D4726C">
          <w:rPr>
            <w:noProof/>
          </w:rPr>
          <w:t>47</w:t>
        </w:r>
      </w:fldSimple>
      <w:r w:rsidR="0017646D" w:rsidRPr="00D4726C">
        <w:t xml:space="preserve">.  При тези обстоятелства, </w:t>
      </w:r>
      <w:r w:rsidR="0093243E">
        <w:t>по мнение</w:t>
      </w:r>
      <w:r w:rsidR="0017646D" w:rsidRPr="00D4726C">
        <w:t xml:space="preserve"> на Съда,  не може да се счита, че </w:t>
      </w:r>
      <w:r w:rsidR="0093243E" w:rsidRPr="00D4726C">
        <w:t xml:space="preserve">жалбоподателят </w:t>
      </w:r>
      <w:r w:rsidR="0017646D" w:rsidRPr="00D4726C">
        <w:t>не е претърпял значителни вреди.</w:t>
      </w:r>
      <w:r w:rsidR="0093243E">
        <w:t xml:space="preserve"> </w:t>
      </w:r>
    </w:p>
    <w:p w:rsidR="00E04118" w:rsidRPr="00D4726C" w:rsidRDefault="009E5013" w:rsidP="001B7481">
      <w:pPr>
        <w:pStyle w:val="ECHRPara"/>
        <w:rPr>
          <w:i/>
        </w:rPr>
      </w:pPr>
      <w:fldSimple w:instr=" SEQ level0 \*arabic ">
        <w:r w:rsidR="00D4726C">
          <w:rPr>
            <w:noProof/>
          </w:rPr>
          <w:t>48</w:t>
        </w:r>
      </w:fldSimple>
      <w:r w:rsidR="00E04118" w:rsidRPr="00D4726C">
        <w:t>.  Съдът отбелязва, че критерият за допустимост, изложен в чл</w:t>
      </w:r>
      <w:r w:rsidR="0093243E">
        <w:t>.</w:t>
      </w:r>
      <w:r w:rsidR="00E04118" w:rsidRPr="00D4726C">
        <w:t xml:space="preserve"> 35 § 3 (</w:t>
      </w:r>
      <w:r w:rsidR="0093243E">
        <w:rPr>
          <w:lang w:val="en-US"/>
        </w:rPr>
        <w:t>b</w:t>
      </w:r>
      <w:r w:rsidR="00E04118" w:rsidRPr="00D4726C">
        <w:t>) от Конвенцията</w:t>
      </w:r>
      <w:r w:rsidR="0093243E">
        <w:t>,</w:t>
      </w:r>
      <w:r w:rsidR="00E04118" w:rsidRPr="00D4726C">
        <w:t xml:space="preserve"> е приложим, само когато жалбоподателят не е претърпял значителни вреди и при условие че са спазени двете предпазни клаузи, съдържащи се в същата разпоредба. От това следва, че когато не е установено, че жалбоподателят не е претърпял значителни вреди, този критерий за допустимост не се прилага (вж</w:t>
      </w:r>
      <w:r w:rsidR="0093243E">
        <w:t>.</w:t>
      </w:r>
      <w:r w:rsidR="00E04118" w:rsidRPr="00D4726C">
        <w:t xml:space="preserve"> </w:t>
      </w:r>
      <w:proofErr w:type="spellStart"/>
      <w:r w:rsidR="00E04118" w:rsidRPr="00D4726C">
        <w:rPr>
          <w:i/>
        </w:rPr>
        <w:t>Giuran</w:t>
      </w:r>
      <w:proofErr w:type="spellEnd"/>
      <w:r w:rsidR="00E04118" w:rsidRPr="00D4726C">
        <w:rPr>
          <w:i/>
        </w:rPr>
        <w:t xml:space="preserve"> v. </w:t>
      </w:r>
      <w:proofErr w:type="spellStart"/>
      <w:r w:rsidR="00E04118" w:rsidRPr="00D4726C">
        <w:rPr>
          <w:i/>
        </w:rPr>
        <w:t>Romania</w:t>
      </w:r>
      <w:proofErr w:type="spellEnd"/>
      <w:r w:rsidR="00E04118" w:rsidRPr="00D4726C">
        <w:t>, № 24360/04, § 24, ЕСПЧ 2011 г. (</w:t>
      </w:r>
      <w:r w:rsidR="0093243E">
        <w:t>откъси</w:t>
      </w:r>
      <w:r w:rsidR="00E04118" w:rsidRPr="00D4726C">
        <w:t>)).</w:t>
      </w:r>
    </w:p>
    <w:p w:rsidR="00014566" w:rsidRPr="00D4726C" w:rsidRDefault="009E5013" w:rsidP="001B7481">
      <w:pPr>
        <w:pStyle w:val="ECHRPara"/>
      </w:pPr>
      <w:fldSimple w:instr=" SEQ level0 \*arabic ">
        <w:r w:rsidR="00D4726C">
          <w:rPr>
            <w:noProof/>
          </w:rPr>
          <w:t>49</w:t>
        </w:r>
      </w:fldSimple>
      <w:r w:rsidR="00E04118" w:rsidRPr="00D4726C">
        <w:t xml:space="preserve">.  Ето защо Съдът отхвърля възражението на </w:t>
      </w:r>
      <w:r w:rsidR="0093243E">
        <w:t>П</w:t>
      </w:r>
      <w:r w:rsidR="00E04118" w:rsidRPr="00D4726C">
        <w:t>равителството по отношение на глобата. Като отбелязва, че оплакването на жалбоподателя по отношение на глобата не е явно необосновано по смисъла на член 35 § 3 (а) от Конвенцията и че т</w:t>
      </w:r>
      <w:r w:rsidR="00A77E76">
        <w:t>о</w:t>
      </w:r>
      <w:r w:rsidR="00E04118" w:rsidRPr="00D4726C">
        <w:t xml:space="preserve"> не е недопустим</w:t>
      </w:r>
      <w:r w:rsidR="00A77E76">
        <w:t>о</w:t>
      </w:r>
      <w:r w:rsidR="00E04118" w:rsidRPr="00D4726C">
        <w:t xml:space="preserve"> на други основания, Съдът </w:t>
      </w:r>
      <w:r w:rsidR="00A77E76">
        <w:t>го</w:t>
      </w:r>
      <w:r w:rsidR="00E04118" w:rsidRPr="00D4726C">
        <w:t xml:space="preserve"> </w:t>
      </w:r>
      <w:r w:rsidR="0093243E">
        <w:t>обявява</w:t>
      </w:r>
      <w:r w:rsidR="0093243E" w:rsidRPr="00D4726C">
        <w:t xml:space="preserve"> </w:t>
      </w:r>
      <w:r w:rsidR="00E04118" w:rsidRPr="00D4726C">
        <w:t>за допустим</w:t>
      </w:r>
      <w:r w:rsidR="00A77E76">
        <w:t>о</w:t>
      </w:r>
      <w:r w:rsidR="00E04118" w:rsidRPr="00D4726C">
        <w:t>.</w:t>
      </w:r>
    </w:p>
    <w:p w:rsidR="00A300EA" w:rsidRPr="00D4726C" w:rsidRDefault="00014566" w:rsidP="001B7481">
      <w:pPr>
        <w:pStyle w:val="ECHRHeading2"/>
      </w:pPr>
      <w:r w:rsidRPr="00D4726C">
        <w:t>Б. Основателност</w:t>
      </w:r>
    </w:p>
    <w:p w:rsidR="008D6B3D" w:rsidRPr="00D4726C" w:rsidRDefault="00BB2682" w:rsidP="001B7481">
      <w:pPr>
        <w:pStyle w:val="ECHRHeading3"/>
      </w:pPr>
      <w:r w:rsidRPr="00D4726C">
        <w:t>1.  </w:t>
      </w:r>
      <w:r w:rsidR="00A77E76">
        <w:t>Тезите</w:t>
      </w:r>
      <w:r w:rsidR="00A77E76" w:rsidRPr="00D4726C">
        <w:t xml:space="preserve"> </w:t>
      </w:r>
      <w:r w:rsidRPr="00D4726C">
        <w:t>на страните</w:t>
      </w:r>
    </w:p>
    <w:p w:rsidR="003109D1" w:rsidRPr="00D4726C" w:rsidRDefault="009D6CC9" w:rsidP="001B7481">
      <w:pPr>
        <w:pStyle w:val="ECHRHeading4"/>
      </w:pPr>
      <w:r w:rsidRPr="00D4726C">
        <w:t>(а) Становище</w:t>
      </w:r>
      <w:r w:rsidR="00A77E76">
        <w:t>то</w:t>
      </w:r>
      <w:r w:rsidRPr="00D4726C">
        <w:t xml:space="preserve"> на Правителството</w:t>
      </w:r>
    </w:p>
    <w:p w:rsidR="00407ED2" w:rsidRPr="00D4726C" w:rsidRDefault="009E5013" w:rsidP="001B7481">
      <w:pPr>
        <w:pStyle w:val="ECHRPara"/>
        <w:keepNext/>
        <w:keepLines/>
      </w:pPr>
      <w:fldSimple w:instr=" SEQ level0 \*arabic ">
        <w:r w:rsidR="00D4726C">
          <w:rPr>
            <w:noProof/>
          </w:rPr>
          <w:t>50</w:t>
        </w:r>
      </w:fldSimple>
      <w:r w:rsidR="001779A6" w:rsidRPr="00D4726C">
        <w:t>.  Правителството твърди, че глобата, наложена на жалбоподателя</w:t>
      </w:r>
      <w:r w:rsidR="00A77E76">
        <w:t>,</w:t>
      </w:r>
      <w:r w:rsidR="001779A6" w:rsidRPr="00D4726C">
        <w:t xml:space="preserve"> не може да се счита, че е засегнала неправомерно или непропорционално неговите "притежания". По-</w:t>
      </w:r>
      <w:r w:rsidR="00A77E76">
        <w:t>конкретно</w:t>
      </w:r>
      <w:r w:rsidR="001779A6" w:rsidRPr="00D4726C">
        <w:t xml:space="preserve"> глобата е </w:t>
      </w:r>
      <w:r w:rsidR="00A77E76">
        <w:t>била</w:t>
      </w:r>
      <w:r w:rsidR="001779A6" w:rsidRPr="00D4726C">
        <w:t xml:space="preserve"> финансова санкция, която е изрично предвидена в националното законодателство. Държавата има право да въведе различни видове механизми за контрол, които включват и глоби. Глобата, наложена на жалбоподателя</w:t>
      </w:r>
      <w:r w:rsidR="00A77E76">
        <w:t>,</w:t>
      </w:r>
      <w:r w:rsidR="001779A6" w:rsidRPr="00D4726C">
        <w:t xml:space="preserve"> е била законосъобразна, предвид факта, че в тогавашния момент той е бил назначен от съда за процесуален защитник, </w:t>
      </w:r>
      <w:r w:rsidR="00A77E76">
        <w:t>но</w:t>
      </w:r>
      <w:r w:rsidR="001779A6" w:rsidRPr="00D4726C">
        <w:t xml:space="preserve"> не е присъствал на заседанието. Глобата също е била пропорционална на неговото поведение, имайки предвид, че това е дисциплинарно наказание за неетично поведение и липса на уважение от страна </w:t>
      </w:r>
      <w:r w:rsidR="00A77E76">
        <w:t xml:space="preserve">на жалбоподателя </w:t>
      </w:r>
      <w:r w:rsidR="001779A6" w:rsidRPr="00D4726C">
        <w:t xml:space="preserve">към съда. На последно място, напускайки залата и отказвайки да продължи да представлява </w:t>
      </w:r>
      <w:r w:rsidR="00A77E76">
        <w:t>обвиняемия</w:t>
      </w:r>
      <w:r w:rsidR="001779A6" w:rsidRPr="00D4726C">
        <w:t xml:space="preserve">, </w:t>
      </w:r>
      <w:r w:rsidR="00A77E76">
        <w:t>жалбоподателят</w:t>
      </w:r>
      <w:r w:rsidR="00A77E76" w:rsidRPr="00D4726C">
        <w:t xml:space="preserve"> </w:t>
      </w:r>
      <w:r w:rsidR="001779A6" w:rsidRPr="00D4726C">
        <w:t>е причинил неоправдано забавяне на производството, за което е бил справедливо глобен.</w:t>
      </w:r>
    </w:p>
    <w:p w:rsidR="003109D1" w:rsidRPr="00D4726C" w:rsidRDefault="009D6CC9" w:rsidP="001B7481">
      <w:pPr>
        <w:pStyle w:val="ECHRHeading4"/>
      </w:pPr>
      <w:r w:rsidRPr="00D4726C">
        <w:t>(б) Становище</w:t>
      </w:r>
      <w:r w:rsidR="00A77E76">
        <w:t>то</w:t>
      </w:r>
      <w:r w:rsidRPr="00D4726C">
        <w:t xml:space="preserve"> на жалбоподателя</w:t>
      </w:r>
    </w:p>
    <w:p w:rsidR="00407ED2" w:rsidRPr="00D4726C" w:rsidRDefault="009E5013" w:rsidP="001B7481">
      <w:pPr>
        <w:pStyle w:val="ECHRPara"/>
      </w:pPr>
      <w:fldSimple w:instr=" SEQ level0 \*arabic ">
        <w:r w:rsidR="00D4726C">
          <w:rPr>
            <w:noProof/>
          </w:rPr>
          <w:t>51</w:t>
        </w:r>
      </w:fldSimple>
      <w:r w:rsidR="002C0495" w:rsidRPr="00D4726C">
        <w:t>.  Жалбоподателят твърди, че наложената му глоба е представлявала вмешателство в правото му мирно да се ползва от притежанията си и не е била в съответствие със закона.</w:t>
      </w:r>
    </w:p>
    <w:p w:rsidR="00F4116D" w:rsidRPr="00D4726C" w:rsidRDefault="009E5013" w:rsidP="001B7481">
      <w:pPr>
        <w:pStyle w:val="ECHRPara"/>
      </w:pPr>
      <w:fldSimple w:instr=" SEQ level0 \*arabic ">
        <w:r w:rsidR="00D4726C">
          <w:rPr>
            <w:noProof/>
          </w:rPr>
          <w:t>52</w:t>
        </w:r>
      </w:fldSimple>
      <w:r w:rsidR="00490AF8" w:rsidRPr="00D4726C">
        <w:t>.  Той посочва, че съдът е бил длъжен да определи хонорара, който следва да получи, в решението си да го назначи за процесуален</w:t>
      </w:r>
      <w:r w:rsidR="00490AF8" w:rsidRPr="00D4726C">
        <w:rPr>
          <w:i/>
        </w:rPr>
        <w:t xml:space="preserve"> </w:t>
      </w:r>
      <w:r w:rsidR="00490AF8" w:rsidRPr="00D4726C">
        <w:t xml:space="preserve">защитник. Този хонорар не е можело да бъде по-малък от минималния размер, определен в Наредбата за възнагражденията; ако съдът предложи по-малко заплащане, адвокатът трябва да откаже да представлява </w:t>
      </w:r>
      <w:r w:rsidR="00A77E76">
        <w:t>подсъдимия</w:t>
      </w:r>
      <w:r w:rsidR="00490AF8" w:rsidRPr="00D4726C">
        <w:t xml:space="preserve">, в противен случай рискува да му бъдат наложени санкции от адвокатската колегия в съответствие с </w:t>
      </w:r>
      <w:r w:rsidR="00A77E76">
        <w:t>ч</w:t>
      </w:r>
      <w:r w:rsidR="00490AF8" w:rsidRPr="00D4726C">
        <w:t>л</w:t>
      </w:r>
      <w:r w:rsidR="00A77E76">
        <w:t>.</w:t>
      </w:r>
      <w:r w:rsidR="00490AF8" w:rsidRPr="00D4726C">
        <w:t xml:space="preserve"> 132(6) от Закона за адвокатурата (вж</w:t>
      </w:r>
      <w:r w:rsidR="00A77E76">
        <w:t>.</w:t>
      </w:r>
      <w:r w:rsidR="00490AF8" w:rsidRPr="00D4726C">
        <w:t xml:space="preserve"> параграф 9 по-горе). Жалбоподателят твърди, че тъй като </w:t>
      </w:r>
      <w:r w:rsidR="00A77E76" w:rsidRPr="00D4726C">
        <w:t xml:space="preserve">в решението си за назначаване на процесуален защитник </w:t>
      </w:r>
      <w:r w:rsidR="00490AF8" w:rsidRPr="00D4726C">
        <w:t xml:space="preserve">съдът не е </w:t>
      </w:r>
      <w:r w:rsidR="00A77E76">
        <w:t>определил</w:t>
      </w:r>
      <w:r w:rsidR="00490AF8" w:rsidRPr="00D4726C">
        <w:t xml:space="preserve"> хонорара, който да му бъде изплатен, съдът не е действал законосъобразно; </w:t>
      </w:r>
      <w:r w:rsidR="00A77E76">
        <w:t>е</w:t>
      </w:r>
      <w:r w:rsidR="00490AF8" w:rsidRPr="00D4726C">
        <w:t xml:space="preserve">то защо той </w:t>
      </w:r>
      <w:r w:rsidR="00A77E76">
        <w:t xml:space="preserve">на практика </w:t>
      </w:r>
      <w:r w:rsidR="00490AF8" w:rsidRPr="00D4726C">
        <w:t>не е бил назначен за адвокат на защитата, преди да бъде глобен. Освен това той посочва, че не е "</w:t>
      </w:r>
      <w:r w:rsidR="00A77E76">
        <w:t>отсъствал</w:t>
      </w:r>
      <w:r w:rsidR="00490AF8" w:rsidRPr="00D4726C">
        <w:t>"</w:t>
      </w:r>
      <w:r w:rsidR="00A77E76">
        <w:t xml:space="preserve"> от</w:t>
      </w:r>
      <w:r w:rsidR="00490AF8" w:rsidRPr="00D4726C">
        <w:t xml:space="preserve"> съдебното заседание; той всъщност се е явил, готов да изпълнява функциите на защитник на обвиняемия, а след това е напуснал залата единствено заради неправомерния отказ на съда да му гарантира адвокатски хонорар, не по-малък от законовия минимум. Поради гореизложените причини жалбоподателят твърди, че глобата не е била законна.</w:t>
      </w:r>
    </w:p>
    <w:p w:rsidR="0048601D" w:rsidRPr="00D4726C" w:rsidRDefault="00BB2682" w:rsidP="001B7481">
      <w:pPr>
        <w:pStyle w:val="ECHRHeading3"/>
      </w:pPr>
      <w:r w:rsidRPr="00D4726C">
        <w:t>2.  Преценка</w:t>
      </w:r>
      <w:r w:rsidR="00A77E76">
        <w:t>та</w:t>
      </w:r>
      <w:r w:rsidRPr="00D4726C">
        <w:t xml:space="preserve"> на Съда</w:t>
      </w:r>
    </w:p>
    <w:p w:rsidR="003C05D1" w:rsidRPr="00D4726C" w:rsidRDefault="00BB2682" w:rsidP="001B7481">
      <w:pPr>
        <w:pStyle w:val="ECHRHeading4"/>
      </w:pPr>
      <w:r w:rsidRPr="00D4726C">
        <w:t>(а)  Общи принципи</w:t>
      </w:r>
    </w:p>
    <w:p w:rsidR="007B10C0" w:rsidRPr="00D4726C" w:rsidRDefault="009E5013" w:rsidP="001B7481">
      <w:pPr>
        <w:pStyle w:val="ECHRPara"/>
        <w:rPr>
          <w:i/>
        </w:rPr>
      </w:pPr>
      <w:fldSimple w:instr=" SEQ level0 \*arabic ">
        <w:r w:rsidR="00D4726C">
          <w:rPr>
            <w:noProof/>
          </w:rPr>
          <w:t>53</w:t>
        </w:r>
      </w:fldSimple>
      <w:r w:rsidR="00D24B30" w:rsidRPr="00D4726C">
        <w:t>.  Съдът посочва, че чл</w:t>
      </w:r>
      <w:r w:rsidR="00A77E76">
        <w:t>.</w:t>
      </w:r>
      <w:r w:rsidR="00D24B30" w:rsidRPr="00D4726C">
        <w:t xml:space="preserve"> 1 от Протокол № 1, който гарантира по същество правото на собственост, се състои от три отделни правила. Първото правило, което е залегнало в първото изречение на първия параграф и което е от общ характер, определя принципа на мирно ползване на </w:t>
      </w:r>
      <w:r w:rsidR="00A77E76">
        <w:t>„</w:t>
      </w:r>
      <w:r w:rsidR="00D24B30" w:rsidRPr="00D4726C">
        <w:t>притежанията</w:t>
      </w:r>
      <w:r w:rsidR="00A77E76">
        <w:t>“</w:t>
      </w:r>
      <w:r w:rsidR="00D24B30" w:rsidRPr="00D4726C">
        <w:t>. Второто правило във второто изречение на същия параграф включва лишаването от притежания и го прави предмет на определени условия. Третото правило, съдържащо се във втория параграф, признава, че държавите, освен всичко друго, имат право да контролират използването на притежанията в съответствие с общия интерес. Съдът многократно е поддържал мнението, че второто и третото правило трябва да се тълкуват в светлината на общия принцип, установен в първото правило (вж</w:t>
      </w:r>
      <w:r w:rsidR="00A77E76">
        <w:t>.</w:t>
      </w:r>
      <w:r w:rsidR="00D24B30" w:rsidRPr="00D4726C">
        <w:t xml:space="preserve">, наред с много други, </w:t>
      </w:r>
      <w:proofErr w:type="spellStart"/>
      <w:r w:rsidR="00D24B30" w:rsidRPr="00D4726C">
        <w:rPr>
          <w:i/>
        </w:rPr>
        <w:t>Grifhorst</w:t>
      </w:r>
      <w:proofErr w:type="spellEnd"/>
      <w:r w:rsidR="00D24B30" w:rsidRPr="00D4726C">
        <w:rPr>
          <w:i/>
        </w:rPr>
        <w:t xml:space="preserve"> v. </w:t>
      </w:r>
      <w:proofErr w:type="spellStart"/>
      <w:r w:rsidR="00D24B30" w:rsidRPr="00D4726C">
        <w:rPr>
          <w:i/>
        </w:rPr>
        <w:t>France</w:t>
      </w:r>
      <w:proofErr w:type="spellEnd"/>
      <w:r w:rsidR="00D24B30" w:rsidRPr="00D4726C">
        <w:t xml:space="preserve">, № 28336/02, </w:t>
      </w:r>
      <w:r w:rsidR="00D24B30" w:rsidRPr="00D4726C">
        <w:rPr>
          <w:snapToGrid w:val="0"/>
        </w:rPr>
        <w:t xml:space="preserve">§§ 81-83, </w:t>
      </w:r>
      <w:r w:rsidR="00D24B30" w:rsidRPr="00D4726C">
        <w:t>26 февруари 2009 г.).</w:t>
      </w:r>
    </w:p>
    <w:p w:rsidR="00BA71B7" w:rsidRPr="00D4726C" w:rsidRDefault="009E5013" w:rsidP="001B7481">
      <w:pPr>
        <w:pStyle w:val="ECHRPara"/>
        <w:rPr>
          <w:szCs w:val="24"/>
        </w:rPr>
      </w:pPr>
      <w:fldSimple w:instr=" SEQ level0 \*arabic ">
        <w:r w:rsidR="00D4726C">
          <w:rPr>
            <w:noProof/>
          </w:rPr>
          <w:t>54</w:t>
        </w:r>
      </w:fldSimple>
      <w:r w:rsidR="00F82A4A" w:rsidRPr="00D4726C">
        <w:t>.  Съдът подчертава, че всяка намеса на държавните власти в мирното ползване на собствеността трябва да бъде законосъобразна. По-специално вторият параграф на член 1 от Протокол № 1, като признава, че държавите имат правото да контролират използването на притежанията, подчинява това на условието правото на държавите да се упражнява чрез прилагането на "закони". Освен това принципът на законност предполага, че приложимите разпоредби от националното законодателство са достатъчно достъпни, точни и предвидими в тяхното приложение (вж</w:t>
      </w:r>
      <w:r w:rsidR="004016D4">
        <w:t>.</w:t>
      </w:r>
      <w:r w:rsidR="00F82A4A" w:rsidRPr="00D4726C">
        <w:t xml:space="preserve">, </w:t>
      </w:r>
      <w:proofErr w:type="spellStart"/>
      <w:r w:rsidR="00F82A4A" w:rsidRPr="00D4726C">
        <w:rPr>
          <w:i/>
        </w:rPr>
        <w:t>mutatis</w:t>
      </w:r>
      <w:proofErr w:type="spellEnd"/>
      <w:r w:rsidR="00F82A4A" w:rsidRPr="00D4726C">
        <w:rPr>
          <w:i/>
        </w:rPr>
        <w:t xml:space="preserve"> </w:t>
      </w:r>
      <w:proofErr w:type="spellStart"/>
      <w:r w:rsidR="00F82A4A" w:rsidRPr="00D4726C">
        <w:rPr>
          <w:i/>
        </w:rPr>
        <w:t>mutandis</w:t>
      </w:r>
      <w:proofErr w:type="spellEnd"/>
      <w:r w:rsidR="00F82A4A" w:rsidRPr="00D4726C">
        <w:t>,</w:t>
      </w:r>
      <w:r w:rsidR="00F82A4A" w:rsidRPr="00D4726C">
        <w:rPr>
          <w:i/>
        </w:rPr>
        <w:t xml:space="preserve"> </w:t>
      </w:r>
      <w:proofErr w:type="spellStart"/>
      <w:r w:rsidR="00F82A4A" w:rsidRPr="00D4726C">
        <w:rPr>
          <w:i/>
        </w:rPr>
        <w:t>Frizen</w:t>
      </w:r>
      <w:proofErr w:type="spellEnd"/>
      <w:r w:rsidR="00F82A4A" w:rsidRPr="00D4726C">
        <w:rPr>
          <w:i/>
        </w:rPr>
        <w:t xml:space="preserve"> v. </w:t>
      </w:r>
      <w:proofErr w:type="spellStart"/>
      <w:r w:rsidR="00F82A4A" w:rsidRPr="00D4726C">
        <w:rPr>
          <w:i/>
        </w:rPr>
        <w:t>Russia</w:t>
      </w:r>
      <w:proofErr w:type="spellEnd"/>
      <w:r w:rsidR="00F82A4A" w:rsidRPr="00D4726C">
        <w:t>, № 58254/00, § 33, 24 март 2005 г.).</w:t>
      </w:r>
    </w:p>
    <w:p w:rsidR="007B10C0" w:rsidRPr="00D4726C" w:rsidRDefault="009E5013" w:rsidP="001B7481">
      <w:pPr>
        <w:pStyle w:val="ECHRPara"/>
      </w:pPr>
      <w:fldSimple w:instr=" SEQ level0 \*arabic ">
        <w:r w:rsidR="00D4726C">
          <w:rPr>
            <w:noProof/>
          </w:rPr>
          <w:t>55</w:t>
        </w:r>
      </w:fldSimple>
      <w:r w:rsidR="009E00A3" w:rsidRPr="00D4726C">
        <w:t>.  Освен това</w:t>
      </w:r>
      <w:r w:rsidR="004016D4">
        <w:t xml:space="preserve"> трябва да се</w:t>
      </w:r>
      <w:r w:rsidR="009E00A3" w:rsidRPr="00D4726C">
        <w:t xml:space="preserve"> нам</w:t>
      </w:r>
      <w:r w:rsidR="004016D4">
        <w:t>ери</w:t>
      </w:r>
      <w:r w:rsidR="009E00A3" w:rsidRPr="00D4726C">
        <w:t xml:space="preserve"> справедлив баланс между нуждите на общия интерес на общ</w:t>
      </w:r>
      <w:r w:rsidR="004016D4">
        <w:t>еството</w:t>
      </w:r>
      <w:r w:rsidR="009E00A3" w:rsidRPr="00D4726C">
        <w:t xml:space="preserve"> и изискванията за защита на основните права на индивида (вж</w:t>
      </w:r>
      <w:r w:rsidR="004016D4">
        <w:t>.</w:t>
      </w:r>
      <w:r w:rsidR="009E00A3" w:rsidRPr="00D4726C">
        <w:t xml:space="preserve"> </w:t>
      </w:r>
      <w:r w:rsidR="009E00A3" w:rsidRPr="00D4726C">
        <w:rPr>
          <w:i/>
        </w:rPr>
        <w:t xml:space="preserve">SCHNEIDER AUSTRIA </w:t>
      </w:r>
      <w:proofErr w:type="spellStart"/>
      <w:r w:rsidR="009E00A3" w:rsidRPr="00D4726C">
        <w:rPr>
          <w:i/>
        </w:rPr>
        <w:t>GmbH</w:t>
      </w:r>
      <w:proofErr w:type="spellEnd"/>
      <w:r w:rsidR="009E00A3" w:rsidRPr="00D4726C">
        <w:rPr>
          <w:i/>
        </w:rPr>
        <w:t xml:space="preserve"> v. </w:t>
      </w:r>
      <w:proofErr w:type="spellStart"/>
      <w:r w:rsidR="009E00A3" w:rsidRPr="00D4726C">
        <w:rPr>
          <w:i/>
        </w:rPr>
        <w:t>Austria</w:t>
      </w:r>
      <w:proofErr w:type="spellEnd"/>
      <w:r w:rsidR="009E00A3" w:rsidRPr="00D4726C">
        <w:rPr>
          <w:i/>
        </w:rPr>
        <w:t xml:space="preserve"> </w:t>
      </w:r>
      <w:r w:rsidR="009E00A3" w:rsidRPr="00D4726C">
        <w:t>(</w:t>
      </w:r>
      <w:r w:rsidR="004016D4">
        <w:t>РД</w:t>
      </w:r>
      <w:r w:rsidR="009E00A3" w:rsidRPr="00D4726C">
        <w:t>), № 21354/93, 30 ноември 1994 г.). Необходимият баланс няма да бъде постигнат, ако въпросното лице понесе индивидуална и прекомерна тежест (вж</w:t>
      </w:r>
      <w:r w:rsidR="004016D4">
        <w:t>.</w:t>
      </w:r>
      <w:r w:rsidR="009E00A3" w:rsidRPr="00D4726C">
        <w:t xml:space="preserve"> </w:t>
      </w:r>
      <w:proofErr w:type="spellStart"/>
      <w:r w:rsidR="009E00A3" w:rsidRPr="00D4726C">
        <w:rPr>
          <w:i/>
        </w:rPr>
        <w:t>Valico</w:t>
      </w:r>
      <w:proofErr w:type="spellEnd"/>
      <w:r w:rsidR="009E00A3" w:rsidRPr="00D4726C">
        <w:rPr>
          <w:i/>
        </w:rPr>
        <w:t xml:space="preserve"> </w:t>
      </w:r>
      <w:proofErr w:type="spellStart"/>
      <w:r w:rsidR="009E00A3" w:rsidRPr="00D4726C">
        <w:rPr>
          <w:i/>
        </w:rPr>
        <w:t>S.r.l</w:t>
      </w:r>
      <w:proofErr w:type="spellEnd"/>
      <w:r w:rsidR="009E00A3" w:rsidRPr="00D4726C">
        <w:rPr>
          <w:i/>
        </w:rPr>
        <w:t xml:space="preserve">. v. </w:t>
      </w:r>
      <w:proofErr w:type="spellStart"/>
      <w:r w:rsidR="009E00A3" w:rsidRPr="00D4726C">
        <w:rPr>
          <w:i/>
        </w:rPr>
        <w:t>Italy</w:t>
      </w:r>
      <w:proofErr w:type="spellEnd"/>
      <w:r w:rsidR="009E00A3" w:rsidRPr="00D4726C">
        <w:t xml:space="preserve"> (</w:t>
      </w:r>
      <w:r w:rsidR="004016D4">
        <w:t>РД</w:t>
      </w:r>
      <w:r w:rsidR="009E00A3" w:rsidRPr="00D4726C">
        <w:t>), № 70074/01, 21 март 2006 г.). Следователно финансов</w:t>
      </w:r>
      <w:r w:rsidR="004016D4">
        <w:t>о</w:t>
      </w:r>
      <w:r w:rsidR="009E00A3" w:rsidRPr="00D4726C">
        <w:t xml:space="preserve"> </w:t>
      </w:r>
      <w:r w:rsidR="004016D4">
        <w:t>задължение</w:t>
      </w:r>
      <w:r w:rsidR="009E00A3" w:rsidRPr="00D4726C">
        <w:t>, произтичащ</w:t>
      </w:r>
      <w:r w:rsidR="004016D4">
        <w:t>о</w:t>
      </w:r>
      <w:r w:rsidR="009E00A3" w:rsidRPr="00D4726C">
        <w:t xml:space="preserve"> от глоба, може да попречи на гаранцията, предоставена от тази разпоредба, ако поставя прекалено голяма тежест върху лицето или затруднява сериозно неговото финансово състояние (вж</w:t>
      </w:r>
      <w:r w:rsidR="004016D4">
        <w:t>.</w:t>
      </w:r>
      <w:r w:rsidR="009E00A3" w:rsidRPr="00D4726C">
        <w:t xml:space="preserve"> </w:t>
      </w:r>
      <w:proofErr w:type="spellStart"/>
      <w:r w:rsidR="009E00A3" w:rsidRPr="00D4726C">
        <w:rPr>
          <w:i/>
        </w:rPr>
        <w:t>Valico</w:t>
      </w:r>
      <w:proofErr w:type="spellEnd"/>
      <w:r w:rsidR="009E00A3" w:rsidRPr="00D4726C">
        <w:rPr>
          <w:i/>
        </w:rPr>
        <w:t xml:space="preserve"> </w:t>
      </w:r>
      <w:proofErr w:type="spellStart"/>
      <w:r w:rsidR="009E00A3" w:rsidRPr="00D4726C">
        <w:rPr>
          <w:i/>
        </w:rPr>
        <w:t>S.r.l</w:t>
      </w:r>
      <w:proofErr w:type="spellEnd"/>
      <w:r w:rsidR="009E00A3" w:rsidRPr="00D4726C">
        <w:rPr>
          <w:i/>
        </w:rPr>
        <w:t>.</w:t>
      </w:r>
      <w:r w:rsidR="009E00A3" w:rsidRPr="00D4726C">
        <w:t xml:space="preserve">,  цитирано по-горе). Справедливият баланс изисква процедурни гаранции за установяване отговорността на жалбоподателя, с което на жалбоподателя </w:t>
      </w:r>
      <w:r w:rsidR="004016D4">
        <w:t xml:space="preserve">да </w:t>
      </w:r>
      <w:r w:rsidR="009E00A3" w:rsidRPr="00D4726C">
        <w:t xml:space="preserve">се предоставя подходяща възможност да представи своя случай на отговорните органи, с оглед пледиране, в зависимост от случая, за незаконност или произволно и </w:t>
      </w:r>
      <w:r w:rsidR="004016D4" w:rsidRPr="00D4726C">
        <w:t>не</w:t>
      </w:r>
      <w:r w:rsidR="004016D4">
        <w:t>правомерно</w:t>
      </w:r>
      <w:r w:rsidR="004016D4" w:rsidRPr="00D4726C">
        <w:t xml:space="preserve"> </w:t>
      </w:r>
      <w:r w:rsidR="009E00A3" w:rsidRPr="00D4726C">
        <w:t>поведение (вж</w:t>
      </w:r>
      <w:r w:rsidR="004016D4">
        <w:t>.</w:t>
      </w:r>
      <w:r w:rsidR="009E00A3" w:rsidRPr="00D4726C">
        <w:t xml:space="preserve"> </w:t>
      </w:r>
      <w:proofErr w:type="spellStart"/>
      <w:r w:rsidR="009E00A3" w:rsidRPr="00D4726C">
        <w:rPr>
          <w:i/>
        </w:rPr>
        <w:t>Yildirim</w:t>
      </w:r>
      <w:proofErr w:type="spellEnd"/>
      <w:r w:rsidR="009E00A3" w:rsidRPr="00D4726C">
        <w:rPr>
          <w:i/>
        </w:rPr>
        <w:t xml:space="preserve"> v. </w:t>
      </w:r>
      <w:proofErr w:type="spellStart"/>
      <w:r w:rsidR="009E00A3" w:rsidRPr="00D4726C">
        <w:rPr>
          <w:i/>
        </w:rPr>
        <w:t>Italy</w:t>
      </w:r>
      <w:proofErr w:type="spellEnd"/>
      <w:r w:rsidR="009E00A3" w:rsidRPr="00D4726C">
        <w:t xml:space="preserve"> (</w:t>
      </w:r>
      <w:r w:rsidR="004016D4">
        <w:t>РД</w:t>
      </w:r>
      <w:r w:rsidR="009E00A3" w:rsidRPr="00D4726C">
        <w:t>), № 38602/02, 10 април 2003 г.).</w:t>
      </w:r>
    </w:p>
    <w:p w:rsidR="002C0495" w:rsidRPr="00D4726C" w:rsidRDefault="009E5013" w:rsidP="001B7481">
      <w:pPr>
        <w:pStyle w:val="ECHRPara"/>
      </w:pPr>
      <w:fldSimple w:instr=" SEQ level0 \*arabic ">
        <w:r w:rsidR="00D4726C">
          <w:rPr>
            <w:noProof/>
          </w:rPr>
          <w:t>56</w:t>
        </w:r>
      </w:fldSimple>
      <w:r w:rsidR="001D11D9" w:rsidRPr="00D4726C">
        <w:t xml:space="preserve">.  Съдът подчертава също, че зависи най-вече от националните органи да решат какъв вид </w:t>
      </w:r>
      <w:r w:rsidR="004016D4">
        <w:t>данъци</w:t>
      </w:r>
      <w:r w:rsidR="004016D4" w:rsidRPr="00D4726C">
        <w:t xml:space="preserve"> </w:t>
      </w:r>
      <w:r w:rsidR="001D11D9" w:rsidRPr="00D4726C">
        <w:t xml:space="preserve">или </w:t>
      </w:r>
      <w:r w:rsidR="004016D4">
        <w:t>постъпления</w:t>
      </w:r>
      <w:r w:rsidR="004016D4" w:rsidRPr="00D4726C">
        <w:t xml:space="preserve"> </w:t>
      </w:r>
      <w:r w:rsidR="001D11D9" w:rsidRPr="00D4726C">
        <w:t>следва да бъдат събирани. Тези решения обикновено включват преценка на политическите, икономическите и социалните въпроси, които Конвенцията оставя в рамките на компетентността на договарящите държави. Съдът многократно е поддържал становището, че договарящите държави притежават широка свобода на преценка в тези области (вж</w:t>
      </w:r>
      <w:r w:rsidR="004016D4">
        <w:t>.</w:t>
      </w:r>
      <w:r w:rsidR="001D11D9" w:rsidRPr="00D4726C">
        <w:t xml:space="preserve">, наред с много други, </w:t>
      </w:r>
      <w:proofErr w:type="spellStart"/>
      <w:r w:rsidR="001D11D9" w:rsidRPr="00D4726C">
        <w:rPr>
          <w:i/>
        </w:rPr>
        <w:t>Gasus</w:t>
      </w:r>
      <w:proofErr w:type="spellEnd"/>
      <w:r w:rsidR="001D11D9" w:rsidRPr="00D4726C">
        <w:rPr>
          <w:i/>
        </w:rPr>
        <w:t xml:space="preserve"> </w:t>
      </w:r>
      <w:proofErr w:type="spellStart"/>
      <w:r w:rsidR="001D11D9" w:rsidRPr="00D4726C">
        <w:rPr>
          <w:i/>
        </w:rPr>
        <w:t>Dosier</w:t>
      </w:r>
      <w:proofErr w:type="spellEnd"/>
      <w:r w:rsidR="001D11D9" w:rsidRPr="00D4726C">
        <w:rPr>
          <w:i/>
        </w:rPr>
        <w:t xml:space="preserve"> - </w:t>
      </w:r>
      <w:proofErr w:type="spellStart"/>
      <w:r w:rsidR="001D11D9" w:rsidRPr="00D4726C">
        <w:rPr>
          <w:i/>
        </w:rPr>
        <w:t>und</w:t>
      </w:r>
      <w:proofErr w:type="spellEnd"/>
      <w:r w:rsidR="001D11D9" w:rsidRPr="00D4726C">
        <w:rPr>
          <w:i/>
        </w:rPr>
        <w:t xml:space="preserve"> </w:t>
      </w:r>
      <w:proofErr w:type="spellStart"/>
      <w:r w:rsidR="001D11D9" w:rsidRPr="00D4726C">
        <w:rPr>
          <w:i/>
        </w:rPr>
        <w:t>Fördertechnik</w:t>
      </w:r>
      <w:proofErr w:type="spellEnd"/>
      <w:r w:rsidR="001D11D9" w:rsidRPr="00D4726C">
        <w:rPr>
          <w:i/>
        </w:rPr>
        <w:t xml:space="preserve"> </w:t>
      </w:r>
      <w:proofErr w:type="spellStart"/>
      <w:r w:rsidR="001D11D9" w:rsidRPr="00D4726C">
        <w:rPr>
          <w:i/>
        </w:rPr>
        <w:t>GmbH</w:t>
      </w:r>
      <w:proofErr w:type="spellEnd"/>
      <w:r w:rsidR="001D11D9" w:rsidRPr="00D4726C">
        <w:rPr>
          <w:i/>
        </w:rPr>
        <w:t xml:space="preserve"> v. </w:t>
      </w:r>
      <w:proofErr w:type="spellStart"/>
      <w:r w:rsidR="001D11D9" w:rsidRPr="00D4726C">
        <w:rPr>
          <w:i/>
        </w:rPr>
        <w:t>the</w:t>
      </w:r>
      <w:proofErr w:type="spellEnd"/>
      <w:r w:rsidR="001D11D9" w:rsidRPr="00D4726C">
        <w:rPr>
          <w:i/>
        </w:rPr>
        <w:t xml:space="preserve"> </w:t>
      </w:r>
      <w:proofErr w:type="spellStart"/>
      <w:r w:rsidR="001D11D9" w:rsidRPr="00D4726C">
        <w:rPr>
          <w:i/>
        </w:rPr>
        <w:t>Netherlands</w:t>
      </w:r>
      <w:proofErr w:type="spellEnd"/>
      <w:r w:rsidR="001D11D9" w:rsidRPr="00D4726C">
        <w:t>, 23 февруари 1995 г., § 60, серия А, № 306</w:t>
      </w:r>
      <w:r w:rsidR="004016D4">
        <w:t>-</w:t>
      </w:r>
      <w:r w:rsidR="001D11D9" w:rsidRPr="00D4726C">
        <w:t>В. Вж</w:t>
      </w:r>
      <w:r w:rsidR="004016D4">
        <w:t>.</w:t>
      </w:r>
      <w:r w:rsidR="001D11D9" w:rsidRPr="00D4726C">
        <w:t xml:space="preserve"> също, </w:t>
      </w:r>
      <w:proofErr w:type="spellStart"/>
      <w:r w:rsidR="001D11D9" w:rsidRPr="00D4726C">
        <w:rPr>
          <w:i/>
        </w:rPr>
        <w:t>mutatis</w:t>
      </w:r>
      <w:proofErr w:type="spellEnd"/>
      <w:r w:rsidR="001D11D9" w:rsidRPr="00D4726C">
        <w:rPr>
          <w:i/>
        </w:rPr>
        <w:t xml:space="preserve"> </w:t>
      </w:r>
      <w:proofErr w:type="spellStart"/>
      <w:r w:rsidR="001D11D9" w:rsidRPr="00D4726C">
        <w:rPr>
          <w:i/>
        </w:rPr>
        <w:t>mutandis</w:t>
      </w:r>
      <w:proofErr w:type="spellEnd"/>
      <w:r w:rsidR="001D11D9" w:rsidRPr="00D4726C">
        <w:rPr>
          <w:i/>
        </w:rPr>
        <w:t>,</w:t>
      </w:r>
      <w:r w:rsidR="001D11D9" w:rsidRPr="00D4726C">
        <w:t xml:space="preserve"> във връзка с фискалната политика, </w:t>
      </w:r>
      <w:proofErr w:type="spellStart"/>
      <w:r w:rsidR="001D11D9" w:rsidRPr="00D4726C">
        <w:rPr>
          <w:i/>
        </w:rPr>
        <w:t>Baláž</w:t>
      </w:r>
      <w:proofErr w:type="spellEnd"/>
      <w:r w:rsidR="001D11D9" w:rsidRPr="00D4726C">
        <w:rPr>
          <w:i/>
        </w:rPr>
        <w:t xml:space="preserve"> v. </w:t>
      </w:r>
      <w:proofErr w:type="spellStart"/>
      <w:r w:rsidR="001D11D9" w:rsidRPr="00D4726C">
        <w:rPr>
          <w:i/>
        </w:rPr>
        <w:t>Slovakia</w:t>
      </w:r>
      <w:proofErr w:type="spellEnd"/>
      <w:r w:rsidR="001D11D9" w:rsidRPr="00D4726C">
        <w:t xml:space="preserve"> (</w:t>
      </w:r>
      <w:r w:rsidR="004016D4">
        <w:t>РД</w:t>
      </w:r>
      <w:r w:rsidR="001D11D9" w:rsidRPr="00D4726C">
        <w:t>), № 60243/00, 16 септември 2003 г.).</w:t>
      </w:r>
    </w:p>
    <w:p w:rsidR="003C05D1" w:rsidRPr="00D4726C" w:rsidRDefault="00BB2682" w:rsidP="001B7481">
      <w:pPr>
        <w:pStyle w:val="ECHRHeading4"/>
      </w:pPr>
      <w:r w:rsidRPr="00D4726C">
        <w:t>(б) Приложение на тези принципи в настоящия случай</w:t>
      </w:r>
    </w:p>
    <w:p w:rsidR="003D5BE3" w:rsidRPr="00D4726C" w:rsidRDefault="009E5013" w:rsidP="001B7481">
      <w:pPr>
        <w:pStyle w:val="ECHRPara"/>
      </w:pPr>
      <w:fldSimple w:instr=" SEQ level0 \*arabic ">
        <w:r w:rsidR="00D4726C">
          <w:rPr>
            <w:noProof/>
          </w:rPr>
          <w:t>57</w:t>
        </w:r>
      </w:fldSimple>
      <w:r w:rsidR="00743C47" w:rsidRPr="00D4726C">
        <w:t>.  Съдът отбелязва, че "притежанието", което формира предмета на настоящата жалба</w:t>
      </w:r>
      <w:r w:rsidR="004016D4">
        <w:t>,</w:t>
      </w:r>
      <w:r w:rsidR="00743C47" w:rsidRPr="00D4726C">
        <w:t xml:space="preserve"> е парична сума</w:t>
      </w:r>
      <w:r w:rsidR="004016D4">
        <w:t>,</w:t>
      </w:r>
      <w:r w:rsidR="00743C47" w:rsidRPr="00D4726C">
        <w:t xml:space="preserve"> </w:t>
      </w:r>
      <w:r w:rsidR="004016D4">
        <w:t>а именно</w:t>
      </w:r>
      <w:r w:rsidR="00743C47" w:rsidRPr="00D4726C">
        <w:t xml:space="preserve"> 260 </w:t>
      </w:r>
      <w:r w:rsidR="004016D4">
        <w:t>е</w:t>
      </w:r>
      <w:r w:rsidR="00743C47" w:rsidRPr="00D4726C">
        <w:t>вро, наложена като глоба на жалбоподателя (вж</w:t>
      </w:r>
      <w:r w:rsidR="004016D4">
        <w:t>.</w:t>
      </w:r>
      <w:r w:rsidR="00743C47" w:rsidRPr="00D4726C">
        <w:t xml:space="preserve"> параграфи 14 и 19). Съдът смята, че тази мярка представлява намеса в правото на жалбоподателя мирно да се ползва от притежанията си. Ето защо член 1 от Протокол № 1 към Конвенцията е приложим.</w:t>
      </w:r>
    </w:p>
    <w:p w:rsidR="00407ED2" w:rsidRPr="00D4726C" w:rsidRDefault="009E5013" w:rsidP="001B7481">
      <w:pPr>
        <w:pStyle w:val="ECHRPara"/>
      </w:pPr>
      <w:fldSimple w:instr=" SEQ level0 \*arabic ">
        <w:r w:rsidR="00D4726C">
          <w:rPr>
            <w:noProof/>
          </w:rPr>
          <w:t>58</w:t>
        </w:r>
      </w:fldSimple>
      <w:r w:rsidR="00197A5D" w:rsidRPr="00D4726C">
        <w:t xml:space="preserve">.  Глобата представлява "санкция" по смисъла на Конвенцията. Поради това попада в приложното поле на втория параграф на член 1 от Протокол № 1, </w:t>
      </w:r>
      <w:r w:rsidR="004016D4" w:rsidRPr="00D4726C">
        <w:t>ко</w:t>
      </w:r>
      <w:r w:rsidR="004016D4">
        <w:t>й</w:t>
      </w:r>
      <w:r w:rsidR="004016D4" w:rsidRPr="00D4726C">
        <w:t xml:space="preserve">то </w:t>
      </w:r>
      <w:r w:rsidR="00197A5D" w:rsidRPr="00D4726C">
        <w:t xml:space="preserve">позволява на договарящите държави да контролират използването на собствеността за осигуряване плащането, </w:t>
      </w:r>
      <w:r w:rsidR="00197A5D" w:rsidRPr="00D4726C">
        <w:rPr>
          <w:i/>
        </w:rPr>
        <w:t>освен всичко друго</w:t>
      </w:r>
      <w:r w:rsidR="004016D4">
        <w:rPr>
          <w:i/>
        </w:rPr>
        <w:t>,</w:t>
      </w:r>
      <w:r w:rsidR="00197A5D" w:rsidRPr="00D4726C">
        <w:t xml:space="preserve"> на </w:t>
      </w:r>
      <w:r w:rsidR="00E66FB4">
        <w:t>глоби</w:t>
      </w:r>
      <w:r w:rsidR="00197A5D" w:rsidRPr="00D4726C">
        <w:t>.</w:t>
      </w:r>
    </w:p>
    <w:p w:rsidR="00A937B3" w:rsidRPr="00D4726C" w:rsidRDefault="009E5013" w:rsidP="001B7481">
      <w:pPr>
        <w:pStyle w:val="ECHRPara"/>
        <w:rPr>
          <w:szCs w:val="24"/>
        </w:rPr>
      </w:pPr>
      <w:fldSimple w:instr=" SEQ level0 \*arabic ">
        <w:r w:rsidR="00D4726C">
          <w:rPr>
            <w:noProof/>
          </w:rPr>
          <w:t>59</w:t>
        </w:r>
      </w:fldSimple>
      <w:r w:rsidR="00197A5D" w:rsidRPr="00D4726C">
        <w:t xml:space="preserve">.  От гледна точка на "законността" на вмешателството, жалбоподателят заявява, както в националните производства, така и пред този Съд, че той не е бил назначен за процесуален представител в съответствие с приложимото право, тъй като в решението за назначаването му от националния съд не е бил определен хонорара, който да му бъде изплатен като </w:t>
      </w:r>
      <w:r w:rsidR="00197A5D" w:rsidRPr="00ED4F06">
        <w:t>служебен</w:t>
      </w:r>
      <w:r w:rsidR="00197A5D" w:rsidRPr="00D4726C">
        <w:t xml:space="preserve"> защитник. По това време това е </w:t>
      </w:r>
      <w:r w:rsidR="00E66FB4">
        <w:t>изрично изискване на</w:t>
      </w:r>
      <w:r w:rsidR="00197A5D" w:rsidRPr="00D4726C">
        <w:t xml:space="preserve"> националното законодателство. Тъй като жалбоподателят не е бил надлежно назначен за участващ в делото адвокат, в съответствие с приложимите законови изисквания, няма как той да бъде глобяван за неизпълнение на задължението си да се яви в съдебна зала и няма как по този начин да е попречил на съдебното производство. Правителството настоява, че жалбоподателят е бил назначен за адвокат от съда, преди да бъде наказан с глоба въз основа на чл</w:t>
      </w:r>
      <w:r w:rsidR="00E66FB4">
        <w:t>.</w:t>
      </w:r>
      <w:r w:rsidR="00197A5D" w:rsidRPr="00D4726C">
        <w:t xml:space="preserve"> 269 от НПК и следователно глобата е била законна.</w:t>
      </w:r>
    </w:p>
    <w:p w:rsidR="00A937B3" w:rsidRPr="00D4726C" w:rsidRDefault="00A937B3" w:rsidP="001B7481">
      <w:pPr>
        <w:pStyle w:val="ECHRPara"/>
        <w:rPr>
          <w:rFonts w:ascii="Calibri" w:hAnsi="Calibri"/>
          <w:sz w:val="22"/>
        </w:rPr>
      </w:pPr>
      <w:r w:rsidRPr="00D4726C">
        <w:rPr>
          <w:szCs w:val="24"/>
        </w:rPr>
        <w:fldChar w:fldCharType="begin"/>
      </w:r>
      <w:r w:rsidRPr="00D4726C">
        <w:rPr>
          <w:szCs w:val="24"/>
        </w:rPr>
        <w:instrText xml:space="preserve"> SEQ level0 \*arabic </w:instrText>
      </w:r>
      <w:r w:rsidRPr="00D4726C">
        <w:rPr>
          <w:szCs w:val="24"/>
        </w:rPr>
        <w:fldChar w:fldCharType="separate"/>
      </w:r>
      <w:r w:rsidR="00D4726C">
        <w:rPr>
          <w:noProof/>
          <w:szCs w:val="24"/>
        </w:rPr>
        <w:t>60</w:t>
      </w:r>
      <w:r w:rsidRPr="00D4726C">
        <w:rPr>
          <w:szCs w:val="24"/>
        </w:rPr>
        <w:fldChar w:fldCharType="end"/>
      </w:r>
      <w:r w:rsidRPr="00D4726C">
        <w:t>.  Съдът отбелязва, че съгласно националното законодателство наистина съществува</w:t>
      </w:r>
      <w:r w:rsidR="00E66FB4">
        <w:t>т</w:t>
      </w:r>
      <w:r w:rsidRPr="00D4726C">
        <w:t xml:space="preserve"> противоречиви разпоредби за назначаването от съда на </w:t>
      </w:r>
      <w:r w:rsidRPr="00ED4F06">
        <w:t>служебни</w:t>
      </w:r>
      <w:r w:rsidRPr="00D4726C">
        <w:t xml:space="preserve"> процесуални представители, като това е довело до спор относно правилното им тълкуване. Т</w:t>
      </w:r>
      <w:r w:rsidR="00E66FB4">
        <w:t>о</w:t>
      </w:r>
      <w:r w:rsidRPr="00D4726C">
        <w:t>зи спор каса</w:t>
      </w:r>
      <w:r w:rsidR="00E66FB4">
        <w:t>е</w:t>
      </w:r>
      <w:r w:rsidRPr="00D4726C">
        <w:t xml:space="preserve"> времето, когато адвокатските хонорари на </w:t>
      </w:r>
      <w:r w:rsidRPr="00ED4F06">
        <w:t>служебните</w:t>
      </w:r>
      <w:r w:rsidRPr="00D4726C">
        <w:t xml:space="preserve"> адвокати трябва да бъдат определяни от съдилищата, както и техния размер. </w:t>
      </w:r>
      <w:r w:rsidR="00E66FB4">
        <w:t>Член</w:t>
      </w:r>
      <w:r w:rsidR="00E66FB4" w:rsidRPr="00D4726C">
        <w:t xml:space="preserve"> </w:t>
      </w:r>
      <w:r w:rsidRPr="00D4726C">
        <w:t xml:space="preserve">44(2) от Закона за адвокатурата, приложим към тогавашния момент, предвижда, че съдът трябва да посочи размера на адвокатския хонорар, който трябва да бъде платен на процесуалния защитник, в решението, с което съдът го назначава да изпълнява тези функции в рамките на производството. Това </w:t>
      </w:r>
      <w:r w:rsidR="00E66FB4">
        <w:t>е</w:t>
      </w:r>
      <w:r w:rsidRPr="00D4726C">
        <w:t xml:space="preserve"> изрично потвърдено </w:t>
      </w:r>
      <w:r w:rsidR="00E66FB4">
        <w:t xml:space="preserve">и </w:t>
      </w:r>
      <w:r w:rsidRPr="00D4726C">
        <w:t xml:space="preserve">от националния съд, пред който жалбоподателят обжалва оспорваната глоба. Законът за адвокатурата </w:t>
      </w:r>
      <w:r w:rsidR="00E66FB4">
        <w:t>предвижда</w:t>
      </w:r>
      <w:r w:rsidR="00E66FB4" w:rsidRPr="00D4726C">
        <w:t xml:space="preserve"> </w:t>
      </w:r>
      <w:r w:rsidRPr="00D4726C">
        <w:t xml:space="preserve">още, че съдилищата трябва да следват минималните адвокатски </w:t>
      </w:r>
      <w:r w:rsidR="00E66FB4">
        <w:t>възнаграждения</w:t>
      </w:r>
      <w:r w:rsidRPr="00D4726C">
        <w:t xml:space="preserve">, определени от </w:t>
      </w:r>
      <w:r w:rsidR="00E66FB4">
        <w:t>Висшия</w:t>
      </w:r>
      <w:r w:rsidR="00E66FB4" w:rsidRPr="00D4726C">
        <w:t xml:space="preserve"> </w:t>
      </w:r>
      <w:r w:rsidR="00E66FB4">
        <w:t>а</w:t>
      </w:r>
      <w:r w:rsidRPr="00D4726C">
        <w:t>двокатск</w:t>
      </w:r>
      <w:r w:rsidR="00E66FB4">
        <w:t>и</w:t>
      </w:r>
      <w:r w:rsidRPr="00D4726C">
        <w:t xml:space="preserve"> </w:t>
      </w:r>
      <w:r w:rsidR="00E66FB4">
        <w:t>съвет –</w:t>
      </w:r>
      <w:r w:rsidRPr="00D4726C">
        <w:t xml:space="preserve"> нещо, което националните съдилища </w:t>
      </w:r>
      <w:r w:rsidR="00E66FB4">
        <w:t xml:space="preserve">явно </w:t>
      </w:r>
      <w:r w:rsidRPr="00D4726C">
        <w:t>не са успели да направят.</w:t>
      </w:r>
    </w:p>
    <w:p w:rsidR="00A937B3" w:rsidRPr="00D4726C" w:rsidRDefault="00A937B3" w:rsidP="001B7481">
      <w:pPr>
        <w:pStyle w:val="ECHRPara"/>
      </w:pPr>
      <w:r w:rsidRPr="00D4726C">
        <w:rPr>
          <w:szCs w:val="24"/>
        </w:rPr>
        <w:fldChar w:fldCharType="begin"/>
      </w:r>
      <w:r w:rsidRPr="00D4726C">
        <w:rPr>
          <w:szCs w:val="24"/>
        </w:rPr>
        <w:instrText xml:space="preserve"> SEQ level0 \*arabic </w:instrText>
      </w:r>
      <w:r w:rsidRPr="00D4726C">
        <w:rPr>
          <w:szCs w:val="24"/>
        </w:rPr>
        <w:fldChar w:fldCharType="separate"/>
      </w:r>
      <w:r w:rsidR="00D4726C">
        <w:rPr>
          <w:noProof/>
          <w:szCs w:val="24"/>
        </w:rPr>
        <w:t>61</w:t>
      </w:r>
      <w:r w:rsidRPr="00D4726C">
        <w:rPr>
          <w:szCs w:val="24"/>
        </w:rPr>
        <w:fldChar w:fldCharType="end"/>
      </w:r>
      <w:r w:rsidRPr="00D4726C">
        <w:t xml:space="preserve">.  Съдът отбелязва в тази връзка, че неговата роля не е да </w:t>
      </w:r>
      <w:r w:rsidR="00E66FB4">
        <w:t>тълкува</w:t>
      </w:r>
      <w:r w:rsidR="00E66FB4" w:rsidRPr="00D4726C">
        <w:t xml:space="preserve"> </w:t>
      </w:r>
      <w:r w:rsidRPr="00D4726C">
        <w:t xml:space="preserve">и дефинира </w:t>
      </w:r>
      <w:r w:rsidR="00E66FB4">
        <w:t>точния</w:t>
      </w:r>
      <w:r w:rsidRPr="00D4726C">
        <w:t xml:space="preserve"> смисъл на националното законодателство</w:t>
      </w:r>
      <w:r w:rsidR="00E66FB4">
        <w:t xml:space="preserve"> –</w:t>
      </w:r>
      <w:r w:rsidRPr="00D4726C">
        <w:t xml:space="preserve"> задача, която очевидно попада в сферата на националните юрисдикции (вж</w:t>
      </w:r>
      <w:r w:rsidR="00E66FB4">
        <w:t>.</w:t>
      </w:r>
      <w:r w:rsidRPr="00D4726C">
        <w:t xml:space="preserve">  </w:t>
      </w:r>
      <w:proofErr w:type="spellStart"/>
      <w:r w:rsidRPr="00D4726C">
        <w:rPr>
          <w:i/>
        </w:rPr>
        <w:t>Nejdet</w:t>
      </w:r>
      <w:proofErr w:type="spellEnd"/>
      <w:r w:rsidRPr="00D4726C">
        <w:rPr>
          <w:i/>
        </w:rPr>
        <w:t xml:space="preserve"> </w:t>
      </w:r>
      <w:proofErr w:type="spellStart"/>
      <w:r w:rsidRPr="00D4726C">
        <w:rPr>
          <w:i/>
        </w:rPr>
        <w:t>Şahin</w:t>
      </w:r>
      <w:proofErr w:type="spellEnd"/>
      <w:r w:rsidRPr="00D4726C">
        <w:rPr>
          <w:i/>
        </w:rPr>
        <w:t xml:space="preserve"> </w:t>
      </w:r>
      <w:proofErr w:type="spellStart"/>
      <w:r w:rsidRPr="00D4726C">
        <w:rPr>
          <w:i/>
        </w:rPr>
        <w:t>and</w:t>
      </w:r>
      <w:proofErr w:type="spellEnd"/>
      <w:r w:rsidRPr="00D4726C">
        <w:rPr>
          <w:i/>
        </w:rPr>
        <w:t xml:space="preserve"> </w:t>
      </w:r>
      <w:proofErr w:type="spellStart"/>
      <w:r w:rsidRPr="00D4726C">
        <w:rPr>
          <w:i/>
        </w:rPr>
        <w:t>Perihan</w:t>
      </w:r>
      <w:proofErr w:type="spellEnd"/>
      <w:r w:rsidRPr="00D4726C">
        <w:rPr>
          <w:i/>
        </w:rPr>
        <w:t xml:space="preserve"> </w:t>
      </w:r>
      <w:proofErr w:type="spellStart"/>
      <w:r w:rsidRPr="00D4726C">
        <w:rPr>
          <w:i/>
        </w:rPr>
        <w:t>Şahin</w:t>
      </w:r>
      <w:proofErr w:type="spellEnd"/>
      <w:r w:rsidRPr="00D4726C">
        <w:rPr>
          <w:i/>
        </w:rPr>
        <w:t xml:space="preserve"> v. </w:t>
      </w:r>
      <w:proofErr w:type="spellStart"/>
      <w:r w:rsidRPr="00D4726C">
        <w:rPr>
          <w:i/>
        </w:rPr>
        <w:t>Turkey</w:t>
      </w:r>
      <w:proofErr w:type="spellEnd"/>
      <w:r w:rsidRPr="00D4726C">
        <w:rPr>
          <w:i/>
        </w:rPr>
        <w:t xml:space="preserve"> </w:t>
      </w:r>
      <w:r w:rsidRPr="00D4726C">
        <w:t>[GC], № 13279/05</w:t>
      </w:r>
      <w:r w:rsidRPr="00D4726C">
        <w:rPr>
          <w:snapToGrid w:val="0"/>
        </w:rPr>
        <w:t xml:space="preserve">, § 50, първо изречение, </w:t>
      </w:r>
      <w:r w:rsidRPr="00D4726C">
        <w:t>20</w:t>
      </w:r>
      <w:r w:rsidRPr="00D4726C">
        <w:rPr>
          <w:snapToGrid w:val="0"/>
        </w:rPr>
        <w:t xml:space="preserve"> октомври 2011 г., с </w:t>
      </w:r>
      <w:r w:rsidR="00E66FB4">
        <w:rPr>
          <w:snapToGrid w:val="0"/>
        </w:rPr>
        <w:t>допълнителни</w:t>
      </w:r>
      <w:r w:rsidRPr="00D4726C">
        <w:rPr>
          <w:snapToGrid w:val="0"/>
        </w:rPr>
        <w:t xml:space="preserve"> препратки)</w:t>
      </w:r>
      <w:r w:rsidRPr="00D4726C">
        <w:t>. В крайна сметка националните съдилища следва да определят законосъобразността на оспорваната намеса в съответствие с националното законодателство, като ролята на Съда в това отношение е ограничена. Съдът отбелязва още, че противоречивите законови разпоредби са неизбежна част от всяка правна система и че целта на изискването за законосъобразност и следователно за яснота и предвидимост във вътрешното право е да се даде възможност на всеки да предвиди, до степен, която е разумна при конкретните обстоятелства, последиците, до които може да доведе дадено действие (вж</w:t>
      </w:r>
      <w:r w:rsidR="00192745">
        <w:t>.</w:t>
      </w:r>
      <w:r w:rsidRPr="00D4726C">
        <w:t xml:space="preserve"> </w:t>
      </w:r>
      <w:proofErr w:type="spellStart"/>
      <w:r w:rsidRPr="00D4726C">
        <w:rPr>
          <w:i/>
        </w:rPr>
        <w:t>Rekvényi</w:t>
      </w:r>
      <w:proofErr w:type="spellEnd"/>
      <w:r w:rsidRPr="00D4726C">
        <w:rPr>
          <w:i/>
        </w:rPr>
        <w:t xml:space="preserve"> v. </w:t>
      </w:r>
      <w:proofErr w:type="spellStart"/>
      <w:r w:rsidRPr="00D4726C">
        <w:rPr>
          <w:i/>
        </w:rPr>
        <w:t>Hungary</w:t>
      </w:r>
      <w:proofErr w:type="spellEnd"/>
      <w:r w:rsidRPr="00D4726C">
        <w:t xml:space="preserve"> [GC], № 25390/94, § 34, ЕСПЧ 1999</w:t>
      </w:r>
      <w:r w:rsidRPr="00D4726C">
        <w:noBreakHyphen/>
        <w:t xml:space="preserve">III). Вътрешното законодателство не може по никакъв начин да обезпечи всички възможни случаи, като нивото на изискваната точност зависи в значителна степен от съдържанието на въпросния инструмент, областта, която той е предназначен да покрие, броят и </w:t>
      </w:r>
      <w:r w:rsidR="00192745">
        <w:t>положението</w:t>
      </w:r>
      <w:r w:rsidR="00192745" w:rsidRPr="00D4726C">
        <w:t xml:space="preserve"> </w:t>
      </w:r>
      <w:r w:rsidRPr="00D4726C">
        <w:t>на тези, към които е насочен (вж</w:t>
      </w:r>
      <w:r w:rsidR="00192745">
        <w:t>.</w:t>
      </w:r>
      <w:r w:rsidRPr="00D4726C">
        <w:t xml:space="preserve"> </w:t>
      </w:r>
      <w:proofErr w:type="spellStart"/>
      <w:r w:rsidRPr="00D4726C">
        <w:rPr>
          <w:i/>
        </w:rPr>
        <w:t>Hashman</w:t>
      </w:r>
      <w:proofErr w:type="spellEnd"/>
      <w:r w:rsidRPr="00D4726C">
        <w:rPr>
          <w:i/>
        </w:rPr>
        <w:t xml:space="preserve"> </w:t>
      </w:r>
      <w:proofErr w:type="spellStart"/>
      <w:r w:rsidRPr="00D4726C">
        <w:rPr>
          <w:i/>
        </w:rPr>
        <w:t>and</w:t>
      </w:r>
      <w:proofErr w:type="spellEnd"/>
      <w:r w:rsidRPr="00D4726C">
        <w:rPr>
          <w:i/>
        </w:rPr>
        <w:t xml:space="preserve"> </w:t>
      </w:r>
      <w:proofErr w:type="spellStart"/>
      <w:r w:rsidRPr="00D4726C">
        <w:rPr>
          <w:i/>
        </w:rPr>
        <w:t>Harrup</w:t>
      </w:r>
      <w:proofErr w:type="spellEnd"/>
      <w:r w:rsidRPr="00D4726C">
        <w:rPr>
          <w:i/>
        </w:rPr>
        <w:t xml:space="preserve"> v. </w:t>
      </w:r>
      <w:proofErr w:type="spellStart"/>
      <w:r w:rsidRPr="00D4726C">
        <w:rPr>
          <w:i/>
        </w:rPr>
        <w:t>the</w:t>
      </w:r>
      <w:proofErr w:type="spellEnd"/>
      <w:r w:rsidRPr="00D4726C">
        <w:rPr>
          <w:i/>
        </w:rPr>
        <w:t xml:space="preserve"> </w:t>
      </w:r>
      <w:proofErr w:type="spellStart"/>
      <w:r w:rsidRPr="00D4726C">
        <w:rPr>
          <w:i/>
        </w:rPr>
        <w:t>United</w:t>
      </w:r>
      <w:proofErr w:type="spellEnd"/>
      <w:r w:rsidRPr="00D4726C">
        <w:rPr>
          <w:i/>
        </w:rPr>
        <w:t xml:space="preserve"> </w:t>
      </w:r>
      <w:proofErr w:type="spellStart"/>
      <w:r w:rsidRPr="00D4726C">
        <w:rPr>
          <w:i/>
        </w:rPr>
        <w:t>Kingdom</w:t>
      </w:r>
      <w:proofErr w:type="spellEnd"/>
      <w:r w:rsidRPr="00D4726C">
        <w:t xml:space="preserve"> [GC], № 25594/94, § 31, ЕСПЧ 1999</w:t>
      </w:r>
      <w:r w:rsidRPr="00D4726C">
        <w:noBreakHyphen/>
        <w:t>VIII).</w:t>
      </w:r>
    </w:p>
    <w:p w:rsidR="002572CF" w:rsidRPr="00D4726C" w:rsidRDefault="00A937B3" w:rsidP="001B7481">
      <w:pPr>
        <w:pStyle w:val="ECHRPara"/>
        <w:rPr>
          <w:szCs w:val="24"/>
        </w:rPr>
      </w:pPr>
      <w:r w:rsidRPr="00D4726C">
        <w:rPr>
          <w:szCs w:val="24"/>
        </w:rPr>
        <w:fldChar w:fldCharType="begin"/>
      </w:r>
      <w:r w:rsidRPr="00D4726C">
        <w:rPr>
          <w:szCs w:val="24"/>
        </w:rPr>
        <w:instrText xml:space="preserve"> SEQ level0 \*arabic </w:instrText>
      </w:r>
      <w:r w:rsidRPr="00D4726C">
        <w:rPr>
          <w:szCs w:val="24"/>
        </w:rPr>
        <w:fldChar w:fldCharType="separate"/>
      </w:r>
      <w:r w:rsidR="00D4726C">
        <w:rPr>
          <w:noProof/>
          <w:szCs w:val="24"/>
        </w:rPr>
        <w:t>62</w:t>
      </w:r>
      <w:r w:rsidRPr="00D4726C">
        <w:rPr>
          <w:szCs w:val="24"/>
        </w:rPr>
        <w:fldChar w:fldCharType="end"/>
      </w:r>
      <w:r w:rsidRPr="00D4726C">
        <w:t xml:space="preserve">.  Като взема предвид тези принципи и обстоятелствата в конкретния случай, Съдът не е убеден, въпреки очевидния конфликт между различните разпоредби на вътрешното законодателство, че оспорваната глоба </w:t>
      </w:r>
      <w:r w:rsidR="00192745">
        <w:t>с</w:t>
      </w:r>
      <w:r w:rsidRPr="00D4726C">
        <w:t>е основа</w:t>
      </w:r>
      <w:r w:rsidR="00192745">
        <w:t>ва</w:t>
      </w:r>
      <w:r w:rsidRPr="00D4726C">
        <w:t xml:space="preserve"> на закон, който не отгов</w:t>
      </w:r>
      <w:r w:rsidR="00192745">
        <w:t>аря</w:t>
      </w:r>
      <w:r w:rsidRPr="00D4726C">
        <w:t xml:space="preserve"> на стандартите на Конвенцията. В случая е от особено значение, че глобата е наложена на професионален адвокат, от първоинстанционен съд, пред който той се явява в професионалн</w:t>
      </w:r>
      <w:r w:rsidR="00192745">
        <w:t>о качество.</w:t>
      </w:r>
      <w:r w:rsidRPr="00D4726C">
        <w:t xml:space="preserve"> При тези обстоятелства жалбоподателят трябва да е бил напълно наясно с това, че съдията, председателстващ съдебното производство, носи окончателната отговорност за правилното </w:t>
      </w:r>
      <w:r w:rsidR="00192745">
        <w:t xml:space="preserve">му </w:t>
      </w:r>
      <w:r w:rsidRPr="00D4726C">
        <w:t xml:space="preserve">провеждане. Жалбоподателят е инструктиран </w:t>
      </w:r>
      <w:r w:rsidR="00192745">
        <w:t>по</w:t>
      </w:r>
      <w:r w:rsidR="00192745" w:rsidRPr="00D4726C">
        <w:t xml:space="preserve"> </w:t>
      </w:r>
      <w:r w:rsidRPr="00D4726C">
        <w:t>съвсем не толкова неяс</w:t>
      </w:r>
      <w:r w:rsidR="00192745">
        <w:t>е</w:t>
      </w:r>
      <w:r w:rsidRPr="00D4726C">
        <w:t>н</w:t>
      </w:r>
      <w:r w:rsidR="00192745">
        <w:t xml:space="preserve"> начин</w:t>
      </w:r>
      <w:r w:rsidRPr="00D4726C">
        <w:t xml:space="preserve"> от страна на националния съд, че е назначен като процесуален защитник, преди да бъде глобен за избора си да напусне съдебното заседание. Националният съд глобява жалбоподателя, като изрично се позовава на законова разпоредба, която е част от Наказателнопроцесуалния кодекс и която предоставя на съдията максималната власт за правилното управление на производството. Имайки предвид, че жалбоподателят е адвокат, този основен принцип, както и съдържанието и значението на конкретната разпоредба от НПК би трябвало да са му били достатъчно ясни, а последствията от нейното прилагане да са били предвидими. Всеки спор относно възнаграждението на жалбоподателя като </w:t>
      </w:r>
      <w:r w:rsidRPr="00ED4F06">
        <w:t>служебен</w:t>
      </w:r>
      <w:r w:rsidRPr="00D4726C">
        <w:t xml:space="preserve"> защитник не е можело да се очаква, че ще има предимство пред правилното протичане на съдебното производство, а т</w:t>
      </w:r>
      <w:r w:rsidR="006A3162">
        <w:t>ова</w:t>
      </w:r>
      <w:r w:rsidRPr="00D4726C">
        <w:t xml:space="preserve"> съдебн</w:t>
      </w:r>
      <w:r w:rsidR="006A3162">
        <w:t>о</w:t>
      </w:r>
      <w:r w:rsidRPr="00D4726C">
        <w:t xml:space="preserve"> производств</w:t>
      </w:r>
      <w:r w:rsidR="006A3162">
        <w:t>о</w:t>
      </w:r>
      <w:r w:rsidRPr="00D4726C">
        <w:t xml:space="preserve"> не е можело да се очаква да бъд</w:t>
      </w:r>
      <w:r w:rsidR="006A3162">
        <w:t>е</w:t>
      </w:r>
      <w:r w:rsidRPr="00D4726C">
        <w:t xml:space="preserve"> форум, където трябва да се реши такъв спор.</w:t>
      </w:r>
    </w:p>
    <w:p w:rsidR="002572CF" w:rsidRPr="00D4726C" w:rsidRDefault="00C203D3" w:rsidP="001B7481">
      <w:pPr>
        <w:pStyle w:val="ECHRPara"/>
        <w:rPr>
          <w:szCs w:val="24"/>
        </w:rPr>
      </w:pPr>
      <w:r w:rsidRPr="00D4726C">
        <w:rPr>
          <w:szCs w:val="24"/>
        </w:rPr>
        <w:fldChar w:fldCharType="begin"/>
      </w:r>
      <w:r w:rsidRPr="00D4726C">
        <w:rPr>
          <w:szCs w:val="24"/>
        </w:rPr>
        <w:instrText xml:space="preserve"> SEQ level0 \*arabic </w:instrText>
      </w:r>
      <w:r w:rsidRPr="00D4726C">
        <w:rPr>
          <w:szCs w:val="24"/>
        </w:rPr>
        <w:fldChar w:fldCharType="separate"/>
      </w:r>
      <w:r w:rsidR="00D4726C">
        <w:rPr>
          <w:noProof/>
          <w:szCs w:val="24"/>
        </w:rPr>
        <w:t>63</w:t>
      </w:r>
      <w:r w:rsidRPr="00D4726C">
        <w:rPr>
          <w:szCs w:val="24"/>
        </w:rPr>
        <w:fldChar w:fldCharType="end"/>
      </w:r>
      <w:r w:rsidRPr="00D4726C">
        <w:t>.  С оглед на гореизложеното Съдът е готов да приеме, че жалбоподателят, като представител на страна в наказателно производство, е наказан с глоба в резултат на отсъствието му от заседанието. Тъй като не може да се каже, че прилагането на закона към ситуацията на жалбоподателя е произволно, Съдът намира, че той е бил глобен законно, т</w:t>
      </w:r>
      <w:r w:rsidR="006A3162">
        <w:t>.е.</w:t>
      </w:r>
      <w:r w:rsidRPr="00D4726C">
        <w:t xml:space="preserve"> въз основа на достъпна, ясна и предвидима законова разпоредба.</w:t>
      </w:r>
    </w:p>
    <w:p w:rsidR="00AD0EE7" w:rsidRPr="00D4726C" w:rsidRDefault="009E5013" w:rsidP="001B7481">
      <w:pPr>
        <w:pStyle w:val="ECHRPara"/>
        <w:rPr>
          <w:i/>
        </w:rPr>
      </w:pPr>
      <w:fldSimple w:instr=" SEQ level0 \*arabic ">
        <w:r w:rsidR="00D4726C">
          <w:rPr>
            <w:noProof/>
          </w:rPr>
          <w:t>64</w:t>
        </w:r>
      </w:fldSimple>
      <w:r w:rsidR="00FF4BA1" w:rsidRPr="00D4726C">
        <w:t>.  Освен това законът е преследвал легитимната цел да се гарантира гладкото функциониране на правосъдната система (вж</w:t>
      </w:r>
      <w:r w:rsidR="006A3162">
        <w:t>.</w:t>
      </w:r>
      <w:r w:rsidR="00FF4BA1" w:rsidRPr="00D4726C">
        <w:t xml:space="preserve"> </w:t>
      </w:r>
      <w:r w:rsidR="006A3162">
        <w:rPr>
          <w:i/>
        </w:rPr>
        <w:t>Димитров</w:t>
      </w:r>
      <w:r w:rsidR="00FF4BA1" w:rsidRPr="00D4726C">
        <w:rPr>
          <w:i/>
        </w:rPr>
        <w:t xml:space="preserve"> </w:t>
      </w:r>
      <w:r w:rsidR="006A3162">
        <w:rPr>
          <w:i/>
        </w:rPr>
        <w:t>и</w:t>
      </w:r>
      <w:r w:rsidR="00FF4BA1" w:rsidRPr="00D4726C">
        <w:rPr>
          <w:i/>
        </w:rPr>
        <w:t xml:space="preserve"> </w:t>
      </w:r>
      <w:proofErr w:type="spellStart"/>
      <w:r w:rsidR="006A3162">
        <w:rPr>
          <w:i/>
        </w:rPr>
        <w:t>Хамънов</w:t>
      </w:r>
      <w:proofErr w:type="spellEnd"/>
      <w:r w:rsidR="006A3162" w:rsidRPr="00D4726C">
        <w:rPr>
          <w:i/>
        </w:rPr>
        <w:t xml:space="preserve"> </w:t>
      </w:r>
      <w:r w:rsidR="006A3162">
        <w:rPr>
          <w:i/>
        </w:rPr>
        <w:t>срещу</w:t>
      </w:r>
      <w:r w:rsidR="00FF4BA1" w:rsidRPr="00D4726C">
        <w:rPr>
          <w:i/>
        </w:rPr>
        <w:t> </w:t>
      </w:r>
      <w:r w:rsidR="006A3162">
        <w:rPr>
          <w:i/>
        </w:rPr>
        <w:t>България</w:t>
      </w:r>
      <w:r w:rsidR="00FF4BA1" w:rsidRPr="00D4726C">
        <w:t>, номера 48059/06 и 2708/09</w:t>
      </w:r>
      <w:r w:rsidR="00FF4BA1" w:rsidRPr="00D4726C">
        <w:rPr>
          <w:snapToGrid w:val="0"/>
        </w:rPr>
        <w:t xml:space="preserve">, § 70, 10 май 2011 г., с </w:t>
      </w:r>
      <w:r w:rsidR="006A3162">
        <w:rPr>
          <w:snapToGrid w:val="0"/>
        </w:rPr>
        <w:t>допълнителни</w:t>
      </w:r>
      <w:r w:rsidR="00FF4BA1" w:rsidRPr="00D4726C">
        <w:rPr>
          <w:snapToGrid w:val="0"/>
        </w:rPr>
        <w:t xml:space="preserve"> препратки към </w:t>
      </w:r>
      <w:r w:rsidR="00FF4BA1" w:rsidRPr="00D4726C">
        <w:t xml:space="preserve">важността на правораздаването без </w:t>
      </w:r>
      <w:r w:rsidR="006A3162">
        <w:t>забавяне,</w:t>
      </w:r>
      <w:r w:rsidR="00FF4BA1" w:rsidRPr="00D4726C">
        <w:t xml:space="preserve"> ко</w:t>
      </w:r>
      <w:r w:rsidR="006A3162">
        <w:t>е</w:t>
      </w:r>
      <w:r w:rsidR="00FF4BA1" w:rsidRPr="00D4726C">
        <w:t>то би могл</w:t>
      </w:r>
      <w:r w:rsidR="006A3162">
        <w:t>о</w:t>
      </w:r>
      <w:r w:rsidR="00FF4BA1" w:rsidRPr="00D4726C">
        <w:t xml:space="preserve"> да застраш</w:t>
      </w:r>
      <w:r w:rsidR="006A3162">
        <w:t>и</w:t>
      </w:r>
      <w:r w:rsidR="00FF4BA1" w:rsidRPr="00D4726C">
        <w:t xml:space="preserve"> неговата ефективност и надеждност). Съдът признава, че безспорно в общия интерес на обществото е да има една съдебна система, която да работи ефективно, а това включва съдебни производства, които да не са възпрепятствани от неоправдани забавяния.</w:t>
      </w:r>
    </w:p>
    <w:p w:rsidR="00407ED2" w:rsidRPr="00D4726C" w:rsidRDefault="009E5013" w:rsidP="001B7481">
      <w:pPr>
        <w:pStyle w:val="ECHRPara"/>
      </w:pPr>
      <w:fldSimple w:instr=" SEQ level0 \*arabic ">
        <w:r w:rsidR="00D4726C">
          <w:rPr>
            <w:noProof/>
          </w:rPr>
          <w:t>65</w:t>
        </w:r>
      </w:fldSimple>
      <w:r w:rsidR="00FF4BA1" w:rsidRPr="00D4726C">
        <w:t>.  Остава да бъде установено дали е имало "справедлив баланс" между нуждите на общия интерес и изискванията за защита на основните права на жалбоподателя. В конкретния случай отлагането на съдебното заседание без основателна причина, установено от националните съдилища, представлява пречка за нормалното функциониране на съдебната система; съдилищата са призовани да гарантират това. Въпросът за това дали поведение, водещо до такова възпрепятстване</w:t>
      </w:r>
      <w:r w:rsidR="006A3162">
        <w:t>,</w:t>
      </w:r>
      <w:r w:rsidR="00FF4BA1" w:rsidRPr="00D4726C">
        <w:t xml:space="preserve"> трябва да бъде наказано с имуществен</w:t>
      </w:r>
      <w:r w:rsidR="006A3162">
        <w:t>а</w:t>
      </w:r>
      <w:r w:rsidR="00FF4BA1" w:rsidRPr="00D4726C">
        <w:t xml:space="preserve"> санкци</w:t>
      </w:r>
      <w:r w:rsidR="006A3162">
        <w:t>я</w:t>
      </w:r>
      <w:r w:rsidR="00FF4BA1" w:rsidRPr="00D4726C">
        <w:t xml:space="preserve"> с възпиращ ефект, като например глобата в конкретния случай, </w:t>
      </w:r>
      <w:r w:rsidR="006A3162">
        <w:t>попада</w:t>
      </w:r>
      <w:r w:rsidR="00FF4BA1" w:rsidRPr="00D4726C">
        <w:t xml:space="preserve"> в свободната преценка на отделната държава. Т</w:t>
      </w:r>
      <w:r w:rsidR="006A3162">
        <w:t>а</w:t>
      </w:r>
      <w:r w:rsidR="00FF4BA1" w:rsidRPr="00D4726C">
        <w:t xml:space="preserve">зи </w:t>
      </w:r>
      <w:r w:rsidR="006A3162">
        <w:t>свобода</w:t>
      </w:r>
      <w:r w:rsidR="00FF4BA1" w:rsidRPr="00D4726C">
        <w:t xml:space="preserve"> е </w:t>
      </w:r>
      <w:r w:rsidR="006A3162">
        <w:t>широка</w:t>
      </w:r>
      <w:r w:rsidR="00FF4BA1" w:rsidRPr="00D4726C">
        <w:t xml:space="preserve"> (вж</w:t>
      </w:r>
      <w:r w:rsidR="006A3162">
        <w:t>.</w:t>
      </w:r>
      <w:r w:rsidR="00FF4BA1" w:rsidRPr="00D4726C">
        <w:t xml:space="preserve"> параграф 56 по-горе).</w:t>
      </w:r>
    </w:p>
    <w:p w:rsidR="00407ED2" w:rsidRPr="00D4726C" w:rsidRDefault="009E5013" w:rsidP="001B7481">
      <w:pPr>
        <w:pStyle w:val="ECHRPara"/>
      </w:pPr>
      <w:fldSimple w:instr=" SEQ level0 \*arabic ">
        <w:r w:rsidR="00D4726C">
          <w:rPr>
            <w:noProof/>
          </w:rPr>
          <w:t>66</w:t>
        </w:r>
      </w:fldSimple>
      <w:r w:rsidR="007C3AE3" w:rsidRPr="00D4726C">
        <w:t xml:space="preserve">.  Важното в случая е, че жалбоподателят е имал на свое разположение процесуална гаранция, с която да оспори санкцията, по-специално възможността да предяви иск за съдебен контрол по отношение на глобата. Той се </w:t>
      </w:r>
      <w:r w:rsidR="001C6186">
        <w:t xml:space="preserve">е </w:t>
      </w:r>
      <w:r w:rsidR="007C3AE3" w:rsidRPr="00D4726C">
        <w:t>възползва</w:t>
      </w:r>
      <w:r w:rsidR="001C6186">
        <w:t>л</w:t>
      </w:r>
      <w:r w:rsidR="007C3AE3" w:rsidRPr="00D4726C">
        <w:t xml:space="preserve"> от това </w:t>
      </w:r>
      <w:r w:rsidR="006A3162">
        <w:t xml:space="preserve">правно </w:t>
      </w:r>
      <w:r w:rsidR="007C3AE3" w:rsidRPr="00D4726C">
        <w:t xml:space="preserve">средство </w:t>
      </w:r>
      <w:r w:rsidR="006A3162">
        <w:t xml:space="preserve">за защита </w:t>
      </w:r>
      <w:r w:rsidR="007C3AE3" w:rsidRPr="00D4726C">
        <w:t>(вж</w:t>
      </w:r>
      <w:r w:rsidR="006A3162">
        <w:t>.</w:t>
      </w:r>
      <w:r w:rsidR="007C3AE3" w:rsidRPr="00D4726C">
        <w:t xml:space="preserve"> параграф 18 по-горе) и </w:t>
      </w:r>
      <w:r w:rsidR="006A3162">
        <w:t>нищо не</w:t>
      </w:r>
      <w:r w:rsidR="007C3AE3" w:rsidRPr="00D4726C">
        <w:t xml:space="preserve"> пока</w:t>
      </w:r>
      <w:r w:rsidR="006A3162">
        <w:t>зва</w:t>
      </w:r>
      <w:r w:rsidR="007C3AE3" w:rsidRPr="00D4726C">
        <w:t>, че процесът на вземане на решение, водещ до налагането на оспорваната глоба</w:t>
      </w:r>
      <w:r w:rsidR="006A3162">
        <w:t>,</w:t>
      </w:r>
      <w:r w:rsidR="007C3AE3" w:rsidRPr="00D4726C">
        <w:t xml:space="preserve"> е бил несправедлив или произволен.</w:t>
      </w:r>
    </w:p>
    <w:p w:rsidR="00407ED2" w:rsidRPr="00D4726C" w:rsidRDefault="009E5013" w:rsidP="001B7481">
      <w:pPr>
        <w:pStyle w:val="ECHRPara"/>
      </w:pPr>
      <w:fldSimple w:instr=" SEQ level0 \*arabic ">
        <w:r w:rsidR="00D4726C">
          <w:rPr>
            <w:noProof/>
          </w:rPr>
          <w:t>67</w:t>
        </w:r>
      </w:fldSimple>
      <w:r w:rsidR="007C3AE3" w:rsidRPr="00D4726C">
        <w:t>.  </w:t>
      </w:r>
      <w:r w:rsidR="006A3162">
        <w:t>Н</w:t>
      </w:r>
      <w:r w:rsidR="007C3AE3" w:rsidRPr="00D4726C">
        <w:t>а последно място, въпреки че глобата, наложена на жалбоподателя</w:t>
      </w:r>
      <w:r w:rsidR="006A3162">
        <w:t>,</w:t>
      </w:r>
      <w:r w:rsidR="007C3AE3" w:rsidRPr="00D4726C">
        <w:t xml:space="preserve"> е в максималния възможен размер според съответната правна разпоредба, тя не е нито </w:t>
      </w:r>
      <w:r w:rsidR="006A3162">
        <w:t>непосилна</w:t>
      </w:r>
      <w:r w:rsidR="007C3AE3" w:rsidRPr="00D4726C">
        <w:t>, нито репресивна, нито по какъвто и да било друг начин непропорционална (вж</w:t>
      </w:r>
      <w:r w:rsidR="006A3162">
        <w:t>.</w:t>
      </w:r>
      <w:r w:rsidR="007C3AE3" w:rsidRPr="00D4726C">
        <w:t>, с оглед на подобен подход</w:t>
      </w:r>
      <w:r w:rsidR="006A3162">
        <w:t>,</w:t>
      </w:r>
      <w:r w:rsidR="007C3AE3" w:rsidRPr="00D4726C">
        <w:t xml:space="preserve"> </w:t>
      </w:r>
      <w:r w:rsidR="007C3AE3" w:rsidRPr="00D4726C">
        <w:rPr>
          <w:i/>
        </w:rPr>
        <w:t>Allianz-</w:t>
      </w:r>
      <w:proofErr w:type="spellStart"/>
      <w:r w:rsidR="007C3AE3" w:rsidRPr="00D4726C">
        <w:rPr>
          <w:i/>
        </w:rPr>
        <w:t>Slovenska</w:t>
      </w:r>
      <w:proofErr w:type="spellEnd"/>
      <w:r w:rsidR="007C3AE3" w:rsidRPr="00D4726C">
        <w:rPr>
          <w:i/>
        </w:rPr>
        <w:t>-</w:t>
      </w:r>
      <w:proofErr w:type="spellStart"/>
      <w:r w:rsidR="007C3AE3" w:rsidRPr="00D4726C">
        <w:rPr>
          <w:i/>
        </w:rPr>
        <w:t>Poistovna</w:t>
      </w:r>
      <w:proofErr w:type="spellEnd"/>
      <w:r w:rsidR="007C3AE3" w:rsidRPr="00D4726C">
        <w:rPr>
          <w:i/>
        </w:rPr>
        <w:t xml:space="preserve">, A.S., </w:t>
      </w:r>
      <w:proofErr w:type="spellStart"/>
      <w:r w:rsidR="007C3AE3" w:rsidRPr="00D4726C">
        <w:rPr>
          <w:i/>
        </w:rPr>
        <w:t>and</w:t>
      </w:r>
      <w:proofErr w:type="spellEnd"/>
      <w:r w:rsidR="007C3AE3" w:rsidRPr="00D4726C">
        <w:rPr>
          <w:i/>
        </w:rPr>
        <w:t xml:space="preserve"> </w:t>
      </w:r>
      <w:proofErr w:type="spellStart"/>
      <w:r w:rsidR="007C3AE3" w:rsidRPr="00D4726C">
        <w:rPr>
          <w:i/>
        </w:rPr>
        <w:t>Others</w:t>
      </w:r>
      <w:proofErr w:type="spellEnd"/>
      <w:r w:rsidR="007C3AE3" w:rsidRPr="00D4726C">
        <w:rPr>
          <w:i/>
        </w:rPr>
        <w:t xml:space="preserve"> v. </w:t>
      </w:r>
      <w:proofErr w:type="spellStart"/>
      <w:r w:rsidR="007C3AE3" w:rsidRPr="00D4726C">
        <w:rPr>
          <w:i/>
        </w:rPr>
        <w:t>Slovakia</w:t>
      </w:r>
      <w:proofErr w:type="spellEnd"/>
      <w:r w:rsidR="007C3AE3" w:rsidRPr="00D4726C">
        <w:t xml:space="preserve"> (</w:t>
      </w:r>
      <w:r w:rsidR="006A3162">
        <w:t>РД</w:t>
      </w:r>
      <w:r w:rsidR="007C3AE3" w:rsidRPr="00D4726C">
        <w:t>), № 19276/05, 9 ноември 2010 г.).</w:t>
      </w:r>
    </w:p>
    <w:p w:rsidR="00407ED2" w:rsidRPr="00D4726C" w:rsidRDefault="009E5013" w:rsidP="001B7481">
      <w:pPr>
        <w:pStyle w:val="ECHRPara"/>
      </w:pPr>
      <w:fldSimple w:instr=" SEQ level0 \*arabic ">
        <w:r w:rsidR="00D4726C">
          <w:rPr>
            <w:noProof/>
          </w:rPr>
          <w:t>68</w:t>
        </w:r>
      </w:fldSimple>
      <w:r w:rsidR="00680830" w:rsidRPr="00D4726C">
        <w:t>.  Съдът посочва, че ситуацията в настоящия случай трябва да бъде разграничена от случаите, които се отнасят до правото на адвокатите да се изразяват свободно в качеството си на процесуални защитници; в тези случаи оплакванията са направени от жалбоподателите и разгледани от Съда на основание чл</w:t>
      </w:r>
      <w:r w:rsidR="009441E6">
        <w:t>.</w:t>
      </w:r>
      <w:r w:rsidR="00680830" w:rsidRPr="00D4726C">
        <w:t xml:space="preserve"> 10 от Конвенцията (вж</w:t>
      </w:r>
      <w:r w:rsidR="009441E6">
        <w:t>.</w:t>
      </w:r>
      <w:r w:rsidR="00680830" w:rsidRPr="00D4726C">
        <w:t xml:space="preserve"> например </w:t>
      </w:r>
      <w:proofErr w:type="spellStart"/>
      <w:r w:rsidR="00680830" w:rsidRPr="00D4726C">
        <w:rPr>
          <w:i/>
        </w:rPr>
        <w:t>Nikula</w:t>
      </w:r>
      <w:proofErr w:type="spellEnd"/>
      <w:r w:rsidR="00680830" w:rsidRPr="00D4726C">
        <w:rPr>
          <w:i/>
        </w:rPr>
        <w:t xml:space="preserve"> v. </w:t>
      </w:r>
      <w:proofErr w:type="spellStart"/>
      <w:r w:rsidR="00680830" w:rsidRPr="00D4726C">
        <w:rPr>
          <w:i/>
        </w:rPr>
        <w:t>Finland</w:t>
      </w:r>
      <w:proofErr w:type="spellEnd"/>
      <w:r w:rsidR="00680830" w:rsidRPr="00D4726C">
        <w:t>, № 31611/96, §§ 29-56, ЕСПЧ 2002</w:t>
      </w:r>
      <w:r w:rsidR="00680830" w:rsidRPr="00D4726C">
        <w:noBreakHyphen/>
        <w:t>II; вж</w:t>
      </w:r>
      <w:r w:rsidR="009441E6">
        <w:t>.</w:t>
      </w:r>
      <w:r w:rsidR="00680830" w:rsidRPr="00D4726C">
        <w:t xml:space="preserve"> също по-скорошното </w:t>
      </w:r>
      <w:proofErr w:type="spellStart"/>
      <w:r w:rsidR="00680830" w:rsidRPr="00D4726C">
        <w:rPr>
          <w:i/>
        </w:rPr>
        <w:t>Morice</w:t>
      </w:r>
      <w:proofErr w:type="spellEnd"/>
      <w:r w:rsidR="00680830" w:rsidRPr="00D4726C">
        <w:rPr>
          <w:i/>
        </w:rPr>
        <w:t xml:space="preserve"> v. </w:t>
      </w:r>
      <w:proofErr w:type="spellStart"/>
      <w:r w:rsidR="00680830" w:rsidRPr="00D4726C">
        <w:rPr>
          <w:i/>
        </w:rPr>
        <w:t>France</w:t>
      </w:r>
      <w:proofErr w:type="spellEnd"/>
      <w:r w:rsidR="00680830" w:rsidRPr="00D4726C">
        <w:rPr>
          <w:i/>
        </w:rPr>
        <w:t xml:space="preserve"> </w:t>
      </w:r>
      <w:r w:rsidR="00680830" w:rsidRPr="00D4726C">
        <w:t>[GC], № 29369/10</w:t>
      </w:r>
      <w:r w:rsidR="00680830" w:rsidRPr="00D4726C">
        <w:rPr>
          <w:snapToGrid w:val="0"/>
        </w:rPr>
        <w:t>, § 174, 2</w:t>
      </w:r>
      <w:r w:rsidR="00680830" w:rsidRPr="00D4726C">
        <w:t>3</w:t>
      </w:r>
      <w:r w:rsidR="00680830" w:rsidRPr="00D4726C">
        <w:rPr>
          <w:snapToGrid w:val="0"/>
        </w:rPr>
        <w:t xml:space="preserve"> април 2015 г.</w:t>
      </w:r>
      <w:r w:rsidR="00680830" w:rsidRPr="00D4726C">
        <w:t xml:space="preserve">). В </w:t>
      </w:r>
      <w:proofErr w:type="spellStart"/>
      <w:r w:rsidR="00680830" w:rsidRPr="00D4726C">
        <w:rPr>
          <w:i/>
        </w:rPr>
        <w:t>Nikula</w:t>
      </w:r>
      <w:proofErr w:type="spellEnd"/>
      <w:r w:rsidR="00680830" w:rsidRPr="00D4726C">
        <w:rPr>
          <w:i/>
        </w:rPr>
        <w:t xml:space="preserve"> </w:t>
      </w:r>
      <w:r w:rsidR="009441E6">
        <w:t>и</w:t>
      </w:r>
      <w:r w:rsidR="009441E6" w:rsidRPr="00D4726C">
        <w:rPr>
          <w:i/>
        </w:rPr>
        <w:t xml:space="preserve"> </w:t>
      </w:r>
      <w:proofErr w:type="spellStart"/>
      <w:r w:rsidR="00680830" w:rsidRPr="00D4726C">
        <w:rPr>
          <w:i/>
        </w:rPr>
        <w:t>Morice</w:t>
      </w:r>
      <w:proofErr w:type="spellEnd"/>
      <w:r w:rsidR="009441E6">
        <w:rPr>
          <w:i/>
        </w:rPr>
        <w:t>,</w:t>
      </w:r>
      <w:r w:rsidR="00680830" w:rsidRPr="00D4726C">
        <w:t xml:space="preserve"> и двете цитирани по-горе, жалбоподателите са осъдени за това, че критикуват съответно прокурор и съдия по начин, който </w:t>
      </w:r>
      <w:r w:rsidR="009441E6">
        <w:t>националните</w:t>
      </w:r>
      <w:r w:rsidR="009441E6" w:rsidRPr="00D4726C">
        <w:t xml:space="preserve"> </w:t>
      </w:r>
      <w:r w:rsidR="00680830" w:rsidRPr="00D4726C">
        <w:t xml:space="preserve">съдилища намират за </w:t>
      </w:r>
      <w:proofErr w:type="spellStart"/>
      <w:r w:rsidR="009441E6">
        <w:rPr>
          <w:lang w:val="en-US"/>
        </w:rPr>
        <w:t>клеветнически</w:t>
      </w:r>
      <w:proofErr w:type="spellEnd"/>
      <w:r w:rsidR="00680830" w:rsidRPr="00D4726C">
        <w:t xml:space="preserve">. Съдът приема, че въпросът засяга свободата на изразяване на жалбоподателите; в </w:t>
      </w:r>
      <w:proofErr w:type="spellStart"/>
      <w:r w:rsidR="00680830" w:rsidRPr="00D4726C">
        <w:rPr>
          <w:i/>
        </w:rPr>
        <w:t>Morice</w:t>
      </w:r>
      <w:proofErr w:type="spellEnd"/>
      <w:r w:rsidR="00680830" w:rsidRPr="00D4726C">
        <w:t xml:space="preserve"> по-специално това е част от дебат по въпрос от обществен интерес във връзка с функционирането на съдебната система и в контекста на дело, което е получило широко медийно отразяване от самото начало. В </w:t>
      </w:r>
      <w:r w:rsidR="009441E6">
        <w:t>настоящия</w:t>
      </w:r>
      <w:r w:rsidR="009441E6" w:rsidRPr="00D4726C">
        <w:t xml:space="preserve"> </w:t>
      </w:r>
      <w:r w:rsidR="00680830" w:rsidRPr="00D4726C">
        <w:t xml:space="preserve">случай жалбоподателят е наказан с глоба за това, че </w:t>
      </w:r>
      <w:r w:rsidR="009441E6">
        <w:t>се е отказал от</w:t>
      </w:r>
      <w:r w:rsidR="00680830" w:rsidRPr="00D4726C">
        <w:t xml:space="preserve"> задължението си да представлява обвиняемия; това задължение произтича от факта, че съдът вече е бил назначил жалбоподателя за процесуален защитник и не са съществували обективни причини, които да попречат на изпълнението на неговите задължения за процесуално представителство (вж</w:t>
      </w:r>
      <w:r w:rsidR="009441E6">
        <w:t>.</w:t>
      </w:r>
      <w:r w:rsidR="00680830" w:rsidRPr="00D4726C">
        <w:t xml:space="preserve"> параграфи 23 и 24 по-горе).</w:t>
      </w:r>
    </w:p>
    <w:p w:rsidR="00407ED2" w:rsidRPr="00D4726C" w:rsidRDefault="009E5013" w:rsidP="001B7481">
      <w:pPr>
        <w:pStyle w:val="ECHRPara"/>
      </w:pPr>
      <w:fldSimple w:instr=" SEQ level0 \*arabic ">
        <w:r w:rsidR="00D4726C">
          <w:rPr>
            <w:noProof/>
          </w:rPr>
          <w:t>69</w:t>
        </w:r>
      </w:fldSimple>
      <w:r w:rsidR="00B95F80" w:rsidRPr="00D4726C">
        <w:t>.  При обстоятелствата на конкретния случай, с оглед на всичко казано по-горе, Съдът намира, че властите са пости</w:t>
      </w:r>
      <w:r w:rsidR="009441E6">
        <w:t>гнали</w:t>
      </w:r>
      <w:r w:rsidR="00B95F80" w:rsidRPr="00D4726C">
        <w:t xml:space="preserve"> </w:t>
      </w:r>
      <w:r w:rsidR="009441E6">
        <w:t>справедлив</w:t>
      </w:r>
      <w:r w:rsidR="00B95F80" w:rsidRPr="00D4726C">
        <w:t xml:space="preserve"> баланс между обществения интерес, от една страна</w:t>
      </w:r>
      <w:r w:rsidR="009441E6">
        <w:t>,</w:t>
      </w:r>
      <w:r w:rsidR="00B95F80" w:rsidRPr="00D4726C">
        <w:t xml:space="preserve"> и зачитането правото на жалбоподателя на притежани</w:t>
      </w:r>
      <w:r w:rsidR="009441E6">
        <w:t>е</w:t>
      </w:r>
      <w:r w:rsidR="00B95F80" w:rsidRPr="00D4726C">
        <w:t>, от друга страна. Следователно намесата не е наложила прекалено голяма тежест върху жалбоподателя.</w:t>
      </w:r>
    </w:p>
    <w:p w:rsidR="00407ED2" w:rsidRPr="00D4726C" w:rsidRDefault="009E5013" w:rsidP="001B7481">
      <w:pPr>
        <w:pStyle w:val="ECHRPara"/>
      </w:pPr>
      <w:fldSimple w:instr=" SEQ level0 \*arabic ">
        <w:r w:rsidR="00D4726C">
          <w:rPr>
            <w:noProof/>
          </w:rPr>
          <w:t>70</w:t>
        </w:r>
      </w:fldSimple>
      <w:r w:rsidR="003D18E3" w:rsidRPr="00D4726C">
        <w:t>.  От това следва, че н</w:t>
      </w:r>
      <w:r w:rsidR="009441E6">
        <w:t>е е налице</w:t>
      </w:r>
      <w:r w:rsidR="003D18E3" w:rsidRPr="00D4726C">
        <w:t xml:space="preserve"> нарушение на чл</w:t>
      </w:r>
      <w:r w:rsidR="009441E6">
        <w:t>.</w:t>
      </w:r>
      <w:r w:rsidR="003D18E3" w:rsidRPr="00D4726C">
        <w:t xml:space="preserve"> 1 </w:t>
      </w:r>
      <w:r w:rsidR="009441E6">
        <w:t>от</w:t>
      </w:r>
      <w:r w:rsidR="003D18E3" w:rsidRPr="00D4726C">
        <w:t xml:space="preserve"> Протокол № 1 към Конвенцията.</w:t>
      </w:r>
    </w:p>
    <w:p w:rsidR="005767A2" w:rsidRPr="00D4726C" w:rsidRDefault="005767A2" w:rsidP="001B7481">
      <w:pPr>
        <w:pStyle w:val="ECHRHeading1"/>
      </w:pPr>
      <w:r w:rsidRPr="00D4726C">
        <w:t>II.  ТВЪРДЯ</w:t>
      </w:r>
      <w:r w:rsidR="009441E6">
        <w:t>НО</w:t>
      </w:r>
      <w:r w:rsidRPr="00D4726C">
        <w:t xml:space="preserve"> НАРУШЕНИЕ НА ЧЛ. 13 ОТ КОНВЕНЦИЯТА</w:t>
      </w:r>
    </w:p>
    <w:p w:rsidR="005767A2" w:rsidRPr="00D4726C" w:rsidRDefault="009E5013" w:rsidP="001B7481">
      <w:pPr>
        <w:pStyle w:val="ECHRPara"/>
      </w:pPr>
      <w:fldSimple w:instr=" SEQ level0 \*arabic ">
        <w:r w:rsidR="00D4726C">
          <w:rPr>
            <w:noProof/>
          </w:rPr>
          <w:t>71</w:t>
        </w:r>
      </w:fldSimple>
      <w:r w:rsidR="005767A2" w:rsidRPr="00D4726C">
        <w:t xml:space="preserve">.  Жалбоподателят се оплаква, че не е имал на разположение ефективно вътрешноправно средство за защита във връзка с оплакването си за мирно ползване на </w:t>
      </w:r>
      <w:r w:rsidR="009441E6">
        <w:t>притежанията</w:t>
      </w:r>
      <w:r w:rsidR="009441E6" w:rsidRPr="00D4726C">
        <w:t xml:space="preserve"> </w:t>
      </w:r>
      <w:r w:rsidR="005767A2" w:rsidRPr="00D4726C">
        <w:t>си в противоречие с изискването на чл</w:t>
      </w:r>
      <w:r w:rsidR="009441E6">
        <w:t>.</w:t>
      </w:r>
      <w:r w:rsidR="005767A2" w:rsidRPr="00D4726C">
        <w:t xml:space="preserve"> 13 от Конвенцията. Тази разпоредба гласи:</w:t>
      </w:r>
    </w:p>
    <w:p w:rsidR="005767A2" w:rsidRPr="00D4726C" w:rsidRDefault="005767A2" w:rsidP="001B7481">
      <w:pPr>
        <w:pStyle w:val="ECHRParaQuote"/>
      </w:pPr>
      <w:r w:rsidRPr="00D4726C">
        <w:t>"</w:t>
      </w:r>
      <w:proofErr w:type="spellStart"/>
      <w:r w:rsidRPr="00D4726C">
        <w:t>Βсеки</w:t>
      </w:r>
      <w:proofErr w:type="spellEnd"/>
      <w:r w:rsidRPr="00D4726C">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5767A2" w:rsidRPr="00D4726C" w:rsidRDefault="009E5013" w:rsidP="001B7481">
      <w:pPr>
        <w:pStyle w:val="ECHRPara"/>
      </w:pPr>
      <w:fldSimple w:instr=" SEQ level0 \*arabic ">
        <w:r w:rsidR="00D4726C">
          <w:rPr>
            <w:noProof/>
          </w:rPr>
          <w:t>72</w:t>
        </w:r>
      </w:fldSimple>
      <w:r w:rsidR="005767A2" w:rsidRPr="00D4726C">
        <w:t>.  Правителството оспорва аргумента.</w:t>
      </w:r>
    </w:p>
    <w:p w:rsidR="005767A2" w:rsidRPr="00D4726C" w:rsidRDefault="005767A2" w:rsidP="001B7481">
      <w:pPr>
        <w:pStyle w:val="ECHRHeading2"/>
      </w:pPr>
      <w:r w:rsidRPr="00D4726C">
        <w:t>A.  Допустимост</w:t>
      </w:r>
    </w:p>
    <w:p w:rsidR="005767A2" w:rsidRPr="00D4726C" w:rsidRDefault="009E5013" w:rsidP="001B7481">
      <w:pPr>
        <w:pStyle w:val="ECHRPara"/>
      </w:pPr>
      <w:fldSimple w:instr=" SEQ level0 \*arabic ">
        <w:r w:rsidR="00D4726C">
          <w:rPr>
            <w:noProof/>
          </w:rPr>
          <w:t>73</w:t>
        </w:r>
      </w:fldSimple>
      <w:r w:rsidR="005767A2" w:rsidRPr="00D4726C">
        <w:t xml:space="preserve">.  Съдът отбелязва, че това оплакване е свързано с разгледаното по-горе и </w:t>
      </w:r>
      <w:r w:rsidR="0048571A">
        <w:t xml:space="preserve">следователно </w:t>
      </w:r>
      <w:r w:rsidR="005767A2" w:rsidRPr="00D4726C">
        <w:t>също трябва да бъде обявено за допустимо.</w:t>
      </w:r>
    </w:p>
    <w:p w:rsidR="005767A2" w:rsidRPr="00D4726C" w:rsidRDefault="005767A2" w:rsidP="001B7481">
      <w:pPr>
        <w:pStyle w:val="ECHRHeading2"/>
      </w:pPr>
      <w:r w:rsidRPr="00D4726C">
        <w:t>Б. Основателност</w:t>
      </w:r>
    </w:p>
    <w:p w:rsidR="006003D2" w:rsidRPr="00D4726C" w:rsidRDefault="009E5013" w:rsidP="001B7481">
      <w:pPr>
        <w:pStyle w:val="ECHRPara"/>
      </w:pPr>
      <w:fldSimple w:instr=" SEQ level0 \*arabic ">
        <w:r w:rsidR="00D4726C">
          <w:rPr>
            <w:noProof/>
          </w:rPr>
          <w:t>74</w:t>
        </w:r>
      </w:fldSimple>
      <w:r w:rsidR="00C44024" w:rsidRPr="00D4726C">
        <w:t>.  Като взе предвид своите констатации по отношение на процедурните гаранции по силата на чл</w:t>
      </w:r>
      <w:r w:rsidR="0048571A">
        <w:t>.</w:t>
      </w:r>
      <w:r w:rsidR="00C44024" w:rsidRPr="00D4726C">
        <w:t xml:space="preserve"> 1 от Протокол № 1 към Конвенцията, които са били на разположение на жалбоподателя (вж</w:t>
      </w:r>
      <w:r w:rsidR="0048571A">
        <w:t>.</w:t>
      </w:r>
      <w:r w:rsidR="00C44024" w:rsidRPr="00D4726C">
        <w:t xml:space="preserve"> параграф 66 по-горе), Съдът намира, че не е необходимо да се разглежда този въпрос и по чл</w:t>
      </w:r>
      <w:r w:rsidR="0048571A">
        <w:t>.</w:t>
      </w:r>
      <w:r w:rsidR="00C44024" w:rsidRPr="00D4726C">
        <w:t xml:space="preserve"> 13 от Конвенцията.</w:t>
      </w:r>
    </w:p>
    <w:p w:rsidR="004C2853" w:rsidRPr="00D4726C" w:rsidRDefault="004C2853" w:rsidP="001B7481">
      <w:pPr>
        <w:pStyle w:val="ECHRTitle1"/>
      </w:pPr>
      <w:r w:rsidRPr="00D4726C">
        <w:t>ПО ТЕЗИ СЪОБРАЖЕНИЯ СЪДЪТ ЕДИНОДУШНО</w:t>
      </w:r>
    </w:p>
    <w:p w:rsidR="004C2853" w:rsidRPr="00D4726C" w:rsidRDefault="004C2853" w:rsidP="001B7481">
      <w:pPr>
        <w:pStyle w:val="JuList"/>
      </w:pPr>
      <w:r w:rsidRPr="00D4726C">
        <w:t>1.  </w:t>
      </w:r>
      <w:r w:rsidRPr="00D4726C">
        <w:rPr>
          <w:i/>
        </w:rPr>
        <w:t>Обявява</w:t>
      </w:r>
      <w:r w:rsidRPr="00D4726C">
        <w:t xml:space="preserve"> жалбата за допустима;</w:t>
      </w:r>
    </w:p>
    <w:p w:rsidR="004C2853" w:rsidRPr="00D4726C" w:rsidRDefault="004C2853" w:rsidP="001B7481">
      <w:pPr>
        <w:pStyle w:val="JuList"/>
        <w:ind w:left="0" w:firstLine="0"/>
      </w:pPr>
    </w:p>
    <w:p w:rsidR="004C2853" w:rsidRPr="00D4726C" w:rsidRDefault="00D70458" w:rsidP="001B7481">
      <w:pPr>
        <w:pStyle w:val="JuList"/>
      </w:pPr>
      <w:r w:rsidRPr="00D4726C">
        <w:t>2.  </w:t>
      </w:r>
      <w:r w:rsidRPr="00D4726C">
        <w:rPr>
          <w:i/>
        </w:rPr>
        <w:t>Приема</w:t>
      </w:r>
      <w:r w:rsidRPr="00D4726C">
        <w:t xml:space="preserve">, че не е налице нарушение на чл. </w:t>
      </w:r>
      <w:r w:rsidRPr="00D4726C">
        <w:br/>
        <w:t xml:space="preserve">1 </w:t>
      </w:r>
      <w:r w:rsidR="0048571A">
        <w:t>от</w:t>
      </w:r>
      <w:r w:rsidRPr="00D4726C">
        <w:t xml:space="preserve"> Протокол № 1 </w:t>
      </w:r>
      <w:r w:rsidR="0048571A">
        <w:t xml:space="preserve">към </w:t>
      </w:r>
      <w:r w:rsidRPr="00D4726C">
        <w:t>Конвенцията;</w:t>
      </w:r>
    </w:p>
    <w:p w:rsidR="004C2853" w:rsidRPr="00D4726C" w:rsidRDefault="004C2853" w:rsidP="001B7481">
      <w:pPr>
        <w:pStyle w:val="JuList"/>
      </w:pPr>
    </w:p>
    <w:p w:rsidR="005767A2" w:rsidRPr="00D4726C" w:rsidRDefault="00E413D9" w:rsidP="001B7481">
      <w:pPr>
        <w:pStyle w:val="JuList"/>
      </w:pPr>
      <w:r w:rsidRPr="00D4726C">
        <w:t>3.  </w:t>
      </w:r>
      <w:r w:rsidRPr="00D4726C">
        <w:rPr>
          <w:i/>
        </w:rPr>
        <w:t>Приема</w:t>
      </w:r>
      <w:r w:rsidRPr="00D4726C">
        <w:t>, че не е необходимо да се разглежда оплакването по чл. 13 от Конвенцията.</w:t>
      </w:r>
    </w:p>
    <w:p w:rsidR="00014566" w:rsidRPr="00D4726C" w:rsidRDefault="00014566" w:rsidP="001B7481">
      <w:pPr>
        <w:pStyle w:val="JuParaLast"/>
        <w:keepNext w:val="0"/>
        <w:keepLines w:val="0"/>
      </w:pPr>
      <w:r w:rsidRPr="00D4726C">
        <w:t>Изготвено на английски език и оповестено писмено на 27 октомври 2015 г. в съответствие с Правило 77 §§ 2 и 3 от Правилника на Съда.</w:t>
      </w:r>
    </w:p>
    <w:p w:rsidR="004D15F3" w:rsidRPr="00D4726C" w:rsidRDefault="00014566" w:rsidP="001B7481">
      <w:pPr>
        <w:pStyle w:val="JuSigned"/>
      </w:pPr>
      <w:r w:rsidRPr="00D4726C">
        <w:tab/>
      </w:r>
      <w:proofErr w:type="spellStart"/>
      <w:r w:rsidRPr="00D4726C">
        <w:t>Фатош</w:t>
      </w:r>
      <w:proofErr w:type="spellEnd"/>
      <w:r w:rsidRPr="00D4726C">
        <w:t xml:space="preserve"> </w:t>
      </w:r>
      <w:proofErr w:type="spellStart"/>
      <w:r w:rsidRPr="00D4726C">
        <w:t>Арачи</w:t>
      </w:r>
      <w:proofErr w:type="spellEnd"/>
      <w:r w:rsidRPr="00D4726C">
        <w:tab/>
      </w:r>
      <w:proofErr w:type="spellStart"/>
      <w:r w:rsidRPr="00D4726C">
        <w:t>Гуидо</w:t>
      </w:r>
      <w:proofErr w:type="spellEnd"/>
      <w:r w:rsidRPr="00D4726C">
        <w:t xml:space="preserve"> </w:t>
      </w:r>
      <w:proofErr w:type="spellStart"/>
      <w:r w:rsidRPr="00D4726C">
        <w:t>Раймонди</w:t>
      </w:r>
      <w:proofErr w:type="spellEnd"/>
      <w:r w:rsidRPr="00D4726C">
        <w:br/>
      </w:r>
      <w:r w:rsidR="0074764B">
        <w:t>з</w:t>
      </w:r>
      <w:r w:rsidRPr="00D4726C">
        <w:t>аместник-</w:t>
      </w:r>
      <w:r w:rsidR="0074764B">
        <w:t>с</w:t>
      </w:r>
      <w:r w:rsidRPr="00D4726C">
        <w:t>екретар</w:t>
      </w:r>
      <w:r w:rsidRPr="00D4726C">
        <w:tab/>
      </w:r>
      <w:r w:rsidR="0074764B">
        <w:t>п</w:t>
      </w:r>
      <w:r w:rsidRPr="00D4726C">
        <w:t>редседател</w:t>
      </w:r>
    </w:p>
    <w:sectPr w:rsidR="004D15F3" w:rsidRPr="00D4726C" w:rsidSect="00202F81">
      <w:headerReference w:type="even" r:id="rId16"/>
      <w:headerReference w:type="default" r:id="rId17"/>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13" w:rsidRDefault="009E5013" w:rsidP="00014566">
      <w:r>
        <w:separator/>
      </w:r>
    </w:p>
  </w:endnote>
  <w:endnote w:type="continuationSeparator" w:id="0">
    <w:p w:rsidR="009E5013" w:rsidRDefault="009E5013"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53" w:rsidRDefault="001418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53" w:rsidRDefault="001418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D4" w:rsidRPr="00150BFA" w:rsidRDefault="004016D4" w:rsidP="008A2740">
    <w:pPr>
      <w:jc w:val="center"/>
    </w:pPr>
    <w:r>
      <w:rPr>
        <w:noProof/>
        <w:lang w:val="en-US" w:eastAsia="en-US" w:bidi="ar-SA"/>
      </w:rPr>
      <w:drawing>
        <wp:inline distT="0" distB="0" distL="0" distR="0" wp14:anchorId="3ABFCE72" wp14:editId="6B5FBFEE">
          <wp:extent cx="771525" cy="619125"/>
          <wp:effectExtent l="0" t="0" r="9525" b="9525"/>
          <wp:docPr id="19"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016D4" w:rsidRDefault="004016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13" w:rsidRDefault="009E5013" w:rsidP="00014566">
      <w:r>
        <w:separator/>
      </w:r>
    </w:p>
  </w:footnote>
  <w:footnote w:type="continuationSeparator" w:id="0">
    <w:p w:rsidR="009E5013" w:rsidRDefault="009E5013" w:rsidP="00014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53" w:rsidRDefault="001418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D4" w:rsidRPr="00202F81" w:rsidRDefault="004016D4" w:rsidP="00202F81">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D4" w:rsidRPr="00A45145" w:rsidRDefault="004016D4" w:rsidP="008A2740">
    <w:pPr>
      <w:jc w:val="center"/>
    </w:pPr>
    <w:r>
      <w:rPr>
        <w:noProof/>
        <w:lang w:val="en-US" w:eastAsia="en-US" w:bidi="ar-SA"/>
      </w:rPr>
      <w:drawing>
        <wp:inline distT="0" distB="0" distL="0" distR="0" wp14:anchorId="3B2300CE" wp14:editId="48E2AAD0">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016D4" w:rsidRDefault="004016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D4" w:rsidRPr="00FF2306" w:rsidRDefault="004016D4"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316274">
      <w:rPr>
        <w:rStyle w:val="PageNumber"/>
        <w:noProof/>
        <w:szCs w:val="18"/>
      </w:rPr>
      <w:t>16</w:t>
    </w:r>
    <w:r>
      <w:rPr>
        <w:rStyle w:val="PageNumber"/>
        <w:szCs w:val="18"/>
      </w:rPr>
      <w:fldChar w:fldCharType="end"/>
    </w:r>
    <w:r>
      <w:tab/>
      <w:t>РЕШЕНИЕ КОНСТАНТИН СТЕФАНОВ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D4" w:rsidRPr="00D60D87" w:rsidRDefault="004016D4" w:rsidP="00D60D87">
    <w:pPr>
      <w:pStyle w:val="ECHRHeader"/>
    </w:pPr>
    <w:r>
      <w:tab/>
      <w:t>РЕШЕНИЕ КОНСТАНТИН СТЕФАНОВ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316274">
      <w:rPr>
        <w:rStyle w:val="PageNumber"/>
        <w:noProof/>
        <w:szCs w:val="18"/>
      </w:rPr>
      <w:t>17</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779A6"/>
    <w:rsid w:val="000018BD"/>
    <w:rsid w:val="00001A9A"/>
    <w:rsid w:val="0000279C"/>
    <w:rsid w:val="000041F8"/>
    <w:rsid w:val="000042A8"/>
    <w:rsid w:val="00004308"/>
    <w:rsid w:val="000058B1"/>
    <w:rsid w:val="00005BF0"/>
    <w:rsid w:val="00006AA9"/>
    <w:rsid w:val="00007154"/>
    <w:rsid w:val="000103AE"/>
    <w:rsid w:val="00011D69"/>
    <w:rsid w:val="000124E4"/>
    <w:rsid w:val="00012515"/>
    <w:rsid w:val="00012AD3"/>
    <w:rsid w:val="00012D7E"/>
    <w:rsid w:val="00013832"/>
    <w:rsid w:val="00014566"/>
    <w:rsid w:val="00015C2D"/>
    <w:rsid w:val="00015F00"/>
    <w:rsid w:val="0002228F"/>
    <w:rsid w:val="00022C1D"/>
    <w:rsid w:val="000323FF"/>
    <w:rsid w:val="00033C92"/>
    <w:rsid w:val="00034987"/>
    <w:rsid w:val="00036BD1"/>
    <w:rsid w:val="000417A1"/>
    <w:rsid w:val="0004197C"/>
    <w:rsid w:val="000504F3"/>
    <w:rsid w:val="0005114A"/>
    <w:rsid w:val="00051365"/>
    <w:rsid w:val="000525CB"/>
    <w:rsid w:val="0005573A"/>
    <w:rsid w:val="000602DF"/>
    <w:rsid w:val="00061B05"/>
    <w:rsid w:val="00061B58"/>
    <w:rsid w:val="0006215F"/>
    <w:rsid w:val="00062660"/>
    <w:rsid w:val="00062973"/>
    <w:rsid w:val="00062D5D"/>
    <w:rsid w:val="000632D5"/>
    <w:rsid w:val="000644EE"/>
    <w:rsid w:val="00065424"/>
    <w:rsid w:val="00065DA4"/>
    <w:rsid w:val="0006797F"/>
    <w:rsid w:val="00070AFB"/>
    <w:rsid w:val="00070CB2"/>
    <w:rsid w:val="00071A3B"/>
    <w:rsid w:val="00071D49"/>
    <w:rsid w:val="000728F7"/>
    <w:rsid w:val="00074EE1"/>
    <w:rsid w:val="00075618"/>
    <w:rsid w:val="00082B0F"/>
    <w:rsid w:val="0008406F"/>
    <w:rsid w:val="000844BC"/>
    <w:rsid w:val="000852E0"/>
    <w:rsid w:val="00091D30"/>
    <w:rsid w:val="000925AD"/>
    <w:rsid w:val="00092DF6"/>
    <w:rsid w:val="00092EFD"/>
    <w:rsid w:val="00097E3B"/>
    <w:rsid w:val="000A24EB"/>
    <w:rsid w:val="000A3512"/>
    <w:rsid w:val="000A5AAF"/>
    <w:rsid w:val="000B19B0"/>
    <w:rsid w:val="000B31CF"/>
    <w:rsid w:val="000B6923"/>
    <w:rsid w:val="000C033C"/>
    <w:rsid w:val="000C1668"/>
    <w:rsid w:val="000C4030"/>
    <w:rsid w:val="000C5F3C"/>
    <w:rsid w:val="000C6DCC"/>
    <w:rsid w:val="000D47AA"/>
    <w:rsid w:val="000D4985"/>
    <w:rsid w:val="000D5687"/>
    <w:rsid w:val="000D721F"/>
    <w:rsid w:val="000E069B"/>
    <w:rsid w:val="000E0E82"/>
    <w:rsid w:val="000E1DC5"/>
    <w:rsid w:val="000E223F"/>
    <w:rsid w:val="000E2CA6"/>
    <w:rsid w:val="000E538F"/>
    <w:rsid w:val="000E75AC"/>
    <w:rsid w:val="000E7CE8"/>
    <w:rsid w:val="000E7D45"/>
    <w:rsid w:val="000F0D4F"/>
    <w:rsid w:val="000F24D3"/>
    <w:rsid w:val="000F264C"/>
    <w:rsid w:val="000F5BF8"/>
    <w:rsid w:val="000F7851"/>
    <w:rsid w:val="00100B92"/>
    <w:rsid w:val="001029AD"/>
    <w:rsid w:val="00104E23"/>
    <w:rsid w:val="0010546D"/>
    <w:rsid w:val="00105D10"/>
    <w:rsid w:val="0010656D"/>
    <w:rsid w:val="0010719A"/>
    <w:rsid w:val="00107965"/>
    <w:rsid w:val="00107A59"/>
    <w:rsid w:val="00110B94"/>
    <w:rsid w:val="001112EF"/>
    <w:rsid w:val="00111B0C"/>
    <w:rsid w:val="00120D6C"/>
    <w:rsid w:val="001226CE"/>
    <w:rsid w:val="001257EC"/>
    <w:rsid w:val="0012696F"/>
    <w:rsid w:val="0013115A"/>
    <w:rsid w:val="00132C6A"/>
    <w:rsid w:val="00133D33"/>
    <w:rsid w:val="00134D64"/>
    <w:rsid w:val="00135A30"/>
    <w:rsid w:val="0013612C"/>
    <w:rsid w:val="00137FF6"/>
    <w:rsid w:val="00141203"/>
    <w:rsid w:val="00141650"/>
    <w:rsid w:val="00141853"/>
    <w:rsid w:val="00141A17"/>
    <w:rsid w:val="00145A44"/>
    <w:rsid w:val="0015454E"/>
    <w:rsid w:val="001555EC"/>
    <w:rsid w:val="00156D51"/>
    <w:rsid w:val="001604E9"/>
    <w:rsid w:val="00162A12"/>
    <w:rsid w:val="0016378F"/>
    <w:rsid w:val="0016508C"/>
    <w:rsid w:val="00166530"/>
    <w:rsid w:val="00167E68"/>
    <w:rsid w:val="0017591A"/>
    <w:rsid w:val="0017646D"/>
    <w:rsid w:val="00177185"/>
    <w:rsid w:val="001772F3"/>
    <w:rsid w:val="001779A6"/>
    <w:rsid w:val="001832BD"/>
    <w:rsid w:val="00183D23"/>
    <w:rsid w:val="00183EEC"/>
    <w:rsid w:val="001859E2"/>
    <w:rsid w:val="00186744"/>
    <w:rsid w:val="00191EB8"/>
    <w:rsid w:val="00192745"/>
    <w:rsid w:val="001943B5"/>
    <w:rsid w:val="001945DC"/>
    <w:rsid w:val="00195134"/>
    <w:rsid w:val="00196FE1"/>
    <w:rsid w:val="00197129"/>
    <w:rsid w:val="00197A5D"/>
    <w:rsid w:val="001A145B"/>
    <w:rsid w:val="001A380B"/>
    <w:rsid w:val="001A674C"/>
    <w:rsid w:val="001A6A8C"/>
    <w:rsid w:val="001B3463"/>
    <w:rsid w:val="001B3B24"/>
    <w:rsid w:val="001B6D4C"/>
    <w:rsid w:val="001B7481"/>
    <w:rsid w:val="001C0F98"/>
    <w:rsid w:val="001C2A42"/>
    <w:rsid w:val="001C59BD"/>
    <w:rsid w:val="001C6186"/>
    <w:rsid w:val="001D11D9"/>
    <w:rsid w:val="001D3885"/>
    <w:rsid w:val="001D53DF"/>
    <w:rsid w:val="001D63ED"/>
    <w:rsid w:val="001D7348"/>
    <w:rsid w:val="001D7FE5"/>
    <w:rsid w:val="001E035B"/>
    <w:rsid w:val="001E0961"/>
    <w:rsid w:val="001E3EAE"/>
    <w:rsid w:val="001E6F32"/>
    <w:rsid w:val="001F2145"/>
    <w:rsid w:val="001F3520"/>
    <w:rsid w:val="001F45A7"/>
    <w:rsid w:val="001F6262"/>
    <w:rsid w:val="001F67B0"/>
    <w:rsid w:val="001F7B3D"/>
    <w:rsid w:val="0020259A"/>
    <w:rsid w:val="00202F81"/>
    <w:rsid w:val="00203E63"/>
    <w:rsid w:val="0020491A"/>
    <w:rsid w:val="00205F9F"/>
    <w:rsid w:val="00210338"/>
    <w:rsid w:val="002115FC"/>
    <w:rsid w:val="00211AF4"/>
    <w:rsid w:val="002133F8"/>
    <w:rsid w:val="00213EDD"/>
    <w:rsid w:val="0021423C"/>
    <w:rsid w:val="002204BC"/>
    <w:rsid w:val="002211BF"/>
    <w:rsid w:val="002216BF"/>
    <w:rsid w:val="00221864"/>
    <w:rsid w:val="002224A0"/>
    <w:rsid w:val="002265C6"/>
    <w:rsid w:val="00230D00"/>
    <w:rsid w:val="00231600"/>
    <w:rsid w:val="00231DF7"/>
    <w:rsid w:val="00231FD1"/>
    <w:rsid w:val="002339E0"/>
    <w:rsid w:val="00233CF8"/>
    <w:rsid w:val="00233DC3"/>
    <w:rsid w:val="0023540D"/>
    <w:rsid w:val="0023575D"/>
    <w:rsid w:val="00237148"/>
    <w:rsid w:val="0024222D"/>
    <w:rsid w:val="002432D3"/>
    <w:rsid w:val="00244686"/>
    <w:rsid w:val="00244B0E"/>
    <w:rsid w:val="00244F6C"/>
    <w:rsid w:val="00251B99"/>
    <w:rsid w:val="00252F22"/>
    <w:rsid w:val="002532C5"/>
    <w:rsid w:val="0025444F"/>
    <w:rsid w:val="002572CF"/>
    <w:rsid w:val="00260C03"/>
    <w:rsid w:val="00264018"/>
    <w:rsid w:val="0026540E"/>
    <w:rsid w:val="00265DA0"/>
    <w:rsid w:val="002663B6"/>
    <w:rsid w:val="00267F23"/>
    <w:rsid w:val="00270D1F"/>
    <w:rsid w:val="00275123"/>
    <w:rsid w:val="002752C6"/>
    <w:rsid w:val="00282240"/>
    <w:rsid w:val="00282853"/>
    <w:rsid w:val="0028572A"/>
    <w:rsid w:val="00287787"/>
    <w:rsid w:val="00290DBF"/>
    <w:rsid w:val="002948AD"/>
    <w:rsid w:val="00294C92"/>
    <w:rsid w:val="002A01CC"/>
    <w:rsid w:val="002A0E54"/>
    <w:rsid w:val="002A2919"/>
    <w:rsid w:val="002A52DD"/>
    <w:rsid w:val="002A61B1"/>
    <w:rsid w:val="002A663C"/>
    <w:rsid w:val="002B3297"/>
    <w:rsid w:val="002B444B"/>
    <w:rsid w:val="002B5887"/>
    <w:rsid w:val="002B6197"/>
    <w:rsid w:val="002B6A11"/>
    <w:rsid w:val="002C0495"/>
    <w:rsid w:val="002C0692"/>
    <w:rsid w:val="002C0E27"/>
    <w:rsid w:val="002C3040"/>
    <w:rsid w:val="002C4D2B"/>
    <w:rsid w:val="002D022D"/>
    <w:rsid w:val="002D09B1"/>
    <w:rsid w:val="002D0A78"/>
    <w:rsid w:val="002D0CA6"/>
    <w:rsid w:val="002D1919"/>
    <w:rsid w:val="002D2382"/>
    <w:rsid w:val="002D24BB"/>
    <w:rsid w:val="002D3457"/>
    <w:rsid w:val="002E42C3"/>
    <w:rsid w:val="002E7036"/>
    <w:rsid w:val="002F0126"/>
    <w:rsid w:val="002F1B03"/>
    <w:rsid w:val="002F2AF7"/>
    <w:rsid w:val="002F5443"/>
    <w:rsid w:val="002F65E6"/>
    <w:rsid w:val="002F7E1C"/>
    <w:rsid w:val="00300DB2"/>
    <w:rsid w:val="00300FB1"/>
    <w:rsid w:val="00301454"/>
    <w:rsid w:val="00301A75"/>
    <w:rsid w:val="00302F70"/>
    <w:rsid w:val="0030336F"/>
    <w:rsid w:val="0030375E"/>
    <w:rsid w:val="0030529F"/>
    <w:rsid w:val="003109D1"/>
    <w:rsid w:val="00312A30"/>
    <w:rsid w:val="00313737"/>
    <w:rsid w:val="00315791"/>
    <w:rsid w:val="00316274"/>
    <w:rsid w:val="00320F72"/>
    <w:rsid w:val="00323BB3"/>
    <w:rsid w:val="0032463E"/>
    <w:rsid w:val="00326224"/>
    <w:rsid w:val="00326CD2"/>
    <w:rsid w:val="0033402B"/>
    <w:rsid w:val="00337EE4"/>
    <w:rsid w:val="003405CD"/>
    <w:rsid w:val="00340FFD"/>
    <w:rsid w:val="00343A44"/>
    <w:rsid w:val="003506B1"/>
    <w:rsid w:val="003525E1"/>
    <w:rsid w:val="00355D73"/>
    <w:rsid w:val="00356AC7"/>
    <w:rsid w:val="00357B0E"/>
    <w:rsid w:val="003609A1"/>
    <w:rsid w:val="003609FA"/>
    <w:rsid w:val="00360DC5"/>
    <w:rsid w:val="0036134D"/>
    <w:rsid w:val="00361F26"/>
    <w:rsid w:val="0036393C"/>
    <w:rsid w:val="00365FE8"/>
    <w:rsid w:val="0036655C"/>
    <w:rsid w:val="003710C8"/>
    <w:rsid w:val="00372716"/>
    <w:rsid w:val="003750BE"/>
    <w:rsid w:val="003762AD"/>
    <w:rsid w:val="0037630D"/>
    <w:rsid w:val="00377622"/>
    <w:rsid w:val="00377B39"/>
    <w:rsid w:val="00383CDE"/>
    <w:rsid w:val="00384A4B"/>
    <w:rsid w:val="00387B9D"/>
    <w:rsid w:val="00390C29"/>
    <w:rsid w:val="0039144A"/>
    <w:rsid w:val="0039278C"/>
    <w:rsid w:val="0039364F"/>
    <w:rsid w:val="00394556"/>
    <w:rsid w:val="00394A1A"/>
    <w:rsid w:val="00396686"/>
    <w:rsid w:val="0039778E"/>
    <w:rsid w:val="003A109B"/>
    <w:rsid w:val="003A5189"/>
    <w:rsid w:val="003B1264"/>
    <w:rsid w:val="003B4941"/>
    <w:rsid w:val="003C05D1"/>
    <w:rsid w:val="003C072D"/>
    <w:rsid w:val="003C10B9"/>
    <w:rsid w:val="003C155F"/>
    <w:rsid w:val="003C15BE"/>
    <w:rsid w:val="003C31DB"/>
    <w:rsid w:val="003C5714"/>
    <w:rsid w:val="003C6697"/>
    <w:rsid w:val="003C6B9F"/>
    <w:rsid w:val="003C6D2A"/>
    <w:rsid w:val="003C6E2A"/>
    <w:rsid w:val="003C77AF"/>
    <w:rsid w:val="003D0299"/>
    <w:rsid w:val="003D03B6"/>
    <w:rsid w:val="003D18E3"/>
    <w:rsid w:val="003D3480"/>
    <w:rsid w:val="003D5BE3"/>
    <w:rsid w:val="003D6941"/>
    <w:rsid w:val="003D6B91"/>
    <w:rsid w:val="003E16D3"/>
    <w:rsid w:val="003E2325"/>
    <w:rsid w:val="003E3097"/>
    <w:rsid w:val="003E6A09"/>
    <w:rsid w:val="003E6D80"/>
    <w:rsid w:val="003E6F5D"/>
    <w:rsid w:val="003F05FA"/>
    <w:rsid w:val="003F244A"/>
    <w:rsid w:val="003F30B8"/>
    <w:rsid w:val="003F4C45"/>
    <w:rsid w:val="003F5F7B"/>
    <w:rsid w:val="003F7D64"/>
    <w:rsid w:val="004016D4"/>
    <w:rsid w:val="00405144"/>
    <w:rsid w:val="004056CB"/>
    <w:rsid w:val="00407ED2"/>
    <w:rsid w:val="00413FFC"/>
    <w:rsid w:val="00414300"/>
    <w:rsid w:val="00417D1A"/>
    <w:rsid w:val="0042112A"/>
    <w:rsid w:val="004230BD"/>
    <w:rsid w:val="00425C67"/>
    <w:rsid w:val="00427E7A"/>
    <w:rsid w:val="004328A4"/>
    <w:rsid w:val="004349A1"/>
    <w:rsid w:val="00436307"/>
    <w:rsid w:val="00436C49"/>
    <w:rsid w:val="004410EE"/>
    <w:rsid w:val="00442A37"/>
    <w:rsid w:val="00442FB5"/>
    <w:rsid w:val="00445366"/>
    <w:rsid w:val="00447F5B"/>
    <w:rsid w:val="00452BC4"/>
    <w:rsid w:val="00457F51"/>
    <w:rsid w:val="004602F5"/>
    <w:rsid w:val="00461DB0"/>
    <w:rsid w:val="00463926"/>
    <w:rsid w:val="004646E0"/>
    <w:rsid w:val="00464A47"/>
    <w:rsid w:val="00464C9A"/>
    <w:rsid w:val="00466692"/>
    <w:rsid w:val="00472764"/>
    <w:rsid w:val="00474F3D"/>
    <w:rsid w:val="00477E3A"/>
    <w:rsid w:val="00482C37"/>
    <w:rsid w:val="00483E5F"/>
    <w:rsid w:val="00484A08"/>
    <w:rsid w:val="004850E4"/>
    <w:rsid w:val="0048571A"/>
    <w:rsid w:val="00485FF9"/>
    <w:rsid w:val="0048601D"/>
    <w:rsid w:val="004907F0"/>
    <w:rsid w:val="00490815"/>
    <w:rsid w:val="00490AF8"/>
    <w:rsid w:val="00490E34"/>
    <w:rsid w:val="00491309"/>
    <w:rsid w:val="00491331"/>
    <w:rsid w:val="0049140B"/>
    <w:rsid w:val="0049140C"/>
    <w:rsid w:val="00491E02"/>
    <w:rsid w:val="004923A5"/>
    <w:rsid w:val="00493A27"/>
    <w:rsid w:val="00496BFB"/>
    <w:rsid w:val="00497C85"/>
    <w:rsid w:val="004A15C7"/>
    <w:rsid w:val="004A5012"/>
    <w:rsid w:val="004A5527"/>
    <w:rsid w:val="004B013B"/>
    <w:rsid w:val="004B112B"/>
    <w:rsid w:val="004B4E60"/>
    <w:rsid w:val="004B5021"/>
    <w:rsid w:val="004B5DE5"/>
    <w:rsid w:val="004B6632"/>
    <w:rsid w:val="004B7465"/>
    <w:rsid w:val="004C01E4"/>
    <w:rsid w:val="004C086C"/>
    <w:rsid w:val="004C1F56"/>
    <w:rsid w:val="004C229F"/>
    <w:rsid w:val="004C27BC"/>
    <w:rsid w:val="004C2853"/>
    <w:rsid w:val="004C2E5B"/>
    <w:rsid w:val="004C3F5D"/>
    <w:rsid w:val="004C50A7"/>
    <w:rsid w:val="004C7E28"/>
    <w:rsid w:val="004D123F"/>
    <w:rsid w:val="004D15F3"/>
    <w:rsid w:val="004D5311"/>
    <w:rsid w:val="004D5DCC"/>
    <w:rsid w:val="004D6277"/>
    <w:rsid w:val="004D7E3B"/>
    <w:rsid w:val="004E20A6"/>
    <w:rsid w:val="004E246D"/>
    <w:rsid w:val="004E3CC5"/>
    <w:rsid w:val="004E7258"/>
    <w:rsid w:val="004F10AF"/>
    <w:rsid w:val="004F11A4"/>
    <w:rsid w:val="004F2389"/>
    <w:rsid w:val="004F2857"/>
    <w:rsid w:val="004F304D"/>
    <w:rsid w:val="004F61BE"/>
    <w:rsid w:val="004F66B1"/>
    <w:rsid w:val="00511C07"/>
    <w:rsid w:val="00516501"/>
    <w:rsid w:val="005173A6"/>
    <w:rsid w:val="00520ABF"/>
    <w:rsid w:val="00520BAA"/>
    <w:rsid w:val="00525208"/>
    <w:rsid w:val="005254C4"/>
    <w:rsid w:val="005257A5"/>
    <w:rsid w:val="005264C0"/>
    <w:rsid w:val="00526A8A"/>
    <w:rsid w:val="00531DF2"/>
    <w:rsid w:val="00534E74"/>
    <w:rsid w:val="00537EAA"/>
    <w:rsid w:val="00542F3F"/>
    <w:rsid w:val="00543E18"/>
    <w:rsid w:val="005442EE"/>
    <w:rsid w:val="00547353"/>
    <w:rsid w:val="005474E7"/>
    <w:rsid w:val="005512A3"/>
    <w:rsid w:val="00551443"/>
    <w:rsid w:val="005566BC"/>
    <w:rsid w:val="005578CE"/>
    <w:rsid w:val="00557F62"/>
    <w:rsid w:val="00562781"/>
    <w:rsid w:val="00563E83"/>
    <w:rsid w:val="00564DD6"/>
    <w:rsid w:val="005704B8"/>
    <w:rsid w:val="0057271C"/>
    <w:rsid w:val="00572845"/>
    <w:rsid w:val="005767A2"/>
    <w:rsid w:val="00580CFB"/>
    <w:rsid w:val="00582F83"/>
    <w:rsid w:val="005845D8"/>
    <w:rsid w:val="00586258"/>
    <w:rsid w:val="00586542"/>
    <w:rsid w:val="00591930"/>
    <w:rsid w:val="00591DBF"/>
    <w:rsid w:val="00592772"/>
    <w:rsid w:val="0059574A"/>
    <w:rsid w:val="00595D71"/>
    <w:rsid w:val="005A1B9B"/>
    <w:rsid w:val="005A1EB9"/>
    <w:rsid w:val="005A6751"/>
    <w:rsid w:val="005A6B0B"/>
    <w:rsid w:val="005B0895"/>
    <w:rsid w:val="005B092E"/>
    <w:rsid w:val="005B0C3A"/>
    <w:rsid w:val="005B0C7C"/>
    <w:rsid w:val="005B152C"/>
    <w:rsid w:val="005B1EE0"/>
    <w:rsid w:val="005B2927"/>
    <w:rsid w:val="005B2B24"/>
    <w:rsid w:val="005B4425"/>
    <w:rsid w:val="005B4B94"/>
    <w:rsid w:val="005B5EF1"/>
    <w:rsid w:val="005B6D85"/>
    <w:rsid w:val="005C2961"/>
    <w:rsid w:val="005C3EE8"/>
    <w:rsid w:val="005C6EE0"/>
    <w:rsid w:val="005D0E18"/>
    <w:rsid w:val="005D2081"/>
    <w:rsid w:val="005D34F9"/>
    <w:rsid w:val="005D4190"/>
    <w:rsid w:val="005D67A3"/>
    <w:rsid w:val="005E16DE"/>
    <w:rsid w:val="005E2988"/>
    <w:rsid w:val="005E2A43"/>
    <w:rsid w:val="005E3085"/>
    <w:rsid w:val="005E5A95"/>
    <w:rsid w:val="005F0E95"/>
    <w:rsid w:val="005F29B0"/>
    <w:rsid w:val="005F51E1"/>
    <w:rsid w:val="005F5D21"/>
    <w:rsid w:val="005F6504"/>
    <w:rsid w:val="006003D2"/>
    <w:rsid w:val="0060162C"/>
    <w:rsid w:val="0060369F"/>
    <w:rsid w:val="006062C9"/>
    <w:rsid w:val="00607FE5"/>
    <w:rsid w:val="006107EA"/>
    <w:rsid w:val="00611C80"/>
    <w:rsid w:val="00620692"/>
    <w:rsid w:val="00624054"/>
    <w:rsid w:val="006242CA"/>
    <w:rsid w:val="00627507"/>
    <w:rsid w:val="00627CE2"/>
    <w:rsid w:val="006320BA"/>
    <w:rsid w:val="00633717"/>
    <w:rsid w:val="006344E1"/>
    <w:rsid w:val="0063459A"/>
    <w:rsid w:val="0063468F"/>
    <w:rsid w:val="00634E7F"/>
    <w:rsid w:val="00640349"/>
    <w:rsid w:val="006432F2"/>
    <w:rsid w:val="0064446B"/>
    <w:rsid w:val="00646AB2"/>
    <w:rsid w:val="00647C49"/>
    <w:rsid w:val="00651239"/>
    <w:rsid w:val="00651FFA"/>
    <w:rsid w:val="0065434B"/>
    <w:rsid w:val="006545C4"/>
    <w:rsid w:val="00655928"/>
    <w:rsid w:val="00655BF3"/>
    <w:rsid w:val="00661971"/>
    <w:rsid w:val="00661CE8"/>
    <w:rsid w:val="006623D9"/>
    <w:rsid w:val="00663B46"/>
    <w:rsid w:val="0066550C"/>
    <w:rsid w:val="006658F5"/>
    <w:rsid w:val="00666500"/>
    <w:rsid w:val="0067078A"/>
    <w:rsid w:val="006716F2"/>
    <w:rsid w:val="0067600E"/>
    <w:rsid w:val="00676527"/>
    <w:rsid w:val="00676547"/>
    <w:rsid w:val="0067788A"/>
    <w:rsid w:val="00680830"/>
    <w:rsid w:val="00682BF2"/>
    <w:rsid w:val="00682ED1"/>
    <w:rsid w:val="00682FAF"/>
    <w:rsid w:val="006844E7"/>
    <w:rsid w:val="006859CE"/>
    <w:rsid w:val="00687B94"/>
    <w:rsid w:val="00691270"/>
    <w:rsid w:val="006913D7"/>
    <w:rsid w:val="00692A29"/>
    <w:rsid w:val="006941FB"/>
    <w:rsid w:val="00694BA8"/>
    <w:rsid w:val="0069508A"/>
    <w:rsid w:val="0069521F"/>
    <w:rsid w:val="00695AE9"/>
    <w:rsid w:val="00696E6D"/>
    <w:rsid w:val="006A037C"/>
    <w:rsid w:val="006A3162"/>
    <w:rsid w:val="006A36F4"/>
    <w:rsid w:val="006A406F"/>
    <w:rsid w:val="006A59DE"/>
    <w:rsid w:val="006A5D3A"/>
    <w:rsid w:val="006A7AB4"/>
    <w:rsid w:val="006B01D4"/>
    <w:rsid w:val="006B08B1"/>
    <w:rsid w:val="006B0C60"/>
    <w:rsid w:val="006B21A3"/>
    <w:rsid w:val="006B2DA1"/>
    <w:rsid w:val="006B2DF1"/>
    <w:rsid w:val="006B34B7"/>
    <w:rsid w:val="006B622C"/>
    <w:rsid w:val="006C02BD"/>
    <w:rsid w:val="006C1F9B"/>
    <w:rsid w:val="006C23D4"/>
    <w:rsid w:val="006C3BFB"/>
    <w:rsid w:val="006C5364"/>
    <w:rsid w:val="006C6C8F"/>
    <w:rsid w:val="006C7BB0"/>
    <w:rsid w:val="006D3237"/>
    <w:rsid w:val="006D4043"/>
    <w:rsid w:val="006E1C04"/>
    <w:rsid w:val="006E1E47"/>
    <w:rsid w:val="006E2B8B"/>
    <w:rsid w:val="006E2E37"/>
    <w:rsid w:val="006E3CF1"/>
    <w:rsid w:val="006E3FBE"/>
    <w:rsid w:val="006E4B3F"/>
    <w:rsid w:val="006E5A32"/>
    <w:rsid w:val="006E6876"/>
    <w:rsid w:val="006E7E80"/>
    <w:rsid w:val="006F017B"/>
    <w:rsid w:val="006F05B0"/>
    <w:rsid w:val="006F1DF9"/>
    <w:rsid w:val="006F24DB"/>
    <w:rsid w:val="006F48CA"/>
    <w:rsid w:val="006F64DD"/>
    <w:rsid w:val="00704B6B"/>
    <w:rsid w:val="00713055"/>
    <w:rsid w:val="00715127"/>
    <w:rsid w:val="00715E8E"/>
    <w:rsid w:val="00717CC1"/>
    <w:rsid w:val="00720E92"/>
    <w:rsid w:val="00723580"/>
    <w:rsid w:val="00723755"/>
    <w:rsid w:val="00723DEA"/>
    <w:rsid w:val="00725D6A"/>
    <w:rsid w:val="00725E72"/>
    <w:rsid w:val="00727CA8"/>
    <w:rsid w:val="007304C8"/>
    <w:rsid w:val="00731305"/>
    <w:rsid w:val="0073136C"/>
    <w:rsid w:val="007316A6"/>
    <w:rsid w:val="00731BC3"/>
    <w:rsid w:val="00731F0F"/>
    <w:rsid w:val="00732FD0"/>
    <w:rsid w:val="00733250"/>
    <w:rsid w:val="00733F38"/>
    <w:rsid w:val="00734770"/>
    <w:rsid w:val="0073737C"/>
    <w:rsid w:val="00741404"/>
    <w:rsid w:val="00743800"/>
    <w:rsid w:val="00743C47"/>
    <w:rsid w:val="00743C94"/>
    <w:rsid w:val="0074412E"/>
    <w:rsid w:val="007449E5"/>
    <w:rsid w:val="00746C5A"/>
    <w:rsid w:val="0074764B"/>
    <w:rsid w:val="00747FF0"/>
    <w:rsid w:val="007501DD"/>
    <w:rsid w:val="00757DF6"/>
    <w:rsid w:val="00761776"/>
    <w:rsid w:val="007618C4"/>
    <w:rsid w:val="00764D4E"/>
    <w:rsid w:val="00765A1F"/>
    <w:rsid w:val="00772F01"/>
    <w:rsid w:val="007731AF"/>
    <w:rsid w:val="00775B6D"/>
    <w:rsid w:val="00775EBC"/>
    <w:rsid w:val="007767BC"/>
    <w:rsid w:val="00776B4E"/>
    <w:rsid w:val="00776D68"/>
    <w:rsid w:val="0078023F"/>
    <w:rsid w:val="00783B33"/>
    <w:rsid w:val="007850EE"/>
    <w:rsid w:val="00785B95"/>
    <w:rsid w:val="00785C22"/>
    <w:rsid w:val="00790E96"/>
    <w:rsid w:val="00793366"/>
    <w:rsid w:val="00794CD9"/>
    <w:rsid w:val="007A716F"/>
    <w:rsid w:val="007B10C0"/>
    <w:rsid w:val="007B2054"/>
    <w:rsid w:val="007B26AE"/>
    <w:rsid w:val="007B270A"/>
    <w:rsid w:val="007B304B"/>
    <w:rsid w:val="007B795A"/>
    <w:rsid w:val="007C0009"/>
    <w:rsid w:val="007C0695"/>
    <w:rsid w:val="007C1576"/>
    <w:rsid w:val="007C3AE3"/>
    <w:rsid w:val="007C419A"/>
    <w:rsid w:val="007C46DA"/>
    <w:rsid w:val="007C4CC8"/>
    <w:rsid w:val="007C5426"/>
    <w:rsid w:val="007C5798"/>
    <w:rsid w:val="007C58A1"/>
    <w:rsid w:val="007D0216"/>
    <w:rsid w:val="007D33B0"/>
    <w:rsid w:val="007D4832"/>
    <w:rsid w:val="007D580C"/>
    <w:rsid w:val="007D5DC5"/>
    <w:rsid w:val="007D5DD5"/>
    <w:rsid w:val="007E15BA"/>
    <w:rsid w:val="007E21B2"/>
    <w:rsid w:val="007E2C4E"/>
    <w:rsid w:val="007E4B79"/>
    <w:rsid w:val="007E59E1"/>
    <w:rsid w:val="007E7508"/>
    <w:rsid w:val="007F1905"/>
    <w:rsid w:val="00801300"/>
    <w:rsid w:val="00802C64"/>
    <w:rsid w:val="0080446B"/>
    <w:rsid w:val="00805E52"/>
    <w:rsid w:val="008061D0"/>
    <w:rsid w:val="008070A7"/>
    <w:rsid w:val="00810B38"/>
    <w:rsid w:val="008160B0"/>
    <w:rsid w:val="008204C7"/>
    <w:rsid w:val="00820992"/>
    <w:rsid w:val="00823602"/>
    <w:rsid w:val="008255F5"/>
    <w:rsid w:val="00825942"/>
    <w:rsid w:val="00827344"/>
    <w:rsid w:val="0083014E"/>
    <w:rsid w:val="00831BE3"/>
    <w:rsid w:val="0083214A"/>
    <w:rsid w:val="008329D5"/>
    <w:rsid w:val="00833E08"/>
    <w:rsid w:val="00834220"/>
    <w:rsid w:val="008408DC"/>
    <w:rsid w:val="008409AD"/>
    <w:rsid w:val="00841BAF"/>
    <w:rsid w:val="00845723"/>
    <w:rsid w:val="00846870"/>
    <w:rsid w:val="008517B7"/>
    <w:rsid w:val="00851A6F"/>
    <w:rsid w:val="00851EF9"/>
    <w:rsid w:val="008545ED"/>
    <w:rsid w:val="00854A63"/>
    <w:rsid w:val="008577A2"/>
    <w:rsid w:val="008577FD"/>
    <w:rsid w:val="00857CD3"/>
    <w:rsid w:val="00860B03"/>
    <w:rsid w:val="00860BD2"/>
    <w:rsid w:val="0086497A"/>
    <w:rsid w:val="00865DC2"/>
    <w:rsid w:val="00867700"/>
    <w:rsid w:val="00867DFE"/>
    <w:rsid w:val="008713A1"/>
    <w:rsid w:val="008724A1"/>
    <w:rsid w:val="008754AB"/>
    <w:rsid w:val="008757D6"/>
    <w:rsid w:val="00876557"/>
    <w:rsid w:val="008771F1"/>
    <w:rsid w:val="0088060C"/>
    <w:rsid w:val="0088443B"/>
    <w:rsid w:val="0088490E"/>
    <w:rsid w:val="00890E36"/>
    <w:rsid w:val="00893576"/>
    <w:rsid w:val="00893E73"/>
    <w:rsid w:val="008A007C"/>
    <w:rsid w:val="008A0E58"/>
    <w:rsid w:val="008A2740"/>
    <w:rsid w:val="008A2DDF"/>
    <w:rsid w:val="008A43C4"/>
    <w:rsid w:val="008A7758"/>
    <w:rsid w:val="008A794E"/>
    <w:rsid w:val="008B02DC"/>
    <w:rsid w:val="008B57CE"/>
    <w:rsid w:val="008B659F"/>
    <w:rsid w:val="008B79C2"/>
    <w:rsid w:val="008C26DE"/>
    <w:rsid w:val="008C723A"/>
    <w:rsid w:val="008C768C"/>
    <w:rsid w:val="008C7ADF"/>
    <w:rsid w:val="008D106F"/>
    <w:rsid w:val="008D2225"/>
    <w:rsid w:val="008D3839"/>
    <w:rsid w:val="008D4752"/>
    <w:rsid w:val="008D5520"/>
    <w:rsid w:val="008D5D49"/>
    <w:rsid w:val="008D6B3D"/>
    <w:rsid w:val="008E0375"/>
    <w:rsid w:val="008E1BA5"/>
    <w:rsid w:val="008E21FC"/>
    <w:rsid w:val="008E271C"/>
    <w:rsid w:val="008E2CCC"/>
    <w:rsid w:val="008E418E"/>
    <w:rsid w:val="008E5101"/>
    <w:rsid w:val="008E5BC6"/>
    <w:rsid w:val="008E6A25"/>
    <w:rsid w:val="008F0D21"/>
    <w:rsid w:val="008F0DB7"/>
    <w:rsid w:val="008F3C38"/>
    <w:rsid w:val="008F5193"/>
    <w:rsid w:val="008F57DB"/>
    <w:rsid w:val="008F64E1"/>
    <w:rsid w:val="0090026E"/>
    <w:rsid w:val="009013A7"/>
    <w:rsid w:val="009017B4"/>
    <w:rsid w:val="009017FB"/>
    <w:rsid w:val="009017FC"/>
    <w:rsid w:val="00903B43"/>
    <w:rsid w:val="0090506B"/>
    <w:rsid w:val="009050C9"/>
    <w:rsid w:val="00905D45"/>
    <w:rsid w:val="009066FC"/>
    <w:rsid w:val="009140A3"/>
    <w:rsid w:val="009144A2"/>
    <w:rsid w:val="0091510C"/>
    <w:rsid w:val="009164E7"/>
    <w:rsid w:val="00917A2A"/>
    <w:rsid w:val="00917B8A"/>
    <w:rsid w:val="009205FF"/>
    <w:rsid w:val="009259AC"/>
    <w:rsid w:val="00926F38"/>
    <w:rsid w:val="00927AF6"/>
    <w:rsid w:val="009316A2"/>
    <w:rsid w:val="0093243E"/>
    <w:rsid w:val="00934301"/>
    <w:rsid w:val="00936CD1"/>
    <w:rsid w:val="00937A3F"/>
    <w:rsid w:val="00940116"/>
    <w:rsid w:val="00940F03"/>
    <w:rsid w:val="00941747"/>
    <w:rsid w:val="00941EFB"/>
    <w:rsid w:val="00942414"/>
    <w:rsid w:val="009427D9"/>
    <w:rsid w:val="00942925"/>
    <w:rsid w:val="00942E6F"/>
    <w:rsid w:val="009441E6"/>
    <w:rsid w:val="00944BEB"/>
    <w:rsid w:val="0094543B"/>
    <w:rsid w:val="009455CB"/>
    <w:rsid w:val="00946486"/>
    <w:rsid w:val="00947466"/>
    <w:rsid w:val="00947AFB"/>
    <w:rsid w:val="00951D7D"/>
    <w:rsid w:val="009605D4"/>
    <w:rsid w:val="009630C7"/>
    <w:rsid w:val="009634F4"/>
    <w:rsid w:val="00964BBD"/>
    <w:rsid w:val="009723A1"/>
    <w:rsid w:val="00972B55"/>
    <w:rsid w:val="00973DCC"/>
    <w:rsid w:val="009743B7"/>
    <w:rsid w:val="00974FA2"/>
    <w:rsid w:val="009805BC"/>
    <w:rsid w:val="0098228B"/>
    <w:rsid w:val="009828DA"/>
    <w:rsid w:val="00983883"/>
    <w:rsid w:val="00984218"/>
    <w:rsid w:val="0098467B"/>
    <w:rsid w:val="00985A0D"/>
    <w:rsid w:val="00985BAB"/>
    <w:rsid w:val="009917DE"/>
    <w:rsid w:val="00997F03"/>
    <w:rsid w:val="009A46DF"/>
    <w:rsid w:val="009A52EF"/>
    <w:rsid w:val="009B125A"/>
    <w:rsid w:val="009B1B5F"/>
    <w:rsid w:val="009B2EC2"/>
    <w:rsid w:val="009B54D4"/>
    <w:rsid w:val="009B6673"/>
    <w:rsid w:val="009B7F63"/>
    <w:rsid w:val="009C191B"/>
    <w:rsid w:val="009C2BD6"/>
    <w:rsid w:val="009D6CC9"/>
    <w:rsid w:val="009E00A3"/>
    <w:rsid w:val="009E02ED"/>
    <w:rsid w:val="009E1F32"/>
    <w:rsid w:val="009E1F75"/>
    <w:rsid w:val="009E2873"/>
    <w:rsid w:val="009E3384"/>
    <w:rsid w:val="009E4477"/>
    <w:rsid w:val="009E5013"/>
    <w:rsid w:val="009E5829"/>
    <w:rsid w:val="009E6547"/>
    <w:rsid w:val="009E776C"/>
    <w:rsid w:val="00A0596E"/>
    <w:rsid w:val="00A06280"/>
    <w:rsid w:val="00A06458"/>
    <w:rsid w:val="00A06594"/>
    <w:rsid w:val="00A10333"/>
    <w:rsid w:val="00A11FA5"/>
    <w:rsid w:val="00A13C15"/>
    <w:rsid w:val="00A13F87"/>
    <w:rsid w:val="00A14368"/>
    <w:rsid w:val="00A15B2A"/>
    <w:rsid w:val="00A1726E"/>
    <w:rsid w:val="00A204CF"/>
    <w:rsid w:val="00A2131C"/>
    <w:rsid w:val="00A22455"/>
    <w:rsid w:val="00A23D49"/>
    <w:rsid w:val="00A25E70"/>
    <w:rsid w:val="00A265A4"/>
    <w:rsid w:val="00A26D1A"/>
    <w:rsid w:val="00A27004"/>
    <w:rsid w:val="00A300EA"/>
    <w:rsid w:val="00A30C29"/>
    <w:rsid w:val="00A31041"/>
    <w:rsid w:val="00A31B90"/>
    <w:rsid w:val="00A34DD6"/>
    <w:rsid w:val="00A35463"/>
    <w:rsid w:val="00A35831"/>
    <w:rsid w:val="00A36819"/>
    <w:rsid w:val="00A36989"/>
    <w:rsid w:val="00A410B0"/>
    <w:rsid w:val="00A43628"/>
    <w:rsid w:val="00A4762D"/>
    <w:rsid w:val="00A53B78"/>
    <w:rsid w:val="00A54192"/>
    <w:rsid w:val="00A54779"/>
    <w:rsid w:val="00A555C1"/>
    <w:rsid w:val="00A55686"/>
    <w:rsid w:val="00A6035E"/>
    <w:rsid w:val="00A6144C"/>
    <w:rsid w:val="00A62C15"/>
    <w:rsid w:val="00A66617"/>
    <w:rsid w:val="00A669F3"/>
    <w:rsid w:val="00A671F8"/>
    <w:rsid w:val="00A673A4"/>
    <w:rsid w:val="00A678C1"/>
    <w:rsid w:val="00A724AE"/>
    <w:rsid w:val="00A72D5D"/>
    <w:rsid w:val="00A73329"/>
    <w:rsid w:val="00A73491"/>
    <w:rsid w:val="00A75ACA"/>
    <w:rsid w:val="00A77E76"/>
    <w:rsid w:val="00A82359"/>
    <w:rsid w:val="00A83445"/>
    <w:rsid w:val="00A8389F"/>
    <w:rsid w:val="00A84C8D"/>
    <w:rsid w:val="00A84DC7"/>
    <w:rsid w:val="00A865D2"/>
    <w:rsid w:val="00A93164"/>
    <w:rsid w:val="00A937B3"/>
    <w:rsid w:val="00A94C20"/>
    <w:rsid w:val="00A96ED6"/>
    <w:rsid w:val="00A97C3A"/>
    <w:rsid w:val="00AA0F2A"/>
    <w:rsid w:val="00AA227F"/>
    <w:rsid w:val="00AA3BC7"/>
    <w:rsid w:val="00AA3BCB"/>
    <w:rsid w:val="00AA5D9C"/>
    <w:rsid w:val="00AA754A"/>
    <w:rsid w:val="00AB099E"/>
    <w:rsid w:val="00AB4328"/>
    <w:rsid w:val="00AB58F5"/>
    <w:rsid w:val="00AB5FA0"/>
    <w:rsid w:val="00AC075C"/>
    <w:rsid w:val="00AC3343"/>
    <w:rsid w:val="00AC406F"/>
    <w:rsid w:val="00AC409A"/>
    <w:rsid w:val="00AC45E3"/>
    <w:rsid w:val="00AC626F"/>
    <w:rsid w:val="00AC766D"/>
    <w:rsid w:val="00AD0EE7"/>
    <w:rsid w:val="00AD73AB"/>
    <w:rsid w:val="00AE06AE"/>
    <w:rsid w:val="00AE08ED"/>
    <w:rsid w:val="00AE0A2E"/>
    <w:rsid w:val="00AE1E1B"/>
    <w:rsid w:val="00AE24BD"/>
    <w:rsid w:val="00AE354C"/>
    <w:rsid w:val="00AE698D"/>
    <w:rsid w:val="00AF4B07"/>
    <w:rsid w:val="00AF6186"/>
    <w:rsid w:val="00AF7A3A"/>
    <w:rsid w:val="00B022C6"/>
    <w:rsid w:val="00B15B5F"/>
    <w:rsid w:val="00B160DB"/>
    <w:rsid w:val="00B16FCB"/>
    <w:rsid w:val="00B20836"/>
    <w:rsid w:val="00B235BB"/>
    <w:rsid w:val="00B272CA"/>
    <w:rsid w:val="00B27A44"/>
    <w:rsid w:val="00B30BBF"/>
    <w:rsid w:val="00B3161A"/>
    <w:rsid w:val="00B33171"/>
    <w:rsid w:val="00B33A5C"/>
    <w:rsid w:val="00B33C03"/>
    <w:rsid w:val="00B33F65"/>
    <w:rsid w:val="00B35E60"/>
    <w:rsid w:val="00B44E56"/>
    <w:rsid w:val="00B46543"/>
    <w:rsid w:val="00B46B23"/>
    <w:rsid w:val="00B47D33"/>
    <w:rsid w:val="00B52111"/>
    <w:rsid w:val="00B52BE0"/>
    <w:rsid w:val="00B54133"/>
    <w:rsid w:val="00B57046"/>
    <w:rsid w:val="00B61BEA"/>
    <w:rsid w:val="00B64AEC"/>
    <w:rsid w:val="00B701ED"/>
    <w:rsid w:val="00B706F1"/>
    <w:rsid w:val="00B729A4"/>
    <w:rsid w:val="00B74DFC"/>
    <w:rsid w:val="00B8086C"/>
    <w:rsid w:val="00B82214"/>
    <w:rsid w:val="00B84118"/>
    <w:rsid w:val="00B85100"/>
    <w:rsid w:val="00B861B4"/>
    <w:rsid w:val="00B86DFE"/>
    <w:rsid w:val="00B8746F"/>
    <w:rsid w:val="00B90990"/>
    <w:rsid w:val="00B922FF"/>
    <w:rsid w:val="00B9281E"/>
    <w:rsid w:val="00B93925"/>
    <w:rsid w:val="00B94835"/>
    <w:rsid w:val="00B95187"/>
    <w:rsid w:val="00B95F80"/>
    <w:rsid w:val="00B976AF"/>
    <w:rsid w:val="00BA0A5D"/>
    <w:rsid w:val="00BA0EA8"/>
    <w:rsid w:val="00BA2375"/>
    <w:rsid w:val="00BA2D55"/>
    <w:rsid w:val="00BA2F49"/>
    <w:rsid w:val="00BA71B1"/>
    <w:rsid w:val="00BA71B7"/>
    <w:rsid w:val="00BB0637"/>
    <w:rsid w:val="00BB0F4A"/>
    <w:rsid w:val="00BB2682"/>
    <w:rsid w:val="00BB345F"/>
    <w:rsid w:val="00BB46C5"/>
    <w:rsid w:val="00BB5883"/>
    <w:rsid w:val="00BB68EA"/>
    <w:rsid w:val="00BB7468"/>
    <w:rsid w:val="00BC1C27"/>
    <w:rsid w:val="00BC449C"/>
    <w:rsid w:val="00BC5341"/>
    <w:rsid w:val="00BC5BA4"/>
    <w:rsid w:val="00BC6BBF"/>
    <w:rsid w:val="00BC7BC0"/>
    <w:rsid w:val="00BD1572"/>
    <w:rsid w:val="00BD3270"/>
    <w:rsid w:val="00BD6422"/>
    <w:rsid w:val="00BE14E3"/>
    <w:rsid w:val="00BE3774"/>
    <w:rsid w:val="00BE41E5"/>
    <w:rsid w:val="00BF080C"/>
    <w:rsid w:val="00BF0BBB"/>
    <w:rsid w:val="00BF24D6"/>
    <w:rsid w:val="00BF4109"/>
    <w:rsid w:val="00BF4CC3"/>
    <w:rsid w:val="00BF5CD8"/>
    <w:rsid w:val="00BF6416"/>
    <w:rsid w:val="00C00095"/>
    <w:rsid w:val="00C03E27"/>
    <w:rsid w:val="00C04704"/>
    <w:rsid w:val="00C054C7"/>
    <w:rsid w:val="00C057B5"/>
    <w:rsid w:val="00C10B47"/>
    <w:rsid w:val="00C11FD8"/>
    <w:rsid w:val="00C12030"/>
    <w:rsid w:val="00C12D14"/>
    <w:rsid w:val="00C15265"/>
    <w:rsid w:val="00C17AF8"/>
    <w:rsid w:val="00C203D3"/>
    <w:rsid w:val="00C206A8"/>
    <w:rsid w:val="00C20E5C"/>
    <w:rsid w:val="00C22687"/>
    <w:rsid w:val="00C262EF"/>
    <w:rsid w:val="00C26BA7"/>
    <w:rsid w:val="00C304D6"/>
    <w:rsid w:val="00C32E4D"/>
    <w:rsid w:val="00C333A0"/>
    <w:rsid w:val="00C33559"/>
    <w:rsid w:val="00C33685"/>
    <w:rsid w:val="00C36A81"/>
    <w:rsid w:val="00C41974"/>
    <w:rsid w:val="00C44024"/>
    <w:rsid w:val="00C447AD"/>
    <w:rsid w:val="00C46B01"/>
    <w:rsid w:val="00C53F4A"/>
    <w:rsid w:val="00C54125"/>
    <w:rsid w:val="00C55B54"/>
    <w:rsid w:val="00C60129"/>
    <w:rsid w:val="00C60585"/>
    <w:rsid w:val="00C6098E"/>
    <w:rsid w:val="00C6152C"/>
    <w:rsid w:val="00C621C2"/>
    <w:rsid w:val="00C71586"/>
    <w:rsid w:val="00C74810"/>
    <w:rsid w:val="00C76244"/>
    <w:rsid w:val="00C80BD1"/>
    <w:rsid w:val="00C81508"/>
    <w:rsid w:val="00C82C79"/>
    <w:rsid w:val="00C841C3"/>
    <w:rsid w:val="00C85E71"/>
    <w:rsid w:val="00C90D68"/>
    <w:rsid w:val="00C93265"/>
    <w:rsid w:val="00C939FE"/>
    <w:rsid w:val="00C94798"/>
    <w:rsid w:val="00CA4BDA"/>
    <w:rsid w:val="00CB1F66"/>
    <w:rsid w:val="00CB2951"/>
    <w:rsid w:val="00CB5F85"/>
    <w:rsid w:val="00CB7118"/>
    <w:rsid w:val="00CC0CBA"/>
    <w:rsid w:val="00CC1870"/>
    <w:rsid w:val="00CC1E72"/>
    <w:rsid w:val="00CC5979"/>
    <w:rsid w:val="00CD02B0"/>
    <w:rsid w:val="00CD282B"/>
    <w:rsid w:val="00CD3B6A"/>
    <w:rsid w:val="00CD4C35"/>
    <w:rsid w:val="00CD7369"/>
    <w:rsid w:val="00CE0B0E"/>
    <w:rsid w:val="00CE3831"/>
    <w:rsid w:val="00CE51F5"/>
    <w:rsid w:val="00CE56EB"/>
    <w:rsid w:val="00CE7109"/>
    <w:rsid w:val="00CF02A5"/>
    <w:rsid w:val="00CF20EF"/>
    <w:rsid w:val="00CF22EE"/>
    <w:rsid w:val="00CF379C"/>
    <w:rsid w:val="00CF468E"/>
    <w:rsid w:val="00CF6085"/>
    <w:rsid w:val="00D00ABB"/>
    <w:rsid w:val="00D02EEC"/>
    <w:rsid w:val="00D03551"/>
    <w:rsid w:val="00D05963"/>
    <w:rsid w:val="00D06A63"/>
    <w:rsid w:val="00D0716C"/>
    <w:rsid w:val="00D07E0E"/>
    <w:rsid w:val="00D11478"/>
    <w:rsid w:val="00D11CBF"/>
    <w:rsid w:val="00D1242E"/>
    <w:rsid w:val="00D13D41"/>
    <w:rsid w:val="00D14403"/>
    <w:rsid w:val="00D15ED0"/>
    <w:rsid w:val="00D1780F"/>
    <w:rsid w:val="00D21B3E"/>
    <w:rsid w:val="00D21FED"/>
    <w:rsid w:val="00D22DC3"/>
    <w:rsid w:val="00D235CE"/>
    <w:rsid w:val="00D24251"/>
    <w:rsid w:val="00D24B30"/>
    <w:rsid w:val="00D2654E"/>
    <w:rsid w:val="00D2770C"/>
    <w:rsid w:val="00D30AD2"/>
    <w:rsid w:val="00D333B3"/>
    <w:rsid w:val="00D33C73"/>
    <w:rsid w:val="00D34153"/>
    <w:rsid w:val="00D343E2"/>
    <w:rsid w:val="00D35284"/>
    <w:rsid w:val="00D361A2"/>
    <w:rsid w:val="00D3755D"/>
    <w:rsid w:val="00D40736"/>
    <w:rsid w:val="00D44878"/>
    <w:rsid w:val="00D44C2E"/>
    <w:rsid w:val="00D45414"/>
    <w:rsid w:val="00D4726C"/>
    <w:rsid w:val="00D5032D"/>
    <w:rsid w:val="00D51A67"/>
    <w:rsid w:val="00D532C1"/>
    <w:rsid w:val="00D53939"/>
    <w:rsid w:val="00D53C0F"/>
    <w:rsid w:val="00D540D6"/>
    <w:rsid w:val="00D543F0"/>
    <w:rsid w:val="00D56054"/>
    <w:rsid w:val="00D566BD"/>
    <w:rsid w:val="00D57A4D"/>
    <w:rsid w:val="00D57F62"/>
    <w:rsid w:val="00D600CD"/>
    <w:rsid w:val="00D60AA7"/>
    <w:rsid w:val="00D60D87"/>
    <w:rsid w:val="00D6435F"/>
    <w:rsid w:val="00D70458"/>
    <w:rsid w:val="00D7248C"/>
    <w:rsid w:val="00D737A8"/>
    <w:rsid w:val="00D75218"/>
    <w:rsid w:val="00D75893"/>
    <w:rsid w:val="00D75E28"/>
    <w:rsid w:val="00D76AC4"/>
    <w:rsid w:val="00D77113"/>
    <w:rsid w:val="00D772C2"/>
    <w:rsid w:val="00D77954"/>
    <w:rsid w:val="00D8008E"/>
    <w:rsid w:val="00D801E7"/>
    <w:rsid w:val="00D82C45"/>
    <w:rsid w:val="00D908A8"/>
    <w:rsid w:val="00D93D22"/>
    <w:rsid w:val="00D943F6"/>
    <w:rsid w:val="00D95E61"/>
    <w:rsid w:val="00D95F39"/>
    <w:rsid w:val="00D977B6"/>
    <w:rsid w:val="00D97D5B"/>
    <w:rsid w:val="00DA4A31"/>
    <w:rsid w:val="00DA6E69"/>
    <w:rsid w:val="00DA78D5"/>
    <w:rsid w:val="00DA7B04"/>
    <w:rsid w:val="00DB0DD3"/>
    <w:rsid w:val="00DB314B"/>
    <w:rsid w:val="00DB36C2"/>
    <w:rsid w:val="00DB43AB"/>
    <w:rsid w:val="00DB7196"/>
    <w:rsid w:val="00DC169B"/>
    <w:rsid w:val="00DC2AB9"/>
    <w:rsid w:val="00DC2B2F"/>
    <w:rsid w:val="00DC63F0"/>
    <w:rsid w:val="00DC7590"/>
    <w:rsid w:val="00DD3227"/>
    <w:rsid w:val="00DD4067"/>
    <w:rsid w:val="00DD4E1E"/>
    <w:rsid w:val="00DD5C32"/>
    <w:rsid w:val="00DD6EE5"/>
    <w:rsid w:val="00DD6FA7"/>
    <w:rsid w:val="00DD78C2"/>
    <w:rsid w:val="00DE051B"/>
    <w:rsid w:val="00DE10B4"/>
    <w:rsid w:val="00DE112C"/>
    <w:rsid w:val="00DE361C"/>
    <w:rsid w:val="00DE386C"/>
    <w:rsid w:val="00DE4D35"/>
    <w:rsid w:val="00DF0549"/>
    <w:rsid w:val="00DF098B"/>
    <w:rsid w:val="00DF11C4"/>
    <w:rsid w:val="00DF210C"/>
    <w:rsid w:val="00DF2B77"/>
    <w:rsid w:val="00DF40ED"/>
    <w:rsid w:val="00DF4B6A"/>
    <w:rsid w:val="00E01E41"/>
    <w:rsid w:val="00E01EEB"/>
    <w:rsid w:val="00E029F3"/>
    <w:rsid w:val="00E02C09"/>
    <w:rsid w:val="00E04118"/>
    <w:rsid w:val="00E04D59"/>
    <w:rsid w:val="00E06E17"/>
    <w:rsid w:val="00E07DA1"/>
    <w:rsid w:val="00E10ABA"/>
    <w:rsid w:val="00E123CB"/>
    <w:rsid w:val="00E1557C"/>
    <w:rsid w:val="00E17C9D"/>
    <w:rsid w:val="00E208CE"/>
    <w:rsid w:val="00E20E13"/>
    <w:rsid w:val="00E218C9"/>
    <w:rsid w:val="00E21DBC"/>
    <w:rsid w:val="00E26B57"/>
    <w:rsid w:val="00E275D7"/>
    <w:rsid w:val="00E27DBE"/>
    <w:rsid w:val="00E32AB1"/>
    <w:rsid w:val="00E36717"/>
    <w:rsid w:val="00E36C71"/>
    <w:rsid w:val="00E40404"/>
    <w:rsid w:val="00E413D9"/>
    <w:rsid w:val="00E43FB8"/>
    <w:rsid w:val="00E443F6"/>
    <w:rsid w:val="00E459C6"/>
    <w:rsid w:val="00E47589"/>
    <w:rsid w:val="00E51ED8"/>
    <w:rsid w:val="00E551ED"/>
    <w:rsid w:val="00E559E2"/>
    <w:rsid w:val="00E60358"/>
    <w:rsid w:val="00E61334"/>
    <w:rsid w:val="00E64915"/>
    <w:rsid w:val="00E661D4"/>
    <w:rsid w:val="00E66FB4"/>
    <w:rsid w:val="00E67681"/>
    <w:rsid w:val="00E70091"/>
    <w:rsid w:val="00E7053A"/>
    <w:rsid w:val="00E712D5"/>
    <w:rsid w:val="00E720F5"/>
    <w:rsid w:val="00E76D47"/>
    <w:rsid w:val="00E77547"/>
    <w:rsid w:val="00E81F42"/>
    <w:rsid w:val="00E8424A"/>
    <w:rsid w:val="00E849F7"/>
    <w:rsid w:val="00E86CCC"/>
    <w:rsid w:val="00E90302"/>
    <w:rsid w:val="00E90CBF"/>
    <w:rsid w:val="00E94895"/>
    <w:rsid w:val="00E95462"/>
    <w:rsid w:val="00E958F4"/>
    <w:rsid w:val="00E9597F"/>
    <w:rsid w:val="00E96B6D"/>
    <w:rsid w:val="00E97396"/>
    <w:rsid w:val="00EA049B"/>
    <w:rsid w:val="00EA185E"/>
    <w:rsid w:val="00EA592A"/>
    <w:rsid w:val="00EA6FF9"/>
    <w:rsid w:val="00EB14E4"/>
    <w:rsid w:val="00EB2A5E"/>
    <w:rsid w:val="00EB32A5"/>
    <w:rsid w:val="00EB34ED"/>
    <w:rsid w:val="00EB6939"/>
    <w:rsid w:val="00EB7BE0"/>
    <w:rsid w:val="00EB7C06"/>
    <w:rsid w:val="00EB7DCC"/>
    <w:rsid w:val="00EC10D7"/>
    <w:rsid w:val="00EC111B"/>
    <w:rsid w:val="00EC2C29"/>
    <w:rsid w:val="00EC315E"/>
    <w:rsid w:val="00EC71CB"/>
    <w:rsid w:val="00EC73BD"/>
    <w:rsid w:val="00ED077C"/>
    <w:rsid w:val="00ED0D76"/>
    <w:rsid w:val="00ED1190"/>
    <w:rsid w:val="00ED13FC"/>
    <w:rsid w:val="00ED2445"/>
    <w:rsid w:val="00ED4F06"/>
    <w:rsid w:val="00ED6544"/>
    <w:rsid w:val="00EE0277"/>
    <w:rsid w:val="00EE1DA9"/>
    <w:rsid w:val="00EE33DF"/>
    <w:rsid w:val="00EE3E00"/>
    <w:rsid w:val="00EE5DD2"/>
    <w:rsid w:val="00EF0B2A"/>
    <w:rsid w:val="00EF41F1"/>
    <w:rsid w:val="00EF4F08"/>
    <w:rsid w:val="00EF6D38"/>
    <w:rsid w:val="00F0010E"/>
    <w:rsid w:val="00F00A79"/>
    <w:rsid w:val="00F00E86"/>
    <w:rsid w:val="00F07C1E"/>
    <w:rsid w:val="00F10321"/>
    <w:rsid w:val="00F105DB"/>
    <w:rsid w:val="00F11134"/>
    <w:rsid w:val="00F132BC"/>
    <w:rsid w:val="00F13D80"/>
    <w:rsid w:val="00F16AAA"/>
    <w:rsid w:val="00F20447"/>
    <w:rsid w:val="00F21161"/>
    <w:rsid w:val="00F218EF"/>
    <w:rsid w:val="00F21BC7"/>
    <w:rsid w:val="00F2283D"/>
    <w:rsid w:val="00F266A2"/>
    <w:rsid w:val="00F2747A"/>
    <w:rsid w:val="00F3008B"/>
    <w:rsid w:val="00F32269"/>
    <w:rsid w:val="00F37030"/>
    <w:rsid w:val="00F4116D"/>
    <w:rsid w:val="00F41589"/>
    <w:rsid w:val="00F41714"/>
    <w:rsid w:val="00F422AC"/>
    <w:rsid w:val="00F44B17"/>
    <w:rsid w:val="00F45729"/>
    <w:rsid w:val="00F46C2B"/>
    <w:rsid w:val="00F504CE"/>
    <w:rsid w:val="00F54FD7"/>
    <w:rsid w:val="00F5631B"/>
    <w:rsid w:val="00F563C7"/>
    <w:rsid w:val="00F56A6F"/>
    <w:rsid w:val="00F5709C"/>
    <w:rsid w:val="00F5781F"/>
    <w:rsid w:val="00F61E47"/>
    <w:rsid w:val="00F64EF1"/>
    <w:rsid w:val="00F82586"/>
    <w:rsid w:val="00F82A4A"/>
    <w:rsid w:val="00F8765F"/>
    <w:rsid w:val="00F90767"/>
    <w:rsid w:val="00F94028"/>
    <w:rsid w:val="00F950F6"/>
    <w:rsid w:val="00F95FFB"/>
    <w:rsid w:val="00F97A8A"/>
    <w:rsid w:val="00FA0C12"/>
    <w:rsid w:val="00FA1B0A"/>
    <w:rsid w:val="00FA378D"/>
    <w:rsid w:val="00FA46C4"/>
    <w:rsid w:val="00FA685B"/>
    <w:rsid w:val="00FB05B7"/>
    <w:rsid w:val="00FB0C01"/>
    <w:rsid w:val="00FB29B7"/>
    <w:rsid w:val="00FB389B"/>
    <w:rsid w:val="00FB6539"/>
    <w:rsid w:val="00FC18F2"/>
    <w:rsid w:val="00FC2157"/>
    <w:rsid w:val="00FC39E5"/>
    <w:rsid w:val="00FC3A78"/>
    <w:rsid w:val="00FC5B43"/>
    <w:rsid w:val="00FC5FFE"/>
    <w:rsid w:val="00FC78E4"/>
    <w:rsid w:val="00FD094A"/>
    <w:rsid w:val="00FD1005"/>
    <w:rsid w:val="00FD15CB"/>
    <w:rsid w:val="00FD28B1"/>
    <w:rsid w:val="00FD316F"/>
    <w:rsid w:val="00FD3180"/>
    <w:rsid w:val="00FD5212"/>
    <w:rsid w:val="00FD5349"/>
    <w:rsid w:val="00FD6C75"/>
    <w:rsid w:val="00FD7A56"/>
    <w:rsid w:val="00FE2F27"/>
    <w:rsid w:val="00FE4A75"/>
    <w:rsid w:val="00FE6C26"/>
    <w:rsid w:val="00FE71B3"/>
    <w:rsid w:val="00FE74DC"/>
    <w:rsid w:val="00FE7A81"/>
    <w:rsid w:val="00FF3476"/>
    <w:rsid w:val="00FF42C5"/>
    <w:rsid w:val="00FF4BA1"/>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572CF"/>
    <w:pPr>
      <w:jc w:val="both"/>
    </w:pPr>
    <w:rPr>
      <w:rFonts w:eastAsiaTheme="minorEastAsia"/>
      <w:sz w:val="24"/>
    </w:rPr>
  </w:style>
  <w:style w:type="paragraph" w:styleId="Heading1">
    <w:name w:val="heading 1"/>
    <w:basedOn w:val="Normal"/>
    <w:next w:val="Normal"/>
    <w:link w:val="Heading1Char"/>
    <w:uiPriority w:val="99"/>
    <w:semiHidden/>
    <w:rsid w:val="002572C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572C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572C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572C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572CF"/>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2572C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2572C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2572C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2572C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572CF"/>
    <w:rPr>
      <w:rFonts w:ascii="Tahoma" w:hAnsi="Tahoma" w:cs="Tahoma"/>
      <w:sz w:val="16"/>
      <w:szCs w:val="16"/>
    </w:rPr>
  </w:style>
  <w:style w:type="character" w:customStyle="1" w:styleId="BalloonTextChar">
    <w:name w:val="Balloon Text Char"/>
    <w:basedOn w:val="DefaultParagraphFont"/>
    <w:link w:val="BalloonText"/>
    <w:uiPriority w:val="99"/>
    <w:semiHidden/>
    <w:rsid w:val="002572CF"/>
    <w:rPr>
      <w:rFonts w:ascii="Tahoma" w:eastAsiaTheme="minorEastAsia" w:hAnsi="Tahoma" w:cs="Tahoma"/>
      <w:sz w:val="16"/>
      <w:szCs w:val="16"/>
    </w:rPr>
  </w:style>
  <w:style w:type="character" w:styleId="BookTitle">
    <w:name w:val="Book Title"/>
    <w:uiPriority w:val="99"/>
    <w:semiHidden/>
    <w:qFormat/>
    <w:rsid w:val="002572CF"/>
    <w:rPr>
      <w:i/>
      <w:iCs/>
      <w:smallCaps/>
      <w:spacing w:val="5"/>
    </w:rPr>
  </w:style>
  <w:style w:type="paragraph" w:customStyle="1" w:styleId="ECHRHeader">
    <w:name w:val="ECHR_Header"/>
    <w:aliases w:val="Ju_Header"/>
    <w:basedOn w:val="Header"/>
    <w:uiPriority w:val="4"/>
    <w:qFormat/>
    <w:rsid w:val="002572C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572CF"/>
    <w:pPr>
      <w:jc w:val="left"/>
    </w:pPr>
    <w:rPr>
      <w:sz w:val="8"/>
    </w:rPr>
  </w:style>
  <w:style w:type="character" w:styleId="Strong">
    <w:name w:val="Strong"/>
    <w:uiPriority w:val="99"/>
    <w:semiHidden/>
    <w:qFormat/>
    <w:rsid w:val="002572CF"/>
    <w:rPr>
      <w:b/>
      <w:bCs/>
    </w:rPr>
  </w:style>
  <w:style w:type="paragraph" w:styleId="NoSpacing">
    <w:name w:val="No Spacing"/>
    <w:basedOn w:val="Normal"/>
    <w:link w:val="NoSpacingChar"/>
    <w:semiHidden/>
    <w:qFormat/>
    <w:rsid w:val="002572CF"/>
  </w:style>
  <w:style w:type="character" w:customStyle="1" w:styleId="NoSpacingChar">
    <w:name w:val="No Spacing Char"/>
    <w:basedOn w:val="DefaultParagraphFont"/>
    <w:link w:val="NoSpacing"/>
    <w:semiHidden/>
    <w:rsid w:val="002572CF"/>
    <w:rPr>
      <w:rFonts w:eastAsiaTheme="minorEastAsia"/>
      <w:sz w:val="24"/>
    </w:rPr>
  </w:style>
  <w:style w:type="paragraph" w:customStyle="1" w:styleId="ECHRFooterLine">
    <w:name w:val="ECHR_Footer_Line"/>
    <w:aliases w:val="Footer_Line"/>
    <w:basedOn w:val="Normal"/>
    <w:next w:val="ECHRFooter"/>
    <w:uiPriority w:val="57"/>
    <w:semiHidden/>
    <w:rsid w:val="002572C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2572CF"/>
    <w:pPr>
      <w:numPr>
        <w:numId w:val="14"/>
      </w:numPr>
      <w:jc w:val="left"/>
    </w:pPr>
    <w:rPr>
      <w:b/>
    </w:rPr>
  </w:style>
  <w:style w:type="paragraph" w:customStyle="1" w:styleId="OpiPara">
    <w:name w:val="Opi_Para"/>
    <w:basedOn w:val="ECHRPara"/>
    <w:uiPriority w:val="46"/>
    <w:semiHidden/>
    <w:qFormat/>
    <w:rsid w:val="002572CF"/>
  </w:style>
  <w:style w:type="paragraph" w:customStyle="1" w:styleId="JuParaSub">
    <w:name w:val="Ju_Para_Sub"/>
    <w:basedOn w:val="ECHRPara"/>
    <w:uiPriority w:val="13"/>
    <w:qFormat/>
    <w:rsid w:val="002572CF"/>
    <w:pPr>
      <w:ind w:left="284"/>
    </w:pPr>
  </w:style>
  <w:style w:type="paragraph" w:customStyle="1" w:styleId="ECHRTitleCentre3">
    <w:name w:val="ECHR_Title_Centre_3"/>
    <w:aliases w:val="Ju_H_Article"/>
    <w:basedOn w:val="Normal"/>
    <w:next w:val="ECHRParaQuote"/>
    <w:uiPriority w:val="27"/>
    <w:qFormat/>
    <w:rsid w:val="002572CF"/>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2572C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2572CF"/>
  </w:style>
  <w:style w:type="paragraph" w:customStyle="1" w:styleId="OpiQuot">
    <w:name w:val="Opi_Quot"/>
    <w:basedOn w:val="ECHRParaQuote"/>
    <w:uiPriority w:val="48"/>
    <w:semiHidden/>
    <w:qFormat/>
    <w:rsid w:val="002572CF"/>
  </w:style>
  <w:style w:type="paragraph" w:customStyle="1" w:styleId="OpiQuotSub">
    <w:name w:val="Opi_Quot_Sub"/>
    <w:basedOn w:val="JuQuotSub"/>
    <w:uiPriority w:val="49"/>
    <w:semiHidden/>
    <w:qFormat/>
    <w:rsid w:val="002572CF"/>
  </w:style>
  <w:style w:type="paragraph" w:customStyle="1" w:styleId="ECHRTitleCentre2">
    <w:name w:val="ECHR_Title_Centre_2"/>
    <w:aliases w:val="Dec_H_Case"/>
    <w:basedOn w:val="Normal"/>
    <w:next w:val="ECHRPara"/>
    <w:uiPriority w:val="8"/>
    <w:qFormat/>
    <w:rsid w:val="002572CF"/>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2572C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2572C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2572CF"/>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2572C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572C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572C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572C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572CF"/>
    <w:pPr>
      <w:keepNext/>
      <w:keepLines/>
      <w:spacing w:before="240" w:after="120"/>
      <w:ind w:left="1236"/>
    </w:pPr>
    <w:rPr>
      <w:sz w:val="20"/>
    </w:rPr>
  </w:style>
  <w:style w:type="paragraph" w:customStyle="1" w:styleId="JuQuotSub">
    <w:name w:val="Ju_Quot_Sub"/>
    <w:basedOn w:val="ECHRParaQuote"/>
    <w:uiPriority w:val="15"/>
    <w:qFormat/>
    <w:rsid w:val="002572CF"/>
    <w:pPr>
      <w:ind w:left="567"/>
    </w:pPr>
  </w:style>
  <w:style w:type="paragraph" w:customStyle="1" w:styleId="JuInitialled">
    <w:name w:val="Ju_Initialled"/>
    <w:basedOn w:val="Normal"/>
    <w:uiPriority w:val="31"/>
    <w:qFormat/>
    <w:rsid w:val="002572CF"/>
    <w:pPr>
      <w:tabs>
        <w:tab w:val="center" w:pos="6407"/>
      </w:tabs>
      <w:spacing w:before="720"/>
      <w:jc w:val="right"/>
    </w:pPr>
  </w:style>
  <w:style w:type="paragraph" w:customStyle="1" w:styleId="OpiHA">
    <w:name w:val="Opi_H_A"/>
    <w:basedOn w:val="ECHRHeading1"/>
    <w:next w:val="OpiPara"/>
    <w:uiPriority w:val="41"/>
    <w:semiHidden/>
    <w:qFormat/>
    <w:rsid w:val="002572CF"/>
    <w:pPr>
      <w:tabs>
        <w:tab w:val="clear" w:pos="357"/>
      </w:tabs>
      <w:outlineLvl w:val="1"/>
    </w:pPr>
    <w:rPr>
      <w:b/>
    </w:rPr>
  </w:style>
  <w:style w:type="paragraph" w:styleId="Header">
    <w:name w:val="header"/>
    <w:basedOn w:val="Normal"/>
    <w:link w:val="HeaderChar"/>
    <w:uiPriority w:val="57"/>
    <w:semiHidden/>
    <w:rsid w:val="002572C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572CF"/>
    <w:rPr>
      <w:sz w:val="24"/>
    </w:rPr>
  </w:style>
  <w:style w:type="character" w:customStyle="1" w:styleId="Heading1Char">
    <w:name w:val="Heading 1 Char"/>
    <w:basedOn w:val="DefaultParagraphFont"/>
    <w:link w:val="Heading1"/>
    <w:uiPriority w:val="99"/>
    <w:semiHidden/>
    <w:rsid w:val="002572C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2572C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2572C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572CF"/>
    <w:rPr>
      <w:rFonts w:asciiTheme="majorHAnsi" w:eastAsiaTheme="majorEastAsia" w:hAnsiTheme="majorHAnsi" w:cstheme="majorBidi"/>
      <w:b/>
      <w:bCs/>
      <w:color w:val="4D4D4D"/>
      <w:sz w:val="26"/>
      <w:szCs w:val="26"/>
    </w:rPr>
  </w:style>
  <w:style w:type="character" w:customStyle="1" w:styleId="JUNAMES">
    <w:name w:val="JU_NAMES"/>
    <w:uiPriority w:val="17"/>
    <w:qFormat/>
    <w:rsid w:val="002572CF"/>
    <w:rPr>
      <w:caps w:val="0"/>
      <w:smallCaps/>
    </w:rPr>
  </w:style>
  <w:style w:type="paragraph" w:customStyle="1" w:styleId="JuCase">
    <w:name w:val="Ju_Case"/>
    <w:basedOn w:val="Normal"/>
    <w:next w:val="ECHRPara"/>
    <w:uiPriority w:val="10"/>
    <w:rsid w:val="002572CF"/>
    <w:pPr>
      <w:ind w:firstLine="284"/>
    </w:pPr>
    <w:rPr>
      <w:b/>
    </w:rPr>
  </w:style>
  <w:style w:type="character" w:customStyle="1" w:styleId="Heading3Char">
    <w:name w:val="Heading 3 Char"/>
    <w:basedOn w:val="DefaultParagraphFont"/>
    <w:link w:val="Heading3"/>
    <w:uiPriority w:val="99"/>
    <w:semiHidden/>
    <w:rsid w:val="002572C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2572C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2572CF"/>
    <w:rPr>
      <w:rFonts w:asciiTheme="majorHAnsi" w:eastAsiaTheme="majorEastAsia" w:hAnsiTheme="majorHAnsi" w:cstheme="majorBidi"/>
      <w:b/>
      <w:bCs/>
      <w:color w:val="808080"/>
      <w:sz w:val="24"/>
    </w:rPr>
  </w:style>
  <w:style w:type="character" w:styleId="SubtleEmphasis">
    <w:name w:val="Subtle Emphasis"/>
    <w:uiPriority w:val="99"/>
    <w:semiHidden/>
    <w:qFormat/>
    <w:rsid w:val="002572C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2572CF"/>
    <w:pPr>
      <w:keepNext/>
      <w:keepLines/>
      <w:spacing w:before="720" w:after="240"/>
      <w:outlineLvl w:val="0"/>
    </w:pPr>
    <w:rPr>
      <w:rFonts w:asciiTheme="majorHAnsi" w:hAnsiTheme="majorHAnsi"/>
      <w:sz w:val="28"/>
    </w:rPr>
  </w:style>
  <w:style w:type="character" w:styleId="Emphasis">
    <w:name w:val="Emphasis"/>
    <w:uiPriority w:val="99"/>
    <w:semiHidden/>
    <w:qFormat/>
    <w:rsid w:val="002572CF"/>
    <w:rPr>
      <w:b/>
      <w:bCs/>
      <w:i/>
      <w:iCs/>
      <w:spacing w:val="10"/>
      <w:bdr w:val="none" w:sz="0" w:space="0" w:color="auto"/>
      <w:shd w:val="clear" w:color="auto" w:fill="auto"/>
    </w:rPr>
  </w:style>
  <w:style w:type="paragraph" w:styleId="Footer">
    <w:name w:val="footer"/>
    <w:basedOn w:val="Normal"/>
    <w:link w:val="FooterChar"/>
    <w:uiPriority w:val="57"/>
    <w:semiHidden/>
    <w:rsid w:val="002572C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572CF"/>
    <w:rPr>
      <w:sz w:val="24"/>
    </w:rPr>
  </w:style>
  <w:style w:type="character" w:styleId="FootnoteReference">
    <w:name w:val="footnote reference"/>
    <w:basedOn w:val="DefaultParagraphFont"/>
    <w:uiPriority w:val="99"/>
    <w:semiHidden/>
    <w:rsid w:val="002572CF"/>
    <w:rPr>
      <w:vertAlign w:val="superscript"/>
    </w:rPr>
  </w:style>
  <w:style w:type="paragraph" w:styleId="FootnoteText">
    <w:name w:val="footnote text"/>
    <w:basedOn w:val="Normal"/>
    <w:link w:val="FootnoteTextChar"/>
    <w:uiPriority w:val="99"/>
    <w:semiHidden/>
    <w:rsid w:val="002572CF"/>
    <w:rPr>
      <w:sz w:val="20"/>
      <w:szCs w:val="20"/>
    </w:rPr>
  </w:style>
  <w:style w:type="character" w:customStyle="1" w:styleId="FootnoteTextChar">
    <w:name w:val="Footnote Text Char"/>
    <w:basedOn w:val="DefaultParagraphFont"/>
    <w:link w:val="FootnoteText"/>
    <w:uiPriority w:val="99"/>
    <w:semiHidden/>
    <w:rsid w:val="002572CF"/>
    <w:rPr>
      <w:rFonts w:eastAsiaTheme="minorEastAsia"/>
      <w:sz w:val="20"/>
      <w:szCs w:val="20"/>
    </w:rPr>
  </w:style>
  <w:style w:type="character" w:customStyle="1" w:styleId="Heading6Char">
    <w:name w:val="Heading 6 Char"/>
    <w:basedOn w:val="DefaultParagraphFont"/>
    <w:link w:val="Heading6"/>
    <w:uiPriority w:val="99"/>
    <w:semiHidden/>
    <w:rsid w:val="002572CF"/>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2572CF"/>
    <w:rPr>
      <w:rFonts w:asciiTheme="majorHAnsi" w:eastAsiaTheme="majorEastAsia" w:hAnsiTheme="majorHAnsi" w:cstheme="majorBidi"/>
      <w:i/>
      <w:iCs/>
      <w:sz w:val="24"/>
      <w:lang w:bidi="bg-BG"/>
    </w:rPr>
  </w:style>
  <w:style w:type="character" w:customStyle="1" w:styleId="Heading8Char">
    <w:name w:val="Heading 8 Char"/>
    <w:basedOn w:val="DefaultParagraphFont"/>
    <w:link w:val="Heading8"/>
    <w:uiPriority w:val="99"/>
    <w:semiHidden/>
    <w:rsid w:val="002572CF"/>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2572CF"/>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2572CF"/>
    <w:rPr>
      <w:color w:val="0072BC" w:themeColor="hyperlink"/>
      <w:u w:val="single"/>
    </w:rPr>
  </w:style>
  <w:style w:type="character" w:styleId="IntenseEmphasis">
    <w:name w:val="Intense Emphasis"/>
    <w:uiPriority w:val="99"/>
    <w:semiHidden/>
    <w:qFormat/>
    <w:rsid w:val="002572CF"/>
    <w:rPr>
      <w:b/>
      <w:bCs/>
    </w:rPr>
  </w:style>
  <w:style w:type="paragraph" w:styleId="IntenseQuote">
    <w:name w:val="Intense Quote"/>
    <w:basedOn w:val="Normal"/>
    <w:next w:val="Normal"/>
    <w:link w:val="IntenseQuoteChar"/>
    <w:uiPriority w:val="99"/>
    <w:semiHidden/>
    <w:qFormat/>
    <w:rsid w:val="002572C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2572CF"/>
    <w:rPr>
      <w:rFonts w:eastAsiaTheme="minorEastAsia"/>
      <w:b/>
      <w:bCs/>
      <w:i/>
      <w:iCs/>
      <w:sz w:val="24"/>
      <w:lang w:bidi="bg-BG"/>
    </w:rPr>
  </w:style>
  <w:style w:type="character" w:styleId="IntenseReference">
    <w:name w:val="Intense Reference"/>
    <w:uiPriority w:val="99"/>
    <w:semiHidden/>
    <w:qFormat/>
    <w:rsid w:val="002572CF"/>
    <w:rPr>
      <w:smallCaps/>
      <w:spacing w:val="5"/>
      <w:u w:val="single"/>
    </w:rPr>
  </w:style>
  <w:style w:type="paragraph" w:styleId="ListParagraph">
    <w:name w:val="List Paragraph"/>
    <w:basedOn w:val="Normal"/>
    <w:uiPriority w:val="99"/>
    <w:semiHidden/>
    <w:qFormat/>
    <w:rsid w:val="002572C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572CF"/>
    <w:pPr>
      <w:spacing w:before="200"/>
      <w:ind w:left="360" w:right="360"/>
    </w:pPr>
    <w:rPr>
      <w:i/>
      <w:iCs/>
    </w:rPr>
  </w:style>
  <w:style w:type="character" w:customStyle="1" w:styleId="QuoteChar">
    <w:name w:val="Quote Char"/>
    <w:basedOn w:val="DefaultParagraphFont"/>
    <w:link w:val="Quote"/>
    <w:uiPriority w:val="99"/>
    <w:semiHidden/>
    <w:rsid w:val="002572CF"/>
    <w:rPr>
      <w:rFonts w:eastAsiaTheme="minorEastAsia"/>
      <w:i/>
      <w:iCs/>
      <w:sz w:val="24"/>
      <w:lang w:bidi="bg-BG"/>
    </w:rPr>
  </w:style>
  <w:style w:type="character" w:styleId="SubtleReference">
    <w:name w:val="Subtle Reference"/>
    <w:uiPriority w:val="99"/>
    <w:semiHidden/>
    <w:qFormat/>
    <w:rsid w:val="002572CF"/>
    <w:rPr>
      <w:smallCaps/>
    </w:rPr>
  </w:style>
  <w:style w:type="table" w:styleId="TableGrid">
    <w:name w:val="Table Grid"/>
    <w:basedOn w:val="TableNormal"/>
    <w:uiPriority w:val="59"/>
    <w:rsid w:val="002572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572C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2572CF"/>
    <w:pPr>
      <w:spacing w:after="60"/>
      <w:ind w:left="680" w:right="340" w:hanging="340"/>
    </w:pPr>
  </w:style>
  <w:style w:type="paragraph" w:styleId="TOC3">
    <w:name w:val="toc 3"/>
    <w:basedOn w:val="Normal"/>
    <w:next w:val="Normal"/>
    <w:autoRedefine/>
    <w:uiPriority w:val="99"/>
    <w:semiHidden/>
    <w:rsid w:val="002572CF"/>
    <w:pPr>
      <w:spacing w:after="60"/>
      <w:ind w:left="1020" w:right="340" w:hanging="340"/>
    </w:pPr>
  </w:style>
  <w:style w:type="paragraph" w:styleId="TOC4">
    <w:name w:val="toc 4"/>
    <w:basedOn w:val="Normal"/>
    <w:next w:val="Normal"/>
    <w:autoRedefine/>
    <w:uiPriority w:val="99"/>
    <w:semiHidden/>
    <w:rsid w:val="002572CF"/>
    <w:pPr>
      <w:tabs>
        <w:tab w:val="right" w:leader="dot" w:pos="9017"/>
      </w:tabs>
      <w:spacing w:after="60"/>
      <w:ind w:left="1361" w:right="340" w:hanging="340"/>
    </w:pPr>
  </w:style>
  <w:style w:type="paragraph" w:styleId="TOC5">
    <w:name w:val="toc 5"/>
    <w:basedOn w:val="Normal"/>
    <w:next w:val="Normal"/>
    <w:autoRedefine/>
    <w:uiPriority w:val="99"/>
    <w:semiHidden/>
    <w:rsid w:val="002572CF"/>
    <w:pPr>
      <w:spacing w:after="60"/>
      <w:ind w:left="1701" w:right="340" w:hanging="340"/>
    </w:pPr>
  </w:style>
  <w:style w:type="paragraph" w:styleId="TOCHeading">
    <w:name w:val="TOC Heading"/>
    <w:basedOn w:val="Heading1"/>
    <w:next w:val="Normal"/>
    <w:uiPriority w:val="99"/>
    <w:semiHidden/>
    <w:qFormat/>
    <w:rsid w:val="002572C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572C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2572CF"/>
    <w:pPr>
      <w:spacing w:before="120" w:after="120"/>
      <w:ind w:left="425" w:firstLine="142"/>
    </w:pPr>
    <w:rPr>
      <w:sz w:val="20"/>
    </w:rPr>
  </w:style>
  <w:style w:type="paragraph" w:customStyle="1" w:styleId="ECHRPara">
    <w:name w:val="ECHR_Para"/>
    <w:aliases w:val="Ju_Para"/>
    <w:basedOn w:val="Normal"/>
    <w:link w:val="ECHRParaChar"/>
    <w:uiPriority w:val="12"/>
    <w:qFormat/>
    <w:rsid w:val="002572C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572C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2572C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2572CF"/>
    <w:pPr>
      <w:ind w:left="340" w:hanging="340"/>
    </w:pPr>
  </w:style>
  <w:style w:type="paragraph" w:customStyle="1" w:styleId="JuSigned">
    <w:name w:val="Ju_Signed"/>
    <w:basedOn w:val="Normal"/>
    <w:next w:val="JuParaLast"/>
    <w:uiPriority w:val="32"/>
    <w:qFormat/>
    <w:rsid w:val="002572CF"/>
    <w:pPr>
      <w:tabs>
        <w:tab w:val="center" w:pos="851"/>
        <w:tab w:val="center" w:pos="6407"/>
      </w:tabs>
      <w:spacing w:before="720"/>
      <w:jc w:val="left"/>
    </w:pPr>
  </w:style>
  <w:style w:type="paragraph" w:customStyle="1" w:styleId="JuParaLast">
    <w:name w:val="Ju_Para_Last"/>
    <w:basedOn w:val="Normal"/>
    <w:next w:val="ECHRPara"/>
    <w:uiPriority w:val="30"/>
    <w:qFormat/>
    <w:rsid w:val="002572CF"/>
    <w:pPr>
      <w:keepNext/>
      <w:keepLines/>
      <w:spacing w:before="240"/>
      <w:ind w:firstLine="284"/>
    </w:pPr>
  </w:style>
  <w:style w:type="character" w:customStyle="1" w:styleId="JuITMark">
    <w:name w:val="Ju_ITMark"/>
    <w:basedOn w:val="DefaultParagraphFont"/>
    <w:uiPriority w:val="38"/>
    <w:qFormat/>
    <w:rsid w:val="002572CF"/>
    <w:rPr>
      <w:vanish w:val="0"/>
      <w:color w:val="auto"/>
      <w:sz w:val="14"/>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semiHidden/>
    <w:qFormat/>
    <w:rsid w:val="002572CF"/>
    <w:pPr>
      <w:jc w:val="center"/>
      <w:outlineLvl w:val="0"/>
    </w:pPr>
    <w:rPr>
      <w:i/>
    </w:rPr>
  </w:style>
  <w:style w:type="paragraph" w:customStyle="1" w:styleId="DecHTitle">
    <w:name w:val="Dec_H_Title"/>
    <w:basedOn w:val="ECHRTitleCentre1"/>
    <w:uiPriority w:val="7"/>
    <w:qFormat/>
    <w:rsid w:val="002572CF"/>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2572CF"/>
    <w:pPr>
      <w:tabs>
        <w:tab w:val="left" w:pos="907"/>
        <w:tab w:val="left" w:pos="1701"/>
        <w:tab w:val="right" w:pos="7371"/>
      </w:tabs>
      <w:spacing w:before="240"/>
      <w:ind w:left="397" w:hanging="397"/>
      <w:jc w:val="left"/>
    </w:p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qFormat/>
    <w:rsid w:val="002572CF"/>
    <w:pPr>
      <w:spacing w:before="240"/>
      <w:ind w:left="284"/>
    </w:pPr>
  </w:style>
  <w:style w:type="paragraph" w:styleId="Subtitle">
    <w:name w:val="Subtitle"/>
    <w:basedOn w:val="Normal"/>
    <w:next w:val="Normal"/>
    <w:link w:val="SubtitleChar"/>
    <w:uiPriority w:val="99"/>
    <w:semiHidden/>
    <w:qFormat/>
    <w:rsid w:val="002572C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2572CF"/>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2572CF"/>
    <w:pPr>
      <w:ind w:left="346" w:firstLine="0"/>
    </w:pPr>
  </w:style>
  <w:style w:type="paragraph" w:customStyle="1" w:styleId="JuListi">
    <w:name w:val="Ju_List_i"/>
    <w:basedOn w:val="Normal"/>
    <w:next w:val="JuLista"/>
    <w:uiPriority w:val="28"/>
    <w:qFormat/>
    <w:rsid w:val="002572CF"/>
    <w:pPr>
      <w:ind w:left="794"/>
    </w:pPr>
  </w:style>
  <w:style w:type="character" w:customStyle="1" w:styleId="ECHRParaChar">
    <w:name w:val="ECHR_Para Char"/>
    <w:aliases w:val="Ju_Para Char"/>
    <w:link w:val="ECHRPara"/>
    <w:uiPriority w:val="12"/>
    <w:rsid w:val="0048601D"/>
    <w:rPr>
      <w:rFonts w:eastAsiaTheme="minorEastAsia"/>
      <w:sz w:val="24"/>
    </w:rPr>
  </w:style>
  <w:style w:type="paragraph" w:styleId="Revision">
    <w:name w:val="Revision"/>
    <w:hidden/>
    <w:uiPriority w:val="99"/>
    <w:semiHidden/>
    <w:rsid w:val="00743800"/>
    <w:rPr>
      <w:rFonts w:eastAsiaTheme="minorEastAsia"/>
      <w:sz w:val="24"/>
    </w:rPr>
  </w:style>
  <w:style w:type="paragraph" w:customStyle="1" w:styleId="OpiH1">
    <w:name w:val="Opi_H_1"/>
    <w:basedOn w:val="ECHRHeading2"/>
    <w:uiPriority w:val="42"/>
    <w:semiHidden/>
    <w:qFormat/>
    <w:rsid w:val="002572CF"/>
    <w:pPr>
      <w:ind w:left="635" w:hanging="357"/>
      <w:outlineLvl w:val="2"/>
    </w:pPr>
  </w:style>
  <w:style w:type="paragraph" w:customStyle="1" w:styleId="OpiHa0">
    <w:name w:val="Opi_H_a"/>
    <w:basedOn w:val="ECHRHeading3"/>
    <w:uiPriority w:val="43"/>
    <w:semiHidden/>
    <w:qFormat/>
    <w:rsid w:val="002572CF"/>
    <w:pPr>
      <w:ind w:left="833" w:hanging="357"/>
      <w:outlineLvl w:val="3"/>
    </w:pPr>
    <w:rPr>
      <w:b/>
      <w:i w:val="0"/>
      <w:sz w:val="20"/>
    </w:rPr>
  </w:style>
  <w:style w:type="paragraph" w:customStyle="1" w:styleId="OpiHi">
    <w:name w:val="Opi_H_i"/>
    <w:basedOn w:val="ECHRHeading4"/>
    <w:uiPriority w:val="44"/>
    <w:semiHidden/>
    <w:qFormat/>
    <w:rsid w:val="002572CF"/>
    <w:pPr>
      <w:ind w:left="1037" w:hanging="357"/>
      <w:outlineLvl w:val="4"/>
    </w:pPr>
    <w:rPr>
      <w:b w:val="0"/>
      <w:i/>
    </w:rPr>
  </w:style>
  <w:style w:type="paragraph" w:customStyle="1" w:styleId="DummyStyle">
    <w:name w:val="Dummy_Style"/>
    <w:basedOn w:val="Normal"/>
    <w:semiHidden/>
    <w:qFormat/>
    <w:rsid w:val="002572CF"/>
    <w:rPr>
      <w:color w:val="00B050"/>
    </w:rPr>
  </w:style>
  <w:style w:type="paragraph" w:customStyle="1" w:styleId="jupara">
    <w:name w:val="jupara"/>
    <w:basedOn w:val="Normal"/>
    <w:rsid w:val="001B7481"/>
    <w:pPr>
      <w:ind w:firstLine="284"/>
    </w:pPr>
    <w:rPr>
      <w:rFonts w:ascii="Times New Roman" w:eastAsia="Times New Roman" w:hAnsi="Times New Roman" w:cs="Times New Roman"/>
      <w:szCs w:val="24"/>
    </w:rPr>
  </w:style>
  <w:style w:type="paragraph" w:customStyle="1" w:styleId="jucase0">
    <w:name w:val="jucase"/>
    <w:basedOn w:val="Normal"/>
    <w:rsid w:val="001B7481"/>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8551">
      <w:bodyDiv w:val="1"/>
      <w:marLeft w:val="0"/>
      <w:marRight w:val="0"/>
      <w:marTop w:val="0"/>
      <w:marBottom w:val="0"/>
      <w:divBdr>
        <w:top w:val="none" w:sz="0" w:space="0" w:color="auto"/>
        <w:left w:val="none" w:sz="0" w:space="0" w:color="auto"/>
        <w:bottom w:val="none" w:sz="0" w:space="0" w:color="auto"/>
        <w:right w:val="none" w:sz="0" w:space="0" w:color="auto"/>
      </w:divBdr>
      <w:divsChild>
        <w:div w:id="2081320884">
          <w:marLeft w:val="0"/>
          <w:marRight w:val="0"/>
          <w:marTop w:val="0"/>
          <w:marBottom w:val="0"/>
          <w:divBdr>
            <w:top w:val="none" w:sz="0" w:space="0" w:color="auto"/>
            <w:left w:val="none" w:sz="0" w:space="0" w:color="auto"/>
            <w:bottom w:val="none" w:sz="0" w:space="0" w:color="auto"/>
            <w:right w:val="none" w:sz="0" w:space="0" w:color="auto"/>
          </w:divBdr>
          <w:divsChild>
            <w:div w:id="79570212">
              <w:marLeft w:val="0"/>
              <w:marRight w:val="0"/>
              <w:marTop w:val="0"/>
              <w:marBottom w:val="0"/>
              <w:divBdr>
                <w:top w:val="none" w:sz="0" w:space="0" w:color="auto"/>
                <w:left w:val="none" w:sz="0" w:space="0" w:color="auto"/>
                <w:bottom w:val="none" w:sz="0" w:space="0" w:color="auto"/>
                <w:right w:val="none" w:sz="0" w:space="0" w:color="auto"/>
              </w:divBdr>
              <w:divsChild>
                <w:div w:id="1174685441">
                  <w:marLeft w:val="0"/>
                  <w:marRight w:val="0"/>
                  <w:marTop w:val="0"/>
                  <w:marBottom w:val="0"/>
                  <w:divBdr>
                    <w:top w:val="none" w:sz="0" w:space="0" w:color="auto"/>
                    <w:left w:val="none" w:sz="0" w:space="0" w:color="auto"/>
                    <w:bottom w:val="none" w:sz="0" w:space="0" w:color="auto"/>
                    <w:right w:val="none" w:sz="0" w:space="0" w:color="auto"/>
                  </w:divBdr>
                  <w:divsChild>
                    <w:div w:id="53549460">
                      <w:marLeft w:val="0"/>
                      <w:marRight w:val="0"/>
                      <w:marTop w:val="0"/>
                      <w:marBottom w:val="0"/>
                      <w:divBdr>
                        <w:top w:val="none" w:sz="0" w:space="0" w:color="auto"/>
                        <w:left w:val="none" w:sz="0" w:space="0" w:color="auto"/>
                        <w:bottom w:val="none" w:sz="0" w:space="0" w:color="auto"/>
                        <w:right w:val="none" w:sz="0" w:space="0" w:color="auto"/>
                      </w:divBdr>
                      <w:divsChild>
                        <w:div w:id="535969356">
                          <w:marLeft w:val="0"/>
                          <w:marRight w:val="0"/>
                          <w:marTop w:val="0"/>
                          <w:marBottom w:val="0"/>
                          <w:divBdr>
                            <w:top w:val="none" w:sz="0" w:space="0" w:color="auto"/>
                            <w:left w:val="none" w:sz="0" w:space="0" w:color="auto"/>
                            <w:bottom w:val="none" w:sz="0" w:space="0" w:color="auto"/>
                            <w:right w:val="none" w:sz="0" w:space="0" w:color="auto"/>
                          </w:divBdr>
                          <w:divsChild>
                            <w:div w:id="18968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039780">
      <w:bodyDiv w:val="1"/>
      <w:marLeft w:val="0"/>
      <w:marRight w:val="0"/>
      <w:marTop w:val="0"/>
      <w:marBottom w:val="0"/>
      <w:divBdr>
        <w:top w:val="none" w:sz="0" w:space="0" w:color="auto"/>
        <w:left w:val="none" w:sz="0" w:space="0" w:color="auto"/>
        <w:bottom w:val="none" w:sz="0" w:space="0" w:color="auto"/>
        <w:right w:val="none" w:sz="0" w:space="0" w:color="auto"/>
      </w:divBdr>
    </w:div>
    <w:div w:id="360979932">
      <w:bodyDiv w:val="1"/>
      <w:marLeft w:val="0"/>
      <w:marRight w:val="0"/>
      <w:marTop w:val="0"/>
      <w:marBottom w:val="0"/>
      <w:divBdr>
        <w:top w:val="none" w:sz="0" w:space="0" w:color="auto"/>
        <w:left w:val="none" w:sz="0" w:space="0" w:color="auto"/>
        <w:bottom w:val="none" w:sz="0" w:space="0" w:color="auto"/>
        <w:right w:val="none" w:sz="0" w:space="0" w:color="auto"/>
      </w:divBdr>
      <w:divsChild>
        <w:div w:id="853307360">
          <w:marLeft w:val="0"/>
          <w:marRight w:val="0"/>
          <w:marTop w:val="0"/>
          <w:marBottom w:val="0"/>
          <w:divBdr>
            <w:top w:val="none" w:sz="0" w:space="0" w:color="auto"/>
            <w:left w:val="none" w:sz="0" w:space="0" w:color="auto"/>
            <w:bottom w:val="none" w:sz="0" w:space="0" w:color="auto"/>
            <w:right w:val="none" w:sz="0" w:space="0" w:color="auto"/>
          </w:divBdr>
          <w:divsChild>
            <w:div w:id="481626634">
              <w:marLeft w:val="0"/>
              <w:marRight w:val="0"/>
              <w:marTop w:val="0"/>
              <w:marBottom w:val="0"/>
              <w:divBdr>
                <w:top w:val="none" w:sz="0" w:space="0" w:color="auto"/>
                <w:left w:val="none" w:sz="0" w:space="0" w:color="auto"/>
                <w:bottom w:val="none" w:sz="0" w:space="0" w:color="auto"/>
                <w:right w:val="none" w:sz="0" w:space="0" w:color="auto"/>
              </w:divBdr>
              <w:divsChild>
                <w:div w:id="1184133519">
                  <w:marLeft w:val="0"/>
                  <w:marRight w:val="0"/>
                  <w:marTop w:val="0"/>
                  <w:marBottom w:val="0"/>
                  <w:divBdr>
                    <w:top w:val="none" w:sz="0" w:space="0" w:color="auto"/>
                    <w:left w:val="none" w:sz="0" w:space="0" w:color="auto"/>
                    <w:bottom w:val="none" w:sz="0" w:space="0" w:color="auto"/>
                    <w:right w:val="none" w:sz="0" w:space="0" w:color="auto"/>
                  </w:divBdr>
                  <w:divsChild>
                    <w:div w:id="318268675">
                      <w:marLeft w:val="0"/>
                      <w:marRight w:val="0"/>
                      <w:marTop w:val="0"/>
                      <w:marBottom w:val="0"/>
                      <w:divBdr>
                        <w:top w:val="none" w:sz="0" w:space="0" w:color="auto"/>
                        <w:left w:val="none" w:sz="0" w:space="0" w:color="auto"/>
                        <w:bottom w:val="none" w:sz="0" w:space="0" w:color="auto"/>
                        <w:right w:val="none" w:sz="0" w:space="0" w:color="auto"/>
                      </w:divBdr>
                      <w:divsChild>
                        <w:div w:id="1045638247">
                          <w:marLeft w:val="0"/>
                          <w:marRight w:val="0"/>
                          <w:marTop w:val="0"/>
                          <w:marBottom w:val="0"/>
                          <w:divBdr>
                            <w:top w:val="none" w:sz="0" w:space="0" w:color="auto"/>
                            <w:left w:val="none" w:sz="0" w:space="0" w:color="auto"/>
                            <w:bottom w:val="none" w:sz="0" w:space="0" w:color="auto"/>
                            <w:right w:val="none" w:sz="0" w:space="0" w:color="auto"/>
                          </w:divBdr>
                          <w:divsChild>
                            <w:div w:id="19927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619">
      <w:bodyDiv w:val="1"/>
      <w:marLeft w:val="0"/>
      <w:marRight w:val="0"/>
      <w:marTop w:val="0"/>
      <w:marBottom w:val="0"/>
      <w:divBdr>
        <w:top w:val="none" w:sz="0" w:space="0" w:color="auto"/>
        <w:left w:val="none" w:sz="0" w:space="0" w:color="auto"/>
        <w:bottom w:val="none" w:sz="0" w:space="0" w:color="auto"/>
        <w:right w:val="none" w:sz="0" w:space="0" w:color="auto"/>
      </w:divBdr>
    </w:div>
    <w:div w:id="448279655">
      <w:bodyDiv w:val="1"/>
      <w:marLeft w:val="0"/>
      <w:marRight w:val="0"/>
      <w:marTop w:val="0"/>
      <w:marBottom w:val="0"/>
      <w:divBdr>
        <w:top w:val="none" w:sz="0" w:space="0" w:color="auto"/>
        <w:left w:val="none" w:sz="0" w:space="0" w:color="auto"/>
        <w:bottom w:val="none" w:sz="0" w:space="0" w:color="auto"/>
        <w:right w:val="none" w:sz="0" w:space="0" w:color="auto"/>
      </w:divBdr>
      <w:divsChild>
        <w:div w:id="1030035478">
          <w:marLeft w:val="0"/>
          <w:marRight w:val="0"/>
          <w:marTop w:val="0"/>
          <w:marBottom w:val="0"/>
          <w:divBdr>
            <w:top w:val="none" w:sz="0" w:space="0" w:color="auto"/>
            <w:left w:val="none" w:sz="0" w:space="0" w:color="auto"/>
            <w:bottom w:val="none" w:sz="0" w:space="0" w:color="auto"/>
            <w:right w:val="none" w:sz="0" w:space="0" w:color="auto"/>
          </w:divBdr>
          <w:divsChild>
            <w:div w:id="43414267">
              <w:marLeft w:val="0"/>
              <w:marRight w:val="0"/>
              <w:marTop w:val="0"/>
              <w:marBottom w:val="0"/>
              <w:divBdr>
                <w:top w:val="none" w:sz="0" w:space="0" w:color="auto"/>
                <w:left w:val="none" w:sz="0" w:space="0" w:color="auto"/>
                <w:bottom w:val="none" w:sz="0" w:space="0" w:color="auto"/>
                <w:right w:val="none" w:sz="0" w:space="0" w:color="auto"/>
              </w:divBdr>
              <w:divsChild>
                <w:div w:id="207837110">
                  <w:marLeft w:val="0"/>
                  <w:marRight w:val="0"/>
                  <w:marTop w:val="0"/>
                  <w:marBottom w:val="0"/>
                  <w:divBdr>
                    <w:top w:val="none" w:sz="0" w:space="0" w:color="auto"/>
                    <w:left w:val="none" w:sz="0" w:space="0" w:color="auto"/>
                    <w:bottom w:val="none" w:sz="0" w:space="0" w:color="auto"/>
                    <w:right w:val="none" w:sz="0" w:space="0" w:color="auto"/>
                  </w:divBdr>
                  <w:divsChild>
                    <w:div w:id="1091316065">
                      <w:marLeft w:val="0"/>
                      <w:marRight w:val="0"/>
                      <w:marTop w:val="0"/>
                      <w:marBottom w:val="0"/>
                      <w:divBdr>
                        <w:top w:val="none" w:sz="0" w:space="0" w:color="auto"/>
                        <w:left w:val="none" w:sz="0" w:space="0" w:color="auto"/>
                        <w:bottom w:val="none" w:sz="0" w:space="0" w:color="auto"/>
                        <w:right w:val="none" w:sz="0" w:space="0" w:color="auto"/>
                      </w:divBdr>
                      <w:divsChild>
                        <w:div w:id="853417908">
                          <w:marLeft w:val="0"/>
                          <w:marRight w:val="0"/>
                          <w:marTop w:val="0"/>
                          <w:marBottom w:val="0"/>
                          <w:divBdr>
                            <w:top w:val="none" w:sz="0" w:space="0" w:color="auto"/>
                            <w:left w:val="none" w:sz="0" w:space="0" w:color="auto"/>
                            <w:bottom w:val="none" w:sz="0" w:space="0" w:color="auto"/>
                            <w:right w:val="none" w:sz="0" w:space="0" w:color="auto"/>
                          </w:divBdr>
                          <w:divsChild>
                            <w:div w:id="19454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13039">
      <w:bodyDiv w:val="1"/>
      <w:marLeft w:val="0"/>
      <w:marRight w:val="0"/>
      <w:marTop w:val="0"/>
      <w:marBottom w:val="0"/>
      <w:divBdr>
        <w:top w:val="none" w:sz="0" w:space="0" w:color="auto"/>
        <w:left w:val="none" w:sz="0" w:space="0" w:color="auto"/>
        <w:bottom w:val="none" w:sz="0" w:space="0" w:color="auto"/>
        <w:right w:val="none" w:sz="0" w:space="0" w:color="auto"/>
      </w:divBdr>
    </w:div>
    <w:div w:id="780682207">
      <w:bodyDiv w:val="1"/>
      <w:marLeft w:val="0"/>
      <w:marRight w:val="0"/>
      <w:marTop w:val="0"/>
      <w:marBottom w:val="0"/>
      <w:divBdr>
        <w:top w:val="none" w:sz="0" w:space="0" w:color="auto"/>
        <w:left w:val="none" w:sz="0" w:space="0" w:color="auto"/>
        <w:bottom w:val="none" w:sz="0" w:space="0" w:color="auto"/>
        <w:right w:val="none" w:sz="0" w:space="0" w:color="auto"/>
      </w:divBdr>
    </w:div>
    <w:div w:id="1471247652">
      <w:bodyDiv w:val="1"/>
      <w:marLeft w:val="0"/>
      <w:marRight w:val="0"/>
      <w:marTop w:val="0"/>
      <w:marBottom w:val="0"/>
      <w:divBdr>
        <w:top w:val="none" w:sz="0" w:space="0" w:color="auto"/>
        <w:left w:val="none" w:sz="0" w:space="0" w:color="auto"/>
        <w:bottom w:val="none" w:sz="0" w:space="0" w:color="auto"/>
        <w:right w:val="none" w:sz="0" w:space="0" w:color="auto"/>
      </w:divBdr>
      <w:divsChild>
        <w:div w:id="1734425867">
          <w:marLeft w:val="0"/>
          <w:marRight w:val="0"/>
          <w:marTop w:val="0"/>
          <w:marBottom w:val="0"/>
          <w:divBdr>
            <w:top w:val="none" w:sz="0" w:space="0" w:color="auto"/>
            <w:left w:val="none" w:sz="0" w:space="0" w:color="auto"/>
            <w:bottom w:val="none" w:sz="0" w:space="0" w:color="auto"/>
            <w:right w:val="none" w:sz="0" w:space="0" w:color="auto"/>
          </w:divBdr>
          <w:divsChild>
            <w:div w:id="1370566155">
              <w:marLeft w:val="0"/>
              <w:marRight w:val="0"/>
              <w:marTop w:val="0"/>
              <w:marBottom w:val="0"/>
              <w:divBdr>
                <w:top w:val="none" w:sz="0" w:space="0" w:color="auto"/>
                <w:left w:val="none" w:sz="0" w:space="0" w:color="auto"/>
                <w:bottom w:val="none" w:sz="0" w:space="0" w:color="auto"/>
                <w:right w:val="none" w:sz="0" w:space="0" w:color="auto"/>
              </w:divBdr>
              <w:divsChild>
                <w:div w:id="79912932">
                  <w:marLeft w:val="0"/>
                  <w:marRight w:val="0"/>
                  <w:marTop w:val="0"/>
                  <w:marBottom w:val="0"/>
                  <w:divBdr>
                    <w:top w:val="none" w:sz="0" w:space="0" w:color="auto"/>
                    <w:left w:val="none" w:sz="0" w:space="0" w:color="auto"/>
                    <w:bottom w:val="none" w:sz="0" w:space="0" w:color="auto"/>
                    <w:right w:val="none" w:sz="0" w:space="0" w:color="auto"/>
                  </w:divBdr>
                  <w:divsChild>
                    <w:div w:id="1196119166">
                      <w:marLeft w:val="0"/>
                      <w:marRight w:val="0"/>
                      <w:marTop w:val="0"/>
                      <w:marBottom w:val="0"/>
                      <w:divBdr>
                        <w:top w:val="none" w:sz="0" w:space="0" w:color="auto"/>
                        <w:left w:val="none" w:sz="0" w:space="0" w:color="auto"/>
                        <w:bottom w:val="none" w:sz="0" w:space="0" w:color="auto"/>
                        <w:right w:val="none" w:sz="0" w:space="0" w:color="auto"/>
                      </w:divBdr>
                      <w:divsChild>
                        <w:div w:id="898781805">
                          <w:marLeft w:val="0"/>
                          <w:marRight w:val="0"/>
                          <w:marTop w:val="0"/>
                          <w:marBottom w:val="0"/>
                          <w:divBdr>
                            <w:top w:val="none" w:sz="0" w:space="0" w:color="auto"/>
                            <w:left w:val="none" w:sz="0" w:space="0" w:color="auto"/>
                            <w:bottom w:val="none" w:sz="0" w:space="0" w:color="auto"/>
                            <w:right w:val="none" w:sz="0" w:space="0" w:color="auto"/>
                          </w:divBdr>
                          <w:divsChild>
                            <w:div w:id="10504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64211">
      <w:bodyDiv w:val="1"/>
      <w:marLeft w:val="0"/>
      <w:marRight w:val="0"/>
      <w:marTop w:val="0"/>
      <w:marBottom w:val="0"/>
      <w:divBdr>
        <w:top w:val="none" w:sz="0" w:space="0" w:color="auto"/>
        <w:left w:val="none" w:sz="0" w:space="0" w:color="auto"/>
        <w:bottom w:val="none" w:sz="0" w:space="0" w:color="auto"/>
        <w:right w:val="none" w:sz="0" w:space="0" w:color="auto"/>
      </w:divBdr>
    </w:div>
    <w:div w:id="1622611058">
      <w:bodyDiv w:val="1"/>
      <w:marLeft w:val="0"/>
      <w:marRight w:val="0"/>
      <w:marTop w:val="0"/>
      <w:marBottom w:val="0"/>
      <w:divBdr>
        <w:top w:val="none" w:sz="0" w:space="0" w:color="auto"/>
        <w:left w:val="none" w:sz="0" w:space="0" w:color="auto"/>
        <w:bottom w:val="none" w:sz="0" w:space="0" w:color="auto"/>
        <w:right w:val="none" w:sz="0" w:space="0" w:color="auto"/>
      </w:divBdr>
      <w:divsChild>
        <w:div w:id="2008432974">
          <w:marLeft w:val="0"/>
          <w:marRight w:val="0"/>
          <w:marTop w:val="0"/>
          <w:marBottom w:val="0"/>
          <w:divBdr>
            <w:top w:val="none" w:sz="0" w:space="0" w:color="auto"/>
            <w:left w:val="none" w:sz="0" w:space="0" w:color="auto"/>
            <w:bottom w:val="none" w:sz="0" w:space="0" w:color="auto"/>
            <w:right w:val="none" w:sz="0" w:space="0" w:color="auto"/>
          </w:divBdr>
          <w:divsChild>
            <w:div w:id="1070424981">
              <w:marLeft w:val="0"/>
              <w:marRight w:val="0"/>
              <w:marTop w:val="0"/>
              <w:marBottom w:val="0"/>
              <w:divBdr>
                <w:top w:val="none" w:sz="0" w:space="0" w:color="auto"/>
                <w:left w:val="none" w:sz="0" w:space="0" w:color="auto"/>
                <w:bottom w:val="none" w:sz="0" w:space="0" w:color="auto"/>
                <w:right w:val="none" w:sz="0" w:space="0" w:color="auto"/>
              </w:divBdr>
              <w:divsChild>
                <w:div w:id="1307321445">
                  <w:marLeft w:val="0"/>
                  <w:marRight w:val="0"/>
                  <w:marTop w:val="0"/>
                  <w:marBottom w:val="0"/>
                  <w:divBdr>
                    <w:top w:val="none" w:sz="0" w:space="0" w:color="auto"/>
                    <w:left w:val="none" w:sz="0" w:space="0" w:color="auto"/>
                    <w:bottom w:val="none" w:sz="0" w:space="0" w:color="auto"/>
                    <w:right w:val="none" w:sz="0" w:space="0" w:color="auto"/>
                  </w:divBdr>
                  <w:divsChild>
                    <w:div w:id="1292899585">
                      <w:marLeft w:val="0"/>
                      <w:marRight w:val="0"/>
                      <w:marTop w:val="0"/>
                      <w:marBottom w:val="0"/>
                      <w:divBdr>
                        <w:top w:val="none" w:sz="0" w:space="0" w:color="auto"/>
                        <w:left w:val="none" w:sz="0" w:space="0" w:color="auto"/>
                        <w:bottom w:val="none" w:sz="0" w:space="0" w:color="auto"/>
                        <w:right w:val="none" w:sz="0" w:space="0" w:color="auto"/>
                      </w:divBdr>
                      <w:divsChild>
                        <w:div w:id="966818533">
                          <w:marLeft w:val="0"/>
                          <w:marRight w:val="0"/>
                          <w:marTop w:val="0"/>
                          <w:marBottom w:val="0"/>
                          <w:divBdr>
                            <w:top w:val="none" w:sz="0" w:space="0" w:color="auto"/>
                            <w:left w:val="none" w:sz="0" w:space="0" w:color="auto"/>
                            <w:bottom w:val="none" w:sz="0" w:space="0" w:color="auto"/>
                            <w:right w:val="none" w:sz="0" w:space="0" w:color="auto"/>
                          </w:divBdr>
                          <w:divsChild>
                            <w:div w:id="17245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84880149">
      <w:bodyDiv w:val="1"/>
      <w:marLeft w:val="0"/>
      <w:marRight w:val="0"/>
      <w:marTop w:val="0"/>
      <w:marBottom w:val="0"/>
      <w:divBdr>
        <w:top w:val="none" w:sz="0" w:space="0" w:color="auto"/>
        <w:left w:val="none" w:sz="0" w:space="0" w:color="auto"/>
        <w:bottom w:val="none" w:sz="0" w:space="0" w:color="auto"/>
        <w:right w:val="none" w:sz="0" w:space="0" w:color="auto"/>
      </w:divBdr>
      <w:divsChild>
        <w:div w:id="4216090">
          <w:marLeft w:val="0"/>
          <w:marRight w:val="0"/>
          <w:marTop w:val="0"/>
          <w:marBottom w:val="0"/>
          <w:divBdr>
            <w:top w:val="none" w:sz="0" w:space="0" w:color="auto"/>
            <w:left w:val="none" w:sz="0" w:space="0" w:color="auto"/>
            <w:bottom w:val="none" w:sz="0" w:space="0" w:color="auto"/>
            <w:right w:val="none" w:sz="0" w:space="0" w:color="auto"/>
          </w:divBdr>
          <w:divsChild>
            <w:div w:id="1089502333">
              <w:marLeft w:val="0"/>
              <w:marRight w:val="0"/>
              <w:marTop w:val="0"/>
              <w:marBottom w:val="0"/>
              <w:divBdr>
                <w:top w:val="none" w:sz="0" w:space="0" w:color="auto"/>
                <w:left w:val="none" w:sz="0" w:space="0" w:color="auto"/>
                <w:bottom w:val="none" w:sz="0" w:space="0" w:color="auto"/>
                <w:right w:val="none" w:sz="0" w:space="0" w:color="auto"/>
              </w:divBdr>
              <w:divsChild>
                <w:div w:id="1225870363">
                  <w:marLeft w:val="0"/>
                  <w:marRight w:val="0"/>
                  <w:marTop w:val="0"/>
                  <w:marBottom w:val="0"/>
                  <w:divBdr>
                    <w:top w:val="none" w:sz="0" w:space="0" w:color="auto"/>
                    <w:left w:val="none" w:sz="0" w:space="0" w:color="auto"/>
                    <w:bottom w:val="none" w:sz="0" w:space="0" w:color="auto"/>
                    <w:right w:val="none" w:sz="0" w:space="0" w:color="auto"/>
                  </w:divBdr>
                  <w:divsChild>
                    <w:div w:id="1674840667">
                      <w:marLeft w:val="0"/>
                      <w:marRight w:val="0"/>
                      <w:marTop w:val="0"/>
                      <w:marBottom w:val="0"/>
                      <w:divBdr>
                        <w:top w:val="none" w:sz="0" w:space="0" w:color="auto"/>
                        <w:left w:val="none" w:sz="0" w:space="0" w:color="auto"/>
                        <w:bottom w:val="none" w:sz="0" w:space="0" w:color="auto"/>
                        <w:right w:val="none" w:sz="0" w:space="0" w:color="auto"/>
                      </w:divBdr>
                      <w:divsChild>
                        <w:div w:id="2108190977">
                          <w:marLeft w:val="0"/>
                          <w:marRight w:val="0"/>
                          <w:marTop w:val="0"/>
                          <w:marBottom w:val="0"/>
                          <w:divBdr>
                            <w:top w:val="none" w:sz="0" w:space="0" w:color="auto"/>
                            <w:left w:val="none" w:sz="0" w:space="0" w:color="auto"/>
                            <w:bottom w:val="none" w:sz="0" w:space="0" w:color="auto"/>
                            <w:right w:val="none" w:sz="0" w:space="0" w:color="auto"/>
                          </w:divBdr>
                          <w:divsChild>
                            <w:div w:id="1731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udoc.echr.coe.int/sites/eng/Pages/search.aspx&amp;amp;quot;%20/l%20&amp;amp;quot;%7B/&amp;amp;quot;appno/&amp;amp;quot;:%5B/&amp;amp;quot;25551/05/&amp;amp;quot;%5D%7D&amp;amp;quot;%20/t%20&amp;amp;quot;_blan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udoc.echr.coe.int/sites/eng/Pages/search.aspx&amp;amp;quot;%20/l%20&amp;amp;quot;%7B/&amp;amp;quot;appno/&amp;amp;quot;:%5B/&amp;amp;quot;36659/04/&amp;amp;quot;%5D%7D&amp;amp;quot;%20/t%20&amp;amp;quot;_blan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A3BD-2736-4F7A-842C-C97F5963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2016-07-19T09:53:00Z</dcterms:created>
  <dcterms:modified xsi:type="dcterms:W3CDTF">2016-07-19T09:54:00Z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