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148" w:rsidRPr="0047466B" w:rsidRDefault="004D1148" w:rsidP="0047466B">
      <w:pPr>
        <w:jc w:val="center"/>
      </w:pPr>
    </w:p>
    <w:p w:rsidR="004D1148" w:rsidRPr="0047466B" w:rsidRDefault="004D1148" w:rsidP="0047466B">
      <w:pPr>
        <w:jc w:val="center"/>
        <w:rPr>
          <w:lang w:val="en-GB"/>
        </w:rPr>
      </w:pPr>
    </w:p>
    <w:p w:rsidR="00014566" w:rsidRPr="0047466B" w:rsidRDefault="00014566" w:rsidP="0047466B">
      <w:pPr>
        <w:jc w:val="center"/>
        <w:rPr>
          <w:lang w:val="en-GB"/>
        </w:rPr>
      </w:pPr>
    </w:p>
    <w:p w:rsidR="00014566" w:rsidRPr="0047466B" w:rsidRDefault="00EC6237" w:rsidP="0047466B">
      <w:pPr>
        <w:jc w:val="center"/>
      </w:pPr>
      <w:r>
        <w:t>ПЕТО ОТДЕЛЕНИЕ</w:t>
      </w:r>
    </w:p>
    <w:p w:rsidR="00014566" w:rsidRPr="0047466B" w:rsidRDefault="00014566" w:rsidP="0047466B">
      <w:pPr>
        <w:jc w:val="center"/>
        <w:rPr>
          <w:lang w:val="en-GB"/>
        </w:rPr>
      </w:pPr>
    </w:p>
    <w:p w:rsidR="004D1148" w:rsidRPr="0047466B" w:rsidRDefault="004D1148" w:rsidP="0047466B">
      <w:pPr>
        <w:jc w:val="center"/>
        <w:rPr>
          <w:lang w:val="en-GB"/>
        </w:rPr>
      </w:pPr>
    </w:p>
    <w:p w:rsidR="004D1148" w:rsidRPr="0047466B" w:rsidRDefault="004D1148" w:rsidP="0047466B">
      <w:pPr>
        <w:jc w:val="center"/>
        <w:rPr>
          <w:lang w:val="en-GB"/>
        </w:rPr>
      </w:pPr>
    </w:p>
    <w:p w:rsidR="004D1148" w:rsidRPr="0047466B" w:rsidRDefault="004D1148" w:rsidP="0047466B">
      <w:pPr>
        <w:jc w:val="center"/>
        <w:rPr>
          <w:lang w:val="en-GB"/>
        </w:rPr>
      </w:pPr>
    </w:p>
    <w:p w:rsidR="0047466B" w:rsidRPr="0047466B" w:rsidRDefault="0047466B" w:rsidP="0047466B">
      <w:pPr>
        <w:jc w:val="center"/>
        <w:rPr>
          <w:lang w:val="en-GB"/>
        </w:rPr>
      </w:pPr>
    </w:p>
    <w:p w:rsidR="00395B77" w:rsidRPr="0047466B" w:rsidRDefault="00395B77" w:rsidP="0047466B">
      <w:pPr>
        <w:jc w:val="center"/>
        <w:rPr>
          <w:lang w:val="en-GB"/>
        </w:rPr>
      </w:pPr>
    </w:p>
    <w:p w:rsidR="004D1148" w:rsidRPr="0047466B" w:rsidRDefault="004D1148" w:rsidP="0047466B">
      <w:pPr>
        <w:jc w:val="center"/>
        <w:rPr>
          <w:lang w:val="en-GB"/>
        </w:rPr>
      </w:pPr>
    </w:p>
    <w:p w:rsidR="00014566" w:rsidRPr="0047466B" w:rsidRDefault="00014566" w:rsidP="0047466B">
      <w:pPr>
        <w:jc w:val="center"/>
        <w:rPr>
          <w:b/>
        </w:rPr>
      </w:pPr>
      <w:bookmarkStart w:id="0" w:name="To"/>
      <w:r>
        <w:rPr>
          <w:b/>
        </w:rPr>
        <w:t xml:space="preserve">ДЕЛО </w:t>
      </w:r>
      <w:bookmarkEnd w:id="0"/>
      <w:r>
        <w:rPr>
          <w:b/>
        </w:rPr>
        <w:t xml:space="preserve">КИРИЛ АНДРЕЕВ </w:t>
      </w:r>
      <w:r w:rsidR="00714AB7">
        <w:rPr>
          <w:b/>
        </w:rPr>
        <w:t>срещу</w:t>
      </w:r>
      <w:r>
        <w:rPr>
          <w:b/>
        </w:rPr>
        <w:t xml:space="preserve"> БЪЛГАРИЯ</w:t>
      </w:r>
    </w:p>
    <w:p w:rsidR="00014566" w:rsidRPr="0047466B" w:rsidRDefault="00014566" w:rsidP="0047466B">
      <w:pPr>
        <w:jc w:val="center"/>
        <w:rPr>
          <w:lang w:val="en-GB"/>
        </w:rPr>
      </w:pPr>
    </w:p>
    <w:p w:rsidR="00014566" w:rsidRPr="0047466B" w:rsidRDefault="00014566" w:rsidP="0047466B">
      <w:pPr>
        <w:jc w:val="center"/>
        <w:rPr>
          <w:i/>
        </w:rPr>
      </w:pPr>
      <w:r>
        <w:rPr>
          <w:i/>
        </w:rPr>
        <w:t>(Жалба № 79828/12)</w:t>
      </w:r>
    </w:p>
    <w:p w:rsidR="00014566" w:rsidRPr="0047466B" w:rsidRDefault="00014566" w:rsidP="0047466B">
      <w:pPr>
        <w:jc w:val="center"/>
        <w:rPr>
          <w:lang w:val="en-GB"/>
        </w:rPr>
      </w:pPr>
    </w:p>
    <w:p w:rsidR="00395B77" w:rsidRPr="0047466B" w:rsidRDefault="00395B77" w:rsidP="0047466B">
      <w:pPr>
        <w:jc w:val="center"/>
        <w:rPr>
          <w:lang w:val="en-GB"/>
        </w:rPr>
      </w:pPr>
    </w:p>
    <w:p w:rsidR="00395B77" w:rsidRPr="0047466B" w:rsidRDefault="00395B77" w:rsidP="0047466B">
      <w:pPr>
        <w:jc w:val="center"/>
        <w:rPr>
          <w:lang w:val="en-GB"/>
        </w:rPr>
      </w:pPr>
    </w:p>
    <w:p w:rsidR="00395B77" w:rsidRPr="0047466B" w:rsidRDefault="00395B77" w:rsidP="0047466B">
      <w:pPr>
        <w:jc w:val="center"/>
        <w:rPr>
          <w:lang w:val="en-GB"/>
        </w:rPr>
      </w:pPr>
    </w:p>
    <w:p w:rsidR="0047466B" w:rsidRPr="0047466B" w:rsidRDefault="0047466B" w:rsidP="0047466B">
      <w:pPr>
        <w:jc w:val="center"/>
        <w:rPr>
          <w:lang w:val="en-GB"/>
        </w:rPr>
      </w:pPr>
    </w:p>
    <w:p w:rsidR="00395B77" w:rsidRPr="0047466B" w:rsidRDefault="00395B77" w:rsidP="0047466B">
      <w:pPr>
        <w:jc w:val="center"/>
        <w:rPr>
          <w:lang w:val="en-GB"/>
        </w:rPr>
      </w:pPr>
    </w:p>
    <w:p w:rsidR="00014566" w:rsidRPr="0047466B" w:rsidRDefault="00014566" w:rsidP="0047466B">
      <w:pPr>
        <w:jc w:val="center"/>
        <w:rPr>
          <w:szCs w:val="24"/>
          <w:lang w:val="en-GB"/>
        </w:rPr>
      </w:pPr>
    </w:p>
    <w:p w:rsidR="004D1148" w:rsidRPr="0047466B" w:rsidRDefault="00395B77" w:rsidP="0047466B">
      <w:pPr>
        <w:jc w:val="center"/>
      </w:pPr>
      <w:r>
        <w:t>РЕШЕНИЕ</w:t>
      </w:r>
    </w:p>
    <w:p w:rsidR="004D1148" w:rsidRPr="0047466B" w:rsidRDefault="004D1148" w:rsidP="0047466B">
      <w:pPr>
        <w:jc w:val="center"/>
        <w:rPr>
          <w:lang w:val="en-GB"/>
        </w:rPr>
      </w:pPr>
    </w:p>
    <w:p w:rsidR="00395B77" w:rsidRPr="0047466B" w:rsidRDefault="00395B77" w:rsidP="0047466B">
      <w:pPr>
        <w:jc w:val="center"/>
        <w:rPr>
          <w:lang w:val="en-GB"/>
        </w:rPr>
      </w:pPr>
    </w:p>
    <w:p w:rsidR="00395B77" w:rsidRPr="0047466B" w:rsidRDefault="00395B77" w:rsidP="0047466B">
      <w:pPr>
        <w:jc w:val="center"/>
        <w:rPr>
          <w:lang w:val="en-GB"/>
        </w:rPr>
      </w:pPr>
    </w:p>
    <w:p w:rsidR="004D1148" w:rsidRPr="0047466B" w:rsidRDefault="004D1148" w:rsidP="0047466B">
      <w:pPr>
        <w:jc w:val="center"/>
      </w:pPr>
      <w:r>
        <w:t>СТРАСБУРГ</w:t>
      </w:r>
    </w:p>
    <w:p w:rsidR="004D1148" w:rsidRPr="0047466B" w:rsidRDefault="004D1148" w:rsidP="0047466B">
      <w:pPr>
        <w:jc w:val="center"/>
        <w:rPr>
          <w:lang w:val="en-GB"/>
        </w:rPr>
      </w:pPr>
    </w:p>
    <w:p w:rsidR="004D1148" w:rsidRPr="0047466B" w:rsidRDefault="00395B77" w:rsidP="0047466B">
      <w:pPr>
        <w:jc w:val="center"/>
      </w:pPr>
      <w:r>
        <w:t>28 януари 2016 г.</w:t>
      </w:r>
    </w:p>
    <w:p w:rsidR="004D1148" w:rsidRPr="0047466B" w:rsidRDefault="004D1148" w:rsidP="0047466B">
      <w:pPr>
        <w:jc w:val="center"/>
        <w:rPr>
          <w:lang w:val="en-GB"/>
        </w:rPr>
      </w:pPr>
    </w:p>
    <w:p w:rsidR="00225588" w:rsidRDefault="00225588" w:rsidP="0047466B">
      <w:pPr>
        <w:jc w:val="center"/>
      </w:pPr>
    </w:p>
    <w:p w:rsidR="004D1148" w:rsidRDefault="00225588" w:rsidP="0047466B">
      <w:pPr>
        <w:jc w:val="center"/>
      </w:pPr>
      <w:r>
        <w:t>ОКОНЧАТЕЛНО</w:t>
      </w:r>
    </w:p>
    <w:p w:rsidR="00225588" w:rsidRDefault="00225588" w:rsidP="0047466B">
      <w:pPr>
        <w:jc w:val="center"/>
      </w:pPr>
    </w:p>
    <w:p w:rsidR="00225588" w:rsidRPr="00225588" w:rsidRDefault="00225588" w:rsidP="0047466B">
      <w:pPr>
        <w:jc w:val="center"/>
      </w:pPr>
      <w:r>
        <w:t>28/04/2016</w:t>
      </w:r>
    </w:p>
    <w:p w:rsidR="00395B77" w:rsidRPr="0047466B" w:rsidRDefault="00395B77" w:rsidP="0047466B">
      <w:pPr>
        <w:jc w:val="center"/>
        <w:rPr>
          <w:lang w:val="en-GB"/>
        </w:rPr>
      </w:pPr>
    </w:p>
    <w:p w:rsidR="0047466B" w:rsidRPr="0047466B" w:rsidRDefault="0047466B" w:rsidP="0047466B">
      <w:pPr>
        <w:jc w:val="center"/>
        <w:rPr>
          <w:lang w:val="en-GB"/>
        </w:rPr>
      </w:pPr>
    </w:p>
    <w:p w:rsidR="00395B77" w:rsidRPr="0047466B" w:rsidRDefault="00395B77" w:rsidP="0047466B">
      <w:pPr>
        <w:jc w:val="center"/>
        <w:rPr>
          <w:lang w:val="en-GB"/>
        </w:rPr>
      </w:pPr>
    </w:p>
    <w:p w:rsidR="004D1148" w:rsidRPr="0047466B" w:rsidRDefault="004D1148" w:rsidP="0047466B">
      <w:pPr>
        <w:pStyle w:val="JuCase"/>
        <w:ind w:firstLine="0"/>
        <w:jc w:val="left"/>
        <w:rPr>
          <w:lang w:val="en-GB"/>
        </w:rPr>
      </w:pPr>
    </w:p>
    <w:p w:rsidR="0047466B" w:rsidRPr="0047466B" w:rsidRDefault="0047466B" w:rsidP="0047466B">
      <w:pPr>
        <w:pStyle w:val="ECHRPara"/>
        <w:rPr>
          <w:lang w:val="en-GB"/>
        </w:rPr>
        <w:sectPr w:rsidR="0047466B" w:rsidRPr="0047466B" w:rsidSect="004D1148">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38" w:code="9"/>
          <w:pgMar w:top="2274" w:right="2274" w:bottom="2274" w:left="2274" w:header="1701" w:footer="720" w:gutter="0"/>
          <w:pgNumType w:start="1"/>
          <w:cols w:space="720"/>
          <w:titlePg/>
          <w:docGrid w:linePitch="326"/>
        </w:sectPr>
      </w:pPr>
    </w:p>
    <w:p w:rsidR="00014566" w:rsidRPr="0047466B" w:rsidRDefault="00014566" w:rsidP="0047466B">
      <w:pPr>
        <w:pStyle w:val="JuCase"/>
        <w:jc w:val="left"/>
        <w:rPr>
          <w:bCs/>
        </w:rPr>
      </w:pPr>
      <w:r>
        <w:lastRenderedPageBreak/>
        <w:t>По делото Кирил Андреев срещу България,</w:t>
      </w:r>
    </w:p>
    <w:p w:rsidR="00014566" w:rsidRPr="0047466B" w:rsidRDefault="00014566" w:rsidP="0047466B">
      <w:pPr>
        <w:pStyle w:val="ECHRPara"/>
      </w:pPr>
      <w:r>
        <w:t>Европейският съд по правата на човека (Пето отделение), заседаващ в състав:</w:t>
      </w:r>
    </w:p>
    <w:p w:rsidR="00014566" w:rsidRPr="0047466B" w:rsidRDefault="004D1148" w:rsidP="0047466B">
      <w:pPr>
        <w:pStyle w:val="ECHRDecisionBody"/>
      </w:pPr>
      <w:r>
        <w:tab/>
      </w:r>
      <w:proofErr w:type="spellStart"/>
      <w:r>
        <w:t>Ан</w:t>
      </w:r>
      <w:r w:rsidR="00714AB7">
        <w:t>г</w:t>
      </w:r>
      <w:r>
        <w:t>елика</w:t>
      </w:r>
      <w:proofErr w:type="spellEnd"/>
      <w:r>
        <w:t xml:space="preserve"> </w:t>
      </w:r>
      <w:proofErr w:type="spellStart"/>
      <w:r>
        <w:t>Ню</w:t>
      </w:r>
      <w:r w:rsidR="00714AB7">
        <w:t>с</w:t>
      </w:r>
      <w:r>
        <w:t>бергер</w:t>
      </w:r>
      <w:proofErr w:type="spellEnd"/>
      <w:r>
        <w:t xml:space="preserve"> (</w:t>
      </w:r>
      <w:proofErr w:type="spellStart"/>
      <w:r>
        <w:t>Angelika</w:t>
      </w:r>
      <w:proofErr w:type="spellEnd"/>
      <w:r>
        <w:t xml:space="preserve"> </w:t>
      </w:r>
      <w:proofErr w:type="spellStart"/>
      <w:r>
        <w:t>Nußberger</w:t>
      </w:r>
      <w:proofErr w:type="spellEnd"/>
      <w:r>
        <w:t>),</w:t>
      </w:r>
      <w:r>
        <w:rPr>
          <w:i/>
        </w:rPr>
        <w:t xml:space="preserve"> председател,</w:t>
      </w:r>
      <w:r>
        <w:rPr>
          <w:i/>
        </w:rPr>
        <w:br/>
      </w:r>
      <w:r>
        <w:tab/>
      </w:r>
      <w:proofErr w:type="spellStart"/>
      <w:r>
        <w:t>Ханлар</w:t>
      </w:r>
      <w:proofErr w:type="spellEnd"/>
      <w:r>
        <w:t xml:space="preserve"> </w:t>
      </w:r>
      <w:proofErr w:type="spellStart"/>
      <w:r>
        <w:t>Хаджийев</w:t>
      </w:r>
      <w:proofErr w:type="spellEnd"/>
      <w:r>
        <w:t xml:space="preserve"> (</w:t>
      </w:r>
      <w:proofErr w:type="spellStart"/>
      <w:r>
        <w:t>Khanlar</w:t>
      </w:r>
      <w:proofErr w:type="spellEnd"/>
      <w:r>
        <w:t xml:space="preserve"> </w:t>
      </w:r>
      <w:proofErr w:type="spellStart"/>
      <w:r>
        <w:t>Hajiyev</w:t>
      </w:r>
      <w:proofErr w:type="spellEnd"/>
      <w:r>
        <w:t>),</w:t>
      </w:r>
      <w:r>
        <w:rPr>
          <w:i/>
        </w:rPr>
        <w:br/>
      </w:r>
      <w:r>
        <w:tab/>
        <w:t xml:space="preserve">Ерик </w:t>
      </w:r>
      <w:proofErr w:type="spellStart"/>
      <w:r>
        <w:t>Мьосе</w:t>
      </w:r>
      <w:proofErr w:type="spellEnd"/>
      <w:r>
        <w:t xml:space="preserve"> (</w:t>
      </w:r>
      <w:proofErr w:type="spellStart"/>
      <w:r>
        <w:t>Erik</w:t>
      </w:r>
      <w:proofErr w:type="spellEnd"/>
      <w:r>
        <w:t xml:space="preserve"> </w:t>
      </w:r>
      <w:proofErr w:type="spellStart"/>
      <w:r>
        <w:t>Møse</w:t>
      </w:r>
      <w:proofErr w:type="spellEnd"/>
      <w:r>
        <w:t>),</w:t>
      </w:r>
      <w:r>
        <w:rPr>
          <w:i/>
        </w:rPr>
        <w:br/>
      </w:r>
      <w:r>
        <w:tab/>
        <w:t xml:space="preserve">Андре </w:t>
      </w:r>
      <w:proofErr w:type="spellStart"/>
      <w:r>
        <w:t>Потоцки</w:t>
      </w:r>
      <w:proofErr w:type="spellEnd"/>
      <w:r>
        <w:t xml:space="preserve"> (</w:t>
      </w:r>
      <w:proofErr w:type="spellStart"/>
      <w:r>
        <w:t>André</w:t>
      </w:r>
      <w:proofErr w:type="spellEnd"/>
      <w:r>
        <w:t xml:space="preserve"> </w:t>
      </w:r>
      <w:proofErr w:type="spellStart"/>
      <w:r>
        <w:t>Potocki</w:t>
      </w:r>
      <w:proofErr w:type="spellEnd"/>
      <w:r>
        <w:t>),</w:t>
      </w:r>
      <w:r>
        <w:rPr>
          <w:i/>
        </w:rPr>
        <w:br/>
      </w:r>
      <w:r>
        <w:tab/>
        <w:t>Йонко Грозев,</w:t>
      </w:r>
      <w:r>
        <w:rPr>
          <w:i/>
        </w:rPr>
        <w:br/>
      </w:r>
      <w:r>
        <w:tab/>
      </w:r>
      <w:proofErr w:type="spellStart"/>
      <w:r>
        <w:t>Шифра</w:t>
      </w:r>
      <w:proofErr w:type="spellEnd"/>
      <w:r>
        <w:t xml:space="preserve"> </w:t>
      </w:r>
      <w:proofErr w:type="spellStart"/>
      <w:r>
        <w:t>О’Лиъри</w:t>
      </w:r>
      <w:proofErr w:type="spellEnd"/>
      <w:r w:rsidR="00714AB7">
        <w:t xml:space="preserve"> (</w:t>
      </w:r>
      <w:proofErr w:type="spellStart"/>
      <w:r>
        <w:t>Síofra</w:t>
      </w:r>
      <w:proofErr w:type="spellEnd"/>
      <w:r>
        <w:t xml:space="preserve"> </w:t>
      </w:r>
      <w:proofErr w:type="spellStart"/>
      <w:r>
        <w:t>O’Leary</w:t>
      </w:r>
      <w:proofErr w:type="spellEnd"/>
      <w:r>
        <w:t>),</w:t>
      </w:r>
      <w:r>
        <w:rPr>
          <w:i/>
        </w:rPr>
        <w:br/>
      </w:r>
      <w:r>
        <w:tab/>
        <w:t xml:space="preserve">Карло </w:t>
      </w:r>
      <w:proofErr w:type="spellStart"/>
      <w:r>
        <w:t>Ранцони</w:t>
      </w:r>
      <w:proofErr w:type="spellEnd"/>
      <w:r>
        <w:t xml:space="preserve"> (</w:t>
      </w:r>
      <w:proofErr w:type="spellStart"/>
      <w:r>
        <w:t>Carlo</w:t>
      </w:r>
      <w:proofErr w:type="spellEnd"/>
      <w:r>
        <w:t xml:space="preserve"> </w:t>
      </w:r>
      <w:proofErr w:type="spellStart"/>
      <w:r>
        <w:t>Ranzoni</w:t>
      </w:r>
      <w:proofErr w:type="spellEnd"/>
      <w:r>
        <w:t>),</w:t>
      </w:r>
      <w:r>
        <w:rPr>
          <w:i/>
        </w:rPr>
        <w:t xml:space="preserve"> съдии,</w:t>
      </w:r>
      <w:r>
        <w:br/>
        <w:t xml:space="preserve">и </w:t>
      </w:r>
      <w:proofErr w:type="spellStart"/>
      <w:r>
        <w:t>Клаудия</w:t>
      </w:r>
      <w:proofErr w:type="spellEnd"/>
      <w:r>
        <w:t xml:space="preserve"> </w:t>
      </w:r>
      <w:proofErr w:type="spellStart"/>
      <w:r>
        <w:t>Вестердик</w:t>
      </w:r>
      <w:proofErr w:type="spellEnd"/>
      <w:r>
        <w:t xml:space="preserve">, </w:t>
      </w:r>
      <w:r>
        <w:rPr>
          <w:i/>
        </w:rPr>
        <w:t>секретар на отделението,</w:t>
      </w:r>
    </w:p>
    <w:p w:rsidR="00014566" w:rsidRPr="0047466B" w:rsidRDefault="00014566" w:rsidP="0047466B">
      <w:pPr>
        <w:pStyle w:val="ECHRPara"/>
      </w:pPr>
      <w:r>
        <w:t>След закрито заседание, проведено на 5 януари 2016 г.,</w:t>
      </w:r>
    </w:p>
    <w:p w:rsidR="00014566" w:rsidRPr="0047466B" w:rsidRDefault="00014566" w:rsidP="0047466B">
      <w:pPr>
        <w:pStyle w:val="ECHRPara"/>
      </w:pPr>
      <w:r>
        <w:t>Постанови следното решение, прието на същата дата:</w:t>
      </w:r>
    </w:p>
    <w:p w:rsidR="00014566" w:rsidRPr="0047466B" w:rsidRDefault="00014566" w:rsidP="0047466B">
      <w:pPr>
        <w:pStyle w:val="ECHRTitle1"/>
      </w:pPr>
      <w:r>
        <w:t>ПРОЦЕДУРА</w:t>
      </w:r>
    </w:p>
    <w:p w:rsidR="00790740" w:rsidRPr="0047466B" w:rsidRDefault="00171F84" w:rsidP="0047466B">
      <w:pPr>
        <w:pStyle w:val="ECHRPara"/>
      </w:pPr>
      <w:fldSimple w:instr=" SEQ level0 \*arabic ">
        <w:r w:rsidR="0047466B" w:rsidRPr="0047466B">
          <w:t>1</w:t>
        </w:r>
      </w:fldSimple>
      <w:r w:rsidR="00790740">
        <w:t>.  Делото е образувано по жалба (№ 79828/12) срещу Република България, подадена в Съда на основание член 34 от Конвенцията за защита на правата на човека и основните свободи (</w:t>
      </w:r>
      <w:r w:rsidR="00225588">
        <w:t>„Конвенцията“) от гражданин на Р</w:t>
      </w:r>
      <w:r w:rsidR="00790740">
        <w:t>епублика България, г-н Кирил Димитров Андреев („жалбоподателят“), на 5 декември 2012 г.</w:t>
      </w:r>
    </w:p>
    <w:p w:rsidR="00790740" w:rsidRPr="0047466B" w:rsidRDefault="00171F84" w:rsidP="0047466B">
      <w:pPr>
        <w:pStyle w:val="ECHRPara"/>
      </w:pPr>
      <w:fldSimple w:instr=" SEQ level0 \*arabic ">
        <w:r w:rsidR="0047466B" w:rsidRPr="0047466B">
          <w:t>2</w:t>
        </w:r>
      </w:fldSimple>
      <w:r w:rsidR="00790740">
        <w:t xml:space="preserve">.  Жалбоподателят е представляван от г-н С. Арнаудов, адвокат, практикуващ в Пловдив. Българското правителство („Правителството”) се представлява от правителствения </w:t>
      </w:r>
      <w:r w:rsidR="00714AB7">
        <w:t xml:space="preserve">агент </w:t>
      </w:r>
      <w:r w:rsidR="00790740">
        <w:t xml:space="preserve">г-жа Д. </w:t>
      </w:r>
      <w:proofErr w:type="spellStart"/>
      <w:r w:rsidR="00790740">
        <w:t>Драмова</w:t>
      </w:r>
      <w:proofErr w:type="spellEnd"/>
      <w:r w:rsidR="00790740">
        <w:t xml:space="preserve"> от Министерство</w:t>
      </w:r>
      <w:r w:rsidR="00714AB7">
        <w:t>то</w:t>
      </w:r>
      <w:r w:rsidR="00790740">
        <w:t xml:space="preserve"> на правосъдието.</w:t>
      </w:r>
    </w:p>
    <w:p w:rsidR="00014566" w:rsidRPr="0047466B" w:rsidRDefault="00171F84" w:rsidP="0047466B">
      <w:pPr>
        <w:pStyle w:val="ECHRPara"/>
      </w:pPr>
      <w:fldSimple w:instr=" SEQ level0 \*arabic ">
        <w:r w:rsidR="0047466B" w:rsidRPr="0047466B">
          <w:t>3</w:t>
        </w:r>
      </w:fldSimple>
      <w:r w:rsidR="00790740">
        <w:t>.  Конкретно жалбоподателят твърди, че задържането му за срок от четиридесет и три часа в периода между 7 и 9 юни 2012 г. е било незаконно, като той не е имал начин да го оспори.</w:t>
      </w:r>
    </w:p>
    <w:p w:rsidR="00014566" w:rsidRPr="0047466B" w:rsidRDefault="00171F84" w:rsidP="0047466B">
      <w:pPr>
        <w:pStyle w:val="ECHRPara"/>
      </w:pPr>
      <w:fldSimple w:instr=" SEQ level0 \*arabic ">
        <w:r w:rsidR="0047466B" w:rsidRPr="0047466B">
          <w:t>4</w:t>
        </w:r>
      </w:fldSimple>
      <w:r w:rsidR="00790740">
        <w:t>.  На 26 май 2014 г. посочените по-горе оплаквания са сведени до знанието на Правителството, като останалата част от жалбата е обявена за недопустима съгласно член 54, ал. 3 от Правилника на Съда.</w:t>
      </w:r>
    </w:p>
    <w:p w:rsidR="00014566" w:rsidRPr="0047466B" w:rsidRDefault="00014566" w:rsidP="0047466B">
      <w:pPr>
        <w:pStyle w:val="ECHRTitle1"/>
      </w:pPr>
      <w:r>
        <w:t>ФАКТИТЕ</w:t>
      </w:r>
    </w:p>
    <w:p w:rsidR="00014566" w:rsidRPr="0047466B" w:rsidRDefault="00014566" w:rsidP="0047466B">
      <w:pPr>
        <w:pStyle w:val="ECHRHeading1"/>
      </w:pPr>
      <w:r>
        <w:t>I.</w:t>
      </w:r>
      <w:r>
        <w:tab/>
        <w:t>ОБСТОЯТЕЛСТВАТА ПО ДЕЛОТО</w:t>
      </w:r>
    </w:p>
    <w:p w:rsidR="00014566" w:rsidRPr="0047466B" w:rsidRDefault="00171F84" w:rsidP="0047466B">
      <w:pPr>
        <w:pStyle w:val="ECHRPara"/>
      </w:pPr>
      <w:fldSimple w:instr=" SEQ level0 \*arabic ">
        <w:r w:rsidR="0047466B" w:rsidRPr="0047466B">
          <w:t>5</w:t>
        </w:r>
      </w:fldSimple>
      <w:r w:rsidR="00790740">
        <w:t>.  Жалбоподателят е роден през 1980 г. и живее в Плевен.</w:t>
      </w:r>
    </w:p>
    <w:p w:rsidR="00C7097F" w:rsidRPr="0047466B" w:rsidRDefault="00171F84" w:rsidP="0047466B">
      <w:pPr>
        <w:pStyle w:val="ECHRPara"/>
      </w:pPr>
      <w:fldSimple w:instr=" SEQ level0 \*arabic ">
        <w:r w:rsidR="0047466B" w:rsidRPr="0047466B">
          <w:t>6</w:t>
        </w:r>
      </w:fldSimple>
      <w:r w:rsidR="00C7097F">
        <w:t xml:space="preserve">.  На 25 април 2012 г. той е арестуван в София и впоследствие му е повдигнато обвинение за незаконно притежание на огнестрелно оръжие и боеприпаси. По време на предварителното производство </w:t>
      </w:r>
      <w:r w:rsidR="00C7097F">
        <w:lastRenderedPageBreak/>
        <w:t>жалбоподателят остава с мярка за неотклонение „задържане под стража“. Накрая сключва споразумение с прокуратурата като признава, че е извършил престъплението, в което е обвинен, като в резултат на това му е наложена условна присъда от две години лишаване от свобода.</w:t>
      </w:r>
    </w:p>
    <w:p w:rsidR="00C7097F" w:rsidRPr="0047466B" w:rsidRDefault="00171F84" w:rsidP="0047466B">
      <w:pPr>
        <w:pStyle w:val="ECHRPara"/>
      </w:pPr>
      <w:fldSimple w:instr=" SEQ level0 \*arabic ">
        <w:r w:rsidR="0047466B" w:rsidRPr="0047466B">
          <w:t>7</w:t>
        </w:r>
      </w:fldSimple>
      <w:r w:rsidR="00790740">
        <w:t>.  Споразумението с прокуратурата е одобрено по време на заседание на Софийски</w:t>
      </w:r>
      <w:r w:rsidR="00FB6FEA">
        <w:t>я</w:t>
      </w:r>
      <w:r w:rsidR="00790740">
        <w:t xml:space="preserve"> </w:t>
      </w:r>
      <w:r w:rsidR="00FB6FEA">
        <w:t>районен</w:t>
      </w:r>
      <w:r w:rsidR="00790740">
        <w:t xml:space="preserve"> съд на 7 юни 2012 г. Решението на съда е окончателно. В края на заседанието, в 17:1</w:t>
      </w:r>
      <w:r w:rsidR="00FB6FEA">
        <w:t>6</w:t>
      </w:r>
      <w:r w:rsidR="00790740">
        <w:t xml:space="preserve"> ч. съдът разпорежда преустановяване на </w:t>
      </w:r>
      <w:r w:rsidR="00FB6FEA">
        <w:t xml:space="preserve">предварителното </w:t>
      </w:r>
      <w:r w:rsidR="00790740">
        <w:t>задържане на жалбоподателя.</w:t>
      </w:r>
    </w:p>
    <w:p w:rsidR="00C7097F" w:rsidRPr="0047466B" w:rsidRDefault="00171F84" w:rsidP="0047466B">
      <w:pPr>
        <w:pStyle w:val="ECHRPara"/>
      </w:pPr>
      <w:fldSimple w:instr=" SEQ level0 \*arabic ">
        <w:r w:rsidR="0047466B" w:rsidRPr="0047466B">
          <w:t>8</w:t>
        </w:r>
      </w:fldSimple>
      <w:r w:rsidR="00810F1A">
        <w:t>.  След заседанието жалбоподателят е отведен в Софийска следствена служба, където около 19:00 ч. официално е прекратено задържането му под стража</w:t>
      </w:r>
      <w:r w:rsidR="00FB6FEA">
        <w:t>.</w:t>
      </w:r>
      <w:r w:rsidR="00810F1A">
        <w:t xml:space="preserve"> Въпреки това той не е освободен, а отведен в полицейско управление, където остава през нощта и </w:t>
      </w:r>
      <w:r w:rsidR="00FB6FEA">
        <w:t>на</w:t>
      </w:r>
      <w:r w:rsidR="00810F1A">
        <w:t xml:space="preserve"> следващия ден. Сутринта на 9 юни 2012 г. той е прехвърлен в Плевен, където със заповед, издадена в 12:10 ч.</w:t>
      </w:r>
      <w:r w:rsidR="00FB6FEA">
        <w:t>,</w:t>
      </w:r>
      <w:r w:rsidR="00810F1A">
        <w:t xml:space="preserve"> отново официално е задържан в полицията. Мярката за неотклонение е взета в контекста на друг</w:t>
      </w:r>
      <w:r w:rsidR="00FB6FEA">
        <w:t>о</w:t>
      </w:r>
      <w:r w:rsidR="00810F1A">
        <w:t xml:space="preserve"> наказателно производство срещу жалбоподателя, образувано през април 2012 г. На 10 юни 2012 г. следователят по случая повдига обвинения срещу жалбоподателя във връзка с друг случай на незаконно притежание на огнестрелно оръжие.</w:t>
      </w:r>
    </w:p>
    <w:p w:rsidR="00014566" w:rsidRPr="0047466B" w:rsidRDefault="00171F84" w:rsidP="0047466B">
      <w:pPr>
        <w:pStyle w:val="ECHRPara"/>
      </w:pPr>
      <w:fldSimple w:instr=" SEQ level0 \*arabic ">
        <w:r w:rsidR="0047466B" w:rsidRPr="0047466B">
          <w:t>9</w:t>
        </w:r>
      </w:fldSimple>
      <w:r w:rsidR="004B2332">
        <w:t>.  В производството пред Съда Правителството представя заповед от 8 юни 2012 г., издадена от следователя по случая в Плевен, която гласи, че жалбоподателят трябва да бъде отведен от полицията при нея, за да му бъдат повдигнати обвинения. Заповедта се позовава конкретно на чл</w:t>
      </w:r>
      <w:r w:rsidR="00EB7958">
        <w:t>.</w:t>
      </w:r>
      <w:r w:rsidR="004B2332">
        <w:t xml:space="preserve"> 71, ал. 1, 2 и 3 от Наказателнопроцесуалния кодекс (вж. параграф 12 по-долу) и за обосноваване на необходимостта от принудително довеждане на жалбоподателя се твърди, че съществува риск той да се укрие. Правителството обяснява, че </w:t>
      </w:r>
      <w:r w:rsidR="00EB7958">
        <w:t>до</w:t>
      </w:r>
      <w:r w:rsidR="004B2332">
        <w:t xml:space="preserve"> получ</w:t>
      </w:r>
      <w:r w:rsidR="00EB7958">
        <w:t>аването на</w:t>
      </w:r>
      <w:r w:rsidR="004B2332">
        <w:t xml:space="preserve"> заповедта от полицията в София</w:t>
      </w:r>
      <w:r w:rsidR="00EB7958">
        <w:t xml:space="preserve"> вече</w:t>
      </w:r>
      <w:r w:rsidR="004B2332">
        <w:t xml:space="preserve"> не е било възможно организиране на прехвърлянето на жалбоподателя в Плевен същия ден. Поради тази причина жалбоподателят е бил задържан в полицейското управление през нощта и след това веднага е прехвърлен в Плевен на следващия ден, 9 юни 2012 г.</w:t>
      </w:r>
    </w:p>
    <w:p w:rsidR="00014566" w:rsidRPr="0047466B" w:rsidRDefault="00014566" w:rsidP="0047466B">
      <w:pPr>
        <w:pStyle w:val="ECHRHeading1"/>
      </w:pPr>
      <w:r>
        <w:t>II.  ПРИЛОЖИМО ВЪТРЕШНО ПРАВО И ПРАКТИКА</w:t>
      </w:r>
    </w:p>
    <w:p w:rsidR="00650B73" w:rsidRPr="0047466B" w:rsidRDefault="00650B73" w:rsidP="0047466B">
      <w:pPr>
        <w:pStyle w:val="ECHRHeading2"/>
      </w:pPr>
      <w:r>
        <w:t>А.</w:t>
      </w:r>
      <w:r>
        <w:tab/>
      </w:r>
      <w:proofErr w:type="spellStart"/>
      <w:r>
        <w:t>Наказателнопроцесуален</w:t>
      </w:r>
      <w:proofErr w:type="spellEnd"/>
      <w:r>
        <w:t xml:space="preserve"> кодекс</w:t>
      </w:r>
    </w:p>
    <w:p w:rsidR="00C7097F" w:rsidRPr="0047466B" w:rsidRDefault="00171F84" w:rsidP="0047466B">
      <w:pPr>
        <w:pStyle w:val="ECHRPara"/>
      </w:pPr>
      <w:fldSimple w:instr=" SEQ level0 \*arabic ">
        <w:r w:rsidR="0047466B" w:rsidRPr="0047466B">
          <w:t>10</w:t>
        </w:r>
      </w:fldSimple>
      <w:r w:rsidR="00790740">
        <w:t>.  Член 383, ал. 1 от Наказателнопроцесуалния кодекс гласи, че одобреното от съда споразумение за решаване на делото има последиците на влязла в сила присъда.</w:t>
      </w:r>
    </w:p>
    <w:p w:rsidR="009429C3" w:rsidRPr="0047466B" w:rsidRDefault="00171F84" w:rsidP="0047466B">
      <w:pPr>
        <w:pStyle w:val="ECHRPara"/>
      </w:pPr>
      <w:fldSimple w:instr=" SEQ level0 \*arabic ">
        <w:r w:rsidR="0047466B" w:rsidRPr="0047466B">
          <w:t>11</w:t>
        </w:r>
      </w:fldSimple>
      <w:r w:rsidR="00550813">
        <w:t>.  Според член 309, ал. 2 от Кодекса, когато подсъдимият е освободен от наказателна отговорност, осъден е условно, осъден е на наказание, по-леко от лишаване от свобода, той се освобождава „още в съдебната зала“.</w:t>
      </w:r>
    </w:p>
    <w:p w:rsidR="00550813" w:rsidRPr="0047466B" w:rsidRDefault="00171F84" w:rsidP="0047466B">
      <w:pPr>
        <w:pStyle w:val="ECHRPara"/>
      </w:pPr>
      <w:fldSimple w:instr=" SEQ level0 \*arabic ">
        <w:r w:rsidR="0047466B" w:rsidRPr="0047466B">
          <w:t>12</w:t>
        </w:r>
      </w:fldSimple>
      <w:r w:rsidR="009C32EB">
        <w:t xml:space="preserve">.  Член 71 от Кодекса дава право на </w:t>
      </w:r>
      <w:r w:rsidR="00CB76EA">
        <w:t xml:space="preserve">разследващите </w:t>
      </w:r>
      <w:r w:rsidR="009C32EB">
        <w:t>органи и съдилищата да издават заповед за принудително довеждане на обвиняемия, ако явяването му/</w:t>
      </w:r>
      <w:r w:rsidR="00DC65D1">
        <w:t>ѝ</w:t>
      </w:r>
      <w:r w:rsidR="009C32EB">
        <w:t xml:space="preserve"> е задължително или съответният орган намери, че то е необходимо. Това обаче е допустимо само когато обвиняемия</w:t>
      </w:r>
      <w:r w:rsidR="00DC65D1">
        <w:t>т</w:t>
      </w:r>
      <w:r w:rsidR="009C32EB">
        <w:t xml:space="preserve"> е призован и не се е явил</w:t>
      </w:r>
      <w:r w:rsidR="00DC65D1">
        <w:t xml:space="preserve"> без</w:t>
      </w:r>
      <w:r w:rsidR="009C32EB">
        <w:t xml:space="preserve"> уважителна причина. Изключение от това правило се допуска, когато обвиняемият се е укрил преди това или няма постоянн</w:t>
      </w:r>
      <w:r w:rsidR="00DC65D1">
        <w:t>о</w:t>
      </w:r>
      <w:r w:rsidR="009C32EB">
        <w:t xml:space="preserve"> </w:t>
      </w:r>
      <w:r w:rsidR="00DC65D1">
        <w:t>местоживеене</w:t>
      </w:r>
      <w:r w:rsidR="009C32EB">
        <w:t xml:space="preserve"> (чл</w:t>
      </w:r>
      <w:r w:rsidR="00DC65D1">
        <w:t>.</w:t>
      </w:r>
      <w:r w:rsidR="009C32EB">
        <w:t xml:space="preserve"> 71, ал. 1 и 2). Актът за принудително довеждане се предявява на лицето, което трябва да бъде доведено (чл</w:t>
      </w:r>
      <w:r w:rsidR="00DC65D1">
        <w:t>.</w:t>
      </w:r>
      <w:r w:rsidR="009C32EB">
        <w:t xml:space="preserve"> 71, ал. 8, предишен член 71, ал. 7). Принудителното довеждане се извършва през деня, освен ако не търпи отлагане (чл</w:t>
      </w:r>
      <w:r w:rsidR="00DC65D1">
        <w:t>.</w:t>
      </w:r>
      <w:r w:rsidR="009C32EB">
        <w:t xml:space="preserve"> 71, ал. 3).</w:t>
      </w:r>
    </w:p>
    <w:p w:rsidR="0021078B" w:rsidRPr="0047466B" w:rsidRDefault="00171F84" w:rsidP="0047466B">
      <w:pPr>
        <w:pStyle w:val="ECHRPara"/>
      </w:pPr>
      <w:fldSimple w:instr=" SEQ level0 \*arabic ">
        <w:r w:rsidR="0047466B" w:rsidRPr="0047466B">
          <w:t>13</w:t>
        </w:r>
      </w:fldSimple>
      <w:r w:rsidR="00964A28">
        <w:t>.  Свидетел може да бъде доведен принудително пред съда или следствения орган</w:t>
      </w:r>
      <w:r w:rsidR="00DC65D1">
        <w:t>,</w:t>
      </w:r>
      <w:r w:rsidR="00964A28">
        <w:t xml:space="preserve"> ако след като е редовно призован, не се е явил/а, без да посочи уважителна причина (чл</w:t>
      </w:r>
      <w:r w:rsidR="00DC65D1">
        <w:t>.</w:t>
      </w:r>
      <w:r w:rsidR="00964A28">
        <w:t xml:space="preserve"> 120, ал. 3 от Кодекса).</w:t>
      </w:r>
    </w:p>
    <w:p w:rsidR="00014566" w:rsidRPr="0047466B" w:rsidRDefault="00650B73" w:rsidP="0047466B">
      <w:pPr>
        <w:pStyle w:val="ECHRHeading2"/>
      </w:pPr>
      <w:r>
        <w:t>Б.</w:t>
      </w:r>
      <w:r>
        <w:tab/>
        <w:t>Закона за отговорността на държавата и общините за вреди</w:t>
      </w:r>
    </w:p>
    <w:p w:rsidR="00D1403E" w:rsidRPr="0047466B" w:rsidRDefault="00171F84" w:rsidP="0047466B">
      <w:pPr>
        <w:pStyle w:val="ECHRPara"/>
      </w:pPr>
      <w:fldSimple w:instr=" SEQ level0 \*arabic ">
        <w:r w:rsidR="0047466B" w:rsidRPr="0047466B">
          <w:t>14</w:t>
        </w:r>
      </w:fldSimple>
      <w:r w:rsidR="00D1403E">
        <w:t>.  Член 1 от Закон</w:t>
      </w:r>
      <w:r w:rsidR="00DC65D1">
        <w:t>а</w:t>
      </w:r>
      <w:r w:rsidR="00D1403E">
        <w:t xml:space="preserve"> за отговорността на държавата и общините за вреди („ЗОДОВ“) гласи, че държавата отговаря з</w:t>
      </w:r>
      <w:r w:rsidR="00CB76EA">
        <w:t>а вредите, причинени на частни</w:t>
      </w:r>
      <w:r w:rsidR="00D1403E">
        <w:t xml:space="preserve"> лица от незаконосъобразни актове, действия или бездействия на държавни служители при или по повод изпълнен</w:t>
      </w:r>
      <w:r w:rsidR="00CB76EA">
        <w:t>ие на служебните им задължения.</w:t>
      </w:r>
    </w:p>
    <w:p w:rsidR="0047466B" w:rsidRPr="0047466B" w:rsidRDefault="00171F84" w:rsidP="0047466B">
      <w:pPr>
        <w:pStyle w:val="ECHRPara"/>
      </w:pPr>
      <w:fldSimple w:instr=" SEQ level0 \*arabic ">
        <w:r w:rsidR="0047466B" w:rsidRPr="0047466B">
          <w:t>15</w:t>
        </w:r>
      </w:fldSimple>
      <w:r w:rsidR="00BB568A">
        <w:t xml:space="preserve">.  Преди декември 2012 г. член 2 от ЗОДОВ — доколкото засяга задържане, </w:t>
      </w:r>
      <w:proofErr w:type="spellStart"/>
      <w:r w:rsidR="00BB568A">
        <w:t>разпоредено</w:t>
      </w:r>
      <w:proofErr w:type="spellEnd"/>
      <w:r w:rsidR="00BB568A">
        <w:t xml:space="preserve"> от следствените органи, прокуратурата или съда — гласи, че държавата носи отговорност в случаи на</w:t>
      </w:r>
    </w:p>
    <w:p w:rsidR="001D773C" w:rsidRPr="0047466B" w:rsidRDefault="005B7368" w:rsidP="0047466B">
      <w:pPr>
        <w:pStyle w:val="JuQuotSub"/>
      </w:pPr>
      <w:r>
        <w:t>„</w:t>
      </w:r>
      <w:r w:rsidR="00DC65D1">
        <w:t>н</w:t>
      </w:r>
      <w:r>
        <w:t>езаконно</w:t>
      </w:r>
      <w:r w:rsidR="00DC65D1">
        <w:t xml:space="preserve"> </w:t>
      </w:r>
      <w:r>
        <w:rPr>
          <w:rStyle w:val="sfbbfee58"/>
        </w:rPr>
        <w:t>задържане под стража, включително когато е наложено като превантивна мярка, когато е отменено поради липса на законни основания.“</w:t>
      </w:r>
    </w:p>
    <w:p w:rsidR="005B7368" w:rsidRPr="0047466B" w:rsidRDefault="00171F84" w:rsidP="0047466B">
      <w:pPr>
        <w:pStyle w:val="ECHRPara"/>
      </w:pPr>
      <w:fldSimple w:instr=" SEQ level0 \*arabic ">
        <w:r w:rsidR="0047466B" w:rsidRPr="0047466B">
          <w:t>16</w:t>
        </w:r>
      </w:fldSimple>
      <w:r w:rsidR="001D773C">
        <w:t xml:space="preserve">.  Приложимата практика на националните съдилища в прилагането на тази разпоредба е обобщена в решенията на Съда по делата </w:t>
      </w:r>
      <w:proofErr w:type="spellStart"/>
      <w:r w:rsidR="001D773C">
        <w:rPr>
          <w:i/>
        </w:rPr>
        <w:t>Канджов</w:t>
      </w:r>
      <w:proofErr w:type="spellEnd"/>
      <w:r w:rsidR="001D773C">
        <w:rPr>
          <w:i/>
        </w:rPr>
        <w:t xml:space="preserve"> срещу България </w:t>
      </w:r>
      <w:r w:rsidR="001D773C">
        <w:t>(№ 68294/01,</w:t>
      </w:r>
      <w:r w:rsidR="00DC65D1">
        <w:t xml:space="preserve"> параграфи</w:t>
      </w:r>
      <w:r w:rsidR="001D773C">
        <w:t xml:space="preserve"> 35-39, 6 ноември 2008 г.) и </w:t>
      </w:r>
      <w:r w:rsidR="001D773C">
        <w:rPr>
          <w:i/>
        </w:rPr>
        <w:t>Бочев срещу България</w:t>
      </w:r>
      <w:r w:rsidR="001D773C">
        <w:t xml:space="preserve"> (№ 73481/01, </w:t>
      </w:r>
      <w:r w:rsidR="00DC65D1">
        <w:t>параграфи</w:t>
      </w:r>
      <w:r w:rsidR="001D773C">
        <w:t xml:space="preserve"> 37-39, 13 ноември 2008 г.).</w:t>
      </w:r>
    </w:p>
    <w:p w:rsidR="00650B73" w:rsidRPr="0047466B" w:rsidRDefault="00171F84" w:rsidP="0047466B">
      <w:pPr>
        <w:pStyle w:val="ECHRPara"/>
      </w:pPr>
      <w:fldSimple w:instr=" SEQ level0 \*arabic ">
        <w:r w:rsidR="0047466B" w:rsidRPr="0047466B">
          <w:t>17</w:t>
        </w:r>
      </w:fldSimple>
      <w:r w:rsidR="00E71475">
        <w:t>.  След измененията, публикувани на 11 декември 2012 г., в сила от 15 декември 2012 г., приложимите алинеи от член 2 от ЗОДОВ гласят:</w:t>
      </w:r>
    </w:p>
    <w:p w:rsidR="00650B73" w:rsidRPr="0047466B" w:rsidRDefault="00E71475" w:rsidP="0047466B">
      <w:pPr>
        <w:pStyle w:val="ECHRParaQuote"/>
      </w:pPr>
      <w:r>
        <w:t>„Държавата отговаря за вредите, причинени на граждани от разследващите органи, прокуратурата или съда, при:</w:t>
      </w:r>
    </w:p>
    <w:p w:rsidR="00E71475" w:rsidRPr="0047466B" w:rsidRDefault="00E71475" w:rsidP="0047466B">
      <w:pPr>
        <w:pStyle w:val="ECHRParaQuote"/>
      </w:pPr>
      <w:r>
        <w:t>1.  задържане под стража [...] или домашен арест, когато са били отменени, [...] както и при всички други случаи на лишаване от свобода в нарушение на чл. 5, ал. 1 от Конвенцията за защита на правата на човека и основните свободи [...];</w:t>
      </w:r>
    </w:p>
    <w:p w:rsidR="00C06AF7" w:rsidRPr="0047466B" w:rsidRDefault="00C06AF7" w:rsidP="0047466B">
      <w:pPr>
        <w:pStyle w:val="ECHRParaQuote"/>
      </w:pPr>
      <w:r>
        <w:t>2.  нарушаване на права, защитени от чл. 5, ал. 2 – 4 на Конвенцията [...].“</w:t>
      </w:r>
    </w:p>
    <w:p w:rsidR="00C06AF7" w:rsidRPr="0047466B" w:rsidRDefault="00171F84" w:rsidP="0047466B">
      <w:pPr>
        <w:pStyle w:val="ECHRPara"/>
        <w:rPr>
          <w:i/>
        </w:rPr>
      </w:pPr>
      <w:fldSimple w:instr=" SEQ level0 \*arabic ">
        <w:r w:rsidR="0047466B" w:rsidRPr="0047466B">
          <w:t>18</w:t>
        </w:r>
      </w:fldSimple>
      <w:r w:rsidR="00C06AF7">
        <w:t>.  Контекстът на при</w:t>
      </w:r>
      <w:r w:rsidR="00636323">
        <w:t>ем</w:t>
      </w:r>
      <w:r w:rsidR="00C06AF7">
        <w:t xml:space="preserve">ането през декември 2012 г. на измененията е описан в решението на Съда по делото </w:t>
      </w:r>
      <w:r w:rsidR="00C06AF7">
        <w:rPr>
          <w:i/>
        </w:rPr>
        <w:t>Тони Костадинов срещу България</w:t>
      </w:r>
      <w:r w:rsidR="00C06AF7">
        <w:t xml:space="preserve"> (№ 37124/10</w:t>
      </w:r>
      <w:r w:rsidR="00C06AF7">
        <w:rPr>
          <w:snapToGrid w:val="0"/>
        </w:rPr>
        <w:t xml:space="preserve">, </w:t>
      </w:r>
      <w:r w:rsidR="00203CEC" w:rsidRPr="0047466B">
        <w:rPr>
          <w:lang w:val="it-IT"/>
        </w:rPr>
        <w:t>§</w:t>
      </w:r>
      <w:r w:rsidR="00C06AF7">
        <w:rPr>
          <w:snapToGrid w:val="0"/>
        </w:rPr>
        <w:t xml:space="preserve"> 49, 27 януари 2015 г.).</w:t>
      </w:r>
    </w:p>
    <w:p w:rsidR="00014566" w:rsidRPr="0047466B" w:rsidRDefault="00636323" w:rsidP="0047466B">
      <w:pPr>
        <w:pStyle w:val="ECHRTitle1"/>
      </w:pPr>
      <w:r>
        <w:lastRenderedPageBreak/>
        <w:t>ПРАВ</w:t>
      </w:r>
      <w:bookmarkStart w:id="1" w:name="_GoBack"/>
      <w:bookmarkEnd w:id="1"/>
      <w:r>
        <w:t>ОТО</w:t>
      </w:r>
    </w:p>
    <w:p w:rsidR="00014566" w:rsidRPr="0047466B" w:rsidRDefault="00014566" w:rsidP="0047466B">
      <w:pPr>
        <w:pStyle w:val="ECHRHeading1"/>
      </w:pPr>
      <w:r>
        <w:t>I. ТВЪРДЕНИ НАРУШЕНИЯ НА ЧЛ. 5, АЛ. 1 И 4 ОТ КОНВЕНЦИЯТА</w:t>
      </w:r>
    </w:p>
    <w:p w:rsidR="00C06AF7" w:rsidRPr="0047466B" w:rsidRDefault="00171F84" w:rsidP="0047466B">
      <w:pPr>
        <w:pStyle w:val="ECHRPara"/>
      </w:pPr>
      <w:fldSimple w:instr=" SEQ level0 \*arabic ">
        <w:r w:rsidR="0047466B" w:rsidRPr="0047466B">
          <w:t>19</w:t>
        </w:r>
      </w:fldSimple>
      <w:r w:rsidR="00790740">
        <w:t xml:space="preserve">.  Като се позовава на член 5, ал. 1 и 3 и член </w:t>
      </w:r>
      <w:r w:rsidR="00636323">
        <w:t>6</w:t>
      </w:r>
      <w:r w:rsidR="00790740">
        <w:t xml:space="preserve"> от Конвенцията, оплакването на жалбоподателят е за това, че задържането му в периода между 7 и 9 юни 2012 г. не е имало правно основание съгласно вътрешното законодателство и че не е имал начин да </w:t>
      </w:r>
      <w:r w:rsidR="00CB76EA">
        <w:t>го оспори</w:t>
      </w:r>
      <w:r w:rsidR="00790740">
        <w:t>.</w:t>
      </w:r>
    </w:p>
    <w:p w:rsidR="00014566" w:rsidRPr="0047466B" w:rsidRDefault="00171F84" w:rsidP="0047466B">
      <w:pPr>
        <w:pStyle w:val="ECHRPara"/>
      </w:pPr>
      <w:fldSimple w:instr=" SEQ level0 \*arabic ">
        <w:r w:rsidR="0047466B" w:rsidRPr="0047466B">
          <w:t>20</w:t>
        </w:r>
      </w:fldSimple>
      <w:r w:rsidR="00887977">
        <w:t>.  Съдът счита, че жалбата трябва да се разгледа по член 5, ал. 1 и 4 от Конвенцията, който гласи:</w:t>
      </w:r>
    </w:p>
    <w:p w:rsidR="00C06AF7" w:rsidRPr="0047466B" w:rsidRDefault="00C06AF7" w:rsidP="0047466B">
      <w:pPr>
        <w:pStyle w:val="ECHRParaQuote"/>
      </w:pPr>
      <w:r>
        <w:t>„1.  Всеки има право на свобода и сигурност. Никой не може да бъде лишен от свобода</w:t>
      </w:r>
      <w:r w:rsidR="00636323">
        <w:t>,</w:t>
      </w:r>
      <w:r>
        <w:t xml:space="preserve"> освен в следните случаи и </w:t>
      </w:r>
      <w:r w:rsidR="00636323">
        <w:t>по реда</w:t>
      </w:r>
      <w:r>
        <w:t>, предвиден от закона:</w:t>
      </w:r>
    </w:p>
    <w:p w:rsidR="00C06AF7" w:rsidRPr="0047466B" w:rsidRDefault="00C06AF7" w:rsidP="0047466B">
      <w:pPr>
        <w:pStyle w:val="ECHRParaQuote"/>
      </w:pPr>
      <w:r>
        <w:t>а)  законосъобразно лишаване от свобода по силата на</w:t>
      </w:r>
      <w:r w:rsidR="00636323">
        <w:t xml:space="preserve"> </w:t>
      </w:r>
      <w:r>
        <w:t>постановена от компетентен съд присъда;</w:t>
      </w:r>
    </w:p>
    <w:p w:rsidR="00C06AF7" w:rsidRPr="0047466B" w:rsidRDefault="00636323" w:rsidP="0047466B">
      <w:pPr>
        <w:pStyle w:val="ECHRParaQuote"/>
      </w:pPr>
      <w:r>
        <w:rPr>
          <w:lang w:val="en-US"/>
        </w:rPr>
        <w:t>b</w:t>
      </w:r>
      <w:r w:rsidR="00C06AF7">
        <w:t>) законосъобразен арест или лишаване от свобода за</w:t>
      </w:r>
      <w:r>
        <w:t xml:space="preserve"> </w:t>
      </w:r>
      <w:r w:rsidR="00C06AF7">
        <w:t>неизпълнение на законосъобразно съдебно решение или с цел осигуряване на изпълнението на задължение, предписано от закона;</w:t>
      </w:r>
    </w:p>
    <w:p w:rsidR="00C06AF7" w:rsidRPr="0047466B" w:rsidRDefault="00636323" w:rsidP="0047466B">
      <w:pPr>
        <w:pStyle w:val="ECHRParaQuote"/>
      </w:pPr>
      <w:r>
        <w:rPr>
          <w:lang w:val="en-US"/>
        </w:rPr>
        <w:t>c</w:t>
      </w:r>
      <w:r w:rsidR="00C06AF7">
        <w:t>)  законосъобразен арест или лишаване от свобода, с цел</w:t>
      </w:r>
      <w:r>
        <w:rPr>
          <w:lang w:val="en-US"/>
        </w:rPr>
        <w:t xml:space="preserve"> </w:t>
      </w:r>
      <w:r w:rsidR="00C06AF7">
        <w:t>да се осигури явяване пред компетентния съгласно</w:t>
      </w:r>
      <w:r>
        <w:rPr>
          <w:lang w:val="en-US"/>
        </w:rPr>
        <w:t xml:space="preserve"> </w:t>
      </w:r>
      <w:r w:rsidR="00C06AF7">
        <w:t>закона орган, по обосновано подозрение за извършено</w:t>
      </w:r>
      <w:r>
        <w:rPr>
          <w:lang w:val="en-US"/>
        </w:rPr>
        <w:t xml:space="preserve"> </w:t>
      </w:r>
      <w:r w:rsidR="00C06AF7">
        <w:t>престъпление, или когато задържането обосновано</w:t>
      </w:r>
      <w:r>
        <w:rPr>
          <w:lang w:val="en-US"/>
        </w:rPr>
        <w:t xml:space="preserve"> </w:t>
      </w:r>
      <w:r w:rsidR="00C06AF7">
        <w:t>може да се смята за необходимо, за да се попречи на</w:t>
      </w:r>
      <w:r>
        <w:rPr>
          <w:lang w:val="en-US"/>
        </w:rPr>
        <w:t xml:space="preserve"> </w:t>
      </w:r>
      <w:r w:rsidR="00C06AF7">
        <w:t>лицето да извърши престъпление или да се укрие, след</w:t>
      </w:r>
      <w:r>
        <w:rPr>
          <w:lang w:val="en-US"/>
        </w:rPr>
        <w:t xml:space="preserve"> </w:t>
      </w:r>
      <w:r w:rsidR="00C06AF7">
        <w:t>като е извършило престъпление;</w:t>
      </w:r>
    </w:p>
    <w:p w:rsidR="00C06AF7" w:rsidRPr="0047466B" w:rsidRDefault="00636323" w:rsidP="0047466B">
      <w:pPr>
        <w:pStyle w:val="ECHRParaQuote"/>
      </w:pPr>
      <w:r>
        <w:rPr>
          <w:lang w:val="en-US"/>
        </w:rPr>
        <w:t>d</w:t>
      </w:r>
      <w:r w:rsidR="00C06AF7">
        <w:t>)  лишаване от свобода на непълнолетно лице въз основа</w:t>
      </w:r>
      <w:r>
        <w:rPr>
          <w:lang w:val="en-US"/>
        </w:rPr>
        <w:t xml:space="preserve"> </w:t>
      </w:r>
      <w:r w:rsidR="00C06AF7">
        <w:t>на законосъобразно решение, за да се осигури надзор</w:t>
      </w:r>
      <w:r>
        <w:rPr>
          <w:lang w:val="en-US"/>
        </w:rPr>
        <w:t xml:space="preserve"> </w:t>
      </w:r>
      <w:r w:rsidR="00C06AF7">
        <w:t>с възпитателна цел или законосъобразно лишаване от</w:t>
      </w:r>
      <w:r>
        <w:rPr>
          <w:lang w:val="en-US"/>
        </w:rPr>
        <w:t xml:space="preserve"> </w:t>
      </w:r>
      <w:r w:rsidR="00C06AF7">
        <w:t>свобода на такова лице, с цел да се осигури неговото</w:t>
      </w:r>
      <w:r>
        <w:rPr>
          <w:lang w:val="en-US"/>
        </w:rPr>
        <w:t xml:space="preserve"> </w:t>
      </w:r>
      <w:r w:rsidR="00C06AF7">
        <w:t>явяване пред предвидената в закона институция;</w:t>
      </w:r>
    </w:p>
    <w:p w:rsidR="00C06AF7" w:rsidRPr="0047466B" w:rsidRDefault="00636323" w:rsidP="0047466B">
      <w:pPr>
        <w:pStyle w:val="ECHRParaQuote"/>
      </w:pPr>
      <w:r>
        <w:rPr>
          <w:lang w:val="en-US"/>
        </w:rPr>
        <w:t>e</w:t>
      </w:r>
      <w:r w:rsidR="00C06AF7">
        <w:t>) законосъобразно лишаване от свобода, с цел да се</w:t>
      </w:r>
      <w:r>
        <w:rPr>
          <w:lang w:val="en-US"/>
        </w:rPr>
        <w:t xml:space="preserve"> </w:t>
      </w:r>
      <w:r w:rsidR="00C06AF7">
        <w:t>предотврати разпространението на инфекциозни</w:t>
      </w:r>
      <w:r>
        <w:rPr>
          <w:lang w:val="en-US"/>
        </w:rPr>
        <w:t xml:space="preserve"> </w:t>
      </w:r>
      <w:r w:rsidR="00C06AF7">
        <w:t>болести, както и на душевноболни лица, алкохолици,</w:t>
      </w:r>
      <w:r>
        <w:rPr>
          <w:lang w:val="en-US"/>
        </w:rPr>
        <w:t xml:space="preserve"> </w:t>
      </w:r>
      <w:r w:rsidR="00C06AF7">
        <w:t>наркомани или скитници;</w:t>
      </w:r>
    </w:p>
    <w:p w:rsidR="00C06AF7" w:rsidRPr="0047466B" w:rsidRDefault="00A723F6" w:rsidP="0047466B">
      <w:pPr>
        <w:pStyle w:val="ECHRParaQuote"/>
      </w:pPr>
      <w:r>
        <w:rPr>
          <w:lang w:val="en-US"/>
        </w:rPr>
        <w:t>f</w:t>
      </w:r>
      <w:r w:rsidR="00C06AF7">
        <w:t>)  законосъобразен арест или лишаване от свобода на</w:t>
      </w:r>
      <w:r w:rsidR="00636323">
        <w:rPr>
          <w:lang w:val="en-US"/>
        </w:rPr>
        <w:t xml:space="preserve"> </w:t>
      </w:r>
      <w:r w:rsidR="00C06AF7">
        <w:t>дадено лице, с цел да се предотврати незаконното</w:t>
      </w:r>
      <w:r w:rsidR="00636323">
        <w:rPr>
          <w:lang w:val="en-US"/>
        </w:rPr>
        <w:t xml:space="preserve"> </w:t>
      </w:r>
      <w:r w:rsidR="00C06AF7">
        <w:t>му влизане в страната, или на лице, против което се</w:t>
      </w:r>
      <w:r w:rsidR="00636323">
        <w:rPr>
          <w:lang w:val="en-US"/>
        </w:rPr>
        <w:t xml:space="preserve"> </w:t>
      </w:r>
      <w:r w:rsidR="00C06AF7">
        <w:t>предприемат действия за неговото експулсиране или</w:t>
      </w:r>
      <w:r w:rsidR="00636323">
        <w:rPr>
          <w:lang w:val="en-US"/>
        </w:rPr>
        <w:t xml:space="preserve"> </w:t>
      </w:r>
      <w:r w:rsidR="00C06AF7">
        <w:t>екстрадиране.</w:t>
      </w:r>
    </w:p>
    <w:p w:rsidR="00C06AF7" w:rsidRPr="0047466B" w:rsidRDefault="004D1148" w:rsidP="0047466B">
      <w:pPr>
        <w:pStyle w:val="ECHRParaQuote"/>
      </w:pPr>
      <w:r>
        <w:t>...</w:t>
      </w:r>
    </w:p>
    <w:p w:rsidR="00A723F6" w:rsidRDefault="00C06AF7" w:rsidP="0047466B">
      <w:pPr>
        <w:pStyle w:val="ECHRParaQuote"/>
      </w:pPr>
      <w:r>
        <w:t>4.  </w:t>
      </w:r>
      <w:proofErr w:type="spellStart"/>
      <w:r>
        <w:t>Βсеки</w:t>
      </w:r>
      <w:proofErr w:type="spellEnd"/>
      <w:r>
        <w:t xml:space="preserve"> арестуван или лишен от свобода има право да</w:t>
      </w:r>
      <w:r w:rsidR="00636323">
        <w:rPr>
          <w:lang w:val="en-US"/>
        </w:rPr>
        <w:t xml:space="preserve"> </w:t>
      </w:r>
      <w:r>
        <w:br/>
        <w:t>обжалва законосъобразността на своето задържане в съда,</w:t>
      </w:r>
      <w:r w:rsidR="00636323">
        <w:rPr>
          <w:lang w:val="en-US"/>
        </w:rPr>
        <w:t xml:space="preserve"> </w:t>
      </w:r>
      <w:r>
        <w:t>който е задължен в кратък срок да се произнесе; в случай</w:t>
      </w:r>
      <w:r w:rsidR="00636323">
        <w:rPr>
          <w:lang w:val="en-US"/>
        </w:rPr>
        <w:t xml:space="preserve"> </w:t>
      </w:r>
      <w:r>
        <w:t>че задържането е неправомерно, съдът е длъжен да нареди</w:t>
      </w:r>
      <w:r w:rsidR="00636323">
        <w:rPr>
          <w:lang w:val="en-US"/>
        </w:rPr>
        <w:t xml:space="preserve"> </w:t>
      </w:r>
      <w:r>
        <w:t>незабавното освобождаване на задържаното лице.</w:t>
      </w:r>
    </w:p>
    <w:p w:rsidR="00014566" w:rsidRPr="0047466B" w:rsidRDefault="00014566" w:rsidP="0047466B">
      <w:pPr>
        <w:pStyle w:val="ECHRHeading2"/>
        <w:outlineLvl w:val="0"/>
      </w:pPr>
      <w:r>
        <w:lastRenderedPageBreak/>
        <w:t>A.</w:t>
      </w:r>
      <w:r>
        <w:tab/>
        <w:t>Допустимост</w:t>
      </w:r>
    </w:p>
    <w:p w:rsidR="00C06AF7" w:rsidRPr="0047466B" w:rsidRDefault="00C06AF7" w:rsidP="0047466B">
      <w:pPr>
        <w:pStyle w:val="ECHRHeading3"/>
      </w:pPr>
      <w:r>
        <w:t>1.  Твърдения на страните</w:t>
      </w:r>
    </w:p>
    <w:p w:rsidR="00647E29" w:rsidRPr="0047466B" w:rsidRDefault="00647E29" w:rsidP="0047466B">
      <w:pPr>
        <w:pStyle w:val="ECHRHeading4"/>
      </w:pPr>
      <w:r>
        <w:t>а)  Правителството</w:t>
      </w:r>
    </w:p>
    <w:p w:rsidR="00C06AF7" w:rsidRPr="0047466B" w:rsidRDefault="004E7DE4" w:rsidP="0047466B">
      <w:pPr>
        <w:pStyle w:val="ECHRPara"/>
      </w:pPr>
      <w:r>
        <w:fldChar w:fldCharType="begin"/>
      </w:r>
      <w:r>
        <w:instrText xml:space="preserve"> SEQ level0 \*arabic </w:instrText>
      </w:r>
      <w:r>
        <w:fldChar w:fldCharType="separate"/>
      </w:r>
      <w:r w:rsidR="0047466B" w:rsidRPr="0047466B">
        <w:t>21</w:t>
      </w:r>
      <w:r>
        <w:fldChar w:fldCharType="end"/>
      </w:r>
      <w:r w:rsidR="00C06AF7">
        <w:t xml:space="preserve">.  Правителството твърди, че жалбоподателят не е изчерпал вътрешноправните средства за защита, тъй като не </w:t>
      </w:r>
      <w:r w:rsidR="008A10AF">
        <w:t xml:space="preserve">е предявил иск </w:t>
      </w:r>
      <w:r w:rsidR="00C06AF7">
        <w:t>за щети по член</w:t>
      </w:r>
      <w:proofErr w:type="spellStart"/>
      <w:r w:rsidR="00A723F6">
        <w:rPr>
          <w:lang w:val="en-US"/>
        </w:rPr>
        <w:t>ове</w:t>
      </w:r>
      <w:proofErr w:type="spellEnd"/>
      <w:r w:rsidR="00C06AF7">
        <w:t xml:space="preserve"> 1 и 2 от ЗОДОВ.</w:t>
      </w:r>
    </w:p>
    <w:p w:rsidR="00D1403E" w:rsidRPr="0047466B" w:rsidRDefault="004E7DE4" w:rsidP="0047466B">
      <w:pPr>
        <w:pStyle w:val="ECHRPara"/>
      </w:pPr>
      <w:r>
        <w:fldChar w:fldCharType="begin"/>
      </w:r>
      <w:r>
        <w:instrText xml:space="preserve"> SEQ level0 \*arabic </w:instrText>
      </w:r>
      <w:r>
        <w:fldChar w:fldCharType="separate"/>
      </w:r>
      <w:r w:rsidR="0047466B" w:rsidRPr="0047466B">
        <w:t>22</w:t>
      </w:r>
      <w:r>
        <w:fldChar w:fldCharType="end"/>
      </w:r>
      <w:r w:rsidR="00887977">
        <w:t xml:space="preserve">.  Правителството се позовава конкретно на измененията на член 2 от ЗОДОВ, въведени през декември 2012 г., като посочва, че </w:t>
      </w:r>
      <w:r w:rsidR="008A10AF">
        <w:t xml:space="preserve">регламентирането </w:t>
      </w:r>
      <w:r w:rsidR="00887977">
        <w:t>им е изрично</w:t>
      </w:r>
      <w:r w:rsidR="008A10AF">
        <w:t xml:space="preserve"> предвидено за </w:t>
      </w:r>
      <w:r w:rsidR="00887977">
        <w:t>създаването на вътрешноправно средство за защита при нарушения на член 5 от Конвенцията съгласно съдебната практика на Съда.</w:t>
      </w:r>
    </w:p>
    <w:p w:rsidR="00DF4FC1" w:rsidRPr="0047466B" w:rsidRDefault="004E7DE4" w:rsidP="0047466B">
      <w:pPr>
        <w:pStyle w:val="ECHRPara"/>
      </w:pPr>
      <w:r>
        <w:fldChar w:fldCharType="begin"/>
      </w:r>
      <w:r>
        <w:instrText xml:space="preserve"> SEQ level0 \*arabic </w:instrText>
      </w:r>
      <w:r>
        <w:fldChar w:fldCharType="separate"/>
      </w:r>
      <w:r w:rsidR="0047466B" w:rsidRPr="0047466B">
        <w:t>23</w:t>
      </w:r>
      <w:r>
        <w:fldChar w:fldCharType="end"/>
      </w:r>
      <w:r w:rsidR="00C06AF7">
        <w:t xml:space="preserve">.  В подкрепа на твърденията си, че посоченото по-горе вътрешноправно средство е </w:t>
      </w:r>
      <w:r w:rsidR="008A10AF">
        <w:t>ефективно</w:t>
      </w:r>
      <w:r w:rsidR="00C06AF7">
        <w:t>, Правителството представя няколко скорошни решения на националните съдилища.</w:t>
      </w:r>
    </w:p>
    <w:p w:rsidR="00BB07A3" w:rsidRPr="0047466B" w:rsidRDefault="004E7DE4" w:rsidP="0047466B">
      <w:pPr>
        <w:pStyle w:val="ECHRPara"/>
      </w:pPr>
      <w:r>
        <w:fldChar w:fldCharType="begin"/>
      </w:r>
      <w:r>
        <w:instrText xml:space="preserve"> SEQ level0 \*arabic </w:instrText>
      </w:r>
      <w:r>
        <w:fldChar w:fldCharType="separate"/>
      </w:r>
      <w:r w:rsidR="0047466B" w:rsidRPr="0047466B">
        <w:t>24</w:t>
      </w:r>
      <w:r>
        <w:fldChar w:fldCharType="end"/>
      </w:r>
      <w:r w:rsidR="00BB07A3">
        <w:t>.  Първото, Решение на Окръжен съд — Варна (</w:t>
      </w:r>
      <w:r w:rsidR="00BB07A3">
        <w:rPr>
          <w:i/>
        </w:rPr>
        <w:t>Решение № 317 от 4.03.2014 г. на ОС-Варна по гр. д. № 967/2013 г.</w:t>
      </w:r>
      <w:r w:rsidR="00BB07A3">
        <w:t xml:space="preserve">), се отнася </w:t>
      </w:r>
      <w:r w:rsidR="00A723F6">
        <w:t>до</w:t>
      </w:r>
      <w:r w:rsidR="00BB07A3">
        <w:t xml:space="preserve"> задържане</w:t>
      </w:r>
      <w:r w:rsidR="00A723F6">
        <w:t>то</w:t>
      </w:r>
      <w:r w:rsidR="00BB07A3">
        <w:t xml:space="preserve"> от полицията на жалбоподател на 19 и 20 февруари 2012 г. за срок от тридесет и два часа. Окръжният съд се позовава на разпоредбата на член 2, ал. 1 от ЗОДОВ, съгласно формулировката след декември 2012 г., без да дава обяснения защо я счита за приложима за събития, които са се случили преди измененията от декември 2012 г. Националният съд констатира, че въпросното задържане е неправомерно и това води до отговорност на държавата за изплащане на обезщетение. Решението е частично отменено на 3 юли 2014 г. от Варненския </w:t>
      </w:r>
      <w:r w:rsidR="00023E15">
        <w:t>а</w:t>
      </w:r>
      <w:r w:rsidR="00BB07A3">
        <w:t>пелативен съд (</w:t>
      </w:r>
      <w:r w:rsidR="00BB07A3">
        <w:rPr>
          <w:i/>
        </w:rPr>
        <w:t xml:space="preserve">Решение № 101 от 3.07.2014 г. на </w:t>
      </w:r>
      <w:proofErr w:type="spellStart"/>
      <w:r w:rsidR="00BB07A3">
        <w:rPr>
          <w:i/>
        </w:rPr>
        <w:t>ВнАС</w:t>
      </w:r>
      <w:proofErr w:type="spellEnd"/>
      <w:r w:rsidR="00BB07A3">
        <w:rPr>
          <w:i/>
        </w:rPr>
        <w:t xml:space="preserve"> по в. гр. д. № 265/2014 г.</w:t>
      </w:r>
      <w:r w:rsidR="00BB07A3">
        <w:t xml:space="preserve">), който намалява размера на обезщетението, присъдено на жалбоподателя. Следва да се отбележи, че Апелативният съд се позовава на приложимата част от член 2, ал. 1 от ЗОДОВ, съгласно формулировката преди декември 2012 г. Не е ясно дали решението на Апелативния съд е </w:t>
      </w:r>
      <w:r w:rsidR="00023E15">
        <w:t>влязло в сила</w:t>
      </w:r>
      <w:r w:rsidR="00BB07A3">
        <w:t>.</w:t>
      </w:r>
    </w:p>
    <w:p w:rsidR="00FC1C9E" w:rsidRPr="0047466B" w:rsidRDefault="004E7DE4" w:rsidP="0047466B">
      <w:pPr>
        <w:pStyle w:val="ECHRPara"/>
      </w:pPr>
      <w:r>
        <w:fldChar w:fldCharType="begin"/>
      </w:r>
      <w:r>
        <w:instrText xml:space="preserve"> </w:instrText>
      </w:r>
      <w:r>
        <w:instrText xml:space="preserve">SEQ level0 \*arabic </w:instrText>
      </w:r>
      <w:r>
        <w:fldChar w:fldCharType="separate"/>
      </w:r>
      <w:r w:rsidR="0047466B" w:rsidRPr="0047466B">
        <w:t>25</w:t>
      </w:r>
      <w:r>
        <w:fldChar w:fldCharType="end"/>
      </w:r>
      <w:r w:rsidR="00647E29">
        <w:t>.  В решение от 5 март 2014 г. (</w:t>
      </w:r>
      <w:r w:rsidR="00647E29">
        <w:rPr>
          <w:i/>
        </w:rPr>
        <w:t>Решение № 101 от 5.03.2014 г. на ОС-Пазарджик по в. гр. д. № 1051/2013 г.</w:t>
      </w:r>
      <w:r w:rsidR="00647E29">
        <w:t xml:space="preserve">) Окръжен съд — Пазарджик, в качеството си на втора инстанция, отменя предишно решение на </w:t>
      </w:r>
      <w:r w:rsidR="00023E15">
        <w:t xml:space="preserve">Районен </w:t>
      </w:r>
      <w:r w:rsidR="008A10AF">
        <w:t>съд -</w:t>
      </w:r>
      <w:r w:rsidR="00647E29">
        <w:t xml:space="preserve"> Пазарджик във връзка с жалба за обезщетение за задържане през 2010 г. и връща делото, като дава инструкции на по-</w:t>
      </w:r>
      <w:proofErr w:type="spellStart"/>
      <w:r w:rsidR="00647E29">
        <w:t>нискоинстанционния</w:t>
      </w:r>
      <w:proofErr w:type="spellEnd"/>
      <w:r w:rsidR="00647E29">
        <w:t xml:space="preserve"> съд да разгледа проблема по член 2, ал. 1 от ЗОДОВ и цитира текста на разпоредбата след декември 2012 г. Решението е окончателно, но ходът на делото след връщането му не е ясен.</w:t>
      </w:r>
    </w:p>
    <w:p w:rsidR="00647E29" w:rsidRPr="0047466B" w:rsidRDefault="004E7DE4" w:rsidP="0047466B">
      <w:pPr>
        <w:pStyle w:val="ECHRPara"/>
      </w:pPr>
      <w:r>
        <w:fldChar w:fldCharType="begin"/>
      </w:r>
      <w:r>
        <w:instrText xml:space="preserve"> SEQ level0 \*arabic </w:instrText>
      </w:r>
      <w:r>
        <w:fldChar w:fldCharType="separate"/>
      </w:r>
      <w:r w:rsidR="0047466B" w:rsidRPr="0047466B">
        <w:t>26</w:t>
      </w:r>
      <w:r>
        <w:fldChar w:fldCharType="end"/>
      </w:r>
      <w:r w:rsidR="00647E29">
        <w:t xml:space="preserve">.  На последно място, в решение от 13 декември 2013 г., което е потвърдено след обжалване и </w:t>
      </w:r>
      <w:r w:rsidR="008A10AF">
        <w:t>е станало</w:t>
      </w:r>
      <w:r w:rsidR="00647E29">
        <w:t xml:space="preserve"> окончателно (</w:t>
      </w:r>
      <w:r w:rsidR="00647E29">
        <w:rPr>
          <w:i/>
        </w:rPr>
        <w:t>Решение № 1176 от 13.12.2013 г. на РС</w:t>
      </w:r>
      <w:r w:rsidR="00647E29">
        <w:rPr>
          <w:i/>
        </w:rPr>
        <w:noBreakHyphen/>
        <w:t>Велико Търново по гр. д. № 1838/2013 г.</w:t>
      </w:r>
      <w:r w:rsidR="00647E29">
        <w:t xml:space="preserve">), </w:t>
      </w:r>
      <w:r w:rsidR="00F77EAF">
        <w:t xml:space="preserve">Районен </w:t>
      </w:r>
      <w:r w:rsidR="00F77EAF">
        <w:lastRenderedPageBreak/>
        <w:t>съд -</w:t>
      </w:r>
      <w:r w:rsidR="00647E29">
        <w:t xml:space="preserve"> Велико Търново намира текста на разпоредбата на член 2, ал. 1 от ЗОДОВ </w:t>
      </w:r>
      <w:r w:rsidR="00023E15">
        <w:t>съгласно формулировката ѝ</w:t>
      </w:r>
      <w:r w:rsidR="00647E29">
        <w:t xml:space="preserve"> след декември 2012 г., за неприложим по отношение на обстоятелства от 2010 г. Съдът изтъква, че ЗОДОВ не предвижда изрично прилагането на новата разпоредба със задна дата. Освен това съдът отбелязва, че дори да се приеме, че преди декември 2012 г. член 5, ал. 5 от Конвенцията — считан за пряко приложим в българското законодателство — поражда право на обезщетение за лица, чиито права по останалите алинеи на член 5 са нарушени, </w:t>
      </w:r>
      <w:r w:rsidR="00023E15">
        <w:t>през този</w:t>
      </w:r>
      <w:r w:rsidR="00647E29">
        <w:t xml:space="preserve"> период от време това право е било „неприложимо“ и „незащитимо“ пред съдилищата.</w:t>
      </w:r>
    </w:p>
    <w:p w:rsidR="00DF4FC1" w:rsidRPr="0047466B" w:rsidRDefault="004E7DE4" w:rsidP="0047466B">
      <w:pPr>
        <w:pStyle w:val="ECHRPara"/>
      </w:pPr>
      <w:r>
        <w:fldChar w:fldCharType="begin"/>
      </w:r>
      <w:r>
        <w:instrText xml:space="preserve"> SEQ level0 \*arabic </w:instrText>
      </w:r>
      <w:r>
        <w:fldChar w:fldCharType="separate"/>
      </w:r>
      <w:r w:rsidR="0047466B" w:rsidRPr="0047466B">
        <w:t>27</w:t>
      </w:r>
      <w:r>
        <w:fldChar w:fldCharType="end"/>
      </w:r>
      <w:r w:rsidR="00AD62BA">
        <w:t>.  Правителството твърди, че цитираните по-горе решения са показателни за „постоянната и последователна“ практика на националните съдилища във връзка с прилагането на член 2, ал. 1 от ЗОДОВ.</w:t>
      </w:r>
    </w:p>
    <w:p w:rsidR="00AD62BA" w:rsidRPr="0047466B" w:rsidRDefault="004E7DE4" w:rsidP="0047466B">
      <w:pPr>
        <w:pStyle w:val="ECHRPara"/>
      </w:pPr>
      <w:r>
        <w:fldChar w:fldCharType="begin"/>
      </w:r>
      <w:r>
        <w:instrText xml:space="preserve"> SEQ level0 \*arabic </w:instrText>
      </w:r>
      <w:r>
        <w:fldChar w:fldCharType="separate"/>
      </w:r>
      <w:r w:rsidR="0047466B" w:rsidRPr="0047466B">
        <w:t>28</w:t>
      </w:r>
      <w:r>
        <w:fldChar w:fldCharType="end"/>
      </w:r>
      <w:r w:rsidR="00AD62BA">
        <w:t xml:space="preserve">.  В заключение Правителството заявява, че дори във формулировката от преди измененията от 2012 г. ЗОДОВ позволява на лица в </w:t>
      </w:r>
      <w:r w:rsidR="00F77EAF">
        <w:t>ситуацията</w:t>
      </w:r>
      <w:r w:rsidR="00AD62BA">
        <w:t xml:space="preserve"> на жалбоподател</w:t>
      </w:r>
      <w:r w:rsidR="00023E15">
        <w:t>я</w:t>
      </w:r>
      <w:r w:rsidR="00F77EAF">
        <w:t xml:space="preserve"> да претендират успешно</w:t>
      </w:r>
      <w:r w:rsidR="00AD62BA">
        <w:t xml:space="preserve"> обезщетения за неправомерно задържане.</w:t>
      </w:r>
    </w:p>
    <w:p w:rsidR="00647E29" w:rsidRPr="0047466B" w:rsidRDefault="00AD62BA" w:rsidP="0047466B">
      <w:pPr>
        <w:pStyle w:val="ECHRHeading4"/>
      </w:pPr>
      <w:r>
        <w:t>(б)</w:t>
      </w:r>
      <w:r>
        <w:tab/>
        <w:t>Жалбоподателят</w:t>
      </w:r>
    </w:p>
    <w:p w:rsidR="00AD62BA" w:rsidRPr="0047466B" w:rsidRDefault="004E7DE4" w:rsidP="0047466B">
      <w:pPr>
        <w:pStyle w:val="ECHRPara"/>
        <w:rPr>
          <w:rFonts w:cstheme="minorHAnsi"/>
        </w:rPr>
      </w:pPr>
      <w:r>
        <w:fldChar w:fldCharType="begin"/>
      </w:r>
      <w:r>
        <w:instrText xml:space="preserve"> SEQ level0 \*arabic </w:instrText>
      </w:r>
      <w:r>
        <w:fldChar w:fldCharType="separate"/>
      </w:r>
      <w:r w:rsidR="0047466B" w:rsidRPr="0047466B">
        <w:t>29</w:t>
      </w:r>
      <w:r>
        <w:fldChar w:fldCharType="end"/>
      </w:r>
      <w:r w:rsidR="00AD62BA">
        <w:t>.  Жалбоподателят признава, че член 2, ал. 1 от ЗОДОВ, след измененията от декември 2012 г., може да представлява ефективно правно средство за защита в случаите на твърдени нарушения на член 5, ал. 1–4 от Конвенцията. Въпреки това той заявява, че това правно средство за защита не е приложимо по отношение на конкретните обстоятелства в неговия случая, тъй като е формулирано след прекратяване на твърдяното от него неправомерно задържане, а няма разпоредба за прилагането му със задна дата.</w:t>
      </w:r>
    </w:p>
    <w:p w:rsidR="009A52FF" w:rsidRPr="0047466B" w:rsidRDefault="004E7DE4" w:rsidP="0047466B">
      <w:pPr>
        <w:pStyle w:val="ECHRPara"/>
      </w:pPr>
      <w:r>
        <w:fldChar w:fldCharType="begin"/>
      </w:r>
      <w:r>
        <w:instrText xml:space="preserve"> SEQ level0 \*arabic </w:instrText>
      </w:r>
      <w:r>
        <w:fldChar w:fldCharType="separate"/>
      </w:r>
      <w:r w:rsidR="0047466B" w:rsidRPr="0047466B">
        <w:t>30</w:t>
      </w:r>
      <w:r>
        <w:fldChar w:fldCharType="end"/>
      </w:r>
      <w:r w:rsidR="000C5DDF">
        <w:t xml:space="preserve">.  Жалбоподателят твърди също така, че няма практика на националните съдилища да присъждат обезщетения </w:t>
      </w:r>
      <w:r w:rsidR="00023E15">
        <w:t xml:space="preserve">при </w:t>
      </w:r>
      <w:r w:rsidR="000C5DDF">
        <w:t>обстоятелства като тези по неговия случая въз основа на член 2, ал. 1 от ЗОДОВ преди изменението от декември 2012 г.</w:t>
      </w:r>
    </w:p>
    <w:p w:rsidR="00C06AF7" w:rsidRPr="0047466B" w:rsidRDefault="00C06AF7" w:rsidP="0047466B">
      <w:pPr>
        <w:pStyle w:val="ECHRHeading3"/>
      </w:pPr>
      <w:r>
        <w:t>2.  Преценката на Съда</w:t>
      </w:r>
    </w:p>
    <w:p w:rsidR="00964A28" w:rsidRPr="0047466B" w:rsidRDefault="00964A28" w:rsidP="0047466B">
      <w:pPr>
        <w:pStyle w:val="ECHRHeading4"/>
      </w:pPr>
      <w:r>
        <w:t>(а) Изчерпване на вътрешноправните средства за защита</w:t>
      </w:r>
    </w:p>
    <w:p w:rsidR="00E012F5" w:rsidRPr="0047466B" w:rsidRDefault="004E7DE4" w:rsidP="0047466B">
      <w:pPr>
        <w:pStyle w:val="ECHRPara"/>
      </w:pPr>
      <w:r>
        <w:fldChar w:fldCharType="begin"/>
      </w:r>
      <w:r>
        <w:instrText xml:space="preserve"> SEQ level0 \*arabic </w:instrText>
      </w:r>
      <w:r>
        <w:fldChar w:fldCharType="separate"/>
      </w:r>
      <w:r w:rsidR="0047466B" w:rsidRPr="0047466B">
        <w:t>31</w:t>
      </w:r>
      <w:r>
        <w:fldChar w:fldCharType="end"/>
      </w:r>
      <w:r w:rsidR="00D1403E">
        <w:t>.  Съдът отново подчертава, че правилото, което налага изчерпване на вътрешноправните средства за защита по член 35, ал. 1 от Конвенцията, задължава жалбоподателите да използват правни средства за защита, които обикновено са на разположение и достатъчни в националната правна система, за да позволят получаване на обезщетение за твърдени</w:t>
      </w:r>
      <w:r w:rsidR="00F77EAF">
        <w:t>те</w:t>
      </w:r>
      <w:r w:rsidR="00D1403E">
        <w:t xml:space="preserve"> нарушения. Наличието на правни</w:t>
      </w:r>
      <w:r w:rsidR="00023E15">
        <w:t>те</w:t>
      </w:r>
      <w:r w:rsidR="00D1403E">
        <w:t xml:space="preserve"> средства за защита трябва да бъде достатъчно сигурно както на практика, така и на теория. Трябва да се прибягва до правни средства за защита, които са </w:t>
      </w:r>
      <w:r w:rsidR="00D1403E">
        <w:lastRenderedPageBreak/>
        <w:t xml:space="preserve">целесъобразни и ефективни (вж., наред с много други решения, </w:t>
      </w:r>
      <w:proofErr w:type="spellStart"/>
      <w:r w:rsidR="00D1403E">
        <w:rPr>
          <w:i/>
        </w:rPr>
        <w:t>Salman</w:t>
      </w:r>
      <w:proofErr w:type="spellEnd"/>
      <w:r w:rsidR="00D1403E">
        <w:rPr>
          <w:i/>
        </w:rPr>
        <w:t xml:space="preserve"> v. </w:t>
      </w:r>
      <w:proofErr w:type="spellStart"/>
      <w:r w:rsidR="00D1403E">
        <w:rPr>
          <w:i/>
        </w:rPr>
        <w:t>Turkey</w:t>
      </w:r>
      <w:proofErr w:type="spellEnd"/>
      <w:r w:rsidR="00D1403E">
        <w:t xml:space="preserve"> [ГО], № 21986/93, </w:t>
      </w:r>
      <w:r w:rsidR="00203CEC" w:rsidRPr="0047466B">
        <w:rPr>
          <w:lang w:val="it-IT"/>
        </w:rPr>
        <w:t>§</w:t>
      </w:r>
      <w:r w:rsidR="00D1403E">
        <w:t xml:space="preserve"> 81, ЕСПЧ 2000</w:t>
      </w:r>
      <w:r w:rsidR="00D1403E">
        <w:noBreakHyphen/>
        <w:t>VII). В рамките на задълженията на Правителството</w:t>
      </w:r>
      <w:r w:rsidR="00023E15">
        <w:t>, което</w:t>
      </w:r>
      <w:r w:rsidR="00D1403E">
        <w:t xml:space="preserve"> твърди неизчерпване на вътрешноправните средства за защита, </w:t>
      </w:r>
      <w:r w:rsidR="00203CEC">
        <w:t>е</w:t>
      </w:r>
      <w:r w:rsidR="00D1403E">
        <w:t xml:space="preserve"> да у</w:t>
      </w:r>
      <w:r w:rsidR="00203CEC">
        <w:t>бед</w:t>
      </w:r>
      <w:r w:rsidR="00D1403E">
        <w:t>и Съда, че средството, на което се позовава, е ефективно и налично както на теория, така и на практика към съответния момент</w:t>
      </w:r>
      <w:r w:rsidR="00203CEC">
        <w:t>,</w:t>
      </w:r>
      <w:r w:rsidR="00D1403E">
        <w:t xml:space="preserve"> </w:t>
      </w:r>
      <w:r w:rsidR="00203CEC">
        <w:t xml:space="preserve">с други думи че е достъпно, може да </w:t>
      </w:r>
      <w:r w:rsidR="00D1403E">
        <w:t xml:space="preserve">предостави обезщетение на жалбоподателя, както и че предлага </w:t>
      </w:r>
      <w:r w:rsidR="00F77EAF">
        <w:t>разумн</w:t>
      </w:r>
      <w:r w:rsidR="00203CEC">
        <w:t xml:space="preserve">и изгледи </w:t>
      </w:r>
      <w:r w:rsidR="00D1403E">
        <w:t xml:space="preserve">за успех (вж. </w:t>
      </w:r>
      <w:proofErr w:type="spellStart"/>
      <w:r w:rsidR="00D1403E">
        <w:rPr>
          <w:i/>
        </w:rPr>
        <w:t>Selmouni</w:t>
      </w:r>
      <w:proofErr w:type="spellEnd"/>
      <w:r w:rsidR="00D1403E">
        <w:rPr>
          <w:i/>
        </w:rPr>
        <w:t xml:space="preserve"> v. </w:t>
      </w:r>
      <w:proofErr w:type="spellStart"/>
      <w:r w:rsidR="00D1403E">
        <w:rPr>
          <w:i/>
        </w:rPr>
        <w:t>France</w:t>
      </w:r>
      <w:proofErr w:type="spellEnd"/>
      <w:r w:rsidR="00D1403E">
        <w:rPr>
          <w:i/>
        </w:rPr>
        <w:t xml:space="preserve"> </w:t>
      </w:r>
      <w:r w:rsidR="00D1403E">
        <w:t xml:space="preserve">[ГО], № 25803/94, </w:t>
      </w:r>
      <w:r w:rsidR="00203CEC" w:rsidRPr="0047466B">
        <w:rPr>
          <w:lang w:val="it-IT"/>
        </w:rPr>
        <w:t>§</w:t>
      </w:r>
      <w:r w:rsidR="00D1403E">
        <w:t xml:space="preserve"> 76, ЕСПЧ 1999</w:t>
      </w:r>
      <w:r w:rsidR="00D1403E">
        <w:noBreakHyphen/>
        <w:t>V).</w:t>
      </w:r>
    </w:p>
    <w:p w:rsidR="00E012F5" w:rsidRPr="0047466B" w:rsidRDefault="004E7DE4" w:rsidP="0047466B">
      <w:pPr>
        <w:pStyle w:val="ECHRPara"/>
      </w:pPr>
      <w:r>
        <w:fldChar w:fldCharType="begin"/>
      </w:r>
      <w:r>
        <w:instrText xml:space="preserve"> SEQ level0 \*arabic </w:instrText>
      </w:r>
      <w:r>
        <w:fldChar w:fldCharType="separate"/>
      </w:r>
      <w:r w:rsidR="0047466B" w:rsidRPr="0047466B">
        <w:t>32</w:t>
      </w:r>
      <w:r>
        <w:fldChar w:fldCharType="end"/>
      </w:r>
      <w:r w:rsidR="00BB568A">
        <w:t xml:space="preserve">.  Според съдебната практика на Съда наличието на ефективни вътрешноправни средства за защита </w:t>
      </w:r>
      <w:r w:rsidR="00203CEC">
        <w:t xml:space="preserve">обикновено </w:t>
      </w:r>
      <w:r w:rsidR="00BB568A">
        <w:t>се разгле</w:t>
      </w:r>
      <w:r w:rsidR="00203CEC">
        <w:t>ж</w:t>
      </w:r>
      <w:r w:rsidR="00BB568A">
        <w:t xml:space="preserve">да към датата, на която се подава жалбата. </w:t>
      </w:r>
      <w:r w:rsidR="00203CEC">
        <w:t>Т</w:t>
      </w:r>
      <w:r w:rsidR="00BB568A">
        <w:t xml:space="preserve">ова правило подлежи на изключения, когато обстоятелствата налагат това (вж. </w:t>
      </w:r>
      <w:proofErr w:type="spellStart"/>
      <w:r w:rsidR="00BB568A">
        <w:rPr>
          <w:i/>
          <w:snapToGrid w:val="0"/>
        </w:rPr>
        <w:t>Demopoulos</w:t>
      </w:r>
      <w:proofErr w:type="spellEnd"/>
      <w:r w:rsidR="00BB568A">
        <w:rPr>
          <w:i/>
          <w:snapToGrid w:val="0"/>
        </w:rPr>
        <w:t xml:space="preserve"> </w:t>
      </w:r>
      <w:proofErr w:type="spellStart"/>
      <w:r w:rsidR="00BB568A">
        <w:rPr>
          <w:i/>
          <w:snapToGrid w:val="0"/>
        </w:rPr>
        <w:t>and</w:t>
      </w:r>
      <w:proofErr w:type="spellEnd"/>
      <w:r w:rsidR="00BB568A">
        <w:rPr>
          <w:i/>
          <w:snapToGrid w:val="0"/>
        </w:rPr>
        <w:t xml:space="preserve"> </w:t>
      </w:r>
      <w:proofErr w:type="spellStart"/>
      <w:r w:rsidR="00BB568A">
        <w:rPr>
          <w:i/>
          <w:snapToGrid w:val="0"/>
        </w:rPr>
        <w:t>Others</w:t>
      </w:r>
      <w:proofErr w:type="spellEnd"/>
      <w:r w:rsidR="00BB568A">
        <w:rPr>
          <w:i/>
          <w:snapToGrid w:val="0"/>
        </w:rPr>
        <w:t xml:space="preserve"> v. </w:t>
      </w:r>
      <w:proofErr w:type="spellStart"/>
      <w:r w:rsidR="00BB568A">
        <w:rPr>
          <w:i/>
          <w:snapToGrid w:val="0"/>
        </w:rPr>
        <w:t>Turkey</w:t>
      </w:r>
      <w:proofErr w:type="spellEnd"/>
      <w:r w:rsidR="00BB568A">
        <w:rPr>
          <w:i/>
          <w:snapToGrid w:val="0"/>
        </w:rPr>
        <w:t xml:space="preserve"> </w:t>
      </w:r>
      <w:r w:rsidR="00BB568A">
        <w:rPr>
          <w:snapToGrid w:val="0"/>
        </w:rPr>
        <w:t>(</w:t>
      </w:r>
      <w:r w:rsidR="00203CEC">
        <w:rPr>
          <w:snapToGrid w:val="0"/>
        </w:rPr>
        <w:t>РД</w:t>
      </w:r>
      <w:r w:rsidR="00BB568A">
        <w:rPr>
          <w:snapToGrid w:val="0"/>
        </w:rPr>
        <w:t>) [ГО], № 46113/99, 3843/02, 13751/02, 13466/03, 10200/04, 14163/04, 19993/04 и 21819/04</w:t>
      </w:r>
      <w:r w:rsidR="00F77EAF">
        <w:t xml:space="preserve">, § </w:t>
      </w:r>
      <w:r w:rsidR="00BB568A">
        <w:t>87, ЕСПЧ 2010). Съдът е</w:t>
      </w:r>
      <w:r w:rsidR="00F77EAF">
        <w:t xml:space="preserve"> разглеждал подобни изключения като </w:t>
      </w:r>
      <w:r w:rsidR="00BB568A">
        <w:t xml:space="preserve">обосновани в редица дела (например </w:t>
      </w:r>
      <w:proofErr w:type="spellStart"/>
      <w:r w:rsidR="00BB568A">
        <w:rPr>
          <w:i/>
        </w:rPr>
        <w:t>Brusco</w:t>
      </w:r>
      <w:proofErr w:type="spellEnd"/>
      <w:r w:rsidR="00BB568A">
        <w:rPr>
          <w:i/>
        </w:rPr>
        <w:t xml:space="preserve"> v. </w:t>
      </w:r>
      <w:proofErr w:type="spellStart"/>
      <w:r w:rsidR="00BB568A">
        <w:rPr>
          <w:i/>
        </w:rPr>
        <w:t>Italy</w:t>
      </w:r>
      <w:proofErr w:type="spellEnd"/>
      <w:r w:rsidR="00BB568A">
        <w:t xml:space="preserve"> (</w:t>
      </w:r>
      <w:r w:rsidR="003E0445">
        <w:t>РД</w:t>
      </w:r>
      <w:r w:rsidR="00BB568A">
        <w:t xml:space="preserve">), № 69789/01, ЕСПЧ 2001-IX; </w:t>
      </w:r>
      <w:proofErr w:type="spellStart"/>
      <w:r w:rsidR="00BB568A">
        <w:rPr>
          <w:i/>
        </w:rPr>
        <w:t>Балъкчиев</w:t>
      </w:r>
      <w:proofErr w:type="spellEnd"/>
      <w:r w:rsidR="00BB568A">
        <w:rPr>
          <w:i/>
        </w:rPr>
        <w:t xml:space="preserve"> и други срещу България </w:t>
      </w:r>
      <w:r w:rsidR="00BB568A">
        <w:t>(</w:t>
      </w:r>
      <w:r w:rsidR="003E0445">
        <w:t>РД</w:t>
      </w:r>
      <w:r w:rsidR="00BB568A">
        <w:t xml:space="preserve">), № 65187/10, 18 юни 2013 г.; </w:t>
      </w:r>
      <w:proofErr w:type="spellStart"/>
      <w:r w:rsidR="00BB568A">
        <w:rPr>
          <w:i/>
        </w:rPr>
        <w:t>Łatak</w:t>
      </w:r>
      <w:proofErr w:type="spellEnd"/>
      <w:r w:rsidR="00BB568A">
        <w:rPr>
          <w:i/>
        </w:rPr>
        <w:t xml:space="preserve"> v. </w:t>
      </w:r>
      <w:proofErr w:type="spellStart"/>
      <w:r w:rsidR="00BB568A">
        <w:rPr>
          <w:i/>
        </w:rPr>
        <w:t>Poland</w:t>
      </w:r>
      <w:proofErr w:type="spellEnd"/>
      <w:r w:rsidR="00BB568A">
        <w:t xml:space="preserve"> (</w:t>
      </w:r>
      <w:r w:rsidR="003E0445">
        <w:t>РД</w:t>
      </w:r>
      <w:r w:rsidR="00BB568A">
        <w:t xml:space="preserve">), № 52070/08, 12 октомври 2010 г.). Като потвърждава </w:t>
      </w:r>
      <w:r w:rsidR="003E0445">
        <w:t xml:space="preserve">субсидиарната </w:t>
      </w:r>
      <w:r w:rsidR="00BB568A">
        <w:t>р</w:t>
      </w:r>
      <w:r w:rsidR="00F77EAF">
        <w:t>оля на системата на Конвенцията</w:t>
      </w:r>
      <w:r w:rsidR="00BB568A">
        <w:t xml:space="preserve"> в тези дела Съдът взема предвид </w:t>
      </w:r>
      <w:r w:rsidR="003E0445">
        <w:t>повторяемостта</w:t>
      </w:r>
      <w:r w:rsidR="00BB568A">
        <w:t xml:space="preserve"> на твърдените нарушения, наличието на системни проблеми на национално равнище и въвеждането от страна на Правителството на правни средства за защита, насочени към решаване на проблема.</w:t>
      </w:r>
    </w:p>
    <w:p w:rsidR="00A54295" w:rsidRPr="0047466B" w:rsidRDefault="004E7DE4" w:rsidP="0047466B">
      <w:pPr>
        <w:pStyle w:val="ECHRPara"/>
      </w:pPr>
      <w:r>
        <w:fldChar w:fldCharType="begin"/>
      </w:r>
      <w:r>
        <w:instrText xml:space="preserve"> SEQ level0 \*ara</w:instrText>
      </w:r>
      <w:r>
        <w:instrText xml:space="preserve">bic </w:instrText>
      </w:r>
      <w:r>
        <w:fldChar w:fldCharType="separate"/>
      </w:r>
      <w:r w:rsidR="0047466B" w:rsidRPr="0047466B">
        <w:t>33</w:t>
      </w:r>
      <w:r>
        <w:fldChar w:fldCharType="end"/>
      </w:r>
      <w:r w:rsidR="00BB568A">
        <w:t xml:space="preserve">.  Настоящата жалба е подадена до Съда на 5 декември 2012 г., малко преди приемането на измененията на ЗОДОВ, които въвеждат вътрешноправно средство за защита с цел предоставяне на обезщетение за твърдени нарушения на член 5, ал. 1–4 от Конвенцията (вж. параграфи 1 и 17-18 по-горе). Правителството не е показало, че ЗОДОВ, в сила по време на подаването на жалбата, и конкретно член 2 от него, който, </w:t>
      </w:r>
      <w:r w:rsidR="00BB568A" w:rsidRPr="003518CE">
        <w:t>наред с другото</w:t>
      </w:r>
      <w:r w:rsidR="00BB568A" w:rsidRPr="00DE3762">
        <w:t>,</w:t>
      </w:r>
      <w:r w:rsidR="00BB568A">
        <w:t xml:space="preserve"> засяга задържане</w:t>
      </w:r>
      <w:r w:rsidR="003E0445">
        <w:t>то</w:t>
      </w:r>
      <w:r w:rsidR="00BB568A">
        <w:t xml:space="preserve">, </w:t>
      </w:r>
      <w:proofErr w:type="spellStart"/>
      <w:r w:rsidR="00BB568A">
        <w:t>разпоредено</w:t>
      </w:r>
      <w:proofErr w:type="spellEnd"/>
      <w:r w:rsidR="00BB568A">
        <w:t xml:space="preserve"> от следствени</w:t>
      </w:r>
      <w:r w:rsidR="003E0445">
        <w:t>те</w:t>
      </w:r>
      <w:r w:rsidR="00BB568A">
        <w:t xml:space="preserve"> органи или прокуратурата, предлага на жалбоподателя основателни възможности за получаване на обезщетение за твърдяно</w:t>
      </w:r>
      <w:r w:rsidR="003E0445">
        <w:t>то</w:t>
      </w:r>
      <w:r w:rsidR="00BB568A">
        <w:t xml:space="preserve"> неправомерно задържане в периода между 7 и 9 юни 2012 г.</w:t>
      </w:r>
    </w:p>
    <w:p w:rsidR="000321D2" w:rsidRPr="0047466B" w:rsidRDefault="004E7DE4" w:rsidP="0047466B">
      <w:pPr>
        <w:pStyle w:val="ECHRPara"/>
        <w:rPr>
          <w:rFonts w:cstheme="minorHAnsi"/>
        </w:rPr>
      </w:pPr>
      <w:r>
        <w:fldChar w:fldCharType="begin"/>
      </w:r>
      <w:r>
        <w:instrText xml:space="preserve"> SEQ level0 \*arabic </w:instrText>
      </w:r>
      <w:r>
        <w:fldChar w:fldCharType="separate"/>
      </w:r>
      <w:r w:rsidR="0047466B" w:rsidRPr="0047466B">
        <w:t>34</w:t>
      </w:r>
      <w:r>
        <w:fldChar w:fldCharType="end"/>
      </w:r>
      <w:r w:rsidR="000321D2">
        <w:t xml:space="preserve">.  По отношение на правното средство за защита, въведено през декември 2012 г., няколко дни след подаване на настоящата жалба пред Съда (вж. параграф 17 по-горе), Съдът изтъква, че по делото </w:t>
      </w:r>
      <w:r w:rsidR="000321D2">
        <w:rPr>
          <w:i/>
        </w:rPr>
        <w:t>Тони Костадинов</w:t>
      </w:r>
      <w:r w:rsidR="000321D2">
        <w:t xml:space="preserve"> (цитирано по-горе, </w:t>
      </w:r>
      <w:r w:rsidR="003E0445" w:rsidRPr="0047466B">
        <w:rPr>
          <w:rFonts w:cstheme="minorHAnsi"/>
          <w:lang w:val="en-GB"/>
        </w:rPr>
        <w:t>§§</w:t>
      </w:r>
      <w:r w:rsidR="000321D2">
        <w:t xml:space="preserve"> 68</w:t>
      </w:r>
      <w:r w:rsidR="000321D2">
        <w:noBreakHyphen/>
        <w:t>71) то</w:t>
      </w:r>
      <w:r w:rsidR="003E0445">
        <w:t>й</w:t>
      </w:r>
      <w:r w:rsidR="000321D2">
        <w:t xml:space="preserve"> не е </w:t>
      </w:r>
      <w:r w:rsidR="00F77EAF">
        <w:t xml:space="preserve">бил </w:t>
      </w:r>
      <w:r w:rsidR="003E0445">
        <w:t>убеден</w:t>
      </w:r>
      <w:r w:rsidR="000321D2">
        <w:t xml:space="preserve"> </w:t>
      </w:r>
      <w:r w:rsidR="003E0445">
        <w:t>в</w:t>
      </w:r>
      <w:r w:rsidR="000321D2">
        <w:t xml:space="preserve"> ефективността </w:t>
      </w:r>
      <w:r w:rsidR="003E0445">
        <w:t xml:space="preserve">му по отношение на </w:t>
      </w:r>
      <w:r w:rsidR="000321D2">
        <w:t xml:space="preserve">обстоятелствата </w:t>
      </w:r>
      <w:r w:rsidR="003E0445">
        <w:t>на жалбоподателя</w:t>
      </w:r>
      <w:r w:rsidR="000321D2">
        <w:t xml:space="preserve">. Конкретно Съдът отбелязва, че Правителството не е представило </w:t>
      </w:r>
      <w:r w:rsidR="00F77EAF">
        <w:t xml:space="preserve">нито едно </w:t>
      </w:r>
      <w:r w:rsidR="000321D2">
        <w:t>решение на националните съдилища, което да показва, че правното средство може да се прилага за събития, които са възникнали преди въвеждането му през декември 2012 г.</w:t>
      </w:r>
    </w:p>
    <w:p w:rsidR="00272629" w:rsidRPr="0047466B" w:rsidRDefault="00272629" w:rsidP="0047466B">
      <w:pPr>
        <w:pStyle w:val="ECHRPara"/>
        <w:rPr>
          <w:rFonts w:cstheme="minorHAnsi"/>
        </w:rPr>
      </w:pPr>
      <w:r w:rsidRPr="0047466B">
        <w:rPr>
          <w:rFonts w:cstheme="minorHAnsi"/>
        </w:rPr>
        <w:lastRenderedPageBreak/>
        <w:fldChar w:fldCharType="begin"/>
      </w:r>
      <w:r w:rsidRPr="0047466B">
        <w:rPr>
          <w:rFonts w:cstheme="minorHAnsi"/>
        </w:rPr>
        <w:instrText xml:space="preserve"> SEQ level0 \*arabic </w:instrText>
      </w:r>
      <w:r w:rsidRPr="0047466B">
        <w:rPr>
          <w:rFonts w:cstheme="minorHAnsi"/>
        </w:rPr>
        <w:fldChar w:fldCharType="separate"/>
      </w:r>
      <w:r w:rsidR="0047466B" w:rsidRPr="0047466B">
        <w:rPr>
          <w:rFonts w:cstheme="minorHAnsi"/>
        </w:rPr>
        <w:t>35</w:t>
      </w:r>
      <w:r w:rsidRPr="0047466B">
        <w:rPr>
          <w:rFonts w:cstheme="minorHAnsi"/>
        </w:rPr>
        <w:fldChar w:fldCharType="end"/>
      </w:r>
      <w:r>
        <w:t>.  За разлика от това, в настоящото дело Правителството представя няколко решения на национални съдилища (вж. параграфи 24-28 по-горе) във връзка с прилагането на новото правно средство за защита.</w:t>
      </w:r>
    </w:p>
    <w:p w:rsidR="00564DBD" w:rsidRPr="0047466B" w:rsidRDefault="00564DBD" w:rsidP="0047466B">
      <w:pPr>
        <w:pStyle w:val="ECHRPara"/>
      </w:pPr>
      <w:r w:rsidRPr="0047466B">
        <w:rPr>
          <w:rFonts w:cstheme="minorHAnsi"/>
        </w:rPr>
        <w:fldChar w:fldCharType="begin"/>
      </w:r>
      <w:r w:rsidRPr="0047466B">
        <w:rPr>
          <w:rFonts w:cstheme="minorHAnsi"/>
        </w:rPr>
        <w:instrText xml:space="preserve"> SEQ level0 \*arabic </w:instrText>
      </w:r>
      <w:r w:rsidRPr="0047466B">
        <w:rPr>
          <w:rFonts w:cstheme="minorHAnsi"/>
        </w:rPr>
        <w:fldChar w:fldCharType="separate"/>
      </w:r>
      <w:r w:rsidR="0047466B" w:rsidRPr="0047466B">
        <w:rPr>
          <w:rFonts w:cstheme="minorHAnsi"/>
        </w:rPr>
        <w:t>36</w:t>
      </w:r>
      <w:r w:rsidRPr="0047466B">
        <w:rPr>
          <w:rFonts w:cstheme="minorHAnsi"/>
        </w:rPr>
        <w:fldChar w:fldCharType="end"/>
      </w:r>
      <w:r>
        <w:t xml:space="preserve">.  Въпреки това Съдът отбелязва, че </w:t>
      </w:r>
      <w:r w:rsidR="003E0445">
        <w:t xml:space="preserve">в </w:t>
      </w:r>
      <w:r>
        <w:t xml:space="preserve">едно от тях, а именно решението на </w:t>
      </w:r>
      <w:r w:rsidR="003E0445">
        <w:t xml:space="preserve">Районен </w:t>
      </w:r>
      <w:r>
        <w:t>съд — Велико Търново от 13 декември 2013 г. (вж. параграф 2</w:t>
      </w:r>
      <w:r w:rsidR="003E0445">
        <w:t>6</w:t>
      </w:r>
      <w:r>
        <w:t xml:space="preserve"> по-горе) ясно </w:t>
      </w:r>
      <w:r w:rsidR="003E0445">
        <w:t xml:space="preserve">се </w:t>
      </w:r>
      <w:r>
        <w:t xml:space="preserve">заявява, че правното средство за защита, въведено през декември 2012 г. с измененията в член 2, ал. 1 от ЗОДОВ, не се прилага </w:t>
      </w:r>
      <w:proofErr w:type="spellStart"/>
      <w:r w:rsidR="00F77EAF">
        <w:t>ретроактивно</w:t>
      </w:r>
      <w:proofErr w:type="spellEnd"/>
      <w:r>
        <w:t>, както и че преди тази дата претенции за обезщетения във връзка с твърдени нарушения на член 5 от Конвенцията са били „незащитими“ пред съдилищата.</w:t>
      </w:r>
    </w:p>
    <w:p w:rsidR="009429C3" w:rsidRPr="0047466B" w:rsidRDefault="004E7DE4" w:rsidP="0047466B">
      <w:pPr>
        <w:pStyle w:val="ECHRPara"/>
      </w:pPr>
      <w:r>
        <w:fldChar w:fldCharType="begin"/>
      </w:r>
      <w:r>
        <w:instrText xml:space="preserve"> SEQ level0 \*arabic </w:instrText>
      </w:r>
      <w:r>
        <w:fldChar w:fldCharType="separate"/>
      </w:r>
      <w:r w:rsidR="0047466B" w:rsidRPr="0047466B">
        <w:t>37</w:t>
      </w:r>
      <w:r>
        <w:fldChar w:fldCharType="end"/>
      </w:r>
      <w:r w:rsidR="009429C3">
        <w:t xml:space="preserve">.  По отношение на останалите решения, Съдът отбелязва, че те не уреждат окончателно въпросите, поставени в тях. Още повече, в делото, разглеждано от Окръжен съд — Варна и Варненски </w:t>
      </w:r>
      <w:r w:rsidR="003E0445">
        <w:t>а</w:t>
      </w:r>
      <w:r w:rsidR="009429C3">
        <w:t xml:space="preserve">пелативен съд (решения от 4 март и 3 юли 2014 г., вж. параграф 24 по-горе), двете съдилища споделят различни гледни точки относно приложимата разпоредба, </w:t>
      </w:r>
      <w:r w:rsidR="003E0445">
        <w:t xml:space="preserve">като </w:t>
      </w:r>
      <w:r w:rsidR="009429C3">
        <w:t>единият съд се позовава на текста на член 2, ал. 1 от ЗОДОВ след декември 2012 г., а другият — на текста, който е в сила преди тази дата.</w:t>
      </w:r>
    </w:p>
    <w:p w:rsidR="000E0993" w:rsidRPr="0047466B" w:rsidRDefault="004E7DE4" w:rsidP="0047466B">
      <w:pPr>
        <w:pStyle w:val="ECHRPara"/>
      </w:pPr>
      <w:r>
        <w:fldChar w:fldCharType="begin"/>
      </w:r>
      <w:r>
        <w:instrText xml:space="preserve"> SEQ level0 \*arabic </w:instrText>
      </w:r>
      <w:r>
        <w:fldChar w:fldCharType="separate"/>
      </w:r>
      <w:r w:rsidR="0047466B" w:rsidRPr="0047466B">
        <w:t>38</w:t>
      </w:r>
      <w:r>
        <w:fldChar w:fldCharType="end"/>
      </w:r>
      <w:r w:rsidR="000E0993">
        <w:t xml:space="preserve">.  Съдът взема предвид и факта, съгласно </w:t>
      </w:r>
      <w:r w:rsidR="003E0445">
        <w:t xml:space="preserve">Районен </w:t>
      </w:r>
      <w:r w:rsidR="000E0993">
        <w:t>съд — Велико Търново (вж. параграф 2</w:t>
      </w:r>
      <w:r w:rsidR="003E0445">
        <w:t>6</w:t>
      </w:r>
      <w:r w:rsidR="000E0993">
        <w:t xml:space="preserve"> по-горе) и на който се позовава жалбоподателя</w:t>
      </w:r>
      <w:r w:rsidR="003E0445">
        <w:t>т</w:t>
      </w:r>
      <w:r w:rsidR="000E0993">
        <w:t xml:space="preserve"> (вж. параграф 29 по-горе), че ЗОДОВ не разпорежда изрично прилагането на въпросното правно средство за защита със задна дата (вж. </w:t>
      </w:r>
      <w:r w:rsidR="000E0993">
        <w:rPr>
          <w:i/>
        </w:rPr>
        <w:t>Тони Костадинов</w:t>
      </w:r>
      <w:r w:rsidR="000E0993">
        <w:t xml:space="preserve">, цитирано по-горе, </w:t>
      </w:r>
      <w:r w:rsidR="003E0445">
        <w:rPr>
          <w:rFonts w:cstheme="minorHAnsi"/>
          <w:lang w:val="en-GB"/>
        </w:rPr>
        <w:t>§</w:t>
      </w:r>
      <w:r w:rsidR="000E0993">
        <w:t xml:space="preserve"> 70).</w:t>
      </w:r>
    </w:p>
    <w:p w:rsidR="00A9699D" w:rsidRPr="0047466B" w:rsidRDefault="004E7DE4" w:rsidP="0047466B">
      <w:pPr>
        <w:pStyle w:val="ECHRPara"/>
      </w:pPr>
      <w:r>
        <w:fldChar w:fldCharType="begin"/>
      </w:r>
      <w:r>
        <w:instrText xml:space="preserve"> SEQ level0 \*arabic </w:instrText>
      </w:r>
      <w:r>
        <w:fldChar w:fldCharType="separate"/>
      </w:r>
      <w:r w:rsidR="0047466B" w:rsidRPr="0047466B">
        <w:t>39</w:t>
      </w:r>
      <w:r>
        <w:fldChar w:fldCharType="end"/>
      </w:r>
      <w:r w:rsidR="00A9699D">
        <w:t xml:space="preserve">.  Предвид </w:t>
      </w:r>
      <w:r w:rsidR="001C5093">
        <w:t xml:space="preserve">горното </w:t>
      </w:r>
      <w:r w:rsidR="00A9699D">
        <w:t>и като изтъква отново, че е задължение на Правителството да убеди Съда, че разглежданото правно средство за защита би могло да бъде ефективно на практика по делото на жалбоподателя, и по-конкретно, че би могло да се прилага за събития, които са възникнали преди въвеждането на правното средство в националното законодателство, Съдът счита, че това не е демонстрирано. Съответно Съдът не намира за основателно да прави изключение от посоченото по-горе правило наличието на ефективни вътрешноправни средства за защита да се разглежда към датата, на която е подадена жалбата.</w:t>
      </w:r>
    </w:p>
    <w:p w:rsidR="00550813" w:rsidRPr="0047466B" w:rsidRDefault="00550813" w:rsidP="0047466B">
      <w:pPr>
        <w:pStyle w:val="ECHRPara"/>
      </w:pPr>
      <w:r w:rsidRPr="0047466B">
        <w:rPr>
          <w:rFonts w:cstheme="minorHAnsi"/>
        </w:rPr>
        <w:fldChar w:fldCharType="begin"/>
      </w:r>
      <w:r w:rsidRPr="0047466B">
        <w:rPr>
          <w:rFonts w:cstheme="minorHAnsi"/>
        </w:rPr>
        <w:instrText xml:space="preserve"> SEQ level0 \*arabic </w:instrText>
      </w:r>
      <w:r w:rsidRPr="0047466B">
        <w:rPr>
          <w:rFonts w:cstheme="minorHAnsi"/>
        </w:rPr>
        <w:fldChar w:fldCharType="separate"/>
      </w:r>
      <w:r w:rsidR="0047466B" w:rsidRPr="0047466B">
        <w:rPr>
          <w:rFonts w:cstheme="minorHAnsi"/>
        </w:rPr>
        <w:t>40</w:t>
      </w:r>
      <w:r w:rsidRPr="0047466B">
        <w:rPr>
          <w:rFonts w:cstheme="minorHAnsi"/>
        </w:rPr>
        <w:fldChar w:fldCharType="end"/>
      </w:r>
      <w:r>
        <w:t>.  Вследствие на това Съдът отхвърля възраженията на Правителството относно неизчерпване на вътрешноправните средства за защита.</w:t>
      </w:r>
    </w:p>
    <w:p w:rsidR="00A9699D" w:rsidRPr="0047466B" w:rsidRDefault="004E7DE4" w:rsidP="0047466B">
      <w:pPr>
        <w:pStyle w:val="ECHRPara"/>
      </w:pPr>
      <w:r>
        <w:fldChar w:fldCharType="begin"/>
      </w:r>
      <w:r>
        <w:instrText xml:space="preserve"> SEQ level0 \*arabic </w:instrText>
      </w:r>
      <w:r>
        <w:fldChar w:fldCharType="separate"/>
      </w:r>
      <w:r w:rsidR="0047466B" w:rsidRPr="0047466B">
        <w:t>41</w:t>
      </w:r>
      <w:r>
        <w:fldChar w:fldCharType="end"/>
      </w:r>
      <w:r w:rsidR="00550813">
        <w:t xml:space="preserve">.  Както и в делото </w:t>
      </w:r>
      <w:r w:rsidR="00550813">
        <w:rPr>
          <w:i/>
        </w:rPr>
        <w:t>Тони Костадинов</w:t>
      </w:r>
      <w:r w:rsidR="00550813">
        <w:t xml:space="preserve"> (цитирано по-горе, </w:t>
      </w:r>
      <w:r w:rsidR="00B8657B">
        <w:rPr>
          <w:rFonts w:cstheme="minorHAnsi"/>
          <w:lang w:val="en-GB"/>
        </w:rPr>
        <w:t>§</w:t>
      </w:r>
      <w:r w:rsidR="00550813">
        <w:t xml:space="preserve"> 72), Съдът изтъква, че горните заключения са ограничени до обстоятелствата по настоящото дело и не следва да се разглеждат като предопределящи резултата от жалби, които Съдът може да разглежда в бъдеще. Развитието на съдебната практика на националните съдилища остава важен фактор в оценяването на допустимостта на жалбите по член 5 от разглеждания в настоящото </w:t>
      </w:r>
      <w:r w:rsidR="00B8657B">
        <w:t xml:space="preserve">дело </w:t>
      </w:r>
      <w:r w:rsidR="00550813">
        <w:t>вид.</w:t>
      </w:r>
    </w:p>
    <w:p w:rsidR="00964A28" w:rsidRPr="0047466B" w:rsidRDefault="00964A28" w:rsidP="0047466B">
      <w:pPr>
        <w:pStyle w:val="ECHRHeading4"/>
      </w:pPr>
      <w:r>
        <w:lastRenderedPageBreak/>
        <w:t>(б)</w:t>
      </w:r>
      <w:r>
        <w:tab/>
        <w:t>Заключение относно допустимостта</w:t>
      </w:r>
    </w:p>
    <w:p w:rsidR="00014566" w:rsidRPr="0047466B" w:rsidRDefault="004E7DE4" w:rsidP="0047466B">
      <w:pPr>
        <w:pStyle w:val="ECHRPara"/>
      </w:pPr>
      <w:r>
        <w:fldChar w:fldCharType="begin"/>
      </w:r>
      <w:r>
        <w:instrText xml:space="preserve"> SEQ level0 \*arabic </w:instrText>
      </w:r>
      <w:r>
        <w:fldChar w:fldCharType="separate"/>
      </w:r>
      <w:r w:rsidR="0047466B" w:rsidRPr="0047466B">
        <w:t>42</w:t>
      </w:r>
      <w:r>
        <w:fldChar w:fldCharType="end"/>
      </w:r>
      <w:r w:rsidR="00790740">
        <w:t>.  В заключение Съдът отбелязва, че оплакванията не са явно необосновани по смисъла на чл. 35, ал</w:t>
      </w:r>
      <w:r w:rsidR="00B8657B">
        <w:t>.</w:t>
      </w:r>
      <w:r w:rsidR="00790740">
        <w:t xml:space="preserve"> 3 (а) от Конвенцията, нито недопустими на каквото и да било друго основание. Следователно те трябва да бъдат обявени за допустими.</w:t>
      </w:r>
    </w:p>
    <w:p w:rsidR="00014566" w:rsidRPr="0047466B" w:rsidRDefault="00014566" w:rsidP="0047466B">
      <w:pPr>
        <w:pStyle w:val="ECHRHeading2"/>
        <w:outlineLvl w:val="0"/>
      </w:pPr>
      <w:r>
        <w:t>Б.</w:t>
      </w:r>
      <w:r>
        <w:tab/>
      </w:r>
      <w:r w:rsidR="00B8657B">
        <w:t xml:space="preserve">Основателност </w:t>
      </w:r>
    </w:p>
    <w:p w:rsidR="00542ED1" w:rsidRPr="0047466B" w:rsidRDefault="00542ED1" w:rsidP="0047466B">
      <w:pPr>
        <w:pStyle w:val="ECHRHeading3"/>
      </w:pPr>
      <w:r>
        <w:t>1.  Твърдения на страните</w:t>
      </w:r>
    </w:p>
    <w:p w:rsidR="00542ED1" w:rsidRPr="0047466B" w:rsidRDefault="00542ED1" w:rsidP="0047466B">
      <w:pPr>
        <w:pStyle w:val="ECHRHeading4"/>
      </w:pPr>
      <w:r>
        <w:t>а)  Правителството</w:t>
      </w:r>
    </w:p>
    <w:p w:rsidR="008609DB" w:rsidRPr="0047466B" w:rsidRDefault="004E7DE4" w:rsidP="0047466B">
      <w:pPr>
        <w:pStyle w:val="ECHRPara"/>
      </w:pPr>
      <w:r>
        <w:fldChar w:fldCharType="begin"/>
      </w:r>
      <w:r>
        <w:instrText xml:space="preserve"> SEQ level0 \*arabic </w:instrText>
      </w:r>
      <w:r>
        <w:fldChar w:fldCharType="separate"/>
      </w:r>
      <w:r w:rsidR="0047466B" w:rsidRPr="0047466B">
        <w:t>43</w:t>
      </w:r>
      <w:r>
        <w:fldChar w:fldCharType="end"/>
      </w:r>
      <w:r w:rsidR="00FD7609">
        <w:t xml:space="preserve">.  Правителството твърди, че задържането на жалбоподателя попада в обхвата на точка </w:t>
      </w:r>
      <w:r w:rsidR="00B8657B">
        <w:t>(</w:t>
      </w:r>
      <w:r w:rsidR="00B8657B">
        <w:rPr>
          <w:lang w:val="en-US"/>
        </w:rPr>
        <w:t>c</w:t>
      </w:r>
      <w:r w:rsidR="00FD7609">
        <w:t xml:space="preserve">) от член 5 </w:t>
      </w:r>
      <w:r w:rsidR="00B8657B">
        <w:rPr>
          <w:rFonts w:cstheme="minorHAnsi"/>
          <w:lang w:val="en-GB"/>
        </w:rPr>
        <w:t>§</w:t>
      </w:r>
      <w:r w:rsidR="00FD7609">
        <w:t xml:space="preserve"> 1 от Конвенцията. Правителството заявява също така, че задържането е законосъобразно.</w:t>
      </w:r>
    </w:p>
    <w:p w:rsidR="00E91BDD" w:rsidRPr="0047466B" w:rsidRDefault="004E7DE4" w:rsidP="0047466B">
      <w:pPr>
        <w:pStyle w:val="ECHRPara"/>
      </w:pPr>
      <w:r>
        <w:fldChar w:fldCharType="begin"/>
      </w:r>
      <w:r>
        <w:instrText xml:space="preserve"> SEQ level0 \*arabic </w:instrText>
      </w:r>
      <w:r>
        <w:fldChar w:fldCharType="separate"/>
      </w:r>
      <w:r w:rsidR="0047466B" w:rsidRPr="0047466B">
        <w:t>44</w:t>
      </w:r>
      <w:r>
        <w:fldChar w:fldCharType="end"/>
      </w:r>
      <w:r w:rsidR="00FD7609">
        <w:t xml:space="preserve">.  По отношение на първоначалното задържане на жалбоподателя след заседанието от 7 юни 2012 г. — а именно до 19:00 ч. в деня, в който </w:t>
      </w:r>
      <w:proofErr w:type="spellStart"/>
      <w:r w:rsidR="00FD7609">
        <w:t>разпореденото</w:t>
      </w:r>
      <w:proofErr w:type="spellEnd"/>
      <w:r w:rsidR="00FD7609">
        <w:t xml:space="preserve"> преди задържане под стража е официално прекратено — Правителството счита, че периодът от време е бил необходим за оформяне на съответните административни документи, </w:t>
      </w:r>
      <w:r w:rsidR="001C5093">
        <w:t>по-</w:t>
      </w:r>
      <w:r w:rsidR="00FD7609">
        <w:t xml:space="preserve">конкретно изчакване на получаването по факс на решението, взето по време на съдебното заседание. Като разграничава настоящото дело от делата </w:t>
      </w:r>
      <w:r w:rsidR="00FD7609">
        <w:rPr>
          <w:i/>
        </w:rPr>
        <w:t>Петьо Петков срещу България</w:t>
      </w:r>
      <w:r w:rsidR="00FD7609">
        <w:t xml:space="preserve"> (№ 32130/03</w:t>
      </w:r>
      <w:r w:rsidR="00FD7609">
        <w:rPr>
          <w:snapToGrid w:val="0"/>
        </w:rPr>
        <w:t xml:space="preserve">, 7 януари 2010 г.) и </w:t>
      </w:r>
      <w:r w:rsidR="00FD7609">
        <w:rPr>
          <w:i/>
        </w:rPr>
        <w:t xml:space="preserve">Божинов срещу България </w:t>
      </w:r>
      <w:r w:rsidR="00FD7609">
        <w:t>(№. 47799/99, 28 октомври 2004 г.), Правителството твърди, че закъснението от по-малко от два часа (от 17:16 ч. до 19:00 ч.) преди преустановяване на задържането под стража, не е прекомерно.</w:t>
      </w:r>
    </w:p>
    <w:p w:rsidR="00014566" w:rsidRPr="0047466B" w:rsidRDefault="004E7DE4" w:rsidP="0047466B">
      <w:pPr>
        <w:pStyle w:val="ECHRPara"/>
      </w:pPr>
      <w:r>
        <w:fldChar w:fldCharType="begin"/>
      </w:r>
      <w:r>
        <w:instrText xml:space="preserve"> SEQ level0 \*arabic </w:instrText>
      </w:r>
      <w:r>
        <w:fldChar w:fldCharType="separate"/>
      </w:r>
      <w:r w:rsidR="0047466B" w:rsidRPr="0047466B">
        <w:t>45</w:t>
      </w:r>
      <w:r>
        <w:fldChar w:fldCharType="end"/>
      </w:r>
      <w:r w:rsidR="00790740">
        <w:t>.  По отношение на периода от време след това, а именно от 19:00 ч. на 7 юни до 12:10 ч. на 9 юни 2012 г.</w:t>
      </w:r>
      <w:r w:rsidR="00B8657B">
        <w:t>,</w:t>
      </w:r>
      <w:r w:rsidR="00790740">
        <w:t xml:space="preserve"> Правителството счита, че жалбоподателят е бил законосъобразно задържан по силата на заповед</w:t>
      </w:r>
      <w:r w:rsidR="00B8657B">
        <w:t>та</w:t>
      </w:r>
      <w:r w:rsidR="00790740">
        <w:t xml:space="preserve">, описана в параграф 9 по-горе, с която се изисква явяването му пред </w:t>
      </w:r>
      <w:r w:rsidR="001C5093">
        <w:t>разследващ полицай</w:t>
      </w:r>
      <w:r w:rsidR="00790740">
        <w:t xml:space="preserve"> в Плевен. Според Правителството тази заповед е обоснована от риска обвиняемия</w:t>
      </w:r>
      <w:r w:rsidR="00B8657B">
        <w:t>т</w:t>
      </w:r>
      <w:r w:rsidR="00790740">
        <w:t xml:space="preserve"> да се укрие. Тя е издадена съгласно закона, конкретно </w:t>
      </w:r>
      <w:r w:rsidR="00B8657B">
        <w:t xml:space="preserve">съгласно </w:t>
      </w:r>
      <w:r w:rsidR="00790740">
        <w:t>чл</w:t>
      </w:r>
      <w:r w:rsidR="00B8657B">
        <w:t>.</w:t>
      </w:r>
      <w:r w:rsidR="00790740">
        <w:t xml:space="preserve"> 71 и </w:t>
      </w:r>
      <w:r w:rsidR="00B8657B">
        <w:t xml:space="preserve">чл. </w:t>
      </w:r>
      <w:r w:rsidR="00790740">
        <w:t xml:space="preserve">120, ал. 3 от Наказателнопроцесуалния кодекс. Освен това от значение е, че след прехвърлянето му в Плевен, на жалбоподателя е било повдигнато обвинение в престъпление, което означава, че целта на задържането му през въпросния период от време е била </w:t>
      </w:r>
      <w:r w:rsidR="00B8657B">
        <w:t xml:space="preserve">да </w:t>
      </w:r>
      <w:r w:rsidR="00790740">
        <w:t>улесн</w:t>
      </w:r>
      <w:r w:rsidR="00B8657B">
        <w:t>и</w:t>
      </w:r>
      <w:r w:rsidR="00790740">
        <w:t xml:space="preserve"> прилагането на правосъдие.</w:t>
      </w:r>
    </w:p>
    <w:p w:rsidR="00014566" w:rsidRPr="0047466B" w:rsidRDefault="004E7DE4" w:rsidP="0047466B">
      <w:pPr>
        <w:pStyle w:val="ECHRPara"/>
      </w:pPr>
      <w:r>
        <w:fldChar w:fldCharType="begin"/>
      </w:r>
      <w:r>
        <w:instrText xml:space="preserve"> SEQ </w:instrText>
      </w:r>
      <w:r>
        <w:instrText xml:space="preserve">level0 \*arabic </w:instrText>
      </w:r>
      <w:r>
        <w:fldChar w:fldCharType="separate"/>
      </w:r>
      <w:r w:rsidR="0047466B" w:rsidRPr="0047466B">
        <w:t>46</w:t>
      </w:r>
      <w:r>
        <w:fldChar w:fldCharType="end"/>
      </w:r>
      <w:r w:rsidR="00790740">
        <w:t xml:space="preserve">.  По отношение на оплакването на жалбоподателя, че не е имал възможност да оспори законността на задържането </w:t>
      </w:r>
      <w:r w:rsidR="00B8657B">
        <w:t>си</w:t>
      </w:r>
      <w:r w:rsidR="00790740">
        <w:t>, Правителството изтъква, че разглежданият период е твърде кратък, за да позволи разглеждането на молба за освобождаване.</w:t>
      </w:r>
    </w:p>
    <w:p w:rsidR="00542ED1" w:rsidRPr="0047466B" w:rsidRDefault="00542ED1" w:rsidP="0047466B">
      <w:pPr>
        <w:pStyle w:val="ECHRHeading4"/>
      </w:pPr>
      <w:r>
        <w:lastRenderedPageBreak/>
        <w:t>(б)</w:t>
      </w:r>
      <w:r>
        <w:tab/>
        <w:t>Жалбоподателят</w:t>
      </w:r>
    </w:p>
    <w:p w:rsidR="00542ED1" w:rsidRPr="0047466B" w:rsidRDefault="004E7DE4" w:rsidP="0047466B">
      <w:pPr>
        <w:pStyle w:val="ECHRPara"/>
      </w:pPr>
      <w:r>
        <w:fldChar w:fldCharType="begin"/>
      </w:r>
      <w:r>
        <w:instrText xml:space="preserve"> SEQ level0 \*arabic </w:instrText>
      </w:r>
      <w:r>
        <w:fldChar w:fldCharType="separate"/>
      </w:r>
      <w:r w:rsidR="0047466B" w:rsidRPr="0047466B">
        <w:t>47</w:t>
      </w:r>
      <w:r>
        <w:fldChar w:fldCharType="end"/>
      </w:r>
      <w:r w:rsidR="00610C86">
        <w:t>.  Жалбоподателят твърди, че е трябвало да бъде освободен „още в съдебната зала“ съгласно разпоредбите на чл</w:t>
      </w:r>
      <w:r w:rsidR="00C65E91">
        <w:t>.</w:t>
      </w:r>
      <w:r w:rsidR="00610C86">
        <w:t xml:space="preserve"> 309, ал. 2 от Наказателнопроцесуалния кодекс, а именно в 17:16 ч. на 7 юни 2012 г., непосредствено след края на съдебното заседание на същия ден. Така той счита, че задържането му до 19:00 ч. на 7 юни 2012 г. е било неправомерно.</w:t>
      </w:r>
    </w:p>
    <w:p w:rsidR="00014566" w:rsidRPr="0047466B" w:rsidRDefault="004E7DE4" w:rsidP="0047466B">
      <w:pPr>
        <w:pStyle w:val="ECHRPara"/>
      </w:pPr>
      <w:r>
        <w:fldChar w:fldCharType="begin"/>
      </w:r>
      <w:r>
        <w:instrText xml:space="preserve"> SEQ level0 \*arabic </w:instrText>
      </w:r>
      <w:r>
        <w:fldChar w:fldCharType="separate"/>
      </w:r>
      <w:r w:rsidR="0047466B" w:rsidRPr="0047466B">
        <w:t>48</w:t>
      </w:r>
      <w:r>
        <w:fldChar w:fldCharType="end"/>
      </w:r>
      <w:r w:rsidR="00790740">
        <w:t xml:space="preserve">.  Жалбоподателят заявява, че властите отново </w:t>
      </w:r>
      <w:r w:rsidR="00C65E91">
        <w:t xml:space="preserve">са </w:t>
      </w:r>
      <w:r w:rsidR="00790740">
        <w:t>действа</w:t>
      </w:r>
      <w:r w:rsidR="00C65E91">
        <w:t>ли</w:t>
      </w:r>
      <w:r w:rsidR="00790740">
        <w:t xml:space="preserve"> в нарушение на закона по отношение на последвалия период на задържане. Той счита, че разпоредбите на чл</w:t>
      </w:r>
      <w:r w:rsidR="00C65E91">
        <w:t>.</w:t>
      </w:r>
      <w:r w:rsidR="00790740">
        <w:t xml:space="preserve"> 71 от Наказателнопроцесуалния кодекс не са спазени и че не е имало законни основания, които да дават право на полицията да го отведе при следователя. В тази връзка жалбоподателят отбелязва, че чл</w:t>
      </w:r>
      <w:r w:rsidR="00C65E91">
        <w:t>.</w:t>
      </w:r>
      <w:r w:rsidR="00790740">
        <w:t xml:space="preserve"> 71 от Кодекса е приложим по отношение на „обвиняеми“ по наказателни дела, като се има предвид, че в действителност той е категоризиран като такъв едва след отвеждането му в Плевен. Останалите разпоредби от член 71 от Наказателнопроцесуалния кодекс също не са спазени. Конкретно трябва да е налице разпореждане жалбоподателят да бъде призован да се яви пред компетентния орган и то да не бъде спазено, което в случая не е така</w:t>
      </w:r>
      <w:r w:rsidR="00C65E91">
        <w:t>;</w:t>
      </w:r>
      <w:r w:rsidR="00790740">
        <w:t xml:space="preserve"> той не се е укрил и е имал адресна регистрация в Плевен.</w:t>
      </w:r>
    </w:p>
    <w:p w:rsidR="00014566" w:rsidRPr="0047466B" w:rsidRDefault="004E7DE4" w:rsidP="0047466B">
      <w:pPr>
        <w:pStyle w:val="ECHRPara"/>
      </w:pPr>
      <w:r>
        <w:fldChar w:fldCharType="begin"/>
      </w:r>
      <w:r>
        <w:instrText xml:space="preserve"> SEQ level0 \*arabic </w:instrText>
      </w:r>
      <w:r>
        <w:fldChar w:fldCharType="separate"/>
      </w:r>
      <w:r w:rsidR="0047466B" w:rsidRPr="0047466B">
        <w:t>49</w:t>
      </w:r>
      <w:r>
        <w:fldChar w:fldCharType="end"/>
      </w:r>
      <w:r w:rsidR="00790740">
        <w:t>.  На последно място жалбоподателят отново потвърждава оплакването си, че не е имал възможност да оспори законността на задържането си.</w:t>
      </w:r>
    </w:p>
    <w:p w:rsidR="00542ED1" w:rsidRPr="0047466B" w:rsidRDefault="00542ED1" w:rsidP="0047466B">
      <w:pPr>
        <w:pStyle w:val="ECHRHeading3"/>
      </w:pPr>
      <w:r>
        <w:t>2.  Преценката на Съда</w:t>
      </w:r>
    </w:p>
    <w:p w:rsidR="00542ED1" w:rsidRPr="001038B7" w:rsidRDefault="00324071" w:rsidP="0047466B">
      <w:pPr>
        <w:pStyle w:val="ECHRHeading4"/>
      </w:pPr>
      <w:r w:rsidRPr="001038B7">
        <w:t>(а)</w:t>
      </w:r>
      <w:r w:rsidRPr="001038B7">
        <w:tab/>
        <w:t>Чл. 5 § 1 от Конвенцията</w:t>
      </w:r>
    </w:p>
    <w:p w:rsidR="005010F1" w:rsidRPr="0047466B" w:rsidRDefault="004E7DE4" w:rsidP="0047466B">
      <w:pPr>
        <w:pStyle w:val="ECHRPara"/>
        <w:rPr>
          <w:i/>
        </w:rPr>
      </w:pPr>
      <w:r>
        <w:fldChar w:fldCharType="begin"/>
      </w:r>
      <w:r>
        <w:instrText xml:space="preserve"> SEQ level0 \*arabic </w:instrText>
      </w:r>
      <w:r>
        <w:fldChar w:fldCharType="separate"/>
      </w:r>
      <w:r w:rsidR="0047466B" w:rsidRPr="001038B7">
        <w:t>50</w:t>
      </w:r>
      <w:r>
        <w:fldChar w:fldCharType="end"/>
      </w:r>
      <w:r w:rsidR="00BB568A" w:rsidRPr="001038B7">
        <w:t>.</w:t>
      </w:r>
      <w:r w:rsidR="00BB568A">
        <w:t>  Първото изискване на член 5, ал. 1 е, че всяко задържане трябва да бъде „</w:t>
      </w:r>
      <w:r w:rsidR="00C65E91">
        <w:t>по реда</w:t>
      </w:r>
      <w:r w:rsidR="00BB568A">
        <w:t>, пред</w:t>
      </w:r>
      <w:r w:rsidR="00C65E91">
        <w:t>виден</w:t>
      </w:r>
      <w:r w:rsidR="00BB568A">
        <w:t xml:space="preserve"> от закона“. </w:t>
      </w:r>
      <w:r w:rsidR="001038B7">
        <w:t xml:space="preserve">Така </w:t>
      </w:r>
      <w:r w:rsidR="00BB568A">
        <w:t xml:space="preserve">Конвенцията </w:t>
      </w:r>
      <w:r w:rsidR="001038B7">
        <w:t xml:space="preserve">препраща към </w:t>
      </w:r>
      <w:r w:rsidR="00BB568A">
        <w:t xml:space="preserve">националното законодателство и установява задължението за спазване на материалните и процесуалните </w:t>
      </w:r>
      <w:r w:rsidR="00C65E91">
        <w:t>му</w:t>
      </w:r>
      <w:r w:rsidR="00BB568A">
        <w:t xml:space="preserve"> </w:t>
      </w:r>
      <w:r w:rsidR="00C65E91">
        <w:t>норми</w:t>
      </w:r>
      <w:r w:rsidR="00BB568A">
        <w:t xml:space="preserve"> (вж. </w:t>
      </w:r>
      <w:proofErr w:type="spellStart"/>
      <w:r w:rsidR="00BB568A">
        <w:rPr>
          <w:i/>
        </w:rPr>
        <w:t>Mooren</w:t>
      </w:r>
      <w:proofErr w:type="spellEnd"/>
      <w:r w:rsidR="00BB568A">
        <w:rPr>
          <w:i/>
        </w:rPr>
        <w:t xml:space="preserve"> v. </w:t>
      </w:r>
      <w:proofErr w:type="spellStart"/>
      <w:r w:rsidR="00BB568A">
        <w:rPr>
          <w:i/>
        </w:rPr>
        <w:t>Germany</w:t>
      </w:r>
      <w:proofErr w:type="spellEnd"/>
      <w:r w:rsidR="00BB568A">
        <w:t xml:space="preserve"> [ГО], № 11364/03, </w:t>
      </w:r>
      <w:r w:rsidR="00C65E91" w:rsidRPr="0047466B">
        <w:t>§</w:t>
      </w:r>
      <w:r w:rsidR="00BB568A">
        <w:t xml:space="preserve"> 72, 9 юли 2009 г.; </w:t>
      </w:r>
      <w:proofErr w:type="spellStart"/>
      <w:r w:rsidR="00BB568A">
        <w:rPr>
          <w:i/>
        </w:rPr>
        <w:t>Del</w:t>
      </w:r>
      <w:proofErr w:type="spellEnd"/>
      <w:r w:rsidR="00BB568A">
        <w:rPr>
          <w:i/>
        </w:rPr>
        <w:t xml:space="preserve"> </w:t>
      </w:r>
      <w:proofErr w:type="spellStart"/>
      <w:r w:rsidR="00BB568A">
        <w:rPr>
          <w:i/>
          <w:iCs/>
        </w:rPr>
        <w:t>Río</w:t>
      </w:r>
      <w:proofErr w:type="spellEnd"/>
      <w:r w:rsidR="00BB568A">
        <w:rPr>
          <w:i/>
        </w:rPr>
        <w:t xml:space="preserve"> </w:t>
      </w:r>
      <w:proofErr w:type="spellStart"/>
      <w:r w:rsidR="00BB568A">
        <w:rPr>
          <w:i/>
        </w:rPr>
        <w:t>Prada</w:t>
      </w:r>
      <w:proofErr w:type="spellEnd"/>
      <w:r w:rsidR="00BB568A">
        <w:t xml:space="preserve"> </w:t>
      </w:r>
      <w:r w:rsidR="00BB568A">
        <w:rPr>
          <w:i/>
        </w:rPr>
        <w:t xml:space="preserve">v. </w:t>
      </w:r>
      <w:proofErr w:type="spellStart"/>
      <w:r w:rsidR="00BB568A">
        <w:rPr>
          <w:i/>
        </w:rPr>
        <w:t>Spain</w:t>
      </w:r>
      <w:proofErr w:type="spellEnd"/>
      <w:r w:rsidR="00BB568A">
        <w:rPr>
          <w:i/>
        </w:rPr>
        <w:t xml:space="preserve"> </w:t>
      </w:r>
      <w:r w:rsidR="00BB568A">
        <w:t xml:space="preserve">[ГО], № 42750/09, </w:t>
      </w:r>
      <w:r w:rsidR="00C65E91" w:rsidRPr="0047466B">
        <w:t>§</w:t>
      </w:r>
      <w:r w:rsidR="00BB568A">
        <w:t xml:space="preserve"> 125, ЕСПЧ 2013 г.). </w:t>
      </w:r>
      <w:r w:rsidR="00C65E91">
        <w:t xml:space="preserve">Макар че обикновено </w:t>
      </w:r>
      <w:r w:rsidR="001038B7">
        <w:t xml:space="preserve">преди всичко </w:t>
      </w:r>
      <w:r w:rsidR="00BB568A">
        <w:t xml:space="preserve">националните органи </w:t>
      </w:r>
      <w:r w:rsidR="00C65E91">
        <w:t xml:space="preserve">имат </w:t>
      </w:r>
      <w:r w:rsidR="00BB568A">
        <w:t xml:space="preserve">задължението да тълкуват и да прилагат националното законодателство, Съдът </w:t>
      </w:r>
      <w:r w:rsidR="00C65E91">
        <w:t xml:space="preserve">също </w:t>
      </w:r>
      <w:r w:rsidR="00BB568A">
        <w:t xml:space="preserve">има право да разгледа дали са спазени съответните изисквания, конкретно </w:t>
      </w:r>
      <w:r w:rsidR="001038B7">
        <w:t>по</w:t>
      </w:r>
      <w:r w:rsidR="00BB568A">
        <w:t xml:space="preserve"> дела, в които неспазването на националното законодателство може да доведе до нарушение на Конвенцията (вж. </w:t>
      </w:r>
      <w:proofErr w:type="spellStart"/>
      <w:r w:rsidR="00BB568A">
        <w:rPr>
          <w:i/>
        </w:rPr>
        <w:t>Creangă</w:t>
      </w:r>
      <w:proofErr w:type="spellEnd"/>
      <w:r w:rsidR="00BB568A">
        <w:rPr>
          <w:i/>
        </w:rPr>
        <w:t xml:space="preserve"> v. </w:t>
      </w:r>
      <w:proofErr w:type="spellStart"/>
      <w:r w:rsidR="00BB568A">
        <w:rPr>
          <w:i/>
        </w:rPr>
        <w:t>Romania</w:t>
      </w:r>
      <w:proofErr w:type="spellEnd"/>
      <w:r w:rsidR="00BB568A">
        <w:t xml:space="preserve"> [ГО], № 29226/03, </w:t>
      </w:r>
      <w:r w:rsidR="00C65E91" w:rsidRPr="0047466B">
        <w:t>§</w:t>
      </w:r>
      <w:r w:rsidR="00BB568A">
        <w:t xml:space="preserve"> 101, 23 февруари 2012 г.).</w:t>
      </w:r>
      <w:r w:rsidR="00C65E91">
        <w:t xml:space="preserve"> </w:t>
      </w:r>
    </w:p>
    <w:p w:rsidR="00122DA2" w:rsidRPr="0047466B" w:rsidRDefault="004E7DE4" w:rsidP="0047466B">
      <w:pPr>
        <w:pStyle w:val="ECHRPara"/>
      </w:pPr>
      <w:r>
        <w:fldChar w:fldCharType="begin"/>
      </w:r>
      <w:r>
        <w:instrText xml:space="preserve"> SEQ level0 \*arabic </w:instrText>
      </w:r>
      <w:r>
        <w:fldChar w:fldCharType="separate"/>
      </w:r>
      <w:r w:rsidR="0047466B" w:rsidRPr="0047466B">
        <w:t>51</w:t>
      </w:r>
      <w:r>
        <w:fldChar w:fldCharType="end"/>
      </w:r>
      <w:r w:rsidR="00BB568A">
        <w:t xml:space="preserve">.  Точки </w:t>
      </w:r>
      <w:r w:rsidR="00C65E91">
        <w:t>(</w:t>
      </w:r>
      <w:r w:rsidR="00BB568A">
        <w:t xml:space="preserve">а) </w:t>
      </w:r>
      <w:r w:rsidR="00C65E91">
        <w:t>до</w:t>
      </w:r>
      <w:r w:rsidR="00BB568A">
        <w:t xml:space="preserve"> </w:t>
      </w:r>
      <w:r w:rsidR="00C65E91">
        <w:t>(</w:t>
      </w:r>
      <w:r w:rsidR="00C65E91">
        <w:rPr>
          <w:lang w:val="en-US"/>
        </w:rPr>
        <w:t>f</w:t>
      </w:r>
      <w:r w:rsidR="00BB568A">
        <w:t xml:space="preserve">) от член 5, ал. 1 съдържат изчерпателен списък </w:t>
      </w:r>
      <w:r w:rsidR="001038B7">
        <w:t xml:space="preserve">с </w:t>
      </w:r>
      <w:r w:rsidR="00BB568A">
        <w:t>от допустими основания за лишаване от свобода на лица. Лишаването от свобода не е законно, освен ако не е в изпълнение на някоя от целите, изброени в тези параграфи.</w:t>
      </w:r>
    </w:p>
    <w:p w:rsidR="005010F1" w:rsidRPr="0047466B" w:rsidRDefault="004E7DE4" w:rsidP="0047466B">
      <w:pPr>
        <w:pStyle w:val="ECHRPara"/>
      </w:pPr>
      <w:r>
        <w:lastRenderedPageBreak/>
        <w:fldChar w:fldCharType="begin"/>
      </w:r>
      <w:r>
        <w:instrText xml:space="preserve"> SEQ level0 \*arabic </w:instrText>
      </w:r>
      <w:r>
        <w:fldChar w:fldCharType="separate"/>
      </w:r>
      <w:r w:rsidR="0047466B" w:rsidRPr="0047466B">
        <w:t>52</w:t>
      </w:r>
      <w:r>
        <w:fldChar w:fldCharType="end"/>
      </w:r>
      <w:r w:rsidR="00BB568A">
        <w:t xml:space="preserve">.  Съгласно точка </w:t>
      </w:r>
      <w:r w:rsidR="00C65E91">
        <w:t>(</w:t>
      </w:r>
      <w:r w:rsidR="00C65E91">
        <w:rPr>
          <w:lang w:val="en-US"/>
        </w:rPr>
        <w:t>c</w:t>
      </w:r>
      <w:r w:rsidR="00BB568A">
        <w:t xml:space="preserve">) от член 5, ал. 1, лице може да бъде задържано — само в контекста на наказателно производство — за </w:t>
      </w:r>
      <w:r w:rsidR="00C65E91">
        <w:t xml:space="preserve">да </w:t>
      </w:r>
      <w:r w:rsidR="00BB568A">
        <w:t>се осигури явяване</w:t>
      </w:r>
      <w:r w:rsidR="00C65E91">
        <w:t>то му</w:t>
      </w:r>
      <w:r w:rsidR="00BB568A">
        <w:t xml:space="preserve"> пред компетентния съгласно закона орган по подозрение за извършено престъпление (вж. </w:t>
      </w:r>
      <w:proofErr w:type="spellStart"/>
      <w:r w:rsidR="00BB568A">
        <w:rPr>
          <w:i/>
        </w:rPr>
        <w:t>Jėčius</w:t>
      </w:r>
      <w:proofErr w:type="spellEnd"/>
      <w:r w:rsidR="00BB568A">
        <w:rPr>
          <w:i/>
        </w:rPr>
        <w:t xml:space="preserve"> v. </w:t>
      </w:r>
      <w:proofErr w:type="spellStart"/>
      <w:r w:rsidR="00BB568A">
        <w:rPr>
          <w:i/>
        </w:rPr>
        <w:t>Lithuania</w:t>
      </w:r>
      <w:proofErr w:type="spellEnd"/>
      <w:r w:rsidR="00BB568A">
        <w:t xml:space="preserve">, № 34578/97, </w:t>
      </w:r>
      <w:r w:rsidR="00C65E91" w:rsidRPr="0047466B">
        <w:t>§</w:t>
      </w:r>
      <w:r w:rsidR="00BB568A">
        <w:t xml:space="preserve"> 50, ЕСПЧ 2000</w:t>
      </w:r>
      <w:r w:rsidR="00BB568A">
        <w:noBreakHyphen/>
        <w:t>IX).</w:t>
      </w:r>
    </w:p>
    <w:p w:rsidR="005010F1" w:rsidRPr="0047466B" w:rsidRDefault="004E7DE4" w:rsidP="0047466B">
      <w:pPr>
        <w:pStyle w:val="ECHRPara"/>
      </w:pPr>
      <w:r>
        <w:fldChar w:fldCharType="begin"/>
      </w:r>
      <w:r>
        <w:instrText xml:space="preserve"> SEQ level0 \*arabic </w:instrText>
      </w:r>
      <w:r>
        <w:fldChar w:fldCharType="separate"/>
      </w:r>
      <w:r w:rsidR="0047466B" w:rsidRPr="0047466B">
        <w:t>53</w:t>
      </w:r>
      <w:r>
        <w:fldChar w:fldCharType="end"/>
      </w:r>
      <w:r w:rsidR="005010F1">
        <w:t xml:space="preserve">.  По отношение на точка </w:t>
      </w:r>
      <w:r w:rsidR="00C65E91">
        <w:rPr>
          <w:lang w:val="en-US"/>
        </w:rPr>
        <w:t>(b</w:t>
      </w:r>
      <w:r w:rsidR="005010F1">
        <w:t>), тя позволява, наред с другото, задържането да „осигури изпълнението“ на задължение,</w:t>
      </w:r>
      <w:r w:rsidR="00C65E91">
        <w:t xml:space="preserve"> </w:t>
      </w:r>
      <w:r w:rsidR="005010F1">
        <w:t>предписано от закона. Следователно трябва да е налице неизпълнено задължение от страна на въпросното лице</w:t>
      </w:r>
      <w:r w:rsidR="00C65E91">
        <w:t>,</w:t>
      </w:r>
      <w:r w:rsidR="005010F1">
        <w:t xml:space="preserve"> </w:t>
      </w:r>
      <w:r w:rsidR="00C65E91">
        <w:t>а</w:t>
      </w:r>
      <w:r w:rsidR="005010F1">
        <w:t xml:space="preserve"> арестът и задържането да имат за цел осигуряване на изпълнението му (вж. </w:t>
      </w:r>
      <w:r w:rsidR="005010F1">
        <w:rPr>
          <w:i/>
        </w:rPr>
        <w:t>Василева срещу Дания</w:t>
      </w:r>
      <w:r w:rsidR="005010F1">
        <w:t xml:space="preserve">, № 52792/99, </w:t>
      </w:r>
      <w:r w:rsidR="00C65E91" w:rsidRPr="00C65E91">
        <w:t xml:space="preserve"> </w:t>
      </w:r>
      <w:r w:rsidR="00C65E91" w:rsidRPr="0047466B">
        <w:t>§</w:t>
      </w:r>
      <w:r w:rsidR="005010F1">
        <w:t xml:space="preserve"> 36, 25 септември 2003 г.).</w:t>
      </w:r>
      <w:r w:rsidR="00C65E91">
        <w:t xml:space="preserve"> </w:t>
      </w:r>
    </w:p>
    <w:p w:rsidR="005010F1" w:rsidRPr="0047466B" w:rsidRDefault="004E7DE4" w:rsidP="0047466B">
      <w:pPr>
        <w:pStyle w:val="ECHRPara"/>
      </w:pPr>
      <w:r>
        <w:fldChar w:fldCharType="begin"/>
      </w:r>
      <w:r>
        <w:instrText xml:space="preserve"> SEQ level0 \*arabic </w:instrText>
      </w:r>
      <w:r>
        <w:fldChar w:fldCharType="separate"/>
      </w:r>
      <w:r w:rsidR="0047466B" w:rsidRPr="0047466B">
        <w:t>54</w:t>
      </w:r>
      <w:r>
        <w:fldChar w:fldCharType="end"/>
      </w:r>
      <w:r w:rsidR="005010F1">
        <w:t>.  В настоящото дело страните, което е най-важно, не постигат съгласие по въпроса дали въпросното задържане на жалбоподателя е в съответствие с „</w:t>
      </w:r>
      <w:r w:rsidR="00DC7F2A">
        <w:t>реда, предвиден от закона</w:t>
      </w:r>
      <w:r w:rsidR="005010F1">
        <w:t xml:space="preserve">“ съгласно изискванията на член 5 </w:t>
      </w:r>
      <w:r w:rsidR="00DC7F2A" w:rsidRPr="0047466B">
        <w:rPr>
          <w:rFonts w:cstheme="minorHAnsi"/>
        </w:rPr>
        <w:t>§</w:t>
      </w:r>
      <w:r w:rsidR="005010F1">
        <w:t xml:space="preserve"> 1 от Конвенцията.</w:t>
      </w:r>
      <w:r w:rsidR="00DC7F2A">
        <w:t xml:space="preserve"> </w:t>
      </w:r>
    </w:p>
    <w:p w:rsidR="00A131C3" w:rsidRPr="0047466B" w:rsidRDefault="004E7DE4" w:rsidP="0047466B">
      <w:pPr>
        <w:pStyle w:val="ECHRPara"/>
      </w:pPr>
      <w:r>
        <w:fldChar w:fldCharType="begin"/>
      </w:r>
      <w:r>
        <w:instrText xml:space="preserve"> SEQ level0 \*arabic </w:instrText>
      </w:r>
      <w:r>
        <w:fldChar w:fldCharType="separate"/>
      </w:r>
      <w:r w:rsidR="0047466B" w:rsidRPr="0047466B">
        <w:t>55</w:t>
      </w:r>
      <w:r>
        <w:fldChar w:fldCharType="end"/>
      </w:r>
      <w:r w:rsidR="00A131C3">
        <w:t>.  В отговор на този въпрос Съдът на първо място ще разгледа задържането на жалбоподателя в периода между 17:16 ч. и 19:00 ч. на 7 юни 2012 г. В тази връзка Съдът отбелязва, че</w:t>
      </w:r>
      <w:r w:rsidR="00DC7F2A">
        <w:t>,</w:t>
      </w:r>
      <w:r w:rsidR="00A131C3">
        <w:t xml:space="preserve"> както </w:t>
      </w:r>
      <w:r w:rsidR="00DC7F2A">
        <w:t xml:space="preserve">изтъква </w:t>
      </w:r>
      <w:r w:rsidR="00A131C3">
        <w:t>жалбоподателят (вж. параграф 47 по-горе), чл</w:t>
      </w:r>
      <w:r w:rsidR="00DC7F2A">
        <w:t>.</w:t>
      </w:r>
      <w:r w:rsidR="00A131C3">
        <w:t xml:space="preserve"> 309, ал. 2 от Наказателнопроцесуалния кодекс — приложим в неговия случа</w:t>
      </w:r>
      <w:r w:rsidR="00DC7F2A">
        <w:t>й</w:t>
      </w:r>
      <w:r w:rsidR="00A131C3">
        <w:t xml:space="preserve"> по силата на член 383, ал. 1 от Кодекса — в действителност изисква, след произнасянето на условна присъда, жалбоподателят </w:t>
      </w:r>
      <w:r w:rsidR="00DC7F2A">
        <w:t>да бъде</w:t>
      </w:r>
      <w:r w:rsidR="00A131C3">
        <w:t xml:space="preserve"> освобо</w:t>
      </w:r>
      <w:r w:rsidR="00DC7F2A">
        <w:t>ден</w:t>
      </w:r>
      <w:r w:rsidR="00A131C3">
        <w:t xml:space="preserve"> „още в съдебната зала“ (вж. параграфи 10-11 по-горе). Въпреки този текст Съдът приема, че не е имало възможност жалбоподателя</w:t>
      </w:r>
      <w:r w:rsidR="00DC7F2A">
        <w:t>т</w:t>
      </w:r>
      <w:r w:rsidR="00A131C3">
        <w:t xml:space="preserve"> да бъде освободен веднага след края на съдебното заседание, а именно в 17:16 ч., като освобождаването му изисква спазването на административни формалности (вж. </w:t>
      </w:r>
      <w:r w:rsidR="00A131C3">
        <w:rPr>
          <w:i/>
        </w:rPr>
        <w:t>Петьо Петков</w:t>
      </w:r>
      <w:r w:rsidR="00A131C3">
        <w:t xml:space="preserve">, цитирано по-горе, </w:t>
      </w:r>
      <w:r w:rsidR="00DC7F2A" w:rsidRPr="0047466B">
        <w:rPr>
          <w:rFonts w:cstheme="minorHAnsi"/>
        </w:rPr>
        <w:t>§</w:t>
      </w:r>
      <w:r w:rsidR="00A131C3">
        <w:t xml:space="preserve"> 74). Съдът счита, че период от време, по-кратък от два часа, би могъл основателно да е необходим за изпълнение на формалностите в случая. Следователно задържането на жалбоподателя между 17:16 ч. и 19:00 ч. на 7 юни 2012 г. не представлява нарушение на националното законодателство.</w:t>
      </w:r>
      <w:r w:rsidR="00DC7F2A">
        <w:t xml:space="preserve"> </w:t>
      </w:r>
    </w:p>
    <w:p w:rsidR="00680F6B" w:rsidRPr="0047466B" w:rsidRDefault="004E7DE4" w:rsidP="0047466B">
      <w:pPr>
        <w:pStyle w:val="ECHRPara"/>
      </w:pPr>
      <w:r>
        <w:fldChar w:fldCharType="begin"/>
      </w:r>
      <w:r>
        <w:instrText xml:space="preserve"> SEQ level0 \*arabic </w:instrText>
      </w:r>
      <w:r>
        <w:fldChar w:fldCharType="separate"/>
      </w:r>
      <w:r w:rsidR="0047466B" w:rsidRPr="0047466B">
        <w:t>56</w:t>
      </w:r>
      <w:r>
        <w:fldChar w:fldCharType="end"/>
      </w:r>
      <w:r w:rsidR="00A131C3">
        <w:t xml:space="preserve">.  Второ, Съдът разглежда задържането на жалбоподателя във въпросния първоначален период от време като попадащ в обхвата на точка </w:t>
      </w:r>
      <w:r w:rsidR="00DC7F2A">
        <w:rPr>
          <w:lang w:val="en-US"/>
        </w:rPr>
        <w:t>(c</w:t>
      </w:r>
      <w:r w:rsidR="00A131C3">
        <w:t xml:space="preserve">) от член 5, ал. 1, предвид това, че то е продължение на задържането под стража, </w:t>
      </w:r>
      <w:proofErr w:type="spellStart"/>
      <w:r w:rsidR="00A131C3">
        <w:t>разпоредено</w:t>
      </w:r>
      <w:proofErr w:type="spellEnd"/>
      <w:r w:rsidR="00A131C3">
        <w:t xml:space="preserve"> преди това в контекста на наказателното производство, което завършва със сключване на споразумение, одобрено на 7 юни 20</w:t>
      </w:r>
      <w:r w:rsidR="00DC7F2A">
        <w:t>1</w:t>
      </w:r>
      <w:r w:rsidR="00A131C3">
        <w:t>2 г. (вж. параграфи 6-7 по-горе).</w:t>
      </w:r>
    </w:p>
    <w:p w:rsidR="00A131C3" w:rsidRPr="0047466B" w:rsidRDefault="004E7DE4" w:rsidP="0047466B">
      <w:pPr>
        <w:pStyle w:val="ECHRPara"/>
      </w:pPr>
      <w:r>
        <w:fldChar w:fldCharType="begin"/>
      </w:r>
      <w:r>
        <w:instrText xml:space="preserve"> SEQ level0 \*arabic </w:instrText>
      </w:r>
      <w:r>
        <w:fldChar w:fldCharType="separate"/>
      </w:r>
      <w:r w:rsidR="0047466B" w:rsidRPr="0047466B">
        <w:t>57</w:t>
      </w:r>
      <w:r>
        <w:fldChar w:fldCharType="end"/>
      </w:r>
      <w:r w:rsidR="00A131C3">
        <w:t>.  Следователно задържането на жалбоподателя в периода между 17:16 ч. и 19:00 ч. на 7 юни 2012 г. не представлява нарушение на член 5, ал. 1 от Конвенцията.</w:t>
      </w:r>
    </w:p>
    <w:p w:rsidR="000900AE" w:rsidRPr="0047466B" w:rsidRDefault="004E7DE4" w:rsidP="0047466B">
      <w:pPr>
        <w:pStyle w:val="ECHRPara"/>
      </w:pPr>
      <w:r>
        <w:fldChar w:fldCharType="begin"/>
      </w:r>
      <w:r>
        <w:instrText xml:space="preserve"> SEQ level0 \*arabic </w:instrText>
      </w:r>
      <w:r>
        <w:fldChar w:fldCharType="separate"/>
      </w:r>
      <w:r w:rsidR="0047466B" w:rsidRPr="0047466B">
        <w:t>58</w:t>
      </w:r>
      <w:r>
        <w:fldChar w:fldCharType="end"/>
      </w:r>
      <w:r w:rsidR="00CB154A">
        <w:t>.  Следващият период на задържане, а именно между 19:00 ч. на 7 юни и 12:10 ч. на 9 юни 2012 г. е въз основа на заповед</w:t>
      </w:r>
      <w:r w:rsidR="005E3AC6">
        <w:t xml:space="preserve"> на  разследващ полицай</w:t>
      </w:r>
      <w:r w:rsidR="00CB154A">
        <w:t xml:space="preserve"> (вж. параграф 9 по-горе), която разпорежда полицията да доведе жалбоподателя за явяване пред </w:t>
      </w:r>
      <w:r w:rsidR="005E3AC6">
        <w:t>нея</w:t>
      </w:r>
      <w:r w:rsidR="00CB154A">
        <w:t xml:space="preserve">. Въпреки това Съдът </w:t>
      </w:r>
      <w:r w:rsidR="00CB154A">
        <w:lastRenderedPageBreak/>
        <w:t>отбелязва, че до 8 юни 2012 г. заповедта не е издадена, като взема предвид, че периодът на въпросното задържане започва вечерта на предишния ден, 7 юни 2012 г. Следователно задържането на жалбоподателя няма правно основание за периода преди издаването на заповедта.</w:t>
      </w:r>
    </w:p>
    <w:p w:rsidR="00680F6B" w:rsidRPr="0047466B" w:rsidRDefault="004E7DE4" w:rsidP="0047466B">
      <w:pPr>
        <w:pStyle w:val="ECHRPara"/>
      </w:pPr>
      <w:r>
        <w:fldChar w:fldCharType="begin"/>
      </w:r>
      <w:r>
        <w:instrText xml:space="preserve"> SEQ level0 \*arabic </w:instrText>
      </w:r>
      <w:r>
        <w:fldChar w:fldCharType="separate"/>
      </w:r>
      <w:r w:rsidR="0047466B" w:rsidRPr="0047466B">
        <w:t>59</w:t>
      </w:r>
      <w:r>
        <w:fldChar w:fldCharType="end"/>
      </w:r>
      <w:r w:rsidR="00F54D4A">
        <w:t>.  Освен това чл</w:t>
      </w:r>
      <w:r w:rsidR="00DC7F2A">
        <w:t>.</w:t>
      </w:r>
      <w:r w:rsidR="00F54D4A">
        <w:t xml:space="preserve"> 71 от </w:t>
      </w:r>
      <w:r w:rsidR="00DC7F2A">
        <w:t>Н</w:t>
      </w:r>
      <w:r w:rsidR="00F54D4A">
        <w:t>аказателнопроцесуалния кодекс, на който се позовава следователя в заповедта от 8 юни 2012 г.</w:t>
      </w:r>
      <w:r w:rsidR="00DC7F2A">
        <w:t>,</w:t>
      </w:r>
      <w:r w:rsidR="00F54D4A">
        <w:t xml:space="preserve"> не е приложим по случая на жалбоподателя. </w:t>
      </w:r>
      <w:r w:rsidR="00DC7F2A">
        <w:t>Той</w:t>
      </w:r>
      <w:r w:rsidR="00F54D4A">
        <w:t xml:space="preserve"> позволява използването на принудителни мерки срещу „обвиняемия“ по наказателно производство (вж. параграф 12 по-горе); жалбоподателят обаче не е категоризиран като такъв по време на издаването на заповедта, която служи за основание за задържането му — обвинение му е повдигнато едва по време на наказателното производство срещу него на 10 юни 2012 г. (вж. параграф 8 по-горе), когато вече попада в тази категория. Освен това не е доказано, че жалбоподателят е призован да се яви пред следовател в Плевен, като не е изпълнил призовката, нито че се е укрил или не е имал постоянен адрес, следователно се оказва, че останалите предпоставки за прилагане на чл</w:t>
      </w:r>
      <w:r w:rsidR="00DC7F2A">
        <w:t>.</w:t>
      </w:r>
      <w:r w:rsidR="00F54D4A">
        <w:t xml:space="preserve"> 71 от Наказателнопроцесуалния кодекс (вж. параграф 12 по-горе)</w:t>
      </w:r>
      <w:r w:rsidR="00DC7F2A">
        <w:t xml:space="preserve"> също</w:t>
      </w:r>
      <w:r w:rsidR="00F54D4A">
        <w:t xml:space="preserve"> не са били изпълнени.</w:t>
      </w:r>
    </w:p>
    <w:p w:rsidR="00E74EBF" w:rsidRPr="0047466B" w:rsidRDefault="004E7DE4" w:rsidP="0047466B">
      <w:pPr>
        <w:pStyle w:val="ECHRPara"/>
      </w:pPr>
      <w:r>
        <w:fldChar w:fldCharType="begin"/>
      </w:r>
      <w:r>
        <w:instrText xml:space="preserve"> SEQ level0 \</w:instrText>
      </w:r>
      <w:r>
        <w:instrText xml:space="preserve">*arabic </w:instrText>
      </w:r>
      <w:r>
        <w:fldChar w:fldCharType="separate"/>
      </w:r>
      <w:r w:rsidR="0047466B" w:rsidRPr="0047466B">
        <w:t>60</w:t>
      </w:r>
      <w:r>
        <w:fldChar w:fldCharType="end"/>
      </w:r>
      <w:r w:rsidR="00432896">
        <w:t xml:space="preserve">.  При обосновката на задържането на жалбоподателя по време на въпросния период от време Правителството се позовава </w:t>
      </w:r>
      <w:r w:rsidR="00880AD5">
        <w:t>при условията на евентуалност</w:t>
      </w:r>
      <w:r w:rsidR="00432896">
        <w:t xml:space="preserve"> на чл</w:t>
      </w:r>
      <w:r w:rsidR="00880AD5">
        <w:t>.</w:t>
      </w:r>
      <w:r w:rsidR="00432896">
        <w:t xml:space="preserve"> 120, ал. 3 от Наказателнопроцесуалния кодекс, ко</w:t>
      </w:r>
      <w:r w:rsidR="00880AD5">
        <w:t>й</w:t>
      </w:r>
      <w:r w:rsidR="00432896">
        <w:t>то засяга мерки, които включват използването на принуда срещу свидетел по наказателно производство (вж. параграф 45 по-горе). Въпреки това тази разпоредба не е взета под внимание от властите на национално равнище. Освен това, дори да се допусне, че жалбоподателят е считан за свидетел по въпросното производство преди да са му повдигнати обвинения на 10 юни 2012 г., използването срещу него на мерки, които включват принуда, отново следва да бъд</w:t>
      </w:r>
      <w:r w:rsidR="00880AD5">
        <w:t>е</w:t>
      </w:r>
      <w:r w:rsidR="00432896">
        <w:t xml:space="preserve"> оправдан</w:t>
      </w:r>
      <w:r w:rsidR="00880AD5">
        <w:t>о</w:t>
      </w:r>
      <w:r w:rsidR="00432896">
        <w:t xml:space="preserve"> с неявяване без посочване на уважителна причина след като е бил редовно призован да се яви пред компетентния орган (вж. параграф 13 по-горе). Както вече беше отбелязано, в случая няма доказателство това да е така.</w:t>
      </w:r>
    </w:p>
    <w:p w:rsidR="000E3DD4" w:rsidRPr="0047466B" w:rsidRDefault="004E7DE4" w:rsidP="0047466B">
      <w:pPr>
        <w:pStyle w:val="ECHRPara"/>
      </w:pPr>
      <w:r>
        <w:fldChar w:fldCharType="begin"/>
      </w:r>
      <w:r>
        <w:instrText xml:space="preserve"> SEQ level0 \*arabic </w:instrText>
      </w:r>
      <w:r>
        <w:fldChar w:fldCharType="separate"/>
      </w:r>
      <w:r w:rsidR="0047466B" w:rsidRPr="0047466B">
        <w:t>61</w:t>
      </w:r>
      <w:r>
        <w:fldChar w:fldCharType="end"/>
      </w:r>
      <w:r w:rsidR="00B62A85">
        <w:t>.  Предвид изложеното по-горе, Съдът не счита, че лишаването от свобода на жалбоподателя от 19:00 ч. на 7 юни до 12:10 ч. на 9 юни 2012 г. е предприето съгласно правилата на националното законодателство, ко</w:t>
      </w:r>
      <w:r w:rsidR="00880AD5">
        <w:t>и</w:t>
      </w:r>
      <w:r w:rsidR="00B62A85">
        <w:t xml:space="preserve">то допускат лице да бъде задържано с цел принудителното му явяване пред следствен орган. Правителството не представя </w:t>
      </w:r>
      <w:r w:rsidR="00880AD5">
        <w:t xml:space="preserve">никакви </w:t>
      </w:r>
      <w:r w:rsidR="00B62A85">
        <w:t>основани</w:t>
      </w:r>
      <w:r w:rsidR="00880AD5">
        <w:t>я</w:t>
      </w:r>
      <w:r w:rsidR="00B62A85">
        <w:t xml:space="preserve"> </w:t>
      </w:r>
      <w:r w:rsidR="00880AD5">
        <w:t xml:space="preserve">за </w:t>
      </w:r>
      <w:r w:rsidR="00B62A85">
        <w:t xml:space="preserve">задържането на жалбоподателя по време на въпросния период. Следователно лишаването от свобода </w:t>
      </w:r>
      <w:r w:rsidR="002A42B4">
        <w:t>на жалбоподателя не отговаря на</w:t>
      </w:r>
      <w:r w:rsidR="00B62A85">
        <w:t xml:space="preserve"> „</w:t>
      </w:r>
      <w:r w:rsidR="00880AD5">
        <w:t>ред</w:t>
      </w:r>
      <w:r w:rsidR="00B62A85">
        <w:t>а, пред</w:t>
      </w:r>
      <w:r w:rsidR="00880AD5">
        <w:t>виден от</w:t>
      </w:r>
      <w:r w:rsidR="00B62A85">
        <w:t xml:space="preserve"> закон</w:t>
      </w:r>
      <w:r w:rsidR="00880AD5">
        <w:t>а</w:t>
      </w:r>
      <w:r w:rsidR="00B62A85">
        <w:t xml:space="preserve">“. Това е достатъчно за Съда да стигне до заключението, че </w:t>
      </w:r>
      <w:r w:rsidR="00880AD5">
        <w:t xml:space="preserve">не са спазени </w:t>
      </w:r>
      <w:r w:rsidR="00B62A85">
        <w:t>изискванията на член 5, ал. 1 от Конвенцията.</w:t>
      </w:r>
    </w:p>
    <w:p w:rsidR="00B62A85" w:rsidRPr="0047466B" w:rsidRDefault="004E7DE4" w:rsidP="0047466B">
      <w:pPr>
        <w:pStyle w:val="ECHRPara"/>
      </w:pPr>
      <w:r>
        <w:lastRenderedPageBreak/>
        <w:fldChar w:fldCharType="begin"/>
      </w:r>
      <w:r>
        <w:instrText xml:space="preserve"> SEQ lev</w:instrText>
      </w:r>
      <w:r>
        <w:instrText xml:space="preserve">el0 \*arabic </w:instrText>
      </w:r>
      <w:r>
        <w:fldChar w:fldCharType="separate"/>
      </w:r>
      <w:r w:rsidR="0047466B" w:rsidRPr="002A42B4">
        <w:t>62</w:t>
      </w:r>
      <w:r>
        <w:fldChar w:fldCharType="end"/>
      </w:r>
      <w:r w:rsidR="00BB568A" w:rsidRPr="002A42B4">
        <w:t>.</w:t>
      </w:r>
      <w:r w:rsidR="00BB568A">
        <w:t>  Следователно не е необходимо Съд</w:t>
      </w:r>
      <w:r w:rsidR="00880AD5">
        <w:t>ът</w:t>
      </w:r>
      <w:r w:rsidR="00BB568A">
        <w:t xml:space="preserve"> да преценява дали задържането попада в обхвата на някоя от точките на ал. 1 от член 5, конкретно точки </w:t>
      </w:r>
      <w:r w:rsidR="00880AD5">
        <w:t>(</w:t>
      </w:r>
      <w:r w:rsidR="00880AD5">
        <w:rPr>
          <w:lang w:val="en-US"/>
        </w:rPr>
        <w:t>b</w:t>
      </w:r>
      <w:r w:rsidR="00BB568A">
        <w:t xml:space="preserve">) и </w:t>
      </w:r>
      <w:r w:rsidR="00880AD5">
        <w:rPr>
          <w:lang w:val="en-US"/>
        </w:rPr>
        <w:t>(c</w:t>
      </w:r>
      <w:r w:rsidR="00BB568A">
        <w:t>) (вж. параграфи 52-53 по-горе).</w:t>
      </w:r>
    </w:p>
    <w:p w:rsidR="00014566" w:rsidRPr="0047466B" w:rsidRDefault="004E7DE4" w:rsidP="0047466B">
      <w:pPr>
        <w:pStyle w:val="ECHRPara"/>
      </w:pPr>
      <w:r>
        <w:fldChar w:fldCharType="begin"/>
      </w:r>
      <w:r>
        <w:instrText xml:space="preserve"> SEQ level0 \*arabic </w:instrText>
      </w:r>
      <w:r>
        <w:fldChar w:fldCharType="separate"/>
      </w:r>
      <w:r w:rsidR="0047466B" w:rsidRPr="0047466B">
        <w:t>63</w:t>
      </w:r>
      <w:r>
        <w:fldChar w:fldCharType="end"/>
      </w:r>
      <w:r w:rsidR="00B62A85">
        <w:t>.  Предвид изложеното дотук, Съдът стига до заключението, че е налице нарушение на чл. 5, ал. 1 от Конвенцията.</w:t>
      </w:r>
    </w:p>
    <w:p w:rsidR="00324071" w:rsidRPr="0047466B" w:rsidRDefault="00324071" w:rsidP="0047466B">
      <w:pPr>
        <w:pStyle w:val="ECHRHeading4"/>
      </w:pPr>
      <w:r>
        <w:t>(б)</w:t>
      </w:r>
      <w:r>
        <w:tab/>
        <w:t>Чл. 5, ал. 4 от Конвенцията</w:t>
      </w:r>
    </w:p>
    <w:p w:rsidR="00324071" w:rsidRPr="0047466B" w:rsidRDefault="004E7DE4" w:rsidP="0047466B">
      <w:pPr>
        <w:pStyle w:val="ECHRPara"/>
      </w:pPr>
      <w:r>
        <w:fldChar w:fldCharType="begin"/>
      </w:r>
      <w:r>
        <w:instrText xml:space="preserve"> SEQ level0 \*arabic </w:instrText>
      </w:r>
      <w:r>
        <w:fldChar w:fldCharType="separate"/>
      </w:r>
      <w:r w:rsidR="0047466B" w:rsidRPr="0047466B">
        <w:t>64</w:t>
      </w:r>
      <w:r>
        <w:fldChar w:fldCharType="end"/>
      </w:r>
      <w:r w:rsidR="00324071">
        <w:t>.  Жалбоподателят твърди също, че не е разполагал с</w:t>
      </w:r>
      <w:r w:rsidR="00880AD5">
        <w:t>ъс</w:t>
      </w:r>
      <w:r w:rsidR="00324071">
        <w:t xml:space="preserve"> средства за оспорване на законността на задържането му под стража (вж. параграф 19 по-горе).</w:t>
      </w:r>
    </w:p>
    <w:p w:rsidR="0047466B" w:rsidRPr="0047466B" w:rsidRDefault="004E7DE4" w:rsidP="0047466B">
      <w:pPr>
        <w:pStyle w:val="ECHRPara"/>
      </w:pPr>
      <w:r>
        <w:fldChar w:fldCharType="begin"/>
      </w:r>
      <w:r>
        <w:instrText xml:space="preserve"> SEQ level0 \*arabic </w:instrText>
      </w:r>
      <w:r>
        <w:fldChar w:fldCharType="separate"/>
      </w:r>
      <w:r w:rsidR="0047466B" w:rsidRPr="0047466B">
        <w:t>65</w:t>
      </w:r>
      <w:r>
        <w:fldChar w:fldCharType="end"/>
      </w:r>
      <w:r w:rsidR="00C0070E">
        <w:t>.  Независимо от това Съдът отбелязва, че въпросното задържане е имало за цел отвеждането на жалбоподателя пред следовател</w:t>
      </w:r>
      <w:r w:rsidR="00880AD5">
        <w:t xml:space="preserve"> –</w:t>
      </w:r>
      <w:r w:rsidR="00C0070E">
        <w:t xml:space="preserve"> процедура, която по принцип е насочена към транспортиране на съответното лице до органа, който изисква явяването му, и поради това не предполага отделна процедура за освобождаване.</w:t>
      </w:r>
    </w:p>
    <w:p w:rsidR="009D06D6" w:rsidRPr="0047466B" w:rsidRDefault="009D06D6" w:rsidP="0047466B">
      <w:pPr>
        <w:pStyle w:val="ECHRPara"/>
        <w:rPr>
          <w:szCs w:val="24"/>
        </w:rPr>
      </w:pPr>
      <w:r w:rsidRPr="0047466B">
        <w:rPr>
          <w:szCs w:val="24"/>
        </w:rPr>
        <w:fldChar w:fldCharType="begin"/>
      </w:r>
      <w:r w:rsidRPr="0047466B">
        <w:rPr>
          <w:szCs w:val="24"/>
        </w:rPr>
        <w:instrText xml:space="preserve"> SEQ level0 \*arabic </w:instrText>
      </w:r>
      <w:r w:rsidRPr="0047466B">
        <w:rPr>
          <w:szCs w:val="24"/>
        </w:rPr>
        <w:fldChar w:fldCharType="separate"/>
      </w:r>
      <w:r w:rsidR="0047466B" w:rsidRPr="0047466B">
        <w:rPr>
          <w:szCs w:val="24"/>
        </w:rPr>
        <w:t>66</w:t>
      </w:r>
      <w:r w:rsidRPr="0047466B">
        <w:rPr>
          <w:szCs w:val="24"/>
        </w:rPr>
        <w:fldChar w:fldCharType="end"/>
      </w:r>
      <w:r>
        <w:t>.  Следователно Съдът не счита за необходимо да разглежда по същество жалбата на жалбоподателя по член 5, ал. 4.</w:t>
      </w:r>
    </w:p>
    <w:p w:rsidR="00324071" w:rsidRPr="0047466B" w:rsidRDefault="00324071" w:rsidP="0047466B">
      <w:pPr>
        <w:pStyle w:val="ECHRHeading1"/>
      </w:pPr>
      <w:r>
        <w:t>II.  ОПЛАКВАН</w:t>
      </w:r>
      <w:r w:rsidR="00880AD5">
        <w:t>Е</w:t>
      </w:r>
      <w:r>
        <w:t>, ПОДАДЕН</w:t>
      </w:r>
      <w:r w:rsidR="00880AD5">
        <w:t>О</w:t>
      </w:r>
      <w:r>
        <w:t xml:space="preserve"> СЛЕД СВЕЖДАНЕ НА ЖАЛБАТА ДО ЗНАНИЕТО НА ПРАВИТЕЛСТВОТО </w:t>
      </w:r>
    </w:p>
    <w:p w:rsidR="00324071" w:rsidRPr="0047466B" w:rsidRDefault="004E7DE4" w:rsidP="0047466B">
      <w:pPr>
        <w:pStyle w:val="ECHRPara"/>
      </w:pPr>
      <w:r>
        <w:fldChar w:fldCharType="begin"/>
      </w:r>
      <w:r>
        <w:instrText xml:space="preserve"> SEQ level0 \*arabic </w:instrText>
      </w:r>
      <w:r>
        <w:fldChar w:fldCharType="separate"/>
      </w:r>
      <w:r w:rsidR="0047466B" w:rsidRPr="0047466B">
        <w:t>67</w:t>
      </w:r>
      <w:r>
        <w:fldChar w:fldCharType="end"/>
      </w:r>
      <w:r w:rsidR="00324071">
        <w:t xml:space="preserve">.  В отговор на </w:t>
      </w:r>
      <w:r w:rsidR="004C207F">
        <w:t xml:space="preserve">становището </w:t>
      </w:r>
      <w:r w:rsidR="00324071">
        <w:t>на Правителството след получаване на известие за жалбата, жалбоподателят отправя оплакване по член 5, ал. 5 от Конвенцията, като твърди, че не е бил в състояние да претендира обезщетение за другите твърдени нарушения на член 5.</w:t>
      </w:r>
    </w:p>
    <w:p w:rsidR="00324071" w:rsidRPr="0047466B" w:rsidRDefault="004E7DE4" w:rsidP="0047466B">
      <w:pPr>
        <w:pStyle w:val="ECHRPara"/>
        <w:rPr>
          <w:i/>
        </w:rPr>
      </w:pPr>
      <w:r>
        <w:fldChar w:fldCharType="begin"/>
      </w:r>
      <w:r>
        <w:instrText xml:space="preserve"> SEQ level0 \*arabic </w:instrText>
      </w:r>
      <w:r>
        <w:fldChar w:fldCharType="separate"/>
      </w:r>
      <w:r w:rsidR="0047466B" w:rsidRPr="0047466B">
        <w:t>68</w:t>
      </w:r>
      <w:r>
        <w:fldChar w:fldCharType="end"/>
      </w:r>
      <w:r w:rsidR="00BB568A">
        <w:t xml:space="preserve">.  Според Съда това оплакване е ново, а не продължение на първоначалните оплаквания на жалбоподателя пред Съда, подадени с жалбата на 5 декември 2012 г. Следователно Съдът счита, че не е целесъобразно да разглежда този въпрос отделно на този етап (вж., наред с редица други, </w:t>
      </w:r>
      <w:proofErr w:type="spellStart"/>
      <w:r w:rsidR="00BB568A">
        <w:rPr>
          <w:i/>
        </w:rPr>
        <w:t>Melnik</w:t>
      </w:r>
      <w:proofErr w:type="spellEnd"/>
      <w:r w:rsidR="00BB568A">
        <w:rPr>
          <w:i/>
        </w:rPr>
        <w:t xml:space="preserve"> v. </w:t>
      </w:r>
      <w:proofErr w:type="spellStart"/>
      <w:r w:rsidR="00BB568A">
        <w:rPr>
          <w:i/>
        </w:rPr>
        <w:t>Ukraine</w:t>
      </w:r>
      <w:proofErr w:type="spellEnd"/>
      <w:r w:rsidR="00BB568A">
        <w:t xml:space="preserve">, №. 72286/01, </w:t>
      </w:r>
      <w:r w:rsidR="004C207F" w:rsidRPr="0047466B">
        <w:rPr>
          <w:rFonts w:cstheme="minorHAnsi"/>
        </w:rPr>
        <w:t>§§</w:t>
      </w:r>
      <w:r w:rsidR="00BB568A">
        <w:t xml:space="preserve"> 61</w:t>
      </w:r>
      <w:r w:rsidR="00BB568A">
        <w:noBreakHyphen/>
        <w:t xml:space="preserve">63, 28 март 2006 г., както и </w:t>
      </w:r>
      <w:r w:rsidR="00BB568A">
        <w:rPr>
          <w:i/>
        </w:rPr>
        <w:t xml:space="preserve">Шести май Инженеринг ООД </w:t>
      </w:r>
      <w:r w:rsidR="004C207F">
        <w:rPr>
          <w:i/>
        </w:rPr>
        <w:t xml:space="preserve">и други </w:t>
      </w:r>
      <w:r w:rsidR="00BB568A">
        <w:rPr>
          <w:i/>
        </w:rPr>
        <w:t>срещу България</w:t>
      </w:r>
      <w:r w:rsidR="00BB568A">
        <w:t>, № 17854/04</w:t>
      </w:r>
      <w:r w:rsidR="00BB568A">
        <w:rPr>
          <w:snapToGrid w:val="0"/>
          <w:szCs w:val="24"/>
        </w:rPr>
        <w:t xml:space="preserve">, </w:t>
      </w:r>
      <w:r w:rsidR="004C207F" w:rsidRPr="0047466B">
        <w:rPr>
          <w:snapToGrid w:val="0"/>
          <w:szCs w:val="24"/>
          <w:lang w:val="en-GB"/>
        </w:rPr>
        <w:t>§</w:t>
      </w:r>
      <w:r w:rsidR="004C207F" w:rsidRPr="0047466B">
        <w:rPr>
          <w:rFonts w:cstheme="minorHAnsi"/>
          <w:snapToGrid w:val="0"/>
          <w:szCs w:val="24"/>
          <w:lang w:val="en-GB"/>
        </w:rPr>
        <w:t>§</w:t>
      </w:r>
      <w:r w:rsidR="00BB568A">
        <w:rPr>
          <w:snapToGrid w:val="0"/>
          <w:szCs w:val="24"/>
        </w:rPr>
        <w:t> 93-94, 20 септември 2011 г.).</w:t>
      </w:r>
    </w:p>
    <w:p w:rsidR="00014566" w:rsidRPr="0047466B" w:rsidRDefault="00324071" w:rsidP="0047466B">
      <w:pPr>
        <w:pStyle w:val="ECHRHeading1"/>
      </w:pPr>
      <w:r>
        <w:t>III.  ПРИЛОЖЕНИЕ НА ЧЛЕН 41 ОТ КОНВЕНЦИЯТА</w:t>
      </w:r>
    </w:p>
    <w:p w:rsidR="00014566" w:rsidRDefault="004E7DE4" w:rsidP="0047466B">
      <w:pPr>
        <w:pStyle w:val="ECHRPara"/>
      </w:pPr>
      <w:r>
        <w:fldChar w:fldCharType="begin"/>
      </w:r>
      <w:r>
        <w:instrText xml:space="preserve"> SEQ level0 \*arabic </w:instrText>
      </w:r>
      <w:r>
        <w:fldChar w:fldCharType="separate"/>
      </w:r>
      <w:r w:rsidR="0047466B" w:rsidRPr="0047466B">
        <w:t>69</w:t>
      </w:r>
      <w:r>
        <w:fldChar w:fldCharType="end"/>
      </w:r>
      <w:r w:rsidR="00790740">
        <w:t>.  Чл. 41 от Конвенцията гласи:</w:t>
      </w:r>
    </w:p>
    <w:p w:rsidR="00014566" w:rsidRPr="0047466B" w:rsidRDefault="00014566" w:rsidP="0047466B">
      <w:pPr>
        <w:pStyle w:val="ECHRParaQuote"/>
        <w:keepNext/>
        <w:keepLines/>
      </w:pPr>
      <w:r>
        <w:lastRenderedPageBreak/>
        <w:t xml:space="preserve">"Ако Съдът установи нарушение на Конвенцията или на Протоколите към нея и ако вътрешното право на съответната </w:t>
      </w:r>
      <w:proofErr w:type="spellStart"/>
      <w:r>
        <w:t>Βисокодоговаряща</w:t>
      </w:r>
      <w:proofErr w:type="spellEnd"/>
      <w:r>
        <w:t xml:space="preserve"> страна допуска само частично обезщетение, Съдът, ако е необходимо, постановява предоставянето на справедливо обезщетение на потърпевшата страна."</w:t>
      </w:r>
    </w:p>
    <w:p w:rsidR="00014566" w:rsidRPr="0047466B" w:rsidRDefault="00014566" w:rsidP="0047466B">
      <w:pPr>
        <w:pStyle w:val="ECHRHeading2"/>
        <w:outlineLvl w:val="0"/>
      </w:pPr>
      <w:r>
        <w:t>А. Неимуществени вреди</w:t>
      </w:r>
    </w:p>
    <w:p w:rsidR="00014566" w:rsidRPr="0047466B" w:rsidRDefault="004E7DE4" w:rsidP="0047466B">
      <w:pPr>
        <w:pStyle w:val="ECHRPara"/>
        <w:keepNext/>
        <w:keepLines/>
      </w:pPr>
      <w:r>
        <w:fldChar w:fldCharType="begin"/>
      </w:r>
      <w:r>
        <w:instrText xml:space="preserve"> SEQ level0 \*arabic </w:instrText>
      </w:r>
      <w:r>
        <w:fldChar w:fldCharType="separate"/>
      </w:r>
      <w:r w:rsidR="0047466B" w:rsidRPr="0047466B">
        <w:t>70</w:t>
      </w:r>
      <w:r>
        <w:fldChar w:fldCharType="end"/>
      </w:r>
      <w:r w:rsidR="00790740">
        <w:t>.  Жалбоподателят претендира 10 000 евро обезщетение за неимуществени вреди, като изтъква, че е претърпял страдание и неудобство и се е чувствал безпомощен пред твърдените нарушения на правата му.</w:t>
      </w:r>
    </w:p>
    <w:p w:rsidR="00014566" w:rsidRPr="0047466B" w:rsidRDefault="004E7DE4" w:rsidP="0047466B">
      <w:pPr>
        <w:pStyle w:val="ECHRPara"/>
      </w:pPr>
      <w:r>
        <w:fldChar w:fldCharType="begin"/>
      </w:r>
      <w:r>
        <w:instrText xml:space="preserve"> SEQ level0 \*arabic </w:instrText>
      </w:r>
      <w:r>
        <w:fldChar w:fldCharType="separate"/>
      </w:r>
      <w:r w:rsidR="0047466B" w:rsidRPr="0047466B">
        <w:t>71</w:t>
      </w:r>
      <w:r>
        <w:fldChar w:fldCharType="end"/>
      </w:r>
      <w:r w:rsidR="00790740">
        <w:t>.  Правителството оспорва претенцията и я счита за прекомерно завишена.</w:t>
      </w:r>
    </w:p>
    <w:p w:rsidR="00014566" w:rsidRPr="0047466B" w:rsidRDefault="004E7DE4" w:rsidP="0047466B">
      <w:pPr>
        <w:pStyle w:val="ECHRPara"/>
      </w:pPr>
      <w:r>
        <w:fldChar w:fldCharType="begin"/>
      </w:r>
      <w:r>
        <w:instrText xml:space="preserve"> SEQ level0 \*arabic </w:instrText>
      </w:r>
      <w:r>
        <w:fldChar w:fldCharType="separate"/>
      </w:r>
      <w:r w:rsidR="0047466B" w:rsidRPr="0047466B">
        <w:t>72</w:t>
      </w:r>
      <w:r>
        <w:fldChar w:fldCharType="end"/>
      </w:r>
      <w:r w:rsidR="00790740">
        <w:t>.  Според Съда жалбоподателят е претърпял неимуществени вреди в резултат на нарушаване на правото му на свобода</w:t>
      </w:r>
      <w:r w:rsidR="004C207F">
        <w:t>,</w:t>
      </w:r>
      <w:r w:rsidR="00790740">
        <w:t xml:space="preserve"> гарантирано от член 5, ал. 1 от Конвенцията. Независимо от това обаче Съдът изразява съгласието си с Правителството, че претенцията в тази връзка е прекомерно завишена. Като </w:t>
      </w:r>
      <w:r w:rsidR="004C207F">
        <w:t>отсъжда</w:t>
      </w:r>
      <w:r w:rsidR="00790740">
        <w:t xml:space="preserve"> по справедливост, Съдът присъжда на жалбоподателя 3 500 евро по тази точка.</w:t>
      </w:r>
    </w:p>
    <w:p w:rsidR="00014566" w:rsidRPr="0047466B" w:rsidRDefault="00014566" w:rsidP="0047466B">
      <w:pPr>
        <w:pStyle w:val="ECHRHeading2"/>
        <w:outlineLvl w:val="0"/>
      </w:pPr>
      <w:r>
        <w:t xml:space="preserve">Б. </w:t>
      </w:r>
      <w:r w:rsidR="004C207F">
        <w:t>Р</w:t>
      </w:r>
      <w:r>
        <w:t>азходи и разноски</w:t>
      </w:r>
    </w:p>
    <w:p w:rsidR="00014566" w:rsidRPr="0047466B" w:rsidRDefault="004E7DE4" w:rsidP="0047466B">
      <w:pPr>
        <w:pStyle w:val="ECHRPara"/>
      </w:pPr>
      <w:r>
        <w:fldChar w:fldCharType="begin"/>
      </w:r>
      <w:r>
        <w:instrText xml:space="preserve"> SEQ level0 \*arabic </w:instrText>
      </w:r>
      <w:r>
        <w:fldChar w:fldCharType="separate"/>
      </w:r>
      <w:r w:rsidR="0047466B" w:rsidRPr="0047466B">
        <w:t>73</w:t>
      </w:r>
      <w:r>
        <w:fldChar w:fldCharType="end"/>
      </w:r>
      <w:r w:rsidR="00F51BC3">
        <w:t>.  Жалбоподателят претендира също така сумата от 2</w:t>
      </w:r>
      <w:r w:rsidR="0062718B">
        <w:t> </w:t>
      </w:r>
      <w:r w:rsidR="00F51BC3">
        <w:t>375</w:t>
      </w:r>
      <w:r w:rsidR="0062718B">
        <w:t>,</w:t>
      </w:r>
      <w:r w:rsidR="00F51BC3">
        <w:t xml:space="preserve">71 български лева </w:t>
      </w:r>
      <w:r w:rsidR="0062718B">
        <w:t xml:space="preserve">(лв.) </w:t>
      </w:r>
      <w:r w:rsidR="00F51BC3">
        <w:t>във връзка с разходи и разноски на национално равнище в контекста на наказателното производство, водено срещу него.</w:t>
      </w:r>
    </w:p>
    <w:p w:rsidR="00A90789" w:rsidRPr="0047466B" w:rsidRDefault="004E7DE4" w:rsidP="0047466B">
      <w:pPr>
        <w:pStyle w:val="ECHRPara"/>
      </w:pPr>
      <w:r>
        <w:fldChar w:fldCharType="begin"/>
      </w:r>
      <w:r>
        <w:instrText xml:space="preserve"> SEQ level0 \*arabic </w:instrText>
      </w:r>
      <w:r>
        <w:fldChar w:fldCharType="separate"/>
      </w:r>
      <w:r w:rsidR="0047466B" w:rsidRPr="0047466B">
        <w:t>74</w:t>
      </w:r>
      <w:r>
        <w:fldChar w:fldCharType="end"/>
      </w:r>
      <w:r w:rsidR="00A90789">
        <w:t xml:space="preserve">.  Жалбоподателят претендира </w:t>
      </w:r>
      <w:r w:rsidR="004E7CEE">
        <w:t xml:space="preserve">още </w:t>
      </w:r>
      <w:r w:rsidR="00A90789">
        <w:t>1 170</w:t>
      </w:r>
      <w:r w:rsidR="0062718B">
        <w:t>,</w:t>
      </w:r>
      <w:r w:rsidR="00A90789">
        <w:t>31 лв. във връзка с делото му пред Съда. От тях 1 000 лв. са платени на адвоката му г-н Арнаудов, а остатък</w:t>
      </w:r>
      <w:r w:rsidR="0062718B">
        <w:t>ът</w:t>
      </w:r>
      <w:r w:rsidR="00A90789">
        <w:t xml:space="preserve"> е за покриване на други разноски и такси. Във връзка с производството пред Съда, жалбоподателят претендира и сумата от 24</w:t>
      </w:r>
      <w:r w:rsidR="0062718B">
        <w:t>,</w:t>
      </w:r>
      <w:r w:rsidR="00A90789">
        <w:t>80 лв. за пощенски разходи. В подкрепа на претенциите си, изложени по-горе, жалбоподателят представя договор за</w:t>
      </w:r>
      <w:r w:rsidR="004E7CEE">
        <w:t xml:space="preserve"> процесуално представителство</w:t>
      </w:r>
      <w:r w:rsidR="00A90789">
        <w:t>, съгласно който той се задължава да изплати на г-н Арнаудов сумата от 1 000 лв. (525 евро), както и фактура, според която е платил 12.40 лв. (6 евро) за пощенски разходи.</w:t>
      </w:r>
    </w:p>
    <w:p w:rsidR="00014566" w:rsidRPr="0047466B" w:rsidRDefault="004E7DE4" w:rsidP="0047466B">
      <w:pPr>
        <w:pStyle w:val="ECHRPara"/>
      </w:pPr>
      <w:r>
        <w:fldChar w:fldCharType="begin"/>
      </w:r>
      <w:r>
        <w:instrText xml:space="preserve"> SEQ level0 \*arabic </w:instrText>
      </w:r>
      <w:r>
        <w:fldChar w:fldCharType="separate"/>
      </w:r>
      <w:r w:rsidR="0047466B" w:rsidRPr="0047466B">
        <w:t>75</w:t>
      </w:r>
      <w:r>
        <w:fldChar w:fldCharType="end"/>
      </w:r>
      <w:r w:rsidR="00790740">
        <w:t>.  Правителството заявява, че разходите и разноските, направени по време на националното производство, не са свързани с твърдените нарушения на Конвенцията в този случай и че претендираната сума за законно представителство пред Съда е прекомерно завишена.</w:t>
      </w:r>
    </w:p>
    <w:p w:rsidR="00786B37" w:rsidRPr="0047466B" w:rsidRDefault="004E7DE4" w:rsidP="0047466B">
      <w:pPr>
        <w:pStyle w:val="ECHRPara"/>
      </w:pPr>
      <w:r>
        <w:fldChar w:fldCharType="begin"/>
      </w:r>
      <w:r>
        <w:instrText xml:space="preserve"> SEQ level0 \*arabic </w:instrText>
      </w:r>
      <w:r>
        <w:fldChar w:fldCharType="separate"/>
      </w:r>
      <w:r w:rsidR="0047466B" w:rsidRPr="0047466B">
        <w:t>76</w:t>
      </w:r>
      <w:r>
        <w:fldChar w:fldCharType="end"/>
      </w:r>
      <w:r w:rsidR="00790740">
        <w:t>.  Според съдебната практика на Съда жалбоподателят има право на възстановяване на разходи и разноски само доколкото е доказано, че те са били действително и необходимо направени и са в разумен размер.</w:t>
      </w:r>
    </w:p>
    <w:p w:rsidR="00786B37" w:rsidRPr="0047466B" w:rsidRDefault="004E7DE4" w:rsidP="0047466B">
      <w:pPr>
        <w:pStyle w:val="ECHRPara"/>
      </w:pPr>
      <w:r>
        <w:fldChar w:fldCharType="begin"/>
      </w:r>
      <w:r>
        <w:instrText xml:space="preserve"> SEQ level0 \*arabic </w:instrText>
      </w:r>
      <w:r>
        <w:fldChar w:fldCharType="separate"/>
      </w:r>
      <w:r w:rsidR="0047466B" w:rsidRPr="0047466B">
        <w:t>77</w:t>
      </w:r>
      <w:r>
        <w:fldChar w:fldCharType="end"/>
      </w:r>
      <w:r w:rsidR="00786B37">
        <w:t>.  В настоящото дело, като взема предвид посочени</w:t>
      </w:r>
      <w:r w:rsidR="0062718B">
        <w:t>те</w:t>
      </w:r>
      <w:r w:rsidR="00786B37">
        <w:t xml:space="preserve"> по-горе критери</w:t>
      </w:r>
      <w:r w:rsidR="0062718B">
        <w:t>и</w:t>
      </w:r>
      <w:r w:rsidR="00786B37">
        <w:t xml:space="preserve">, Съдът отхвърля претенцията за разходи и разноски, </w:t>
      </w:r>
      <w:r w:rsidR="00786B37">
        <w:lastRenderedPageBreak/>
        <w:t>направени по време на националното производство (вж. параграф 73 по-горе), като не намира връзка между тях и нарушаването на правото на свобода на жалбоподателя според изложеното по-горе.</w:t>
      </w:r>
    </w:p>
    <w:p w:rsidR="00014566" w:rsidRPr="0047466B" w:rsidRDefault="004E7DE4" w:rsidP="0047466B">
      <w:pPr>
        <w:pStyle w:val="ECHRPara"/>
      </w:pPr>
      <w:r>
        <w:fldChar w:fldCharType="begin"/>
      </w:r>
      <w:r>
        <w:instrText xml:space="preserve"> SEQ level0 \*arabic </w:instrText>
      </w:r>
      <w:r>
        <w:fldChar w:fldCharType="separate"/>
      </w:r>
      <w:r w:rsidR="0047466B" w:rsidRPr="0047466B">
        <w:t>78</w:t>
      </w:r>
      <w:r>
        <w:fldChar w:fldCharType="end"/>
      </w:r>
      <w:r w:rsidR="00786B37">
        <w:t>.  По отношение на разходите и разноските за производството пред Съда, Съдът ги намира за необходими и присъжда сума до установеното, а именно 531 евро (вж. параграф 74 по-горе</w:t>
      </w:r>
      <w:r w:rsidR="00786B37" w:rsidRPr="00DE3762">
        <w:t xml:space="preserve">, </w:t>
      </w:r>
      <w:r w:rsidR="00786B37" w:rsidRPr="003518CE">
        <w:t>в края</w:t>
      </w:r>
      <w:r w:rsidR="00786B37">
        <w:t>).</w:t>
      </w:r>
    </w:p>
    <w:p w:rsidR="00014566" w:rsidRPr="0047466B" w:rsidRDefault="00014566" w:rsidP="0047466B">
      <w:pPr>
        <w:pStyle w:val="ECHRHeading2"/>
        <w:outlineLvl w:val="0"/>
      </w:pPr>
      <w:r>
        <w:t>В.   Лихва за забава</w:t>
      </w:r>
    </w:p>
    <w:p w:rsidR="00014566" w:rsidRPr="0047466B" w:rsidRDefault="004E7DE4" w:rsidP="0047466B">
      <w:pPr>
        <w:pStyle w:val="ECHRPara"/>
      </w:pPr>
      <w:r>
        <w:fldChar w:fldCharType="begin"/>
      </w:r>
      <w:r>
        <w:instrText xml:space="preserve"> SEQ level0 \*arabic </w:instrText>
      </w:r>
      <w:r>
        <w:fldChar w:fldCharType="separate"/>
      </w:r>
      <w:r w:rsidR="0047466B" w:rsidRPr="0047466B">
        <w:t>79</w:t>
      </w:r>
      <w:r>
        <w:fldChar w:fldCharType="end"/>
      </w:r>
      <w:r w:rsidR="00790740">
        <w:t>.  Съдът счита за уместно лихвата за забава да бъде обвързана с лихвения процент по заеми на Европейската централна банка, към ко</w:t>
      </w:r>
      <w:r w:rsidR="0062718B">
        <w:t>й</w:t>
      </w:r>
      <w:r w:rsidR="00790740">
        <w:t>то да се добавят три процентни пункта.</w:t>
      </w:r>
    </w:p>
    <w:p w:rsidR="00014566" w:rsidRPr="0047466B" w:rsidRDefault="00BB5883" w:rsidP="0047466B">
      <w:pPr>
        <w:pStyle w:val="ECHRTitle1"/>
      </w:pPr>
      <w:r>
        <w:t>ПО ТЕЗИ СЪОБРАЖЕНИЯ СЪДЪТ ЕДИНОДУШНО</w:t>
      </w:r>
    </w:p>
    <w:p w:rsidR="00014566" w:rsidRPr="0047466B" w:rsidRDefault="00790740" w:rsidP="0047466B">
      <w:pPr>
        <w:pStyle w:val="JuList"/>
      </w:pPr>
      <w:r>
        <w:t>1.  </w:t>
      </w:r>
      <w:r>
        <w:rPr>
          <w:i/>
        </w:rPr>
        <w:t>Обявява</w:t>
      </w:r>
      <w:r>
        <w:t xml:space="preserve"> жалбата за допустима;</w:t>
      </w:r>
    </w:p>
    <w:p w:rsidR="00014566" w:rsidRPr="0047466B" w:rsidRDefault="00014566" w:rsidP="0047466B">
      <w:pPr>
        <w:pStyle w:val="JuList"/>
        <w:ind w:left="0" w:firstLine="0"/>
        <w:rPr>
          <w:lang w:val="en-GB"/>
        </w:rPr>
      </w:pPr>
    </w:p>
    <w:p w:rsidR="00014566" w:rsidRPr="0047466B" w:rsidRDefault="001B51BE" w:rsidP="0047466B">
      <w:pPr>
        <w:pStyle w:val="JuList"/>
      </w:pPr>
      <w:r>
        <w:t>2.  </w:t>
      </w:r>
      <w:r>
        <w:rPr>
          <w:i/>
        </w:rPr>
        <w:t>Приема</w:t>
      </w:r>
      <w:r>
        <w:t>, че е налице нарушение на чл. 5, ал. 1 от Конвенцията;</w:t>
      </w:r>
    </w:p>
    <w:p w:rsidR="009D06D6" w:rsidRPr="0047466B" w:rsidRDefault="009D06D6" w:rsidP="0047466B">
      <w:pPr>
        <w:pStyle w:val="JuList"/>
        <w:rPr>
          <w:lang w:val="en-GB"/>
        </w:rPr>
      </w:pPr>
    </w:p>
    <w:p w:rsidR="009D06D6" w:rsidRPr="0047466B" w:rsidRDefault="009D06D6" w:rsidP="0047466B">
      <w:pPr>
        <w:pStyle w:val="JuList"/>
      </w:pPr>
      <w:r>
        <w:t>3.  </w:t>
      </w:r>
      <w:r>
        <w:rPr>
          <w:i/>
        </w:rPr>
        <w:t>Приема</w:t>
      </w:r>
      <w:r>
        <w:t>, че не е необходимо да разглежда оплакването на жалбоподателя по чл. 5, ал. 4 от Конвенцията;</w:t>
      </w:r>
    </w:p>
    <w:p w:rsidR="00014566" w:rsidRPr="0047466B" w:rsidRDefault="00014566" w:rsidP="0047466B">
      <w:pPr>
        <w:pStyle w:val="JuList"/>
        <w:rPr>
          <w:lang w:val="en-GB"/>
        </w:rPr>
      </w:pPr>
    </w:p>
    <w:p w:rsidR="00014566" w:rsidRPr="0047466B" w:rsidRDefault="006440D0" w:rsidP="0047466B">
      <w:pPr>
        <w:pStyle w:val="JuList"/>
      </w:pPr>
      <w:r>
        <w:t>4.  </w:t>
      </w:r>
      <w:r>
        <w:rPr>
          <w:i/>
        </w:rPr>
        <w:t>Приема,</w:t>
      </w:r>
    </w:p>
    <w:p w:rsidR="00014566" w:rsidRPr="0047466B" w:rsidRDefault="00014566" w:rsidP="0047466B">
      <w:pPr>
        <w:pStyle w:val="JuLista"/>
      </w:pPr>
      <w:r>
        <w:t>(а) че държавата-ответник трябва да заплати на жалбоподателя в срок от три месеца от датата, на която решението стане окончателно в съответствие с член 44 § 2 от Конвенцията, следните суми, които се изчисляват в български лева по курса към датата на плащането:</w:t>
      </w:r>
    </w:p>
    <w:p w:rsidR="00014566" w:rsidRPr="0047466B" w:rsidRDefault="00014566" w:rsidP="0047466B">
      <w:pPr>
        <w:pStyle w:val="JuListi"/>
      </w:pPr>
      <w:r>
        <w:t>(i) 3 500 евро (три хиляди и петстотин евро), плюс всички данъци, които могат да бъдат наложени</w:t>
      </w:r>
      <w:r w:rsidR="00DE3762">
        <w:t>,</w:t>
      </w:r>
      <w:r>
        <w:t xml:space="preserve"> по отношение на неимуществени вреди;</w:t>
      </w:r>
    </w:p>
    <w:p w:rsidR="00014566" w:rsidRPr="0047466B" w:rsidRDefault="00014566" w:rsidP="0047466B">
      <w:pPr>
        <w:pStyle w:val="JuListi"/>
      </w:pPr>
      <w:r>
        <w:t>(ii) 531 евро (петстотин тридесет и едно евро), плюс всички данъци, които биха могли да се начислят</w:t>
      </w:r>
      <w:r w:rsidR="00DE3762">
        <w:t>,</w:t>
      </w:r>
      <w:r>
        <w:t xml:space="preserve"> по отношение на разходи и разноски;</w:t>
      </w:r>
    </w:p>
    <w:p w:rsidR="00014566" w:rsidRPr="0047466B" w:rsidRDefault="00014566" w:rsidP="0047466B">
      <w:pPr>
        <w:pStyle w:val="JuLista"/>
      </w:pPr>
      <w:r>
        <w:t>(б) че от изтичането на упоменатия по-горе тримесечен срок до плащането се дължи проста лихва върху горепосочените суми в размер, равен на пределната ставка по заеми на Европейската централна банка по време на периода на забава, към която се добавят три процентни пункта;</w:t>
      </w:r>
    </w:p>
    <w:p w:rsidR="00014566" w:rsidRPr="0047466B" w:rsidRDefault="00014566" w:rsidP="0047466B">
      <w:pPr>
        <w:pStyle w:val="JuList"/>
        <w:rPr>
          <w:lang w:val="en-GB"/>
        </w:rPr>
      </w:pPr>
    </w:p>
    <w:p w:rsidR="00014566" w:rsidRPr="0047466B" w:rsidRDefault="006440D0" w:rsidP="0047466B">
      <w:pPr>
        <w:pStyle w:val="JuList"/>
      </w:pPr>
      <w:r>
        <w:t>5.  </w:t>
      </w:r>
      <w:r>
        <w:rPr>
          <w:i/>
        </w:rPr>
        <w:t>Отхвърля</w:t>
      </w:r>
      <w:r>
        <w:t xml:space="preserve"> искането на жалбоподателя за справедливо обезщетение в останалата му част.</w:t>
      </w:r>
    </w:p>
    <w:p w:rsidR="00014566" w:rsidRPr="0047466B" w:rsidRDefault="00014566" w:rsidP="0047466B">
      <w:pPr>
        <w:pStyle w:val="JuParaLast"/>
      </w:pPr>
      <w:r>
        <w:lastRenderedPageBreak/>
        <w:t xml:space="preserve">Изготвено на английски език и оповестено писмено на 28 януари 2016 г. в съответствие с Правило 77, ал. 2 и </w:t>
      </w:r>
      <w:r w:rsidR="00DE3762">
        <w:t xml:space="preserve">ал. </w:t>
      </w:r>
      <w:r>
        <w:t>3 от Правилника на Съда.</w:t>
      </w:r>
    </w:p>
    <w:p w:rsidR="004D15F3" w:rsidRPr="0047466B" w:rsidRDefault="00E1557C" w:rsidP="0047466B">
      <w:pPr>
        <w:tabs>
          <w:tab w:val="center" w:pos="1134"/>
          <w:tab w:val="center" w:pos="6379"/>
        </w:tabs>
        <w:spacing w:before="720"/>
        <w:jc w:val="left"/>
      </w:pPr>
      <w:r>
        <w:br/>
      </w:r>
      <w:proofErr w:type="spellStart"/>
      <w:r>
        <w:t>Клаудия</w:t>
      </w:r>
      <w:proofErr w:type="spellEnd"/>
      <w:r>
        <w:t xml:space="preserve"> </w:t>
      </w:r>
      <w:proofErr w:type="spellStart"/>
      <w:r>
        <w:t>Вестердик</w:t>
      </w:r>
      <w:proofErr w:type="spellEnd"/>
      <w:r>
        <w:tab/>
      </w:r>
      <w:proofErr w:type="spellStart"/>
      <w:r w:rsidR="00DE3762">
        <w:t>Ангелика</w:t>
      </w:r>
      <w:proofErr w:type="spellEnd"/>
      <w:r w:rsidR="00DE3762">
        <w:t xml:space="preserve"> </w:t>
      </w:r>
      <w:proofErr w:type="spellStart"/>
      <w:r>
        <w:t>Ню</w:t>
      </w:r>
      <w:r w:rsidR="00DE3762">
        <w:t>с</w:t>
      </w:r>
      <w:r>
        <w:t>бергер</w:t>
      </w:r>
      <w:proofErr w:type="spellEnd"/>
      <w:r>
        <w:br/>
      </w:r>
      <w:r>
        <w:tab/>
      </w:r>
      <w:r w:rsidR="00DE3762">
        <w:t>с</w:t>
      </w:r>
      <w:r>
        <w:t>екретар</w:t>
      </w:r>
      <w:r>
        <w:tab/>
      </w:r>
      <w:r w:rsidR="00DE3762">
        <w:t>п</w:t>
      </w:r>
      <w:r>
        <w:t>редседател</w:t>
      </w:r>
    </w:p>
    <w:p w:rsidR="0047466B" w:rsidRPr="0047466B" w:rsidRDefault="0047466B" w:rsidP="0047466B">
      <w:pPr>
        <w:tabs>
          <w:tab w:val="center" w:pos="1134"/>
          <w:tab w:val="center" w:pos="6379"/>
        </w:tabs>
        <w:spacing w:before="720"/>
        <w:jc w:val="left"/>
        <w:rPr>
          <w:lang w:val="de-DE"/>
        </w:rPr>
      </w:pPr>
    </w:p>
    <w:sectPr w:rsidR="0047466B" w:rsidRPr="0047466B" w:rsidSect="004D1148">
      <w:headerReference w:type="even" r:id="rId14"/>
      <w:headerReference w:type="default" r:id="rId15"/>
      <w:footnotePr>
        <w:numRestart w:val="eachPage"/>
      </w:footnotePr>
      <w:pgSz w:w="11906" w:h="16838" w:code="9"/>
      <w:pgMar w:top="2274" w:right="2274" w:bottom="2274" w:left="2274" w:header="1701"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DE4" w:rsidRDefault="004E7DE4" w:rsidP="00014566">
      <w:r>
        <w:separator/>
      </w:r>
    </w:p>
  </w:endnote>
  <w:endnote w:type="continuationSeparator" w:id="0">
    <w:p w:rsidR="004E7DE4" w:rsidRDefault="004E7DE4" w:rsidP="00014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AA7" w:rsidRDefault="00DD6AA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AA7" w:rsidRDefault="00DD6AA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445" w:rsidRPr="00150BFA" w:rsidRDefault="003E0445" w:rsidP="003E0445">
    <w:pPr>
      <w:jc w:val="center"/>
    </w:pPr>
    <w:r>
      <w:rPr>
        <w:noProof/>
        <w:lang w:val="en-US"/>
      </w:rPr>
      <w:drawing>
        <wp:inline distT="0" distB="0" distL="0" distR="0" wp14:anchorId="3DDA2925" wp14:editId="756944A8">
          <wp:extent cx="771525" cy="619125"/>
          <wp:effectExtent l="0" t="0" r="9525" b="9525"/>
          <wp:docPr id="19" name="Picture 19" descr="R:\1_Graphics&amp;Web\Court_Graphic_Charter\2013\ECHR_Stationery\Documents_and_Letters\Cover_Pages_And_Docs\White_600_dpi\ECHR_CoverpageCS61_ECHR_Coverpage_Footer_COE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1_Graphics&amp;Web\Court_Graphic_Charter\2013\ECHR_Stationery\Documents_and_Letters\Cover_Pages_And_Docs\White_600_dpi\ECHR_CoverpageCS61_ECHR_Coverpage_Footer_COE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619125"/>
                  </a:xfrm>
                  <a:prstGeom prst="rect">
                    <a:avLst/>
                  </a:prstGeom>
                  <a:noFill/>
                  <a:ln>
                    <a:noFill/>
                  </a:ln>
                </pic:spPr>
              </pic:pic>
            </a:graphicData>
          </a:graphic>
        </wp:inline>
      </w:drawing>
    </w:r>
  </w:p>
  <w:p w:rsidR="003E0445" w:rsidRDefault="003E044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DE4" w:rsidRDefault="004E7DE4" w:rsidP="00014566">
      <w:r>
        <w:separator/>
      </w:r>
    </w:p>
  </w:footnote>
  <w:footnote w:type="continuationSeparator" w:id="0">
    <w:p w:rsidR="004E7DE4" w:rsidRDefault="004E7DE4" w:rsidP="0001456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AA7" w:rsidRDefault="00DD6AA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445" w:rsidRPr="00D60D87" w:rsidRDefault="003E0445" w:rsidP="004D1148">
    <w:pPr>
      <w:pStyle w:val="ECHRHeader"/>
      <w:jc w:val="center"/>
      <w:rPr>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445" w:rsidRPr="00A45145" w:rsidRDefault="003E0445" w:rsidP="003E0445">
    <w:pPr>
      <w:jc w:val="center"/>
    </w:pPr>
    <w:r>
      <w:rPr>
        <w:noProof/>
        <w:lang w:val="en-US"/>
      </w:rPr>
      <w:drawing>
        <wp:inline distT="0" distB="0" distL="0" distR="0" wp14:anchorId="77D4AD8F" wp14:editId="35133B64">
          <wp:extent cx="2962275" cy="1219200"/>
          <wp:effectExtent l="0" t="0" r="9525" b="0"/>
          <wp:docPr id="10" name="Picture 10" descr="R:\1_Graphics&amp;Web\Court_Graphic_Charter\2013\ECHR_Stationery\Documents_and_Letters\Cover_Pages_And_Docs\White_600_dpi\ECHR_CoverpageCS61_ECHR_Coverpage_Header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1_Graphics&amp;Web\Court_Graphic_Charter\2013\ECHR_Stationery\Documents_and_Letters\Cover_Pages_And_Docs\White_600_dpi\ECHR_CoverpageCS61_ECHR_Coverpage_Header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1219200"/>
                  </a:xfrm>
                  <a:prstGeom prst="rect">
                    <a:avLst/>
                  </a:prstGeom>
                  <a:noFill/>
                  <a:ln>
                    <a:noFill/>
                  </a:ln>
                </pic:spPr>
              </pic:pic>
            </a:graphicData>
          </a:graphic>
        </wp:inline>
      </w:drawing>
    </w:r>
  </w:p>
  <w:p w:rsidR="003E0445" w:rsidRDefault="003E0445">
    <w:pPr>
      <w:pStyle w:val="Head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445" w:rsidRPr="00FF2306" w:rsidRDefault="003E0445" w:rsidP="00EE1DA9">
    <w:pPr>
      <w:pStyle w:val="ECHRHeader"/>
    </w:pPr>
    <w:r>
      <w:rPr>
        <w:rStyle w:val="PageNumber"/>
        <w:szCs w:val="18"/>
      </w:rPr>
      <w:fldChar w:fldCharType="begin"/>
    </w:r>
    <w:r>
      <w:rPr>
        <w:rStyle w:val="PageNumber"/>
        <w:szCs w:val="18"/>
      </w:rPr>
      <w:instrText xml:space="preserve"> PAGE </w:instrText>
    </w:r>
    <w:r>
      <w:rPr>
        <w:rStyle w:val="PageNumber"/>
        <w:szCs w:val="18"/>
      </w:rPr>
      <w:fldChar w:fldCharType="separate"/>
    </w:r>
    <w:r w:rsidR="00DD6AA7">
      <w:rPr>
        <w:rStyle w:val="PageNumber"/>
        <w:noProof/>
        <w:szCs w:val="18"/>
      </w:rPr>
      <w:t>16</w:t>
    </w:r>
    <w:r>
      <w:rPr>
        <w:rStyle w:val="PageNumber"/>
        <w:szCs w:val="18"/>
      </w:rPr>
      <w:fldChar w:fldCharType="end"/>
    </w:r>
    <w:r>
      <w:tab/>
      <w:t>РЕШЕНИЕ КИРИЛ АНДРЕЕВ срещу БЪЛГАРИЯ</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445" w:rsidRPr="00D60D87" w:rsidRDefault="003E0445" w:rsidP="00D60D87">
    <w:pPr>
      <w:pStyle w:val="ECHRHeader"/>
    </w:pPr>
    <w:r>
      <w:tab/>
      <w:t>РЕШЕНИЕ КИРИЛ АНДРЕЕВ срещу БЪЛГАРИЯ</w:t>
    </w:r>
    <w:r>
      <w:tab/>
    </w:r>
    <w:r>
      <w:rPr>
        <w:rStyle w:val="PageNumber"/>
        <w:szCs w:val="18"/>
      </w:rPr>
      <w:fldChar w:fldCharType="begin"/>
    </w:r>
    <w:r>
      <w:rPr>
        <w:rStyle w:val="PageNumber"/>
        <w:szCs w:val="18"/>
      </w:rPr>
      <w:instrText xml:space="preserve"> PAGE </w:instrText>
    </w:r>
    <w:r>
      <w:rPr>
        <w:rStyle w:val="PageNumber"/>
        <w:szCs w:val="18"/>
      </w:rPr>
      <w:fldChar w:fldCharType="separate"/>
    </w:r>
    <w:r w:rsidR="00DD6AA7">
      <w:rPr>
        <w:rStyle w:val="PageNumber"/>
        <w:noProof/>
        <w:szCs w:val="18"/>
      </w:rPr>
      <w:t>15</w:t>
    </w:r>
    <w:r>
      <w:rPr>
        <w:rStyle w:val="PageNumber"/>
        <w:szCs w:val="18"/>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0180FE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0ECFB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B8BEF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F1CF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380266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C2C34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2EC3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666B2C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60110"/>
    <w:lvl w:ilvl="0">
      <w:start w:val="1"/>
      <w:numFmt w:val="decimal"/>
      <w:pStyle w:val="ListNumber"/>
      <w:lvlText w:val="%1."/>
      <w:lvlJc w:val="left"/>
      <w:pPr>
        <w:tabs>
          <w:tab w:val="num" w:pos="360"/>
        </w:tabs>
        <w:ind w:left="360" w:hanging="360"/>
      </w:pPr>
    </w:lvl>
  </w:abstractNum>
  <w:abstractNum w:abstractNumId="9" w15:restartNumberingAfterBreak="0">
    <w:nsid w:val="0066004F"/>
    <w:multiLevelType w:val="multilevel"/>
    <w:tmpl w:val="040C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63F153D"/>
    <w:multiLevelType w:val="multilevel"/>
    <w:tmpl w:val="040C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FD1241"/>
    <w:multiLevelType w:val="hybridMultilevel"/>
    <w:tmpl w:val="F6D86CC2"/>
    <w:lvl w:ilvl="0" w:tplc="E4205412">
      <w:start w:val="1"/>
      <w:numFmt w:val="bullet"/>
      <w:pStyle w:val="ListBullet"/>
      <w:lvlText w:val=""/>
      <w:lvlJc w:val="left"/>
      <w:pPr>
        <w:tabs>
          <w:tab w:val="num" w:pos="851"/>
        </w:tabs>
        <w:ind w:left="568" w:firstLine="0"/>
      </w:pPr>
      <w:rPr>
        <w:rFonts w:ascii="Wingdings" w:hAnsi="Wingdings" w:hint="default"/>
        <w:color w:val="808080"/>
        <w:sz w:val="16"/>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15:restartNumberingAfterBreak="0">
    <w:nsid w:val="76903243"/>
    <w:multiLevelType w:val="multilevel"/>
    <w:tmpl w:val="E884A926"/>
    <w:lvl w:ilvl="0">
      <w:start w:val="1"/>
      <w:numFmt w:val="decimal"/>
      <w:pStyle w:val="JuAppQuestion"/>
      <w:lvlText w:val="%1."/>
      <w:lvlJc w:val="left"/>
      <w:pPr>
        <w:tabs>
          <w:tab w:val="num" w:pos="720"/>
        </w:tabs>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7737461D"/>
    <w:multiLevelType w:val="multilevel"/>
    <w:tmpl w:val="040C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9"/>
  </w:num>
  <w:num w:numId="4">
    <w:abstractNumId w:val="13"/>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hyphenationZone w:val="425"/>
  <w:evenAndOddHeaders/>
  <w:drawingGridHorizontalSpacing w:val="11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NatAutre" w:val="0"/>
    <w:docVar w:name="DocVarPREMATURE" w:val="0"/>
    <w:docVar w:name="EMM" w:val="0"/>
    <w:docVar w:name="ETRANSMISSION" w:val="BY E-TRANSMISSION ONLY"/>
    <w:docVar w:name="L4_1Annex" w:val="0"/>
    <w:docVar w:name="L4_1Anonymity" w:val="0"/>
    <w:docVar w:name="NBEMMDOC" w:val="0"/>
    <w:docVar w:name="SignForeName" w:val="0"/>
  </w:docVars>
  <w:rsids>
    <w:rsidRoot w:val="00790740"/>
    <w:rsid w:val="000041F8"/>
    <w:rsid w:val="000042A8"/>
    <w:rsid w:val="00004308"/>
    <w:rsid w:val="000053CF"/>
    <w:rsid w:val="00005BF0"/>
    <w:rsid w:val="00007154"/>
    <w:rsid w:val="000103AE"/>
    <w:rsid w:val="00011D69"/>
    <w:rsid w:val="00012AD3"/>
    <w:rsid w:val="00014566"/>
    <w:rsid w:val="00015C2D"/>
    <w:rsid w:val="00015F00"/>
    <w:rsid w:val="00022C1D"/>
    <w:rsid w:val="00023E15"/>
    <w:rsid w:val="00027B73"/>
    <w:rsid w:val="000321D2"/>
    <w:rsid w:val="00034987"/>
    <w:rsid w:val="00043910"/>
    <w:rsid w:val="0005060B"/>
    <w:rsid w:val="00055B0F"/>
    <w:rsid w:val="000602DF"/>
    <w:rsid w:val="00061B05"/>
    <w:rsid w:val="00062973"/>
    <w:rsid w:val="00062D5D"/>
    <w:rsid w:val="000632D5"/>
    <w:rsid w:val="000644EE"/>
    <w:rsid w:val="000721A6"/>
    <w:rsid w:val="00074706"/>
    <w:rsid w:val="000900AE"/>
    <w:rsid w:val="000925AD"/>
    <w:rsid w:val="000A24EB"/>
    <w:rsid w:val="000B6923"/>
    <w:rsid w:val="000C033C"/>
    <w:rsid w:val="000C5DDF"/>
    <w:rsid w:val="000C5F3C"/>
    <w:rsid w:val="000C68FF"/>
    <w:rsid w:val="000C6DCC"/>
    <w:rsid w:val="000D47AA"/>
    <w:rsid w:val="000D721F"/>
    <w:rsid w:val="000E069B"/>
    <w:rsid w:val="000E0993"/>
    <w:rsid w:val="000E0E82"/>
    <w:rsid w:val="000E1DC5"/>
    <w:rsid w:val="000E223F"/>
    <w:rsid w:val="000E3DD4"/>
    <w:rsid w:val="000E7D45"/>
    <w:rsid w:val="000F72A0"/>
    <w:rsid w:val="000F7851"/>
    <w:rsid w:val="001038B7"/>
    <w:rsid w:val="00103DBD"/>
    <w:rsid w:val="00104E23"/>
    <w:rsid w:val="00111B0C"/>
    <w:rsid w:val="0011228C"/>
    <w:rsid w:val="00120D6C"/>
    <w:rsid w:val="00122DA2"/>
    <w:rsid w:val="001257EC"/>
    <w:rsid w:val="00132C6A"/>
    <w:rsid w:val="00133D33"/>
    <w:rsid w:val="00134D64"/>
    <w:rsid w:val="00135A30"/>
    <w:rsid w:val="0013612C"/>
    <w:rsid w:val="00137FF6"/>
    <w:rsid w:val="00141650"/>
    <w:rsid w:val="00156D05"/>
    <w:rsid w:val="00162A12"/>
    <w:rsid w:val="00166530"/>
    <w:rsid w:val="00171F84"/>
    <w:rsid w:val="001734A4"/>
    <w:rsid w:val="001832BD"/>
    <w:rsid w:val="001943B5"/>
    <w:rsid w:val="00195134"/>
    <w:rsid w:val="001A145B"/>
    <w:rsid w:val="001A674C"/>
    <w:rsid w:val="001B3B24"/>
    <w:rsid w:val="001B51BE"/>
    <w:rsid w:val="001C0F98"/>
    <w:rsid w:val="001C2A42"/>
    <w:rsid w:val="001C5093"/>
    <w:rsid w:val="001D5422"/>
    <w:rsid w:val="001D63ED"/>
    <w:rsid w:val="001D7348"/>
    <w:rsid w:val="001D76A2"/>
    <w:rsid w:val="001D773C"/>
    <w:rsid w:val="001E035B"/>
    <w:rsid w:val="001E0961"/>
    <w:rsid w:val="001E3EAE"/>
    <w:rsid w:val="001E6F32"/>
    <w:rsid w:val="001F2145"/>
    <w:rsid w:val="001F6262"/>
    <w:rsid w:val="001F67B0"/>
    <w:rsid w:val="001F7B3D"/>
    <w:rsid w:val="00203CEC"/>
    <w:rsid w:val="00205911"/>
    <w:rsid w:val="00205F9F"/>
    <w:rsid w:val="00210338"/>
    <w:rsid w:val="0021078B"/>
    <w:rsid w:val="002115FC"/>
    <w:rsid w:val="002133F8"/>
    <w:rsid w:val="0021423C"/>
    <w:rsid w:val="00225588"/>
    <w:rsid w:val="00230D00"/>
    <w:rsid w:val="00231DF7"/>
    <w:rsid w:val="00231FD1"/>
    <w:rsid w:val="002339E0"/>
    <w:rsid w:val="00233CF8"/>
    <w:rsid w:val="0023575D"/>
    <w:rsid w:val="00237148"/>
    <w:rsid w:val="0024222D"/>
    <w:rsid w:val="00244B0E"/>
    <w:rsid w:val="00244F6C"/>
    <w:rsid w:val="002530D1"/>
    <w:rsid w:val="002532C5"/>
    <w:rsid w:val="002607E2"/>
    <w:rsid w:val="00260C03"/>
    <w:rsid w:val="0026540E"/>
    <w:rsid w:val="00272629"/>
    <w:rsid w:val="00275123"/>
    <w:rsid w:val="00282240"/>
    <w:rsid w:val="0028572A"/>
    <w:rsid w:val="002948AD"/>
    <w:rsid w:val="00294C92"/>
    <w:rsid w:val="002A01CC"/>
    <w:rsid w:val="002A40BE"/>
    <w:rsid w:val="002A42B4"/>
    <w:rsid w:val="002A61B1"/>
    <w:rsid w:val="002A663C"/>
    <w:rsid w:val="002A69D4"/>
    <w:rsid w:val="002B444B"/>
    <w:rsid w:val="002B5887"/>
    <w:rsid w:val="002B7F8C"/>
    <w:rsid w:val="002C0692"/>
    <w:rsid w:val="002C0E27"/>
    <w:rsid w:val="002C3040"/>
    <w:rsid w:val="002C488E"/>
    <w:rsid w:val="002D022D"/>
    <w:rsid w:val="002D24BB"/>
    <w:rsid w:val="002E11B3"/>
    <w:rsid w:val="002E27AD"/>
    <w:rsid w:val="002E2E52"/>
    <w:rsid w:val="002F2AF7"/>
    <w:rsid w:val="002F7E1C"/>
    <w:rsid w:val="00301A75"/>
    <w:rsid w:val="003028EE"/>
    <w:rsid w:val="00302F70"/>
    <w:rsid w:val="0030336F"/>
    <w:rsid w:val="0030375E"/>
    <w:rsid w:val="00312A30"/>
    <w:rsid w:val="00317205"/>
    <w:rsid w:val="00320F72"/>
    <w:rsid w:val="00324071"/>
    <w:rsid w:val="0032463E"/>
    <w:rsid w:val="00326224"/>
    <w:rsid w:val="00337EE4"/>
    <w:rsid w:val="00340FFD"/>
    <w:rsid w:val="003506B1"/>
    <w:rsid w:val="003518CE"/>
    <w:rsid w:val="00356AC7"/>
    <w:rsid w:val="003609FA"/>
    <w:rsid w:val="00370C43"/>
    <w:rsid w:val="003710C8"/>
    <w:rsid w:val="003750BE"/>
    <w:rsid w:val="00386776"/>
    <w:rsid w:val="00386AB1"/>
    <w:rsid w:val="00387B9D"/>
    <w:rsid w:val="0039364F"/>
    <w:rsid w:val="00395B77"/>
    <w:rsid w:val="00396686"/>
    <w:rsid w:val="0039778E"/>
    <w:rsid w:val="003A324A"/>
    <w:rsid w:val="003B4941"/>
    <w:rsid w:val="003C2328"/>
    <w:rsid w:val="003C5714"/>
    <w:rsid w:val="003C6B9F"/>
    <w:rsid w:val="003C6E2A"/>
    <w:rsid w:val="003C72D5"/>
    <w:rsid w:val="003D0299"/>
    <w:rsid w:val="003E0445"/>
    <w:rsid w:val="003E6D80"/>
    <w:rsid w:val="003F05FA"/>
    <w:rsid w:val="003F244A"/>
    <w:rsid w:val="003F30B8"/>
    <w:rsid w:val="003F4C45"/>
    <w:rsid w:val="003F5F7B"/>
    <w:rsid w:val="003F7D64"/>
    <w:rsid w:val="00410F22"/>
    <w:rsid w:val="00414300"/>
    <w:rsid w:val="00414D88"/>
    <w:rsid w:val="00425C67"/>
    <w:rsid w:val="00427E7A"/>
    <w:rsid w:val="00432896"/>
    <w:rsid w:val="00436307"/>
    <w:rsid w:val="00436C49"/>
    <w:rsid w:val="00445366"/>
    <w:rsid w:val="00447F5B"/>
    <w:rsid w:val="004520D5"/>
    <w:rsid w:val="00461DB0"/>
    <w:rsid w:val="00463926"/>
    <w:rsid w:val="004646E0"/>
    <w:rsid w:val="00464C9A"/>
    <w:rsid w:val="0047466B"/>
    <w:rsid w:val="00474F3D"/>
    <w:rsid w:val="00477E3A"/>
    <w:rsid w:val="004825E6"/>
    <w:rsid w:val="00483E5F"/>
    <w:rsid w:val="00485FF9"/>
    <w:rsid w:val="004907F0"/>
    <w:rsid w:val="0049140B"/>
    <w:rsid w:val="004923A5"/>
    <w:rsid w:val="00496BFB"/>
    <w:rsid w:val="004A15C7"/>
    <w:rsid w:val="004A63AA"/>
    <w:rsid w:val="004B013B"/>
    <w:rsid w:val="004B112B"/>
    <w:rsid w:val="004B2332"/>
    <w:rsid w:val="004C01E4"/>
    <w:rsid w:val="004C086C"/>
    <w:rsid w:val="004C1F56"/>
    <w:rsid w:val="004C207F"/>
    <w:rsid w:val="004C27BC"/>
    <w:rsid w:val="004C6D09"/>
    <w:rsid w:val="004D1148"/>
    <w:rsid w:val="004D15F3"/>
    <w:rsid w:val="004D5311"/>
    <w:rsid w:val="004D5DCC"/>
    <w:rsid w:val="004D75F3"/>
    <w:rsid w:val="004E315C"/>
    <w:rsid w:val="004E7CEE"/>
    <w:rsid w:val="004E7DE4"/>
    <w:rsid w:val="004F0A9C"/>
    <w:rsid w:val="004F10AF"/>
    <w:rsid w:val="004F11A4"/>
    <w:rsid w:val="004F2389"/>
    <w:rsid w:val="004F304D"/>
    <w:rsid w:val="004F61BE"/>
    <w:rsid w:val="004F66B1"/>
    <w:rsid w:val="005010F1"/>
    <w:rsid w:val="00511C07"/>
    <w:rsid w:val="00512078"/>
    <w:rsid w:val="005173A6"/>
    <w:rsid w:val="00520BAA"/>
    <w:rsid w:val="00525208"/>
    <w:rsid w:val="005257A5"/>
    <w:rsid w:val="005264C0"/>
    <w:rsid w:val="00526A8A"/>
    <w:rsid w:val="00530502"/>
    <w:rsid w:val="00531DF2"/>
    <w:rsid w:val="00537814"/>
    <w:rsid w:val="00542ED1"/>
    <w:rsid w:val="005442EE"/>
    <w:rsid w:val="00547353"/>
    <w:rsid w:val="005474E7"/>
    <w:rsid w:val="00550813"/>
    <w:rsid w:val="005512A3"/>
    <w:rsid w:val="005578CE"/>
    <w:rsid w:val="00562781"/>
    <w:rsid w:val="00563E83"/>
    <w:rsid w:val="00564DBD"/>
    <w:rsid w:val="0057271C"/>
    <w:rsid w:val="00572845"/>
    <w:rsid w:val="00592772"/>
    <w:rsid w:val="0059574A"/>
    <w:rsid w:val="005A1B9B"/>
    <w:rsid w:val="005A6751"/>
    <w:rsid w:val="005B092E"/>
    <w:rsid w:val="005B093F"/>
    <w:rsid w:val="005B152C"/>
    <w:rsid w:val="005B1EE0"/>
    <w:rsid w:val="005B2B24"/>
    <w:rsid w:val="005B4425"/>
    <w:rsid w:val="005B4B94"/>
    <w:rsid w:val="005B7368"/>
    <w:rsid w:val="005C3EE8"/>
    <w:rsid w:val="005D1901"/>
    <w:rsid w:val="005D19FA"/>
    <w:rsid w:val="005D34F9"/>
    <w:rsid w:val="005D4190"/>
    <w:rsid w:val="005D6473"/>
    <w:rsid w:val="005D67A3"/>
    <w:rsid w:val="005E2988"/>
    <w:rsid w:val="005E2A43"/>
    <w:rsid w:val="005E3085"/>
    <w:rsid w:val="005E3AC6"/>
    <w:rsid w:val="005F51E1"/>
    <w:rsid w:val="00610C86"/>
    <w:rsid w:val="00611C80"/>
    <w:rsid w:val="00620692"/>
    <w:rsid w:val="00622B41"/>
    <w:rsid w:val="006242CA"/>
    <w:rsid w:val="0062718B"/>
    <w:rsid w:val="00627507"/>
    <w:rsid w:val="00633717"/>
    <w:rsid w:val="006344E1"/>
    <w:rsid w:val="00636323"/>
    <w:rsid w:val="006440D0"/>
    <w:rsid w:val="006451EE"/>
    <w:rsid w:val="00647E29"/>
    <w:rsid w:val="00650B73"/>
    <w:rsid w:val="00650FDA"/>
    <w:rsid w:val="006545C4"/>
    <w:rsid w:val="00661971"/>
    <w:rsid w:val="00661CE8"/>
    <w:rsid w:val="006623D9"/>
    <w:rsid w:val="0066550C"/>
    <w:rsid w:val="006716F2"/>
    <w:rsid w:val="00680F6B"/>
    <w:rsid w:val="006817FD"/>
    <w:rsid w:val="00682BF2"/>
    <w:rsid w:val="006859CE"/>
    <w:rsid w:val="00691270"/>
    <w:rsid w:val="00694BA8"/>
    <w:rsid w:val="006A037C"/>
    <w:rsid w:val="006A300D"/>
    <w:rsid w:val="006A36F4"/>
    <w:rsid w:val="006A406F"/>
    <w:rsid w:val="006A5D3A"/>
    <w:rsid w:val="006B5D78"/>
    <w:rsid w:val="006C02D3"/>
    <w:rsid w:val="006C1608"/>
    <w:rsid w:val="006C23D4"/>
    <w:rsid w:val="006C7BB0"/>
    <w:rsid w:val="006D3237"/>
    <w:rsid w:val="006E1109"/>
    <w:rsid w:val="006E2E37"/>
    <w:rsid w:val="006E3CF1"/>
    <w:rsid w:val="006E7E80"/>
    <w:rsid w:val="006F1DF9"/>
    <w:rsid w:val="006F24DB"/>
    <w:rsid w:val="006F48CA"/>
    <w:rsid w:val="006F64DD"/>
    <w:rsid w:val="00713846"/>
    <w:rsid w:val="00714AB7"/>
    <w:rsid w:val="00715127"/>
    <w:rsid w:val="00715E8E"/>
    <w:rsid w:val="00723580"/>
    <w:rsid w:val="00723755"/>
    <w:rsid w:val="0073136C"/>
    <w:rsid w:val="00731D43"/>
    <w:rsid w:val="00731F0F"/>
    <w:rsid w:val="00733250"/>
    <w:rsid w:val="00733852"/>
    <w:rsid w:val="00741404"/>
    <w:rsid w:val="0074472B"/>
    <w:rsid w:val="007449E5"/>
    <w:rsid w:val="00746C5A"/>
    <w:rsid w:val="00747FF0"/>
    <w:rsid w:val="00761540"/>
    <w:rsid w:val="00764D4E"/>
    <w:rsid w:val="00765A1F"/>
    <w:rsid w:val="00775B6D"/>
    <w:rsid w:val="00776D68"/>
    <w:rsid w:val="007850EE"/>
    <w:rsid w:val="00785B95"/>
    <w:rsid w:val="00786B37"/>
    <w:rsid w:val="00790740"/>
    <w:rsid w:val="00790E96"/>
    <w:rsid w:val="00793366"/>
    <w:rsid w:val="007A716F"/>
    <w:rsid w:val="007B270A"/>
    <w:rsid w:val="007C0695"/>
    <w:rsid w:val="007C1A0A"/>
    <w:rsid w:val="007C419A"/>
    <w:rsid w:val="007C4CC8"/>
    <w:rsid w:val="007C5426"/>
    <w:rsid w:val="007C5798"/>
    <w:rsid w:val="007D4832"/>
    <w:rsid w:val="007E21B2"/>
    <w:rsid w:val="007E2C4E"/>
    <w:rsid w:val="007E7FDE"/>
    <w:rsid w:val="007F1905"/>
    <w:rsid w:val="00801300"/>
    <w:rsid w:val="00802C64"/>
    <w:rsid w:val="00805E52"/>
    <w:rsid w:val="008061D0"/>
    <w:rsid w:val="00810B38"/>
    <w:rsid w:val="00810F1A"/>
    <w:rsid w:val="008204C7"/>
    <w:rsid w:val="00820992"/>
    <w:rsid w:val="00823602"/>
    <w:rsid w:val="008255F5"/>
    <w:rsid w:val="0083014E"/>
    <w:rsid w:val="0083214A"/>
    <w:rsid w:val="00834220"/>
    <w:rsid w:val="00835A86"/>
    <w:rsid w:val="00845723"/>
    <w:rsid w:val="00851EF9"/>
    <w:rsid w:val="00853F56"/>
    <w:rsid w:val="008577FD"/>
    <w:rsid w:val="008609DB"/>
    <w:rsid w:val="00860B03"/>
    <w:rsid w:val="0086497A"/>
    <w:rsid w:val="008713A1"/>
    <w:rsid w:val="008754AB"/>
    <w:rsid w:val="0088060C"/>
    <w:rsid w:val="00880AD5"/>
    <w:rsid w:val="00886BC3"/>
    <w:rsid w:val="00887977"/>
    <w:rsid w:val="00893576"/>
    <w:rsid w:val="00893E73"/>
    <w:rsid w:val="0089544B"/>
    <w:rsid w:val="008A10AF"/>
    <w:rsid w:val="008A43C4"/>
    <w:rsid w:val="008B02DC"/>
    <w:rsid w:val="008B4CD0"/>
    <w:rsid w:val="008B57CE"/>
    <w:rsid w:val="008B659F"/>
    <w:rsid w:val="008C26DE"/>
    <w:rsid w:val="008C655B"/>
    <w:rsid w:val="008D2225"/>
    <w:rsid w:val="008D431E"/>
    <w:rsid w:val="008D4752"/>
    <w:rsid w:val="008D6856"/>
    <w:rsid w:val="008E271C"/>
    <w:rsid w:val="008E418E"/>
    <w:rsid w:val="008E5BC6"/>
    <w:rsid w:val="008E6A25"/>
    <w:rsid w:val="008E77E6"/>
    <w:rsid w:val="008F5193"/>
    <w:rsid w:val="009013A7"/>
    <w:rsid w:val="009017FB"/>
    <w:rsid w:val="009017FC"/>
    <w:rsid w:val="00903B43"/>
    <w:rsid w:val="0090506B"/>
    <w:rsid w:val="009050C9"/>
    <w:rsid w:val="009066FC"/>
    <w:rsid w:val="009140A3"/>
    <w:rsid w:val="009144A2"/>
    <w:rsid w:val="0091510C"/>
    <w:rsid w:val="00916C81"/>
    <w:rsid w:val="009259AC"/>
    <w:rsid w:val="00926F38"/>
    <w:rsid w:val="009302D6"/>
    <w:rsid w:val="00933F52"/>
    <w:rsid w:val="00934301"/>
    <w:rsid w:val="00934CC4"/>
    <w:rsid w:val="00936CD1"/>
    <w:rsid w:val="00941747"/>
    <w:rsid w:val="00941EFB"/>
    <w:rsid w:val="009429C3"/>
    <w:rsid w:val="00947AFB"/>
    <w:rsid w:val="00951D7D"/>
    <w:rsid w:val="009630C7"/>
    <w:rsid w:val="00964A28"/>
    <w:rsid w:val="00967895"/>
    <w:rsid w:val="00972B55"/>
    <w:rsid w:val="00973A8E"/>
    <w:rsid w:val="009743B7"/>
    <w:rsid w:val="00980B73"/>
    <w:rsid w:val="0098228B"/>
    <w:rsid w:val="009828DA"/>
    <w:rsid w:val="00985BAB"/>
    <w:rsid w:val="00997F03"/>
    <w:rsid w:val="009A46DF"/>
    <w:rsid w:val="009A52FF"/>
    <w:rsid w:val="009B1B5F"/>
    <w:rsid w:val="009B2EC2"/>
    <w:rsid w:val="009B6673"/>
    <w:rsid w:val="009C191B"/>
    <w:rsid w:val="009C2BD6"/>
    <w:rsid w:val="009C32EB"/>
    <w:rsid w:val="009D06D6"/>
    <w:rsid w:val="009E1F32"/>
    <w:rsid w:val="009E5829"/>
    <w:rsid w:val="009E6598"/>
    <w:rsid w:val="009E7442"/>
    <w:rsid w:val="009E776C"/>
    <w:rsid w:val="00A131C3"/>
    <w:rsid w:val="00A1324A"/>
    <w:rsid w:val="00A1726E"/>
    <w:rsid w:val="00A204CF"/>
    <w:rsid w:val="00A23D49"/>
    <w:rsid w:val="00A27004"/>
    <w:rsid w:val="00A30C29"/>
    <w:rsid w:val="00A32759"/>
    <w:rsid w:val="00A34DD6"/>
    <w:rsid w:val="00A36819"/>
    <w:rsid w:val="00A36989"/>
    <w:rsid w:val="00A43628"/>
    <w:rsid w:val="00A54192"/>
    <w:rsid w:val="00A54295"/>
    <w:rsid w:val="00A6035E"/>
    <w:rsid w:val="00A6144C"/>
    <w:rsid w:val="00A65783"/>
    <w:rsid w:val="00A657CD"/>
    <w:rsid w:val="00A66617"/>
    <w:rsid w:val="00A671F8"/>
    <w:rsid w:val="00A673A4"/>
    <w:rsid w:val="00A723F6"/>
    <w:rsid w:val="00A724AE"/>
    <w:rsid w:val="00A73329"/>
    <w:rsid w:val="00A821A5"/>
    <w:rsid w:val="00A82359"/>
    <w:rsid w:val="00A865D2"/>
    <w:rsid w:val="00A90789"/>
    <w:rsid w:val="00A94C20"/>
    <w:rsid w:val="00A9699D"/>
    <w:rsid w:val="00A96ED6"/>
    <w:rsid w:val="00AA227F"/>
    <w:rsid w:val="00AA3BC7"/>
    <w:rsid w:val="00AA67F6"/>
    <w:rsid w:val="00AA754A"/>
    <w:rsid w:val="00AB0104"/>
    <w:rsid w:val="00AB099E"/>
    <w:rsid w:val="00AB23FB"/>
    <w:rsid w:val="00AB4328"/>
    <w:rsid w:val="00AB5FA0"/>
    <w:rsid w:val="00AD62BA"/>
    <w:rsid w:val="00AE0A2E"/>
    <w:rsid w:val="00AE354C"/>
    <w:rsid w:val="00AE39D2"/>
    <w:rsid w:val="00AF4B07"/>
    <w:rsid w:val="00AF6186"/>
    <w:rsid w:val="00AF7A3A"/>
    <w:rsid w:val="00B13812"/>
    <w:rsid w:val="00B160DB"/>
    <w:rsid w:val="00B20836"/>
    <w:rsid w:val="00B235BB"/>
    <w:rsid w:val="00B27A44"/>
    <w:rsid w:val="00B30BBF"/>
    <w:rsid w:val="00B33C03"/>
    <w:rsid w:val="00B433CB"/>
    <w:rsid w:val="00B44E56"/>
    <w:rsid w:val="00B46543"/>
    <w:rsid w:val="00B47D33"/>
    <w:rsid w:val="00B52BE0"/>
    <w:rsid w:val="00B54133"/>
    <w:rsid w:val="00B62A85"/>
    <w:rsid w:val="00B64361"/>
    <w:rsid w:val="00B701ED"/>
    <w:rsid w:val="00B8086C"/>
    <w:rsid w:val="00B861B4"/>
    <w:rsid w:val="00B8657B"/>
    <w:rsid w:val="00B86DFE"/>
    <w:rsid w:val="00B90990"/>
    <w:rsid w:val="00B90E51"/>
    <w:rsid w:val="00B922FF"/>
    <w:rsid w:val="00B9281E"/>
    <w:rsid w:val="00B93925"/>
    <w:rsid w:val="00B95187"/>
    <w:rsid w:val="00BA2D55"/>
    <w:rsid w:val="00BA71B1"/>
    <w:rsid w:val="00BA7C33"/>
    <w:rsid w:val="00BB0637"/>
    <w:rsid w:val="00BB07A3"/>
    <w:rsid w:val="00BB345F"/>
    <w:rsid w:val="00BB568A"/>
    <w:rsid w:val="00BB5883"/>
    <w:rsid w:val="00BB68EA"/>
    <w:rsid w:val="00BC1C27"/>
    <w:rsid w:val="00BC6BBF"/>
    <w:rsid w:val="00BD013F"/>
    <w:rsid w:val="00BD1572"/>
    <w:rsid w:val="00BE14E3"/>
    <w:rsid w:val="00BE3774"/>
    <w:rsid w:val="00BE41E5"/>
    <w:rsid w:val="00BF0BBB"/>
    <w:rsid w:val="00BF4109"/>
    <w:rsid w:val="00BF4CC3"/>
    <w:rsid w:val="00C0070E"/>
    <w:rsid w:val="00C054C7"/>
    <w:rsid w:val="00C057B5"/>
    <w:rsid w:val="00C06AF7"/>
    <w:rsid w:val="00C22687"/>
    <w:rsid w:val="00C2787B"/>
    <w:rsid w:val="00C32E4D"/>
    <w:rsid w:val="00C333A0"/>
    <w:rsid w:val="00C36A81"/>
    <w:rsid w:val="00C41974"/>
    <w:rsid w:val="00C447AD"/>
    <w:rsid w:val="00C53F4A"/>
    <w:rsid w:val="00C54125"/>
    <w:rsid w:val="00C55B54"/>
    <w:rsid w:val="00C6098E"/>
    <w:rsid w:val="00C6152C"/>
    <w:rsid w:val="00C621C2"/>
    <w:rsid w:val="00C65E91"/>
    <w:rsid w:val="00C7097F"/>
    <w:rsid w:val="00C74810"/>
    <w:rsid w:val="00C90D68"/>
    <w:rsid w:val="00C939FE"/>
    <w:rsid w:val="00CA480E"/>
    <w:rsid w:val="00CA4BDA"/>
    <w:rsid w:val="00CA7949"/>
    <w:rsid w:val="00CB154A"/>
    <w:rsid w:val="00CB1F66"/>
    <w:rsid w:val="00CB2165"/>
    <w:rsid w:val="00CB2951"/>
    <w:rsid w:val="00CB76EA"/>
    <w:rsid w:val="00CD282B"/>
    <w:rsid w:val="00CD4C35"/>
    <w:rsid w:val="00CD7369"/>
    <w:rsid w:val="00CE0B0E"/>
    <w:rsid w:val="00CE2487"/>
    <w:rsid w:val="00CE3831"/>
    <w:rsid w:val="00D00ABB"/>
    <w:rsid w:val="00D02EEC"/>
    <w:rsid w:val="00D03551"/>
    <w:rsid w:val="00D06A63"/>
    <w:rsid w:val="00D07E0E"/>
    <w:rsid w:val="00D11478"/>
    <w:rsid w:val="00D1403E"/>
    <w:rsid w:val="00D15ED0"/>
    <w:rsid w:val="00D21B3E"/>
    <w:rsid w:val="00D21FED"/>
    <w:rsid w:val="00D24251"/>
    <w:rsid w:val="00D27592"/>
    <w:rsid w:val="00D343E2"/>
    <w:rsid w:val="00D361A2"/>
    <w:rsid w:val="00D44C2E"/>
    <w:rsid w:val="00D45414"/>
    <w:rsid w:val="00D52F08"/>
    <w:rsid w:val="00D53C0F"/>
    <w:rsid w:val="00D54B5A"/>
    <w:rsid w:val="00D566BD"/>
    <w:rsid w:val="00D57A4D"/>
    <w:rsid w:val="00D60AA7"/>
    <w:rsid w:val="00D60D87"/>
    <w:rsid w:val="00D61642"/>
    <w:rsid w:val="00D6435F"/>
    <w:rsid w:val="00D75E28"/>
    <w:rsid w:val="00D772C2"/>
    <w:rsid w:val="00D8008E"/>
    <w:rsid w:val="00D82C45"/>
    <w:rsid w:val="00D82F22"/>
    <w:rsid w:val="00D908A8"/>
    <w:rsid w:val="00D977B6"/>
    <w:rsid w:val="00DA3EFA"/>
    <w:rsid w:val="00DA4A31"/>
    <w:rsid w:val="00DA7B04"/>
    <w:rsid w:val="00DB36C2"/>
    <w:rsid w:val="00DB6235"/>
    <w:rsid w:val="00DB7196"/>
    <w:rsid w:val="00DC169B"/>
    <w:rsid w:val="00DC2AB9"/>
    <w:rsid w:val="00DC63F0"/>
    <w:rsid w:val="00DC65D1"/>
    <w:rsid w:val="00DC7F2A"/>
    <w:rsid w:val="00DD6AA7"/>
    <w:rsid w:val="00DD6EE5"/>
    <w:rsid w:val="00DE19C9"/>
    <w:rsid w:val="00DE1C93"/>
    <w:rsid w:val="00DE3762"/>
    <w:rsid w:val="00DE386C"/>
    <w:rsid w:val="00DE4D35"/>
    <w:rsid w:val="00DF0549"/>
    <w:rsid w:val="00DF098B"/>
    <w:rsid w:val="00DF11C4"/>
    <w:rsid w:val="00DF210C"/>
    <w:rsid w:val="00DF4B6A"/>
    <w:rsid w:val="00DF4FC1"/>
    <w:rsid w:val="00E012F5"/>
    <w:rsid w:val="00E02C09"/>
    <w:rsid w:val="00E04D59"/>
    <w:rsid w:val="00E07DA1"/>
    <w:rsid w:val="00E123CB"/>
    <w:rsid w:val="00E1557C"/>
    <w:rsid w:val="00E17531"/>
    <w:rsid w:val="00E20E13"/>
    <w:rsid w:val="00E21DBC"/>
    <w:rsid w:val="00E24954"/>
    <w:rsid w:val="00E26624"/>
    <w:rsid w:val="00E275D7"/>
    <w:rsid w:val="00E27620"/>
    <w:rsid w:val="00E27DBE"/>
    <w:rsid w:val="00E32AB1"/>
    <w:rsid w:val="00E36C71"/>
    <w:rsid w:val="00E40404"/>
    <w:rsid w:val="00E459C6"/>
    <w:rsid w:val="00E47589"/>
    <w:rsid w:val="00E55B2A"/>
    <w:rsid w:val="00E63D82"/>
    <w:rsid w:val="00E64915"/>
    <w:rsid w:val="00E661D4"/>
    <w:rsid w:val="00E70091"/>
    <w:rsid w:val="00E71475"/>
    <w:rsid w:val="00E720F5"/>
    <w:rsid w:val="00E74EBF"/>
    <w:rsid w:val="00E76D47"/>
    <w:rsid w:val="00E849F7"/>
    <w:rsid w:val="00E90302"/>
    <w:rsid w:val="00E91BDD"/>
    <w:rsid w:val="00E9597F"/>
    <w:rsid w:val="00E97396"/>
    <w:rsid w:val="00EA185E"/>
    <w:rsid w:val="00EA4638"/>
    <w:rsid w:val="00EA592A"/>
    <w:rsid w:val="00EA6784"/>
    <w:rsid w:val="00EB14E4"/>
    <w:rsid w:val="00EB32A5"/>
    <w:rsid w:val="00EB34ED"/>
    <w:rsid w:val="00EB4898"/>
    <w:rsid w:val="00EB7958"/>
    <w:rsid w:val="00EB7BE0"/>
    <w:rsid w:val="00EC315E"/>
    <w:rsid w:val="00EC6237"/>
    <w:rsid w:val="00ED077C"/>
    <w:rsid w:val="00ED1190"/>
    <w:rsid w:val="00ED6544"/>
    <w:rsid w:val="00ED7ED8"/>
    <w:rsid w:val="00EE0277"/>
    <w:rsid w:val="00EE1DA9"/>
    <w:rsid w:val="00EE3E00"/>
    <w:rsid w:val="00EE5DD2"/>
    <w:rsid w:val="00EF41F1"/>
    <w:rsid w:val="00EF4F08"/>
    <w:rsid w:val="00F00A79"/>
    <w:rsid w:val="00F00E86"/>
    <w:rsid w:val="00F07C1E"/>
    <w:rsid w:val="00F105DB"/>
    <w:rsid w:val="00F132BC"/>
    <w:rsid w:val="00F13D80"/>
    <w:rsid w:val="00F159A7"/>
    <w:rsid w:val="00F16AAA"/>
    <w:rsid w:val="00F16CD8"/>
    <w:rsid w:val="00F21161"/>
    <w:rsid w:val="00F218EF"/>
    <w:rsid w:val="00F21BC7"/>
    <w:rsid w:val="00F239BC"/>
    <w:rsid w:val="00F266A2"/>
    <w:rsid w:val="00F32269"/>
    <w:rsid w:val="00F51BC3"/>
    <w:rsid w:val="00F54D4A"/>
    <w:rsid w:val="00F56A6F"/>
    <w:rsid w:val="00F5709C"/>
    <w:rsid w:val="00F57571"/>
    <w:rsid w:val="00F64EF1"/>
    <w:rsid w:val="00F77EAF"/>
    <w:rsid w:val="00F8765F"/>
    <w:rsid w:val="00F90767"/>
    <w:rsid w:val="00F91425"/>
    <w:rsid w:val="00FA685B"/>
    <w:rsid w:val="00FB0C01"/>
    <w:rsid w:val="00FB4018"/>
    <w:rsid w:val="00FB6FEA"/>
    <w:rsid w:val="00FC163C"/>
    <w:rsid w:val="00FC18F2"/>
    <w:rsid w:val="00FC1C9E"/>
    <w:rsid w:val="00FC39E5"/>
    <w:rsid w:val="00FC3A78"/>
    <w:rsid w:val="00FC5FFE"/>
    <w:rsid w:val="00FD1005"/>
    <w:rsid w:val="00FD3180"/>
    <w:rsid w:val="00FD6C75"/>
    <w:rsid w:val="00FD7609"/>
    <w:rsid w:val="00FE55E9"/>
    <w:rsid w:val="00FE71B3"/>
    <w:rsid w:val="00FF42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docDefaults>
  <w:latentStyles w:defLockedState="0" w:defUIPriority="99" w:defSemiHidden="0" w:defUnhideWhenUsed="0" w:defQFormat="0" w:count="371">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0" w:unhideWhenUsed="1"/>
    <w:lsdException w:name="header" w:semiHidden="1" w:uiPriority="57" w:unhideWhenUsed="1"/>
    <w:lsdException w:name="footer" w:semiHidden="1" w:uiPriority="57"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A96ED6"/>
    <w:pPr>
      <w:jc w:val="both"/>
    </w:pPr>
    <w:rPr>
      <w:rFonts w:eastAsiaTheme="minorEastAsia"/>
      <w:sz w:val="24"/>
    </w:rPr>
  </w:style>
  <w:style w:type="paragraph" w:styleId="Heading1">
    <w:name w:val="heading 1"/>
    <w:basedOn w:val="Normal"/>
    <w:next w:val="Normal"/>
    <w:link w:val="Heading1Char"/>
    <w:uiPriority w:val="99"/>
    <w:semiHidden/>
    <w:rsid w:val="00A96ED6"/>
    <w:pPr>
      <w:spacing w:before="480"/>
      <w:contextualSpacing/>
      <w:outlineLvl w:val="0"/>
    </w:pPr>
    <w:rPr>
      <w:rFonts w:asciiTheme="majorHAnsi" w:eastAsiaTheme="majorEastAsia" w:hAnsiTheme="majorHAnsi" w:cstheme="majorBidi"/>
      <w:b/>
      <w:bCs/>
      <w:color w:val="333333"/>
      <w:sz w:val="28"/>
      <w:szCs w:val="28"/>
    </w:rPr>
  </w:style>
  <w:style w:type="paragraph" w:styleId="Heading2">
    <w:name w:val="heading 2"/>
    <w:basedOn w:val="Normal"/>
    <w:next w:val="Normal"/>
    <w:link w:val="Heading2Char"/>
    <w:uiPriority w:val="99"/>
    <w:semiHidden/>
    <w:rsid w:val="00A96ED6"/>
    <w:pPr>
      <w:spacing w:before="200"/>
      <w:outlineLvl w:val="1"/>
    </w:pPr>
    <w:rPr>
      <w:rFonts w:asciiTheme="majorHAnsi" w:eastAsiaTheme="majorEastAsia" w:hAnsiTheme="majorHAnsi" w:cstheme="majorBidi"/>
      <w:b/>
      <w:bCs/>
      <w:color w:val="4D4D4D"/>
      <w:sz w:val="26"/>
      <w:szCs w:val="26"/>
    </w:rPr>
  </w:style>
  <w:style w:type="paragraph" w:styleId="Heading3">
    <w:name w:val="heading 3"/>
    <w:basedOn w:val="Normal"/>
    <w:next w:val="Normal"/>
    <w:link w:val="Heading3Char"/>
    <w:uiPriority w:val="99"/>
    <w:semiHidden/>
    <w:rsid w:val="00A96ED6"/>
    <w:pPr>
      <w:spacing w:before="200" w:line="271" w:lineRule="auto"/>
      <w:outlineLvl w:val="2"/>
    </w:pPr>
    <w:rPr>
      <w:rFonts w:asciiTheme="majorHAnsi" w:eastAsiaTheme="majorEastAsia" w:hAnsiTheme="majorHAnsi" w:cstheme="majorBidi"/>
      <w:b/>
      <w:bCs/>
      <w:color w:val="5F5F5F"/>
    </w:rPr>
  </w:style>
  <w:style w:type="paragraph" w:styleId="Heading4">
    <w:name w:val="heading 4"/>
    <w:basedOn w:val="Normal"/>
    <w:next w:val="Normal"/>
    <w:link w:val="Heading4Char"/>
    <w:uiPriority w:val="99"/>
    <w:semiHidden/>
    <w:rsid w:val="00A96ED6"/>
    <w:pPr>
      <w:spacing w:before="200"/>
      <w:outlineLvl w:val="3"/>
    </w:pPr>
    <w:rPr>
      <w:rFonts w:asciiTheme="majorHAnsi" w:eastAsiaTheme="majorEastAsia" w:hAnsiTheme="majorHAnsi" w:cstheme="majorBidi"/>
      <w:b/>
      <w:bCs/>
      <w:i/>
      <w:iCs/>
      <w:color w:val="777777"/>
    </w:rPr>
  </w:style>
  <w:style w:type="paragraph" w:styleId="Heading5">
    <w:name w:val="heading 5"/>
    <w:basedOn w:val="Normal"/>
    <w:next w:val="Normal"/>
    <w:link w:val="Heading5Char"/>
    <w:uiPriority w:val="99"/>
    <w:semiHidden/>
    <w:qFormat/>
    <w:rsid w:val="00A96ED6"/>
    <w:pPr>
      <w:spacing w:before="200"/>
      <w:outlineLvl w:val="4"/>
    </w:pPr>
    <w:rPr>
      <w:rFonts w:asciiTheme="majorHAnsi" w:eastAsiaTheme="majorEastAsia" w:hAnsiTheme="majorHAnsi" w:cstheme="majorBidi"/>
      <w:b/>
      <w:bCs/>
      <w:color w:val="808080"/>
      <w:sz w:val="22"/>
    </w:rPr>
  </w:style>
  <w:style w:type="paragraph" w:styleId="Heading6">
    <w:name w:val="heading 6"/>
    <w:basedOn w:val="Normal"/>
    <w:next w:val="Normal"/>
    <w:link w:val="Heading6Char"/>
    <w:uiPriority w:val="99"/>
    <w:semiHidden/>
    <w:rsid w:val="00A96ED6"/>
    <w:pPr>
      <w:spacing w:line="271" w:lineRule="auto"/>
      <w:outlineLvl w:val="5"/>
    </w:pPr>
    <w:rPr>
      <w:rFonts w:asciiTheme="majorHAnsi" w:eastAsiaTheme="majorEastAsia" w:hAnsiTheme="majorHAnsi" w:cstheme="majorBidi"/>
      <w:b/>
      <w:bCs/>
      <w:i/>
      <w:iCs/>
      <w:color w:val="7F7F7F" w:themeColor="text1" w:themeTint="80"/>
      <w:lang w:bidi="en-US"/>
    </w:rPr>
  </w:style>
  <w:style w:type="paragraph" w:styleId="Heading7">
    <w:name w:val="heading 7"/>
    <w:basedOn w:val="Normal"/>
    <w:next w:val="Normal"/>
    <w:link w:val="Heading7Char"/>
    <w:uiPriority w:val="99"/>
    <w:semiHidden/>
    <w:qFormat/>
    <w:rsid w:val="00A96ED6"/>
    <w:pPr>
      <w:outlineLvl w:val="6"/>
    </w:pPr>
    <w:rPr>
      <w:rFonts w:asciiTheme="majorHAnsi" w:eastAsiaTheme="majorEastAsia" w:hAnsiTheme="majorHAnsi" w:cstheme="majorBidi"/>
      <w:i/>
      <w:iCs/>
      <w:sz w:val="22"/>
      <w:lang w:bidi="en-US"/>
    </w:rPr>
  </w:style>
  <w:style w:type="paragraph" w:styleId="Heading8">
    <w:name w:val="heading 8"/>
    <w:basedOn w:val="Normal"/>
    <w:next w:val="Normal"/>
    <w:link w:val="Heading8Char"/>
    <w:uiPriority w:val="99"/>
    <w:semiHidden/>
    <w:qFormat/>
    <w:rsid w:val="00A96ED6"/>
    <w:pPr>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9"/>
    <w:semiHidden/>
    <w:qFormat/>
    <w:rsid w:val="00A96ED6"/>
    <w:pPr>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96ED6"/>
    <w:rPr>
      <w:rFonts w:ascii="Tahoma" w:hAnsi="Tahoma" w:cs="Tahoma"/>
      <w:sz w:val="16"/>
      <w:szCs w:val="16"/>
    </w:rPr>
  </w:style>
  <w:style w:type="character" w:customStyle="1" w:styleId="BalloonTextChar">
    <w:name w:val="Balloon Text Char"/>
    <w:basedOn w:val="DefaultParagraphFont"/>
    <w:link w:val="BalloonText"/>
    <w:uiPriority w:val="99"/>
    <w:semiHidden/>
    <w:rsid w:val="00A96ED6"/>
    <w:rPr>
      <w:rFonts w:ascii="Tahoma" w:eastAsiaTheme="minorEastAsia" w:hAnsi="Tahoma" w:cs="Tahoma"/>
      <w:sz w:val="16"/>
      <w:szCs w:val="16"/>
    </w:rPr>
  </w:style>
  <w:style w:type="character" w:styleId="BookTitle">
    <w:name w:val="Book Title"/>
    <w:uiPriority w:val="99"/>
    <w:semiHidden/>
    <w:qFormat/>
    <w:rsid w:val="00A96ED6"/>
    <w:rPr>
      <w:i/>
      <w:iCs/>
      <w:smallCaps/>
      <w:spacing w:val="5"/>
    </w:rPr>
  </w:style>
  <w:style w:type="paragraph" w:customStyle="1" w:styleId="ECHRHeader">
    <w:name w:val="ECHR_Header"/>
    <w:aliases w:val="Ju_Header"/>
    <w:basedOn w:val="Header"/>
    <w:uiPriority w:val="4"/>
    <w:qFormat/>
    <w:rsid w:val="00A96ED6"/>
    <w:pPr>
      <w:tabs>
        <w:tab w:val="clear" w:pos="4536"/>
        <w:tab w:val="clear" w:pos="9072"/>
        <w:tab w:val="center" w:pos="3686"/>
        <w:tab w:val="right" w:pos="7371"/>
      </w:tabs>
      <w:jc w:val="left"/>
    </w:pPr>
    <w:rPr>
      <w:sz w:val="18"/>
    </w:rPr>
  </w:style>
  <w:style w:type="paragraph" w:customStyle="1" w:styleId="ECHRFooter">
    <w:name w:val="ECHR_Footer"/>
    <w:aliases w:val="Footer_ECHR"/>
    <w:basedOn w:val="Footer"/>
    <w:uiPriority w:val="57"/>
    <w:semiHidden/>
    <w:rsid w:val="00A96ED6"/>
    <w:pPr>
      <w:jc w:val="left"/>
    </w:pPr>
    <w:rPr>
      <w:sz w:val="8"/>
    </w:rPr>
  </w:style>
  <w:style w:type="character" w:styleId="Strong">
    <w:name w:val="Strong"/>
    <w:uiPriority w:val="99"/>
    <w:semiHidden/>
    <w:qFormat/>
    <w:rsid w:val="00A96ED6"/>
    <w:rPr>
      <w:b/>
      <w:bCs/>
    </w:rPr>
  </w:style>
  <w:style w:type="paragraph" w:styleId="NoSpacing">
    <w:name w:val="No Spacing"/>
    <w:basedOn w:val="Normal"/>
    <w:link w:val="NoSpacingChar"/>
    <w:semiHidden/>
    <w:qFormat/>
    <w:rsid w:val="00A96ED6"/>
    <w:rPr>
      <w:sz w:val="22"/>
    </w:rPr>
  </w:style>
  <w:style w:type="character" w:customStyle="1" w:styleId="NoSpacingChar">
    <w:name w:val="No Spacing Char"/>
    <w:basedOn w:val="DefaultParagraphFont"/>
    <w:link w:val="NoSpacing"/>
    <w:semiHidden/>
    <w:rsid w:val="00A96ED6"/>
    <w:rPr>
      <w:rFonts w:eastAsiaTheme="minorEastAsia"/>
    </w:rPr>
  </w:style>
  <w:style w:type="paragraph" w:customStyle="1" w:styleId="ECHRFooterLine">
    <w:name w:val="ECHR_Footer_Line"/>
    <w:aliases w:val="Footer_Line"/>
    <w:basedOn w:val="Normal"/>
    <w:next w:val="ECHRFooter"/>
    <w:uiPriority w:val="57"/>
    <w:semiHidden/>
    <w:rsid w:val="00A96ED6"/>
    <w:pPr>
      <w:pBdr>
        <w:top w:val="single" w:sz="6" w:space="1" w:color="5F5F5F"/>
      </w:pBdr>
      <w:tabs>
        <w:tab w:val="center" w:pos="4536"/>
        <w:tab w:val="right" w:pos="9696"/>
      </w:tabs>
      <w:ind w:left="-680" w:right="-680"/>
      <w:jc w:val="left"/>
    </w:pPr>
    <w:rPr>
      <w:color w:val="5F5F5F"/>
    </w:rPr>
  </w:style>
  <w:style w:type="paragraph" w:customStyle="1" w:styleId="JuAppQuestion">
    <w:name w:val="Ju_App_Question"/>
    <w:basedOn w:val="Normal"/>
    <w:uiPriority w:val="5"/>
    <w:rsid w:val="00A96ED6"/>
    <w:pPr>
      <w:numPr>
        <w:numId w:val="14"/>
      </w:numPr>
      <w:jc w:val="left"/>
    </w:pPr>
    <w:rPr>
      <w:b/>
    </w:rPr>
  </w:style>
  <w:style w:type="paragraph" w:customStyle="1" w:styleId="OpiPara">
    <w:name w:val="Opi_Para"/>
    <w:basedOn w:val="ECHRPara"/>
    <w:uiPriority w:val="46"/>
    <w:qFormat/>
    <w:rsid w:val="00A96ED6"/>
  </w:style>
  <w:style w:type="paragraph" w:customStyle="1" w:styleId="JuParaSub">
    <w:name w:val="Ju_Para_Sub"/>
    <w:basedOn w:val="ECHRPara"/>
    <w:uiPriority w:val="13"/>
    <w:qFormat/>
    <w:rsid w:val="00A96ED6"/>
    <w:pPr>
      <w:ind w:left="284"/>
    </w:pPr>
  </w:style>
  <w:style w:type="paragraph" w:customStyle="1" w:styleId="ECHRTitleCentre3">
    <w:name w:val="ECHR_Title_Centre_3"/>
    <w:aliases w:val="Ju_H_Article"/>
    <w:basedOn w:val="Normal"/>
    <w:next w:val="ECHRParaQuote"/>
    <w:uiPriority w:val="27"/>
    <w:qFormat/>
    <w:rsid w:val="00A96ED6"/>
    <w:pPr>
      <w:keepNext/>
      <w:keepLines/>
      <w:spacing w:before="240" w:after="120"/>
      <w:jc w:val="center"/>
      <w:outlineLvl w:val="3"/>
    </w:pPr>
    <w:rPr>
      <w:rFonts w:asciiTheme="majorHAnsi" w:hAnsiTheme="majorHAnsi"/>
      <w:b/>
      <w:sz w:val="20"/>
      <w:lang w:bidi="en-US"/>
    </w:rPr>
  </w:style>
  <w:style w:type="paragraph" w:customStyle="1" w:styleId="ECHRTitleCentre1">
    <w:name w:val="ECHR_Title_Centre_1"/>
    <w:aliases w:val="Opi_H_Head"/>
    <w:basedOn w:val="Normal"/>
    <w:next w:val="OpiPara"/>
    <w:uiPriority w:val="39"/>
    <w:qFormat/>
    <w:rsid w:val="00A96ED6"/>
    <w:pPr>
      <w:keepNext/>
      <w:keepLines/>
      <w:spacing w:after="240"/>
      <w:jc w:val="center"/>
      <w:outlineLvl w:val="0"/>
    </w:pPr>
    <w:rPr>
      <w:rFonts w:asciiTheme="majorHAnsi" w:hAnsiTheme="majorHAnsi"/>
      <w:sz w:val="28"/>
    </w:rPr>
  </w:style>
  <w:style w:type="paragraph" w:customStyle="1" w:styleId="OpiParaSub">
    <w:name w:val="Opi_Para_Sub"/>
    <w:basedOn w:val="JuParaSub"/>
    <w:uiPriority w:val="47"/>
    <w:qFormat/>
    <w:rsid w:val="00A96ED6"/>
  </w:style>
  <w:style w:type="paragraph" w:customStyle="1" w:styleId="OpiQuot">
    <w:name w:val="Opi_Quot"/>
    <w:basedOn w:val="ECHRParaQuote"/>
    <w:uiPriority w:val="48"/>
    <w:qFormat/>
    <w:rsid w:val="00A96ED6"/>
  </w:style>
  <w:style w:type="paragraph" w:customStyle="1" w:styleId="OpiQuotSub">
    <w:name w:val="Opi_Quot_Sub"/>
    <w:basedOn w:val="JuQuotSub"/>
    <w:uiPriority w:val="49"/>
    <w:qFormat/>
    <w:rsid w:val="00A96ED6"/>
  </w:style>
  <w:style w:type="paragraph" w:customStyle="1" w:styleId="ECHRTitleCentre2">
    <w:name w:val="ECHR_Title_Centre_2"/>
    <w:aliases w:val="Dec_H_Case"/>
    <w:basedOn w:val="Normal"/>
    <w:next w:val="ECHRPara"/>
    <w:uiPriority w:val="8"/>
    <w:rsid w:val="00A96ED6"/>
    <w:pPr>
      <w:spacing w:after="240"/>
      <w:jc w:val="center"/>
      <w:outlineLvl w:val="0"/>
    </w:pPr>
    <w:rPr>
      <w:rFonts w:asciiTheme="majorHAnsi" w:hAnsiTheme="majorHAnsi"/>
    </w:rPr>
  </w:style>
  <w:style w:type="paragraph" w:customStyle="1" w:styleId="JuTitle">
    <w:name w:val="Ju_Title"/>
    <w:basedOn w:val="Normal"/>
    <w:next w:val="ECHRPara"/>
    <w:uiPriority w:val="3"/>
    <w:rsid w:val="00A96ED6"/>
    <w:pPr>
      <w:spacing w:before="720" w:after="240"/>
      <w:jc w:val="center"/>
      <w:outlineLvl w:val="0"/>
    </w:pPr>
    <w:rPr>
      <w:rFonts w:asciiTheme="majorHAnsi" w:hAnsiTheme="majorHAnsi"/>
      <w:b/>
      <w:caps/>
    </w:rPr>
  </w:style>
  <w:style w:type="paragraph" w:styleId="Title">
    <w:name w:val="Title"/>
    <w:basedOn w:val="Normal"/>
    <w:next w:val="Normal"/>
    <w:link w:val="TitleChar"/>
    <w:uiPriority w:val="99"/>
    <w:semiHidden/>
    <w:qFormat/>
    <w:rsid w:val="00A96ED6"/>
    <w:pPr>
      <w:pBdr>
        <w:bottom w:val="single" w:sz="4" w:space="1" w:color="auto"/>
      </w:pBdr>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99"/>
    <w:semiHidden/>
    <w:rsid w:val="00A96ED6"/>
    <w:rPr>
      <w:rFonts w:asciiTheme="majorHAnsi" w:eastAsiaTheme="majorEastAsia" w:hAnsiTheme="majorHAnsi" w:cstheme="majorBidi"/>
      <w:spacing w:val="5"/>
      <w:sz w:val="52"/>
      <w:szCs w:val="52"/>
      <w:lang w:bidi="en-US"/>
    </w:rPr>
  </w:style>
  <w:style w:type="paragraph" w:customStyle="1" w:styleId="ECHRHeading3">
    <w:name w:val="ECHR_Heading_3"/>
    <w:aliases w:val="Ju_H_1."/>
    <w:basedOn w:val="Heading3"/>
    <w:next w:val="ECHRPara"/>
    <w:uiPriority w:val="21"/>
    <w:qFormat/>
    <w:rsid w:val="00A96ED6"/>
    <w:pPr>
      <w:keepNext/>
      <w:keepLines/>
      <w:tabs>
        <w:tab w:val="left" w:pos="731"/>
      </w:tabs>
      <w:spacing w:before="240" w:after="120" w:line="240" w:lineRule="auto"/>
      <w:ind w:left="732" w:hanging="301"/>
    </w:pPr>
    <w:rPr>
      <w:b w:val="0"/>
      <w:i/>
      <w:color w:val="auto"/>
    </w:rPr>
  </w:style>
  <w:style w:type="paragraph" w:customStyle="1" w:styleId="ECHRHeading4">
    <w:name w:val="ECHR_Heading_4"/>
    <w:aliases w:val="Ju_H_a"/>
    <w:basedOn w:val="Heading4"/>
    <w:next w:val="ECHRPara"/>
    <w:uiPriority w:val="22"/>
    <w:qFormat/>
    <w:rsid w:val="00A96ED6"/>
    <w:pPr>
      <w:keepNext/>
      <w:keepLines/>
      <w:tabs>
        <w:tab w:val="left" w:pos="975"/>
      </w:tabs>
      <w:spacing w:before="240" w:after="120"/>
      <w:ind w:left="975" w:hanging="340"/>
    </w:pPr>
    <w:rPr>
      <w:i w:val="0"/>
      <w:color w:val="auto"/>
      <w:sz w:val="20"/>
    </w:rPr>
  </w:style>
  <w:style w:type="paragraph" w:customStyle="1" w:styleId="ECHRHeading5">
    <w:name w:val="ECHR_Heading_5"/>
    <w:aliases w:val="Ju_H_i"/>
    <w:basedOn w:val="Heading5"/>
    <w:next w:val="ECHRPara"/>
    <w:uiPriority w:val="23"/>
    <w:qFormat/>
    <w:rsid w:val="00A96ED6"/>
    <w:pPr>
      <w:keepNext/>
      <w:keepLines/>
      <w:tabs>
        <w:tab w:val="left" w:pos="1191"/>
      </w:tabs>
      <w:spacing w:before="240" w:after="120"/>
      <w:ind w:left="1190" w:hanging="357"/>
    </w:pPr>
    <w:rPr>
      <w:b w:val="0"/>
      <w:i/>
      <w:color w:val="auto"/>
      <w:sz w:val="20"/>
    </w:rPr>
  </w:style>
  <w:style w:type="paragraph" w:customStyle="1" w:styleId="ECHRHeading6">
    <w:name w:val="ECHR_Heading_6"/>
    <w:aliases w:val="Ju_H_alpha"/>
    <w:basedOn w:val="Heading6"/>
    <w:next w:val="ECHRPara"/>
    <w:uiPriority w:val="24"/>
    <w:qFormat/>
    <w:rsid w:val="00A96ED6"/>
    <w:pPr>
      <w:keepNext/>
      <w:keepLines/>
      <w:tabs>
        <w:tab w:val="left" w:pos="1372"/>
      </w:tabs>
      <w:spacing w:before="240" w:after="120" w:line="240" w:lineRule="auto"/>
      <w:ind w:left="1373" w:hanging="335"/>
    </w:pPr>
    <w:rPr>
      <w:b w:val="0"/>
      <w:color w:val="auto"/>
      <w:sz w:val="20"/>
    </w:rPr>
  </w:style>
  <w:style w:type="paragraph" w:customStyle="1" w:styleId="ECHRHeading7">
    <w:name w:val="ECHR_Heading_7"/>
    <w:aliases w:val="Ju_H_–"/>
    <w:basedOn w:val="Heading7"/>
    <w:next w:val="ECHRPara"/>
    <w:uiPriority w:val="25"/>
    <w:qFormat/>
    <w:rsid w:val="00A96ED6"/>
    <w:pPr>
      <w:keepNext/>
      <w:keepLines/>
      <w:spacing w:before="240" w:after="120"/>
      <w:ind w:left="1236"/>
    </w:pPr>
    <w:rPr>
      <w:sz w:val="20"/>
    </w:rPr>
  </w:style>
  <w:style w:type="paragraph" w:customStyle="1" w:styleId="JuQuotSub">
    <w:name w:val="Ju_Quot_Sub"/>
    <w:basedOn w:val="ECHRParaQuote"/>
    <w:uiPriority w:val="15"/>
    <w:qFormat/>
    <w:rsid w:val="00A96ED6"/>
    <w:pPr>
      <w:ind w:left="567"/>
    </w:pPr>
  </w:style>
  <w:style w:type="paragraph" w:customStyle="1" w:styleId="JuInitialled">
    <w:name w:val="Ju_Initialled"/>
    <w:basedOn w:val="Normal"/>
    <w:uiPriority w:val="31"/>
    <w:qFormat/>
    <w:rsid w:val="00A96ED6"/>
    <w:pPr>
      <w:tabs>
        <w:tab w:val="center" w:pos="6407"/>
      </w:tabs>
      <w:spacing w:before="720"/>
      <w:jc w:val="right"/>
    </w:pPr>
  </w:style>
  <w:style w:type="paragraph" w:customStyle="1" w:styleId="OpiHA">
    <w:name w:val="Opi_H_A"/>
    <w:basedOn w:val="ECHRHeading1"/>
    <w:next w:val="OpiPara"/>
    <w:uiPriority w:val="41"/>
    <w:qFormat/>
    <w:rsid w:val="00A96ED6"/>
    <w:pPr>
      <w:tabs>
        <w:tab w:val="clear" w:pos="357"/>
      </w:tabs>
      <w:outlineLvl w:val="1"/>
    </w:pPr>
    <w:rPr>
      <w:b/>
    </w:rPr>
  </w:style>
  <w:style w:type="paragraph" w:styleId="Header">
    <w:name w:val="header"/>
    <w:basedOn w:val="Normal"/>
    <w:link w:val="HeaderChar"/>
    <w:uiPriority w:val="57"/>
    <w:semiHidden/>
    <w:rsid w:val="00A96ED6"/>
    <w:pPr>
      <w:tabs>
        <w:tab w:val="center" w:pos="4536"/>
        <w:tab w:val="right" w:pos="9072"/>
      </w:tabs>
    </w:pPr>
    <w:rPr>
      <w:rFonts w:eastAsiaTheme="minorHAnsi"/>
    </w:rPr>
  </w:style>
  <w:style w:type="character" w:customStyle="1" w:styleId="HeaderChar">
    <w:name w:val="Header Char"/>
    <w:basedOn w:val="DefaultParagraphFont"/>
    <w:link w:val="Header"/>
    <w:uiPriority w:val="57"/>
    <w:semiHidden/>
    <w:rsid w:val="00A96ED6"/>
    <w:rPr>
      <w:sz w:val="24"/>
    </w:rPr>
  </w:style>
  <w:style w:type="character" w:customStyle="1" w:styleId="Heading1Char">
    <w:name w:val="Heading 1 Char"/>
    <w:basedOn w:val="DefaultParagraphFont"/>
    <w:link w:val="Heading1"/>
    <w:uiPriority w:val="99"/>
    <w:semiHidden/>
    <w:rsid w:val="00A96ED6"/>
    <w:rPr>
      <w:rFonts w:asciiTheme="majorHAnsi" w:eastAsiaTheme="majorEastAsia" w:hAnsiTheme="majorHAnsi" w:cstheme="majorBidi"/>
      <w:b/>
      <w:bCs/>
      <w:color w:val="333333"/>
      <w:sz w:val="28"/>
      <w:szCs w:val="28"/>
    </w:rPr>
  </w:style>
  <w:style w:type="paragraph" w:customStyle="1" w:styleId="ECHRHeading1">
    <w:name w:val="ECHR_Heading_1"/>
    <w:aliases w:val="Ju_H_I_Roman"/>
    <w:basedOn w:val="Heading1"/>
    <w:next w:val="ECHRPara"/>
    <w:uiPriority w:val="19"/>
    <w:qFormat/>
    <w:rsid w:val="00A96ED6"/>
    <w:pPr>
      <w:keepNext/>
      <w:keepLines/>
      <w:tabs>
        <w:tab w:val="left" w:pos="357"/>
      </w:tabs>
      <w:spacing w:before="360" w:after="240"/>
      <w:ind w:left="357" w:hanging="357"/>
      <w:contextualSpacing w:val="0"/>
    </w:pPr>
    <w:rPr>
      <w:b w:val="0"/>
      <w:color w:val="auto"/>
      <w:sz w:val="24"/>
    </w:rPr>
  </w:style>
  <w:style w:type="paragraph" w:customStyle="1" w:styleId="ECHRHeading2">
    <w:name w:val="ECHR_Heading_2"/>
    <w:aliases w:val="Ju_H_A"/>
    <w:basedOn w:val="Heading2"/>
    <w:next w:val="ECHRPara"/>
    <w:uiPriority w:val="20"/>
    <w:qFormat/>
    <w:rsid w:val="00A96ED6"/>
    <w:pPr>
      <w:keepNext/>
      <w:keepLines/>
      <w:tabs>
        <w:tab w:val="left" w:pos="584"/>
      </w:tabs>
      <w:spacing w:before="360" w:after="240"/>
      <w:ind w:left="584" w:hanging="352"/>
    </w:pPr>
    <w:rPr>
      <w:color w:val="auto"/>
      <w:sz w:val="24"/>
    </w:rPr>
  </w:style>
  <w:style w:type="character" w:customStyle="1" w:styleId="Heading2Char">
    <w:name w:val="Heading 2 Char"/>
    <w:basedOn w:val="DefaultParagraphFont"/>
    <w:link w:val="Heading2"/>
    <w:uiPriority w:val="99"/>
    <w:semiHidden/>
    <w:rsid w:val="00A96ED6"/>
    <w:rPr>
      <w:rFonts w:asciiTheme="majorHAnsi" w:eastAsiaTheme="majorEastAsia" w:hAnsiTheme="majorHAnsi" w:cstheme="majorBidi"/>
      <w:b/>
      <w:bCs/>
      <w:color w:val="4D4D4D"/>
      <w:sz w:val="26"/>
      <w:szCs w:val="26"/>
    </w:rPr>
  </w:style>
  <w:style w:type="character" w:customStyle="1" w:styleId="JUNAMES">
    <w:name w:val="JU_NAMES"/>
    <w:uiPriority w:val="17"/>
    <w:qFormat/>
    <w:rsid w:val="00A96ED6"/>
    <w:rPr>
      <w:caps w:val="0"/>
      <w:smallCaps/>
    </w:rPr>
  </w:style>
  <w:style w:type="paragraph" w:customStyle="1" w:styleId="JuCase">
    <w:name w:val="Ju_Case"/>
    <w:basedOn w:val="Normal"/>
    <w:next w:val="ECHRPara"/>
    <w:uiPriority w:val="10"/>
    <w:rsid w:val="00A96ED6"/>
    <w:pPr>
      <w:ind w:firstLine="284"/>
    </w:pPr>
    <w:rPr>
      <w:b/>
    </w:rPr>
  </w:style>
  <w:style w:type="character" w:customStyle="1" w:styleId="Heading3Char">
    <w:name w:val="Heading 3 Char"/>
    <w:basedOn w:val="DefaultParagraphFont"/>
    <w:link w:val="Heading3"/>
    <w:uiPriority w:val="99"/>
    <w:semiHidden/>
    <w:rsid w:val="00A96ED6"/>
    <w:rPr>
      <w:rFonts w:asciiTheme="majorHAnsi" w:eastAsiaTheme="majorEastAsia" w:hAnsiTheme="majorHAnsi" w:cstheme="majorBidi"/>
      <w:b/>
      <w:bCs/>
      <w:color w:val="5F5F5F"/>
      <w:sz w:val="24"/>
    </w:rPr>
  </w:style>
  <w:style w:type="character" w:customStyle="1" w:styleId="Heading4Char">
    <w:name w:val="Heading 4 Char"/>
    <w:basedOn w:val="DefaultParagraphFont"/>
    <w:link w:val="Heading4"/>
    <w:uiPriority w:val="99"/>
    <w:semiHidden/>
    <w:rsid w:val="00A96ED6"/>
    <w:rPr>
      <w:rFonts w:asciiTheme="majorHAnsi" w:eastAsiaTheme="majorEastAsia" w:hAnsiTheme="majorHAnsi" w:cstheme="majorBidi"/>
      <w:b/>
      <w:bCs/>
      <w:i/>
      <w:iCs/>
      <w:color w:val="777777"/>
      <w:sz w:val="24"/>
    </w:rPr>
  </w:style>
  <w:style w:type="character" w:customStyle="1" w:styleId="Heading5Char">
    <w:name w:val="Heading 5 Char"/>
    <w:basedOn w:val="DefaultParagraphFont"/>
    <w:link w:val="Heading5"/>
    <w:uiPriority w:val="99"/>
    <w:semiHidden/>
    <w:rsid w:val="00A96ED6"/>
    <w:rPr>
      <w:rFonts w:asciiTheme="majorHAnsi" w:eastAsiaTheme="majorEastAsia" w:hAnsiTheme="majorHAnsi" w:cstheme="majorBidi"/>
      <w:b/>
      <w:bCs/>
      <w:color w:val="808080"/>
    </w:rPr>
  </w:style>
  <w:style w:type="character" w:styleId="SubtleEmphasis">
    <w:name w:val="Subtle Emphasis"/>
    <w:uiPriority w:val="99"/>
    <w:semiHidden/>
    <w:qFormat/>
    <w:rsid w:val="00A96ED6"/>
    <w:rPr>
      <w:i/>
      <w:iCs/>
    </w:rPr>
  </w:style>
  <w:style w:type="table" w:customStyle="1" w:styleId="ECHRTable">
    <w:name w:val="ECHR_Table"/>
    <w:basedOn w:val="TableNormal"/>
    <w:rsid w:val="00860B03"/>
    <w:rPr>
      <w:rFonts w:eastAsia="Times New Roman" w:cs="Times New Roman"/>
      <w:sz w:val="20"/>
      <w:szCs w:val="20"/>
    </w:rPr>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tblStylePr w:type="firstCol">
      <w:rPr>
        <w:b/>
      </w:rPr>
    </w:tblStylePr>
    <w:tblStylePr w:type="band2Vert">
      <w:tblPr/>
      <w:tcPr>
        <w:tcBorders>
          <w:top w:val="nil"/>
          <w:left w:val="nil"/>
          <w:bottom w:val="nil"/>
          <w:right w:val="nil"/>
          <w:insideH w:val="nil"/>
          <w:insideV w:val="nil"/>
          <w:tl2br w:val="nil"/>
          <w:tr2bl w:val="nil"/>
        </w:tcBorders>
        <w:shd w:val="clear" w:color="auto" w:fill="DFDFDF" w:themeFill="background2" w:themeFillShade="E6"/>
      </w:tcPr>
    </w:tblStylePr>
    <w:tblStylePr w:type="band2Horz">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shd w:val="clear" w:color="auto" w:fill="DFDFDF" w:themeFill="background2" w:themeFillShade="E6"/>
      </w:tcPr>
    </w:tblStylePr>
  </w:style>
  <w:style w:type="table" w:customStyle="1" w:styleId="ECHRTableBoxHeader">
    <w:name w:val="ECHR_Table_Box_Header"/>
    <w:basedOn w:val="TableNormal"/>
    <w:rsid w:val="004C086C"/>
    <w:rPr>
      <w:rFonts w:ascii="Verdana" w:eastAsia="Times New Roman" w:hAnsi="Verdana" w:cs="Times New Roman"/>
      <w:sz w:val="20"/>
      <w:szCs w:val="20"/>
    </w:rPr>
    <w:tblPr>
      <w:tblCellMar>
        <w:top w:w="57" w:type="dxa"/>
        <w:left w:w="57" w:type="dxa"/>
        <w:bottom w:w="57" w:type="dxa"/>
        <w:right w:w="57" w:type="dxa"/>
      </w:tblCellMar>
    </w:tblPr>
    <w:tcPr>
      <w:shd w:val="clear" w:color="auto" w:fill="F8F8F8" w:themeFill="background2"/>
    </w:tcPr>
    <w:tblStylePr w:type="firstCol">
      <w:rPr>
        <w:b/>
        <w:color w:val="5F5F5F" w:themeColor="accent3"/>
      </w:rPr>
    </w:tblStylePr>
  </w:style>
  <w:style w:type="paragraph" w:customStyle="1" w:styleId="ECHRTitle1">
    <w:name w:val="ECHR_Title_1"/>
    <w:aliases w:val="Ju_H_Head"/>
    <w:basedOn w:val="Normal"/>
    <w:next w:val="ECHRPara"/>
    <w:uiPriority w:val="18"/>
    <w:qFormat/>
    <w:rsid w:val="00A96ED6"/>
    <w:pPr>
      <w:keepNext/>
      <w:keepLines/>
      <w:spacing w:before="720" w:after="240"/>
      <w:outlineLvl w:val="0"/>
    </w:pPr>
    <w:rPr>
      <w:rFonts w:asciiTheme="majorHAnsi" w:hAnsiTheme="majorHAnsi"/>
      <w:sz w:val="28"/>
    </w:rPr>
  </w:style>
  <w:style w:type="character" w:styleId="Emphasis">
    <w:name w:val="Emphasis"/>
    <w:uiPriority w:val="99"/>
    <w:semiHidden/>
    <w:qFormat/>
    <w:rsid w:val="00A96ED6"/>
    <w:rPr>
      <w:b/>
      <w:bCs/>
      <w:i/>
      <w:iCs/>
      <w:spacing w:val="10"/>
      <w:bdr w:val="none" w:sz="0" w:space="0" w:color="auto"/>
      <w:shd w:val="clear" w:color="auto" w:fill="auto"/>
    </w:rPr>
  </w:style>
  <w:style w:type="paragraph" w:styleId="Footer">
    <w:name w:val="footer"/>
    <w:basedOn w:val="Normal"/>
    <w:link w:val="FooterChar"/>
    <w:uiPriority w:val="57"/>
    <w:semiHidden/>
    <w:rsid w:val="00A96ED6"/>
    <w:pPr>
      <w:tabs>
        <w:tab w:val="center" w:pos="4536"/>
        <w:tab w:val="right" w:pos="9696"/>
      </w:tabs>
      <w:ind w:left="-680" w:right="-680"/>
    </w:pPr>
    <w:rPr>
      <w:rFonts w:eastAsiaTheme="minorHAnsi"/>
    </w:rPr>
  </w:style>
  <w:style w:type="character" w:customStyle="1" w:styleId="FooterChar">
    <w:name w:val="Footer Char"/>
    <w:basedOn w:val="DefaultParagraphFont"/>
    <w:link w:val="Footer"/>
    <w:uiPriority w:val="57"/>
    <w:semiHidden/>
    <w:rsid w:val="00A96ED6"/>
    <w:rPr>
      <w:sz w:val="24"/>
    </w:rPr>
  </w:style>
  <w:style w:type="character" w:styleId="FootnoteReference">
    <w:name w:val="footnote reference"/>
    <w:basedOn w:val="DefaultParagraphFont"/>
    <w:uiPriority w:val="99"/>
    <w:semiHidden/>
    <w:rsid w:val="00A96ED6"/>
    <w:rPr>
      <w:vertAlign w:val="superscript"/>
    </w:rPr>
  </w:style>
  <w:style w:type="paragraph" w:styleId="FootnoteText">
    <w:name w:val="footnote text"/>
    <w:basedOn w:val="Normal"/>
    <w:link w:val="FootnoteTextChar"/>
    <w:uiPriority w:val="99"/>
    <w:semiHidden/>
    <w:rsid w:val="00A96ED6"/>
    <w:rPr>
      <w:sz w:val="20"/>
      <w:szCs w:val="20"/>
    </w:rPr>
  </w:style>
  <w:style w:type="character" w:customStyle="1" w:styleId="FootnoteTextChar">
    <w:name w:val="Footnote Text Char"/>
    <w:basedOn w:val="DefaultParagraphFont"/>
    <w:link w:val="FootnoteText"/>
    <w:uiPriority w:val="99"/>
    <w:semiHidden/>
    <w:rsid w:val="00A96ED6"/>
    <w:rPr>
      <w:rFonts w:eastAsiaTheme="minorEastAsia"/>
      <w:sz w:val="20"/>
      <w:szCs w:val="20"/>
    </w:rPr>
  </w:style>
  <w:style w:type="character" w:customStyle="1" w:styleId="Heading6Char">
    <w:name w:val="Heading 6 Char"/>
    <w:basedOn w:val="DefaultParagraphFont"/>
    <w:link w:val="Heading6"/>
    <w:uiPriority w:val="99"/>
    <w:semiHidden/>
    <w:rsid w:val="00A96ED6"/>
    <w:rPr>
      <w:rFonts w:asciiTheme="majorHAnsi" w:eastAsiaTheme="majorEastAsia" w:hAnsiTheme="majorHAnsi" w:cstheme="majorBidi"/>
      <w:b/>
      <w:bCs/>
      <w:i/>
      <w:iCs/>
      <w:color w:val="7F7F7F" w:themeColor="text1" w:themeTint="80"/>
      <w:sz w:val="24"/>
      <w:lang w:bidi="en-US"/>
    </w:rPr>
  </w:style>
  <w:style w:type="character" w:customStyle="1" w:styleId="Heading7Char">
    <w:name w:val="Heading 7 Char"/>
    <w:basedOn w:val="DefaultParagraphFont"/>
    <w:link w:val="Heading7"/>
    <w:uiPriority w:val="99"/>
    <w:semiHidden/>
    <w:rsid w:val="00A96ED6"/>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9"/>
    <w:semiHidden/>
    <w:rsid w:val="00A96ED6"/>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9"/>
    <w:semiHidden/>
    <w:rsid w:val="00A96ED6"/>
    <w:rPr>
      <w:rFonts w:asciiTheme="majorHAnsi" w:eastAsiaTheme="majorEastAsia" w:hAnsiTheme="majorHAnsi" w:cstheme="majorBidi"/>
      <w:i/>
      <w:iCs/>
      <w:spacing w:val="5"/>
      <w:sz w:val="20"/>
      <w:szCs w:val="20"/>
      <w:lang w:bidi="en-US"/>
    </w:rPr>
  </w:style>
  <w:style w:type="character" w:styleId="Hyperlink">
    <w:name w:val="Hyperlink"/>
    <w:basedOn w:val="DefaultParagraphFont"/>
    <w:uiPriority w:val="99"/>
    <w:semiHidden/>
    <w:rsid w:val="00A96ED6"/>
    <w:rPr>
      <w:color w:val="0072BC" w:themeColor="hyperlink"/>
      <w:u w:val="single"/>
    </w:rPr>
  </w:style>
  <w:style w:type="character" w:styleId="IntenseEmphasis">
    <w:name w:val="Intense Emphasis"/>
    <w:uiPriority w:val="99"/>
    <w:semiHidden/>
    <w:qFormat/>
    <w:rsid w:val="00A96ED6"/>
    <w:rPr>
      <w:b/>
      <w:bCs/>
    </w:rPr>
  </w:style>
  <w:style w:type="paragraph" w:styleId="IntenseQuote">
    <w:name w:val="Intense Quote"/>
    <w:basedOn w:val="Normal"/>
    <w:next w:val="Normal"/>
    <w:link w:val="IntenseQuoteChar"/>
    <w:uiPriority w:val="99"/>
    <w:semiHidden/>
    <w:qFormat/>
    <w:rsid w:val="00A96ED6"/>
    <w:pPr>
      <w:pBdr>
        <w:bottom w:val="single" w:sz="4" w:space="1" w:color="auto"/>
      </w:pBdr>
      <w:spacing w:before="200" w:after="280"/>
      <w:ind w:left="1008" w:right="1152"/>
    </w:pPr>
    <w:rPr>
      <w:b/>
      <w:bCs/>
      <w:i/>
      <w:iCs/>
      <w:sz w:val="22"/>
      <w:lang w:bidi="en-US"/>
    </w:rPr>
  </w:style>
  <w:style w:type="character" w:customStyle="1" w:styleId="IntenseQuoteChar">
    <w:name w:val="Intense Quote Char"/>
    <w:basedOn w:val="DefaultParagraphFont"/>
    <w:link w:val="IntenseQuote"/>
    <w:uiPriority w:val="99"/>
    <w:semiHidden/>
    <w:rsid w:val="00A96ED6"/>
    <w:rPr>
      <w:rFonts w:eastAsiaTheme="minorEastAsia"/>
      <w:b/>
      <w:bCs/>
      <w:i/>
      <w:iCs/>
      <w:lang w:bidi="en-US"/>
    </w:rPr>
  </w:style>
  <w:style w:type="character" w:styleId="IntenseReference">
    <w:name w:val="Intense Reference"/>
    <w:uiPriority w:val="99"/>
    <w:semiHidden/>
    <w:qFormat/>
    <w:rsid w:val="00A96ED6"/>
    <w:rPr>
      <w:smallCaps/>
      <w:spacing w:val="5"/>
      <w:u w:val="single"/>
    </w:rPr>
  </w:style>
  <w:style w:type="paragraph" w:styleId="ListParagraph">
    <w:name w:val="List Paragraph"/>
    <w:basedOn w:val="Normal"/>
    <w:uiPriority w:val="99"/>
    <w:semiHidden/>
    <w:qFormat/>
    <w:rsid w:val="00A96ED6"/>
    <w:pPr>
      <w:ind w:left="720"/>
      <w:contextualSpacing/>
    </w:pPr>
  </w:style>
  <w:style w:type="table" w:customStyle="1" w:styleId="LtrTableAddress">
    <w:name w:val="Ltr_Table_Address"/>
    <w:basedOn w:val="TableNormal"/>
    <w:uiPriority w:val="99"/>
    <w:rsid w:val="001E6F32"/>
    <w:tblPr>
      <w:tblInd w:w="5103" w:type="dxa"/>
    </w:tblPr>
  </w:style>
  <w:style w:type="paragraph" w:styleId="Quote">
    <w:name w:val="Quote"/>
    <w:basedOn w:val="Normal"/>
    <w:next w:val="Normal"/>
    <w:link w:val="QuoteChar"/>
    <w:uiPriority w:val="99"/>
    <w:semiHidden/>
    <w:qFormat/>
    <w:rsid w:val="00A96ED6"/>
    <w:pPr>
      <w:spacing w:before="200"/>
      <w:ind w:left="360" w:right="360"/>
    </w:pPr>
    <w:rPr>
      <w:i/>
      <w:iCs/>
      <w:sz w:val="22"/>
      <w:lang w:bidi="en-US"/>
    </w:rPr>
  </w:style>
  <w:style w:type="character" w:customStyle="1" w:styleId="QuoteChar">
    <w:name w:val="Quote Char"/>
    <w:basedOn w:val="DefaultParagraphFont"/>
    <w:link w:val="Quote"/>
    <w:uiPriority w:val="99"/>
    <w:semiHidden/>
    <w:rsid w:val="00A96ED6"/>
    <w:rPr>
      <w:rFonts w:eastAsiaTheme="minorEastAsia"/>
      <w:i/>
      <w:iCs/>
      <w:lang w:bidi="en-US"/>
    </w:rPr>
  </w:style>
  <w:style w:type="character" w:styleId="SubtleReference">
    <w:name w:val="Subtle Reference"/>
    <w:uiPriority w:val="99"/>
    <w:semiHidden/>
    <w:qFormat/>
    <w:rsid w:val="00A96ED6"/>
    <w:rPr>
      <w:smallCaps/>
    </w:rPr>
  </w:style>
  <w:style w:type="table" w:styleId="TableGrid">
    <w:name w:val="Table Grid"/>
    <w:basedOn w:val="TableNormal"/>
    <w:uiPriority w:val="59"/>
    <w:semiHidden/>
    <w:rsid w:val="00A96ED6"/>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A96ED6"/>
    <w:pPr>
      <w:spacing w:before="120" w:after="60"/>
      <w:ind w:left="340" w:right="340" w:hanging="340"/>
    </w:pPr>
    <w:rPr>
      <w:color w:val="0D0D0D" w:themeColor="text1" w:themeTint="F2"/>
    </w:rPr>
  </w:style>
  <w:style w:type="paragraph" w:styleId="TOC2">
    <w:name w:val="toc 2"/>
    <w:basedOn w:val="Normal"/>
    <w:next w:val="Normal"/>
    <w:autoRedefine/>
    <w:uiPriority w:val="99"/>
    <w:semiHidden/>
    <w:rsid w:val="00A96ED6"/>
    <w:pPr>
      <w:spacing w:after="60"/>
      <w:ind w:left="680" w:right="340" w:hanging="340"/>
    </w:pPr>
  </w:style>
  <w:style w:type="paragraph" w:styleId="TOC3">
    <w:name w:val="toc 3"/>
    <w:basedOn w:val="Normal"/>
    <w:next w:val="Normal"/>
    <w:autoRedefine/>
    <w:uiPriority w:val="99"/>
    <w:semiHidden/>
    <w:rsid w:val="00A96ED6"/>
    <w:pPr>
      <w:spacing w:after="60"/>
      <w:ind w:left="1020" w:right="340" w:hanging="340"/>
    </w:pPr>
  </w:style>
  <w:style w:type="paragraph" w:styleId="TOC4">
    <w:name w:val="toc 4"/>
    <w:basedOn w:val="Normal"/>
    <w:next w:val="Normal"/>
    <w:autoRedefine/>
    <w:uiPriority w:val="99"/>
    <w:semiHidden/>
    <w:rsid w:val="00A96ED6"/>
    <w:pPr>
      <w:tabs>
        <w:tab w:val="right" w:leader="dot" w:pos="9017"/>
      </w:tabs>
      <w:spacing w:after="60"/>
      <w:ind w:left="1361" w:right="340" w:hanging="340"/>
    </w:pPr>
  </w:style>
  <w:style w:type="paragraph" w:styleId="TOC5">
    <w:name w:val="toc 5"/>
    <w:basedOn w:val="Normal"/>
    <w:next w:val="Normal"/>
    <w:autoRedefine/>
    <w:uiPriority w:val="99"/>
    <w:semiHidden/>
    <w:rsid w:val="00A96ED6"/>
    <w:pPr>
      <w:spacing w:after="60"/>
      <w:ind w:left="1701" w:right="340" w:hanging="340"/>
    </w:pPr>
  </w:style>
  <w:style w:type="paragraph" w:styleId="TOCHeading">
    <w:name w:val="TOC Heading"/>
    <w:basedOn w:val="Heading1"/>
    <w:next w:val="Normal"/>
    <w:uiPriority w:val="99"/>
    <w:semiHidden/>
    <w:qFormat/>
    <w:rsid w:val="00A96ED6"/>
    <w:pPr>
      <w:outlineLvl w:val="9"/>
    </w:pPr>
    <w:rPr>
      <w:color w:val="474747" w:themeColor="accent3" w:themeShade="BF"/>
    </w:rPr>
  </w:style>
  <w:style w:type="table" w:customStyle="1" w:styleId="UGTable">
    <w:name w:val="UG_Table"/>
    <w:basedOn w:val="TableNormal"/>
    <w:uiPriority w:val="99"/>
    <w:rsid w:val="00801300"/>
    <w:rPr>
      <w:rFonts w:eastAsiaTheme="minorEastAsia"/>
      <w:sz w:val="20"/>
      <w:lang w:eastAsia="en-GB"/>
    </w:rPr>
    <w:tblPr>
      <w:tblInd w:w="-1191" w:type="dxa"/>
      <w:tblCellMar>
        <w:top w:w="57" w:type="dxa"/>
        <w:left w:w="0" w:type="dxa"/>
        <w:right w:w="0" w:type="dxa"/>
      </w:tblCellMar>
    </w:tblPr>
    <w:tblStylePr w:type="swCell">
      <w:tblPr/>
      <w:tcPr>
        <w:tcBorders>
          <w:top w:val="nil"/>
          <w:left w:val="nil"/>
          <w:bottom w:val="nil"/>
          <w:right w:val="nil"/>
          <w:insideH w:val="nil"/>
          <w:insideV w:val="nil"/>
          <w:tl2br w:val="nil"/>
          <w:tr2bl w:val="nil"/>
        </w:tcBorders>
        <w:shd w:val="clear" w:color="auto" w:fill="EAEAEA"/>
      </w:tcPr>
    </w:tblStylePr>
  </w:style>
  <w:style w:type="table" w:customStyle="1" w:styleId="UGTableWhiteBox">
    <w:name w:val="UG_Table_White_Box"/>
    <w:basedOn w:val="TableNormal"/>
    <w:uiPriority w:val="99"/>
    <w:rsid w:val="00801300"/>
    <w:rPr>
      <w:rFonts w:eastAsiaTheme="minorEastAsia"/>
      <w:lang w:eastAsia="en-GB"/>
    </w:rPr>
    <w:tblPr>
      <w:tblBorders>
        <w:top w:val="single" w:sz="4" w:space="0" w:color="B9B9B9" w:themeColor="background2" w:themeShade="BF"/>
        <w:left w:val="single" w:sz="4" w:space="0" w:color="B9B9B9" w:themeColor="background2" w:themeShade="BF"/>
        <w:bottom w:val="single" w:sz="4" w:space="0" w:color="B9B9B9" w:themeColor="background2" w:themeShade="BF"/>
        <w:right w:val="single" w:sz="4" w:space="0" w:color="B9B9B9" w:themeColor="background2" w:themeShade="BF"/>
      </w:tblBorders>
      <w:tblCellMar>
        <w:top w:w="113" w:type="dxa"/>
        <w:left w:w="113" w:type="dxa"/>
        <w:bottom w:w="113" w:type="dxa"/>
        <w:right w:w="113" w:type="dxa"/>
      </w:tblCellMar>
    </w:tblPr>
    <w:tcPr>
      <w:shd w:val="clear" w:color="auto" w:fill="FFFFFF"/>
    </w:tcPr>
  </w:style>
  <w:style w:type="table" w:customStyle="1" w:styleId="PCFTableStyle">
    <w:name w:val="PCF_Table_Style"/>
    <w:basedOn w:val="TableNormal"/>
    <w:uiPriority w:val="99"/>
    <w:rsid w:val="00810B38"/>
    <w:rPr>
      <w:color w:val="000000" w:themeColor="text1"/>
      <w:sz w:val="18"/>
    </w:rPr>
    <w:tblPr>
      <w:tblBorders>
        <w:top w:val="single" w:sz="8" w:space="0" w:color="9F9F9F" w:themeColor="accent3" w:themeTint="99"/>
        <w:left w:val="single" w:sz="8" w:space="0" w:color="9F9F9F" w:themeColor="accent3" w:themeTint="99"/>
        <w:bottom w:val="single" w:sz="8" w:space="0" w:color="9F9F9F" w:themeColor="accent3" w:themeTint="99"/>
        <w:right w:val="single" w:sz="8" w:space="0" w:color="9F9F9F" w:themeColor="accent3" w:themeTint="99"/>
        <w:insideH w:val="single" w:sz="8" w:space="0" w:color="9F9F9F" w:themeColor="accent3" w:themeTint="99"/>
        <w:insideV w:val="single" w:sz="8" w:space="0" w:color="9F9F9F" w:themeColor="accent3" w:themeTint="99"/>
      </w:tblBorders>
    </w:tblPr>
    <w:tblStylePr w:type="firstRow">
      <w:pPr>
        <w:wordWrap/>
        <w:spacing w:beforeLines="0" w:before="120" w:beforeAutospacing="0" w:afterLines="0" w:after="120" w:afterAutospacing="0" w:line="240" w:lineRule="auto"/>
        <w:contextualSpacing/>
        <w:jc w:val="center"/>
      </w:pPr>
      <w:rPr>
        <w:b/>
        <w:i w:val="0"/>
        <w:color w:val="FFFFFF"/>
        <w:sz w:val="20"/>
      </w:rPr>
      <w:tblPr/>
      <w:tcPr>
        <w:tcBorders>
          <w:top w:val="nil"/>
          <w:left w:val="nil"/>
          <w:bottom w:val="nil"/>
          <w:right w:val="nil"/>
          <w:insideH w:val="nil"/>
          <w:insideV w:val="nil"/>
          <w:tl2br w:val="nil"/>
          <w:tr2bl w:val="nil"/>
        </w:tcBorders>
        <w:shd w:val="clear" w:color="auto" w:fill="0072BC" w:themeFill="accent1"/>
        <w:vAlign w:val="center"/>
      </w:tcPr>
    </w:tblStylePr>
    <w:tblStylePr w:type="firstCol">
      <w:pPr>
        <w:jc w:val="left"/>
      </w:pPr>
      <w:tblPr/>
      <w:tcPr>
        <w:vAlign w:val="center"/>
      </w:tcPr>
    </w:tblStylePr>
  </w:style>
  <w:style w:type="table" w:customStyle="1" w:styleId="ECHRTableFax">
    <w:name w:val="ECHR_Table_Fax"/>
    <w:basedOn w:val="TableNormal"/>
    <w:uiPriority w:val="99"/>
    <w:rsid w:val="00893576"/>
    <w:rPr>
      <w:color w:val="000000" w:themeColor="text1"/>
    </w:rPr>
    <w:tblPr>
      <w:tblInd w:w="-680" w:type="dxa"/>
      <w:tblBorders>
        <w:insideH w:val="single" w:sz="4" w:space="0" w:color="C6C6C6" w:themeColor="text2"/>
        <w:insideV w:val="single" w:sz="4" w:space="0" w:color="C6C6C6" w:themeColor="text2"/>
      </w:tblBorders>
      <w:tblCellMar>
        <w:top w:w="142" w:type="dxa"/>
        <w:bottom w:w="142" w:type="dxa"/>
      </w:tblCellMar>
    </w:tblPr>
    <w:trPr>
      <w:cantSplit/>
    </w:trPr>
  </w:style>
  <w:style w:type="table" w:customStyle="1" w:styleId="ECHRTableMemo">
    <w:name w:val="ECHR_Table_Memo"/>
    <w:basedOn w:val="TableNormal"/>
    <w:uiPriority w:val="99"/>
    <w:rsid w:val="00210338"/>
    <w:tblPr>
      <w:jc w:val="center"/>
      <w:tblCellMar>
        <w:top w:w="113" w:type="dxa"/>
        <w:left w:w="0" w:type="dxa"/>
        <w:bottom w:w="113" w:type="dxa"/>
        <w:right w:w="0" w:type="dxa"/>
      </w:tblCellMar>
    </w:tblPr>
    <w:trPr>
      <w:jc w:val="center"/>
    </w:trPr>
    <w:tblStylePr w:type="lastRow">
      <w:tblPr/>
      <w:tcPr>
        <w:tcBorders>
          <w:top w:val="nil"/>
          <w:left w:val="nil"/>
          <w:bottom w:val="single" w:sz="4" w:space="0" w:color="949494" w:themeColor="text2" w:themeShade="BF"/>
          <w:right w:val="nil"/>
          <w:insideH w:val="nil"/>
          <w:insideV w:val="nil"/>
          <w:tl2br w:val="nil"/>
          <w:tr2bl w:val="nil"/>
        </w:tcBorders>
      </w:tcPr>
    </w:tblStylePr>
  </w:style>
  <w:style w:type="table" w:customStyle="1" w:styleId="ECHRDNTable">
    <w:name w:val="ECHR_DN_Table"/>
    <w:aliases w:val="DN_Table"/>
    <w:basedOn w:val="TableNormal"/>
    <w:uiPriority w:val="99"/>
    <w:rsid w:val="0090506B"/>
    <w:tblPr>
      <w:jc w:val="center"/>
      <w:tblBorders>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57" w:type="dxa"/>
        <w:bottom w:w="57" w:type="dxa"/>
      </w:tblCellMar>
    </w:tblPr>
    <w:trPr>
      <w:jc w:val="center"/>
    </w:trPr>
    <w:tcPr>
      <w:vAlign w:val="center"/>
    </w:tcPr>
    <w:tblStylePr w:type="firstRow">
      <w:pPr>
        <w:wordWrap/>
        <w:spacing w:beforeLines="0"/>
        <w:ind w:leftChars="0" w:left="0"/>
      </w:pPr>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nil"/>
          <w:right w:val="single" w:sz="4" w:space="0" w:color="949494" w:themeColor="text2" w:themeShade="BF"/>
          <w:insideH w:val="nil"/>
          <w:insideV w:val="nil"/>
          <w:tl2br w:val="nil"/>
          <w:tr2bl w:val="nil"/>
        </w:tcBorders>
        <w:shd w:val="clear" w:color="auto" w:fill="DFDFDF" w:themeFill="background2" w:themeFillShade="E6"/>
      </w:tcPr>
    </w:tblStylePr>
  </w:style>
  <w:style w:type="paragraph" w:styleId="TOAHeading">
    <w:name w:val="toa heading"/>
    <w:basedOn w:val="Normal"/>
    <w:next w:val="Normal"/>
    <w:uiPriority w:val="99"/>
    <w:semiHidden/>
    <w:rsid w:val="00A96ED6"/>
    <w:pPr>
      <w:spacing w:before="120"/>
    </w:pPr>
    <w:rPr>
      <w:rFonts w:asciiTheme="majorHAnsi" w:eastAsiaTheme="majorEastAsia" w:hAnsiTheme="majorHAnsi" w:cstheme="majorBidi"/>
      <w:b/>
      <w:bCs/>
      <w:color w:val="474747" w:themeColor="accent3" w:themeShade="BF"/>
      <w:szCs w:val="24"/>
    </w:rPr>
  </w:style>
  <w:style w:type="paragraph" w:customStyle="1" w:styleId="ECHRParaQuote">
    <w:name w:val="ECHR_Para_Quote"/>
    <w:aliases w:val="Ju_Quot"/>
    <w:basedOn w:val="Normal"/>
    <w:qFormat/>
    <w:rsid w:val="00A96ED6"/>
    <w:pPr>
      <w:spacing w:before="120" w:after="120"/>
      <w:ind w:left="425" w:firstLine="142"/>
    </w:pPr>
    <w:rPr>
      <w:sz w:val="20"/>
    </w:rPr>
  </w:style>
  <w:style w:type="paragraph" w:customStyle="1" w:styleId="ECHRPara">
    <w:name w:val="ECHR_Para"/>
    <w:aliases w:val="Ju_Para"/>
    <w:basedOn w:val="Normal"/>
    <w:link w:val="JuParaCar"/>
    <w:uiPriority w:val="12"/>
    <w:qFormat/>
    <w:rsid w:val="00A96ED6"/>
    <w:pPr>
      <w:ind w:firstLine="284"/>
    </w:pPr>
  </w:style>
  <w:style w:type="table" w:customStyle="1" w:styleId="ECHRTableSimpleBox">
    <w:name w:val="ECHR_Table_Simple_Box"/>
    <w:basedOn w:val="TableNormal"/>
    <w:uiPriority w:val="99"/>
    <w:rsid w:val="00AE354C"/>
    <w:tblPr>
      <w:tblBorders>
        <w:top w:val="single" w:sz="4" w:space="0" w:color="9F9F9F" w:themeColor="accent3" w:themeTint="99"/>
        <w:left w:val="single" w:sz="4" w:space="0" w:color="9F9F9F" w:themeColor="accent3" w:themeTint="99"/>
        <w:bottom w:val="single" w:sz="4" w:space="0" w:color="9F9F9F" w:themeColor="accent3" w:themeTint="99"/>
        <w:right w:val="single" w:sz="4" w:space="0" w:color="9F9F9F" w:themeColor="accent3" w:themeTint="99"/>
      </w:tblBorders>
      <w:tblCellMar>
        <w:top w:w="113" w:type="dxa"/>
        <w:bottom w:w="113" w:type="dxa"/>
      </w:tblCellMar>
    </w:tblPr>
  </w:style>
  <w:style w:type="table" w:customStyle="1" w:styleId="ECHRTableNoLines">
    <w:name w:val="ECHR_Table_No_Lines"/>
    <w:basedOn w:val="TableNormal"/>
    <w:uiPriority w:val="99"/>
    <w:rsid w:val="00F218EF"/>
    <w:tblPr>
      <w:tblCellMar>
        <w:top w:w="85" w:type="dxa"/>
        <w:left w:w="142" w:type="dxa"/>
        <w:bottom w:w="28" w:type="dxa"/>
        <w:right w:w="142" w:type="dxa"/>
      </w:tblCellMar>
    </w:tblPr>
    <w:tblStylePr w:type="firstRow">
      <w:rPr>
        <w:rFonts w:asciiTheme="majorHAnsi" w:hAnsiTheme="majorHAnsi"/>
        <w:b/>
        <w:i w:val="0"/>
        <w:color w:val="474747" w:themeColor="accent3" w:themeShade="BF"/>
        <w:sz w:val="24"/>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nil"/>
          <w:tl2br w:val="nil"/>
          <w:tr2bl w:val="nil"/>
        </w:tcBorders>
        <w:shd w:val="clear" w:color="auto" w:fill="DFDFDF" w:themeFill="background2" w:themeFillShade="E6"/>
      </w:tcPr>
    </w:tblStylePr>
    <w:tblStylePr w:type="firstCol">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tcPr>
    </w:tblStylePr>
  </w:style>
  <w:style w:type="table" w:customStyle="1" w:styleId="ECHRTableForInternalUse">
    <w:name w:val="ECHR_Table_For_Internal_Use"/>
    <w:basedOn w:val="TableNormal"/>
    <w:uiPriority w:val="99"/>
    <w:rsid w:val="005474E7"/>
    <w:rPr>
      <w:color w:val="636363" w:themeColor="text2" w:themeShade="80"/>
      <w:sz w:val="18"/>
    </w:rPr>
    <w:tblPr>
      <w:tblStyleColBandSize w:val="1"/>
      <w:jc w:val="right"/>
      <w:tblCellMar>
        <w:top w:w="113" w:type="dxa"/>
        <w:bottom w:w="28" w:type="dxa"/>
      </w:tblCellMar>
    </w:tblPr>
    <w:trPr>
      <w:jc w:val="right"/>
    </w:trPr>
    <w:tblStylePr w:type="firstRow">
      <w:rPr>
        <w:b/>
      </w:rPr>
    </w:tblStylePr>
    <w:tblStylePr w:type="lastCol">
      <w:pPr>
        <w:jc w:val="right"/>
      </w:p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tblStylePr w:type="band1Vert">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l2br w:val="nil"/>
          <w:tr2bl w:val="nil"/>
        </w:tcBorders>
      </w:tcPr>
    </w:tblStylePr>
  </w:style>
  <w:style w:type="table" w:customStyle="1" w:styleId="ECHRListTable">
    <w:name w:val="ECHR_List_Table"/>
    <w:basedOn w:val="TableNormal"/>
    <w:uiPriority w:val="99"/>
    <w:rsid w:val="00A96ED6"/>
    <w:tblPr>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b/>
        <w:color w:val="474747" w:themeColor="accent3" w:themeShade="BF"/>
      </w:rPr>
      <w:tblPr/>
      <w:trPr>
        <w:tblHeader/>
      </w:tr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cBorders>
        <w:shd w:val="clear" w:color="auto" w:fill="DFDFDF" w:themeFill="background2" w:themeFillShade="E6"/>
      </w:tcPr>
    </w:tblStylePr>
  </w:style>
  <w:style w:type="table" w:customStyle="1" w:styleId="ECHRHeaderTable">
    <w:name w:val="ECHR_Header_Table"/>
    <w:basedOn w:val="TableNormal"/>
    <w:uiPriority w:val="99"/>
    <w:rsid w:val="00661971"/>
    <w:tblPr>
      <w:tblInd w:w="-680" w:type="dxa"/>
      <w:tblBorders>
        <w:bottom w:val="single" w:sz="6" w:space="0" w:color="949494" w:themeColor="text2" w:themeShade="BF"/>
      </w:tblBorders>
      <w:tblCellMar>
        <w:left w:w="0" w:type="dxa"/>
        <w:bottom w:w="28" w:type="dxa"/>
        <w:right w:w="0" w:type="dxa"/>
      </w:tblCellMar>
    </w:tblPr>
    <w:tcPr>
      <w:vAlign w:val="bottom"/>
    </w:tcPr>
    <w:tblStylePr w:type="lastCol">
      <w:pPr>
        <w:wordWrap/>
        <w:jc w:val="both"/>
      </w:pPr>
    </w:tblStylePr>
  </w:style>
  <w:style w:type="table" w:customStyle="1" w:styleId="ECHRTableOddBanded">
    <w:name w:val="ECHR_Table_Odd_Banded"/>
    <w:basedOn w:val="TableNormal"/>
    <w:uiPriority w:val="99"/>
    <w:rsid w:val="00860B03"/>
    <w:tblPr>
      <w:tblStyleRowBandSize w:val="1"/>
      <w:tblStyleColBandSize w:val="1"/>
      <w:tbl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single" w:sz="4" w:space="0" w:color="949494" w:themeColor="text2" w:themeShade="BF"/>
        <w:insideV w:val="single" w:sz="4" w:space="0" w:color="949494" w:themeColor="text2" w:themeShade="BF"/>
      </w:tblBorders>
      <w:tblCellMar>
        <w:top w:w="28" w:type="dxa"/>
        <w:bottom w:w="28" w:type="dxa"/>
      </w:tblCellMar>
    </w:tblPr>
    <w:tblStylePr w:type="firstRow">
      <w:rPr>
        <w:rFonts w:asciiTheme="majorHAnsi" w:hAnsiTheme="majorHAnsi"/>
        <w:b/>
        <w:i w:val="0"/>
        <w:color w:val="474747" w:themeColor="accent3" w:themeShade="BF"/>
        <w:sz w:val="22"/>
      </w:rPr>
      <w:tblPr/>
      <w:tcPr>
        <w:tcBorders>
          <w:top w:val="single" w:sz="4" w:space="0" w:color="949494" w:themeColor="text2" w:themeShade="BF"/>
          <w:left w:val="single" w:sz="4" w:space="0" w:color="949494" w:themeColor="text2" w:themeShade="BF"/>
          <w:bottom w:val="single" w:sz="4" w:space="0" w:color="949494" w:themeColor="text2" w:themeShade="BF"/>
          <w:right w:val="single" w:sz="4" w:space="0" w:color="949494" w:themeColor="text2" w:themeShade="BF"/>
          <w:insideH w:val="nil"/>
          <w:insideV w:val="single" w:sz="4" w:space="0" w:color="949494" w:themeColor="text2" w:themeShade="BF"/>
          <w:tl2br w:val="nil"/>
          <w:tr2bl w:val="nil"/>
        </w:tcBorders>
        <w:shd w:val="clear" w:color="auto" w:fill="DFDFDF" w:themeFill="background2" w:themeFillShade="E6"/>
      </w:tcPr>
    </w:tblStylePr>
    <w:tblStylePr w:type="band1Vert">
      <w:tblPr/>
      <w:tcPr>
        <w:tcBorders>
          <w:top w:val="nil"/>
          <w:left w:val="nil"/>
          <w:bottom w:val="nil"/>
          <w:right w:val="nil"/>
          <w:insideH w:val="nil"/>
          <w:insideV w:val="nil"/>
          <w:tl2br w:val="nil"/>
          <w:tr2bl w:val="nil"/>
        </w:tcBorders>
        <w:shd w:val="clear" w:color="auto" w:fill="DFDFDF" w:themeFill="background2" w:themeFillShade="E6"/>
      </w:tcPr>
    </w:tblStylePr>
    <w:tblStylePr w:type="band1Horz">
      <w:rPr>
        <w:b/>
      </w:rPr>
      <w:tblPr/>
      <w:tcPr>
        <w:shd w:val="clear" w:color="auto" w:fill="DFDFDF" w:themeFill="background2" w:themeFillShade="E6"/>
      </w:tcPr>
    </w:tblStylePr>
  </w:style>
  <w:style w:type="paragraph" w:customStyle="1" w:styleId="ECHRDecisionBody">
    <w:name w:val="ECHR_Decision_Body"/>
    <w:aliases w:val="Ju_Judges"/>
    <w:basedOn w:val="Normal"/>
    <w:uiPriority w:val="11"/>
    <w:qFormat/>
    <w:rsid w:val="00A96ED6"/>
    <w:pPr>
      <w:tabs>
        <w:tab w:val="left" w:pos="567"/>
        <w:tab w:val="left" w:pos="1134"/>
      </w:tabs>
      <w:jc w:val="left"/>
    </w:pPr>
  </w:style>
  <w:style w:type="table" w:customStyle="1" w:styleId="ECHRHeaderTableReduced">
    <w:name w:val="ECHR_Header_Table_Reduced"/>
    <w:basedOn w:val="TableNormal"/>
    <w:uiPriority w:val="99"/>
    <w:rsid w:val="00B52BE0"/>
    <w:tblPr>
      <w:tblInd w:w="-680" w:type="dxa"/>
      <w:tblCellMar>
        <w:left w:w="0" w:type="dxa"/>
        <w:right w:w="0" w:type="dxa"/>
      </w:tblCellMar>
    </w:tblPr>
    <w:tcPr>
      <w:vAlign w:val="bottom"/>
    </w:tcPr>
    <w:tblStylePr w:type="firstRow">
      <w:tblPr/>
      <w:tcPr>
        <w:tcBorders>
          <w:top w:val="nil"/>
          <w:left w:val="nil"/>
          <w:bottom w:val="single" w:sz="6" w:space="0" w:color="949494" w:themeColor="text2" w:themeShade="BF"/>
          <w:right w:val="nil"/>
          <w:insideH w:val="nil"/>
          <w:insideV w:val="nil"/>
          <w:tl2br w:val="nil"/>
          <w:tr2bl w:val="nil"/>
        </w:tcBorders>
      </w:tcPr>
    </w:tblStylePr>
    <w:tblStylePr w:type="lastRow">
      <w:pPr>
        <w:jc w:val="right"/>
      </w:pPr>
      <w:tblPr/>
      <w:tcPr>
        <w:tcBorders>
          <w:top w:val="single" w:sz="6" w:space="0" w:color="949494" w:themeColor="text2" w:themeShade="BF"/>
          <w:left w:val="nil"/>
          <w:bottom w:val="nil"/>
          <w:right w:val="nil"/>
          <w:insideH w:val="nil"/>
          <w:insideV w:val="nil"/>
          <w:tl2br w:val="nil"/>
          <w:tr2bl w:val="nil"/>
        </w:tcBorders>
      </w:tcPr>
    </w:tblStylePr>
  </w:style>
  <w:style w:type="paragraph" w:customStyle="1" w:styleId="JuList">
    <w:name w:val="Ju_List"/>
    <w:basedOn w:val="Normal"/>
    <w:uiPriority w:val="28"/>
    <w:qFormat/>
    <w:rsid w:val="00A96ED6"/>
    <w:pPr>
      <w:ind w:left="340" w:hanging="340"/>
    </w:pPr>
  </w:style>
  <w:style w:type="paragraph" w:customStyle="1" w:styleId="JuSigned">
    <w:name w:val="Ju_Signed"/>
    <w:basedOn w:val="Normal"/>
    <w:next w:val="JuParaLast"/>
    <w:uiPriority w:val="32"/>
    <w:qFormat/>
    <w:rsid w:val="00A96ED6"/>
    <w:pPr>
      <w:tabs>
        <w:tab w:val="center" w:pos="851"/>
        <w:tab w:val="center" w:pos="6407"/>
      </w:tabs>
      <w:spacing w:before="720"/>
      <w:jc w:val="left"/>
    </w:pPr>
  </w:style>
  <w:style w:type="paragraph" w:customStyle="1" w:styleId="JuParaLast">
    <w:name w:val="Ju_Para_Last"/>
    <w:basedOn w:val="Normal"/>
    <w:next w:val="ECHRPara"/>
    <w:uiPriority w:val="30"/>
    <w:qFormat/>
    <w:rsid w:val="00A96ED6"/>
    <w:pPr>
      <w:keepNext/>
      <w:keepLines/>
      <w:spacing w:before="240"/>
      <w:ind w:firstLine="284"/>
    </w:pPr>
  </w:style>
  <w:style w:type="paragraph" w:customStyle="1" w:styleId="JuCourt">
    <w:name w:val="Ju_Court"/>
    <w:basedOn w:val="Normal"/>
    <w:next w:val="Normal"/>
    <w:uiPriority w:val="16"/>
    <w:qFormat/>
    <w:rsid w:val="00A96ED6"/>
    <w:pPr>
      <w:tabs>
        <w:tab w:val="left" w:pos="907"/>
        <w:tab w:val="left" w:pos="1701"/>
        <w:tab w:val="right" w:pos="7371"/>
      </w:tabs>
      <w:spacing w:before="240"/>
      <w:ind w:left="397" w:hanging="397"/>
      <w:jc w:val="left"/>
    </w:pPr>
    <w:rPr>
      <w:lang w:bidi="en-US"/>
    </w:rPr>
  </w:style>
  <w:style w:type="character" w:styleId="PageNumber">
    <w:name w:val="page number"/>
    <w:uiPriority w:val="99"/>
    <w:semiHidden/>
    <w:rsid w:val="00014566"/>
    <w:rPr>
      <w:sz w:val="18"/>
    </w:rPr>
  </w:style>
  <w:style w:type="paragraph" w:customStyle="1" w:styleId="JuLista">
    <w:name w:val="Ju_List_a"/>
    <w:basedOn w:val="JuList"/>
    <w:uiPriority w:val="28"/>
    <w:qFormat/>
    <w:rsid w:val="00A96ED6"/>
    <w:pPr>
      <w:ind w:left="346" w:firstLine="0"/>
    </w:pPr>
  </w:style>
  <w:style w:type="paragraph" w:customStyle="1" w:styleId="JuListi">
    <w:name w:val="Ju_List_i"/>
    <w:basedOn w:val="Normal"/>
    <w:next w:val="JuLista"/>
    <w:uiPriority w:val="28"/>
    <w:qFormat/>
    <w:rsid w:val="00A96ED6"/>
    <w:pPr>
      <w:ind w:left="794"/>
    </w:pPr>
  </w:style>
  <w:style w:type="character" w:styleId="CommentReference">
    <w:name w:val="annotation reference"/>
    <w:uiPriority w:val="99"/>
    <w:semiHidden/>
    <w:rsid w:val="00014566"/>
    <w:rPr>
      <w:sz w:val="16"/>
    </w:rPr>
  </w:style>
  <w:style w:type="paragraph" w:styleId="CommentText">
    <w:name w:val="annotation text"/>
    <w:basedOn w:val="Normal"/>
    <w:link w:val="CommentTextChar"/>
    <w:semiHidden/>
    <w:rsid w:val="00014566"/>
    <w:rPr>
      <w:sz w:val="20"/>
    </w:rPr>
  </w:style>
  <w:style w:type="character" w:customStyle="1" w:styleId="CommentTextChar">
    <w:name w:val="Comment Text Char"/>
    <w:basedOn w:val="DefaultParagraphFont"/>
    <w:link w:val="CommentText"/>
    <w:semiHidden/>
    <w:rsid w:val="00014566"/>
    <w:rPr>
      <w:rFonts w:eastAsiaTheme="minorEastAsia"/>
      <w:sz w:val="20"/>
    </w:rPr>
  </w:style>
  <w:style w:type="paragraph" w:styleId="CommentSubject">
    <w:name w:val="annotation subject"/>
    <w:basedOn w:val="CommentText"/>
    <w:next w:val="CommentText"/>
    <w:link w:val="CommentSubjectChar"/>
    <w:uiPriority w:val="99"/>
    <w:semiHidden/>
    <w:rsid w:val="00014566"/>
    <w:rPr>
      <w:b/>
      <w:bCs/>
    </w:rPr>
  </w:style>
  <w:style w:type="character" w:customStyle="1" w:styleId="CommentSubjectChar">
    <w:name w:val="Comment Subject Char"/>
    <w:basedOn w:val="CommentTextChar"/>
    <w:link w:val="CommentSubject"/>
    <w:uiPriority w:val="99"/>
    <w:semiHidden/>
    <w:rsid w:val="00014566"/>
    <w:rPr>
      <w:rFonts w:eastAsiaTheme="minorEastAsia"/>
      <w:b/>
      <w:bCs/>
      <w:sz w:val="20"/>
    </w:rPr>
  </w:style>
  <w:style w:type="character" w:styleId="EndnoteReference">
    <w:name w:val="endnote reference"/>
    <w:uiPriority w:val="99"/>
    <w:semiHidden/>
    <w:rsid w:val="00014566"/>
    <w:rPr>
      <w:vertAlign w:val="superscript"/>
    </w:rPr>
  </w:style>
  <w:style w:type="paragraph" w:styleId="EndnoteText">
    <w:name w:val="endnote text"/>
    <w:basedOn w:val="Normal"/>
    <w:link w:val="EndnoteTextChar"/>
    <w:uiPriority w:val="99"/>
    <w:semiHidden/>
    <w:rsid w:val="00014566"/>
    <w:rPr>
      <w:sz w:val="20"/>
    </w:rPr>
  </w:style>
  <w:style w:type="character" w:customStyle="1" w:styleId="EndnoteTextChar">
    <w:name w:val="Endnote Text Char"/>
    <w:basedOn w:val="DefaultParagraphFont"/>
    <w:link w:val="EndnoteText"/>
    <w:uiPriority w:val="99"/>
    <w:semiHidden/>
    <w:rsid w:val="00014566"/>
    <w:rPr>
      <w:rFonts w:eastAsiaTheme="minorEastAsia"/>
      <w:sz w:val="20"/>
    </w:rPr>
  </w:style>
  <w:style w:type="character" w:styleId="FollowedHyperlink">
    <w:name w:val="FollowedHyperlink"/>
    <w:uiPriority w:val="99"/>
    <w:semiHidden/>
    <w:rsid w:val="00014566"/>
    <w:rPr>
      <w:color w:val="800080"/>
      <w:u w:val="single"/>
    </w:rPr>
  </w:style>
  <w:style w:type="paragraph" w:styleId="DocumentMap">
    <w:name w:val="Document Map"/>
    <w:basedOn w:val="Normal"/>
    <w:link w:val="DocumentMapChar"/>
    <w:uiPriority w:val="99"/>
    <w:semiHidden/>
    <w:rsid w:val="00014566"/>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014566"/>
    <w:rPr>
      <w:rFonts w:ascii="Tahoma" w:eastAsiaTheme="minorEastAsia" w:hAnsi="Tahoma" w:cs="Tahoma"/>
      <w:sz w:val="20"/>
      <w:shd w:val="clear" w:color="auto" w:fill="000080"/>
    </w:rPr>
  </w:style>
  <w:style w:type="character" w:customStyle="1" w:styleId="JuNames0">
    <w:name w:val="Ju_Names"/>
    <w:rsid w:val="00014566"/>
    <w:rPr>
      <w:smallCaps/>
    </w:rPr>
  </w:style>
  <w:style w:type="paragraph" w:styleId="ListBullet">
    <w:name w:val="List Bullet"/>
    <w:basedOn w:val="Normal"/>
    <w:uiPriority w:val="99"/>
    <w:semiHidden/>
    <w:rsid w:val="00014566"/>
    <w:pPr>
      <w:numPr>
        <w:numId w:val="1"/>
      </w:numPr>
    </w:pPr>
  </w:style>
  <w:style w:type="character" w:customStyle="1" w:styleId="JuITMark">
    <w:name w:val="Ju_ITMark"/>
    <w:basedOn w:val="DefaultParagraphFont"/>
    <w:uiPriority w:val="38"/>
    <w:qFormat/>
    <w:rsid w:val="00A96ED6"/>
    <w:rPr>
      <w:vanish w:val="0"/>
      <w:color w:val="auto"/>
      <w:sz w:val="14"/>
    </w:rPr>
  </w:style>
  <w:style w:type="paragraph" w:styleId="Subtitle">
    <w:name w:val="Subtitle"/>
    <w:basedOn w:val="Normal"/>
    <w:next w:val="Normal"/>
    <w:link w:val="SubtitleChar"/>
    <w:uiPriority w:val="99"/>
    <w:semiHidden/>
    <w:qFormat/>
    <w:rsid w:val="00A96ED6"/>
    <w:pPr>
      <w:spacing w:after="600"/>
    </w:pPr>
    <w:rPr>
      <w:rFonts w:asciiTheme="majorHAnsi" w:eastAsiaTheme="majorEastAsia" w:hAnsiTheme="majorHAnsi" w:cstheme="majorBidi"/>
      <w:i/>
      <w:iCs/>
      <w:spacing w:val="13"/>
      <w:szCs w:val="24"/>
      <w:lang w:bidi="en-US"/>
    </w:rPr>
  </w:style>
  <w:style w:type="character" w:customStyle="1" w:styleId="SubtitleChar">
    <w:name w:val="Subtitle Char"/>
    <w:basedOn w:val="DefaultParagraphFont"/>
    <w:link w:val="Subtitle"/>
    <w:uiPriority w:val="99"/>
    <w:semiHidden/>
    <w:rsid w:val="00A96ED6"/>
    <w:rPr>
      <w:rFonts w:asciiTheme="majorHAnsi" w:eastAsiaTheme="majorEastAsia" w:hAnsiTheme="majorHAnsi" w:cstheme="majorBidi"/>
      <w:i/>
      <w:iCs/>
      <w:spacing w:val="13"/>
      <w:sz w:val="24"/>
      <w:szCs w:val="24"/>
      <w:lang w:bidi="en-US"/>
    </w:rPr>
  </w:style>
  <w:style w:type="numbering" w:styleId="111111">
    <w:name w:val="Outline List 2"/>
    <w:basedOn w:val="NoList"/>
    <w:uiPriority w:val="99"/>
    <w:semiHidden/>
    <w:rsid w:val="00014566"/>
    <w:pPr>
      <w:numPr>
        <w:numId w:val="2"/>
      </w:numPr>
    </w:pPr>
  </w:style>
  <w:style w:type="numbering" w:styleId="1ai">
    <w:name w:val="Outline List 1"/>
    <w:basedOn w:val="NoList"/>
    <w:uiPriority w:val="99"/>
    <w:semiHidden/>
    <w:rsid w:val="00014566"/>
    <w:pPr>
      <w:numPr>
        <w:numId w:val="3"/>
      </w:numPr>
    </w:pPr>
  </w:style>
  <w:style w:type="numbering" w:styleId="ArticleSection">
    <w:name w:val="Outline List 3"/>
    <w:basedOn w:val="NoList"/>
    <w:uiPriority w:val="99"/>
    <w:semiHidden/>
    <w:rsid w:val="00014566"/>
    <w:pPr>
      <w:numPr>
        <w:numId w:val="4"/>
      </w:numPr>
    </w:pPr>
  </w:style>
  <w:style w:type="paragraph" w:styleId="Bibliography">
    <w:name w:val="Bibliography"/>
    <w:basedOn w:val="Normal"/>
    <w:next w:val="Normal"/>
    <w:uiPriority w:val="99"/>
    <w:semiHidden/>
    <w:unhideWhenUsed/>
    <w:rsid w:val="00014566"/>
  </w:style>
  <w:style w:type="paragraph" w:styleId="BlockText">
    <w:name w:val="Block Text"/>
    <w:basedOn w:val="Normal"/>
    <w:uiPriority w:val="99"/>
    <w:semiHidden/>
    <w:rsid w:val="00014566"/>
    <w:pPr>
      <w:pBdr>
        <w:top w:val="single" w:sz="2" w:space="10" w:color="0072BC" w:themeColor="accent1" w:shadow="1" w:frame="1"/>
        <w:left w:val="single" w:sz="2" w:space="10" w:color="0072BC" w:themeColor="accent1" w:shadow="1" w:frame="1"/>
        <w:bottom w:val="single" w:sz="2" w:space="10" w:color="0072BC" w:themeColor="accent1" w:shadow="1" w:frame="1"/>
        <w:right w:val="single" w:sz="2" w:space="10" w:color="0072BC" w:themeColor="accent1" w:shadow="1" w:frame="1"/>
      </w:pBdr>
      <w:ind w:left="1152" w:right="1152"/>
    </w:pPr>
    <w:rPr>
      <w:i/>
      <w:iCs/>
      <w:color w:val="0072BC" w:themeColor="accent1"/>
    </w:rPr>
  </w:style>
  <w:style w:type="paragraph" w:styleId="BodyText">
    <w:name w:val="Body Text"/>
    <w:basedOn w:val="Normal"/>
    <w:link w:val="BodyTextChar"/>
    <w:uiPriority w:val="99"/>
    <w:semiHidden/>
    <w:rsid w:val="00014566"/>
    <w:pPr>
      <w:spacing w:after="120"/>
    </w:pPr>
  </w:style>
  <w:style w:type="character" w:customStyle="1" w:styleId="BodyTextChar">
    <w:name w:val="Body Text Char"/>
    <w:basedOn w:val="DefaultParagraphFont"/>
    <w:link w:val="BodyText"/>
    <w:uiPriority w:val="99"/>
    <w:semiHidden/>
    <w:rsid w:val="00014566"/>
    <w:rPr>
      <w:rFonts w:eastAsiaTheme="minorEastAsia"/>
      <w:sz w:val="24"/>
    </w:rPr>
  </w:style>
  <w:style w:type="paragraph" w:styleId="BodyText2">
    <w:name w:val="Body Text 2"/>
    <w:basedOn w:val="Normal"/>
    <w:link w:val="BodyText2Char"/>
    <w:uiPriority w:val="99"/>
    <w:semiHidden/>
    <w:rsid w:val="00014566"/>
    <w:pPr>
      <w:spacing w:after="120" w:line="480" w:lineRule="auto"/>
    </w:pPr>
  </w:style>
  <w:style w:type="character" w:customStyle="1" w:styleId="BodyText2Char">
    <w:name w:val="Body Text 2 Char"/>
    <w:basedOn w:val="DefaultParagraphFont"/>
    <w:link w:val="BodyText2"/>
    <w:uiPriority w:val="99"/>
    <w:semiHidden/>
    <w:rsid w:val="00014566"/>
    <w:rPr>
      <w:rFonts w:eastAsiaTheme="minorEastAsia"/>
      <w:sz w:val="24"/>
    </w:rPr>
  </w:style>
  <w:style w:type="paragraph" w:styleId="BodyText3">
    <w:name w:val="Body Text 3"/>
    <w:basedOn w:val="Normal"/>
    <w:link w:val="BodyText3Char"/>
    <w:uiPriority w:val="99"/>
    <w:semiHidden/>
    <w:rsid w:val="00014566"/>
    <w:pPr>
      <w:spacing w:after="120"/>
    </w:pPr>
    <w:rPr>
      <w:sz w:val="16"/>
      <w:szCs w:val="16"/>
    </w:rPr>
  </w:style>
  <w:style w:type="character" w:customStyle="1" w:styleId="BodyText3Char">
    <w:name w:val="Body Text 3 Char"/>
    <w:basedOn w:val="DefaultParagraphFont"/>
    <w:link w:val="BodyText3"/>
    <w:uiPriority w:val="99"/>
    <w:semiHidden/>
    <w:rsid w:val="00014566"/>
    <w:rPr>
      <w:rFonts w:eastAsiaTheme="minorEastAsia"/>
      <w:sz w:val="16"/>
      <w:szCs w:val="16"/>
    </w:rPr>
  </w:style>
  <w:style w:type="paragraph" w:styleId="BodyTextFirstIndent">
    <w:name w:val="Body Text First Indent"/>
    <w:basedOn w:val="BodyText"/>
    <w:link w:val="BodyTextFirstIndentChar"/>
    <w:uiPriority w:val="99"/>
    <w:semiHidden/>
    <w:rsid w:val="00014566"/>
    <w:pPr>
      <w:spacing w:after="0"/>
      <w:ind w:firstLine="360"/>
    </w:pPr>
  </w:style>
  <w:style w:type="character" w:customStyle="1" w:styleId="BodyTextFirstIndentChar">
    <w:name w:val="Body Text First Indent Char"/>
    <w:basedOn w:val="BodyTextChar"/>
    <w:link w:val="BodyTextFirstIndent"/>
    <w:uiPriority w:val="99"/>
    <w:semiHidden/>
    <w:rsid w:val="00014566"/>
    <w:rPr>
      <w:rFonts w:eastAsiaTheme="minorEastAsia"/>
      <w:sz w:val="24"/>
    </w:rPr>
  </w:style>
  <w:style w:type="paragraph" w:styleId="BodyTextIndent">
    <w:name w:val="Body Text Indent"/>
    <w:basedOn w:val="Normal"/>
    <w:link w:val="BodyTextIndentChar"/>
    <w:uiPriority w:val="99"/>
    <w:semiHidden/>
    <w:rsid w:val="00014566"/>
    <w:pPr>
      <w:spacing w:after="120"/>
      <w:ind w:left="283"/>
    </w:pPr>
  </w:style>
  <w:style w:type="character" w:customStyle="1" w:styleId="BodyTextIndentChar">
    <w:name w:val="Body Text Indent Char"/>
    <w:basedOn w:val="DefaultParagraphFont"/>
    <w:link w:val="BodyTextIndent"/>
    <w:uiPriority w:val="99"/>
    <w:semiHidden/>
    <w:rsid w:val="00014566"/>
    <w:rPr>
      <w:rFonts w:eastAsiaTheme="minorEastAsia"/>
      <w:sz w:val="24"/>
    </w:rPr>
  </w:style>
  <w:style w:type="paragraph" w:styleId="BodyTextFirstIndent2">
    <w:name w:val="Body Text First Indent 2"/>
    <w:basedOn w:val="BodyTextIndent"/>
    <w:link w:val="BodyTextFirstIndent2Char"/>
    <w:uiPriority w:val="99"/>
    <w:semiHidden/>
    <w:rsid w:val="00014566"/>
    <w:pPr>
      <w:spacing w:after="0"/>
      <w:ind w:left="360" w:firstLine="360"/>
    </w:pPr>
  </w:style>
  <w:style w:type="character" w:customStyle="1" w:styleId="BodyTextFirstIndent2Char">
    <w:name w:val="Body Text First Indent 2 Char"/>
    <w:basedOn w:val="BodyTextIndentChar"/>
    <w:link w:val="BodyTextFirstIndent2"/>
    <w:uiPriority w:val="99"/>
    <w:semiHidden/>
    <w:rsid w:val="00014566"/>
    <w:rPr>
      <w:rFonts w:eastAsiaTheme="minorEastAsia"/>
      <w:sz w:val="24"/>
    </w:rPr>
  </w:style>
  <w:style w:type="paragraph" w:styleId="BodyTextIndent2">
    <w:name w:val="Body Text Indent 2"/>
    <w:basedOn w:val="Normal"/>
    <w:link w:val="BodyTextIndent2Char"/>
    <w:uiPriority w:val="99"/>
    <w:semiHidden/>
    <w:rsid w:val="00014566"/>
    <w:pPr>
      <w:spacing w:after="120" w:line="480" w:lineRule="auto"/>
      <w:ind w:left="283"/>
    </w:pPr>
  </w:style>
  <w:style w:type="character" w:customStyle="1" w:styleId="BodyTextIndent2Char">
    <w:name w:val="Body Text Indent 2 Char"/>
    <w:basedOn w:val="DefaultParagraphFont"/>
    <w:link w:val="BodyTextIndent2"/>
    <w:uiPriority w:val="99"/>
    <w:semiHidden/>
    <w:rsid w:val="00014566"/>
    <w:rPr>
      <w:rFonts w:eastAsiaTheme="minorEastAsia"/>
      <w:sz w:val="24"/>
    </w:rPr>
  </w:style>
  <w:style w:type="paragraph" w:styleId="BodyTextIndent3">
    <w:name w:val="Body Text Indent 3"/>
    <w:basedOn w:val="Normal"/>
    <w:link w:val="BodyTextIndent3Char"/>
    <w:uiPriority w:val="99"/>
    <w:semiHidden/>
    <w:rsid w:val="0001456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14566"/>
    <w:rPr>
      <w:rFonts w:eastAsiaTheme="minorEastAsia"/>
      <w:sz w:val="16"/>
      <w:szCs w:val="16"/>
    </w:rPr>
  </w:style>
  <w:style w:type="paragraph" w:styleId="Caption">
    <w:name w:val="caption"/>
    <w:basedOn w:val="Normal"/>
    <w:next w:val="Normal"/>
    <w:uiPriority w:val="99"/>
    <w:semiHidden/>
    <w:qFormat/>
    <w:rsid w:val="00014566"/>
    <w:pPr>
      <w:spacing w:after="200"/>
    </w:pPr>
    <w:rPr>
      <w:b/>
      <w:bCs/>
      <w:color w:val="0072BC" w:themeColor="accent1"/>
      <w:sz w:val="18"/>
      <w:szCs w:val="18"/>
    </w:rPr>
  </w:style>
  <w:style w:type="paragraph" w:styleId="Closing">
    <w:name w:val="Closing"/>
    <w:basedOn w:val="Normal"/>
    <w:link w:val="ClosingChar"/>
    <w:uiPriority w:val="99"/>
    <w:semiHidden/>
    <w:rsid w:val="00014566"/>
    <w:pPr>
      <w:ind w:left="4252"/>
    </w:pPr>
  </w:style>
  <w:style w:type="character" w:customStyle="1" w:styleId="ClosingChar">
    <w:name w:val="Closing Char"/>
    <w:basedOn w:val="DefaultParagraphFont"/>
    <w:link w:val="Closing"/>
    <w:uiPriority w:val="99"/>
    <w:semiHidden/>
    <w:rsid w:val="00014566"/>
    <w:rPr>
      <w:rFonts w:eastAsiaTheme="minorEastAsia"/>
      <w:sz w:val="24"/>
    </w:rPr>
  </w:style>
  <w:style w:type="table" w:styleId="ColorfulGrid">
    <w:name w:val="Colorful Grid"/>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0072BC" w:themeColor="background1"/>
      </w:rPr>
      <w:tblPr/>
      <w:tcPr>
        <w:shd w:val="clear" w:color="auto" w:fill="000000" w:themeFill="text1" w:themeFillShade="BF"/>
      </w:tcPr>
    </w:tblStylePr>
    <w:tblStylePr w:type="lastCol">
      <w:rPr>
        <w:color w:val="0072BC"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BEE5FF" w:themeFill="accent1" w:themeFillTint="33"/>
    </w:tcPr>
    <w:tblStylePr w:type="firstRow">
      <w:rPr>
        <w:b/>
        <w:bCs/>
      </w:rPr>
      <w:tblPr/>
      <w:tcPr>
        <w:shd w:val="clear" w:color="auto" w:fill="7ECBFF" w:themeFill="accent1" w:themeFillTint="66"/>
      </w:tcPr>
    </w:tblStylePr>
    <w:tblStylePr w:type="lastRow">
      <w:rPr>
        <w:b/>
        <w:bCs/>
        <w:color w:val="000000" w:themeColor="text1"/>
      </w:rPr>
      <w:tblPr/>
      <w:tcPr>
        <w:shd w:val="clear" w:color="auto" w:fill="7ECBFF" w:themeFill="accent1" w:themeFillTint="66"/>
      </w:tcPr>
    </w:tblStylePr>
    <w:tblStylePr w:type="firstCol">
      <w:rPr>
        <w:color w:val="0072BC" w:themeColor="background1"/>
      </w:rPr>
      <w:tblPr/>
      <w:tcPr>
        <w:shd w:val="clear" w:color="auto" w:fill="00548C" w:themeFill="accent1" w:themeFillShade="BF"/>
      </w:tcPr>
    </w:tblStylePr>
    <w:tblStylePr w:type="lastCol">
      <w:rPr>
        <w:color w:val="0072BC" w:themeColor="background1"/>
      </w:rPr>
      <w:tblPr/>
      <w:tcPr>
        <w:shd w:val="clear" w:color="auto" w:fill="00548C" w:themeFill="accent1" w:themeFillShade="BF"/>
      </w:tc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ColorfulGrid-Accent2">
    <w:name w:val="Colorful Grid Accent 2"/>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FFBFBF" w:themeFill="accent2" w:themeFillTint="33"/>
    </w:tcPr>
    <w:tblStylePr w:type="firstRow">
      <w:rPr>
        <w:b/>
        <w:bCs/>
      </w:rPr>
      <w:tblPr/>
      <w:tcPr>
        <w:shd w:val="clear" w:color="auto" w:fill="FF7F7F" w:themeFill="accent2" w:themeFillTint="66"/>
      </w:tcPr>
    </w:tblStylePr>
    <w:tblStylePr w:type="lastRow">
      <w:rPr>
        <w:b/>
        <w:bCs/>
        <w:color w:val="000000" w:themeColor="text1"/>
      </w:rPr>
      <w:tblPr/>
      <w:tcPr>
        <w:shd w:val="clear" w:color="auto" w:fill="FF7F7F" w:themeFill="accent2" w:themeFillTint="66"/>
      </w:tcPr>
    </w:tblStylePr>
    <w:tblStylePr w:type="firstCol">
      <w:rPr>
        <w:color w:val="0072BC" w:themeColor="background1"/>
      </w:rPr>
      <w:tblPr/>
      <w:tcPr>
        <w:shd w:val="clear" w:color="auto" w:fill="8F0000" w:themeFill="accent2" w:themeFillShade="BF"/>
      </w:tcPr>
    </w:tblStylePr>
    <w:tblStylePr w:type="lastCol">
      <w:rPr>
        <w:color w:val="0072BC" w:themeColor="background1"/>
      </w:rPr>
      <w:tblPr/>
      <w:tcPr>
        <w:shd w:val="clear" w:color="auto" w:fill="8F0000" w:themeFill="accent2" w:themeFillShade="BF"/>
      </w:tc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ColorfulGrid-Accent3">
    <w:name w:val="Colorful Grid Accent 3"/>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DFDFDF" w:themeFill="accent3" w:themeFillTint="33"/>
    </w:tcPr>
    <w:tblStylePr w:type="firstRow">
      <w:rPr>
        <w:b/>
        <w:bCs/>
      </w:rPr>
      <w:tblPr/>
      <w:tcPr>
        <w:shd w:val="clear" w:color="auto" w:fill="BFBFBF" w:themeFill="accent3" w:themeFillTint="66"/>
      </w:tcPr>
    </w:tblStylePr>
    <w:tblStylePr w:type="lastRow">
      <w:rPr>
        <w:b/>
        <w:bCs/>
        <w:color w:val="000000" w:themeColor="text1"/>
      </w:rPr>
      <w:tblPr/>
      <w:tcPr>
        <w:shd w:val="clear" w:color="auto" w:fill="BFBFBF" w:themeFill="accent3" w:themeFillTint="66"/>
      </w:tcPr>
    </w:tblStylePr>
    <w:tblStylePr w:type="firstCol">
      <w:rPr>
        <w:color w:val="0072BC" w:themeColor="background1"/>
      </w:rPr>
      <w:tblPr/>
      <w:tcPr>
        <w:shd w:val="clear" w:color="auto" w:fill="474747" w:themeFill="accent3" w:themeFillShade="BF"/>
      </w:tcPr>
    </w:tblStylePr>
    <w:tblStylePr w:type="lastCol">
      <w:rPr>
        <w:color w:val="0072BC" w:themeColor="background1"/>
      </w:rPr>
      <w:tblPr/>
      <w:tcPr>
        <w:shd w:val="clear" w:color="auto" w:fill="474747" w:themeFill="accent3" w:themeFillShade="BF"/>
      </w:tc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ColorfulGrid-Accent4">
    <w:name w:val="Colorful Grid Accent 4"/>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EAEAEA" w:themeFill="accent4" w:themeFillTint="33"/>
    </w:tcPr>
    <w:tblStylePr w:type="firstRow">
      <w:rPr>
        <w:b/>
        <w:bCs/>
      </w:rPr>
      <w:tblPr/>
      <w:tcPr>
        <w:shd w:val="clear" w:color="auto" w:fill="D5D5D5" w:themeFill="accent4" w:themeFillTint="66"/>
      </w:tcPr>
    </w:tblStylePr>
    <w:tblStylePr w:type="lastRow">
      <w:rPr>
        <w:b/>
        <w:bCs/>
        <w:color w:val="000000" w:themeColor="text1"/>
      </w:rPr>
      <w:tblPr/>
      <w:tcPr>
        <w:shd w:val="clear" w:color="auto" w:fill="D5D5D5" w:themeFill="accent4" w:themeFillTint="66"/>
      </w:tcPr>
    </w:tblStylePr>
    <w:tblStylePr w:type="firstCol">
      <w:rPr>
        <w:color w:val="0072BC" w:themeColor="background1"/>
      </w:rPr>
      <w:tblPr/>
      <w:tcPr>
        <w:shd w:val="clear" w:color="auto" w:fill="707070" w:themeFill="accent4" w:themeFillShade="BF"/>
      </w:tcPr>
    </w:tblStylePr>
    <w:tblStylePr w:type="lastCol">
      <w:rPr>
        <w:color w:val="0072BC" w:themeColor="background1"/>
      </w:rPr>
      <w:tblPr/>
      <w:tcPr>
        <w:shd w:val="clear" w:color="auto" w:fill="707070" w:themeFill="accent4" w:themeFillShade="BF"/>
      </w:tc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ColorfulGrid-Accent5">
    <w:name w:val="Colorful Grid Accent 5"/>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0072BC" w:themeColor="background1"/>
      </w:rPr>
      <w:tblPr/>
      <w:tcPr>
        <w:shd w:val="clear" w:color="auto" w:fill="474747" w:themeFill="accent5" w:themeFillShade="BF"/>
      </w:tcPr>
    </w:tblStylePr>
    <w:tblStylePr w:type="lastCol">
      <w:rPr>
        <w:color w:val="0072BC"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99"/>
    <w:semiHidden/>
    <w:rsid w:val="00014566"/>
    <w:rPr>
      <w:color w:val="000000" w:themeColor="text1"/>
      <w:lang w:eastAsia="fr-FR"/>
    </w:rPr>
    <w:tblPr>
      <w:tblStyleRowBandSize w:val="1"/>
      <w:tblStyleColBandSize w:val="1"/>
      <w:tblBorders>
        <w:insideH w:val="single" w:sz="4" w:space="0" w:color="0072BC"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0072BC" w:themeColor="background1"/>
      </w:rPr>
      <w:tblPr/>
      <w:tcPr>
        <w:shd w:val="clear" w:color="auto" w:fill="393939" w:themeFill="accent6" w:themeFillShade="BF"/>
      </w:tcPr>
    </w:tblStylePr>
    <w:tblStylePr w:type="lastCol">
      <w:rPr>
        <w:color w:val="0072BC"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99"/>
    <w:semiHidden/>
    <w:rsid w:val="00014566"/>
    <w:rPr>
      <w:color w:val="000000" w:themeColor="text1"/>
      <w:lang w:eastAsia="fr-FR"/>
    </w:rPr>
    <w:tblPr>
      <w:tblStyleRowBandSize w:val="1"/>
      <w:tblStyleColBandSize w:val="1"/>
    </w:tblPr>
    <w:tcPr>
      <w:shd w:val="clear" w:color="auto" w:fill="E6E6E6" w:themeFill="tex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rsid w:val="00014566"/>
    <w:rPr>
      <w:color w:val="000000" w:themeColor="text1"/>
      <w:lang w:eastAsia="fr-FR"/>
    </w:rPr>
    <w:tblPr>
      <w:tblStyleRowBandSize w:val="1"/>
      <w:tblStyleColBandSize w:val="1"/>
    </w:tblPr>
    <w:tcPr>
      <w:shd w:val="clear" w:color="auto" w:fill="DFF2FF" w:themeFill="accent1"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FFF" w:themeFill="accent1" w:themeFillTint="3F"/>
      </w:tcPr>
    </w:tblStylePr>
    <w:tblStylePr w:type="band1Horz">
      <w:tblPr/>
      <w:tcPr>
        <w:shd w:val="clear" w:color="auto" w:fill="BEE5FF" w:themeFill="accent1" w:themeFillTint="33"/>
      </w:tcPr>
    </w:tblStylePr>
  </w:style>
  <w:style w:type="table" w:styleId="ColorfulList-Accent2">
    <w:name w:val="Colorful List Accent 2"/>
    <w:basedOn w:val="TableNormal"/>
    <w:uiPriority w:val="99"/>
    <w:semiHidden/>
    <w:rsid w:val="00014566"/>
    <w:rPr>
      <w:color w:val="000000" w:themeColor="text1"/>
      <w:lang w:eastAsia="fr-FR"/>
    </w:rPr>
    <w:tblPr>
      <w:tblStyleRowBandSize w:val="1"/>
      <w:tblStyleColBandSize w:val="1"/>
    </w:tblPr>
    <w:tcPr>
      <w:shd w:val="clear" w:color="auto" w:fill="FFDFDF" w:themeFill="accent2" w:themeFillTint="19"/>
    </w:tcPr>
    <w:tblStylePr w:type="firstRow">
      <w:rPr>
        <w:b/>
        <w:bCs/>
        <w:color w:val="0072BC" w:themeColor="background1"/>
      </w:rPr>
      <w:tblPr/>
      <w:tcPr>
        <w:tcBorders>
          <w:bottom w:val="single" w:sz="12" w:space="0" w:color="0072BC" w:themeColor="background1"/>
        </w:tcBorders>
        <w:shd w:val="clear" w:color="auto" w:fill="990000" w:themeFill="accent2" w:themeFillShade="CC"/>
      </w:tcPr>
    </w:tblStylePr>
    <w:tblStylePr w:type="lastRow">
      <w:rPr>
        <w:b/>
        <w:bCs/>
        <w:color w:val="990000" w:themeColor="accent2"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0B0" w:themeFill="accent2" w:themeFillTint="3F"/>
      </w:tcPr>
    </w:tblStylePr>
    <w:tblStylePr w:type="band1Horz">
      <w:tblPr/>
      <w:tcPr>
        <w:shd w:val="clear" w:color="auto" w:fill="FFBFBF" w:themeFill="accent2" w:themeFillTint="33"/>
      </w:tcPr>
    </w:tblStylePr>
  </w:style>
  <w:style w:type="table" w:styleId="ColorfulList-Accent3">
    <w:name w:val="Colorful List Accent 3"/>
    <w:basedOn w:val="TableNormal"/>
    <w:uiPriority w:val="99"/>
    <w:semiHidden/>
    <w:rsid w:val="00014566"/>
    <w:rPr>
      <w:color w:val="000000" w:themeColor="text1"/>
      <w:lang w:eastAsia="fr-FR"/>
    </w:rPr>
    <w:tblPr>
      <w:tblStyleRowBandSize w:val="1"/>
      <w:tblStyleColBandSize w:val="1"/>
    </w:tblPr>
    <w:tcPr>
      <w:shd w:val="clear" w:color="auto" w:fill="EFEFEF" w:themeFill="accent3" w:themeFillTint="19"/>
    </w:tcPr>
    <w:tblStylePr w:type="firstRow">
      <w:rPr>
        <w:b/>
        <w:bCs/>
        <w:color w:val="0072BC" w:themeColor="background1"/>
      </w:rPr>
      <w:tblPr/>
      <w:tcPr>
        <w:tcBorders>
          <w:bottom w:val="single" w:sz="12" w:space="0" w:color="0072BC" w:themeColor="background1"/>
        </w:tcBorders>
        <w:shd w:val="clear" w:color="auto" w:fill="787878" w:themeFill="accent4" w:themeFillShade="CC"/>
      </w:tcPr>
    </w:tblStylePr>
    <w:tblStylePr w:type="lastRow">
      <w:rPr>
        <w:b/>
        <w:bCs/>
        <w:color w:val="787878" w:themeColor="accent4"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3" w:themeFillTint="3F"/>
      </w:tcPr>
    </w:tblStylePr>
    <w:tblStylePr w:type="band1Horz">
      <w:tblPr/>
      <w:tcPr>
        <w:shd w:val="clear" w:color="auto" w:fill="DFDFDF" w:themeFill="accent3" w:themeFillTint="33"/>
      </w:tcPr>
    </w:tblStylePr>
  </w:style>
  <w:style w:type="table" w:styleId="ColorfulList-Accent4">
    <w:name w:val="Colorful List Accent 4"/>
    <w:basedOn w:val="TableNormal"/>
    <w:uiPriority w:val="99"/>
    <w:semiHidden/>
    <w:rsid w:val="00014566"/>
    <w:rPr>
      <w:color w:val="000000" w:themeColor="text1"/>
      <w:lang w:eastAsia="fr-FR"/>
    </w:rPr>
    <w:tblPr>
      <w:tblStyleRowBandSize w:val="1"/>
      <w:tblStyleColBandSize w:val="1"/>
    </w:tblPr>
    <w:tcPr>
      <w:shd w:val="clear" w:color="auto" w:fill="F4F4F4" w:themeFill="accent4" w:themeFillTint="19"/>
    </w:tcPr>
    <w:tblStylePr w:type="firstRow">
      <w:rPr>
        <w:b/>
        <w:bCs/>
        <w:color w:val="0072BC" w:themeColor="background1"/>
      </w:rPr>
      <w:tblPr/>
      <w:tcPr>
        <w:tcBorders>
          <w:bottom w:val="single" w:sz="12" w:space="0" w:color="0072BC" w:themeColor="background1"/>
        </w:tcBorders>
        <w:shd w:val="clear" w:color="auto" w:fill="4C4C4C" w:themeFill="accent3" w:themeFillShade="CC"/>
      </w:tcPr>
    </w:tblStylePr>
    <w:tblStylePr w:type="lastRow">
      <w:rPr>
        <w:b/>
        <w:bCs/>
        <w:color w:val="4C4C4C" w:themeColor="accent3"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4" w:themeFillTint="3F"/>
      </w:tcPr>
    </w:tblStylePr>
    <w:tblStylePr w:type="band1Horz">
      <w:tblPr/>
      <w:tcPr>
        <w:shd w:val="clear" w:color="auto" w:fill="EAEAEA" w:themeFill="accent4" w:themeFillTint="33"/>
      </w:tcPr>
    </w:tblStylePr>
  </w:style>
  <w:style w:type="table" w:styleId="ColorfulList-Accent5">
    <w:name w:val="Colorful List Accent 5"/>
    <w:basedOn w:val="TableNormal"/>
    <w:uiPriority w:val="99"/>
    <w:semiHidden/>
    <w:rsid w:val="00014566"/>
    <w:rPr>
      <w:color w:val="000000" w:themeColor="text1"/>
      <w:lang w:eastAsia="fr-FR"/>
    </w:rPr>
    <w:tblPr>
      <w:tblStyleRowBandSize w:val="1"/>
      <w:tblStyleColBandSize w:val="1"/>
    </w:tblPr>
    <w:tcPr>
      <w:shd w:val="clear" w:color="auto" w:fill="EFEFEF" w:themeFill="accent5" w:themeFillTint="19"/>
    </w:tcPr>
    <w:tblStylePr w:type="firstRow">
      <w:rPr>
        <w:b/>
        <w:bCs/>
        <w:color w:val="0072BC" w:themeColor="background1"/>
      </w:rPr>
      <w:tblPr/>
      <w:tcPr>
        <w:tcBorders>
          <w:bottom w:val="single" w:sz="12" w:space="0" w:color="0072BC"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99"/>
    <w:semiHidden/>
    <w:rsid w:val="00014566"/>
    <w:rPr>
      <w:color w:val="000000" w:themeColor="text1"/>
      <w:lang w:eastAsia="fr-FR"/>
    </w:rPr>
    <w:tblPr>
      <w:tblStyleRowBandSize w:val="1"/>
      <w:tblStyleColBandSize w:val="1"/>
    </w:tblPr>
    <w:tcPr>
      <w:shd w:val="clear" w:color="auto" w:fill="EDEDED" w:themeFill="accent6" w:themeFillTint="19"/>
    </w:tcPr>
    <w:tblStylePr w:type="firstRow">
      <w:rPr>
        <w:b/>
        <w:bCs/>
        <w:color w:val="0072BC" w:themeColor="background1"/>
      </w:rPr>
      <w:tblPr/>
      <w:tcPr>
        <w:tcBorders>
          <w:bottom w:val="single" w:sz="12" w:space="0" w:color="0072BC"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0072BC"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99"/>
    <w:semiHidden/>
    <w:rsid w:val="00014566"/>
    <w:rPr>
      <w:color w:val="000000" w:themeColor="text1"/>
      <w:lang w:eastAsia="fr-FR"/>
    </w:rPr>
    <w:tblPr>
      <w:tblStyleRowBandSize w:val="1"/>
      <w:tblStyleColBandSize w:val="1"/>
      <w:tblBorders>
        <w:top w:val="single" w:sz="24" w:space="0" w:color="C00000" w:themeColor="accent2"/>
        <w:left w:val="single" w:sz="4" w:space="0" w:color="000000" w:themeColor="text1"/>
        <w:bottom w:val="single" w:sz="4" w:space="0" w:color="000000" w:themeColor="text1"/>
        <w:right w:val="single" w:sz="4" w:space="0" w:color="000000" w:themeColor="text1"/>
        <w:insideH w:val="single" w:sz="4" w:space="0" w:color="0072BC" w:themeColor="background1"/>
        <w:insideV w:val="single" w:sz="4" w:space="0" w:color="0072BC" w:themeColor="background1"/>
      </w:tblBorders>
    </w:tblPr>
    <w:tcPr>
      <w:shd w:val="clear" w:color="auto" w:fill="E6E6E6" w:themeFill="tex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0000" w:themeFill="text1" w:themeFillShade="99"/>
      </w:tcPr>
    </w:tblStylePr>
    <w:tblStylePr w:type="firstCol">
      <w:rPr>
        <w:color w:val="0072BC"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0072BC"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rsid w:val="00014566"/>
    <w:rPr>
      <w:color w:val="000000" w:themeColor="text1"/>
      <w:lang w:eastAsia="fr-FR"/>
    </w:rPr>
    <w:tblPr>
      <w:tblStyleRowBandSize w:val="1"/>
      <w:tblStyleColBandSize w:val="1"/>
      <w:tblBorders>
        <w:top w:val="single" w:sz="24" w:space="0" w:color="C00000" w:themeColor="accent2"/>
        <w:left w:val="single" w:sz="4" w:space="0" w:color="0072BC" w:themeColor="accent1"/>
        <w:bottom w:val="single" w:sz="4" w:space="0" w:color="0072BC" w:themeColor="accent1"/>
        <w:right w:val="single" w:sz="4" w:space="0" w:color="0072BC" w:themeColor="accent1"/>
        <w:insideH w:val="single" w:sz="4" w:space="0" w:color="0072BC" w:themeColor="background1"/>
        <w:insideV w:val="single" w:sz="4" w:space="0" w:color="0072BC" w:themeColor="background1"/>
      </w:tblBorders>
    </w:tblPr>
    <w:tcPr>
      <w:shd w:val="clear" w:color="auto" w:fill="DFF2FF" w:themeFill="accent1"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004470" w:themeFill="accent1" w:themeFillShade="99"/>
      </w:tcPr>
    </w:tblStylePr>
    <w:tblStylePr w:type="firstCol">
      <w:rPr>
        <w:color w:val="0072BC" w:themeColor="background1"/>
      </w:rPr>
      <w:tblPr/>
      <w:tcPr>
        <w:tcBorders>
          <w:top w:val="nil"/>
          <w:left w:val="nil"/>
          <w:bottom w:val="nil"/>
          <w:right w:val="nil"/>
          <w:insideH w:val="single" w:sz="4" w:space="0" w:color="004470" w:themeColor="accent1" w:themeShade="99"/>
          <w:insideV w:val="nil"/>
        </w:tcBorders>
        <w:shd w:val="clear" w:color="auto" w:fill="004470" w:themeFill="accent1" w:themeFillShade="99"/>
      </w:tcPr>
    </w:tblStylePr>
    <w:tblStylePr w:type="lastCol">
      <w:rPr>
        <w:color w:val="0072BC" w:themeColor="background1"/>
      </w:rPr>
      <w:tblPr/>
      <w:tcPr>
        <w:tcBorders>
          <w:top w:val="nil"/>
          <w:left w:val="nil"/>
          <w:bottom w:val="nil"/>
          <w:right w:val="nil"/>
          <w:insideH w:val="nil"/>
          <w:insideV w:val="nil"/>
        </w:tcBorders>
        <w:shd w:val="clear" w:color="auto" w:fill="004470" w:themeFill="accent1" w:themeFillShade="99"/>
      </w:tcPr>
    </w:tblStylePr>
    <w:tblStylePr w:type="band1Vert">
      <w:tblPr/>
      <w:tcPr>
        <w:shd w:val="clear" w:color="auto" w:fill="7ECBFF" w:themeFill="accent1" w:themeFillTint="66"/>
      </w:tcPr>
    </w:tblStylePr>
    <w:tblStylePr w:type="band1Horz">
      <w:tblPr/>
      <w:tcPr>
        <w:shd w:val="clear" w:color="auto" w:fill="5EBF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rsid w:val="00014566"/>
    <w:rPr>
      <w:color w:val="000000" w:themeColor="text1"/>
      <w:lang w:eastAsia="fr-FR"/>
    </w:rPr>
    <w:tblPr>
      <w:tblStyleRowBandSize w:val="1"/>
      <w:tblStyleColBandSize w:val="1"/>
      <w:tblBorders>
        <w:top w:val="single" w:sz="24" w:space="0" w:color="C00000" w:themeColor="accent2"/>
        <w:left w:val="single" w:sz="4" w:space="0" w:color="C00000" w:themeColor="accent2"/>
        <w:bottom w:val="single" w:sz="4" w:space="0" w:color="C00000" w:themeColor="accent2"/>
        <w:right w:val="single" w:sz="4" w:space="0" w:color="C00000" w:themeColor="accent2"/>
        <w:insideH w:val="single" w:sz="4" w:space="0" w:color="0072BC" w:themeColor="background1"/>
        <w:insideV w:val="single" w:sz="4" w:space="0" w:color="0072BC" w:themeColor="background1"/>
      </w:tblBorders>
    </w:tblPr>
    <w:tcPr>
      <w:shd w:val="clear" w:color="auto" w:fill="FFDFDF" w:themeFill="accent2" w:themeFillTint="19"/>
    </w:tcPr>
    <w:tblStylePr w:type="firstRow">
      <w:rPr>
        <w:b/>
        <w:bCs/>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730000" w:themeFill="accent2" w:themeFillShade="99"/>
      </w:tcPr>
    </w:tblStylePr>
    <w:tblStylePr w:type="firstCol">
      <w:rPr>
        <w:color w:val="0072BC" w:themeColor="background1"/>
      </w:rPr>
      <w:tblPr/>
      <w:tcPr>
        <w:tcBorders>
          <w:top w:val="nil"/>
          <w:left w:val="nil"/>
          <w:bottom w:val="nil"/>
          <w:right w:val="nil"/>
          <w:insideH w:val="single" w:sz="4" w:space="0" w:color="730000" w:themeColor="accent2" w:themeShade="99"/>
          <w:insideV w:val="nil"/>
        </w:tcBorders>
        <w:shd w:val="clear" w:color="auto" w:fill="730000" w:themeFill="accent2" w:themeFillShade="99"/>
      </w:tcPr>
    </w:tblStylePr>
    <w:tblStylePr w:type="lastCol">
      <w:rPr>
        <w:color w:val="0072BC" w:themeColor="background1"/>
      </w:rPr>
      <w:tblPr/>
      <w:tcPr>
        <w:tcBorders>
          <w:top w:val="nil"/>
          <w:left w:val="nil"/>
          <w:bottom w:val="nil"/>
          <w:right w:val="nil"/>
          <w:insideH w:val="nil"/>
          <w:insideV w:val="nil"/>
        </w:tcBorders>
        <w:shd w:val="clear" w:color="auto" w:fill="730000" w:themeFill="accent2" w:themeFillShade="99"/>
      </w:tcPr>
    </w:tblStylePr>
    <w:tblStylePr w:type="band1Vert">
      <w:tblPr/>
      <w:tcPr>
        <w:shd w:val="clear" w:color="auto" w:fill="FF7F7F" w:themeFill="accent2" w:themeFillTint="66"/>
      </w:tcPr>
    </w:tblStylePr>
    <w:tblStylePr w:type="band1Horz">
      <w:tblPr/>
      <w:tcPr>
        <w:shd w:val="clear" w:color="auto" w:fill="FF606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rsid w:val="00014566"/>
    <w:rPr>
      <w:color w:val="000000" w:themeColor="text1"/>
      <w:lang w:eastAsia="fr-FR"/>
    </w:rPr>
    <w:tblPr>
      <w:tblStyleRowBandSize w:val="1"/>
      <w:tblStyleColBandSize w:val="1"/>
      <w:tblBorders>
        <w:top w:val="single" w:sz="24" w:space="0" w:color="969696" w:themeColor="accent4"/>
        <w:left w:val="single" w:sz="4" w:space="0" w:color="5F5F5F" w:themeColor="accent3"/>
        <w:bottom w:val="single" w:sz="4" w:space="0" w:color="5F5F5F" w:themeColor="accent3"/>
        <w:right w:val="single" w:sz="4" w:space="0" w:color="5F5F5F" w:themeColor="accent3"/>
        <w:insideH w:val="single" w:sz="4" w:space="0" w:color="0072BC" w:themeColor="background1"/>
        <w:insideV w:val="single" w:sz="4" w:space="0" w:color="0072BC" w:themeColor="background1"/>
      </w:tblBorders>
    </w:tblPr>
    <w:tcPr>
      <w:shd w:val="clear" w:color="auto" w:fill="EFEFEF" w:themeFill="accent3" w:themeFillTint="19"/>
    </w:tcPr>
    <w:tblStylePr w:type="firstRow">
      <w:rPr>
        <w:b/>
        <w:bCs/>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3" w:themeFillShade="99"/>
      </w:tcPr>
    </w:tblStylePr>
    <w:tblStylePr w:type="firstCol">
      <w:rPr>
        <w:color w:val="0072BC" w:themeColor="background1"/>
      </w:rPr>
      <w:tblPr/>
      <w:tcPr>
        <w:tcBorders>
          <w:top w:val="nil"/>
          <w:left w:val="nil"/>
          <w:bottom w:val="nil"/>
          <w:right w:val="nil"/>
          <w:insideH w:val="single" w:sz="4" w:space="0" w:color="393939" w:themeColor="accent3" w:themeShade="99"/>
          <w:insideV w:val="nil"/>
        </w:tcBorders>
        <w:shd w:val="clear" w:color="auto" w:fill="393939" w:themeFill="accent3"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3" w:themeFillShade="99"/>
      </w:tcPr>
    </w:tblStylePr>
    <w:tblStylePr w:type="band1Vert">
      <w:tblPr/>
      <w:tcPr>
        <w:shd w:val="clear" w:color="auto" w:fill="BFBFBF" w:themeFill="accent3" w:themeFillTint="66"/>
      </w:tcPr>
    </w:tblStylePr>
    <w:tblStylePr w:type="band1Horz">
      <w:tblPr/>
      <w:tcPr>
        <w:shd w:val="clear" w:color="auto" w:fill="AFAFAF" w:themeFill="accent3" w:themeFillTint="7F"/>
      </w:tcPr>
    </w:tblStylePr>
  </w:style>
  <w:style w:type="table" w:styleId="ColorfulShading-Accent4">
    <w:name w:val="Colorful Shading Accent 4"/>
    <w:basedOn w:val="TableNormal"/>
    <w:uiPriority w:val="99"/>
    <w:semiHidden/>
    <w:rsid w:val="00014566"/>
    <w:rPr>
      <w:color w:val="000000" w:themeColor="text1"/>
      <w:lang w:eastAsia="fr-FR"/>
    </w:rPr>
    <w:tblPr>
      <w:tblStyleRowBandSize w:val="1"/>
      <w:tblStyleColBandSize w:val="1"/>
      <w:tblBorders>
        <w:top w:val="single" w:sz="24" w:space="0" w:color="5F5F5F" w:themeColor="accent3"/>
        <w:left w:val="single" w:sz="4" w:space="0" w:color="969696" w:themeColor="accent4"/>
        <w:bottom w:val="single" w:sz="4" w:space="0" w:color="969696" w:themeColor="accent4"/>
        <w:right w:val="single" w:sz="4" w:space="0" w:color="969696" w:themeColor="accent4"/>
        <w:insideH w:val="single" w:sz="4" w:space="0" w:color="0072BC" w:themeColor="background1"/>
        <w:insideV w:val="single" w:sz="4" w:space="0" w:color="0072BC" w:themeColor="background1"/>
      </w:tblBorders>
    </w:tblPr>
    <w:tcPr>
      <w:shd w:val="clear" w:color="auto" w:fill="F4F4F4" w:themeFill="accent4" w:themeFillTint="19"/>
    </w:tcPr>
    <w:tblStylePr w:type="firstRow">
      <w:rPr>
        <w:b/>
        <w:bCs/>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5A5A5A" w:themeFill="accent4" w:themeFillShade="99"/>
      </w:tcPr>
    </w:tblStylePr>
    <w:tblStylePr w:type="firstCol">
      <w:rPr>
        <w:color w:val="0072BC" w:themeColor="background1"/>
      </w:rPr>
      <w:tblPr/>
      <w:tcPr>
        <w:tcBorders>
          <w:top w:val="nil"/>
          <w:left w:val="nil"/>
          <w:bottom w:val="nil"/>
          <w:right w:val="nil"/>
          <w:insideH w:val="single" w:sz="4" w:space="0" w:color="5A5A5A" w:themeColor="accent4" w:themeShade="99"/>
          <w:insideV w:val="nil"/>
        </w:tcBorders>
        <w:shd w:val="clear" w:color="auto" w:fill="5A5A5A" w:themeFill="accent4" w:themeFillShade="99"/>
      </w:tcPr>
    </w:tblStylePr>
    <w:tblStylePr w:type="lastCol">
      <w:rPr>
        <w:color w:val="0072BC" w:themeColor="background1"/>
      </w:rPr>
      <w:tblPr/>
      <w:tcPr>
        <w:tcBorders>
          <w:top w:val="nil"/>
          <w:left w:val="nil"/>
          <w:bottom w:val="nil"/>
          <w:right w:val="nil"/>
          <w:insideH w:val="nil"/>
          <w:insideV w:val="nil"/>
        </w:tcBorders>
        <w:shd w:val="clear" w:color="auto" w:fill="5A5A5A" w:themeFill="accent4" w:themeFillShade="99"/>
      </w:tcPr>
    </w:tblStylePr>
    <w:tblStylePr w:type="band1Vert">
      <w:tblPr/>
      <w:tcPr>
        <w:shd w:val="clear" w:color="auto" w:fill="D5D5D5" w:themeFill="accent4" w:themeFillTint="66"/>
      </w:tcPr>
    </w:tblStylePr>
    <w:tblStylePr w:type="band1Horz">
      <w:tblPr/>
      <w:tcPr>
        <w:shd w:val="clear" w:color="auto" w:fill="CACACA"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rsid w:val="00014566"/>
    <w:rPr>
      <w:color w:val="000000" w:themeColor="text1"/>
      <w:lang w:eastAsia="fr-FR"/>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0072BC" w:themeColor="background1"/>
        <w:insideV w:val="single" w:sz="4" w:space="0" w:color="0072BC"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393939" w:themeFill="accent5" w:themeFillShade="99"/>
      </w:tcPr>
    </w:tblStylePr>
    <w:tblStylePr w:type="firstCol">
      <w:rPr>
        <w:color w:val="0072BC"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0072BC"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rsid w:val="00014566"/>
    <w:rPr>
      <w:color w:val="000000" w:themeColor="text1"/>
      <w:lang w:eastAsia="fr-FR"/>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0072BC" w:themeColor="background1"/>
        <w:insideV w:val="single" w:sz="4" w:space="0" w:color="0072BC"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rPr>
        <w:b/>
        <w:bCs/>
        <w:color w:val="0072BC" w:themeColor="background1"/>
      </w:rPr>
      <w:tblPr/>
      <w:tcPr>
        <w:tcBorders>
          <w:top w:val="single" w:sz="6" w:space="0" w:color="0072BC" w:themeColor="background1"/>
        </w:tcBorders>
        <w:shd w:val="clear" w:color="auto" w:fill="2E2E2E" w:themeFill="accent6" w:themeFillShade="99"/>
      </w:tcPr>
    </w:tblStylePr>
    <w:tblStylePr w:type="firstCol">
      <w:rPr>
        <w:color w:val="0072BC"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0072BC"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99"/>
    <w:semiHidden/>
    <w:rsid w:val="00014566"/>
    <w:rPr>
      <w:color w:val="0072BC" w:themeColor="background1"/>
      <w:lang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0072BC" w:themeColor="background1"/>
          <w:insideH w:val="nil"/>
          <w:insideV w:val="nil"/>
        </w:tcBorders>
        <w:shd w:val="clear" w:color="auto" w:fill="000000" w:themeFill="text1" w:themeFillShade="BF"/>
      </w:tcPr>
    </w:tblStylePr>
    <w:tblStylePr w:type="lastCol">
      <w:tblPr/>
      <w:tcPr>
        <w:tcBorders>
          <w:top w:val="nil"/>
          <w:left w:val="single" w:sz="18" w:space="0" w:color="0072BC"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rsid w:val="00014566"/>
    <w:rPr>
      <w:color w:val="0072BC" w:themeColor="background1"/>
      <w:lang w:eastAsia="fr-FR"/>
    </w:rPr>
    <w:tblPr>
      <w:tblStyleRowBandSize w:val="1"/>
      <w:tblStyleColBandSize w:val="1"/>
    </w:tblPr>
    <w:tcPr>
      <w:shd w:val="clear" w:color="auto" w:fill="0072BC" w:themeFill="accent1"/>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00385D" w:themeFill="accent1" w:themeFillShade="7F"/>
      </w:tcPr>
    </w:tblStylePr>
    <w:tblStylePr w:type="firstCol">
      <w:tblPr/>
      <w:tcPr>
        <w:tcBorders>
          <w:top w:val="nil"/>
          <w:left w:val="nil"/>
          <w:bottom w:val="nil"/>
          <w:right w:val="single" w:sz="18" w:space="0" w:color="0072BC" w:themeColor="background1"/>
          <w:insideH w:val="nil"/>
          <w:insideV w:val="nil"/>
        </w:tcBorders>
        <w:shd w:val="clear" w:color="auto" w:fill="00548C" w:themeFill="accent1" w:themeFillShade="BF"/>
      </w:tcPr>
    </w:tblStylePr>
    <w:tblStylePr w:type="lastCol">
      <w:tblPr/>
      <w:tcPr>
        <w:tcBorders>
          <w:top w:val="nil"/>
          <w:left w:val="single" w:sz="18" w:space="0" w:color="0072BC" w:themeColor="background1"/>
          <w:bottom w:val="nil"/>
          <w:right w:val="nil"/>
          <w:insideH w:val="nil"/>
          <w:insideV w:val="nil"/>
        </w:tcBorders>
        <w:shd w:val="clear" w:color="auto" w:fill="00548C" w:themeFill="accent1" w:themeFillShade="BF"/>
      </w:tcPr>
    </w:tblStylePr>
    <w:tblStylePr w:type="band1Vert">
      <w:tblPr/>
      <w:tcPr>
        <w:tcBorders>
          <w:top w:val="nil"/>
          <w:left w:val="nil"/>
          <w:bottom w:val="nil"/>
          <w:right w:val="nil"/>
          <w:insideH w:val="nil"/>
          <w:insideV w:val="nil"/>
        </w:tcBorders>
        <w:shd w:val="clear" w:color="auto" w:fill="00548C" w:themeFill="accent1" w:themeFillShade="BF"/>
      </w:tcPr>
    </w:tblStylePr>
    <w:tblStylePr w:type="band1Horz">
      <w:tblPr/>
      <w:tcPr>
        <w:tcBorders>
          <w:top w:val="nil"/>
          <w:left w:val="nil"/>
          <w:bottom w:val="nil"/>
          <w:right w:val="nil"/>
          <w:insideH w:val="nil"/>
          <w:insideV w:val="nil"/>
        </w:tcBorders>
        <w:shd w:val="clear" w:color="auto" w:fill="00548C" w:themeFill="accent1" w:themeFillShade="BF"/>
      </w:tcPr>
    </w:tblStylePr>
  </w:style>
  <w:style w:type="table" w:styleId="DarkList-Accent2">
    <w:name w:val="Dark List Accent 2"/>
    <w:basedOn w:val="TableNormal"/>
    <w:uiPriority w:val="99"/>
    <w:semiHidden/>
    <w:rsid w:val="00014566"/>
    <w:rPr>
      <w:color w:val="0072BC" w:themeColor="background1"/>
      <w:lang w:eastAsia="fr-FR"/>
    </w:rPr>
    <w:tblPr>
      <w:tblStyleRowBandSize w:val="1"/>
      <w:tblStyleColBandSize w:val="1"/>
    </w:tblPr>
    <w:tcPr>
      <w:shd w:val="clear" w:color="auto" w:fill="C00000" w:themeFill="accent2"/>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5F0000" w:themeFill="accent2" w:themeFillShade="7F"/>
      </w:tcPr>
    </w:tblStylePr>
    <w:tblStylePr w:type="firstCol">
      <w:tblPr/>
      <w:tcPr>
        <w:tcBorders>
          <w:top w:val="nil"/>
          <w:left w:val="nil"/>
          <w:bottom w:val="nil"/>
          <w:right w:val="single" w:sz="18" w:space="0" w:color="0072BC" w:themeColor="background1"/>
          <w:insideH w:val="nil"/>
          <w:insideV w:val="nil"/>
        </w:tcBorders>
        <w:shd w:val="clear" w:color="auto" w:fill="8F0000" w:themeFill="accent2" w:themeFillShade="BF"/>
      </w:tcPr>
    </w:tblStylePr>
    <w:tblStylePr w:type="lastCol">
      <w:tblPr/>
      <w:tcPr>
        <w:tcBorders>
          <w:top w:val="nil"/>
          <w:left w:val="single" w:sz="18" w:space="0" w:color="0072BC" w:themeColor="background1"/>
          <w:bottom w:val="nil"/>
          <w:right w:val="nil"/>
          <w:insideH w:val="nil"/>
          <w:insideV w:val="nil"/>
        </w:tcBorders>
        <w:shd w:val="clear" w:color="auto" w:fill="8F0000" w:themeFill="accent2" w:themeFillShade="BF"/>
      </w:tcPr>
    </w:tblStylePr>
    <w:tblStylePr w:type="band1Vert">
      <w:tblPr/>
      <w:tcPr>
        <w:tcBorders>
          <w:top w:val="nil"/>
          <w:left w:val="nil"/>
          <w:bottom w:val="nil"/>
          <w:right w:val="nil"/>
          <w:insideH w:val="nil"/>
          <w:insideV w:val="nil"/>
        </w:tcBorders>
        <w:shd w:val="clear" w:color="auto" w:fill="8F0000" w:themeFill="accent2" w:themeFillShade="BF"/>
      </w:tcPr>
    </w:tblStylePr>
    <w:tblStylePr w:type="band1Horz">
      <w:tblPr/>
      <w:tcPr>
        <w:tcBorders>
          <w:top w:val="nil"/>
          <w:left w:val="nil"/>
          <w:bottom w:val="nil"/>
          <w:right w:val="nil"/>
          <w:insideH w:val="nil"/>
          <w:insideV w:val="nil"/>
        </w:tcBorders>
        <w:shd w:val="clear" w:color="auto" w:fill="8F0000" w:themeFill="accent2" w:themeFillShade="BF"/>
      </w:tcPr>
    </w:tblStylePr>
  </w:style>
  <w:style w:type="table" w:styleId="DarkList-Accent3">
    <w:name w:val="Dark List Accent 3"/>
    <w:basedOn w:val="TableNormal"/>
    <w:uiPriority w:val="99"/>
    <w:semiHidden/>
    <w:rsid w:val="00014566"/>
    <w:rPr>
      <w:color w:val="0072BC" w:themeColor="background1"/>
      <w:lang w:eastAsia="fr-FR"/>
    </w:rPr>
    <w:tblPr>
      <w:tblStyleRowBandSize w:val="1"/>
      <w:tblStyleColBandSize w:val="1"/>
    </w:tblPr>
    <w:tcPr>
      <w:shd w:val="clear" w:color="auto" w:fill="5F5F5F" w:themeFill="accent3"/>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3"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3"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3" w:themeFillShade="BF"/>
      </w:tcPr>
    </w:tblStylePr>
    <w:tblStylePr w:type="band1Vert">
      <w:tblPr/>
      <w:tcPr>
        <w:tcBorders>
          <w:top w:val="nil"/>
          <w:left w:val="nil"/>
          <w:bottom w:val="nil"/>
          <w:right w:val="nil"/>
          <w:insideH w:val="nil"/>
          <w:insideV w:val="nil"/>
        </w:tcBorders>
        <w:shd w:val="clear" w:color="auto" w:fill="474747" w:themeFill="accent3" w:themeFillShade="BF"/>
      </w:tcPr>
    </w:tblStylePr>
    <w:tblStylePr w:type="band1Horz">
      <w:tblPr/>
      <w:tcPr>
        <w:tcBorders>
          <w:top w:val="nil"/>
          <w:left w:val="nil"/>
          <w:bottom w:val="nil"/>
          <w:right w:val="nil"/>
          <w:insideH w:val="nil"/>
          <w:insideV w:val="nil"/>
        </w:tcBorders>
        <w:shd w:val="clear" w:color="auto" w:fill="474747" w:themeFill="accent3" w:themeFillShade="BF"/>
      </w:tcPr>
    </w:tblStylePr>
  </w:style>
  <w:style w:type="table" w:styleId="DarkList-Accent4">
    <w:name w:val="Dark List Accent 4"/>
    <w:basedOn w:val="TableNormal"/>
    <w:uiPriority w:val="99"/>
    <w:semiHidden/>
    <w:rsid w:val="00014566"/>
    <w:rPr>
      <w:color w:val="0072BC" w:themeColor="background1"/>
      <w:lang w:eastAsia="fr-FR"/>
    </w:rPr>
    <w:tblPr>
      <w:tblStyleRowBandSize w:val="1"/>
      <w:tblStyleColBandSize w:val="1"/>
    </w:tblPr>
    <w:tcPr>
      <w:shd w:val="clear" w:color="auto" w:fill="969696" w:themeFill="accent4"/>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4A4A4A" w:themeFill="accent4" w:themeFillShade="7F"/>
      </w:tcPr>
    </w:tblStylePr>
    <w:tblStylePr w:type="firstCol">
      <w:tblPr/>
      <w:tcPr>
        <w:tcBorders>
          <w:top w:val="nil"/>
          <w:left w:val="nil"/>
          <w:bottom w:val="nil"/>
          <w:right w:val="single" w:sz="18" w:space="0" w:color="0072BC" w:themeColor="background1"/>
          <w:insideH w:val="nil"/>
          <w:insideV w:val="nil"/>
        </w:tcBorders>
        <w:shd w:val="clear" w:color="auto" w:fill="707070" w:themeFill="accent4" w:themeFillShade="BF"/>
      </w:tcPr>
    </w:tblStylePr>
    <w:tblStylePr w:type="lastCol">
      <w:tblPr/>
      <w:tcPr>
        <w:tcBorders>
          <w:top w:val="nil"/>
          <w:left w:val="single" w:sz="18" w:space="0" w:color="0072BC" w:themeColor="background1"/>
          <w:bottom w:val="nil"/>
          <w:right w:val="nil"/>
          <w:insideH w:val="nil"/>
          <w:insideV w:val="nil"/>
        </w:tcBorders>
        <w:shd w:val="clear" w:color="auto" w:fill="707070" w:themeFill="accent4" w:themeFillShade="BF"/>
      </w:tcPr>
    </w:tblStylePr>
    <w:tblStylePr w:type="band1Vert">
      <w:tblPr/>
      <w:tcPr>
        <w:tcBorders>
          <w:top w:val="nil"/>
          <w:left w:val="nil"/>
          <w:bottom w:val="nil"/>
          <w:right w:val="nil"/>
          <w:insideH w:val="nil"/>
          <w:insideV w:val="nil"/>
        </w:tcBorders>
        <w:shd w:val="clear" w:color="auto" w:fill="707070" w:themeFill="accent4" w:themeFillShade="BF"/>
      </w:tcPr>
    </w:tblStylePr>
    <w:tblStylePr w:type="band1Horz">
      <w:tblPr/>
      <w:tcPr>
        <w:tcBorders>
          <w:top w:val="nil"/>
          <w:left w:val="nil"/>
          <w:bottom w:val="nil"/>
          <w:right w:val="nil"/>
          <w:insideH w:val="nil"/>
          <w:insideV w:val="nil"/>
        </w:tcBorders>
        <w:shd w:val="clear" w:color="auto" w:fill="707070" w:themeFill="accent4" w:themeFillShade="BF"/>
      </w:tcPr>
    </w:tblStylePr>
  </w:style>
  <w:style w:type="table" w:styleId="DarkList-Accent5">
    <w:name w:val="Dark List Accent 5"/>
    <w:basedOn w:val="TableNormal"/>
    <w:uiPriority w:val="99"/>
    <w:semiHidden/>
    <w:rsid w:val="00014566"/>
    <w:rPr>
      <w:color w:val="0072BC" w:themeColor="background1"/>
      <w:lang w:eastAsia="fr-FR"/>
    </w:rPr>
    <w:tblPr>
      <w:tblStyleRowBandSize w:val="1"/>
      <w:tblStyleColBandSize w:val="1"/>
    </w:tblPr>
    <w:tcPr>
      <w:shd w:val="clear" w:color="auto" w:fill="5F5F5F" w:themeFill="accent5"/>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0072BC" w:themeColor="background1"/>
          <w:insideH w:val="nil"/>
          <w:insideV w:val="nil"/>
        </w:tcBorders>
        <w:shd w:val="clear" w:color="auto" w:fill="474747" w:themeFill="accent5" w:themeFillShade="BF"/>
      </w:tcPr>
    </w:tblStylePr>
    <w:tblStylePr w:type="lastCol">
      <w:tblPr/>
      <w:tcPr>
        <w:tcBorders>
          <w:top w:val="nil"/>
          <w:left w:val="single" w:sz="18" w:space="0" w:color="0072BC"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99"/>
    <w:semiHidden/>
    <w:rsid w:val="00014566"/>
    <w:rPr>
      <w:color w:val="0072BC" w:themeColor="background1"/>
      <w:lang w:eastAsia="fr-FR"/>
    </w:rPr>
    <w:tblPr>
      <w:tblStyleRowBandSize w:val="1"/>
      <w:tblStyleColBandSize w:val="1"/>
    </w:tblPr>
    <w:tcPr>
      <w:shd w:val="clear" w:color="auto" w:fill="4D4D4D" w:themeFill="accent6"/>
    </w:tcPr>
    <w:tblStylePr w:type="firstRow">
      <w:rPr>
        <w:b/>
        <w:bCs/>
      </w:rPr>
      <w:tblPr/>
      <w:tcPr>
        <w:tcBorders>
          <w:top w:val="nil"/>
          <w:left w:val="nil"/>
          <w:bottom w:val="single" w:sz="18" w:space="0" w:color="0072BC" w:themeColor="background1"/>
          <w:right w:val="nil"/>
          <w:insideH w:val="nil"/>
          <w:insideV w:val="nil"/>
        </w:tcBorders>
        <w:shd w:val="clear" w:color="auto" w:fill="000000" w:themeFill="text1"/>
      </w:tcPr>
    </w:tblStylePr>
    <w:tblStylePr w:type="lastRow">
      <w:tblPr/>
      <w:tcPr>
        <w:tcBorders>
          <w:top w:val="single" w:sz="18" w:space="0" w:color="0072BC"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0072BC" w:themeColor="background1"/>
          <w:insideH w:val="nil"/>
          <w:insideV w:val="nil"/>
        </w:tcBorders>
        <w:shd w:val="clear" w:color="auto" w:fill="393939" w:themeFill="accent6" w:themeFillShade="BF"/>
      </w:tcPr>
    </w:tblStylePr>
    <w:tblStylePr w:type="lastCol">
      <w:tblPr/>
      <w:tcPr>
        <w:tcBorders>
          <w:top w:val="nil"/>
          <w:left w:val="single" w:sz="18" w:space="0" w:color="0072BC"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rsid w:val="00014566"/>
  </w:style>
  <w:style w:type="character" w:customStyle="1" w:styleId="DateChar">
    <w:name w:val="Date Char"/>
    <w:basedOn w:val="DefaultParagraphFont"/>
    <w:link w:val="Date"/>
    <w:uiPriority w:val="99"/>
    <w:semiHidden/>
    <w:rsid w:val="00014566"/>
    <w:rPr>
      <w:rFonts w:eastAsiaTheme="minorEastAsia"/>
      <w:sz w:val="24"/>
    </w:rPr>
  </w:style>
  <w:style w:type="paragraph" w:styleId="E-mailSignature">
    <w:name w:val="E-mail Signature"/>
    <w:basedOn w:val="Normal"/>
    <w:link w:val="E-mailSignatureChar"/>
    <w:uiPriority w:val="99"/>
    <w:semiHidden/>
    <w:rsid w:val="00014566"/>
  </w:style>
  <w:style w:type="character" w:customStyle="1" w:styleId="E-mailSignatureChar">
    <w:name w:val="E-mail Signature Char"/>
    <w:basedOn w:val="DefaultParagraphFont"/>
    <w:link w:val="E-mailSignature"/>
    <w:uiPriority w:val="99"/>
    <w:semiHidden/>
    <w:rsid w:val="00014566"/>
    <w:rPr>
      <w:rFonts w:eastAsiaTheme="minorEastAsia"/>
      <w:sz w:val="24"/>
    </w:rPr>
  </w:style>
  <w:style w:type="paragraph" w:styleId="EnvelopeAddress">
    <w:name w:val="envelope address"/>
    <w:basedOn w:val="Normal"/>
    <w:uiPriority w:val="99"/>
    <w:semiHidden/>
    <w:rsid w:val="00014566"/>
    <w:pPr>
      <w:framePr w:w="7938" w:h="1985" w:hRule="exact" w:hSpace="141" w:wrap="auto" w:hAnchor="page" w:xAlign="center" w:yAlign="bottom"/>
      <w:ind w:left="2835"/>
    </w:pPr>
    <w:rPr>
      <w:rFonts w:asciiTheme="majorHAnsi" w:eastAsiaTheme="majorEastAsia" w:hAnsiTheme="majorHAnsi" w:cstheme="majorBidi"/>
      <w:szCs w:val="24"/>
    </w:rPr>
  </w:style>
  <w:style w:type="paragraph" w:styleId="EnvelopeReturn">
    <w:name w:val="envelope return"/>
    <w:basedOn w:val="Normal"/>
    <w:uiPriority w:val="99"/>
    <w:semiHidden/>
    <w:rsid w:val="00014566"/>
    <w:rPr>
      <w:rFonts w:asciiTheme="majorHAnsi" w:eastAsiaTheme="majorEastAsia" w:hAnsiTheme="majorHAnsi" w:cstheme="majorBidi"/>
      <w:sz w:val="20"/>
      <w:szCs w:val="20"/>
    </w:rPr>
  </w:style>
  <w:style w:type="character" w:styleId="HTMLAcronym">
    <w:name w:val="HTML Acronym"/>
    <w:basedOn w:val="DefaultParagraphFont"/>
    <w:uiPriority w:val="99"/>
    <w:semiHidden/>
    <w:rsid w:val="00014566"/>
  </w:style>
  <w:style w:type="paragraph" w:styleId="HTMLAddress">
    <w:name w:val="HTML Address"/>
    <w:basedOn w:val="Normal"/>
    <w:link w:val="HTMLAddressChar"/>
    <w:uiPriority w:val="99"/>
    <w:semiHidden/>
    <w:rsid w:val="00014566"/>
    <w:rPr>
      <w:i/>
      <w:iCs/>
    </w:rPr>
  </w:style>
  <w:style w:type="character" w:customStyle="1" w:styleId="HTMLAddressChar">
    <w:name w:val="HTML Address Char"/>
    <w:basedOn w:val="DefaultParagraphFont"/>
    <w:link w:val="HTMLAddress"/>
    <w:uiPriority w:val="99"/>
    <w:semiHidden/>
    <w:rsid w:val="00014566"/>
    <w:rPr>
      <w:rFonts w:eastAsiaTheme="minorEastAsia"/>
      <w:i/>
      <w:iCs/>
      <w:sz w:val="24"/>
    </w:rPr>
  </w:style>
  <w:style w:type="character" w:styleId="HTMLCite">
    <w:name w:val="HTML Cite"/>
    <w:basedOn w:val="DefaultParagraphFont"/>
    <w:uiPriority w:val="99"/>
    <w:semiHidden/>
    <w:rsid w:val="00014566"/>
    <w:rPr>
      <w:i/>
      <w:iCs/>
    </w:rPr>
  </w:style>
  <w:style w:type="character" w:styleId="HTMLCode">
    <w:name w:val="HTML Code"/>
    <w:basedOn w:val="DefaultParagraphFont"/>
    <w:uiPriority w:val="99"/>
    <w:semiHidden/>
    <w:rsid w:val="00014566"/>
    <w:rPr>
      <w:rFonts w:ascii="Consolas" w:hAnsi="Consolas" w:cs="Consolas"/>
      <w:sz w:val="20"/>
      <w:szCs w:val="20"/>
    </w:rPr>
  </w:style>
  <w:style w:type="character" w:styleId="HTMLDefinition">
    <w:name w:val="HTML Definition"/>
    <w:basedOn w:val="DefaultParagraphFont"/>
    <w:uiPriority w:val="99"/>
    <w:semiHidden/>
    <w:rsid w:val="00014566"/>
    <w:rPr>
      <w:i/>
      <w:iCs/>
    </w:rPr>
  </w:style>
  <w:style w:type="character" w:styleId="HTMLKeyboard">
    <w:name w:val="HTML Keyboard"/>
    <w:basedOn w:val="DefaultParagraphFont"/>
    <w:uiPriority w:val="99"/>
    <w:semiHidden/>
    <w:rsid w:val="00014566"/>
    <w:rPr>
      <w:rFonts w:ascii="Consolas" w:hAnsi="Consolas" w:cs="Consolas"/>
      <w:sz w:val="20"/>
      <w:szCs w:val="20"/>
    </w:rPr>
  </w:style>
  <w:style w:type="paragraph" w:styleId="HTMLPreformatted">
    <w:name w:val="HTML Preformatted"/>
    <w:basedOn w:val="Normal"/>
    <w:link w:val="HTMLPreformattedChar"/>
    <w:uiPriority w:val="99"/>
    <w:semiHidden/>
    <w:rsid w:val="0001456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014566"/>
    <w:rPr>
      <w:rFonts w:ascii="Consolas" w:eastAsiaTheme="minorEastAsia" w:hAnsi="Consolas" w:cs="Consolas"/>
      <w:sz w:val="20"/>
      <w:szCs w:val="20"/>
    </w:rPr>
  </w:style>
  <w:style w:type="character" w:styleId="HTMLSample">
    <w:name w:val="HTML Sample"/>
    <w:basedOn w:val="DefaultParagraphFont"/>
    <w:uiPriority w:val="99"/>
    <w:semiHidden/>
    <w:rsid w:val="00014566"/>
    <w:rPr>
      <w:rFonts w:ascii="Consolas" w:hAnsi="Consolas" w:cs="Consolas"/>
      <w:sz w:val="24"/>
      <w:szCs w:val="24"/>
    </w:rPr>
  </w:style>
  <w:style w:type="character" w:styleId="HTMLTypewriter">
    <w:name w:val="HTML Typewriter"/>
    <w:basedOn w:val="DefaultParagraphFont"/>
    <w:uiPriority w:val="99"/>
    <w:semiHidden/>
    <w:rsid w:val="00014566"/>
    <w:rPr>
      <w:rFonts w:ascii="Consolas" w:hAnsi="Consolas" w:cs="Consolas"/>
      <w:sz w:val="20"/>
      <w:szCs w:val="20"/>
    </w:rPr>
  </w:style>
  <w:style w:type="character" w:styleId="HTMLVariable">
    <w:name w:val="HTML Variable"/>
    <w:basedOn w:val="DefaultParagraphFont"/>
    <w:uiPriority w:val="99"/>
    <w:semiHidden/>
    <w:rsid w:val="00014566"/>
    <w:rPr>
      <w:i/>
      <w:iCs/>
    </w:rPr>
  </w:style>
  <w:style w:type="paragraph" w:styleId="Index1">
    <w:name w:val="index 1"/>
    <w:basedOn w:val="Normal"/>
    <w:next w:val="Normal"/>
    <w:autoRedefine/>
    <w:uiPriority w:val="99"/>
    <w:semiHidden/>
    <w:rsid w:val="00014566"/>
    <w:pPr>
      <w:ind w:left="240" w:hanging="240"/>
    </w:pPr>
  </w:style>
  <w:style w:type="paragraph" w:styleId="Index2">
    <w:name w:val="index 2"/>
    <w:basedOn w:val="Normal"/>
    <w:next w:val="Normal"/>
    <w:autoRedefine/>
    <w:uiPriority w:val="99"/>
    <w:semiHidden/>
    <w:rsid w:val="00014566"/>
    <w:pPr>
      <w:ind w:left="480" w:hanging="240"/>
    </w:pPr>
  </w:style>
  <w:style w:type="paragraph" w:styleId="Index3">
    <w:name w:val="index 3"/>
    <w:basedOn w:val="Normal"/>
    <w:next w:val="Normal"/>
    <w:autoRedefine/>
    <w:uiPriority w:val="99"/>
    <w:semiHidden/>
    <w:rsid w:val="00014566"/>
    <w:pPr>
      <w:ind w:left="720" w:hanging="240"/>
    </w:pPr>
  </w:style>
  <w:style w:type="paragraph" w:styleId="Index4">
    <w:name w:val="index 4"/>
    <w:basedOn w:val="Normal"/>
    <w:next w:val="Normal"/>
    <w:autoRedefine/>
    <w:uiPriority w:val="99"/>
    <w:semiHidden/>
    <w:rsid w:val="00014566"/>
    <w:pPr>
      <w:ind w:left="960" w:hanging="240"/>
    </w:pPr>
  </w:style>
  <w:style w:type="paragraph" w:styleId="Index5">
    <w:name w:val="index 5"/>
    <w:basedOn w:val="Normal"/>
    <w:next w:val="Normal"/>
    <w:autoRedefine/>
    <w:uiPriority w:val="99"/>
    <w:semiHidden/>
    <w:rsid w:val="00014566"/>
    <w:pPr>
      <w:ind w:left="1200" w:hanging="240"/>
    </w:pPr>
  </w:style>
  <w:style w:type="paragraph" w:styleId="Index6">
    <w:name w:val="index 6"/>
    <w:basedOn w:val="Normal"/>
    <w:next w:val="Normal"/>
    <w:autoRedefine/>
    <w:uiPriority w:val="99"/>
    <w:semiHidden/>
    <w:rsid w:val="00014566"/>
    <w:pPr>
      <w:ind w:left="1440" w:hanging="240"/>
    </w:pPr>
  </w:style>
  <w:style w:type="paragraph" w:styleId="Index7">
    <w:name w:val="index 7"/>
    <w:basedOn w:val="Normal"/>
    <w:next w:val="Normal"/>
    <w:autoRedefine/>
    <w:uiPriority w:val="99"/>
    <w:semiHidden/>
    <w:rsid w:val="00014566"/>
    <w:pPr>
      <w:ind w:left="1680" w:hanging="240"/>
    </w:pPr>
  </w:style>
  <w:style w:type="paragraph" w:styleId="Index8">
    <w:name w:val="index 8"/>
    <w:basedOn w:val="Normal"/>
    <w:next w:val="Normal"/>
    <w:autoRedefine/>
    <w:uiPriority w:val="99"/>
    <w:semiHidden/>
    <w:rsid w:val="00014566"/>
    <w:pPr>
      <w:ind w:left="1920" w:hanging="240"/>
    </w:pPr>
  </w:style>
  <w:style w:type="paragraph" w:styleId="Index9">
    <w:name w:val="index 9"/>
    <w:basedOn w:val="Normal"/>
    <w:next w:val="Normal"/>
    <w:autoRedefine/>
    <w:uiPriority w:val="99"/>
    <w:semiHidden/>
    <w:rsid w:val="00014566"/>
    <w:pPr>
      <w:ind w:left="2160" w:hanging="240"/>
    </w:pPr>
  </w:style>
  <w:style w:type="paragraph" w:styleId="IndexHeading">
    <w:name w:val="index heading"/>
    <w:basedOn w:val="Normal"/>
    <w:next w:val="Index1"/>
    <w:uiPriority w:val="99"/>
    <w:semiHidden/>
    <w:rsid w:val="00014566"/>
    <w:rPr>
      <w:rFonts w:asciiTheme="majorHAnsi" w:eastAsiaTheme="majorEastAsia" w:hAnsiTheme="majorHAnsi" w:cstheme="majorBidi"/>
      <w:b/>
      <w:bCs/>
    </w:rPr>
  </w:style>
  <w:style w:type="table" w:styleId="LightGrid">
    <w:name w:val="Light Grid"/>
    <w:basedOn w:val="TableNormal"/>
    <w:uiPriority w:val="99"/>
    <w:semiHidden/>
    <w:rsid w:val="00014566"/>
    <w:rPr>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rsid w:val="00014566"/>
    <w:rPr>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18" w:space="0" w:color="0072BC" w:themeColor="accent1"/>
          <w:right w:val="single" w:sz="8" w:space="0" w:color="0072BC" w:themeColor="accent1"/>
          <w:insideH w:val="nil"/>
          <w:insideV w:val="single" w:sz="8" w:space="0" w:color="0072B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insideH w:val="nil"/>
          <w:insideV w:val="single" w:sz="8" w:space="0" w:color="0072B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shd w:val="clear" w:color="auto" w:fill="AFDFFF" w:themeFill="accent1" w:themeFillTint="3F"/>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shd w:val="clear" w:color="auto" w:fill="AFDFFF" w:themeFill="accent1" w:themeFillTint="3F"/>
      </w:tcPr>
    </w:tblStylePr>
    <w:tblStylePr w:type="band2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insideV w:val="single" w:sz="8" w:space="0" w:color="0072BC" w:themeColor="accent1"/>
        </w:tcBorders>
      </w:tcPr>
    </w:tblStylePr>
  </w:style>
  <w:style w:type="table" w:styleId="LightGrid-Accent2">
    <w:name w:val="Light Grid Accent 2"/>
    <w:basedOn w:val="TableNormal"/>
    <w:uiPriority w:val="99"/>
    <w:semiHidden/>
    <w:rsid w:val="00014566"/>
    <w:rPr>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18" w:space="0" w:color="C00000" w:themeColor="accent2"/>
          <w:right w:val="single" w:sz="8" w:space="0" w:color="C00000" w:themeColor="accent2"/>
          <w:insideH w:val="nil"/>
          <w:insideV w:val="single" w:sz="8" w:space="0" w:color="C0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insideH w:val="nil"/>
          <w:insideV w:val="single" w:sz="8" w:space="0" w:color="C0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shd w:val="clear" w:color="auto" w:fill="FFB0B0" w:themeFill="accent2" w:themeFillTint="3F"/>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shd w:val="clear" w:color="auto" w:fill="FFB0B0" w:themeFill="accent2" w:themeFillTint="3F"/>
      </w:tcPr>
    </w:tblStylePr>
    <w:tblStylePr w:type="band2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insideV w:val="single" w:sz="8" w:space="0" w:color="C00000" w:themeColor="accent2"/>
        </w:tcBorders>
      </w:tcPr>
    </w:tblStylePr>
  </w:style>
  <w:style w:type="table" w:styleId="LightGrid-Accent3">
    <w:name w:val="Light Grid Accent 3"/>
    <w:basedOn w:val="TableNormal"/>
    <w:uiPriority w:val="99"/>
    <w:semiHidden/>
    <w:rsid w:val="00014566"/>
    <w:rPr>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18" w:space="0" w:color="5F5F5F" w:themeColor="accent3"/>
          <w:right w:val="single" w:sz="8" w:space="0" w:color="5F5F5F" w:themeColor="accent3"/>
          <w:insideH w:val="nil"/>
          <w:insideV w:val="single" w:sz="8" w:space="0" w:color="5F5F5F"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insideH w:val="nil"/>
          <w:insideV w:val="single" w:sz="8" w:space="0" w:color="5F5F5F"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shd w:val="clear" w:color="auto" w:fill="D7D7D7" w:themeFill="accent3" w:themeFillTint="3F"/>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shd w:val="clear" w:color="auto" w:fill="D7D7D7" w:themeFill="accent3" w:themeFillTint="3F"/>
      </w:tcPr>
    </w:tblStylePr>
    <w:tblStylePr w:type="band2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insideV w:val="single" w:sz="8" w:space="0" w:color="5F5F5F" w:themeColor="accent3"/>
        </w:tcBorders>
      </w:tcPr>
    </w:tblStylePr>
  </w:style>
  <w:style w:type="table" w:styleId="LightGrid-Accent4">
    <w:name w:val="Light Grid Accent 4"/>
    <w:basedOn w:val="TableNormal"/>
    <w:uiPriority w:val="99"/>
    <w:semiHidden/>
    <w:rsid w:val="00014566"/>
    <w:rPr>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18" w:space="0" w:color="969696" w:themeColor="accent4"/>
          <w:right w:val="single" w:sz="8" w:space="0" w:color="969696" w:themeColor="accent4"/>
          <w:insideH w:val="nil"/>
          <w:insideV w:val="single" w:sz="8" w:space="0" w:color="969696"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insideH w:val="nil"/>
          <w:insideV w:val="single" w:sz="8" w:space="0" w:color="969696"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shd w:val="clear" w:color="auto" w:fill="E5E5E5" w:themeFill="accent4" w:themeFillTint="3F"/>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shd w:val="clear" w:color="auto" w:fill="E5E5E5" w:themeFill="accent4" w:themeFillTint="3F"/>
      </w:tcPr>
    </w:tblStylePr>
    <w:tblStylePr w:type="band2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insideV w:val="single" w:sz="8" w:space="0" w:color="969696" w:themeColor="accent4"/>
        </w:tcBorders>
      </w:tcPr>
    </w:tblStylePr>
  </w:style>
  <w:style w:type="table" w:styleId="LightGrid-Accent5">
    <w:name w:val="Light Grid Accent 5"/>
    <w:basedOn w:val="TableNormal"/>
    <w:uiPriority w:val="99"/>
    <w:semiHidden/>
    <w:rsid w:val="00014566"/>
    <w:rPr>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99"/>
    <w:semiHidden/>
    <w:rsid w:val="00014566"/>
    <w:rPr>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99"/>
    <w:semiHidden/>
    <w:rsid w:val="00014566"/>
    <w:rPr>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0072BC"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rsid w:val="00014566"/>
    <w:rPr>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pPr>
        <w:spacing w:before="0" w:after="0" w:line="240" w:lineRule="auto"/>
      </w:pPr>
      <w:rPr>
        <w:b/>
        <w:bCs/>
        <w:color w:val="0072BC" w:themeColor="background1"/>
      </w:rPr>
      <w:tblPr/>
      <w:tcPr>
        <w:shd w:val="clear" w:color="auto" w:fill="0072BC" w:themeFill="accent1"/>
      </w:tcPr>
    </w:tblStylePr>
    <w:tblStylePr w:type="lastRow">
      <w:pPr>
        <w:spacing w:before="0" w:after="0" w:line="240" w:lineRule="auto"/>
      </w:pPr>
      <w:rPr>
        <w:b/>
        <w:bCs/>
      </w:rPr>
      <w:tblPr/>
      <w:tcPr>
        <w:tcBorders>
          <w:top w:val="double" w:sz="6" w:space="0" w:color="0072BC" w:themeColor="accent1"/>
          <w:left w:val="single" w:sz="8" w:space="0" w:color="0072BC" w:themeColor="accent1"/>
          <w:bottom w:val="single" w:sz="8" w:space="0" w:color="0072BC" w:themeColor="accent1"/>
          <w:right w:val="single" w:sz="8" w:space="0" w:color="0072BC" w:themeColor="accent1"/>
        </w:tcBorders>
      </w:tcPr>
    </w:tblStylePr>
    <w:tblStylePr w:type="firstCol">
      <w:rPr>
        <w:b/>
        <w:bCs/>
      </w:rPr>
    </w:tblStylePr>
    <w:tblStylePr w:type="lastCol">
      <w:rPr>
        <w:b/>
        <w:bCs/>
      </w:rPr>
    </w:tblStylePr>
    <w:tblStylePr w:type="band1Vert">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tblStylePr w:type="band1Horz">
      <w:tblPr/>
      <w:tcPr>
        <w:tcBorders>
          <w:top w:val="single" w:sz="8" w:space="0" w:color="0072BC" w:themeColor="accent1"/>
          <w:left w:val="single" w:sz="8" w:space="0" w:color="0072BC" w:themeColor="accent1"/>
          <w:bottom w:val="single" w:sz="8" w:space="0" w:color="0072BC" w:themeColor="accent1"/>
          <w:right w:val="single" w:sz="8" w:space="0" w:color="0072BC" w:themeColor="accent1"/>
        </w:tcBorders>
      </w:tcPr>
    </w:tblStylePr>
  </w:style>
  <w:style w:type="table" w:styleId="LightList-Accent2">
    <w:name w:val="Light List Accent 2"/>
    <w:basedOn w:val="TableNormal"/>
    <w:uiPriority w:val="99"/>
    <w:semiHidden/>
    <w:rsid w:val="00014566"/>
    <w:rPr>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pPr>
        <w:spacing w:before="0" w:after="0" w:line="240" w:lineRule="auto"/>
      </w:pPr>
      <w:rPr>
        <w:b/>
        <w:bCs/>
        <w:color w:val="0072BC" w:themeColor="background1"/>
      </w:rPr>
      <w:tblPr/>
      <w:tcPr>
        <w:shd w:val="clear" w:color="auto" w:fill="C00000" w:themeFill="accent2"/>
      </w:tcPr>
    </w:tblStylePr>
    <w:tblStylePr w:type="lastRow">
      <w:pPr>
        <w:spacing w:before="0" w:after="0" w:line="240" w:lineRule="auto"/>
      </w:pPr>
      <w:rPr>
        <w:b/>
        <w:bCs/>
      </w:rPr>
      <w:tblPr/>
      <w:tcPr>
        <w:tcBorders>
          <w:top w:val="double" w:sz="6" w:space="0" w:color="C00000" w:themeColor="accent2"/>
          <w:left w:val="single" w:sz="8" w:space="0" w:color="C00000" w:themeColor="accent2"/>
          <w:bottom w:val="single" w:sz="8" w:space="0" w:color="C00000" w:themeColor="accent2"/>
          <w:right w:val="single" w:sz="8" w:space="0" w:color="C00000" w:themeColor="accent2"/>
        </w:tcBorders>
      </w:tcPr>
    </w:tblStylePr>
    <w:tblStylePr w:type="firstCol">
      <w:rPr>
        <w:b/>
        <w:bCs/>
      </w:rPr>
    </w:tblStylePr>
    <w:tblStylePr w:type="lastCol">
      <w:rPr>
        <w:b/>
        <w:bCs/>
      </w:rPr>
    </w:tblStylePr>
    <w:tblStylePr w:type="band1Vert">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tblStylePr w:type="band1Horz">
      <w:tblPr/>
      <w:tcPr>
        <w:tcBorders>
          <w:top w:val="single" w:sz="8" w:space="0" w:color="C00000" w:themeColor="accent2"/>
          <w:left w:val="single" w:sz="8" w:space="0" w:color="C00000" w:themeColor="accent2"/>
          <w:bottom w:val="single" w:sz="8" w:space="0" w:color="C00000" w:themeColor="accent2"/>
          <w:right w:val="single" w:sz="8" w:space="0" w:color="C00000" w:themeColor="accent2"/>
        </w:tcBorders>
      </w:tcPr>
    </w:tblStylePr>
  </w:style>
  <w:style w:type="table" w:styleId="LightList-Accent3">
    <w:name w:val="Light List Accent 3"/>
    <w:basedOn w:val="TableNormal"/>
    <w:uiPriority w:val="99"/>
    <w:semiHidden/>
    <w:rsid w:val="00014566"/>
    <w:rPr>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pPr>
        <w:spacing w:before="0" w:after="0" w:line="240" w:lineRule="auto"/>
      </w:pPr>
      <w:rPr>
        <w:b/>
        <w:bCs/>
        <w:color w:val="0072BC" w:themeColor="background1"/>
      </w:rPr>
      <w:tblPr/>
      <w:tcPr>
        <w:shd w:val="clear" w:color="auto" w:fill="5F5F5F" w:themeFill="accent3"/>
      </w:tcPr>
    </w:tblStylePr>
    <w:tblStylePr w:type="lastRow">
      <w:pPr>
        <w:spacing w:before="0" w:after="0" w:line="240" w:lineRule="auto"/>
      </w:pPr>
      <w:rPr>
        <w:b/>
        <w:bCs/>
      </w:rPr>
      <w:tblPr/>
      <w:tcPr>
        <w:tcBorders>
          <w:top w:val="double" w:sz="6" w:space="0" w:color="5F5F5F" w:themeColor="accent3"/>
          <w:left w:val="single" w:sz="8" w:space="0" w:color="5F5F5F" w:themeColor="accent3"/>
          <w:bottom w:val="single" w:sz="8" w:space="0" w:color="5F5F5F" w:themeColor="accent3"/>
          <w:right w:val="single" w:sz="8" w:space="0" w:color="5F5F5F" w:themeColor="accent3"/>
        </w:tcBorders>
      </w:tcPr>
    </w:tblStylePr>
    <w:tblStylePr w:type="firstCol">
      <w:rPr>
        <w:b/>
        <w:bCs/>
      </w:rPr>
    </w:tblStylePr>
    <w:tblStylePr w:type="lastCol">
      <w:rPr>
        <w:b/>
        <w:bCs/>
      </w:rPr>
    </w:tblStylePr>
    <w:tblStylePr w:type="band1Vert">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tblStylePr w:type="band1Horz">
      <w:tblPr/>
      <w:tcPr>
        <w:tcBorders>
          <w:top w:val="single" w:sz="8" w:space="0" w:color="5F5F5F" w:themeColor="accent3"/>
          <w:left w:val="single" w:sz="8" w:space="0" w:color="5F5F5F" w:themeColor="accent3"/>
          <w:bottom w:val="single" w:sz="8" w:space="0" w:color="5F5F5F" w:themeColor="accent3"/>
          <w:right w:val="single" w:sz="8" w:space="0" w:color="5F5F5F" w:themeColor="accent3"/>
        </w:tcBorders>
      </w:tcPr>
    </w:tblStylePr>
  </w:style>
  <w:style w:type="table" w:styleId="LightList-Accent4">
    <w:name w:val="Light List Accent 4"/>
    <w:basedOn w:val="TableNormal"/>
    <w:uiPriority w:val="99"/>
    <w:semiHidden/>
    <w:rsid w:val="00014566"/>
    <w:rPr>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pPr>
        <w:spacing w:before="0" w:after="0" w:line="240" w:lineRule="auto"/>
      </w:pPr>
      <w:rPr>
        <w:b/>
        <w:bCs/>
        <w:color w:val="0072BC" w:themeColor="background1"/>
      </w:rPr>
      <w:tblPr/>
      <w:tcPr>
        <w:shd w:val="clear" w:color="auto" w:fill="969696" w:themeFill="accent4"/>
      </w:tcPr>
    </w:tblStylePr>
    <w:tblStylePr w:type="lastRow">
      <w:pPr>
        <w:spacing w:before="0" w:after="0" w:line="240" w:lineRule="auto"/>
      </w:pPr>
      <w:rPr>
        <w:b/>
        <w:bCs/>
      </w:rPr>
      <w:tblPr/>
      <w:tcPr>
        <w:tcBorders>
          <w:top w:val="double" w:sz="6" w:space="0" w:color="969696" w:themeColor="accent4"/>
          <w:left w:val="single" w:sz="8" w:space="0" w:color="969696" w:themeColor="accent4"/>
          <w:bottom w:val="single" w:sz="8" w:space="0" w:color="969696" w:themeColor="accent4"/>
          <w:right w:val="single" w:sz="8" w:space="0" w:color="969696" w:themeColor="accent4"/>
        </w:tcBorders>
      </w:tcPr>
    </w:tblStylePr>
    <w:tblStylePr w:type="firstCol">
      <w:rPr>
        <w:b/>
        <w:bCs/>
      </w:rPr>
    </w:tblStylePr>
    <w:tblStylePr w:type="lastCol">
      <w:rPr>
        <w:b/>
        <w:bCs/>
      </w:rPr>
    </w:tblStylePr>
    <w:tblStylePr w:type="band1Vert">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tblStylePr w:type="band1Horz">
      <w:tblPr/>
      <w:tcPr>
        <w:tcBorders>
          <w:top w:val="single" w:sz="8" w:space="0" w:color="969696" w:themeColor="accent4"/>
          <w:left w:val="single" w:sz="8" w:space="0" w:color="969696" w:themeColor="accent4"/>
          <w:bottom w:val="single" w:sz="8" w:space="0" w:color="969696" w:themeColor="accent4"/>
          <w:right w:val="single" w:sz="8" w:space="0" w:color="969696" w:themeColor="accent4"/>
        </w:tcBorders>
      </w:tcPr>
    </w:tblStylePr>
  </w:style>
  <w:style w:type="table" w:styleId="LightList-Accent5">
    <w:name w:val="Light List Accent 5"/>
    <w:basedOn w:val="TableNormal"/>
    <w:uiPriority w:val="99"/>
    <w:semiHidden/>
    <w:rsid w:val="00014566"/>
    <w:rPr>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0072BC"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99"/>
    <w:semiHidden/>
    <w:rsid w:val="00014566"/>
    <w:rPr>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0072BC"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99"/>
    <w:semiHidden/>
    <w:rsid w:val="00014566"/>
    <w:rPr>
      <w:color w:val="000000" w:themeColor="text1" w:themeShade="BF"/>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rsid w:val="00014566"/>
    <w:rPr>
      <w:color w:val="00548C" w:themeColor="accent1" w:themeShade="BF"/>
      <w:lang w:eastAsia="fr-FR"/>
    </w:rPr>
    <w:tblPr>
      <w:tblStyleRowBandSize w:val="1"/>
      <w:tblStyleColBandSize w:val="1"/>
      <w:tblBorders>
        <w:top w:val="single" w:sz="8" w:space="0" w:color="0072BC" w:themeColor="accent1"/>
        <w:bottom w:val="single" w:sz="8" w:space="0" w:color="0072BC" w:themeColor="accent1"/>
      </w:tblBorders>
    </w:tblPr>
    <w:tblStylePr w:type="fir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lastRow">
      <w:pPr>
        <w:spacing w:before="0" w:after="0" w:line="240" w:lineRule="auto"/>
      </w:pPr>
      <w:rPr>
        <w:b/>
        <w:bCs/>
      </w:rPr>
      <w:tblPr/>
      <w:tcPr>
        <w:tcBorders>
          <w:top w:val="single" w:sz="8" w:space="0" w:color="0072BC" w:themeColor="accent1"/>
          <w:left w:val="nil"/>
          <w:bottom w:val="single" w:sz="8" w:space="0" w:color="0072B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left w:val="nil"/>
          <w:right w:val="nil"/>
          <w:insideH w:val="nil"/>
          <w:insideV w:val="nil"/>
        </w:tcBorders>
        <w:shd w:val="clear" w:color="auto" w:fill="AFDFFF" w:themeFill="accent1" w:themeFillTint="3F"/>
      </w:tcPr>
    </w:tblStylePr>
  </w:style>
  <w:style w:type="table" w:styleId="LightShading-Accent2">
    <w:name w:val="Light Shading Accent 2"/>
    <w:basedOn w:val="TableNormal"/>
    <w:uiPriority w:val="99"/>
    <w:semiHidden/>
    <w:rsid w:val="00014566"/>
    <w:rPr>
      <w:color w:val="8F0000" w:themeColor="accent2" w:themeShade="BF"/>
      <w:lang w:eastAsia="fr-FR"/>
    </w:rPr>
    <w:tblPr>
      <w:tblStyleRowBandSize w:val="1"/>
      <w:tblStyleColBandSize w:val="1"/>
      <w:tblBorders>
        <w:top w:val="single" w:sz="8" w:space="0" w:color="C00000" w:themeColor="accent2"/>
        <w:bottom w:val="single" w:sz="8" w:space="0" w:color="C00000" w:themeColor="accent2"/>
      </w:tblBorders>
    </w:tblPr>
    <w:tblStylePr w:type="fir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lastRow">
      <w:pPr>
        <w:spacing w:before="0" w:after="0" w:line="240" w:lineRule="auto"/>
      </w:pPr>
      <w:rPr>
        <w:b/>
        <w:bCs/>
      </w:rPr>
      <w:tblPr/>
      <w:tcPr>
        <w:tcBorders>
          <w:top w:val="single" w:sz="8" w:space="0" w:color="C00000" w:themeColor="accent2"/>
          <w:left w:val="nil"/>
          <w:bottom w:val="single" w:sz="8" w:space="0" w:color="C0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left w:val="nil"/>
          <w:right w:val="nil"/>
          <w:insideH w:val="nil"/>
          <w:insideV w:val="nil"/>
        </w:tcBorders>
        <w:shd w:val="clear" w:color="auto" w:fill="FFB0B0" w:themeFill="accent2" w:themeFillTint="3F"/>
      </w:tcPr>
    </w:tblStylePr>
  </w:style>
  <w:style w:type="table" w:styleId="LightShading-Accent3">
    <w:name w:val="Light Shading Accent 3"/>
    <w:basedOn w:val="TableNormal"/>
    <w:uiPriority w:val="99"/>
    <w:semiHidden/>
    <w:rsid w:val="00014566"/>
    <w:rPr>
      <w:color w:val="474747" w:themeColor="accent3" w:themeShade="BF"/>
      <w:lang w:eastAsia="fr-FR"/>
    </w:rPr>
    <w:tblPr>
      <w:tblStyleRowBandSize w:val="1"/>
      <w:tblStyleColBandSize w:val="1"/>
      <w:tblBorders>
        <w:top w:val="single" w:sz="8" w:space="0" w:color="5F5F5F" w:themeColor="accent3"/>
        <w:bottom w:val="single" w:sz="8" w:space="0" w:color="5F5F5F" w:themeColor="accent3"/>
      </w:tblBorders>
    </w:tblPr>
    <w:tblStylePr w:type="fir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lastRow">
      <w:pPr>
        <w:spacing w:before="0" w:after="0" w:line="240" w:lineRule="auto"/>
      </w:pPr>
      <w:rPr>
        <w:b/>
        <w:bCs/>
      </w:rPr>
      <w:tblPr/>
      <w:tcPr>
        <w:tcBorders>
          <w:top w:val="single" w:sz="8" w:space="0" w:color="5F5F5F" w:themeColor="accent3"/>
          <w:left w:val="nil"/>
          <w:bottom w:val="single" w:sz="8" w:space="0" w:color="5F5F5F"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left w:val="nil"/>
          <w:right w:val="nil"/>
          <w:insideH w:val="nil"/>
          <w:insideV w:val="nil"/>
        </w:tcBorders>
        <w:shd w:val="clear" w:color="auto" w:fill="D7D7D7" w:themeFill="accent3" w:themeFillTint="3F"/>
      </w:tcPr>
    </w:tblStylePr>
  </w:style>
  <w:style w:type="table" w:styleId="LightShading-Accent4">
    <w:name w:val="Light Shading Accent 4"/>
    <w:basedOn w:val="TableNormal"/>
    <w:uiPriority w:val="99"/>
    <w:semiHidden/>
    <w:rsid w:val="00014566"/>
    <w:rPr>
      <w:color w:val="707070" w:themeColor="accent4" w:themeShade="BF"/>
      <w:lang w:eastAsia="fr-FR"/>
    </w:rPr>
    <w:tblPr>
      <w:tblStyleRowBandSize w:val="1"/>
      <w:tblStyleColBandSize w:val="1"/>
      <w:tblBorders>
        <w:top w:val="single" w:sz="8" w:space="0" w:color="969696" w:themeColor="accent4"/>
        <w:bottom w:val="single" w:sz="8" w:space="0" w:color="969696" w:themeColor="accent4"/>
      </w:tblBorders>
    </w:tblPr>
    <w:tblStylePr w:type="fir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lastRow">
      <w:pPr>
        <w:spacing w:before="0" w:after="0" w:line="240" w:lineRule="auto"/>
      </w:pPr>
      <w:rPr>
        <w:b/>
        <w:bCs/>
      </w:rPr>
      <w:tblPr/>
      <w:tcPr>
        <w:tcBorders>
          <w:top w:val="single" w:sz="8" w:space="0" w:color="969696" w:themeColor="accent4"/>
          <w:left w:val="nil"/>
          <w:bottom w:val="single" w:sz="8" w:space="0" w:color="969696"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left w:val="nil"/>
          <w:right w:val="nil"/>
          <w:insideH w:val="nil"/>
          <w:insideV w:val="nil"/>
        </w:tcBorders>
        <w:shd w:val="clear" w:color="auto" w:fill="E5E5E5" w:themeFill="accent4" w:themeFillTint="3F"/>
      </w:tcPr>
    </w:tblStylePr>
  </w:style>
  <w:style w:type="table" w:styleId="LightShading-Accent5">
    <w:name w:val="Light Shading Accent 5"/>
    <w:basedOn w:val="TableNormal"/>
    <w:uiPriority w:val="99"/>
    <w:semiHidden/>
    <w:rsid w:val="00014566"/>
    <w:rPr>
      <w:color w:val="474747" w:themeColor="accent5" w:themeShade="BF"/>
      <w:lang w:eastAsia="fr-FR"/>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99"/>
    <w:semiHidden/>
    <w:rsid w:val="00014566"/>
    <w:rPr>
      <w:color w:val="393939" w:themeColor="accent6" w:themeShade="BF"/>
      <w:lang w:eastAsia="fr-FR"/>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rsid w:val="00014566"/>
  </w:style>
  <w:style w:type="paragraph" w:styleId="List">
    <w:name w:val="List"/>
    <w:basedOn w:val="Normal"/>
    <w:uiPriority w:val="99"/>
    <w:semiHidden/>
    <w:rsid w:val="00014566"/>
    <w:pPr>
      <w:ind w:left="283" w:hanging="283"/>
      <w:contextualSpacing/>
    </w:pPr>
  </w:style>
  <w:style w:type="paragraph" w:styleId="List2">
    <w:name w:val="List 2"/>
    <w:basedOn w:val="Normal"/>
    <w:uiPriority w:val="99"/>
    <w:semiHidden/>
    <w:rsid w:val="00014566"/>
    <w:pPr>
      <w:ind w:left="566" w:hanging="283"/>
      <w:contextualSpacing/>
    </w:pPr>
  </w:style>
  <w:style w:type="paragraph" w:styleId="List3">
    <w:name w:val="List 3"/>
    <w:basedOn w:val="Normal"/>
    <w:uiPriority w:val="99"/>
    <w:semiHidden/>
    <w:rsid w:val="00014566"/>
    <w:pPr>
      <w:ind w:left="849" w:hanging="283"/>
      <w:contextualSpacing/>
    </w:pPr>
  </w:style>
  <w:style w:type="paragraph" w:styleId="List4">
    <w:name w:val="List 4"/>
    <w:basedOn w:val="Normal"/>
    <w:uiPriority w:val="99"/>
    <w:semiHidden/>
    <w:rsid w:val="00014566"/>
    <w:pPr>
      <w:ind w:left="1132" w:hanging="283"/>
      <w:contextualSpacing/>
    </w:pPr>
  </w:style>
  <w:style w:type="paragraph" w:styleId="List5">
    <w:name w:val="List 5"/>
    <w:basedOn w:val="Normal"/>
    <w:uiPriority w:val="99"/>
    <w:semiHidden/>
    <w:rsid w:val="00014566"/>
    <w:pPr>
      <w:ind w:left="1415" w:hanging="283"/>
      <w:contextualSpacing/>
    </w:pPr>
  </w:style>
  <w:style w:type="paragraph" w:styleId="ListBullet2">
    <w:name w:val="List Bullet 2"/>
    <w:basedOn w:val="Normal"/>
    <w:uiPriority w:val="99"/>
    <w:semiHidden/>
    <w:rsid w:val="00014566"/>
    <w:pPr>
      <w:numPr>
        <w:numId w:val="5"/>
      </w:numPr>
      <w:contextualSpacing/>
    </w:pPr>
  </w:style>
  <w:style w:type="paragraph" w:styleId="ListBullet3">
    <w:name w:val="List Bullet 3"/>
    <w:basedOn w:val="Normal"/>
    <w:uiPriority w:val="99"/>
    <w:semiHidden/>
    <w:rsid w:val="00014566"/>
    <w:pPr>
      <w:numPr>
        <w:numId w:val="6"/>
      </w:numPr>
      <w:contextualSpacing/>
    </w:pPr>
  </w:style>
  <w:style w:type="paragraph" w:styleId="ListBullet4">
    <w:name w:val="List Bullet 4"/>
    <w:basedOn w:val="Normal"/>
    <w:uiPriority w:val="99"/>
    <w:semiHidden/>
    <w:rsid w:val="00014566"/>
    <w:pPr>
      <w:numPr>
        <w:numId w:val="7"/>
      </w:numPr>
      <w:contextualSpacing/>
    </w:pPr>
  </w:style>
  <w:style w:type="paragraph" w:styleId="ListBullet5">
    <w:name w:val="List Bullet 5"/>
    <w:basedOn w:val="Normal"/>
    <w:uiPriority w:val="99"/>
    <w:semiHidden/>
    <w:rsid w:val="00014566"/>
    <w:pPr>
      <w:numPr>
        <w:numId w:val="8"/>
      </w:numPr>
      <w:contextualSpacing/>
    </w:pPr>
  </w:style>
  <w:style w:type="paragraph" w:styleId="ListContinue">
    <w:name w:val="List Continue"/>
    <w:basedOn w:val="Normal"/>
    <w:uiPriority w:val="99"/>
    <w:semiHidden/>
    <w:rsid w:val="00014566"/>
    <w:pPr>
      <w:spacing w:after="120"/>
      <w:ind w:left="283"/>
      <w:contextualSpacing/>
    </w:pPr>
  </w:style>
  <w:style w:type="paragraph" w:styleId="ListContinue2">
    <w:name w:val="List Continue 2"/>
    <w:basedOn w:val="Normal"/>
    <w:uiPriority w:val="99"/>
    <w:semiHidden/>
    <w:rsid w:val="00014566"/>
    <w:pPr>
      <w:spacing w:after="120"/>
      <w:ind w:left="566"/>
      <w:contextualSpacing/>
    </w:pPr>
  </w:style>
  <w:style w:type="paragraph" w:styleId="ListContinue3">
    <w:name w:val="List Continue 3"/>
    <w:basedOn w:val="Normal"/>
    <w:uiPriority w:val="99"/>
    <w:semiHidden/>
    <w:rsid w:val="00014566"/>
    <w:pPr>
      <w:spacing w:after="120"/>
      <w:ind w:left="849"/>
      <w:contextualSpacing/>
    </w:pPr>
  </w:style>
  <w:style w:type="paragraph" w:styleId="ListContinue4">
    <w:name w:val="List Continue 4"/>
    <w:basedOn w:val="Normal"/>
    <w:uiPriority w:val="99"/>
    <w:semiHidden/>
    <w:rsid w:val="00014566"/>
    <w:pPr>
      <w:spacing w:after="120"/>
      <w:ind w:left="1132"/>
      <w:contextualSpacing/>
    </w:pPr>
  </w:style>
  <w:style w:type="paragraph" w:styleId="ListContinue5">
    <w:name w:val="List Continue 5"/>
    <w:basedOn w:val="Normal"/>
    <w:uiPriority w:val="99"/>
    <w:semiHidden/>
    <w:rsid w:val="00014566"/>
    <w:pPr>
      <w:spacing w:after="120"/>
      <w:ind w:left="1415"/>
      <w:contextualSpacing/>
    </w:pPr>
  </w:style>
  <w:style w:type="paragraph" w:styleId="ListNumber">
    <w:name w:val="List Number"/>
    <w:basedOn w:val="Normal"/>
    <w:uiPriority w:val="99"/>
    <w:semiHidden/>
    <w:rsid w:val="00014566"/>
    <w:pPr>
      <w:numPr>
        <w:numId w:val="9"/>
      </w:numPr>
      <w:contextualSpacing/>
    </w:pPr>
  </w:style>
  <w:style w:type="paragraph" w:styleId="ListNumber2">
    <w:name w:val="List Number 2"/>
    <w:basedOn w:val="Normal"/>
    <w:uiPriority w:val="99"/>
    <w:semiHidden/>
    <w:rsid w:val="00014566"/>
    <w:pPr>
      <w:numPr>
        <w:numId w:val="10"/>
      </w:numPr>
      <w:contextualSpacing/>
    </w:pPr>
  </w:style>
  <w:style w:type="paragraph" w:styleId="ListNumber3">
    <w:name w:val="List Number 3"/>
    <w:basedOn w:val="Normal"/>
    <w:uiPriority w:val="99"/>
    <w:semiHidden/>
    <w:rsid w:val="00014566"/>
    <w:pPr>
      <w:numPr>
        <w:numId w:val="11"/>
      </w:numPr>
      <w:contextualSpacing/>
    </w:pPr>
  </w:style>
  <w:style w:type="paragraph" w:styleId="ListNumber4">
    <w:name w:val="List Number 4"/>
    <w:basedOn w:val="Normal"/>
    <w:uiPriority w:val="99"/>
    <w:semiHidden/>
    <w:rsid w:val="00014566"/>
    <w:pPr>
      <w:numPr>
        <w:numId w:val="12"/>
      </w:numPr>
      <w:contextualSpacing/>
    </w:pPr>
  </w:style>
  <w:style w:type="paragraph" w:styleId="ListNumber5">
    <w:name w:val="List Number 5"/>
    <w:basedOn w:val="Normal"/>
    <w:uiPriority w:val="99"/>
    <w:semiHidden/>
    <w:rsid w:val="00014566"/>
    <w:pPr>
      <w:numPr>
        <w:numId w:val="13"/>
      </w:numPr>
      <w:contextualSpacing/>
    </w:pPr>
  </w:style>
  <w:style w:type="paragraph" w:styleId="MacroText">
    <w:name w:val="macro"/>
    <w:link w:val="MacroTextChar"/>
    <w:uiPriority w:val="99"/>
    <w:semiHidden/>
    <w:rsid w:val="00014566"/>
    <w:pPr>
      <w:tabs>
        <w:tab w:val="left" w:pos="480"/>
        <w:tab w:val="left" w:pos="960"/>
        <w:tab w:val="left" w:pos="1440"/>
        <w:tab w:val="left" w:pos="1920"/>
        <w:tab w:val="left" w:pos="2400"/>
        <w:tab w:val="left" w:pos="2880"/>
        <w:tab w:val="left" w:pos="3360"/>
        <w:tab w:val="left" w:pos="3840"/>
        <w:tab w:val="left" w:pos="4320"/>
      </w:tabs>
      <w:suppressAutoHyphens/>
    </w:pPr>
    <w:rPr>
      <w:rFonts w:ascii="Consolas" w:hAnsi="Consolas" w:cs="Consolas"/>
      <w:sz w:val="20"/>
      <w:szCs w:val="20"/>
      <w:lang w:eastAsia="fr-FR"/>
    </w:rPr>
  </w:style>
  <w:style w:type="character" w:customStyle="1" w:styleId="MacroTextChar">
    <w:name w:val="Macro Text Char"/>
    <w:basedOn w:val="DefaultParagraphFont"/>
    <w:link w:val="MacroText"/>
    <w:uiPriority w:val="99"/>
    <w:semiHidden/>
    <w:rsid w:val="00014566"/>
    <w:rPr>
      <w:rFonts w:ascii="Consolas" w:hAnsi="Consolas" w:cs="Consolas"/>
      <w:sz w:val="20"/>
      <w:szCs w:val="20"/>
      <w:lang w:val="bg-BG" w:eastAsia="fr-FR"/>
    </w:rPr>
  </w:style>
  <w:style w:type="table" w:styleId="MediumGrid1">
    <w:name w:val="Medium Grid 1"/>
    <w:basedOn w:val="TableNormal"/>
    <w:uiPriority w:val="99"/>
    <w:semiHidden/>
    <w:rsid w:val="00014566"/>
    <w:rPr>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rsid w:val="00014566"/>
    <w:rPr>
      <w:lang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insideV w:val="single" w:sz="8" w:space="0" w:color="0D9FFF" w:themeColor="accent1" w:themeTint="BF"/>
      </w:tblBorders>
    </w:tblPr>
    <w:tcPr>
      <w:shd w:val="clear" w:color="auto" w:fill="AFDFFF" w:themeFill="accent1" w:themeFillTint="3F"/>
    </w:tcPr>
    <w:tblStylePr w:type="firstRow">
      <w:rPr>
        <w:b/>
        <w:bCs/>
      </w:rPr>
    </w:tblStylePr>
    <w:tblStylePr w:type="lastRow">
      <w:rPr>
        <w:b/>
        <w:bCs/>
      </w:rPr>
      <w:tblPr/>
      <w:tcPr>
        <w:tcBorders>
          <w:top w:val="single" w:sz="18" w:space="0" w:color="0D9FFF" w:themeColor="accent1" w:themeTint="BF"/>
        </w:tcBorders>
      </w:tcPr>
    </w:tblStylePr>
    <w:tblStylePr w:type="firstCol">
      <w:rPr>
        <w:b/>
        <w:bCs/>
      </w:rPr>
    </w:tblStylePr>
    <w:tblStylePr w:type="lastCol">
      <w:rPr>
        <w:b/>
        <w:bCs/>
      </w:rPr>
    </w:tblStylePr>
    <w:tblStylePr w:type="band1Vert">
      <w:tblPr/>
      <w:tcPr>
        <w:shd w:val="clear" w:color="auto" w:fill="5EBFFF" w:themeFill="accent1" w:themeFillTint="7F"/>
      </w:tcPr>
    </w:tblStylePr>
    <w:tblStylePr w:type="band1Horz">
      <w:tblPr/>
      <w:tcPr>
        <w:shd w:val="clear" w:color="auto" w:fill="5EBFFF" w:themeFill="accent1" w:themeFillTint="7F"/>
      </w:tcPr>
    </w:tblStylePr>
  </w:style>
  <w:style w:type="table" w:styleId="MediumGrid1-Accent2">
    <w:name w:val="Medium Grid 1 Accent 2"/>
    <w:basedOn w:val="TableNormal"/>
    <w:uiPriority w:val="99"/>
    <w:semiHidden/>
    <w:rsid w:val="00014566"/>
    <w:rPr>
      <w:lang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insideV w:val="single" w:sz="8" w:space="0" w:color="FF1010" w:themeColor="accent2" w:themeTint="BF"/>
      </w:tblBorders>
    </w:tblPr>
    <w:tcPr>
      <w:shd w:val="clear" w:color="auto" w:fill="FFB0B0" w:themeFill="accent2" w:themeFillTint="3F"/>
    </w:tcPr>
    <w:tblStylePr w:type="firstRow">
      <w:rPr>
        <w:b/>
        <w:bCs/>
      </w:rPr>
    </w:tblStylePr>
    <w:tblStylePr w:type="lastRow">
      <w:rPr>
        <w:b/>
        <w:bCs/>
      </w:rPr>
      <w:tblPr/>
      <w:tcPr>
        <w:tcBorders>
          <w:top w:val="single" w:sz="18" w:space="0" w:color="FF1010" w:themeColor="accent2" w:themeTint="BF"/>
        </w:tcBorders>
      </w:tcPr>
    </w:tblStylePr>
    <w:tblStylePr w:type="firstCol">
      <w:rPr>
        <w:b/>
        <w:bCs/>
      </w:rPr>
    </w:tblStylePr>
    <w:tblStylePr w:type="lastCol">
      <w:rPr>
        <w:b/>
        <w:bCs/>
      </w:rPr>
    </w:tblStylePr>
    <w:tblStylePr w:type="band1Vert">
      <w:tblPr/>
      <w:tcPr>
        <w:shd w:val="clear" w:color="auto" w:fill="FF6060" w:themeFill="accent2" w:themeFillTint="7F"/>
      </w:tcPr>
    </w:tblStylePr>
    <w:tblStylePr w:type="band1Horz">
      <w:tblPr/>
      <w:tcPr>
        <w:shd w:val="clear" w:color="auto" w:fill="FF6060" w:themeFill="accent2" w:themeFillTint="7F"/>
      </w:tcPr>
    </w:tblStylePr>
  </w:style>
  <w:style w:type="table" w:styleId="MediumGrid1-Accent3">
    <w:name w:val="Medium Grid 1 Accent 3"/>
    <w:basedOn w:val="TableNormal"/>
    <w:uiPriority w:val="99"/>
    <w:semiHidden/>
    <w:rsid w:val="00014566"/>
    <w:rPr>
      <w:lang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insideV w:val="single" w:sz="8" w:space="0" w:color="878787" w:themeColor="accent3" w:themeTint="BF"/>
      </w:tblBorders>
    </w:tblPr>
    <w:tcPr>
      <w:shd w:val="clear" w:color="auto" w:fill="D7D7D7" w:themeFill="accent3" w:themeFillTint="3F"/>
    </w:tcPr>
    <w:tblStylePr w:type="firstRow">
      <w:rPr>
        <w:b/>
        <w:bCs/>
      </w:rPr>
    </w:tblStylePr>
    <w:tblStylePr w:type="lastRow">
      <w:rPr>
        <w:b/>
        <w:bCs/>
      </w:rPr>
      <w:tblPr/>
      <w:tcPr>
        <w:tcBorders>
          <w:top w:val="single" w:sz="18" w:space="0" w:color="878787" w:themeColor="accent3" w:themeTint="BF"/>
        </w:tcBorders>
      </w:tcPr>
    </w:tblStylePr>
    <w:tblStylePr w:type="firstCol">
      <w:rPr>
        <w:b/>
        <w:bCs/>
      </w:rPr>
    </w:tblStylePr>
    <w:tblStylePr w:type="lastCol">
      <w:rPr>
        <w:b/>
        <w:bCs/>
      </w:rPr>
    </w:tblStylePr>
    <w:tblStylePr w:type="band1Vert">
      <w:tblPr/>
      <w:tcPr>
        <w:shd w:val="clear" w:color="auto" w:fill="AFAFAF" w:themeFill="accent3" w:themeFillTint="7F"/>
      </w:tcPr>
    </w:tblStylePr>
    <w:tblStylePr w:type="band1Horz">
      <w:tblPr/>
      <w:tcPr>
        <w:shd w:val="clear" w:color="auto" w:fill="AFAFAF" w:themeFill="accent3" w:themeFillTint="7F"/>
      </w:tcPr>
    </w:tblStylePr>
  </w:style>
  <w:style w:type="table" w:styleId="MediumGrid1-Accent4">
    <w:name w:val="Medium Grid 1 Accent 4"/>
    <w:basedOn w:val="TableNormal"/>
    <w:uiPriority w:val="99"/>
    <w:semiHidden/>
    <w:rsid w:val="00014566"/>
    <w:rPr>
      <w:lang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insideV w:val="single" w:sz="8" w:space="0" w:color="B0B0B0" w:themeColor="accent4" w:themeTint="BF"/>
      </w:tblBorders>
    </w:tblPr>
    <w:tcPr>
      <w:shd w:val="clear" w:color="auto" w:fill="E5E5E5" w:themeFill="accent4" w:themeFillTint="3F"/>
    </w:tcPr>
    <w:tblStylePr w:type="firstRow">
      <w:rPr>
        <w:b/>
        <w:bCs/>
      </w:rPr>
    </w:tblStylePr>
    <w:tblStylePr w:type="lastRow">
      <w:rPr>
        <w:b/>
        <w:bCs/>
      </w:rPr>
      <w:tblPr/>
      <w:tcPr>
        <w:tcBorders>
          <w:top w:val="single" w:sz="18" w:space="0" w:color="B0B0B0" w:themeColor="accent4" w:themeTint="BF"/>
        </w:tcBorders>
      </w:tcPr>
    </w:tblStylePr>
    <w:tblStylePr w:type="firstCol">
      <w:rPr>
        <w:b/>
        <w:bCs/>
      </w:rPr>
    </w:tblStylePr>
    <w:tblStylePr w:type="lastCol">
      <w:rPr>
        <w:b/>
        <w:bCs/>
      </w:rPr>
    </w:tblStylePr>
    <w:tblStylePr w:type="band1Vert">
      <w:tblPr/>
      <w:tcPr>
        <w:shd w:val="clear" w:color="auto" w:fill="CACACA" w:themeFill="accent4" w:themeFillTint="7F"/>
      </w:tcPr>
    </w:tblStylePr>
    <w:tblStylePr w:type="band1Horz">
      <w:tblPr/>
      <w:tcPr>
        <w:shd w:val="clear" w:color="auto" w:fill="CACACA" w:themeFill="accent4" w:themeFillTint="7F"/>
      </w:tcPr>
    </w:tblStylePr>
  </w:style>
  <w:style w:type="table" w:styleId="MediumGrid1-Accent5">
    <w:name w:val="Medium Grid 1 Accent 5"/>
    <w:basedOn w:val="TableNormal"/>
    <w:uiPriority w:val="99"/>
    <w:semiHidden/>
    <w:rsid w:val="00014566"/>
    <w:rPr>
      <w:lang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99"/>
    <w:semiHidden/>
    <w:rsid w:val="00014566"/>
    <w:rPr>
      <w:lang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0072BC" w:themeFill="background1"/>
      </w:tcPr>
    </w:tblStylePr>
  </w:style>
  <w:style w:type="table" w:styleId="MediumGrid2-Accent1">
    <w:name w:val="Medium Grid 2 Accent 1"/>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insideH w:val="single" w:sz="8" w:space="0" w:color="0072BC" w:themeColor="accent1"/>
        <w:insideV w:val="single" w:sz="8" w:space="0" w:color="0072BC" w:themeColor="accent1"/>
      </w:tblBorders>
    </w:tblPr>
    <w:tcPr>
      <w:shd w:val="clear" w:color="auto" w:fill="AFDFFF" w:themeFill="accent1" w:themeFillTint="3F"/>
    </w:tcPr>
    <w:tblStylePr w:type="firstRow">
      <w:rPr>
        <w:b/>
        <w:bCs/>
        <w:color w:val="000000" w:themeColor="text1"/>
      </w:rPr>
      <w:tblPr/>
      <w:tcPr>
        <w:shd w:val="clear" w:color="auto" w:fill="DF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EE5FF" w:themeFill="accent1" w:themeFillTint="33"/>
      </w:tcPr>
    </w:tblStylePr>
    <w:tblStylePr w:type="band1Vert">
      <w:tblPr/>
      <w:tcPr>
        <w:shd w:val="clear" w:color="auto" w:fill="5EBFFF" w:themeFill="accent1" w:themeFillTint="7F"/>
      </w:tcPr>
    </w:tblStylePr>
    <w:tblStylePr w:type="band1Horz">
      <w:tblPr/>
      <w:tcPr>
        <w:tcBorders>
          <w:insideH w:val="single" w:sz="6" w:space="0" w:color="0072BC" w:themeColor="accent1"/>
          <w:insideV w:val="single" w:sz="6" w:space="0" w:color="0072BC" w:themeColor="accent1"/>
        </w:tcBorders>
        <w:shd w:val="clear" w:color="auto" w:fill="5EBFFF" w:themeFill="accent1" w:themeFillTint="7F"/>
      </w:tcPr>
    </w:tblStylePr>
    <w:tblStylePr w:type="nwCell">
      <w:tblPr/>
      <w:tcPr>
        <w:shd w:val="clear" w:color="auto" w:fill="0072BC" w:themeFill="background1"/>
      </w:tcPr>
    </w:tblStylePr>
  </w:style>
  <w:style w:type="table" w:styleId="MediumGrid2-Accent2">
    <w:name w:val="Medium Grid 2 Accent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insideH w:val="single" w:sz="8" w:space="0" w:color="C00000" w:themeColor="accent2"/>
        <w:insideV w:val="single" w:sz="8" w:space="0" w:color="C00000" w:themeColor="accent2"/>
      </w:tblBorders>
    </w:tblPr>
    <w:tcPr>
      <w:shd w:val="clear" w:color="auto" w:fill="FFB0B0" w:themeFill="accent2" w:themeFillTint="3F"/>
    </w:tcPr>
    <w:tblStylePr w:type="firstRow">
      <w:rPr>
        <w:b/>
        <w:bCs/>
        <w:color w:val="000000" w:themeColor="text1"/>
      </w:rPr>
      <w:tblPr/>
      <w:tcPr>
        <w:shd w:val="clear" w:color="auto" w:fill="FFDFD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FBF" w:themeFill="accent2" w:themeFillTint="33"/>
      </w:tcPr>
    </w:tblStylePr>
    <w:tblStylePr w:type="band1Vert">
      <w:tblPr/>
      <w:tcPr>
        <w:shd w:val="clear" w:color="auto" w:fill="FF6060" w:themeFill="accent2" w:themeFillTint="7F"/>
      </w:tcPr>
    </w:tblStylePr>
    <w:tblStylePr w:type="band1Horz">
      <w:tblPr/>
      <w:tcPr>
        <w:tcBorders>
          <w:insideH w:val="single" w:sz="6" w:space="0" w:color="C00000" w:themeColor="accent2"/>
          <w:insideV w:val="single" w:sz="6" w:space="0" w:color="C00000" w:themeColor="accent2"/>
        </w:tcBorders>
        <w:shd w:val="clear" w:color="auto" w:fill="FF6060" w:themeFill="accent2" w:themeFillTint="7F"/>
      </w:tcPr>
    </w:tblStylePr>
    <w:tblStylePr w:type="nwCell">
      <w:tblPr/>
      <w:tcPr>
        <w:shd w:val="clear" w:color="auto" w:fill="0072BC" w:themeFill="background1"/>
      </w:tcPr>
    </w:tblStylePr>
  </w:style>
  <w:style w:type="table" w:styleId="MediumGrid2-Accent3">
    <w:name w:val="Medium Grid 2 Accent 3"/>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insideH w:val="single" w:sz="8" w:space="0" w:color="5F5F5F" w:themeColor="accent3"/>
        <w:insideV w:val="single" w:sz="8" w:space="0" w:color="5F5F5F" w:themeColor="accent3"/>
      </w:tblBorders>
    </w:tblPr>
    <w:tcPr>
      <w:shd w:val="clear" w:color="auto" w:fill="D7D7D7" w:themeFill="accent3" w:themeFillTint="3F"/>
    </w:tcPr>
    <w:tblStylePr w:type="firstRow">
      <w:rPr>
        <w:b/>
        <w:bCs/>
        <w:color w:val="000000" w:themeColor="text1"/>
      </w:rPr>
      <w:tblPr/>
      <w:tcPr>
        <w:shd w:val="clear" w:color="auto" w:fill="EFEFE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3" w:themeFillTint="33"/>
      </w:tcPr>
    </w:tblStylePr>
    <w:tblStylePr w:type="band1Vert">
      <w:tblPr/>
      <w:tcPr>
        <w:shd w:val="clear" w:color="auto" w:fill="AFAFAF" w:themeFill="accent3" w:themeFillTint="7F"/>
      </w:tcPr>
    </w:tblStylePr>
    <w:tblStylePr w:type="band1Horz">
      <w:tblPr/>
      <w:tcPr>
        <w:tcBorders>
          <w:insideH w:val="single" w:sz="6" w:space="0" w:color="5F5F5F" w:themeColor="accent3"/>
          <w:insideV w:val="single" w:sz="6" w:space="0" w:color="5F5F5F" w:themeColor="accent3"/>
        </w:tcBorders>
        <w:shd w:val="clear" w:color="auto" w:fill="AFAFAF" w:themeFill="accent3" w:themeFillTint="7F"/>
      </w:tcPr>
    </w:tblStylePr>
    <w:tblStylePr w:type="nwCell">
      <w:tblPr/>
      <w:tcPr>
        <w:shd w:val="clear" w:color="auto" w:fill="0072BC" w:themeFill="background1"/>
      </w:tcPr>
    </w:tblStylePr>
  </w:style>
  <w:style w:type="table" w:styleId="MediumGrid2-Accent4">
    <w:name w:val="Medium Grid 2 Accent 4"/>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insideH w:val="single" w:sz="8" w:space="0" w:color="969696" w:themeColor="accent4"/>
        <w:insideV w:val="single" w:sz="8" w:space="0" w:color="969696" w:themeColor="accent4"/>
      </w:tblBorders>
    </w:tblPr>
    <w:tcPr>
      <w:shd w:val="clear" w:color="auto" w:fill="E5E5E5" w:themeFill="accent4" w:themeFillTint="3F"/>
    </w:tcPr>
    <w:tblStylePr w:type="firstRow">
      <w:rPr>
        <w:b/>
        <w:bCs/>
        <w:color w:val="000000" w:themeColor="text1"/>
      </w:rPr>
      <w:tblPr/>
      <w:tcPr>
        <w:shd w:val="clear" w:color="auto" w:fill="F4F4F4"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4" w:themeFillTint="33"/>
      </w:tcPr>
    </w:tblStylePr>
    <w:tblStylePr w:type="band1Vert">
      <w:tblPr/>
      <w:tcPr>
        <w:shd w:val="clear" w:color="auto" w:fill="CACACA" w:themeFill="accent4" w:themeFillTint="7F"/>
      </w:tcPr>
    </w:tblStylePr>
    <w:tblStylePr w:type="band1Horz">
      <w:tblPr/>
      <w:tcPr>
        <w:tcBorders>
          <w:insideH w:val="single" w:sz="6" w:space="0" w:color="969696" w:themeColor="accent4"/>
          <w:insideV w:val="single" w:sz="6" w:space="0" w:color="969696" w:themeColor="accent4"/>
        </w:tcBorders>
        <w:shd w:val="clear" w:color="auto" w:fill="CACACA" w:themeFill="accent4" w:themeFillTint="7F"/>
      </w:tcPr>
    </w:tblStylePr>
    <w:tblStylePr w:type="nwCell">
      <w:tblPr/>
      <w:tcPr>
        <w:shd w:val="clear" w:color="auto" w:fill="0072BC" w:themeFill="background1"/>
      </w:tcPr>
    </w:tblStylePr>
  </w:style>
  <w:style w:type="table" w:styleId="MediumGrid2-Accent5">
    <w:name w:val="Medium Grid 2 Accent 5"/>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0072BC" w:themeFill="background1"/>
      </w:tcPr>
    </w:tblStylePr>
  </w:style>
  <w:style w:type="table" w:styleId="MediumGrid2-Accent6">
    <w:name w:val="Medium Grid 2 Accent 6"/>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0072BC" w:themeFill="background1"/>
      </w:tcPr>
    </w:tblStylePr>
    <w:tblStylePr w:type="firstCol">
      <w:rPr>
        <w:b/>
        <w:bCs/>
        <w:color w:val="000000" w:themeColor="text1"/>
      </w:rPr>
      <w:tblPr/>
      <w:tcPr>
        <w:tcBorders>
          <w:top w:val="nil"/>
          <w:left w:val="nil"/>
          <w:bottom w:val="nil"/>
          <w:right w:val="nil"/>
          <w:insideH w:val="nil"/>
          <w:insideV w:val="nil"/>
        </w:tcBorders>
        <w:shd w:val="clear" w:color="auto" w:fill="0072BC"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0072BC" w:themeFill="background1"/>
      </w:tcPr>
    </w:tblStylePr>
  </w:style>
  <w:style w:type="table" w:styleId="MediumGrid3">
    <w:name w:val="Medium Grid 3"/>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C0C0C0" w:themeFill="tex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0000" w:themeFill="tex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0000" w:themeFill="tex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0000" w:themeFill="tex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808080" w:themeFill="tex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808080" w:themeFill="text1" w:themeFillTint="7F"/>
      </w:tcPr>
    </w:tblStylePr>
  </w:style>
  <w:style w:type="table" w:styleId="MediumGrid3-Accent1">
    <w:name w:val="Medium Grid 3 Accent 1"/>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AFDFFF" w:themeFill="accent1"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0072BC" w:themeFill="accent1"/>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0072BC" w:themeFill="accent1"/>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0072BC" w:themeFill="accent1"/>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5EBFFF" w:themeFill="accent1"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5EBFFF" w:themeFill="accent1" w:themeFillTint="7F"/>
      </w:tcPr>
    </w:tblStylePr>
  </w:style>
  <w:style w:type="table" w:styleId="MediumGrid3-Accent2">
    <w:name w:val="Medium Grid 3 Accent 2"/>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FFB0B0" w:themeFill="accent2"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C00000" w:themeFill="accent2"/>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C00000" w:themeFill="accent2"/>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C00000" w:themeFill="accent2"/>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FF6060" w:themeFill="accent2"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FF6060" w:themeFill="accent2" w:themeFillTint="7F"/>
      </w:tcPr>
    </w:tblStylePr>
  </w:style>
  <w:style w:type="table" w:styleId="MediumGrid3-Accent3">
    <w:name w:val="Medium Grid 3 Accent 3"/>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3"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3"/>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3"/>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3"/>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3"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3" w:themeFillTint="7F"/>
      </w:tcPr>
    </w:tblStylePr>
  </w:style>
  <w:style w:type="table" w:styleId="MediumGrid3-Accent4">
    <w:name w:val="Medium Grid 3 Accent 4"/>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E5E5E5" w:themeFill="accent4"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969696" w:themeFill="accent4"/>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969696" w:themeFill="accent4"/>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969696" w:themeFill="accent4"/>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CACACA" w:themeFill="accent4"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CACACA" w:themeFill="accent4" w:themeFillTint="7F"/>
      </w:tcPr>
    </w:tblStylePr>
  </w:style>
  <w:style w:type="table" w:styleId="MediumGrid3-Accent5">
    <w:name w:val="Medium Grid 3 Accent 5"/>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7D7D7" w:themeFill="accent5"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5F5F5F" w:themeFill="accent5"/>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5F5F5F" w:themeFill="accent5"/>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5F5F5F" w:themeFill="accent5"/>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FAFAF" w:themeFill="accent5"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FAFAF" w:themeFill="accent5" w:themeFillTint="7F"/>
      </w:tcPr>
    </w:tblStylePr>
  </w:style>
  <w:style w:type="table" w:styleId="MediumGrid3-Accent6">
    <w:name w:val="Medium Grid 3 Accent 6"/>
    <w:basedOn w:val="TableNormal"/>
    <w:uiPriority w:val="99"/>
    <w:semiHidden/>
    <w:rsid w:val="00014566"/>
    <w:rPr>
      <w:lang w:eastAsia="fr-FR"/>
    </w:rPr>
    <w:tblPr>
      <w:tblStyleRowBandSize w:val="1"/>
      <w:tblStyleColBandSize w:val="1"/>
      <w:tbl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6" w:space="0" w:color="0072BC" w:themeColor="background1"/>
        <w:insideV w:val="single" w:sz="6" w:space="0" w:color="0072BC" w:themeColor="background1"/>
      </w:tblBorders>
    </w:tblPr>
    <w:tcPr>
      <w:shd w:val="clear" w:color="auto" w:fill="D3D3D3" w:themeFill="accent6" w:themeFillTint="3F"/>
    </w:tcPr>
    <w:tblStylePr w:type="firstRow">
      <w:rPr>
        <w:b/>
        <w:bCs/>
        <w:i w:val="0"/>
        <w:iCs w:val="0"/>
        <w:color w:val="0072BC" w:themeColor="background1"/>
      </w:rPr>
      <w:tblPr/>
      <w:tcPr>
        <w:tcBorders>
          <w:top w:val="single" w:sz="8" w:space="0" w:color="0072BC" w:themeColor="background1"/>
          <w:left w:val="single" w:sz="8" w:space="0" w:color="0072BC" w:themeColor="background1"/>
          <w:bottom w:val="single" w:sz="24"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lastRow">
      <w:rPr>
        <w:b/>
        <w:bCs/>
        <w:i w:val="0"/>
        <w:iCs w:val="0"/>
        <w:color w:val="0072BC" w:themeColor="background1"/>
      </w:rPr>
      <w:tblPr/>
      <w:tcPr>
        <w:tcBorders>
          <w:top w:val="single" w:sz="24" w:space="0" w:color="0072BC" w:themeColor="background1"/>
          <w:left w:val="single" w:sz="8" w:space="0" w:color="0072BC" w:themeColor="background1"/>
          <w:bottom w:val="single" w:sz="8" w:space="0" w:color="0072BC" w:themeColor="background1"/>
          <w:right w:val="single" w:sz="8" w:space="0" w:color="0072BC" w:themeColor="background1"/>
          <w:insideH w:val="nil"/>
          <w:insideV w:val="single" w:sz="8" w:space="0" w:color="0072BC" w:themeColor="background1"/>
        </w:tcBorders>
        <w:shd w:val="clear" w:color="auto" w:fill="4D4D4D" w:themeFill="accent6"/>
      </w:tcPr>
    </w:tblStylePr>
    <w:tblStylePr w:type="firstCol">
      <w:rPr>
        <w:b/>
        <w:bCs/>
        <w:i w:val="0"/>
        <w:iCs w:val="0"/>
        <w:color w:val="0072BC" w:themeColor="background1"/>
      </w:rPr>
      <w:tblPr/>
      <w:tcPr>
        <w:tcBorders>
          <w:left w:val="single" w:sz="8" w:space="0" w:color="0072BC" w:themeColor="background1"/>
          <w:right w:val="single" w:sz="24" w:space="0" w:color="0072BC" w:themeColor="background1"/>
          <w:insideH w:val="nil"/>
          <w:insideV w:val="nil"/>
        </w:tcBorders>
        <w:shd w:val="clear" w:color="auto" w:fill="4D4D4D" w:themeFill="accent6"/>
      </w:tcPr>
    </w:tblStylePr>
    <w:tblStylePr w:type="lastCol">
      <w:rPr>
        <w:b/>
        <w:bCs/>
        <w:i w:val="0"/>
        <w:iCs w:val="0"/>
        <w:color w:val="0072BC" w:themeColor="background1"/>
      </w:rPr>
      <w:tblPr/>
      <w:tcPr>
        <w:tcBorders>
          <w:top w:val="nil"/>
          <w:left w:val="single" w:sz="24" w:space="0" w:color="0072BC" w:themeColor="background1"/>
          <w:bottom w:val="nil"/>
          <w:right w:val="nil"/>
          <w:insideH w:val="nil"/>
          <w:insideV w:val="nil"/>
        </w:tcBorders>
        <w:shd w:val="clear" w:color="auto" w:fill="4D4D4D" w:themeFill="accent6"/>
      </w:tcPr>
    </w:tblStylePr>
    <w:tblStylePr w:type="band1Vert">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nil"/>
          <w:insideV w:val="nil"/>
        </w:tcBorders>
        <w:shd w:val="clear" w:color="auto" w:fill="A6A6A6" w:themeFill="accent6" w:themeFillTint="7F"/>
      </w:tcPr>
    </w:tblStylePr>
    <w:tblStylePr w:type="band1Horz">
      <w:tblPr/>
      <w:tcPr>
        <w:tcBorders>
          <w:top w:val="single" w:sz="8" w:space="0" w:color="0072BC" w:themeColor="background1"/>
          <w:left w:val="single" w:sz="8" w:space="0" w:color="0072BC" w:themeColor="background1"/>
          <w:bottom w:val="single" w:sz="8" w:space="0" w:color="0072BC" w:themeColor="background1"/>
          <w:right w:val="single" w:sz="8" w:space="0" w:color="0072BC" w:themeColor="background1"/>
          <w:insideH w:val="single" w:sz="8" w:space="0" w:color="0072BC" w:themeColor="background1"/>
          <w:insideV w:val="single" w:sz="8" w:space="0" w:color="0072BC" w:themeColor="background1"/>
        </w:tcBorders>
        <w:shd w:val="clear" w:color="auto" w:fill="A6A6A6" w:themeFill="accent6" w:themeFillTint="7F"/>
      </w:tcPr>
    </w:tblStylePr>
  </w:style>
  <w:style w:type="table" w:styleId="MediumList1">
    <w:name w:val="Medium List 1"/>
    <w:basedOn w:val="TableNormal"/>
    <w:uiPriority w:val="99"/>
    <w:semiHidden/>
    <w:rsid w:val="00014566"/>
    <w:rPr>
      <w:color w:val="000000" w:themeColor="text1"/>
      <w:lang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C6C6C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rsid w:val="00014566"/>
    <w:rPr>
      <w:color w:val="000000" w:themeColor="text1"/>
      <w:lang w:eastAsia="fr-FR"/>
    </w:rPr>
    <w:tblPr>
      <w:tblStyleRowBandSize w:val="1"/>
      <w:tblStyleColBandSize w:val="1"/>
      <w:tblBorders>
        <w:top w:val="single" w:sz="8" w:space="0" w:color="0072BC" w:themeColor="accent1"/>
        <w:bottom w:val="single" w:sz="8" w:space="0" w:color="0072BC" w:themeColor="accent1"/>
      </w:tblBorders>
    </w:tblPr>
    <w:tblStylePr w:type="firstRow">
      <w:rPr>
        <w:rFonts w:asciiTheme="majorHAnsi" w:eastAsiaTheme="majorEastAsia" w:hAnsiTheme="majorHAnsi" w:cstheme="majorBidi"/>
      </w:rPr>
      <w:tblPr/>
      <w:tcPr>
        <w:tcBorders>
          <w:top w:val="nil"/>
          <w:bottom w:val="single" w:sz="8" w:space="0" w:color="0072BC" w:themeColor="accent1"/>
        </w:tcBorders>
      </w:tcPr>
    </w:tblStylePr>
    <w:tblStylePr w:type="lastRow">
      <w:rPr>
        <w:b/>
        <w:bCs/>
        <w:color w:val="C6C6C6" w:themeColor="text2"/>
      </w:rPr>
      <w:tblPr/>
      <w:tcPr>
        <w:tcBorders>
          <w:top w:val="single" w:sz="8" w:space="0" w:color="0072BC" w:themeColor="accent1"/>
          <w:bottom w:val="single" w:sz="8" w:space="0" w:color="0072BC" w:themeColor="accent1"/>
        </w:tcBorders>
      </w:tcPr>
    </w:tblStylePr>
    <w:tblStylePr w:type="firstCol">
      <w:rPr>
        <w:b/>
        <w:bCs/>
      </w:rPr>
    </w:tblStylePr>
    <w:tblStylePr w:type="lastCol">
      <w:rPr>
        <w:b/>
        <w:bCs/>
      </w:rPr>
      <w:tblPr/>
      <w:tcPr>
        <w:tcBorders>
          <w:top w:val="single" w:sz="8" w:space="0" w:color="0072BC" w:themeColor="accent1"/>
          <w:bottom w:val="single" w:sz="8" w:space="0" w:color="0072BC" w:themeColor="accent1"/>
        </w:tcBorders>
      </w:tcPr>
    </w:tblStylePr>
    <w:tblStylePr w:type="band1Vert">
      <w:tblPr/>
      <w:tcPr>
        <w:shd w:val="clear" w:color="auto" w:fill="AFDFFF" w:themeFill="accent1" w:themeFillTint="3F"/>
      </w:tcPr>
    </w:tblStylePr>
    <w:tblStylePr w:type="band1Horz">
      <w:tblPr/>
      <w:tcPr>
        <w:shd w:val="clear" w:color="auto" w:fill="AFDFFF" w:themeFill="accent1" w:themeFillTint="3F"/>
      </w:tcPr>
    </w:tblStylePr>
  </w:style>
  <w:style w:type="table" w:styleId="MediumList1-Accent2">
    <w:name w:val="Medium List 1 Accent 2"/>
    <w:basedOn w:val="TableNormal"/>
    <w:uiPriority w:val="99"/>
    <w:semiHidden/>
    <w:rsid w:val="00014566"/>
    <w:rPr>
      <w:color w:val="000000" w:themeColor="text1"/>
      <w:lang w:eastAsia="fr-FR"/>
    </w:rPr>
    <w:tblPr>
      <w:tblStyleRowBandSize w:val="1"/>
      <w:tblStyleColBandSize w:val="1"/>
      <w:tblBorders>
        <w:top w:val="single" w:sz="8" w:space="0" w:color="C00000" w:themeColor="accent2"/>
        <w:bottom w:val="single" w:sz="8" w:space="0" w:color="C00000" w:themeColor="accent2"/>
      </w:tblBorders>
    </w:tblPr>
    <w:tblStylePr w:type="firstRow">
      <w:rPr>
        <w:rFonts w:asciiTheme="majorHAnsi" w:eastAsiaTheme="majorEastAsia" w:hAnsiTheme="majorHAnsi" w:cstheme="majorBidi"/>
      </w:rPr>
      <w:tblPr/>
      <w:tcPr>
        <w:tcBorders>
          <w:top w:val="nil"/>
          <w:bottom w:val="single" w:sz="8" w:space="0" w:color="C00000" w:themeColor="accent2"/>
        </w:tcBorders>
      </w:tcPr>
    </w:tblStylePr>
    <w:tblStylePr w:type="lastRow">
      <w:rPr>
        <w:b/>
        <w:bCs/>
        <w:color w:val="C6C6C6" w:themeColor="text2"/>
      </w:rPr>
      <w:tblPr/>
      <w:tcPr>
        <w:tcBorders>
          <w:top w:val="single" w:sz="8" w:space="0" w:color="C00000" w:themeColor="accent2"/>
          <w:bottom w:val="single" w:sz="8" w:space="0" w:color="C00000" w:themeColor="accent2"/>
        </w:tcBorders>
      </w:tcPr>
    </w:tblStylePr>
    <w:tblStylePr w:type="firstCol">
      <w:rPr>
        <w:b/>
        <w:bCs/>
      </w:rPr>
    </w:tblStylePr>
    <w:tblStylePr w:type="lastCol">
      <w:rPr>
        <w:b/>
        <w:bCs/>
      </w:rPr>
      <w:tblPr/>
      <w:tcPr>
        <w:tcBorders>
          <w:top w:val="single" w:sz="8" w:space="0" w:color="C00000" w:themeColor="accent2"/>
          <w:bottom w:val="single" w:sz="8" w:space="0" w:color="C00000" w:themeColor="accent2"/>
        </w:tcBorders>
      </w:tcPr>
    </w:tblStylePr>
    <w:tblStylePr w:type="band1Vert">
      <w:tblPr/>
      <w:tcPr>
        <w:shd w:val="clear" w:color="auto" w:fill="FFB0B0" w:themeFill="accent2" w:themeFillTint="3F"/>
      </w:tcPr>
    </w:tblStylePr>
    <w:tblStylePr w:type="band1Horz">
      <w:tblPr/>
      <w:tcPr>
        <w:shd w:val="clear" w:color="auto" w:fill="FFB0B0" w:themeFill="accent2" w:themeFillTint="3F"/>
      </w:tcPr>
    </w:tblStylePr>
  </w:style>
  <w:style w:type="table" w:styleId="MediumList1-Accent3">
    <w:name w:val="Medium List 1 Accent 3"/>
    <w:basedOn w:val="TableNormal"/>
    <w:uiPriority w:val="99"/>
    <w:semiHidden/>
    <w:rsid w:val="00014566"/>
    <w:rPr>
      <w:color w:val="000000" w:themeColor="text1"/>
      <w:lang w:eastAsia="fr-FR"/>
    </w:rPr>
    <w:tblPr>
      <w:tblStyleRowBandSize w:val="1"/>
      <w:tblStyleColBandSize w:val="1"/>
      <w:tblBorders>
        <w:top w:val="single" w:sz="8" w:space="0" w:color="5F5F5F" w:themeColor="accent3"/>
        <w:bottom w:val="single" w:sz="8" w:space="0" w:color="5F5F5F" w:themeColor="accent3"/>
      </w:tblBorders>
    </w:tblPr>
    <w:tblStylePr w:type="firstRow">
      <w:rPr>
        <w:rFonts w:asciiTheme="majorHAnsi" w:eastAsiaTheme="majorEastAsia" w:hAnsiTheme="majorHAnsi" w:cstheme="majorBidi"/>
      </w:rPr>
      <w:tblPr/>
      <w:tcPr>
        <w:tcBorders>
          <w:top w:val="nil"/>
          <w:bottom w:val="single" w:sz="8" w:space="0" w:color="5F5F5F" w:themeColor="accent3"/>
        </w:tcBorders>
      </w:tcPr>
    </w:tblStylePr>
    <w:tblStylePr w:type="lastRow">
      <w:rPr>
        <w:b/>
        <w:bCs/>
        <w:color w:val="C6C6C6" w:themeColor="text2"/>
      </w:rPr>
      <w:tblPr/>
      <w:tcPr>
        <w:tcBorders>
          <w:top w:val="single" w:sz="8" w:space="0" w:color="5F5F5F" w:themeColor="accent3"/>
          <w:bottom w:val="single" w:sz="8" w:space="0" w:color="5F5F5F" w:themeColor="accent3"/>
        </w:tcBorders>
      </w:tcPr>
    </w:tblStylePr>
    <w:tblStylePr w:type="firstCol">
      <w:rPr>
        <w:b/>
        <w:bCs/>
      </w:rPr>
    </w:tblStylePr>
    <w:tblStylePr w:type="lastCol">
      <w:rPr>
        <w:b/>
        <w:bCs/>
      </w:rPr>
      <w:tblPr/>
      <w:tcPr>
        <w:tcBorders>
          <w:top w:val="single" w:sz="8" w:space="0" w:color="5F5F5F" w:themeColor="accent3"/>
          <w:bottom w:val="single" w:sz="8" w:space="0" w:color="5F5F5F" w:themeColor="accent3"/>
        </w:tcBorders>
      </w:tcPr>
    </w:tblStylePr>
    <w:tblStylePr w:type="band1Vert">
      <w:tblPr/>
      <w:tcPr>
        <w:shd w:val="clear" w:color="auto" w:fill="D7D7D7" w:themeFill="accent3" w:themeFillTint="3F"/>
      </w:tcPr>
    </w:tblStylePr>
    <w:tblStylePr w:type="band1Horz">
      <w:tblPr/>
      <w:tcPr>
        <w:shd w:val="clear" w:color="auto" w:fill="D7D7D7" w:themeFill="accent3" w:themeFillTint="3F"/>
      </w:tcPr>
    </w:tblStylePr>
  </w:style>
  <w:style w:type="table" w:styleId="MediumList1-Accent4">
    <w:name w:val="Medium List 1 Accent 4"/>
    <w:basedOn w:val="TableNormal"/>
    <w:uiPriority w:val="99"/>
    <w:semiHidden/>
    <w:rsid w:val="00014566"/>
    <w:rPr>
      <w:color w:val="000000" w:themeColor="text1"/>
      <w:lang w:eastAsia="fr-FR"/>
    </w:rPr>
    <w:tblPr>
      <w:tblStyleRowBandSize w:val="1"/>
      <w:tblStyleColBandSize w:val="1"/>
      <w:tblBorders>
        <w:top w:val="single" w:sz="8" w:space="0" w:color="969696" w:themeColor="accent4"/>
        <w:bottom w:val="single" w:sz="8" w:space="0" w:color="969696" w:themeColor="accent4"/>
      </w:tblBorders>
    </w:tblPr>
    <w:tblStylePr w:type="firstRow">
      <w:rPr>
        <w:rFonts w:asciiTheme="majorHAnsi" w:eastAsiaTheme="majorEastAsia" w:hAnsiTheme="majorHAnsi" w:cstheme="majorBidi"/>
      </w:rPr>
      <w:tblPr/>
      <w:tcPr>
        <w:tcBorders>
          <w:top w:val="nil"/>
          <w:bottom w:val="single" w:sz="8" w:space="0" w:color="969696" w:themeColor="accent4"/>
        </w:tcBorders>
      </w:tcPr>
    </w:tblStylePr>
    <w:tblStylePr w:type="lastRow">
      <w:rPr>
        <w:b/>
        <w:bCs/>
        <w:color w:val="C6C6C6" w:themeColor="text2"/>
      </w:rPr>
      <w:tblPr/>
      <w:tcPr>
        <w:tcBorders>
          <w:top w:val="single" w:sz="8" w:space="0" w:color="969696" w:themeColor="accent4"/>
          <w:bottom w:val="single" w:sz="8" w:space="0" w:color="969696" w:themeColor="accent4"/>
        </w:tcBorders>
      </w:tcPr>
    </w:tblStylePr>
    <w:tblStylePr w:type="firstCol">
      <w:rPr>
        <w:b/>
        <w:bCs/>
      </w:rPr>
    </w:tblStylePr>
    <w:tblStylePr w:type="lastCol">
      <w:rPr>
        <w:b/>
        <w:bCs/>
      </w:rPr>
      <w:tblPr/>
      <w:tcPr>
        <w:tcBorders>
          <w:top w:val="single" w:sz="8" w:space="0" w:color="969696" w:themeColor="accent4"/>
          <w:bottom w:val="single" w:sz="8" w:space="0" w:color="969696" w:themeColor="accent4"/>
        </w:tcBorders>
      </w:tcPr>
    </w:tblStylePr>
    <w:tblStylePr w:type="band1Vert">
      <w:tblPr/>
      <w:tcPr>
        <w:shd w:val="clear" w:color="auto" w:fill="E5E5E5" w:themeFill="accent4" w:themeFillTint="3F"/>
      </w:tcPr>
    </w:tblStylePr>
    <w:tblStylePr w:type="band1Horz">
      <w:tblPr/>
      <w:tcPr>
        <w:shd w:val="clear" w:color="auto" w:fill="E5E5E5" w:themeFill="accent4" w:themeFillTint="3F"/>
      </w:tcPr>
    </w:tblStylePr>
  </w:style>
  <w:style w:type="table" w:styleId="MediumList1-Accent5">
    <w:name w:val="Medium List 1 Accent 5"/>
    <w:basedOn w:val="TableNormal"/>
    <w:uiPriority w:val="99"/>
    <w:semiHidden/>
    <w:rsid w:val="00014566"/>
    <w:rPr>
      <w:color w:val="000000" w:themeColor="text1"/>
      <w:lang w:eastAsia="fr-FR"/>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C6C6C6"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99"/>
    <w:semiHidden/>
    <w:rsid w:val="00014566"/>
    <w:rPr>
      <w:color w:val="000000" w:themeColor="text1"/>
      <w:lang w:eastAsia="fr-FR"/>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C6C6C6"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0072BC" w:themeFill="background1"/>
      </w:tcPr>
    </w:tblStylePr>
    <w:tblStylePr w:type="lastRow">
      <w:tblPr/>
      <w:tcPr>
        <w:tcBorders>
          <w:top w:val="single" w:sz="8" w:space="0" w:color="000000" w:themeColor="tex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0000" w:themeColor="text1"/>
          <w:insideH w:val="nil"/>
          <w:insideV w:val="nil"/>
        </w:tcBorders>
        <w:shd w:val="clear" w:color="auto" w:fill="0072BC" w:themeFill="background1"/>
      </w:tcPr>
    </w:tblStylePr>
    <w:tblStylePr w:type="lastCol">
      <w:tblPr/>
      <w:tcPr>
        <w:tcBorders>
          <w:top w:val="nil"/>
          <w:left w:val="single" w:sz="8" w:space="0" w:color="000000" w:themeColor="tex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1">
    <w:name w:val="Medium List 2 Accent 1"/>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0072BC" w:themeColor="accent1"/>
        <w:left w:val="single" w:sz="8" w:space="0" w:color="0072BC" w:themeColor="accent1"/>
        <w:bottom w:val="single" w:sz="8" w:space="0" w:color="0072BC" w:themeColor="accent1"/>
        <w:right w:val="single" w:sz="8" w:space="0" w:color="0072BC" w:themeColor="accent1"/>
      </w:tblBorders>
    </w:tblPr>
    <w:tblStylePr w:type="firstRow">
      <w:rPr>
        <w:sz w:val="24"/>
        <w:szCs w:val="24"/>
      </w:rPr>
      <w:tblPr/>
      <w:tcPr>
        <w:tcBorders>
          <w:top w:val="nil"/>
          <w:left w:val="nil"/>
          <w:bottom w:val="single" w:sz="24" w:space="0" w:color="0072BC" w:themeColor="accent1"/>
          <w:right w:val="nil"/>
          <w:insideH w:val="nil"/>
          <w:insideV w:val="nil"/>
        </w:tcBorders>
        <w:shd w:val="clear" w:color="auto" w:fill="0072BC" w:themeFill="background1"/>
      </w:tcPr>
    </w:tblStylePr>
    <w:tblStylePr w:type="lastRow">
      <w:tblPr/>
      <w:tcPr>
        <w:tcBorders>
          <w:top w:val="single" w:sz="8" w:space="0" w:color="0072BC" w:themeColor="accent1"/>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0072BC" w:themeColor="accent1"/>
          <w:insideH w:val="nil"/>
          <w:insideV w:val="nil"/>
        </w:tcBorders>
        <w:shd w:val="clear" w:color="auto" w:fill="0072BC" w:themeFill="background1"/>
      </w:tcPr>
    </w:tblStylePr>
    <w:tblStylePr w:type="lastCol">
      <w:tblPr/>
      <w:tcPr>
        <w:tcBorders>
          <w:top w:val="nil"/>
          <w:left w:val="single" w:sz="8" w:space="0" w:color="0072BC" w:themeColor="accent1"/>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AFDFFF" w:themeFill="accent1" w:themeFillTint="3F"/>
      </w:tcPr>
    </w:tblStylePr>
    <w:tblStylePr w:type="band1Horz">
      <w:tblPr/>
      <w:tcPr>
        <w:tcBorders>
          <w:top w:val="nil"/>
          <w:bottom w:val="nil"/>
          <w:insideH w:val="nil"/>
          <w:insideV w:val="nil"/>
        </w:tcBorders>
        <w:shd w:val="clear" w:color="auto" w:fill="AFDFFF" w:themeFill="accent1"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2">
    <w:name w:val="Medium List 2 Accent 2"/>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C00000" w:themeColor="accent2"/>
        <w:left w:val="single" w:sz="8" w:space="0" w:color="C00000" w:themeColor="accent2"/>
        <w:bottom w:val="single" w:sz="8" w:space="0" w:color="C00000" w:themeColor="accent2"/>
        <w:right w:val="single" w:sz="8" w:space="0" w:color="C00000" w:themeColor="accent2"/>
      </w:tblBorders>
    </w:tblPr>
    <w:tblStylePr w:type="firstRow">
      <w:rPr>
        <w:sz w:val="24"/>
        <w:szCs w:val="24"/>
      </w:rPr>
      <w:tblPr/>
      <w:tcPr>
        <w:tcBorders>
          <w:top w:val="nil"/>
          <w:left w:val="nil"/>
          <w:bottom w:val="single" w:sz="24" w:space="0" w:color="C00000" w:themeColor="accent2"/>
          <w:right w:val="nil"/>
          <w:insideH w:val="nil"/>
          <w:insideV w:val="nil"/>
        </w:tcBorders>
        <w:shd w:val="clear" w:color="auto" w:fill="0072BC" w:themeFill="background1"/>
      </w:tcPr>
    </w:tblStylePr>
    <w:tblStylePr w:type="lastRow">
      <w:tblPr/>
      <w:tcPr>
        <w:tcBorders>
          <w:top w:val="single" w:sz="8" w:space="0" w:color="C00000" w:themeColor="accent2"/>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C00000" w:themeColor="accent2"/>
          <w:insideH w:val="nil"/>
          <w:insideV w:val="nil"/>
        </w:tcBorders>
        <w:shd w:val="clear" w:color="auto" w:fill="0072BC" w:themeFill="background1"/>
      </w:tcPr>
    </w:tblStylePr>
    <w:tblStylePr w:type="lastCol">
      <w:tblPr/>
      <w:tcPr>
        <w:tcBorders>
          <w:top w:val="nil"/>
          <w:left w:val="single" w:sz="8" w:space="0" w:color="C00000" w:themeColor="accent2"/>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FFB0B0" w:themeFill="accent2" w:themeFillTint="3F"/>
      </w:tcPr>
    </w:tblStylePr>
    <w:tblStylePr w:type="band1Horz">
      <w:tblPr/>
      <w:tcPr>
        <w:tcBorders>
          <w:top w:val="nil"/>
          <w:bottom w:val="nil"/>
          <w:insideH w:val="nil"/>
          <w:insideV w:val="nil"/>
        </w:tcBorders>
        <w:shd w:val="clear" w:color="auto" w:fill="FFB0B0" w:themeFill="accent2"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3">
    <w:name w:val="Medium List 2 Accent 3"/>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3"/>
        <w:left w:val="single" w:sz="8" w:space="0" w:color="5F5F5F" w:themeColor="accent3"/>
        <w:bottom w:val="single" w:sz="8" w:space="0" w:color="5F5F5F" w:themeColor="accent3"/>
        <w:right w:val="single" w:sz="8" w:space="0" w:color="5F5F5F" w:themeColor="accent3"/>
      </w:tblBorders>
    </w:tblPr>
    <w:tblStylePr w:type="firstRow">
      <w:rPr>
        <w:sz w:val="24"/>
        <w:szCs w:val="24"/>
      </w:rPr>
      <w:tblPr/>
      <w:tcPr>
        <w:tcBorders>
          <w:top w:val="nil"/>
          <w:left w:val="nil"/>
          <w:bottom w:val="single" w:sz="24" w:space="0" w:color="5F5F5F" w:themeColor="accent3"/>
          <w:right w:val="nil"/>
          <w:insideH w:val="nil"/>
          <w:insideV w:val="nil"/>
        </w:tcBorders>
        <w:shd w:val="clear" w:color="auto" w:fill="0072BC" w:themeFill="background1"/>
      </w:tcPr>
    </w:tblStylePr>
    <w:tblStylePr w:type="lastRow">
      <w:tblPr/>
      <w:tcPr>
        <w:tcBorders>
          <w:top w:val="single" w:sz="8" w:space="0" w:color="5F5F5F" w:themeColor="accent3"/>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3"/>
          <w:insideH w:val="nil"/>
          <w:insideV w:val="nil"/>
        </w:tcBorders>
        <w:shd w:val="clear" w:color="auto" w:fill="0072BC" w:themeFill="background1"/>
      </w:tcPr>
    </w:tblStylePr>
    <w:tblStylePr w:type="lastCol">
      <w:tblPr/>
      <w:tcPr>
        <w:tcBorders>
          <w:top w:val="nil"/>
          <w:left w:val="single" w:sz="8" w:space="0" w:color="5F5F5F" w:themeColor="accent3"/>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3" w:themeFillTint="3F"/>
      </w:tcPr>
    </w:tblStylePr>
    <w:tblStylePr w:type="band1Horz">
      <w:tblPr/>
      <w:tcPr>
        <w:tcBorders>
          <w:top w:val="nil"/>
          <w:bottom w:val="nil"/>
          <w:insideH w:val="nil"/>
          <w:insideV w:val="nil"/>
        </w:tcBorders>
        <w:shd w:val="clear" w:color="auto" w:fill="D7D7D7" w:themeFill="accent3"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4">
    <w:name w:val="Medium List 2 Accent 4"/>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969696" w:themeColor="accent4"/>
        <w:left w:val="single" w:sz="8" w:space="0" w:color="969696" w:themeColor="accent4"/>
        <w:bottom w:val="single" w:sz="8" w:space="0" w:color="969696" w:themeColor="accent4"/>
        <w:right w:val="single" w:sz="8" w:space="0" w:color="969696" w:themeColor="accent4"/>
      </w:tblBorders>
    </w:tblPr>
    <w:tblStylePr w:type="firstRow">
      <w:rPr>
        <w:sz w:val="24"/>
        <w:szCs w:val="24"/>
      </w:rPr>
      <w:tblPr/>
      <w:tcPr>
        <w:tcBorders>
          <w:top w:val="nil"/>
          <w:left w:val="nil"/>
          <w:bottom w:val="single" w:sz="24" w:space="0" w:color="969696" w:themeColor="accent4"/>
          <w:right w:val="nil"/>
          <w:insideH w:val="nil"/>
          <w:insideV w:val="nil"/>
        </w:tcBorders>
        <w:shd w:val="clear" w:color="auto" w:fill="0072BC" w:themeFill="background1"/>
      </w:tcPr>
    </w:tblStylePr>
    <w:tblStylePr w:type="lastRow">
      <w:tblPr/>
      <w:tcPr>
        <w:tcBorders>
          <w:top w:val="single" w:sz="8" w:space="0" w:color="969696" w:themeColor="accent4"/>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969696" w:themeColor="accent4"/>
          <w:insideH w:val="nil"/>
          <w:insideV w:val="nil"/>
        </w:tcBorders>
        <w:shd w:val="clear" w:color="auto" w:fill="0072BC" w:themeFill="background1"/>
      </w:tcPr>
    </w:tblStylePr>
    <w:tblStylePr w:type="lastCol">
      <w:tblPr/>
      <w:tcPr>
        <w:tcBorders>
          <w:top w:val="nil"/>
          <w:left w:val="single" w:sz="8" w:space="0" w:color="969696" w:themeColor="accent4"/>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E5E5E5" w:themeFill="accent4" w:themeFillTint="3F"/>
      </w:tcPr>
    </w:tblStylePr>
    <w:tblStylePr w:type="band1Horz">
      <w:tblPr/>
      <w:tcPr>
        <w:tcBorders>
          <w:top w:val="nil"/>
          <w:bottom w:val="nil"/>
          <w:insideH w:val="nil"/>
          <w:insideV w:val="nil"/>
        </w:tcBorders>
        <w:shd w:val="clear" w:color="auto" w:fill="E5E5E5" w:themeFill="accent4"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5">
    <w:name w:val="Medium List 2 Accent 5"/>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0072BC" w:themeFill="background1"/>
      </w:tcPr>
    </w:tblStylePr>
    <w:tblStylePr w:type="lastRow">
      <w:tblPr/>
      <w:tcPr>
        <w:tcBorders>
          <w:top w:val="single" w:sz="8" w:space="0" w:color="5F5F5F" w:themeColor="accent5"/>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5F5F5F" w:themeColor="accent5"/>
          <w:insideH w:val="nil"/>
          <w:insideV w:val="nil"/>
        </w:tcBorders>
        <w:shd w:val="clear" w:color="auto" w:fill="0072BC" w:themeFill="background1"/>
      </w:tcPr>
    </w:tblStylePr>
    <w:tblStylePr w:type="lastCol">
      <w:tblPr/>
      <w:tcPr>
        <w:tcBorders>
          <w:top w:val="nil"/>
          <w:left w:val="single" w:sz="8" w:space="0" w:color="5F5F5F" w:themeColor="accent5"/>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List2-Accent6">
    <w:name w:val="Medium List 2 Accent 6"/>
    <w:basedOn w:val="TableNormal"/>
    <w:uiPriority w:val="99"/>
    <w:semiHidden/>
    <w:rsid w:val="00014566"/>
    <w:rPr>
      <w:rFonts w:asciiTheme="majorHAnsi" w:eastAsiaTheme="majorEastAsia" w:hAnsiTheme="majorHAnsi" w:cstheme="majorBidi"/>
      <w:color w:val="000000" w:themeColor="text1"/>
      <w:lang w:eastAsia="fr-FR"/>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0072BC" w:themeFill="background1"/>
      </w:tcPr>
    </w:tblStylePr>
    <w:tblStylePr w:type="lastRow">
      <w:tblPr/>
      <w:tcPr>
        <w:tcBorders>
          <w:top w:val="single" w:sz="8" w:space="0" w:color="4D4D4D" w:themeColor="accent6"/>
          <w:left w:val="nil"/>
          <w:bottom w:val="nil"/>
          <w:right w:val="nil"/>
          <w:insideH w:val="nil"/>
          <w:insideV w:val="nil"/>
        </w:tcBorders>
        <w:shd w:val="clear" w:color="auto" w:fill="0072BC" w:themeFill="background1"/>
      </w:tcPr>
    </w:tblStylePr>
    <w:tblStylePr w:type="firstCol">
      <w:tblPr/>
      <w:tcPr>
        <w:tcBorders>
          <w:top w:val="nil"/>
          <w:left w:val="nil"/>
          <w:bottom w:val="nil"/>
          <w:right w:val="single" w:sz="8" w:space="0" w:color="4D4D4D" w:themeColor="accent6"/>
          <w:insideH w:val="nil"/>
          <w:insideV w:val="nil"/>
        </w:tcBorders>
        <w:shd w:val="clear" w:color="auto" w:fill="0072BC" w:themeFill="background1"/>
      </w:tcPr>
    </w:tblStylePr>
    <w:tblStylePr w:type="lastCol">
      <w:tblPr/>
      <w:tcPr>
        <w:tcBorders>
          <w:top w:val="nil"/>
          <w:left w:val="single" w:sz="8" w:space="0" w:color="4D4D4D" w:themeColor="accent6"/>
          <w:bottom w:val="nil"/>
          <w:right w:val="nil"/>
          <w:insideH w:val="nil"/>
          <w:insideV w:val="nil"/>
        </w:tcBorders>
        <w:shd w:val="clear" w:color="auto" w:fill="0072BC"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0072BC" w:themeFill="background1"/>
      </w:tcPr>
    </w:tblStylePr>
    <w:tblStylePr w:type="swCell">
      <w:tblPr/>
      <w:tcPr>
        <w:tcBorders>
          <w:top w:val="nil"/>
        </w:tcBorders>
      </w:tcPr>
    </w:tblStylePr>
  </w:style>
  <w:style w:type="table" w:styleId="MediumShading1">
    <w:name w:val="Medium Shading 1"/>
    <w:basedOn w:val="TableNormal"/>
    <w:uiPriority w:val="99"/>
    <w:semiHidden/>
    <w:rsid w:val="00014566"/>
    <w:rPr>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0072BC"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rsid w:val="00014566"/>
    <w:rPr>
      <w:lang w:eastAsia="fr-FR"/>
    </w:rPr>
    <w:tblPr>
      <w:tblStyleRowBandSize w:val="1"/>
      <w:tblStyleColBandSize w:val="1"/>
      <w:tbl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single" w:sz="8" w:space="0" w:color="0D9FFF" w:themeColor="accent1" w:themeTint="BF"/>
      </w:tblBorders>
    </w:tblPr>
    <w:tblStylePr w:type="firstRow">
      <w:pPr>
        <w:spacing w:before="0" w:after="0" w:line="240" w:lineRule="auto"/>
      </w:pPr>
      <w:rPr>
        <w:b/>
        <w:bCs/>
        <w:color w:val="0072BC" w:themeColor="background1"/>
      </w:rPr>
      <w:tblPr/>
      <w:tcPr>
        <w:tcBorders>
          <w:top w:val="single" w:sz="8"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shd w:val="clear" w:color="auto" w:fill="0072BC" w:themeFill="accent1"/>
      </w:tcPr>
    </w:tblStylePr>
    <w:tblStylePr w:type="lastRow">
      <w:pPr>
        <w:spacing w:before="0" w:after="0" w:line="240" w:lineRule="auto"/>
      </w:pPr>
      <w:rPr>
        <w:b/>
        <w:bCs/>
      </w:rPr>
      <w:tblPr/>
      <w:tcPr>
        <w:tcBorders>
          <w:top w:val="double" w:sz="6" w:space="0" w:color="0D9FFF" w:themeColor="accent1" w:themeTint="BF"/>
          <w:left w:val="single" w:sz="8" w:space="0" w:color="0D9FFF" w:themeColor="accent1" w:themeTint="BF"/>
          <w:bottom w:val="single" w:sz="8" w:space="0" w:color="0D9FFF" w:themeColor="accent1" w:themeTint="BF"/>
          <w:right w:val="single" w:sz="8" w:space="0" w:color="0D9F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FDFFF" w:themeFill="accent1" w:themeFillTint="3F"/>
      </w:tcPr>
    </w:tblStylePr>
    <w:tblStylePr w:type="band1Horz">
      <w:tblPr/>
      <w:tcPr>
        <w:tcBorders>
          <w:insideH w:val="nil"/>
          <w:insideV w:val="nil"/>
        </w:tcBorders>
        <w:shd w:val="clear" w:color="auto" w:fill="AFDF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rsid w:val="00014566"/>
    <w:rPr>
      <w:lang w:eastAsia="fr-FR"/>
    </w:rPr>
    <w:tblPr>
      <w:tblStyleRowBandSize w:val="1"/>
      <w:tblStyleColBandSize w:val="1"/>
      <w:tbl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single" w:sz="8" w:space="0" w:color="FF1010" w:themeColor="accent2" w:themeTint="BF"/>
      </w:tblBorders>
    </w:tblPr>
    <w:tblStylePr w:type="firstRow">
      <w:pPr>
        <w:spacing w:before="0" w:after="0" w:line="240" w:lineRule="auto"/>
      </w:pPr>
      <w:rPr>
        <w:b/>
        <w:bCs/>
        <w:color w:val="0072BC" w:themeColor="background1"/>
      </w:rPr>
      <w:tblPr/>
      <w:tcPr>
        <w:tcBorders>
          <w:top w:val="single" w:sz="8"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shd w:val="clear" w:color="auto" w:fill="C00000" w:themeFill="accent2"/>
      </w:tcPr>
    </w:tblStylePr>
    <w:tblStylePr w:type="lastRow">
      <w:pPr>
        <w:spacing w:before="0" w:after="0" w:line="240" w:lineRule="auto"/>
      </w:pPr>
      <w:rPr>
        <w:b/>
        <w:bCs/>
      </w:rPr>
      <w:tblPr/>
      <w:tcPr>
        <w:tcBorders>
          <w:top w:val="double" w:sz="6" w:space="0" w:color="FF1010" w:themeColor="accent2" w:themeTint="BF"/>
          <w:left w:val="single" w:sz="8" w:space="0" w:color="FF1010" w:themeColor="accent2" w:themeTint="BF"/>
          <w:bottom w:val="single" w:sz="8" w:space="0" w:color="FF1010" w:themeColor="accent2" w:themeTint="BF"/>
          <w:right w:val="single" w:sz="8" w:space="0" w:color="FF101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0B0" w:themeFill="accent2" w:themeFillTint="3F"/>
      </w:tcPr>
    </w:tblStylePr>
    <w:tblStylePr w:type="band1Horz">
      <w:tblPr/>
      <w:tcPr>
        <w:tcBorders>
          <w:insideH w:val="nil"/>
          <w:insideV w:val="nil"/>
        </w:tcBorders>
        <w:shd w:val="clear" w:color="auto" w:fill="FFB0B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rsid w:val="00014566"/>
    <w:rPr>
      <w:lang w:eastAsia="fr-FR"/>
    </w:rPr>
    <w:tblPr>
      <w:tblStyleRowBandSize w:val="1"/>
      <w:tblStyleColBandSize w:val="1"/>
      <w:tbl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single" w:sz="8" w:space="0" w:color="878787" w:themeColor="accent3" w:themeTint="BF"/>
      </w:tblBorders>
    </w:tblPr>
    <w:tblStylePr w:type="firstRow">
      <w:pPr>
        <w:spacing w:before="0" w:after="0" w:line="240" w:lineRule="auto"/>
      </w:pPr>
      <w:rPr>
        <w:b/>
        <w:bCs/>
        <w:color w:val="0072BC" w:themeColor="background1"/>
      </w:rPr>
      <w:tblPr/>
      <w:tcPr>
        <w:tcBorders>
          <w:top w:val="single" w:sz="8"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shd w:val="clear" w:color="auto" w:fill="5F5F5F" w:themeFill="accent3"/>
      </w:tcPr>
    </w:tblStylePr>
    <w:tblStylePr w:type="lastRow">
      <w:pPr>
        <w:spacing w:before="0" w:after="0" w:line="240" w:lineRule="auto"/>
      </w:pPr>
      <w:rPr>
        <w:b/>
        <w:bCs/>
      </w:rPr>
      <w:tblPr/>
      <w:tcPr>
        <w:tcBorders>
          <w:top w:val="double" w:sz="6" w:space="0" w:color="878787" w:themeColor="accent3" w:themeTint="BF"/>
          <w:left w:val="single" w:sz="8" w:space="0" w:color="878787" w:themeColor="accent3" w:themeTint="BF"/>
          <w:bottom w:val="single" w:sz="8" w:space="0" w:color="878787" w:themeColor="accent3" w:themeTint="BF"/>
          <w:right w:val="single" w:sz="8" w:space="0" w:color="878787" w:themeColor="accent3"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3" w:themeFillTint="3F"/>
      </w:tcPr>
    </w:tblStylePr>
    <w:tblStylePr w:type="band1Horz">
      <w:tblPr/>
      <w:tcPr>
        <w:tcBorders>
          <w:insideH w:val="nil"/>
          <w:insideV w:val="nil"/>
        </w:tcBorders>
        <w:shd w:val="clear" w:color="auto" w:fill="D7D7D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rsid w:val="00014566"/>
    <w:rPr>
      <w:lang w:eastAsia="fr-FR"/>
    </w:rPr>
    <w:tblPr>
      <w:tblStyleRowBandSize w:val="1"/>
      <w:tblStyleColBandSize w:val="1"/>
      <w:tbl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single" w:sz="8" w:space="0" w:color="B0B0B0" w:themeColor="accent4" w:themeTint="BF"/>
      </w:tblBorders>
    </w:tblPr>
    <w:tblStylePr w:type="firstRow">
      <w:pPr>
        <w:spacing w:before="0" w:after="0" w:line="240" w:lineRule="auto"/>
      </w:pPr>
      <w:rPr>
        <w:b/>
        <w:bCs/>
        <w:color w:val="0072BC" w:themeColor="background1"/>
      </w:rPr>
      <w:tblPr/>
      <w:tcPr>
        <w:tcBorders>
          <w:top w:val="single" w:sz="8"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shd w:val="clear" w:color="auto" w:fill="969696" w:themeFill="accent4"/>
      </w:tcPr>
    </w:tblStylePr>
    <w:tblStylePr w:type="lastRow">
      <w:pPr>
        <w:spacing w:before="0" w:after="0" w:line="240" w:lineRule="auto"/>
      </w:pPr>
      <w:rPr>
        <w:b/>
        <w:bCs/>
      </w:rPr>
      <w:tblPr/>
      <w:tcPr>
        <w:tcBorders>
          <w:top w:val="double" w:sz="6" w:space="0" w:color="B0B0B0" w:themeColor="accent4" w:themeTint="BF"/>
          <w:left w:val="single" w:sz="8" w:space="0" w:color="B0B0B0" w:themeColor="accent4" w:themeTint="BF"/>
          <w:bottom w:val="single" w:sz="8" w:space="0" w:color="B0B0B0" w:themeColor="accent4" w:themeTint="BF"/>
          <w:right w:val="single" w:sz="8" w:space="0" w:color="B0B0B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4" w:themeFillTint="3F"/>
      </w:tcPr>
    </w:tblStylePr>
    <w:tblStylePr w:type="band1Horz">
      <w:tblPr/>
      <w:tcPr>
        <w:tcBorders>
          <w:insideH w:val="nil"/>
          <w:insideV w:val="nil"/>
        </w:tcBorders>
        <w:shd w:val="clear" w:color="auto" w:fill="E5E5E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rsid w:val="00014566"/>
    <w:rPr>
      <w:lang w:eastAsia="fr-FR"/>
    </w:rPr>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0072BC"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rsid w:val="00014566"/>
    <w:rPr>
      <w:lang w:eastAsia="fr-FR"/>
    </w:rPr>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0072BC"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0072BC"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0072B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0072BC" w:themeFill="accent1"/>
      </w:tcPr>
    </w:tblStylePr>
    <w:tblStylePr w:type="lastCol">
      <w:rPr>
        <w:b/>
        <w:bCs/>
        <w:color w:val="0072BC" w:themeColor="background1"/>
      </w:rPr>
      <w:tblPr/>
      <w:tcPr>
        <w:tcBorders>
          <w:left w:val="nil"/>
          <w:right w:val="nil"/>
          <w:insideH w:val="nil"/>
          <w:insideV w:val="nil"/>
        </w:tcBorders>
        <w:shd w:val="clear" w:color="auto" w:fill="0072BC" w:themeFill="accent1"/>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C0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C00000" w:themeFill="accent2"/>
      </w:tcPr>
    </w:tblStylePr>
    <w:tblStylePr w:type="lastCol">
      <w:rPr>
        <w:b/>
        <w:bCs/>
        <w:color w:val="0072BC" w:themeColor="background1"/>
      </w:rPr>
      <w:tblPr/>
      <w:tcPr>
        <w:tcBorders>
          <w:left w:val="nil"/>
          <w:right w:val="nil"/>
          <w:insideH w:val="nil"/>
          <w:insideV w:val="nil"/>
        </w:tcBorders>
        <w:shd w:val="clear" w:color="auto" w:fill="C00000" w:themeFill="accent2"/>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3"/>
      </w:tcPr>
    </w:tblStylePr>
    <w:tblStylePr w:type="lastCol">
      <w:rPr>
        <w:b/>
        <w:bCs/>
        <w:color w:val="0072BC" w:themeColor="background1"/>
      </w:rPr>
      <w:tblPr/>
      <w:tcPr>
        <w:tcBorders>
          <w:left w:val="nil"/>
          <w:right w:val="nil"/>
          <w:insideH w:val="nil"/>
          <w:insideV w:val="nil"/>
        </w:tcBorders>
        <w:shd w:val="clear" w:color="auto" w:fill="5F5F5F" w:themeFill="accent3"/>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969696"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969696" w:themeFill="accent4"/>
      </w:tcPr>
    </w:tblStylePr>
    <w:tblStylePr w:type="lastCol">
      <w:rPr>
        <w:b/>
        <w:bCs/>
        <w:color w:val="0072BC" w:themeColor="background1"/>
      </w:rPr>
      <w:tblPr/>
      <w:tcPr>
        <w:tcBorders>
          <w:left w:val="nil"/>
          <w:right w:val="nil"/>
          <w:insideH w:val="nil"/>
          <w:insideV w:val="nil"/>
        </w:tcBorders>
        <w:shd w:val="clear" w:color="auto" w:fill="969696" w:themeFill="accent4"/>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0072BC"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rsid w:val="00014566"/>
    <w:rPr>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0072BC"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0072BC" w:themeFill="background1"/>
      </w:tcPr>
    </w:tblStylePr>
    <w:tblStylePr w:type="firstCol">
      <w:rPr>
        <w:b/>
        <w:bCs/>
        <w:color w:val="0072BC" w:themeColor="background1"/>
      </w:rPr>
      <w:tblPr/>
      <w:tcPr>
        <w:tcBorders>
          <w:top w:val="nil"/>
          <w:left w:val="nil"/>
          <w:bottom w:val="single" w:sz="18" w:space="0" w:color="auto"/>
          <w:right w:val="nil"/>
          <w:insideH w:val="nil"/>
          <w:insideV w:val="nil"/>
        </w:tcBorders>
        <w:shd w:val="clear" w:color="auto" w:fill="4D4D4D" w:themeFill="accent6"/>
      </w:tcPr>
    </w:tblStylePr>
    <w:tblStylePr w:type="lastCol">
      <w:rPr>
        <w:b/>
        <w:bCs/>
        <w:color w:val="0072BC"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00609F" w:themeFill="background1" w:themeFillShade="D8"/>
      </w:tcPr>
    </w:tblStylePr>
    <w:tblStylePr w:type="band1Horz">
      <w:tblPr/>
      <w:tcPr>
        <w:shd w:val="clear" w:color="auto" w:fill="00609F"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0072BC"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01456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014566"/>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014566"/>
    <w:rPr>
      <w:rFonts w:ascii="Times New Roman" w:hAnsi="Times New Roman" w:cs="Times New Roman"/>
      <w:szCs w:val="24"/>
    </w:rPr>
  </w:style>
  <w:style w:type="paragraph" w:styleId="NormalIndent">
    <w:name w:val="Normal Indent"/>
    <w:basedOn w:val="Normal"/>
    <w:uiPriority w:val="99"/>
    <w:semiHidden/>
    <w:rsid w:val="00014566"/>
    <w:pPr>
      <w:ind w:left="720"/>
    </w:pPr>
  </w:style>
  <w:style w:type="paragraph" w:styleId="NoteHeading">
    <w:name w:val="Note Heading"/>
    <w:basedOn w:val="Normal"/>
    <w:next w:val="Normal"/>
    <w:link w:val="NoteHeadingChar"/>
    <w:uiPriority w:val="99"/>
    <w:semiHidden/>
    <w:rsid w:val="00014566"/>
  </w:style>
  <w:style w:type="character" w:customStyle="1" w:styleId="NoteHeadingChar">
    <w:name w:val="Note Heading Char"/>
    <w:basedOn w:val="DefaultParagraphFont"/>
    <w:link w:val="NoteHeading"/>
    <w:uiPriority w:val="99"/>
    <w:semiHidden/>
    <w:rsid w:val="00014566"/>
    <w:rPr>
      <w:rFonts w:eastAsiaTheme="minorEastAsia"/>
      <w:sz w:val="24"/>
    </w:rPr>
  </w:style>
  <w:style w:type="character" w:styleId="PlaceholderText">
    <w:name w:val="Placeholder Text"/>
    <w:basedOn w:val="DefaultParagraphFont"/>
    <w:uiPriority w:val="99"/>
    <w:semiHidden/>
    <w:rsid w:val="00014566"/>
    <w:rPr>
      <w:color w:val="808080"/>
    </w:rPr>
  </w:style>
  <w:style w:type="paragraph" w:styleId="PlainText">
    <w:name w:val="Plain Text"/>
    <w:basedOn w:val="Normal"/>
    <w:link w:val="PlainTextChar"/>
    <w:uiPriority w:val="99"/>
    <w:semiHidden/>
    <w:rsid w:val="00014566"/>
    <w:rPr>
      <w:rFonts w:ascii="Consolas" w:hAnsi="Consolas" w:cs="Consolas"/>
      <w:sz w:val="21"/>
      <w:szCs w:val="21"/>
    </w:rPr>
  </w:style>
  <w:style w:type="character" w:customStyle="1" w:styleId="PlainTextChar">
    <w:name w:val="Plain Text Char"/>
    <w:basedOn w:val="DefaultParagraphFont"/>
    <w:link w:val="PlainText"/>
    <w:uiPriority w:val="99"/>
    <w:semiHidden/>
    <w:rsid w:val="00014566"/>
    <w:rPr>
      <w:rFonts w:ascii="Consolas" w:eastAsiaTheme="minorEastAsia" w:hAnsi="Consolas" w:cs="Consolas"/>
      <w:sz w:val="21"/>
      <w:szCs w:val="21"/>
    </w:rPr>
  </w:style>
  <w:style w:type="paragraph" w:styleId="Salutation">
    <w:name w:val="Salutation"/>
    <w:basedOn w:val="Normal"/>
    <w:next w:val="Normal"/>
    <w:link w:val="SalutationChar"/>
    <w:uiPriority w:val="99"/>
    <w:semiHidden/>
    <w:rsid w:val="00014566"/>
  </w:style>
  <w:style w:type="character" w:customStyle="1" w:styleId="SalutationChar">
    <w:name w:val="Salutation Char"/>
    <w:basedOn w:val="DefaultParagraphFont"/>
    <w:link w:val="Salutation"/>
    <w:uiPriority w:val="99"/>
    <w:semiHidden/>
    <w:rsid w:val="00014566"/>
    <w:rPr>
      <w:rFonts w:eastAsiaTheme="minorEastAsia"/>
      <w:sz w:val="24"/>
    </w:rPr>
  </w:style>
  <w:style w:type="paragraph" w:styleId="Signature">
    <w:name w:val="Signature"/>
    <w:basedOn w:val="Normal"/>
    <w:link w:val="SignatureChar"/>
    <w:uiPriority w:val="99"/>
    <w:semiHidden/>
    <w:rsid w:val="00014566"/>
    <w:pPr>
      <w:ind w:left="4252"/>
    </w:pPr>
  </w:style>
  <w:style w:type="character" w:customStyle="1" w:styleId="SignatureChar">
    <w:name w:val="Signature Char"/>
    <w:basedOn w:val="DefaultParagraphFont"/>
    <w:link w:val="Signature"/>
    <w:uiPriority w:val="99"/>
    <w:semiHidden/>
    <w:rsid w:val="00014566"/>
    <w:rPr>
      <w:rFonts w:eastAsiaTheme="minorEastAsia"/>
      <w:sz w:val="24"/>
    </w:rPr>
  </w:style>
  <w:style w:type="table" w:styleId="Table3Deffects1">
    <w:name w:val="Table 3D effects 1"/>
    <w:basedOn w:val="TableNormal"/>
    <w:uiPriority w:val="99"/>
    <w:semiHidden/>
    <w:rsid w:val="00014566"/>
    <w:pPr>
      <w:suppressAutoHyphens/>
    </w:pPr>
    <w:rPr>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014566"/>
    <w:pPr>
      <w:suppressAutoHyphens/>
    </w:pPr>
    <w:rPr>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014566"/>
    <w:pPr>
      <w:suppressAutoHyphens/>
    </w:pPr>
    <w:rPr>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014566"/>
    <w:pPr>
      <w:suppressAutoHyphens/>
    </w:pPr>
    <w:rPr>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014566"/>
    <w:pPr>
      <w:suppressAutoHyphens/>
    </w:pPr>
    <w:rPr>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014566"/>
    <w:pPr>
      <w:suppressAutoHyphens/>
    </w:pPr>
    <w:rPr>
      <w:color w:val="00008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014566"/>
    <w:pPr>
      <w:suppressAutoHyphens/>
    </w:pPr>
    <w:rPr>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014566"/>
    <w:pPr>
      <w:suppressAutoHyphens/>
    </w:pPr>
    <w:rPr>
      <w:color w:val="FFFFFF"/>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014566"/>
    <w:pPr>
      <w:suppressAutoHyphens/>
    </w:pPr>
    <w:rPr>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014566"/>
    <w:pPr>
      <w:suppressAutoHyphens/>
    </w:pPr>
    <w:rPr>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014566"/>
    <w:pPr>
      <w:suppressAutoHyphens/>
    </w:pPr>
    <w:rPr>
      <w:b/>
      <w:bCs/>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014566"/>
    <w:pPr>
      <w:suppressAutoHyphens/>
    </w:pPr>
    <w:rPr>
      <w:b/>
      <w:bCs/>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014566"/>
    <w:pPr>
      <w:suppressAutoHyphens/>
    </w:pPr>
    <w:rPr>
      <w:b/>
      <w:bCs/>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014566"/>
    <w:pPr>
      <w:suppressAutoHyphens/>
    </w:pPr>
    <w:rPr>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rsid w:val="00014566"/>
    <w:pPr>
      <w:suppressAutoHyphens/>
    </w:pPr>
    <w:rPr>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rsid w:val="00014566"/>
    <w:pPr>
      <w:suppressAutoHyphens/>
    </w:pPr>
    <w:rPr>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014566"/>
    <w:pPr>
      <w:suppressAutoHyphens/>
    </w:pPr>
    <w:rPr>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014566"/>
    <w:pPr>
      <w:suppressAutoHyphens/>
    </w:pPr>
    <w:rPr>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014566"/>
    <w:pPr>
      <w:suppressAutoHyphens/>
    </w:pPr>
    <w:rPr>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014566"/>
    <w:pPr>
      <w:suppressAutoHyphens/>
    </w:pPr>
    <w:rPr>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014566"/>
    <w:pPr>
      <w:suppressAutoHyphens/>
    </w:pPr>
    <w:rPr>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014566"/>
    <w:pPr>
      <w:suppressAutoHyphens/>
    </w:pPr>
    <w:rPr>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014566"/>
    <w:pPr>
      <w:suppressAutoHyphens/>
    </w:pPr>
    <w:rPr>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014566"/>
    <w:pPr>
      <w:suppressAutoHyphens/>
    </w:pPr>
    <w:rPr>
      <w:b/>
      <w:bCs/>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014566"/>
    <w:pPr>
      <w:suppressAutoHyphens/>
    </w:pPr>
    <w:rPr>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014566"/>
    <w:pPr>
      <w:suppressAutoHyphens/>
    </w:pPr>
    <w:rPr>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014566"/>
    <w:pPr>
      <w:suppressAutoHyphens/>
    </w:pPr>
    <w:rPr>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014566"/>
    <w:pPr>
      <w:suppressAutoHyphens/>
    </w:pPr>
    <w:rPr>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014566"/>
    <w:pPr>
      <w:suppressAutoHyphens/>
    </w:pPr>
    <w:rPr>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014566"/>
    <w:pPr>
      <w:suppressAutoHyphens/>
    </w:pPr>
    <w:rPr>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014566"/>
    <w:pPr>
      <w:suppressAutoHyphens/>
    </w:pPr>
    <w:rPr>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014566"/>
    <w:pPr>
      <w:suppressAutoHyphens/>
    </w:pPr>
    <w:rPr>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014566"/>
    <w:pPr>
      <w:suppressAutoHyphens/>
    </w:pPr>
    <w:rPr>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014566"/>
    <w:pPr>
      <w:ind w:left="240" w:hanging="240"/>
    </w:pPr>
  </w:style>
  <w:style w:type="paragraph" w:styleId="TableofFigures">
    <w:name w:val="table of figures"/>
    <w:basedOn w:val="Normal"/>
    <w:next w:val="Normal"/>
    <w:uiPriority w:val="99"/>
    <w:semiHidden/>
    <w:rsid w:val="00014566"/>
  </w:style>
  <w:style w:type="table" w:styleId="TableProfessional">
    <w:name w:val="Table Professional"/>
    <w:basedOn w:val="TableNormal"/>
    <w:uiPriority w:val="99"/>
    <w:semiHidden/>
    <w:rsid w:val="00014566"/>
    <w:pPr>
      <w:suppressAutoHyphens/>
    </w:pPr>
    <w:rPr>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014566"/>
    <w:pPr>
      <w:suppressAutoHyphens/>
    </w:pPr>
    <w:rPr>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014566"/>
    <w:pPr>
      <w:suppressAutoHyphens/>
    </w:pPr>
    <w:rPr>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014566"/>
    <w:pPr>
      <w:suppressAutoHyphens/>
    </w:pPr>
    <w:rPr>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014566"/>
    <w:pPr>
      <w:suppressAutoHyphens/>
    </w:pPr>
    <w:rPr>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014566"/>
    <w:pPr>
      <w:suppressAutoHyphens/>
    </w:pPr>
    <w:rPr>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014566"/>
    <w:pPr>
      <w:suppressAutoHyphens/>
    </w:pPr>
    <w:rPr>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014566"/>
    <w:pPr>
      <w:suppressAutoHyphens/>
    </w:pPr>
    <w:rPr>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014566"/>
    <w:pPr>
      <w:suppressAutoHyphens/>
    </w:pPr>
    <w:rPr>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014566"/>
    <w:pPr>
      <w:suppressAutoHyphens/>
    </w:pPr>
    <w:rPr>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6">
    <w:name w:val="toc 6"/>
    <w:basedOn w:val="Normal"/>
    <w:next w:val="Normal"/>
    <w:autoRedefine/>
    <w:uiPriority w:val="99"/>
    <w:semiHidden/>
    <w:rsid w:val="00014566"/>
    <w:pPr>
      <w:spacing w:after="100"/>
      <w:ind w:left="1200"/>
    </w:pPr>
  </w:style>
  <w:style w:type="paragraph" w:styleId="TOC7">
    <w:name w:val="toc 7"/>
    <w:basedOn w:val="Normal"/>
    <w:next w:val="Normal"/>
    <w:autoRedefine/>
    <w:uiPriority w:val="99"/>
    <w:semiHidden/>
    <w:rsid w:val="00014566"/>
    <w:pPr>
      <w:spacing w:after="100"/>
      <w:ind w:left="1440"/>
    </w:pPr>
  </w:style>
  <w:style w:type="paragraph" w:styleId="TOC8">
    <w:name w:val="toc 8"/>
    <w:basedOn w:val="Normal"/>
    <w:next w:val="Normal"/>
    <w:autoRedefine/>
    <w:uiPriority w:val="99"/>
    <w:semiHidden/>
    <w:rsid w:val="00014566"/>
    <w:pPr>
      <w:spacing w:after="100"/>
      <w:ind w:left="1680"/>
    </w:pPr>
  </w:style>
  <w:style w:type="paragraph" w:styleId="TOC9">
    <w:name w:val="toc 9"/>
    <w:basedOn w:val="Normal"/>
    <w:next w:val="Normal"/>
    <w:autoRedefine/>
    <w:uiPriority w:val="99"/>
    <w:semiHidden/>
    <w:rsid w:val="00014566"/>
    <w:pPr>
      <w:spacing w:after="100"/>
      <w:ind w:left="1920"/>
    </w:pPr>
  </w:style>
  <w:style w:type="paragraph" w:customStyle="1" w:styleId="OpiTranslation">
    <w:name w:val="Opi_Translation"/>
    <w:basedOn w:val="Normal"/>
    <w:next w:val="OpiPara"/>
    <w:uiPriority w:val="40"/>
    <w:qFormat/>
    <w:rsid w:val="00A96ED6"/>
    <w:pPr>
      <w:jc w:val="center"/>
      <w:outlineLvl w:val="0"/>
    </w:pPr>
    <w:rPr>
      <w:i/>
    </w:rPr>
  </w:style>
  <w:style w:type="paragraph" w:customStyle="1" w:styleId="DecHTitle">
    <w:name w:val="Dec_H_Title"/>
    <w:basedOn w:val="ECHRTitleCentre1"/>
    <w:uiPriority w:val="7"/>
    <w:rsid w:val="00A96ED6"/>
  </w:style>
  <w:style w:type="paragraph" w:customStyle="1" w:styleId="DecList">
    <w:name w:val="Dec_List"/>
    <w:basedOn w:val="Normal"/>
    <w:uiPriority w:val="9"/>
    <w:rsid w:val="00A96ED6"/>
    <w:pPr>
      <w:spacing w:before="240"/>
      <w:ind w:left="284"/>
    </w:pPr>
  </w:style>
  <w:style w:type="paragraph" w:customStyle="1" w:styleId="OpiH1">
    <w:name w:val="Opi_H_1"/>
    <w:basedOn w:val="ECHRHeading2"/>
    <w:uiPriority w:val="42"/>
    <w:qFormat/>
    <w:rsid w:val="00A96ED6"/>
    <w:pPr>
      <w:ind w:left="635" w:hanging="357"/>
      <w:outlineLvl w:val="2"/>
    </w:pPr>
  </w:style>
  <w:style w:type="paragraph" w:customStyle="1" w:styleId="OpiHa0">
    <w:name w:val="Opi_H_a"/>
    <w:basedOn w:val="ECHRHeading3"/>
    <w:uiPriority w:val="43"/>
    <w:qFormat/>
    <w:rsid w:val="00A96ED6"/>
    <w:pPr>
      <w:ind w:left="833" w:hanging="357"/>
      <w:outlineLvl w:val="3"/>
    </w:pPr>
    <w:rPr>
      <w:b/>
      <w:i w:val="0"/>
      <w:sz w:val="20"/>
    </w:rPr>
  </w:style>
  <w:style w:type="paragraph" w:customStyle="1" w:styleId="OpiHi">
    <w:name w:val="Opi_H_i"/>
    <w:basedOn w:val="ECHRHeading4"/>
    <w:uiPriority w:val="44"/>
    <w:qFormat/>
    <w:rsid w:val="00A96ED6"/>
    <w:pPr>
      <w:ind w:left="1037" w:hanging="357"/>
      <w:outlineLvl w:val="4"/>
    </w:pPr>
    <w:rPr>
      <w:b w:val="0"/>
      <w:i/>
    </w:rPr>
  </w:style>
  <w:style w:type="paragraph" w:customStyle="1" w:styleId="DummyStyle">
    <w:name w:val="Dummy_Style"/>
    <w:basedOn w:val="Normal"/>
    <w:semiHidden/>
    <w:qFormat/>
    <w:rsid w:val="00A96ED6"/>
    <w:rPr>
      <w:color w:val="00B050"/>
    </w:rPr>
  </w:style>
  <w:style w:type="character" w:customStyle="1" w:styleId="JuParaCar">
    <w:name w:val="Ju_Para Car"/>
    <w:link w:val="ECHRPara"/>
    <w:uiPriority w:val="12"/>
    <w:rsid w:val="00FB4018"/>
    <w:rPr>
      <w:rFonts w:eastAsiaTheme="minorEastAsia"/>
      <w:sz w:val="24"/>
    </w:rPr>
  </w:style>
  <w:style w:type="paragraph" w:customStyle="1" w:styleId="s9e9b0cd7">
    <w:name w:val="s9e9b0cd7"/>
    <w:basedOn w:val="Normal"/>
    <w:rsid w:val="005B7368"/>
    <w:pPr>
      <w:spacing w:before="100" w:beforeAutospacing="1" w:after="100" w:afterAutospacing="1"/>
      <w:jc w:val="left"/>
    </w:pPr>
    <w:rPr>
      <w:rFonts w:ascii="Times New Roman" w:eastAsia="Times New Roman" w:hAnsi="Times New Roman" w:cs="Times New Roman"/>
      <w:szCs w:val="24"/>
    </w:rPr>
  </w:style>
  <w:style w:type="character" w:customStyle="1" w:styleId="sfbbfee58">
    <w:name w:val="sfbbfee58"/>
    <w:basedOn w:val="DefaultParagraphFont"/>
    <w:rsid w:val="005B7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129408">
      <w:bodyDiv w:val="1"/>
      <w:marLeft w:val="0"/>
      <w:marRight w:val="0"/>
      <w:marTop w:val="0"/>
      <w:marBottom w:val="0"/>
      <w:divBdr>
        <w:top w:val="none" w:sz="0" w:space="0" w:color="auto"/>
        <w:left w:val="none" w:sz="0" w:space="0" w:color="auto"/>
        <w:bottom w:val="none" w:sz="0" w:space="0" w:color="auto"/>
        <w:right w:val="none" w:sz="0" w:space="0" w:color="auto"/>
      </w:divBdr>
      <w:divsChild>
        <w:div w:id="329917530">
          <w:marLeft w:val="0"/>
          <w:marRight w:val="0"/>
          <w:marTop w:val="0"/>
          <w:marBottom w:val="0"/>
          <w:divBdr>
            <w:top w:val="none" w:sz="0" w:space="0" w:color="auto"/>
            <w:left w:val="none" w:sz="0" w:space="0" w:color="auto"/>
            <w:bottom w:val="none" w:sz="0" w:space="0" w:color="auto"/>
            <w:right w:val="none" w:sz="0" w:space="0" w:color="auto"/>
          </w:divBdr>
          <w:divsChild>
            <w:div w:id="1751537057">
              <w:marLeft w:val="0"/>
              <w:marRight w:val="0"/>
              <w:marTop w:val="0"/>
              <w:marBottom w:val="0"/>
              <w:divBdr>
                <w:top w:val="none" w:sz="0" w:space="0" w:color="auto"/>
                <w:left w:val="none" w:sz="0" w:space="0" w:color="auto"/>
                <w:bottom w:val="none" w:sz="0" w:space="0" w:color="auto"/>
                <w:right w:val="none" w:sz="0" w:space="0" w:color="auto"/>
              </w:divBdr>
              <w:divsChild>
                <w:div w:id="1578512206">
                  <w:marLeft w:val="0"/>
                  <w:marRight w:val="0"/>
                  <w:marTop w:val="0"/>
                  <w:marBottom w:val="0"/>
                  <w:divBdr>
                    <w:top w:val="none" w:sz="0" w:space="0" w:color="auto"/>
                    <w:left w:val="none" w:sz="0" w:space="0" w:color="auto"/>
                    <w:bottom w:val="none" w:sz="0" w:space="0" w:color="auto"/>
                    <w:right w:val="none" w:sz="0" w:space="0" w:color="auto"/>
                  </w:divBdr>
                  <w:divsChild>
                    <w:div w:id="1775590933">
                      <w:marLeft w:val="0"/>
                      <w:marRight w:val="0"/>
                      <w:marTop w:val="0"/>
                      <w:marBottom w:val="0"/>
                      <w:divBdr>
                        <w:top w:val="none" w:sz="0" w:space="0" w:color="auto"/>
                        <w:left w:val="none" w:sz="0" w:space="0" w:color="auto"/>
                        <w:bottom w:val="none" w:sz="0" w:space="0" w:color="auto"/>
                        <w:right w:val="none" w:sz="0" w:space="0" w:color="auto"/>
                      </w:divBdr>
                      <w:divsChild>
                        <w:div w:id="216666783">
                          <w:marLeft w:val="0"/>
                          <w:marRight w:val="0"/>
                          <w:marTop w:val="0"/>
                          <w:marBottom w:val="0"/>
                          <w:divBdr>
                            <w:top w:val="none" w:sz="0" w:space="0" w:color="auto"/>
                            <w:left w:val="none" w:sz="0" w:space="0" w:color="auto"/>
                            <w:bottom w:val="none" w:sz="0" w:space="0" w:color="auto"/>
                            <w:right w:val="none" w:sz="0" w:space="0" w:color="auto"/>
                          </w:divBdr>
                          <w:divsChild>
                            <w:div w:id="16975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543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ECHR_Theme_Judgments_Decisions_Reports">
  <a:themeElements>
    <a:clrScheme name="ECHR_grey">
      <a:dk1>
        <a:sysClr val="windowText" lastClr="000000"/>
      </a:dk1>
      <a:lt1>
        <a:srgbClr val="0072BC"/>
      </a:lt1>
      <a:dk2>
        <a:srgbClr val="C6C6C6"/>
      </a:dk2>
      <a:lt2>
        <a:srgbClr val="F8F8F8"/>
      </a:lt2>
      <a:accent1>
        <a:srgbClr val="0072BC"/>
      </a:accent1>
      <a:accent2>
        <a:srgbClr val="C00000"/>
      </a:accent2>
      <a:accent3>
        <a:srgbClr val="5F5F5F"/>
      </a:accent3>
      <a:accent4>
        <a:srgbClr val="969696"/>
      </a:accent4>
      <a:accent5>
        <a:srgbClr val="5F5F5F"/>
      </a:accent5>
      <a:accent6>
        <a:srgbClr val="4D4D4D"/>
      </a:accent6>
      <a:hlink>
        <a:srgbClr val="0072BC"/>
      </a:hlink>
      <a:folHlink>
        <a:srgbClr val="7030A0"/>
      </a:folHlink>
    </a:clrScheme>
    <a:fontScheme name="ECHR_Judgments_Reports_Decision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E17FF-7F95-4E9C-B8C7-A133FBE69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5515</Words>
  <Characters>31436</Characters>
  <Application>Microsoft Office Word</Application>
  <DocSecurity>0</DocSecurity>
  <Lines>261</Lines>
  <Paragraphs>73</Paragraphs>
  <ScaleCrop>false</ScaleCrop>
  <LinksUpToDate>false</LinksUpToDate>
  <CharactersWithSpaces>36878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2016-08-24T13:15:00Z</dcterms:created>
  <dcterms:modified xsi:type="dcterms:W3CDTF">2016-08-24T13:16:00Z</dcterms:modified>
  <cp:category/>
</cp:coreProperties>
</file>