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66" w:rsidRPr="003B4950" w:rsidRDefault="00014566" w:rsidP="003B4950">
      <w:pPr>
        <w:jc w:val="center"/>
        <w:rPr>
          <w:b/>
        </w:rPr>
      </w:pPr>
      <w:bookmarkStart w:id="0" w:name="_GoBack"/>
      <w:bookmarkEnd w:id="0"/>
    </w:p>
    <w:p w:rsidR="00CC473B" w:rsidRPr="003B4950" w:rsidRDefault="00CC473B" w:rsidP="003B4950">
      <w:pPr>
        <w:jc w:val="center"/>
        <w:rPr>
          <w:b/>
        </w:rPr>
      </w:pPr>
    </w:p>
    <w:p w:rsidR="00CC473B" w:rsidRPr="003B4950" w:rsidRDefault="00CC473B" w:rsidP="003B4950">
      <w:pPr>
        <w:jc w:val="center"/>
        <w:rPr>
          <w:b/>
        </w:rPr>
      </w:pPr>
    </w:p>
    <w:p w:rsidR="00014566" w:rsidRPr="003B4950" w:rsidRDefault="006B6115" w:rsidP="003B4950">
      <w:pPr>
        <w:jc w:val="center"/>
      </w:pPr>
      <w:r>
        <w:t>ПЕТО ОТДЕЛЕНИЕ</w:t>
      </w:r>
    </w:p>
    <w:p w:rsidR="00CC473B" w:rsidRPr="003B4950" w:rsidRDefault="00CC473B" w:rsidP="003B4950">
      <w:pPr>
        <w:jc w:val="center"/>
        <w:rPr>
          <w:b/>
        </w:rPr>
      </w:pPr>
      <w:bookmarkStart w:id="1" w:name="To"/>
    </w:p>
    <w:p w:rsidR="00CC473B" w:rsidRPr="003B4950" w:rsidRDefault="00CC473B" w:rsidP="003B4950">
      <w:pPr>
        <w:jc w:val="center"/>
        <w:rPr>
          <w:b/>
        </w:rPr>
      </w:pPr>
    </w:p>
    <w:p w:rsidR="00CC473B" w:rsidRPr="003B4950" w:rsidRDefault="00CC473B" w:rsidP="003B4950">
      <w:pPr>
        <w:jc w:val="center"/>
        <w:rPr>
          <w:b/>
        </w:rPr>
      </w:pPr>
    </w:p>
    <w:p w:rsidR="00CC473B" w:rsidRPr="003B4950" w:rsidRDefault="00CC473B" w:rsidP="003B4950">
      <w:pPr>
        <w:jc w:val="center"/>
        <w:rPr>
          <w:b/>
        </w:rPr>
      </w:pPr>
    </w:p>
    <w:p w:rsidR="00CC473B" w:rsidRPr="003B4950" w:rsidRDefault="00CC473B" w:rsidP="003B4950">
      <w:pPr>
        <w:jc w:val="center"/>
        <w:rPr>
          <w:b/>
        </w:rPr>
      </w:pPr>
    </w:p>
    <w:p w:rsidR="002E2805" w:rsidRPr="003B4950" w:rsidRDefault="002E2805" w:rsidP="003B4950">
      <w:pPr>
        <w:jc w:val="center"/>
        <w:rPr>
          <w:b/>
        </w:rPr>
      </w:pPr>
    </w:p>
    <w:p w:rsidR="00014566" w:rsidRPr="003B4950" w:rsidRDefault="00014566" w:rsidP="003B4950">
      <w:pPr>
        <w:jc w:val="center"/>
        <w:rPr>
          <w:b/>
        </w:rPr>
      </w:pPr>
      <w:r>
        <w:rPr>
          <w:b/>
        </w:rPr>
        <w:t xml:space="preserve">ДЕЛО </w:t>
      </w:r>
      <w:bookmarkEnd w:id="1"/>
      <w:r>
        <w:rPr>
          <w:b/>
        </w:rPr>
        <w:t>ГРАБЧАК СРЕЩУ БЪЛГАРИЯ</w:t>
      </w:r>
    </w:p>
    <w:p w:rsidR="00014566" w:rsidRPr="003B4950" w:rsidRDefault="00014566" w:rsidP="003B4950">
      <w:pPr>
        <w:jc w:val="center"/>
      </w:pPr>
    </w:p>
    <w:p w:rsidR="00014566" w:rsidRPr="003B4950" w:rsidRDefault="00014566" w:rsidP="003B4950">
      <w:pPr>
        <w:jc w:val="center"/>
        <w:rPr>
          <w:i/>
        </w:rPr>
      </w:pPr>
      <w:r>
        <w:rPr>
          <w:i/>
        </w:rPr>
        <w:t>(Жалба № 55950/09)</w:t>
      </w:r>
    </w:p>
    <w:p w:rsidR="00AD6482" w:rsidRPr="003B4950" w:rsidRDefault="00AD6482" w:rsidP="003B4950">
      <w:pPr>
        <w:jc w:val="center"/>
        <w:rPr>
          <w:i/>
        </w:rPr>
      </w:pPr>
    </w:p>
    <w:p w:rsidR="00AD6482" w:rsidRPr="003B4950" w:rsidRDefault="00AD6482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BC1049" w:rsidRPr="003B4950" w:rsidRDefault="00BC1049" w:rsidP="003B4950">
      <w:pPr>
        <w:jc w:val="center"/>
        <w:rPr>
          <w:i/>
        </w:rPr>
      </w:pPr>
    </w:p>
    <w:p w:rsidR="00014566" w:rsidRPr="003B4950" w:rsidRDefault="00CC473B" w:rsidP="003B4950">
      <w:pPr>
        <w:jc w:val="center"/>
        <w:rPr>
          <w:szCs w:val="24"/>
        </w:rPr>
      </w:pPr>
      <w:r>
        <w:t>РЕШЕНИЕ</w:t>
      </w:r>
    </w:p>
    <w:p w:rsidR="002E2805" w:rsidRPr="003B4950" w:rsidRDefault="002E2805" w:rsidP="003B4950">
      <w:pPr>
        <w:jc w:val="center"/>
        <w:rPr>
          <w:szCs w:val="24"/>
        </w:rPr>
      </w:pPr>
    </w:p>
    <w:p w:rsidR="002E2805" w:rsidRPr="003B4950" w:rsidRDefault="002E2805" w:rsidP="003B4950">
      <w:pPr>
        <w:jc w:val="center"/>
        <w:rPr>
          <w:szCs w:val="24"/>
        </w:rPr>
      </w:pPr>
    </w:p>
    <w:p w:rsidR="002E2805" w:rsidRPr="003B4950" w:rsidRDefault="002E2805" w:rsidP="003B4950">
      <w:pPr>
        <w:jc w:val="center"/>
        <w:rPr>
          <w:szCs w:val="24"/>
        </w:rPr>
      </w:pPr>
    </w:p>
    <w:p w:rsidR="00CC473B" w:rsidRPr="003B4950" w:rsidRDefault="00CC473B" w:rsidP="003B4950">
      <w:pPr>
        <w:jc w:val="center"/>
        <w:rPr>
          <w:szCs w:val="24"/>
        </w:rPr>
      </w:pPr>
      <w:r>
        <w:t>СТРАСБУРГ</w:t>
      </w:r>
    </w:p>
    <w:p w:rsidR="00CC473B" w:rsidRPr="003B4950" w:rsidRDefault="00CC473B" w:rsidP="003B4950">
      <w:pPr>
        <w:jc w:val="center"/>
        <w:rPr>
          <w:szCs w:val="24"/>
        </w:rPr>
      </w:pPr>
    </w:p>
    <w:p w:rsidR="00CC473B" w:rsidRPr="003B4950" w:rsidRDefault="00AD6482" w:rsidP="003B4950">
      <w:pPr>
        <w:jc w:val="center"/>
        <w:rPr>
          <w:szCs w:val="24"/>
        </w:rPr>
      </w:pPr>
      <w:r>
        <w:t>1 юни 2017 г.</w:t>
      </w:r>
    </w:p>
    <w:p w:rsidR="002E2805" w:rsidRPr="003B4950" w:rsidRDefault="002E2805" w:rsidP="003B4950">
      <w:pPr>
        <w:jc w:val="center"/>
        <w:rPr>
          <w:szCs w:val="24"/>
        </w:rPr>
      </w:pPr>
    </w:p>
    <w:p w:rsidR="00BC1049" w:rsidRPr="003B4950" w:rsidRDefault="00BC1049" w:rsidP="003B4950">
      <w:pPr>
        <w:jc w:val="center"/>
        <w:rPr>
          <w:szCs w:val="24"/>
        </w:rPr>
      </w:pPr>
    </w:p>
    <w:p w:rsidR="002E2805" w:rsidRPr="003B4950" w:rsidRDefault="002E2805" w:rsidP="003B4950">
      <w:pPr>
        <w:jc w:val="center"/>
        <w:rPr>
          <w:szCs w:val="24"/>
        </w:rPr>
      </w:pPr>
    </w:p>
    <w:p w:rsidR="008B5E6B" w:rsidRPr="003B4950" w:rsidRDefault="00CC473B" w:rsidP="003B4950">
      <w:pPr>
        <w:rPr>
          <w:szCs w:val="24"/>
        </w:rPr>
      </w:pPr>
      <w:r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CC473B" w:rsidRPr="003B4950" w:rsidRDefault="00CC473B" w:rsidP="003B4950">
      <w:pPr>
        <w:pStyle w:val="JuCase"/>
        <w:sectPr w:rsidR="00CC473B" w:rsidRPr="003B4950" w:rsidSect="00CC47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3B4950" w:rsidRDefault="00014566" w:rsidP="003B4950">
      <w:pPr>
        <w:pStyle w:val="JuCase"/>
        <w:rPr>
          <w:bCs/>
        </w:rPr>
      </w:pPr>
      <w:r>
        <w:lastRenderedPageBreak/>
        <w:t xml:space="preserve">По делото </w:t>
      </w:r>
      <w:proofErr w:type="spellStart"/>
      <w:r>
        <w:t>Грабчак</w:t>
      </w:r>
      <w:proofErr w:type="spellEnd"/>
      <w:r>
        <w:t xml:space="preserve"> срещу България,</w:t>
      </w:r>
    </w:p>
    <w:p w:rsidR="00014566" w:rsidRPr="003B4950" w:rsidRDefault="00014566" w:rsidP="003B4950">
      <w:pPr>
        <w:pStyle w:val="ECHRPara"/>
      </w:pPr>
      <w:r>
        <w:t xml:space="preserve">Европейският съд по правата на човека (Пето отделение), заседаващ като комитет, </w:t>
      </w:r>
      <w:r w:rsidR="003278A2">
        <w:t>в състав</w:t>
      </w:r>
      <w:r>
        <w:t>:</w:t>
      </w:r>
    </w:p>
    <w:p w:rsidR="00014566" w:rsidRPr="003B4950" w:rsidRDefault="002A7C95" w:rsidP="003B4950">
      <w:pPr>
        <w:pStyle w:val="ECHRDecisionBody"/>
      </w:pPr>
      <w:r>
        <w:tab/>
        <w:t xml:space="preserve">Нона </w:t>
      </w:r>
      <w:proofErr w:type="spellStart"/>
      <w:r>
        <w:t>Цоцориа</w:t>
      </w:r>
      <w:proofErr w:type="spellEnd"/>
      <w:r>
        <w:t xml:space="preserve"> (</w:t>
      </w:r>
      <w:proofErr w:type="spellStart"/>
      <w:r>
        <w:t>Nona</w:t>
      </w:r>
      <w:proofErr w:type="spellEnd"/>
      <w:r>
        <w:t xml:space="preserve"> </w:t>
      </w:r>
      <w:proofErr w:type="spellStart"/>
      <w:r>
        <w:t>Tsotsoria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О’Лиъри</w:t>
      </w:r>
      <w:proofErr w:type="spellEnd"/>
      <w:r>
        <w:t xml:space="preserve"> (</w:t>
      </w:r>
      <w:proofErr w:type="spellStart"/>
      <w:r>
        <w:t>Síofra</w:t>
      </w:r>
      <w:proofErr w:type="spellEnd"/>
      <w:r>
        <w:t xml:space="preserve"> </w:t>
      </w:r>
      <w:proofErr w:type="spellStart"/>
      <w:r>
        <w:t>O’Leary</w:t>
      </w:r>
      <w:proofErr w:type="spellEnd"/>
      <w:r>
        <w:t>),</w:t>
      </w:r>
      <w:r>
        <w:rPr>
          <w:i/>
        </w:rPr>
        <w:br/>
      </w:r>
      <w:r>
        <w:tab/>
        <w:t>Летиф Хюсеинов (</w:t>
      </w:r>
      <w:proofErr w:type="spellStart"/>
      <w:r>
        <w:t>Lәtif</w:t>
      </w:r>
      <w:proofErr w:type="spellEnd"/>
      <w:r>
        <w:t xml:space="preserve"> </w:t>
      </w:r>
      <w:proofErr w:type="spellStart"/>
      <w:r>
        <w:t>Hüseynov</w:t>
      </w:r>
      <w:proofErr w:type="spellEnd"/>
      <w:r>
        <w:t>),</w:t>
      </w:r>
      <w:r>
        <w:rPr>
          <w:i/>
        </w:rPr>
        <w:t xml:space="preserve"> съдии,</w:t>
      </w:r>
      <w:r>
        <w:br/>
        <w:t xml:space="preserve">и Милан </w:t>
      </w:r>
      <w:proofErr w:type="spellStart"/>
      <w:r>
        <w:t>Бла</w:t>
      </w:r>
      <w:r w:rsidR="003278A2">
        <w:t>с</w:t>
      </w:r>
      <w:r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014566" w:rsidRPr="003B4950" w:rsidRDefault="00014566" w:rsidP="003B4950">
      <w:pPr>
        <w:pStyle w:val="ECHRPara"/>
      </w:pPr>
      <w:r>
        <w:t>След закрито заседание, проведено на 9 май 2017 г.,</w:t>
      </w:r>
    </w:p>
    <w:p w:rsidR="00014566" w:rsidRPr="003B4950" w:rsidRDefault="00014566" w:rsidP="003B4950">
      <w:pPr>
        <w:pStyle w:val="ECHRPara"/>
      </w:pPr>
      <w:r>
        <w:t xml:space="preserve">Постановява следното решение, прието на </w:t>
      </w:r>
      <w:r w:rsidR="003278A2">
        <w:t xml:space="preserve">същата </w:t>
      </w:r>
      <w:r>
        <w:t>дата:</w:t>
      </w:r>
    </w:p>
    <w:p w:rsidR="00014566" w:rsidRPr="003B4950" w:rsidRDefault="00014566" w:rsidP="003B4950">
      <w:pPr>
        <w:pStyle w:val="ECHRTitle1"/>
      </w:pPr>
      <w:r>
        <w:t>ПРОЦЕДУРА</w:t>
      </w:r>
    </w:p>
    <w:p w:rsidR="006B6115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1</w:t>
      </w:r>
      <w:r w:rsidRPr="003B4950">
        <w:fldChar w:fldCharType="end"/>
      </w:r>
      <w:r w:rsidR="006B6115">
        <w:t>.  Делото е образувано по жалба (№ 55950/09) срещу Република България, подадена в Съда на основание чл. 34 от Конвенцията за защита на правата на човека и основните свободи (”Конвенцията”) от украински</w:t>
      </w:r>
      <w:r w:rsidR="003278A2">
        <w:t>я</w:t>
      </w:r>
      <w:r w:rsidR="006B6115">
        <w:t xml:space="preserve"> гражданин г-н Сергей </w:t>
      </w:r>
      <w:proofErr w:type="spellStart"/>
      <w:r w:rsidR="006B6115">
        <w:t>Александрович</w:t>
      </w:r>
      <w:proofErr w:type="spellEnd"/>
      <w:r w:rsidR="006B6115">
        <w:t xml:space="preserve"> </w:t>
      </w:r>
      <w:proofErr w:type="spellStart"/>
      <w:r w:rsidR="006B6115">
        <w:t>Грабчак</w:t>
      </w:r>
      <w:proofErr w:type="spellEnd"/>
      <w:r w:rsidR="006B6115">
        <w:t xml:space="preserve"> (”жалбоподателя</w:t>
      </w:r>
      <w:r w:rsidR="003278A2">
        <w:t>т</w:t>
      </w:r>
      <w:r w:rsidR="006B6115">
        <w:t>”), на 18 септември 2009 г.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</w:t>
      </w:r>
      <w:r w:rsidRPr="003B4950">
        <w:fldChar w:fldCharType="end"/>
      </w:r>
      <w:r w:rsidR="006B6115">
        <w:t>.  Жалбоподателят е представлява</w:t>
      </w:r>
      <w:r w:rsidR="00F14308">
        <w:t>н</w:t>
      </w:r>
      <w:r w:rsidR="006B6115">
        <w:t xml:space="preserve"> от г-жа Н. Добрева, адвокат, практикуващ в София. Българското правителство („Правителството”) е представлява</w:t>
      </w:r>
      <w:r w:rsidR="00F14308">
        <w:t>но</w:t>
      </w:r>
      <w:r w:rsidR="006B6115">
        <w:t xml:space="preserve"> от правителствения агент г-жа А. Панова от Министерство на правосъдието.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</w:t>
      </w:r>
      <w:r w:rsidRPr="003B4950">
        <w:fldChar w:fldCharType="end"/>
      </w:r>
      <w:r w:rsidR="006B6115">
        <w:t xml:space="preserve">.  На 14 декември 2015 г. жалбата е </w:t>
      </w:r>
      <w:r w:rsidR="003278A2" w:rsidRPr="00690883">
        <w:t>комуникирана</w:t>
      </w:r>
      <w:r w:rsidR="003278A2">
        <w:t xml:space="preserve"> </w:t>
      </w:r>
      <w:r w:rsidR="006B6115">
        <w:t>на Правителството.</w:t>
      </w:r>
    </w:p>
    <w:p w:rsidR="001A13F9" w:rsidRPr="003B4950" w:rsidRDefault="00E10130" w:rsidP="003B4950">
      <w:pPr>
        <w:pStyle w:val="ECHRPara"/>
      </w:pPr>
      <w:r w:rsidRPr="003B4950">
        <w:fldChar w:fldCharType="begin"/>
      </w:r>
      <w:r w:rsidR="001A13F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</w:t>
      </w:r>
      <w:r w:rsidRPr="003B4950">
        <w:fldChar w:fldCharType="end"/>
      </w:r>
      <w:r w:rsidR="001A13F9">
        <w:t xml:space="preserve">.  На 18 декември 2015 г. украинското </w:t>
      </w:r>
      <w:r w:rsidR="003278A2">
        <w:t>п</w:t>
      </w:r>
      <w:r w:rsidR="001A13F9">
        <w:t xml:space="preserve">равителство е информирано за правото си да вземе участие в производството в съответствие с чл. 36 § 1 от Конвенцията и </w:t>
      </w:r>
      <w:r w:rsidR="003278A2">
        <w:t>п</w:t>
      </w:r>
      <w:r w:rsidR="001A13F9">
        <w:t>равило 44 § 1 от Правилника на Съда. На 11 март 2016 г. то информира Съда, че няма да се възползва от тази възможност.</w:t>
      </w:r>
    </w:p>
    <w:p w:rsidR="00014566" w:rsidRPr="003B4950" w:rsidRDefault="00014566" w:rsidP="003B4950">
      <w:pPr>
        <w:pStyle w:val="ECHRTitle1"/>
      </w:pPr>
      <w:r>
        <w:t>ФАКТИТЕ</w:t>
      </w:r>
    </w:p>
    <w:p w:rsidR="00014566" w:rsidRPr="003B4950" w:rsidRDefault="00014566" w:rsidP="003B4950">
      <w:pPr>
        <w:pStyle w:val="ECHRHeading1"/>
      </w:pPr>
      <w:r>
        <w:t>I.  ОБСТОЯТЕЛСТВА</w:t>
      </w:r>
      <w:r w:rsidR="003278A2">
        <w:t>ТА</w:t>
      </w:r>
      <w:r>
        <w:t xml:space="preserve"> ПО ДЕЛОТО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5</w:t>
      </w:r>
      <w:r w:rsidRPr="003B4950">
        <w:fldChar w:fldCharType="end"/>
      </w:r>
      <w:r w:rsidR="006B6115">
        <w:t>.  Жалбоподателят е роден през 1966 г. и живее в Киев.</w:t>
      </w:r>
    </w:p>
    <w:p w:rsidR="00F40624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6</w:t>
      </w:r>
      <w:r w:rsidRPr="003B4950">
        <w:fldChar w:fldCharType="end"/>
      </w:r>
      <w:r w:rsidR="006B6115">
        <w:t xml:space="preserve">.  Жалбоподателят </w:t>
      </w:r>
      <w:r w:rsidR="0006613B">
        <w:t xml:space="preserve">пристига </w:t>
      </w:r>
      <w:r w:rsidR="006B6115">
        <w:t xml:space="preserve">в България през 1995 г. През 1996 г. започва връзка с г-жа М., също украинска гражданка. През 1997 г. </w:t>
      </w:r>
      <w:r w:rsidR="000D50D7">
        <w:t>им</w:t>
      </w:r>
      <w:r w:rsidR="006B6115">
        <w:t xml:space="preserve"> се ражда син. През 2003 г. жалбоподателят </w:t>
      </w:r>
      <w:r w:rsidR="006B6115" w:rsidRPr="00690883">
        <w:t>получава статут на постоянно пребиваващ</w:t>
      </w:r>
      <w:r w:rsidR="006B6115">
        <w:t>.</w:t>
      </w:r>
    </w:p>
    <w:p w:rsidR="00F40624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7</w:t>
        </w:r>
      </w:fldSimple>
      <w:r w:rsidR="0081761F">
        <w:t xml:space="preserve">.  На 6 ноември 2006 г. </w:t>
      </w:r>
      <w:r w:rsidR="005C658A">
        <w:t xml:space="preserve">директорът </w:t>
      </w:r>
      <w:r w:rsidR="0081761F">
        <w:t xml:space="preserve">на </w:t>
      </w:r>
      <w:r w:rsidR="005C658A">
        <w:t xml:space="preserve">Национална служба „Сигурност“ </w:t>
      </w:r>
      <w:r w:rsidR="0081761F" w:rsidRPr="00370AB6">
        <w:t>на</w:t>
      </w:r>
      <w:r w:rsidR="0081761F">
        <w:t xml:space="preserve"> Министерството на вътрешните работи издава заповед за отнемане на разрешението за пребиваване на жалбоподателя, </w:t>
      </w:r>
      <w:r w:rsidR="002224E4">
        <w:t xml:space="preserve">с която </w:t>
      </w:r>
      <w:r w:rsidR="0081761F">
        <w:lastRenderedPageBreak/>
        <w:t xml:space="preserve">разпорежда неговото експулсиране и налага десетгодишна забрана за </w:t>
      </w:r>
      <w:r w:rsidR="0006613B">
        <w:t xml:space="preserve">повторно </w:t>
      </w:r>
      <w:r w:rsidR="0081761F">
        <w:t>влизане в България на основание, че присъствието му в страната представлява “сериозна заплаха за национална</w:t>
      </w:r>
      <w:r w:rsidR="002224E4">
        <w:t>та</w:t>
      </w:r>
      <w:r w:rsidR="0081761F">
        <w:t xml:space="preserve"> сигурност”. </w:t>
      </w:r>
      <w:r w:rsidR="007C658A">
        <w:t xml:space="preserve">Фактическите </w:t>
      </w:r>
      <w:r w:rsidR="0081761F">
        <w:t>основания, обосноваващи заповедта, не са посочени;  отбелязано</w:t>
      </w:r>
      <w:r w:rsidR="00AB3FB1">
        <w:t xml:space="preserve"> е само</w:t>
      </w:r>
      <w:r w:rsidR="00C3704F">
        <w:t>,</w:t>
      </w:r>
      <w:r w:rsidR="0081761F">
        <w:t xml:space="preserve"> че тя се основава на “предложение № B4923”.</w:t>
      </w:r>
    </w:p>
    <w:p w:rsidR="00F97A96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8</w:t>
        </w:r>
      </w:fldSimple>
      <w:r w:rsidR="0081761F">
        <w:t xml:space="preserve">.  Това предложение, изготвено от </w:t>
      </w:r>
      <w:r w:rsidR="007C7C78">
        <w:t xml:space="preserve"> Национална служба „Сигурност“ </w:t>
      </w:r>
      <w:r w:rsidR="0081761F">
        <w:t xml:space="preserve"> и също с дата 6 ноември 2006 г., е представено пред Съда. В него се посочва, че жалбоподателят е </w:t>
      </w:r>
      <w:r w:rsidR="007C658A">
        <w:t xml:space="preserve"> извършвал в дейност, свързана с </w:t>
      </w:r>
      <w:r w:rsidR="0081761F">
        <w:t xml:space="preserve"> изнудване, контрабанда, оръжейни сделки и </w:t>
      </w:r>
      <w:r w:rsidR="0006613B">
        <w:t xml:space="preserve">пране </w:t>
      </w:r>
      <w:r w:rsidR="0081761F">
        <w:t xml:space="preserve">на пари, че е работил с големи </w:t>
      </w:r>
      <w:r w:rsidR="0006613B">
        <w:t xml:space="preserve">количества </w:t>
      </w:r>
      <w:r w:rsidR="0081761F">
        <w:t xml:space="preserve">незаконно получени пари, че е установил контакти с български държавни служители, включително полицейски служители, които са му предоставяли незаконни услуги, и че е бил в контакт с предполагаеми терористи. </w:t>
      </w:r>
      <w:r w:rsidR="00C3704F">
        <w:t xml:space="preserve">При </w:t>
      </w:r>
      <w:r w:rsidR="0081761F">
        <w:t>изброява</w:t>
      </w:r>
      <w:r w:rsidR="00C3704F">
        <w:t>нето на</w:t>
      </w:r>
      <w:r w:rsidR="0081761F">
        <w:t xml:space="preserve"> предполагаемите незаконни дейности на жалбоподателя, предложението се позовава на конкретни дати и имена, но не и на доказателства в подкрепа на твърденията. На последно място се посочва, че жалбоподателят е напуснал България на 29 октомври 2006 г.</w:t>
      </w:r>
    </w:p>
    <w:p w:rsidR="00F40624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9</w:t>
        </w:r>
      </w:fldSimple>
      <w:r w:rsidR="0081761F">
        <w:t>.  </w:t>
      </w:r>
      <w:r w:rsidR="0006613B">
        <w:t>Без да знае</w:t>
      </w:r>
      <w:r w:rsidR="0081761F">
        <w:t xml:space="preserve"> за заповед</w:t>
      </w:r>
      <w:r w:rsidR="007C658A">
        <w:t>та</w:t>
      </w:r>
      <w:r w:rsidR="0081761F">
        <w:t xml:space="preserve"> от 6 ноември 2006 г.</w:t>
      </w:r>
      <w:r w:rsidR="00C76EFF">
        <w:t xml:space="preserve"> на министъра</w:t>
      </w:r>
      <w:r w:rsidR="0081761F">
        <w:t>, на 15 ноември 2006 г. жалбоподателят се опитва да се върне отново на българска територия, но е спрян на границата и достъп</w:t>
      </w:r>
      <w:r w:rsidR="00CA7913">
        <w:t>ът му е отказан</w:t>
      </w:r>
      <w:r w:rsidR="0081761F">
        <w:t>. Оттогава живее в Киев, докато г-жа М. и син</w:t>
      </w:r>
      <w:r w:rsidR="00B60DC3">
        <w:t>ът им</w:t>
      </w:r>
      <w:r w:rsidR="0081761F">
        <w:t xml:space="preserve"> остават в България.</w:t>
      </w:r>
    </w:p>
    <w:p w:rsidR="00F40624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10</w:t>
        </w:r>
      </w:fldSimple>
      <w:r w:rsidR="0081761F">
        <w:t xml:space="preserve">.  Чрез своя адвокат жалбоподателят </w:t>
      </w:r>
      <w:proofErr w:type="spellStart"/>
      <w:r w:rsidR="00B60DC3">
        <w:t>об</w:t>
      </w:r>
      <w:r w:rsidR="0081761F" w:rsidRPr="00EB01DE">
        <w:t>жалба</w:t>
      </w:r>
      <w:proofErr w:type="spellEnd"/>
      <w:r w:rsidR="0081761F" w:rsidRPr="00EB01DE">
        <w:t xml:space="preserve"> </w:t>
      </w:r>
      <w:r w:rsidR="00B60DC3" w:rsidRPr="00EB01DE">
        <w:t>заповедта от</w:t>
      </w:r>
      <w:r w:rsidR="00B60DC3">
        <w:t xml:space="preserve"> 6 ноември 2006 г. пред</w:t>
      </w:r>
      <w:r w:rsidR="00B60DC3" w:rsidRPr="00EB01DE">
        <w:t xml:space="preserve"> </w:t>
      </w:r>
      <w:r w:rsidR="0081761F" w:rsidRPr="00EB01DE">
        <w:t xml:space="preserve">българския министър на вътрешните </w:t>
      </w:r>
      <w:proofErr w:type="spellStart"/>
      <w:r w:rsidR="0081761F" w:rsidRPr="00EB01DE">
        <w:t>работи</w:t>
      </w:r>
      <w:r w:rsidR="00B60DC3">
        <w:t>.</w:t>
      </w:r>
      <w:r w:rsidR="0081761F">
        <w:t>Жалбата</w:t>
      </w:r>
      <w:proofErr w:type="spellEnd"/>
      <w:r w:rsidR="0081761F">
        <w:t xml:space="preserve"> е отхвърлена на 22 декември 2006 г., като министърът посочва по-конкретно, че счита за </w:t>
      </w:r>
      <w:proofErr w:type="spellStart"/>
      <w:r w:rsidR="0081761F">
        <w:t>неотносим</w:t>
      </w:r>
      <w:proofErr w:type="spellEnd"/>
      <w:r w:rsidR="0081761F">
        <w:t xml:space="preserve"> довода на жалбоподателя, че се е установил в България със семейството си.</w:t>
      </w:r>
    </w:p>
    <w:p w:rsidR="00F97A96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11</w:t>
        </w:r>
      </w:fldSimple>
      <w:r w:rsidR="0081761F">
        <w:t xml:space="preserve">.  След това жалбоподателят подава искане за съдебен контрол </w:t>
      </w:r>
      <w:r w:rsidR="00CC73BA">
        <w:t xml:space="preserve">върху </w:t>
      </w:r>
      <w:r w:rsidR="0081761F">
        <w:t xml:space="preserve">заповедта от 6 ноември 2006 г. </w:t>
      </w:r>
      <w:r w:rsidR="00764EC3">
        <w:t>Конкретно,  в</w:t>
      </w:r>
      <w:r w:rsidR="0081761F">
        <w:t xml:space="preserve"> искането си</w:t>
      </w:r>
      <w:r w:rsidR="00233D4E" w:rsidRPr="00233D4E">
        <w:t xml:space="preserve"> </w:t>
      </w:r>
      <w:r w:rsidR="00233D4E">
        <w:t>той посочва</w:t>
      </w:r>
      <w:r w:rsidR="0081761F">
        <w:t xml:space="preserve">, че семейството му пребивава в България и че </w:t>
      </w:r>
      <w:r w:rsidR="00B60DC3">
        <w:t>разд</w:t>
      </w:r>
      <w:r w:rsidR="00C719A1">
        <w:t>елението им</w:t>
      </w:r>
      <w:r w:rsidR="00B60DC3">
        <w:t xml:space="preserve"> не </w:t>
      </w:r>
      <w:r w:rsidR="0081761F">
        <w:t xml:space="preserve">е </w:t>
      </w:r>
      <w:r w:rsidR="00CC73BA">
        <w:t>оправдано</w:t>
      </w:r>
      <w:r w:rsidR="0081761F">
        <w:t>.</w:t>
      </w:r>
    </w:p>
    <w:p w:rsidR="0027390A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12</w:t>
        </w:r>
      </w:fldSimple>
      <w:r w:rsidR="0081761F">
        <w:t>.  </w:t>
      </w:r>
      <w:r w:rsidR="00AB3E33">
        <w:t xml:space="preserve"> В хода</w:t>
      </w:r>
      <w:r w:rsidR="00B60DC3">
        <w:t xml:space="preserve"> </w:t>
      </w:r>
      <w:r w:rsidR="0081761F">
        <w:t>на съдебното производство предложение № B4923</w:t>
      </w:r>
      <w:r w:rsidR="00B60DC3" w:rsidRPr="00B60DC3">
        <w:t xml:space="preserve"> </w:t>
      </w:r>
      <w:r w:rsidR="00B60DC3">
        <w:t>е показано</w:t>
      </w:r>
      <w:r w:rsidR="00B60DC3" w:rsidRPr="00B60DC3">
        <w:t xml:space="preserve"> </w:t>
      </w:r>
      <w:r w:rsidR="00B60DC3">
        <w:t>на адвоката на жалбоподателя</w:t>
      </w:r>
      <w:r w:rsidR="0081761F">
        <w:t>.</w:t>
      </w:r>
    </w:p>
    <w:p w:rsidR="00D44251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13</w:t>
        </w:r>
      </w:fldSimple>
      <w:r w:rsidR="0081761F">
        <w:t>.  В решение от 30 октомври 2007 г. Върховният административен съд</w:t>
      </w:r>
      <w:r w:rsidR="00BB3DB3">
        <w:t xml:space="preserve"> </w:t>
      </w:r>
      <w:r w:rsidR="0081761F">
        <w:t xml:space="preserve">се позовава на решението на Съда по делото </w:t>
      </w:r>
      <w:r w:rsidR="0081761F">
        <w:rPr>
          <w:i/>
        </w:rPr>
        <w:t>Ал</w:t>
      </w:r>
      <w:r w:rsidR="0081761F">
        <w:noBreakHyphen/>
      </w:r>
      <w:proofErr w:type="spellStart"/>
      <w:r w:rsidR="0081761F">
        <w:rPr>
          <w:i/>
        </w:rPr>
        <w:t>Нашиф</w:t>
      </w:r>
      <w:proofErr w:type="spellEnd"/>
      <w:r w:rsidR="0081761F">
        <w:rPr>
          <w:i/>
        </w:rPr>
        <w:t xml:space="preserve"> срещу България</w:t>
      </w:r>
      <w:r w:rsidR="0081761F">
        <w:t xml:space="preserve"> (№ 50963/99, 20 юни 2002 г.) и на чл. 13 от Конвенцията, </w:t>
      </w:r>
      <w:r w:rsidR="00BB3DB3">
        <w:t xml:space="preserve">и постановява, че има юрисдикция да разгледа </w:t>
      </w:r>
      <w:r w:rsidR="00BB3DB3" w:rsidRPr="00E67976">
        <w:t>жалбата</w:t>
      </w:r>
      <w:r w:rsidR="00BB3DB3">
        <w:t xml:space="preserve">, </w:t>
      </w:r>
      <w:r w:rsidR="0081761F">
        <w:t xml:space="preserve">въпреки че </w:t>
      </w:r>
      <w:r w:rsidR="00BB3DB3">
        <w:t xml:space="preserve">съдебен контрол не е бил </w:t>
      </w:r>
      <w:r w:rsidR="00764EC3">
        <w:t xml:space="preserve"> допустим, </w:t>
      </w:r>
      <w:r w:rsidR="00E67976">
        <w:t>съгласно приложимото законодателство</w:t>
      </w:r>
      <w:r w:rsidR="00764EC3">
        <w:t>,</w:t>
      </w:r>
      <w:r w:rsidR="00E67976">
        <w:t xml:space="preserve"> </w:t>
      </w:r>
      <w:r w:rsidR="00BB3DB3">
        <w:t xml:space="preserve">към момента на издаване на оспорваната заповед </w:t>
      </w:r>
      <w:r w:rsidR="0081761F">
        <w:t>(вж. параграф 16 по-долу).</w:t>
      </w:r>
    </w:p>
    <w:p w:rsidR="00FD63B4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14</w:t>
        </w:r>
      </w:fldSimple>
      <w:r w:rsidR="0081761F">
        <w:t xml:space="preserve">.  Съдебното производство приключва на 19 март 2009 г. с окончателно решение на Върховния административен съд, </w:t>
      </w:r>
      <w:r w:rsidR="005C658A">
        <w:t xml:space="preserve"> с </w:t>
      </w:r>
      <w:r w:rsidR="0081761F">
        <w:t>което заповедта от 6 ноември 2006 г.</w:t>
      </w:r>
      <w:r w:rsidR="00BB3DB3">
        <w:t xml:space="preserve"> е потвърдена.</w:t>
      </w:r>
      <w:r w:rsidR="0081761F">
        <w:t xml:space="preserve"> След изброяване на </w:t>
      </w:r>
      <w:r w:rsidR="0001397C">
        <w:t xml:space="preserve">описаните в предложение № B4923 </w:t>
      </w:r>
      <w:r w:rsidR="0081761F">
        <w:t xml:space="preserve">незаконни дейности на жалбоподателя, , </w:t>
      </w:r>
      <w:r w:rsidR="0001397C">
        <w:t xml:space="preserve">съдът </w:t>
      </w:r>
      <w:r w:rsidR="0081761F">
        <w:t xml:space="preserve">просто заявява, че оспорваната заповед не </w:t>
      </w:r>
      <w:r w:rsidR="0081761F">
        <w:lastRenderedPageBreak/>
        <w:t>нарушава закона. Освен това той отхвърля доводите на жалбоподателя относно семейния и личния му живот, като посочва:</w:t>
      </w:r>
    </w:p>
    <w:p w:rsidR="00FD63B4" w:rsidRPr="003B4950" w:rsidRDefault="00FD63B4" w:rsidP="003B4950">
      <w:pPr>
        <w:pStyle w:val="ECHRParaQuote"/>
      </w:pPr>
      <w:r>
        <w:t xml:space="preserve">“всяко </w:t>
      </w:r>
      <w:r w:rsidR="00D2639F">
        <w:t xml:space="preserve">ограничаване </w:t>
      </w:r>
      <w:r>
        <w:t>на правата по Конвенцията е оправдано, [когато се основава] на съображения за национална сигурност</w:t>
      </w:r>
      <w:r w:rsidR="00473237">
        <w:t xml:space="preserve"> в случаите</w:t>
      </w:r>
      <w:r>
        <w:t xml:space="preserve">, когато </w:t>
      </w:r>
      <w:r w:rsidR="0042616A">
        <w:t xml:space="preserve"> чужд</w:t>
      </w:r>
      <w:r w:rsidR="00473237">
        <w:t>и</w:t>
      </w:r>
      <w:r>
        <w:t xml:space="preserve"> граждани</w:t>
      </w:r>
      <w:r w:rsidR="00473237">
        <w:t xml:space="preserve"> със своето поведение</w:t>
      </w:r>
      <w:r>
        <w:t xml:space="preserve"> заплашва</w:t>
      </w:r>
      <w:r w:rsidR="00473237">
        <w:t>т</w:t>
      </w:r>
      <w:r>
        <w:t xml:space="preserve"> сигурност</w:t>
      </w:r>
      <w:r w:rsidR="00D2639F">
        <w:t>та на живота</w:t>
      </w:r>
      <w:r>
        <w:t xml:space="preserve"> и обществения ред на държавата, в която </w:t>
      </w:r>
      <w:r w:rsidR="00473237">
        <w:t xml:space="preserve"> се намират</w:t>
      </w:r>
      <w:r>
        <w:t>”.</w:t>
      </w:r>
    </w:p>
    <w:p w:rsidR="00014566" w:rsidRPr="003B4950" w:rsidRDefault="00014566" w:rsidP="003B4950">
      <w:pPr>
        <w:pStyle w:val="ECHRHeading1"/>
      </w:pPr>
      <w:r>
        <w:t>II.  ПРИЛОЖИМО ВЪТРЕШНО ПРАВО И ПРАКТИКА</w:t>
      </w:r>
    </w:p>
    <w:p w:rsidR="000A162F" w:rsidRPr="003B4950" w:rsidRDefault="00E10130" w:rsidP="003B4950">
      <w:pPr>
        <w:pStyle w:val="ECHRPara"/>
      </w:pPr>
      <w:r w:rsidRPr="003B4950">
        <w:fldChar w:fldCharType="begin"/>
      </w:r>
      <w:r w:rsidR="000A162F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15</w:t>
      </w:r>
      <w:r w:rsidRPr="003B4950">
        <w:fldChar w:fldCharType="end"/>
      </w:r>
      <w:r w:rsidR="000A162F">
        <w:t xml:space="preserve">.  Приложимото вътрешно право и практика са обобщени в решението на Съда по делото </w:t>
      </w:r>
      <w:r w:rsidR="000A162F">
        <w:rPr>
          <w:i/>
        </w:rPr>
        <w:t>Раза срещу България</w:t>
      </w:r>
      <w:r w:rsidR="000A162F">
        <w:t xml:space="preserve"> (№ 31465/08, §§ 30-36, 11 февруари 201</w:t>
      </w:r>
      <w:r w:rsidR="00E67976">
        <w:t>0</w:t>
      </w:r>
      <w:r w:rsidR="000A162F">
        <w:t xml:space="preserve"> г.).</w:t>
      </w:r>
    </w:p>
    <w:p w:rsidR="00F40624" w:rsidRPr="003B4950" w:rsidRDefault="00E10130" w:rsidP="003B4950">
      <w:pPr>
        <w:pStyle w:val="ECHRPara"/>
      </w:pPr>
      <w:r w:rsidRPr="003B4950">
        <w:fldChar w:fldCharType="begin"/>
      </w:r>
      <w:r w:rsidR="00D44251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16</w:t>
      </w:r>
      <w:r w:rsidRPr="003B4950">
        <w:fldChar w:fldCharType="end"/>
      </w:r>
      <w:r w:rsidR="00D44251">
        <w:t>.  По-конкретно, чл</w:t>
      </w:r>
      <w:r w:rsidR="00D44251" w:rsidRPr="00EB01DE">
        <w:t>. 46, ал. 2 от</w:t>
      </w:r>
      <w:r w:rsidR="00D44251">
        <w:t xml:space="preserve"> Закона за чужденците</w:t>
      </w:r>
      <w:r w:rsidR="00444FF4">
        <w:t xml:space="preserve"> в Република България</w:t>
      </w:r>
      <w:r w:rsidR="00D44251">
        <w:t xml:space="preserve">, в сила до март 2007 г., </w:t>
      </w:r>
      <w:r w:rsidR="00DE1E07">
        <w:t>предвижда</w:t>
      </w:r>
      <w:r w:rsidR="00D44251">
        <w:t xml:space="preserve">, че заповедите за експулсиране на чужденци поради съображения за национална сигурност не подлежат на </w:t>
      </w:r>
      <w:r w:rsidR="00DE1E07">
        <w:t>обжалване</w:t>
      </w:r>
      <w:r w:rsidR="00444FF4">
        <w:t xml:space="preserve"> по </w:t>
      </w:r>
      <w:r w:rsidR="00BF0712">
        <w:t>съдебен</w:t>
      </w:r>
      <w:r w:rsidR="00444FF4" w:rsidRPr="00BF0712">
        <w:t xml:space="preserve"> ред</w:t>
      </w:r>
      <w:r w:rsidR="00D44251">
        <w:t xml:space="preserve">. </w:t>
      </w:r>
      <w:r w:rsidR="0032034D">
        <w:t xml:space="preserve"> След</w:t>
      </w:r>
      <w:r w:rsidR="00D44251">
        <w:t xml:space="preserve"> </w:t>
      </w:r>
      <w:r w:rsidR="0032034D">
        <w:t xml:space="preserve">решението на Съда по </w:t>
      </w:r>
      <w:r w:rsidR="00D44251">
        <w:t xml:space="preserve">делото </w:t>
      </w:r>
      <w:r w:rsidR="00D44251">
        <w:rPr>
          <w:i/>
        </w:rPr>
        <w:t>Ал</w:t>
      </w:r>
      <w:r w:rsidR="00D44251">
        <w:noBreakHyphen/>
      </w:r>
      <w:proofErr w:type="spellStart"/>
      <w:r w:rsidR="00D44251">
        <w:rPr>
          <w:i/>
        </w:rPr>
        <w:t>Нашиф</w:t>
      </w:r>
      <w:proofErr w:type="spellEnd"/>
      <w:r w:rsidR="00D44251">
        <w:rPr>
          <w:i/>
        </w:rPr>
        <w:t xml:space="preserve"> </w:t>
      </w:r>
      <w:r w:rsidR="00D44251">
        <w:t>(цитирано по-горе)</w:t>
      </w:r>
      <w:r w:rsidR="00957AFF">
        <w:t xml:space="preserve"> обаче</w:t>
      </w:r>
      <w:r w:rsidR="00856F8E">
        <w:t>,</w:t>
      </w:r>
      <w:r w:rsidR="00D44251">
        <w:t xml:space="preserve"> </w:t>
      </w:r>
      <w:r w:rsidR="002D1EE8">
        <w:t xml:space="preserve">Върховният административен съд </w:t>
      </w:r>
      <w:r w:rsidR="00957AFF">
        <w:t>заключва, че  тази</w:t>
      </w:r>
      <w:r w:rsidR="00D44251">
        <w:t xml:space="preserve"> разпоредба е в противоречие с чл. 8 и чл. 13 от Конвенцията, </w:t>
      </w:r>
      <w:r w:rsidR="002D1EE8">
        <w:t xml:space="preserve">с което поставя началото на променена съдебна практика. </w:t>
      </w:r>
      <w:r w:rsidR="00D44251">
        <w:t>. В поредица  решения, постановени в периода 2003</w:t>
      </w:r>
      <w:r w:rsidR="00D44251">
        <w:noBreakHyphen/>
        <w:t xml:space="preserve">06 г., той приема с позоваване на </w:t>
      </w:r>
      <w:r w:rsidR="00D44251">
        <w:rPr>
          <w:i/>
        </w:rPr>
        <w:t>Ал</w:t>
      </w:r>
      <w:r w:rsidR="00D44251">
        <w:noBreakHyphen/>
      </w:r>
      <w:proofErr w:type="spellStart"/>
      <w:r w:rsidR="00D44251">
        <w:rPr>
          <w:i/>
        </w:rPr>
        <w:t>Нашиф</w:t>
      </w:r>
      <w:proofErr w:type="spellEnd"/>
      <w:r w:rsidR="00D44251">
        <w:t xml:space="preserve">, че забраната за </w:t>
      </w:r>
      <w:r w:rsidR="00DE1E07">
        <w:t>обжалване</w:t>
      </w:r>
      <w:r w:rsidR="00D44251">
        <w:t xml:space="preserve"> в чл. 46, ал. 2 трябва да бъде пренебрегната, тъй като противоречи на Конвенцията, и че заповедите за експулсиране, позоваващи се на съображения за националната сигурност, подлежат на </w:t>
      </w:r>
      <w:r w:rsidR="002D1EE8">
        <w:t>съдебен контрол</w:t>
      </w:r>
      <w:r w:rsidR="00D44251">
        <w:t>.</w:t>
      </w:r>
    </w:p>
    <w:p w:rsidR="00F40624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17</w:t>
        </w:r>
      </w:fldSimple>
      <w:r w:rsidR="0081761F">
        <w:t>.  През април 2007 г. чл. 46</w:t>
      </w:r>
      <w:r w:rsidR="002D1EE8">
        <w:t>,</w:t>
      </w:r>
      <w:r w:rsidR="0081761F">
        <w:t xml:space="preserve"> </w:t>
      </w:r>
      <w:r w:rsidR="002D1EE8">
        <w:t xml:space="preserve">ал. 2 </w:t>
      </w:r>
      <w:r w:rsidR="0081761F">
        <w:t>от Закона</w:t>
      </w:r>
      <w:r w:rsidR="002D1EE8">
        <w:t xml:space="preserve"> за чужденците</w:t>
      </w:r>
      <w:r w:rsidR="0081761F">
        <w:t xml:space="preserve"> е изменен и понастоящем </w:t>
      </w:r>
      <w:r w:rsidR="00DE1E07">
        <w:t>предвижда</w:t>
      </w:r>
      <w:r w:rsidR="0081761F">
        <w:t xml:space="preserve">, че заповедите за експулсиране подлежат на </w:t>
      </w:r>
      <w:r w:rsidR="0032034D" w:rsidRPr="0032034D">
        <w:t>о</w:t>
      </w:r>
      <w:r w:rsidR="0032034D" w:rsidRPr="00FE485E">
        <w:t xml:space="preserve">спорване </w:t>
      </w:r>
      <w:r w:rsidR="0081761F">
        <w:t>пред Върховния административен съд.</w:t>
      </w:r>
    </w:p>
    <w:p w:rsidR="00014566" w:rsidRPr="003B4950" w:rsidRDefault="00A018E7" w:rsidP="003B4950">
      <w:pPr>
        <w:pStyle w:val="ECHRTitle1"/>
      </w:pPr>
      <w:r>
        <w:t>ПРАВОТО</w:t>
      </w:r>
    </w:p>
    <w:p w:rsidR="00014566" w:rsidRPr="003B4950" w:rsidRDefault="00014566" w:rsidP="003B4950">
      <w:pPr>
        <w:pStyle w:val="ECHRHeading1"/>
      </w:pPr>
      <w:r>
        <w:t>I. ТВЪРДЯНО НАРУШЕНИЕ НА ЧЛ. 8 И ЧЛ. 13 ОТ КОНВЕНЦИЯТА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18</w:t>
      </w:r>
      <w:r w:rsidRPr="003B4950">
        <w:fldChar w:fldCharType="end"/>
      </w:r>
      <w:r w:rsidR="006B6115">
        <w:t xml:space="preserve">.  Жалбоподателят се оплаква по чл. 8 от Конвенцията, че мерките срещу него са нарушили правото му на семеен и личен живот. Той също така се оплаква по чл. 13 от Конвенцията, </w:t>
      </w:r>
      <w:r w:rsidR="0032034D">
        <w:t xml:space="preserve"> разгледан във връзка</w:t>
      </w:r>
      <w:r w:rsidR="006B6115">
        <w:t xml:space="preserve"> с чл. 8, че не е имал </w:t>
      </w:r>
      <w:r w:rsidR="008A6D6B">
        <w:t xml:space="preserve">достъп до </w:t>
      </w:r>
      <w:r w:rsidR="00FE485E">
        <w:t xml:space="preserve"> ефективно </w:t>
      </w:r>
      <w:r w:rsidR="00A018E7">
        <w:t xml:space="preserve">вътрешноправно </w:t>
      </w:r>
      <w:r w:rsidR="006B6115">
        <w:t>средство за защита</w:t>
      </w:r>
      <w:r w:rsidR="008A6D6B">
        <w:t xml:space="preserve"> на </w:t>
      </w:r>
      <w:r w:rsidR="006B6115">
        <w:t>правото си на семеен и личен живот.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19</w:t>
      </w:r>
      <w:r w:rsidRPr="003B4950">
        <w:fldChar w:fldCharType="end"/>
      </w:r>
      <w:r w:rsidR="00FA1E65">
        <w:t xml:space="preserve">.  Чл. 8 и чл. 13 от Конвенцията </w:t>
      </w:r>
      <w:r w:rsidR="00A018E7">
        <w:t xml:space="preserve">предвиждат </w:t>
      </w:r>
      <w:r w:rsidR="00FA1E65">
        <w:t>следното:</w:t>
      </w:r>
    </w:p>
    <w:p w:rsidR="00FA1E65" w:rsidRPr="003B4950" w:rsidRDefault="00FA1E65" w:rsidP="003B4950">
      <w:pPr>
        <w:pStyle w:val="ECHRTitleCentre3"/>
      </w:pPr>
      <w:r>
        <w:lastRenderedPageBreak/>
        <w:t>Член 8</w:t>
      </w:r>
    </w:p>
    <w:p w:rsidR="00FA1E65" w:rsidRPr="003B4950" w:rsidRDefault="00FA1E65" w:rsidP="003B4950">
      <w:pPr>
        <w:pStyle w:val="ECHRParaQuote"/>
      </w:pPr>
      <w:r>
        <w:t>“1.  </w:t>
      </w:r>
      <w:proofErr w:type="spellStart"/>
      <w:r>
        <w:t>Βсеки</w:t>
      </w:r>
      <w:proofErr w:type="spellEnd"/>
      <w:r>
        <w:t xml:space="preserve"> има право на неприкосновеност на личния и семейния си живот, на жилището и на тайната на кореспонденцията.</w:t>
      </w:r>
    </w:p>
    <w:p w:rsidR="00FA1E65" w:rsidRPr="003B4950" w:rsidRDefault="00FA1E65" w:rsidP="003B4950">
      <w:pPr>
        <w:pStyle w:val="ECHRParaQuote"/>
      </w:pPr>
      <w:r>
        <w:t>2.  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другите.</w:t>
      </w:r>
    </w:p>
    <w:p w:rsidR="00FA1E65" w:rsidRPr="003B4950" w:rsidRDefault="00FA1E65" w:rsidP="003B4950">
      <w:pPr>
        <w:pStyle w:val="ECHRTitleCentre3"/>
      </w:pPr>
      <w:r>
        <w:t>Член 13</w:t>
      </w:r>
    </w:p>
    <w:p w:rsidR="00FA1E65" w:rsidRPr="003B4950" w:rsidRDefault="00FA1E65" w:rsidP="003B4950">
      <w:pPr>
        <w:pStyle w:val="ECHRParaQuote"/>
      </w:pPr>
      <w:r>
        <w:t>"</w:t>
      </w:r>
      <w:proofErr w:type="spellStart"/>
      <w:r>
        <w:t>Βсеки</w:t>
      </w:r>
      <w:proofErr w:type="spellEnd"/>
      <w:r>
        <w:t>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FA1E65" w:rsidRPr="003B4950" w:rsidRDefault="00AE4214" w:rsidP="003B4950">
      <w:pPr>
        <w:pStyle w:val="ECHRHeading2"/>
      </w:pPr>
      <w:r>
        <w:t xml:space="preserve">А. </w:t>
      </w:r>
      <w:r w:rsidR="00A018E7">
        <w:t xml:space="preserve">Становища </w:t>
      </w:r>
      <w:r>
        <w:t>на страните</w:t>
      </w:r>
    </w:p>
    <w:p w:rsidR="00FA1E65" w:rsidRPr="003B4950" w:rsidRDefault="00FA1E65" w:rsidP="003B4950">
      <w:pPr>
        <w:pStyle w:val="ECHRHeading3"/>
      </w:pPr>
      <w:r>
        <w:t>1.  Правителството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20</w:t>
      </w:r>
      <w:r w:rsidRPr="003B4950">
        <w:fldChar w:fldCharType="end"/>
      </w:r>
      <w:r w:rsidR="00FA1E65">
        <w:t xml:space="preserve">.  Правителството твърди, че жалбата е </w:t>
      </w:r>
      <w:r w:rsidR="00FE485E">
        <w:t>недопустима</w:t>
      </w:r>
      <w:r w:rsidR="00FA1E65">
        <w:t xml:space="preserve">, тъй като не е подадена в рамките на шест месеца от датата, на която е издадена заповедта за експулсиране на жалбоподателя (6 ноември 2006 г.), или от датата, на която жалбоподателят е напуснал България (29 октомври 2006 г.). Правителството е на мнение, че шестмесечният срок по чл. 35 § 1 от Конвенцията е започнал да тече на една от тези дати, тъй като по </w:t>
      </w:r>
      <w:r w:rsidR="002F6427">
        <w:t xml:space="preserve">това </w:t>
      </w:r>
      <w:r w:rsidR="00FA1E65">
        <w:t>време Законът за чужденците не предвижда изрично</w:t>
      </w:r>
      <w:r w:rsidR="002F6427">
        <w:t xml:space="preserve"> </w:t>
      </w:r>
      <w:r w:rsidR="006E4834">
        <w:t>обжалване</w:t>
      </w:r>
      <w:r w:rsidR="00FA1E65">
        <w:t xml:space="preserve"> на заповедите за експулсиране </w:t>
      </w:r>
      <w:r w:rsidR="002F6427">
        <w:t xml:space="preserve">на </w:t>
      </w:r>
      <w:r w:rsidR="00FE485E">
        <w:t xml:space="preserve"> основание</w:t>
      </w:r>
      <w:r w:rsidR="002F6427">
        <w:t xml:space="preserve"> </w:t>
      </w:r>
      <w:r w:rsidR="00FA1E65">
        <w:t xml:space="preserve">съображения за националната сигурност. </w:t>
      </w:r>
      <w:r w:rsidR="002F6427">
        <w:t xml:space="preserve">В това отношение </w:t>
      </w:r>
      <w:r w:rsidR="00FA1E65">
        <w:t xml:space="preserve">Правителството се позовава на констатациите на Съда по делото </w:t>
      </w:r>
      <w:proofErr w:type="spellStart"/>
      <w:r w:rsidR="00FA1E65">
        <w:rPr>
          <w:i/>
        </w:rPr>
        <w:t>Данауар</w:t>
      </w:r>
      <w:proofErr w:type="spellEnd"/>
      <w:r w:rsidR="00FA1E65">
        <w:rPr>
          <w:i/>
        </w:rPr>
        <w:t xml:space="preserve"> срещу България</w:t>
      </w:r>
      <w:r w:rsidR="00FA1E65">
        <w:t xml:space="preserve"> (решение за допустимост), № 52843/07, 20 януари 2015 г.).</w:t>
      </w:r>
    </w:p>
    <w:p w:rsidR="00636BFD" w:rsidRPr="003B4950" w:rsidRDefault="00E10130" w:rsidP="003B4950">
      <w:pPr>
        <w:pStyle w:val="ECHRPara"/>
      </w:pPr>
      <w:r w:rsidRPr="003B4950">
        <w:fldChar w:fldCharType="begin"/>
      </w:r>
      <w:r w:rsidR="00636BFD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21</w:t>
      </w:r>
      <w:r w:rsidRPr="003B4950">
        <w:fldChar w:fldCharType="end"/>
      </w:r>
      <w:r w:rsidR="00636BFD">
        <w:t>.   Правителството</w:t>
      </w:r>
      <w:r w:rsidR="002F6427">
        <w:t xml:space="preserve"> също така</w:t>
      </w:r>
      <w:r w:rsidR="00636BFD">
        <w:t xml:space="preserve"> твърди, че жалбоподателят не е имал семеен живот в България. То посочва, че той и г-жа М.  </w:t>
      </w:r>
      <w:r w:rsidR="006E4834">
        <w:t xml:space="preserve">нямат сключен брак </w:t>
      </w:r>
      <w:r w:rsidR="00636BFD">
        <w:t xml:space="preserve">и  официално са регистрирани като живеещи на различни адреси в София, </w:t>
      </w:r>
      <w:r w:rsidR="00C6362A">
        <w:t xml:space="preserve">както </w:t>
      </w:r>
      <w:r w:rsidR="00636BFD">
        <w:t>и смята, че “няма никакво доказателство за действителното съществуване на близки лични връзки между тях”. Освен това Правителството твърди, че не съществува пречка за жалбоподателя, г-жа М. и техния</w:t>
      </w:r>
      <w:r w:rsidR="00C6362A">
        <w:t>т</w:t>
      </w:r>
      <w:r w:rsidR="00636BFD">
        <w:t xml:space="preserve"> син да се установят като семейство другаде.</w:t>
      </w:r>
    </w:p>
    <w:p w:rsidR="00DE1FBD" w:rsidRPr="003B4950" w:rsidRDefault="00E10130" w:rsidP="003B4950">
      <w:pPr>
        <w:pStyle w:val="ECHRPara"/>
      </w:pPr>
      <w:r w:rsidRPr="003B4950">
        <w:fldChar w:fldCharType="begin"/>
      </w:r>
      <w:r w:rsidR="00DE1FBD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22</w:t>
      </w:r>
      <w:r w:rsidRPr="003B4950">
        <w:fldChar w:fldCharType="end"/>
      </w:r>
      <w:r w:rsidR="00DE1FBD">
        <w:t>.  </w:t>
      </w:r>
      <w:r w:rsidR="002F6427">
        <w:t>По</w:t>
      </w:r>
      <w:r w:rsidR="00DE1FBD">
        <w:t xml:space="preserve"> отн</w:t>
      </w:r>
      <w:r w:rsidR="002F6427">
        <w:t>ошение</w:t>
      </w:r>
      <w:r w:rsidR="00DE1FBD">
        <w:t xml:space="preserve"> </w:t>
      </w:r>
      <w:r w:rsidR="002F6427">
        <w:t>на</w:t>
      </w:r>
      <w:r w:rsidR="00DE1FBD">
        <w:t xml:space="preserve"> мерките, предприети срещу жалбоподателя, Правителството смята, че са законни и </w:t>
      </w:r>
      <w:r w:rsidR="002F6427">
        <w:t>оправдани</w:t>
      </w:r>
      <w:r w:rsidR="00DE1FBD">
        <w:t xml:space="preserve">, </w:t>
      </w:r>
      <w:r w:rsidR="00182CEA">
        <w:t>основно</w:t>
      </w:r>
      <w:r w:rsidR="00DE1FBD">
        <w:t xml:space="preserve"> защото е “безспорно”, че той е представлявал заплаха за националната сигурност, и като се има предвид, че “интересите на националната сигурност имат предимство пред личните интереси на жалбоподателя”. Освен това Правителството е на мнение, че Върховният административен съд е провел “задълбочен и всеобхватен” преглед на твърденията срещу </w:t>
      </w:r>
      <w:r w:rsidR="00DE1FBD">
        <w:lastRenderedPageBreak/>
        <w:t xml:space="preserve">жалбоподателя, като посочва, че той е имал възможност да оспори мерките срещу себе си в състезателно производство и </w:t>
      </w:r>
      <w:r w:rsidR="006E4834">
        <w:t>д</w:t>
      </w:r>
      <w:r w:rsidR="00DE1FBD">
        <w:t xml:space="preserve">а </w:t>
      </w:r>
      <w:r w:rsidR="006E4834">
        <w:t xml:space="preserve">изложи </w:t>
      </w:r>
      <w:r w:rsidR="00DE1FBD">
        <w:t>своите аргументи и  доказателства.</w:t>
      </w:r>
    </w:p>
    <w:p w:rsidR="00FA1E65" w:rsidRPr="003B4950" w:rsidRDefault="00FA1E65" w:rsidP="003B4950">
      <w:pPr>
        <w:pStyle w:val="ECHRHeading3"/>
      </w:pPr>
      <w:r>
        <w:t>2.  Жалбоподателят</w:t>
      </w:r>
    </w:p>
    <w:p w:rsidR="006B6115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23</w:t>
      </w:r>
      <w:r w:rsidRPr="003B4950">
        <w:fldChar w:fldCharType="end"/>
      </w:r>
      <w:r w:rsidR="006B6115">
        <w:t>.  Жалбоподателят оспорва доводите на Правителството, че оплакванията му са</w:t>
      </w:r>
      <w:r w:rsidR="00C6362A">
        <w:t xml:space="preserve"> недопустими</w:t>
      </w:r>
      <w:r w:rsidR="006B6115">
        <w:t xml:space="preserve">. Той посочва, че </w:t>
      </w:r>
      <w:r w:rsidR="00182CEA">
        <w:t>преди</w:t>
      </w:r>
      <w:r w:rsidR="006B6115">
        <w:t xml:space="preserve"> края на 2006 г., когато заповедта за експулсиране срещу него</w:t>
      </w:r>
      <w:r w:rsidR="00182CEA" w:rsidRPr="00182CEA">
        <w:t xml:space="preserve"> </w:t>
      </w:r>
      <w:r w:rsidR="00182CEA">
        <w:t>е издадена</w:t>
      </w:r>
      <w:r w:rsidR="006B6115">
        <w:t xml:space="preserve">, Върховният административен съд </w:t>
      </w:r>
      <w:r w:rsidR="00182CEA">
        <w:t xml:space="preserve">вече </w:t>
      </w:r>
      <w:r w:rsidR="006B6115">
        <w:t xml:space="preserve">е постановил многобройни решения, </w:t>
      </w:r>
      <w:r w:rsidR="00233D4E">
        <w:t xml:space="preserve">в които </w:t>
      </w:r>
      <w:r w:rsidR="006B6115">
        <w:t xml:space="preserve">приема за разглеждане искания за съдебен контрол на подобни заповеди за експулсиране въз основа на съображения за националната сигурност. Това означава, че съдебният контрол, който той е поискал, е </w:t>
      </w:r>
      <w:r w:rsidR="00AA0120">
        <w:t xml:space="preserve">бил предоставян като </w:t>
      </w:r>
      <w:r w:rsidR="006B6115">
        <w:t>нормално</w:t>
      </w:r>
      <w:r w:rsidR="00AA0120">
        <w:t xml:space="preserve"> вътрешноправно</w:t>
      </w:r>
      <w:r w:rsidR="006B6115">
        <w:t xml:space="preserve"> средство за защита, което е трябвало да изчерпи.</w:t>
      </w:r>
    </w:p>
    <w:p w:rsidR="00DA1541" w:rsidRPr="003B4950" w:rsidRDefault="00E10130" w:rsidP="003B4950">
      <w:pPr>
        <w:pStyle w:val="ECHRPara"/>
      </w:pPr>
      <w:r w:rsidRPr="003B4950">
        <w:fldChar w:fldCharType="begin"/>
      </w:r>
      <w:r w:rsidR="00DA1541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24</w:t>
      </w:r>
      <w:r w:rsidRPr="003B4950">
        <w:fldChar w:fldCharType="end"/>
      </w:r>
      <w:r w:rsidR="00DA1541">
        <w:t>.  </w:t>
      </w:r>
      <w:r w:rsidR="00B63EFF">
        <w:t>Ж</w:t>
      </w:r>
      <w:r w:rsidR="00DA1541">
        <w:t xml:space="preserve">албоподателят </w:t>
      </w:r>
      <w:r w:rsidR="00B63EFF">
        <w:t xml:space="preserve">също така </w:t>
      </w:r>
      <w:r w:rsidR="00DA1541">
        <w:t xml:space="preserve">посочва, че той и г-жа М. </w:t>
      </w:r>
      <w:r w:rsidR="00C6362A">
        <w:t xml:space="preserve">са </w:t>
      </w:r>
      <w:r w:rsidR="00DA1541">
        <w:t xml:space="preserve">семейство “в най-традиционния смисъл на думата”, че имат дете и че са живели заедно преди експулсирането му от България през 2006 г. </w:t>
      </w:r>
      <w:r w:rsidR="00B63EFF">
        <w:t>В подкрепа на</w:t>
      </w:r>
      <w:r w:rsidR="00DA1541">
        <w:t xml:space="preserve"> последн</w:t>
      </w:r>
      <w:r w:rsidR="00B63EFF">
        <w:t>ото</w:t>
      </w:r>
      <w:r w:rsidR="00DA1541">
        <w:t>, жалбоподателят представя показания от своя син и двама съседи. Жалбоподателят посочва, че неговата жалба освен това засяга правото му на личен живот. Той е пристигнал в България през 1995 г. на 29-годишна възраст и е живял в страната в продължение на единадесет години, установявайки социални връзки и развивайки бизнеса си.</w:t>
      </w:r>
    </w:p>
    <w:p w:rsidR="00A16AAE" w:rsidRPr="003B4950" w:rsidRDefault="00E10130" w:rsidP="003B4950">
      <w:pPr>
        <w:pStyle w:val="ECHRPara"/>
      </w:pPr>
      <w:r w:rsidRPr="003B4950">
        <w:fldChar w:fldCharType="begin"/>
      </w:r>
      <w:r w:rsidR="00A16AAE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25</w:t>
      </w:r>
      <w:r w:rsidRPr="003B4950">
        <w:fldChar w:fldCharType="end"/>
      </w:r>
      <w:r w:rsidR="00A16AAE">
        <w:t xml:space="preserve">.  Жалбоподателят твърди, че мерките срещу него не отговарят на изискването за законосъобразност по чл. 8 § 2 от Конвенцията. На последно място той твърди, че не е разполагал с ефективно </w:t>
      </w:r>
      <w:r w:rsidR="0003323F">
        <w:t>вътрешно</w:t>
      </w:r>
      <w:r w:rsidR="00A16AAE">
        <w:t xml:space="preserve">правно средство за защита </w:t>
      </w:r>
      <w:r w:rsidR="005B0DF2">
        <w:t>на правата</w:t>
      </w:r>
      <w:r w:rsidR="00A16AAE">
        <w:t xml:space="preserve"> си по чл. 8, </w:t>
      </w:r>
      <w:r w:rsidR="00C6362A">
        <w:t>по конкретно</w:t>
      </w:r>
      <w:r w:rsidR="00056C07">
        <w:t xml:space="preserve"> </w:t>
      </w:r>
      <w:r w:rsidR="00A16AAE">
        <w:t xml:space="preserve">защото Върховният административен съд не е проверил твърденията на изпълнителната власт срещу него, като по този начин е </w:t>
      </w:r>
      <w:r w:rsidR="005B0DF2">
        <w:t xml:space="preserve">обезсмислил </w:t>
      </w:r>
      <w:r w:rsidR="00A16AAE">
        <w:t>извършения съдебен контрол.</w:t>
      </w:r>
    </w:p>
    <w:p w:rsidR="00014566" w:rsidRPr="003B4950" w:rsidRDefault="00FA1E65" w:rsidP="003B4950">
      <w:pPr>
        <w:pStyle w:val="ECHRHeading2"/>
      </w:pPr>
      <w:r>
        <w:t>Б. Преценка на Съда</w:t>
      </w:r>
    </w:p>
    <w:p w:rsidR="00FA1E65" w:rsidRPr="003B4950" w:rsidRDefault="00FA1E65" w:rsidP="003B4950">
      <w:pPr>
        <w:pStyle w:val="ECHRHeading3"/>
      </w:pPr>
      <w:r>
        <w:t>1.  Допустимост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26</w:t>
      </w:r>
      <w:r w:rsidRPr="003B4950">
        <w:fldChar w:fldCharType="end"/>
      </w:r>
      <w:r w:rsidR="00FA1E65">
        <w:t xml:space="preserve">.  Съдът взема под внимание довода на Правителството, че жалбата е </w:t>
      </w:r>
      <w:r w:rsidR="0066322E">
        <w:t xml:space="preserve"> недопустима </w:t>
      </w:r>
      <w:r w:rsidR="00FA1E65">
        <w:t xml:space="preserve">(вж. параграф 20 по-горе). В тази връзка той отново заявява, че в съответствие с чл. 35 § 1 от Конвенцията той може да разглежда въпрос само в срок от шест месеца след окончателното </w:t>
      </w:r>
      <w:r w:rsidR="00FA1E65" w:rsidRPr="00EB01DE">
        <w:t>решение</w:t>
      </w:r>
      <w:r w:rsidR="00EB01DE" w:rsidRPr="00EB01DE">
        <w:t xml:space="preserve"> на</w:t>
      </w:r>
      <w:r w:rsidR="00EB01DE">
        <w:t xml:space="preserve"> национална</w:t>
      </w:r>
      <w:r w:rsidR="0066322E">
        <w:t>та</w:t>
      </w:r>
      <w:r w:rsidR="00EB01DE">
        <w:t xml:space="preserve"> инстанция</w:t>
      </w:r>
      <w:r w:rsidR="00FA1E65">
        <w:t>. Обикновено този срок започва да тече от окончателното решение в процеса на изчерпване на вътрешн</w:t>
      </w:r>
      <w:r w:rsidR="000B7359">
        <w:t>о</w:t>
      </w:r>
      <w:r w:rsidR="00FA1E65">
        <w:t>правни</w:t>
      </w:r>
      <w:r w:rsidR="000B7359">
        <w:t>те</w:t>
      </w:r>
      <w:r w:rsidR="00FA1E65">
        <w:t xml:space="preserve"> средства за защита, но </w:t>
      </w:r>
      <w:r w:rsidR="0066322E">
        <w:t xml:space="preserve"> след като </w:t>
      </w:r>
      <w:r w:rsidR="00FA1E65">
        <w:t>от самото начало</w:t>
      </w:r>
      <w:r w:rsidR="0066322E">
        <w:t xml:space="preserve"> е ясно</w:t>
      </w:r>
      <w:r w:rsidR="00FA1E65">
        <w:t xml:space="preserve">, че жалбоподателят не разполага с ефективно </w:t>
      </w:r>
      <w:r w:rsidR="000B7359">
        <w:t>вътрешно</w:t>
      </w:r>
      <w:r w:rsidR="00FA1E65">
        <w:t xml:space="preserve">правно средство за защита, шестмесечният срок започва да тече от датата, на </w:t>
      </w:r>
      <w:r w:rsidR="00FA1E65">
        <w:lastRenderedPageBreak/>
        <w:t xml:space="preserve">която </w:t>
      </w:r>
      <w:r w:rsidR="00122E5B">
        <w:t xml:space="preserve">обжалваното действие е </w:t>
      </w:r>
      <w:r w:rsidR="0066322E">
        <w:t xml:space="preserve"> извършено</w:t>
      </w:r>
      <w:r w:rsidR="00122E5B">
        <w:t xml:space="preserve">, </w:t>
      </w:r>
      <w:r w:rsidR="00FA1E65">
        <w:t xml:space="preserve">или от датата, на която жалбоподателят е пряко засегнат или узнава за </w:t>
      </w:r>
      <w:r w:rsidR="00122E5B">
        <w:t>подобно действие</w:t>
      </w:r>
      <w:r w:rsidR="00FA1E65">
        <w:t xml:space="preserve"> (вж.  </w:t>
      </w:r>
      <w:proofErr w:type="spellStart"/>
      <w:r w:rsidR="00FA1E65">
        <w:rPr>
          <w:i/>
        </w:rPr>
        <w:t>Dennis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and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Others</w:t>
      </w:r>
      <w:proofErr w:type="spellEnd"/>
      <w:r w:rsidR="00FA1E65">
        <w:rPr>
          <w:i/>
        </w:rPr>
        <w:t xml:space="preserve"> v. </w:t>
      </w:r>
      <w:proofErr w:type="spellStart"/>
      <w:r w:rsidR="00FA1E65">
        <w:rPr>
          <w:i/>
        </w:rPr>
        <w:t>the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United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Kingdom</w:t>
      </w:r>
      <w:proofErr w:type="spellEnd"/>
      <w:r w:rsidR="00FA1E65">
        <w:rPr>
          <w:i/>
        </w:rPr>
        <w:t xml:space="preserve"> </w:t>
      </w:r>
      <w:r w:rsidR="00FA1E65">
        <w:t xml:space="preserve">(решение за допустимост), № 76573/01, 2 юли 2002 г., и </w:t>
      </w:r>
      <w:proofErr w:type="spellStart"/>
      <w:r w:rsidR="00FA1E65">
        <w:rPr>
          <w:i/>
        </w:rPr>
        <w:t>Varnava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and</w:t>
      </w:r>
      <w:proofErr w:type="spellEnd"/>
      <w:r w:rsidR="00FA1E65">
        <w:rPr>
          <w:i/>
        </w:rPr>
        <w:t xml:space="preserve"> </w:t>
      </w:r>
      <w:proofErr w:type="spellStart"/>
      <w:r w:rsidR="00FA1E65">
        <w:rPr>
          <w:i/>
        </w:rPr>
        <w:t>Others</w:t>
      </w:r>
      <w:proofErr w:type="spellEnd"/>
      <w:r w:rsidR="00FA1E65">
        <w:rPr>
          <w:i/>
        </w:rPr>
        <w:t xml:space="preserve"> v. </w:t>
      </w:r>
      <w:proofErr w:type="spellStart"/>
      <w:r w:rsidR="00FA1E65">
        <w:rPr>
          <w:i/>
        </w:rPr>
        <w:t>Turkey</w:t>
      </w:r>
      <w:proofErr w:type="spellEnd"/>
      <w:r w:rsidR="00FA1E65">
        <w:t xml:space="preserve"> [GC], № 16064/90 и др., § 157, ЕСПЧ 2009 г.).</w:t>
      </w:r>
    </w:p>
    <w:p w:rsidR="00E2495F" w:rsidRPr="003B4950" w:rsidRDefault="0014216D" w:rsidP="003B4950">
      <w:pPr>
        <w:pStyle w:val="ECHRPara"/>
      </w:pPr>
      <w:fldSimple w:instr=" SEQ level0 \*arabic ">
        <w:r w:rsidR="003B4950" w:rsidRPr="003B4950">
          <w:rPr>
            <w:noProof/>
          </w:rPr>
          <w:t>27</w:t>
        </w:r>
      </w:fldSimple>
      <w:r w:rsidR="0081761F">
        <w:t xml:space="preserve">.  В настоящия случай обаче не може да се каже, че жалбоподателят не </w:t>
      </w:r>
      <w:r w:rsidR="006276AC">
        <w:t xml:space="preserve">е </w:t>
      </w:r>
      <w:r w:rsidR="0081761F">
        <w:t>разполага</w:t>
      </w:r>
      <w:r w:rsidR="006276AC">
        <w:t>л</w:t>
      </w:r>
      <w:r w:rsidR="0081761F">
        <w:t xml:space="preserve"> с вътрешноправно средство за защита </w:t>
      </w:r>
      <w:r w:rsidR="006276AC">
        <w:t>към</w:t>
      </w:r>
      <w:r w:rsidR="0081761F">
        <w:t xml:space="preserve"> момента на издаване на заповедта за експулсиране срещу него през ноември 2006 г. Въпреки че </w:t>
      </w:r>
      <w:r w:rsidR="00492331">
        <w:t xml:space="preserve"> оспорване </w:t>
      </w:r>
      <w:r w:rsidR="0081761F">
        <w:t>на заповедите за експулсиране въз основа на съображения за националната сигурност е предвиден</w:t>
      </w:r>
      <w:r w:rsidR="006276AC">
        <w:t>о</w:t>
      </w:r>
      <w:r w:rsidR="0081761F">
        <w:t xml:space="preserve"> </w:t>
      </w:r>
      <w:r w:rsidR="006276AC">
        <w:t xml:space="preserve">изрично </w:t>
      </w:r>
      <w:r w:rsidR="0081761F">
        <w:t xml:space="preserve">едва няколко месеца по-късно, през април 2007 г. (вж. параграф 17 по-горе), към момента на издаване на заповедта относно жалбоподателя Върховният административен съд вече е приел, че </w:t>
      </w:r>
      <w:r w:rsidR="006276AC">
        <w:t xml:space="preserve">подобни </w:t>
      </w:r>
      <w:r w:rsidR="0081761F">
        <w:t xml:space="preserve">заповеди подлежат на </w:t>
      </w:r>
      <w:r w:rsidR="000B7359">
        <w:t>обжалване</w:t>
      </w:r>
      <w:r w:rsidR="0081761F">
        <w:t xml:space="preserve"> (вж. параграф 16 по-горе). Следователно настоящото дело трябва да бъде разграничено от </w:t>
      </w:r>
      <w:proofErr w:type="spellStart"/>
      <w:r w:rsidR="0081761F">
        <w:rPr>
          <w:i/>
        </w:rPr>
        <w:t>Данауар</w:t>
      </w:r>
      <w:proofErr w:type="spellEnd"/>
      <w:r w:rsidR="0081761F">
        <w:t xml:space="preserve">, на което се позовава Правителството (вж. параграф 20 по-горе), в което жалбоподателят е експулсиран въз основа на заповед, издадена през 2000 г., тъй като действително по това време е било ясно, че не е имал на свое разположение ефективно </w:t>
      </w:r>
      <w:r w:rsidR="001873F3">
        <w:t>вътрешно</w:t>
      </w:r>
      <w:r w:rsidR="0081761F">
        <w:t>правно средство за защита. В разглеждания случай съдебният контрол на заповедта за експулсиране, поискан от жалбоподателя, представлява обичайния</w:t>
      </w:r>
      <w:r w:rsidR="00492331">
        <w:t>т</w:t>
      </w:r>
      <w:r w:rsidR="0081761F">
        <w:t xml:space="preserve"> процес на изчерпване на вътрешн</w:t>
      </w:r>
      <w:r w:rsidR="001873F3">
        <w:t>о</w:t>
      </w:r>
      <w:r w:rsidR="0081761F">
        <w:t>правни</w:t>
      </w:r>
      <w:r w:rsidR="001873F3">
        <w:t>те</w:t>
      </w:r>
      <w:r w:rsidR="0081761F">
        <w:t xml:space="preserve"> средства за защита, </w:t>
      </w:r>
      <w:r w:rsidR="007C71CF">
        <w:t>от което следва, че</w:t>
      </w:r>
      <w:r w:rsidR="0081761F">
        <w:t xml:space="preserve"> шестмесечният срок започ</w:t>
      </w:r>
      <w:r w:rsidR="001873F3">
        <w:t>в</w:t>
      </w:r>
      <w:r w:rsidR="0081761F">
        <w:t xml:space="preserve">а да тече след </w:t>
      </w:r>
      <w:r w:rsidR="007C71CF">
        <w:t xml:space="preserve">приключването </w:t>
      </w:r>
      <w:r w:rsidR="0081761F">
        <w:t xml:space="preserve">на производството </w:t>
      </w:r>
      <w:r w:rsidR="001873F3">
        <w:t>по обжалване</w:t>
      </w:r>
      <w:r w:rsidR="0081761F">
        <w:t xml:space="preserve"> на 19 март 2009 г. (вж. параграф 14 по-горе). Поради това жалбата от 18 септември 2009 г. е подадена навреме.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28</w:t>
      </w:r>
      <w:r w:rsidRPr="003B4950">
        <w:fldChar w:fldCharType="end"/>
      </w:r>
      <w:r w:rsidR="006B6115">
        <w:t xml:space="preserve">.  Съдът след това отбелязва, че жалбата не е явно необоснована по смисъла на чл. 35 § 3 (а) от Конвенцията. </w:t>
      </w:r>
      <w:r w:rsidR="00166FD5">
        <w:t>Допълва също</w:t>
      </w:r>
      <w:r w:rsidR="006B6115">
        <w:t xml:space="preserve">, че не е недопустима на други основания. Следователно </w:t>
      </w:r>
      <w:proofErr w:type="spellStart"/>
      <w:r w:rsidR="00166FD5">
        <w:t>жалбата</w:t>
      </w:r>
      <w:r w:rsidR="006B6115">
        <w:t>трябва</w:t>
      </w:r>
      <w:proofErr w:type="spellEnd"/>
      <w:r w:rsidR="006B6115">
        <w:t xml:space="preserve"> да бъде обявена за допустима.</w:t>
      </w:r>
    </w:p>
    <w:p w:rsidR="00014566" w:rsidRPr="003B4950" w:rsidRDefault="00FA1E65" w:rsidP="003B4950">
      <w:pPr>
        <w:pStyle w:val="ECHRHeading3"/>
      </w:pPr>
      <w:r>
        <w:t>2.  Основателност</w:t>
      </w:r>
    </w:p>
    <w:p w:rsidR="00FA1E65" w:rsidRPr="003B4950" w:rsidRDefault="00E10130" w:rsidP="003B4950">
      <w:pPr>
        <w:pStyle w:val="ECHRPara"/>
        <w:rPr>
          <w:snapToGrid w:val="0"/>
          <w:szCs w:val="24"/>
        </w:rPr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29</w:t>
      </w:r>
      <w:r w:rsidRPr="003B4950">
        <w:fldChar w:fldCharType="end"/>
      </w:r>
      <w:r w:rsidR="00FA1E65">
        <w:t xml:space="preserve">.  По </w:t>
      </w:r>
      <w:r w:rsidR="00166FD5">
        <w:t xml:space="preserve">отношение на основателността, </w:t>
      </w:r>
      <w:r w:rsidR="00FA1E65">
        <w:t xml:space="preserve">Съдът отбелязва от самото начало, че </w:t>
      </w:r>
      <w:r w:rsidR="00D77594">
        <w:t xml:space="preserve">настоящият случай </w:t>
      </w:r>
      <w:r w:rsidR="00FA1E65">
        <w:t xml:space="preserve">е </w:t>
      </w:r>
      <w:r w:rsidR="00D77594">
        <w:t xml:space="preserve">подобен </w:t>
      </w:r>
      <w:r w:rsidR="00FA1E65">
        <w:t xml:space="preserve">на редица </w:t>
      </w:r>
      <w:r w:rsidR="00D77594">
        <w:t>предходни</w:t>
      </w:r>
      <w:r w:rsidR="00FA1E65">
        <w:t xml:space="preserve"> дела срещу България </w:t>
      </w:r>
      <w:r w:rsidR="00166FD5">
        <w:t xml:space="preserve">касаещи </w:t>
      </w:r>
      <w:r w:rsidR="00FA1E65" w:rsidRPr="00EB01DE">
        <w:t>експулсиране</w:t>
      </w:r>
      <w:r w:rsidR="00166FD5">
        <w:t>то</w:t>
      </w:r>
      <w:r w:rsidR="00FA1E65" w:rsidRPr="00EB01DE">
        <w:t xml:space="preserve"> на чужденци по </w:t>
      </w:r>
      <w:r w:rsidR="00BF1D72">
        <w:t>предполагаеми</w:t>
      </w:r>
      <w:r w:rsidR="00BF1D72" w:rsidRPr="00EB01DE">
        <w:t xml:space="preserve"> </w:t>
      </w:r>
      <w:r w:rsidR="00FA1E65" w:rsidRPr="00EB01DE">
        <w:t>причини, свързани с национална</w:t>
      </w:r>
      <w:r w:rsidR="00BF1D72">
        <w:t>та</w:t>
      </w:r>
      <w:r w:rsidR="00FA1E65" w:rsidRPr="00EB01DE">
        <w:t xml:space="preserve"> сигурност</w:t>
      </w:r>
      <w:r w:rsidR="00FA1E65">
        <w:t xml:space="preserve"> (вж. например </w:t>
      </w:r>
      <w:r w:rsidR="00FA1E65">
        <w:rPr>
          <w:i/>
        </w:rPr>
        <w:t>С.Г. и други срещу България</w:t>
      </w:r>
      <w:r w:rsidR="00FA1E65">
        <w:t xml:space="preserve">, № 1365/07, 24 април 2008 г., </w:t>
      </w:r>
      <w:proofErr w:type="spellStart"/>
      <w:r w:rsidR="00FA1E65">
        <w:rPr>
          <w:i/>
        </w:rPr>
        <w:t>Каушал</w:t>
      </w:r>
      <w:proofErr w:type="spellEnd"/>
      <w:r w:rsidR="00FA1E65">
        <w:rPr>
          <w:i/>
        </w:rPr>
        <w:t xml:space="preserve"> и други срещу България</w:t>
      </w:r>
      <w:r w:rsidR="00FA1E65">
        <w:t xml:space="preserve">, № 1537/08, 2 септември 2010 г., </w:t>
      </w:r>
      <w:r w:rsidR="00FA1E65">
        <w:rPr>
          <w:i/>
        </w:rPr>
        <w:t>М. и други срещу България</w:t>
      </w:r>
      <w:r w:rsidR="00FA1E65">
        <w:t xml:space="preserve">, № 41416/08, 26 юли 2011 г., и </w:t>
      </w:r>
      <w:r w:rsidR="00FA1E65">
        <w:rPr>
          <w:i/>
          <w:snapToGrid w:val="0"/>
        </w:rPr>
        <w:t>Раза</w:t>
      </w:r>
      <w:r w:rsidR="00FA1E65">
        <w:t>, цитирано по-горе).</w:t>
      </w:r>
    </w:p>
    <w:p w:rsidR="00FA1E65" w:rsidRPr="003B4950" w:rsidRDefault="00FA1E65" w:rsidP="003B4950">
      <w:pPr>
        <w:pStyle w:val="ECHRHeading4"/>
      </w:pPr>
      <w:r>
        <w:t>(а) Чл. 8 от Конвенцията.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30</w:t>
      </w:r>
      <w:r w:rsidRPr="003B4950">
        <w:fldChar w:fldCharType="end"/>
      </w:r>
      <w:r w:rsidR="006B6115">
        <w:t xml:space="preserve">.  Правителството оспорва твърдението на жалбоподателя, че е имал истински “семеен живот” в България с г-жа М. То посочва, че жалбоподателят и г-жа М. </w:t>
      </w:r>
      <w:r w:rsidR="00D77594">
        <w:t>нямат сключен брак</w:t>
      </w:r>
      <w:r w:rsidR="006B6115">
        <w:t xml:space="preserve"> </w:t>
      </w:r>
      <w:r w:rsidR="00D77594">
        <w:t xml:space="preserve"> </w:t>
      </w:r>
      <w:r w:rsidR="006B6115">
        <w:t xml:space="preserve">и </w:t>
      </w:r>
      <w:r w:rsidR="000C05E3">
        <w:t xml:space="preserve">според адресните си </w:t>
      </w:r>
      <w:r w:rsidR="000C05E3">
        <w:lastRenderedPageBreak/>
        <w:t xml:space="preserve">регистрации, не </w:t>
      </w:r>
      <w:r w:rsidR="006B6115">
        <w:t>живе</w:t>
      </w:r>
      <w:r w:rsidR="00BF1D72">
        <w:t>ят</w:t>
      </w:r>
      <w:r w:rsidR="000C05E3">
        <w:t xml:space="preserve"> заедно</w:t>
      </w:r>
      <w:r w:rsidR="006B6115">
        <w:t xml:space="preserve">(вж. параграф 21 по-горе). Жалбоподателят от своя страна твърди, че двамата </w:t>
      </w:r>
      <w:proofErr w:type="spellStart"/>
      <w:r w:rsidR="006B6115">
        <w:rPr>
          <w:i/>
        </w:rPr>
        <w:t>de</w:t>
      </w:r>
      <w:proofErr w:type="spellEnd"/>
      <w:r w:rsidR="006B6115">
        <w:rPr>
          <w:i/>
        </w:rPr>
        <w:t xml:space="preserve"> </w:t>
      </w:r>
      <w:proofErr w:type="spellStart"/>
      <w:r w:rsidR="006B6115">
        <w:rPr>
          <w:i/>
        </w:rPr>
        <w:t>facto</w:t>
      </w:r>
      <w:proofErr w:type="spellEnd"/>
      <w:r w:rsidR="006B6115">
        <w:t xml:space="preserve"> са живели заедно, преди той да напусне България, и са </w:t>
      </w:r>
      <w:r w:rsidR="00492331">
        <w:t xml:space="preserve"> били </w:t>
      </w:r>
      <w:r w:rsidR="006B6115">
        <w:t>семейство (вж. параграф 24 по-горе).</w:t>
      </w:r>
    </w:p>
    <w:p w:rsidR="00EF6D2E" w:rsidRPr="003B4950" w:rsidRDefault="00E10130" w:rsidP="003B4950">
      <w:pPr>
        <w:pStyle w:val="ECHRPara"/>
      </w:pPr>
      <w:r w:rsidRPr="003B4950">
        <w:fldChar w:fldCharType="begin"/>
      </w:r>
      <w:r w:rsidR="00753887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31</w:t>
      </w:r>
      <w:r w:rsidRPr="003B4950">
        <w:fldChar w:fldCharType="end"/>
      </w:r>
      <w:r w:rsidR="00753887">
        <w:t>.  </w:t>
      </w:r>
      <w:r w:rsidR="000C05E3">
        <w:t>В</w:t>
      </w:r>
      <w:r w:rsidR="00753887">
        <w:t>зема</w:t>
      </w:r>
      <w:r w:rsidR="000C05E3">
        <w:t>йки</w:t>
      </w:r>
      <w:r w:rsidR="00753887">
        <w:t xml:space="preserve"> предвид твърденията на жалбоподателя, че той и г-жа М. живеят заедно и </w:t>
      </w:r>
      <w:r w:rsidR="004933D4">
        <w:t xml:space="preserve">съставляват </w:t>
      </w:r>
      <w:r w:rsidR="00753887">
        <w:t xml:space="preserve">истинско семейство - твърдения, подкрепени от показания на техния син и съседи (вж. параграф 24 по-горе), </w:t>
      </w:r>
      <w:r w:rsidR="000C05E3">
        <w:t xml:space="preserve">Съдът </w:t>
      </w:r>
      <w:r w:rsidR="00753887">
        <w:t xml:space="preserve">не е убеден, че </w:t>
      </w:r>
      <w:r w:rsidR="000C05E3">
        <w:t xml:space="preserve">посоченият от Правителството </w:t>
      </w:r>
      <w:r w:rsidR="00753887">
        <w:t xml:space="preserve">факт, , че двамата са официално регистрирани на различни адреси, е </w:t>
      </w:r>
      <w:r w:rsidR="000C05E3">
        <w:t xml:space="preserve">сам по себе си </w:t>
      </w:r>
      <w:r w:rsidR="00753887">
        <w:t>достатъчен</w:t>
      </w:r>
      <w:r w:rsidR="000C05E3">
        <w:t xml:space="preserve"> да</w:t>
      </w:r>
      <w:r w:rsidR="00753887">
        <w:t xml:space="preserve"> опроверга</w:t>
      </w:r>
      <w:r w:rsidR="000C05E3">
        <w:t>е</w:t>
      </w:r>
      <w:r w:rsidR="00753887">
        <w:t xml:space="preserve"> тези твърдения. </w:t>
      </w:r>
      <w:r w:rsidR="00A852D2">
        <w:t>Допълва също, че</w:t>
      </w:r>
      <w:r w:rsidR="00753887">
        <w:t xml:space="preserve"> жалбоподателя и г-жа М. имат дете</w:t>
      </w:r>
      <w:r w:rsidR="00A852D2">
        <w:t xml:space="preserve"> заедно</w:t>
      </w:r>
      <w:r w:rsidR="00753887">
        <w:t xml:space="preserve">, за което се грижат </w:t>
      </w:r>
      <w:r w:rsidR="00A852D2">
        <w:t>съвместно</w:t>
      </w:r>
      <w:r w:rsidR="00753887">
        <w:t xml:space="preserve">, което </w:t>
      </w:r>
      <w:r w:rsidR="00492331">
        <w:t xml:space="preserve"> показва</w:t>
      </w:r>
      <w:r w:rsidR="00A852D2">
        <w:t xml:space="preserve"> достатъчна степен на </w:t>
      </w:r>
      <w:r w:rsidR="00753887">
        <w:t>обвърз</w:t>
      </w:r>
      <w:r w:rsidR="00A852D2">
        <w:t>ване</w:t>
      </w:r>
      <w:r w:rsidR="00753887">
        <w:t xml:space="preserve"> за да </w:t>
      </w:r>
      <w:r w:rsidR="00A852D2">
        <w:t xml:space="preserve">ги определи като </w:t>
      </w:r>
      <w:r w:rsidR="00753887">
        <w:t xml:space="preserve">“семейство” по смисъла на чл. 8 от Конвенцията. Връзката на жалбоподателя със сина му, който е на девет години по времето, когато жалбоподателят напуска България, също </w:t>
      </w:r>
      <w:r w:rsidR="007D4FAB">
        <w:t>представлява</w:t>
      </w:r>
      <w:r w:rsidR="00753887">
        <w:t xml:space="preserve"> част от “семейния живот”, който жалбоподателят има в България, преди да я напусне (вж. например </w:t>
      </w:r>
      <w:proofErr w:type="spellStart"/>
      <w:r w:rsidR="00753887">
        <w:rPr>
          <w:i/>
        </w:rPr>
        <w:t>Berrehab</w:t>
      </w:r>
      <w:proofErr w:type="spellEnd"/>
      <w:r w:rsidR="00753887">
        <w:rPr>
          <w:i/>
        </w:rPr>
        <w:t xml:space="preserve"> v. </w:t>
      </w:r>
      <w:proofErr w:type="spellStart"/>
      <w:r w:rsidR="00753887">
        <w:rPr>
          <w:i/>
        </w:rPr>
        <w:t>the</w:t>
      </w:r>
      <w:proofErr w:type="spellEnd"/>
      <w:r w:rsidR="00753887">
        <w:rPr>
          <w:i/>
        </w:rPr>
        <w:t xml:space="preserve"> </w:t>
      </w:r>
      <w:proofErr w:type="spellStart"/>
      <w:r w:rsidR="00753887">
        <w:rPr>
          <w:i/>
        </w:rPr>
        <w:t>Netherlands</w:t>
      </w:r>
      <w:proofErr w:type="spellEnd"/>
      <w:r w:rsidR="00753887">
        <w:t>, 21 юни 1988 г., § 21, Серия A № 138).</w:t>
      </w:r>
    </w:p>
    <w:p w:rsidR="004E58DF" w:rsidRPr="003B4950" w:rsidRDefault="00E10130" w:rsidP="003B4950">
      <w:pPr>
        <w:pStyle w:val="ECHRPara"/>
      </w:pPr>
      <w:r w:rsidRPr="003B4950">
        <w:fldChar w:fldCharType="begin"/>
      </w:r>
      <w:r w:rsidR="00EF6D2E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32</w:t>
      </w:r>
      <w:r w:rsidRPr="003B4950">
        <w:fldChar w:fldCharType="end"/>
      </w:r>
      <w:r w:rsidR="00EF6D2E">
        <w:t xml:space="preserve">.  След като оспорваната заповед е приета и на жалбоподателя не е позволено да влезе в България, той се установява в Украйна, докато г-жа М. и неговият син остават в България (вж. параграф 9 по-горе). Следователно </w:t>
      </w:r>
      <w:r w:rsidR="004933D4">
        <w:t xml:space="preserve">е налице </w:t>
      </w:r>
      <w:r w:rsidR="00EF6D2E">
        <w:t xml:space="preserve">държавна намеса в правото на жалбоподателя на семеен живот (вж. </w:t>
      </w:r>
      <w:r w:rsidR="00EF6D2E">
        <w:rPr>
          <w:i/>
        </w:rPr>
        <w:t>Ал-</w:t>
      </w:r>
      <w:proofErr w:type="spellStart"/>
      <w:r w:rsidR="00EF6D2E">
        <w:rPr>
          <w:i/>
        </w:rPr>
        <w:t>Нашиф</w:t>
      </w:r>
      <w:proofErr w:type="spellEnd"/>
      <w:r w:rsidR="00EF6D2E">
        <w:t>, § 115, цитирано по-горе, и</w:t>
      </w:r>
      <w:r w:rsidR="00EF6D2E">
        <w:rPr>
          <w:i/>
        </w:rPr>
        <w:t xml:space="preserve"> </w:t>
      </w:r>
      <w:proofErr w:type="spellStart"/>
      <w:r w:rsidR="00EF6D2E">
        <w:rPr>
          <w:i/>
        </w:rPr>
        <w:t>Lupsa</w:t>
      </w:r>
      <w:proofErr w:type="spellEnd"/>
      <w:r w:rsidR="00EF6D2E">
        <w:rPr>
          <w:i/>
        </w:rPr>
        <w:t xml:space="preserve"> v. </w:t>
      </w:r>
      <w:proofErr w:type="spellStart"/>
      <w:r w:rsidR="00EF6D2E">
        <w:rPr>
          <w:i/>
        </w:rPr>
        <w:t>Romania</w:t>
      </w:r>
      <w:proofErr w:type="spellEnd"/>
      <w:r w:rsidR="00EF6D2E">
        <w:t>, № 10337/04, §§ 26-7, ЕСПЧ 2006</w:t>
      </w:r>
      <w:r w:rsidR="00EF6D2E">
        <w:noBreakHyphen/>
        <w:t>VII).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33</w:t>
      </w:r>
      <w:r w:rsidRPr="003B4950">
        <w:fldChar w:fldCharType="end"/>
      </w:r>
      <w:r w:rsidR="00FA1E65">
        <w:t xml:space="preserve">.  Жалбоподателят също така твърди, че мерките срещу него засягат </w:t>
      </w:r>
      <w:r w:rsidR="007D4FAB">
        <w:t xml:space="preserve">и </w:t>
      </w:r>
      <w:r w:rsidR="00FA1E65">
        <w:t>правото му на личен живот, тъй като</w:t>
      </w:r>
      <w:r w:rsidR="007D4FAB">
        <w:t xml:space="preserve"> </w:t>
      </w:r>
      <w:r w:rsidR="00FA1E65">
        <w:t>е живял в България единадесет години преди заминаването си</w:t>
      </w:r>
      <w:r w:rsidR="007D4FAB">
        <w:t>, в което време</w:t>
      </w:r>
      <w:r w:rsidR="00FA1E65">
        <w:t xml:space="preserve"> е развил социални и икономически връзки там (вж. параграф 24 по-горе). Освен това през 2003 г. той получава статут на постоянно пребиваващ (вж. параграф 6 по-горе). Съдът отбелязва, че </w:t>
      </w:r>
      <w:r w:rsidR="007D4FAB">
        <w:t>това го</w:t>
      </w:r>
      <w:r w:rsidR="00FF4632">
        <w:t xml:space="preserve"> определя като</w:t>
      </w:r>
      <w:r w:rsidR="00FA1E65">
        <w:t xml:space="preserve"> установен </w:t>
      </w:r>
      <w:proofErr w:type="spellStart"/>
      <w:r w:rsidR="00FA1E65">
        <w:t>мигрант</w:t>
      </w:r>
      <w:proofErr w:type="spellEnd"/>
      <w:r w:rsidR="00FA1E65">
        <w:t xml:space="preserve"> и извеждането му от България също представлява намеса в правото му на зачитане на личния му живот (вж. </w:t>
      </w:r>
      <w:proofErr w:type="spellStart"/>
      <w:r w:rsidR="00FA1E65">
        <w:rPr>
          <w:i/>
        </w:rPr>
        <w:t>Maslov</w:t>
      </w:r>
      <w:proofErr w:type="spellEnd"/>
      <w:r w:rsidR="00FA1E65">
        <w:rPr>
          <w:i/>
        </w:rPr>
        <w:t xml:space="preserve"> v. </w:t>
      </w:r>
      <w:proofErr w:type="spellStart"/>
      <w:r w:rsidR="00FA1E65">
        <w:rPr>
          <w:i/>
        </w:rPr>
        <w:t>Austria</w:t>
      </w:r>
      <w:proofErr w:type="spellEnd"/>
      <w:r w:rsidR="00FA1E65">
        <w:t xml:space="preserve"> [GC], № 1638/03, § 63, ЕСПЧ 2008 г.).</w:t>
      </w:r>
    </w:p>
    <w:p w:rsidR="00300D3A" w:rsidRPr="003B4950" w:rsidRDefault="00E10130" w:rsidP="003B4950">
      <w:pPr>
        <w:pStyle w:val="ECHRPara"/>
      </w:pPr>
      <w:r w:rsidRPr="003B4950">
        <w:fldChar w:fldCharType="begin"/>
      </w:r>
      <w:r w:rsidR="00300D3A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34</w:t>
      </w:r>
      <w:r w:rsidRPr="003B4950">
        <w:fldChar w:fldCharType="end"/>
      </w:r>
      <w:r w:rsidR="00300D3A">
        <w:t>.  Намесата в правата на жалбоподателя би била в нарушение на чл. 8 от Конвенцията, освен ако може да бъде обоснована в съответствие с параграф 2 от тази разпоредба като намеса “</w:t>
      </w:r>
      <w:r w:rsidR="00C164CB">
        <w:t xml:space="preserve">предвидена в </w:t>
      </w:r>
      <w:r w:rsidR="00300D3A">
        <w:t>закона”, като преследваща една или повече от легитимните цели, изброени в нея, и като “необходима в едно демократично общество” за постиг</w:t>
      </w:r>
      <w:r w:rsidR="00C164CB">
        <w:t>а</w:t>
      </w:r>
      <w:r w:rsidR="00300D3A">
        <w:t>не</w:t>
      </w:r>
      <w:r w:rsidR="00C164CB">
        <w:t>то на</w:t>
      </w:r>
      <w:r w:rsidR="00300D3A">
        <w:t xml:space="preserve"> въпросната цел или цели.</w:t>
      </w:r>
    </w:p>
    <w:p w:rsidR="00300D3A" w:rsidRPr="003B4950" w:rsidRDefault="00E10130" w:rsidP="003B4950">
      <w:pPr>
        <w:pStyle w:val="ECHRPara"/>
      </w:pPr>
      <w:r w:rsidRPr="003B4950">
        <w:fldChar w:fldCharType="begin"/>
      </w:r>
      <w:r w:rsidR="00300D3A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35</w:t>
      </w:r>
      <w:r w:rsidRPr="003B4950">
        <w:fldChar w:fldCharType="end"/>
      </w:r>
      <w:r w:rsidR="00300D3A">
        <w:t>.  </w:t>
      </w:r>
      <w:r w:rsidR="00C164CB">
        <w:t xml:space="preserve">По </w:t>
      </w:r>
      <w:r w:rsidR="00300D3A">
        <w:t>отн</w:t>
      </w:r>
      <w:r w:rsidR="00C164CB">
        <w:t xml:space="preserve">ошение </w:t>
      </w:r>
      <w:r w:rsidR="00300D3A">
        <w:t xml:space="preserve"> </w:t>
      </w:r>
      <w:r w:rsidR="00C164CB">
        <w:t>на</w:t>
      </w:r>
      <w:r w:rsidR="00300D3A">
        <w:t xml:space="preserve"> първото от тези изисквания, а именно че намесата трябва да бъде “</w:t>
      </w:r>
      <w:r w:rsidR="00C164CB">
        <w:t>предвидена в</w:t>
      </w:r>
      <w:r w:rsidR="00300D3A">
        <w:t xml:space="preserve"> закона”, Съдът отбелязва, че в </w:t>
      </w:r>
      <w:r w:rsidR="004933D4">
        <w:t>пред</w:t>
      </w:r>
      <w:r w:rsidR="00C164CB">
        <w:t>ишните</w:t>
      </w:r>
      <w:r w:rsidR="004933D4">
        <w:t xml:space="preserve"> </w:t>
      </w:r>
      <w:r w:rsidR="00C164CB">
        <w:t xml:space="preserve">подобни </w:t>
      </w:r>
      <w:r w:rsidR="00300D3A">
        <w:t>дела срещу България, някои от които са цитирани в параграф 29 по-горе, той констатира, че оспорваните експулсирания</w:t>
      </w:r>
      <w:r w:rsidR="00B833B5">
        <w:t xml:space="preserve"> въз основа съображения за </w:t>
      </w:r>
      <w:r w:rsidR="00300D3A">
        <w:t xml:space="preserve">националната сигурност, не отговарят на </w:t>
      </w:r>
      <w:r w:rsidR="00300D3A">
        <w:lastRenderedPageBreak/>
        <w:t>стандартите на Конвенцията, тъй като приложимият закон, процедури и практика не предлагат дори минимална степен на защита срещу произвол. По-конкретно,</w:t>
      </w:r>
      <w:bookmarkStart w:id="2" w:name="HIT57"/>
      <w:bookmarkEnd w:id="2"/>
      <w:r w:rsidR="00300D3A">
        <w:t xml:space="preserve"> в </w:t>
      </w:r>
      <w:r w:rsidR="00300D3A">
        <w:rPr>
          <w:i/>
        </w:rPr>
        <w:t>С.Г. и други</w:t>
      </w:r>
      <w:r w:rsidR="00300D3A">
        <w:t xml:space="preserve"> (цитирано по-горе, §§ 42</w:t>
      </w:r>
      <w:r w:rsidR="00300D3A">
        <w:noBreakHyphen/>
        <w:t xml:space="preserve">47), Съдът констатира на първо място, че националните съдилища са позволили на изпълнителната власт да разшири понятието за национална сигурност извън нейното естествено значение и на второ място, че тези съдилища не са проверили дали изпълнителната власт е в състояние да докаже наличието на конкретни факти, </w:t>
      </w:r>
      <w:r w:rsidR="00B833B5">
        <w:t>които</w:t>
      </w:r>
      <w:r w:rsidR="00CB7310">
        <w:t xml:space="preserve"> обосновават решението</w:t>
      </w:r>
      <w:r w:rsidR="00300D3A">
        <w:t xml:space="preserve">, че първият жалбоподател представлява </w:t>
      </w:r>
      <w:r w:rsidR="00A915A8">
        <w:t xml:space="preserve">опасност </w:t>
      </w:r>
      <w:r w:rsidR="00300D3A">
        <w:t xml:space="preserve">за националната сигурност. Освен това Съдът констатира, че националните съдилища са приели формалистичен подход и са оставили на правителствен орган пълна и </w:t>
      </w:r>
      <w:r w:rsidR="00CB7310">
        <w:t xml:space="preserve">неограничена </w:t>
      </w:r>
      <w:r w:rsidR="00300D3A">
        <w:t>свобода на преценка да удостовери</w:t>
      </w:r>
      <w:r w:rsidR="004703E1">
        <w:t>,</w:t>
      </w:r>
      <w:r w:rsidR="00300D3A">
        <w:t xml:space="preserve"> </w:t>
      </w:r>
      <w:r w:rsidR="00CB7310">
        <w:t xml:space="preserve">без да се </w:t>
      </w:r>
      <w:r w:rsidR="00300D3A">
        <w:t xml:space="preserve">позовава на </w:t>
      </w:r>
      <w:r w:rsidR="00CB7310">
        <w:t>много</w:t>
      </w:r>
      <w:r w:rsidR="00300D3A">
        <w:t xml:space="preserve"> повече от собствените си общи изявления, че </w:t>
      </w:r>
      <w:r w:rsidR="00CB7310">
        <w:t xml:space="preserve">някой </w:t>
      </w:r>
      <w:r w:rsidR="00300D3A">
        <w:t xml:space="preserve">чужденец е заплаха за националната сигурност и трябва да бъде експулсиран. Тъй като </w:t>
      </w:r>
      <w:r w:rsidR="00887E82">
        <w:t xml:space="preserve">се смята, че </w:t>
      </w:r>
      <w:r w:rsidR="00CB7310">
        <w:t xml:space="preserve">подобен начин на </w:t>
      </w:r>
      <w:r w:rsidR="00300D3A">
        <w:t>“удостоверяване” е извън рамките на каквато и да било смислена съдебна проверка, след</w:t>
      </w:r>
      <w:r w:rsidR="00887E82">
        <w:t>ва, че</w:t>
      </w:r>
      <w:r w:rsidR="00300D3A">
        <w:t xml:space="preserve"> няма </w:t>
      </w:r>
      <w:r w:rsidR="00887E82">
        <w:t xml:space="preserve">никаква </w:t>
      </w:r>
      <w:r w:rsidR="004703E1">
        <w:t xml:space="preserve">гаранция за </w:t>
      </w:r>
      <w:r w:rsidR="00CB7310">
        <w:t xml:space="preserve">защита </w:t>
      </w:r>
      <w:r w:rsidR="00300D3A">
        <w:t xml:space="preserve">срещу произвол (вж. също </w:t>
      </w:r>
      <w:proofErr w:type="spellStart"/>
      <w:r w:rsidR="00300D3A">
        <w:rPr>
          <w:i/>
        </w:rPr>
        <w:t>Каушал</w:t>
      </w:r>
      <w:proofErr w:type="spellEnd"/>
      <w:r w:rsidR="00300D3A">
        <w:rPr>
          <w:i/>
        </w:rPr>
        <w:t xml:space="preserve"> и други</w:t>
      </w:r>
      <w:r w:rsidR="00300D3A">
        <w:t xml:space="preserve">, §§ 28-32, и </w:t>
      </w:r>
      <w:r w:rsidR="00300D3A">
        <w:rPr>
          <w:i/>
        </w:rPr>
        <w:t>М. и други</w:t>
      </w:r>
      <w:r w:rsidR="00300D3A">
        <w:t xml:space="preserve">, § 98, цитирани по-горе, също </w:t>
      </w:r>
      <w:proofErr w:type="spellStart"/>
      <w:r w:rsidR="00300D3A">
        <w:rPr>
          <w:i/>
        </w:rPr>
        <w:t>Амие</w:t>
      </w:r>
      <w:proofErr w:type="spellEnd"/>
      <w:r w:rsidR="00300D3A">
        <w:rPr>
          <w:i/>
        </w:rPr>
        <w:t xml:space="preserve"> и други срещу България</w:t>
      </w:r>
      <w:r w:rsidR="00300D3A">
        <w:t>, № 58149/08, § 98, 12 февруари 2013 г.).</w:t>
      </w:r>
    </w:p>
    <w:p w:rsidR="00300D3A" w:rsidRPr="003B4950" w:rsidRDefault="00E10130" w:rsidP="003B4950">
      <w:pPr>
        <w:pStyle w:val="ECHRPara"/>
      </w:pPr>
      <w:r w:rsidRPr="003B4950">
        <w:fldChar w:fldCharType="begin"/>
      </w:r>
      <w:r w:rsidR="00300D3A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36</w:t>
      </w:r>
      <w:r w:rsidRPr="003B4950">
        <w:fldChar w:fldCharType="end"/>
      </w:r>
      <w:r w:rsidR="00300D3A">
        <w:t xml:space="preserve">.  Настоящият случай е много сходен. Заповедта за експулсиране на жалбоподателя се основава на </w:t>
      </w:r>
      <w:r w:rsidR="00887E82">
        <w:t>декларативни</w:t>
      </w:r>
      <w:r w:rsidR="00300D3A">
        <w:t xml:space="preserve"> изявления, че е участвал в изнудване, контрабанда, оръжейни сделки и други престъпни дейности</w:t>
      </w:r>
      <w:r w:rsidR="00887E82">
        <w:t xml:space="preserve">, от което </w:t>
      </w:r>
      <w:r w:rsidR="00300D3A">
        <w:t>след</w:t>
      </w:r>
      <w:r w:rsidR="00887E82">
        <w:t>ва, че</w:t>
      </w:r>
      <w:r w:rsidR="00300D3A">
        <w:t xml:space="preserve"> представлява заплаха за националната сигурност (вж. параграф 8 по-горе). Въпреки че документът, </w:t>
      </w:r>
      <w:r w:rsidR="00887E82">
        <w:t xml:space="preserve">който </w:t>
      </w:r>
      <w:r w:rsidR="00300D3A">
        <w:t xml:space="preserve">съдържа тези изявления, предложение № B4923, се позовава на някои фактически основания, в него не се споменават никакви доказателства в тяхна подкрепа. Освен това не се твърди, че жалбоподателят някога е обвиняван в свързани престъпления от българските власти. По този начин заповедта за експулсиране изглежда се основава на </w:t>
      </w:r>
      <w:r w:rsidR="00300D3A" w:rsidRPr="00056C07">
        <w:t xml:space="preserve">чисто вътрешна </w:t>
      </w:r>
      <w:r w:rsidR="00300D3A">
        <w:t>оценка от Министерството на вътрешните работи, направена въз основа на неразкрити доказателства.</w:t>
      </w:r>
    </w:p>
    <w:p w:rsidR="00300D3A" w:rsidRPr="003B4950" w:rsidRDefault="00E10130" w:rsidP="003B4950">
      <w:pPr>
        <w:pStyle w:val="ECHRPara"/>
      </w:pPr>
      <w:r w:rsidRPr="003B4950">
        <w:fldChar w:fldCharType="begin"/>
      </w:r>
      <w:r w:rsidR="00300D3A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37</w:t>
      </w:r>
      <w:r w:rsidRPr="003B4950">
        <w:fldChar w:fldCharType="end"/>
      </w:r>
      <w:r w:rsidR="00300D3A">
        <w:t xml:space="preserve">.  Освен това Върховният административен съд отхвърля искането на жалбоподателя за съдебен контрол на заповедта за експулсиране, без да </w:t>
      </w:r>
      <w:proofErr w:type="spellStart"/>
      <w:r w:rsidR="0071605D">
        <w:t>проведе</w:t>
      </w:r>
      <w:r w:rsidR="00300D3A">
        <w:t>каквато</w:t>
      </w:r>
      <w:proofErr w:type="spellEnd"/>
      <w:r w:rsidR="00300D3A">
        <w:t xml:space="preserve"> и да е смислена проверка на твърденията на изпълнителната власт, като заявява само</w:t>
      </w:r>
      <w:r w:rsidR="00A915A8">
        <w:t xml:space="preserve"> </w:t>
      </w:r>
      <w:r w:rsidR="00300D3A">
        <w:t>че оспорваната заповед не нарушава закона (вж. параграф 14 по-горе).</w:t>
      </w:r>
    </w:p>
    <w:p w:rsidR="00835139" w:rsidRPr="003B4950" w:rsidRDefault="00E10130" w:rsidP="003B4950">
      <w:pPr>
        <w:pStyle w:val="ECHRPara"/>
      </w:pPr>
      <w:r w:rsidRPr="003B4950">
        <w:fldChar w:fldCharType="begin"/>
      </w:r>
      <w:r w:rsidR="0083513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38</w:t>
      </w:r>
      <w:r w:rsidRPr="003B4950">
        <w:fldChar w:fldCharType="end"/>
      </w:r>
      <w:r w:rsidR="00835139">
        <w:t xml:space="preserve">.  Следователно, както в </w:t>
      </w:r>
      <w:r w:rsidR="0071605D">
        <w:t xml:space="preserve">гореспоменатите предходни </w:t>
      </w:r>
      <w:r w:rsidR="00835139">
        <w:t xml:space="preserve">дела, въпреки че има формална възможност да иска съдебен контрол </w:t>
      </w:r>
      <w:r w:rsidR="00143C3B">
        <w:t xml:space="preserve">върху </w:t>
      </w:r>
      <w:r w:rsidR="00835139">
        <w:t xml:space="preserve">оспорваните мерки, жалбоподателят не се ползва с минималната степен на защита срещу произвол, присъща на понятието за законосъобразност </w:t>
      </w:r>
      <w:r w:rsidR="00143C3B">
        <w:t xml:space="preserve">съгласно </w:t>
      </w:r>
      <w:r w:rsidR="00835139">
        <w:t>Конвенцията. Това води до заключението, че намесата в правото му на семеен и личен живот не е “</w:t>
      </w:r>
      <w:r w:rsidR="0047404E">
        <w:t xml:space="preserve">предвидена в </w:t>
      </w:r>
      <w:r w:rsidR="00835139">
        <w:t>закона”, както се изисква от чл. 8 § 2.</w:t>
      </w:r>
    </w:p>
    <w:p w:rsidR="001D0504" w:rsidRPr="003B4950" w:rsidRDefault="00E10130" w:rsidP="003B4950">
      <w:pPr>
        <w:pStyle w:val="ECHRPara"/>
      </w:pPr>
      <w:r w:rsidRPr="003B4950">
        <w:lastRenderedPageBreak/>
        <w:fldChar w:fldCharType="begin"/>
      </w:r>
      <w:r w:rsidR="0083513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39</w:t>
      </w:r>
      <w:r w:rsidRPr="003B4950">
        <w:fldChar w:fldCharType="end"/>
      </w:r>
      <w:r w:rsidR="00835139">
        <w:t>.  </w:t>
      </w:r>
      <w:r w:rsidR="0047404E">
        <w:t xml:space="preserve">С оглед </w:t>
      </w:r>
      <w:r w:rsidR="00835139">
        <w:t>на това заключение</w:t>
      </w:r>
      <w:r w:rsidR="00BD1D9B">
        <w:t>,</w:t>
      </w:r>
      <w:r w:rsidR="00835139">
        <w:t xml:space="preserve"> Съдът не е длъжен да разглежда оставащите въпроси, които се отнасят до съществуването на една или повече легитимни цели и дали </w:t>
      </w:r>
      <w:r w:rsidR="0047404E">
        <w:t xml:space="preserve">оспорваните </w:t>
      </w:r>
      <w:r w:rsidR="00835139">
        <w:t xml:space="preserve">мерки са необходими в едно демократично общество (вж. </w:t>
      </w:r>
      <w:r w:rsidR="00835139">
        <w:rPr>
          <w:i/>
        </w:rPr>
        <w:t>М. и други</w:t>
      </w:r>
      <w:r w:rsidR="00835139">
        <w:t xml:space="preserve">, § 104 и </w:t>
      </w:r>
      <w:proofErr w:type="spellStart"/>
      <w:r w:rsidR="00835139">
        <w:rPr>
          <w:i/>
        </w:rPr>
        <w:t>Каушал</w:t>
      </w:r>
      <w:proofErr w:type="spellEnd"/>
      <w:r w:rsidR="00835139">
        <w:rPr>
          <w:i/>
        </w:rPr>
        <w:t xml:space="preserve"> и други</w:t>
      </w:r>
      <w:r w:rsidR="00835139">
        <w:t>, § 33, и двете цитирани по-горе).</w:t>
      </w:r>
    </w:p>
    <w:p w:rsidR="00835139" w:rsidRPr="003B4950" w:rsidRDefault="00E10130" w:rsidP="003B4950">
      <w:pPr>
        <w:pStyle w:val="ECHRPara"/>
      </w:pPr>
      <w:r w:rsidRPr="003B4950">
        <w:fldChar w:fldCharType="begin"/>
      </w:r>
      <w:r w:rsidR="0083513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40</w:t>
      </w:r>
      <w:r w:rsidRPr="003B4950">
        <w:fldChar w:fldCharType="end"/>
      </w:r>
      <w:r w:rsidR="00835139">
        <w:t>.  Следователно</w:t>
      </w:r>
      <w:r w:rsidR="00BD1D9B">
        <w:t>,</w:t>
      </w:r>
      <w:r w:rsidR="00835139">
        <w:t xml:space="preserve"> е налице нарушение на чл. 8 от Конвенцията.</w:t>
      </w:r>
    </w:p>
    <w:p w:rsidR="00FA1E65" w:rsidRPr="003B4950" w:rsidRDefault="00FA1E65" w:rsidP="003B4950">
      <w:pPr>
        <w:pStyle w:val="ECHRHeading4"/>
      </w:pPr>
      <w:r>
        <w:t>(б) Чл. 13 от Конвенцията</w:t>
      </w:r>
    </w:p>
    <w:p w:rsidR="00CF5C11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41</w:t>
      </w:r>
      <w:r w:rsidRPr="003B4950">
        <w:fldChar w:fldCharType="end"/>
      </w:r>
      <w:r w:rsidR="00FA1E65">
        <w:t xml:space="preserve">.  В </w:t>
      </w:r>
      <w:r w:rsidR="0047404E">
        <w:t xml:space="preserve">предишните </w:t>
      </w:r>
      <w:r w:rsidR="00FA1E65">
        <w:t>сходни дела по отношение на оплаквания по чл. 13</w:t>
      </w:r>
      <w:r w:rsidR="00322EF4">
        <w:t>,</w:t>
      </w:r>
      <w:r w:rsidR="00FA1E65">
        <w:t xml:space="preserve"> </w:t>
      </w:r>
      <w:r w:rsidR="0047404E">
        <w:t xml:space="preserve"> </w:t>
      </w:r>
      <w:r w:rsidR="00BD1D9B">
        <w:t xml:space="preserve"> във връзка </w:t>
      </w:r>
      <w:r w:rsidR="00FA1E65">
        <w:t>с чл. 8</w:t>
      </w:r>
      <w:r w:rsidR="0047404E" w:rsidRPr="0047404E">
        <w:t xml:space="preserve"> </w:t>
      </w:r>
      <w:r w:rsidR="00322EF4">
        <w:t xml:space="preserve">от Конвенцията </w:t>
      </w:r>
      <w:r w:rsidR="0047404E">
        <w:t>Съдът констатира</w:t>
      </w:r>
      <w:r w:rsidR="00FA1E65">
        <w:t xml:space="preserve">, че производството </w:t>
      </w:r>
      <w:r w:rsidR="0047404E">
        <w:t>за съдебен контрол на</w:t>
      </w:r>
      <w:r w:rsidR="00FA1E65">
        <w:t xml:space="preserve"> заповедите за експулсиране</w:t>
      </w:r>
      <w:r w:rsidR="00BD1D9B">
        <w:t>,</w:t>
      </w:r>
      <w:r w:rsidR="00FA1E65">
        <w:t xml:space="preserve"> </w:t>
      </w:r>
      <w:r w:rsidR="00322EF4">
        <w:t>касаещи</w:t>
      </w:r>
      <w:r w:rsidR="00FA1E65">
        <w:t xml:space="preserve"> жалбоподателите</w:t>
      </w:r>
      <w:r w:rsidR="00BD1D9B">
        <w:t>,</w:t>
      </w:r>
      <w:r w:rsidR="00FA1E65">
        <w:t xml:space="preserve"> </w:t>
      </w:r>
      <w:r w:rsidR="00BD1D9B">
        <w:t xml:space="preserve"> показва </w:t>
      </w:r>
      <w:r w:rsidR="00FA1E65">
        <w:t>недостатъчност в две отношения. На първо място</w:t>
      </w:r>
      <w:r w:rsidR="00322EF4">
        <w:t>,</w:t>
      </w:r>
      <w:r w:rsidR="00FA1E65">
        <w:t xml:space="preserve"> твърденията на изпълнителната власт</w:t>
      </w:r>
      <w:r w:rsidR="00322EF4">
        <w:t xml:space="preserve"> не са подложени на</w:t>
      </w:r>
      <w:r w:rsidR="00322EF4" w:rsidRPr="00322EF4">
        <w:t xml:space="preserve"> </w:t>
      </w:r>
      <w:r w:rsidR="00322EF4">
        <w:t>смислен контрол</w:t>
      </w:r>
      <w:r w:rsidR="00FA1E65">
        <w:t>. На второ място</w:t>
      </w:r>
      <w:r w:rsidR="00322EF4">
        <w:t>,</w:t>
      </w:r>
      <w:r w:rsidR="00FA1E65">
        <w:t xml:space="preserve"> съдилищата не оценяват дали намесата в правата на жалбоподателите </w:t>
      </w:r>
      <w:r w:rsidR="00322EF4">
        <w:t xml:space="preserve">е оправдана </w:t>
      </w:r>
      <w:r w:rsidR="00FA1E65">
        <w:t xml:space="preserve"> </w:t>
      </w:r>
      <w:r w:rsidR="00BD1D9B">
        <w:t xml:space="preserve">с оглед </w:t>
      </w:r>
      <w:r w:rsidR="00FA1E65">
        <w:t xml:space="preserve">належаща </w:t>
      </w:r>
      <w:r w:rsidR="00322EF4">
        <w:t xml:space="preserve">обществена </w:t>
      </w:r>
      <w:r w:rsidR="00FA1E65">
        <w:t xml:space="preserve">нужда и </w:t>
      </w:r>
      <w:r w:rsidR="00322EF4">
        <w:t xml:space="preserve">дали </w:t>
      </w:r>
      <w:r w:rsidR="00FA1E65">
        <w:t xml:space="preserve">е пропорционална на която и да е </w:t>
      </w:r>
      <w:r w:rsidR="00322EF4">
        <w:t xml:space="preserve">легитимна </w:t>
      </w:r>
      <w:r w:rsidR="00FA1E65">
        <w:t xml:space="preserve">преследвана цел (вж. </w:t>
      </w:r>
      <w:r w:rsidR="00FA1E65">
        <w:rPr>
          <w:i/>
        </w:rPr>
        <w:t>С.Г. и други</w:t>
      </w:r>
      <w:r w:rsidR="00FA1E65">
        <w:t xml:space="preserve">, §§ 59-64, </w:t>
      </w:r>
      <w:r w:rsidR="00FA1E65">
        <w:rPr>
          <w:i/>
        </w:rPr>
        <w:t>М. и други</w:t>
      </w:r>
      <w:r w:rsidR="00FA1E65">
        <w:t xml:space="preserve">, § 125, и двете цитирани по-горе; също </w:t>
      </w:r>
      <w:proofErr w:type="spellStart"/>
      <w:r w:rsidR="00FA1E65">
        <w:rPr>
          <w:i/>
        </w:rPr>
        <w:t>Мадах</w:t>
      </w:r>
      <w:proofErr w:type="spellEnd"/>
      <w:r w:rsidR="00FA1E65">
        <w:rPr>
          <w:i/>
        </w:rPr>
        <w:t xml:space="preserve"> и други срещу България</w:t>
      </w:r>
      <w:r w:rsidR="00FA1E65">
        <w:t>, № 45237/08, § 39, 10 май 2012 г.).</w:t>
      </w:r>
    </w:p>
    <w:p w:rsidR="00835139" w:rsidRPr="003B4950" w:rsidRDefault="00E10130" w:rsidP="003B4950">
      <w:pPr>
        <w:pStyle w:val="ECHRPara"/>
      </w:pPr>
      <w:r w:rsidRPr="003B4950">
        <w:fldChar w:fldCharType="begin"/>
      </w:r>
      <w:r w:rsidR="0083513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42</w:t>
      </w:r>
      <w:r w:rsidRPr="003B4950">
        <w:fldChar w:fldCharType="end"/>
      </w:r>
      <w:r w:rsidR="00835139">
        <w:t xml:space="preserve">.  По подобен начин в настоящия случай Съдът вече отбеляза, че Върховният административен съд не е извършил </w:t>
      </w:r>
      <w:r w:rsidR="007E4A37">
        <w:t xml:space="preserve">надлежно </w:t>
      </w:r>
      <w:r w:rsidR="00835139">
        <w:t xml:space="preserve">проучване на твърдението на изпълнителната власт, според което първият жалбоподател е представлявал </w:t>
      </w:r>
      <w:r w:rsidR="008630D0">
        <w:t xml:space="preserve">опасност </w:t>
      </w:r>
      <w:r w:rsidR="00835139">
        <w:t xml:space="preserve">за националната сигурност (вж. параграф 37 по-горе). Съдът също така отбелязва, че Върховният административен съд не извършва какъвто и да е смислен анализ </w:t>
      </w:r>
      <w:r w:rsidR="007E4A37">
        <w:t>на</w:t>
      </w:r>
      <w:r w:rsidR="00835139">
        <w:t xml:space="preserve"> пропорционалността</w:t>
      </w:r>
      <w:r w:rsidR="007E4A37">
        <w:t xml:space="preserve"> на предприетите мерки</w:t>
      </w:r>
      <w:r w:rsidR="00835139">
        <w:t xml:space="preserve">, като просто заявява, че всяко ограничение на основните права е приемливо, когато е обосновано </w:t>
      </w:r>
      <w:r w:rsidR="007E4A37">
        <w:t xml:space="preserve">от съображения за </w:t>
      </w:r>
      <w:r w:rsidR="00835139">
        <w:t xml:space="preserve">националната сигурност (вж. параграф 14 по-горе). От това следва, че производството </w:t>
      </w:r>
      <w:r w:rsidR="008630D0">
        <w:t>по обжалване</w:t>
      </w:r>
      <w:r w:rsidR="00835139">
        <w:t xml:space="preserve"> в настоящия случай не осигурява на жалбоподателя ефективното вътрешноправно средство за защита, което чл. 13 изисква, по отношение на неговите оплаквания относно </w:t>
      </w:r>
      <w:r w:rsidR="00B8286C">
        <w:t xml:space="preserve">намесата в </w:t>
      </w:r>
      <w:r w:rsidR="00835139">
        <w:t xml:space="preserve">правото му на семеен и личен живот (вж. </w:t>
      </w:r>
      <w:r w:rsidR="00835139">
        <w:rPr>
          <w:i/>
        </w:rPr>
        <w:t>M. и други</w:t>
      </w:r>
      <w:r w:rsidR="00835139">
        <w:t>, цитирано по-горе, § 125). Правителството не е предложило друго средство за защита.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835139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43</w:t>
      </w:r>
      <w:r w:rsidRPr="003B4950">
        <w:fldChar w:fldCharType="end"/>
      </w:r>
      <w:r w:rsidR="00835139">
        <w:t>.  Следователно</w:t>
      </w:r>
      <w:r w:rsidR="005F6866">
        <w:t>,</w:t>
      </w:r>
      <w:r w:rsidR="00835139">
        <w:t xml:space="preserve"> е налице нарушение на чл. 13 от Конвенцията, разглеждан във връзка с чл. 8.</w:t>
      </w:r>
    </w:p>
    <w:p w:rsidR="00014566" w:rsidRPr="003B4950" w:rsidRDefault="000A162F" w:rsidP="003B4950">
      <w:pPr>
        <w:pStyle w:val="ECHRHeading1"/>
      </w:pPr>
      <w:r>
        <w:t>II.  ПРИЛОЖЕНИЕ НА ЧЛ. 41 ОТ КОНВЕНЦИЯТА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44</w:t>
      </w:r>
      <w:r w:rsidRPr="003B4950">
        <w:fldChar w:fldCharType="end"/>
      </w:r>
      <w:r w:rsidR="006B6115">
        <w:t>.  Чл. 41 от Конвенцията гласи:</w:t>
      </w:r>
    </w:p>
    <w:p w:rsidR="00014566" w:rsidRPr="003B4950" w:rsidRDefault="00014566" w:rsidP="003B4950">
      <w:pPr>
        <w:pStyle w:val="ECHRParaQuote"/>
        <w:keepNext/>
        <w:keepLines/>
      </w:pPr>
      <w:r>
        <w:lastRenderedPageBreak/>
        <w:t xml:space="preserve">“Ако Съдът установи нарушение на Конвенцията или на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3B4950" w:rsidRDefault="00014566" w:rsidP="003B4950">
      <w:pPr>
        <w:pStyle w:val="ECHRHeading2"/>
      </w:pPr>
      <w:r>
        <w:t>А. Обезщетение за вреди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45</w:t>
      </w:r>
      <w:r w:rsidRPr="003B4950">
        <w:fldChar w:fldCharType="end"/>
      </w:r>
      <w:r w:rsidR="006B6115">
        <w:t>.  Жалбоподателят претендира 15 000 евро за неимуществени вреди, като твърди, че нарушенията на неговите права и разделянето на семейството му са му причинили “значително емоционално страдание”.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46</w:t>
      </w:r>
      <w:r w:rsidRPr="003B4950">
        <w:fldChar w:fldCharType="end"/>
      </w:r>
      <w:r w:rsidR="006B6115">
        <w:t>.  Правителството оспорва претенцията, като я намира за прекомерна.</w:t>
      </w:r>
    </w:p>
    <w:p w:rsidR="001D0504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47</w:t>
      </w:r>
      <w:r w:rsidRPr="003B4950">
        <w:fldChar w:fldCharType="end"/>
      </w:r>
      <w:r w:rsidR="006B6115">
        <w:t xml:space="preserve">.  Съдът е на мнение, че жалбоподателят е </w:t>
      </w:r>
      <w:r w:rsidR="006B6115" w:rsidRPr="00A5344D">
        <w:t xml:space="preserve">претърпял страдание и </w:t>
      </w:r>
      <w:r w:rsidR="00A5344D" w:rsidRPr="00A5344D">
        <w:t>неудобство</w:t>
      </w:r>
      <w:r w:rsidR="006B6115" w:rsidRPr="00A5344D">
        <w:t>, произтичащи от произволното</w:t>
      </w:r>
      <w:r w:rsidR="006B6115">
        <w:t xml:space="preserve"> нарушаване на семейния му живот. Те се утежняват от неефективността на процедурата, чрез която той се опитва да оспори </w:t>
      </w:r>
      <w:r w:rsidR="005F6866">
        <w:t xml:space="preserve">заповедта </w:t>
      </w:r>
      <w:r w:rsidR="006B6115">
        <w:t>за своето експулсиране. Като взема предвид материалите, с които разполага, и като се произнася по справедливост, както се изисква от чл. 41 от Конвенцията, Съдът присъжда на жалбоподателя 7500 евро по настоящата позиция.</w:t>
      </w:r>
    </w:p>
    <w:p w:rsidR="00FA1E65" w:rsidRPr="003B4950" w:rsidRDefault="00FA1E65" w:rsidP="003B4950">
      <w:pPr>
        <w:pStyle w:val="ECHRHeading2"/>
      </w:pPr>
      <w:r>
        <w:t>Б. Разходи и разноски</w:t>
      </w:r>
    </w:p>
    <w:p w:rsidR="00FA1E65" w:rsidRPr="003B4950" w:rsidRDefault="00E10130" w:rsidP="003B4950">
      <w:pPr>
        <w:pStyle w:val="ECHRPara"/>
      </w:pPr>
      <w:r w:rsidRPr="003B4950">
        <w:fldChar w:fldCharType="begin"/>
      </w:r>
      <w:r w:rsidR="00FA1E6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48</w:t>
      </w:r>
      <w:r w:rsidRPr="003B4950">
        <w:fldChar w:fldCharType="end"/>
      </w:r>
      <w:r w:rsidR="00FA1E65">
        <w:t>.  Жалбоподателят не отправя претенция по отношение на разходи и разноски. Съответно Съдът смята, че няма причина да му се присъжда каквато и да било сума по тази позиция.</w:t>
      </w:r>
    </w:p>
    <w:p w:rsidR="00014566" w:rsidRPr="003B4950" w:rsidRDefault="00FA1E65" w:rsidP="003B4950">
      <w:pPr>
        <w:pStyle w:val="ECHRHeading2"/>
      </w:pPr>
      <w:r>
        <w:t>В. Лихва за забава</w:t>
      </w:r>
    </w:p>
    <w:p w:rsidR="00014566" w:rsidRPr="003B4950" w:rsidRDefault="00E10130" w:rsidP="003B4950">
      <w:pPr>
        <w:pStyle w:val="ECHRPara"/>
      </w:pPr>
      <w:r w:rsidRPr="003B4950">
        <w:fldChar w:fldCharType="begin"/>
      </w:r>
      <w:r w:rsidR="006B6115" w:rsidRPr="003B4950">
        <w:instrText xml:space="preserve"> SEQ level0 \*arabic </w:instrText>
      </w:r>
      <w:r w:rsidRPr="003B4950">
        <w:fldChar w:fldCharType="separate"/>
      </w:r>
      <w:r w:rsidR="003B4950" w:rsidRPr="003B4950">
        <w:rPr>
          <w:noProof/>
        </w:rPr>
        <w:t>49</w:t>
      </w:r>
      <w:r w:rsidRPr="003B4950">
        <w:fldChar w:fldCharType="end"/>
      </w:r>
      <w:r w:rsidR="006B6115"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3B4950" w:rsidRDefault="00BB5883" w:rsidP="003B4950">
      <w:pPr>
        <w:pStyle w:val="ECHRTitle1"/>
      </w:pPr>
      <w:r>
        <w:t>ПО ТЕЗИ СЪОБРАЖЕНИЯ СЪДЪТ ЕДИНОДУШНО</w:t>
      </w:r>
    </w:p>
    <w:p w:rsidR="00B637B9" w:rsidRPr="003B4950" w:rsidRDefault="00B637B9" w:rsidP="003B4950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3B4950" w:rsidRDefault="00014566" w:rsidP="003B4950">
      <w:pPr>
        <w:pStyle w:val="JuList"/>
        <w:ind w:left="0" w:firstLine="0"/>
      </w:pPr>
    </w:p>
    <w:p w:rsidR="00014566" w:rsidRPr="003B4950" w:rsidRDefault="000A162F" w:rsidP="003B4950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8 от Конвенцията;</w:t>
      </w:r>
    </w:p>
    <w:p w:rsidR="00014566" w:rsidRPr="003B4950" w:rsidRDefault="00014566" w:rsidP="003B4950">
      <w:pPr>
        <w:pStyle w:val="JuList"/>
      </w:pPr>
    </w:p>
    <w:p w:rsidR="00014566" w:rsidRPr="003B4950" w:rsidRDefault="000A162F" w:rsidP="003B4950">
      <w:pPr>
        <w:pStyle w:val="JuList"/>
      </w:pPr>
      <w:r>
        <w:t>3.  </w:t>
      </w:r>
      <w:r>
        <w:rPr>
          <w:i/>
        </w:rPr>
        <w:t>Приема</w:t>
      </w:r>
      <w:r>
        <w:t>, че е налице нарушение на чл. 13 от Конвенцията, разглеждан във връзка с чл. 8;</w:t>
      </w:r>
    </w:p>
    <w:p w:rsidR="00014566" w:rsidRPr="003B4950" w:rsidRDefault="00014566" w:rsidP="003B4950">
      <w:pPr>
        <w:pStyle w:val="JuList"/>
      </w:pPr>
    </w:p>
    <w:p w:rsidR="006B6115" w:rsidRPr="003B4950" w:rsidRDefault="000A162F" w:rsidP="003B4950">
      <w:pPr>
        <w:pStyle w:val="JuList"/>
      </w:pPr>
      <w:r>
        <w:t>4.  </w:t>
      </w:r>
      <w:r>
        <w:rPr>
          <w:i/>
        </w:rPr>
        <w:t>Приема,</w:t>
      </w:r>
    </w:p>
    <w:p w:rsidR="00014566" w:rsidRPr="003B4950" w:rsidRDefault="00014566" w:rsidP="003B4950">
      <w:pPr>
        <w:pStyle w:val="JuLista"/>
      </w:pPr>
      <w:r>
        <w:lastRenderedPageBreak/>
        <w:t>(а) че държава</w:t>
      </w:r>
      <w:r w:rsidR="00A5344D">
        <w:t>та ответник</w:t>
      </w:r>
      <w:r>
        <w:t xml:space="preserve"> трябва да </w:t>
      </w:r>
      <w:r w:rsidR="00A5344D">
        <w:t>за</w:t>
      </w:r>
      <w:r>
        <w:t xml:space="preserve">плати на жалбоподателя в </w:t>
      </w:r>
      <w:r w:rsidR="00A5344D">
        <w:t>срок от</w:t>
      </w:r>
      <w:r>
        <w:t xml:space="preserve"> три месеца 7500 евро (седемдесет хиляди и петстотин евро) по отношение на неимуществени вреди, плюс всякакви данъци, които биха могли да се начислят, </w:t>
      </w:r>
      <w:r w:rsidR="00A5344D">
        <w:t>изчисл</w:t>
      </w:r>
      <w:r w:rsidR="00B8286C">
        <w:t>ени</w:t>
      </w:r>
      <w:r w:rsidR="00A5344D">
        <w:t xml:space="preserve"> </w:t>
      </w:r>
      <w:r>
        <w:t>в български лева по курса</w:t>
      </w:r>
      <w:r w:rsidR="00A5344D">
        <w:t xml:space="preserve"> към</w:t>
      </w:r>
      <w:r w:rsidR="00B8286C">
        <w:t xml:space="preserve"> </w:t>
      </w:r>
      <w:r>
        <w:t>датата на плащането;</w:t>
      </w:r>
    </w:p>
    <w:p w:rsidR="00014566" w:rsidRPr="003B4950" w:rsidRDefault="00014566" w:rsidP="003B4950">
      <w:pPr>
        <w:pStyle w:val="JuLista"/>
      </w:pPr>
      <w:r>
        <w:t xml:space="preserve">(б) че от изтичането на </w:t>
      </w:r>
      <w:proofErr w:type="spellStart"/>
      <w:r w:rsidR="00A5344D">
        <w:t>гореспоментия</w:t>
      </w:r>
      <w:proofErr w:type="spellEnd"/>
      <w:r>
        <w:t xml:space="preserve"> тримесечен срок до плащането се дължи </w:t>
      </w:r>
      <w:r w:rsidRPr="00E0530A">
        <w:t>проста</w:t>
      </w:r>
      <w:r>
        <w:t xml:space="preserve"> лихва върху горепосочената сума в размер, равен на пределната ставка по заеми на Европейската централна банка </w:t>
      </w:r>
      <w:r w:rsidR="00A5344D">
        <w:t>за срока на</w:t>
      </w:r>
      <w:r>
        <w:t xml:space="preserve"> забава, към която се добавят три процентни пункта;</w:t>
      </w:r>
    </w:p>
    <w:p w:rsidR="00014566" w:rsidRPr="003B4950" w:rsidRDefault="00014566" w:rsidP="003B4950">
      <w:pPr>
        <w:pStyle w:val="JuList"/>
      </w:pPr>
    </w:p>
    <w:p w:rsidR="00014566" w:rsidRPr="003B4950" w:rsidRDefault="005A29CC" w:rsidP="003B4950">
      <w:pPr>
        <w:pStyle w:val="JuList"/>
      </w:pPr>
      <w:r>
        <w:t>5.  </w:t>
      </w:r>
      <w:r>
        <w:rPr>
          <w:i/>
        </w:rPr>
        <w:t>Отхвърля</w:t>
      </w:r>
      <w:r>
        <w:t xml:space="preserve"> останалата част от </w:t>
      </w:r>
      <w:r w:rsidR="00A5344D">
        <w:t xml:space="preserve">иска </w:t>
      </w:r>
      <w:r>
        <w:t>на жалбоподател</w:t>
      </w:r>
      <w:r w:rsidR="00A5344D">
        <w:t>я</w:t>
      </w:r>
      <w:r>
        <w:t xml:space="preserve"> за справедливо обезщетение.</w:t>
      </w:r>
    </w:p>
    <w:p w:rsidR="00014566" w:rsidRPr="003B4950" w:rsidRDefault="00014566" w:rsidP="003B4950">
      <w:pPr>
        <w:pStyle w:val="JuParaLast"/>
      </w:pPr>
      <w:r>
        <w:t xml:space="preserve">Изготвено на английски език и оповестено писмено на 1 юни 2017 г. в съответствие с </w:t>
      </w:r>
      <w:r w:rsidR="009F3C73">
        <w:t>п</w:t>
      </w:r>
      <w:r>
        <w:t>равило 77 §§ 2 и 3 от Правилника на Съда.</w:t>
      </w:r>
    </w:p>
    <w:p w:rsidR="00014566" w:rsidRPr="003B4950" w:rsidRDefault="00014566" w:rsidP="003B4950">
      <w:pPr>
        <w:pStyle w:val="JuSigned"/>
        <w:ind w:firstLine="142"/>
      </w:pPr>
      <w:r>
        <w:tab/>
        <w:t xml:space="preserve">Милан </w:t>
      </w:r>
      <w:proofErr w:type="spellStart"/>
      <w:r>
        <w:t>Бла</w:t>
      </w:r>
      <w:r w:rsidR="009F3C73">
        <w:t>с</w:t>
      </w:r>
      <w:r>
        <w:t>ко</w:t>
      </w:r>
      <w:proofErr w:type="spellEnd"/>
      <w:r>
        <w:tab/>
        <w:t xml:space="preserve">Нона </w:t>
      </w:r>
      <w:proofErr w:type="spellStart"/>
      <w:r>
        <w:t>Цоцориа</w:t>
      </w:r>
      <w:proofErr w:type="spellEnd"/>
      <w:r>
        <w:t xml:space="preserve"> </w:t>
      </w:r>
      <w:r>
        <w:br/>
      </w:r>
      <w:r w:rsidR="009F3C73">
        <w:t>з</w:t>
      </w:r>
      <w:r>
        <w:t>аместник-секретар</w:t>
      </w:r>
      <w:r>
        <w:tab/>
      </w:r>
      <w:r w:rsidR="009F3C73">
        <w:t>п</w:t>
      </w:r>
      <w:r>
        <w:t>редседател</w:t>
      </w:r>
    </w:p>
    <w:sectPr w:rsidR="00014566" w:rsidRPr="003B4950" w:rsidSect="00CC473B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46" w:rsidRPr="00512D5D" w:rsidRDefault="00EE3546" w:rsidP="00014566">
      <w:pPr>
        <w:rPr>
          <w:lang w:val="en-GB"/>
        </w:rPr>
      </w:pPr>
      <w:r w:rsidRPr="00512D5D">
        <w:rPr>
          <w:lang w:val="en-GB"/>
        </w:rPr>
        <w:separator/>
      </w:r>
    </w:p>
  </w:endnote>
  <w:endnote w:type="continuationSeparator" w:id="0">
    <w:p w:rsidR="00EE3546" w:rsidRPr="00512D5D" w:rsidRDefault="00EE3546" w:rsidP="00014566">
      <w:pPr>
        <w:rPr>
          <w:lang w:val="en-GB"/>
        </w:rPr>
      </w:pPr>
      <w:r w:rsidRPr="00512D5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8D" w:rsidRDefault="00D75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8D" w:rsidRDefault="00D75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CB" w:rsidRPr="00150BFA" w:rsidRDefault="00C164CB" w:rsidP="00C164CB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771525" cy="619125"/>
          <wp:effectExtent l="0" t="0" r="9525" b="9525"/>
          <wp:docPr id="13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4CB" w:rsidRDefault="00C16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46" w:rsidRPr="00512D5D" w:rsidRDefault="00EE3546" w:rsidP="00014566">
      <w:pPr>
        <w:rPr>
          <w:lang w:val="en-GB"/>
        </w:rPr>
      </w:pPr>
      <w:r w:rsidRPr="00512D5D">
        <w:rPr>
          <w:lang w:val="en-GB"/>
        </w:rPr>
        <w:separator/>
      </w:r>
    </w:p>
  </w:footnote>
  <w:footnote w:type="continuationSeparator" w:id="0">
    <w:p w:rsidR="00EE3546" w:rsidRPr="00512D5D" w:rsidRDefault="00EE3546" w:rsidP="00014566">
      <w:pPr>
        <w:rPr>
          <w:lang w:val="en-GB"/>
        </w:rPr>
      </w:pPr>
      <w:r w:rsidRPr="00512D5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8D" w:rsidRDefault="00D75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CB" w:rsidRPr="00CC473B" w:rsidRDefault="00C164CB" w:rsidP="00CC473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CB" w:rsidRPr="00A45145" w:rsidRDefault="00C164CB" w:rsidP="00C164CB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2962275" cy="1219200"/>
          <wp:effectExtent l="0" t="0" r="9525" b="0"/>
          <wp:docPr id="7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4CB" w:rsidRDefault="00C164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CB" w:rsidRPr="00512D5D" w:rsidRDefault="00C164CB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7598D">
      <w:rPr>
        <w:rStyle w:val="PageNumber"/>
        <w:noProof/>
        <w:szCs w:val="18"/>
      </w:rPr>
      <w:t>10</w:t>
    </w:r>
    <w:r>
      <w:rPr>
        <w:rStyle w:val="PageNumber"/>
        <w:szCs w:val="18"/>
      </w:rPr>
      <w:fldChar w:fldCharType="end"/>
    </w:r>
    <w:r>
      <w:tab/>
      <w:t>РЕШЕНИЕ ГРАБЧАК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CB" w:rsidRPr="00512D5D" w:rsidRDefault="00C164CB" w:rsidP="00D60D87">
    <w:pPr>
      <w:pStyle w:val="ECHRHeader"/>
    </w:pPr>
    <w:r>
      <w:tab/>
      <w:t>РЕШЕНИЕ ГРАБЧАК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D7598D">
      <w:rPr>
        <w:rStyle w:val="PageNumber"/>
        <w:noProof/>
        <w:szCs w:val="18"/>
      </w:rPr>
      <w:t>9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1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L4_1AppNatList" w:val="Ukrainian"/>
    <w:docVar w:name="NBEMMDOC" w:val="0"/>
    <w:docVar w:name="SignForeName" w:val="0"/>
  </w:docVars>
  <w:rsids>
    <w:rsidRoot w:val="006B6115"/>
    <w:rsid w:val="00000067"/>
    <w:rsid w:val="000010ED"/>
    <w:rsid w:val="000041F8"/>
    <w:rsid w:val="000042A8"/>
    <w:rsid w:val="00004308"/>
    <w:rsid w:val="00005BF0"/>
    <w:rsid w:val="00007154"/>
    <w:rsid w:val="000103AE"/>
    <w:rsid w:val="00011D69"/>
    <w:rsid w:val="00012AD3"/>
    <w:rsid w:val="0001397C"/>
    <w:rsid w:val="00014566"/>
    <w:rsid w:val="00015C2D"/>
    <w:rsid w:val="00015F00"/>
    <w:rsid w:val="00022C1D"/>
    <w:rsid w:val="0003323F"/>
    <w:rsid w:val="00034987"/>
    <w:rsid w:val="000350E3"/>
    <w:rsid w:val="00035564"/>
    <w:rsid w:val="000461A0"/>
    <w:rsid w:val="00056C07"/>
    <w:rsid w:val="000602DF"/>
    <w:rsid w:val="00061B05"/>
    <w:rsid w:val="00062973"/>
    <w:rsid w:val="00062D5D"/>
    <w:rsid w:val="000632D5"/>
    <w:rsid w:val="000644EE"/>
    <w:rsid w:val="0006613B"/>
    <w:rsid w:val="00071055"/>
    <w:rsid w:val="00071ABC"/>
    <w:rsid w:val="000856D7"/>
    <w:rsid w:val="00087549"/>
    <w:rsid w:val="000925AD"/>
    <w:rsid w:val="000A162F"/>
    <w:rsid w:val="000A24EB"/>
    <w:rsid w:val="000B6923"/>
    <w:rsid w:val="000B7359"/>
    <w:rsid w:val="000C033C"/>
    <w:rsid w:val="000C05E3"/>
    <w:rsid w:val="000C215C"/>
    <w:rsid w:val="000C5F3C"/>
    <w:rsid w:val="000C6DCC"/>
    <w:rsid w:val="000D47AA"/>
    <w:rsid w:val="000D50D7"/>
    <w:rsid w:val="000D721F"/>
    <w:rsid w:val="000E069B"/>
    <w:rsid w:val="000E0E82"/>
    <w:rsid w:val="000E1DC5"/>
    <w:rsid w:val="000E223F"/>
    <w:rsid w:val="000E35AC"/>
    <w:rsid w:val="000E7D45"/>
    <w:rsid w:val="000F58CB"/>
    <w:rsid w:val="000F7851"/>
    <w:rsid w:val="00104E23"/>
    <w:rsid w:val="00111B0C"/>
    <w:rsid w:val="00115028"/>
    <w:rsid w:val="00120D6C"/>
    <w:rsid w:val="00122E5B"/>
    <w:rsid w:val="00124B1A"/>
    <w:rsid w:val="001257EC"/>
    <w:rsid w:val="00132C6A"/>
    <w:rsid w:val="00133D33"/>
    <w:rsid w:val="00134D64"/>
    <w:rsid w:val="00135A30"/>
    <w:rsid w:val="0013612C"/>
    <w:rsid w:val="00137FF6"/>
    <w:rsid w:val="00141650"/>
    <w:rsid w:val="0014216D"/>
    <w:rsid w:val="00143C3B"/>
    <w:rsid w:val="00145D57"/>
    <w:rsid w:val="00157D67"/>
    <w:rsid w:val="00162A12"/>
    <w:rsid w:val="00166530"/>
    <w:rsid w:val="00166FD5"/>
    <w:rsid w:val="00182CEA"/>
    <w:rsid w:val="001832BD"/>
    <w:rsid w:val="001873F3"/>
    <w:rsid w:val="001943B5"/>
    <w:rsid w:val="00195134"/>
    <w:rsid w:val="001A13F9"/>
    <w:rsid w:val="001A145B"/>
    <w:rsid w:val="001A674C"/>
    <w:rsid w:val="001B3B24"/>
    <w:rsid w:val="001C0F98"/>
    <w:rsid w:val="001C1520"/>
    <w:rsid w:val="001C2A42"/>
    <w:rsid w:val="001D0504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5F9F"/>
    <w:rsid w:val="00210338"/>
    <w:rsid w:val="002115FC"/>
    <w:rsid w:val="002133F8"/>
    <w:rsid w:val="00214049"/>
    <w:rsid w:val="0021423C"/>
    <w:rsid w:val="002224E4"/>
    <w:rsid w:val="00226AE9"/>
    <w:rsid w:val="00230D00"/>
    <w:rsid w:val="00231DF7"/>
    <w:rsid w:val="00231FD1"/>
    <w:rsid w:val="002339E0"/>
    <w:rsid w:val="00233CF8"/>
    <w:rsid w:val="00233D4E"/>
    <w:rsid w:val="0023575D"/>
    <w:rsid w:val="00237148"/>
    <w:rsid w:val="0024222D"/>
    <w:rsid w:val="00244B0E"/>
    <w:rsid w:val="00244F6C"/>
    <w:rsid w:val="00247622"/>
    <w:rsid w:val="00251068"/>
    <w:rsid w:val="002532C5"/>
    <w:rsid w:val="00260C03"/>
    <w:rsid w:val="002627B2"/>
    <w:rsid w:val="0026540E"/>
    <w:rsid w:val="0026739E"/>
    <w:rsid w:val="0027225C"/>
    <w:rsid w:val="0027390A"/>
    <w:rsid w:val="00275123"/>
    <w:rsid w:val="00277061"/>
    <w:rsid w:val="00282240"/>
    <w:rsid w:val="0028572A"/>
    <w:rsid w:val="002948AD"/>
    <w:rsid w:val="00294C05"/>
    <w:rsid w:val="00294C92"/>
    <w:rsid w:val="002A01CC"/>
    <w:rsid w:val="002A316D"/>
    <w:rsid w:val="002A61B1"/>
    <w:rsid w:val="002A663C"/>
    <w:rsid w:val="002A7C95"/>
    <w:rsid w:val="002B1E6C"/>
    <w:rsid w:val="002B444B"/>
    <w:rsid w:val="002B5887"/>
    <w:rsid w:val="002C0692"/>
    <w:rsid w:val="002C0E27"/>
    <w:rsid w:val="002C2C19"/>
    <w:rsid w:val="002C3040"/>
    <w:rsid w:val="002C48E7"/>
    <w:rsid w:val="002D022D"/>
    <w:rsid w:val="002D1EE8"/>
    <w:rsid w:val="002D24BB"/>
    <w:rsid w:val="002E2805"/>
    <w:rsid w:val="002E7AB4"/>
    <w:rsid w:val="002F2AF7"/>
    <w:rsid w:val="002F6427"/>
    <w:rsid w:val="002F7A91"/>
    <w:rsid w:val="002F7E1C"/>
    <w:rsid w:val="00300D3A"/>
    <w:rsid w:val="00301A75"/>
    <w:rsid w:val="00302F70"/>
    <w:rsid w:val="0030336F"/>
    <w:rsid w:val="0030375E"/>
    <w:rsid w:val="00312A30"/>
    <w:rsid w:val="00314F63"/>
    <w:rsid w:val="0032034D"/>
    <w:rsid w:val="00320F72"/>
    <w:rsid w:val="00322EF4"/>
    <w:rsid w:val="0032463E"/>
    <w:rsid w:val="00326224"/>
    <w:rsid w:val="0032676F"/>
    <w:rsid w:val="003278A2"/>
    <w:rsid w:val="00337EE4"/>
    <w:rsid w:val="00340FFD"/>
    <w:rsid w:val="003506B1"/>
    <w:rsid w:val="00356AC7"/>
    <w:rsid w:val="003609FA"/>
    <w:rsid w:val="00370AB6"/>
    <w:rsid w:val="003710C8"/>
    <w:rsid w:val="003750BE"/>
    <w:rsid w:val="00387B9D"/>
    <w:rsid w:val="0039364F"/>
    <w:rsid w:val="00396686"/>
    <w:rsid w:val="0039778E"/>
    <w:rsid w:val="003A441D"/>
    <w:rsid w:val="003B4941"/>
    <w:rsid w:val="003B4950"/>
    <w:rsid w:val="003C5714"/>
    <w:rsid w:val="003C6B9F"/>
    <w:rsid w:val="003C6E2A"/>
    <w:rsid w:val="003D0299"/>
    <w:rsid w:val="003D77F8"/>
    <w:rsid w:val="003E6D80"/>
    <w:rsid w:val="003E7944"/>
    <w:rsid w:val="003F05FA"/>
    <w:rsid w:val="003F244A"/>
    <w:rsid w:val="003F30B8"/>
    <w:rsid w:val="003F4C45"/>
    <w:rsid w:val="003F5F7B"/>
    <w:rsid w:val="003F7D64"/>
    <w:rsid w:val="00410DFE"/>
    <w:rsid w:val="00414300"/>
    <w:rsid w:val="00425C67"/>
    <w:rsid w:val="0042616A"/>
    <w:rsid w:val="00427E7A"/>
    <w:rsid w:val="00436307"/>
    <w:rsid w:val="00436C49"/>
    <w:rsid w:val="00443A3E"/>
    <w:rsid w:val="00444FF4"/>
    <w:rsid w:val="00445366"/>
    <w:rsid w:val="00447F5B"/>
    <w:rsid w:val="00461DB0"/>
    <w:rsid w:val="00463926"/>
    <w:rsid w:val="00464097"/>
    <w:rsid w:val="004646E0"/>
    <w:rsid w:val="00464C9A"/>
    <w:rsid w:val="004703E1"/>
    <w:rsid w:val="00473237"/>
    <w:rsid w:val="0047404E"/>
    <w:rsid w:val="00474F3D"/>
    <w:rsid w:val="00477E3A"/>
    <w:rsid w:val="004827E4"/>
    <w:rsid w:val="00483E5F"/>
    <w:rsid w:val="00485FF9"/>
    <w:rsid w:val="004907F0"/>
    <w:rsid w:val="0049140B"/>
    <w:rsid w:val="00492331"/>
    <w:rsid w:val="004923A5"/>
    <w:rsid w:val="004933D4"/>
    <w:rsid w:val="00496BFB"/>
    <w:rsid w:val="004A15C7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E58DF"/>
    <w:rsid w:val="004F10AF"/>
    <w:rsid w:val="004F11A4"/>
    <w:rsid w:val="004F2389"/>
    <w:rsid w:val="004F304D"/>
    <w:rsid w:val="004F61BE"/>
    <w:rsid w:val="004F66B1"/>
    <w:rsid w:val="00511C07"/>
    <w:rsid w:val="00512D5D"/>
    <w:rsid w:val="005173A6"/>
    <w:rsid w:val="00520BAA"/>
    <w:rsid w:val="00525208"/>
    <w:rsid w:val="005257A5"/>
    <w:rsid w:val="005264C0"/>
    <w:rsid w:val="00526A8A"/>
    <w:rsid w:val="00531DF2"/>
    <w:rsid w:val="00535BB8"/>
    <w:rsid w:val="005442EE"/>
    <w:rsid w:val="00547353"/>
    <w:rsid w:val="005474E7"/>
    <w:rsid w:val="005512A3"/>
    <w:rsid w:val="005578CE"/>
    <w:rsid w:val="00562781"/>
    <w:rsid w:val="00563E83"/>
    <w:rsid w:val="00566A6F"/>
    <w:rsid w:val="0057271C"/>
    <w:rsid w:val="00572845"/>
    <w:rsid w:val="00592772"/>
    <w:rsid w:val="0059574A"/>
    <w:rsid w:val="005A1B9B"/>
    <w:rsid w:val="005A29CC"/>
    <w:rsid w:val="005A6751"/>
    <w:rsid w:val="005B092E"/>
    <w:rsid w:val="005B0DF2"/>
    <w:rsid w:val="005B152C"/>
    <w:rsid w:val="005B1EE0"/>
    <w:rsid w:val="005B2B24"/>
    <w:rsid w:val="005B4425"/>
    <w:rsid w:val="005B4B94"/>
    <w:rsid w:val="005C3EE8"/>
    <w:rsid w:val="005C658A"/>
    <w:rsid w:val="005D34F9"/>
    <w:rsid w:val="005D4190"/>
    <w:rsid w:val="005D67A3"/>
    <w:rsid w:val="005D7749"/>
    <w:rsid w:val="005E1D3D"/>
    <w:rsid w:val="005E2988"/>
    <w:rsid w:val="005E2A43"/>
    <w:rsid w:val="005E3085"/>
    <w:rsid w:val="005E3411"/>
    <w:rsid w:val="005E438A"/>
    <w:rsid w:val="005F51E1"/>
    <w:rsid w:val="005F6866"/>
    <w:rsid w:val="00611C80"/>
    <w:rsid w:val="006200D8"/>
    <w:rsid w:val="00620692"/>
    <w:rsid w:val="006242CA"/>
    <w:rsid w:val="00627507"/>
    <w:rsid w:val="006276AC"/>
    <w:rsid w:val="00633717"/>
    <w:rsid w:val="00633E63"/>
    <w:rsid w:val="006344E1"/>
    <w:rsid w:val="00636BFD"/>
    <w:rsid w:val="00636D0E"/>
    <w:rsid w:val="006545C4"/>
    <w:rsid w:val="00656C50"/>
    <w:rsid w:val="00661971"/>
    <w:rsid w:val="00661CE8"/>
    <w:rsid w:val="006623D9"/>
    <w:rsid w:val="0066322E"/>
    <w:rsid w:val="0066550C"/>
    <w:rsid w:val="006716F2"/>
    <w:rsid w:val="006738B1"/>
    <w:rsid w:val="00682BF2"/>
    <w:rsid w:val="006859CE"/>
    <w:rsid w:val="00690883"/>
    <w:rsid w:val="00691270"/>
    <w:rsid w:val="00694BA8"/>
    <w:rsid w:val="006A037C"/>
    <w:rsid w:val="006A36F4"/>
    <w:rsid w:val="006A406F"/>
    <w:rsid w:val="006A5D3A"/>
    <w:rsid w:val="006B6115"/>
    <w:rsid w:val="006C23D4"/>
    <w:rsid w:val="006C7BB0"/>
    <w:rsid w:val="006D2EF5"/>
    <w:rsid w:val="006D3237"/>
    <w:rsid w:val="006E2E37"/>
    <w:rsid w:val="006E3CF1"/>
    <w:rsid w:val="006E4834"/>
    <w:rsid w:val="006E7E80"/>
    <w:rsid w:val="006F1DF9"/>
    <w:rsid w:val="006F24DB"/>
    <w:rsid w:val="006F48CA"/>
    <w:rsid w:val="006F64DD"/>
    <w:rsid w:val="00705476"/>
    <w:rsid w:val="00711D14"/>
    <w:rsid w:val="00715127"/>
    <w:rsid w:val="00715E8E"/>
    <w:rsid w:val="0071605D"/>
    <w:rsid w:val="00723580"/>
    <w:rsid w:val="00723755"/>
    <w:rsid w:val="0073136C"/>
    <w:rsid w:val="00731F0F"/>
    <w:rsid w:val="00733250"/>
    <w:rsid w:val="00741404"/>
    <w:rsid w:val="007449E5"/>
    <w:rsid w:val="00746C5A"/>
    <w:rsid w:val="00747FF0"/>
    <w:rsid w:val="00753887"/>
    <w:rsid w:val="00760621"/>
    <w:rsid w:val="00764D4E"/>
    <w:rsid w:val="00764EC3"/>
    <w:rsid w:val="00765A1F"/>
    <w:rsid w:val="00775B6D"/>
    <w:rsid w:val="00776D68"/>
    <w:rsid w:val="007850EE"/>
    <w:rsid w:val="00785B95"/>
    <w:rsid w:val="00790E96"/>
    <w:rsid w:val="00793366"/>
    <w:rsid w:val="007A716F"/>
    <w:rsid w:val="007B270A"/>
    <w:rsid w:val="007C0695"/>
    <w:rsid w:val="007C419A"/>
    <w:rsid w:val="007C4CC8"/>
    <w:rsid w:val="007C5426"/>
    <w:rsid w:val="007C5798"/>
    <w:rsid w:val="007C658A"/>
    <w:rsid w:val="007C71CF"/>
    <w:rsid w:val="007C7C78"/>
    <w:rsid w:val="007D4832"/>
    <w:rsid w:val="007D4FAB"/>
    <w:rsid w:val="007E21B2"/>
    <w:rsid w:val="007E2C4E"/>
    <w:rsid w:val="007E4A37"/>
    <w:rsid w:val="007F1905"/>
    <w:rsid w:val="0080048F"/>
    <w:rsid w:val="00801300"/>
    <w:rsid w:val="00802C64"/>
    <w:rsid w:val="00805E52"/>
    <w:rsid w:val="008061D0"/>
    <w:rsid w:val="00810B38"/>
    <w:rsid w:val="0081761F"/>
    <w:rsid w:val="00817754"/>
    <w:rsid w:val="008204C7"/>
    <w:rsid w:val="00820992"/>
    <w:rsid w:val="00823602"/>
    <w:rsid w:val="008255F5"/>
    <w:rsid w:val="0083014E"/>
    <w:rsid w:val="0083214A"/>
    <w:rsid w:val="00832DEA"/>
    <w:rsid w:val="00834220"/>
    <w:rsid w:val="00835139"/>
    <w:rsid w:val="00845723"/>
    <w:rsid w:val="00851EF9"/>
    <w:rsid w:val="00856F8E"/>
    <w:rsid w:val="008577FD"/>
    <w:rsid w:val="00860B03"/>
    <w:rsid w:val="008630D0"/>
    <w:rsid w:val="0086497A"/>
    <w:rsid w:val="008713A1"/>
    <w:rsid w:val="008754AB"/>
    <w:rsid w:val="0088060C"/>
    <w:rsid w:val="00887E82"/>
    <w:rsid w:val="00893576"/>
    <w:rsid w:val="00893E73"/>
    <w:rsid w:val="008A43C4"/>
    <w:rsid w:val="008A6D6B"/>
    <w:rsid w:val="008B02DC"/>
    <w:rsid w:val="008B57CE"/>
    <w:rsid w:val="008B5E6B"/>
    <w:rsid w:val="008B659F"/>
    <w:rsid w:val="008C26DE"/>
    <w:rsid w:val="008D2225"/>
    <w:rsid w:val="008D4752"/>
    <w:rsid w:val="008D552A"/>
    <w:rsid w:val="008E271C"/>
    <w:rsid w:val="008E418E"/>
    <w:rsid w:val="008E5BC6"/>
    <w:rsid w:val="008E6A25"/>
    <w:rsid w:val="008F5193"/>
    <w:rsid w:val="009013A7"/>
    <w:rsid w:val="009017FB"/>
    <w:rsid w:val="009017FC"/>
    <w:rsid w:val="00903B43"/>
    <w:rsid w:val="0090506B"/>
    <w:rsid w:val="009050C9"/>
    <w:rsid w:val="009064AD"/>
    <w:rsid w:val="009066FC"/>
    <w:rsid w:val="00906A5C"/>
    <w:rsid w:val="009140A3"/>
    <w:rsid w:val="009144A2"/>
    <w:rsid w:val="0091510C"/>
    <w:rsid w:val="009208F7"/>
    <w:rsid w:val="009259AC"/>
    <w:rsid w:val="00926F38"/>
    <w:rsid w:val="00934301"/>
    <w:rsid w:val="00936CD1"/>
    <w:rsid w:val="00941747"/>
    <w:rsid w:val="00941EFB"/>
    <w:rsid w:val="00947AFB"/>
    <w:rsid w:val="00950DB2"/>
    <w:rsid w:val="00951D7D"/>
    <w:rsid w:val="00952C12"/>
    <w:rsid w:val="00957AFF"/>
    <w:rsid w:val="009630C7"/>
    <w:rsid w:val="00972B55"/>
    <w:rsid w:val="009743B7"/>
    <w:rsid w:val="0098228B"/>
    <w:rsid w:val="009828DA"/>
    <w:rsid w:val="00982A27"/>
    <w:rsid w:val="00985BAB"/>
    <w:rsid w:val="009873A3"/>
    <w:rsid w:val="00997F03"/>
    <w:rsid w:val="009A46DF"/>
    <w:rsid w:val="009A5FBE"/>
    <w:rsid w:val="009B1B5F"/>
    <w:rsid w:val="009B2EC2"/>
    <w:rsid w:val="009B6673"/>
    <w:rsid w:val="009C191B"/>
    <w:rsid w:val="009C2BD6"/>
    <w:rsid w:val="009E1F32"/>
    <w:rsid w:val="009E223E"/>
    <w:rsid w:val="009E5829"/>
    <w:rsid w:val="009E776C"/>
    <w:rsid w:val="009F3C73"/>
    <w:rsid w:val="00A018E7"/>
    <w:rsid w:val="00A16AAE"/>
    <w:rsid w:val="00A1726E"/>
    <w:rsid w:val="00A204CF"/>
    <w:rsid w:val="00A23D49"/>
    <w:rsid w:val="00A27004"/>
    <w:rsid w:val="00A30C29"/>
    <w:rsid w:val="00A34DD6"/>
    <w:rsid w:val="00A36819"/>
    <w:rsid w:val="00A36989"/>
    <w:rsid w:val="00A379F2"/>
    <w:rsid w:val="00A43628"/>
    <w:rsid w:val="00A477CC"/>
    <w:rsid w:val="00A5344D"/>
    <w:rsid w:val="00A54192"/>
    <w:rsid w:val="00A6035E"/>
    <w:rsid w:val="00A6144C"/>
    <w:rsid w:val="00A65B18"/>
    <w:rsid w:val="00A66617"/>
    <w:rsid w:val="00A671F8"/>
    <w:rsid w:val="00A673A4"/>
    <w:rsid w:val="00A7222D"/>
    <w:rsid w:val="00A724AE"/>
    <w:rsid w:val="00A73329"/>
    <w:rsid w:val="00A82359"/>
    <w:rsid w:val="00A852D2"/>
    <w:rsid w:val="00A865D2"/>
    <w:rsid w:val="00A915A8"/>
    <w:rsid w:val="00A94C20"/>
    <w:rsid w:val="00A96ED6"/>
    <w:rsid w:val="00AA0120"/>
    <w:rsid w:val="00AA227F"/>
    <w:rsid w:val="00AA3BC7"/>
    <w:rsid w:val="00AA754A"/>
    <w:rsid w:val="00AB099E"/>
    <w:rsid w:val="00AB3E33"/>
    <w:rsid w:val="00AB3FB1"/>
    <w:rsid w:val="00AB4328"/>
    <w:rsid w:val="00AB5FA0"/>
    <w:rsid w:val="00AD3181"/>
    <w:rsid w:val="00AD6482"/>
    <w:rsid w:val="00AE0A2E"/>
    <w:rsid w:val="00AE354C"/>
    <w:rsid w:val="00AE4214"/>
    <w:rsid w:val="00AF4B07"/>
    <w:rsid w:val="00AF6186"/>
    <w:rsid w:val="00AF7A3A"/>
    <w:rsid w:val="00B160DB"/>
    <w:rsid w:val="00B20836"/>
    <w:rsid w:val="00B235BB"/>
    <w:rsid w:val="00B27A44"/>
    <w:rsid w:val="00B30BBF"/>
    <w:rsid w:val="00B33C03"/>
    <w:rsid w:val="00B44E56"/>
    <w:rsid w:val="00B44E7D"/>
    <w:rsid w:val="00B46543"/>
    <w:rsid w:val="00B47D33"/>
    <w:rsid w:val="00B52BE0"/>
    <w:rsid w:val="00B54133"/>
    <w:rsid w:val="00B60DC3"/>
    <w:rsid w:val="00B637B9"/>
    <w:rsid w:val="00B63EFF"/>
    <w:rsid w:val="00B701ED"/>
    <w:rsid w:val="00B8086C"/>
    <w:rsid w:val="00B8286C"/>
    <w:rsid w:val="00B833B5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0C7B"/>
    <w:rsid w:val="00BB345F"/>
    <w:rsid w:val="00BB3DB3"/>
    <w:rsid w:val="00BB5883"/>
    <w:rsid w:val="00BB68EA"/>
    <w:rsid w:val="00BC1049"/>
    <w:rsid w:val="00BC1C27"/>
    <w:rsid w:val="00BC6BBF"/>
    <w:rsid w:val="00BD1572"/>
    <w:rsid w:val="00BD1D9B"/>
    <w:rsid w:val="00BD5D06"/>
    <w:rsid w:val="00BE14E3"/>
    <w:rsid w:val="00BE3774"/>
    <w:rsid w:val="00BE41E5"/>
    <w:rsid w:val="00BF0712"/>
    <w:rsid w:val="00BF0BBB"/>
    <w:rsid w:val="00BF1D72"/>
    <w:rsid w:val="00BF4109"/>
    <w:rsid w:val="00BF4CC3"/>
    <w:rsid w:val="00C054C7"/>
    <w:rsid w:val="00C057B5"/>
    <w:rsid w:val="00C14D62"/>
    <w:rsid w:val="00C15AC9"/>
    <w:rsid w:val="00C164CB"/>
    <w:rsid w:val="00C22687"/>
    <w:rsid w:val="00C32E4D"/>
    <w:rsid w:val="00C333A0"/>
    <w:rsid w:val="00C335B5"/>
    <w:rsid w:val="00C36A81"/>
    <w:rsid w:val="00C3704F"/>
    <w:rsid w:val="00C41974"/>
    <w:rsid w:val="00C447AD"/>
    <w:rsid w:val="00C53F4A"/>
    <w:rsid w:val="00C54125"/>
    <w:rsid w:val="00C55B54"/>
    <w:rsid w:val="00C6098E"/>
    <w:rsid w:val="00C6152C"/>
    <w:rsid w:val="00C621C2"/>
    <w:rsid w:val="00C62EB5"/>
    <w:rsid w:val="00C6362A"/>
    <w:rsid w:val="00C719A1"/>
    <w:rsid w:val="00C74810"/>
    <w:rsid w:val="00C76EFF"/>
    <w:rsid w:val="00C90D68"/>
    <w:rsid w:val="00C939FE"/>
    <w:rsid w:val="00CA4BDA"/>
    <w:rsid w:val="00CA5EA7"/>
    <w:rsid w:val="00CA7913"/>
    <w:rsid w:val="00CB1F66"/>
    <w:rsid w:val="00CB2951"/>
    <w:rsid w:val="00CB7310"/>
    <w:rsid w:val="00CC473B"/>
    <w:rsid w:val="00CC7196"/>
    <w:rsid w:val="00CC73BA"/>
    <w:rsid w:val="00CD282B"/>
    <w:rsid w:val="00CD4C35"/>
    <w:rsid w:val="00CD7369"/>
    <w:rsid w:val="00CE0B0E"/>
    <w:rsid w:val="00CE3831"/>
    <w:rsid w:val="00CF5C11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4251"/>
    <w:rsid w:val="00D2639F"/>
    <w:rsid w:val="00D343E2"/>
    <w:rsid w:val="00D361A2"/>
    <w:rsid w:val="00D37AF8"/>
    <w:rsid w:val="00D44251"/>
    <w:rsid w:val="00D44C2E"/>
    <w:rsid w:val="00D45414"/>
    <w:rsid w:val="00D53C0F"/>
    <w:rsid w:val="00D566BD"/>
    <w:rsid w:val="00D57A4D"/>
    <w:rsid w:val="00D60AA7"/>
    <w:rsid w:val="00D60D87"/>
    <w:rsid w:val="00D6209E"/>
    <w:rsid w:val="00D6435F"/>
    <w:rsid w:val="00D7598D"/>
    <w:rsid w:val="00D75E28"/>
    <w:rsid w:val="00D772C2"/>
    <w:rsid w:val="00D77594"/>
    <w:rsid w:val="00D8008E"/>
    <w:rsid w:val="00D82C45"/>
    <w:rsid w:val="00D835EA"/>
    <w:rsid w:val="00D908A8"/>
    <w:rsid w:val="00D977B6"/>
    <w:rsid w:val="00DA1541"/>
    <w:rsid w:val="00DA4A31"/>
    <w:rsid w:val="00DA61F2"/>
    <w:rsid w:val="00DA7B04"/>
    <w:rsid w:val="00DB36C2"/>
    <w:rsid w:val="00DB7196"/>
    <w:rsid w:val="00DC15FC"/>
    <w:rsid w:val="00DC169B"/>
    <w:rsid w:val="00DC2AB9"/>
    <w:rsid w:val="00DC3A8B"/>
    <w:rsid w:val="00DC63F0"/>
    <w:rsid w:val="00DD6EE5"/>
    <w:rsid w:val="00DE1B8E"/>
    <w:rsid w:val="00DE1E07"/>
    <w:rsid w:val="00DE1FBD"/>
    <w:rsid w:val="00DE386C"/>
    <w:rsid w:val="00DE4D35"/>
    <w:rsid w:val="00DF0549"/>
    <w:rsid w:val="00DF098B"/>
    <w:rsid w:val="00DF11C4"/>
    <w:rsid w:val="00DF210C"/>
    <w:rsid w:val="00DF4B6A"/>
    <w:rsid w:val="00E02C09"/>
    <w:rsid w:val="00E04D59"/>
    <w:rsid w:val="00E0530A"/>
    <w:rsid w:val="00E05AD8"/>
    <w:rsid w:val="00E07DA1"/>
    <w:rsid w:val="00E10130"/>
    <w:rsid w:val="00E123CB"/>
    <w:rsid w:val="00E1557C"/>
    <w:rsid w:val="00E20E13"/>
    <w:rsid w:val="00E21DBC"/>
    <w:rsid w:val="00E2495F"/>
    <w:rsid w:val="00E275D7"/>
    <w:rsid w:val="00E27DBE"/>
    <w:rsid w:val="00E32AB1"/>
    <w:rsid w:val="00E36C71"/>
    <w:rsid w:val="00E40404"/>
    <w:rsid w:val="00E43A8A"/>
    <w:rsid w:val="00E459C6"/>
    <w:rsid w:val="00E47589"/>
    <w:rsid w:val="00E64915"/>
    <w:rsid w:val="00E661D4"/>
    <w:rsid w:val="00E67976"/>
    <w:rsid w:val="00E70091"/>
    <w:rsid w:val="00E720F5"/>
    <w:rsid w:val="00E76D47"/>
    <w:rsid w:val="00E849F7"/>
    <w:rsid w:val="00E90302"/>
    <w:rsid w:val="00E93C9C"/>
    <w:rsid w:val="00E9597F"/>
    <w:rsid w:val="00E97396"/>
    <w:rsid w:val="00EA185E"/>
    <w:rsid w:val="00EA592A"/>
    <w:rsid w:val="00EB01DE"/>
    <w:rsid w:val="00EB09EF"/>
    <w:rsid w:val="00EB14E4"/>
    <w:rsid w:val="00EB32A5"/>
    <w:rsid w:val="00EB34ED"/>
    <w:rsid w:val="00EB7BE0"/>
    <w:rsid w:val="00EC315E"/>
    <w:rsid w:val="00ED077C"/>
    <w:rsid w:val="00ED0AC6"/>
    <w:rsid w:val="00ED1190"/>
    <w:rsid w:val="00ED39FD"/>
    <w:rsid w:val="00ED6544"/>
    <w:rsid w:val="00ED69A2"/>
    <w:rsid w:val="00EE0277"/>
    <w:rsid w:val="00EE1DA9"/>
    <w:rsid w:val="00EE3546"/>
    <w:rsid w:val="00EE3E00"/>
    <w:rsid w:val="00EE5DD2"/>
    <w:rsid w:val="00EF41F1"/>
    <w:rsid w:val="00EF4F08"/>
    <w:rsid w:val="00EF573B"/>
    <w:rsid w:val="00EF6D2E"/>
    <w:rsid w:val="00F00A79"/>
    <w:rsid w:val="00F00E86"/>
    <w:rsid w:val="00F00F8B"/>
    <w:rsid w:val="00F07C1E"/>
    <w:rsid w:val="00F105DB"/>
    <w:rsid w:val="00F132BC"/>
    <w:rsid w:val="00F13D80"/>
    <w:rsid w:val="00F14308"/>
    <w:rsid w:val="00F16AAA"/>
    <w:rsid w:val="00F21161"/>
    <w:rsid w:val="00F218EF"/>
    <w:rsid w:val="00F21BC7"/>
    <w:rsid w:val="00F266A2"/>
    <w:rsid w:val="00F32269"/>
    <w:rsid w:val="00F40624"/>
    <w:rsid w:val="00F4457E"/>
    <w:rsid w:val="00F56A6F"/>
    <w:rsid w:val="00F5709C"/>
    <w:rsid w:val="00F64EF1"/>
    <w:rsid w:val="00F8765F"/>
    <w:rsid w:val="00F90767"/>
    <w:rsid w:val="00F978FA"/>
    <w:rsid w:val="00F97A96"/>
    <w:rsid w:val="00FA1E65"/>
    <w:rsid w:val="00FA685B"/>
    <w:rsid w:val="00FB0C01"/>
    <w:rsid w:val="00FC18F2"/>
    <w:rsid w:val="00FC39E5"/>
    <w:rsid w:val="00FC3A78"/>
    <w:rsid w:val="00FC5A1D"/>
    <w:rsid w:val="00FC5FFE"/>
    <w:rsid w:val="00FD1005"/>
    <w:rsid w:val="00FD3180"/>
    <w:rsid w:val="00FD63B4"/>
    <w:rsid w:val="00FD6C75"/>
    <w:rsid w:val="00FE485E"/>
    <w:rsid w:val="00FE71B3"/>
    <w:rsid w:val="00FF42C5"/>
    <w:rsid w:val="00FF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15028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150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1502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1502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150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150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1502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15028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1502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150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28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11502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1502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15028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15028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115028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115028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1502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115028"/>
  </w:style>
  <w:style w:type="paragraph" w:customStyle="1" w:styleId="DecList">
    <w:name w:val="Dec_List"/>
    <w:basedOn w:val="Normal"/>
    <w:uiPriority w:val="9"/>
    <w:semiHidden/>
    <w:qFormat/>
    <w:rsid w:val="00115028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115028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1502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1502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115028"/>
    <w:pPr>
      <w:numPr>
        <w:numId w:val="2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11502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11502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115028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115028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11502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15028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1502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1502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1502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1502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15028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basedOn w:val="DefaultParagraphFont"/>
    <w:uiPriority w:val="38"/>
    <w:qFormat/>
    <w:rsid w:val="00115028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Normal"/>
    <w:next w:val="JuLista"/>
    <w:uiPriority w:val="28"/>
    <w:qFormat/>
    <w:rsid w:val="00115028"/>
    <w:pPr>
      <w:ind w:left="794"/>
    </w:pPr>
  </w:style>
  <w:style w:type="character" w:customStyle="1" w:styleId="JUNAMES">
    <w:name w:val="JU_NAMES"/>
    <w:uiPriority w:val="17"/>
    <w:qFormat/>
    <w:rsid w:val="00115028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11502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11502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1502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1502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1502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1502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ParaSub">
    <w:name w:val="Ju_Para_Sub"/>
    <w:basedOn w:val="ECHRPara"/>
    <w:uiPriority w:val="13"/>
    <w:qFormat/>
    <w:rsid w:val="00115028"/>
    <w:pPr>
      <w:ind w:left="284"/>
    </w:pPr>
  </w:style>
  <w:style w:type="paragraph" w:customStyle="1" w:styleId="JuCase">
    <w:name w:val="Ju_Case"/>
    <w:basedOn w:val="Normal"/>
    <w:next w:val="ECHRPara"/>
    <w:uiPriority w:val="10"/>
    <w:rsid w:val="00115028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15028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15028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5028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115028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1502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1150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11502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115028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1150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5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028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1502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5028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5028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5028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115028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11502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1502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15028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115028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115028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15028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15028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115028"/>
    <w:rPr>
      <w:smallCaps/>
    </w:rPr>
  </w:style>
  <w:style w:type="table" w:styleId="TableGrid">
    <w:name w:val="Table Grid"/>
    <w:basedOn w:val="TableNormal"/>
    <w:uiPriority w:val="59"/>
    <w:semiHidden/>
    <w:rsid w:val="0011502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1502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1502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11502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11502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11502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11502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11502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115028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15028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15028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11502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115028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115028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15028"/>
    <w:pPr>
      <w:keepNext/>
      <w:keepLines/>
      <w:spacing w:before="240"/>
      <w:ind w:firstLine="284"/>
    </w:pPr>
  </w:style>
  <w:style w:type="paragraph" w:customStyle="1" w:styleId="JuQuotSub">
    <w:name w:val="Ju_Quot_Sub"/>
    <w:basedOn w:val="ECHRParaQuote"/>
    <w:uiPriority w:val="15"/>
    <w:qFormat/>
    <w:rsid w:val="00115028"/>
    <w:pPr>
      <w:ind w:left="567"/>
    </w:p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115028"/>
    <w:pPr>
      <w:ind w:left="346" w:firstLine="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11502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115028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115028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1502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15028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115028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1502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11502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115028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115028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115028"/>
  </w:style>
  <w:style w:type="paragraph" w:customStyle="1" w:styleId="OpiParaSub">
    <w:name w:val="Opi_Para_Sub"/>
    <w:basedOn w:val="JuParaSub"/>
    <w:uiPriority w:val="47"/>
    <w:qFormat/>
    <w:rsid w:val="00115028"/>
  </w:style>
  <w:style w:type="paragraph" w:customStyle="1" w:styleId="OpiQuot">
    <w:name w:val="Opi_Quot"/>
    <w:basedOn w:val="ECHRParaQuote"/>
    <w:uiPriority w:val="48"/>
    <w:qFormat/>
    <w:rsid w:val="00115028"/>
  </w:style>
  <w:style w:type="paragraph" w:customStyle="1" w:styleId="OpiQuotSub">
    <w:name w:val="Opi_Quot_Sub"/>
    <w:basedOn w:val="JuQuotSub"/>
    <w:uiPriority w:val="49"/>
    <w:qFormat/>
    <w:rsid w:val="00115028"/>
  </w:style>
  <w:style w:type="paragraph" w:customStyle="1" w:styleId="OpiTranslation">
    <w:name w:val="Opi_Translation"/>
    <w:basedOn w:val="Normal"/>
    <w:next w:val="OpiPara"/>
    <w:uiPriority w:val="40"/>
    <w:qFormat/>
    <w:rsid w:val="00115028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FA1E65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FE9F-9859-4BAF-86A5-09FB540D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2017-08-04T09:19:00Z</dcterms:created>
  <dcterms:modified xsi:type="dcterms:W3CDTF">2017-08-04T09:19:00Z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