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jc w:val="center"/>
      </w:pPr>
      <w:bookmarkStart w:id="0" w:name="_GoBack"/>
      <w:bookmarkEnd w:id="0"/>
      <w:r>
        <w:rPr>
          <w:rStyle w:val="Normal"/>
        </w:rPr>
        <w:t>ПЕТО ОТДЕЛЕНИЕ</w:t>
      </w:r>
    </w:p>
    <w:p w:rsidR="00F432BA" w:rsidRPr="00267487" w:rsidRDefault="00F432BA" w:rsidP="00F432BA">
      <w:pPr>
        <w:tabs>
          <w:tab w:val="left" w:pos="5670"/>
        </w:tabs>
        <w:jc w:val="center"/>
      </w:pPr>
      <w:bookmarkStart w:id="1" w:name="To"/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jc w:val="center"/>
        <w:rPr>
          <w:b/>
        </w:rPr>
      </w:pPr>
      <w:r>
        <w:rPr>
          <w:rStyle w:val="Normal"/>
          <w:b/>
        </w:rPr>
        <w:t xml:space="preserve">ДЕЛО </w:t>
      </w:r>
      <w:bookmarkEnd w:id="1"/>
      <w:r>
        <w:rPr>
          <w:rStyle w:val="Normal"/>
          <w:b/>
        </w:rPr>
        <w:t>ДОКТОРОВ СРЕЩУ БЪЛГАРИЯ</w:t>
      </w:r>
    </w:p>
    <w:p w:rsidR="00F432BA" w:rsidRPr="00267487" w:rsidRDefault="00F432BA" w:rsidP="00F432BA">
      <w:pPr>
        <w:jc w:val="center"/>
        <w:rPr>
          <w:b/>
        </w:rPr>
      </w:pPr>
    </w:p>
    <w:p w:rsidR="00F432BA" w:rsidRPr="00267487" w:rsidRDefault="00F432BA" w:rsidP="00F432BA">
      <w:pPr>
        <w:jc w:val="center"/>
        <w:rPr>
          <w:i/>
        </w:rPr>
      </w:pPr>
      <w:r>
        <w:rPr>
          <w:rStyle w:val="Normal"/>
          <w:i/>
        </w:rPr>
        <w:t xml:space="preserve">(Жалба </w:t>
      </w:r>
      <w:r>
        <w:rPr>
          <w:rStyle w:val="Normal"/>
          <w:i/>
          <w:cs/>
        </w:rPr>
        <w:t xml:space="preserve">№ </w:t>
      </w:r>
      <w:r>
        <w:rPr>
          <w:rStyle w:val="Normal"/>
          <w:i/>
        </w:rPr>
        <w:t>15074/08)</w:t>
      </w:r>
    </w:p>
    <w:p w:rsidR="00F432BA" w:rsidRPr="00267487" w:rsidRDefault="00F432BA" w:rsidP="00F432BA">
      <w:pPr>
        <w:jc w:val="center"/>
        <w:rPr>
          <w:i/>
        </w:rPr>
      </w:pPr>
    </w:p>
    <w:p w:rsidR="00F432BA" w:rsidRPr="00267487" w:rsidRDefault="00F432BA" w:rsidP="00F432BA">
      <w:pPr>
        <w:jc w:val="center"/>
        <w:rPr>
          <w:i/>
        </w:rPr>
      </w:pPr>
    </w:p>
    <w:p w:rsidR="00F432BA" w:rsidRPr="00267487" w:rsidRDefault="00F432BA" w:rsidP="00F432BA">
      <w:pPr>
        <w:jc w:val="center"/>
        <w:rPr>
          <w:i/>
        </w:rPr>
      </w:pPr>
    </w:p>
    <w:p w:rsidR="00F432BA" w:rsidRPr="00267487" w:rsidRDefault="00F432BA" w:rsidP="00F432BA">
      <w:pPr>
        <w:jc w:val="center"/>
        <w:rPr>
          <w:i/>
        </w:rPr>
      </w:pPr>
    </w:p>
    <w:p w:rsidR="00F432BA" w:rsidRPr="00267487" w:rsidRDefault="00F432BA" w:rsidP="00F432BA">
      <w:pPr>
        <w:jc w:val="center"/>
        <w:rPr>
          <w:i/>
        </w:rPr>
      </w:pPr>
    </w:p>
    <w:p w:rsidR="00F432BA" w:rsidRPr="00267487" w:rsidRDefault="00F432BA" w:rsidP="00F432BA">
      <w:pPr>
        <w:jc w:val="center"/>
        <w:rPr>
          <w:i/>
        </w:rPr>
      </w:pPr>
    </w:p>
    <w:p w:rsidR="00F432BA" w:rsidRPr="00267487" w:rsidRDefault="00F432BA" w:rsidP="00F432BA">
      <w:pPr>
        <w:jc w:val="center"/>
        <w:rPr>
          <w:i/>
        </w:rPr>
      </w:pPr>
    </w:p>
    <w:p w:rsidR="00F432BA" w:rsidRPr="00267487" w:rsidRDefault="00F432BA" w:rsidP="00F432BA">
      <w:pPr>
        <w:jc w:val="center"/>
        <w:rPr>
          <w:i/>
        </w:rPr>
      </w:pPr>
    </w:p>
    <w:p w:rsidR="00F432BA" w:rsidRPr="00267487" w:rsidRDefault="00F432BA" w:rsidP="00F432BA">
      <w:pPr>
        <w:jc w:val="center"/>
        <w:rPr>
          <w:i/>
        </w:rPr>
      </w:pPr>
    </w:p>
    <w:p w:rsidR="00F432BA" w:rsidRPr="00267487" w:rsidRDefault="00F432BA" w:rsidP="00F432BA">
      <w:pPr>
        <w:jc w:val="center"/>
        <w:rPr>
          <w:i/>
        </w:rPr>
      </w:pP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  <w:r>
        <w:rPr>
          <w:rStyle w:val="Normal"/>
        </w:rPr>
        <w:t>РЕШЕНИЕ</w:t>
      </w: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  <w:r>
        <w:rPr>
          <w:rStyle w:val="Normal"/>
        </w:rPr>
        <w:t>СТРАСБУРГ</w:t>
      </w: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  <w:r>
        <w:rPr>
          <w:rStyle w:val="Normal"/>
        </w:rPr>
        <w:t>5 април 2018 г.</w:t>
      </w: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tabs>
          <w:tab w:val="left" w:pos="5670"/>
        </w:tabs>
        <w:jc w:val="center"/>
      </w:pPr>
    </w:p>
    <w:p w:rsidR="00F432BA" w:rsidRPr="00267487" w:rsidRDefault="00F432BA" w:rsidP="00F432BA">
      <w:pPr>
        <w:jc w:val="center"/>
        <w:rPr>
          <w:i/>
          <w:sz w:val="22"/>
        </w:rPr>
      </w:pPr>
    </w:p>
    <w:p w:rsidR="00F432BA" w:rsidRPr="00267487" w:rsidRDefault="00F432BA" w:rsidP="00F432BA">
      <w:pPr>
        <w:jc w:val="center"/>
        <w:rPr>
          <w:i/>
          <w:sz w:val="22"/>
        </w:rPr>
      </w:pPr>
    </w:p>
    <w:p w:rsidR="00F432BA" w:rsidRPr="00267487" w:rsidRDefault="00F432BA" w:rsidP="00F432BA">
      <w:pPr>
        <w:rPr>
          <w:szCs w:val="24"/>
        </w:rPr>
      </w:pPr>
      <w:r>
        <w:rPr>
          <w:rStyle w:val="Normal"/>
          <w:i/>
          <w:sz w:val="22"/>
        </w:rPr>
        <w:t>Това решение ще стане окончателно при условията на чл. 44 § 2 от Конвенцията. Може да бъде предмет на редакционни промени.</w:t>
      </w:r>
    </w:p>
    <w:p w:rsidR="00F432BA" w:rsidRPr="00267487" w:rsidRDefault="00F432BA" w:rsidP="00F432BA">
      <w:pPr>
        <w:pStyle w:val="JuCase"/>
      </w:pPr>
    </w:p>
    <w:p w:rsidR="00F432BA" w:rsidRDefault="00F432BA" w:rsidP="00F432BA">
      <w:pPr>
        <w:pStyle w:val="ECHRPara"/>
        <w:sectPr w:rsidR="00F432BA" w:rsidSect="00F432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F432BA" w:rsidRPr="00267487" w:rsidRDefault="00F432BA" w:rsidP="00F432BA">
      <w:pPr>
        <w:pStyle w:val="JuCase"/>
        <w:rPr>
          <w:bCs/>
        </w:rPr>
      </w:pPr>
      <w:r>
        <w:rPr>
          <w:rStyle w:val="JuCase"/>
        </w:rPr>
        <w:lastRenderedPageBreak/>
        <w:t>По делото Докторов срещу България,</w:t>
      </w:r>
    </w:p>
    <w:p w:rsidR="00F432BA" w:rsidRPr="00267487" w:rsidRDefault="00F432BA" w:rsidP="00F432BA">
      <w:pPr>
        <w:pStyle w:val="ECHRPara"/>
      </w:pPr>
      <w:r>
        <w:rPr>
          <w:rStyle w:val="ECHRPara"/>
          <w:szCs w:val="22"/>
        </w:rPr>
        <w:t>Европейският съд по правата на човека (Пето</w:t>
      </w:r>
      <w:r w:rsidR="00797308">
        <w:rPr>
          <w:rStyle w:val="ECHRPara"/>
          <w:szCs w:val="22"/>
        </w:rPr>
        <w:t xml:space="preserve"> отделение), заседаващ в състав</w:t>
      </w:r>
      <w:r>
        <w:rPr>
          <w:rStyle w:val="ECHRPara"/>
          <w:szCs w:val="22"/>
        </w:rPr>
        <w:t>:</w:t>
      </w:r>
    </w:p>
    <w:p w:rsidR="00F432BA" w:rsidRPr="00267487" w:rsidRDefault="00F432BA" w:rsidP="00F432BA">
      <w:pPr>
        <w:pStyle w:val="ECHRDecisionBody"/>
      </w:pPr>
      <w:r>
        <w:rPr>
          <w:rStyle w:val="ECHRDecisionBody"/>
        </w:rPr>
        <w:tab/>
        <w:t xml:space="preserve">Ангелика </w:t>
      </w:r>
      <w:proofErr w:type="spellStart"/>
      <w:r>
        <w:rPr>
          <w:rStyle w:val="ECHRDecisionBody"/>
        </w:rPr>
        <w:t>Нусбергер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Angelika</w:t>
      </w:r>
      <w:proofErr w:type="spellEnd"/>
      <w:r>
        <w:rPr>
          <w:rStyle w:val="ECHRDecisionBody"/>
        </w:rPr>
        <w:t xml:space="preserve"> Nußberger), </w:t>
      </w:r>
      <w:r>
        <w:rPr>
          <w:rStyle w:val="ECHRDecisionBody"/>
          <w:i/>
        </w:rPr>
        <w:t>председател,</w:t>
      </w:r>
      <w:r>
        <w:br/>
      </w:r>
      <w:r>
        <w:rPr>
          <w:rStyle w:val="ECHRDecisionBody"/>
        </w:rPr>
        <w:tab/>
        <w:t xml:space="preserve">Ерик </w:t>
      </w:r>
      <w:proofErr w:type="spellStart"/>
      <w:r>
        <w:rPr>
          <w:rStyle w:val="ECHRDecisionBody"/>
        </w:rPr>
        <w:t>Мьозе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Erik</w:t>
      </w:r>
      <w:proofErr w:type="spellEnd"/>
      <w:r>
        <w:rPr>
          <w:rStyle w:val="ECHRDecisionBody"/>
        </w:rPr>
        <w:t xml:space="preserve"> Møse),</w:t>
      </w:r>
      <w:r>
        <w:br/>
      </w:r>
      <w:r>
        <w:rPr>
          <w:rStyle w:val="ECHRDecisionBody"/>
        </w:rPr>
        <w:tab/>
        <w:t>Йонко Грозев (</w:t>
      </w:r>
      <w:proofErr w:type="spellStart"/>
      <w:r>
        <w:rPr>
          <w:rStyle w:val="ECHRDecisionBody"/>
        </w:rPr>
        <w:t>Yonko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Grozev</w:t>
      </w:r>
      <w:proofErr w:type="spellEnd"/>
      <w:r>
        <w:rPr>
          <w:rStyle w:val="ECHRDecisionBody"/>
        </w:rPr>
        <w:t>),</w:t>
      </w:r>
      <w:r>
        <w:br/>
      </w:r>
      <w:r>
        <w:rPr>
          <w:rStyle w:val="ECHRDecisionBody"/>
        </w:rPr>
        <w:tab/>
      </w:r>
      <w:proofErr w:type="spellStart"/>
      <w:r>
        <w:rPr>
          <w:rStyle w:val="ECHRDecisionBody"/>
        </w:rPr>
        <w:t>Шифра</w:t>
      </w:r>
      <w:proofErr w:type="spellEnd"/>
      <w:r>
        <w:rPr>
          <w:rStyle w:val="ECHRDecisionBody"/>
        </w:rPr>
        <w:t xml:space="preserve"> О</w:t>
      </w:r>
      <w:r>
        <w:rPr>
          <w:rStyle w:val="ECHRDecisionBody"/>
          <w:cs/>
        </w:rPr>
        <w:t>’</w:t>
      </w:r>
      <w:proofErr w:type="spellStart"/>
      <w:r>
        <w:rPr>
          <w:rStyle w:val="ECHRDecisionBody"/>
        </w:rPr>
        <w:t>Лиъри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Síofra</w:t>
      </w:r>
      <w:proofErr w:type="spellEnd"/>
      <w:r>
        <w:rPr>
          <w:rStyle w:val="ECHRDecisionBody"/>
        </w:rPr>
        <w:t xml:space="preserve"> O</w:t>
      </w:r>
      <w:r>
        <w:rPr>
          <w:rStyle w:val="ECHRDecisionBody"/>
          <w:cs/>
        </w:rPr>
        <w:t>’</w:t>
      </w:r>
      <w:r>
        <w:rPr>
          <w:rStyle w:val="ECHRDecisionBody"/>
        </w:rPr>
        <w:t>Leary,</w:t>
      </w:r>
      <w:r>
        <w:br/>
      </w:r>
      <w:r>
        <w:rPr>
          <w:rStyle w:val="ECHRDecisionBody"/>
        </w:rPr>
        <w:tab/>
        <w:t xml:space="preserve">Мартинш </w:t>
      </w:r>
      <w:proofErr w:type="spellStart"/>
      <w:r>
        <w:rPr>
          <w:rStyle w:val="ECHRDecisionBody"/>
        </w:rPr>
        <w:t>Митс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Mārtiņš</w:t>
      </w:r>
      <w:proofErr w:type="spellEnd"/>
      <w:r>
        <w:rPr>
          <w:rStyle w:val="ECHRDecisionBody"/>
        </w:rPr>
        <w:t xml:space="preserve"> Mits),</w:t>
      </w:r>
      <w:r>
        <w:br/>
      </w:r>
      <w:r>
        <w:rPr>
          <w:rStyle w:val="ECHRDecisionBody"/>
        </w:rPr>
        <w:tab/>
        <w:t>Летиф Хюсеинов (Lәtif Hüseynov),</w:t>
      </w:r>
      <w:r>
        <w:br/>
      </w:r>
      <w:r>
        <w:rPr>
          <w:rStyle w:val="ECHRDecisionBody"/>
        </w:rPr>
        <w:tab/>
        <w:t>Ладо Чантурия (Lado Chanturia),</w:t>
      </w:r>
      <w:r>
        <w:rPr>
          <w:rStyle w:val="ECHRDecisionBody"/>
          <w:i/>
        </w:rPr>
        <w:t xml:space="preserve"> съдии,</w:t>
      </w:r>
      <w:r>
        <w:br/>
      </w:r>
      <w:r>
        <w:rPr>
          <w:rStyle w:val="ECHRDecisionBody"/>
        </w:rPr>
        <w:t xml:space="preserve">и </w:t>
      </w:r>
      <w:proofErr w:type="spellStart"/>
      <w:r>
        <w:rPr>
          <w:rStyle w:val="ECHRDecisionBody"/>
        </w:rPr>
        <w:t>Клаудия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Вестердик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Claudia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Westerdiek</w:t>
      </w:r>
      <w:proofErr w:type="spellEnd"/>
      <w:r>
        <w:rPr>
          <w:rStyle w:val="ECHRDecisionBody"/>
        </w:rPr>
        <w:t xml:space="preserve">), </w:t>
      </w:r>
      <w:r>
        <w:rPr>
          <w:rStyle w:val="ECHRDecisionBody"/>
          <w:i/>
        </w:rPr>
        <w:t>секретар на отделението,</w:t>
      </w:r>
    </w:p>
    <w:p w:rsidR="00F432BA" w:rsidRPr="00267487" w:rsidRDefault="00F432BA" w:rsidP="00F432BA">
      <w:pPr>
        <w:pStyle w:val="ECHRPara"/>
      </w:pPr>
      <w:r>
        <w:rPr>
          <w:rStyle w:val="ECHRPara"/>
          <w:szCs w:val="22"/>
        </w:rPr>
        <w:t>След закрито заседание, проведено на 13 март 2018 г.,</w:t>
      </w:r>
    </w:p>
    <w:p w:rsidR="00F432BA" w:rsidRPr="00267487" w:rsidRDefault="00F432BA" w:rsidP="00F432BA">
      <w:pPr>
        <w:pStyle w:val="ECHRPara"/>
      </w:pPr>
      <w:r>
        <w:rPr>
          <w:rStyle w:val="ECHRPara"/>
          <w:szCs w:val="22"/>
        </w:rPr>
        <w:t xml:space="preserve">Постановява следното решение, прието на </w:t>
      </w:r>
      <w:r w:rsidR="00797308">
        <w:rPr>
          <w:rStyle w:val="ECHRPara"/>
          <w:szCs w:val="22"/>
        </w:rPr>
        <w:t xml:space="preserve">същата </w:t>
      </w:r>
      <w:r>
        <w:rPr>
          <w:rStyle w:val="ECHRPara"/>
          <w:szCs w:val="22"/>
        </w:rPr>
        <w:t>дата:</w:t>
      </w:r>
    </w:p>
    <w:p w:rsidR="00F432BA" w:rsidRPr="00267487" w:rsidRDefault="00F432BA" w:rsidP="00F432BA">
      <w:pPr>
        <w:pStyle w:val="ECHRTitle1"/>
      </w:pPr>
      <w:r>
        <w:rPr>
          <w:rStyle w:val="ECHRTitle1"/>
        </w:rPr>
        <w:t>ПРОЦЕДУРА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1</w:t>
      </w:r>
      <w:r>
        <w:fldChar w:fldCharType="end"/>
      </w:r>
      <w:r>
        <w:rPr>
          <w:rStyle w:val="ECHRPara"/>
          <w:szCs w:val="22"/>
        </w:rPr>
        <w:t>.  Делото е образувано по жалба (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>15074/08) срещу Република България, подадена в Съда на основание чл. 34 от Конвенцията за защита на правата на човека и основните свободи (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>Конвенцията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 xml:space="preserve">) от български граждани, г-н Цанко Тодоров </w:t>
      </w:r>
      <w:proofErr w:type="spellStart"/>
      <w:r>
        <w:rPr>
          <w:rStyle w:val="ECHRPara"/>
          <w:szCs w:val="22"/>
        </w:rPr>
        <w:t>Докторов</w:t>
      </w:r>
      <w:proofErr w:type="spellEnd"/>
      <w:r>
        <w:rPr>
          <w:rStyle w:val="ECHRPara"/>
          <w:szCs w:val="22"/>
        </w:rPr>
        <w:t xml:space="preserve"> (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>жалбоподателя</w:t>
      </w:r>
      <w:r w:rsidR="0095480E">
        <w:rPr>
          <w:rStyle w:val="ECHRPara"/>
          <w:szCs w:val="22"/>
        </w:rPr>
        <w:t>т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>), на 18 февруари 2008 г.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2</w:t>
      </w:r>
      <w:r>
        <w:fldChar w:fldCharType="end"/>
      </w:r>
      <w:r>
        <w:rPr>
          <w:rStyle w:val="ECHRPara"/>
          <w:szCs w:val="22"/>
        </w:rPr>
        <w:t>.  Жалбоподателят се представлява от г-н Т. Вълчев, адвокат, практикуващ във Варна. Българското правителство (</w:t>
      </w:r>
      <w:r>
        <w:rPr>
          <w:rStyle w:val="ECHRPara"/>
          <w:szCs w:val="22"/>
          <w:cs/>
        </w:rPr>
        <w:t>„</w:t>
      </w:r>
      <w:r>
        <w:rPr>
          <w:rStyle w:val="ECHRPara"/>
          <w:szCs w:val="22"/>
        </w:rPr>
        <w:t>Правителството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>) се представлява от правителствения агент г-жа Р. Николова от Министерство на правосъдието.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3</w:t>
      </w:r>
      <w:r>
        <w:fldChar w:fldCharType="end"/>
      </w:r>
      <w:r>
        <w:rPr>
          <w:rStyle w:val="ECHRPara"/>
          <w:szCs w:val="22"/>
        </w:rPr>
        <w:t>.  Жалбоподателят твърди, че е било невъзможно за него както от правна гледна точка, така и на практика, да оспори бащинството на дете, родено по време на брака му с майката на детето.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4</w:t>
      </w:r>
      <w:r>
        <w:fldChar w:fldCharType="end"/>
      </w:r>
      <w:r>
        <w:rPr>
          <w:rStyle w:val="ECHRPara"/>
          <w:szCs w:val="22"/>
        </w:rPr>
        <w:t xml:space="preserve">.  На 7 декември 2016 г. </w:t>
      </w:r>
      <w:r w:rsidR="00797308">
        <w:rPr>
          <w:rStyle w:val="ECHRPara"/>
          <w:szCs w:val="22"/>
        </w:rPr>
        <w:t>Пр</w:t>
      </w:r>
      <w:r w:rsidR="0095480E">
        <w:rPr>
          <w:rStyle w:val="ECHRPara"/>
          <w:szCs w:val="22"/>
        </w:rPr>
        <w:t>а</w:t>
      </w:r>
      <w:r w:rsidR="00797308">
        <w:rPr>
          <w:rStyle w:val="ECHRPara"/>
          <w:szCs w:val="22"/>
        </w:rPr>
        <w:t>вителството е уведомено</w:t>
      </w:r>
      <w:r>
        <w:rPr>
          <w:rStyle w:val="ECHRPara"/>
          <w:szCs w:val="22"/>
        </w:rPr>
        <w:t xml:space="preserve"> </w:t>
      </w:r>
      <w:r w:rsidR="00797308">
        <w:rPr>
          <w:rStyle w:val="ECHRPara"/>
          <w:szCs w:val="22"/>
        </w:rPr>
        <w:t xml:space="preserve">за </w:t>
      </w:r>
      <w:r w:rsidR="00804129">
        <w:rPr>
          <w:rStyle w:val="ECHRPara"/>
          <w:szCs w:val="22"/>
        </w:rPr>
        <w:t>оплакването</w:t>
      </w:r>
      <w:r>
        <w:rPr>
          <w:rStyle w:val="ECHRPara"/>
          <w:szCs w:val="22"/>
        </w:rPr>
        <w:t xml:space="preserve">, а останалата част от </w:t>
      </w:r>
      <w:r w:rsidRPr="00804129">
        <w:rPr>
          <w:rStyle w:val="ECHRPara"/>
          <w:szCs w:val="22"/>
        </w:rPr>
        <w:t>жалбата</w:t>
      </w:r>
      <w:r>
        <w:rPr>
          <w:rStyle w:val="ECHRPara"/>
          <w:szCs w:val="22"/>
        </w:rPr>
        <w:t xml:space="preserve"> е обявена за недопустима съгласно </w:t>
      </w:r>
      <w:r w:rsidR="00797308">
        <w:rPr>
          <w:rStyle w:val="ECHRPara"/>
          <w:szCs w:val="22"/>
        </w:rPr>
        <w:t>п</w:t>
      </w:r>
      <w:r>
        <w:rPr>
          <w:rStyle w:val="ECHRPara"/>
          <w:szCs w:val="22"/>
        </w:rPr>
        <w:t>равило 54 § 3 от Правилника на Съда.</w:t>
      </w:r>
    </w:p>
    <w:p w:rsidR="00F432BA" w:rsidRPr="00267487" w:rsidRDefault="00F432BA" w:rsidP="00F432BA">
      <w:pPr>
        <w:pStyle w:val="ECHRTitle1"/>
      </w:pPr>
      <w:r>
        <w:rPr>
          <w:rStyle w:val="ECHRTitle1"/>
        </w:rPr>
        <w:t>ФАКТИТЕ</w:t>
      </w:r>
    </w:p>
    <w:p w:rsidR="00F432BA" w:rsidRPr="00267487" w:rsidRDefault="00F432BA" w:rsidP="00F432BA">
      <w:pPr>
        <w:pStyle w:val="ECHRHeading1"/>
      </w:pPr>
      <w:r>
        <w:rPr>
          <w:rStyle w:val="ECHRHeading1"/>
        </w:rPr>
        <w:t>I.  ОБСТОЯТЕЛСТВА ПО ДЕЛОТО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5</w:t>
      </w:r>
      <w:r>
        <w:fldChar w:fldCharType="end"/>
      </w:r>
      <w:r>
        <w:rPr>
          <w:rStyle w:val="ECHRPara"/>
          <w:szCs w:val="22"/>
        </w:rPr>
        <w:t>.  Жалбоподателят е роден през 1973 г. и живее във Варна.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6</w:t>
      </w:r>
      <w:r>
        <w:fldChar w:fldCharType="end"/>
      </w:r>
      <w:r>
        <w:rPr>
          <w:rStyle w:val="ECHRPara"/>
          <w:szCs w:val="22"/>
        </w:rPr>
        <w:t xml:space="preserve">.  Жалбоподателят и съпругата му се развеждат на 21 август 2006 г. </w:t>
      </w:r>
      <w:r w:rsidR="007729C3">
        <w:rPr>
          <w:rStyle w:val="ECHRPara"/>
          <w:szCs w:val="22"/>
        </w:rPr>
        <w:t xml:space="preserve"> с</w:t>
      </w:r>
      <w:r>
        <w:rPr>
          <w:rStyle w:val="ECHRPara"/>
          <w:szCs w:val="22"/>
        </w:rPr>
        <w:t xml:space="preserve"> одобрено от съда споразумение. Съгласно условията на това споразумение, жалбоподателят се ангажира да изплаща </w:t>
      </w:r>
      <w:r w:rsidRPr="00AF69F6">
        <w:rPr>
          <w:rStyle w:val="ECHRPara"/>
          <w:szCs w:val="22"/>
        </w:rPr>
        <w:t xml:space="preserve">издръжка </w:t>
      </w:r>
      <w:r>
        <w:rPr>
          <w:rStyle w:val="ECHRPara"/>
          <w:szCs w:val="22"/>
        </w:rPr>
        <w:t xml:space="preserve">на </w:t>
      </w:r>
      <w:r>
        <w:rPr>
          <w:rStyle w:val="ECHRPara"/>
          <w:szCs w:val="22"/>
        </w:rPr>
        <w:lastRenderedPageBreak/>
        <w:t>двете деца, родени по време на брака и се съгласява съпругата му да запази фамилното име след развода.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7</w:t>
      </w:r>
      <w:r>
        <w:fldChar w:fldCharType="end"/>
      </w:r>
      <w:r>
        <w:rPr>
          <w:rStyle w:val="ECHRPara"/>
          <w:szCs w:val="22"/>
        </w:rPr>
        <w:t xml:space="preserve">.  Впоследствие жалбоподателят научава, че бившата му съпруга е заченала второто им дете, родено през 2003 г., в резултат на връзка с друг мъж по време на брака си с жалбоподателя. Жалбоподателят </w:t>
      </w:r>
      <w:r w:rsidR="00313C58">
        <w:rPr>
          <w:rStyle w:val="ECHRPara"/>
          <w:szCs w:val="22"/>
        </w:rPr>
        <w:t xml:space="preserve">се подлага на </w:t>
      </w:r>
      <w:r>
        <w:rPr>
          <w:rStyle w:val="ECHRPara"/>
          <w:szCs w:val="22"/>
        </w:rPr>
        <w:t xml:space="preserve">ДНК тест, за да определи дали той е бащата на по-малкото дете. ДНК тестът </w:t>
      </w:r>
      <w:r>
        <w:rPr>
          <w:rStyle w:val="ECHRPara"/>
          <w:szCs w:val="22"/>
          <w:cs/>
        </w:rPr>
        <w:t xml:space="preserve">‒ </w:t>
      </w:r>
      <w:r>
        <w:rPr>
          <w:rStyle w:val="ECHRPara"/>
          <w:szCs w:val="22"/>
        </w:rPr>
        <w:t xml:space="preserve">резултатът от който жалбоподателят получава на 15 януари 2007 г. </w:t>
      </w:r>
      <w:r>
        <w:rPr>
          <w:rStyle w:val="ECHRPara"/>
          <w:szCs w:val="22"/>
          <w:cs/>
        </w:rPr>
        <w:t xml:space="preserve">‒ </w:t>
      </w:r>
      <w:r>
        <w:rPr>
          <w:rStyle w:val="ECHRPara"/>
          <w:szCs w:val="22"/>
        </w:rPr>
        <w:t xml:space="preserve">установява, че той не е биологичният баща на второто дете. </w:t>
      </w:r>
      <w:r w:rsidR="001E1DCB">
        <w:rPr>
          <w:rStyle w:val="ECHRPara"/>
          <w:szCs w:val="22"/>
        </w:rPr>
        <w:t>В нито един момент р</w:t>
      </w:r>
      <w:r>
        <w:rPr>
          <w:rStyle w:val="ECHRPara"/>
          <w:szCs w:val="22"/>
        </w:rPr>
        <w:t xml:space="preserve">езултатите от този ДНК тест не </w:t>
      </w:r>
      <w:r w:rsidR="001E1DCB">
        <w:rPr>
          <w:rStyle w:val="ECHRPara"/>
          <w:szCs w:val="22"/>
        </w:rPr>
        <w:t>са</w:t>
      </w:r>
      <w:r w:rsidR="007729C3">
        <w:rPr>
          <w:rStyle w:val="ECHRPara"/>
          <w:szCs w:val="22"/>
        </w:rPr>
        <w:t xml:space="preserve"> </w:t>
      </w:r>
      <w:r w:rsidR="001E1DCB">
        <w:rPr>
          <w:rStyle w:val="ECHRPara"/>
          <w:szCs w:val="22"/>
        </w:rPr>
        <w:t>разгле</w:t>
      </w:r>
      <w:r w:rsidR="007729C3">
        <w:rPr>
          <w:rStyle w:val="ECHRPara"/>
          <w:szCs w:val="22"/>
        </w:rPr>
        <w:t>ж</w:t>
      </w:r>
      <w:r w:rsidR="001E1DCB">
        <w:rPr>
          <w:rStyle w:val="ECHRPara"/>
          <w:szCs w:val="22"/>
        </w:rPr>
        <w:t>дани</w:t>
      </w:r>
      <w:r>
        <w:rPr>
          <w:rStyle w:val="ECHRPara"/>
          <w:szCs w:val="22"/>
        </w:rPr>
        <w:t xml:space="preserve"> от съда </w:t>
      </w:r>
      <w:r w:rsidRPr="0012524C">
        <w:rPr>
          <w:rStyle w:val="ECHRPara"/>
          <w:szCs w:val="22"/>
        </w:rPr>
        <w:t>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8</w:t>
      </w:r>
      <w:r>
        <w:fldChar w:fldCharType="end"/>
      </w:r>
      <w:r>
        <w:rPr>
          <w:rStyle w:val="ECHRPara"/>
          <w:szCs w:val="22"/>
        </w:rPr>
        <w:t xml:space="preserve">.  Скоро след това, през месец февруари 2007 г., жалбоподателят предявява граждански иск пред съда, като иска да оспори </w:t>
      </w:r>
      <w:r w:rsidRPr="00906308">
        <w:rPr>
          <w:rStyle w:val="ECHRPara"/>
          <w:szCs w:val="22"/>
        </w:rPr>
        <w:t xml:space="preserve">бащинството си </w:t>
      </w:r>
      <w:r w:rsidR="00793746" w:rsidRPr="00906308">
        <w:rPr>
          <w:rStyle w:val="ECHRPara"/>
          <w:szCs w:val="22"/>
        </w:rPr>
        <w:t xml:space="preserve">по отношение </w:t>
      </w:r>
      <w:r w:rsidR="00906308" w:rsidRPr="00906308">
        <w:rPr>
          <w:rStyle w:val="ECHRPara"/>
          <w:szCs w:val="22"/>
        </w:rPr>
        <w:t xml:space="preserve">на </w:t>
      </w:r>
      <w:r w:rsidRPr="00906308">
        <w:rPr>
          <w:rStyle w:val="ECHRPara"/>
          <w:szCs w:val="22"/>
        </w:rPr>
        <w:t>въпросното дете. На 1 март 2007 г. Окръжен</w:t>
      </w:r>
      <w:r>
        <w:rPr>
          <w:rStyle w:val="ECHRPara"/>
          <w:szCs w:val="22"/>
        </w:rPr>
        <w:t xml:space="preserve"> съд - Варна отхвърля молбата му, като констатира, че </w:t>
      </w:r>
      <w:r w:rsidR="007729C3">
        <w:rPr>
          <w:rStyle w:val="ECHRPara"/>
          <w:szCs w:val="22"/>
        </w:rPr>
        <w:t>същата е просрочена</w:t>
      </w:r>
      <w:r w:rsidRPr="00EC3F00">
        <w:rPr>
          <w:rStyle w:val="ECHRPara"/>
          <w:szCs w:val="22"/>
        </w:rPr>
        <w:t xml:space="preserve"> поради изтичането </w:t>
      </w:r>
      <w:r w:rsidRPr="00EC3F00">
        <w:rPr>
          <w:rStyle w:val="ECHRPara"/>
          <w:szCs w:val="22"/>
          <w:cs/>
        </w:rPr>
        <w:t xml:space="preserve">– </w:t>
      </w:r>
      <w:r w:rsidRPr="00EC3F00">
        <w:rPr>
          <w:rStyle w:val="ECHRPara"/>
          <w:szCs w:val="22"/>
        </w:rPr>
        <w:t xml:space="preserve">през 2004 г. </w:t>
      </w:r>
      <w:r w:rsidRPr="00EC3F00">
        <w:rPr>
          <w:rStyle w:val="ECHRPara"/>
          <w:szCs w:val="22"/>
          <w:cs/>
        </w:rPr>
        <w:t xml:space="preserve">– </w:t>
      </w:r>
      <w:r w:rsidRPr="00EC3F00">
        <w:rPr>
          <w:rStyle w:val="ECHRPara"/>
          <w:szCs w:val="22"/>
        </w:rPr>
        <w:t xml:space="preserve">на </w:t>
      </w:r>
      <w:r w:rsidR="00EC3F00" w:rsidRPr="00EC3F00">
        <w:rPr>
          <w:rStyle w:val="ECHRPara"/>
          <w:szCs w:val="22"/>
        </w:rPr>
        <w:t xml:space="preserve">преклузивния </w:t>
      </w:r>
      <w:r w:rsidRPr="00EC3F00">
        <w:rPr>
          <w:rStyle w:val="ECHRPara"/>
          <w:szCs w:val="22"/>
        </w:rPr>
        <w:t xml:space="preserve">срок от една година, </w:t>
      </w:r>
      <w:r w:rsidR="000F6EFA" w:rsidRPr="00EC3F00">
        <w:rPr>
          <w:rStyle w:val="ECHRPara"/>
          <w:szCs w:val="22"/>
        </w:rPr>
        <w:t>който започва да</w:t>
      </w:r>
      <w:r w:rsidR="000F6EFA">
        <w:rPr>
          <w:rStyle w:val="ECHRPara"/>
          <w:szCs w:val="22"/>
        </w:rPr>
        <w:t xml:space="preserve"> тече</w:t>
      </w:r>
      <w:r w:rsidR="0095480E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 xml:space="preserve">от раждането на детето или от </w:t>
      </w:r>
      <w:r w:rsidR="000F6EFA">
        <w:rPr>
          <w:rStyle w:val="ECHRPara"/>
          <w:szCs w:val="22"/>
        </w:rPr>
        <w:t xml:space="preserve">узнаването </w:t>
      </w:r>
      <w:r>
        <w:rPr>
          <w:rStyle w:val="ECHRPara"/>
          <w:szCs w:val="22"/>
        </w:rPr>
        <w:t xml:space="preserve">за това (вж. раздел </w:t>
      </w:r>
      <w:r>
        <w:rPr>
          <w:rStyle w:val="ECHRPara"/>
          <w:szCs w:val="22"/>
          <w:cs/>
        </w:rPr>
        <w:t>“</w:t>
      </w:r>
      <w:r>
        <w:rPr>
          <w:rStyle w:val="ECHRPara"/>
          <w:szCs w:val="22"/>
        </w:rPr>
        <w:t>Приложимо вътрешно право и практика</w:t>
      </w:r>
      <w:r>
        <w:rPr>
          <w:rStyle w:val="ECHRPara"/>
          <w:szCs w:val="22"/>
          <w:cs/>
        </w:rPr>
        <w:t xml:space="preserve">” </w:t>
      </w:r>
      <w:r>
        <w:rPr>
          <w:rStyle w:val="ECHRPara"/>
          <w:szCs w:val="22"/>
        </w:rPr>
        <w:t>по-долу). Тази констатация е потвърдена от две</w:t>
      </w:r>
      <w:r w:rsidR="007729C3">
        <w:rPr>
          <w:rStyle w:val="ECHRPara"/>
          <w:szCs w:val="22"/>
        </w:rPr>
        <w:t>те</w:t>
      </w:r>
      <w:r>
        <w:rPr>
          <w:rStyle w:val="ECHRPara"/>
          <w:szCs w:val="22"/>
        </w:rPr>
        <w:t xml:space="preserve"> по-</w:t>
      </w:r>
      <w:r w:rsidR="007729C3">
        <w:rPr>
          <w:rStyle w:val="ECHRPara"/>
          <w:szCs w:val="22"/>
        </w:rPr>
        <w:t>горни</w:t>
      </w:r>
      <w:r>
        <w:rPr>
          <w:rStyle w:val="ECHRPara"/>
          <w:szCs w:val="22"/>
        </w:rPr>
        <w:t xml:space="preserve"> съдебни инстанции, като окончателното решение е постановено от Върховния касационен съд на 19 септември 2007 г.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9</w:t>
      </w:r>
      <w:r>
        <w:fldChar w:fldCharType="end"/>
      </w:r>
      <w:r>
        <w:rPr>
          <w:rStyle w:val="ECHRPara"/>
          <w:szCs w:val="22"/>
        </w:rPr>
        <w:t xml:space="preserve">.  Жалбоподателят </w:t>
      </w:r>
      <w:r w:rsidR="007729C3">
        <w:rPr>
          <w:rStyle w:val="ECHRPara"/>
          <w:szCs w:val="22"/>
        </w:rPr>
        <w:t>инициира образуването на</w:t>
      </w:r>
      <w:r>
        <w:rPr>
          <w:rStyle w:val="ECHRPara"/>
          <w:szCs w:val="22"/>
        </w:rPr>
        <w:t xml:space="preserve"> последващо производство, </w:t>
      </w:r>
      <w:r w:rsidR="007729C3">
        <w:rPr>
          <w:rStyle w:val="ECHRPara"/>
          <w:szCs w:val="22"/>
        </w:rPr>
        <w:t>чийто предмет е</w:t>
      </w:r>
      <w:r>
        <w:rPr>
          <w:rStyle w:val="ECHRPara"/>
          <w:szCs w:val="22"/>
        </w:rPr>
        <w:t xml:space="preserve"> сп</w:t>
      </w:r>
      <w:r w:rsidR="007729C3">
        <w:rPr>
          <w:rStyle w:val="ECHRPara"/>
          <w:szCs w:val="22"/>
        </w:rPr>
        <w:t>и</w:t>
      </w:r>
      <w:r>
        <w:rPr>
          <w:rStyle w:val="ECHRPara"/>
          <w:szCs w:val="22"/>
        </w:rPr>
        <w:t>р</w:t>
      </w:r>
      <w:r w:rsidR="007729C3">
        <w:rPr>
          <w:rStyle w:val="ECHRPara"/>
          <w:szCs w:val="22"/>
        </w:rPr>
        <w:t>ан</w:t>
      </w:r>
      <w:r>
        <w:rPr>
          <w:rStyle w:val="ECHRPara"/>
          <w:szCs w:val="22"/>
        </w:rPr>
        <w:t>е изплаща</w:t>
      </w:r>
      <w:r w:rsidR="007729C3">
        <w:rPr>
          <w:rStyle w:val="ECHRPara"/>
          <w:szCs w:val="22"/>
        </w:rPr>
        <w:t>нето на</w:t>
      </w:r>
      <w:r>
        <w:rPr>
          <w:rStyle w:val="ECHRPara"/>
          <w:szCs w:val="22"/>
        </w:rPr>
        <w:t xml:space="preserve"> издръжка на второто дете. На 20 май 2008 г. искът му е отхвърлен от Районен съд - Варна, който констатира, че не е доказано, че жалбоподателят не е бащата на детето, тъй като не е </w:t>
      </w:r>
      <w:r w:rsidR="007729C3">
        <w:rPr>
          <w:rStyle w:val="ECHRPara"/>
          <w:szCs w:val="22"/>
        </w:rPr>
        <w:t>оборена</w:t>
      </w:r>
      <w:r w:rsidR="00E737B4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>правната презумпция по чл. 32(1) от Семейния кодекс от 1985 г. (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>Кодекс</w:t>
      </w:r>
      <w:r w:rsidR="00E737B4">
        <w:rPr>
          <w:rStyle w:val="ECHRPara"/>
          <w:szCs w:val="22"/>
        </w:rPr>
        <w:t>ът</w:t>
      </w:r>
      <w:r>
        <w:rPr>
          <w:rStyle w:val="ECHRPara"/>
          <w:szCs w:val="22"/>
        </w:rPr>
        <w:t xml:space="preserve"> от 1985 г.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>).</w:t>
      </w:r>
    </w:p>
    <w:p w:rsidR="00F432BA" w:rsidRPr="00267487" w:rsidRDefault="00F432BA" w:rsidP="00F432BA">
      <w:pPr>
        <w:pStyle w:val="ECHRHeading1"/>
      </w:pPr>
      <w:r>
        <w:rPr>
          <w:rStyle w:val="ECHRHeading1"/>
        </w:rPr>
        <w:t>II.  ПРИЛОЖИМО ВЪТРЕШНО ПРАВО И ПРАКТИКА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10</w:t>
      </w:r>
      <w:r>
        <w:fldChar w:fldCharType="end"/>
      </w:r>
      <w:r>
        <w:rPr>
          <w:rStyle w:val="ECHRPara"/>
          <w:szCs w:val="22"/>
        </w:rPr>
        <w:t>.  Приложимото право към онзи момент е Кодексът от 1985 г. Съгласно чл. 32(1), съпругът на майката се счита за баща на дете</w:t>
      </w:r>
      <w:r w:rsidR="00530AFE">
        <w:rPr>
          <w:rStyle w:val="ECHRPara"/>
          <w:szCs w:val="22"/>
        </w:rPr>
        <w:t>то</w:t>
      </w:r>
      <w:r>
        <w:rPr>
          <w:rStyle w:val="ECHRPara"/>
          <w:szCs w:val="22"/>
        </w:rPr>
        <w:t xml:space="preserve">, родено </w:t>
      </w:r>
      <w:r w:rsidR="00530AFE">
        <w:rPr>
          <w:rStyle w:val="ECHRPara"/>
          <w:szCs w:val="22"/>
        </w:rPr>
        <w:t xml:space="preserve">през </w:t>
      </w:r>
      <w:r>
        <w:rPr>
          <w:rStyle w:val="ECHRPara"/>
          <w:szCs w:val="22"/>
        </w:rPr>
        <w:t>време на брака или преди изтичането на триста дни от неговото прекратяване. Съгласно чл. 33(1), съпругът на майката</w:t>
      </w:r>
      <w:r w:rsidR="00530AFE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>може да оспори</w:t>
      </w:r>
      <w:r w:rsidR="00530AFE">
        <w:rPr>
          <w:rStyle w:val="ECHRPara"/>
          <w:szCs w:val="22"/>
        </w:rPr>
        <w:t>, че е баща на</w:t>
      </w:r>
      <w:r w:rsidR="009A6737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 xml:space="preserve">детето, като докаже, че </w:t>
      </w:r>
      <w:r w:rsidR="00530AFE">
        <w:rPr>
          <w:rStyle w:val="ECHRPara"/>
          <w:szCs w:val="22"/>
        </w:rPr>
        <w:t xml:space="preserve">то </w:t>
      </w:r>
      <w:r>
        <w:rPr>
          <w:rStyle w:val="ECHRPara"/>
          <w:szCs w:val="22"/>
        </w:rPr>
        <w:t xml:space="preserve">не </w:t>
      </w:r>
      <w:r w:rsidR="00530AFE">
        <w:rPr>
          <w:rStyle w:val="ECHRPara"/>
          <w:szCs w:val="22"/>
        </w:rPr>
        <w:t xml:space="preserve">е </w:t>
      </w:r>
      <w:r>
        <w:rPr>
          <w:rStyle w:val="ECHRPara"/>
          <w:szCs w:val="22"/>
        </w:rPr>
        <w:t xml:space="preserve">могло да бъде </w:t>
      </w:r>
      <w:r w:rsidR="00530AFE">
        <w:rPr>
          <w:rStyle w:val="ECHRPara"/>
          <w:szCs w:val="22"/>
        </w:rPr>
        <w:t xml:space="preserve">заченато </w:t>
      </w:r>
      <w:r>
        <w:rPr>
          <w:rStyle w:val="ECHRPara"/>
          <w:szCs w:val="22"/>
        </w:rPr>
        <w:t xml:space="preserve">от него. </w:t>
      </w:r>
      <w:r w:rsidR="00530AFE">
        <w:rPr>
          <w:rStyle w:val="ECHRPara"/>
          <w:szCs w:val="22"/>
        </w:rPr>
        <w:t xml:space="preserve">Този </w:t>
      </w:r>
      <w:r>
        <w:rPr>
          <w:rStyle w:val="ECHRPara"/>
          <w:szCs w:val="22"/>
        </w:rPr>
        <w:t xml:space="preserve">иск може да бъде </w:t>
      </w:r>
      <w:r w:rsidR="00530AFE">
        <w:rPr>
          <w:rStyle w:val="ECHRPara"/>
          <w:szCs w:val="22"/>
        </w:rPr>
        <w:t>предявен до изтичането на</w:t>
      </w:r>
      <w:r>
        <w:rPr>
          <w:rStyle w:val="ECHRPara"/>
          <w:szCs w:val="22"/>
        </w:rPr>
        <w:t xml:space="preserve"> една година от </w:t>
      </w:r>
      <w:r w:rsidR="00530AFE">
        <w:rPr>
          <w:rStyle w:val="ECHRPara"/>
          <w:szCs w:val="22"/>
        </w:rPr>
        <w:t>узнаване на</w:t>
      </w:r>
      <w:r>
        <w:rPr>
          <w:rStyle w:val="ECHRPara"/>
          <w:szCs w:val="22"/>
        </w:rPr>
        <w:t xml:space="preserve"> раждането.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11</w:t>
      </w:r>
      <w:r>
        <w:fldChar w:fldCharType="end"/>
      </w:r>
      <w:r>
        <w:rPr>
          <w:rStyle w:val="ECHRPara"/>
          <w:szCs w:val="22"/>
        </w:rPr>
        <w:t>.  Съгласно чл. 303(1) (7) от Гражданския процесуален кодекс от 2007 г. (ГПК от 2007 г.), гражданско производство може да бъде възобновен</w:t>
      </w:r>
      <w:r w:rsidR="00AE3340">
        <w:rPr>
          <w:rStyle w:val="ECHRPara"/>
          <w:szCs w:val="22"/>
        </w:rPr>
        <w:t>о</w:t>
      </w:r>
      <w:r>
        <w:rPr>
          <w:rStyle w:val="ECHRPara"/>
          <w:szCs w:val="22"/>
        </w:rPr>
        <w:t>, когато  Европейския съд по правата на човека</w:t>
      </w:r>
      <w:r w:rsidR="008E2839">
        <w:rPr>
          <w:rStyle w:val="ECHRPara"/>
          <w:szCs w:val="22"/>
        </w:rPr>
        <w:t xml:space="preserve"> с решение е</w:t>
      </w:r>
      <w:r>
        <w:rPr>
          <w:rStyle w:val="ECHRPara"/>
          <w:szCs w:val="22"/>
        </w:rPr>
        <w:t xml:space="preserve"> установи</w:t>
      </w:r>
      <w:r w:rsidR="008E2839">
        <w:rPr>
          <w:rStyle w:val="ECHRPara"/>
          <w:szCs w:val="22"/>
        </w:rPr>
        <w:t>л</w:t>
      </w:r>
      <w:r w:rsidR="00267373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 xml:space="preserve">нарушение на Конвенцията и </w:t>
      </w:r>
      <w:r w:rsidR="0082143D">
        <w:rPr>
          <w:rStyle w:val="ECHRPara"/>
          <w:szCs w:val="22"/>
        </w:rPr>
        <w:t>пре</w:t>
      </w:r>
      <w:r w:rsidR="008E2839">
        <w:rPr>
          <w:rStyle w:val="ECHRPara"/>
          <w:szCs w:val="22"/>
        </w:rPr>
        <w:t>разглеждане</w:t>
      </w:r>
      <w:r w:rsidR="0082143D">
        <w:rPr>
          <w:rStyle w:val="ECHRPara"/>
          <w:szCs w:val="22"/>
        </w:rPr>
        <w:t>то</w:t>
      </w:r>
      <w:r w:rsidR="008E2839">
        <w:rPr>
          <w:rStyle w:val="ECHRPara"/>
          <w:szCs w:val="22"/>
        </w:rPr>
        <w:t xml:space="preserve"> на делото </w:t>
      </w:r>
      <w:r>
        <w:rPr>
          <w:rStyle w:val="ECHRPara"/>
          <w:szCs w:val="22"/>
        </w:rPr>
        <w:t xml:space="preserve">е необходимо, за да се отстранят последиците от нарушението. Заинтересованата страна може да </w:t>
      </w:r>
      <w:r w:rsidRPr="00AE3340">
        <w:rPr>
          <w:rStyle w:val="ECHRPara"/>
          <w:szCs w:val="22"/>
        </w:rPr>
        <w:t>направи искане</w:t>
      </w:r>
      <w:r>
        <w:rPr>
          <w:rStyle w:val="ECHRPara"/>
          <w:szCs w:val="22"/>
        </w:rPr>
        <w:t xml:space="preserve"> за възобновяване не по-късно от </w:t>
      </w:r>
      <w:r w:rsidRPr="00906308">
        <w:rPr>
          <w:rStyle w:val="ECHRPara"/>
          <w:szCs w:val="22"/>
        </w:rPr>
        <w:t>шест</w:t>
      </w:r>
      <w:r>
        <w:rPr>
          <w:rStyle w:val="ECHRPara"/>
          <w:szCs w:val="22"/>
        </w:rPr>
        <w:t xml:space="preserve"> месеца </w:t>
      </w:r>
      <w:r w:rsidR="00407032">
        <w:rPr>
          <w:rStyle w:val="ECHRPara"/>
          <w:szCs w:val="22"/>
        </w:rPr>
        <w:t>от влизане в сила на</w:t>
      </w:r>
      <w:r>
        <w:rPr>
          <w:rStyle w:val="ECHRPara"/>
          <w:szCs w:val="22"/>
        </w:rPr>
        <w:t xml:space="preserve"> </w:t>
      </w:r>
      <w:r w:rsidR="00407032">
        <w:rPr>
          <w:rStyle w:val="ECHRPara"/>
          <w:szCs w:val="22"/>
        </w:rPr>
        <w:t xml:space="preserve">решението </w:t>
      </w:r>
      <w:r>
        <w:rPr>
          <w:rStyle w:val="ECHRPara"/>
          <w:szCs w:val="22"/>
        </w:rPr>
        <w:t xml:space="preserve">(чл. 305(2) от </w:t>
      </w:r>
      <w:r>
        <w:rPr>
          <w:rStyle w:val="ECHRPara"/>
          <w:szCs w:val="22"/>
        </w:rPr>
        <w:lastRenderedPageBreak/>
        <w:t>ГПК от 2007 г.). Искането се разглежда от Върховния касационен съд (чл. 307 от ГПК 2007).</w:t>
      </w:r>
    </w:p>
    <w:p w:rsidR="00F432BA" w:rsidRPr="00267487" w:rsidRDefault="00407032" w:rsidP="00F432BA">
      <w:pPr>
        <w:pStyle w:val="ECHRTitle1"/>
      </w:pPr>
      <w:r>
        <w:rPr>
          <w:rStyle w:val="ECHRTitle1"/>
        </w:rPr>
        <w:t>ПРАВОТО</w:t>
      </w:r>
    </w:p>
    <w:p w:rsidR="00F432BA" w:rsidRPr="00267487" w:rsidRDefault="00F432BA" w:rsidP="00F432BA">
      <w:pPr>
        <w:pStyle w:val="ECHRHeading1"/>
      </w:pPr>
      <w:r>
        <w:rPr>
          <w:rStyle w:val="ECHRHeading1"/>
        </w:rPr>
        <w:t>I. ТВЪРДЯНО НАРУШЕНИЕ НА ЧЛ. 8 ОТ КОНВЕНЦИЯТА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12</w:t>
      </w:r>
      <w:r>
        <w:fldChar w:fldCharType="end"/>
      </w:r>
      <w:r>
        <w:rPr>
          <w:rStyle w:val="ECHRPara"/>
          <w:szCs w:val="22"/>
        </w:rPr>
        <w:t xml:space="preserve">.  Жалбоподателят се оплаква, че не е могъл да </w:t>
      </w:r>
      <w:r w:rsidRPr="009A6737">
        <w:rPr>
          <w:rStyle w:val="ECHRPara"/>
          <w:szCs w:val="22"/>
        </w:rPr>
        <w:t xml:space="preserve">оспори </w:t>
      </w:r>
      <w:r w:rsidR="00A105B9">
        <w:rPr>
          <w:rStyle w:val="ECHRPara"/>
          <w:szCs w:val="22"/>
        </w:rPr>
        <w:t>правната презумпция за</w:t>
      </w:r>
      <w:r w:rsidR="001E1DCB" w:rsidRPr="009A6737">
        <w:rPr>
          <w:rStyle w:val="ECHRPara"/>
          <w:szCs w:val="22"/>
        </w:rPr>
        <w:t xml:space="preserve"> </w:t>
      </w:r>
      <w:r w:rsidRPr="009A6737">
        <w:rPr>
          <w:rStyle w:val="ECHRPara"/>
          <w:szCs w:val="22"/>
        </w:rPr>
        <w:t xml:space="preserve">бащинство </w:t>
      </w:r>
      <w:r w:rsidR="00793746" w:rsidRPr="009A6737">
        <w:rPr>
          <w:rStyle w:val="ECHRPara"/>
          <w:szCs w:val="22"/>
        </w:rPr>
        <w:t xml:space="preserve">по отношение на </w:t>
      </w:r>
      <w:r w:rsidRPr="009A6737">
        <w:rPr>
          <w:rStyle w:val="ECHRPara"/>
          <w:szCs w:val="22"/>
        </w:rPr>
        <w:t>едно о</w:t>
      </w:r>
      <w:r>
        <w:rPr>
          <w:rStyle w:val="ECHRPara"/>
          <w:szCs w:val="22"/>
        </w:rPr>
        <w:t xml:space="preserve">т децата си въпреки биологичната реалност, която показва, че той не е бащата. Той твърди, че това нарушава неговите права по чл. 8 от Конвенцията, който </w:t>
      </w:r>
      <w:r w:rsidR="00797308">
        <w:rPr>
          <w:rStyle w:val="ECHRPara"/>
          <w:szCs w:val="22"/>
        </w:rPr>
        <w:t xml:space="preserve">предвижда </w:t>
      </w:r>
      <w:r>
        <w:rPr>
          <w:rStyle w:val="ECHRPara"/>
          <w:szCs w:val="22"/>
        </w:rPr>
        <w:t>следното:</w:t>
      </w:r>
    </w:p>
    <w:p w:rsidR="00F432BA" w:rsidRPr="00267487" w:rsidRDefault="00F432BA" w:rsidP="00F432BA">
      <w:pPr>
        <w:pStyle w:val="ECHRParaQuote"/>
      </w:pPr>
      <w:r>
        <w:rPr>
          <w:rStyle w:val="ECHRParaQuote"/>
          <w:cs/>
        </w:rPr>
        <w:t>“</w:t>
      </w:r>
      <w:r>
        <w:rPr>
          <w:rStyle w:val="ECHRParaQuote"/>
        </w:rPr>
        <w:t>1.  Βсеки има право на неприкосновеност на личния и семейния си живот, на жилището и на тайната на кореспонденцията.</w:t>
      </w:r>
    </w:p>
    <w:p w:rsidR="00F432BA" w:rsidRPr="00267487" w:rsidRDefault="00F432BA" w:rsidP="00F432BA">
      <w:pPr>
        <w:pStyle w:val="ECHRParaQuote"/>
      </w:pPr>
      <w:r>
        <w:rPr>
          <w:rStyle w:val="ECHRParaQuote"/>
        </w:rPr>
        <w:t>2.  Намесата на държавните власти в упражняването на това право е недопустима, освен в случаите,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страната, за предотвратяване на безредици или престъпления, за защита на здравето и морала или на правата и свободите на другите."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13</w:t>
      </w:r>
      <w:r>
        <w:fldChar w:fldCharType="end"/>
      </w:r>
      <w:r>
        <w:rPr>
          <w:rStyle w:val="ECHRPara"/>
          <w:szCs w:val="22"/>
        </w:rPr>
        <w:t>.  Правителството оспорва този аргумент.</w:t>
      </w:r>
    </w:p>
    <w:p w:rsidR="00F432BA" w:rsidRPr="00267487" w:rsidRDefault="00F432BA" w:rsidP="00F432BA">
      <w:pPr>
        <w:pStyle w:val="ECHRHeading2"/>
      </w:pPr>
      <w:r>
        <w:rPr>
          <w:rStyle w:val="ECHRHeading2"/>
        </w:rPr>
        <w:t>A.  Допустимост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14</w:t>
      </w:r>
      <w:r>
        <w:fldChar w:fldCharType="end"/>
      </w:r>
      <w:r>
        <w:rPr>
          <w:rStyle w:val="ECHRPara"/>
          <w:szCs w:val="22"/>
        </w:rPr>
        <w:t>.  Съдът отбелязва, че оплакване</w:t>
      </w:r>
      <w:r w:rsidR="00CE3949">
        <w:rPr>
          <w:rStyle w:val="ECHRPara"/>
          <w:szCs w:val="22"/>
        </w:rPr>
        <w:t>то</w:t>
      </w:r>
      <w:r>
        <w:rPr>
          <w:rStyle w:val="ECHRPara"/>
          <w:szCs w:val="22"/>
        </w:rPr>
        <w:t xml:space="preserve"> не е явно необосновано по смисъла на чл. 35 § 3(а) от Конвенцията. Той отбелязва още, че то не е недопустимо на други основания. Следователно </w:t>
      </w:r>
      <w:r w:rsidR="00A105B9">
        <w:rPr>
          <w:rStyle w:val="ECHRPara"/>
          <w:szCs w:val="22"/>
        </w:rPr>
        <w:t>също</w:t>
      </w:r>
      <w:r>
        <w:rPr>
          <w:rStyle w:val="ECHRPara"/>
          <w:szCs w:val="22"/>
        </w:rPr>
        <w:t>то трябва да бъде обявено за допустимо.</w:t>
      </w:r>
    </w:p>
    <w:p w:rsidR="00F432BA" w:rsidRPr="00267487" w:rsidRDefault="00F432BA" w:rsidP="00F432BA">
      <w:pPr>
        <w:pStyle w:val="ECHRHeading2"/>
      </w:pPr>
      <w:r>
        <w:rPr>
          <w:rStyle w:val="ECHRHeading2"/>
        </w:rPr>
        <w:t>Б. Основателност</w:t>
      </w:r>
    </w:p>
    <w:p w:rsidR="00F432BA" w:rsidRPr="00267487" w:rsidRDefault="00F432BA" w:rsidP="00F432BA">
      <w:pPr>
        <w:pStyle w:val="ECHRHeading3"/>
      </w:pPr>
      <w:r>
        <w:rPr>
          <w:rStyle w:val="ECHRHeading3"/>
          <w:szCs w:val="22"/>
        </w:rPr>
        <w:t>1.  </w:t>
      </w:r>
      <w:r w:rsidR="00EB1225" w:rsidRPr="00EB1225">
        <w:rPr>
          <w:rStyle w:val="ECHRHeading3"/>
          <w:szCs w:val="22"/>
        </w:rPr>
        <w:t xml:space="preserve">Становища </w:t>
      </w:r>
      <w:r w:rsidRPr="00EB1225">
        <w:rPr>
          <w:rStyle w:val="ECHRHeading3"/>
          <w:szCs w:val="22"/>
        </w:rPr>
        <w:t>на страните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15</w:t>
      </w:r>
      <w:r>
        <w:fldChar w:fldCharType="end"/>
      </w:r>
      <w:r>
        <w:rPr>
          <w:rStyle w:val="ECHRPara"/>
          <w:szCs w:val="22"/>
        </w:rPr>
        <w:t xml:space="preserve">.  Жалбоподателят твърди, че като е въвел възможността да обжалва пред съда </w:t>
      </w:r>
      <w:r w:rsidRPr="00EB1225">
        <w:rPr>
          <w:rStyle w:val="ECHRPara"/>
          <w:szCs w:val="22"/>
        </w:rPr>
        <w:t>правна презумпция за бащинство, българският</w:t>
      </w:r>
      <w:r>
        <w:rPr>
          <w:rStyle w:val="ECHRPara"/>
          <w:szCs w:val="22"/>
        </w:rPr>
        <w:t xml:space="preserve"> законодател е признал </w:t>
      </w:r>
      <w:r w:rsidR="00A105B9">
        <w:rPr>
          <w:rStyle w:val="ECHRPara"/>
          <w:szCs w:val="22"/>
        </w:rPr>
        <w:t>субективното</w:t>
      </w:r>
      <w:r>
        <w:rPr>
          <w:rStyle w:val="ECHRPara"/>
          <w:szCs w:val="22"/>
        </w:rPr>
        <w:t xml:space="preserve"> право на защита на личния живот на лица, които, като самия него, са били </w:t>
      </w:r>
      <w:r w:rsidR="00892BB1">
        <w:rPr>
          <w:rStyle w:val="ECHRPara"/>
          <w:szCs w:val="22"/>
        </w:rPr>
        <w:t>съгласно закона</w:t>
      </w:r>
      <w:r w:rsidR="00A105B9">
        <w:rPr>
          <w:rStyle w:val="ECHRPara"/>
          <w:szCs w:val="22"/>
        </w:rPr>
        <w:t xml:space="preserve"> </w:t>
      </w:r>
      <w:proofErr w:type="spellStart"/>
      <w:r w:rsidR="00C8142E" w:rsidRPr="00892BB1">
        <w:rPr>
          <w:rStyle w:val="ECHRPara"/>
          <w:szCs w:val="22"/>
        </w:rPr>
        <w:t>презумптивни</w:t>
      </w:r>
      <w:proofErr w:type="spellEnd"/>
      <w:r w:rsidR="00C8142E" w:rsidRPr="00892BB1">
        <w:rPr>
          <w:rStyle w:val="ECHRPara"/>
          <w:szCs w:val="22"/>
        </w:rPr>
        <w:t xml:space="preserve"> бащи</w:t>
      </w:r>
      <w:r w:rsidRPr="00B76277">
        <w:rPr>
          <w:rStyle w:val="ECHRPara"/>
          <w:szCs w:val="22"/>
        </w:rPr>
        <w:t xml:space="preserve"> на деца,</w:t>
      </w:r>
      <w:r>
        <w:rPr>
          <w:rStyle w:val="ECHRPara"/>
          <w:szCs w:val="22"/>
        </w:rPr>
        <w:t xml:space="preserve"> родени по време на </w:t>
      </w:r>
      <w:r w:rsidR="00AF69F6" w:rsidRPr="00AF69F6">
        <w:rPr>
          <w:rStyle w:val="ECHRPara"/>
          <w:szCs w:val="22"/>
        </w:rPr>
        <w:t xml:space="preserve">предишен </w:t>
      </w:r>
      <w:r w:rsidRPr="00AF69F6">
        <w:rPr>
          <w:rStyle w:val="ECHRPara"/>
          <w:szCs w:val="22"/>
        </w:rPr>
        <w:t>брак с майките</w:t>
      </w:r>
      <w:r>
        <w:rPr>
          <w:rStyle w:val="ECHRPara"/>
          <w:szCs w:val="22"/>
        </w:rPr>
        <w:t xml:space="preserve">. Жалбоподателят вярва, че това право трябва да бъде защитено не само на теория, но и на практика. Той твърди, че като ограничава по закон възможността за оспорване на бащинство до една година след раждането на детето или датата на </w:t>
      </w:r>
      <w:r w:rsidR="00870046">
        <w:rPr>
          <w:rStyle w:val="ECHRPara"/>
          <w:szCs w:val="22"/>
        </w:rPr>
        <w:t>узнаването</w:t>
      </w:r>
      <w:r>
        <w:rPr>
          <w:rStyle w:val="ECHRPara"/>
          <w:szCs w:val="22"/>
        </w:rPr>
        <w:t xml:space="preserve">, законодателят е лишил </w:t>
      </w:r>
      <w:r>
        <w:rPr>
          <w:rStyle w:val="ECHRPara"/>
          <w:szCs w:val="22"/>
        </w:rPr>
        <w:lastRenderedPageBreak/>
        <w:t xml:space="preserve">от защита всички лица, които, както и кандидатът, научават за биологичната реалност след изтичането на този едногодишен период. Освен това, </w:t>
      </w:r>
      <w:r w:rsidR="00AB0C58">
        <w:rPr>
          <w:rStyle w:val="ECHRPara"/>
          <w:szCs w:val="22"/>
        </w:rPr>
        <w:t xml:space="preserve">след </w:t>
      </w:r>
      <w:r>
        <w:rPr>
          <w:rStyle w:val="ECHRPara"/>
          <w:szCs w:val="22"/>
        </w:rPr>
        <w:t xml:space="preserve">като не </w:t>
      </w:r>
      <w:r w:rsidR="00AB0C58">
        <w:rPr>
          <w:rStyle w:val="ECHRPara"/>
          <w:szCs w:val="22"/>
        </w:rPr>
        <w:t xml:space="preserve">допускат за </w:t>
      </w:r>
      <w:r>
        <w:rPr>
          <w:rStyle w:val="ECHRPara"/>
          <w:szCs w:val="22"/>
        </w:rPr>
        <w:t>разглежда</w:t>
      </w:r>
      <w:r w:rsidR="00AB0C58">
        <w:rPr>
          <w:rStyle w:val="ECHRPara"/>
          <w:szCs w:val="22"/>
        </w:rPr>
        <w:t>не</w:t>
      </w:r>
      <w:r>
        <w:rPr>
          <w:rStyle w:val="ECHRPara"/>
          <w:szCs w:val="22"/>
        </w:rPr>
        <w:t xml:space="preserve"> </w:t>
      </w:r>
      <w:r w:rsidR="00AB0C58">
        <w:rPr>
          <w:rStyle w:val="ECHRPara"/>
          <w:szCs w:val="22"/>
        </w:rPr>
        <w:t>по същество на иска за</w:t>
      </w:r>
      <w:r w:rsidRPr="00B76277">
        <w:rPr>
          <w:rStyle w:val="ECHRPara"/>
          <w:szCs w:val="22"/>
        </w:rPr>
        <w:t xml:space="preserve"> оспорване на бащинството, решенията на съдилищата представляват</w:t>
      </w:r>
      <w:r>
        <w:rPr>
          <w:rStyle w:val="ECHRPara"/>
          <w:szCs w:val="22"/>
        </w:rPr>
        <w:t xml:space="preserve"> неоправдана и непропорционална намеса в правото му на личен живот в нарушение на чл. 8 от Конвенцията.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16</w:t>
      </w:r>
      <w:r>
        <w:fldChar w:fldCharType="end"/>
      </w:r>
      <w:r>
        <w:rPr>
          <w:rStyle w:val="ECHRPara"/>
          <w:szCs w:val="22"/>
        </w:rPr>
        <w:t xml:space="preserve">.  Правителството </w:t>
      </w:r>
      <w:r w:rsidR="000471B6">
        <w:rPr>
          <w:rStyle w:val="ECHRPara"/>
          <w:szCs w:val="22"/>
        </w:rPr>
        <w:t>защитава тезата</w:t>
      </w:r>
      <w:r>
        <w:rPr>
          <w:rStyle w:val="ECHRPara"/>
          <w:szCs w:val="22"/>
        </w:rPr>
        <w:t xml:space="preserve">, че дори и да е имало намеса в правото на жалбоподателя на личен живот, </w:t>
      </w:r>
      <w:r w:rsidR="000471B6">
        <w:rPr>
          <w:rStyle w:val="ECHRPara"/>
          <w:szCs w:val="22"/>
        </w:rPr>
        <w:t>то същата</w:t>
      </w:r>
      <w:r>
        <w:rPr>
          <w:rStyle w:val="ECHRPara"/>
          <w:szCs w:val="22"/>
        </w:rPr>
        <w:t xml:space="preserve"> е основан</w:t>
      </w:r>
      <w:r w:rsidR="006E1CF3">
        <w:rPr>
          <w:rStyle w:val="ECHRPara"/>
          <w:szCs w:val="22"/>
        </w:rPr>
        <w:t>а</w:t>
      </w:r>
      <w:r>
        <w:rPr>
          <w:rStyle w:val="ECHRPara"/>
          <w:szCs w:val="22"/>
        </w:rPr>
        <w:t xml:space="preserve"> на ясен и достъпен закон, чиито последици са напълно предвидими. Този закон преследва легитимната цел да </w:t>
      </w:r>
      <w:r w:rsidRPr="00AF69F6">
        <w:rPr>
          <w:rStyle w:val="ECHRPara"/>
          <w:szCs w:val="22"/>
        </w:rPr>
        <w:t>гарантира правната сигурност на произхода и гражданската регистрация н</w:t>
      </w:r>
      <w:r w:rsidRPr="00804129">
        <w:rPr>
          <w:rStyle w:val="ECHRPara"/>
          <w:szCs w:val="22"/>
        </w:rPr>
        <w:t>а лицата, както</w:t>
      </w:r>
      <w:r>
        <w:rPr>
          <w:rStyle w:val="ECHRPara"/>
          <w:szCs w:val="22"/>
        </w:rPr>
        <w:t xml:space="preserve"> и </w:t>
      </w:r>
      <w:r w:rsidR="006E1CF3">
        <w:rPr>
          <w:rStyle w:val="ECHRPara"/>
          <w:szCs w:val="22"/>
        </w:rPr>
        <w:t xml:space="preserve">да </w:t>
      </w:r>
      <w:r>
        <w:rPr>
          <w:rStyle w:val="ECHRPara"/>
          <w:szCs w:val="22"/>
        </w:rPr>
        <w:t>защит</w:t>
      </w:r>
      <w:r w:rsidR="006E1CF3">
        <w:rPr>
          <w:rStyle w:val="ECHRPara"/>
          <w:szCs w:val="22"/>
        </w:rPr>
        <w:t>и</w:t>
      </w:r>
      <w:r>
        <w:rPr>
          <w:rStyle w:val="ECHRPara"/>
          <w:szCs w:val="22"/>
        </w:rPr>
        <w:t xml:space="preserve"> правата на децата, които са най-уязвимите лица в семейните отношения. Законът предвижда за </w:t>
      </w:r>
      <w:proofErr w:type="spellStart"/>
      <w:r w:rsidR="00C8142E" w:rsidRPr="00892BB1">
        <w:rPr>
          <w:rStyle w:val="ECHRPara"/>
          <w:szCs w:val="22"/>
        </w:rPr>
        <w:t>презумптивните</w:t>
      </w:r>
      <w:proofErr w:type="spellEnd"/>
      <w:r w:rsidR="000471B6">
        <w:rPr>
          <w:rStyle w:val="ECHRPara"/>
          <w:szCs w:val="22"/>
        </w:rPr>
        <w:t>,</w:t>
      </w:r>
      <w:r w:rsidR="00892BB1" w:rsidRPr="00892BB1">
        <w:rPr>
          <w:rStyle w:val="ECHRPara"/>
          <w:szCs w:val="22"/>
        </w:rPr>
        <w:t xml:space="preserve"> съгласно</w:t>
      </w:r>
      <w:r w:rsidR="00892BB1">
        <w:rPr>
          <w:rStyle w:val="ECHRPara"/>
          <w:szCs w:val="22"/>
        </w:rPr>
        <w:t xml:space="preserve"> закона</w:t>
      </w:r>
      <w:r w:rsidRPr="00B76277">
        <w:rPr>
          <w:rStyle w:val="ECHRPara"/>
          <w:szCs w:val="22"/>
        </w:rPr>
        <w:t xml:space="preserve"> бащи</w:t>
      </w:r>
      <w:r w:rsidR="000471B6">
        <w:rPr>
          <w:rStyle w:val="ECHRPara"/>
          <w:szCs w:val="22"/>
        </w:rPr>
        <w:t>,</w:t>
      </w:r>
      <w:r w:rsidRPr="00B76277">
        <w:rPr>
          <w:rStyle w:val="ECHRPara"/>
          <w:szCs w:val="22"/>
        </w:rPr>
        <w:t xml:space="preserve"> процедурна гаранция за упражняването н</w:t>
      </w:r>
      <w:r>
        <w:rPr>
          <w:rStyle w:val="ECHRPara"/>
          <w:szCs w:val="22"/>
        </w:rPr>
        <w:t xml:space="preserve">а правото им на личен живот, като им позволява да оспорят законно установената реалност в рамките на една година от узнаването за раждането на детето. Ограничението в закона от една година, в която </w:t>
      </w:r>
      <w:r w:rsidRPr="00AF69F6">
        <w:rPr>
          <w:rStyle w:val="ECHRPara"/>
          <w:szCs w:val="22"/>
        </w:rPr>
        <w:t xml:space="preserve">да </w:t>
      </w:r>
      <w:r w:rsidR="00AF69F6" w:rsidRPr="00AF69F6">
        <w:rPr>
          <w:rStyle w:val="ECHRPara"/>
          <w:szCs w:val="22"/>
        </w:rPr>
        <w:t xml:space="preserve">се оспори </w:t>
      </w:r>
      <w:r w:rsidRPr="00AF69F6">
        <w:rPr>
          <w:rStyle w:val="ECHRPara"/>
          <w:szCs w:val="22"/>
        </w:rPr>
        <w:t xml:space="preserve"> бащинството, е разумно реше</w:t>
      </w:r>
      <w:r>
        <w:rPr>
          <w:rStyle w:val="ECHRPara"/>
          <w:szCs w:val="22"/>
        </w:rPr>
        <w:t xml:space="preserve">ние, което отразява различните интереси, свързани с осигуряването на справедлив баланс между необходимостта да се установи биологична реалност и </w:t>
      </w:r>
      <w:r w:rsidR="000471B6">
        <w:rPr>
          <w:rStyle w:val="ECHRPara"/>
          <w:szCs w:val="22"/>
        </w:rPr>
        <w:t>тази</w:t>
      </w:r>
      <w:r>
        <w:rPr>
          <w:rStyle w:val="ECHRPara"/>
          <w:szCs w:val="22"/>
        </w:rPr>
        <w:t xml:space="preserve"> от защита на стабилността на вече </w:t>
      </w:r>
      <w:r w:rsidR="000471B6">
        <w:rPr>
          <w:rStyle w:val="ECHRPara"/>
          <w:szCs w:val="22"/>
        </w:rPr>
        <w:t>установения законен</w:t>
      </w:r>
      <w:r>
        <w:rPr>
          <w:rStyle w:val="ECHRPara"/>
          <w:szCs w:val="22"/>
        </w:rPr>
        <w:t xml:space="preserve"> произход.</w:t>
      </w:r>
    </w:p>
    <w:p w:rsidR="00F432BA" w:rsidRPr="00267487" w:rsidRDefault="00F432BA" w:rsidP="00F432BA">
      <w:pPr>
        <w:pStyle w:val="ECHRHeading3"/>
      </w:pPr>
      <w:r>
        <w:rPr>
          <w:rStyle w:val="ECHRHeading3"/>
          <w:szCs w:val="22"/>
        </w:rPr>
        <w:t>2.  Преценка</w:t>
      </w:r>
      <w:r w:rsidR="006E1CF3">
        <w:rPr>
          <w:rStyle w:val="ECHRHeading3"/>
          <w:szCs w:val="22"/>
        </w:rPr>
        <w:t>та</w:t>
      </w:r>
      <w:r>
        <w:rPr>
          <w:rStyle w:val="ECHRHeading3"/>
          <w:szCs w:val="22"/>
        </w:rPr>
        <w:t xml:space="preserve"> на Съда</w:t>
      </w:r>
    </w:p>
    <w:p w:rsidR="00F432BA" w:rsidRPr="00267487" w:rsidRDefault="00F432BA" w:rsidP="00F432BA">
      <w:pPr>
        <w:pStyle w:val="ECHRHeading4"/>
      </w:pPr>
      <w:r>
        <w:rPr>
          <w:rStyle w:val="ECHRHeading4"/>
          <w:szCs w:val="22"/>
        </w:rPr>
        <w:t>(а)  Приложимост на чл. 8 от Конвенцията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17</w:t>
      </w:r>
      <w:r>
        <w:fldChar w:fldCharType="end"/>
      </w:r>
      <w:r>
        <w:rPr>
          <w:rStyle w:val="ECHRPara"/>
          <w:szCs w:val="22"/>
        </w:rPr>
        <w:t>.  В конкретния случай жалбоподателят иска чрез съдебно производство да обори правната презумпция за бащинството си въз основа на биологични доказателства. Целта на производство</w:t>
      </w:r>
      <w:r w:rsidR="00F949C0">
        <w:rPr>
          <w:rStyle w:val="ECHRPara"/>
          <w:szCs w:val="22"/>
        </w:rPr>
        <w:t>то</w:t>
      </w:r>
      <w:r>
        <w:rPr>
          <w:rStyle w:val="ECHRPara"/>
          <w:szCs w:val="22"/>
        </w:rPr>
        <w:t xml:space="preserve"> е да определи правната връзка </w:t>
      </w:r>
      <w:r w:rsidR="002A6F0A">
        <w:rPr>
          <w:rStyle w:val="ECHRPara"/>
          <w:szCs w:val="22"/>
        </w:rPr>
        <w:t xml:space="preserve">на жалбоподателя </w:t>
      </w:r>
      <w:r>
        <w:rPr>
          <w:rStyle w:val="ECHRPara"/>
          <w:szCs w:val="22"/>
        </w:rPr>
        <w:t xml:space="preserve">със сина на бившата </w:t>
      </w:r>
      <w:r w:rsidR="002A6F0A">
        <w:rPr>
          <w:rStyle w:val="ECHRPara"/>
          <w:szCs w:val="22"/>
        </w:rPr>
        <w:t>му</w:t>
      </w:r>
      <w:r>
        <w:rPr>
          <w:rStyle w:val="ECHRPara"/>
          <w:szCs w:val="22"/>
        </w:rPr>
        <w:t xml:space="preserve"> съпруга, който </w:t>
      </w:r>
      <w:r w:rsidR="00662686">
        <w:rPr>
          <w:rStyle w:val="ECHRPara"/>
          <w:szCs w:val="22"/>
        </w:rPr>
        <w:t>бидейки роден по време на брака</w:t>
      </w:r>
      <w:r w:rsidR="00572CEF">
        <w:rPr>
          <w:rStyle w:val="ECHRPara"/>
          <w:szCs w:val="22"/>
        </w:rPr>
        <w:t>,</w:t>
      </w:r>
      <w:r w:rsidR="00662686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 xml:space="preserve">е регистриран като негов </w:t>
      </w:r>
      <w:r w:rsidR="00662686">
        <w:rPr>
          <w:rStyle w:val="ECHRPara"/>
          <w:szCs w:val="22"/>
        </w:rPr>
        <w:t xml:space="preserve">законен син. </w:t>
      </w:r>
      <w:r>
        <w:rPr>
          <w:rStyle w:val="ECHRPara"/>
          <w:szCs w:val="22"/>
        </w:rPr>
        <w:t>.</w:t>
      </w:r>
    </w:p>
    <w:p w:rsidR="00F432BA" w:rsidRPr="00267487" w:rsidRDefault="00F432BA" w:rsidP="00B76277">
      <w:pPr>
        <w:pStyle w:val="ECHRPara"/>
        <w:tabs>
          <w:tab w:val="left" w:pos="3828"/>
        </w:tabs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18</w:t>
      </w:r>
      <w:r>
        <w:fldChar w:fldCharType="end"/>
      </w:r>
      <w:r>
        <w:rPr>
          <w:rStyle w:val="ECHRPara"/>
          <w:szCs w:val="22"/>
        </w:rPr>
        <w:t xml:space="preserve">.  Съдът вече е постановил, че </w:t>
      </w:r>
      <w:r w:rsidRPr="00B76277">
        <w:rPr>
          <w:rStyle w:val="ECHRPara"/>
          <w:szCs w:val="22"/>
        </w:rPr>
        <w:t>определянето на правната връзка на бащата с предполагаемото му дете</w:t>
      </w:r>
      <w:r>
        <w:rPr>
          <w:rStyle w:val="ECHRPara"/>
          <w:szCs w:val="22"/>
        </w:rPr>
        <w:t xml:space="preserve"> се отнася до неговия </w:t>
      </w:r>
      <w:r>
        <w:rPr>
          <w:rStyle w:val="ECHRPara"/>
          <w:szCs w:val="22"/>
          <w:cs/>
        </w:rPr>
        <w:t>“</w:t>
      </w:r>
      <w:r>
        <w:rPr>
          <w:rStyle w:val="ECHRPara"/>
          <w:szCs w:val="22"/>
        </w:rPr>
        <w:t>личен живот</w:t>
      </w:r>
      <w:r>
        <w:rPr>
          <w:rStyle w:val="ECHRPara"/>
          <w:szCs w:val="22"/>
          <w:cs/>
        </w:rPr>
        <w:t xml:space="preserve">” </w:t>
      </w:r>
      <w:r>
        <w:rPr>
          <w:rStyle w:val="ECHRPara"/>
          <w:szCs w:val="22"/>
        </w:rPr>
        <w:t xml:space="preserve">(вж. </w:t>
      </w:r>
      <w:r>
        <w:rPr>
          <w:rStyle w:val="ECHRPara"/>
          <w:i/>
          <w:szCs w:val="22"/>
        </w:rPr>
        <w:t>Rasmussen v. Denmark</w:t>
      </w:r>
      <w:r>
        <w:rPr>
          <w:rStyle w:val="ECHRPara"/>
          <w:szCs w:val="22"/>
        </w:rPr>
        <w:t xml:space="preserve">, 28 ноември 1984 г., § 33, Серия A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 xml:space="preserve">87, и </w:t>
      </w:r>
      <w:r>
        <w:rPr>
          <w:rStyle w:val="ECHRPara"/>
          <w:i/>
          <w:szCs w:val="22"/>
        </w:rPr>
        <w:t>R.L. and Others v. Denmark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 xml:space="preserve">52629/11, § 38, 7 март 2017 г.). Докато при такива обстоятелства </w:t>
      </w:r>
      <w:r w:rsidRPr="009D24A1">
        <w:rPr>
          <w:rStyle w:val="ECHRPara"/>
          <w:szCs w:val="22"/>
        </w:rPr>
        <w:t>също</w:t>
      </w:r>
      <w:r>
        <w:rPr>
          <w:rStyle w:val="ECHRPara"/>
          <w:szCs w:val="22"/>
        </w:rPr>
        <w:t xml:space="preserve"> може да </w:t>
      </w:r>
      <w:r w:rsidR="009D24A1">
        <w:rPr>
          <w:rStyle w:val="ECHRPara"/>
          <w:szCs w:val="22"/>
        </w:rPr>
        <w:t>има</w:t>
      </w:r>
      <w:r>
        <w:rPr>
          <w:rStyle w:val="ECHRPara"/>
          <w:szCs w:val="22"/>
        </w:rPr>
        <w:t xml:space="preserve"> намеса в </w:t>
      </w:r>
      <w:r>
        <w:rPr>
          <w:rStyle w:val="ECHRPara"/>
          <w:szCs w:val="22"/>
          <w:cs/>
        </w:rPr>
        <w:t>“</w:t>
      </w:r>
      <w:r>
        <w:rPr>
          <w:rStyle w:val="ECHRPara"/>
          <w:szCs w:val="22"/>
        </w:rPr>
        <w:t>семейния живот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 xml:space="preserve">, въпросът несъмнено се отнася до </w:t>
      </w:r>
      <w:r>
        <w:rPr>
          <w:rStyle w:val="ECHRPara"/>
          <w:szCs w:val="22"/>
          <w:cs/>
        </w:rPr>
        <w:t>“</w:t>
      </w:r>
      <w:r>
        <w:rPr>
          <w:rStyle w:val="ECHRPara"/>
          <w:szCs w:val="22"/>
        </w:rPr>
        <w:t>личния живот</w:t>
      </w:r>
      <w:r>
        <w:rPr>
          <w:rStyle w:val="ECHRPara"/>
          <w:szCs w:val="22"/>
          <w:cs/>
        </w:rPr>
        <w:t xml:space="preserve">” </w:t>
      </w:r>
      <w:r>
        <w:rPr>
          <w:rStyle w:val="ECHRPara"/>
          <w:szCs w:val="22"/>
        </w:rPr>
        <w:t xml:space="preserve">на жалбоподателя (вж. </w:t>
      </w:r>
      <w:r>
        <w:rPr>
          <w:rStyle w:val="ECHRPara"/>
          <w:i/>
          <w:szCs w:val="22"/>
        </w:rPr>
        <w:t>Yildirim v. Austria</w:t>
      </w:r>
      <w:r>
        <w:rPr>
          <w:rStyle w:val="ECHRPara"/>
          <w:szCs w:val="22"/>
        </w:rPr>
        <w:t xml:space="preserve"> (решение за допустимост), </w:t>
      </w:r>
      <w:r>
        <w:rPr>
          <w:rStyle w:val="ECHRPara"/>
          <w:szCs w:val="22"/>
          <w:cs/>
        </w:rPr>
        <w:t xml:space="preserve">№ </w:t>
      </w:r>
      <w:hyperlink r:id="rId14" w:anchor="{&quot;appno&quot;:[&quot;34308/96&quot;]}" w:tgtFrame="_blank" w:history="1">
        <w:r>
          <w:rPr>
            <w:rStyle w:val="ECHRPara"/>
            <w:szCs w:val="22"/>
          </w:rPr>
          <w:t>34308/96</w:t>
        </w:r>
      </w:hyperlink>
      <w:r>
        <w:rPr>
          <w:rStyle w:val="ECHRPara"/>
          <w:szCs w:val="22"/>
        </w:rPr>
        <w:t xml:space="preserve">, 19 октовмри 1999 г.). Съответно, фактите по </w:t>
      </w:r>
      <w:r w:rsidR="006E1CF3">
        <w:rPr>
          <w:rStyle w:val="ECHRPara"/>
          <w:szCs w:val="22"/>
        </w:rPr>
        <w:t xml:space="preserve">настоящото </w:t>
      </w:r>
      <w:r>
        <w:rPr>
          <w:rStyle w:val="ECHRPara"/>
          <w:szCs w:val="22"/>
        </w:rPr>
        <w:t xml:space="preserve">дело попадат в </w:t>
      </w:r>
      <w:r w:rsidRPr="00B76277">
        <w:rPr>
          <w:rStyle w:val="ECHRPara"/>
          <w:szCs w:val="22"/>
        </w:rPr>
        <w:t>обхвата</w:t>
      </w:r>
      <w:r>
        <w:rPr>
          <w:rStyle w:val="ECHRPara"/>
          <w:szCs w:val="22"/>
        </w:rPr>
        <w:t xml:space="preserve"> на чл. 8.</w:t>
      </w:r>
    </w:p>
    <w:p w:rsidR="00F432BA" w:rsidRPr="00267487" w:rsidRDefault="00F432BA" w:rsidP="00F432BA">
      <w:pPr>
        <w:pStyle w:val="ECHRHeading4"/>
      </w:pPr>
      <w:r>
        <w:rPr>
          <w:rStyle w:val="ECHRHeading4"/>
          <w:szCs w:val="22"/>
        </w:rPr>
        <w:t>(б) Общи принципи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19</w:t>
      </w:r>
      <w:r>
        <w:fldChar w:fldCharType="end"/>
      </w:r>
      <w:r>
        <w:rPr>
          <w:rStyle w:val="ECHRPara"/>
          <w:szCs w:val="22"/>
        </w:rPr>
        <w:t xml:space="preserve">.  Съдът подчертава, че независимо дали ситуациите са разгледани от гледна точка на положителни или отрицателни задължения от страна на Държавата, приложимите принципи са сходни. И в двата контекста следва да се </w:t>
      </w:r>
      <w:r w:rsidR="006E1CF3" w:rsidRPr="006E1CF3">
        <w:rPr>
          <w:rStyle w:val="ECHRPara"/>
          <w:szCs w:val="22"/>
        </w:rPr>
        <w:t>постигне</w:t>
      </w:r>
      <w:r w:rsidR="006E1CF3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>справедлив баланс между конкуриращите се интереси на лицето и общността като цяло</w:t>
      </w:r>
      <w:r w:rsidR="001E4766">
        <w:rPr>
          <w:rStyle w:val="ECHRPara"/>
          <w:szCs w:val="22"/>
        </w:rPr>
        <w:t>.</w:t>
      </w:r>
      <w:r>
        <w:rPr>
          <w:rStyle w:val="ECHRPara"/>
          <w:szCs w:val="22"/>
        </w:rPr>
        <w:t xml:space="preserve"> Държавата се ползва с известна свобода на преценка (вж., наред с други решения, </w:t>
      </w:r>
      <w:r>
        <w:rPr>
          <w:rStyle w:val="ECHRPara"/>
          <w:i/>
          <w:szCs w:val="22"/>
        </w:rPr>
        <w:t>Różański v. Poland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 xml:space="preserve">55339/00, § 61, 18 май 2006 г., и </w:t>
      </w:r>
      <w:r>
        <w:rPr>
          <w:rStyle w:val="ECHRPara"/>
          <w:i/>
          <w:szCs w:val="22"/>
        </w:rPr>
        <w:t>Keegan v. Ireland</w:t>
      </w:r>
      <w:r>
        <w:rPr>
          <w:rStyle w:val="ECHRPara"/>
          <w:szCs w:val="22"/>
        </w:rPr>
        <w:t xml:space="preserve">, решение от 26 май 1994 г., Серия A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 xml:space="preserve">290, § 49). В този контекст Съдът уточнява, че не може </w:t>
      </w:r>
      <w:r w:rsidRPr="00386BDC">
        <w:rPr>
          <w:rStyle w:val="ECHRPara"/>
          <w:szCs w:val="22"/>
        </w:rPr>
        <w:t>да прецени</w:t>
      </w:r>
      <w:r>
        <w:rPr>
          <w:rStyle w:val="ECHRPara"/>
          <w:szCs w:val="22"/>
        </w:rPr>
        <w:t xml:space="preserve"> </w:t>
      </w:r>
      <w:r w:rsidR="00386BDC">
        <w:rPr>
          <w:rStyle w:val="ECHRPara"/>
          <w:szCs w:val="22"/>
        </w:rPr>
        <w:t xml:space="preserve">достатъчно добре </w:t>
      </w:r>
      <w:r>
        <w:rPr>
          <w:rStyle w:val="ECHRPara"/>
          <w:szCs w:val="22"/>
        </w:rPr>
        <w:t xml:space="preserve">дали е постигнат справедлив баланс за целите на чл. 8 § 2, без да определи дали процесът на вземане на решения като цяло предоставя на жалбоподателя необходимата защита на неговите интереси (вж. </w:t>
      </w:r>
      <w:r>
        <w:rPr>
          <w:rStyle w:val="ECHRPara"/>
          <w:i/>
          <w:szCs w:val="22"/>
        </w:rPr>
        <w:t xml:space="preserve">Sommerfeld v. Germany </w:t>
      </w:r>
      <w:r>
        <w:rPr>
          <w:rStyle w:val="ECHRPara"/>
          <w:szCs w:val="22"/>
        </w:rPr>
        <w:t>[GC],</w:t>
      </w:r>
      <w:r>
        <w:rPr>
          <w:rStyle w:val="ECHRPara"/>
          <w:i/>
          <w:szCs w:val="22"/>
        </w:rPr>
        <w:t xml:space="preserve">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 xml:space="preserve">31871/96, § 66, ЕСПЧ 2003VIII (откъси) с допълнителни препратки, и </w:t>
      </w:r>
      <w:r>
        <w:rPr>
          <w:rStyle w:val="ECHRPara"/>
          <w:i/>
          <w:szCs w:val="22"/>
        </w:rPr>
        <w:t>Krisztián Barnabás Tóth v. Hungary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>48494/06, § 32, 12 февруари 2013 г.).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20</w:t>
      </w:r>
      <w:r>
        <w:fldChar w:fldCharType="end"/>
      </w:r>
      <w:r>
        <w:rPr>
          <w:rStyle w:val="ECHRPara"/>
          <w:szCs w:val="22"/>
        </w:rPr>
        <w:t xml:space="preserve">.  В контекста на жалбоподателите, които желаят да оспорят съществуващото </w:t>
      </w:r>
      <w:r w:rsidRPr="00B27382">
        <w:rPr>
          <w:rStyle w:val="ECHRPara"/>
          <w:szCs w:val="22"/>
        </w:rPr>
        <w:t xml:space="preserve">статукво </w:t>
      </w:r>
      <w:r w:rsidR="00B27382" w:rsidRPr="00B27382">
        <w:rPr>
          <w:rStyle w:val="ECHRPara"/>
          <w:szCs w:val="22"/>
        </w:rPr>
        <w:t>отнасящо се до</w:t>
      </w:r>
      <w:r w:rsidRPr="00B27382">
        <w:rPr>
          <w:rStyle w:val="ECHRPara"/>
          <w:szCs w:val="22"/>
        </w:rPr>
        <w:t xml:space="preserve"> </w:t>
      </w:r>
      <w:r w:rsidR="00B27382" w:rsidRPr="00B27382">
        <w:rPr>
          <w:rStyle w:val="ECHRPara"/>
          <w:szCs w:val="22"/>
        </w:rPr>
        <w:t xml:space="preserve">родството им </w:t>
      </w:r>
      <w:r w:rsidRPr="00B27382">
        <w:rPr>
          <w:rStyle w:val="ECHRPara"/>
          <w:szCs w:val="22"/>
        </w:rPr>
        <w:t xml:space="preserve">с дете, Съдът многократно е констатирал, че ограниченията на индивидуалното право на личен живот са оправдани от съображения за правна сигурност в семейните отношения. Освен това Съдът подчертава, че съображението за това кое е в най-добрия интерес на детето е от първостепенно значение във всяко дело от този вид и че в зависимост от неговото естество и сериозност, </w:t>
      </w:r>
      <w:r w:rsidR="00B27382" w:rsidRPr="00B27382">
        <w:rPr>
          <w:rStyle w:val="ECHRPara"/>
          <w:szCs w:val="22"/>
        </w:rPr>
        <w:t xml:space="preserve">най-добрият </w:t>
      </w:r>
      <w:r w:rsidRPr="00B27382">
        <w:rPr>
          <w:rStyle w:val="ECHRPara"/>
          <w:szCs w:val="22"/>
        </w:rPr>
        <w:t xml:space="preserve">интерес на детето </w:t>
      </w:r>
      <w:r w:rsidR="00B27382" w:rsidRPr="00B27382">
        <w:rPr>
          <w:rStyle w:val="ECHRPara"/>
          <w:szCs w:val="22"/>
        </w:rPr>
        <w:t xml:space="preserve">може </w:t>
      </w:r>
      <w:r w:rsidRPr="00B27382">
        <w:rPr>
          <w:rStyle w:val="ECHRPara"/>
          <w:szCs w:val="22"/>
        </w:rPr>
        <w:t>да надделе</w:t>
      </w:r>
      <w:r w:rsidR="00B27382" w:rsidRPr="00B27382">
        <w:rPr>
          <w:rStyle w:val="ECHRPara"/>
          <w:szCs w:val="22"/>
        </w:rPr>
        <w:t>е</w:t>
      </w:r>
      <w:r w:rsidRPr="00B27382">
        <w:rPr>
          <w:rStyle w:val="ECHRPara"/>
          <w:szCs w:val="22"/>
        </w:rPr>
        <w:t xml:space="preserve"> над тези на родителите (вж. </w:t>
      </w:r>
      <w:r w:rsidRPr="00B27382">
        <w:rPr>
          <w:rStyle w:val="ECHRPara"/>
          <w:i/>
          <w:szCs w:val="22"/>
        </w:rPr>
        <w:t>Sommerfeld</w:t>
      </w:r>
      <w:r w:rsidRPr="00B27382">
        <w:rPr>
          <w:rStyle w:val="ECHRPara"/>
          <w:szCs w:val="22"/>
        </w:rPr>
        <w:t>, цитирано</w:t>
      </w:r>
      <w:r>
        <w:rPr>
          <w:rStyle w:val="ECHRPara"/>
          <w:szCs w:val="22"/>
        </w:rPr>
        <w:t xml:space="preserve"> по-горе, § 64, и </w:t>
      </w:r>
      <w:r>
        <w:rPr>
          <w:rStyle w:val="ECHRPara"/>
          <w:i/>
          <w:szCs w:val="22"/>
        </w:rPr>
        <w:t>Görgülü v. Germany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>74969/01, § 43, 26 февруари 2004 г.).</w:t>
      </w:r>
    </w:p>
    <w:p w:rsidR="00F432BA" w:rsidRPr="00FA1C64" w:rsidRDefault="00F432BA" w:rsidP="00F432BA">
      <w:pPr>
        <w:pStyle w:val="ECHRHeading4"/>
        <w:rPr>
          <w:rFonts w:eastAsia="MS Mincho"/>
          <w:b w:val="0"/>
          <w:bCs w:val="0"/>
          <w:iCs w:val="0"/>
          <w:sz w:val="24"/>
        </w:rPr>
      </w:pPr>
      <w:r>
        <w:rPr>
          <w:rStyle w:val="ECHRHeading4"/>
          <w:szCs w:val="22"/>
        </w:rPr>
        <w:t>(в) Приложение на тези принципи към настоящото дело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21</w:t>
      </w:r>
      <w:r>
        <w:fldChar w:fldCharType="end"/>
      </w:r>
      <w:r>
        <w:rPr>
          <w:rStyle w:val="ECHRPara"/>
          <w:szCs w:val="22"/>
        </w:rPr>
        <w:t xml:space="preserve">.  Съдът първо отбелязва, че между страните няма спор, че решението на националните съдилища да отхвърлят искането на жалбоподателя за </w:t>
      </w:r>
      <w:r w:rsidR="00DC0862" w:rsidRPr="00386BDC">
        <w:rPr>
          <w:rStyle w:val="ECHRPara"/>
          <w:szCs w:val="22"/>
        </w:rPr>
        <w:t>образуване</w:t>
      </w:r>
      <w:r w:rsidR="00DC0862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>на производство за оспорване на бащинството му представлява намеса в прав</w:t>
      </w:r>
      <w:r w:rsidR="001E4766">
        <w:rPr>
          <w:rStyle w:val="ECHRPara"/>
          <w:szCs w:val="22"/>
        </w:rPr>
        <w:t>ото</w:t>
      </w:r>
      <w:r>
        <w:rPr>
          <w:rStyle w:val="ECHRPara"/>
          <w:szCs w:val="22"/>
        </w:rPr>
        <w:t xml:space="preserve"> на жалбоподателя по чл. 8 и че е </w:t>
      </w:r>
      <w:r>
        <w:rPr>
          <w:rStyle w:val="ECHRPara"/>
          <w:szCs w:val="22"/>
          <w:cs/>
        </w:rPr>
        <w:t>“</w:t>
      </w:r>
      <w:r>
        <w:rPr>
          <w:rStyle w:val="ECHRPara"/>
          <w:szCs w:val="22"/>
        </w:rPr>
        <w:t>предвидено в закона</w:t>
      </w:r>
      <w:r>
        <w:rPr>
          <w:rStyle w:val="ECHRPara"/>
          <w:szCs w:val="22"/>
          <w:cs/>
        </w:rPr>
        <w:t xml:space="preserve">” </w:t>
      </w:r>
      <w:r>
        <w:rPr>
          <w:rStyle w:val="ECHRPara"/>
          <w:szCs w:val="22"/>
        </w:rPr>
        <w:t>(вж. параграфи 8, 10 и 11 по-горе).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22</w:t>
      </w:r>
      <w:r>
        <w:fldChar w:fldCharType="end"/>
      </w:r>
      <w:r>
        <w:rPr>
          <w:rStyle w:val="ECHRPara"/>
          <w:szCs w:val="22"/>
        </w:rPr>
        <w:t>.  </w:t>
      </w:r>
      <w:r w:rsidR="00DC0862">
        <w:rPr>
          <w:rStyle w:val="ECHRPara"/>
          <w:szCs w:val="22"/>
        </w:rPr>
        <w:t>Относно</w:t>
      </w:r>
      <w:r>
        <w:rPr>
          <w:rStyle w:val="ECHRPara"/>
          <w:szCs w:val="22"/>
        </w:rPr>
        <w:t xml:space="preserve"> това дали </w:t>
      </w:r>
      <w:r w:rsidR="001E4766">
        <w:rPr>
          <w:rStyle w:val="ECHRPara"/>
          <w:szCs w:val="22"/>
        </w:rPr>
        <w:t xml:space="preserve">решението </w:t>
      </w:r>
      <w:r>
        <w:rPr>
          <w:rStyle w:val="ECHRPara"/>
          <w:szCs w:val="22"/>
        </w:rPr>
        <w:t xml:space="preserve"> преследва легитимна цел, Съдът </w:t>
      </w:r>
      <w:r w:rsidR="00DC0862">
        <w:rPr>
          <w:rStyle w:val="ECHRPara"/>
          <w:szCs w:val="22"/>
        </w:rPr>
        <w:t>смята</w:t>
      </w:r>
      <w:r>
        <w:rPr>
          <w:rStyle w:val="ECHRPara"/>
          <w:szCs w:val="22"/>
        </w:rPr>
        <w:t>, че стриктното прилагане на едногодишн</w:t>
      </w:r>
      <w:r w:rsidR="001E4766">
        <w:rPr>
          <w:rStyle w:val="ECHRPara"/>
          <w:szCs w:val="22"/>
        </w:rPr>
        <w:t>ия</w:t>
      </w:r>
      <w:r>
        <w:rPr>
          <w:rStyle w:val="ECHRPara"/>
          <w:szCs w:val="22"/>
        </w:rPr>
        <w:t xml:space="preserve"> срок за </w:t>
      </w:r>
      <w:r w:rsidR="00DC0862">
        <w:rPr>
          <w:rStyle w:val="ECHRPara"/>
          <w:szCs w:val="22"/>
        </w:rPr>
        <w:t xml:space="preserve">образуване </w:t>
      </w:r>
      <w:r>
        <w:rPr>
          <w:rStyle w:val="ECHRPara"/>
          <w:szCs w:val="22"/>
        </w:rPr>
        <w:t xml:space="preserve">на  </w:t>
      </w:r>
      <w:r w:rsidR="001E4766">
        <w:rPr>
          <w:rStyle w:val="ECHRPara"/>
          <w:szCs w:val="22"/>
        </w:rPr>
        <w:t>съдо</w:t>
      </w:r>
      <w:r>
        <w:rPr>
          <w:rStyle w:val="ECHRPara"/>
          <w:szCs w:val="22"/>
        </w:rPr>
        <w:t>производство</w:t>
      </w:r>
      <w:r w:rsidR="001E4766">
        <w:rPr>
          <w:rStyle w:val="ECHRPara"/>
          <w:szCs w:val="22"/>
        </w:rPr>
        <w:t>то</w:t>
      </w:r>
      <w:r>
        <w:rPr>
          <w:rStyle w:val="ECHRPara"/>
          <w:szCs w:val="22"/>
        </w:rPr>
        <w:t xml:space="preserve"> може да се счита за </w:t>
      </w:r>
      <w:r w:rsidR="001E4766">
        <w:rPr>
          <w:rStyle w:val="ECHRPara"/>
          <w:szCs w:val="22"/>
        </w:rPr>
        <w:t>обосновано</w:t>
      </w:r>
      <w:r>
        <w:rPr>
          <w:rStyle w:val="ECHRPara"/>
          <w:szCs w:val="22"/>
        </w:rPr>
        <w:t xml:space="preserve"> </w:t>
      </w:r>
      <w:r w:rsidR="001E4766">
        <w:rPr>
          <w:rStyle w:val="ECHRPara"/>
          <w:szCs w:val="22"/>
        </w:rPr>
        <w:t>с оглед на</w:t>
      </w:r>
      <w:r>
        <w:rPr>
          <w:rStyle w:val="ECHRPara"/>
          <w:szCs w:val="22"/>
        </w:rPr>
        <w:t xml:space="preserve"> осигур</w:t>
      </w:r>
      <w:r w:rsidR="001E4766">
        <w:rPr>
          <w:rStyle w:val="ECHRPara"/>
          <w:szCs w:val="22"/>
        </w:rPr>
        <w:t>яване</w:t>
      </w:r>
      <w:r>
        <w:rPr>
          <w:rStyle w:val="ECHRPara"/>
          <w:szCs w:val="22"/>
        </w:rPr>
        <w:t xml:space="preserve"> </w:t>
      </w:r>
      <w:r w:rsidR="00F97549">
        <w:rPr>
          <w:rStyle w:val="ECHRPara"/>
          <w:szCs w:val="22"/>
        </w:rPr>
        <w:t xml:space="preserve">на </w:t>
      </w:r>
      <w:r>
        <w:rPr>
          <w:rStyle w:val="ECHRPara"/>
          <w:szCs w:val="22"/>
        </w:rPr>
        <w:t>правна</w:t>
      </w:r>
      <w:r w:rsidR="00F97549">
        <w:rPr>
          <w:rStyle w:val="ECHRPara"/>
          <w:szCs w:val="22"/>
        </w:rPr>
        <w:t>та</w:t>
      </w:r>
      <w:r>
        <w:rPr>
          <w:rStyle w:val="ECHRPara"/>
          <w:szCs w:val="22"/>
        </w:rPr>
        <w:t xml:space="preserve"> сигурност </w:t>
      </w:r>
      <w:r w:rsidR="00F97549">
        <w:rPr>
          <w:rStyle w:val="ECHRPara"/>
          <w:szCs w:val="22"/>
        </w:rPr>
        <w:t>що се отнася до</w:t>
      </w:r>
      <w:r>
        <w:rPr>
          <w:rStyle w:val="ECHRPara"/>
          <w:szCs w:val="22"/>
        </w:rPr>
        <w:t xml:space="preserve"> </w:t>
      </w:r>
      <w:r w:rsidR="001E4766">
        <w:rPr>
          <w:rStyle w:val="ECHRPara"/>
          <w:szCs w:val="22"/>
        </w:rPr>
        <w:t>установения произход от бащата,</w:t>
      </w:r>
      <w:r w:rsidRPr="00C8142E">
        <w:rPr>
          <w:rStyle w:val="ECHRPara"/>
          <w:szCs w:val="22"/>
        </w:rPr>
        <w:t xml:space="preserve"> свързаната</w:t>
      </w:r>
      <w:r>
        <w:rPr>
          <w:rStyle w:val="ECHRPara"/>
          <w:szCs w:val="22"/>
        </w:rPr>
        <w:t xml:space="preserve"> с </w:t>
      </w:r>
      <w:r w:rsidR="001E4766">
        <w:rPr>
          <w:rStyle w:val="ECHRPara"/>
          <w:szCs w:val="22"/>
        </w:rPr>
        <w:t>това</w:t>
      </w:r>
      <w:r>
        <w:rPr>
          <w:rStyle w:val="ECHRPara"/>
          <w:szCs w:val="22"/>
        </w:rPr>
        <w:t xml:space="preserve"> подкрепа</w:t>
      </w:r>
      <w:r w:rsidR="00F97549">
        <w:rPr>
          <w:rStyle w:val="ECHRPara"/>
          <w:szCs w:val="22"/>
        </w:rPr>
        <w:t>, както</w:t>
      </w:r>
      <w:r>
        <w:rPr>
          <w:rStyle w:val="ECHRPara"/>
          <w:szCs w:val="22"/>
        </w:rPr>
        <w:t xml:space="preserve"> и </w:t>
      </w:r>
      <w:r w:rsidR="00F97549">
        <w:rPr>
          <w:rStyle w:val="ECHRPara"/>
          <w:szCs w:val="22"/>
        </w:rPr>
        <w:t xml:space="preserve">вземайки предвид </w:t>
      </w:r>
      <w:r>
        <w:rPr>
          <w:rStyle w:val="ECHRPara"/>
          <w:szCs w:val="22"/>
        </w:rPr>
        <w:t xml:space="preserve">общия интерес на обществото </w:t>
      </w:r>
      <w:r w:rsidR="001E4766">
        <w:rPr>
          <w:rStyle w:val="ECHRPara"/>
          <w:szCs w:val="22"/>
        </w:rPr>
        <w:t>от</w:t>
      </w:r>
      <w:r>
        <w:rPr>
          <w:rStyle w:val="ECHRPara"/>
          <w:szCs w:val="22"/>
        </w:rPr>
        <w:t xml:space="preserve"> укрепва</w:t>
      </w:r>
      <w:r w:rsidR="001E4766">
        <w:rPr>
          <w:rStyle w:val="ECHRPara"/>
          <w:szCs w:val="22"/>
        </w:rPr>
        <w:t>не на</w:t>
      </w:r>
      <w:r>
        <w:rPr>
          <w:rStyle w:val="ECHRPara"/>
          <w:szCs w:val="22"/>
        </w:rPr>
        <w:t xml:space="preserve"> стабилността на гражданските отношения </w:t>
      </w:r>
      <w:r w:rsidR="00F3236B">
        <w:rPr>
          <w:rStyle w:val="ECHRPara"/>
          <w:szCs w:val="22"/>
        </w:rPr>
        <w:t>поради</w:t>
      </w:r>
      <w:r w:rsidR="00F97549">
        <w:rPr>
          <w:rStyle w:val="ECHRPara"/>
          <w:szCs w:val="22"/>
        </w:rPr>
        <w:t xml:space="preserve"> наличието на трайно</w:t>
      </w:r>
      <w:r w:rsidR="001E4766">
        <w:rPr>
          <w:rStyle w:val="ECHRPara"/>
          <w:szCs w:val="22"/>
        </w:rPr>
        <w:t xml:space="preserve"> ус</w:t>
      </w:r>
      <w:r w:rsidR="00C261B4">
        <w:rPr>
          <w:rStyle w:val="ECHRPara"/>
          <w:szCs w:val="22"/>
        </w:rPr>
        <w:t>т</w:t>
      </w:r>
      <w:r w:rsidR="001E4766">
        <w:rPr>
          <w:rStyle w:val="ECHRPara"/>
          <w:szCs w:val="22"/>
        </w:rPr>
        <w:t>ановен произход на частноправните субекти.</w:t>
      </w:r>
      <w:r>
        <w:rPr>
          <w:rStyle w:val="ECHRPara"/>
          <w:szCs w:val="22"/>
        </w:rPr>
        <w:t xml:space="preserve"> (вж., </w:t>
      </w:r>
      <w:r>
        <w:rPr>
          <w:rStyle w:val="ECHRPara"/>
          <w:i/>
          <w:szCs w:val="22"/>
        </w:rPr>
        <w:t>mutatis mutandis</w:t>
      </w:r>
      <w:r>
        <w:rPr>
          <w:rStyle w:val="ECHRPara"/>
          <w:szCs w:val="22"/>
        </w:rPr>
        <w:t xml:space="preserve">, </w:t>
      </w:r>
      <w:r>
        <w:rPr>
          <w:rStyle w:val="ECHRPara"/>
          <w:i/>
          <w:szCs w:val="22"/>
        </w:rPr>
        <w:t>Mizzi v. Malta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>№</w:t>
      </w:r>
      <w:r>
        <w:rPr>
          <w:rStyle w:val="ECHRPara"/>
          <w:szCs w:val="22"/>
        </w:rPr>
        <w:t xml:space="preserve"> 26111/02, § 88, ЕСПЧ 2006I (откъси); </w:t>
      </w:r>
      <w:r>
        <w:rPr>
          <w:rStyle w:val="ECHRPara"/>
          <w:i/>
          <w:szCs w:val="22"/>
        </w:rPr>
        <w:t>Rasmussen</w:t>
      </w:r>
      <w:r>
        <w:rPr>
          <w:rStyle w:val="ECHRPara"/>
          <w:szCs w:val="22"/>
        </w:rPr>
        <w:t xml:space="preserve">, цитирано по-горе § 41,  </w:t>
      </w:r>
      <w:r>
        <w:rPr>
          <w:rStyle w:val="ECHRPara"/>
          <w:i/>
          <w:szCs w:val="22"/>
        </w:rPr>
        <w:t>Shofman v. Russia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>74826/01, § 39, 24 ноември 2009 г.).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23</w:t>
      </w:r>
      <w:r>
        <w:fldChar w:fldCharType="end"/>
      </w:r>
      <w:r>
        <w:rPr>
          <w:rStyle w:val="ECHRPara"/>
          <w:szCs w:val="22"/>
        </w:rPr>
        <w:t>.  </w:t>
      </w:r>
      <w:r w:rsidR="00B113F8">
        <w:rPr>
          <w:rStyle w:val="ECHRPara"/>
          <w:szCs w:val="22"/>
        </w:rPr>
        <w:t xml:space="preserve">Следва </w:t>
      </w:r>
      <w:r>
        <w:rPr>
          <w:rStyle w:val="ECHRPara"/>
          <w:szCs w:val="22"/>
        </w:rPr>
        <w:t>да се установи дали не</w:t>
      </w:r>
      <w:r w:rsidR="00B113F8">
        <w:rPr>
          <w:rStyle w:val="ECHRPara"/>
          <w:szCs w:val="22"/>
        </w:rPr>
        <w:t>допускането</w:t>
      </w:r>
      <w:r>
        <w:rPr>
          <w:rStyle w:val="ECHRPara"/>
          <w:szCs w:val="22"/>
        </w:rPr>
        <w:t xml:space="preserve"> за разглеждане на иск</w:t>
      </w:r>
      <w:r w:rsidR="00B113F8">
        <w:rPr>
          <w:rStyle w:val="ECHRPara"/>
          <w:szCs w:val="22"/>
        </w:rPr>
        <w:t>,</w:t>
      </w:r>
      <w:r>
        <w:rPr>
          <w:rStyle w:val="ECHRPara"/>
          <w:szCs w:val="22"/>
        </w:rPr>
        <w:t xml:space="preserve"> </w:t>
      </w:r>
      <w:r w:rsidR="00B113F8">
        <w:rPr>
          <w:rStyle w:val="ECHRPara"/>
          <w:szCs w:val="22"/>
        </w:rPr>
        <w:t>с предмет</w:t>
      </w:r>
      <w:r>
        <w:rPr>
          <w:rStyle w:val="ECHRPara"/>
          <w:szCs w:val="22"/>
        </w:rPr>
        <w:t xml:space="preserve"> оспорване на бащинството</w:t>
      </w:r>
      <w:r w:rsidR="00B113F8">
        <w:rPr>
          <w:rStyle w:val="ECHRPara"/>
          <w:szCs w:val="22"/>
        </w:rPr>
        <w:t>,</w:t>
      </w:r>
      <w:r>
        <w:rPr>
          <w:rStyle w:val="ECHRPara"/>
          <w:szCs w:val="22"/>
        </w:rPr>
        <w:t xml:space="preserve"> чрез позоваване на приложимото право е </w:t>
      </w:r>
      <w:r>
        <w:rPr>
          <w:rStyle w:val="ECHRPara"/>
          <w:szCs w:val="22"/>
          <w:cs/>
        </w:rPr>
        <w:t>“</w:t>
      </w:r>
      <w:r>
        <w:rPr>
          <w:rStyle w:val="ECHRPara"/>
          <w:szCs w:val="22"/>
        </w:rPr>
        <w:t>необходимо в едно демократично общество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 xml:space="preserve">, </w:t>
      </w:r>
      <w:r w:rsidR="00B113F8">
        <w:rPr>
          <w:rStyle w:val="ECHRPara"/>
          <w:szCs w:val="22"/>
        </w:rPr>
        <w:t xml:space="preserve">т. е. </w:t>
      </w:r>
      <w:r>
        <w:rPr>
          <w:rStyle w:val="ECHRPara"/>
          <w:szCs w:val="22"/>
        </w:rPr>
        <w:t xml:space="preserve"> дали властите са постигнали справедлив баланс между различните интереси.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24</w:t>
      </w:r>
      <w:r>
        <w:fldChar w:fldCharType="end"/>
      </w:r>
      <w:r>
        <w:rPr>
          <w:rStyle w:val="ECHRPara"/>
          <w:szCs w:val="22"/>
        </w:rPr>
        <w:t xml:space="preserve">.  Съдът отбелязва, че въвеждането на обща мярка под формата на законодателен отговор, предназначен да се справи с определен вид ситуация, може да бъде подходящо средство за гарантиране на справедливия баланс, посочен по-горе (вж. параграф 19 по-горе). Въпреки това, за </w:t>
      </w:r>
      <w:r w:rsidR="008E1FAE">
        <w:rPr>
          <w:rStyle w:val="ECHRPara"/>
          <w:szCs w:val="22"/>
        </w:rPr>
        <w:t xml:space="preserve">прекомерно </w:t>
      </w:r>
      <w:r>
        <w:rPr>
          <w:rStyle w:val="ECHRPara"/>
          <w:szCs w:val="22"/>
        </w:rPr>
        <w:t xml:space="preserve">строгото законово ограничение на възможността на жалбоподателя да оспори бащинството - в случая една година, </w:t>
      </w:r>
      <w:r w:rsidR="009D24A1">
        <w:rPr>
          <w:rStyle w:val="ECHRPara"/>
          <w:szCs w:val="22"/>
        </w:rPr>
        <w:t>която започва да тече</w:t>
      </w:r>
      <w:r w:rsidR="008E1FAE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 xml:space="preserve">от раждането на детето, а не от момента, в който жалбоподателят е узнал, че той може да не е баща на детето - не може да се твърди, че представлява </w:t>
      </w:r>
      <w:r w:rsidRPr="001468EF">
        <w:rPr>
          <w:rStyle w:val="ECHRPara"/>
          <w:szCs w:val="22"/>
        </w:rPr>
        <w:t>пропорционално балансиране</w:t>
      </w:r>
      <w:r>
        <w:rPr>
          <w:rStyle w:val="ECHRPara"/>
          <w:szCs w:val="22"/>
        </w:rPr>
        <w:t xml:space="preserve"> на съответните</w:t>
      </w:r>
      <w:r w:rsidR="0012524C">
        <w:rPr>
          <w:rStyle w:val="ECHRPara"/>
          <w:szCs w:val="22"/>
        </w:rPr>
        <w:t xml:space="preserve"> </w:t>
      </w:r>
      <w:r w:rsidR="00B113F8">
        <w:rPr>
          <w:rStyle w:val="ECHRPara"/>
          <w:szCs w:val="22"/>
        </w:rPr>
        <w:t>засегнати</w:t>
      </w:r>
      <w:r>
        <w:rPr>
          <w:rStyle w:val="ECHRPara"/>
          <w:szCs w:val="22"/>
        </w:rPr>
        <w:t xml:space="preserve"> конкуриращи се интереси. Въпреки че изборът на законодателя да ограничи тази възможност във времето</w:t>
      </w:r>
      <w:r w:rsidR="00B113F8">
        <w:rPr>
          <w:rStyle w:val="ECHRPara"/>
          <w:szCs w:val="22"/>
        </w:rPr>
        <w:t>,</w:t>
      </w:r>
      <w:r>
        <w:rPr>
          <w:rStyle w:val="ECHRPara"/>
          <w:szCs w:val="22"/>
        </w:rPr>
        <w:t xml:space="preserve"> не може да бъде квалифициран като нерационален или произволен, Съдът констатира, че </w:t>
      </w:r>
      <w:r w:rsidR="00B113F8">
        <w:rPr>
          <w:rStyle w:val="ECHRPara"/>
          <w:szCs w:val="22"/>
        </w:rPr>
        <w:t>същият</w:t>
      </w:r>
      <w:r>
        <w:rPr>
          <w:rStyle w:val="ECHRPara"/>
          <w:szCs w:val="22"/>
        </w:rPr>
        <w:t xml:space="preserve"> не може да се смята за пропорционален предвид заложените конкретни интереси и </w:t>
      </w:r>
      <w:r w:rsidR="00407FF6">
        <w:rPr>
          <w:rStyle w:val="ECHRPara"/>
          <w:szCs w:val="22"/>
        </w:rPr>
        <w:t>неотклонния подход, който той неизменно следва.</w:t>
      </w:r>
      <w:r>
        <w:rPr>
          <w:rStyle w:val="ECHRPara"/>
          <w:szCs w:val="22"/>
        </w:rPr>
        <w:t xml:space="preserve">. По-конкретно, законодателят не е предвидил никаква процедура, която би позволила разглеждането на индивидуалните обстоятелства на лица, които, подобно на жалбоподателя, са </w:t>
      </w:r>
      <w:r w:rsidR="00FA139F">
        <w:rPr>
          <w:rStyle w:val="ECHRPara"/>
          <w:szCs w:val="22"/>
        </w:rPr>
        <w:t>пропуснали</w:t>
      </w:r>
      <w:r>
        <w:rPr>
          <w:rStyle w:val="ECHRPara"/>
          <w:szCs w:val="22"/>
        </w:rPr>
        <w:t xml:space="preserve"> законоустановения </w:t>
      </w:r>
      <w:proofErr w:type="spellStart"/>
      <w:r w:rsidR="00EC3F00">
        <w:rPr>
          <w:rStyle w:val="ECHRPara"/>
          <w:szCs w:val="22"/>
        </w:rPr>
        <w:t>преклузивен</w:t>
      </w:r>
      <w:proofErr w:type="spellEnd"/>
      <w:r w:rsidR="00EC3F00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 xml:space="preserve">срок поради </w:t>
      </w:r>
      <w:r w:rsidR="007F7A88">
        <w:rPr>
          <w:rStyle w:val="ECHRPara"/>
          <w:szCs w:val="22"/>
        </w:rPr>
        <w:t xml:space="preserve">независещи от тях </w:t>
      </w:r>
      <w:r>
        <w:rPr>
          <w:rStyle w:val="ECHRPara"/>
          <w:szCs w:val="22"/>
        </w:rPr>
        <w:t>причини.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25</w:t>
      </w:r>
      <w:r>
        <w:fldChar w:fldCharType="end"/>
      </w:r>
      <w:r>
        <w:rPr>
          <w:rStyle w:val="ECHRPara"/>
          <w:szCs w:val="22"/>
        </w:rPr>
        <w:t xml:space="preserve">.  В </w:t>
      </w:r>
      <w:r w:rsidR="00C77E10">
        <w:rPr>
          <w:rStyle w:val="ECHRPara"/>
          <w:szCs w:val="22"/>
        </w:rPr>
        <w:t>тази връзка</w:t>
      </w:r>
      <w:r>
        <w:rPr>
          <w:rStyle w:val="ECHRPara"/>
          <w:szCs w:val="22"/>
        </w:rPr>
        <w:t xml:space="preserve"> Съдът отбелязва, че неговата задача не е да замести компетентните национални органи при решаването </w:t>
      </w:r>
      <w:r w:rsidRPr="001468EF">
        <w:rPr>
          <w:rStyle w:val="ECHRPara"/>
          <w:szCs w:val="22"/>
        </w:rPr>
        <w:t xml:space="preserve">на спорове </w:t>
      </w:r>
      <w:r w:rsidR="001468EF" w:rsidRPr="001468EF">
        <w:rPr>
          <w:rStyle w:val="ECHRPara"/>
          <w:szCs w:val="22"/>
        </w:rPr>
        <w:t xml:space="preserve">за </w:t>
      </w:r>
      <w:r w:rsidRPr="001468EF">
        <w:rPr>
          <w:rStyle w:val="ECHRPara"/>
          <w:szCs w:val="22"/>
        </w:rPr>
        <w:t>бащинство н</w:t>
      </w:r>
      <w:r>
        <w:rPr>
          <w:rStyle w:val="ECHRPara"/>
          <w:szCs w:val="22"/>
        </w:rPr>
        <w:t>а национално равнище, а по-скоро да преразгледа в рамките на Конвенцията решенията, взети от тези органи при упражняване на право</w:t>
      </w:r>
      <w:r w:rsidR="00C9578E">
        <w:rPr>
          <w:rStyle w:val="ECHRPara"/>
          <w:szCs w:val="22"/>
        </w:rPr>
        <w:t>то им на</w:t>
      </w:r>
      <w:r>
        <w:rPr>
          <w:rStyle w:val="ECHRPara"/>
          <w:szCs w:val="22"/>
        </w:rPr>
        <w:t xml:space="preserve"> преценка (вж. </w:t>
      </w:r>
      <w:r>
        <w:rPr>
          <w:rStyle w:val="ECHRPara"/>
          <w:i/>
          <w:szCs w:val="22"/>
        </w:rPr>
        <w:t>Krisztián Barnabás Tóth</w:t>
      </w:r>
      <w:r>
        <w:rPr>
          <w:rStyle w:val="ECHRPara"/>
          <w:szCs w:val="22"/>
        </w:rPr>
        <w:t xml:space="preserve">, цитирано по-горе, § 32, и </w:t>
      </w:r>
      <w:r>
        <w:rPr>
          <w:rStyle w:val="ECHRPara"/>
          <w:i/>
          <w:szCs w:val="22"/>
        </w:rPr>
        <w:t>A.L.</w:t>
      </w:r>
      <w:r>
        <w:rPr>
          <w:rStyle w:val="ECHRPara"/>
          <w:szCs w:val="22"/>
        </w:rPr>
        <w:t> </w:t>
      </w:r>
      <w:r>
        <w:rPr>
          <w:rStyle w:val="ECHRPara"/>
          <w:i/>
          <w:szCs w:val="22"/>
        </w:rPr>
        <w:t>v. Poland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 xml:space="preserve">28609/08, § 66, 18 февруари 2014 г.). </w:t>
      </w:r>
      <w:r w:rsidR="00C9578E">
        <w:rPr>
          <w:rStyle w:val="ECHRPara"/>
          <w:szCs w:val="22"/>
        </w:rPr>
        <w:t>Следователно</w:t>
      </w:r>
      <w:r>
        <w:rPr>
          <w:rStyle w:val="ECHRPara"/>
          <w:szCs w:val="22"/>
        </w:rPr>
        <w:t xml:space="preserve"> </w:t>
      </w:r>
      <w:proofErr w:type="spellStart"/>
      <w:r>
        <w:rPr>
          <w:rStyle w:val="ECHRPara"/>
          <w:szCs w:val="22"/>
        </w:rPr>
        <w:t>Съдът</w:t>
      </w:r>
      <w:r w:rsidR="00C9578E">
        <w:rPr>
          <w:rStyle w:val="ECHRPara"/>
          <w:szCs w:val="22"/>
        </w:rPr>
        <w:t>счита</w:t>
      </w:r>
      <w:proofErr w:type="spellEnd"/>
      <w:r>
        <w:rPr>
          <w:rStyle w:val="ECHRPara"/>
          <w:szCs w:val="22"/>
        </w:rPr>
        <w:t xml:space="preserve">, че </w:t>
      </w:r>
      <w:r w:rsidR="00C9578E">
        <w:rPr>
          <w:rStyle w:val="ECHRPara"/>
          <w:szCs w:val="22"/>
        </w:rPr>
        <w:t>следва</w:t>
      </w:r>
      <w:r>
        <w:rPr>
          <w:rStyle w:val="ECHRPara"/>
          <w:szCs w:val="22"/>
        </w:rPr>
        <w:t xml:space="preserve"> да проучи дали при разглеждането на иска на жалбоподателя</w:t>
      </w:r>
      <w:r w:rsidR="00C9578E">
        <w:rPr>
          <w:rStyle w:val="ECHRPara"/>
          <w:szCs w:val="22"/>
        </w:rPr>
        <w:t xml:space="preserve"> за</w:t>
      </w:r>
      <w:r>
        <w:rPr>
          <w:rStyle w:val="ECHRPara"/>
          <w:szCs w:val="22"/>
        </w:rPr>
        <w:t xml:space="preserve"> оспорва</w:t>
      </w:r>
      <w:r w:rsidR="00C9578E">
        <w:rPr>
          <w:rStyle w:val="ECHRPara"/>
          <w:szCs w:val="22"/>
        </w:rPr>
        <w:t>не на</w:t>
      </w:r>
      <w:r>
        <w:rPr>
          <w:rStyle w:val="ECHRPara"/>
          <w:szCs w:val="22"/>
        </w:rPr>
        <w:t xml:space="preserve"> бащинството му, ответната държава е изпълнила изискванията на чл. 8 от Конвенцията.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26</w:t>
      </w:r>
      <w:r>
        <w:fldChar w:fldCharType="end"/>
      </w:r>
      <w:r>
        <w:rPr>
          <w:rStyle w:val="ECHRPara"/>
          <w:szCs w:val="22"/>
        </w:rPr>
        <w:t xml:space="preserve">.  Съдът подчертава, че държавата </w:t>
      </w:r>
      <w:r w:rsidR="00C77E10">
        <w:rPr>
          <w:rStyle w:val="ECHRPara"/>
          <w:szCs w:val="22"/>
        </w:rPr>
        <w:t xml:space="preserve">е </w:t>
      </w:r>
      <w:r>
        <w:rPr>
          <w:rStyle w:val="ECHRPara"/>
          <w:szCs w:val="22"/>
        </w:rPr>
        <w:t>има</w:t>
      </w:r>
      <w:r w:rsidR="00C77E10">
        <w:rPr>
          <w:rStyle w:val="ECHRPara"/>
          <w:szCs w:val="22"/>
        </w:rPr>
        <w:t>ла</w:t>
      </w:r>
      <w:r>
        <w:rPr>
          <w:rStyle w:val="ECHRPara"/>
          <w:szCs w:val="22"/>
        </w:rPr>
        <w:t xml:space="preserve"> по-голяма свобода на преценка при разглеждането на иска на жалбоподателя, тъй като в крайна сметка последният засяга </w:t>
      </w:r>
      <w:r w:rsidRPr="001468EF">
        <w:rPr>
          <w:rStyle w:val="ECHRPara"/>
          <w:szCs w:val="22"/>
        </w:rPr>
        <w:t>правния статут на детето, за разлика</w:t>
      </w:r>
      <w:r>
        <w:rPr>
          <w:rStyle w:val="ECHRPara"/>
          <w:szCs w:val="22"/>
        </w:rPr>
        <w:t xml:space="preserve"> от прав</w:t>
      </w:r>
      <w:r w:rsidR="0028022C">
        <w:rPr>
          <w:rStyle w:val="ECHRPara"/>
          <w:szCs w:val="22"/>
        </w:rPr>
        <w:t>ото</w:t>
      </w:r>
      <w:r>
        <w:rPr>
          <w:rStyle w:val="ECHRPara"/>
          <w:szCs w:val="22"/>
        </w:rPr>
        <w:t xml:space="preserve"> на </w:t>
      </w:r>
      <w:r w:rsidR="0028022C">
        <w:rPr>
          <w:rStyle w:val="ECHRPara"/>
          <w:szCs w:val="22"/>
        </w:rPr>
        <w:t>лични отношения</w:t>
      </w:r>
      <w:r>
        <w:rPr>
          <w:rStyle w:val="ECHRPara"/>
          <w:szCs w:val="22"/>
        </w:rPr>
        <w:t xml:space="preserve">, когато контролът на Съда е по-строг и свободата на преценка на държавата - по-малка (вж. по подобен начин </w:t>
      </w:r>
      <w:r>
        <w:rPr>
          <w:rStyle w:val="ECHRPara"/>
          <w:i/>
          <w:szCs w:val="22"/>
        </w:rPr>
        <w:t>Kautzor v. Germany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>№</w:t>
      </w:r>
      <w:r>
        <w:rPr>
          <w:rStyle w:val="ECHRPara"/>
          <w:szCs w:val="22"/>
        </w:rPr>
        <w:t xml:space="preserve"> 23338/09, §§ 72 и 78, 22 март 2012 г.; </w:t>
      </w:r>
      <w:r>
        <w:rPr>
          <w:rStyle w:val="ECHRPara"/>
          <w:i/>
          <w:szCs w:val="22"/>
        </w:rPr>
        <w:t>Ahrens v. Germany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>№</w:t>
      </w:r>
      <w:r>
        <w:rPr>
          <w:rStyle w:val="ECHRPara"/>
          <w:szCs w:val="22"/>
        </w:rPr>
        <w:t xml:space="preserve"> 45071/09, § 70, 22 март 2012 г., и </w:t>
      </w:r>
      <w:r>
        <w:rPr>
          <w:rStyle w:val="ECHRPara"/>
          <w:i/>
          <w:szCs w:val="22"/>
        </w:rPr>
        <w:t>A.L</w:t>
      </w:r>
      <w:r>
        <w:rPr>
          <w:rStyle w:val="ECHRPara"/>
          <w:szCs w:val="22"/>
        </w:rPr>
        <w:t>., цитирано по-горе,</w:t>
      </w:r>
      <w:r>
        <w:rPr>
          <w:rStyle w:val="ECHRPara"/>
          <w:i/>
          <w:szCs w:val="22"/>
        </w:rPr>
        <w:t xml:space="preserve"> </w:t>
      </w:r>
      <w:r>
        <w:rPr>
          <w:rStyle w:val="ECHRPara"/>
          <w:szCs w:val="22"/>
        </w:rPr>
        <w:t>§ 68). Като част от тази свобода на преценка националното законодателство</w:t>
      </w:r>
      <w:r w:rsidR="0028022C">
        <w:rPr>
          <w:rStyle w:val="ECHRPara"/>
          <w:szCs w:val="22"/>
        </w:rPr>
        <w:t>,</w:t>
      </w:r>
      <w:r>
        <w:rPr>
          <w:rStyle w:val="ECHRPara"/>
          <w:szCs w:val="22"/>
        </w:rPr>
        <w:t xml:space="preserve"> в </w:t>
      </w:r>
      <w:r w:rsidR="00C77E10">
        <w:rPr>
          <w:rStyle w:val="ECHRPara"/>
          <w:szCs w:val="22"/>
        </w:rPr>
        <w:t xml:space="preserve">настоящия </w:t>
      </w:r>
      <w:proofErr w:type="spellStart"/>
      <w:r>
        <w:rPr>
          <w:rStyle w:val="ECHRPara"/>
          <w:szCs w:val="22"/>
        </w:rPr>
        <w:t>случай</w:t>
      </w:r>
      <w:r w:rsidR="0028022C">
        <w:rPr>
          <w:rStyle w:val="ECHRPara"/>
          <w:szCs w:val="22"/>
        </w:rPr>
        <w:t>,</w:t>
      </w:r>
      <w:r>
        <w:rPr>
          <w:rStyle w:val="ECHRPara"/>
          <w:szCs w:val="22"/>
        </w:rPr>
        <w:t>предвижда</w:t>
      </w:r>
      <w:proofErr w:type="spellEnd"/>
      <w:r>
        <w:rPr>
          <w:rStyle w:val="ECHRPara"/>
          <w:szCs w:val="22"/>
        </w:rPr>
        <w:t xml:space="preserve"> </w:t>
      </w:r>
      <w:r w:rsidR="0028022C">
        <w:rPr>
          <w:rStyle w:val="ECHRPara"/>
          <w:szCs w:val="22"/>
        </w:rPr>
        <w:t xml:space="preserve">възможността, лицата, ползващи се от презумпция за бащинство по силата на </w:t>
      </w:r>
      <w:r w:rsidR="00930133">
        <w:rPr>
          <w:rStyle w:val="ECHRPara"/>
          <w:szCs w:val="22"/>
        </w:rPr>
        <w:t xml:space="preserve"> закона</w:t>
      </w:r>
      <w:r w:rsidR="0028022C">
        <w:rPr>
          <w:rStyle w:val="ECHRPara"/>
          <w:szCs w:val="22"/>
        </w:rPr>
        <w:t>,</w:t>
      </w:r>
      <w:r w:rsidR="00930133">
        <w:rPr>
          <w:rStyle w:val="ECHRPara"/>
          <w:szCs w:val="22"/>
        </w:rPr>
        <w:t xml:space="preserve"> </w:t>
      </w:r>
      <w:r w:rsidRPr="00C8142E">
        <w:rPr>
          <w:rStyle w:val="ECHRPara"/>
          <w:szCs w:val="22"/>
        </w:rPr>
        <w:t xml:space="preserve"> да </w:t>
      </w:r>
      <w:r w:rsidR="0028022C">
        <w:rPr>
          <w:rStyle w:val="ECHRPara"/>
          <w:szCs w:val="22"/>
        </w:rPr>
        <w:t xml:space="preserve">я </w:t>
      </w:r>
      <w:r w:rsidRPr="00C8142E">
        <w:rPr>
          <w:rStyle w:val="ECHRPara"/>
          <w:szCs w:val="22"/>
        </w:rPr>
        <w:t>о</w:t>
      </w:r>
      <w:r w:rsidR="0028022C">
        <w:rPr>
          <w:rStyle w:val="ECHRPara"/>
          <w:szCs w:val="22"/>
        </w:rPr>
        <w:t xml:space="preserve">борят по съдебен </w:t>
      </w:r>
      <w:proofErr w:type="spellStart"/>
      <w:r w:rsidR="0028022C">
        <w:rPr>
          <w:rStyle w:val="ECHRPara"/>
          <w:szCs w:val="22"/>
        </w:rPr>
        <w:t>редт</w:t>
      </w:r>
      <w:proofErr w:type="spellEnd"/>
      <w:r w:rsidRPr="00C8142E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 xml:space="preserve"> . Тази възможност обаче е строго ограничена във времето до една година от датата на </w:t>
      </w:r>
      <w:r w:rsidR="00C77E10">
        <w:rPr>
          <w:rStyle w:val="ECHRPara"/>
          <w:szCs w:val="22"/>
        </w:rPr>
        <w:t xml:space="preserve">узнаване </w:t>
      </w:r>
      <w:r>
        <w:rPr>
          <w:rStyle w:val="ECHRPara"/>
          <w:szCs w:val="22"/>
        </w:rPr>
        <w:t>за раждането на детето.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27</w:t>
      </w:r>
      <w:r>
        <w:fldChar w:fldCharType="end"/>
      </w:r>
      <w:r>
        <w:rPr>
          <w:rStyle w:val="ECHRPara"/>
          <w:szCs w:val="22"/>
        </w:rPr>
        <w:t xml:space="preserve">.  Съдът </w:t>
      </w:r>
      <w:r w:rsidR="00FF0977">
        <w:rPr>
          <w:rStyle w:val="ECHRPara"/>
          <w:szCs w:val="22"/>
        </w:rPr>
        <w:t>посочва</w:t>
      </w:r>
      <w:r>
        <w:rPr>
          <w:rStyle w:val="ECHRPara"/>
          <w:szCs w:val="22"/>
        </w:rPr>
        <w:t>, че по времето, когато детето, по отношение на което жалбоподателят желае да оспори бащинството</w:t>
      </w:r>
      <w:r w:rsidR="00FF0977">
        <w:rPr>
          <w:rStyle w:val="ECHRPara"/>
          <w:szCs w:val="22"/>
        </w:rPr>
        <w:t xml:space="preserve"> си</w:t>
      </w:r>
      <w:r>
        <w:rPr>
          <w:rStyle w:val="ECHRPara"/>
          <w:szCs w:val="22"/>
        </w:rPr>
        <w:t>, е родено, жалбоподателят е женен за майка</w:t>
      </w:r>
      <w:r w:rsidR="0083644B">
        <w:rPr>
          <w:rStyle w:val="ECHRPara"/>
          <w:szCs w:val="22"/>
        </w:rPr>
        <w:t xml:space="preserve"> му</w:t>
      </w:r>
      <w:r>
        <w:rPr>
          <w:rStyle w:val="ECHRPara"/>
          <w:szCs w:val="22"/>
        </w:rPr>
        <w:t>. В резултат на това той се смята за бащата на детето</w:t>
      </w:r>
      <w:r w:rsidR="00F26DB6">
        <w:rPr>
          <w:rStyle w:val="ECHRPara"/>
          <w:szCs w:val="22"/>
        </w:rPr>
        <w:t xml:space="preserve"> и</w:t>
      </w:r>
      <w:r>
        <w:rPr>
          <w:rStyle w:val="ECHRPara"/>
          <w:szCs w:val="22"/>
        </w:rPr>
        <w:t xml:space="preserve"> продължава да живее заедно с майката и детето като семейство в продължение на около три години след раждането на детето и преди </w:t>
      </w:r>
      <w:r w:rsidR="00F26DB6">
        <w:rPr>
          <w:rStyle w:val="ECHRPara"/>
          <w:szCs w:val="22"/>
        </w:rPr>
        <w:t>да се разведе с</w:t>
      </w:r>
      <w:r>
        <w:rPr>
          <w:rStyle w:val="ECHRPara"/>
          <w:szCs w:val="22"/>
        </w:rPr>
        <w:t xml:space="preserve"> майката</w:t>
      </w:r>
      <w:r w:rsidR="00F26DB6">
        <w:rPr>
          <w:rStyle w:val="ECHRPara"/>
          <w:szCs w:val="22"/>
        </w:rPr>
        <w:t>.</w:t>
      </w:r>
      <w:r>
        <w:rPr>
          <w:rStyle w:val="ECHRPara"/>
          <w:szCs w:val="22"/>
        </w:rPr>
        <w:t xml:space="preserve">  Следователно жалбоподателят е установил родителски отношения с въпросното дете както от правна гледна точка, така и на практика, и е било в интерес на детето да разчита на стабилността и непрекъснатостта на тези отношения, въпреки последвалия развод на законните му родители. Когато жалбоподателят оспорва бащинството си, националните съдилища отхвърлят иска му, като констатират, че </w:t>
      </w:r>
      <w:r w:rsidR="00D03771">
        <w:rPr>
          <w:rStyle w:val="ECHRPara"/>
          <w:szCs w:val="22"/>
        </w:rPr>
        <w:t>същият</w:t>
      </w:r>
      <w:r>
        <w:rPr>
          <w:rStyle w:val="ECHRPara"/>
          <w:szCs w:val="22"/>
        </w:rPr>
        <w:t xml:space="preserve"> е </w:t>
      </w:r>
      <w:r w:rsidR="00192D59">
        <w:rPr>
          <w:rStyle w:val="ECHRPara"/>
          <w:szCs w:val="22"/>
        </w:rPr>
        <w:t xml:space="preserve">предявен </w:t>
      </w:r>
      <w:r>
        <w:rPr>
          <w:rStyle w:val="ECHRPara"/>
          <w:szCs w:val="22"/>
        </w:rPr>
        <w:t xml:space="preserve">след изтичане на </w:t>
      </w:r>
      <w:r w:rsidR="00D03771">
        <w:rPr>
          <w:rStyle w:val="ECHRPara"/>
          <w:szCs w:val="22"/>
        </w:rPr>
        <w:t xml:space="preserve">законовия </w:t>
      </w:r>
      <w:r>
        <w:rPr>
          <w:rStyle w:val="ECHRPara"/>
          <w:szCs w:val="22"/>
        </w:rPr>
        <w:t>срок (вж. параграф 8 по-горе).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28</w:t>
      </w:r>
      <w:r>
        <w:fldChar w:fldCharType="end"/>
      </w:r>
      <w:r>
        <w:rPr>
          <w:rStyle w:val="ECHRPara"/>
          <w:szCs w:val="22"/>
        </w:rPr>
        <w:t xml:space="preserve">.  В по-ранно дело (вж. </w:t>
      </w:r>
      <w:r>
        <w:rPr>
          <w:rStyle w:val="ECHRPara"/>
          <w:i/>
          <w:szCs w:val="22"/>
        </w:rPr>
        <w:t>Yildirim</w:t>
      </w:r>
      <w:r>
        <w:rPr>
          <w:rStyle w:val="ECHRPara"/>
          <w:szCs w:val="22"/>
        </w:rPr>
        <w:t xml:space="preserve">, цитирано по-горе) Съдът констатира, че </w:t>
      </w:r>
      <w:r>
        <w:rPr>
          <w:rStyle w:val="ECHRPara"/>
          <w:szCs w:val="22"/>
          <w:cs/>
        </w:rPr>
        <w:t>“</w:t>
      </w:r>
      <w:r>
        <w:rPr>
          <w:rStyle w:val="ECHRPara"/>
          <w:szCs w:val="22"/>
        </w:rPr>
        <w:t xml:space="preserve">след </w:t>
      </w:r>
      <w:r w:rsidR="00EC3F00">
        <w:rPr>
          <w:rStyle w:val="ECHRPara"/>
          <w:szCs w:val="22"/>
        </w:rPr>
        <w:t>изтичане на</w:t>
      </w:r>
      <w:r>
        <w:rPr>
          <w:rStyle w:val="ECHRPara"/>
          <w:szCs w:val="22"/>
        </w:rPr>
        <w:t xml:space="preserve"> </w:t>
      </w:r>
      <w:r w:rsidR="00EC3F00">
        <w:rPr>
          <w:rStyle w:val="ECHRPara"/>
          <w:szCs w:val="22"/>
        </w:rPr>
        <w:t xml:space="preserve">преклузивния </w:t>
      </w:r>
      <w:r>
        <w:rPr>
          <w:rStyle w:val="ECHRPara"/>
          <w:szCs w:val="22"/>
        </w:rPr>
        <w:t xml:space="preserve">срок за иска на жалбоподателя за оспорване на бащинството, по-голяма тежест е </w:t>
      </w:r>
      <w:r w:rsidR="007978C0">
        <w:rPr>
          <w:rStyle w:val="ECHRPara"/>
          <w:szCs w:val="22"/>
        </w:rPr>
        <w:t>при</w:t>
      </w:r>
      <w:r>
        <w:rPr>
          <w:rStyle w:val="ECHRPara"/>
          <w:szCs w:val="22"/>
        </w:rPr>
        <w:t>дадена на интересите на детето, отколкото на интереса на жалбоподателя да оспори бащинство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 xml:space="preserve">. Това заключение обаче е направено </w:t>
      </w:r>
      <w:r w:rsidR="007978C0">
        <w:rPr>
          <w:rStyle w:val="ECHRPara"/>
          <w:szCs w:val="22"/>
        </w:rPr>
        <w:t xml:space="preserve">с оглед </w:t>
      </w:r>
      <w:r>
        <w:rPr>
          <w:rStyle w:val="ECHRPara"/>
          <w:szCs w:val="22"/>
        </w:rPr>
        <w:t xml:space="preserve">на факта, че жалбоподателят е знаел, че не е бащата от първия ден от живота на детето, но поради причини, които не са свързани със закона, не е предприел никакви стъпки за оспорване на бащинството в законоустановения срок (вж. за подобен подход </w:t>
      </w:r>
      <w:r>
        <w:rPr>
          <w:rStyle w:val="ECHRPara"/>
          <w:i/>
          <w:szCs w:val="22"/>
        </w:rPr>
        <w:t>Shofman</w:t>
      </w:r>
      <w:r>
        <w:rPr>
          <w:rStyle w:val="ECHRPara"/>
          <w:szCs w:val="22"/>
        </w:rPr>
        <w:t>, цитирано по-горе, § 39).</w:t>
      </w:r>
    </w:p>
    <w:p w:rsidR="00F432BA" w:rsidRPr="00267487" w:rsidRDefault="00F432BA" w:rsidP="00F432BA">
      <w:pPr>
        <w:pStyle w:val="ECHRPara"/>
        <w:rPr>
          <w:rFonts w:eastAsia="Times New Roman"/>
        </w:rPr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29</w:t>
      </w:r>
      <w:r>
        <w:fldChar w:fldCharType="end"/>
      </w:r>
      <w:r>
        <w:rPr>
          <w:rStyle w:val="ECHRPara"/>
          <w:szCs w:val="22"/>
        </w:rPr>
        <w:t>.  </w:t>
      </w:r>
      <w:r w:rsidR="00786520">
        <w:rPr>
          <w:rStyle w:val="ECHRPara"/>
          <w:szCs w:val="22"/>
        </w:rPr>
        <w:t xml:space="preserve">Ситуацията </w:t>
      </w:r>
      <w:r>
        <w:rPr>
          <w:rStyle w:val="ECHRPara"/>
          <w:szCs w:val="22"/>
        </w:rPr>
        <w:t>в настоящия случай е различн</w:t>
      </w:r>
      <w:r w:rsidR="00786520">
        <w:rPr>
          <w:rStyle w:val="ECHRPara"/>
          <w:szCs w:val="22"/>
        </w:rPr>
        <w:t>а</w:t>
      </w:r>
      <w:r>
        <w:rPr>
          <w:rStyle w:val="ECHRPara"/>
          <w:szCs w:val="22"/>
        </w:rPr>
        <w:t xml:space="preserve">. </w:t>
      </w:r>
      <w:r w:rsidR="00386BDC">
        <w:rPr>
          <w:rStyle w:val="ECHRPara"/>
          <w:szCs w:val="22"/>
        </w:rPr>
        <w:t>Ж</w:t>
      </w:r>
      <w:r>
        <w:rPr>
          <w:rStyle w:val="ECHRPara"/>
          <w:szCs w:val="22"/>
        </w:rPr>
        <w:t>албоподателя</w:t>
      </w:r>
      <w:r w:rsidR="007978C0">
        <w:rPr>
          <w:rStyle w:val="ECHRPara"/>
          <w:szCs w:val="22"/>
        </w:rPr>
        <w:t>т</w:t>
      </w:r>
      <w:r>
        <w:rPr>
          <w:rStyle w:val="ECHRPara"/>
          <w:szCs w:val="22"/>
        </w:rPr>
        <w:t xml:space="preserve"> </w:t>
      </w:r>
      <w:r w:rsidR="00807A61">
        <w:rPr>
          <w:rStyle w:val="ECHRPara"/>
          <w:szCs w:val="22"/>
        </w:rPr>
        <w:t>е ра</w:t>
      </w:r>
      <w:r w:rsidR="005A3A56">
        <w:rPr>
          <w:rStyle w:val="ECHRPara"/>
          <w:szCs w:val="22"/>
        </w:rPr>
        <w:t>з</w:t>
      </w:r>
      <w:r w:rsidR="00807A61">
        <w:rPr>
          <w:rStyle w:val="ECHRPara"/>
          <w:szCs w:val="22"/>
        </w:rPr>
        <w:t>брал</w:t>
      </w:r>
      <w:r>
        <w:rPr>
          <w:rStyle w:val="ECHRPara"/>
          <w:szCs w:val="22"/>
        </w:rPr>
        <w:t xml:space="preserve">, че той вероятно не е бащата, едва след развода с майката на детето. Жалбоподателят е </w:t>
      </w:r>
      <w:r w:rsidR="005A3A56">
        <w:rPr>
          <w:rStyle w:val="ECHRPara"/>
          <w:szCs w:val="22"/>
        </w:rPr>
        <w:t>получава</w:t>
      </w:r>
      <w:r w:rsidR="00807A61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>ДНК експертиза и</w:t>
      </w:r>
      <w:r w:rsidR="00386BDC" w:rsidRPr="00807A61">
        <w:rPr>
          <w:rStyle w:val="ECHRPara"/>
          <w:szCs w:val="22"/>
        </w:rPr>
        <w:t xml:space="preserve"> </w:t>
      </w:r>
      <w:r w:rsidR="00807A61">
        <w:rPr>
          <w:rStyle w:val="ECHRPara"/>
          <w:szCs w:val="22"/>
        </w:rPr>
        <w:t xml:space="preserve">веднага </w:t>
      </w:r>
      <w:r w:rsidR="005A3A56">
        <w:rPr>
          <w:rStyle w:val="ECHRPara"/>
          <w:szCs w:val="22"/>
        </w:rPr>
        <w:t>прави опит</w:t>
      </w:r>
      <w:r w:rsidR="00807A61" w:rsidRPr="00807A61">
        <w:rPr>
          <w:rStyle w:val="ECHRPara"/>
          <w:szCs w:val="22"/>
        </w:rPr>
        <w:t xml:space="preserve"> </w:t>
      </w:r>
      <w:r w:rsidRPr="00807A61">
        <w:rPr>
          <w:rStyle w:val="ECHRPara"/>
          <w:szCs w:val="22"/>
        </w:rPr>
        <w:t xml:space="preserve">да </w:t>
      </w:r>
      <w:r w:rsidR="00786520" w:rsidRPr="00807A61">
        <w:rPr>
          <w:rStyle w:val="ECHRPara"/>
          <w:szCs w:val="22"/>
        </w:rPr>
        <w:t xml:space="preserve">образува </w:t>
      </w:r>
      <w:r w:rsidRPr="00807A61">
        <w:rPr>
          <w:rStyle w:val="ECHRPara"/>
          <w:szCs w:val="22"/>
        </w:rPr>
        <w:t>съдебно производство в това отношение, но без резултат. Съдът по-рано е констатирал, че установяването</w:t>
      </w:r>
      <w:r>
        <w:rPr>
          <w:rStyle w:val="ECHRPara"/>
          <w:szCs w:val="22"/>
        </w:rPr>
        <w:t xml:space="preserve"> на </w:t>
      </w:r>
      <w:r w:rsidRPr="00807A61">
        <w:rPr>
          <w:rStyle w:val="ECHRPara"/>
          <w:szCs w:val="22"/>
        </w:rPr>
        <w:t>негъвкави срокове</w:t>
      </w:r>
      <w:r>
        <w:rPr>
          <w:rStyle w:val="ECHRPara"/>
          <w:szCs w:val="22"/>
        </w:rPr>
        <w:t xml:space="preserve"> е вероятно да противоречи на </w:t>
      </w:r>
      <w:r w:rsidR="00807A61" w:rsidRPr="00807A61">
        <w:rPr>
          <w:rStyle w:val="ECHRPara"/>
          <w:szCs w:val="22"/>
        </w:rPr>
        <w:t>значението</w:t>
      </w:r>
      <w:r w:rsidR="00807A61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 xml:space="preserve">на </w:t>
      </w:r>
      <w:r w:rsidR="00786520">
        <w:rPr>
          <w:rStyle w:val="ECHRPara"/>
          <w:szCs w:val="22"/>
        </w:rPr>
        <w:t xml:space="preserve">въпросния </w:t>
      </w:r>
      <w:r>
        <w:rPr>
          <w:rStyle w:val="ECHRPara"/>
          <w:szCs w:val="22"/>
        </w:rPr>
        <w:t>засегнат</w:t>
      </w:r>
      <w:r w:rsidR="00807A61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 xml:space="preserve">интерес във връзка с личния живот (вж. </w:t>
      </w:r>
      <w:r>
        <w:rPr>
          <w:rStyle w:val="ECHRPara"/>
          <w:i/>
          <w:szCs w:val="22"/>
        </w:rPr>
        <w:t>A.L</w:t>
      </w:r>
      <w:r>
        <w:rPr>
          <w:rStyle w:val="ECHRPara"/>
          <w:szCs w:val="22"/>
        </w:rPr>
        <w:t xml:space="preserve">., цитирано по-горе, § 71). По този начин в няколко случая е констатирано нарушение на чл. 8 в резултат на невъзможността поради прилагането на </w:t>
      </w:r>
      <w:r w:rsidR="000E15F1">
        <w:rPr>
          <w:rStyle w:val="ECHRPara"/>
          <w:szCs w:val="22"/>
        </w:rPr>
        <w:t xml:space="preserve">стриктни </w:t>
      </w:r>
      <w:r>
        <w:rPr>
          <w:rStyle w:val="ECHRPara"/>
          <w:szCs w:val="22"/>
        </w:rPr>
        <w:t xml:space="preserve">срокове, </w:t>
      </w:r>
      <w:r w:rsidR="00786520">
        <w:rPr>
          <w:rStyle w:val="ECHRPara"/>
          <w:szCs w:val="22"/>
        </w:rPr>
        <w:t xml:space="preserve">които започват </w:t>
      </w:r>
      <w:r>
        <w:rPr>
          <w:rStyle w:val="ECHRPara"/>
          <w:szCs w:val="22"/>
        </w:rPr>
        <w:t xml:space="preserve">да текат от раждането на детето, за оспорване на бащинството, когато жалбоподателите са </w:t>
      </w:r>
      <w:r w:rsidR="00DF5600">
        <w:rPr>
          <w:rStyle w:val="ECHRPara"/>
          <w:szCs w:val="22"/>
        </w:rPr>
        <w:t xml:space="preserve">узнали </w:t>
      </w:r>
      <w:r>
        <w:rPr>
          <w:rStyle w:val="ECHRPara"/>
          <w:szCs w:val="22"/>
        </w:rPr>
        <w:t xml:space="preserve">за обстоятелствата в подкрепа на исковете си или са получили съответните научни доказателства едва след изтичането на този срок (вж. </w:t>
      </w:r>
      <w:r>
        <w:rPr>
          <w:rStyle w:val="ECHRPara"/>
          <w:i/>
          <w:szCs w:val="22"/>
        </w:rPr>
        <w:t>Mizzi</w:t>
      </w:r>
      <w:r>
        <w:rPr>
          <w:rStyle w:val="ECHRPara"/>
          <w:szCs w:val="22"/>
        </w:rPr>
        <w:t xml:space="preserve">, цитирано по-горе, §§ 112-114, и </w:t>
      </w:r>
      <w:r>
        <w:rPr>
          <w:rStyle w:val="ECHRPara"/>
          <w:i/>
          <w:szCs w:val="22"/>
        </w:rPr>
        <w:t>Tavlı v. Turkey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>11449/02, §§ 333636, 9 ноември 2006 г.).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30</w:t>
      </w:r>
      <w:r>
        <w:fldChar w:fldCharType="end"/>
      </w:r>
      <w:r>
        <w:rPr>
          <w:rStyle w:val="ECHRPara"/>
          <w:szCs w:val="22"/>
        </w:rPr>
        <w:t xml:space="preserve">.  В конкретния случай жалбоподателят е </w:t>
      </w:r>
      <w:r w:rsidRPr="00C4142C">
        <w:rPr>
          <w:rStyle w:val="ECHRPara"/>
          <w:szCs w:val="22"/>
        </w:rPr>
        <w:t>придобил</w:t>
      </w:r>
      <w:r>
        <w:rPr>
          <w:rStyle w:val="ECHRPara"/>
          <w:szCs w:val="22"/>
        </w:rPr>
        <w:t xml:space="preserve"> научно доказателство, което показва вероятността той да не е биологичният баща на въпросното дете. Независимо от това, последвалото правно оспорване на бащинството от негова страна</w:t>
      </w:r>
      <w:r w:rsidR="007839EA">
        <w:rPr>
          <w:rStyle w:val="ECHRPara"/>
          <w:szCs w:val="22"/>
        </w:rPr>
        <w:t>,</w:t>
      </w:r>
      <w:r>
        <w:rPr>
          <w:rStyle w:val="ECHRPara"/>
          <w:szCs w:val="22"/>
        </w:rPr>
        <w:t xml:space="preserve"> никога не е разглеждано по същество, а вместо това е отхвърлено като изтекло по давност. Абсолютната строгост на приложимия срок означава, че </w:t>
      </w:r>
      <w:r w:rsidRPr="00C4142C">
        <w:rPr>
          <w:rStyle w:val="ECHRPara"/>
          <w:szCs w:val="22"/>
        </w:rPr>
        <w:t>доказателствената сила</w:t>
      </w:r>
      <w:r>
        <w:rPr>
          <w:rStyle w:val="ECHRPara"/>
          <w:szCs w:val="22"/>
        </w:rPr>
        <w:t xml:space="preserve"> на тези доказателства никога не е проверявана, а на жалбоподателя не е дадена възможност за разглеждане на </w:t>
      </w:r>
      <w:r w:rsidR="00DF5600" w:rsidRPr="007E6D30">
        <w:rPr>
          <w:rStyle w:val="ECHRPara"/>
          <w:szCs w:val="22"/>
        </w:rPr>
        <w:t xml:space="preserve">случая му в </w:t>
      </w:r>
      <w:r w:rsidR="00B76281">
        <w:rPr>
          <w:rStyle w:val="ECHRPara"/>
          <w:szCs w:val="22"/>
        </w:rPr>
        <w:t xml:space="preserve">рамките на </w:t>
      </w:r>
      <w:r w:rsidRPr="007E6D30">
        <w:rPr>
          <w:rStyle w:val="ECHRPara"/>
          <w:szCs w:val="22"/>
        </w:rPr>
        <w:t>национална процедура,</w:t>
      </w:r>
      <w:r>
        <w:rPr>
          <w:rStyle w:val="ECHRPara"/>
          <w:szCs w:val="22"/>
        </w:rPr>
        <w:t xml:space="preserve"> </w:t>
      </w:r>
      <w:r w:rsidR="00B76281">
        <w:rPr>
          <w:rStyle w:val="ECHRPara"/>
          <w:szCs w:val="22"/>
        </w:rPr>
        <w:t>по която</w:t>
      </w:r>
      <w:r>
        <w:rPr>
          <w:rStyle w:val="ECHRPara"/>
          <w:szCs w:val="22"/>
        </w:rPr>
        <w:t xml:space="preserve"> да </w:t>
      </w:r>
      <w:r w:rsidR="00B76281">
        <w:rPr>
          <w:rStyle w:val="ECHRPara"/>
          <w:szCs w:val="22"/>
        </w:rPr>
        <w:t xml:space="preserve">се направи </w:t>
      </w:r>
      <w:r>
        <w:rPr>
          <w:rStyle w:val="ECHRPara"/>
          <w:szCs w:val="22"/>
        </w:rPr>
        <w:t>прецен</w:t>
      </w:r>
      <w:r w:rsidR="00B76281">
        <w:rPr>
          <w:rStyle w:val="ECHRPara"/>
          <w:szCs w:val="22"/>
        </w:rPr>
        <w:t>ка</w:t>
      </w:r>
      <w:r>
        <w:rPr>
          <w:rStyle w:val="ECHRPara"/>
          <w:szCs w:val="22"/>
        </w:rPr>
        <w:t xml:space="preserve"> различните интереси и </w:t>
      </w:r>
      <w:r w:rsidR="00B76281">
        <w:rPr>
          <w:rStyle w:val="ECHRPara"/>
          <w:szCs w:val="22"/>
        </w:rPr>
        <w:t>същите да се претеглят</w:t>
      </w:r>
      <w:r>
        <w:rPr>
          <w:rStyle w:val="ECHRPara"/>
          <w:szCs w:val="22"/>
        </w:rPr>
        <w:t xml:space="preserve"> </w:t>
      </w:r>
      <w:r w:rsidRPr="00C4142C">
        <w:rPr>
          <w:rStyle w:val="ECHRPara"/>
          <w:szCs w:val="22"/>
        </w:rPr>
        <w:t>по отношение</w:t>
      </w:r>
      <w:r>
        <w:rPr>
          <w:rStyle w:val="ECHRPara"/>
          <w:szCs w:val="22"/>
        </w:rPr>
        <w:t xml:space="preserve"> на първостепенното съображение за най-добрия интерес на детето. В предишни сходни дела Съдът констатира, че процесът на вземане на решения е проблематичен, когато националният орган не е разгледал личните обстоятелства на жалбоподателите (вж. </w:t>
      </w:r>
      <w:r>
        <w:rPr>
          <w:rStyle w:val="ECHRPara"/>
          <w:i/>
          <w:szCs w:val="22"/>
        </w:rPr>
        <w:t>Różański</w:t>
      </w:r>
      <w:r>
        <w:rPr>
          <w:rStyle w:val="ECHRPara"/>
          <w:szCs w:val="22"/>
        </w:rPr>
        <w:t xml:space="preserve">, цитирано по-горе, § 77, </w:t>
      </w:r>
      <w:r>
        <w:rPr>
          <w:rStyle w:val="ECHRPara"/>
          <w:i/>
          <w:szCs w:val="22"/>
        </w:rPr>
        <w:t>Anayo</w:t>
      </w:r>
      <w:r>
        <w:rPr>
          <w:rStyle w:val="ECHRPara"/>
          <w:szCs w:val="22"/>
        </w:rPr>
        <w:t xml:space="preserve">, цитирано по-горе, § 71, </w:t>
      </w:r>
      <w:r>
        <w:rPr>
          <w:rStyle w:val="ECHRPara"/>
          <w:i/>
          <w:szCs w:val="22"/>
        </w:rPr>
        <w:t>Shofman</w:t>
      </w:r>
      <w:r>
        <w:rPr>
          <w:rStyle w:val="ECHRPara"/>
          <w:szCs w:val="22"/>
        </w:rPr>
        <w:t>, цитирано по-горе, § 43)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31</w:t>
      </w:r>
      <w:r>
        <w:fldChar w:fldCharType="end"/>
      </w:r>
      <w:r>
        <w:rPr>
          <w:rStyle w:val="ECHRPara"/>
          <w:szCs w:val="22"/>
        </w:rPr>
        <w:t xml:space="preserve">.  Положението, в което се намира жалбоподателят в настоящото дело, трябва да се разграничи от това на жалбоподателите в редица други дела, които са се опитали или да оспорят, или да претендират за бащинство въз основа на биологична реалност, противоречаща на установените правни презумпции. По-конкретно, в тези случаи исковете на жалбоподателите или исковете, предявени в техен интерес, са отхвърлени от съответните национални органи след разглеждане на фактическите обстоятелства </w:t>
      </w:r>
      <w:r w:rsidRPr="000F6EFA">
        <w:rPr>
          <w:rStyle w:val="ECHRPara"/>
          <w:szCs w:val="22"/>
        </w:rPr>
        <w:t xml:space="preserve">и след </w:t>
      </w:r>
      <w:r w:rsidR="000F6EFA" w:rsidRPr="000F6EFA">
        <w:rPr>
          <w:rStyle w:val="ECHRPara"/>
          <w:szCs w:val="22"/>
        </w:rPr>
        <w:t>постигане на баланс</w:t>
      </w:r>
      <w:r w:rsidRPr="000F6EFA">
        <w:rPr>
          <w:rStyle w:val="ECHRPara"/>
          <w:szCs w:val="22"/>
        </w:rPr>
        <w:t xml:space="preserve">, което, макар и </w:t>
      </w:r>
      <w:r w:rsidR="005C265B">
        <w:rPr>
          <w:rStyle w:val="ECHRPara"/>
          <w:szCs w:val="22"/>
        </w:rPr>
        <w:t>да е направено по синтезиран начин</w:t>
      </w:r>
      <w:r w:rsidRPr="000F6EFA">
        <w:rPr>
          <w:rStyle w:val="ECHRPara"/>
          <w:szCs w:val="22"/>
        </w:rPr>
        <w:t xml:space="preserve">, отчита различните интереси, включително </w:t>
      </w:r>
      <w:r w:rsidR="000F6EFA" w:rsidRPr="000F6EFA">
        <w:rPr>
          <w:rStyle w:val="ECHRPara"/>
          <w:szCs w:val="22"/>
        </w:rPr>
        <w:t xml:space="preserve">отдаване </w:t>
      </w:r>
      <w:r w:rsidRPr="000F6EFA">
        <w:rPr>
          <w:rStyle w:val="ECHRPara"/>
          <w:szCs w:val="22"/>
        </w:rPr>
        <w:t>на особено</w:t>
      </w:r>
      <w:r>
        <w:rPr>
          <w:rStyle w:val="ECHRPara"/>
          <w:szCs w:val="22"/>
        </w:rPr>
        <w:t xml:space="preserve"> внимание на нуждите на детето (вж. по-конкретно </w:t>
      </w:r>
      <w:r>
        <w:rPr>
          <w:rStyle w:val="ECHRPara"/>
          <w:i/>
          <w:szCs w:val="22"/>
        </w:rPr>
        <w:t>Krisztián Barnabás Tóth</w:t>
      </w:r>
      <w:r>
        <w:rPr>
          <w:rStyle w:val="ECHRPara"/>
          <w:szCs w:val="22"/>
        </w:rPr>
        <w:t>, цитирано по-горе, §§ 33</w:t>
      </w:r>
      <w:r>
        <w:rPr>
          <w:rStyle w:val="ECHRPara"/>
          <w:szCs w:val="22"/>
          <w:cs/>
        </w:rPr>
        <w:t>–</w:t>
      </w:r>
      <w:r>
        <w:rPr>
          <w:rStyle w:val="ECHRPara"/>
          <w:szCs w:val="22"/>
        </w:rPr>
        <w:t>37, и</w:t>
      </w:r>
      <w:r>
        <w:rPr>
          <w:rStyle w:val="ECHRPara"/>
          <w:i/>
          <w:szCs w:val="22"/>
        </w:rPr>
        <w:t xml:space="preserve"> A.L</w:t>
      </w:r>
      <w:r>
        <w:rPr>
          <w:rStyle w:val="ECHRPara"/>
          <w:szCs w:val="22"/>
        </w:rPr>
        <w:t>., цитирано по-горе, §§ 75</w:t>
      </w:r>
      <w:r>
        <w:rPr>
          <w:rStyle w:val="ECHRPara"/>
          <w:szCs w:val="22"/>
          <w:cs/>
        </w:rPr>
        <w:t>–</w:t>
      </w:r>
      <w:r>
        <w:rPr>
          <w:rStyle w:val="ECHRPara"/>
          <w:szCs w:val="22"/>
        </w:rPr>
        <w:t>78). В други случаи Съдът е констатирал, че отхвърлян</w:t>
      </w:r>
      <w:r w:rsidR="005C265B">
        <w:rPr>
          <w:rStyle w:val="ECHRPara"/>
          <w:szCs w:val="22"/>
        </w:rPr>
        <w:t>ето</w:t>
      </w:r>
      <w:r>
        <w:rPr>
          <w:rStyle w:val="ECHRPara"/>
          <w:szCs w:val="22"/>
        </w:rPr>
        <w:t xml:space="preserve"> на исковете на жалбоподателите, свързани с бащинство, не е нарушило изискването за справедлив баланс съгласно чл. 8 от Конвенцията, тъй като </w:t>
      </w:r>
      <w:r w:rsidR="00EE53A6">
        <w:rPr>
          <w:rStyle w:val="ECHRPara"/>
          <w:szCs w:val="22"/>
        </w:rPr>
        <w:t>същите</w:t>
      </w:r>
      <w:r>
        <w:rPr>
          <w:rStyle w:val="ECHRPara"/>
          <w:szCs w:val="22"/>
        </w:rPr>
        <w:t xml:space="preserve"> са били основани на съображения като </w:t>
      </w:r>
      <w:r w:rsidR="00EE53A6">
        <w:rPr>
          <w:rStyle w:val="ECHRPara"/>
          <w:szCs w:val="22"/>
        </w:rPr>
        <w:t>тези дали</w:t>
      </w:r>
      <w:r>
        <w:rPr>
          <w:rStyle w:val="ECHRPara"/>
          <w:szCs w:val="22"/>
        </w:rPr>
        <w:t xml:space="preserve"> детето да се ползва с установения преди това произход, нуждата да се запазят стабилността и непрекъснатостта във взаимоотношенията на децата, когато има установена социална действителност, в която те се чувстват добре, </w:t>
      </w:r>
      <w:r w:rsidR="00EE53A6">
        <w:rPr>
          <w:rStyle w:val="ECHRPara"/>
          <w:szCs w:val="22"/>
        </w:rPr>
        <w:t>както и дали</w:t>
      </w:r>
      <w:r>
        <w:rPr>
          <w:rStyle w:val="ECHRPara"/>
          <w:szCs w:val="22"/>
        </w:rPr>
        <w:t xml:space="preserve"> удовлетворяването на такива </w:t>
      </w:r>
      <w:r w:rsidR="00FD6FD3">
        <w:rPr>
          <w:rStyle w:val="ECHRPara"/>
          <w:szCs w:val="22"/>
        </w:rPr>
        <w:t xml:space="preserve">искания </w:t>
      </w:r>
      <w:r>
        <w:rPr>
          <w:rStyle w:val="ECHRPara"/>
          <w:szCs w:val="22"/>
        </w:rPr>
        <w:t xml:space="preserve">би било в най-добрия интерес на детето по други причини (вж. </w:t>
      </w:r>
      <w:r>
        <w:rPr>
          <w:rStyle w:val="ECHRPara"/>
          <w:i/>
          <w:szCs w:val="22"/>
        </w:rPr>
        <w:t>Kautzor</w:t>
      </w:r>
      <w:r>
        <w:rPr>
          <w:rStyle w:val="ECHRPara"/>
          <w:szCs w:val="22"/>
        </w:rPr>
        <w:t xml:space="preserve">, цитирано по-горе, § 77, </w:t>
      </w:r>
      <w:r>
        <w:rPr>
          <w:rStyle w:val="ECHRPara"/>
          <w:i/>
          <w:szCs w:val="22"/>
        </w:rPr>
        <w:t>Ahrens</w:t>
      </w:r>
      <w:r>
        <w:rPr>
          <w:rStyle w:val="ECHRPara"/>
          <w:szCs w:val="22"/>
        </w:rPr>
        <w:t xml:space="preserve">, цитирано по-горе, § 74, </w:t>
      </w:r>
      <w:r>
        <w:rPr>
          <w:rStyle w:val="ECHRPara"/>
          <w:i/>
          <w:szCs w:val="22"/>
        </w:rPr>
        <w:t>Marinis v. Greece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 xml:space="preserve">3004/10, § 77, 9 октомври 2014 г., и </w:t>
      </w:r>
      <w:r>
        <w:rPr>
          <w:rStyle w:val="ECHRPara"/>
          <w:i/>
          <w:szCs w:val="22"/>
        </w:rPr>
        <w:t>Nylund v. Finland</w:t>
      </w:r>
      <w:r>
        <w:rPr>
          <w:rStyle w:val="ECHRPara"/>
          <w:szCs w:val="22"/>
        </w:rPr>
        <w:t xml:space="preserve"> (решение за допустимост),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 xml:space="preserve">27110/95, ЕСПЧ 1999VI). Във всички тези случаи Съдът отбеляза, че невъзможността на бащата да получи разглеждане на иск във връзка с бащинство по същество не е абсолютна и че националното законодателство предвижда </w:t>
      </w:r>
      <w:r w:rsidR="00BA0B4E">
        <w:rPr>
          <w:rStyle w:val="ECHRPara"/>
          <w:szCs w:val="22"/>
        </w:rPr>
        <w:t>хипотези</w:t>
      </w:r>
      <w:r>
        <w:rPr>
          <w:rStyle w:val="ECHRPara"/>
          <w:szCs w:val="22"/>
        </w:rPr>
        <w:t xml:space="preserve">, при които такива искове </w:t>
      </w:r>
      <w:r w:rsidR="00BA0B4E">
        <w:rPr>
          <w:rStyle w:val="ECHRPara"/>
          <w:szCs w:val="22"/>
        </w:rPr>
        <w:t>могат да бъдат</w:t>
      </w:r>
      <w:r>
        <w:rPr>
          <w:rStyle w:val="ECHRPara"/>
          <w:szCs w:val="22"/>
        </w:rPr>
        <w:t xml:space="preserve"> </w:t>
      </w:r>
      <w:r w:rsidR="00BA0B4E">
        <w:rPr>
          <w:rStyle w:val="ECHRPara"/>
          <w:szCs w:val="22"/>
        </w:rPr>
        <w:t>уважени</w:t>
      </w:r>
      <w:r>
        <w:rPr>
          <w:rStyle w:val="ECHRPara"/>
          <w:szCs w:val="22"/>
        </w:rPr>
        <w:t xml:space="preserve">, например когато правната презумпция не съответства на установената социална и семейна реалност. Важно е да се отбележи, че Съдът смята за относимо в тези случаи, че процесът на вземане на решения включва елементи като </w:t>
      </w:r>
      <w:r w:rsidR="00A461BD">
        <w:rPr>
          <w:rStyle w:val="ECHRPara"/>
          <w:szCs w:val="22"/>
        </w:rPr>
        <w:t xml:space="preserve">детайлно </w:t>
      </w:r>
      <w:r>
        <w:rPr>
          <w:rStyle w:val="ECHRPara"/>
          <w:szCs w:val="22"/>
        </w:rPr>
        <w:t xml:space="preserve">разглеждане на </w:t>
      </w:r>
      <w:r w:rsidR="00A461BD">
        <w:rPr>
          <w:rStyle w:val="ECHRPara"/>
          <w:szCs w:val="22"/>
        </w:rPr>
        <w:t>фактите</w:t>
      </w:r>
      <w:r>
        <w:rPr>
          <w:rStyle w:val="ECHRPara"/>
          <w:szCs w:val="22"/>
        </w:rPr>
        <w:t xml:space="preserve"> от компетентните органи, </w:t>
      </w:r>
      <w:r w:rsidR="00A461BD">
        <w:rPr>
          <w:rStyle w:val="ECHRPara"/>
          <w:szCs w:val="22"/>
        </w:rPr>
        <w:t xml:space="preserve">преценяване </w:t>
      </w:r>
      <w:r>
        <w:rPr>
          <w:rStyle w:val="ECHRPara"/>
          <w:szCs w:val="22"/>
        </w:rPr>
        <w:t xml:space="preserve">на различните </w:t>
      </w:r>
      <w:r w:rsidR="00A461BD">
        <w:rPr>
          <w:rStyle w:val="ECHRPara"/>
          <w:szCs w:val="22"/>
        </w:rPr>
        <w:t xml:space="preserve">заложени </w:t>
      </w:r>
      <w:r>
        <w:rPr>
          <w:rStyle w:val="ECHRPara"/>
          <w:szCs w:val="22"/>
        </w:rPr>
        <w:t xml:space="preserve">интереси, като се взема предвид висшия интерес на детето, и </w:t>
      </w:r>
      <w:r w:rsidR="00A461BD">
        <w:rPr>
          <w:rStyle w:val="ECHRPara"/>
          <w:szCs w:val="22"/>
        </w:rPr>
        <w:t>възможността</w:t>
      </w:r>
      <w:r>
        <w:rPr>
          <w:rStyle w:val="ECHRPara"/>
          <w:szCs w:val="22"/>
        </w:rPr>
        <w:t xml:space="preserve"> на жалбоподателя да </w:t>
      </w:r>
      <w:r w:rsidR="00A461BD">
        <w:rPr>
          <w:rStyle w:val="ECHRPara"/>
          <w:szCs w:val="22"/>
        </w:rPr>
        <w:t xml:space="preserve">изложи позицията си и </w:t>
      </w:r>
      <w:r>
        <w:rPr>
          <w:rStyle w:val="ECHRPara"/>
          <w:szCs w:val="22"/>
        </w:rPr>
        <w:t xml:space="preserve">личното си </w:t>
      </w:r>
      <w:r w:rsidRPr="002864B2">
        <w:rPr>
          <w:rStyle w:val="ECHRPara"/>
          <w:szCs w:val="22"/>
        </w:rPr>
        <w:t xml:space="preserve">положение (вж. </w:t>
      </w:r>
      <w:r w:rsidRPr="002864B2">
        <w:rPr>
          <w:rStyle w:val="ECHRPara"/>
          <w:i/>
          <w:szCs w:val="22"/>
        </w:rPr>
        <w:t>Л.Д. и П.К. срещу България</w:t>
      </w:r>
      <w:r w:rsidRPr="002864B2">
        <w:rPr>
          <w:rStyle w:val="ECHRPara"/>
          <w:szCs w:val="22"/>
        </w:rPr>
        <w:t xml:space="preserve">, </w:t>
      </w:r>
      <w:r w:rsidRPr="002864B2">
        <w:rPr>
          <w:rStyle w:val="ECHRPara"/>
          <w:szCs w:val="22"/>
          <w:cs/>
        </w:rPr>
        <w:t>№</w:t>
      </w:r>
      <w:r w:rsidRPr="002864B2">
        <w:rPr>
          <w:rStyle w:val="ECHRPara"/>
          <w:szCs w:val="22"/>
        </w:rPr>
        <w:t> 7949/11 и 45522</w:t>
      </w:r>
      <w:r>
        <w:rPr>
          <w:rStyle w:val="ECHRPara"/>
          <w:szCs w:val="22"/>
        </w:rPr>
        <w:t>/13, § 63 с допълнителни препратки, 8 декември 2016 г.).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32</w:t>
      </w:r>
      <w:r>
        <w:fldChar w:fldCharType="end"/>
      </w:r>
      <w:r>
        <w:rPr>
          <w:rStyle w:val="ECHRPara"/>
          <w:szCs w:val="22"/>
        </w:rPr>
        <w:t xml:space="preserve">.  В конкретния случай жалбоподателят не разполага с практическата възможност </w:t>
      </w:r>
      <w:r w:rsidR="00FD6FD3">
        <w:rPr>
          <w:rStyle w:val="ECHRPara"/>
          <w:szCs w:val="22"/>
        </w:rPr>
        <w:t>за</w:t>
      </w:r>
      <w:r>
        <w:rPr>
          <w:rStyle w:val="ECHRPara"/>
          <w:szCs w:val="22"/>
        </w:rPr>
        <w:t xml:space="preserve"> разглеждане </w:t>
      </w:r>
      <w:r w:rsidR="00FD6FD3">
        <w:rPr>
          <w:rStyle w:val="ECHRPara"/>
          <w:szCs w:val="22"/>
        </w:rPr>
        <w:t>на</w:t>
      </w:r>
      <w:r w:rsidR="008D55C4">
        <w:rPr>
          <w:rStyle w:val="ECHRPara"/>
          <w:szCs w:val="22"/>
        </w:rPr>
        <w:t xml:space="preserve"> </w:t>
      </w:r>
      <w:r w:rsidR="00FD6FD3">
        <w:rPr>
          <w:rStyle w:val="ECHRPara"/>
          <w:szCs w:val="22"/>
        </w:rPr>
        <w:t>иска за оспорване на</w:t>
      </w:r>
      <w:r>
        <w:rPr>
          <w:rStyle w:val="ECHRPara"/>
          <w:szCs w:val="22"/>
        </w:rPr>
        <w:t xml:space="preserve"> бащинството по същество. Не е могъл също да прибегне</w:t>
      </w:r>
      <w:r w:rsidR="00FD6FD3">
        <w:rPr>
          <w:rStyle w:val="ECHRPara"/>
          <w:szCs w:val="22"/>
        </w:rPr>
        <w:t>,</w:t>
      </w:r>
      <w:r>
        <w:rPr>
          <w:rStyle w:val="ECHRPara"/>
          <w:szCs w:val="22"/>
        </w:rPr>
        <w:t xml:space="preserve"> </w:t>
      </w:r>
      <w:r w:rsidR="00FD6FD3">
        <w:rPr>
          <w:rStyle w:val="ECHRPara"/>
          <w:szCs w:val="22"/>
        </w:rPr>
        <w:t xml:space="preserve">тъй като не съществува по </w:t>
      </w:r>
      <w:r>
        <w:rPr>
          <w:rStyle w:val="ECHRPara"/>
          <w:szCs w:val="22"/>
        </w:rPr>
        <w:t>закон</w:t>
      </w:r>
      <w:r w:rsidR="00FD6FD3">
        <w:rPr>
          <w:rStyle w:val="ECHRPara"/>
          <w:szCs w:val="22"/>
        </w:rPr>
        <w:t>,</w:t>
      </w:r>
      <w:r>
        <w:rPr>
          <w:rStyle w:val="ECHRPara"/>
          <w:szCs w:val="22"/>
        </w:rPr>
        <w:t xml:space="preserve"> до предварително производство или </w:t>
      </w:r>
      <w:r w:rsidRPr="005940B9">
        <w:rPr>
          <w:rStyle w:val="ECHRPara"/>
          <w:szCs w:val="22"/>
        </w:rPr>
        <w:t>разглеждане</w:t>
      </w:r>
      <w:r w:rsidR="007E36F2">
        <w:rPr>
          <w:rStyle w:val="ECHRPara"/>
          <w:szCs w:val="22"/>
        </w:rPr>
        <w:t>, имащо</w:t>
      </w:r>
      <w:r w:rsidRPr="005940B9">
        <w:rPr>
          <w:rStyle w:val="ECHRPara"/>
          <w:szCs w:val="22"/>
        </w:rPr>
        <w:t xml:space="preserve"> предварител</w:t>
      </w:r>
      <w:r w:rsidR="007E36F2">
        <w:rPr>
          <w:rStyle w:val="ECHRPara"/>
          <w:szCs w:val="22"/>
        </w:rPr>
        <w:t>ен характер</w:t>
      </w:r>
      <w:r>
        <w:rPr>
          <w:rStyle w:val="ECHRPara"/>
          <w:szCs w:val="22"/>
        </w:rPr>
        <w:t>, при които съдилищата биха могли да разгледат конкретните обстоятелства на негов</w:t>
      </w:r>
      <w:r w:rsidR="007E36F2">
        <w:rPr>
          <w:rStyle w:val="ECHRPara"/>
          <w:szCs w:val="22"/>
        </w:rPr>
        <w:t>ото правно положение</w:t>
      </w:r>
      <w:r>
        <w:rPr>
          <w:rStyle w:val="ECHRPara"/>
          <w:szCs w:val="22"/>
        </w:rPr>
        <w:t xml:space="preserve"> и дали е в най-добрия интерес на детето да </w:t>
      </w:r>
      <w:r w:rsidR="007E36F2">
        <w:rPr>
          <w:rStyle w:val="ECHRPara"/>
          <w:szCs w:val="22"/>
        </w:rPr>
        <w:t>се допусне</w:t>
      </w:r>
      <w:r>
        <w:rPr>
          <w:rStyle w:val="ECHRPara"/>
          <w:szCs w:val="22"/>
        </w:rPr>
        <w:t xml:space="preserve"> разглеждане на основателността на оспорването от страна на жалбоподателя на неговото бащинство (за разлика от </w:t>
      </w:r>
      <w:r>
        <w:rPr>
          <w:rStyle w:val="ECHRPara"/>
          <w:i/>
          <w:szCs w:val="22"/>
        </w:rPr>
        <w:t>Krisztián Barnabás Tóth</w:t>
      </w:r>
      <w:r>
        <w:rPr>
          <w:rStyle w:val="ECHRPara"/>
          <w:szCs w:val="22"/>
        </w:rPr>
        <w:t>, цитирано по-горе, §§ 12</w:t>
      </w:r>
      <w:r>
        <w:rPr>
          <w:rStyle w:val="ECHRPara"/>
          <w:szCs w:val="22"/>
          <w:cs/>
        </w:rPr>
        <w:t>–</w:t>
      </w:r>
      <w:r>
        <w:rPr>
          <w:rStyle w:val="ECHRPara"/>
          <w:szCs w:val="22"/>
        </w:rPr>
        <w:t xml:space="preserve">13, и </w:t>
      </w:r>
      <w:r>
        <w:rPr>
          <w:rStyle w:val="ECHRPara"/>
          <w:i/>
          <w:szCs w:val="22"/>
        </w:rPr>
        <w:t>Ahrens</w:t>
      </w:r>
      <w:r>
        <w:rPr>
          <w:rStyle w:val="ECHRPara"/>
          <w:szCs w:val="22"/>
        </w:rPr>
        <w:t xml:space="preserve">, цитирано по-горе, § 77). Съдът признава, че тази ситуация очевидно е резултат от целта на законодателя да поддържа стабилност в социалните отношения, като дава превес на вече установения </w:t>
      </w:r>
      <w:r w:rsidR="004D1BCD">
        <w:rPr>
          <w:rStyle w:val="ECHRPara"/>
          <w:szCs w:val="22"/>
        </w:rPr>
        <w:t>законен</w:t>
      </w:r>
      <w:r>
        <w:rPr>
          <w:rStyle w:val="ECHRPara"/>
          <w:szCs w:val="22"/>
        </w:rPr>
        <w:t xml:space="preserve"> произход (вж. по подобен начин </w:t>
      </w:r>
      <w:r>
        <w:rPr>
          <w:rStyle w:val="ECHRPara"/>
          <w:i/>
          <w:szCs w:val="22"/>
        </w:rPr>
        <w:t>Paulík v. Slovakia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>10699/05, § 44, ЕСПЧ 2006XI (откъси)). Въпреки че приема</w:t>
      </w:r>
      <w:r w:rsidR="004D1BCD">
        <w:rPr>
          <w:rStyle w:val="ECHRPara"/>
          <w:szCs w:val="22"/>
        </w:rPr>
        <w:t xml:space="preserve"> за</w:t>
      </w:r>
      <w:r>
        <w:rPr>
          <w:rStyle w:val="ECHRPara"/>
          <w:szCs w:val="22"/>
        </w:rPr>
        <w:t xml:space="preserve"> разумно </w:t>
      </w:r>
      <w:r w:rsidR="004D1BCD">
        <w:rPr>
          <w:rStyle w:val="ECHRPara"/>
          <w:szCs w:val="22"/>
        </w:rPr>
        <w:t xml:space="preserve">това </w:t>
      </w:r>
      <w:r>
        <w:rPr>
          <w:rStyle w:val="ECHRPara"/>
          <w:szCs w:val="22"/>
        </w:rPr>
        <w:t xml:space="preserve">съображение, Съдът констатира, че трябва да бъдат определени други </w:t>
      </w:r>
      <w:r w:rsidRPr="005940B9">
        <w:rPr>
          <w:rStyle w:val="ECHRPara"/>
          <w:szCs w:val="22"/>
        </w:rPr>
        <w:t>елементи</w:t>
      </w:r>
      <w:r>
        <w:rPr>
          <w:rStyle w:val="ECHRPara"/>
          <w:szCs w:val="22"/>
        </w:rPr>
        <w:t xml:space="preserve"> в </w:t>
      </w:r>
      <w:r w:rsidR="004D1BCD">
        <w:rPr>
          <w:rStyle w:val="ECHRPara"/>
          <w:szCs w:val="22"/>
        </w:rPr>
        <w:t>хипотези</w:t>
      </w:r>
      <w:r>
        <w:rPr>
          <w:rStyle w:val="ECHRPara"/>
          <w:szCs w:val="22"/>
        </w:rPr>
        <w:t xml:space="preserve"> като настоящата, като конкретните обстоятелства по въпросния случай и как те засягат всяка от участващите страни.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33</w:t>
      </w:r>
      <w:r>
        <w:fldChar w:fldCharType="end"/>
      </w:r>
      <w:r>
        <w:rPr>
          <w:rStyle w:val="ECHRPara"/>
          <w:szCs w:val="22"/>
        </w:rPr>
        <w:t>.  С оглед на гореизложеното Съдът констатира, че лишаването на жалбоподателя от всякаква възможност за разглеждане на</w:t>
      </w:r>
      <w:r w:rsidR="007153D1">
        <w:rPr>
          <w:rStyle w:val="ECHRPara"/>
          <w:szCs w:val="22"/>
        </w:rPr>
        <w:t xml:space="preserve"> неговия</w:t>
      </w:r>
      <w:r>
        <w:rPr>
          <w:rStyle w:val="ECHRPara"/>
          <w:szCs w:val="22"/>
        </w:rPr>
        <w:t xml:space="preserve"> </w:t>
      </w:r>
      <w:r w:rsidR="007153D1">
        <w:rPr>
          <w:rStyle w:val="ECHRPara"/>
          <w:szCs w:val="22"/>
        </w:rPr>
        <w:t>случай</w:t>
      </w:r>
      <w:r>
        <w:rPr>
          <w:rStyle w:val="ECHRPara"/>
          <w:szCs w:val="22"/>
        </w:rPr>
        <w:t xml:space="preserve"> и </w:t>
      </w:r>
      <w:r w:rsidR="00804129">
        <w:rPr>
          <w:rStyle w:val="ECHRPara"/>
          <w:szCs w:val="22"/>
        </w:rPr>
        <w:t xml:space="preserve">конкретните </w:t>
      </w:r>
      <w:r>
        <w:rPr>
          <w:rStyle w:val="ECHRPara"/>
          <w:szCs w:val="22"/>
        </w:rPr>
        <w:t xml:space="preserve">обстоятелства </w:t>
      </w:r>
      <w:r w:rsidR="008D15A7">
        <w:rPr>
          <w:rStyle w:val="ECHRPara"/>
          <w:szCs w:val="22"/>
        </w:rPr>
        <w:t xml:space="preserve">по него, </w:t>
      </w:r>
      <w:r>
        <w:rPr>
          <w:rStyle w:val="ECHRPara"/>
          <w:szCs w:val="22"/>
        </w:rPr>
        <w:t xml:space="preserve">не е пропорционално на преследваните легитимни цели. </w:t>
      </w:r>
      <w:r w:rsidR="000216CE">
        <w:rPr>
          <w:rStyle w:val="ECHRPara"/>
          <w:szCs w:val="22"/>
        </w:rPr>
        <w:t>Сл</w:t>
      </w:r>
      <w:r w:rsidR="007153D1">
        <w:rPr>
          <w:rStyle w:val="ECHRPara"/>
          <w:szCs w:val="22"/>
        </w:rPr>
        <w:t>е</w:t>
      </w:r>
      <w:r w:rsidR="000216CE">
        <w:rPr>
          <w:rStyle w:val="ECHRPara"/>
          <w:szCs w:val="22"/>
        </w:rPr>
        <w:t>дователно</w:t>
      </w:r>
      <w:r>
        <w:rPr>
          <w:rStyle w:val="ECHRPara"/>
          <w:szCs w:val="22"/>
        </w:rPr>
        <w:t xml:space="preserve"> не е постигнат справедлив баланс между общия интерес </w:t>
      </w:r>
      <w:r w:rsidR="00804129">
        <w:rPr>
          <w:rStyle w:val="ECHRPara"/>
          <w:szCs w:val="22"/>
        </w:rPr>
        <w:t xml:space="preserve">за </w:t>
      </w:r>
      <w:r>
        <w:rPr>
          <w:rStyle w:val="ECHRPara"/>
          <w:szCs w:val="22"/>
        </w:rPr>
        <w:t xml:space="preserve">защита </w:t>
      </w:r>
      <w:r w:rsidRPr="00804129">
        <w:rPr>
          <w:rStyle w:val="ECHRPara"/>
          <w:szCs w:val="22"/>
        </w:rPr>
        <w:t xml:space="preserve">на правната сигурност в обществените отношения и </w:t>
      </w:r>
      <w:r w:rsidR="008D15A7">
        <w:rPr>
          <w:rStyle w:val="ECHRPara"/>
          <w:szCs w:val="22"/>
        </w:rPr>
        <w:t>произхождението</w:t>
      </w:r>
      <w:r w:rsidRPr="00804129">
        <w:rPr>
          <w:rStyle w:val="ECHRPara"/>
          <w:szCs w:val="22"/>
        </w:rPr>
        <w:t>,</w:t>
      </w:r>
      <w:r>
        <w:rPr>
          <w:rStyle w:val="ECHRPara"/>
          <w:szCs w:val="22"/>
        </w:rPr>
        <w:t xml:space="preserve"> интересите на другите страни и по-конкретно на детето и правото на жалбоподателя на преразглеждане на правна презумпция за бащинството му в светлината на конкретните обстоятелства (вж., </w:t>
      </w:r>
      <w:r>
        <w:rPr>
          <w:rStyle w:val="ECHRPara"/>
          <w:i/>
          <w:szCs w:val="22"/>
        </w:rPr>
        <w:t>mutatis mutandis</w:t>
      </w:r>
      <w:r>
        <w:rPr>
          <w:rStyle w:val="ECHRPara"/>
          <w:szCs w:val="22"/>
        </w:rPr>
        <w:t xml:space="preserve">, </w:t>
      </w:r>
      <w:r>
        <w:rPr>
          <w:rStyle w:val="ECHRPara"/>
          <w:i/>
          <w:szCs w:val="22"/>
        </w:rPr>
        <w:t>Mizzi</w:t>
      </w:r>
      <w:r>
        <w:rPr>
          <w:rStyle w:val="ECHRPara"/>
          <w:szCs w:val="22"/>
        </w:rPr>
        <w:t xml:space="preserve">, цитирано по-горе, § 114, и </w:t>
      </w:r>
      <w:r>
        <w:rPr>
          <w:rStyle w:val="ECHRPara"/>
          <w:i/>
          <w:szCs w:val="22"/>
        </w:rPr>
        <w:t>Shofman</w:t>
      </w:r>
      <w:r>
        <w:rPr>
          <w:rStyle w:val="ECHRPara"/>
          <w:szCs w:val="22"/>
        </w:rPr>
        <w:t>, цитирано по-горе, § 45).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34</w:t>
      </w:r>
      <w:r>
        <w:fldChar w:fldCharType="end"/>
      </w:r>
      <w:r>
        <w:rPr>
          <w:rStyle w:val="ECHRPara"/>
          <w:szCs w:val="22"/>
        </w:rPr>
        <w:t>.  Следователно е налице нарушение на чл. 8 от Конвенцията.</w:t>
      </w:r>
    </w:p>
    <w:p w:rsidR="00F432BA" w:rsidRPr="00267487" w:rsidRDefault="00F432BA" w:rsidP="00F432BA">
      <w:pPr>
        <w:pStyle w:val="ECHRHeading1"/>
      </w:pPr>
      <w:r>
        <w:rPr>
          <w:rStyle w:val="ECHRHeading1"/>
        </w:rPr>
        <w:t>II.  ТВЪРДЯНО НАРУШЕНИЕ НА ЧЛ. 13 ОТ КОНВЕНЦИЯТА ВЪВ ВРЪЗКА С ЧЛ. 8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35</w:t>
      </w:r>
      <w:r>
        <w:fldChar w:fldCharType="end"/>
      </w:r>
      <w:r>
        <w:rPr>
          <w:rStyle w:val="ECHRPara"/>
          <w:szCs w:val="22"/>
        </w:rPr>
        <w:t xml:space="preserve">.  Жалбоподателят се оплаква от нарушение на правото </w:t>
      </w:r>
      <w:r w:rsidR="007153D1">
        <w:rPr>
          <w:rStyle w:val="ECHRPara"/>
          <w:szCs w:val="22"/>
        </w:rPr>
        <w:t xml:space="preserve">му </w:t>
      </w:r>
      <w:r>
        <w:rPr>
          <w:rStyle w:val="ECHRPara"/>
          <w:szCs w:val="22"/>
        </w:rPr>
        <w:t xml:space="preserve">на ефективно вътрешноправно средство за защита във връзка с оплакването </w:t>
      </w:r>
      <w:r w:rsidR="007153D1">
        <w:rPr>
          <w:rStyle w:val="ECHRPara"/>
          <w:szCs w:val="22"/>
        </w:rPr>
        <w:t xml:space="preserve">му </w:t>
      </w:r>
      <w:r>
        <w:rPr>
          <w:rStyle w:val="ECHRPara"/>
          <w:szCs w:val="22"/>
        </w:rPr>
        <w:t xml:space="preserve">по чл. 8. Той се позовава на чл. 13 от Конвенцията, който </w:t>
      </w:r>
      <w:r w:rsidR="007153D1">
        <w:rPr>
          <w:rStyle w:val="ECHRPara"/>
          <w:szCs w:val="22"/>
        </w:rPr>
        <w:t xml:space="preserve">предвижда </w:t>
      </w:r>
      <w:r>
        <w:rPr>
          <w:rStyle w:val="ECHRPara"/>
          <w:szCs w:val="22"/>
        </w:rPr>
        <w:t>следното:</w:t>
      </w:r>
    </w:p>
    <w:p w:rsidR="00F432BA" w:rsidRPr="00267487" w:rsidRDefault="00F432BA" w:rsidP="00F432BA">
      <w:pPr>
        <w:pStyle w:val="ECHRParaQuote"/>
      </w:pPr>
      <w:r>
        <w:rPr>
          <w:rStyle w:val="ECHRParaQuote"/>
        </w:rPr>
        <w:t>"Βсеки,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функции."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36</w:t>
      </w:r>
      <w:r>
        <w:fldChar w:fldCharType="end"/>
      </w:r>
      <w:r>
        <w:rPr>
          <w:rStyle w:val="ECHRPara"/>
          <w:szCs w:val="22"/>
        </w:rPr>
        <w:t>.  Правителството оспорва този аргумент. По-</w:t>
      </w:r>
      <w:r w:rsidR="00FD2D7A">
        <w:rPr>
          <w:rStyle w:val="ECHRPara"/>
          <w:szCs w:val="22"/>
        </w:rPr>
        <w:t xml:space="preserve">конкретно </w:t>
      </w:r>
      <w:r>
        <w:rPr>
          <w:rStyle w:val="ECHRPara"/>
          <w:szCs w:val="22"/>
        </w:rPr>
        <w:t xml:space="preserve">твърди във връзка с чл. 33 (1) от Кодекса от 1985 г. (вж. параграф 10 по-горе), че жалбоподателят е имал </w:t>
      </w:r>
      <w:r w:rsidR="00FD2D7A">
        <w:rPr>
          <w:rStyle w:val="ECHRPara"/>
          <w:szCs w:val="22"/>
        </w:rPr>
        <w:t>правна възможност</w:t>
      </w:r>
      <w:r>
        <w:rPr>
          <w:rStyle w:val="ECHRPara"/>
          <w:szCs w:val="22"/>
        </w:rPr>
        <w:t xml:space="preserve"> да оспори бащинството си в рамките на една година, след като е </w:t>
      </w:r>
      <w:r w:rsidR="00FD2D7A">
        <w:rPr>
          <w:rStyle w:val="ECHRPara"/>
          <w:szCs w:val="22"/>
        </w:rPr>
        <w:t xml:space="preserve">узнал </w:t>
      </w:r>
      <w:r>
        <w:rPr>
          <w:rStyle w:val="ECHRPara"/>
          <w:szCs w:val="22"/>
        </w:rPr>
        <w:t>за раждането на детето, и фактът, че тази възможност е предмет на времеви ограничения, е пропорционален.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37</w:t>
      </w:r>
      <w:r>
        <w:fldChar w:fldCharType="end"/>
      </w:r>
      <w:r>
        <w:rPr>
          <w:rStyle w:val="ECHRPara"/>
          <w:szCs w:val="22"/>
        </w:rPr>
        <w:t>.  Съдът отбелязва, че това оплакване е свързано с разгледаното по-горе и също трябва да бъде обявено за допустимо.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38</w:t>
      </w:r>
      <w:r>
        <w:fldChar w:fldCharType="end"/>
      </w:r>
      <w:r>
        <w:rPr>
          <w:rStyle w:val="ECHRPara"/>
          <w:szCs w:val="22"/>
        </w:rPr>
        <w:t xml:space="preserve">.  Съдът констатира, че в конкретния случай ограничаването във времето на възможността на жалбоподателя да оспори бащинството е в основата на неговото оплакване по чл. 13 (вж. параграфи 22-35 по-горе). Въпросите, свързани с това законово ограничение, са разгледани </w:t>
      </w:r>
      <w:r w:rsidR="00522AE7">
        <w:rPr>
          <w:rStyle w:val="ECHRPara"/>
          <w:szCs w:val="22"/>
        </w:rPr>
        <w:t xml:space="preserve">съгласно </w:t>
      </w:r>
      <w:r>
        <w:rPr>
          <w:rStyle w:val="ECHRPara"/>
          <w:szCs w:val="22"/>
        </w:rPr>
        <w:t xml:space="preserve">чл. 8 по-горе. Поради това Съдът смята, че не възниква отделен въпрос по чл. 13 от Конвенцията (вж. за подобен подход </w:t>
      </w:r>
      <w:r>
        <w:rPr>
          <w:rStyle w:val="ECHRPara"/>
          <w:i/>
          <w:szCs w:val="22"/>
        </w:rPr>
        <w:t>Димова и Пеева срещу България</w:t>
      </w:r>
      <w:r>
        <w:rPr>
          <w:rStyle w:val="ECHRPara"/>
          <w:szCs w:val="22"/>
        </w:rPr>
        <w:t xml:space="preserve">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>20440/11</w:t>
      </w:r>
      <w:r w:rsidRPr="00522AE7">
        <w:rPr>
          <w:rStyle w:val="ECHRPara"/>
          <w:szCs w:val="22"/>
        </w:rPr>
        <w:t>, § 47,</w:t>
      </w:r>
      <w:r>
        <w:rPr>
          <w:rStyle w:val="ECHRPara"/>
          <w:szCs w:val="22"/>
        </w:rPr>
        <w:t xml:space="preserve"> 19 януари 2017 г.).</w:t>
      </w:r>
    </w:p>
    <w:p w:rsidR="00F432BA" w:rsidRPr="00267487" w:rsidRDefault="004D0C05" w:rsidP="00F432BA">
      <w:pPr>
        <w:pStyle w:val="ECHRHeading1"/>
      </w:pPr>
      <w:r>
        <w:rPr>
          <w:rStyle w:val="ECHRHeading1"/>
        </w:rPr>
        <w:t>III.  ПРИЛАГАНЕ НА ЧЛ.</w:t>
      </w:r>
      <w:r w:rsidR="00F432BA">
        <w:rPr>
          <w:rStyle w:val="ECHRHeading1"/>
        </w:rPr>
        <w:t xml:space="preserve"> 41 ОТ КОНВЕНЦИЯТА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39</w:t>
      </w:r>
      <w:r>
        <w:fldChar w:fldCharType="end"/>
      </w:r>
      <w:r>
        <w:rPr>
          <w:rStyle w:val="ECHRPara"/>
          <w:szCs w:val="22"/>
        </w:rPr>
        <w:t xml:space="preserve">.  Чл. 41 от Конвенцията </w:t>
      </w:r>
      <w:r w:rsidR="00A300E6">
        <w:rPr>
          <w:rStyle w:val="ECHRPara"/>
          <w:szCs w:val="22"/>
        </w:rPr>
        <w:t>предвижда</w:t>
      </w:r>
      <w:r>
        <w:rPr>
          <w:rStyle w:val="ECHRPara"/>
          <w:szCs w:val="22"/>
        </w:rPr>
        <w:t>:</w:t>
      </w:r>
    </w:p>
    <w:p w:rsidR="00F432BA" w:rsidRPr="00267487" w:rsidRDefault="00F432BA" w:rsidP="00F432BA">
      <w:pPr>
        <w:pStyle w:val="ECHRParaQuote"/>
        <w:keepNext/>
        <w:keepLines/>
      </w:pPr>
      <w:r>
        <w:rPr>
          <w:rStyle w:val="ECHRParaQuote"/>
          <w:cs/>
        </w:rPr>
        <w:t>“</w:t>
      </w:r>
      <w:r>
        <w:rPr>
          <w:rStyle w:val="ECHRParaQuote"/>
        </w:rPr>
        <w:t>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</w:t>
      </w:r>
      <w:r>
        <w:rPr>
          <w:rStyle w:val="ECHRParaQuote"/>
          <w:cs/>
        </w:rPr>
        <w:t>”</w:t>
      </w:r>
    </w:p>
    <w:p w:rsidR="00F432BA" w:rsidRPr="00267487" w:rsidRDefault="00F432BA" w:rsidP="00F432BA">
      <w:pPr>
        <w:pStyle w:val="ECHRHeading2"/>
      </w:pPr>
      <w:r>
        <w:rPr>
          <w:rStyle w:val="ECHRHeading2"/>
        </w:rPr>
        <w:t xml:space="preserve">А. </w:t>
      </w:r>
      <w:r w:rsidR="00A300E6">
        <w:rPr>
          <w:rStyle w:val="ECHRHeading2"/>
        </w:rPr>
        <w:t>В</w:t>
      </w:r>
      <w:r>
        <w:rPr>
          <w:rStyle w:val="ECHRHeading2"/>
        </w:rPr>
        <w:t>реди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40</w:t>
      </w:r>
      <w:r>
        <w:fldChar w:fldCharType="end"/>
      </w:r>
      <w:r>
        <w:rPr>
          <w:rStyle w:val="ECHRPara"/>
          <w:szCs w:val="22"/>
        </w:rPr>
        <w:t xml:space="preserve">.  Жалбоподателят не </w:t>
      </w:r>
      <w:r w:rsidR="0026773F" w:rsidRPr="0026773F">
        <w:rPr>
          <w:rStyle w:val="ECHRPara"/>
          <w:szCs w:val="22"/>
        </w:rPr>
        <w:t xml:space="preserve">предявява </w:t>
      </w:r>
      <w:r w:rsidRPr="0026773F">
        <w:rPr>
          <w:rStyle w:val="ECHRPara"/>
          <w:szCs w:val="22"/>
        </w:rPr>
        <w:t>конкретна</w:t>
      </w:r>
      <w:r>
        <w:rPr>
          <w:rStyle w:val="ECHRPara"/>
          <w:szCs w:val="22"/>
        </w:rPr>
        <w:t xml:space="preserve"> претенция за справедливо обезщетение, а вместо това приканва Съда да приеме, че най-доброто обезщетение в неговия случай би било възобновяването на съдебното производство на национално равнище.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41</w:t>
      </w:r>
      <w:r>
        <w:fldChar w:fldCharType="end"/>
      </w:r>
      <w:r>
        <w:rPr>
          <w:rStyle w:val="ECHRPara"/>
          <w:szCs w:val="22"/>
        </w:rPr>
        <w:t>.  Съдът отбелязва, че Гражданският процесуален кодекс от 2007 г. предвижда такава възможност за възобновяване в случаите, когато Съдът е констатирал нарушение на Конвенцията и когато е необходимо ново разглеждане на делото за отстраняване на последиците от нарушението (вж. параграф 11 по-горе). Освен това, при липса на претенция за парично обезщетение, Съдът смята, че няма причина на жалбоподателя да се присъжда каквато и да било сума в тази връзка.</w:t>
      </w:r>
    </w:p>
    <w:p w:rsidR="00F432BA" w:rsidRPr="00267487" w:rsidRDefault="00F432BA" w:rsidP="00F432BA">
      <w:pPr>
        <w:pStyle w:val="ECHRHeading2"/>
      </w:pPr>
      <w:r>
        <w:rPr>
          <w:rStyle w:val="ECHRHeading2"/>
        </w:rPr>
        <w:t>Б. Разходи и разноски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42</w:t>
      </w:r>
      <w:r>
        <w:fldChar w:fldCharType="end"/>
      </w:r>
      <w:r>
        <w:rPr>
          <w:rStyle w:val="ECHRPara"/>
          <w:szCs w:val="22"/>
        </w:rPr>
        <w:t>.  Жалбоподателят претендира разходи, направени във връзка с процесуалното представителство пред Съда, но без да посочва размера им.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43</w:t>
      </w:r>
      <w:r>
        <w:fldChar w:fldCharType="end"/>
      </w:r>
      <w:r>
        <w:rPr>
          <w:rStyle w:val="ECHRPara"/>
          <w:szCs w:val="22"/>
        </w:rPr>
        <w:t>.  Правителството твърди, че не следва да се присъжда никаква сума за разходи и разноски.</w:t>
      </w:r>
    </w:p>
    <w:p w:rsidR="00F432BA" w:rsidRPr="00267487" w:rsidRDefault="00F432BA" w:rsidP="00F432BA">
      <w:pPr>
        <w:pStyle w:val="ECHRPara"/>
      </w:pPr>
      <w:r>
        <w:fldChar w:fldCharType="begin"/>
      </w:r>
      <w:r>
        <w:rPr>
          <w:rStyle w:val="ECHRPara"/>
          <w:szCs w:val="22"/>
        </w:rPr>
        <w:instrText xml:space="preserve"> SEQ level0 \*arabic </w:instrText>
      </w:r>
      <w:r>
        <w:fldChar w:fldCharType="separate"/>
      </w:r>
      <w:r>
        <w:rPr>
          <w:rStyle w:val="ECHRPara"/>
          <w:szCs w:val="22"/>
        </w:rPr>
        <w:t>44</w:t>
      </w:r>
      <w:r>
        <w:fldChar w:fldCharType="end"/>
      </w:r>
      <w:r>
        <w:rPr>
          <w:rStyle w:val="ECHRPara"/>
          <w:szCs w:val="22"/>
        </w:rPr>
        <w:t xml:space="preserve">.  Според практиката на Съда жалбоподател има право на възстановяване на разходи и разноски само доколкото е доказано, че </w:t>
      </w:r>
      <w:r w:rsidR="007B79DA">
        <w:rPr>
          <w:rStyle w:val="ECHRPara"/>
          <w:szCs w:val="22"/>
        </w:rPr>
        <w:t>същите</w:t>
      </w:r>
      <w:r>
        <w:rPr>
          <w:rStyle w:val="ECHRPara"/>
          <w:szCs w:val="22"/>
        </w:rPr>
        <w:t xml:space="preserve"> са били действително и необходимо направени и са в разумен размер. В настоящия случай, като взема предвид наличните му документи и горепосочените критерии, Съдът отхвърля претенцията на жалбоподателя за разходи и разноски.</w:t>
      </w:r>
    </w:p>
    <w:p w:rsidR="00F432BA" w:rsidRPr="00267487" w:rsidRDefault="00F432BA" w:rsidP="00F432BA">
      <w:pPr>
        <w:pStyle w:val="ECHRTitle1"/>
      </w:pPr>
      <w:r>
        <w:rPr>
          <w:rStyle w:val="ECHRTitle1"/>
        </w:rPr>
        <w:t>ПО ТЕЗИ СЪОБРАЖЕНИЯ СЪДЪТ ЕДИНОДУШНО</w:t>
      </w:r>
    </w:p>
    <w:p w:rsidR="00F432BA" w:rsidRPr="00267487" w:rsidRDefault="00F432BA" w:rsidP="00F432BA">
      <w:pPr>
        <w:pStyle w:val="JuList"/>
      </w:pPr>
      <w:r>
        <w:rPr>
          <w:rStyle w:val="JuList"/>
        </w:rPr>
        <w:t>1.  </w:t>
      </w:r>
      <w:r>
        <w:rPr>
          <w:rStyle w:val="JuList"/>
          <w:i/>
        </w:rPr>
        <w:t>Обявява</w:t>
      </w:r>
      <w:r>
        <w:rPr>
          <w:rStyle w:val="JuList"/>
        </w:rPr>
        <w:t xml:space="preserve"> жалбата за допустима;</w:t>
      </w:r>
    </w:p>
    <w:p w:rsidR="00F432BA" w:rsidRPr="00267487" w:rsidRDefault="00F432BA" w:rsidP="00F432BA">
      <w:pPr>
        <w:pStyle w:val="JuList"/>
        <w:ind w:left="0" w:firstLine="0"/>
      </w:pPr>
    </w:p>
    <w:p w:rsidR="00F432BA" w:rsidRPr="00267487" w:rsidRDefault="00F432BA" w:rsidP="00F432BA">
      <w:pPr>
        <w:pStyle w:val="JuList"/>
      </w:pPr>
      <w:r>
        <w:rPr>
          <w:rStyle w:val="JuList"/>
        </w:rPr>
        <w:t>2.  </w:t>
      </w:r>
      <w:r>
        <w:rPr>
          <w:rStyle w:val="JuList"/>
          <w:i/>
        </w:rPr>
        <w:t>Приема</w:t>
      </w:r>
      <w:r>
        <w:rPr>
          <w:rStyle w:val="JuList"/>
        </w:rPr>
        <w:t>, че е налице нарушение на чл. 8 от Конвенцията;</w:t>
      </w:r>
    </w:p>
    <w:p w:rsidR="00F432BA" w:rsidRPr="00267487" w:rsidRDefault="00F432BA" w:rsidP="00F432BA">
      <w:pPr>
        <w:pStyle w:val="JuList"/>
        <w:ind w:left="0" w:firstLine="0"/>
      </w:pPr>
    </w:p>
    <w:p w:rsidR="00F432BA" w:rsidRPr="00267487" w:rsidRDefault="00F432BA" w:rsidP="00F432BA">
      <w:pPr>
        <w:pStyle w:val="JuList"/>
      </w:pPr>
      <w:r>
        <w:rPr>
          <w:rStyle w:val="JuList"/>
        </w:rPr>
        <w:t>3.  </w:t>
      </w:r>
      <w:r>
        <w:rPr>
          <w:rStyle w:val="JuList"/>
          <w:i/>
        </w:rPr>
        <w:t>Приема</w:t>
      </w:r>
      <w:r>
        <w:rPr>
          <w:rStyle w:val="JuList"/>
        </w:rPr>
        <w:t xml:space="preserve">, че </w:t>
      </w:r>
      <w:r w:rsidR="00BF4A66">
        <w:rPr>
          <w:rStyle w:val="JuList"/>
        </w:rPr>
        <w:t xml:space="preserve">не възниква отделен въпрос по </w:t>
      </w:r>
      <w:r>
        <w:rPr>
          <w:rStyle w:val="JuList"/>
        </w:rPr>
        <w:t>чл. 13 от Конвенцията във връзка с чл. 8;</w:t>
      </w:r>
    </w:p>
    <w:p w:rsidR="00F432BA" w:rsidRPr="00267487" w:rsidRDefault="00F432BA" w:rsidP="00F432BA">
      <w:pPr>
        <w:pStyle w:val="JuList"/>
        <w:ind w:left="0" w:firstLine="0"/>
      </w:pPr>
    </w:p>
    <w:p w:rsidR="00F432BA" w:rsidRPr="00267487" w:rsidRDefault="00F432BA" w:rsidP="00F432BA">
      <w:pPr>
        <w:pStyle w:val="JuList"/>
      </w:pPr>
      <w:r>
        <w:rPr>
          <w:rStyle w:val="JuList"/>
        </w:rPr>
        <w:t>4.  </w:t>
      </w:r>
      <w:r>
        <w:rPr>
          <w:rStyle w:val="JuList"/>
          <w:i/>
        </w:rPr>
        <w:t>Отхвърля</w:t>
      </w:r>
      <w:r>
        <w:rPr>
          <w:rStyle w:val="JuList"/>
        </w:rPr>
        <w:t xml:space="preserve"> </w:t>
      </w:r>
      <w:r w:rsidRPr="00A300E6">
        <w:rPr>
          <w:rStyle w:val="JuList"/>
        </w:rPr>
        <w:t>претенцията</w:t>
      </w:r>
      <w:r>
        <w:rPr>
          <w:rStyle w:val="JuList"/>
        </w:rPr>
        <w:t xml:space="preserve"> на жалбоподателя за справедливо обезщетение.</w:t>
      </w:r>
    </w:p>
    <w:p w:rsidR="00F432BA" w:rsidRPr="00267487" w:rsidRDefault="00F432BA" w:rsidP="00F432BA">
      <w:pPr>
        <w:pStyle w:val="JuParaLast"/>
      </w:pPr>
      <w:r>
        <w:rPr>
          <w:rStyle w:val="JuParaLast"/>
        </w:rPr>
        <w:t xml:space="preserve">Изготвено на английски език и оповестено писмено на 5 април 2018 г., в съответствие с </w:t>
      </w:r>
      <w:r w:rsidR="00797308">
        <w:rPr>
          <w:rStyle w:val="JuParaLast"/>
        </w:rPr>
        <w:t>п</w:t>
      </w:r>
      <w:r>
        <w:rPr>
          <w:rStyle w:val="JuParaLast"/>
        </w:rPr>
        <w:t>равило 77 §§ 2 и 3 от Правилника на Съда.</w:t>
      </w:r>
    </w:p>
    <w:p w:rsidR="00F432BA" w:rsidRPr="000A4716" w:rsidRDefault="00F432BA" w:rsidP="00F432BA">
      <w:pPr>
        <w:pStyle w:val="JuSigned"/>
      </w:pPr>
      <w:r>
        <w:rPr>
          <w:rStyle w:val="JuSigned"/>
        </w:rPr>
        <w:tab/>
      </w:r>
      <w:proofErr w:type="spellStart"/>
      <w:r>
        <w:rPr>
          <w:rStyle w:val="JuSigned"/>
        </w:rPr>
        <w:t>Клаудия</w:t>
      </w:r>
      <w:proofErr w:type="spellEnd"/>
      <w:r>
        <w:rPr>
          <w:rStyle w:val="JuSigned"/>
        </w:rPr>
        <w:t xml:space="preserve"> </w:t>
      </w:r>
      <w:proofErr w:type="spellStart"/>
      <w:r>
        <w:rPr>
          <w:rStyle w:val="JuSigned"/>
        </w:rPr>
        <w:t>Вестердик</w:t>
      </w:r>
      <w:proofErr w:type="spellEnd"/>
      <w:r>
        <w:rPr>
          <w:rStyle w:val="JuSigned"/>
        </w:rPr>
        <w:tab/>
      </w:r>
      <w:proofErr w:type="spellStart"/>
      <w:r>
        <w:rPr>
          <w:rStyle w:val="JuSigned"/>
        </w:rPr>
        <w:t>Ангелика</w:t>
      </w:r>
      <w:proofErr w:type="spellEnd"/>
      <w:r>
        <w:rPr>
          <w:rStyle w:val="JuSigned"/>
        </w:rPr>
        <w:t xml:space="preserve"> </w:t>
      </w:r>
      <w:proofErr w:type="spellStart"/>
      <w:r>
        <w:rPr>
          <w:rStyle w:val="JuSigned"/>
        </w:rPr>
        <w:t>Нусбергер</w:t>
      </w:r>
      <w:proofErr w:type="spellEnd"/>
      <w:r>
        <w:rPr>
          <w:rStyle w:val="JuSigned"/>
        </w:rPr>
        <w:t xml:space="preserve"> </w:t>
      </w:r>
      <w:r>
        <w:br/>
      </w:r>
      <w:r>
        <w:rPr>
          <w:rStyle w:val="JuSigned"/>
        </w:rPr>
        <w:tab/>
      </w:r>
      <w:r w:rsidR="00797308">
        <w:rPr>
          <w:rStyle w:val="JuSigned"/>
        </w:rPr>
        <w:t>секретар</w:t>
      </w:r>
      <w:r>
        <w:rPr>
          <w:rStyle w:val="JuSigned"/>
        </w:rPr>
        <w:tab/>
      </w:r>
      <w:r w:rsidR="00797308">
        <w:rPr>
          <w:rStyle w:val="JuSigned"/>
        </w:rPr>
        <w:t>п</w:t>
      </w:r>
      <w:r>
        <w:rPr>
          <w:rStyle w:val="JuSigned"/>
        </w:rPr>
        <w:t>редседател</w:t>
      </w:r>
    </w:p>
    <w:sectPr w:rsidR="00F432BA" w:rsidRPr="000A4716" w:rsidSect="00F432BA">
      <w:headerReference w:type="even" r:id="rId15"/>
      <w:headerReference w:type="default" r:id="rId16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6E" w:rsidRPr="00E4133A" w:rsidRDefault="000A116E" w:rsidP="00F432BA">
      <w:r>
        <w:separator/>
      </w:r>
    </w:p>
  </w:endnote>
  <w:endnote w:type="continuationSeparator" w:id="0">
    <w:p w:rsidR="000A116E" w:rsidRPr="00E4133A" w:rsidRDefault="000A116E" w:rsidP="00F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E" w:rsidRDefault="00CF4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E" w:rsidRDefault="00CF4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BA" w:rsidRPr="00150BFA" w:rsidRDefault="005B51D2" w:rsidP="00F432BA">
    <w:pPr>
      <w:jc w:val="center"/>
    </w:pPr>
    <w:r>
      <w:rPr>
        <w:noProof/>
        <w:lang w:val="en-US" w:eastAsia="en-US"/>
      </w:rPr>
      <w:drawing>
        <wp:inline distT="0" distB="0" distL="0" distR="0">
          <wp:extent cx="771525" cy="619125"/>
          <wp:effectExtent l="0" t="0" r="0" b="0"/>
          <wp:docPr id="2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32BA" w:rsidRDefault="00F43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6E" w:rsidRPr="00E4133A" w:rsidRDefault="000A116E" w:rsidP="00F432BA">
      <w:r>
        <w:separator/>
      </w:r>
    </w:p>
  </w:footnote>
  <w:footnote w:type="continuationSeparator" w:id="0">
    <w:p w:rsidR="000A116E" w:rsidRPr="00E4133A" w:rsidRDefault="000A116E" w:rsidP="00F4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E" w:rsidRDefault="00CF4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BA" w:rsidRPr="002246B7" w:rsidRDefault="00F432BA" w:rsidP="00F432B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BA" w:rsidRPr="00A45145" w:rsidRDefault="005B51D2" w:rsidP="00F432BA">
    <w:pPr>
      <w:jc w:val="center"/>
    </w:pPr>
    <w:r>
      <w:rPr>
        <w:noProof/>
        <w:lang w:val="en-US" w:eastAsia="en-US"/>
      </w:rPr>
      <w:drawing>
        <wp:inline distT="0" distB="0" distL="0" distR="0">
          <wp:extent cx="2962275" cy="1219200"/>
          <wp:effectExtent l="0" t="0" r="0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32BA" w:rsidRDefault="00F432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BA" w:rsidRPr="00E4133A" w:rsidRDefault="00F432BA" w:rsidP="00F432BA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42CE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ECHRHeader"/>
        <w:szCs w:val="22"/>
      </w:rPr>
      <w:tab/>
      <w:t>РЕШЕНИЕ ДОКТОРОВ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BA" w:rsidRPr="00E4133A" w:rsidRDefault="00F432BA" w:rsidP="00F432BA">
    <w:pPr>
      <w:pStyle w:val="ECHRHeader"/>
    </w:pPr>
    <w:r>
      <w:rPr>
        <w:rStyle w:val="ECHRHeader"/>
        <w:szCs w:val="22"/>
      </w:rPr>
      <w:tab/>
    </w:r>
    <w:r>
      <w:rPr>
        <w:rStyle w:val="ECHRHeader"/>
        <w:szCs w:val="22"/>
      </w:rPr>
      <w:t>РЕШЕНИЕ ДОКТОРОВ СРЕЩУ БЪЛГАРИЯ</w:t>
    </w:r>
    <w:r>
      <w:rPr>
        <w:rStyle w:val="ECHRHeader"/>
        <w:szCs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42CE"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3E4E7F"/>
    <w:rsid w:val="00004CC9"/>
    <w:rsid w:val="000216CE"/>
    <w:rsid w:val="000471B6"/>
    <w:rsid w:val="000960B4"/>
    <w:rsid w:val="000A116E"/>
    <w:rsid w:val="000D2268"/>
    <w:rsid w:val="000E15F1"/>
    <w:rsid w:val="000F6EFA"/>
    <w:rsid w:val="001230B0"/>
    <w:rsid w:val="0012524C"/>
    <w:rsid w:val="001468EF"/>
    <w:rsid w:val="0016346D"/>
    <w:rsid w:val="00165EBC"/>
    <w:rsid w:val="00192D59"/>
    <w:rsid w:val="001C2FE7"/>
    <w:rsid w:val="001E1DCB"/>
    <w:rsid w:val="001E4766"/>
    <w:rsid w:val="00267373"/>
    <w:rsid w:val="0026773F"/>
    <w:rsid w:val="0028022C"/>
    <w:rsid w:val="002864B2"/>
    <w:rsid w:val="002A6F0A"/>
    <w:rsid w:val="002C733F"/>
    <w:rsid w:val="002E7ADB"/>
    <w:rsid w:val="00313C58"/>
    <w:rsid w:val="00361054"/>
    <w:rsid w:val="00375198"/>
    <w:rsid w:val="0037749A"/>
    <w:rsid w:val="003855B2"/>
    <w:rsid w:val="00386BDC"/>
    <w:rsid w:val="00392874"/>
    <w:rsid w:val="00392B73"/>
    <w:rsid w:val="003C5708"/>
    <w:rsid w:val="003C7BA9"/>
    <w:rsid w:val="00407032"/>
    <w:rsid w:val="00407FF6"/>
    <w:rsid w:val="00412AA7"/>
    <w:rsid w:val="0042242A"/>
    <w:rsid w:val="004713C7"/>
    <w:rsid w:val="004D0C05"/>
    <w:rsid w:val="004D1BCD"/>
    <w:rsid w:val="004E3E28"/>
    <w:rsid w:val="0051473A"/>
    <w:rsid w:val="00522AE7"/>
    <w:rsid w:val="00530AFE"/>
    <w:rsid w:val="005670B4"/>
    <w:rsid w:val="00572CEF"/>
    <w:rsid w:val="005940B9"/>
    <w:rsid w:val="005A3A56"/>
    <w:rsid w:val="005B51D2"/>
    <w:rsid w:val="005C265B"/>
    <w:rsid w:val="005C72A0"/>
    <w:rsid w:val="005D22C9"/>
    <w:rsid w:val="00662686"/>
    <w:rsid w:val="00684841"/>
    <w:rsid w:val="0069439C"/>
    <w:rsid w:val="006A1FBA"/>
    <w:rsid w:val="006B781A"/>
    <w:rsid w:val="006E1CF3"/>
    <w:rsid w:val="00701ACE"/>
    <w:rsid w:val="007153D1"/>
    <w:rsid w:val="00726D9C"/>
    <w:rsid w:val="00730F52"/>
    <w:rsid w:val="007452B9"/>
    <w:rsid w:val="007457FB"/>
    <w:rsid w:val="007729C3"/>
    <w:rsid w:val="00774CA2"/>
    <w:rsid w:val="00777C72"/>
    <w:rsid w:val="007839EA"/>
    <w:rsid w:val="00784E5F"/>
    <w:rsid w:val="00786520"/>
    <w:rsid w:val="00793746"/>
    <w:rsid w:val="00797308"/>
    <w:rsid w:val="007978C0"/>
    <w:rsid w:val="007B79DA"/>
    <w:rsid w:val="007E36F2"/>
    <w:rsid w:val="007E6D30"/>
    <w:rsid w:val="007F7A88"/>
    <w:rsid w:val="00804129"/>
    <w:rsid w:val="00807A61"/>
    <w:rsid w:val="0082143D"/>
    <w:rsid w:val="00827973"/>
    <w:rsid w:val="0083644B"/>
    <w:rsid w:val="0084772B"/>
    <w:rsid w:val="00870046"/>
    <w:rsid w:val="00871483"/>
    <w:rsid w:val="00892BB1"/>
    <w:rsid w:val="008A45E6"/>
    <w:rsid w:val="008C7048"/>
    <w:rsid w:val="008D15A7"/>
    <w:rsid w:val="008D55C4"/>
    <w:rsid w:val="008E1FAE"/>
    <w:rsid w:val="008E2839"/>
    <w:rsid w:val="008F2274"/>
    <w:rsid w:val="00906308"/>
    <w:rsid w:val="00930133"/>
    <w:rsid w:val="00947E24"/>
    <w:rsid w:val="0095480E"/>
    <w:rsid w:val="009A6737"/>
    <w:rsid w:val="009D24A1"/>
    <w:rsid w:val="00A00010"/>
    <w:rsid w:val="00A105B9"/>
    <w:rsid w:val="00A300E6"/>
    <w:rsid w:val="00A31FE2"/>
    <w:rsid w:val="00A461BD"/>
    <w:rsid w:val="00AB0C58"/>
    <w:rsid w:val="00AE3340"/>
    <w:rsid w:val="00AE4900"/>
    <w:rsid w:val="00AF69F6"/>
    <w:rsid w:val="00B113F8"/>
    <w:rsid w:val="00B27382"/>
    <w:rsid w:val="00B3182C"/>
    <w:rsid w:val="00B76277"/>
    <w:rsid w:val="00B76281"/>
    <w:rsid w:val="00B85535"/>
    <w:rsid w:val="00B86E9F"/>
    <w:rsid w:val="00B91A21"/>
    <w:rsid w:val="00BA0B4E"/>
    <w:rsid w:val="00BF4A66"/>
    <w:rsid w:val="00C00DCE"/>
    <w:rsid w:val="00C261B4"/>
    <w:rsid w:val="00C41043"/>
    <w:rsid w:val="00C4142C"/>
    <w:rsid w:val="00C51116"/>
    <w:rsid w:val="00C77E10"/>
    <w:rsid w:val="00C8142E"/>
    <w:rsid w:val="00C9578E"/>
    <w:rsid w:val="00CB29AB"/>
    <w:rsid w:val="00CD4485"/>
    <w:rsid w:val="00CE3949"/>
    <w:rsid w:val="00CF42CE"/>
    <w:rsid w:val="00D03771"/>
    <w:rsid w:val="00D27C36"/>
    <w:rsid w:val="00D80602"/>
    <w:rsid w:val="00D855E1"/>
    <w:rsid w:val="00DC0862"/>
    <w:rsid w:val="00DC66BF"/>
    <w:rsid w:val="00DD4BF3"/>
    <w:rsid w:val="00DD63A8"/>
    <w:rsid w:val="00DF1177"/>
    <w:rsid w:val="00DF5600"/>
    <w:rsid w:val="00E40A96"/>
    <w:rsid w:val="00E737B4"/>
    <w:rsid w:val="00EB1225"/>
    <w:rsid w:val="00EC3F00"/>
    <w:rsid w:val="00ED2FB2"/>
    <w:rsid w:val="00EE1ADF"/>
    <w:rsid w:val="00EE53A6"/>
    <w:rsid w:val="00F26DB6"/>
    <w:rsid w:val="00F27C2E"/>
    <w:rsid w:val="00F3236B"/>
    <w:rsid w:val="00F32473"/>
    <w:rsid w:val="00F432BA"/>
    <w:rsid w:val="00F77525"/>
    <w:rsid w:val="00F949C0"/>
    <w:rsid w:val="00F97549"/>
    <w:rsid w:val="00FA139F"/>
    <w:rsid w:val="00FB3D1B"/>
    <w:rsid w:val="00FD2D7A"/>
    <w:rsid w:val="00FD69D4"/>
    <w:rsid w:val="00FD6FD3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9D690F"/>
    <w:pPr>
      <w:jc w:val="both"/>
    </w:pPr>
    <w:rPr>
      <w:rFonts w:eastAsia="MS Mincho"/>
      <w:sz w:val="24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D690F"/>
    <w:pPr>
      <w:spacing w:before="480"/>
      <w:contextualSpacing/>
      <w:outlineLvl w:val="0"/>
    </w:pPr>
    <w:rPr>
      <w:rFonts w:eastAsia="MS Gothic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D690F"/>
    <w:pPr>
      <w:spacing w:before="200"/>
      <w:outlineLvl w:val="1"/>
    </w:pPr>
    <w:rPr>
      <w:rFonts w:eastAsia="MS Gothic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D690F"/>
    <w:pPr>
      <w:spacing w:before="200" w:line="271" w:lineRule="auto"/>
      <w:outlineLvl w:val="2"/>
    </w:pPr>
    <w:rPr>
      <w:rFonts w:eastAsia="MS Gothic"/>
      <w:b/>
      <w:bCs/>
      <w:color w:val="5F5F5F"/>
      <w:szCs w:val="20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D690F"/>
    <w:pPr>
      <w:spacing w:before="200"/>
      <w:outlineLvl w:val="3"/>
    </w:pPr>
    <w:rPr>
      <w:rFonts w:eastAsia="MS Gothic"/>
      <w:b/>
      <w:bCs/>
      <w:i/>
      <w:iCs/>
      <w:color w:val="777777"/>
      <w:szCs w:val="20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9D690F"/>
    <w:pPr>
      <w:spacing w:before="200"/>
      <w:outlineLvl w:val="4"/>
    </w:pPr>
    <w:rPr>
      <w:rFonts w:eastAsia="MS Gothic"/>
      <w:b/>
      <w:bCs/>
      <w:color w:val="80808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D690F"/>
    <w:pPr>
      <w:spacing w:line="271" w:lineRule="auto"/>
      <w:outlineLvl w:val="5"/>
    </w:pPr>
    <w:rPr>
      <w:rFonts w:eastAsia="MS Gothic"/>
      <w:b/>
      <w:bCs/>
      <w:i/>
      <w:iCs/>
      <w:color w:val="7F7F7F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D690F"/>
    <w:pPr>
      <w:outlineLvl w:val="6"/>
    </w:pPr>
    <w:rPr>
      <w:rFonts w:eastAsia="MS Gothic"/>
      <w:i/>
      <w:iCs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D690F"/>
    <w:pPr>
      <w:outlineLvl w:val="7"/>
    </w:pPr>
    <w:rPr>
      <w:rFonts w:eastAsia="MS Gothic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D690F"/>
    <w:pPr>
      <w:outlineLvl w:val="8"/>
    </w:pPr>
    <w:rPr>
      <w:rFonts w:eastAsia="MS Gothic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69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90F"/>
    <w:rPr>
      <w:rFonts w:ascii="Tahoma" w:eastAsia="MS Mincho" w:hAnsi="Tahoma" w:cs="Tahoma"/>
      <w:sz w:val="16"/>
      <w:szCs w:val="16"/>
      <w:lang w:val="bg-BG" w:eastAsia="bg-BG"/>
    </w:rPr>
  </w:style>
  <w:style w:type="character" w:styleId="BookTitle">
    <w:name w:val="Book Title"/>
    <w:uiPriority w:val="99"/>
    <w:semiHidden/>
    <w:qFormat/>
    <w:rsid w:val="009D690F"/>
    <w:rPr>
      <w:i/>
      <w:iCs/>
      <w:smallCaps/>
      <w:spacing w:val="5"/>
      <w:lang w:val="bg-BG" w:eastAsia="bg-BG"/>
    </w:rPr>
  </w:style>
  <w:style w:type="paragraph" w:customStyle="1" w:styleId="ECHRHeader">
    <w:name w:val="ECHR_Header"/>
    <w:aliases w:val="Ju_Header"/>
    <w:basedOn w:val="Header"/>
    <w:uiPriority w:val="4"/>
    <w:qFormat/>
    <w:rsid w:val="009D690F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9D690F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9D690F"/>
    <w:rPr>
      <w:b/>
      <w:bCs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9D690F"/>
    <w:rPr>
      <w:sz w:val="20"/>
      <w:szCs w:val="20"/>
    </w:rPr>
  </w:style>
  <w:style w:type="character" w:customStyle="1" w:styleId="NoSpacingChar">
    <w:name w:val="No Spacing Char"/>
    <w:link w:val="NoSpacing"/>
    <w:semiHidden/>
    <w:rsid w:val="009D690F"/>
    <w:rPr>
      <w:rFonts w:eastAsia="MS Mincho"/>
      <w:lang w:val="bg-BG" w:eastAsia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9D690F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9D690F"/>
  </w:style>
  <w:style w:type="paragraph" w:customStyle="1" w:styleId="DecList">
    <w:name w:val="Dec_List"/>
    <w:basedOn w:val="Normal"/>
    <w:uiPriority w:val="9"/>
    <w:semiHidden/>
    <w:qFormat/>
    <w:rsid w:val="009D690F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9D690F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9D690F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9D690F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9D690F"/>
    <w:pPr>
      <w:numPr>
        <w:numId w:val="20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9D690F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9D690F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9D690F"/>
    <w:pPr>
      <w:spacing w:after="240"/>
      <w:jc w:val="center"/>
      <w:outlineLvl w:val="0"/>
    </w:pPr>
  </w:style>
  <w:style w:type="paragraph" w:customStyle="1" w:styleId="JuInitialled">
    <w:name w:val="Ju_Initialled"/>
    <w:basedOn w:val="Normal"/>
    <w:uiPriority w:val="31"/>
    <w:qFormat/>
    <w:rsid w:val="009D690F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9D690F"/>
    <w:pPr>
      <w:pBdr>
        <w:bottom w:val="single" w:sz="4" w:space="1" w:color="auto"/>
      </w:pBdr>
      <w:contextualSpacing/>
    </w:pPr>
    <w:rPr>
      <w:rFonts w:eastAsia="MS Gothic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9D690F"/>
    <w:rPr>
      <w:rFonts w:ascii="Times New Roman" w:eastAsia="MS Gothic" w:hAnsi="Times New Roman" w:cs="Times New Roman"/>
      <w:spacing w:val="5"/>
      <w:sz w:val="52"/>
      <w:szCs w:val="52"/>
      <w:lang w:val="bg-BG" w:eastAsia="bg-BG"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9D690F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9D690F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9D690F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9D690F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000000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9D690F"/>
    <w:pPr>
      <w:keepNext/>
      <w:keepLines/>
      <w:spacing w:before="240" w:after="120"/>
      <w:ind w:left="1236"/>
    </w:pPr>
  </w:style>
  <w:style w:type="character" w:customStyle="1" w:styleId="JuITMark">
    <w:name w:val="Ju_ITMark"/>
    <w:uiPriority w:val="38"/>
    <w:qFormat/>
    <w:rsid w:val="009D690F"/>
    <w:rPr>
      <w:color w:val="000000"/>
      <w:sz w:val="14"/>
      <w:bdr w:val="none" w:sz="0" w:space="0" w:color="auto"/>
      <w:lang w:val="bg-BG" w:eastAsia="bg-BG"/>
    </w:rPr>
  </w:style>
  <w:style w:type="paragraph" w:customStyle="1" w:styleId="JuLista">
    <w:name w:val="Ju_List_a"/>
    <w:basedOn w:val="JuList"/>
    <w:uiPriority w:val="28"/>
    <w:qFormat/>
    <w:rsid w:val="009D690F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9D690F"/>
    <w:pPr>
      <w:ind w:left="794"/>
    </w:pPr>
  </w:style>
  <w:style w:type="paragraph" w:styleId="Header">
    <w:name w:val="header"/>
    <w:basedOn w:val="Normal"/>
    <w:link w:val="HeaderChar"/>
    <w:uiPriority w:val="57"/>
    <w:semiHidden/>
    <w:rsid w:val="009D690F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HeaderChar">
    <w:name w:val="Header Char"/>
    <w:link w:val="Header"/>
    <w:uiPriority w:val="57"/>
    <w:semiHidden/>
    <w:rsid w:val="009D690F"/>
    <w:rPr>
      <w:sz w:val="24"/>
      <w:lang w:val="bg-BG" w:eastAsia="bg-BG"/>
    </w:rPr>
  </w:style>
  <w:style w:type="character" w:customStyle="1" w:styleId="Heading1Char">
    <w:name w:val="Heading 1 Char"/>
    <w:link w:val="Heading1"/>
    <w:uiPriority w:val="99"/>
    <w:semiHidden/>
    <w:rsid w:val="009D690F"/>
    <w:rPr>
      <w:rFonts w:ascii="Times New Roman" w:eastAsia="MS Gothic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9D690F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9D690F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Heading2Char">
    <w:name w:val="Heading 2 Char"/>
    <w:link w:val="Heading2"/>
    <w:uiPriority w:val="99"/>
    <w:semiHidden/>
    <w:rsid w:val="009D690F"/>
    <w:rPr>
      <w:rFonts w:ascii="Times New Roman" w:eastAsia="MS Gothic" w:hAnsi="Times New Roman" w:cs="Times New Roman"/>
      <w:b/>
      <w:bCs/>
      <w:color w:val="4D4D4D"/>
      <w:sz w:val="26"/>
      <w:szCs w:val="26"/>
      <w:lang w:val="bg-BG" w:eastAsia="bg-BG"/>
    </w:rPr>
  </w:style>
  <w:style w:type="character" w:customStyle="1" w:styleId="JUNAMES">
    <w:name w:val="JU_NAMES"/>
    <w:uiPriority w:val="17"/>
    <w:qFormat/>
    <w:rsid w:val="009D690F"/>
    <w:rPr>
      <w:smallCaps/>
      <w:lang w:val="bg-BG" w:eastAsia="bg-BG"/>
    </w:rPr>
  </w:style>
  <w:style w:type="paragraph" w:customStyle="1" w:styleId="JuCase">
    <w:name w:val="Ju_Case"/>
    <w:basedOn w:val="Normal"/>
    <w:next w:val="ECHRPara"/>
    <w:uiPriority w:val="10"/>
    <w:rsid w:val="009D690F"/>
    <w:pPr>
      <w:ind w:firstLine="284"/>
    </w:pPr>
    <w:rPr>
      <w:b/>
    </w:rPr>
  </w:style>
  <w:style w:type="character" w:customStyle="1" w:styleId="Heading3Char">
    <w:name w:val="Heading 3 Char"/>
    <w:link w:val="Heading3"/>
    <w:uiPriority w:val="99"/>
    <w:semiHidden/>
    <w:rsid w:val="009D690F"/>
    <w:rPr>
      <w:rFonts w:ascii="Times New Roman" w:eastAsia="MS Gothic" w:hAnsi="Times New Roman" w:cs="Times New Roman"/>
      <w:b/>
      <w:bCs/>
      <w:color w:val="5F5F5F"/>
      <w:sz w:val="24"/>
      <w:lang w:val="bg-BG" w:eastAsia="bg-BG"/>
    </w:rPr>
  </w:style>
  <w:style w:type="character" w:customStyle="1" w:styleId="Heading4Char">
    <w:name w:val="Heading 4 Char"/>
    <w:link w:val="Heading4"/>
    <w:uiPriority w:val="99"/>
    <w:semiHidden/>
    <w:rsid w:val="009D690F"/>
    <w:rPr>
      <w:rFonts w:ascii="Times New Roman" w:eastAsia="MS Gothic" w:hAnsi="Times New Roman" w:cs="Times New Roman"/>
      <w:b/>
      <w:bCs/>
      <w:i/>
      <w:iCs/>
      <w:color w:val="777777"/>
      <w:sz w:val="24"/>
      <w:lang w:val="bg-BG" w:eastAsia="bg-BG"/>
    </w:rPr>
  </w:style>
  <w:style w:type="character" w:customStyle="1" w:styleId="Heading5Char">
    <w:name w:val="Heading 5 Char"/>
    <w:link w:val="Heading5"/>
    <w:uiPriority w:val="99"/>
    <w:semiHidden/>
    <w:rsid w:val="009D690F"/>
    <w:rPr>
      <w:rFonts w:ascii="Times New Roman" w:eastAsia="MS Gothic" w:hAnsi="Times New Roman" w:cs="Times New Roman"/>
      <w:b/>
      <w:bCs/>
      <w:color w:val="808080"/>
      <w:lang w:val="bg-BG" w:eastAsia="bg-BG"/>
    </w:rPr>
  </w:style>
  <w:style w:type="character" w:styleId="SubtleEmphasis">
    <w:name w:val="Subtle Emphasis"/>
    <w:uiPriority w:val="99"/>
    <w:semiHidden/>
    <w:qFormat/>
    <w:rsid w:val="009D690F"/>
    <w:rPr>
      <w:i/>
      <w:iCs/>
      <w:lang w:val="bg-BG" w:eastAsia="bg-BG"/>
    </w:rPr>
  </w:style>
  <w:style w:type="table" w:customStyle="1" w:styleId="ECHRTable">
    <w:name w:val="ECHR_Table"/>
    <w:basedOn w:val="TableNormal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9D690F"/>
    <w:pPr>
      <w:keepNext/>
      <w:keepLines/>
      <w:spacing w:before="720" w:after="240"/>
      <w:outlineLvl w:val="0"/>
    </w:pPr>
    <w:rPr>
      <w:sz w:val="28"/>
    </w:rPr>
  </w:style>
  <w:style w:type="character" w:styleId="Emphasis">
    <w:name w:val="Emphasis"/>
    <w:uiPriority w:val="99"/>
    <w:semiHidden/>
    <w:qFormat/>
    <w:rsid w:val="009D690F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Footer">
    <w:name w:val="footer"/>
    <w:basedOn w:val="Normal"/>
    <w:link w:val="FooterChar"/>
    <w:uiPriority w:val="57"/>
    <w:semiHidden/>
    <w:rsid w:val="009D690F"/>
    <w:pPr>
      <w:tabs>
        <w:tab w:val="center" w:pos="4536"/>
        <w:tab w:val="right" w:pos="9696"/>
      </w:tabs>
      <w:ind w:left="-680" w:right="-680"/>
    </w:pPr>
    <w:rPr>
      <w:rFonts w:eastAsia="Times New Roman"/>
      <w:szCs w:val="20"/>
    </w:rPr>
  </w:style>
  <w:style w:type="character" w:customStyle="1" w:styleId="FooterChar">
    <w:name w:val="Footer Char"/>
    <w:link w:val="Footer"/>
    <w:uiPriority w:val="57"/>
    <w:semiHidden/>
    <w:rsid w:val="009D690F"/>
    <w:rPr>
      <w:sz w:val="24"/>
      <w:lang w:val="bg-BG" w:eastAsia="bg-BG"/>
    </w:rPr>
  </w:style>
  <w:style w:type="character" w:styleId="FootnoteReference">
    <w:name w:val="footnote reference"/>
    <w:uiPriority w:val="99"/>
    <w:semiHidden/>
    <w:rsid w:val="009D690F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9D690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D690F"/>
    <w:rPr>
      <w:rFonts w:eastAsia="MS Mincho"/>
      <w:sz w:val="20"/>
      <w:szCs w:val="20"/>
      <w:lang w:val="bg-BG" w:eastAsia="bg-BG"/>
    </w:rPr>
  </w:style>
  <w:style w:type="character" w:customStyle="1" w:styleId="Heading6Char">
    <w:name w:val="Heading 6 Char"/>
    <w:link w:val="Heading6"/>
    <w:uiPriority w:val="99"/>
    <w:semiHidden/>
    <w:rsid w:val="009D690F"/>
    <w:rPr>
      <w:rFonts w:ascii="Times New Roman" w:eastAsia="MS Gothic" w:hAnsi="Times New Roman" w:cs="Times New Roman"/>
      <w:b/>
      <w:bCs/>
      <w:i/>
      <w:iCs/>
      <w:color w:val="7F7F7F"/>
      <w:sz w:val="24"/>
      <w:lang w:val="bg-BG" w:eastAsia="bg-BG" w:bidi="en-US"/>
    </w:rPr>
  </w:style>
  <w:style w:type="character" w:customStyle="1" w:styleId="Heading7Char">
    <w:name w:val="Heading 7 Char"/>
    <w:link w:val="Heading7"/>
    <w:uiPriority w:val="99"/>
    <w:semiHidden/>
    <w:rsid w:val="009D690F"/>
    <w:rPr>
      <w:rFonts w:ascii="Times New Roman" w:eastAsia="MS Gothic" w:hAnsi="Times New Roman" w:cs="Times New Roman"/>
      <w:i/>
      <w:iCs/>
      <w:lang w:val="bg-BG" w:eastAsia="bg-BG" w:bidi="en-US"/>
    </w:rPr>
  </w:style>
  <w:style w:type="character" w:customStyle="1" w:styleId="Heading8Char">
    <w:name w:val="Heading 8 Char"/>
    <w:link w:val="Heading8"/>
    <w:uiPriority w:val="99"/>
    <w:semiHidden/>
    <w:rsid w:val="009D690F"/>
    <w:rPr>
      <w:rFonts w:ascii="Times New Roman" w:eastAsia="MS Gothic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9D690F"/>
    <w:rPr>
      <w:rFonts w:ascii="Times New Roman" w:eastAsia="MS Gothic" w:hAnsi="Times New Roman" w:cs="Times New Roman"/>
      <w:i/>
      <w:iCs/>
      <w:spacing w:val="5"/>
      <w:sz w:val="20"/>
      <w:szCs w:val="20"/>
      <w:lang w:val="bg-BG" w:eastAsia="bg-BG" w:bidi="en-US"/>
    </w:rPr>
  </w:style>
  <w:style w:type="character" w:styleId="Hyperlink">
    <w:name w:val="Hyperlink"/>
    <w:uiPriority w:val="99"/>
    <w:semiHidden/>
    <w:rsid w:val="009D690F"/>
    <w:rPr>
      <w:color w:val="0072BC"/>
      <w:u w:val="single"/>
      <w:lang w:val="bg-BG" w:eastAsia="bg-BG"/>
    </w:rPr>
  </w:style>
  <w:style w:type="character" w:styleId="IntenseEmphasis">
    <w:name w:val="Intense Emphasis"/>
    <w:uiPriority w:val="99"/>
    <w:semiHidden/>
    <w:qFormat/>
    <w:rsid w:val="009D690F"/>
    <w:rPr>
      <w:b/>
      <w:bCs/>
      <w:lang w:val="bg-BG" w:eastAsia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D690F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9D690F"/>
    <w:rPr>
      <w:rFonts w:eastAsia="MS Mincho"/>
      <w:b/>
      <w:bCs/>
      <w:i/>
      <w:iCs/>
      <w:lang w:val="bg-BG" w:eastAsia="bg-BG" w:bidi="en-US"/>
    </w:rPr>
  </w:style>
  <w:style w:type="character" w:styleId="IntenseReference">
    <w:name w:val="Intense Reference"/>
    <w:uiPriority w:val="99"/>
    <w:semiHidden/>
    <w:qFormat/>
    <w:rsid w:val="009D690F"/>
    <w:rPr>
      <w:smallCaps/>
      <w:spacing w:val="5"/>
      <w:u w:val="single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9D690F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9D690F"/>
    <w:pPr>
      <w:spacing w:before="200"/>
      <w:ind w:left="360" w:right="360"/>
    </w:pPr>
    <w:rPr>
      <w:i/>
      <w:iCs/>
      <w:sz w:val="20"/>
      <w:szCs w:val="20"/>
      <w:lang w:bidi="en-US"/>
    </w:rPr>
  </w:style>
  <w:style w:type="character" w:customStyle="1" w:styleId="QuoteChar">
    <w:name w:val="Quote Char"/>
    <w:link w:val="Quote"/>
    <w:uiPriority w:val="99"/>
    <w:semiHidden/>
    <w:rsid w:val="009D690F"/>
    <w:rPr>
      <w:rFonts w:eastAsia="MS Mincho"/>
      <w:i/>
      <w:iCs/>
      <w:lang w:val="bg-BG" w:eastAsia="bg-BG" w:bidi="en-US"/>
    </w:rPr>
  </w:style>
  <w:style w:type="character" w:styleId="SubtleReference">
    <w:name w:val="Subtle Reference"/>
    <w:uiPriority w:val="99"/>
    <w:semiHidden/>
    <w:qFormat/>
    <w:rsid w:val="009D690F"/>
    <w:rPr>
      <w:smallCaps/>
      <w:lang w:val="bg-BG" w:eastAsia="bg-BG"/>
    </w:rPr>
  </w:style>
  <w:style w:type="table" w:styleId="TableGrid">
    <w:name w:val="Table Grid"/>
    <w:basedOn w:val="TableNormal"/>
    <w:uiPriority w:val="59"/>
    <w:semiHidden/>
    <w:rsid w:val="009D690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9D690F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9D690F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9D690F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9D690F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9D690F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9D690F"/>
    <w:pPr>
      <w:keepNext/>
      <w:keepLines/>
      <w:spacing w:before="240"/>
      <w:contextualSpacing/>
      <w:jc w:val="center"/>
    </w:pPr>
    <w:rPr>
      <w:rFonts w:eastAsia="Times New Roman"/>
      <w:b/>
      <w:color w:val="474747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="MS Mincho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="MS Mincho"/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9D690F"/>
    <w:pPr>
      <w:keepNext/>
      <w:keepLines/>
      <w:spacing w:before="240"/>
      <w:contextualSpacing/>
      <w:jc w:val="center"/>
    </w:pPr>
    <w:rPr>
      <w:rFonts w:eastAsia="MS Gothic"/>
      <w:b/>
      <w:bCs/>
      <w:color w:val="474747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9D690F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JuParaCar"/>
    <w:uiPriority w:val="12"/>
    <w:qFormat/>
    <w:rsid w:val="009D690F"/>
    <w:pPr>
      <w:ind w:firstLine="284"/>
    </w:pPr>
    <w:rPr>
      <w:szCs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9D690F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9D690F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9D690F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9D690F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9D690F"/>
    <w:pPr>
      <w:keepNext/>
      <w:keepLines/>
      <w:spacing w:before="240"/>
      <w:ind w:firstLine="284"/>
    </w:pPr>
  </w:style>
  <w:style w:type="paragraph" w:customStyle="1" w:styleId="JuParaSub">
    <w:name w:val="Ju_Para_Sub"/>
    <w:basedOn w:val="ECHRPara"/>
    <w:uiPriority w:val="13"/>
    <w:qFormat/>
    <w:rsid w:val="009D690F"/>
    <w:pPr>
      <w:ind w:left="284"/>
    </w:pPr>
  </w:style>
  <w:style w:type="character" w:styleId="PageNumber">
    <w:name w:val="page number"/>
    <w:uiPriority w:val="99"/>
    <w:semiHidden/>
    <w:rsid w:val="00014566"/>
    <w:rPr>
      <w:sz w:val="18"/>
      <w:lang w:val="bg-BG" w:eastAsia="bg-BG"/>
    </w:rPr>
  </w:style>
  <w:style w:type="paragraph" w:customStyle="1" w:styleId="JuQuotSub">
    <w:name w:val="Ju_Quot_Sub"/>
    <w:basedOn w:val="ECHRParaQuote"/>
    <w:uiPriority w:val="15"/>
    <w:qFormat/>
    <w:rsid w:val="009D690F"/>
    <w:pPr>
      <w:ind w:left="567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9D690F"/>
    <w:pPr>
      <w:spacing w:before="720" w:after="240"/>
      <w:jc w:val="center"/>
      <w:outlineLvl w:val="0"/>
    </w:pPr>
    <w:rPr>
      <w:b/>
      <w:caps/>
    </w:rPr>
  </w:style>
  <w:style w:type="character" w:styleId="CommentReference">
    <w:name w:val="annotation reference"/>
    <w:uiPriority w:val="99"/>
    <w:semiHidden/>
    <w:rsid w:val="00014566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rsid w:val="000145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4566"/>
    <w:rPr>
      <w:rFonts w:eastAsia="MS Mincho"/>
      <w:sz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4566"/>
    <w:rPr>
      <w:rFonts w:eastAsia="MS Mincho"/>
      <w:b/>
      <w:bCs/>
      <w:sz w:val="20"/>
      <w:lang w:val="bg-BG" w:eastAsia="bg-BG"/>
    </w:rPr>
  </w:style>
  <w:style w:type="character" w:styleId="EndnoteReference">
    <w:name w:val="endnote reference"/>
    <w:uiPriority w:val="99"/>
    <w:semiHidden/>
    <w:rsid w:val="009D690F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rsid w:val="009D690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D690F"/>
    <w:rPr>
      <w:rFonts w:eastAsia="MS Mincho"/>
      <w:sz w:val="20"/>
      <w:szCs w:val="20"/>
      <w:lang w:val="bg-BG" w:eastAsia="bg-BG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014566"/>
    <w:rPr>
      <w:rFonts w:ascii="Tahoma" w:eastAsia="MS Mincho" w:hAnsi="Tahoma" w:cs="Tahoma"/>
      <w:sz w:val="20"/>
      <w:lang w:val="bg-BG" w:eastAsia="bg-BG"/>
    </w:rPr>
  </w:style>
  <w:style w:type="paragraph" w:customStyle="1" w:styleId="OpiH1">
    <w:name w:val="Opi_H_1"/>
    <w:basedOn w:val="ECHRHeading2"/>
    <w:uiPriority w:val="42"/>
    <w:qFormat/>
    <w:rsid w:val="009D690F"/>
    <w:pPr>
      <w:ind w:left="635" w:hanging="357"/>
      <w:outlineLvl w:val="2"/>
    </w:p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9D690F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D690F"/>
    <w:pPr>
      <w:spacing w:after="600"/>
    </w:pPr>
    <w:rPr>
      <w:rFonts w:eastAsia="MS Gothic"/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9D690F"/>
    <w:rPr>
      <w:rFonts w:ascii="Times New Roman" w:eastAsia="MS Gothic" w:hAnsi="Times New Roman" w:cs="Times New Roman"/>
      <w:i/>
      <w:iCs/>
      <w:spacing w:val="13"/>
      <w:sz w:val="24"/>
      <w:szCs w:val="24"/>
      <w:lang w:val="bg-BG" w:eastAsia="bg-BG"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  <w:rPr>
      <w:szCs w:val="20"/>
    </w:rPr>
  </w:style>
  <w:style w:type="character" w:customStyle="1" w:styleId="ClosingChar">
    <w:name w:val="Closing Char"/>
    <w:link w:val="Closing"/>
    <w:uiPriority w:val="99"/>
    <w:semiHidden/>
    <w:rsid w:val="00014566"/>
    <w:rPr>
      <w:rFonts w:eastAsia="MS Mincho"/>
      <w:sz w:val="24"/>
      <w:lang w:val="bg-BG" w:eastAsia="bg-BG"/>
    </w:rPr>
  </w:style>
  <w:style w:type="table" w:customStyle="1" w:styleId="ColorfulGrid1">
    <w:name w:val="Colorful Grid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ColorfulList1">
    <w:name w:val="Colorful List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ColorfulShading1">
    <w:name w:val="Colorful Shading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  <w:rPr>
      <w:szCs w:val="20"/>
    </w:rPr>
  </w:style>
  <w:style w:type="character" w:customStyle="1" w:styleId="DateChar">
    <w:name w:val="Date Char"/>
    <w:link w:val="Dat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  <w:rPr>
      <w:szCs w:val="20"/>
    </w:rPr>
  </w:style>
  <w:style w:type="character" w:customStyle="1" w:styleId="E-mailSignatureChar">
    <w:name w:val="E-mail Signature Char"/>
    <w:link w:val="E-mailSignatur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eastAsia="MS Gothic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eastAsia="MS Gothic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  <w:szCs w:val="20"/>
    </w:rPr>
  </w:style>
  <w:style w:type="character" w:customStyle="1" w:styleId="HTMLAddressChar">
    <w:name w:val="HTML Address Char"/>
    <w:link w:val="HTMLAddress"/>
    <w:uiPriority w:val="99"/>
    <w:semiHidden/>
    <w:rsid w:val="00014566"/>
    <w:rPr>
      <w:rFonts w:eastAsia="MS Mincho"/>
      <w:i/>
      <w:iCs/>
      <w:sz w:val="24"/>
      <w:lang w:val="bg-BG" w:eastAsia="bg-BG"/>
    </w:rPr>
  </w:style>
  <w:style w:type="character" w:styleId="HTMLCite">
    <w:name w:val="HTML Cite"/>
    <w:uiPriority w:val="99"/>
    <w:semiHidden/>
    <w:rsid w:val="00014566"/>
    <w:rPr>
      <w:i/>
      <w:iCs/>
      <w:lang w:val="bg-BG" w:eastAsia="bg-BG"/>
    </w:rPr>
  </w:style>
  <w:style w:type="character" w:styleId="HTMLCode">
    <w:name w:val="HTML Code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rsid w:val="00014566"/>
    <w:rPr>
      <w:i/>
      <w:iCs/>
      <w:lang w:val="bg-BG" w:eastAsia="bg-BG"/>
    </w:rPr>
  </w:style>
  <w:style w:type="character" w:styleId="HTMLKeyboard">
    <w:name w:val="HTML Keyboard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4566"/>
    <w:rPr>
      <w:rFonts w:ascii="Consolas" w:eastAsia="MS Mincho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rsid w:val="00014566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rsid w:val="00014566"/>
    <w:rPr>
      <w:i/>
      <w:iCs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eastAsia="MS Gothic"/>
      <w:b/>
      <w:bCs/>
    </w:rPr>
  </w:style>
  <w:style w:type="table" w:customStyle="1" w:styleId="LightGrid1">
    <w:name w:val="Light Grid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014566"/>
    <w:rPr>
      <w:color w:val="00548C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lang w:val="bg-BG" w:eastAsia="bg-BG"/>
    </w:rPr>
  </w:style>
  <w:style w:type="character" w:customStyle="1" w:styleId="MacroTextChar">
    <w:name w:val="Macro Text Char"/>
    <w:link w:val="MacroText"/>
    <w:uiPriority w:val="99"/>
    <w:semiHidden/>
    <w:rsid w:val="00014566"/>
    <w:rPr>
      <w:rFonts w:ascii="Consolas" w:hAnsi="Consolas" w:cs="Consolas"/>
      <w:lang w:val="bg-BG" w:eastAsia="bg-BG" w:bidi="ar-SA"/>
    </w:rPr>
  </w:style>
  <w:style w:type="table" w:customStyle="1" w:styleId="MediumGrid11">
    <w:name w:val="Medium Grid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MediumGrid21">
    <w:name w:val="Medium Grid 2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MediumGrid31">
    <w:name w:val="Medium Grid 3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MediumList11">
    <w:name w:val="Medium List 1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MediumList21">
    <w:name w:val="Medium List 2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14566"/>
    <w:rPr>
      <w:rFonts w:ascii="Times New Roman" w:eastAsia="MS Gothic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014566"/>
    <w:rPr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  <w:rPr>
      <w:szCs w:val="20"/>
    </w:rPr>
  </w:style>
  <w:style w:type="character" w:customStyle="1" w:styleId="NoteHeadingChar">
    <w:name w:val="Note Heading Char"/>
    <w:link w:val="NoteHeading"/>
    <w:uiPriority w:val="99"/>
    <w:semiHidden/>
    <w:rsid w:val="00014566"/>
    <w:rPr>
      <w:rFonts w:eastAsia="MS Mincho"/>
      <w:sz w:val="24"/>
      <w:lang w:val="bg-BG" w:eastAsia="bg-BG"/>
    </w:rPr>
  </w:style>
  <w:style w:type="character" w:styleId="PlaceholderText">
    <w:name w:val="Placeholder Text"/>
    <w:uiPriority w:val="99"/>
    <w:semiHidden/>
    <w:rsid w:val="009D690F"/>
    <w:rPr>
      <w:color w:val="000000"/>
      <w:bdr w:val="none" w:sz="0" w:space="0" w:color="auto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14566"/>
    <w:rPr>
      <w:rFonts w:ascii="Consolas" w:eastAsia="MS Mincho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  <w:rPr>
      <w:szCs w:val="20"/>
    </w:rPr>
  </w:style>
  <w:style w:type="character" w:customStyle="1" w:styleId="SalutationChar">
    <w:name w:val="Salutation Char"/>
    <w:link w:val="Salutation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  <w:rPr>
      <w:szCs w:val="20"/>
    </w:rPr>
  </w:style>
  <w:style w:type="character" w:customStyle="1" w:styleId="SignatureChar">
    <w:name w:val="Signature Char"/>
    <w:link w:val="Signature"/>
    <w:uiPriority w:val="99"/>
    <w:semiHidden/>
    <w:rsid w:val="00014566"/>
    <w:rPr>
      <w:rFonts w:eastAsia="MS Mincho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9D690F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9D690F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9D690F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9D690F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9D690F"/>
  </w:style>
  <w:style w:type="paragraph" w:customStyle="1" w:styleId="OpiParaSub">
    <w:name w:val="Opi_Para_Sub"/>
    <w:basedOn w:val="JuParaSub"/>
    <w:uiPriority w:val="47"/>
    <w:qFormat/>
    <w:rsid w:val="009D690F"/>
  </w:style>
  <w:style w:type="paragraph" w:customStyle="1" w:styleId="OpiQuot">
    <w:name w:val="Opi_Quot"/>
    <w:basedOn w:val="ECHRParaQuote"/>
    <w:uiPriority w:val="48"/>
    <w:qFormat/>
    <w:rsid w:val="009D690F"/>
  </w:style>
  <w:style w:type="paragraph" w:customStyle="1" w:styleId="OpiQuotSub">
    <w:name w:val="Opi_Quot_Sub"/>
    <w:basedOn w:val="JuQuotSub"/>
    <w:uiPriority w:val="49"/>
    <w:qFormat/>
    <w:rsid w:val="009D690F"/>
  </w:style>
  <w:style w:type="paragraph" w:customStyle="1" w:styleId="OpiTranslation">
    <w:name w:val="Opi_Translation"/>
    <w:basedOn w:val="Normal"/>
    <w:next w:val="OpiPara"/>
    <w:uiPriority w:val="40"/>
    <w:qFormat/>
    <w:rsid w:val="009D690F"/>
    <w:pPr>
      <w:jc w:val="center"/>
      <w:outlineLvl w:val="0"/>
    </w:pPr>
    <w:rPr>
      <w:i/>
    </w:rPr>
  </w:style>
  <w:style w:type="character" w:customStyle="1" w:styleId="JuParaCar">
    <w:name w:val="Ju_Para Car"/>
    <w:link w:val="ECHRPara"/>
    <w:uiPriority w:val="12"/>
    <w:rsid w:val="00D1676F"/>
    <w:rPr>
      <w:rFonts w:eastAsia="MS Mincho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hudoc.echr.coe.int/e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7297-994A-472C-9859-B62B95FD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26336</CharactersWithSpaces>
  <SharedDoc>false</SharedDoc>
  <HLinks>
    <vt:vector size="6" baseType="variant">
      <vt:variant>
        <vt:i4>3539007</vt:i4>
      </vt:variant>
      <vt:variant>
        <vt:i4>54</vt:i4>
      </vt:variant>
      <vt:variant>
        <vt:i4>0</vt:i4>
      </vt:variant>
      <vt:variant>
        <vt:i4>5</vt:i4>
      </vt:variant>
      <vt:variant>
        <vt:lpwstr>https://hudoc.echr.coe.int/eng</vt:lpwstr>
      </vt:variant>
      <vt:variant>
        <vt:lpwstr>{"appno":["34308/96"]}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2018-07-02T08:18:00Z</dcterms:created>
  <dcterms:modified xsi:type="dcterms:W3CDTF">2018-07-02T08:18:00Z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