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E2D" w:rsidRPr="004F2037" w:rsidRDefault="00686E2D" w:rsidP="00686E2D">
      <w:pPr>
        <w:jc w:val="center"/>
      </w:pPr>
    </w:p>
    <w:p w:rsidR="00686E2D" w:rsidRPr="004F2037" w:rsidRDefault="00686E2D" w:rsidP="00686E2D">
      <w:pPr>
        <w:jc w:val="center"/>
      </w:pPr>
    </w:p>
    <w:p w:rsidR="00686E2D" w:rsidRPr="004F2037" w:rsidRDefault="00686E2D" w:rsidP="00686E2D">
      <w:pPr>
        <w:jc w:val="center"/>
      </w:pPr>
    </w:p>
    <w:p w:rsidR="00686E2D" w:rsidRPr="005C03A9" w:rsidRDefault="00686E2D" w:rsidP="00686E2D">
      <w:pPr>
        <w:jc w:val="center"/>
      </w:pPr>
      <w:r w:rsidRPr="005C03A9">
        <w:rPr>
          <w:rStyle w:val="Normal"/>
        </w:rPr>
        <w:t>ПЕТО ОТДЕЛЕНИЕ</w:t>
      </w:r>
    </w:p>
    <w:p w:rsidR="00686E2D" w:rsidRPr="005C03A9" w:rsidRDefault="00686E2D" w:rsidP="00686E2D">
      <w:pPr>
        <w:jc w:val="center"/>
      </w:pPr>
    </w:p>
    <w:p w:rsidR="00686E2D" w:rsidRPr="005C03A9" w:rsidRDefault="00686E2D" w:rsidP="00686E2D">
      <w:pPr>
        <w:jc w:val="center"/>
      </w:pPr>
    </w:p>
    <w:p w:rsidR="00686E2D" w:rsidRPr="005C03A9" w:rsidRDefault="00686E2D" w:rsidP="00686E2D">
      <w:pPr>
        <w:jc w:val="center"/>
      </w:pPr>
    </w:p>
    <w:p w:rsidR="00686E2D" w:rsidRPr="005C03A9" w:rsidRDefault="00686E2D" w:rsidP="00686E2D">
      <w:pPr>
        <w:jc w:val="center"/>
      </w:pPr>
    </w:p>
    <w:p w:rsidR="00686E2D" w:rsidRPr="005C03A9" w:rsidRDefault="00686E2D" w:rsidP="00686E2D">
      <w:pPr>
        <w:jc w:val="center"/>
      </w:pPr>
    </w:p>
    <w:p w:rsidR="00686E2D" w:rsidRPr="005C03A9" w:rsidRDefault="00686E2D" w:rsidP="00686E2D">
      <w:pPr>
        <w:jc w:val="center"/>
      </w:pPr>
    </w:p>
    <w:p w:rsidR="00686E2D" w:rsidRPr="005C03A9" w:rsidRDefault="00686E2D" w:rsidP="00686E2D">
      <w:pPr>
        <w:jc w:val="center"/>
      </w:pPr>
    </w:p>
    <w:p w:rsidR="00686E2D" w:rsidRPr="005C03A9" w:rsidRDefault="00686E2D" w:rsidP="00686E2D">
      <w:pPr>
        <w:jc w:val="center"/>
        <w:rPr>
          <w:b/>
        </w:rPr>
      </w:pPr>
      <w:bookmarkStart w:id="0" w:name="To"/>
      <w:r w:rsidRPr="005C03A9">
        <w:rPr>
          <w:rStyle w:val="Normal"/>
          <w:b/>
        </w:rPr>
        <w:t xml:space="preserve">ДЕЛО </w:t>
      </w:r>
      <w:bookmarkEnd w:id="0"/>
      <w:r w:rsidRPr="005C03A9">
        <w:rPr>
          <w:rStyle w:val="Normal"/>
          <w:b/>
        </w:rPr>
        <w:t>ДЕЛИН СРЕЩУ БЪЛГАРИЯ</w:t>
      </w:r>
    </w:p>
    <w:p w:rsidR="00686E2D" w:rsidRPr="005C03A9" w:rsidRDefault="00686E2D" w:rsidP="00686E2D">
      <w:pPr>
        <w:jc w:val="center"/>
      </w:pPr>
    </w:p>
    <w:p w:rsidR="00686E2D" w:rsidRPr="005C03A9" w:rsidRDefault="00686E2D" w:rsidP="00686E2D">
      <w:pPr>
        <w:jc w:val="center"/>
        <w:rPr>
          <w:i/>
        </w:rPr>
      </w:pPr>
      <w:r w:rsidRPr="005C03A9">
        <w:rPr>
          <w:rStyle w:val="Normal"/>
          <w:i/>
        </w:rPr>
        <w:t xml:space="preserve">(Жалба </w:t>
      </w:r>
      <w:r w:rsidRPr="005C03A9">
        <w:rPr>
          <w:rStyle w:val="Normal"/>
          <w:i/>
          <w:cs/>
        </w:rPr>
        <w:t xml:space="preserve">№ </w:t>
      </w:r>
      <w:r w:rsidRPr="005C03A9">
        <w:rPr>
          <w:rStyle w:val="Normal"/>
          <w:i/>
        </w:rPr>
        <w:t>62377/16)</w:t>
      </w:r>
    </w:p>
    <w:p w:rsidR="00686E2D" w:rsidRPr="005C03A9" w:rsidRDefault="00686E2D" w:rsidP="00686E2D">
      <w:pPr>
        <w:jc w:val="center"/>
      </w:pPr>
    </w:p>
    <w:p w:rsidR="00686E2D" w:rsidRPr="005C03A9" w:rsidRDefault="00686E2D" w:rsidP="00686E2D">
      <w:pPr>
        <w:jc w:val="center"/>
      </w:pPr>
    </w:p>
    <w:p w:rsidR="00686E2D" w:rsidRPr="005C03A9" w:rsidRDefault="00686E2D" w:rsidP="00686E2D">
      <w:pPr>
        <w:jc w:val="center"/>
      </w:pPr>
    </w:p>
    <w:p w:rsidR="00686E2D" w:rsidRPr="005C03A9" w:rsidRDefault="00686E2D" w:rsidP="00686E2D">
      <w:pPr>
        <w:jc w:val="center"/>
      </w:pPr>
    </w:p>
    <w:p w:rsidR="00686E2D" w:rsidRPr="005C03A9" w:rsidRDefault="00686E2D" w:rsidP="00686E2D">
      <w:pPr>
        <w:jc w:val="center"/>
      </w:pPr>
    </w:p>
    <w:p w:rsidR="00686E2D" w:rsidRPr="005C03A9" w:rsidRDefault="00686E2D" w:rsidP="00686E2D">
      <w:pPr>
        <w:jc w:val="center"/>
      </w:pPr>
    </w:p>
    <w:p w:rsidR="00686E2D" w:rsidRPr="005C03A9" w:rsidRDefault="00686E2D" w:rsidP="00686E2D">
      <w:pPr>
        <w:jc w:val="center"/>
      </w:pPr>
    </w:p>
    <w:p w:rsidR="00686E2D" w:rsidRPr="005C03A9" w:rsidRDefault="00686E2D" w:rsidP="00686E2D">
      <w:pPr>
        <w:jc w:val="center"/>
      </w:pPr>
    </w:p>
    <w:p w:rsidR="00686E2D" w:rsidRPr="005C03A9" w:rsidRDefault="00686E2D" w:rsidP="00686E2D">
      <w:pPr>
        <w:jc w:val="center"/>
      </w:pPr>
    </w:p>
    <w:p w:rsidR="00686E2D" w:rsidRPr="005C03A9" w:rsidRDefault="00686E2D" w:rsidP="00686E2D">
      <w:pPr>
        <w:jc w:val="center"/>
      </w:pPr>
    </w:p>
    <w:p w:rsidR="00686E2D" w:rsidRPr="005C03A9" w:rsidRDefault="00686E2D" w:rsidP="00686E2D">
      <w:pPr>
        <w:jc w:val="center"/>
      </w:pPr>
    </w:p>
    <w:p w:rsidR="00686E2D" w:rsidRPr="005C03A9" w:rsidRDefault="00686E2D" w:rsidP="00686E2D">
      <w:pPr>
        <w:jc w:val="center"/>
      </w:pPr>
    </w:p>
    <w:p w:rsidR="00686E2D" w:rsidRPr="005C03A9" w:rsidRDefault="00686E2D" w:rsidP="00686E2D">
      <w:pPr>
        <w:jc w:val="center"/>
      </w:pPr>
      <w:r w:rsidRPr="005C03A9">
        <w:rPr>
          <w:rStyle w:val="Normal"/>
        </w:rPr>
        <w:t>РЕШЕНИЕ</w:t>
      </w:r>
    </w:p>
    <w:p w:rsidR="00686E2D" w:rsidRPr="005C03A9" w:rsidRDefault="00686E2D" w:rsidP="00686E2D">
      <w:pPr>
        <w:jc w:val="center"/>
      </w:pPr>
    </w:p>
    <w:p w:rsidR="00686E2D" w:rsidRPr="005C03A9" w:rsidRDefault="00686E2D" w:rsidP="00686E2D">
      <w:pPr>
        <w:jc w:val="center"/>
      </w:pPr>
    </w:p>
    <w:p w:rsidR="00686E2D" w:rsidRPr="005C03A9" w:rsidRDefault="00686E2D" w:rsidP="00686E2D">
      <w:pPr>
        <w:jc w:val="center"/>
      </w:pPr>
    </w:p>
    <w:p w:rsidR="00686E2D" w:rsidRPr="005C03A9" w:rsidRDefault="00686E2D" w:rsidP="00686E2D">
      <w:pPr>
        <w:jc w:val="center"/>
      </w:pPr>
    </w:p>
    <w:p w:rsidR="00686E2D" w:rsidRPr="005C03A9" w:rsidRDefault="00686E2D" w:rsidP="00686E2D">
      <w:pPr>
        <w:jc w:val="center"/>
      </w:pPr>
      <w:r w:rsidRPr="005C03A9">
        <w:rPr>
          <w:rStyle w:val="Normal"/>
        </w:rPr>
        <w:t>СТРАСБУРГ</w:t>
      </w:r>
    </w:p>
    <w:p w:rsidR="00686E2D" w:rsidRPr="005C03A9" w:rsidRDefault="00686E2D" w:rsidP="00686E2D">
      <w:pPr>
        <w:jc w:val="center"/>
      </w:pPr>
    </w:p>
    <w:p w:rsidR="00686E2D" w:rsidRPr="005C03A9" w:rsidRDefault="00686E2D" w:rsidP="00686E2D">
      <w:pPr>
        <w:jc w:val="center"/>
      </w:pPr>
      <w:r w:rsidRPr="005C03A9">
        <w:rPr>
          <w:rStyle w:val="Normal"/>
        </w:rPr>
        <w:t>6 декември 2018 г.</w:t>
      </w:r>
    </w:p>
    <w:p w:rsidR="00686E2D" w:rsidRPr="005C03A9" w:rsidRDefault="00686E2D" w:rsidP="00686E2D">
      <w:pPr>
        <w:jc w:val="center"/>
      </w:pPr>
    </w:p>
    <w:p w:rsidR="00686E2D" w:rsidRPr="005C03A9" w:rsidRDefault="00686E2D" w:rsidP="00686E2D">
      <w:pPr>
        <w:jc w:val="center"/>
      </w:pPr>
    </w:p>
    <w:p w:rsidR="00686E2D" w:rsidRPr="005C03A9" w:rsidRDefault="00686E2D" w:rsidP="00686E2D">
      <w:pPr>
        <w:jc w:val="center"/>
      </w:pPr>
    </w:p>
    <w:p w:rsidR="00686E2D" w:rsidRPr="005C03A9" w:rsidRDefault="00686E2D" w:rsidP="00686E2D">
      <w:pPr>
        <w:jc w:val="center"/>
        <w:rPr>
          <w:i/>
          <w:sz w:val="22"/>
        </w:rPr>
      </w:pPr>
      <w:r w:rsidRPr="005C03A9">
        <w:rPr>
          <w:rStyle w:val="Normal"/>
          <w:i/>
          <w:sz w:val="22"/>
        </w:rPr>
        <w:lastRenderedPageBreak/>
        <w:t>Настоящото решение е окончателно, но може да бъде предмет на редакционни промени.</w:t>
      </w:r>
    </w:p>
    <w:p w:rsidR="00686E2D" w:rsidRPr="005C03A9" w:rsidRDefault="00686E2D" w:rsidP="00686E2D">
      <w:pPr>
        <w:pStyle w:val="ECHRPara"/>
        <w:sectPr w:rsidR="00686E2D" w:rsidRPr="005C03A9" w:rsidSect="00686E2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footnotePr>
            <w:numRestart w:val="eachSect"/>
          </w:footnotePr>
          <w:pgSz w:w="11906" w:h="16838" w:code="9"/>
          <w:pgMar w:top="2274" w:right="2274" w:bottom="2274" w:left="2274" w:header="1701" w:footer="720" w:gutter="0"/>
          <w:pgNumType w:start="1"/>
          <w:cols w:space="720"/>
          <w:titlePg/>
          <w:docGrid w:linePitch="326"/>
        </w:sectPr>
      </w:pPr>
    </w:p>
    <w:p w:rsidR="00686E2D" w:rsidRPr="006B538B" w:rsidRDefault="00686E2D" w:rsidP="00686E2D">
      <w:pPr>
        <w:pStyle w:val="JuCase"/>
        <w:rPr>
          <w:bCs/>
        </w:rPr>
      </w:pPr>
      <w:r w:rsidRPr="006B538B">
        <w:rPr>
          <w:rStyle w:val="JuCase"/>
        </w:rPr>
        <w:lastRenderedPageBreak/>
        <w:t>По делото Делин срещу България,</w:t>
      </w:r>
    </w:p>
    <w:p w:rsidR="00686E2D" w:rsidRPr="006B538B" w:rsidRDefault="00686E2D" w:rsidP="00686E2D">
      <w:pPr>
        <w:pStyle w:val="ECHRPara"/>
      </w:pPr>
      <w:r w:rsidRPr="006B538B">
        <w:rPr>
          <w:rStyle w:val="ECHRPara"/>
        </w:rPr>
        <w:t>Европейският съд по правата на човека (Пето отделение), заседаващ като комитет,</w:t>
      </w:r>
      <w:r w:rsidR="00A764ED" w:rsidRPr="006B538B">
        <w:rPr>
          <w:rStyle w:val="ECHRPara"/>
        </w:rPr>
        <w:t xml:space="preserve"> в състав</w:t>
      </w:r>
      <w:r w:rsidRPr="006B538B">
        <w:rPr>
          <w:rStyle w:val="ECHRPara"/>
        </w:rPr>
        <w:t>:</w:t>
      </w:r>
    </w:p>
    <w:p w:rsidR="00686E2D" w:rsidRPr="006B538B" w:rsidRDefault="00686E2D" w:rsidP="00686E2D">
      <w:pPr>
        <w:pStyle w:val="ECHRDecisionBody"/>
      </w:pPr>
      <w:r w:rsidRPr="006B538B">
        <w:rPr>
          <w:rStyle w:val="ECHRDecisionBody"/>
        </w:rPr>
        <w:tab/>
        <w:t xml:space="preserve">Габриеле </w:t>
      </w:r>
      <w:proofErr w:type="spellStart"/>
      <w:r w:rsidRPr="006B538B">
        <w:rPr>
          <w:rStyle w:val="ECHRDecisionBody"/>
        </w:rPr>
        <w:t>Куцко-Щадлмайер</w:t>
      </w:r>
      <w:proofErr w:type="spellEnd"/>
      <w:r w:rsidRPr="006B538B">
        <w:rPr>
          <w:rStyle w:val="ECHRDecisionBody"/>
        </w:rPr>
        <w:t xml:space="preserve"> (</w:t>
      </w:r>
      <w:proofErr w:type="spellStart"/>
      <w:r w:rsidRPr="006B538B">
        <w:rPr>
          <w:rStyle w:val="ECHRDecisionBody"/>
        </w:rPr>
        <w:t>Gabriele</w:t>
      </w:r>
      <w:proofErr w:type="spellEnd"/>
      <w:r w:rsidRPr="006B538B">
        <w:rPr>
          <w:rStyle w:val="ECHRDecisionBody"/>
        </w:rPr>
        <w:t xml:space="preserve"> </w:t>
      </w:r>
      <w:proofErr w:type="spellStart"/>
      <w:r w:rsidRPr="006B538B">
        <w:rPr>
          <w:rStyle w:val="ECHRDecisionBody"/>
        </w:rPr>
        <w:t>Kucsko-Stadlmayer</w:t>
      </w:r>
      <w:proofErr w:type="spellEnd"/>
      <w:r w:rsidRPr="006B538B">
        <w:rPr>
          <w:rStyle w:val="ECHRDecisionBody"/>
        </w:rPr>
        <w:t>),</w:t>
      </w:r>
      <w:r w:rsidRPr="006B538B">
        <w:rPr>
          <w:rStyle w:val="ECHRDecisionBody"/>
          <w:i/>
        </w:rPr>
        <w:t xml:space="preserve"> председател,</w:t>
      </w:r>
      <w:r w:rsidRPr="006B538B">
        <w:br/>
      </w:r>
      <w:r w:rsidRPr="006B538B">
        <w:rPr>
          <w:rStyle w:val="ECHRDecisionBody"/>
        </w:rPr>
        <w:tab/>
        <w:t>Йонко Грозев (Yonko Grozev),</w:t>
      </w:r>
      <w:r w:rsidRPr="006B538B">
        <w:br/>
      </w:r>
      <w:r w:rsidRPr="006B538B">
        <w:rPr>
          <w:rStyle w:val="ECHRDecisionBody"/>
        </w:rPr>
        <w:tab/>
        <w:t>Летиф Хюсеинов (Lәtif Hüseynov),</w:t>
      </w:r>
      <w:r w:rsidRPr="006B538B">
        <w:rPr>
          <w:rStyle w:val="ECHRDecisionBody"/>
          <w:i/>
        </w:rPr>
        <w:t xml:space="preserve"> съдии,</w:t>
      </w:r>
      <w:r w:rsidRPr="006B538B">
        <w:br/>
      </w:r>
      <w:r w:rsidRPr="006B538B">
        <w:rPr>
          <w:rStyle w:val="ECHRDecisionBody"/>
        </w:rPr>
        <w:t xml:space="preserve">и Милан </w:t>
      </w:r>
      <w:proofErr w:type="spellStart"/>
      <w:r w:rsidRPr="006B538B">
        <w:rPr>
          <w:rStyle w:val="ECHRDecisionBody"/>
        </w:rPr>
        <w:t>Бла</w:t>
      </w:r>
      <w:r w:rsidR="005C03A9" w:rsidRPr="006B538B">
        <w:rPr>
          <w:rStyle w:val="ECHRDecisionBody"/>
        </w:rPr>
        <w:t>с</w:t>
      </w:r>
      <w:r w:rsidRPr="006B538B">
        <w:rPr>
          <w:rStyle w:val="ECHRDecisionBody"/>
        </w:rPr>
        <w:t>ко</w:t>
      </w:r>
      <w:proofErr w:type="spellEnd"/>
      <w:r w:rsidRPr="006B538B">
        <w:rPr>
          <w:rStyle w:val="ECHRDecisionBody"/>
        </w:rPr>
        <w:t xml:space="preserve"> (</w:t>
      </w:r>
      <w:proofErr w:type="spellStart"/>
      <w:r w:rsidRPr="006B538B">
        <w:rPr>
          <w:rStyle w:val="ECHRDecisionBody"/>
        </w:rPr>
        <w:t>Milan</w:t>
      </w:r>
      <w:proofErr w:type="spellEnd"/>
      <w:r w:rsidRPr="006B538B">
        <w:rPr>
          <w:rStyle w:val="ECHRDecisionBody"/>
        </w:rPr>
        <w:t xml:space="preserve"> </w:t>
      </w:r>
      <w:proofErr w:type="spellStart"/>
      <w:r w:rsidRPr="006B538B">
        <w:rPr>
          <w:rStyle w:val="ECHRDecisionBody"/>
        </w:rPr>
        <w:t>Blaško</w:t>
      </w:r>
      <w:proofErr w:type="spellEnd"/>
      <w:r w:rsidRPr="006B538B">
        <w:rPr>
          <w:rStyle w:val="ECHRDecisionBody"/>
        </w:rPr>
        <w:t xml:space="preserve">), </w:t>
      </w:r>
      <w:r w:rsidRPr="006B538B">
        <w:rPr>
          <w:rStyle w:val="ECHRDecisionBody"/>
          <w:i/>
        </w:rPr>
        <w:t>заместник-секретар на отделението,</w:t>
      </w:r>
    </w:p>
    <w:p w:rsidR="00686E2D" w:rsidRPr="006B538B" w:rsidRDefault="00686E2D" w:rsidP="00686E2D">
      <w:pPr>
        <w:pStyle w:val="ECHRPara"/>
      </w:pPr>
      <w:r w:rsidRPr="006B538B">
        <w:rPr>
          <w:rStyle w:val="ECHRPara"/>
        </w:rPr>
        <w:t>След закрито заседание, проведено на 13 ноември 2018 г.,</w:t>
      </w:r>
    </w:p>
    <w:p w:rsidR="00686E2D" w:rsidRPr="006B538B" w:rsidRDefault="00686E2D" w:rsidP="00686E2D">
      <w:pPr>
        <w:pStyle w:val="ECHRPara"/>
      </w:pPr>
      <w:r w:rsidRPr="006B538B">
        <w:rPr>
          <w:rStyle w:val="ECHRPara"/>
        </w:rPr>
        <w:t>Постановява следното решение, прието на същата дата:</w:t>
      </w:r>
    </w:p>
    <w:p w:rsidR="00686E2D" w:rsidRPr="006B538B" w:rsidRDefault="00686E2D" w:rsidP="00686E2D">
      <w:pPr>
        <w:pStyle w:val="ECHRTitle1"/>
      </w:pPr>
      <w:r w:rsidRPr="006B538B">
        <w:rPr>
          <w:rStyle w:val="ECHRTitle1"/>
        </w:rPr>
        <w:t>ПРОЦЕДУРА</w:t>
      </w:r>
    </w:p>
    <w:p w:rsidR="00686E2D" w:rsidRPr="006B538B" w:rsidRDefault="00686E2D" w:rsidP="00686E2D">
      <w:pPr>
        <w:pStyle w:val="ECHRPara"/>
      </w:pPr>
      <w:r w:rsidRPr="006B538B">
        <w:fldChar w:fldCharType="begin"/>
      </w:r>
      <w:r w:rsidRPr="006B538B">
        <w:rPr>
          <w:rStyle w:val="ECHRPara"/>
        </w:rPr>
        <w:instrText xml:space="preserve"> SEQ level0 \*arabic </w:instrText>
      </w:r>
      <w:r w:rsidRPr="006B538B">
        <w:fldChar w:fldCharType="separate"/>
      </w:r>
      <w:r w:rsidRPr="006B538B">
        <w:rPr>
          <w:rStyle w:val="ECHRPara"/>
        </w:rPr>
        <w:t>1</w:t>
      </w:r>
      <w:r w:rsidRPr="006B538B">
        <w:fldChar w:fldCharType="end"/>
      </w:r>
      <w:r w:rsidRPr="006B538B">
        <w:rPr>
          <w:rStyle w:val="ECHRPara"/>
        </w:rPr>
        <w:t>.  Делото е образувано по жалба (</w:t>
      </w:r>
      <w:r w:rsidRPr="006B538B">
        <w:rPr>
          <w:rStyle w:val="ECHRPara"/>
          <w:cs/>
        </w:rPr>
        <w:t xml:space="preserve">№ </w:t>
      </w:r>
      <w:r w:rsidRPr="006B538B">
        <w:rPr>
          <w:rStyle w:val="ECHRPara"/>
        </w:rPr>
        <w:t>62377/16) срещу Република България, подадена в Съда на основание чл. 34 от Конвенцията за защита на правата на човека и основните свободи (</w:t>
      </w:r>
      <w:r w:rsidRPr="006B538B">
        <w:rPr>
          <w:rStyle w:val="ECHRPara"/>
          <w:cs/>
        </w:rPr>
        <w:t>”</w:t>
      </w:r>
      <w:r w:rsidRPr="006B538B">
        <w:rPr>
          <w:rStyle w:val="ECHRPara"/>
        </w:rPr>
        <w:t>Конвенцията</w:t>
      </w:r>
      <w:r w:rsidRPr="006B538B">
        <w:rPr>
          <w:rStyle w:val="ECHRPara"/>
          <w:cs/>
        </w:rPr>
        <w:t>”</w:t>
      </w:r>
      <w:r w:rsidRPr="006B538B">
        <w:rPr>
          <w:rStyle w:val="ECHRPara"/>
        </w:rPr>
        <w:t>) от български гражданин, г-</w:t>
      </w:r>
      <w:r w:rsidR="00A764ED" w:rsidRPr="006B538B">
        <w:rPr>
          <w:rStyle w:val="ECHRPara"/>
        </w:rPr>
        <w:t>н</w:t>
      </w:r>
      <w:r w:rsidRPr="006B538B">
        <w:rPr>
          <w:rStyle w:val="ECHRPara"/>
        </w:rPr>
        <w:t xml:space="preserve"> Маргарит Иванов Делин (</w:t>
      </w:r>
      <w:r w:rsidRPr="006B538B">
        <w:rPr>
          <w:rStyle w:val="ECHRPara"/>
          <w:cs/>
        </w:rPr>
        <w:t>”</w:t>
      </w:r>
      <w:r w:rsidRPr="006B538B">
        <w:rPr>
          <w:rStyle w:val="ECHRPara"/>
        </w:rPr>
        <w:t>жалбоподателя</w:t>
      </w:r>
      <w:r w:rsidRPr="006B538B">
        <w:rPr>
          <w:rStyle w:val="ECHRPara"/>
          <w:cs/>
        </w:rPr>
        <w:t>”</w:t>
      </w:r>
      <w:r w:rsidRPr="006B538B">
        <w:rPr>
          <w:rStyle w:val="ECHRPara"/>
        </w:rPr>
        <w:t>), на 24 октомври 2016 г.</w:t>
      </w:r>
    </w:p>
    <w:p w:rsidR="00686E2D" w:rsidRPr="006B538B" w:rsidRDefault="00686E2D" w:rsidP="00686E2D">
      <w:pPr>
        <w:pStyle w:val="ECHRPara"/>
      </w:pPr>
      <w:r w:rsidRPr="006B538B">
        <w:fldChar w:fldCharType="begin"/>
      </w:r>
      <w:r w:rsidRPr="006B538B">
        <w:rPr>
          <w:rStyle w:val="ECHRPara"/>
        </w:rPr>
        <w:instrText xml:space="preserve"> SEQ level0 \*arabic </w:instrText>
      </w:r>
      <w:r w:rsidRPr="006B538B">
        <w:fldChar w:fldCharType="separate"/>
      </w:r>
      <w:r w:rsidRPr="006B538B">
        <w:rPr>
          <w:rStyle w:val="ECHRPara"/>
        </w:rPr>
        <w:t>2</w:t>
      </w:r>
      <w:r w:rsidRPr="006B538B">
        <w:fldChar w:fldCharType="end"/>
      </w:r>
      <w:r w:rsidRPr="006B538B">
        <w:rPr>
          <w:rStyle w:val="ECHRPara"/>
        </w:rPr>
        <w:t>.  Жалбоподателят са представлява от г-жа С. Маргаритова-Вучкова, адвокат, практикуващ в София. Българското правителство (</w:t>
      </w:r>
      <w:r w:rsidRPr="006B538B">
        <w:rPr>
          <w:rStyle w:val="ECHRPara"/>
          <w:cs/>
        </w:rPr>
        <w:t>„</w:t>
      </w:r>
      <w:r w:rsidRPr="006B538B">
        <w:rPr>
          <w:rStyle w:val="ECHRPara"/>
        </w:rPr>
        <w:t>Правителството</w:t>
      </w:r>
      <w:r w:rsidRPr="006B538B">
        <w:rPr>
          <w:rStyle w:val="ECHRPara"/>
          <w:cs/>
        </w:rPr>
        <w:t>”</w:t>
      </w:r>
      <w:r w:rsidRPr="006B538B">
        <w:rPr>
          <w:rStyle w:val="ECHRPara"/>
        </w:rPr>
        <w:t>) се представлява от правителствения агент г-н В. Обретенов от Министерство на правосъдието.</w:t>
      </w:r>
    </w:p>
    <w:p w:rsidR="00686E2D" w:rsidRPr="006B538B" w:rsidRDefault="00686E2D" w:rsidP="00686E2D">
      <w:pPr>
        <w:pStyle w:val="ECHRPara"/>
      </w:pPr>
      <w:r w:rsidRPr="006B538B">
        <w:fldChar w:fldCharType="begin"/>
      </w:r>
      <w:r w:rsidRPr="006B538B">
        <w:rPr>
          <w:rStyle w:val="ECHRPara"/>
        </w:rPr>
        <w:instrText xml:space="preserve"> SEQ level0 \*arabic </w:instrText>
      </w:r>
      <w:r w:rsidRPr="006B538B">
        <w:fldChar w:fldCharType="separate"/>
      </w:r>
      <w:r w:rsidRPr="006B538B">
        <w:rPr>
          <w:rStyle w:val="ECHRPara"/>
        </w:rPr>
        <w:t>3</w:t>
      </w:r>
      <w:r w:rsidRPr="006B538B">
        <w:fldChar w:fldCharType="end"/>
      </w:r>
      <w:r w:rsidRPr="006B538B">
        <w:rPr>
          <w:rStyle w:val="ECHRPara"/>
        </w:rPr>
        <w:t xml:space="preserve">.  На 26 януари 2017 г. уведомление за оплакванията, повдигнати по чл. 6, чл. 8 и чл. 13 от Конвенцията е дадено на Правителството, а останалата част от жалбата е обявена за недопустима съгласно </w:t>
      </w:r>
      <w:r w:rsidR="00A764ED" w:rsidRPr="006B538B">
        <w:rPr>
          <w:rStyle w:val="ECHRPara"/>
        </w:rPr>
        <w:t>п</w:t>
      </w:r>
      <w:r w:rsidRPr="006B538B">
        <w:rPr>
          <w:rStyle w:val="ECHRPara"/>
        </w:rPr>
        <w:t xml:space="preserve">равило 54 § 3 от Правилника на Съда. Жалбоподателят твърди по-конкретно, че не е могъл ефективно да оспори решението за отнемане на неговото </w:t>
      </w:r>
      <w:r w:rsidR="00551FD8" w:rsidRPr="006B538B">
        <w:rPr>
          <w:rStyle w:val="ECHRPara"/>
        </w:rPr>
        <w:t>разрешение</w:t>
      </w:r>
      <w:r w:rsidR="00551FD8" w:rsidRPr="005C03A9">
        <w:rPr>
          <w:rStyle w:val="ECHRPara"/>
        </w:rPr>
        <w:t xml:space="preserve"> </w:t>
      </w:r>
      <w:r w:rsidRPr="006B538B">
        <w:rPr>
          <w:rStyle w:val="ECHRPara"/>
        </w:rPr>
        <w:t>за достъп до държавни тайни, въз основа на ко</w:t>
      </w:r>
      <w:r w:rsidR="00A764ED" w:rsidRPr="006B538B">
        <w:rPr>
          <w:rStyle w:val="ECHRPara"/>
        </w:rPr>
        <w:t>е</w:t>
      </w:r>
      <w:r w:rsidRPr="006B538B">
        <w:rPr>
          <w:rStyle w:val="ECHRPara"/>
        </w:rPr>
        <w:t xml:space="preserve">то трудовият му договор с Национална служба </w:t>
      </w:r>
      <w:r w:rsidRPr="006B538B">
        <w:rPr>
          <w:rStyle w:val="ECHRPara"/>
          <w:cs/>
        </w:rPr>
        <w:t>“</w:t>
      </w:r>
      <w:r w:rsidRPr="006B538B">
        <w:rPr>
          <w:rStyle w:val="ECHRPara"/>
        </w:rPr>
        <w:t>Сигурност</w:t>
      </w:r>
      <w:r w:rsidRPr="006B538B">
        <w:rPr>
          <w:rStyle w:val="ECHRPara"/>
          <w:cs/>
        </w:rPr>
        <w:t xml:space="preserve">” </w:t>
      </w:r>
      <w:r w:rsidRPr="006B538B">
        <w:rPr>
          <w:rStyle w:val="ECHRPara"/>
        </w:rPr>
        <w:t>е прекратен.</w:t>
      </w:r>
    </w:p>
    <w:p w:rsidR="00686E2D" w:rsidRPr="006B538B" w:rsidRDefault="00686E2D" w:rsidP="00686E2D">
      <w:pPr>
        <w:pStyle w:val="ECHRTitle1"/>
      </w:pPr>
      <w:r w:rsidRPr="006B538B">
        <w:rPr>
          <w:rStyle w:val="ECHRTitle1"/>
        </w:rPr>
        <w:t>ФАКТИТЕ</w:t>
      </w:r>
    </w:p>
    <w:p w:rsidR="00686E2D" w:rsidRPr="006B538B" w:rsidRDefault="00686E2D" w:rsidP="00686E2D">
      <w:pPr>
        <w:pStyle w:val="ECHRHeading1"/>
        <w:ind w:left="0" w:firstLine="0"/>
      </w:pPr>
      <w:r w:rsidRPr="006B538B">
        <w:rPr>
          <w:rStyle w:val="ECHRHeading1"/>
        </w:rPr>
        <w:t>I.  ОБСТОЯТЕЛСТВА ПО ДЕЛОТО</w:t>
      </w:r>
    </w:p>
    <w:p w:rsidR="00686E2D" w:rsidRPr="006B538B" w:rsidRDefault="00686E2D" w:rsidP="00686E2D">
      <w:pPr>
        <w:pStyle w:val="ECHRPara"/>
      </w:pPr>
      <w:r w:rsidRPr="006B538B">
        <w:fldChar w:fldCharType="begin"/>
      </w:r>
      <w:r w:rsidRPr="006B538B">
        <w:rPr>
          <w:rStyle w:val="ECHRPara"/>
        </w:rPr>
        <w:instrText xml:space="preserve"> SEQ level0 \*arabic </w:instrText>
      </w:r>
      <w:r w:rsidRPr="006B538B">
        <w:fldChar w:fldCharType="separate"/>
      </w:r>
      <w:r w:rsidRPr="006B538B">
        <w:rPr>
          <w:rStyle w:val="ECHRPara"/>
        </w:rPr>
        <w:t>4</w:t>
      </w:r>
      <w:r w:rsidRPr="006B538B">
        <w:fldChar w:fldCharType="end"/>
      </w:r>
      <w:r w:rsidRPr="006B538B">
        <w:rPr>
          <w:rStyle w:val="ECHRPara"/>
        </w:rPr>
        <w:t>.  Жалбоподателят е роден през 1964 г. и живее в Благоевград.</w:t>
      </w:r>
    </w:p>
    <w:p w:rsidR="00686E2D" w:rsidRPr="006B538B" w:rsidRDefault="00686E2D" w:rsidP="00686E2D">
      <w:pPr>
        <w:pStyle w:val="ECHRPara"/>
      </w:pPr>
      <w:r w:rsidRPr="006B538B">
        <w:fldChar w:fldCharType="begin"/>
      </w:r>
      <w:r w:rsidRPr="006B538B">
        <w:rPr>
          <w:rStyle w:val="ECHRPara"/>
        </w:rPr>
        <w:instrText xml:space="preserve"> SEQ level0 \*arabic </w:instrText>
      </w:r>
      <w:r w:rsidRPr="006B538B">
        <w:fldChar w:fldCharType="separate"/>
      </w:r>
      <w:r w:rsidRPr="006B538B">
        <w:rPr>
          <w:rStyle w:val="ECHRPara"/>
        </w:rPr>
        <w:t>5</w:t>
      </w:r>
      <w:r w:rsidRPr="006B538B">
        <w:fldChar w:fldCharType="end"/>
      </w:r>
      <w:r w:rsidRPr="006B538B">
        <w:rPr>
          <w:rStyle w:val="ECHRPara"/>
        </w:rPr>
        <w:t xml:space="preserve">.  Той е работил в Национална служба </w:t>
      </w:r>
      <w:r w:rsidRPr="006B538B">
        <w:rPr>
          <w:rStyle w:val="ECHRPara"/>
          <w:cs/>
        </w:rPr>
        <w:t>“</w:t>
      </w:r>
      <w:r w:rsidRPr="006B538B">
        <w:rPr>
          <w:rStyle w:val="ECHRPara"/>
        </w:rPr>
        <w:t>Сигурност</w:t>
      </w:r>
      <w:r w:rsidRPr="006B538B">
        <w:rPr>
          <w:rStyle w:val="ECHRPara"/>
          <w:cs/>
        </w:rPr>
        <w:t xml:space="preserve">” </w:t>
      </w:r>
      <w:r w:rsidRPr="006B538B">
        <w:rPr>
          <w:rStyle w:val="ECHRPara"/>
        </w:rPr>
        <w:t xml:space="preserve">в областното управление в Благоевград като агент от 1998 г. С оглед на естеството на задълженията му, той е имал </w:t>
      </w:r>
      <w:r w:rsidR="00551FD8" w:rsidRPr="006B538B">
        <w:rPr>
          <w:rStyle w:val="ECHRPara"/>
        </w:rPr>
        <w:t>разрешение за достъп</w:t>
      </w:r>
      <w:r w:rsidRPr="005C03A9">
        <w:rPr>
          <w:rStyle w:val="ECHRPara"/>
        </w:rPr>
        <w:t>, позволяващо</w:t>
      </w:r>
      <w:r w:rsidRPr="006B538B">
        <w:rPr>
          <w:rStyle w:val="ECHRPara"/>
        </w:rPr>
        <w:t xml:space="preserve"> му достъп до класифицирана информация, представляваща държавна тайна. Според длъжностната характеристика на жалбоподателя, </w:t>
      </w:r>
      <w:r w:rsidRPr="006B538B">
        <w:rPr>
          <w:rStyle w:val="ECHRPara"/>
        </w:rPr>
        <w:lastRenderedPageBreak/>
        <w:t xml:space="preserve">притежанието на такова </w:t>
      </w:r>
      <w:r w:rsidR="00551FD8" w:rsidRPr="006B538B">
        <w:rPr>
          <w:rStyle w:val="ECHRPara"/>
        </w:rPr>
        <w:t>разрешение за достъп</w:t>
      </w:r>
      <w:r w:rsidRPr="006B538B">
        <w:rPr>
          <w:rStyle w:val="ECHRPara"/>
        </w:rPr>
        <w:t xml:space="preserve"> е предпоставка да заема длъжността.</w:t>
      </w:r>
    </w:p>
    <w:p w:rsidR="00686E2D" w:rsidRPr="006B538B" w:rsidRDefault="00686E2D" w:rsidP="00686E2D">
      <w:pPr>
        <w:pStyle w:val="ECHRPara"/>
      </w:pPr>
      <w:r w:rsidRPr="006B538B">
        <w:fldChar w:fldCharType="begin"/>
      </w:r>
      <w:r w:rsidRPr="006B538B">
        <w:rPr>
          <w:rStyle w:val="ECHRPara"/>
        </w:rPr>
        <w:instrText xml:space="preserve"> SEQ level0 \*arabic </w:instrText>
      </w:r>
      <w:r w:rsidRPr="006B538B">
        <w:fldChar w:fldCharType="separate"/>
      </w:r>
      <w:r w:rsidRPr="006B538B">
        <w:rPr>
          <w:rStyle w:val="ECHRPara"/>
        </w:rPr>
        <w:t>6</w:t>
      </w:r>
      <w:r w:rsidRPr="006B538B">
        <w:fldChar w:fldCharType="end"/>
      </w:r>
      <w:r w:rsidRPr="006B538B">
        <w:rPr>
          <w:rStyle w:val="ECHRPara"/>
        </w:rPr>
        <w:t xml:space="preserve">.  На 20 ноември 2013 г. директорът на Национална служба </w:t>
      </w:r>
      <w:r w:rsidRPr="006B538B">
        <w:rPr>
          <w:rStyle w:val="ECHRPara"/>
          <w:cs/>
        </w:rPr>
        <w:t>“</w:t>
      </w:r>
      <w:r w:rsidRPr="006B538B">
        <w:rPr>
          <w:rStyle w:val="ECHRPara"/>
        </w:rPr>
        <w:t>Сигурност</w:t>
      </w:r>
      <w:r w:rsidRPr="006B538B">
        <w:rPr>
          <w:rStyle w:val="ECHRPara"/>
          <w:cs/>
        </w:rPr>
        <w:t xml:space="preserve">” </w:t>
      </w:r>
      <w:r w:rsidRPr="006B538B">
        <w:rPr>
          <w:rStyle w:val="ECHRPara"/>
        </w:rPr>
        <w:t xml:space="preserve">издава решение, с което отнема </w:t>
      </w:r>
      <w:r w:rsidR="00551FD8" w:rsidRPr="006B538B">
        <w:rPr>
          <w:rStyle w:val="ECHRPara"/>
        </w:rPr>
        <w:t>разрешението за достъп</w:t>
      </w:r>
      <w:r w:rsidRPr="006B538B">
        <w:rPr>
          <w:rStyle w:val="ECHRPara"/>
        </w:rPr>
        <w:t xml:space="preserve"> на жалбоподателя, позволяващо му достъп до класифицирана информация. Решението не съдържа никаква обосновка по отношение на това отнемане с изключение на позоваване на чл. 59 във връзка с чл. 40, ал. 1, б. е) и з); чл. 41, б. в) и г), и чл. 42, б. а) и б) от Закона за защита на класифицираната информация (вж. параграфи </w:t>
      </w:r>
      <w:r w:rsidRPr="006B538B">
        <w:fldChar w:fldCharType="begin"/>
      </w:r>
      <w:r w:rsidRPr="006B538B">
        <w:rPr>
          <w:rStyle w:val="ECHRPara"/>
        </w:rPr>
        <w:instrText xml:space="preserve"> REF LegReasBeg \h  \* MERGEFORMAT </w:instrText>
      </w:r>
      <w:r w:rsidRPr="006B538B">
        <w:fldChar w:fldCharType="separate"/>
      </w:r>
      <w:r w:rsidRPr="006B538B">
        <w:rPr>
          <w:rStyle w:val="ECHRPara"/>
        </w:rPr>
        <w:t>12</w:t>
      </w:r>
      <w:r w:rsidRPr="006B538B">
        <w:fldChar w:fldCharType="end"/>
      </w:r>
      <w:r w:rsidRPr="006B538B">
        <w:rPr>
          <w:rStyle w:val="ECHRPara"/>
        </w:rPr>
        <w:t xml:space="preserve"> и </w:t>
      </w:r>
      <w:r w:rsidRPr="006B538B">
        <w:fldChar w:fldCharType="begin"/>
      </w:r>
      <w:r w:rsidRPr="006B538B">
        <w:rPr>
          <w:rStyle w:val="ECHRPara"/>
        </w:rPr>
        <w:instrText xml:space="preserve"> REF LegReasENd \h  \* MERGEFORMAT </w:instrText>
      </w:r>
      <w:r w:rsidRPr="006B538B">
        <w:fldChar w:fldCharType="separate"/>
      </w:r>
      <w:r w:rsidRPr="006B538B">
        <w:rPr>
          <w:rStyle w:val="ECHRPara"/>
        </w:rPr>
        <w:t>13</w:t>
      </w:r>
      <w:r w:rsidRPr="006B538B">
        <w:fldChar w:fldCharType="end"/>
      </w:r>
      <w:r w:rsidRPr="006B538B">
        <w:rPr>
          <w:rStyle w:val="ECHRPara"/>
        </w:rPr>
        <w:t xml:space="preserve"> по-долу).</w:t>
      </w:r>
    </w:p>
    <w:p w:rsidR="00686E2D" w:rsidRPr="006B538B" w:rsidRDefault="00686E2D" w:rsidP="00686E2D">
      <w:pPr>
        <w:pStyle w:val="ECHRPara"/>
      </w:pPr>
      <w:r w:rsidRPr="006B538B">
        <w:fldChar w:fldCharType="begin"/>
      </w:r>
      <w:r w:rsidRPr="006B538B">
        <w:rPr>
          <w:rStyle w:val="ECHRPara"/>
        </w:rPr>
        <w:instrText xml:space="preserve"> SEQ level0 \*arabic </w:instrText>
      </w:r>
      <w:r w:rsidRPr="006B538B">
        <w:fldChar w:fldCharType="separate"/>
      </w:r>
      <w:r w:rsidRPr="006B538B">
        <w:rPr>
          <w:rStyle w:val="ECHRPara"/>
        </w:rPr>
        <w:t>7</w:t>
      </w:r>
      <w:r w:rsidRPr="006B538B">
        <w:fldChar w:fldCharType="end"/>
      </w:r>
      <w:r w:rsidRPr="006B538B">
        <w:rPr>
          <w:rStyle w:val="ECHRPara"/>
        </w:rPr>
        <w:t>.  Жалбоподателят подава жалба срещу отнемането до Държавната комисия по сигурността на информацията. Последната</w:t>
      </w:r>
      <w:r w:rsidR="00A764ED" w:rsidRPr="006B538B">
        <w:rPr>
          <w:rStyle w:val="ECHRPara"/>
        </w:rPr>
        <w:t>,</w:t>
      </w:r>
      <w:r w:rsidRPr="006B538B">
        <w:rPr>
          <w:rStyle w:val="ECHRPara"/>
        </w:rPr>
        <w:t xml:space="preserve"> с решение от 9 януари 2014 г.</w:t>
      </w:r>
      <w:r w:rsidR="00A764ED" w:rsidRPr="006B538B">
        <w:rPr>
          <w:rStyle w:val="ECHRPara"/>
        </w:rPr>
        <w:t>,</w:t>
      </w:r>
      <w:r w:rsidRPr="006B538B">
        <w:rPr>
          <w:rStyle w:val="ECHRPara"/>
        </w:rPr>
        <w:t xml:space="preserve"> потвърждава отнемането. Това решение е окончателно и не подлежи на съдебен контрол.</w:t>
      </w:r>
    </w:p>
    <w:p w:rsidR="00686E2D" w:rsidRPr="006B538B" w:rsidRDefault="00686E2D" w:rsidP="00686E2D">
      <w:pPr>
        <w:pStyle w:val="ECHRPara"/>
      </w:pPr>
      <w:r w:rsidRPr="006B538B">
        <w:fldChar w:fldCharType="begin"/>
      </w:r>
      <w:r w:rsidRPr="006B538B">
        <w:rPr>
          <w:rStyle w:val="ECHRPara"/>
        </w:rPr>
        <w:instrText xml:space="preserve"> SEQ level0 \*arabic </w:instrText>
      </w:r>
      <w:r w:rsidRPr="006B538B">
        <w:fldChar w:fldCharType="separate"/>
      </w:r>
      <w:r w:rsidRPr="006B538B">
        <w:rPr>
          <w:rStyle w:val="ECHRPara"/>
        </w:rPr>
        <w:t>8</w:t>
      </w:r>
      <w:r w:rsidRPr="006B538B">
        <w:fldChar w:fldCharType="end"/>
      </w:r>
      <w:r w:rsidRPr="006B538B">
        <w:rPr>
          <w:rStyle w:val="ECHRPara"/>
        </w:rPr>
        <w:t xml:space="preserve">.  На 6 март 2014 г. директорът на Национална служба </w:t>
      </w:r>
      <w:r w:rsidRPr="006B538B">
        <w:rPr>
          <w:rStyle w:val="ECHRPara"/>
          <w:cs/>
        </w:rPr>
        <w:t>“</w:t>
      </w:r>
      <w:r w:rsidRPr="006B538B">
        <w:rPr>
          <w:rStyle w:val="ECHRPara"/>
        </w:rPr>
        <w:t>Сигурност</w:t>
      </w:r>
      <w:r w:rsidRPr="006B538B">
        <w:rPr>
          <w:rStyle w:val="ECHRPara"/>
          <w:cs/>
        </w:rPr>
        <w:t xml:space="preserve">” </w:t>
      </w:r>
      <w:r w:rsidRPr="006B538B">
        <w:rPr>
          <w:rStyle w:val="ECHRPara"/>
        </w:rPr>
        <w:t xml:space="preserve">издава заповед за </w:t>
      </w:r>
      <w:r w:rsidR="00A764ED" w:rsidRPr="006B538B">
        <w:rPr>
          <w:rStyle w:val="ECHRPara"/>
        </w:rPr>
        <w:t xml:space="preserve">освобождаване </w:t>
      </w:r>
      <w:r w:rsidRPr="006B538B">
        <w:rPr>
          <w:rStyle w:val="ECHRPara"/>
        </w:rPr>
        <w:t>на жалбоподателя</w:t>
      </w:r>
      <w:r w:rsidR="00A764ED" w:rsidRPr="006B538B">
        <w:rPr>
          <w:rStyle w:val="ECHRPara"/>
        </w:rPr>
        <w:t xml:space="preserve"> от длъжност</w:t>
      </w:r>
      <w:r w:rsidRPr="006B538B">
        <w:rPr>
          <w:rStyle w:val="ECHRPara"/>
        </w:rPr>
        <w:t xml:space="preserve">. Причината за прекратяването на трудовите правоотношения с него е отнемането на неговото </w:t>
      </w:r>
      <w:r w:rsidR="00551FD8" w:rsidRPr="006B538B">
        <w:rPr>
          <w:rStyle w:val="ECHRPara"/>
        </w:rPr>
        <w:t>разрешение за достъп</w:t>
      </w:r>
      <w:r w:rsidRPr="006B538B">
        <w:rPr>
          <w:rStyle w:val="ECHRPara"/>
        </w:rPr>
        <w:t>, чието притежание е необходимо предварително условие за това той да може да изпълнява задълженията си.</w:t>
      </w:r>
    </w:p>
    <w:p w:rsidR="00686E2D" w:rsidRPr="006B538B" w:rsidRDefault="00686E2D" w:rsidP="00686E2D">
      <w:pPr>
        <w:pStyle w:val="ECHRPara"/>
      </w:pPr>
      <w:r w:rsidRPr="006B538B">
        <w:fldChar w:fldCharType="begin"/>
      </w:r>
      <w:r w:rsidRPr="006B538B">
        <w:rPr>
          <w:rStyle w:val="ECHRPara"/>
        </w:rPr>
        <w:instrText xml:space="preserve"> SEQ level0 \*arabic </w:instrText>
      </w:r>
      <w:r w:rsidRPr="006B538B">
        <w:fldChar w:fldCharType="separate"/>
      </w:r>
      <w:r w:rsidRPr="006B538B">
        <w:rPr>
          <w:rStyle w:val="ECHRPara"/>
        </w:rPr>
        <w:t>9</w:t>
      </w:r>
      <w:r w:rsidRPr="006B538B">
        <w:fldChar w:fldCharType="end"/>
      </w:r>
      <w:r w:rsidRPr="006B538B">
        <w:rPr>
          <w:rStyle w:val="ECHRPara"/>
        </w:rPr>
        <w:t xml:space="preserve">.  Жалбоподателят оспорва уволнението си на две нива на компетентност. Той оспорва законосъобразността на процедурата за уволнение като твърди, че в хода на производството пред Държавната комисия по сигурността на информацията той не може да оспори фактите, на които се основава отнемането на </w:t>
      </w:r>
      <w:r w:rsidR="00551FD8" w:rsidRPr="006B538B">
        <w:rPr>
          <w:rStyle w:val="ECHRPara"/>
        </w:rPr>
        <w:t>разрешението за достъп</w:t>
      </w:r>
      <w:r w:rsidRPr="006B538B">
        <w:rPr>
          <w:rStyle w:val="ECHRPara"/>
        </w:rPr>
        <w:t xml:space="preserve">. Директорът на Национална служба </w:t>
      </w:r>
      <w:r w:rsidRPr="006B538B">
        <w:rPr>
          <w:rStyle w:val="ECHRPara"/>
          <w:cs/>
        </w:rPr>
        <w:t>“</w:t>
      </w:r>
      <w:r w:rsidRPr="006B538B">
        <w:rPr>
          <w:rStyle w:val="ECHRPara"/>
        </w:rPr>
        <w:t>Сигурност</w:t>
      </w:r>
      <w:r w:rsidRPr="006B538B">
        <w:rPr>
          <w:rStyle w:val="ECHRPara"/>
          <w:cs/>
        </w:rPr>
        <w:t xml:space="preserve">” </w:t>
      </w:r>
      <w:r w:rsidRPr="006B538B">
        <w:rPr>
          <w:rStyle w:val="ECHRPara"/>
        </w:rPr>
        <w:t xml:space="preserve">злоупотребява с правомощията си при уволнението на жалбоподателя, на когото не е </w:t>
      </w:r>
      <w:r w:rsidR="00A764ED" w:rsidRPr="006B538B">
        <w:rPr>
          <w:rStyle w:val="ECHRPara"/>
        </w:rPr>
        <w:t>предоставена</w:t>
      </w:r>
      <w:r w:rsidRPr="006B538B">
        <w:rPr>
          <w:rStyle w:val="ECHRPara"/>
        </w:rPr>
        <w:t xml:space="preserve"> възможност да се защити.</w:t>
      </w:r>
    </w:p>
    <w:bookmarkStart w:id="1" w:name="FirstDec"/>
    <w:p w:rsidR="00686E2D" w:rsidRPr="006B538B" w:rsidRDefault="00686E2D" w:rsidP="00686E2D">
      <w:pPr>
        <w:pStyle w:val="ECHRPara"/>
      </w:pPr>
      <w:r w:rsidRPr="006B538B">
        <w:fldChar w:fldCharType="begin"/>
      </w:r>
      <w:r w:rsidRPr="006B538B">
        <w:rPr>
          <w:rStyle w:val="ECHRPara"/>
        </w:rPr>
        <w:instrText xml:space="preserve"> SEQ level0 \*arabic </w:instrText>
      </w:r>
      <w:r w:rsidRPr="006B538B">
        <w:fldChar w:fldCharType="separate"/>
      </w:r>
      <w:r w:rsidRPr="006B538B">
        <w:rPr>
          <w:rStyle w:val="ECHRPara"/>
        </w:rPr>
        <w:t>10</w:t>
      </w:r>
      <w:r w:rsidRPr="006B538B">
        <w:fldChar w:fldCharType="end"/>
      </w:r>
      <w:bookmarkEnd w:id="1"/>
      <w:r w:rsidRPr="006B538B">
        <w:rPr>
          <w:rStyle w:val="ECHRPara"/>
        </w:rPr>
        <w:t xml:space="preserve">.  С решението си от 19 март 2015 г. Административен съд - Благоевград съд отхвърля претенциите на жалбоподателя, обосновавайки се, че решението на директора на Национална служба </w:t>
      </w:r>
      <w:r w:rsidRPr="006B538B">
        <w:rPr>
          <w:rStyle w:val="ECHRPara"/>
          <w:cs/>
        </w:rPr>
        <w:t>“</w:t>
      </w:r>
      <w:r w:rsidRPr="006B538B">
        <w:rPr>
          <w:rStyle w:val="ECHRPara"/>
        </w:rPr>
        <w:t>Сигурност</w:t>
      </w:r>
      <w:r w:rsidRPr="006B538B">
        <w:rPr>
          <w:rStyle w:val="ECHRPara"/>
          <w:cs/>
        </w:rPr>
        <w:t xml:space="preserve">” </w:t>
      </w:r>
      <w:r w:rsidRPr="006B538B">
        <w:rPr>
          <w:rStyle w:val="ECHRPara"/>
        </w:rPr>
        <w:t xml:space="preserve">да отнеме </w:t>
      </w:r>
      <w:r w:rsidR="00551FD8" w:rsidRPr="005C03A9">
        <w:rPr>
          <w:rStyle w:val="ECHRPara"/>
        </w:rPr>
        <w:t>разрешението за достъп</w:t>
      </w:r>
      <w:r w:rsidRPr="006B538B">
        <w:rPr>
          <w:rStyle w:val="ECHRPara"/>
        </w:rPr>
        <w:t xml:space="preserve"> на жалбоподателя е окончателен и валиден административен акт и той прави уволнението на жалбоподателя неизбежно, защото той вече не е в състояние да изпълнява задълженията си. Съдът добавя, че жалбоподателят е изчерпал предвиденото от закона правно средство за защита, като е оспорил решението за отнемане, и че последното е станало окончателно. Освен това съдът не е компетентен да разглежда в рамките на производството за уволнение всички въпроси, свързани с неговата законосъобразност.</w:t>
      </w:r>
    </w:p>
    <w:bookmarkStart w:id="2" w:name="LastDec"/>
    <w:p w:rsidR="00686E2D" w:rsidRPr="006B538B" w:rsidRDefault="00686E2D" w:rsidP="00686E2D">
      <w:pPr>
        <w:pStyle w:val="ECHRPara"/>
      </w:pPr>
      <w:r w:rsidRPr="006B538B">
        <w:fldChar w:fldCharType="begin"/>
      </w:r>
      <w:r w:rsidRPr="006B538B">
        <w:rPr>
          <w:rStyle w:val="ECHRPara"/>
        </w:rPr>
        <w:instrText xml:space="preserve"> SEQ level0 \*arabic </w:instrText>
      </w:r>
      <w:r w:rsidRPr="006B538B">
        <w:fldChar w:fldCharType="separate"/>
      </w:r>
      <w:r w:rsidRPr="006B538B">
        <w:rPr>
          <w:rStyle w:val="ECHRPara"/>
        </w:rPr>
        <w:t>11</w:t>
      </w:r>
      <w:r w:rsidRPr="006B538B">
        <w:fldChar w:fldCharType="end"/>
      </w:r>
      <w:bookmarkEnd w:id="2"/>
      <w:r w:rsidRPr="006B538B">
        <w:rPr>
          <w:rStyle w:val="ECHRPara"/>
        </w:rPr>
        <w:t xml:space="preserve">.  На 11 юли 2016 г. Върховният касационен съд потвърждава това решение, като потвърждава, че решението за отнемане на </w:t>
      </w:r>
      <w:r w:rsidR="00F26429" w:rsidRPr="006B538B">
        <w:rPr>
          <w:rStyle w:val="ECHRPara"/>
        </w:rPr>
        <w:t>разрешението за достъп</w:t>
      </w:r>
      <w:r w:rsidRPr="006B538B">
        <w:rPr>
          <w:rStyle w:val="ECHRPara"/>
        </w:rPr>
        <w:t xml:space="preserve"> на жалбоподателя не подлежи на съдебен контрол.</w:t>
      </w:r>
    </w:p>
    <w:p w:rsidR="00686E2D" w:rsidRPr="006B538B" w:rsidRDefault="00686E2D" w:rsidP="00686E2D">
      <w:pPr>
        <w:pStyle w:val="ECHRHeading1"/>
      </w:pPr>
      <w:r w:rsidRPr="006B538B">
        <w:rPr>
          <w:rStyle w:val="ECHRHeading1"/>
        </w:rPr>
        <w:lastRenderedPageBreak/>
        <w:t>II.  ПРИЛОЖИМО ВЪТРЕШНО ПРАВО И ПРАКТИКА</w:t>
      </w:r>
    </w:p>
    <w:p w:rsidR="00686E2D" w:rsidRPr="006B538B" w:rsidRDefault="00686E2D" w:rsidP="00686E2D">
      <w:pPr>
        <w:pStyle w:val="ECHRHeading2"/>
      </w:pPr>
      <w:r w:rsidRPr="006B538B">
        <w:rPr>
          <w:rStyle w:val="ECHRHeading2"/>
        </w:rPr>
        <w:t>А.  Закон за защита на класифицираната информация от 2002 г.</w:t>
      </w:r>
    </w:p>
    <w:bookmarkStart w:id="3" w:name="LegReasBeg"/>
    <w:p w:rsidR="00686E2D" w:rsidRPr="006B538B" w:rsidRDefault="00686E2D" w:rsidP="00686E2D">
      <w:pPr>
        <w:pStyle w:val="ECHRPara"/>
      </w:pPr>
      <w:r w:rsidRPr="006B538B">
        <w:fldChar w:fldCharType="begin"/>
      </w:r>
      <w:r w:rsidRPr="006B538B">
        <w:rPr>
          <w:rStyle w:val="ECHRPara"/>
        </w:rPr>
        <w:instrText xml:space="preserve"> SEQ level0 \*arabic </w:instrText>
      </w:r>
      <w:r w:rsidRPr="006B538B">
        <w:fldChar w:fldCharType="separate"/>
      </w:r>
      <w:r w:rsidRPr="006B538B">
        <w:rPr>
          <w:rStyle w:val="ECHRPara"/>
        </w:rPr>
        <w:t>12</w:t>
      </w:r>
      <w:r w:rsidRPr="006B538B">
        <w:fldChar w:fldCharType="end"/>
      </w:r>
      <w:bookmarkEnd w:id="3"/>
      <w:r w:rsidRPr="006B538B">
        <w:rPr>
          <w:rStyle w:val="ECHRPara"/>
        </w:rPr>
        <w:t xml:space="preserve">.  Чл. 40, ал. 1 от този закон </w:t>
      </w:r>
      <w:r w:rsidR="00300357" w:rsidRPr="006B538B">
        <w:rPr>
          <w:rStyle w:val="ECHRPara"/>
        </w:rPr>
        <w:t>предвижда</w:t>
      </w:r>
      <w:r w:rsidRPr="006B538B">
        <w:rPr>
          <w:rStyle w:val="ECHRPara"/>
        </w:rPr>
        <w:t>, че разрешение за достъп до класифицирана информация, извън случаите по чл. 39 (отнасящ се до достъп до класифицирана информация във връзка с изпълнение на ограничен набор от служебни задължения на най-високо</w:t>
      </w:r>
      <w:r w:rsidR="00300357" w:rsidRPr="006B538B">
        <w:rPr>
          <w:rStyle w:val="ECHRPara"/>
        </w:rPr>
        <w:t xml:space="preserve"> ниво</w:t>
      </w:r>
      <w:r w:rsidRPr="006B538B">
        <w:rPr>
          <w:rStyle w:val="ECHRPara"/>
        </w:rPr>
        <w:t xml:space="preserve"> на държавната власт), се издава единствено на лице, което отговаря на следните изисквания: а) притежава българско гражданство; б) е пълнолетно; в) има завършено средно образование; г) не е осъждано за умишлено престъпление от общ характер, независимо от реабилитацията; д) срещу него няма образувано досъдебно или съдебно производство за умишлено престъпление от общ характер; е) е надеждно от гледна точка на сигурността; ж) не страда от психически заболявания (което е надлежно удостоверено); и з) е определено като надеждно за опазване на тайна.</w:t>
      </w:r>
    </w:p>
    <w:bookmarkStart w:id="4" w:name="LegReasENd"/>
    <w:p w:rsidR="00686E2D" w:rsidRPr="006B538B" w:rsidRDefault="00686E2D" w:rsidP="00686E2D">
      <w:pPr>
        <w:pStyle w:val="ECHRPara"/>
      </w:pPr>
      <w:r w:rsidRPr="006B538B">
        <w:fldChar w:fldCharType="begin"/>
      </w:r>
      <w:r w:rsidRPr="006B538B">
        <w:rPr>
          <w:rStyle w:val="ECHRPara"/>
        </w:rPr>
        <w:instrText xml:space="preserve"> SEQ level0 \*arabic </w:instrText>
      </w:r>
      <w:r w:rsidRPr="006B538B">
        <w:fldChar w:fldCharType="separate"/>
      </w:r>
      <w:r w:rsidRPr="006B538B">
        <w:rPr>
          <w:rStyle w:val="ECHRPara"/>
        </w:rPr>
        <w:t>13</w:t>
      </w:r>
      <w:r w:rsidRPr="006B538B">
        <w:fldChar w:fldCharType="end"/>
      </w:r>
      <w:bookmarkEnd w:id="4"/>
      <w:r w:rsidRPr="006B538B">
        <w:rPr>
          <w:rStyle w:val="ECHRPara"/>
        </w:rPr>
        <w:t>.  В чл. 41 е добавено, че надеждност на лицето от гледна точка на сигурността е налице, когато липсват данни относно а) осъществяване на дейност срещу интересите на държавата или срещу интереси, които държавата се е задължила да защитава по силата на международни договори; б) участие или съучастие в шпионска, терористична, саботажна или диверсионна дейност; в) осъществяване на друга дейност против националната сигурност, териториалната цялост или суверенитета на страната или целяща насилствена промяна на конституционно установения ред; г) осъществяване на дейност, насочена срещу обществения ред. Съгласно чл. 42, ал. 1 от закона надеждност от гледна точка на опазване на тайната е налице, когато липсват данни относно а) укриване или даване на невярна информация от проучваното лице за целите на проучването; б) факти и обстоятелства, които биха дали възможност за изнудване на служителя; в) несъответствие между стандарта на живот на служителя и неговите доходи; г) психично заболяване или други нарушения на психичната дейност, които биха повлияли отрицателно върху неговата способност да работи с класифицирана информация.</w:t>
      </w:r>
    </w:p>
    <w:p w:rsidR="00686E2D" w:rsidRPr="006B538B" w:rsidRDefault="00686E2D" w:rsidP="00686E2D">
      <w:pPr>
        <w:pStyle w:val="ECHRPara"/>
      </w:pPr>
      <w:r w:rsidRPr="006B538B">
        <w:fldChar w:fldCharType="begin"/>
      </w:r>
      <w:r w:rsidRPr="006B538B">
        <w:rPr>
          <w:rStyle w:val="ECHRPara"/>
        </w:rPr>
        <w:instrText xml:space="preserve"> SEQ level0 \*arabic </w:instrText>
      </w:r>
      <w:r w:rsidRPr="006B538B">
        <w:fldChar w:fldCharType="separate"/>
      </w:r>
      <w:r w:rsidRPr="006B538B">
        <w:rPr>
          <w:rStyle w:val="ECHRPara"/>
        </w:rPr>
        <w:t>14</w:t>
      </w:r>
      <w:r w:rsidRPr="006B538B">
        <w:fldChar w:fldCharType="end"/>
      </w:r>
      <w:r w:rsidRPr="006B538B">
        <w:rPr>
          <w:rStyle w:val="ECHRPara"/>
        </w:rPr>
        <w:t xml:space="preserve">.  Чл. 59, ал. 1, б. а) гласи във версията си, приложима в съответния период, че разрешение за достъп до класифицирана информация трябва да се отнеме, когато в хода на проверка за сигурност е установено, че въпросното лице не отговаря на едно от изискванията по чл. 40, ал. 1. </w:t>
      </w:r>
      <w:r w:rsidR="00300357" w:rsidRPr="006B538B">
        <w:rPr>
          <w:rStyle w:val="ECHRPara"/>
        </w:rPr>
        <w:t xml:space="preserve">Съгласно </w:t>
      </w:r>
      <w:r w:rsidRPr="006B538B">
        <w:rPr>
          <w:rStyle w:val="ECHRPara"/>
        </w:rPr>
        <w:t>чл. 11 и чл. 49 проучвания за сигурността на служители на националните служби за сигурност се извършват от същите тези национални служби за сигурност, които са компетентни да предоставят или отказват удостоверение за сигурност.</w:t>
      </w:r>
    </w:p>
    <w:p w:rsidR="00686E2D" w:rsidRPr="006B538B" w:rsidRDefault="00686E2D" w:rsidP="00686E2D">
      <w:pPr>
        <w:pStyle w:val="ECHRPara"/>
      </w:pPr>
      <w:r w:rsidRPr="006B538B">
        <w:lastRenderedPageBreak/>
        <w:fldChar w:fldCharType="begin"/>
      </w:r>
      <w:r w:rsidRPr="006B538B">
        <w:rPr>
          <w:rStyle w:val="ECHRPara"/>
        </w:rPr>
        <w:instrText xml:space="preserve"> SEQ level0 \*arabic </w:instrText>
      </w:r>
      <w:r w:rsidRPr="006B538B">
        <w:fldChar w:fldCharType="separate"/>
      </w:r>
      <w:r w:rsidRPr="006B538B">
        <w:rPr>
          <w:rStyle w:val="ECHRPara"/>
        </w:rPr>
        <w:t>15</w:t>
      </w:r>
      <w:r w:rsidRPr="006B538B">
        <w:fldChar w:fldCharType="end"/>
      </w:r>
      <w:r w:rsidRPr="006B538B">
        <w:rPr>
          <w:rStyle w:val="ECHRPara"/>
        </w:rPr>
        <w:t>.  </w:t>
      </w:r>
      <w:r w:rsidR="00300357" w:rsidRPr="006B538B">
        <w:rPr>
          <w:rStyle w:val="ECHRPara"/>
        </w:rPr>
        <w:t xml:space="preserve">Съгласно </w:t>
      </w:r>
      <w:r w:rsidRPr="006B538B">
        <w:rPr>
          <w:rStyle w:val="ECHRPara"/>
        </w:rPr>
        <w:t>чл. 59, ал. 3 и 5 в тяхната редакция, приложима в относимия период, отнемането на разрешение за достъп до класифицирана информация не се придружава от каквото и да било обяснение и трябва единствено да съдържа правн</w:t>
      </w:r>
      <w:r w:rsidR="00300357" w:rsidRPr="006B538B">
        <w:rPr>
          <w:rStyle w:val="ECHRPara"/>
        </w:rPr>
        <w:t>ото основание</w:t>
      </w:r>
      <w:r w:rsidRPr="006B538B">
        <w:rPr>
          <w:rStyle w:val="ECHRPara"/>
        </w:rPr>
        <w:t xml:space="preserve"> за такова отнемане. Отнемането на правото на достъп до класифицирана информация може да бъде оспорено пред Държавната комисия по сигурността на информацията. Държавната комисия по сигурността на информацията е изпълнителен административен орган, съставен от петима членове, които се избират за срок от пет години от Министерския съвет по предложение на министър-председателя (чл</w:t>
      </w:r>
      <w:r w:rsidR="00D80F9A" w:rsidRPr="006B538B">
        <w:rPr>
          <w:rStyle w:val="ECHRPara"/>
        </w:rPr>
        <w:t>.</w:t>
      </w:r>
      <w:r w:rsidRPr="006B538B">
        <w:rPr>
          <w:rStyle w:val="ECHRPara"/>
        </w:rPr>
        <w:t xml:space="preserve"> 4 до 6 от закона). Съгласно чл. 68 от закона, приложим към съответния момент, решението на тази комисия е окончателно и не подлежи на обжалване пред съдилищата.</w:t>
      </w:r>
    </w:p>
    <w:bookmarkStart w:id="5" w:name="LegAmend"/>
    <w:p w:rsidR="00686E2D" w:rsidRPr="006B538B" w:rsidRDefault="00686E2D" w:rsidP="00686E2D">
      <w:pPr>
        <w:pStyle w:val="ECHRPara"/>
      </w:pPr>
      <w:r w:rsidRPr="006B538B">
        <w:fldChar w:fldCharType="begin"/>
      </w:r>
      <w:r w:rsidRPr="006B538B">
        <w:rPr>
          <w:rStyle w:val="ECHRPara"/>
        </w:rPr>
        <w:instrText xml:space="preserve"> SEQ level0 \*arabic </w:instrText>
      </w:r>
      <w:r w:rsidRPr="006B538B">
        <w:fldChar w:fldCharType="separate"/>
      </w:r>
      <w:r w:rsidRPr="006B538B">
        <w:rPr>
          <w:rStyle w:val="ECHRPara"/>
        </w:rPr>
        <w:t>16</w:t>
      </w:r>
      <w:r w:rsidRPr="006B538B">
        <w:fldChar w:fldCharType="end"/>
      </w:r>
      <w:bookmarkEnd w:id="5"/>
      <w:r w:rsidRPr="006B538B">
        <w:rPr>
          <w:rStyle w:val="ECHRPara"/>
        </w:rPr>
        <w:t>.  На 13 септември 2016 г. чл. 68 от закона е изменен, като е въведен съдебен контрол върху решенията на Държавната комисия относно отказа за предоставяне на разрешение за достъп до класифицирана информация или за отнемане на такова разрешение.</w:t>
      </w:r>
    </w:p>
    <w:p w:rsidR="00686E2D" w:rsidRPr="006B538B" w:rsidRDefault="00686E2D" w:rsidP="00686E2D">
      <w:pPr>
        <w:pStyle w:val="ECHRHeading2"/>
      </w:pPr>
      <w:r w:rsidRPr="006B538B">
        <w:rPr>
          <w:rStyle w:val="ECHRHeading2"/>
        </w:rPr>
        <w:t>Б. Кодекс на труда от 1986 г.</w:t>
      </w:r>
    </w:p>
    <w:p w:rsidR="00686E2D" w:rsidRPr="006B538B" w:rsidRDefault="00686E2D" w:rsidP="00686E2D">
      <w:pPr>
        <w:pStyle w:val="ECHRPara"/>
      </w:pPr>
      <w:r w:rsidRPr="006B538B">
        <w:fldChar w:fldCharType="begin"/>
      </w:r>
      <w:r w:rsidRPr="006B538B">
        <w:rPr>
          <w:rStyle w:val="ECHRPara"/>
        </w:rPr>
        <w:instrText xml:space="preserve"> SEQ level0 \*arabic </w:instrText>
      </w:r>
      <w:r w:rsidRPr="006B538B">
        <w:fldChar w:fldCharType="separate"/>
      </w:r>
      <w:r w:rsidRPr="006B538B">
        <w:rPr>
          <w:rStyle w:val="ECHRPara"/>
        </w:rPr>
        <w:t>17</w:t>
      </w:r>
      <w:r w:rsidRPr="006B538B">
        <w:fldChar w:fldCharType="end"/>
      </w:r>
      <w:r w:rsidRPr="006B538B">
        <w:rPr>
          <w:rStyle w:val="ECHRPara"/>
        </w:rPr>
        <w:t xml:space="preserve">.  Приложимите разпоредби на този кодекс са описани в решението </w:t>
      </w:r>
      <w:r w:rsidRPr="006B538B">
        <w:rPr>
          <w:rStyle w:val="ECHRPara"/>
          <w:i/>
        </w:rPr>
        <w:t>Миряна Петрова срещу България</w:t>
      </w:r>
      <w:r w:rsidRPr="006B538B">
        <w:rPr>
          <w:rStyle w:val="ECHRPara"/>
        </w:rPr>
        <w:t xml:space="preserve"> (</w:t>
      </w:r>
      <w:r w:rsidRPr="006B538B">
        <w:rPr>
          <w:rStyle w:val="ECHRPara"/>
          <w:cs/>
        </w:rPr>
        <w:t xml:space="preserve">№ </w:t>
      </w:r>
      <w:r w:rsidRPr="006B538B">
        <w:rPr>
          <w:rStyle w:val="ECHRPara"/>
        </w:rPr>
        <w:t>57148/08, §§ 20-22, 21 юли 2016 г.).</w:t>
      </w:r>
    </w:p>
    <w:p w:rsidR="00686E2D" w:rsidRPr="006B538B" w:rsidRDefault="00D80F9A" w:rsidP="00686E2D">
      <w:pPr>
        <w:pStyle w:val="ECHRTitle1"/>
      </w:pPr>
      <w:r w:rsidRPr="006B538B">
        <w:rPr>
          <w:rStyle w:val="ECHRTitle1"/>
        </w:rPr>
        <w:t>ПРАВОТО</w:t>
      </w:r>
    </w:p>
    <w:p w:rsidR="00686E2D" w:rsidRPr="006B538B" w:rsidRDefault="00686E2D" w:rsidP="00686E2D">
      <w:pPr>
        <w:pStyle w:val="ECHRHeading1"/>
      </w:pPr>
      <w:r w:rsidRPr="006B538B">
        <w:rPr>
          <w:rStyle w:val="ECHRHeading1"/>
        </w:rPr>
        <w:t>I. ТВЪРДЯНО НАРУШЕНИЕ НА ЧЛ. 6 ОТ КОНВЕНЦИЯТА</w:t>
      </w:r>
    </w:p>
    <w:p w:rsidR="00686E2D" w:rsidRPr="006B538B" w:rsidRDefault="00686E2D" w:rsidP="00686E2D">
      <w:pPr>
        <w:pStyle w:val="ECHRPara"/>
      </w:pPr>
      <w:r w:rsidRPr="006B538B">
        <w:fldChar w:fldCharType="begin"/>
      </w:r>
      <w:r w:rsidRPr="006B538B">
        <w:rPr>
          <w:rStyle w:val="ECHRPara"/>
        </w:rPr>
        <w:instrText xml:space="preserve"> SEQ level0 \*arabic </w:instrText>
      </w:r>
      <w:r w:rsidRPr="006B538B">
        <w:fldChar w:fldCharType="separate"/>
      </w:r>
      <w:r w:rsidRPr="006B538B">
        <w:rPr>
          <w:rStyle w:val="ECHRPara"/>
        </w:rPr>
        <w:t>18</w:t>
      </w:r>
      <w:r w:rsidRPr="006B538B">
        <w:fldChar w:fldCharType="end"/>
      </w:r>
      <w:r w:rsidRPr="006B538B">
        <w:rPr>
          <w:rStyle w:val="ECHRPara"/>
        </w:rPr>
        <w:t xml:space="preserve">.  Жалбоподателят се оплаква, че не е могъл да оспори решението за отнемане правото му да притежава разрешение за достъп до държавни тайни, въз основа на което трудовият му договор с Национална служба </w:t>
      </w:r>
      <w:r w:rsidRPr="006B538B">
        <w:rPr>
          <w:rStyle w:val="ECHRPara"/>
          <w:cs/>
        </w:rPr>
        <w:t>“</w:t>
      </w:r>
      <w:r w:rsidRPr="006B538B">
        <w:rPr>
          <w:rStyle w:val="ECHRPara"/>
        </w:rPr>
        <w:t>Сигурност</w:t>
      </w:r>
      <w:r w:rsidRPr="006B538B">
        <w:rPr>
          <w:rStyle w:val="ECHRPara"/>
          <w:cs/>
        </w:rPr>
        <w:t xml:space="preserve">” </w:t>
      </w:r>
      <w:r w:rsidRPr="006B538B">
        <w:rPr>
          <w:rStyle w:val="ECHRPara"/>
        </w:rPr>
        <w:t xml:space="preserve">е прекратен. Освен това той се оплаква, че валидността на това отнемане не е </w:t>
      </w:r>
      <w:r w:rsidR="00D80F9A" w:rsidRPr="006B538B">
        <w:rPr>
          <w:rStyle w:val="ECHRPara"/>
        </w:rPr>
        <w:t>разгледана</w:t>
      </w:r>
      <w:r w:rsidRPr="006B538B">
        <w:rPr>
          <w:rStyle w:val="ECHRPara"/>
        </w:rPr>
        <w:t xml:space="preserve"> в хода на съдебното производство за неговото уволнение. Позовавайки се на чл. 6 § 1 и чл. 13 от Конвенцията той твърди, че в резултат на това му е отказан достъп до съд.</w:t>
      </w:r>
    </w:p>
    <w:p w:rsidR="00686E2D" w:rsidRPr="006B538B" w:rsidRDefault="00686E2D" w:rsidP="00686E2D">
      <w:pPr>
        <w:pStyle w:val="ECHRPara"/>
      </w:pPr>
      <w:r w:rsidRPr="006B538B">
        <w:fldChar w:fldCharType="begin"/>
      </w:r>
      <w:r w:rsidRPr="006B538B">
        <w:rPr>
          <w:rStyle w:val="ECHRPara"/>
        </w:rPr>
        <w:instrText xml:space="preserve"> SEQ level0 \*arabic </w:instrText>
      </w:r>
      <w:r w:rsidRPr="006B538B">
        <w:fldChar w:fldCharType="separate"/>
      </w:r>
      <w:r w:rsidRPr="006B538B">
        <w:rPr>
          <w:rStyle w:val="ECHRPara"/>
        </w:rPr>
        <w:t>19</w:t>
      </w:r>
      <w:r w:rsidRPr="006B538B">
        <w:fldChar w:fldCharType="end"/>
      </w:r>
      <w:r w:rsidRPr="006B538B">
        <w:rPr>
          <w:rStyle w:val="ECHRPara"/>
        </w:rPr>
        <w:t>.  Съдът отбелязва, че изискванията на чл. 13 от Конвенцията са по-малко строги</w:t>
      </w:r>
      <w:r w:rsidR="00D80F9A" w:rsidRPr="006B538B">
        <w:rPr>
          <w:rStyle w:val="ECHRPara"/>
        </w:rPr>
        <w:t xml:space="preserve"> и</w:t>
      </w:r>
      <w:r w:rsidRPr="006B538B">
        <w:rPr>
          <w:rStyle w:val="ECHRPara"/>
        </w:rPr>
        <w:t xml:space="preserve"> в такива ситуации се поглъщат от тези на чл. 6 § 1 (вж., наред с други решения, </w:t>
      </w:r>
      <w:r w:rsidRPr="006B538B">
        <w:rPr>
          <w:rStyle w:val="ECHRPara"/>
          <w:i/>
        </w:rPr>
        <w:t>Vasilescu v. Romania</w:t>
      </w:r>
      <w:r w:rsidRPr="006B538B">
        <w:rPr>
          <w:rStyle w:val="ECHRPara"/>
        </w:rPr>
        <w:t xml:space="preserve">, 22 май 1998 г., § 43, </w:t>
      </w:r>
      <w:r w:rsidRPr="006B538B">
        <w:rPr>
          <w:rStyle w:val="ECHRPara"/>
          <w:i/>
        </w:rPr>
        <w:t xml:space="preserve">Доклади за решения и определения </w:t>
      </w:r>
      <w:r w:rsidRPr="006B538B">
        <w:rPr>
          <w:rStyle w:val="ECHRPara"/>
        </w:rPr>
        <w:t xml:space="preserve">1998-III, и </w:t>
      </w:r>
      <w:r w:rsidRPr="006B538B">
        <w:rPr>
          <w:rStyle w:val="ECHRPara"/>
          <w:i/>
        </w:rPr>
        <w:t>Миряна Петрова срещу България</w:t>
      </w:r>
      <w:r w:rsidRPr="006B538B">
        <w:rPr>
          <w:rStyle w:val="ECHRPara"/>
        </w:rPr>
        <w:t xml:space="preserve">, </w:t>
      </w:r>
      <w:r w:rsidRPr="006B538B">
        <w:rPr>
          <w:rStyle w:val="ECHRPara"/>
          <w:cs/>
        </w:rPr>
        <w:t xml:space="preserve">№ </w:t>
      </w:r>
      <w:r w:rsidRPr="006B538B">
        <w:rPr>
          <w:rStyle w:val="ECHRPara"/>
        </w:rPr>
        <w:t xml:space="preserve">57148/08, § 24, 21 юли 2016 г.). Поради това той </w:t>
      </w:r>
      <w:r w:rsidR="00D80F9A" w:rsidRPr="006B538B">
        <w:rPr>
          <w:rStyle w:val="ECHRPara"/>
        </w:rPr>
        <w:t>счита</w:t>
      </w:r>
      <w:r w:rsidRPr="006B538B">
        <w:rPr>
          <w:rStyle w:val="ECHRPara"/>
        </w:rPr>
        <w:t xml:space="preserve">, че горните оплаквания следва да бъдат разгледани единствено чрез </w:t>
      </w:r>
      <w:r w:rsidRPr="006B538B">
        <w:rPr>
          <w:rStyle w:val="ECHRPara"/>
        </w:rPr>
        <w:lastRenderedPageBreak/>
        <w:t>позоваване на последната разпоредба, която в относимата си част гласи:</w:t>
      </w:r>
    </w:p>
    <w:p w:rsidR="00686E2D" w:rsidRPr="006B538B" w:rsidRDefault="00686E2D" w:rsidP="00686E2D">
      <w:pPr>
        <w:pStyle w:val="ECHRParaQuote"/>
      </w:pPr>
      <w:r w:rsidRPr="006B538B">
        <w:rPr>
          <w:rStyle w:val="ECHRParaQuote"/>
          <w:cs/>
        </w:rPr>
        <w:t>“</w:t>
      </w:r>
      <w:r w:rsidRPr="006B538B">
        <w:rPr>
          <w:rStyle w:val="ECHRParaQuote"/>
        </w:rPr>
        <w:t>Всяко лице, при решаването на правен спор относно неговите граждански права и задължения..., има право на справедливо и публично гледане на неговото дело в разумен срок, от независим и безпристрастен съд, създаден в съответствие със закона.</w:t>
      </w:r>
      <w:r w:rsidRPr="006B538B">
        <w:rPr>
          <w:rStyle w:val="ECHRParaQuote"/>
          <w:cs/>
        </w:rPr>
        <w:t>”</w:t>
      </w:r>
    </w:p>
    <w:p w:rsidR="00686E2D" w:rsidRPr="006B538B" w:rsidRDefault="00686E2D" w:rsidP="00686E2D">
      <w:pPr>
        <w:pStyle w:val="ECHRPara"/>
      </w:pPr>
      <w:r w:rsidRPr="006B538B">
        <w:fldChar w:fldCharType="begin"/>
      </w:r>
      <w:r w:rsidRPr="006B538B">
        <w:rPr>
          <w:rStyle w:val="ECHRPara"/>
        </w:rPr>
        <w:instrText xml:space="preserve"> SEQ level0 \*arabic </w:instrText>
      </w:r>
      <w:r w:rsidRPr="006B538B">
        <w:fldChar w:fldCharType="separate"/>
      </w:r>
      <w:r w:rsidRPr="006B538B">
        <w:rPr>
          <w:rStyle w:val="ECHRPara"/>
        </w:rPr>
        <w:t>20</w:t>
      </w:r>
      <w:r w:rsidRPr="006B538B">
        <w:fldChar w:fldCharType="end"/>
      </w:r>
      <w:r w:rsidRPr="006B538B">
        <w:rPr>
          <w:rStyle w:val="ECHRPara"/>
        </w:rPr>
        <w:t>.  Правителството оспорва аргументите на жалбоподател</w:t>
      </w:r>
      <w:r w:rsidR="00D80F9A" w:rsidRPr="006B538B">
        <w:rPr>
          <w:rStyle w:val="ECHRPara"/>
        </w:rPr>
        <w:t>я</w:t>
      </w:r>
      <w:r w:rsidRPr="006B538B">
        <w:rPr>
          <w:rStyle w:val="ECHRPara"/>
        </w:rPr>
        <w:t>.</w:t>
      </w:r>
    </w:p>
    <w:p w:rsidR="00686E2D" w:rsidRPr="006B538B" w:rsidRDefault="00686E2D" w:rsidP="00686E2D">
      <w:pPr>
        <w:pStyle w:val="ECHRHeading2"/>
      </w:pPr>
      <w:r w:rsidRPr="006B538B">
        <w:rPr>
          <w:rStyle w:val="ECHRHeading2"/>
        </w:rPr>
        <w:t>A.  Допустимост</w:t>
      </w:r>
    </w:p>
    <w:p w:rsidR="00686E2D" w:rsidRPr="006B538B" w:rsidRDefault="00686E2D" w:rsidP="00686E2D">
      <w:pPr>
        <w:pStyle w:val="ECHRPara"/>
      </w:pPr>
      <w:r w:rsidRPr="006B538B">
        <w:fldChar w:fldCharType="begin"/>
      </w:r>
      <w:r w:rsidRPr="006B538B">
        <w:rPr>
          <w:rStyle w:val="ECHRPara"/>
        </w:rPr>
        <w:instrText xml:space="preserve"> SEQ level0 \*arabic </w:instrText>
      </w:r>
      <w:r w:rsidRPr="006B538B">
        <w:fldChar w:fldCharType="separate"/>
      </w:r>
      <w:r w:rsidRPr="006B538B">
        <w:rPr>
          <w:rStyle w:val="ECHRPara"/>
        </w:rPr>
        <w:t>21</w:t>
      </w:r>
      <w:r w:rsidRPr="006B538B">
        <w:fldChar w:fldCharType="end"/>
      </w:r>
      <w:r w:rsidRPr="006B538B">
        <w:rPr>
          <w:rStyle w:val="ECHRPara"/>
        </w:rPr>
        <w:t xml:space="preserve">.  Правителството не оспорва, че чл. 6 </w:t>
      </w:r>
      <w:r w:rsidR="008728B9" w:rsidRPr="006B538B">
        <w:rPr>
          <w:rStyle w:val="ECHRPara"/>
        </w:rPr>
        <w:t>е приложим</w:t>
      </w:r>
      <w:r w:rsidRPr="006B538B">
        <w:rPr>
          <w:rStyle w:val="ECHRPara"/>
        </w:rPr>
        <w:t xml:space="preserve"> в ситуацията на жалбоподателя. </w:t>
      </w:r>
      <w:r w:rsidR="008728B9" w:rsidRPr="006B538B">
        <w:rPr>
          <w:rStyle w:val="ECHRPara"/>
        </w:rPr>
        <w:t xml:space="preserve">В светлината на своята съдебна практика </w:t>
      </w:r>
      <w:r w:rsidRPr="006B538B">
        <w:rPr>
          <w:rStyle w:val="ECHRPara"/>
        </w:rPr>
        <w:t xml:space="preserve">Съдът смята, </w:t>
      </w:r>
      <w:r w:rsidR="008728B9" w:rsidRPr="006B538B">
        <w:rPr>
          <w:rStyle w:val="ECHRPara"/>
        </w:rPr>
        <w:t xml:space="preserve">че </w:t>
      </w:r>
      <w:r w:rsidRPr="006B538B">
        <w:rPr>
          <w:rStyle w:val="ECHRPara"/>
        </w:rPr>
        <w:t xml:space="preserve">тази разпоредба е приложима в настоящия случай (вж. </w:t>
      </w:r>
      <w:proofErr w:type="spellStart"/>
      <w:r w:rsidRPr="006B538B">
        <w:rPr>
          <w:rStyle w:val="ECHRPara"/>
          <w:i/>
        </w:rPr>
        <w:t>Boulois</w:t>
      </w:r>
      <w:proofErr w:type="spellEnd"/>
      <w:r w:rsidRPr="006B538B">
        <w:rPr>
          <w:rStyle w:val="ECHRPara"/>
          <w:i/>
        </w:rPr>
        <w:t xml:space="preserve"> v. Luxembourg </w:t>
      </w:r>
      <w:r w:rsidRPr="006B538B">
        <w:rPr>
          <w:rStyle w:val="ECHRPara"/>
        </w:rPr>
        <w:t xml:space="preserve">[GC], </w:t>
      </w:r>
      <w:r w:rsidRPr="006B538B">
        <w:rPr>
          <w:rStyle w:val="ECHRPara"/>
          <w:cs/>
        </w:rPr>
        <w:t xml:space="preserve">№ </w:t>
      </w:r>
      <w:r w:rsidRPr="006B538B">
        <w:rPr>
          <w:rStyle w:val="ECHRPara"/>
        </w:rPr>
        <w:t xml:space="preserve">37575/04, § 90, ЕСПЧ 2012 г., </w:t>
      </w:r>
      <w:proofErr w:type="spellStart"/>
      <w:r w:rsidRPr="006B538B">
        <w:rPr>
          <w:rStyle w:val="ECHRPara"/>
          <w:i/>
        </w:rPr>
        <w:t>Ternovskis</w:t>
      </w:r>
      <w:proofErr w:type="spellEnd"/>
      <w:r w:rsidRPr="006B538B">
        <w:rPr>
          <w:rStyle w:val="ECHRPara"/>
          <w:i/>
        </w:rPr>
        <w:t xml:space="preserve"> v. Latvia</w:t>
      </w:r>
      <w:r w:rsidRPr="006B538B">
        <w:rPr>
          <w:rStyle w:val="ECHRPara"/>
        </w:rPr>
        <w:t xml:space="preserve"> (</w:t>
      </w:r>
      <w:r w:rsidRPr="006B538B">
        <w:rPr>
          <w:rStyle w:val="ECHRPara"/>
          <w:cs/>
        </w:rPr>
        <w:t xml:space="preserve">№ </w:t>
      </w:r>
      <w:r w:rsidRPr="006B538B">
        <w:rPr>
          <w:rStyle w:val="ECHRPara"/>
        </w:rPr>
        <w:t xml:space="preserve">33637/02, § 44, 29 април 2014 г., </w:t>
      </w:r>
      <w:proofErr w:type="spellStart"/>
      <w:r w:rsidRPr="006B538B">
        <w:rPr>
          <w:rStyle w:val="ECHRPara"/>
          <w:i/>
        </w:rPr>
        <w:t>Фазлийски</w:t>
      </w:r>
      <w:proofErr w:type="spellEnd"/>
      <w:r w:rsidRPr="006B538B">
        <w:rPr>
          <w:rStyle w:val="ECHRPara"/>
          <w:i/>
        </w:rPr>
        <w:t xml:space="preserve"> срещу България</w:t>
      </w:r>
      <w:r w:rsidRPr="006B538B">
        <w:rPr>
          <w:rStyle w:val="ECHRPara"/>
        </w:rPr>
        <w:t xml:space="preserve">, </w:t>
      </w:r>
      <w:r w:rsidRPr="006B538B">
        <w:rPr>
          <w:rStyle w:val="ECHRPara"/>
          <w:cs/>
        </w:rPr>
        <w:t xml:space="preserve">№ </w:t>
      </w:r>
      <w:r w:rsidRPr="006B538B">
        <w:rPr>
          <w:rStyle w:val="ECHRPara"/>
        </w:rPr>
        <w:t xml:space="preserve">40908/05, § 52, 16 април 2013 г., и </w:t>
      </w:r>
      <w:r w:rsidRPr="006B538B">
        <w:rPr>
          <w:rStyle w:val="ECHRPara"/>
          <w:i/>
        </w:rPr>
        <w:t>Миряна Петрова</w:t>
      </w:r>
      <w:r w:rsidRPr="006B538B">
        <w:rPr>
          <w:rStyle w:val="ECHRPara"/>
        </w:rPr>
        <w:t>, цитирано по-горе, §§ 31, 32 и 35).</w:t>
      </w:r>
    </w:p>
    <w:p w:rsidR="00686E2D" w:rsidRPr="006B538B" w:rsidRDefault="00686E2D" w:rsidP="00686E2D">
      <w:pPr>
        <w:pStyle w:val="ECHRPara"/>
      </w:pPr>
      <w:r w:rsidRPr="006B538B">
        <w:fldChar w:fldCharType="begin"/>
      </w:r>
      <w:r w:rsidRPr="006B538B">
        <w:rPr>
          <w:rStyle w:val="ECHRPara"/>
        </w:rPr>
        <w:instrText xml:space="preserve"> SEQ level0 \*arabic </w:instrText>
      </w:r>
      <w:r w:rsidRPr="006B538B">
        <w:fldChar w:fldCharType="separate"/>
      </w:r>
      <w:r w:rsidRPr="006B538B">
        <w:rPr>
          <w:rStyle w:val="ECHRPara"/>
        </w:rPr>
        <w:t>22</w:t>
      </w:r>
      <w:r w:rsidRPr="006B538B">
        <w:fldChar w:fldCharType="end"/>
      </w:r>
      <w:r w:rsidRPr="006B538B">
        <w:rPr>
          <w:rStyle w:val="ECHRPara"/>
        </w:rPr>
        <w:t>.  Съдът също така отбелязва, че това оплакване не е явно необосновано по смисъла на чл. 35 § 3(а) от Конвенцията. Той отбелязва още, че то не е недопустимо на друг</w:t>
      </w:r>
      <w:r w:rsidR="008728B9" w:rsidRPr="006B538B">
        <w:rPr>
          <w:rStyle w:val="ECHRPara"/>
        </w:rPr>
        <w:t>о</w:t>
      </w:r>
      <w:r w:rsidRPr="006B538B">
        <w:rPr>
          <w:rStyle w:val="ECHRPara"/>
        </w:rPr>
        <w:t xml:space="preserve"> основани</w:t>
      </w:r>
      <w:r w:rsidR="008728B9" w:rsidRPr="006B538B">
        <w:rPr>
          <w:rStyle w:val="ECHRPara"/>
        </w:rPr>
        <w:t>е</w:t>
      </w:r>
      <w:r w:rsidRPr="006B538B">
        <w:rPr>
          <w:rStyle w:val="ECHRPara"/>
        </w:rPr>
        <w:t xml:space="preserve">. Следователно то </w:t>
      </w:r>
      <w:r w:rsidR="008728B9" w:rsidRPr="006B538B">
        <w:rPr>
          <w:rStyle w:val="ECHRPara"/>
        </w:rPr>
        <w:t>е</w:t>
      </w:r>
      <w:r w:rsidRPr="006B538B">
        <w:rPr>
          <w:rStyle w:val="ECHRPara"/>
        </w:rPr>
        <w:t xml:space="preserve"> допустимо.</w:t>
      </w:r>
    </w:p>
    <w:p w:rsidR="00686E2D" w:rsidRPr="006B538B" w:rsidRDefault="00686E2D" w:rsidP="00686E2D">
      <w:pPr>
        <w:pStyle w:val="ECHRHeading2"/>
      </w:pPr>
      <w:r w:rsidRPr="006B538B">
        <w:rPr>
          <w:rStyle w:val="ECHRHeading2"/>
        </w:rPr>
        <w:t xml:space="preserve">Б. </w:t>
      </w:r>
      <w:r w:rsidR="008728B9" w:rsidRPr="006B538B">
        <w:rPr>
          <w:rStyle w:val="ECHRHeading2"/>
        </w:rPr>
        <w:t>По същество</w:t>
      </w:r>
    </w:p>
    <w:p w:rsidR="00686E2D" w:rsidRPr="006B538B" w:rsidRDefault="00686E2D" w:rsidP="00686E2D">
      <w:pPr>
        <w:pStyle w:val="ECHRPara"/>
      </w:pPr>
      <w:r w:rsidRPr="006B538B">
        <w:fldChar w:fldCharType="begin"/>
      </w:r>
      <w:r w:rsidRPr="006B538B">
        <w:rPr>
          <w:rStyle w:val="ECHRPara"/>
        </w:rPr>
        <w:instrText xml:space="preserve"> SEQ level0 \*arabic </w:instrText>
      </w:r>
      <w:r w:rsidRPr="006B538B">
        <w:fldChar w:fldCharType="separate"/>
      </w:r>
      <w:r w:rsidRPr="006B538B">
        <w:rPr>
          <w:rStyle w:val="ECHRPara"/>
        </w:rPr>
        <w:t>23</w:t>
      </w:r>
      <w:r w:rsidRPr="006B538B">
        <w:fldChar w:fldCharType="end"/>
      </w:r>
      <w:r w:rsidRPr="006B538B">
        <w:rPr>
          <w:rStyle w:val="ECHRPara"/>
        </w:rPr>
        <w:t xml:space="preserve">.  Жалбоподателят твърди, че решението на директора на Национална служба </w:t>
      </w:r>
      <w:r w:rsidRPr="006B538B">
        <w:rPr>
          <w:rStyle w:val="ECHRPara"/>
          <w:cs/>
        </w:rPr>
        <w:t>“</w:t>
      </w:r>
      <w:r w:rsidRPr="006B538B">
        <w:rPr>
          <w:rStyle w:val="ECHRPara"/>
        </w:rPr>
        <w:t>Сигурност</w:t>
      </w:r>
      <w:r w:rsidRPr="006B538B">
        <w:rPr>
          <w:rStyle w:val="ECHRPara"/>
          <w:cs/>
        </w:rPr>
        <w:t xml:space="preserve">” </w:t>
      </w:r>
      <w:r w:rsidRPr="006B538B">
        <w:rPr>
          <w:rStyle w:val="ECHRPara"/>
        </w:rPr>
        <w:t xml:space="preserve">за отнемане на правото му да притежава разрешение за достъп </w:t>
      </w:r>
      <w:r w:rsidR="008728B9" w:rsidRPr="006B538B">
        <w:rPr>
          <w:rStyle w:val="ECHRPara"/>
        </w:rPr>
        <w:t>води</w:t>
      </w:r>
      <w:r w:rsidRPr="006B538B">
        <w:rPr>
          <w:rStyle w:val="ECHRPara"/>
        </w:rPr>
        <w:t xml:space="preserve"> до неговото автоматично уволнение. Като се има предвид, че това решение не подлежи на какъвто и да </w:t>
      </w:r>
      <w:r w:rsidR="008728B9" w:rsidRPr="006B538B">
        <w:rPr>
          <w:rStyle w:val="ECHRPara"/>
        </w:rPr>
        <w:t xml:space="preserve">е </w:t>
      </w:r>
      <w:r w:rsidRPr="006B538B">
        <w:rPr>
          <w:rStyle w:val="ECHRPara"/>
        </w:rPr>
        <w:t>съдебен контрол само по себе си, той е поставен в ситуация, която е в нарушение на чл. 6, който му предлага право на справедлив съдебен процес.</w:t>
      </w:r>
    </w:p>
    <w:bookmarkStart w:id="6" w:name="GovArg"/>
    <w:p w:rsidR="00686E2D" w:rsidRPr="006B538B" w:rsidRDefault="00686E2D" w:rsidP="00686E2D">
      <w:pPr>
        <w:pStyle w:val="ECHRPara"/>
      </w:pPr>
      <w:r w:rsidRPr="006B538B">
        <w:fldChar w:fldCharType="begin"/>
      </w:r>
      <w:r w:rsidRPr="006B538B">
        <w:rPr>
          <w:rStyle w:val="ECHRPara"/>
        </w:rPr>
        <w:instrText xml:space="preserve"> SEQ level0 \*arabic </w:instrText>
      </w:r>
      <w:r w:rsidRPr="006B538B">
        <w:fldChar w:fldCharType="separate"/>
      </w:r>
      <w:r w:rsidRPr="006B538B">
        <w:rPr>
          <w:rStyle w:val="ECHRPara"/>
        </w:rPr>
        <w:t>24</w:t>
      </w:r>
      <w:r w:rsidRPr="006B538B">
        <w:fldChar w:fldCharType="end"/>
      </w:r>
      <w:bookmarkEnd w:id="6"/>
      <w:r w:rsidRPr="006B538B">
        <w:rPr>
          <w:rStyle w:val="ECHRPara"/>
        </w:rPr>
        <w:t xml:space="preserve">.  Правителството не оспорва, че на жалбоподателя е отказан съдебен контрол. То твърди, че е констатирано нарушение на чл. 6 в подобна ситуация по делото </w:t>
      </w:r>
      <w:r w:rsidRPr="006B538B">
        <w:rPr>
          <w:rStyle w:val="ECHRPara"/>
          <w:i/>
        </w:rPr>
        <w:t>Миряна Петрова</w:t>
      </w:r>
      <w:r w:rsidRPr="006B538B">
        <w:rPr>
          <w:rStyle w:val="ECHRPara"/>
        </w:rPr>
        <w:t>, цитирано по-горе, и че след измененията на законодателството от 2016 г. приложимото законодателство е приведено в съответствие с изискванията на тази разпоредба. Следователно настоящото дело следва да се разглежда като изолиран случай на отказ за съдебен контрол в ситуации, при които разрешение за достъп се отказва или отнема.</w:t>
      </w:r>
    </w:p>
    <w:p w:rsidR="00686E2D" w:rsidRPr="006B538B" w:rsidRDefault="00686E2D" w:rsidP="00686E2D">
      <w:pPr>
        <w:pStyle w:val="ECHRPara"/>
        <w:rPr>
          <w:i/>
          <w:iCs/>
        </w:rPr>
      </w:pPr>
      <w:r w:rsidRPr="006B538B">
        <w:fldChar w:fldCharType="begin"/>
      </w:r>
      <w:r w:rsidRPr="006B538B">
        <w:rPr>
          <w:rStyle w:val="ECHRPara"/>
        </w:rPr>
        <w:instrText xml:space="preserve"> SEQ level0 \*arabic </w:instrText>
      </w:r>
      <w:r w:rsidRPr="006B538B">
        <w:fldChar w:fldCharType="separate"/>
      </w:r>
      <w:r w:rsidRPr="006B538B">
        <w:rPr>
          <w:rStyle w:val="ECHRPara"/>
        </w:rPr>
        <w:t>25</w:t>
      </w:r>
      <w:r w:rsidRPr="006B538B">
        <w:fldChar w:fldCharType="end"/>
      </w:r>
      <w:r w:rsidRPr="006B538B">
        <w:rPr>
          <w:rStyle w:val="ECHRPara"/>
        </w:rPr>
        <w:t xml:space="preserve">.  Съдът също така припомня, че е трябвало да разгледа дела, в които отказът за предоставяне на разрешение за достъп пряко </w:t>
      </w:r>
      <w:r w:rsidR="008728B9" w:rsidRPr="006B538B">
        <w:rPr>
          <w:rStyle w:val="ECHRPara"/>
        </w:rPr>
        <w:t>води</w:t>
      </w:r>
      <w:r w:rsidRPr="006B538B">
        <w:rPr>
          <w:rStyle w:val="ECHRPara"/>
        </w:rPr>
        <w:t xml:space="preserve"> до загуба на работа и договор за обществена поръчка. В тези случаи Съдът прие</w:t>
      </w:r>
      <w:r w:rsidR="008728B9" w:rsidRPr="006B538B">
        <w:rPr>
          <w:rStyle w:val="ECHRPara"/>
        </w:rPr>
        <w:t>ма</w:t>
      </w:r>
      <w:r w:rsidRPr="006B538B">
        <w:rPr>
          <w:rStyle w:val="ECHRPara"/>
        </w:rPr>
        <w:t xml:space="preserve">, че окончателното естество на удостоверението, с което </w:t>
      </w:r>
      <w:r w:rsidRPr="006B538B">
        <w:rPr>
          <w:rStyle w:val="ECHRPara"/>
        </w:rPr>
        <w:lastRenderedPageBreak/>
        <w:t>се отказва разрешение за достъп, което е прието като факт от националните съдилища и не може да има съдебен контрол на фактите, обосноваващи неговото издаване, представлява непропорционално ограничение на правото на жалбоподателя на достъп до съд (</w:t>
      </w:r>
      <w:r w:rsidRPr="006B538B">
        <w:rPr>
          <w:rStyle w:val="ECHRPara"/>
          <w:i/>
        </w:rPr>
        <w:t xml:space="preserve">Tinnelly &amp; Sons Ltd and Others and McElduff and Others v. the United </w:t>
      </w:r>
      <w:proofErr w:type="spellStart"/>
      <w:r w:rsidRPr="006B538B">
        <w:rPr>
          <w:rStyle w:val="ECHRPara"/>
          <w:i/>
        </w:rPr>
        <w:t>Kingdom</w:t>
      </w:r>
      <w:proofErr w:type="spellEnd"/>
      <w:r w:rsidRPr="006B538B">
        <w:rPr>
          <w:rStyle w:val="ECHRPara"/>
        </w:rPr>
        <w:t xml:space="preserve">, 10 юли 1998 г., § 76, </w:t>
      </w:r>
      <w:r w:rsidRPr="006B538B">
        <w:rPr>
          <w:rStyle w:val="ECHRPara"/>
          <w:i/>
        </w:rPr>
        <w:t>Доклади за решения и определения</w:t>
      </w:r>
      <w:r w:rsidRPr="006B538B">
        <w:rPr>
          <w:rStyle w:val="ECHRPara"/>
        </w:rPr>
        <w:t xml:space="preserve"> 1998</w:t>
      </w:r>
      <w:r w:rsidR="004D2F28" w:rsidRPr="00073CB0">
        <w:rPr>
          <w:rStyle w:val="ECHRPara"/>
        </w:rPr>
        <w:t xml:space="preserve"> </w:t>
      </w:r>
      <w:bookmarkStart w:id="7" w:name="_GoBack"/>
      <w:bookmarkEnd w:id="7"/>
      <w:r w:rsidRPr="006B538B">
        <w:rPr>
          <w:rStyle w:val="ECHRPara"/>
        </w:rPr>
        <w:t xml:space="preserve">IV, </w:t>
      </w:r>
      <w:proofErr w:type="spellStart"/>
      <w:r w:rsidRPr="006B538B">
        <w:rPr>
          <w:rStyle w:val="ECHRPara"/>
          <w:i/>
        </w:rPr>
        <w:t>Devenney</w:t>
      </w:r>
      <w:proofErr w:type="spellEnd"/>
      <w:r w:rsidRPr="006B538B">
        <w:rPr>
          <w:rStyle w:val="ECHRPara"/>
          <w:i/>
        </w:rPr>
        <w:t xml:space="preserve"> v. </w:t>
      </w:r>
      <w:proofErr w:type="spellStart"/>
      <w:r w:rsidRPr="006B538B">
        <w:rPr>
          <w:rStyle w:val="ECHRPara"/>
          <w:i/>
        </w:rPr>
        <w:t>the</w:t>
      </w:r>
      <w:proofErr w:type="spellEnd"/>
      <w:r w:rsidRPr="006B538B">
        <w:rPr>
          <w:rStyle w:val="ECHRPara"/>
          <w:i/>
        </w:rPr>
        <w:t xml:space="preserve"> United Kingdom</w:t>
      </w:r>
      <w:r w:rsidRPr="006B538B">
        <w:rPr>
          <w:rStyle w:val="ECHRPara"/>
        </w:rPr>
        <w:t xml:space="preserve">, </w:t>
      </w:r>
      <w:r w:rsidRPr="006B538B">
        <w:rPr>
          <w:rStyle w:val="ECHRPara"/>
          <w:cs/>
        </w:rPr>
        <w:t>№</w:t>
      </w:r>
      <w:r w:rsidRPr="006B538B">
        <w:rPr>
          <w:rStyle w:val="ECHRPara"/>
        </w:rPr>
        <w:t xml:space="preserve"> 24265/94, § 26, 19 март 2002 г., </w:t>
      </w:r>
      <w:r w:rsidRPr="006B538B">
        <w:rPr>
          <w:rStyle w:val="ECHRPara"/>
          <w:i/>
        </w:rPr>
        <w:t xml:space="preserve">Миряна Петрова, </w:t>
      </w:r>
      <w:r w:rsidRPr="006B538B">
        <w:rPr>
          <w:rStyle w:val="ECHRPara"/>
        </w:rPr>
        <w:t xml:space="preserve">цитирано по-горе, §§ 4041, и </w:t>
      </w:r>
      <w:r w:rsidRPr="006B538B">
        <w:rPr>
          <w:rStyle w:val="ECHRParaChar"/>
          <w:i/>
        </w:rPr>
        <w:t>Александър Събев срещу България</w:t>
      </w:r>
      <w:r w:rsidRPr="006B538B">
        <w:rPr>
          <w:rStyle w:val="ECHRPara"/>
        </w:rPr>
        <w:t xml:space="preserve">, </w:t>
      </w:r>
      <w:r w:rsidRPr="006B538B">
        <w:rPr>
          <w:rStyle w:val="ECHRPara"/>
          <w:cs/>
        </w:rPr>
        <w:t xml:space="preserve">№ </w:t>
      </w:r>
      <w:r w:rsidRPr="006B538B">
        <w:rPr>
          <w:rStyle w:val="ECHRPara"/>
        </w:rPr>
        <w:t>43503/08, §§ 5558, 19 юли 2018 г.).</w:t>
      </w:r>
    </w:p>
    <w:p w:rsidR="00686E2D" w:rsidRPr="006B538B" w:rsidRDefault="00686E2D" w:rsidP="00686E2D">
      <w:pPr>
        <w:pStyle w:val="ECHRPara"/>
      </w:pPr>
      <w:r w:rsidRPr="006B538B">
        <w:fldChar w:fldCharType="begin"/>
      </w:r>
      <w:r w:rsidRPr="006B538B">
        <w:rPr>
          <w:rStyle w:val="ECHRPara"/>
        </w:rPr>
        <w:instrText xml:space="preserve"> SEQ level0 \*arabic </w:instrText>
      </w:r>
      <w:r w:rsidRPr="006B538B">
        <w:fldChar w:fldCharType="separate"/>
      </w:r>
      <w:r w:rsidRPr="006B538B">
        <w:rPr>
          <w:rStyle w:val="ECHRPara"/>
        </w:rPr>
        <w:t>26</w:t>
      </w:r>
      <w:r w:rsidRPr="006B538B">
        <w:fldChar w:fldCharType="end"/>
      </w:r>
      <w:r w:rsidRPr="006B538B">
        <w:rPr>
          <w:rStyle w:val="ECHRPara"/>
        </w:rPr>
        <w:t>.  Съдът не вижда причина да се отклони от това заключение в настоящата жалба, в която фактите са много сходни с последното споменато дело, а приложимото българско законодателство не се е променило през съответния период.</w:t>
      </w:r>
    </w:p>
    <w:p w:rsidR="00686E2D" w:rsidRPr="006B538B" w:rsidRDefault="00686E2D" w:rsidP="00686E2D">
      <w:pPr>
        <w:pStyle w:val="ECHRPara"/>
      </w:pPr>
      <w:r w:rsidRPr="006B538B">
        <w:fldChar w:fldCharType="begin"/>
      </w:r>
      <w:r w:rsidRPr="006B538B">
        <w:rPr>
          <w:rStyle w:val="ECHRPara"/>
        </w:rPr>
        <w:instrText xml:space="preserve"> SEQ level0 \*arabic </w:instrText>
      </w:r>
      <w:r w:rsidRPr="006B538B">
        <w:fldChar w:fldCharType="separate"/>
      </w:r>
      <w:r w:rsidRPr="006B538B">
        <w:rPr>
          <w:rStyle w:val="ECHRPara"/>
        </w:rPr>
        <w:t>27</w:t>
      </w:r>
      <w:r w:rsidRPr="006B538B">
        <w:fldChar w:fldCharType="end"/>
      </w:r>
      <w:r w:rsidRPr="006B538B">
        <w:rPr>
          <w:rStyle w:val="ECHRPara"/>
        </w:rPr>
        <w:t xml:space="preserve">.  По-конкретно, </w:t>
      </w:r>
      <w:r w:rsidR="008728B9" w:rsidRPr="006B538B">
        <w:rPr>
          <w:rStyle w:val="ECHRPara"/>
        </w:rPr>
        <w:t xml:space="preserve">националното </w:t>
      </w:r>
      <w:r w:rsidRPr="006B538B">
        <w:rPr>
          <w:rStyle w:val="ECHRPara"/>
        </w:rPr>
        <w:t xml:space="preserve">съдебно производство </w:t>
      </w:r>
      <w:r w:rsidR="008728B9" w:rsidRPr="006B538B">
        <w:rPr>
          <w:rStyle w:val="ECHRPara"/>
        </w:rPr>
        <w:t xml:space="preserve">относно </w:t>
      </w:r>
      <w:r w:rsidRPr="006B538B">
        <w:rPr>
          <w:rStyle w:val="ECHRPara"/>
        </w:rPr>
        <w:t xml:space="preserve">уволнението на жалбоподателя не </w:t>
      </w:r>
      <w:r w:rsidR="008728B9" w:rsidRPr="006B538B">
        <w:rPr>
          <w:rStyle w:val="ECHRPara"/>
        </w:rPr>
        <w:t xml:space="preserve">предоставя </w:t>
      </w:r>
      <w:r w:rsidRPr="006B538B">
        <w:rPr>
          <w:rStyle w:val="ECHRPara"/>
        </w:rPr>
        <w:t xml:space="preserve">възможност за контрол на който и да </w:t>
      </w:r>
      <w:r w:rsidR="008728B9" w:rsidRPr="006B538B">
        <w:rPr>
          <w:rStyle w:val="ECHRPara"/>
        </w:rPr>
        <w:t xml:space="preserve">е </w:t>
      </w:r>
      <w:r w:rsidRPr="006B538B">
        <w:rPr>
          <w:rStyle w:val="ECHRPara"/>
        </w:rPr>
        <w:t xml:space="preserve">от фактите, на които се основава отнемането на </w:t>
      </w:r>
      <w:r w:rsidR="008728B9" w:rsidRPr="006B538B">
        <w:rPr>
          <w:rStyle w:val="ECHRPara"/>
        </w:rPr>
        <w:t>разрешението за достъп</w:t>
      </w:r>
      <w:r w:rsidRPr="006B538B">
        <w:rPr>
          <w:rStyle w:val="ECHRPara"/>
        </w:rPr>
        <w:t xml:space="preserve">. Както в </w:t>
      </w:r>
      <w:r w:rsidRPr="006B538B">
        <w:rPr>
          <w:rStyle w:val="ECHRPara"/>
          <w:i/>
        </w:rPr>
        <w:t>Миряна Петрова</w:t>
      </w:r>
      <w:r w:rsidRPr="006B538B">
        <w:rPr>
          <w:rStyle w:val="ECHRPara"/>
        </w:rPr>
        <w:t xml:space="preserve">, цитирано по-горе (§§ 38-45), решенията на съдилищата са в съответствие с приложимото </w:t>
      </w:r>
      <w:r w:rsidR="008728B9" w:rsidRPr="006B538B">
        <w:rPr>
          <w:rStyle w:val="ECHRPara"/>
        </w:rPr>
        <w:t>национално законодателство</w:t>
      </w:r>
      <w:r w:rsidRPr="006B538B">
        <w:rPr>
          <w:rStyle w:val="ECHRPara"/>
        </w:rPr>
        <w:t xml:space="preserve">, което предвижда, че отказите на Национална служба </w:t>
      </w:r>
      <w:r w:rsidRPr="006B538B">
        <w:rPr>
          <w:rStyle w:val="ECHRPara"/>
          <w:cs/>
        </w:rPr>
        <w:t>“</w:t>
      </w:r>
      <w:r w:rsidRPr="006B538B">
        <w:rPr>
          <w:rStyle w:val="ECHRPara"/>
        </w:rPr>
        <w:t>Сигурност</w:t>
      </w:r>
      <w:r w:rsidRPr="006B538B">
        <w:rPr>
          <w:rStyle w:val="ECHRPara"/>
          <w:cs/>
        </w:rPr>
        <w:t xml:space="preserve">” </w:t>
      </w:r>
      <w:r w:rsidRPr="006B538B">
        <w:rPr>
          <w:rStyle w:val="ECHRPara"/>
        </w:rPr>
        <w:t>да даде разрешения за достъп или отнемането им не подлежат на никаква форма на съдебен контрол и Правителството не е обосновало това ограничение.</w:t>
      </w:r>
    </w:p>
    <w:p w:rsidR="00686E2D" w:rsidRPr="006B538B" w:rsidRDefault="00686E2D" w:rsidP="00686E2D">
      <w:pPr>
        <w:pStyle w:val="ECHRPara"/>
      </w:pPr>
      <w:r w:rsidRPr="006B538B">
        <w:fldChar w:fldCharType="begin"/>
      </w:r>
      <w:r w:rsidRPr="006B538B">
        <w:rPr>
          <w:rStyle w:val="ECHRPara"/>
        </w:rPr>
        <w:instrText xml:space="preserve"> SEQ level0 \*arabic </w:instrText>
      </w:r>
      <w:r w:rsidRPr="006B538B">
        <w:fldChar w:fldCharType="separate"/>
      </w:r>
      <w:r w:rsidRPr="006B538B">
        <w:rPr>
          <w:rStyle w:val="ECHRPara"/>
        </w:rPr>
        <w:t>28</w:t>
      </w:r>
      <w:r w:rsidRPr="006B538B">
        <w:fldChar w:fldCharType="end"/>
      </w:r>
      <w:r w:rsidRPr="006B538B">
        <w:rPr>
          <w:rStyle w:val="ECHRPara"/>
        </w:rPr>
        <w:t xml:space="preserve">.  Законодателните промени, позволяващи съдебен контрол на решенията за отказ или отнемане на разрешение за достъп, на които Правителството се позовава, са приети едва на 13 септември 2016 г., а последното оспорвано решение е с дата 11 юли 2016 г. (вж. параграфи </w:t>
      </w:r>
      <w:r w:rsidRPr="006B538B">
        <w:fldChar w:fldCharType="begin"/>
      </w:r>
      <w:r w:rsidRPr="006B538B">
        <w:rPr>
          <w:rStyle w:val="ECHRPara"/>
        </w:rPr>
        <w:instrText xml:space="preserve"> REF LastDec \h  \* MERGEFORMAT </w:instrText>
      </w:r>
      <w:r w:rsidRPr="006B538B">
        <w:fldChar w:fldCharType="separate"/>
      </w:r>
      <w:r w:rsidRPr="006B538B">
        <w:rPr>
          <w:rStyle w:val="ECHRPara"/>
        </w:rPr>
        <w:t>11</w:t>
      </w:r>
      <w:r w:rsidRPr="006B538B">
        <w:fldChar w:fldCharType="end"/>
      </w:r>
      <w:r w:rsidRPr="006B538B">
        <w:rPr>
          <w:rStyle w:val="ECHRPara"/>
        </w:rPr>
        <w:t xml:space="preserve">, </w:t>
      </w:r>
      <w:r w:rsidRPr="006B538B">
        <w:fldChar w:fldCharType="begin"/>
      </w:r>
      <w:r w:rsidRPr="006B538B">
        <w:rPr>
          <w:rStyle w:val="ECHRPara"/>
        </w:rPr>
        <w:instrText xml:space="preserve"> REF LegAmend \h  \* MERGEFORMAT </w:instrText>
      </w:r>
      <w:r w:rsidRPr="006B538B">
        <w:fldChar w:fldCharType="separate"/>
      </w:r>
      <w:r w:rsidRPr="006B538B">
        <w:rPr>
          <w:rStyle w:val="ECHRPara"/>
        </w:rPr>
        <w:t>16</w:t>
      </w:r>
      <w:r w:rsidRPr="006B538B">
        <w:fldChar w:fldCharType="end"/>
      </w:r>
      <w:r w:rsidRPr="006B538B">
        <w:rPr>
          <w:rStyle w:val="ECHRPara"/>
        </w:rPr>
        <w:t xml:space="preserve"> и </w:t>
      </w:r>
      <w:r w:rsidRPr="006B538B">
        <w:fldChar w:fldCharType="begin"/>
      </w:r>
      <w:r w:rsidRPr="006B538B">
        <w:rPr>
          <w:rStyle w:val="ECHRPara"/>
        </w:rPr>
        <w:instrText xml:space="preserve"> REF GovArg \h  \* MERGEFORMAT </w:instrText>
      </w:r>
      <w:r w:rsidRPr="006B538B">
        <w:fldChar w:fldCharType="separate"/>
      </w:r>
      <w:r w:rsidRPr="006B538B">
        <w:rPr>
          <w:rStyle w:val="ECHRPara"/>
        </w:rPr>
        <w:t>24</w:t>
      </w:r>
      <w:r w:rsidRPr="006B538B">
        <w:fldChar w:fldCharType="end"/>
      </w:r>
      <w:r w:rsidRPr="006B538B">
        <w:rPr>
          <w:rStyle w:val="ECHRPara"/>
        </w:rPr>
        <w:t xml:space="preserve"> по-горе). Тези промени в закона, приложими </w:t>
      </w:r>
      <w:r w:rsidRPr="006B538B">
        <w:rPr>
          <w:rStyle w:val="ECHRPara"/>
          <w:i/>
        </w:rPr>
        <w:t>ex nunc</w:t>
      </w:r>
      <w:r w:rsidRPr="006B538B">
        <w:rPr>
          <w:rStyle w:val="ECHRPara"/>
        </w:rPr>
        <w:t>, не биха могли да бъдат от полза в ситуацията на жалбоподателя.</w:t>
      </w:r>
    </w:p>
    <w:p w:rsidR="00686E2D" w:rsidRPr="006B538B" w:rsidRDefault="00686E2D" w:rsidP="00686E2D">
      <w:pPr>
        <w:pStyle w:val="ECHRPara"/>
      </w:pPr>
      <w:r w:rsidRPr="006B538B">
        <w:fldChar w:fldCharType="begin"/>
      </w:r>
      <w:r w:rsidRPr="006B538B">
        <w:rPr>
          <w:rStyle w:val="ECHRPara"/>
        </w:rPr>
        <w:instrText xml:space="preserve"> SEQ level0 \*arabic </w:instrText>
      </w:r>
      <w:r w:rsidRPr="006B538B">
        <w:fldChar w:fldCharType="separate"/>
      </w:r>
      <w:r w:rsidRPr="006B538B">
        <w:rPr>
          <w:rStyle w:val="ECHRPara"/>
        </w:rPr>
        <w:t>29</w:t>
      </w:r>
      <w:r w:rsidRPr="006B538B">
        <w:fldChar w:fldCharType="end"/>
      </w:r>
      <w:r w:rsidRPr="006B538B">
        <w:rPr>
          <w:rStyle w:val="ECHRPara"/>
        </w:rPr>
        <w:t>.  Предходните съображения са достатъчни, за да позволят на Съда да заключи, че производството за уволнение на жалбоподателя не е провеждано от съд по смисъла на чл. 6 поради необоснованата липса на обхват на съдебния контрол на компетентните национални съдебни органи.</w:t>
      </w:r>
    </w:p>
    <w:p w:rsidR="00686E2D" w:rsidRPr="006B538B" w:rsidRDefault="00686E2D" w:rsidP="00686E2D">
      <w:pPr>
        <w:pStyle w:val="ECHRPara"/>
      </w:pPr>
      <w:r w:rsidRPr="006B538B">
        <w:fldChar w:fldCharType="begin"/>
      </w:r>
      <w:r w:rsidRPr="006B538B">
        <w:rPr>
          <w:rStyle w:val="ECHRPara"/>
        </w:rPr>
        <w:instrText xml:space="preserve"> SEQ level0 \*arabic </w:instrText>
      </w:r>
      <w:r w:rsidRPr="006B538B">
        <w:fldChar w:fldCharType="separate"/>
      </w:r>
      <w:r w:rsidRPr="006B538B">
        <w:rPr>
          <w:rStyle w:val="ECHRPara"/>
        </w:rPr>
        <w:t>30</w:t>
      </w:r>
      <w:r w:rsidRPr="006B538B">
        <w:fldChar w:fldCharType="end"/>
      </w:r>
      <w:r w:rsidRPr="006B538B">
        <w:rPr>
          <w:rStyle w:val="ECHRPara"/>
        </w:rPr>
        <w:t>.  Следователно е налице нарушение на чл. 6 § 1.</w:t>
      </w:r>
    </w:p>
    <w:p w:rsidR="00686E2D" w:rsidRPr="006B538B" w:rsidRDefault="00686E2D" w:rsidP="00686E2D">
      <w:pPr>
        <w:pStyle w:val="ECHRHeading1"/>
      </w:pPr>
      <w:r w:rsidRPr="006B538B">
        <w:rPr>
          <w:rStyle w:val="ECHRHeading1"/>
        </w:rPr>
        <w:t>II.  ТВЪРДЯНО НАРУШЕНИЕ НА ЧЛ. 8, РАЗГЛЕЖДАН САМОСТОЯТЕЛНО И ВЪВ ВРЪЗКА С ЧЛ. 13 ОТ КОНВЕНЦИЯТА</w:t>
      </w:r>
    </w:p>
    <w:p w:rsidR="00686E2D" w:rsidRPr="006B538B" w:rsidRDefault="00686E2D" w:rsidP="00686E2D">
      <w:pPr>
        <w:pStyle w:val="ECHRPara"/>
      </w:pPr>
      <w:r w:rsidRPr="006B538B">
        <w:fldChar w:fldCharType="begin"/>
      </w:r>
      <w:r w:rsidRPr="006B538B">
        <w:rPr>
          <w:rStyle w:val="ECHRPara"/>
        </w:rPr>
        <w:instrText xml:space="preserve"> SEQ level0 \*arabic </w:instrText>
      </w:r>
      <w:r w:rsidRPr="006B538B">
        <w:fldChar w:fldCharType="separate"/>
      </w:r>
      <w:r w:rsidRPr="006B538B">
        <w:rPr>
          <w:rStyle w:val="ECHRPara"/>
        </w:rPr>
        <w:t>31</w:t>
      </w:r>
      <w:r w:rsidRPr="006B538B">
        <w:fldChar w:fldCharType="end"/>
      </w:r>
      <w:r w:rsidRPr="006B538B">
        <w:rPr>
          <w:rStyle w:val="ECHRPara"/>
        </w:rPr>
        <w:t>.  Жалбоподателят се оплаква от нарушение на чл. 8, разглеждан самостоятелно и заедно с чл. 13 от Конвенцията, като твърди, че уволнението му представлява необоснована намеса в правото му на личен живот и че не е разполагал с ефективни вътрешн</w:t>
      </w:r>
      <w:r w:rsidR="000F32EE" w:rsidRPr="006B538B">
        <w:rPr>
          <w:rStyle w:val="ECHRPara"/>
        </w:rPr>
        <w:t>о</w:t>
      </w:r>
      <w:r w:rsidRPr="006B538B">
        <w:rPr>
          <w:rStyle w:val="ECHRPara"/>
        </w:rPr>
        <w:t xml:space="preserve">правни </w:t>
      </w:r>
      <w:r w:rsidRPr="006B538B">
        <w:rPr>
          <w:rStyle w:val="ECHRPara"/>
        </w:rPr>
        <w:lastRenderedPageBreak/>
        <w:t>средства за защита в този смисъл. Тези разпоредби гласят, както следва:</w:t>
      </w:r>
    </w:p>
    <w:p w:rsidR="00686E2D" w:rsidRPr="006B538B" w:rsidRDefault="00686E2D" w:rsidP="00686E2D">
      <w:pPr>
        <w:pStyle w:val="ECHRTitleCentre3"/>
      </w:pPr>
      <w:r w:rsidRPr="006B538B">
        <w:rPr>
          <w:rStyle w:val="ECHRTitleCentre3"/>
        </w:rPr>
        <w:t>Член 8</w:t>
      </w:r>
    </w:p>
    <w:p w:rsidR="00686E2D" w:rsidRPr="006B538B" w:rsidRDefault="00686E2D" w:rsidP="00686E2D">
      <w:pPr>
        <w:pStyle w:val="ECHRParaQuote"/>
      </w:pPr>
      <w:r w:rsidRPr="006B538B">
        <w:rPr>
          <w:rStyle w:val="ECHRParaQuote"/>
          <w:cs/>
        </w:rPr>
        <w:t>“</w:t>
      </w:r>
      <w:r w:rsidRPr="006B538B">
        <w:rPr>
          <w:rStyle w:val="ECHRParaQuote"/>
        </w:rPr>
        <w:t>1. Βсеки има право на неприкосновеност на личния и семейния си живот, на жилището и на тайната на кореспонденцията.</w:t>
      </w:r>
    </w:p>
    <w:p w:rsidR="00686E2D" w:rsidRPr="006B538B" w:rsidRDefault="00686E2D" w:rsidP="00686E2D">
      <w:pPr>
        <w:pStyle w:val="ECHRParaQuote"/>
      </w:pPr>
      <w:r w:rsidRPr="006B538B">
        <w:rPr>
          <w:rStyle w:val="ECHRParaQuote"/>
        </w:rPr>
        <w:t>2. Намесата на държавните власти в упражняването на това право е недопустима, освен в случаите, предвидени в закона и необходими в едно демократично общество в интерес на националната и обществената сигурност или на икономическото благосъстояние на страната, за предотвратяване на безредици или престъпления, за защита на здравето и морала или на правата и свободите на другите.</w:t>
      </w:r>
    </w:p>
    <w:p w:rsidR="00686E2D" w:rsidRPr="006B538B" w:rsidRDefault="00686E2D" w:rsidP="00686E2D">
      <w:pPr>
        <w:pStyle w:val="ECHRTitleCentre3"/>
      </w:pPr>
      <w:r w:rsidRPr="006B538B">
        <w:rPr>
          <w:rStyle w:val="ECHRTitleCentre3"/>
        </w:rPr>
        <w:t>Член 13</w:t>
      </w:r>
    </w:p>
    <w:p w:rsidR="00686E2D" w:rsidRPr="006B538B" w:rsidRDefault="00686E2D" w:rsidP="00686E2D">
      <w:pPr>
        <w:pStyle w:val="ECHRParaQuote"/>
      </w:pPr>
      <w:r w:rsidRPr="006B538B">
        <w:rPr>
          <w:rStyle w:val="ECHRParaQuote"/>
        </w:rPr>
        <w:t>"Βсеки, чиито права и свободи, провъзгласени в тази Конвенция, са нарушени, има право на ефикасни правни средства за тяхната защита пред съответните национални власти, дори и нарушението да е извършено от лица, действащи при упражняване на служебни функции."</w:t>
      </w:r>
    </w:p>
    <w:p w:rsidR="00686E2D" w:rsidRPr="006B538B" w:rsidRDefault="00686E2D" w:rsidP="00686E2D">
      <w:pPr>
        <w:pStyle w:val="ECHRPara"/>
      </w:pPr>
      <w:r w:rsidRPr="006B538B">
        <w:fldChar w:fldCharType="begin"/>
      </w:r>
      <w:r w:rsidRPr="006B538B">
        <w:rPr>
          <w:rStyle w:val="ECHRPara"/>
        </w:rPr>
        <w:instrText xml:space="preserve"> SEQ level0 \*arabic </w:instrText>
      </w:r>
      <w:r w:rsidRPr="006B538B">
        <w:fldChar w:fldCharType="separate"/>
      </w:r>
      <w:r w:rsidRPr="006B538B">
        <w:rPr>
          <w:rStyle w:val="ECHRPara"/>
        </w:rPr>
        <w:t>32</w:t>
      </w:r>
      <w:r w:rsidRPr="006B538B">
        <w:fldChar w:fldCharType="end"/>
      </w:r>
      <w:r w:rsidRPr="006B538B">
        <w:rPr>
          <w:rStyle w:val="ECHRPara"/>
        </w:rPr>
        <w:t>.  Правителството оспорва този аргумент.</w:t>
      </w:r>
    </w:p>
    <w:p w:rsidR="00686E2D" w:rsidRPr="006B538B" w:rsidRDefault="00686E2D" w:rsidP="00686E2D">
      <w:pPr>
        <w:pStyle w:val="ECHRPara"/>
      </w:pPr>
      <w:r w:rsidRPr="006B538B">
        <w:fldChar w:fldCharType="begin"/>
      </w:r>
      <w:r w:rsidRPr="006B538B">
        <w:rPr>
          <w:rStyle w:val="ECHRPara"/>
        </w:rPr>
        <w:instrText xml:space="preserve"> SEQ level0 \*arabic </w:instrText>
      </w:r>
      <w:r w:rsidRPr="006B538B">
        <w:fldChar w:fldCharType="separate"/>
      </w:r>
      <w:r w:rsidRPr="006B538B">
        <w:rPr>
          <w:rStyle w:val="ECHRPara"/>
        </w:rPr>
        <w:t>33</w:t>
      </w:r>
      <w:r w:rsidRPr="006B538B">
        <w:fldChar w:fldCharType="end"/>
      </w:r>
      <w:r w:rsidRPr="006B538B">
        <w:rPr>
          <w:rStyle w:val="ECHRPara"/>
        </w:rPr>
        <w:t>.  Жалбоподателят поддържа оплакванията си.</w:t>
      </w:r>
    </w:p>
    <w:p w:rsidR="00686E2D" w:rsidRPr="006B538B" w:rsidRDefault="00686E2D" w:rsidP="00686E2D">
      <w:pPr>
        <w:pStyle w:val="ECHRPara"/>
      </w:pPr>
      <w:r w:rsidRPr="006B538B">
        <w:fldChar w:fldCharType="begin"/>
      </w:r>
      <w:r w:rsidRPr="006B538B">
        <w:rPr>
          <w:rStyle w:val="ECHRPara"/>
        </w:rPr>
        <w:instrText xml:space="preserve"> SEQ level0 \*arabic </w:instrText>
      </w:r>
      <w:r w:rsidRPr="006B538B">
        <w:fldChar w:fldCharType="separate"/>
      </w:r>
      <w:r w:rsidRPr="006B538B">
        <w:rPr>
          <w:rStyle w:val="ECHRPara"/>
        </w:rPr>
        <w:t>34</w:t>
      </w:r>
      <w:r w:rsidRPr="006B538B">
        <w:fldChar w:fldCharType="end"/>
      </w:r>
      <w:r w:rsidRPr="006B538B">
        <w:rPr>
          <w:rStyle w:val="ECHRPara"/>
        </w:rPr>
        <w:t>.  Съдът отбелязва, че тези оплаквания са свързани с разгледаното по-горе и също трябва да бъдат обявени за допустими.</w:t>
      </w:r>
    </w:p>
    <w:p w:rsidR="00686E2D" w:rsidRPr="006B538B" w:rsidRDefault="00686E2D" w:rsidP="00686E2D">
      <w:pPr>
        <w:pStyle w:val="ECHRPara"/>
      </w:pPr>
      <w:r w:rsidRPr="006B538B">
        <w:fldChar w:fldCharType="begin"/>
      </w:r>
      <w:r w:rsidRPr="006B538B">
        <w:rPr>
          <w:rStyle w:val="ECHRPara"/>
        </w:rPr>
        <w:instrText xml:space="preserve"> SEQ level0 \*arabic </w:instrText>
      </w:r>
      <w:r w:rsidRPr="006B538B">
        <w:fldChar w:fldCharType="separate"/>
      </w:r>
      <w:r w:rsidRPr="006B538B">
        <w:rPr>
          <w:rStyle w:val="ECHRPara"/>
        </w:rPr>
        <w:t>35</w:t>
      </w:r>
      <w:r w:rsidRPr="006B538B">
        <w:fldChar w:fldCharType="end"/>
      </w:r>
      <w:r w:rsidRPr="006B538B">
        <w:rPr>
          <w:rStyle w:val="ECHRPara"/>
        </w:rPr>
        <w:t xml:space="preserve">.  Като взема предвид заключението си по чл. 6 от Конвенцията Съдът </w:t>
      </w:r>
      <w:r w:rsidR="000F32EE" w:rsidRPr="006B538B">
        <w:rPr>
          <w:rStyle w:val="ECHRPara"/>
        </w:rPr>
        <w:t>счита</w:t>
      </w:r>
      <w:r w:rsidRPr="006B538B">
        <w:rPr>
          <w:rStyle w:val="ECHRPara"/>
        </w:rPr>
        <w:t>, че не възниква отделен въпрос по чл. 8 от Конвенцията, разглеждан самостоятелно и/или във връзка с чл. 13. Следователно тези оплаквания не е необходимо да се разглеждат.</w:t>
      </w:r>
    </w:p>
    <w:p w:rsidR="00686E2D" w:rsidRPr="006B538B" w:rsidRDefault="00686E2D" w:rsidP="00686E2D">
      <w:pPr>
        <w:pStyle w:val="ECHRHeading1"/>
      </w:pPr>
      <w:r w:rsidRPr="006B538B">
        <w:rPr>
          <w:rStyle w:val="ECHRHeading1"/>
        </w:rPr>
        <w:t>III.  ПРИЛОЖЕНИЕ НА ЧЛ. 41 ОТ КОНВЕНЦИЯТА</w:t>
      </w:r>
    </w:p>
    <w:p w:rsidR="00686E2D" w:rsidRPr="006B538B" w:rsidRDefault="00686E2D" w:rsidP="00686E2D">
      <w:pPr>
        <w:pStyle w:val="ECHRPara"/>
      </w:pPr>
      <w:r w:rsidRPr="006B538B">
        <w:fldChar w:fldCharType="begin"/>
      </w:r>
      <w:r w:rsidRPr="006B538B">
        <w:rPr>
          <w:rStyle w:val="ECHRPara"/>
        </w:rPr>
        <w:instrText xml:space="preserve"> SEQ level0 \*arabic </w:instrText>
      </w:r>
      <w:r w:rsidRPr="006B538B">
        <w:fldChar w:fldCharType="separate"/>
      </w:r>
      <w:r w:rsidRPr="006B538B">
        <w:rPr>
          <w:rStyle w:val="ECHRPara"/>
        </w:rPr>
        <w:t>36</w:t>
      </w:r>
      <w:r w:rsidRPr="006B538B">
        <w:fldChar w:fldCharType="end"/>
      </w:r>
      <w:r w:rsidRPr="006B538B">
        <w:rPr>
          <w:rStyle w:val="ECHRPara"/>
        </w:rPr>
        <w:t>.  Чл. 41 от Конвенцията гласи:</w:t>
      </w:r>
    </w:p>
    <w:p w:rsidR="00686E2D" w:rsidRPr="006B538B" w:rsidRDefault="00686E2D" w:rsidP="00686E2D">
      <w:pPr>
        <w:pStyle w:val="ECHRParaQuote"/>
        <w:keepNext/>
        <w:keepLines/>
      </w:pPr>
      <w:r w:rsidRPr="006B538B">
        <w:rPr>
          <w:rStyle w:val="ECHRParaQuote"/>
          <w:cs/>
        </w:rPr>
        <w:t>“</w:t>
      </w:r>
      <w:r w:rsidRPr="006B538B">
        <w:rPr>
          <w:rStyle w:val="ECHRParaQuote"/>
        </w:rPr>
        <w:t>Ако Съдът установи нарушение на Конвенцията или на Протоколите към нея и ако вътрешното право на съответната Високодоговаряща страна допуска само частично обезщетение, Съдът, ако е необходимо, постановява предоставянето на справедливо обезщетение на потърпевшата страна.</w:t>
      </w:r>
      <w:r w:rsidRPr="006B538B">
        <w:rPr>
          <w:rStyle w:val="ECHRParaQuote"/>
          <w:cs/>
        </w:rPr>
        <w:t>”</w:t>
      </w:r>
    </w:p>
    <w:p w:rsidR="00686E2D" w:rsidRPr="006B538B" w:rsidRDefault="00686E2D" w:rsidP="00686E2D">
      <w:pPr>
        <w:pStyle w:val="ECHRHeading2"/>
      </w:pPr>
      <w:r w:rsidRPr="006B538B">
        <w:rPr>
          <w:rStyle w:val="ECHRHeading2"/>
        </w:rPr>
        <w:t>А. Обезщетение за вреди</w:t>
      </w:r>
    </w:p>
    <w:p w:rsidR="00686E2D" w:rsidRPr="006B538B" w:rsidRDefault="00686E2D" w:rsidP="00686E2D">
      <w:pPr>
        <w:pStyle w:val="ECHRPara"/>
      </w:pPr>
      <w:r w:rsidRPr="006B538B">
        <w:fldChar w:fldCharType="begin"/>
      </w:r>
      <w:r w:rsidRPr="006B538B">
        <w:rPr>
          <w:rStyle w:val="ECHRPara"/>
        </w:rPr>
        <w:instrText xml:space="preserve"> SEQ level0 \*arabic </w:instrText>
      </w:r>
      <w:r w:rsidRPr="006B538B">
        <w:fldChar w:fldCharType="separate"/>
      </w:r>
      <w:r w:rsidRPr="006B538B">
        <w:rPr>
          <w:rStyle w:val="ECHRPara"/>
        </w:rPr>
        <w:t>37</w:t>
      </w:r>
      <w:r w:rsidRPr="006B538B">
        <w:fldChar w:fldCharType="end"/>
      </w:r>
      <w:r w:rsidRPr="006B538B">
        <w:rPr>
          <w:rStyle w:val="ECHRPara"/>
        </w:rPr>
        <w:t xml:space="preserve">.  Жалбоподателят претендира 3000 евро неимуществени вреди, претърпени в резултат на факта, че той не </w:t>
      </w:r>
      <w:r w:rsidR="0085395B" w:rsidRPr="006B538B">
        <w:rPr>
          <w:rStyle w:val="ECHRPara"/>
        </w:rPr>
        <w:t xml:space="preserve">е имал възможността </w:t>
      </w:r>
      <w:r w:rsidRPr="006B538B">
        <w:rPr>
          <w:rStyle w:val="ECHRPara"/>
        </w:rPr>
        <w:t xml:space="preserve"> решението за отнемане на неговото </w:t>
      </w:r>
      <w:r w:rsidR="0085395B" w:rsidRPr="006B538B">
        <w:rPr>
          <w:rStyle w:val="ECHRPara"/>
        </w:rPr>
        <w:t>разрешение за достъп да бъде разгледано от съд</w:t>
      </w:r>
      <w:r w:rsidRPr="006B538B">
        <w:rPr>
          <w:rStyle w:val="ECHRPara"/>
        </w:rPr>
        <w:t xml:space="preserve"> и последиците от уволнението му, което той смята за незаконосъобразно.</w:t>
      </w:r>
    </w:p>
    <w:p w:rsidR="00686E2D" w:rsidRPr="006B538B" w:rsidRDefault="00686E2D" w:rsidP="00686E2D">
      <w:pPr>
        <w:pStyle w:val="ECHRPara"/>
      </w:pPr>
      <w:r w:rsidRPr="006B538B">
        <w:fldChar w:fldCharType="begin"/>
      </w:r>
      <w:r w:rsidRPr="006B538B">
        <w:rPr>
          <w:rStyle w:val="ECHRPara"/>
        </w:rPr>
        <w:instrText xml:space="preserve"> SEQ level0 \*arabic </w:instrText>
      </w:r>
      <w:r w:rsidRPr="006B538B">
        <w:fldChar w:fldCharType="separate"/>
      </w:r>
      <w:r w:rsidRPr="006B538B">
        <w:rPr>
          <w:rStyle w:val="ECHRPara"/>
        </w:rPr>
        <w:t>38</w:t>
      </w:r>
      <w:r w:rsidRPr="006B538B">
        <w:fldChar w:fldCharType="end"/>
      </w:r>
      <w:r w:rsidRPr="006B538B">
        <w:rPr>
          <w:rStyle w:val="ECHRPara"/>
        </w:rPr>
        <w:t>.  Правителството оспорва претенцията на жалбоподателката.</w:t>
      </w:r>
    </w:p>
    <w:p w:rsidR="00686E2D" w:rsidRPr="006B538B" w:rsidRDefault="00686E2D" w:rsidP="00686E2D">
      <w:pPr>
        <w:pStyle w:val="ECHRPara"/>
      </w:pPr>
      <w:r w:rsidRPr="006B538B">
        <w:fldChar w:fldCharType="begin"/>
      </w:r>
      <w:r w:rsidRPr="006B538B">
        <w:rPr>
          <w:rStyle w:val="ECHRPara"/>
        </w:rPr>
        <w:instrText xml:space="preserve"> SEQ level0 \*arabic </w:instrText>
      </w:r>
      <w:r w:rsidRPr="006B538B">
        <w:fldChar w:fldCharType="separate"/>
      </w:r>
      <w:r w:rsidRPr="006B538B">
        <w:rPr>
          <w:rStyle w:val="ECHRPara"/>
        </w:rPr>
        <w:t>39</w:t>
      </w:r>
      <w:r w:rsidRPr="006B538B">
        <w:fldChar w:fldCharType="end"/>
      </w:r>
      <w:r w:rsidRPr="006B538B">
        <w:rPr>
          <w:rStyle w:val="ECHRPara"/>
        </w:rPr>
        <w:t xml:space="preserve">.  Съдът </w:t>
      </w:r>
      <w:r w:rsidR="0085395B" w:rsidRPr="006B538B">
        <w:rPr>
          <w:rStyle w:val="ECHRPara"/>
        </w:rPr>
        <w:t>намира</w:t>
      </w:r>
      <w:r w:rsidRPr="006B538B">
        <w:rPr>
          <w:rStyle w:val="ECHRPara"/>
        </w:rPr>
        <w:t xml:space="preserve">, че жалбоподателят е претърпял неимуществени вреди поради нарушението на чл. 6 § 1 от Конвенцията, констатирано в </w:t>
      </w:r>
      <w:r w:rsidRPr="006B538B">
        <w:rPr>
          <w:rStyle w:val="ECHRPara"/>
        </w:rPr>
        <w:lastRenderedPageBreak/>
        <w:t xml:space="preserve">настоящия случай (вж. </w:t>
      </w:r>
      <w:r w:rsidRPr="006B538B">
        <w:rPr>
          <w:rStyle w:val="ECHRPara"/>
          <w:i/>
        </w:rPr>
        <w:t>Фазлийски срещу България</w:t>
      </w:r>
      <w:r w:rsidRPr="006B538B">
        <w:rPr>
          <w:rStyle w:val="ECHRPara"/>
        </w:rPr>
        <w:t xml:space="preserve">, </w:t>
      </w:r>
      <w:r w:rsidRPr="006B538B">
        <w:rPr>
          <w:rStyle w:val="ECHRPara"/>
          <w:cs/>
        </w:rPr>
        <w:t xml:space="preserve">№ </w:t>
      </w:r>
      <w:r w:rsidRPr="006B538B">
        <w:rPr>
          <w:rStyle w:val="ECHRPara"/>
        </w:rPr>
        <w:t xml:space="preserve">40908/05, § 75, 16 април 2013 г., и </w:t>
      </w:r>
      <w:r w:rsidRPr="006B538B">
        <w:rPr>
          <w:rStyle w:val="ECHRPara"/>
          <w:i/>
        </w:rPr>
        <w:t>Миряна Петрова</w:t>
      </w:r>
      <w:r w:rsidRPr="006B538B">
        <w:rPr>
          <w:rStyle w:val="ECHRPara"/>
        </w:rPr>
        <w:t xml:space="preserve">, § 49, цитирано по-горе). Следователно, произнасяйки се по справедливост, Съдът присъжда на жалбоподателката 2400 евро плюс </w:t>
      </w:r>
      <w:r w:rsidR="0085395B" w:rsidRPr="006B538B">
        <w:rPr>
          <w:rStyle w:val="ECHRPara"/>
        </w:rPr>
        <w:t xml:space="preserve">всякакви </w:t>
      </w:r>
      <w:r w:rsidRPr="006B538B">
        <w:rPr>
          <w:rStyle w:val="ECHRPara"/>
        </w:rPr>
        <w:t xml:space="preserve">данъци, които </w:t>
      </w:r>
      <w:r w:rsidR="0085395B" w:rsidRPr="006B538B">
        <w:rPr>
          <w:rStyle w:val="ECHRPara"/>
        </w:rPr>
        <w:t xml:space="preserve">биха могли </w:t>
      </w:r>
      <w:r w:rsidRPr="006B538B">
        <w:rPr>
          <w:rStyle w:val="ECHRPara"/>
        </w:rPr>
        <w:t>да бъдат начислени върху тази сума.</w:t>
      </w:r>
    </w:p>
    <w:p w:rsidR="00686E2D" w:rsidRPr="006B538B" w:rsidRDefault="00686E2D" w:rsidP="00686E2D">
      <w:pPr>
        <w:pStyle w:val="ECHRPara"/>
      </w:pPr>
      <w:r w:rsidRPr="006B538B">
        <w:fldChar w:fldCharType="begin"/>
      </w:r>
      <w:r w:rsidRPr="006B538B">
        <w:rPr>
          <w:rStyle w:val="ECHRPara"/>
        </w:rPr>
        <w:instrText xml:space="preserve"> SEQ level0 \*arabic </w:instrText>
      </w:r>
      <w:r w:rsidRPr="006B538B">
        <w:fldChar w:fldCharType="separate"/>
      </w:r>
      <w:r w:rsidRPr="006B538B">
        <w:rPr>
          <w:rStyle w:val="ECHRPara"/>
        </w:rPr>
        <w:t>40</w:t>
      </w:r>
      <w:r w:rsidRPr="006B538B">
        <w:fldChar w:fldCharType="end"/>
      </w:r>
      <w:r w:rsidRPr="006B538B">
        <w:rPr>
          <w:rStyle w:val="ECHRPara"/>
        </w:rPr>
        <w:t xml:space="preserve">.  Освен това трябва да се посочи, че решение, в което Съдът констатира нарушение на Конвенцията или на протоколите към нея, налага на държавата-ответник правно задължение не само да заплати съответните суми, присъдени като справедливо обезщетение, но също така и да избере под надзора на Комитета на министрите общите и/или, ако е уместно, индивидуални мерки, които да бъдат приети в рамките на националното законодателство, за да се сложи край на нарушението и за да се </w:t>
      </w:r>
      <w:r w:rsidR="0085395B" w:rsidRPr="006B538B">
        <w:rPr>
          <w:rStyle w:val="ECHRPara"/>
        </w:rPr>
        <w:t>поправят</w:t>
      </w:r>
      <w:r w:rsidRPr="006B538B">
        <w:rPr>
          <w:rStyle w:val="ECHRPara"/>
        </w:rPr>
        <w:t xml:space="preserve">, доколкото е възможно, неговите ефекти (вж. </w:t>
      </w:r>
      <w:r w:rsidRPr="006B538B">
        <w:rPr>
          <w:rStyle w:val="ECHRPara"/>
          <w:i/>
        </w:rPr>
        <w:t>Станев срещу България</w:t>
      </w:r>
      <w:r w:rsidRPr="006B538B">
        <w:rPr>
          <w:rStyle w:val="ECHRPara"/>
        </w:rPr>
        <w:t xml:space="preserve"> [GC], </w:t>
      </w:r>
      <w:r w:rsidRPr="006B538B">
        <w:rPr>
          <w:rStyle w:val="ECHRPara"/>
          <w:cs/>
        </w:rPr>
        <w:t xml:space="preserve">№ </w:t>
      </w:r>
      <w:r w:rsidRPr="006B538B">
        <w:rPr>
          <w:rStyle w:val="ECHRPara"/>
        </w:rPr>
        <w:t xml:space="preserve">36760/06, § 254, ЕСПЧ 2012 г.). Най-подходящата форма на обезщетение в случаите, когато жалбоподател не е имал достъп до съд в нарушение на чл. 6 § 1 от Конвенцията, като правило е своевременно възобновяване на производството и повторно разглеждане на делото в съответствие с всички изисквания на справедливия процес (вж., наред с други решения, </w:t>
      </w:r>
      <w:r w:rsidRPr="006B538B">
        <w:rPr>
          <w:rStyle w:val="ECHRPara"/>
          <w:i/>
        </w:rPr>
        <w:t>Янакиев срещу България</w:t>
      </w:r>
      <w:r w:rsidRPr="006B538B">
        <w:rPr>
          <w:rStyle w:val="ECHRPara"/>
        </w:rPr>
        <w:t xml:space="preserve">, </w:t>
      </w:r>
      <w:r w:rsidRPr="006B538B">
        <w:rPr>
          <w:rStyle w:val="ECHRPara"/>
          <w:cs/>
        </w:rPr>
        <w:t xml:space="preserve">№ </w:t>
      </w:r>
      <w:r w:rsidRPr="006B538B">
        <w:rPr>
          <w:rStyle w:val="ECHRPara"/>
        </w:rPr>
        <w:t xml:space="preserve">40476/98, § 90, 10 август 2006 г., </w:t>
      </w:r>
      <w:proofErr w:type="spellStart"/>
      <w:r w:rsidRPr="006B538B">
        <w:rPr>
          <w:rStyle w:val="ECHRPara"/>
          <w:i/>
        </w:rPr>
        <w:t>Фазлийски</w:t>
      </w:r>
      <w:proofErr w:type="spellEnd"/>
      <w:r w:rsidRPr="006B538B">
        <w:rPr>
          <w:rStyle w:val="ECHRPara"/>
        </w:rPr>
        <w:t xml:space="preserve">, § 76, и </w:t>
      </w:r>
      <w:r w:rsidRPr="006B538B">
        <w:rPr>
          <w:rStyle w:val="ECHRPara"/>
          <w:i/>
        </w:rPr>
        <w:t>Миряна Петрова</w:t>
      </w:r>
      <w:r w:rsidRPr="006B538B">
        <w:rPr>
          <w:rStyle w:val="ECHRPara"/>
        </w:rPr>
        <w:t>, § 50, цитирани по-горе, § 50).</w:t>
      </w:r>
    </w:p>
    <w:p w:rsidR="00686E2D" w:rsidRPr="006B538B" w:rsidRDefault="00686E2D" w:rsidP="00686E2D">
      <w:pPr>
        <w:pStyle w:val="ECHRHeading2"/>
      </w:pPr>
      <w:r w:rsidRPr="006B538B">
        <w:rPr>
          <w:rStyle w:val="ECHRHeading2"/>
        </w:rPr>
        <w:t>Б. Разходи и разноски</w:t>
      </w:r>
    </w:p>
    <w:p w:rsidR="00686E2D" w:rsidRPr="006B538B" w:rsidRDefault="00686E2D" w:rsidP="00686E2D">
      <w:pPr>
        <w:pStyle w:val="ECHRPara"/>
      </w:pPr>
      <w:r w:rsidRPr="006B538B">
        <w:fldChar w:fldCharType="begin"/>
      </w:r>
      <w:r w:rsidRPr="006B538B">
        <w:rPr>
          <w:rStyle w:val="ECHRPara"/>
        </w:rPr>
        <w:instrText xml:space="preserve"> SEQ level0 \*arabic </w:instrText>
      </w:r>
      <w:r w:rsidRPr="006B538B">
        <w:fldChar w:fldCharType="separate"/>
      </w:r>
      <w:r w:rsidRPr="006B538B">
        <w:rPr>
          <w:rStyle w:val="ECHRPara"/>
        </w:rPr>
        <w:t>41</w:t>
      </w:r>
      <w:r w:rsidRPr="006B538B">
        <w:fldChar w:fldCharType="end"/>
      </w:r>
      <w:r w:rsidRPr="006B538B">
        <w:rPr>
          <w:rStyle w:val="ECHRPara"/>
        </w:rPr>
        <w:t xml:space="preserve">.  Жалбоподателят иска възстановяване на 2730 евро за адвокатски хонорари за производството пред Съда (тридесет и девет часа работа при ставка от 70 евро на час), както и 36 </w:t>
      </w:r>
      <w:r w:rsidR="0085395B" w:rsidRPr="006B538B">
        <w:rPr>
          <w:rStyle w:val="ECHRPara"/>
        </w:rPr>
        <w:t>лв.</w:t>
      </w:r>
      <w:r w:rsidRPr="006B538B">
        <w:rPr>
          <w:rStyle w:val="ECHRPara"/>
        </w:rPr>
        <w:t xml:space="preserve"> (приблизително 18 евро) за пощенски и технически разходи и 526 лв. (приблизително 265 евро) хонорар за превод. Той представя споразумение за възнаграждение между него и неговия адвокат, справка за изработените часове, копия от две разписки за писма, изпратени по пощата, и накрая два договора за превод между преводач и адвоката на жалбоподателя по отношение на настоящата жалба. Жалбоподателят моли, в случай че Съдът направи присъждане по тази позиция, 2862 лв. (1431 евро) да бъдат платени на него, а остатъкът да бъде преведен директно по банковата сметка на неговия процесуален представител г-жа С. Маргаритова-Вучкова.</w:t>
      </w:r>
    </w:p>
    <w:p w:rsidR="00686E2D" w:rsidRPr="006B538B" w:rsidRDefault="00686E2D" w:rsidP="00686E2D">
      <w:pPr>
        <w:pStyle w:val="ECHRPara"/>
      </w:pPr>
      <w:r w:rsidRPr="006B538B">
        <w:fldChar w:fldCharType="begin"/>
      </w:r>
      <w:r w:rsidRPr="006B538B">
        <w:rPr>
          <w:rStyle w:val="ECHRPara"/>
        </w:rPr>
        <w:instrText xml:space="preserve"> SEQ level0 \*arabic </w:instrText>
      </w:r>
      <w:r w:rsidRPr="006B538B">
        <w:fldChar w:fldCharType="separate"/>
      </w:r>
      <w:r w:rsidRPr="006B538B">
        <w:rPr>
          <w:rStyle w:val="ECHRPara"/>
        </w:rPr>
        <w:t>42</w:t>
      </w:r>
      <w:r w:rsidRPr="006B538B">
        <w:fldChar w:fldCharType="end"/>
      </w:r>
      <w:r w:rsidRPr="006B538B">
        <w:rPr>
          <w:rStyle w:val="ECHRPara"/>
        </w:rPr>
        <w:t>.  Правителството оспорва горната претенция.</w:t>
      </w:r>
    </w:p>
    <w:p w:rsidR="00686E2D" w:rsidRPr="006B538B" w:rsidRDefault="00686E2D" w:rsidP="00686E2D">
      <w:pPr>
        <w:pStyle w:val="ECHRPara"/>
      </w:pPr>
      <w:r w:rsidRPr="006B538B">
        <w:fldChar w:fldCharType="begin"/>
      </w:r>
      <w:r w:rsidRPr="006B538B">
        <w:rPr>
          <w:rStyle w:val="ECHRPara"/>
        </w:rPr>
        <w:instrText xml:space="preserve"> SEQ level0 \*arabic </w:instrText>
      </w:r>
      <w:r w:rsidRPr="006B538B">
        <w:fldChar w:fldCharType="separate"/>
      </w:r>
      <w:r w:rsidRPr="006B538B">
        <w:rPr>
          <w:rStyle w:val="ECHRPara"/>
        </w:rPr>
        <w:t>43</w:t>
      </w:r>
      <w:r w:rsidRPr="006B538B">
        <w:fldChar w:fldCharType="end"/>
      </w:r>
      <w:r w:rsidRPr="006B538B">
        <w:rPr>
          <w:rStyle w:val="ECHRPara"/>
        </w:rPr>
        <w:t xml:space="preserve">.  Според </w:t>
      </w:r>
      <w:r w:rsidR="0085395B" w:rsidRPr="006B538B">
        <w:rPr>
          <w:rStyle w:val="ECHRPara"/>
        </w:rPr>
        <w:t xml:space="preserve">съдебната </w:t>
      </w:r>
      <w:r w:rsidRPr="006B538B">
        <w:rPr>
          <w:rStyle w:val="ECHRPara"/>
        </w:rPr>
        <w:t xml:space="preserve">практика на Съда, жалбоподател има право на възстановяване на разходите и разноските си, само доколкото е доказано, че те са били действително и необходимо направени и са в разумен размер. В настоящия случай, като взе предвид информацията, с която разполага, и горните критерии, Съдът намира за разумно да присъди сумата от 2 000 евро плюс </w:t>
      </w:r>
      <w:r w:rsidR="0085395B" w:rsidRPr="006B538B">
        <w:rPr>
          <w:rStyle w:val="ECHRPara"/>
        </w:rPr>
        <w:t xml:space="preserve">всякакви </w:t>
      </w:r>
      <w:r w:rsidRPr="006B538B">
        <w:rPr>
          <w:rStyle w:val="ECHRPara"/>
        </w:rPr>
        <w:t xml:space="preserve">данъци, които </w:t>
      </w:r>
      <w:r w:rsidR="0085395B" w:rsidRPr="006B538B">
        <w:rPr>
          <w:rStyle w:val="ECHRPara"/>
        </w:rPr>
        <w:t xml:space="preserve">биха могли </w:t>
      </w:r>
      <w:r w:rsidRPr="006B538B">
        <w:rPr>
          <w:rStyle w:val="ECHRPara"/>
        </w:rPr>
        <w:lastRenderedPageBreak/>
        <w:t>да бъдат начислени на жалбоподател</w:t>
      </w:r>
      <w:r w:rsidR="0085395B" w:rsidRPr="006B538B">
        <w:rPr>
          <w:rStyle w:val="ECHRPara"/>
        </w:rPr>
        <w:t>я</w:t>
      </w:r>
      <w:r w:rsidRPr="006B538B">
        <w:rPr>
          <w:rStyle w:val="ECHRPara"/>
        </w:rPr>
        <w:t xml:space="preserve">, покриващи разходи по всички позиции. По молба на жалбоподателя, 1431 евро от тази сума </w:t>
      </w:r>
      <w:r w:rsidR="0085395B" w:rsidRPr="006B538B">
        <w:rPr>
          <w:rStyle w:val="ECHRPara"/>
        </w:rPr>
        <w:t xml:space="preserve">следва </w:t>
      </w:r>
      <w:r w:rsidRPr="006B538B">
        <w:rPr>
          <w:rStyle w:val="ECHRPara"/>
        </w:rPr>
        <w:t xml:space="preserve">да се </w:t>
      </w:r>
      <w:r w:rsidR="0085395B" w:rsidRPr="006B538B">
        <w:rPr>
          <w:rStyle w:val="ECHRPara"/>
        </w:rPr>
        <w:t xml:space="preserve">плати </w:t>
      </w:r>
      <w:r w:rsidRPr="006B538B">
        <w:rPr>
          <w:rStyle w:val="ECHRPara"/>
        </w:rPr>
        <w:t>на него, а остатъкът да се прехвърли директно по банковата сметка на процесуалния представител на жалбоподателя.</w:t>
      </w:r>
    </w:p>
    <w:p w:rsidR="00686E2D" w:rsidRPr="006B538B" w:rsidRDefault="00686E2D" w:rsidP="00686E2D">
      <w:pPr>
        <w:pStyle w:val="ECHRHeading2"/>
      </w:pPr>
      <w:r w:rsidRPr="006B538B">
        <w:rPr>
          <w:rStyle w:val="ECHRHeading2"/>
        </w:rPr>
        <w:t>В. Лихва за забава</w:t>
      </w:r>
    </w:p>
    <w:p w:rsidR="00686E2D" w:rsidRPr="006B538B" w:rsidRDefault="00686E2D" w:rsidP="00686E2D">
      <w:pPr>
        <w:pStyle w:val="ECHRPara"/>
      </w:pPr>
      <w:r w:rsidRPr="006B538B">
        <w:fldChar w:fldCharType="begin"/>
      </w:r>
      <w:r w:rsidRPr="006B538B">
        <w:rPr>
          <w:rStyle w:val="ECHRPara"/>
        </w:rPr>
        <w:instrText xml:space="preserve"> SEQ level0 \*arabic </w:instrText>
      </w:r>
      <w:r w:rsidRPr="006B538B">
        <w:fldChar w:fldCharType="separate"/>
      </w:r>
      <w:r w:rsidRPr="006B538B">
        <w:rPr>
          <w:rStyle w:val="ECHRPara"/>
        </w:rPr>
        <w:t>44</w:t>
      </w:r>
      <w:r w:rsidRPr="006B538B">
        <w:fldChar w:fldCharType="end"/>
      </w:r>
      <w:r w:rsidRPr="006B538B">
        <w:rPr>
          <w:rStyle w:val="ECHRPara"/>
        </w:rPr>
        <w:t>.  Съдът смята за уместно лихвата за забава да бъде обвързана с пределната ставка по заеми на Европейската централна банка, към която се добавят три процентни пункта.</w:t>
      </w:r>
    </w:p>
    <w:p w:rsidR="00686E2D" w:rsidRPr="006B538B" w:rsidRDefault="00686E2D" w:rsidP="00686E2D">
      <w:pPr>
        <w:pStyle w:val="ECHRTitle1"/>
      </w:pPr>
      <w:r w:rsidRPr="006B538B">
        <w:rPr>
          <w:rStyle w:val="ECHRTitle1"/>
        </w:rPr>
        <w:t>ПО ТЕЗИ СЪОБРАЖЕНИЯ СЪДЪТ ЕДИНОДУШНО</w:t>
      </w:r>
    </w:p>
    <w:p w:rsidR="00686E2D" w:rsidRPr="006B538B" w:rsidRDefault="00686E2D" w:rsidP="00686E2D">
      <w:pPr>
        <w:pStyle w:val="JuList"/>
      </w:pPr>
      <w:r w:rsidRPr="006B538B">
        <w:rPr>
          <w:rStyle w:val="JuList"/>
        </w:rPr>
        <w:t>1.  </w:t>
      </w:r>
      <w:r w:rsidRPr="006B538B">
        <w:rPr>
          <w:rStyle w:val="JuList"/>
          <w:i/>
        </w:rPr>
        <w:t>Обявява</w:t>
      </w:r>
      <w:r w:rsidRPr="006B538B">
        <w:rPr>
          <w:rStyle w:val="JuList"/>
        </w:rPr>
        <w:t xml:space="preserve"> жалбата за допустима;</w:t>
      </w:r>
    </w:p>
    <w:p w:rsidR="00686E2D" w:rsidRPr="006B538B" w:rsidRDefault="00686E2D" w:rsidP="00686E2D">
      <w:pPr>
        <w:pStyle w:val="JuList"/>
        <w:ind w:left="0" w:firstLine="0"/>
      </w:pPr>
    </w:p>
    <w:p w:rsidR="00686E2D" w:rsidRPr="006B538B" w:rsidRDefault="00686E2D" w:rsidP="00686E2D">
      <w:pPr>
        <w:pStyle w:val="JuList"/>
      </w:pPr>
      <w:r w:rsidRPr="006B538B">
        <w:rPr>
          <w:rStyle w:val="JuList"/>
        </w:rPr>
        <w:t>2.  </w:t>
      </w:r>
      <w:r w:rsidRPr="006B538B">
        <w:rPr>
          <w:rStyle w:val="JuList"/>
          <w:i/>
        </w:rPr>
        <w:t>Приема</w:t>
      </w:r>
      <w:r w:rsidRPr="006B538B">
        <w:rPr>
          <w:rStyle w:val="JuList"/>
        </w:rPr>
        <w:t>, че е налице нарушение на чл. 6 § 1 от Конвенцията;</w:t>
      </w:r>
    </w:p>
    <w:p w:rsidR="00686E2D" w:rsidRPr="006B538B" w:rsidRDefault="00686E2D" w:rsidP="00686E2D">
      <w:pPr>
        <w:pStyle w:val="JuList"/>
      </w:pPr>
    </w:p>
    <w:p w:rsidR="00686E2D" w:rsidRPr="006B538B" w:rsidRDefault="00686E2D" w:rsidP="00686E2D">
      <w:pPr>
        <w:pStyle w:val="JuList"/>
      </w:pPr>
      <w:r w:rsidRPr="006B538B">
        <w:rPr>
          <w:rStyle w:val="JuList"/>
        </w:rPr>
        <w:t>3.  </w:t>
      </w:r>
      <w:r w:rsidRPr="006B538B">
        <w:rPr>
          <w:rStyle w:val="JuList"/>
          <w:i/>
        </w:rPr>
        <w:t>Приема</w:t>
      </w:r>
      <w:r w:rsidRPr="006B538B">
        <w:rPr>
          <w:rStyle w:val="JuList"/>
        </w:rPr>
        <w:t>, че не е необходимо да се разглеждат оплакванията по чл. 8, разглеждан самостоятелно и във връзка с чл. 13 от Конвенцията;</w:t>
      </w:r>
    </w:p>
    <w:p w:rsidR="00686E2D" w:rsidRPr="006B538B" w:rsidRDefault="00686E2D" w:rsidP="00686E2D">
      <w:pPr>
        <w:pStyle w:val="JuList"/>
      </w:pPr>
    </w:p>
    <w:p w:rsidR="00686E2D" w:rsidRPr="006B538B" w:rsidRDefault="00686E2D" w:rsidP="00686E2D">
      <w:pPr>
        <w:pStyle w:val="JuList"/>
        <w:keepNext/>
        <w:keepLines/>
      </w:pPr>
      <w:r w:rsidRPr="006B538B">
        <w:rPr>
          <w:rStyle w:val="JuList"/>
        </w:rPr>
        <w:t>4.  </w:t>
      </w:r>
      <w:r w:rsidRPr="006B538B">
        <w:rPr>
          <w:rStyle w:val="JuList"/>
          <w:i/>
        </w:rPr>
        <w:t>Приема,</w:t>
      </w:r>
    </w:p>
    <w:p w:rsidR="00686E2D" w:rsidRPr="006B538B" w:rsidRDefault="00686E2D" w:rsidP="00686E2D">
      <w:pPr>
        <w:pStyle w:val="JuLista"/>
        <w:keepNext/>
        <w:keepLines/>
      </w:pPr>
      <w:r w:rsidRPr="006B538B">
        <w:rPr>
          <w:rStyle w:val="JuLista"/>
        </w:rPr>
        <w:t xml:space="preserve">(а) че държавата-ответник трябва да заплати на жалбоподателя в срок от три месеца следните суми, които се </w:t>
      </w:r>
      <w:r w:rsidR="0085395B" w:rsidRPr="006B538B">
        <w:rPr>
          <w:rStyle w:val="JuLista"/>
        </w:rPr>
        <w:t xml:space="preserve">конвертират </w:t>
      </w:r>
      <w:r w:rsidRPr="006B538B">
        <w:rPr>
          <w:rStyle w:val="JuLista"/>
        </w:rPr>
        <w:t>в български лева по курса</w:t>
      </w:r>
      <w:r w:rsidR="0085395B" w:rsidRPr="006B538B">
        <w:rPr>
          <w:rStyle w:val="JuLista"/>
        </w:rPr>
        <w:t>, валиден</w:t>
      </w:r>
      <w:r w:rsidRPr="006B538B">
        <w:rPr>
          <w:rStyle w:val="JuLista"/>
        </w:rPr>
        <w:t xml:space="preserve"> към датата на плащането:</w:t>
      </w:r>
    </w:p>
    <w:p w:rsidR="00686E2D" w:rsidRPr="006B538B" w:rsidRDefault="00686E2D" w:rsidP="00686E2D">
      <w:pPr>
        <w:pStyle w:val="JuListi"/>
      </w:pPr>
      <w:r w:rsidRPr="006B538B">
        <w:rPr>
          <w:rStyle w:val="JuListi"/>
        </w:rPr>
        <w:t>(i) 2400 евро (две хиляди и четиристотин), плюс всякакви данъци, които биха могли да се начислят, по отношение на неимуществени вреди;</w:t>
      </w:r>
    </w:p>
    <w:p w:rsidR="00686E2D" w:rsidRPr="006B538B" w:rsidRDefault="00686E2D" w:rsidP="00686E2D">
      <w:pPr>
        <w:pStyle w:val="JuListi"/>
      </w:pPr>
      <w:r w:rsidRPr="006B538B">
        <w:rPr>
          <w:rStyle w:val="JuListi"/>
        </w:rPr>
        <w:t>(ii) 2000 евро (две хиляди), плюс всякакви данъци, които биха могли да се начислят на жалбоподателя, по отношение на разходи и разноски, като 1431 евро (хиляда четиристотин и тридесет) от посочената сума да бъдат платени на жалбоподателя, а остатъкът директно по банковата сметка на процесуалния представител на жалбоподателя г-жа С. Маргаритова-Вучкова;</w:t>
      </w:r>
    </w:p>
    <w:p w:rsidR="00686E2D" w:rsidRPr="006B538B" w:rsidRDefault="00686E2D" w:rsidP="00686E2D">
      <w:pPr>
        <w:pStyle w:val="JuLista"/>
      </w:pPr>
      <w:r w:rsidRPr="006B538B">
        <w:rPr>
          <w:rStyle w:val="JuLista"/>
        </w:rPr>
        <w:t xml:space="preserve">(б) че от изтичането на </w:t>
      </w:r>
      <w:r w:rsidR="00496043" w:rsidRPr="006B538B">
        <w:rPr>
          <w:rStyle w:val="JuLista"/>
        </w:rPr>
        <w:t>горес</w:t>
      </w:r>
      <w:r w:rsidRPr="006B538B">
        <w:rPr>
          <w:rStyle w:val="JuLista"/>
        </w:rPr>
        <w:t xml:space="preserve">поменатия тримесечен срок до плащането се дължи проста лихва върху горепосочените суми в размер, равен на пределната ставка по заеми на Европейската централна банка </w:t>
      </w:r>
      <w:r w:rsidR="00496043" w:rsidRPr="006B538B">
        <w:rPr>
          <w:rStyle w:val="JuLista"/>
        </w:rPr>
        <w:t>за срока</w:t>
      </w:r>
      <w:r w:rsidRPr="006B538B">
        <w:rPr>
          <w:rStyle w:val="JuLista"/>
        </w:rPr>
        <w:t xml:space="preserve"> на забава, към която се добавят три процентни пункта;</w:t>
      </w:r>
    </w:p>
    <w:p w:rsidR="00686E2D" w:rsidRPr="006B538B" w:rsidRDefault="00686E2D" w:rsidP="00686E2D">
      <w:pPr>
        <w:pStyle w:val="JuList"/>
      </w:pPr>
    </w:p>
    <w:p w:rsidR="00686E2D" w:rsidRPr="006B538B" w:rsidRDefault="00686E2D" w:rsidP="00686E2D">
      <w:pPr>
        <w:pStyle w:val="JuList"/>
      </w:pPr>
      <w:r w:rsidRPr="006B538B">
        <w:rPr>
          <w:rStyle w:val="JuList"/>
        </w:rPr>
        <w:t>5.  </w:t>
      </w:r>
      <w:r w:rsidRPr="006B538B">
        <w:rPr>
          <w:rStyle w:val="JuList"/>
          <w:i/>
        </w:rPr>
        <w:t>Отхвърля</w:t>
      </w:r>
      <w:r w:rsidRPr="006B538B">
        <w:rPr>
          <w:rStyle w:val="JuList"/>
        </w:rPr>
        <w:t xml:space="preserve"> останалата част от претенцията на жалбоподателя за справедливо обезщетение.</w:t>
      </w:r>
    </w:p>
    <w:p w:rsidR="00686E2D" w:rsidRPr="006B538B" w:rsidRDefault="00686E2D" w:rsidP="00686E2D">
      <w:pPr>
        <w:pStyle w:val="JuParaLast"/>
      </w:pPr>
      <w:r w:rsidRPr="006B538B">
        <w:rPr>
          <w:rStyle w:val="JuParaLast"/>
        </w:rPr>
        <w:lastRenderedPageBreak/>
        <w:t xml:space="preserve">Изготвено на английски език и оповестено писмено на 6 декември 2018 г. в съответствие с </w:t>
      </w:r>
      <w:r w:rsidR="00496043" w:rsidRPr="006B538B">
        <w:rPr>
          <w:rStyle w:val="JuParaLast"/>
        </w:rPr>
        <w:t>п</w:t>
      </w:r>
      <w:r w:rsidRPr="006B538B">
        <w:rPr>
          <w:rStyle w:val="JuParaLast"/>
        </w:rPr>
        <w:t>равило 77 §§ 2 и 3 от Правилника на Съда.</w:t>
      </w:r>
    </w:p>
    <w:p w:rsidR="00686E2D" w:rsidRPr="004F2037" w:rsidRDefault="00686E2D" w:rsidP="00686E2D">
      <w:pPr>
        <w:pStyle w:val="JuSigned"/>
        <w:tabs>
          <w:tab w:val="clear" w:pos="6407"/>
          <w:tab w:val="center" w:pos="5954"/>
        </w:tabs>
      </w:pPr>
      <w:r w:rsidRPr="006B538B">
        <w:rPr>
          <w:rStyle w:val="JuSigned"/>
        </w:rPr>
        <w:tab/>
        <w:t xml:space="preserve">Милан </w:t>
      </w:r>
      <w:proofErr w:type="spellStart"/>
      <w:r w:rsidRPr="006B538B">
        <w:rPr>
          <w:rStyle w:val="JuSigned"/>
        </w:rPr>
        <w:t>Бла</w:t>
      </w:r>
      <w:r w:rsidR="005C03A9" w:rsidRPr="006B538B">
        <w:rPr>
          <w:rStyle w:val="JuSigned"/>
        </w:rPr>
        <w:t>с</w:t>
      </w:r>
      <w:r w:rsidRPr="006B538B">
        <w:rPr>
          <w:rStyle w:val="JuSigned"/>
        </w:rPr>
        <w:t>ко</w:t>
      </w:r>
      <w:proofErr w:type="spellEnd"/>
      <w:r w:rsidRPr="006B538B">
        <w:rPr>
          <w:rStyle w:val="JuSigned"/>
        </w:rPr>
        <w:tab/>
        <w:t xml:space="preserve">Габриеле </w:t>
      </w:r>
      <w:proofErr w:type="spellStart"/>
      <w:r w:rsidRPr="006B538B">
        <w:rPr>
          <w:rStyle w:val="JuSigned"/>
        </w:rPr>
        <w:t>Куцко-Щадлмайер</w:t>
      </w:r>
      <w:proofErr w:type="spellEnd"/>
      <w:r w:rsidRPr="006B538B">
        <w:rPr>
          <w:rStyle w:val="JuSigned"/>
        </w:rPr>
        <w:t xml:space="preserve"> </w:t>
      </w:r>
      <w:r w:rsidRPr="006B538B">
        <w:br/>
      </w:r>
      <w:r w:rsidRPr="006B538B">
        <w:rPr>
          <w:rStyle w:val="JuSigned"/>
        </w:rPr>
        <w:tab/>
      </w:r>
      <w:r w:rsidR="00496043" w:rsidRPr="006B538B">
        <w:rPr>
          <w:rStyle w:val="JuSigned"/>
        </w:rPr>
        <w:t>з</w:t>
      </w:r>
      <w:r w:rsidRPr="006B538B">
        <w:rPr>
          <w:rStyle w:val="JuSigned"/>
        </w:rPr>
        <w:t>аместник-секретар</w:t>
      </w:r>
      <w:r w:rsidRPr="006B538B">
        <w:rPr>
          <w:rStyle w:val="JuSigned"/>
        </w:rPr>
        <w:tab/>
      </w:r>
      <w:r w:rsidR="00496043" w:rsidRPr="006B538B">
        <w:rPr>
          <w:rStyle w:val="JuSigned"/>
        </w:rPr>
        <w:t>п</w:t>
      </w:r>
      <w:r w:rsidRPr="006B538B">
        <w:rPr>
          <w:rStyle w:val="JuSigned"/>
        </w:rPr>
        <w:t>редседател</w:t>
      </w:r>
    </w:p>
    <w:sectPr w:rsidR="00686E2D" w:rsidRPr="004F2037" w:rsidSect="00686E2D">
      <w:headerReference w:type="even" r:id="rId14"/>
      <w:headerReference w:type="default" r:id="rId15"/>
      <w:footnotePr>
        <w:numRestart w:val="eachSect"/>
      </w:footnotePr>
      <w:pgSz w:w="11906" w:h="16838" w:code="9"/>
      <w:pgMar w:top="2274" w:right="2274" w:bottom="2274" w:left="2274" w:header="1701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3170" w:rsidRDefault="00123170">
      <w:r>
        <w:separator/>
      </w:r>
    </w:p>
  </w:endnote>
  <w:endnote w:type="continuationSeparator" w:id="0">
    <w:p w:rsidR="00123170" w:rsidRDefault="00123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3CB0" w:rsidRDefault="00073C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3CB0" w:rsidRDefault="00073CB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6E2D" w:rsidRPr="00150BFA" w:rsidRDefault="004D2F28" w:rsidP="00686E2D">
    <w:pPr>
      <w:jc w:val="center"/>
    </w:pPr>
    <w:r>
      <w:rPr>
        <w:noProof/>
        <w:lang w:val="en-US" w:eastAsia="en-US"/>
      </w:rPr>
      <w:drawing>
        <wp:inline distT="0" distB="0" distL="0" distR="0">
          <wp:extent cx="771525" cy="619125"/>
          <wp:effectExtent l="0" t="0" r="0" b="0"/>
          <wp:docPr id="2" name="Picture 13" descr="R:\1_Graphics&amp;Web\Court_Graphic_Charter\2013\ECHR_Stationery\Documents_and_Letters\Cover_Pages_And_Docs\White_600_dpi\ECHR_CoverpageCS61_ECHR_Coverpage_Footer_COE_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R:\1_Graphics&amp;Web\Court_Graphic_Charter\2013\ECHR_Stationery\Documents_and_Letters\Cover_Pages_And_Docs\White_600_dpi\ECHR_CoverpageCS61_ECHR_Coverpage_Footer_COE_Blac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86E2D" w:rsidRDefault="00686E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3170" w:rsidRPr="003152BA" w:rsidRDefault="00123170" w:rsidP="00686E2D">
      <w:r>
        <w:separator/>
      </w:r>
    </w:p>
  </w:footnote>
  <w:footnote w:type="continuationSeparator" w:id="0">
    <w:p w:rsidR="00123170" w:rsidRPr="003152BA" w:rsidRDefault="00123170" w:rsidP="00686E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3CB0" w:rsidRDefault="00073C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6E2D" w:rsidRPr="004D0063" w:rsidRDefault="00686E2D" w:rsidP="00686E2D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6E2D" w:rsidRPr="00A45145" w:rsidRDefault="004D2F28" w:rsidP="00686E2D">
    <w:pPr>
      <w:jc w:val="center"/>
    </w:pPr>
    <w:r>
      <w:rPr>
        <w:noProof/>
        <w:lang w:val="en-US" w:eastAsia="en-US"/>
      </w:rPr>
      <w:drawing>
        <wp:inline distT="0" distB="0" distL="0" distR="0">
          <wp:extent cx="2962275" cy="1219200"/>
          <wp:effectExtent l="0" t="0" r="0" b="0"/>
          <wp:docPr id="1" name="Picture 7" descr="R:\1_Graphics&amp;Web\Court_Graphic_Charter\2013\ECHR_Stationery\Documents_and_Letters\Cover_Pages_And_Docs\White_600_dpi\ECHR_CoverpageCS61_ECHR_Coverpage_Header_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R:\1_Graphics&amp;Web\Court_Graphic_Charter\2013\ECHR_Stationery\Documents_and_Letters\Cover_Pages_And_Docs\White_600_dpi\ECHR_CoverpageCS61_ECHR_Coverpage_Header_Blac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2275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86E2D" w:rsidRDefault="00686E2D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6E2D" w:rsidRPr="003152BA" w:rsidRDefault="00686E2D" w:rsidP="00686E2D">
    <w:pPr>
      <w:pStyle w:val="ECHRHead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73CB0">
      <w:rPr>
        <w:rStyle w:val="PageNumber"/>
        <w:noProof/>
      </w:rPr>
      <w:t>10</w:t>
    </w:r>
    <w:r>
      <w:rPr>
        <w:rStyle w:val="PageNumber"/>
      </w:rPr>
      <w:fldChar w:fldCharType="end"/>
    </w:r>
    <w:r>
      <w:rPr>
        <w:rStyle w:val="ECHRHeader"/>
      </w:rPr>
      <w:tab/>
      <w:t>РЕШЕНИЕ ДЕЛИН СРЕЩУ БЪЛГАРИЯ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6E2D" w:rsidRPr="003152BA" w:rsidRDefault="00686E2D" w:rsidP="00686E2D">
    <w:pPr>
      <w:pStyle w:val="ECHRHeader"/>
    </w:pPr>
    <w:r>
      <w:rPr>
        <w:rStyle w:val="ECHRHeader"/>
      </w:rPr>
      <w:tab/>
    </w:r>
    <w:r>
      <w:rPr>
        <w:rStyle w:val="ECHRHeader"/>
      </w:rPr>
      <w:t>РЕШЕНИЕ ДЕЛИН СРЕЩУ БЪЛГАРИЯ</w:t>
    </w:r>
    <w:r>
      <w:rPr>
        <w:rStyle w:val="ECHRHeader"/>
      </w:rP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73CB0">
      <w:rPr>
        <w:rStyle w:val="PageNumber"/>
        <w:noProof/>
      </w:rPr>
      <w:t>9</w:t>
    </w:r>
    <w:r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0180FE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0ECFB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5B8BEF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1CF73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380266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0C2C34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482EC3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666B2C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276011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066004F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163F153D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7FD1241"/>
    <w:multiLevelType w:val="hybridMultilevel"/>
    <w:tmpl w:val="F6D86CC2"/>
    <w:lvl w:ilvl="0">
      <w:start w:val="1"/>
      <w:numFmt w:val="bullet"/>
      <w:pStyle w:val="ListBullet"/>
      <w:lvlText w:val=""/>
      <w:lvlJc w:val="left"/>
      <w:pPr>
        <w:tabs>
          <w:tab w:val="num" w:pos="851"/>
        </w:tabs>
        <w:ind w:left="568" w:firstLine="0"/>
      </w:pPr>
      <w:rPr>
        <w:rFonts w:ascii="Wingdings" w:hAnsi="Wingdings" w:hint="default"/>
        <w:color w:val="808080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76903243"/>
    <w:multiLevelType w:val="multilevel"/>
    <w:tmpl w:val="E884A926"/>
    <w:lvl w:ilvl="0">
      <w:start w:val="1"/>
      <w:numFmt w:val="decimal"/>
      <w:pStyle w:val="JuAppQuestion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7737461D"/>
    <w:multiLevelType w:val="multilevel"/>
    <w:tmpl w:val="040C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13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2"/>
  </w:num>
  <w:num w:numId="15">
    <w:abstractNumId w:val="12"/>
  </w:num>
  <w:num w:numId="16">
    <w:abstractNumId w:val="12"/>
  </w:num>
  <w:num w:numId="17">
    <w:abstractNumId w:val="12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MM" w:val="0"/>
    <w:docVar w:name="NBEMMDOC" w:val="0"/>
  </w:docVars>
  <w:rsids>
    <w:rsidRoot w:val="005736BD"/>
    <w:rsid w:val="00073CB0"/>
    <w:rsid w:val="000B5B2E"/>
    <w:rsid w:val="000F32EE"/>
    <w:rsid w:val="00123170"/>
    <w:rsid w:val="00300357"/>
    <w:rsid w:val="00305FC2"/>
    <w:rsid w:val="003C0DEC"/>
    <w:rsid w:val="00496043"/>
    <w:rsid w:val="004D2F28"/>
    <w:rsid w:val="00551FD8"/>
    <w:rsid w:val="005C03A9"/>
    <w:rsid w:val="00686E2D"/>
    <w:rsid w:val="006B538B"/>
    <w:rsid w:val="008509BD"/>
    <w:rsid w:val="0085395B"/>
    <w:rsid w:val="008728B9"/>
    <w:rsid w:val="008A1CEC"/>
    <w:rsid w:val="00A23CB9"/>
    <w:rsid w:val="00A764ED"/>
    <w:rsid w:val="00D80F9A"/>
    <w:rsid w:val="00F26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3DE959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57" w:unhideWhenUsed="1"/>
    <w:lsdException w:name="footer" w:semiHidden="1" w:uiPriority="57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rsid w:val="001B7813"/>
    <w:pPr>
      <w:jc w:val="both"/>
    </w:pPr>
    <w:rPr>
      <w:rFonts w:eastAsia="MS Mincho"/>
      <w:sz w:val="24"/>
      <w:szCs w:val="22"/>
      <w:lang w:val="bg-BG" w:eastAsia="bg-BG"/>
    </w:rPr>
  </w:style>
  <w:style w:type="paragraph" w:styleId="Heading1">
    <w:name w:val="heading 1"/>
    <w:basedOn w:val="Normal"/>
    <w:next w:val="Normal"/>
    <w:link w:val="Heading1Char"/>
    <w:uiPriority w:val="99"/>
    <w:semiHidden/>
    <w:rsid w:val="001B7813"/>
    <w:pPr>
      <w:spacing w:before="480"/>
      <w:contextualSpacing/>
      <w:outlineLvl w:val="0"/>
    </w:pPr>
    <w:rPr>
      <w:rFonts w:eastAsia="MS Gothic"/>
      <w:b/>
      <w:bCs/>
      <w:color w:val="333333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semiHidden/>
    <w:rsid w:val="001B7813"/>
    <w:pPr>
      <w:spacing w:before="200"/>
      <w:outlineLvl w:val="1"/>
    </w:pPr>
    <w:rPr>
      <w:rFonts w:eastAsia="MS Gothic"/>
      <w:b/>
      <w:bCs/>
      <w:color w:val="4D4D4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semiHidden/>
    <w:rsid w:val="001B7813"/>
    <w:pPr>
      <w:spacing w:before="200" w:line="271" w:lineRule="auto"/>
      <w:outlineLvl w:val="2"/>
    </w:pPr>
    <w:rPr>
      <w:rFonts w:eastAsia="MS Gothic"/>
      <w:b/>
      <w:bCs/>
      <w:color w:val="5F5F5F"/>
    </w:rPr>
  </w:style>
  <w:style w:type="paragraph" w:styleId="Heading4">
    <w:name w:val="heading 4"/>
    <w:basedOn w:val="Normal"/>
    <w:next w:val="Normal"/>
    <w:link w:val="Heading4Char"/>
    <w:uiPriority w:val="99"/>
    <w:semiHidden/>
    <w:rsid w:val="001B7813"/>
    <w:pPr>
      <w:spacing w:before="200"/>
      <w:outlineLvl w:val="3"/>
    </w:pPr>
    <w:rPr>
      <w:rFonts w:eastAsia="MS Gothic"/>
      <w:b/>
      <w:bCs/>
      <w:i/>
      <w:iCs/>
      <w:color w:val="777777"/>
    </w:rPr>
  </w:style>
  <w:style w:type="paragraph" w:styleId="Heading5">
    <w:name w:val="heading 5"/>
    <w:basedOn w:val="Normal"/>
    <w:next w:val="Normal"/>
    <w:link w:val="Heading5Char"/>
    <w:uiPriority w:val="99"/>
    <w:semiHidden/>
    <w:qFormat/>
    <w:rsid w:val="001B7813"/>
    <w:pPr>
      <w:spacing w:before="200"/>
      <w:outlineLvl w:val="4"/>
    </w:pPr>
    <w:rPr>
      <w:rFonts w:eastAsia="MS Gothic"/>
      <w:b/>
      <w:bCs/>
      <w:color w:val="808080"/>
      <w:sz w:val="22"/>
    </w:rPr>
  </w:style>
  <w:style w:type="paragraph" w:styleId="Heading6">
    <w:name w:val="heading 6"/>
    <w:basedOn w:val="Normal"/>
    <w:next w:val="Normal"/>
    <w:link w:val="Heading6Char"/>
    <w:uiPriority w:val="99"/>
    <w:semiHidden/>
    <w:rsid w:val="001B7813"/>
    <w:pPr>
      <w:spacing w:line="271" w:lineRule="auto"/>
      <w:outlineLvl w:val="5"/>
    </w:pPr>
    <w:rPr>
      <w:rFonts w:eastAsia="MS Gothic"/>
      <w:b/>
      <w:bCs/>
      <w:i/>
      <w:iCs/>
      <w:color w:val="7F7F7F"/>
      <w:lang w:bidi="en-US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rsid w:val="001B7813"/>
    <w:pPr>
      <w:outlineLvl w:val="6"/>
    </w:pPr>
    <w:rPr>
      <w:rFonts w:eastAsia="MS Gothic"/>
      <w:i/>
      <w:iCs/>
      <w:sz w:val="22"/>
      <w:lang w:bidi="en-US"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1B7813"/>
    <w:pPr>
      <w:outlineLvl w:val="7"/>
    </w:pPr>
    <w:rPr>
      <w:rFonts w:eastAsia="MS Gothic"/>
      <w:sz w:val="20"/>
      <w:szCs w:val="20"/>
      <w:lang w:bidi="en-US"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rsid w:val="001B7813"/>
    <w:pPr>
      <w:outlineLvl w:val="8"/>
    </w:pPr>
    <w:rPr>
      <w:rFonts w:eastAsia="MS Gothic"/>
      <w:i/>
      <w:iCs/>
      <w:spacing w:val="5"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1B78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B7813"/>
    <w:rPr>
      <w:rFonts w:ascii="Tahoma" w:eastAsia="MS Mincho" w:hAnsi="Tahoma" w:cs="Tahoma"/>
      <w:sz w:val="16"/>
      <w:szCs w:val="16"/>
      <w:lang w:val="bg-BG" w:eastAsia="bg-BG"/>
    </w:rPr>
  </w:style>
  <w:style w:type="character" w:styleId="BookTitle">
    <w:name w:val="Book Title"/>
    <w:uiPriority w:val="99"/>
    <w:semiHidden/>
    <w:qFormat/>
    <w:rsid w:val="001B7813"/>
    <w:rPr>
      <w:i/>
      <w:iCs/>
      <w:smallCaps/>
      <w:spacing w:val="5"/>
      <w:lang w:val="bg-BG" w:eastAsia="bg-BG"/>
    </w:rPr>
  </w:style>
  <w:style w:type="paragraph" w:customStyle="1" w:styleId="ECHRHeader">
    <w:name w:val="ECHR_Header"/>
    <w:aliases w:val="Ju_Header"/>
    <w:basedOn w:val="Header"/>
    <w:uiPriority w:val="4"/>
    <w:qFormat/>
    <w:rsid w:val="001B7813"/>
    <w:pPr>
      <w:tabs>
        <w:tab w:val="clear" w:pos="4536"/>
        <w:tab w:val="clear" w:pos="9072"/>
        <w:tab w:val="center" w:pos="3686"/>
        <w:tab w:val="right" w:pos="7371"/>
      </w:tabs>
      <w:jc w:val="left"/>
    </w:pPr>
    <w:rPr>
      <w:sz w:val="18"/>
    </w:rPr>
  </w:style>
  <w:style w:type="paragraph" w:customStyle="1" w:styleId="ECHRFooter">
    <w:name w:val="ECHR_Footer"/>
    <w:aliases w:val="Footer_ECHR"/>
    <w:basedOn w:val="Footer"/>
    <w:uiPriority w:val="57"/>
    <w:semiHidden/>
    <w:rsid w:val="001B7813"/>
    <w:pPr>
      <w:jc w:val="left"/>
    </w:pPr>
    <w:rPr>
      <w:sz w:val="8"/>
    </w:rPr>
  </w:style>
  <w:style w:type="character" w:styleId="Strong">
    <w:name w:val="Strong"/>
    <w:uiPriority w:val="99"/>
    <w:semiHidden/>
    <w:qFormat/>
    <w:rsid w:val="001B7813"/>
    <w:rPr>
      <w:b/>
      <w:bCs/>
      <w:lang w:val="bg-BG" w:eastAsia="bg-BG"/>
    </w:rPr>
  </w:style>
  <w:style w:type="paragraph" w:styleId="NoSpacing">
    <w:name w:val="No Spacing"/>
    <w:basedOn w:val="Normal"/>
    <w:link w:val="NoSpacingChar"/>
    <w:semiHidden/>
    <w:qFormat/>
    <w:rsid w:val="001B7813"/>
    <w:rPr>
      <w:sz w:val="22"/>
    </w:rPr>
  </w:style>
  <w:style w:type="character" w:customStyle="1" w:styleId="NoSpacingChar">
    <w:name w:val="No Spacing Char"/>
    <w:link w:val="NoSpacing"/>
    <w:semiHidden/>
    <w:rsid w:val="001B7813"/>
    <w:rPr>
      <w:rFonts w:eastAsia="MS Mincho"/>
      <w:lang w:val="bg-BG" w:eastAsia="bg-BG"/>
    </w:rPr>
  </w:style>
  <w:style w:type="paragraph" w:customStyle="1" w:styleId="ECHRFooterLine">
    <w:name w:val="ECHR_Footer_Line"/>
    <w:aliases w:val="Footer_Line"/>
    <w:basedOn w:val="Normal"/>
    <w:next w:val="ECHRFooter"/>
    <w:uiPriority w:val="57"/>
    <w:semiHidden/>
    <w:rsid w:val="001B7813"/>
    <w:pPr>
      <w:pBdr>
        <w:top w:val="single" w:sz="6" w:space="1" w:color="5F5F5F"/>
      </w:pBdr>
      <w:tabs>
        <w:tab w:val="center" w:pos="4536"/>
        <w:tab w:val="right" w:pos="9696"/>
      </w:tabs>
      <w:ind w:left="-680" w:right="-680"/>
      <w:jc w:val="left"/>
    </w:pPr>
    <w:rPr>
      <w:color w:val="5F5F5F"/>
    </w:rPr>
  </w:style>
  <w:style w:type="paragraph" w:customStyle="1" w:styleId="DecHTitle">
    <w:name w:val="Dec_H_Title"/>
    <w:basedOn w:val="ECHRTitleCentre1"/>
    <w:uiPriority w:val="7"/>
    <w:semiHidden/>
    <w:qFormat/>
    <w:rsid w:val="001B7813"/>
  </w:style>
  <w:style w:type="paragraph" w:customStyle="1" w:styleId="DecList">
    <w:name w:val="Dec_List"/>
    <w:basedOn w:val="Normal"/>
    <w:uiPriority w:val="9"/>
    <w:semiHidden/>
    <w:qFormat/>
    <w:rsid w:val="001B7813"/>
    <w:pPr>
      <w:spacing w:before="240"/>
      <w:ind w:left="284"/>
    </w:pPr>
  </w:style>
  <w:style w:type="paragraph" w:customStyle="1" w:styleId="DummyStyle">
    <w:name w:val="Dummy_Style"/>
    <w:basedOn w:val="Normal"/>
    <w:semiHidden/>
    <w:qFormat/>
    <w:rsid w:val="001B7813"/>
    <w:rPr>
      <w:color w:val="00B050"/>
    </w:rPr>
  </w:style>
  <w:style w:type="paragraph" w:customStyle="1" w:styleId="ECHRTitleCentre3">
    <w:name w:val="ECHR_Title_Centre_3"/>
    <w:aliases w:val="Ju_H_Article"/>
    <w:basedOn w:val="Normal"/>
    <w:next w:val="ECHRParaQuote"/>
    <w:link w:val="JuHArticleChar"/>
    <w:uiPriority w:val="27"/>
    <w:qFormat/>
    <w:rsid w:val="001B7813"/>
    <w:pPr>
      <w:keepNext/>
      <w:keepLines/>
      <w:spacing w:before="240" w:after="120"/>
      <w:jc w:val="center"/>
      <w:outlineLvl w:val="3"/>
    </w:pPr>
    <w:rPr>
      <w:b/>
      <w:sz w:val="20"/>
      <w:lang w:bidi="en-US"/>
    </w:rPr>
  </w:style>
  <w:style w:type="paragraph" w:customStyle="1" w:styleId="ECHRTitleCentre1">
    <w:name w:val="ECHR_Title_Centre_1"/>
    <w:aliases w:val="Opi_H_Head"/>
    <w:basedOn w:val="Normal"/>
    <w:next w:val="OpiPara"/>
    <w:uiPriority w:val="39"/>
    <w:qFormat/>
    <w:rsid w:val="001B7813"/>
    <w:pPr>
      <w:keepNext/>
      <w:keepLines/>
      <w:spacing w:after="240"/>
      <w:jc w:val="center"/>
      <w:outlineLvl w:val="0"/>
    </w:pPr>
    <w:rPr>
      <w:sz w:val="28"/>
    </w:rPr>
  </w:style>
  <w:style w:type="paragraph" w:customStyle="1" w:styleId="JuAppQuestion">
    <w:name w:val="Ju_App_Question"/>
    <w:basedOn w:val="Normal"/>
    <w:uiPriority w:val="5"/>
    <w:semiHidden/>
    <w:qFormat/>
    <w:rsid w:val="001B7813"/>
    <w:pPr>
      <w:numPr>
        <w:numId w:val="18"/>
      </w:numPr>
      <w:jc w:val="left"/>
    </w:pPr>
    <w:rPr>
      <w:b/>
    </w:rPr>
  </w:style>
  <w:style w:type="paragraph" w:customStyle="1" w:styleId="JuCourt">
    <w:name w:val="Ju_Court"/>
    <w:basedOn w:val="Normal"/>
    <w:next w:val="Normal"/>
    <w:uiPriority w:val="16"/>
    <w:qFormat/>
    <w:rsid w:val="001B7813"/>
    <w:pPr>
      <w:tabs>
        <w:tab w:val="left" w:pos="907"/>
        <w:tab w:val="left" w:pos="1701"/>
        <w:tab w:val="right" w:pos="7371"/>
      </w:tabs>
      <w:spacing w:before="240"/>
      <w:ind w:left="397" w:hanging="397"/>
      <w:jc w:val="left"/>
    </w:pPr>
    <w:rPr>
      <w:lang w:bidi="en-US"/>
    </w:rPr>
  </w:style>
  <w:style w:type="paragraph" w:customStyle="1" w:styleId="JuHeaderLandscape">
    <w:name w:val="Ju_Header_Landscape"/>
    <w:basedOn w:val="ECHRHeader"/>
    <w:uiPriority w:val="4"/>
    <w:qFormat/>
    <w:rsid w:val="001B7813"/>
    <w:pPr>
      <w:tabs>
        <w:tab w:val="clear" w:pos="3686"/>
        <w:tab w:val="clear" w:pos="7371"/>
        <w:tab w:val="center" w:pos="6146"/>
        <w:tab w:val="right" w:pos="12293"/>
      </w:tabs>
    </w:pPr>
  </w:style>
  <w:style w:type="paragraph" w:customStyle="1" w:styleId="ECHRTitleCentre2">
    <w:name w:val="ECHR_Title_Centre_2"/>
    <w:aliases w:val="Dec_H_Case"/>
    <w:basedOn w:val="Normal"/>
    <w:next w:val="ECHRPara"/>
    <w:uiPriority w:val="8"/>
    <w:qFormat/>
    <w:rsid w:val="001B7813"/>
    <w:pPr>
      <w:spacing w:after="240"/>
      <w:jc w:val="center"/>
      <w:outlineLvl w:val="0"/>
    </w:pPr>
  </w:style>
  <w:style w:type="paragraph" w:customStyle="1" w:styleId="JuInitialled">
    <w:name w:val="Ju_Initialled"/>
    <w:basedOn w:val="Normal"/>
    <w:uiPriority w:val="31"/>
    <w:qFormat/>
    <w:rsid w:val="001B7813"/>
    <w:pPr>
      <w:tabs>
        <w:tab w:val="center" w:pos="6407"/>
      </w:tabs>
      <w:spacing w:before="720"/>
      <w:jc w:val="right"/>
    </w:pPr>
  </w:style>
  <w:style w:type="paragraph" w:styleId="Title">
    <w:name w:val="Title"/>
    <w:basedOn w:val="Normal"/>
    <w:next w:val="Normal"/>
    <w:link w:val="TitleChar"/>
    <w:uiPriority w:val="99"/>
    <w:semiHidden/>
    <w:qFormat/>
    <w:rsid w:val="001B7813"/>
    <w:pPr>
      <w:pBdr>
        <w:bottom w:val="single" w:sz="4" w:space="1" w:color="auto"/>
      </w:pBdr>
      <w:contextualSpacing/>
    </w:pPr>
    <w:rPr>
      <w:rFonts w:eastAsia="MS Gothic"/>
      <w:spacing w:val="5"/>
      <w:sz w:val="52"/>
      <w:szCs w:val="52"/>
      <w:lang w:bidi="en-US"/>
    </w:rPr>
  </w:style>
  <w:style w:type="character" w:customStyle="1" w:styleId="TitleChar">
    <w:name w:val="Title Char"/>
    <w:link w:val="Title"/>
    <w:uiPriority w:val="99"/>
    <w:semiHidden/>
    <w:rsid w:val="001B7813"/>
    <w:rPr>
      <w:rFonts w:ascii="Times New Roman" w:eastAsia="MS Gothic" w:hAnsi="Times New Roman" w:cs="Times New Roman"/>
      <w:spacing w:val="5"/>
      <w:sz w:val="52"/>
      <w:szCs w:val="52"/>
      <w:lang w:val="bg-BG" w:eastAsia="bg-BG" w:bidi="en-US"/>
    </w:rPr>
  </w:style>
  <w:style w:type="paragraph" w:customStyle="1" w:styleId="ECHRHeading3">
    <w:name w:val="ECHR_Heading_3"/>
    <w:aliases w:val="Ju_H_1."/>
    <w:basedOn w:val="Heading3"/>
    <w:next w:val="ECHRPara"/>
    <w:uiPriority w:val="21"/>
    <w:qFormat/>
    <w:rsid w:val="001B7813"/>
    <w:pPr>
      <w:keepNext/>
      <w:keepLines/>
      <w:tabs>
        <w:tab w:val="left" w:pos="731"/>
      </w:tabs>
      <w:spacing w:before="240" w:after="120" w:line="240" w:lineRule="auto"/>
      <w:ind w:left="732" w:hanging="301"/>
    </w:pPr>
    <w:rPr>
      <w:b w:val="0"/>
      <w:i/>
      <w:color w:val="000000"/>
    </w:rPr>
  </w:style>
  <w:style w:type="paragraph" w:customStyle="1" w:styleId="ECHRHeading4">
    <w:name w:val="ECHR_Heading_4"/>
    <w:aliases w:val="Ju_H_a"/>
    <w:basedOn w:val="Heading4"/>
    <w:next w:val="ECHRPara"/>
    <w:uiPriority w:val="22"/>
    <w:qFormat/>
    <w:rsid w:val="001B7813"/>
    <w:pPr>
      <w:keepNext/>
      <w:keepLines/>
      <w:tabs>
        <w:tab w:val="left" w:pos="975"/>
      </w:tabs>
      <w:spacing w:before="240" w:after="120"/>
      <w:ind w:left="975" w:hanging="340"/>
    </w:pPr>
    <w:rPr>
      <w:i w:val="0"/>
      <w:color w:val="000000"/>
      <w:sz w:val="20"/>
    </w:rPr>
  </w:style>
  <w:style w:type="paragraph" w:customStyle="1" w:styleId="ECHRHeading5">
    <w:name w:val="ECHR_Heading_5"/>
    <w:aliases w:val="Ju_H_i"/>
    <w:basedOn w:val="Heading5"/>
    <w:next w:val="ECHRPara"/>
    <w:uiPriority w:val="23"/>
    <w:qFormat/>
    <w:rsid w:val="001B7813"/>
    <w:pPr>
      <w:keepNext/>
      <w:keepLines/>
      <w:tabs>
        <w:tab w:val="left" w:pos="1191"/>
      </w:tabs>
      <w:spacing w:before="240" w:after="120"/>
      <w:ind w:left="1190" w:hanging="357"/>
    </w:pPr>
    <w:rPr>
      <w:b w:val="0"/>
      <w:i/>
      <w:color w:val="000000"/>
      <w:sz w:val="20"/>
    </w:rPr>
  </w:style>
  <w:style w:type="paragraph" w:customStyle="1" w:styleId="ECHRHeading6">
    <w:name w:val="ECHR_Heading_6"/>
    <w:aliases w:val="Ju_H_alpha"/>
    <w:basedOn w:val="Heading6"/>
    <w:next w:val="ECHRPara"/>
    <w:uiPriority w:val="24"/>
    <w:qFormat/>
    <w:rsid w:val="001B7813"/>
    <w:pPr>
      <w:keepNext/>
      <w:keepLines/>
      <w:tabs>
        <w:tab w:val="left" w:pos="1372"/>
      </w:tabs>
      <w:spacing w:before="240" w:after="120" w:line="240" w:lineRule="auto"/>
      <w:ind w:left="1373" w:hanging="335"/>
    </w:pPr>
    <w:rPr>
      <w:b w:val="0"/>
      <w:i w:val="0"/>
      <w:color w:val="000000"/>
      <w:sz w:val="20"/>
    </w:rPr>
  </w:style>
  <w:style w:type="paragraph" w:customStyle="1" w:styleId="ECHRHeading7">
    <w:name w:val="ECHR_Heading_7"/>
    <w:aliases w:val="Ju_H_–"/>
    <w:basedOn w:val="Heading7"/>
    <w:next w:val="ECHRPara"/>
    <w:uiPriority w:val="25"/>
    <w:qFormat/>
    <w:rsid w:val="001B7813"/>
    <w:pPr>
      <w:keepNext/>
      <w:keepLines/>
      <w:spacing w:before="240" w:after="120"/>
      <w:ind w:left="1236"/>
    </w:pPr>
    <w:rPr>
      <w:sz w:val="20"/>
    </w:rPr>
  </w:style>
  <w:style w:type="character" w:customStyle="1" w:styleId="JUNAMES">
    <w:name w:val="JU_NAMES"/>
    <w:uiPriority w:val="17"/>
    <w:qFormat/>
    <w:rsid w:val="001B7813"/>
    <w:rPr>
      <w:smallCaps/>
      <w:lang w:val="bg-BG" w:eastAsia="bg-BG"/>
    </w:rPr>
  </w:style>
  <w:style w:type="paragraph" w:customStyle="1" w:styleId="JuParaSub">
    <w:name w:val="Ju_Para_Sub"/>
    <w:basedOn w:val="ECHRPara"/>
    <w:uiPriority w:val="13"/>
    <w:qFormat/>
    <w:rsid w:val="001B7813"/>
    <w:pPr>
      <w:ind w:left="284"/>
    </w:pPr>
  </w:style>
  <w:style w:type="paragraph" w:customStyle="1" w:styleId="JuQuotSub">
    <w:name w:val="Ju_Quot_Sub"/>
    <w:basedOn w:val="ECHRParaQuote"/>
    <w:uiPriority w:val="15"/>
    <w:qFormat/>
    <w:rsid w:val="001B7813"/>
    <w:pPr>
      <w:ind w:left="567"/>
    </w:pPr>
  </w:style>
  <w:style w:type="paragraph" w:styleId="Header">
    <w:name w:val="header"/>
    <w:basedOn w:val="Normal"/>
    <w:link w:val="HeaderChar"/>
    <w:uiPriority w:val="57"/>
    <w:semiHidden/>
    <w:rsid w:val="001B7813"/>
    <w:pPr>
      <w:tabs>
        <w:tab w:val="center" w:pos="4536"/>
        <w:tab w:val="right" w:pos="9072"/>
      </w:tabs>
    </w:pPr>
    <w:rPr>
      <w:rFonts w:eastAsia="Times New Roman"/>
    </w:rPr>
  </w:style>
  <w:style w:type="character" w:customStyle="1" w:styleId="HeaderChar">
    <w:name w:val="Header Char"/>
    <w:link w:val="Header"/>
    <w:uiPriority w:val="57"/>
    <w:semiHidden/>
    <w:rsid w:val="001B7813"/>
    <w:rPr>
      <w:sz w:val="24"/>
      <w:lang w:val="bg-BG" w:eastAsia="bg-BG"/>
    </w:rPr>
  </w:style>
  <w:style w:type="character" w:customStyle="1" w:styleId="Heading1Char">
    <w:name w:val="Heading 1 Char"/>
    <w:link w:val="Heading1"/>
    <w:uiPriority w:val="99"/>
    <w:semiHidden/>
    <w:rsid w:val="001B7813"/>
    <w:rPr>
      <w:rFonts w:ascii="Times New Roman" w:eastAsia="MS Gothic" w:hAnsi="Times New Roman" w:cs="Times New Roman"/>
      <w:b/>
      <w:bCs/>
      <w:color w:val="333333"/>
      <w:sz w:val="28"/>
      <w:szCs w:val="28"/>
      <w:lang w:val="bg-BG" w:eastAsia="bg-BG"/>
    </w:rPr>
  </w:style>
  <w:style w:type="paragraph" w:customStyle="1" w:styleId="ECHRHeading1">
    <w:name w:val="ECHR_Heading_1"/>
    <w:aliases w:val="Ju_H_I_Roman"/>
    <w:basedOn w:val="Heading1"/>
    <w:next w:val="ECHRPara"/>
    <w:uiPriority w:val="19"/>
    <w:qFormat/>
    <w:rsid w:val="001B7813"/>
    <w:pPr>
      <w:keepNext/>
      <w:keepLines/>
      <w:tabs>
        <w:tab w:val="left" w:pos="357"/>
      </w:tabs>
      <w:spacing w:before="360" w:after="240"/>
      <w:ind w:left="357" w:hanging="357"/>
      <w:contextualSpacing w:val="0"/>
    </w:pPr>
    <w:rPr>
      <w:b w:val="0"/>
      <w:color w:val="000000"/>
      <w:sz w:val="24"/>
    </w:rPr>
  </w:style>
  <w:style w:type="paragraph" w:customStyle="1" w:styleId="ECHRHeading2">
    <w:name w:val="ECHR_Heading_2"/>
    <w:aliases w:val="Ju_H_A"/>
    <w:basedOn w:val="Heading2"/>
    <w:next w:val="ECHRPara"/>
    <w:uiPriority w:val="20"/>
    <w:qFormat/>
    <w:rsid w:val="001B7813"/>
    <w:pPr>
      <w:keepNext/>
      <w:keepLines/>
      <w:tabs>
        <w:tab w:val="left" w:pos="584"/>
      </w:tabs>
      <w:spacing w:before="360" w:after="240"/>
      <w:ind w:left="584" w:hanging="352"/>
    </w:pPr>
    <w:rPr>
      <w:color w:val="000000"/>
      <w:sz w:val="24"/>
    </w:rPr>
  </w:style>
  <w:style w:type="character" w:customStyle="1" w:styleId="Heading2Char">
    <w:name w:val="Heading 2 Char"/>
    <w:link w:val="Heading2"/>
    <w:uiPriority w:val="99"/>
    <w:semiHidden/>
    <w:rsid w:val="001B7813"/>
    <w:rPr>
      <w:rFonts w:ascii="Times New Roman" w:eastAsia="MS Gothic" w:hAnsi="Times New Roman" w:cs="Times New Roman"/>
      <w:b/>
      <w:bCs/>
      <w:color w:val="4D4D4D"/>
      <w:sz w:val="26"/>
      <w:szCs w:val="26"/>
      <w:lang w:val="bg-BG" w:eastAsia="bg-BG"/>
    </w:rPr>
  </w:style>
  <w:style w:type="paragraph" w:customStyle="1" w:styleId="JuTitle">
    <w:name w:val="Ju_Title"/>
    <w:basedOn w:val="Normal"/>
    <w:next w:val="ECHRPara"/>
    <w:uiPriority w:val="3"/>
    <w:semiHidden/>
    <w:qFormat/>
    <w:rsid w:val="001B7813"/>
    <w:pPr>
      <w:spacing w:before="720" w:after="240"/>
      <w:jc w:val="center"/>
      <w:outlineLvl w:val="0"/>
    </w:pPr>
    <w:rPr>
      <w:b/>
      <w:caps/>
    </w:rPr>
  </w:style>
  <w:style w:type="paragraph" w:customStyle="1" w:styleId="JuCase">
    <w:name w:val="Ju_Case"/>
    <w:basedOn w:val="Normal"/>
    <w:next w:val="ECHRPara"/>
    <w:uiPriority w:val="10"/>
    <w:rsid w:val="001B7813"/>
    <w:pPr>
      <w:ind w:firstLine="284"/>
    </w:pPr>
    <w:rPr>
      <w:b/>
    </w:rPr>
  </w:style>
  <w:style w:type="character" w:customStyle="1" w:styleId="Heading3Char">
    <w:name w:val="Heading 3 Char"/>
    <w:link w:val="Heading3"/>
    <w:uiPriority w:val="99"/>
    <w:semiHidden/>
    <w:rsid w:val="001B7813"/>
    <w:rPr>
      <w:rFonts w:ascii="Times New Roman" w:eastAsia="MS Gothic" w:hAnsi="Times New Roman" w:cs="Times New Roman"/>
      <w:b/>
      <w:bCs/>
      <w:color w:val="5F5F5F"/>
      <w:sz w:val="24"/>
      <w:lang w:val="bg-BG" w:eastAsia="bg-BG"/>
    </w:rPr>
  </w:style>
  <w:style w:type="character" w:customStyle="1" w:styleId="Heading4Char">
    <w:name w:val="Heading 4 Char"/>
    <w:link w:val="Heading4"/>
    <w:uiPriority w:val="99"/>
    <w:semiHidden/>
    <w:rsid w:val="001B7813"/>
    <w:rPr>
      <w:rFonts w:ascii="Times New Roman" w:eastAsia="MS Gothic" w:hAnsi="Times New Roman" w:cs="Times New Roman"/>
      <w:b/>
      <w:bCs/>
      <w:i/>
      <w:iCs/>
      <w:color w:val="777777"/>
      <w:sz w:val="24"/>
      <w:lang w:val="bg-BG" w:eastAsia="bg-BG"/>
    </w:rPr>
  </w:style>
  <w:style w:type="character" w:customStyle="1" w:styleId="Heading5Char">
    <w:name w:val="Heading 5 Char"/>
    <w:link w:val="Heading5"/>
    <w:uiPriority w:val="99"/>
    <w:semiHidden/>
    <w:rsid w:val="001B7813"/>
    <w:rPr>
      <w:rFonts w:ascii="Times New Roman" w:eastAsia="MS Gothic" w:hAnsi="Times New Roman" w:cs="Times New Roman"/>
      <w:b/>
      <w:bCs/>
      <w:color w:val="808080"/>
      <w:lang w:val="bg-BG" w:eastAsia="bg-BG"/>
    </w:rPr>
  </w:style>
  <w:style w:type="character" w:styleId="SubtleEmphasis">
    <w:name w:val="Subtle Emphasis"/>
    <w:uiPriority w:val="99"/>
    <w:semiHidden/>
    <w:qFormat/>
    <w:rsid w:val="001B7813"/>
    <w:rPr>
      <w:i/>
      <w:iCs/>
      <w:lang w:val="bg-BG" w:eastAsia="bg-BG"/>
    </w:rPr>
  </w:style>
  <w:style w:type="table" w:customStyle="1" w:styleId="ECHRTable">
    <w:name w:val="ECHR_Table"/>
    <w:basedOn w:val="TableNormal"/>
    <w:rsid w:val="00860B03"/>
    <w:rPr>
      <w:lang w:val="en-GB"/>
    </w:rPr>
    <w:tblPr>
      <w:tblStyleRowBandSize w:val="1"/>
      <w:tblStyleColBandSize w:val="1"/>
      <w:tblBorders>
        <w:top w:val="single" w:sz="4" w:space="0" w:color="949494"/>
        <w:left w:val="single" w:sz="4" w:space="0" w:color="949494"/>
        <w:bottom w:val="single" w:sz="4" w:space="0" w:color="949494"/>
        <w:right w:val="single" w:sz="4" w:space="0" w:color="949494"/>
        <w:insideH w:val="single" w:sz="4" w:space="0" w:color="949494"/>
        <w:insideV w:val="single" w:sz="4" w:space="0" w:color="949494"/>
      </w:tblBorders>
      <w:tblCellMar>
        <w:top w:w="28" w:type="dxa"/>
        <w:bottom w:w="28" w:type="dxa"/>
      </w:tblCellMar>
    </w:tblPr>
    <w:tblStylePr w:type="firstRow">
      <w:rPr>
        <w:rFonts w:ascii="Times New Roman" w:hAnsi="Times New Roman"/>
        <w:b/>
        <w:i w:val="0"/>
        <w:color w:val="474747"/>
        <w:sz w:val="22"/>
      </w:rPr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  <w:tl2br w:val="nil"/>
          <w:tr2bl w:val="nil"/>
        </w:tcBorders>
        <w:shd w:val="clear" w:color="auto" w:fill="DFDFDF"/>
      </w:tcPr>
    </w:tblStylePr>
    <w:tblStylePr w:type="firstCol">
      <w:rPr>
        <w:b/>
      </w:r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/>
      </w:tcPr>
    </w:tblStylePr>
    <w:tblStylePr w:type="band2Horz"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  <w:tl2br w:val="nil"/>
          <w:tr2bl w:val="nil"/>
        </w:tcBorders>
        <w:shd w:val="clear" w:color="auto" w:fill="DFDFDF"/>
      </w:tcPr>
    </w:tblStylePr>
  </w:style>
  <w:style w:type="table" w:customStyle="1" w:styleId="ECHRTableBoxHeader">
    <w:name w:val="ECHR_Table_Box_Header"/>
    <w:basedOn w:val="TableNormal"/>
    <w:rsid w:val="004C086C"/>
    <w:rPr>
      <w:rFonts w:ascii="Verdana" w:hAnsi="Verdana"/>
      <w:lang w:val="en-GB"/>
    </w:rPr>
    <w:tblPr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F8F8F8"/>
    </w:tcPr>
    <w:tblStylePr w:type="firstCol">
      <w:rPr>
        <w:b/>
        <w:color w:val="5F5F5F"/>
      </w:rPr>
    </w:tblStylePr>
  </w:style>
  <w:style w:type="paragraph" w:customStyle="1" w:styleId="ECHRTitle1">
    <w:name w:val="ECHR_Title_1"/>
    <w:aliases w:val="Ju_H_Head"/>
    <w:basedOn w:val="Normal"/>
    <w:next w:val="ECHRPara"/>
    <w:uiPriority w:val="18"/>
    <w:qFormat/>
    <w:rsid w:val="001B7813"/>
    <w:pPr>
      <w:keepNext/>
      <w:keepLines/>
      <w:spacing w:before="720" w:after="240"/>
      <w:outlineLvl w:val="0"/>
    </w:pPr>
    <w:rPr>
      <w:sz w:val="28"/>
    </w:rPr>
  </w:style>
  <w:style w:type="character" w:styleId="Emphasis">
    <w:name w:val="Emphasis"/>
    <w:uiPriority w:val="99"/>
    <w:semiHidden/>
    <w:qFormat/>
    <w:rsid w:val="001B7813"/>
    <w:rPr>
      <w:b/>
      <w:bCs/>
      <w:i/>
      <w:iCs/>
      <w:spacing w:val="10"/>
      <w:bdr w:val="none" w:sz="0" w:space="0" w:color="auto"/>
      <w:lang w:val="bg-BG" w:eastAsia="bg-BG"/>
    </w:rPr>
  </w:style>
  <w:style w:type="paragraph" w:styleId="Footer">
    <w:name w:val="footer"/>
    <w:basedOn w:val="Normal"/>
    <w:link w:val="FooterChar"/>
    <w:uiPriority w:val="57"/>
    <w:semiHidden/>
    <w:rsid w:val="001B7813"/>
    <w:pPr>
      <w:tabs>
        <w:tab w:val="center" w:pos="4536"/>
        <w:tab w:val="right" w:pos="9696"/>
      </w:tabs>
      <w:ind w:left="-680" w:right="-680"/>
    </w:pPr>
    <w:rPr>
      <w:rFonts w:eastAsia="Times New Roman"/>
    </w:rPr>
  </w:style>
  <w:style w:type="character" w:customStyle="1" w:styleId="FooterChar">
    <w:name w:val="Footer Char"/>
    <w:link w:val="Footer"/>
    <w:uiPriority w:val="57"/>
    <w:semiHidden/>
    <w:rsid w:val="001B7813"/>
    <w:rPr>
      <w:sz w:val="24"/>
      <w:lang w:val="bg-BG" w:eastAsia="bg-BG"/>
    </w:rPr>
  </w:style>
  <w:style w:type="character" w:styleId="FootnoteReference">
    <w:name w:val="footnote reference"/>
    <w:uiPriority w:val="99"/>
    <w:semiHidden/>
    <w:rsid w:val="001B7813"/>
    <w:rPr>
      <w:vertAlign w:val="superscript"/>
      <w:lang w:val="bg-BG" w:eastAsia="bg-BG"/>
    </w:rPr>
  </w:style>
  <w:style w:type="paragraph" w:styleId="FootnoteText">
    <w:name w:val="footnote text"/>
    <w:basedOn w:val="Normal"/>
    <w:link w:val="FootnoteTextChar"/>
    <w:uiPriority w:val="99"/>
    <w:semiHidden/>
    <w:rsid w:val="001B7813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1B7813"/>
    <w:rPr>
      <w:rFonts w:eastAsia="MS Mincho"/>
      <w:sz w:val="20"/>
      <w:szCs w:val="20"/>
      <w:lang w:val="bg-BG" w:eastAsia="bg-BG"/>
    </w:rPr>
  </w:style>
  <w:style w:type="character" w:customStyle="1" w:styleId="Heading6Char">
    <w:name w:val="Heading 6 Char"/>
    <w:link w:val="Heading6"/>
    <w:uiPriority w:val="99"/>
    <w:semiHidden/>
    <w:rsid w:val="001B7813"/>
    <w:rPr>
      <w:rFonts w:ascii="Times New Roman" w:eastAsia="MS Gothic" w:hAnsi="Times New Roman" w:cs="Times New Roman"/>
      <w:b/>
      <w:bCs/>
      <w:i/>
      <w:iCs/>
      <w:color w:val="7F7F7F"/>
      <w:sz w:val="24"/>
      <w:lang w:val="bg-BG" w:eastAsia="bg-BG" w:bidi="en-US"/>
    </w:rPr>
  </w:style>
  <w:style w:type="character" w:customStyle="1" w:styleId="Heading7Char">
    <w:name w:val="Heading 7 Char"/>
    <w:link w:val="Heading7"/>
    <w:uiPriority w:val="99"/>
    <w:semiHidden/>
    <w:rsid w:val="001B7813"/>
    <w:rPr>
      <w:rFonts w:ascii="Times New Roman" w:eastAsia="MS Gothic" w:hAnsi="Times New Roman" w:cs="Times New Roman"/>
      <w:i/>
      <w:iCs/>
      <w:lang w:val="bg-BG" w:eastAsia="bg-BG" w:bidi="en-US"/>
    </w:rPr>
  </w:style>
  <w:style w:type="character" w:customStyle="1" w:styleId="Heading8Char">
    <w:name w:val="Heading 8 Char"/>
    <w:link w:val="Heading8"/>
    <w:uiPriority w:val="99"/>
    <w:semiHidden/>
    <w:rsid w:val="001B7813"/>
    <w:rPr>
      <w:rFonts w:ascii="Times New Roman" w:eastAsia="MS Gothic" w:hAnsi="Times New Roman" w:cs="Times New Roman"/>
      <w:sz w:val="20"/>
      <w:szCs w:val="20"/>
      <w:lang w:val="bg-BG" w:eastAsia="bg-BG" w:bidi="en-US"/>
    </w:rPr>
  </w:style>
  <w:style w:type="character" w:customStyle="1" w:styleId="Heading9Char">
    <w:name w:val="Heading 9 Char"/>
    <w:link w:val="Heading9"/>
    <w:uiPriority w:val="99"/>
    <w:semiHidden/>
    <w:rsid w:val="001B7813"/>
    <w:rPr>
      <w:rFonts w:ascii="Times New Roman" w:eastAsia="MS Gothic" w:hAnsi="Times New Roman" w:cs="Times New Roman"/>
      <w:i/>
      <w:iCs/>
      <w:spacing w:val="5"/>
      <w:sz w:val="20"/>
      <w:szCs w:val="20"/>
      <w:lang w:val="bg-BG" w:eastAsia="bg-BG" w:bidi="en-US"/>
    </w:rPr>
  </w:style>
  <w:style w:type="character" w:styleId="Hyperlink">
    <w:name w:val="Hyperlink"/>
    <w:uiPriority w:val="99"/>
    <w:semiHidden/>
    <w:rsid w:val="001B7813"/>
    <w:rPr>
      <w:color w:val="0072BC"/>
      <w:u w:val="single"/>
      <w:lang w:val="bg-BG" w:eastAsia="bg-BG"/>
    </w:rPr>
  </w:style>
  <w:style w:type="character" w:styleId="IntenseEmphasis">
    <w:name w:val="Intense Emphasis"/>
    <w:uiPriority w:val="99"/>
    <w:semiHidden/>
    <w:qFormat/>
    <w:rsid w:val="001B7813"/>
    <w:rPr>
      <w:b/>
      <w:bCs/>
      <w:lang w:val="bg-BG" w:eastAsia="bg-BG"/>
    </w:rPr>
  </w:style>
  <w:style w:type="paragraph" w:styleId="IntenseQuote">
    <w:name w:val="Intense Quote"/>
    <w:basedOn w:val="Normal"/>
    <w:next w:val="Normal"/>
    <w:link w:val="IntenseQuoteChar"/>
    <w:uiPriority w:val="99"/>
    <w:semiHidden/>
    <w:qFormat/>
    <w:rsid w:val="001B7813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  <w:sz w:val="22"/>
      <w:lang w:bidi="en-US"/>
    </w:rPr>
  </w:style>
  <w:style w:type="character" w:customStyle="1" w:styleId="IntenseQuoteChar">
    <w:name w:val="Intense Quote Char"/>
    <w:link w:val="IntenseQuote"/>
    <w:uiPriority w:val="99"/>
    <w:semiHidden/>
    <w:rsid w:val="001B7813"/>
    <w:rPr>
      <w:rFonts w:eastAsia="MS Mincho"/>
      <w:b/>
      <w:bCs/>
      <w:i/>
      <w:iCs/>
      <w:lang w:val="bg-BG" w:eastAsia="bg-BG" w:bidi="en-US"/>
    </w:rPr>
  </w:style>
  <w:style w:type="character" w:styleId="IntenseReference">
    <w:name w:val="Intense Reference"/>
    <w:uiPriority w:val="99"/>
    <w:semiHidden/>
    <w:qFormat/>
    <w:rsid w:val="001B7813"/>
    <w:rPr>
      <w:smallCaps/>
      <w:spacing w:val="5"/>
      <w:u w:val="single"/>
      <w:lang w:val="bg-BG" w:eastAsia="bg-BG"/>
    </w:rPr>
  </w:style>
  <w:style w:type="paragraph" w:styleId="ListParagraph">
    <w:name w:val="List Paragraph"/>
    <w:basedOn w:val="Normal"/>
    <w:uiPriority w:val="99"/>
    <w:semiHidden/>
    <w:qFormat/>
    <w:rsid w:val="001B7813"/>
    <w:pPr>
      <w:ind w:left="720"/>
      <w:contextualSpacing/>
    </w:pPr>
  </w:style>
  <w:style w:type="table" w:customStyle="1" w:styleId="LtrTableAddress">
    <w:name w:val="Ltr_Table_Address"/>
    <w:basedOn w:val="TableNormal"/>
    <w:uiPriority w:val="99"/>
    <w:rsid w:val="001E6F32"/>
    <w:tblPr>
      <w:tblInd w:w="5103" w:type="dxa"/>
    </w:tblPr>
  </w:style>
  <w:style w:type="paragraph" w:styleId="Quote">
    <w:name w:val="Quote"/>
    <w:basedOn w:val="Normal"/>
    <w:next w:val="Normal"/>
    <w:link w:val="QuoteChar"/>
    <w:uiPriority w:val="99"/>
    <w:semiHidden/>
    <w:qFormat/>
    <w:rsid w:val="001B7813"/>
    <w:pPr>
      <w:spacing w:before="200"/>
      <w:ind w:left="360" w:right="360"/>
    </w:pPr>
    <w:rPr>
      <w:i/>
      <w:iCs/>
      <w:sz w:val="22"/>
      <w:lang w:bidi="en-US"/>
    </w:rPr>
  </w:style>
  <w:style w:type="character" w:customStyle="1" w:styleId="QuoteChar">
    <w:name w:val="Quote Char"/>
    <w:link w:val="Quote"/>
    <w:uiPriority w:val="99"/>
    <w:semiHidden/>
    <w:rsid w:val="001B7813"/>
    <w:rPr>
      <w:rFonts w:eastAsia="MS Mincho"/>
      <w:i/>
      <w:iCs/>
      <w:lang w:val="bg-BG" w:eastAsia="bg-BG" w:bidi="en-US"/>
    </w:rPr>
  </w:style>
  <w:style w:type="character" w:styleId="SubtleReference">
    <w:name w:val="Subtle Reference"/>
    <w:uiPriority w:val="99"/>
    <w:semiHidden/>
    <w:qFormat/>
    <w:rsid w:val="001B7813"/>
    <w:rPr>
      <w:smallCaps/>
      <w:lang w:val="bg-BG" w:eastAsia="bg-BG"/>
    </w:rPr>
  </w:style>
  <w:style w:type="table" w:styleId="TableGrid">
    <w:name w:val="Table Grid"/>
    <w:basedOn w:val="TableNormal"/>
    <w:uiPriority w:val="59"/>
    <w:semiHidden/>
    <w:rsid w:val="001B7813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99"/>
    <w:semiHidden/>
    <w:rsid w:val="001B7813"/>
    <w:pPr>
      <w:keepNext/>
      <w:tabs>
        <w:tab w:val="right" w:leader="dot" w:pos="7371"/>
      </w:tabs>
      <w:spacing w:before="160" w:after="60" w:line="240" w:lineRule="exact"/>
      <w:ind w:left="340" w:right="567" w:hanging="340"/>
    </w:pPr>
    <w:rPr>
      <w:b/>
      <w:sz w:val="22"/>
    </w:rPr>
  </w:style>
  <w:style w:type="paragraph" w:styleId="TOC2">
    <w:name w:val="toc 2"/>
    <w:basedOn w:val="Normal"/>
    <w:next w:val="Normal"/>
    <w:autoRedefine/>
    <w:uiPriority w:val="99"/>
    <w:semiHidden/>
    <w:rsid w:val="001B7813"/>
    <w:pPr>
      <w:keepNext/>
      <w:tabs>
        <w:tab w:val="right" w:leader="dot" w:pos="7371"/>
      </w:tabs>
      <w:spacing w:after="60" w:line="240" w:lineRule="exact"/>
      <w:ind w:left="680" w:right="567" w:hanging="340"/>
    </w:pPr>
    <w:rPr>
      <w:sz w:val="22"/>
    </w:rPr>
  </w:style>
  <w:style w:type="paragraph" w:styleId="TOC3">
    <w:name w:val="toc 3"/>
    <w:basedOn w:val="Normal"/>
    <w:next w:val="Normal"/>
    <w:autoRedefine/>
    <w:uiPriority w:val="99"/>
    <w:semiHidden/>
    <w:rsid w:val="001B7813"/>
    <w:pPr>
      <w:keepNext/>
      <w:tabs>
        <w:tab w:val="right" w:leader="dot" w:pos="7371"/>
      </w:tabs>
      <w:spacing w:after="60" w:line="240" w:lineRule="exact"/>
      <w:ind w:left="1020" w:right="567" w:hanging="340"/>
    </w:pPr>
    <w:rPr>
      <w:sz w:val="20"/>
    </w:rPr>
  </w:style>
  <w:style w:type="paragraph" w:styleId="TOC4">
    <w:name w:val="toc 4"/>
    <w:basedOn w:val="Normal"/>
    <w:next w:val="Normal"/>
    <w:autoRedefine/>
    <w:uiPriority w:val="99"/>
    <w:semiHidden/>
    <w:rsid w:val="001B7813"/>
    <w:pPr>
      <w:tabs>
        <w:tab w:val="right" w:leader="dot" w:pos="7371"/>
      </w:tabs>
      <w:spacing w:after="60" w:line="240" w:lineRule="exact"/>
      <w:ind w:left="1361" w:right="567" w:hanging="340"/>
    </w:pPr>
    <w:rPr>
      <w:sz w:val="20"/>
    </w:rPr>
  </w:style>
  <w:style w:type="paragraph" w:styleId="TOC5">
    <w:name w:val="toc 5"/>
    <w:basedOn w:val="Normal"/>
    <w:next w:val="Normal"/>
    <w:autoRedefine/>
    <w:uiPriority w:val="99"/>
    <w:semiHidden/>
    <w:rsid w:val="001B7813"/>
    <w:pPr>
      <w:tabs>
        <w:tab w:val="right" w:leader="dot" w:pos="7371"/>
      </w:tabs>
      <w:spacing w:after="60" w:line="240" w:lineRule="exact"/>
      <w:ind w:left="1701" w:right="567" w:hanging="340"/>
    </w:pPr>
    <w:rPr>
      <w:sz w:val="20"/>
    </w:rPr>
  </w:style>
  <w:style w:type="paragraph" w:styleId="TOCHeading">
    <w:name w:val="TOC Heading"/>
    <w:basedOn w:val="Normal"/>
    <w:next w:val="Normal"/>
    <w:uiPriority w:val="99"/>
    <w:semiHidden/>
    <w:qFormat/>
    <w:rsid w:val="001B7813"/>
    <w:pPr>
      <w:keepNext/>
      <w:keepLines/>
      <w:spacing w:before="240"/>
      <w:contextualSpacing/>
      <w:jc w:val="center"/>
    </w:pPr>
    <w:rPr>
      <w:rFonts w:eastAsia="Times New Roman"/>
      <w:b/>
      <w:color w:val="474747"/>
      <w:sz w:val="28"/>
    </w:rPr>
  </w:style>
  <w:style w:type="table" w:customStyle="1" w:styleId="UGTable">
    <w:name w:val="UG_Table"/>
    <w:basedOn w:val="TableNormal"/>
    <w:uiPriority w:val="99"/>
    <w:rsid w:val="00801300"/>
    <w:rPr>
      <w:rFonts w:eastAsia="MS Mincho"/>
      <w:lang w:val="en-GB" w:eastAsia="en-GB"/>
    </w:rPr>
    <w:tblPr>
      <w:tblInd w:w="-1191" w:type="dxa"/>
      <w:tblCellMar>
        <w:top w:w="57" w:type="dxa"/>
        <w:left w:w="0" w:type="dxa"/>
        <w:right w:w="0" w:type="dxa"/>
      </w:tblCellMar>
    </w:tbl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AEAEA"/>
      </w:tcPr>
    </w:tblStylePr>
  </w:style>
  <w:style w:type="table" w:customStyle="1" w:styleId="UGTableWhiteBox">
    <w:name w:val="UG_Table_White_Box"/>
    <w:basedOn w:val="TableNormal"/>
    <w:uiPriority w:val="99"/>
    <w:rsid w:val="00801300"/>
    <w:rPr>
      <w:rFonts w:eastAsia="MS Mincho"/>
      <w:lang w:val="en-GB" w:eastAsia="en-GB"/>
    </w:rPr>
    <w:tblPr>
      <w:tblBorders>
        <w:top w:val="single" w:sz="4" w:space="0" w:color="B9B9B9"/>
        <w:left w:val="single" w:sz="4" w:space="0" w:color="B9B9B9"/>
        <w:bottom w:val="single" w:sz="4" w:space="0" w:color="B9B9B9"/>
        <w:right w:val="single" w:sz="4" w:space="0" w:color="B9B9B9"/>
      </w:tblBorders>
      <w:tblCellMar>
        <w:top w:w="113" w:type="dxa"/>
        <w:left w:w="113" w:type="dxa"/>
        <w:bottom w:w="113" w:type="dxa"/>
        <w:right w:w="113" w:type="dxa"/>
      </w:tblCellMar>
    </w:tblPr>
    <w:tcPr>
      <w:shd w:val="clear" w:color="auto" w:fill="FFFFFF"/>
    </w:tcPr>
  </w:style>
  <w:style w:type="table" w:customStyle="1" w:styleId="PCFTableStyle">
    <w:name w:val="PCF_Table_Style"/>
    <w:basedOn w:val="TableNormal"/>
    <w:uiPriority w:val="99"/>
    <w:rsid w:val="00810B38"/>
    <w:rPr>
      <w:color w:val="000000"/>
      <w:sz w:val="18"/>
    </w:rPr>
    <w:tblPr>
      <w:tblBorders>
        <w:top w:val="single" w:sz="8" w:space="0" w:color="9F9F9F"/>
        <w:left w:val="single" w:sz="8" w:space="0" w:color="9F9F9F"/>
        <w:bottom w:val="single" w:sz="8" w:space="0" w:color="9F9F9F"/>
        <w:right w:val="single" w:sz="8" w:space="0" w:color="9F9F9F"/>
        <w:insideH w:val="single" w:sz="8" w:space="0" w:color="9F9F9F"/>
        <w:insideV w:val="single" w:sz="8" w:space="0" w:color="9F9F9F"/>
      </w:tblBorders>
    </w:tblPr>
    <w:tblStylePr w:type="firstRow">
      <w:pPr>
        <w:wordWrap/>
        <w:spacing w:beforeLines="0" w:before="120" w:beforeAutospacing="0" w:afterLines="0" w:after="120" w:afterAutospacing="0" w:line="240" w:lineRule="auto"/>
        <w:contextualSpacing/>
        <w:jc w:val="center"/>
      </w:pPr>
      <w:rPr>
        <w:b/>
        <w:i w:val="0"/>
        <w:color w:val="FFFFFF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72BC"/>
        <w:vAlign w:val="center"/>
      </w:tcPr>
    </w:tblStylePr>
    <w:tblStylePr w:type="firstCol">
      <w:pPr>
        <w:jc w:val="left"/>
      </w:pPr>
      <w:tblPr/>
      <w:tcPr>
        <w:vAlign w:val="center"/>
      </w:tcPr>
    </w:tblStylePr>
  </w:style>
  <w:style w:type="table" w:customStyle="1" w:styleId="ECHRTableFax">
    <w:name w:val="ECHR_Table_Fax"/>
    <w:basedOn w:val="TableNormal"/>
    <w:uiPriority w:val="99"/>
    <w:rsid w:val="00893576"/>
    <w:rPr>
      <w:color w:val="000000"/>
    </w:rPr>
    <w:tblPr>
      <w:tblInd w:w="-680" w:type="dxa"/>
      <w:tblBorders>
        <w:insideH w:val="single" w:sz="4" w:space="0" w:color="C6C6C6"/>
        <w:insideV w:val="single" w:sz="4" w:space="0" w:color="C6C6C6"/>
      </w:tblBorders>
      <w:tblCellMar>
        <w:top w:w="142" w:type="dxa"/>
        <w:bottom w:w="142" w:type="dxa"/>
      </w:tblCellMar>
    </w:tblPr>
    <w:trPr>
      <w:cantSplit/>
    </w:trPr>
  </w:style>
  <w:style w:type="table" w:customStyle="1" w:styleId="ECHRTableMemo">
    <w:name w:val="ECHR_Table_Memo"/>
    <w:basedOn w:val="TableNormal"/>
    <w:uiPriority w:val="99"/>
    <w:rsid w:val="00210338"/>
    <w:tblPr>
      <w:jc w:val="center"/>
      <w:tblCellMar>
        <w:top w:w="113" w:type="dxa"/>
        <w:left w:w="0" w:type="dxa"/>
        <w:bottom w:w="113" w:type="dxa"/>
        <w:right w:w="0" w:type="dxa"/>
      </w:tblCellMar>
    </w:tblPr>
    <w:trPr>
      <w:jc w:val="center"/>
    </w:trPr>
    <w:tblStylePr w:type="lastRow">
      <w:tblPr/>
      <w:tcPr>
        <w:tcBorders>
          <w:top w:val="nil"/>
          <w:left w:val="nil"/>
          <w:bottom w:val="single" w:sz="4" w:space="0" w:color="949494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CHRDNTable">
    <w:name w:val="ECHR_DN_Table"/>
    <w:aliases w:val="DN_Table"/>
    <w:basedOn w:val="TableNormal"/>
    <w:uiPriority w:val="99"/>
    <w:rsid w:val="0090506B"/>
    <w:tblPr>
      <w:jc w:val="center"/>
      <w:tblBorders>
        <w:left w:val="single" w:sz="4" w:space="0" w:color="949494"/>
        <w:bottom w:val="single" w:sz="4" w:space="0" w:color="949494"/>
        <w:right w:val="single" w:sz="4" w:space="0" w:color="949494"/>
        <w:insideH w:val="single" w:sz="4" w:space="0" w:color="949494"/>
        <w:insideV w:val="single" w:sz="4" w:space="0" w:color="949494"/>
      </w:tblBorders>
      <w:tblCellMar>
        <w:top w:w="57" w:type="dxa"/>
        <w:bottom w:w="57" w:type="dxa"/>
      </w:tblCellMar>
    </w:tblPr>
    <w:trPr>
      <w:jc w:val="center"/>
    </w:trPr>
    <w:tcPr>
      <w:vAlign w:val="center"/>
    </w:tcPr>
    <w:tblStylePr w:type="firstRow">
      <w:pPr>
        <w:wordWrap/>
        <w:spacing w:beforeLines="0"/>
        <w:ind w:leftChars="0" w:left="0"/>
      </w:pPr>
      <w:rPr>
        <w:rFonts w:ascii="Times New Roman" w:hAnsi="Times New Roman"/>
        <w:b/>
        <w:i w:val="0"/>
        <w:color w:val="474747"/>
        <w:sz w:val="24"/>
      </w:rPr>
      <w:tblPr/>
      <w:tcPr>
        <w:tcBorders>
          <w:top w:val="single" w:sz="4" w:space="0" w:color="949494"/>
          <w:left w:val="single" w:sz="4" w:space="0" w:color="949494"/>
          <w:bottom w:val="nil"/>
          <w:right w:val="single" w:sz="4" w:space="0" w:color="949494"/>
          <w:insideH w:val="nil"/>
          <w:insideV w:val="nil"/>
          <w:tl2br w:val="nil"/>
          <w:tr2bl w:val="nil"/>
        </w:tcBorders>
        <w:shd w:val="clear" w:color="auto" w:fill="DFDFDF"/>
      </w:tcPr>
    </w:tblStylePr>
  </w:style>
  <w:style w:type="paragraph" w:styleId="TOAHeading">
    <w:name w:val="toa heading"/>
    <w:basedOn w:val="Normal"/>
    <w:next w:val="Normal"/>
    <w:uiPriority w:val="99"/>
    <w:semiHidden/>
    <w:rsid w:val="001B7813"/>
    <w:pPr>
      <w:keepNext/>
      <w:keepLines/>
      <w:spacing w:before="240"/>
      <w:contextualSpacing/>
      <w:jc w:val="center"/>
    </w:pPr>
    <w:rPr>
      <w:rFonts w:eastAsia="MS Gothic"/>
      <w:b/>
      <w:bCs/>
      <w:color w:val="474747"/>
      <w:sz w:val="28"/>
      <w:szCs w:val="24"/>
    </w:rPr>
  </w:style>
  <w:style w:type="paragraph" w:customStyle="1" w:styleId="ECHRParaQuote">
    <w:name w:val="ECHR_Para_Quote"/>
    <w:aliases w:val="Ju_Quot"/>
    <w:basedOn w:val="Normal"/>
    <w:link w:val="JuQuotChar"/>
    <w:uiPriority w:val="14"/>
    <w:qFormat/>
    <w:rsid w:val="001B7813"/>
    <w:pPr>
      <w:spacing w:before="120" w:after="120"/>
      <w:ind w:left="425" w:firstLine="142"/>
    </w:pPr>
    <w:rPr>
      <w:sz w:val="20"/>
    </w:rPr>
  </w:style>
  <w:style w:type="paragraph" w:customStyle="1" w:styleId="ECHRPara">
    <w:name w:val="ECHR_Para"/>
    <w:aliases w:val="Ju_Para"/>
    <w:basedOn w:val="Normal"/>
    <w:link w:val="ECHRParaChar"/>
    <w:uiPriority w:val="12"/>
    <w:qFormat/>
    <w:rsid w:val="001B7813"/>
    <w:pPr>
      <w:ind w:firstLine="284"/>
    </w:pPr>
  </w:style>
  <w:style w:type="table" w:customStyle="1" w:styleId="ECHRTableSimpleBox">
    <w:name w:val="ECHR_Table_Simple_Box"/>
    <w:basedOn w:val="TableNormal"/>
    <w:uiPriority w:val="99"/>
    <w:rsid w:val="00AE354C"/>
    <w:tblPr>
      <w:tblBorders>
        <w:top w:val="single" w:sz="4" w:space="0" w:color="9F9F9F"/>
        <w:left w:val="single" w:sz="4" w:space="0" w:color="9F9F9F"/>
        <w:bottom w:val="single" w:sz="4" w:space="0" w:color="9F9F9F"/>
        <w:right w:val="single" w:sz="4" w:space="0" w:color="9F9F9F"/>
      </w:tblBorders>
      <w:tblCellMar>
        <w:top w:w="113" w:type="dxa"/>
        <w:bottom w:w="113" w:type="dxa"/>
      </w:tblCellMar>
    </w:tblPr>
  </w:style>
  <w:style w:type="table" w:customStyle="1" w:styleId="ECHRTableNoLines">
    <w:name w:val="ECHR_Table_No_Lines"/>
    <w:basedOn w:val="TableNormal"/>
    <w:uiPriority w:val="99"/>
    <w:rsid w:val="00F218EF"/>
    <w:tblPr>
      <w:tblCellMar>
        <w:top w:w="85" w:type="dxa"/>
        <w:left w:w="142" w:type="dxa"/>
        <w:bottom w:w="28" w:type="dxa"/>
        <w:right w:w="142" w:type="dxa"/>
      </w:tblCellMar>
    </w:tblPr>
    <w:tblStylePr w:type="firstRow">
      <w:rPr>
        <w:rFonts w:ascii="Times New Roman" w:hAnsi="Times New Roman"/>
        <w:b/>
        <w:i w:val="0"/>
        <w:color w:val="474747"/>
        <w:sz w:val="24"/>
      </w:rPr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nil"/>
          <w:insideV w:val="nil"/>
          <w:tl2br w:val="nil"/>
          <w:tr2bl w:val="nil"/>
        </w:tcBorders>
        <w:shd w:val="clear" w:color="auto" w:fill="DFDFDF"/>
      </w:tcPr>
    </w:tblStylePr>
    <w:tblStylePr w:type="firstCol"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</w:tcBorders>
      </w:tcPr>
    </w:tblStylePr>
  </w:style>
  <w:style w:type="table" w:customStyle="1" w:styleId="ECHRTableForInternalUse">
    <w:name w:val="ECHR_Table_For_Internal_Use"/>
    <w:basedOn w:val="TableNormal"/>
    <w:uiPriority w:val="99"/>
    <w:rsid w:val="005474E7"/>
    <w:rPr>
      <w:color w:val="636363"/>
      <w:sz w:val="18"/>
    </w:rPr>
    <w:tblPr>
      <w:tblStyleColBandSize w:val="1"/>
      <w:jc w:val="right"/>
      <w:tblCellMar>
        <w:top w:w="113" w:type="dxa"/>
        <w:bottom w:w="28" w:type="dxa"/>
      </w:tblCellMar>
    </w:tblPr>
    <w:trPr>
      <w:jc w:val="right"/>
    </w:trPr>
    <w:tblStylePr w:type="firstRow">
      <w:rPr>
        <w:b/>
      </w:rPr>
    </w:tblStylePr>
    <w:tblStylePr w:type="lastCol">
      <w:pPr>
        <w:jc w:val="right"/>
      </w:pPr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  <w:tl2br w:val="nil"/>
          <w:tr2bl w:val="nil"/>
        </w:tcBorders>
      </w:tcPr>
    </w:tblStylePr>
    <w:tblStylePr w:type="band1Vert"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  <w:tl2br w:val="nil"/>
          <w:tr2bl w:val="nil"/>
        </w:tcBorders>
      </w:tcPr>
    </w:tblStylePr>
  </w:style>
  <w:style w:type="table" w:customStyle="1" w:styleId="ECHRListTable">
    <w:name w:val="ECHR_List_Table"/>
    <w:basedOn w:val="TableNormal"/>
    <w:uiPriority w:val="99"/>
    <w:rsid w:val="001B7813"/>
    <w:tblPr>
      <w:tblBorders>
        <w:top w:val="single" w:sz="4" w:space="0" w:color="949494"/>
        <w:left w:val="single" w:sz="4" w:space="0" w:color="949494"/>
        <w:bottom w:val="single" w:sz="4" w:space="0" w:color="949494"/>
        <w:right w:val="single" w:sz="4" w:space="0" w:color="949494"/>
        <w:insideH w:val="single" w:sz="4" w:space="0" w:color="949494"/>
        <w:insideV w:val="single" w:sz="4" w:space="0" w:color="949494"/>
      </w:tblBorders>
      <w:tblCellMar>
        <w:top w:w="28" w:type="dxa"/>
        <w:bottom w:w="28" w:type="dxa"/>
      </w:tblCellMar>
    </w:tblPr>
    <w:tblStylePr w:type="firstRow">
      <w:rPr>
        <w:b/>
        <w:color w:val="474747"/>
      </w:rPr>
      <w:tblPr/>
      <w:trPr>
        <w:tblHeader/>
      </w:trPr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single" w:sz="4" w:space="0" w:color="949494"/>
          <w:insideV w:val="single" w:sz="4" w:space="0" w:color="949494"/>
        </w:tcBorders>
        <w:shd w:val="clear" w:color="auto" w:fill="DFDFDF"/>
      </w:tcPr>
    </w:tblStylePr>
  </w:style>
  <w:style w:type="table" w:customStyle="1" w:styleId="ECHRHeaderTable">
    <w:name w:val="ECHR_Header_Table"/>
    <w:basedOn w:val="TableNormal"/>
    <w:uiPriority w:val="99"/>
    <w:rsid w:val="00661971"/>
    <w:tblPr>
      <w:tblInd w:w="-680" w:type="dxa"/>
      <w:tblBorders>
        <w:bottom w:val="single" w:sz="6" w:space="0" w:color="949494"/>
      </w:tblBorders>
      <w:tblCellMar>
        <w:left w:w="0" w:type="dxa"/>
        <w:bottom w:w="28" w:type="dxa"/>
        <w:right w:w="0" w:type="dxa"/>
      </w:tblCellMar>
    </w:tblPr>
    <w:tcPr>
      <w:vAlign w:val="bottom"/>
    </w:tcPr>
    <w:tblStylePr w:type="lastCol">
      <w:pPr>
        <w:wordWrap/>
        <w:jc w:val="both"/>
      </w:pPr>
    </w:tblStylePr>
  </w:style>
  <w:style w:type="table" w:customStyle="1" w:styleId="ECHRTableOddBanded">
    <w:name w:val="ECHR_Table_Odd_Banded"/>
    <w:basedOn w:val="TableNormal"/>
    <w:uiPriority w:val="99"/>
    <w:rsid w:val="00860B03"/>
    <w:tblPr>
      <w:tblStyleRowBandSize w:val="1"/>
      <w:tblStyleColBandSize w:val="1"/>
      <w:tblBorders>
        <w:top w:val="single" w:sz="4" w:space="0" w:color="949494"/>
        <w:left w:val="single" w:sz="4" w:space="0" w:color="949494"/>
        <w:bottom w:val="single" w:sz="4" w:space="0" w:color="949494"/>
        <w:right w:val="single" w:sz="4" w:space="0" w:color="949494"/>
        <w:insideH w:val="single" w:sz="4" w:space="0" w:color="949494"/>
        <w:insideV w:val="single" w:sz="4" w:space="0" w:color="949494"/>
      </w:tblBorders>
      <w:tblCellMar>
        <w:top w:w="28" w:type="dxa"/>
        <w:bottom w:w="28" w:type="dxa"/>
      </w:tblCellMar>
    </w:tblPr>
    <w:tblStylePr w:type="firstRow">
      <w:rPr>
        <w:rFonts w:ascii="Times New Roman" w:hAnsi="Times New Roman"/>
        <w:b/>
        <w:i w:val="0"/>
        <w:color w:val="474747"/>
        <w:sz w:val="22"/>
      </w:rPr>
      <w:tblPr/>
      <w:tcPr>
        <w:tcBorders>
          <w:top w:val="single" w:sz="4" w:space="0" w:color="949494"/>
          <w:left w:val="single" w:sz="4" w:space="0" w:color="949494"/>
          <w:bottom w:val="single" w:sz="4" w:space="0" w:color="949494"/>
          <w:right w:val="single" w:sz="4" w:space="0" w:color="949494"/>
          <w:insideH w:val="nil"/>
          <w:insideV w:val="single" w:sz="4" w:space="0" w:color="949494"/>
          <w:tl2br w:val="nil"/>
          <w:tr2bl w:val="nil"/>
        </w:tcBorders>
        <w:shd w:val="clear" w:color="auto" w:fill="DFDFD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/>
      </w:tcPr>
    </w:tblStylePr>
    <w:tblStylePr w:type="band1Horz">
      <w:rPr>
        <w:b/>
      </w:rPr>
      <w:tblPr/>
      <w:tcPr>
        <w:shd w:val="clear" w:color="auto" w:fill="DFDFDF"/>
      </w:tcPr>
    </w:tblStylePr>
  </w:style>
  <w:style w:type="paragraph" w:customStyle="1" w:styleId="ECHRDecisionBody">
    <w:name w:val="ECHR_Decision_Body"/>
    <w:aliases w:val="Ju_Judges"/>
    <w:basedOn w:val="Normal"/>
    <w:uiPriority w:val="11"/>
    <w:qFormat/>
    <w:rsid w:val="001B7813"/>
    <w:pPr>
      <w:tabs>
        <w:tab w:val="left" w:pos="567"/>
        <w:tab w:val="left" w:pos="1134"/>
      </w:tabs>
      <w:jc w:val="left"/>
    </w:pPr>
  </w:style>
  <w:style w:type="table" w:customStyle="1" w:styleId="ECHRHeaderTableReduced">
    <w:name w:val="ECHR_Header_Table_Reduced"/>
    <w:basedOn w:val="TableNormal"/>
    <w:uiPriority w:val="99"/>
    <w:rsid w:val="00B52BE0"/>
    <w:tblPr>
      <w:tblInd w:w="-680" w:type="dxa"/>
      <w:tblCellMar>
        <w:left w:w="0" w:type="dxa"/>
        <w:right w:w="0" w:type="dxa"/>
      </w:tblCellMar>
    </w:tblPr>
    <w:tcPr>
      <w:vAlign w:val="bottom"/>
    </w:tcPr>
    <w:tblStylePr w:type="firstRow">
      <w:tblPr/>
      <w:tcPr>
        <w:tcBorders>
          <w:top w:val="nil"/>
          <w:left w:val="nil"/>
          <w:bottom w:val="single" w:sz="6" w:space="0" w:color="949494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jc w:val="right"/>
      </w:pPr>
      <w:tblPr/>
      <w:tcPr>
        <w:tcBorders>
          <w:top w:val="single" w:sz="6" w:space="0" w:color="949494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JuList">
    <w:name w:val="Ju_List"/>
    <w:basedOn w:val="Normal"/>
    <w:uiPriority w:val="28"/>
    <w:qFormat/>
    <w:rsid w:val="001B7813"/>
    <w:pPr>
      <w:ind w:left="340" w:hanging="340"/>
    </w:pPr>
  </w:style>
  <w:style w:type="paragraph" w:customStyle="1" w:styleId="JuSigned">
    <w:name w:val="Ju_Signed"/>
    <w:basedOn w:val="Normal"/>
    <w:next w:val="JuParaLast"/>
    <w:uiPriority w:val="32"/>
    <w:qFormat/>
    <w:rsid w:val="001B7813"/>
    <w:pPr>
      <w:tabs>
        <w:tab w:val="center" w:pos="851"/>
        <w:tab w:val="center" w:pos="6407"/>
      </w:tabs>
      <w:spacing w:before="720"/>
      <w:jc w:val="left"/>
    </w:pPr>
  </w:style>
  <w:style w:type="paragraph" w:customStyle="1" w:styleId="JuParaLast">
    <w:name w:val="Ju_Para_Last"/>
    <w:basedOn w:val="Normal"/>
    <w:next w:val="ECHRPara"/>
    <w:uiPriority w:val="30"/>
    <w:qFormat/>
    <w:rsid w:val="001B7813"/>
    <w:pPr>
      <w:keepNext/>
      <w:keepLines/>
      <w:spacing w:before="240"/>
      <w:ind w:firstLine="284"/>
    </w:pPr>
  </w:style>
  <w:style w:type="paragraph" w:customStyle="1" w:styleId="OpiH1">
    <w:name w:val="Opi_H_1"/>
    <w:basedOn w:val="ECHRHeading2"/>
    <w:uiPriority w:val="42"/>
    <w:qFormat/>
    <w:rsid w:val="001B7813"/>
    <w:pPr>
      <w:ind w:left="635" w:hanging="357"/>
      <w:outlineLvl w:val="2"/>
    </w:pPr>
  </w:style>
  <w:style w:type="character" w:styleId="PageNumber">
    <w:name w:val="page number"/>
    <w:uiPriority w:val="99"/>
    <w:semiHidden/>
    <w:rsid w:val="00014566"/>
    <w:rPr>
      <w:sz w:val="18"/>
      <w:lang w:val="bg-BG" w:eastAsia="bg-BG"/>
    </w:rPr>
  </w:style>
  <w:style w:type="paragraph" w:customStyle="1" w:styleId="JuLista">
    <w:name w:val="Ju_List_a"/>
    <w:basedOn w:val="JuList"/>
    <w:uiPriority w:val="28"/>
    <w:qFormat/>
    <w:rsid w:val="001B7813"/>
    <w:pPr>
      <w:ind w:left="346" w:firstLine="0"/>
    </w:pPr>
  </w:style>
  <w:style w:type="paragraph" w:customStyle="1" w:styleId="JuListi">
    <w:name w:val="Ju_List_i"/>
    <w:basedOn w:val="Normal"/>
    <w:next w:val="JuLista"/>
    <w:uiPriority w:val="28"/>
    <w:qFormat/>
    <w:rsid w:val="001B7813"/>
    <w:pPr>
      <w:ind w:left="794"/>
    </w:pPr>
  </w:style>
  <w:style w:type="character" w:styleId="CommentReference">
    <w:name w:val="annotation reference"/>
    <w:uiPriority w:val="99"/>
    <w:semiHidden/>
    <w:rsid w:val="00014566"/>
    <w:rPr>
      <w:sz w:val="16"/>
      <w:lang w:val="bg-BG" w:eastAsia="bg-BG"/>
    </w:rPr>
  </w:style>
  <w:style w:type="paragraph" w:styleId="CommentText">
    <w:name w:val="annotation text"/>
    <w:basedOn w:val="Normal"/>
    <w:link w:val="CommentTextChar"/>
    <w:uiPriority w:val="99"/>
    <w:semiHidden/>
    <w:rsid w:val="00014566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014566"/>
    <w:rPr>
      <w:rFonts w:eastAsia="MS Mincho"/>
      <w:sz w:val="20"/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1456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14566"/>
    <w:rPr>
      <w:rFonts w:eastAsia="MS Mincho"/>
      <w:b/>
      <w:bCs/>
      <w:sz w:val="20"/>
      <w:lang w:val="bg-BG" w:eastAsia="bg-BG"/>
    </w:rPr>
  </w:style>
  <w:style w:type="character" w:styleId="EndnoteReference">
    <w:name w:val="endnote reference"/>
    <w:uiPriority w:val="99"/>
    <w:semiHidden/>
    <w:rsid w:val="001B7813"/>
    <w:rPr>
      <w:vertAlign w:val="superscript"/>
      <w:lang w:val="bg-BG" w:eastAsia="bg-BG"/>
    </w:rPr>
  </w:style>
  <w:style w:type="paragraph" w:styleId="EndnoteText">
    <w:name w:val="endnote text"/>
    <w:basedOn w:val="Normal"/>
    <w:link w:val="EndnoteTextChar"/>
    <w:uiPriority w:val="99"/>
    <w:semiHidden/>
    <w:rsid w:val="001B7813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1B7813"/>
    <w:rPr>
      <w:rFonts w:eastAsia="MS Mincho"/>
      <w:sz w:val="20"/>
      <w:szCs w:val="20"/>
      <w:lang w:val="bg-BG" w:eastAsia="bg-BG"/>
    </w:rPr>
  </w:style>
  <w:style w:type="character" w:styleId="FollowedHyperlink">
    <w:name w:val="FollowedHyperlink"/>
    <w:uiPriority w:val="99"/>
    <w:semiHidden/>
    <w:rsid w:val="00014566"/>
    <w:rPr>
      <w:color w:val="800080"/>
      <w:u w:val="single"/>
      <w:lang w:val="bg-BG" w:eastAsia="bg-BG"/>
    </w:rPr>
  </w:style>
  <w:style w:type="paragraph" w:styleId="DocumentMap">
    <w:name w:val="Document Map"/>
    <w:basedOn w:val="Normal"/>
    <w:link w:val="DocumentMapChar"/>
    <w:uiPriority w:val="99"/>
    <w:semiHidden/>
    <w:rsid w:val="00014566"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MapChar">
    <w:name w:val="Document Map Char"/>
    <w:link w:val="DocumentMap"/>
    <w:uiPriority w:val="99"/>
    <w:semiHidden/>
    <w:rsid w:val="00014566"/>
    <w:rPr>
      <w:rFonts w:ascii="Tahoma" w:eastAsia="MS Mincho" w:hAnsi="Tahoma" w:cs="Tahoma"/>
      <w:sz w:val="20"/>
      <w:lang w:val="bg-BG" w:eastAsia="bg-BG"/>
    </w:rPr>
  </w:style>
  <w:style w:type="paragraph" w:customStyle="1" w:styleId="OpiHa">
    <w:name w:val="Opi_H_a"/>
    <w:basedOn w:val="ECHRHeading3"/>
    <w:uiPriority w:val="43"/>
    <w:qFormat/>
    <w:rsid w:val="001B7813"/>
    <w:pPr>
      <w:ind w:left="833" w:hanging="357"/>
      <w:outlineLvl w:val="3"/>
    </w:pPr>
    <w:rPr>
      <w:b/>
      <w:i w:val="0"/>
      <w:sz w:val="20"/>
    </w:rPr>
  </w:style>
  <w:style w:type="paragraph" w:styleId="ListBullet">
    <w:name w:val="List Bullet"/>
    <w:basedOn w:val="Normal"/>
    <w:uiPriority w:val="99"/>
    <w:semiHidden/>
    <w:rsid w:val="00014566"/>
    <w:pPr>
      <w:numPr>
        <w:numId w:val="1"/>
      </w:numPr>
    </w:pPr>
  </w:style>
  <w:style w:type="character" w:customStyle="1" w:styleId="JuITMark">
    <w:name w:val="Ju_ITMark"/>
    <w:uiPriority w:val="38"/>
    <w:qFormat/>
    <w:rsid w:val="001B7813"/>
    <w:rPr>
      <w:color w:val="000000"/>
      <w:sz w:val="14"/>
      <w:bdr w:val="none" w:sz="0" w:space="0" w:color="auto"/>
      <w:lang w:val="bg-BG" w:eastAsia="bg-BG"/>
    </w:rPr>
  </w:style>
  <w:style w:type="paragraph" w:styleId="Subtitle">
    <w:name w:val="Subtitle"/>
    <w:basedOn w:val="Normal"/>
    <w:next w:val="Normal"/>
    <w:link w:val="SubtitleChar"/>
    <w:uiPriority w:val="99"/>
    <w:semiHidden/>
    <w:qFormat/>
    <w:rsid w:val="001B7813"/>
    <w:pPr>
      <w:spacing w:after="600"/>
    </w:pPr>
    <w:rPr>
      <w:rFonts w:eastAsia="MS Gothic"/>
      <w:i/>
      <w:iCs/>
      <w:spacing w:val="13"/>
      <w:szCs w:val="24"/>
      <w:lang w:bidi="en-US"/>
    </w:rPr>
  </w:style>
  <w:style w:type="character" w:customStyle="1" w:styleId="SubtitleChar">
    <w:name w:val="Subtitle Char"/>
    <w:link w:val="Subtitle"/>
    <w:uiPriority w:val="99"/>
    <w:semiHidden/>
    <w:rsid w:val="001B7813"/>
    <w:rPr>
      <w:rFonts w:ascii="Times New Roman" w:eastAsia="MS Gothic" w:hAnsi="Times New Roman" w:cs="Times New Roman"/>
      <w:i/>
      <w:iCs/>
      <w:spacing w:val="13"/>
      <w:sz w:val="24"/>
      <w:szCs w:val="24"/>
      <w:lang w:val="bg-BG" w:eastAsia="bg-BG" w:bidi="en-US"/>
    </w:rPr>
  </w:style>
  <w:style w:type="numbering" w:styleId="111111">
    <w:name w:val="Outline List 2"/>
    <w:basedOn w:val="NoList"/>
    <w:uiPriority w:val="99"/>
    <w:semiHidden/>
    <w:rsid w:val="00014566"/>
    <w:pPr>
      <w:numPr>
        <w:numId w:val="2"/>
      </w:numPr>
    </w:pPr>
  </w:style>
  <w:style w:type="numbering" w:styleId="1ai">
    <w:name w:val="Outline List 1"/>
    <w:basedOn w:val="NoList"/>
    <w:uiPriority w:val="99"/>
    <w:semiHidden/>
    <w:rsid w:val="00014566"/>
    <w:pPr>
      <w:numPr>
        <w:numId w:val="3"/>
      </w:numPr>
    </w:pPr>
  </w:style>
  <w:style w:type="numbering" w:styleId="ArticleSection">
    <w:name w:val="Outline List 3"/>
    <w:basedOn w:val="NoList"/>
    <w:uiPriority w:val="99"/>
    <w:semiHidden/>
    <w:rsid w:val="00014566"/>
    <w:pPr>
      <w:numPr>
        <w:numId w:val="4"/>
      </w:numPr>
    </w:pPr>
  </w:style>
  <w:style w:type="paragraph" w:styleId="Bibliography">
    <w:name w:val="Bibliography"/>
    <w:basedOn w:val="Normal"/>
    <w:next w:val="Normal"/>
    <w:uiPriority w:val="99"/>
    <w:semiHidden/>
    <w:unhideWhenUsed/>
    <w:rsid w:val="00014566"/>
  </w:style>
  <w:style w:type="paragraph" w:styleId="BlockText">
    <w:name w:val="Block Text"/>
    <w:basedOn w:val="Normal"/>
    <w:uiPriority w:val="99"/>
    <w:semiHidden/>
    <w:rsid w:val="00014566"/>
    <w:pPr>
      <w:pBdr>
        <w:top w:val="single" w:sz="2" w:space="10" w:color="0072BC" w:shadow="1" w:frame="1"/>
        <w:left w:val="single" w:sz="2" w:space="10" w:color="0072BC" w:shadow="1" w:frame="1"/>
        <w:bottom w:val="single" w:sz="2" w:space="10" w:color="0072BC" w:shadow="1" w:frame="1"/>
        <w:right w:val="single" w:sz="2" w:space="10" w:color="0072BC" w:shadow="1" w:frame="1"/>
      </w:pBdr>
      <w:ind w:left="1152" w:right="1152"/>
    </w:pPr>
    <w:rPr>
      <w:i/>
      <w:iCs/>
      <w:color w:val="0072BC"/>
    </w:rPr>
  </w:style>
  <w:style w:type="paragraph" w:styleId="BodyText">
    <w:name w:val="Body Text"/>
    <w:basedOn w:val="Normal"/>
    <w:link w:val="BodyTextChar"/>
    <w:uiPriority w:val="99"/>
    <w:semiHidden/>
    <w:rsid w:val="00014566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014566"/>
    <w:rPr>
      <w:rFonts w:eastAsia="MS Mincho"/>
      <w:sz w:val="24"/>
      <w:lang w:val="bg-BG" w:eastAsia="bg-BG"/>
    </w:rPr>
  </w:style>
  <w:style w:type="paragraph" w:styleId="BodyText2">
    <w:name w:val="Body Text 2"/>
    <w:basedOn w:val="Normal"/>
    <w:link w:val="BodyText2Char"/>
    <w:uiPriority w:val="99"/>
    <w:semiHidden/>
    <w:rsid w:val="00014566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rsid w:val="00014566"/>
    <w:rPr>
      <w:rFonts w:eastAsia="MS Mincho"/>
      <w:sz w:val="24"/>
      <w:lang w:val="bg-BG" w:eastAsia="bg-BG"/>
    </w:rPr>
  </w:style>
  <w:style w:type="paragraph" w:styleId="BodyText3">
    <w:name w:val="Body Text 3"/>
    <w:basedOn w:val="Normal"/>
    <w:link w:val="BodyText3Char"/>
    <w:uiPriority w:val="99"/>
    <w:semiHidden/>
    <w:rsid w:val="00014566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014566"/>
    <w:rPr>
      <w:rFonts w:eastAsia="MS Mincho"/>
      <w:sz w:val="16"/>
      <w:szCs w:val="16"/>
      <w:lang w:val="bg-BG" w:eastAsia="bg-BG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014566"/>
    <w:p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014566"/>
    <w:rPr>
      <w:rFonts w:eastAsia="MS Mincho"/>
      <w:sz w:val="24"/>
      <w:lang w:val="bg-BG" w:eastAsia="bg-BG"/>
    </w:rPr>
  </w:style>
  <w:style w:type="paragraph" w:styleId="BodyTextIndent">
    <w:name w:val="Body Text Indent"/>
    <w:basedOn w:val="Normal"/>
    <w:link w:val="BodyTextIndentChar"/>
    <w:uiPriority w:val="99"/>
    <w:semiHidden/>
    <w:rsid w:val="00014566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014566"/>
    <w:rPr>
      <w:rFonts w:eastAsia="MS Mincho"/>
      <w:sz w:val="24"/>
      <w:lang w:val="bg-BG" w:eastAsia="bg-BG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014566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014566"/>
    <w:rPr>
      <w:rFonts w:eastAsia="MS Mincho"/>
      <w:sz w:val="24"/>
      <w:lang w:val="bg-BG" w:eastAsia="bg-BG"/>
    </w:rPr>
  </w:style>
  <w:style w:type="paragraph" w:styleId="BodyTextIndent2">
    <w:name w:val="Body Text Indent 2"/>
    <w:basedOn w:val="Normal"/>
    <w:link w:val="BodyTextIndent2Char"/>
    <w:uiPriority w:val="99"/>
    <w:semiHidden/>
    <w:rsid w:val="00014566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014566"/>
    <w:rPr>
      <w:rFonts w:eastAsia="MS Mincho"/>
      <w:sz w:val="24"/>
      <w:lang w:val="bg-BG" w:eastAsia="bg-BG"/>
    </w:rPr>
  </w:style>
  <w:style w:type="paragraph" w:styleId="BodyTextIndent3">
    <w:name w:val="Body Text Indent 3"/>
    <w:basedOn w:val="Normal"/>
    <w:link w:val="BodyTextIndent3Char"/>
    <w:uiPriority w:val="99"/>
    <w:semiHidden/>
    <w:rsid w:val="0001456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014566"/>
    <w:rPr>
      <w:rFonts w:eastAsia="MS Mincho"/>
      <w:sz w:val="16"/>
      <w:szCs w:val="16"/>
      <w:lang w:val="bg-BG" w:eastAsia="bg-BG"/>
    </w:rPr>
  </w:style>
  <w:style w:type="paragraph" w:styleId="Caption">
    <w:name w:val="caption"/>
    <w:basedOn w:val="Normal"/>
    <w:next w:val="Normal"/>
    <w:uiPriority w:val="99"/>
    <w:semiHidden/>
    <w:qFormat/>
    <w:rsid w:val="00014566"/>
    <w:pPr>
      <w:spacing w:after="200"/>
    </w:pPr>
    <w:rPr>
      <w:b/>
      <w:bCs/>
      <w:color w:val="0072BC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rsid w:val="00014566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014566"/>
    <w:rPr>
      <w:rFonts w:eastAsia="MS Mincho"/>
      <w:sz w:val="24"/>
      <w:lang w:val="bg-BG" w:eastAsia="bg-BG"/>
    </w:rPr>
  </w:style>
  <w:style w:type="table" w:styleId="ColorfulGrid">
    <w:name w:val="Colorful Grid"/>
    <w:basedOn w:val="TableNormal"/>
    <w:uiPriority w:val="99"/>
    <w:semiHidden/>
    <w:rsid w:val="00014566"/>
    <w:rPr>
      <w:color w:val="000000"/>
      <w:lang w:val="fr-FR" w:eastAsia="fr-FR"/>
    </w:rPr>
    <w:tblPr>
      <w:tblStyleRowBandSize w:val="1"/>
      <w:tblStyleColBandSize w:val="1"/>
      <w:tblBorders>
        <w:insideH w:val="single" w:sz="4" w:space="0" w:color="0072BC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0072BC"/>
      </w:rPr>
      <w:tblPr/>
      <w:tcPr>
        <w:shd w:val="clear" w:color="auto" w:fill="000000"/>
      </w:tcPr>
    </w:tblStylePr>
    <w:tblStylePr w:type="lastCol">
      <w:rPr>
        <w:color w:val="0072BC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99"/>
    <w:semiHidden/>
    <w:rsid w:val="00014566"/>
    <w:rPr>
      <w:color w:val="000000"/>
      <w:lang w:val="fr-FR" w:eastAsia="fr-FR"/>
    </w:rPr>
    <w:tblPr>
      <w:tblStyleRowBandSize w:val="1"/>
      <w:tblStyleColBandSize w:val="1"/>
      <w:tblBorders>
        <w:insideH w:val="single" w:sz="4" w:space="0" w:color="0072BC"/>
      </w:tblBorders>
    </w:tblPr>
    <w:tcPr>
      <w:shd w:val="clear" w:color="auto" w:fill="BEE5FF"/>
    </w:tcPr>
    <w:tblStylePr w:type="firstRow">
      <w:rPr>
        <w:b/>
        <w:bCs/>
      </w:rPr>
      <w:tblPr/>
      <w:tcPr>
        <w:shd w:val="clear" w:color="auto" w:fill="7ECBFF"/>
      </w:tcPr>
    </w:tblStylePr>
    <w:tblStylePr w:type="lastRow">
      <w:rPr>
        <w:b/>
        <w:bCs/>
        <w:color w:val="000000"/>
      </w:rPr>
      <w:tblPr/>
      <w:tcPr>
        <w:shd w:val="clear" w:color="auto" w:fill="7ECBFF"/>
      </w:tcPr>
    </w:tblStylePr>
    <w:tblStylePr w:type="firstCol">
      <w:rPr>
        <w:color w:val="0072BC"/>
      </w:rPr>
      <w:tblPr/>
      <w:tcPr>
        <w:shd w:val="clear" w:color="auto" w:fill="00548C"/>
      </w:tcPr>
    </w:tblStylePr>
    <w:tblStylePr w:type="lastCol">
      <w:rPr>
        <w:color w:val="0072BC"/>
      </w:rPr>
      <w:tblPr/>
      <w:tcPr>
        <w:shd w:val="clear" w:color="auto" w:fill="00548C"/>
      </w:tcPr>
    </w:tblStylePr>
    <w:tblStylePr w:type="band1Vert">
      <w:tblPr/>
      <w:tcPr>
        <w:shd w:val="clear" w:color="auto" w:fill="5EBFFF"/>
      </w:tcPr>
    </w:tblStylePr>
    <w:tblStylePr w:type="band1Horz">
      <w:tblPr/>
      <w:tcPr>
        <w:shd w:val="clear" w:color="auto" w:fill="5EBFFF"/>
      </w:tcPr>
    </w:tblStylePr>
  </w:style>
  <w:style w:type="table" w:styleId="ColorfulGrid-Accent2">
    <w:name w:val="Colorful Grid Accent 2"/>
    <w:basedOn w:val="TableNormal"/>
    <w:uiPriority w:val="99"/>
    <w:semiHidden/>
    <w:rsid w:val="00014566"/>
    <w:rPr>
      <w:color w:val="000000"/>
      <w:lang w:val="fr-FR" w:eastAsia="fr-FR"/>
    </w:rPr>
    <w:tblPr>
      <w:tblStyleRowBandSize w:val="1"/>
      <w:tblStyleColBandSize w:val="1"/>
      <w:tblBorders>
        <w:insideH w:val="single" w:sz="4" w:space="0" w:color="0072BC"/>
      </w:tblBorders>
    </w:tblPr>
    <w:tcPr>
      <w:shd w:val="clear" w:color="auto" w:fill="FFBFBF"/>
    </w:tcPr>
    <w:tblStylePr w:type="firstRow">
      <w:rPr>
        <w:b/>
        <w:bCs/>
      </w:rPr>
      <w:tblPr/>
      <w:tcPr>
        <w:shd w:val="clear" w:color="auto" w:fill="FF7F7F"/>
      </w:tcPr>
    </w:tblStylePr>
    <w:tblStylePr w:type="lastRow">
      <w:rPr>
        <w:b/>
        <w:bCs/>
        <w:color w:val="000000"/>
      </w:rPr>
      <w:tblPr/>
      <w:tcPr>
        <w:shd w:val="clear" w:color="auto" w:fill="FF7F7F"/>
      </w:tcPr>
    </w:tblStylePr>
    <w:tblStylePr w:type="firstCol">
      <w:rPr>
        <w:color w:val="0072BC"/>
      </w:rPr>
      <w:tblPr/>
      <w:tcPr>
        <w:shd w:val="clear" w:color="auto" w:fill="8F0000"/>
      </w:tcPr>
    </w:tblStylePr>
    <w:tblStylePr w:type="lastCol">
      <w:rPr>
        <w:color w:val="0072BC"/>
      </w:rPr>
      <w:tblPr/>
      <w:tcPr>
        <w:shd w:val="clear" w:color="auto" w:fill="8F0000"/>
      </w:tcPr>
    </w:tblStylePr>
    <w:tblStylePr w:type="band1Vert">
      <w:tblPr/>
      <w:tcPr>
        <w:shd w:val="clear" w:color="auto" w:fill="FF6060"/>
      </w:tcPr>
    </w:tblStylePr>
    <w:tblStylePr w:type="band1Horz">
      <w:tblPr/>
      <w:tcPr>
        <w:shd w:val="clear" w:color="auto" w:fill="FF6060"/>
      </w:tcPr>
    </w:tblStylePr>
  </w:style>
  <w:style w:type="table" w:styleId="ColorfulGrid-Accent3">
    <w:name w:val="Colorful Grid Accent 3"/>
    <w:basedOn w:val="TableNormal"/>
    <w:uiPriority w:val="99"/>
    <w:semiHidden/>
    <w:rsid w:val="00014566"/>
    <w:rPr>
      <w:color w:val="000000"/>
      <w:lang w:val="fr-FR" w:eastAsia="fr-FR"/>
    </w:rPr>
    <w:tblPr>
      <w:tblStyleRowBandSize w:val="1"/>
      <w:tblStyleColBandSize w:val="1"/>
      <w:tblBorders>
        <w:insideH w:val="single" w:sz="4" w:space="0" w:color="0072BC"/>
      </w:tblBorders>
    </w:tblPr>
    <w:tcPr>
      <w:shd w:val="clear" w:color="auto" w:fill="DFDFDF"/>
    </w:tcPr>
    <w:tblStylePr w:type="firstRow">
      <w:rPr>
        <w:b/>
        <w:bCs/>
      </w:rPr>
      <w:tblPr/>
      <w:tcPr>
        <w:shd w:val="clear" w:color="auto" w:fill="BFBFBF"/>
      </w:tcPr>
    </w:tblStylePr>
    <w:tblStylePr w:type="lastRow">
      <w:rPr>
        <w:b/>
        <w:bCs/>
        <w:color w:val="000000"/>
      </w:rPr>
      <w:tblPr/>
      <w:tcPr>
        <w:shd w:val="clear" w:color="auto" w:fill="BFBFBF"/>
      </w:tcPr>
    </w:tblStylePr>
    <w:tblStylePr w:type="firstCol">
      <w:rPr>
        <w:color w:val="0072BC"/>
      </w:rPr>
      <w:tblPr/>
      <w:tcPr>
        <w:shd w:val="clear" w:color="auto" w:fill="474747"/>
      </w:tcPr>
    </w:tblStylePr>
    <w:tblStylePr w:type="lastCol">
      <w:rPr>
        <w:color w:val="0072BC"/>
      </w:rPr>
      <w:tblPr/>
      <w:tcPr>
        <w:shd w:val="clear" w:color="auto" w:fill="474747"/>
      </w:tcPr>
    </w:tblStylePr>
    <w:tblStylePr w:type="band1Vert">
      <w:tblPr/>
      <w:tcPr>
        <w:shd w:val="clear" w:color="auto" w:fill="AFAFAF"/>
      </w:tcPr>
    </w:tblStylePr>
    <w:tblStylePr w:type="band1Horz">
      <w:tblPr/>
      <w:tcPr>
        <w:shd w:val="clear" w:color="auto" w:fill="AFAFAF"/>
      </w:tcPr>
    </w:tblStylePr>
  </w:style>
  <w:style w:type="table" w:styleId="ColorfulGrid-Accent4">
    <w:name w:val="Colorful Grid Accent 4"/>
    <w:basedOn w:val="TableNormal"/>
    <w:uiPriority w:val="99"/>
    <w:semiHidden/>
    <w:rsid w:val="00014566"/>
    <w:rPr>
      <w:color w:val="000000"/>
      <w:lang w:val="fr-FR" w:eastAsia="fr-FR"/>
    </w:rPr>
    <w:tblPr>
      <w:tblStyleRowBandSize w:val="1"/>
      <w:tblStyleColBandSize w:val="1"/>
      <w:tblBorders>
        <w:insideH w:val="single" w:sz="4" w:space="0" w:color="0072BC"/>
      </w:tblBorders>
    </w:tblPr>
    <w:tcPr>
      <w:shd w:val="clear" w:color="auto" w:fill="EAEAEA"/>
    </w:tcPr>
    <w:tblStylePr w:type="firstRow">
      <w:rPr>
        <w:b/>
        <w:bCs/>
      </w:rPr>
      <w:tblPr/>
      <w:tcPr>
        <w:shd w:val="clear" w:color="auto" w:fill="D5D5D5"/>
      </w:tcPr>
    </w:tblStylePr>
    <w:tblStylePr w:type="lastRow">
      <w:rPr>
        <w:b/>
        <w:bCs/>
        <w:color w:val="000000"/>
      </w:rPr>
      <w:tblPr/>
      <w:tcPr>
        <w:shd w:val="clear" w:color="auto" w:fill="D5D5D5"/>
      </w:tcPr>
    </w:tblStylePr>
    <w:tblStylePr w:type="firstCol">
      <w:rPr>
        <w:color w:val="0072BC"/>
      </w:rPr>
      <w:tblPr/>
      <w:tcPr>
        <w:shd w:val="clear" w:color="auto" w:fill="707070"/>
      </w:tcPr>
    </w:tblStylePr>
    <w:tblStylePr w:type="lastCol">
      <w:rPr>
        <w:color w:val="0072BC"/>
      </w:rPr>
      <w:tblPr/>
      <w:tcPr>
        <w:shd w:val="clear" w:color="auto" w:fill="707070"/>
      </w:tcPr>
    </w:tblStylePr>
    <w:tblStylePr w:type="band1Vert">
      <w:tblPr/>
      <w:tcPr>
        <w:shd w:val="clear" w:color="auto" w:fill="CACACA"/>
      </w:tcPr>
    </w:tblStylePr>
    <w:tblStylePr w:type="band1Horz">
      <w:tblPr/>
      <w:tcPr>
        <w:shd w:val="clear" w:color="auto" w:fill="CACACA"/>
      </w:tcPr>
    </w:tblStylePr>
  </w:style>
  <w:style w:type="table" w:styleId="ColorfulGrid-Accent5">
    <w:name w:val="Colorful Grid Accent 5"/>
    <w:basedOn w:val="TableNormal"/>
    <w:uiPriority w:val="99"/>
    <w:semiHidden/>
    <w:rsid w:val="00014566"/>
    <w:rPr>
      <w:color w:val="000000"/>
      <w:lang w:val="fr-FR" w:eastAsia="fr-FR"/>
    </w:rPr>
    <w:tblPr>
      <w:tblStyleRowBandSize w:val="1"/>
      <w:tblStyleColBandSize w:val="1"/>
      <w:tblBorders>
        <w:insideH w:val="single" w:sz="4" w:space="0" w:color="0072BC"/>
      </w:tblBorders>
    </w:tblPr>
    <w:tcPr>
      <w:shd w:val="clear" w:color="auto" w:fill="DFDFDF"/>
    </w:tcPr>
    <w:tblStylePr w:type="firstRow">
      <w:rPr>
        <w:b/>
        <w:bCs/>
      </w:rPr>
      <w:tblPr/>
      <w:tcPr>
        <w:shd w:val="clear" w:color="auto" w:fill="BFBFBF"/>
      </w:tcPr>
    </w:tblStylePr>
    <w:tblStylePr w:type="lastRow">
      <w:rPr>
        <w:b/>
        <w:bCs/>
        <w:color w:val="000000"/>
      </w:rPr>
      <w:tblPr/>
      <w:tcPr>
        <w:shd w:val="clear" w:color="auto" w:fill="BFBFBF"/>
      </w:tcPr>
    </w:tblStylePr>
    <w:tblStylePr w:type="firstCol">
      <w:rPr>
        <w:color w:val="0072BC"/>
      </w:rPr>
      <w:tblPr/>
      <w:tcPr>
        <w:shd w:val="clear" w:color="auto" w:fill="474747"/>
      </w:tcPr>
    </w:tblStylePr>
    <w:tblStylePr w:type="lastCol">
      <w:rPr>
        <w:color w:val="0072BC"/>
      </w:rPr>
      <w:tblPr/>
      <w:tcPr>
        <w:shd w:val="clear" w:color="auto" w:fill="474747"/>
      </w:tcPr>
    </w:tblStylePr>
    <w:tblStylePr w:type="band1Vert">
      <w:tblPr/>
      <w:tcPr>
        <w:shd w:val="clear" w:color="auto" w:fill="AFAFAF"/>
      </w:tcPr>
    </w:tblStylePr>
    <w:tblStylePr w:type="band1Horz">
      <w:tblPr/>
      <w:tcPr>
        <w:shd w:val="clear" w:color="auto" w:fill="AFAFAF"/>
      </w:tcPr>
    </w:tblStylePr>
  </w:style>
  <w:style w:type="table" w:styleId="ColorfulGrid-Accent6">
    <w:name w:val="Colorful Grid Accent 6"/>
    <w:basedOn w:val="TableNormal"/>
    <w:uiPriority w:val="99"/>
    <w:semiHidden/>
    <w:rsid w:val="00014566"/>
    <w:rPr>
      <w:color w:val="000000"/>
      <w:lang w:val="fr-FR" w:eastAsia="fr-FR"/>
    </w:rPr>
    <w:tblPr>
      <w:tblStyleRowBandSize w:val="1"/>
      <w:tblStyleColBandSize w:val="1"/>
      <w:tblBorders>
        <w:insideH w:val="single" w:sz="4" w:space="0" w:color="0072BC"/>
      </w:tblBorders>
    </w:tblPr>
    <w:tcPr>
      <w:shd w:val="clear" w:color="auto" w:fill="DBDBDB"/>
    </w:tcPr>
    <w:tblStylePr w:type="firstRow">
      <w:rPr>
        <w:b/>
        <w:bCs/>
      </w:rPr>
      <w:tblPr/>
      <w:tcPr>
        <w:shd w:val="clear" w:color="auto" w:fill="B7B7B7"/>
      </w:tcPr>
    </w:tblStylePr>
    <w:tblStylePr w:type="lastRow">
      <w:rPr>
        <w:b/>
        <w:bCs/>
        <w:color w:val="000000"/>
      </w:rPr>
      <w:tblPr/>
      <w:tcPr>
        <w:shd w:val="clear" w:color="auto" w:fill="B7B7B7"/>
      </w:tcPr>
    </w:tblStylePr>
    <w:tblStylePr w:type="firstCol">
      <w:rPr>
        <w:color w:val="0072BC"/>
      </w:rPr>
      <w:tblPr/>
      <w:tcPr>
        <w:shd w:val="clear" w:color="auto" w:fill="393939"/>
      </w:tcPr>
    </w:tblStylePr>
    <w:tblStylePr w:type="lastCol">
      <w:rPr>
        <w:color w:val="0072BC"/>
      </w:rPr>
      <w:tblPr/>
      <w:tcPr>
        <w:shd w:val="clear" w:color="auto" w:fill="393939"/>
      </w:tcPr>
    </w:tblStylePr>
    <w:tblStylePr w:type="band1Vert">
      <w:tblPr/>
      <w:tcPr>
        <w:shd w:val="clear" w:color="auto" w:fill="A6A6A6"/>
      </w:tcPr>
    </w:tblStylePr>
    <w:tblStylePr w:type="band1Horz">
      <w:tblPr/>
      <w:tcPr>
        <w:shd w:val="clear" w:color="auto" w:fill="A6A6A6"/>
      </w:tcPr>
    </w:tblStylePr>
  </w:style>
  <w:style w:type="table" w:styleId="ColorfulList">
    <w:name w:val="Colorful List"/>
    <w:basedOn w:val="TableNormal"/>
    <w:uiPriority w:val="99"/>
    <w:semiHidden/>
    <w:rsid w:val="00014566"/>
    <w:rPr>
      <w:color w:val="000000"/>
      <w:lang w:val="fr-FR" w:eastAsia="fr-FR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0072BC"/>
      </w:rPr>
      <w:tblPr/>
      <w:tcPr>
        <w:tcBorders>
          <w:bottom w:val="single" w:sz="12" w:space="0" w:color="0072BC"/>
        </w:tcBorders>
        <w:shd w:val="clear" w:color="auto" w:fill="990000"/>
      </w:tcPr>
    </w:tblStylePr>
    <w:tblStylePr w:type="lastRow">
      <w:rPr>
        <w:b/>
        <w:bCs/>
        <w:color w:val="990000"/>
      </w:rPr>
      <w:tblPr/>
      <w:tcPr>
        <w:tcBorders>
          <w:top w:val="single" w:sz="12" w:space="0" w:color="000000"/>
        </w:tcBorders>
        <w:shd w:val="clear" w:color="auto" w:fill="0072BC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99"/>
    <w:semiHidden/>
    <w:rsid w:val="00014566"/>
    <w:rPr>
      <w:color w:val="000000"/>
      <w:lang w:val="fr-FR" w:eastAsia="fr-FR"/>
    </w:rPr>
    <w:tblPr>
      <w:tblStyleRowBandSize w:val="1"/>
      <w:tblStyleColBandSize w:val="1"/>
    </w:tblPr>
    <w:tcPr>
      <w:shd w:val="clear" w:color="auto" w:fill="DFF2FF"/>
    </w:tcPr>
    <w:tblStylePr w:type="firstRow">
      <w:rPr>
        <w:b/>
        <w:bCs/>
        <w:color w:val="0072BC"/>
      </w:rPr>
      <w:tblPr/>
      <w:tcPr>
        <w:tcBorders>
          <w:bottom w:val="single" w:sz="12" w:space="0" w:color="0072BC"/>
        </w:tcBorders>
        <w:shd w:val="clear" w:color="auto" w:fill="990000"/>
      </w:tcPr>
    </w:tblStylePr>
    <w:tblStylePr w:type="lastRow">
      <w:rPr>
        <w:b/>
        <w:bCs/>
        <w:color w:val="990000"/>
      </w:rPr>
      <w:tblPr/>
      <w:tcPr>
        <w:tcBorders>
          <w:top w:val="single" w:sz="12" w:space="0" w:color="000000"/>
        </w:tcBorders>
        <w:shd w:val="clear" w:color="auto" w:fill="0072BC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DFFF"/>
      </w:tcPr>
    </w:tblStylePr>
    <w:tblStylePr w:type="band1Horz">
      <w:tblPr/>
      <w:tcPr>
        <w:shd w:val="clear" w:color="auto" w:fill="BEE5FF"/>
      </w:tcPr>
    </w:tblStylePr>
  </w:style>
  <w:style w:type="table" w:styleId="ColorfulList-Accent2">
    <w:name w:val="Colorful List Accent 2"/>
    <w:basedOn w:val="TableNormal"/>
    <w:uiPriority w:val="99"/>
    <w:semiHidden/>
    <w:rsid w:val="00014566"/>
    <w:rPr>
      <w:color w:val="000000"/>
      <w:lang w:val="fr-FR" w:eastAsia="fr-FR"/>
    </w:rPr>
    <w:tblPr>
      <w:tblStyleRowBandSize w:val="1"/>
      <w:tblStyleColBandSize w:val="1"/>
    </w:tblPr>
    <w:tcPr>
      <w:shd w:val="clear" w:color="auto" w:fill="FFDFDF"/>
    </w:tcPr>
    <w:tblStylePr w:type="firstRow">
      <w:rPr>
        <w:b/>
        <w:bCs/>
        <w:color w:val="0072BC"/>
      </w:rPr>
      <w:tblPr/>
      <w:tcPr>
        <w:tcBorders>
          <w:bottom w:val="single" w:sz="12" w:space="0" w:color="0072BC"/>
        </w:tcBorders>
        <w:shd w:val="clear" w:color="auto" w:fill="990000"/>
      </w:tcPr>
    </w:tblStylePr>
    <w:tblStylePr w:type="lastRow">
      <w:rPr>
        <w:b/>
        <w:bCs/>
        <w:color w:val="990000"/>
      </w:rPr>
      <w:tblPr/>
      <w:tcPr>
        <w:tcBorders>
          <w:top w:val="single" w:sz="12" w:space="0" w:color="000000"/>
        </w:tcBorders>
        <w:shd w:val="clear" w:color="auto" w:fill="0072BC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0B0"/>
      </w:tcPr>
    </w:tblStylePr>
    <w:tblStylePr w:type="band1Horz">
      <w:tblPr/>
      <w:tcPr>
        <w:shd w:val="clear" w:color="auto" w:fill="FFBFBF"/>
      </w:tcPr>
    </w:tblStylePr>
  </w:style>
  <w:style w:type="table" w:styleId="ColorfulList-Accent3">
    <w:name w:val="Colorful List Accent 3"/>
    <w:basedOn w:val="TableNormal"/>
    <w:uiPriority w:val="99"/>
    <w:semiHidden/>
    <w:rsid w:val="00014566"/>
    <w:rPr>
      <w:color w:val="000000"/>
      <w:lang w:val="fr-FR" w:eastAsia="fr-FR"/>
    </w:rPr>
    <w:tblPr>
      <w:tblStyleRowBandSize w:val="1"/>
      <w:tblStyleColBandSize w:val="1"/>
    </w:tblPr>
    <w:tcPr>
      <w:shd w:val="clear" w:color="auto" w:fill="EFEFEF"/>
    </w:tcPr>
    <w:tblStylePr w:type="firstRow">
      <w:rPr>
        <w:b/>
        <w:bCs/>
        <w:color w:val="0072BC"/>
      </w:rPr>
      <w:tblPr/>
      <w:tcPr>
        <w:tcBorders>
          <w:bottom w:val="single" w:sz="12" w:space="0" w:color="0072BC"/>
        </w:tcBorders>
        <w:shd w:val="clear" w:color="auto" w:fill="787878"/>
      </w:tcPr>
    </w:tblStylePr>
    <w:tblStylePr w:type="lastRow">
      <w:rPr>
        <w:b/>
        <w:bCs/>
        <w:color w:val="787878"/>
      </w:rPr>
      <w:tblPr/>
      <w:tcPr>
        <w:tcBorders>
          <w:top w:val="single" w:sz="12" w:space="0" w:color="000000"/>
        </w:tcBorders>
        <w:shd w:val="clear" w:color="auto" w:fill="0072BC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/>
      </w:tcPr>
    </w:tblStylePr>
    <w:tblStylePr w:type="band1Horz">
      <w:tblPr/>
      <w:tcPr>
        <w:shd w:val="clear" w:color="auto" w:fill="DFDFDF"/>
      </w:tcPr>
    </w:tblStylePr>
  </w:style>
  <w:style w:type="table" w:styleId="ColorfulList-Accent4">
    <w:name w:val="Colorful List Accent 4"/>
    <w:basedOn w:val="TableNormal"/>
    <w:uiPriority w:val="99"/>
    <w:semiHidden/>
    <w:rsid w:val="00014566"/>
    <w:rPr>
      <w:color w:val="000000"/>
      <w:lang w:val="fr-FR" w:eastAsia="fr-FR"/>
    </w:rPr>
    <w:tblPr>
      <w:tblStyleRowBandSize w:val="1"/>
      <w:tblStyleColBandSize w:val="1"/>
    </w:tblPr>
    <w:tcPr>
      <w:shd w:val="clear" w:color="auto" w:fill="F4F4F4"/>
    </w:tcPr>
    <w:tblStylePr w:type="firstRow">
      <w:rPr>
        <w:b/>
        <w:bCs/>
        <w:color w:val="0072BC"/>
      </w:rPr>
      <w:tblPr/>
      <w:tcPr>
        <w:tcBorders>
          <w:bottom w:val="single" w:sz="12" w:space="0" w:color="0072BC"/>
        </w:tcBorders>
        <w:shd w:val="clear" w:color="auto" w:fill="4C4C4C"/>
      </w:tcPr>
    </w:tblStylePr>
    <w:tblStylePr w:type="lastRow">
      <w:rPr>
        <w:b/>
        <w:bCs/>
        <w:color w:val="4C4C4C"/>
      </w:rPr>
      <w:tblPr/>
      <w:tcPr>
        <w:tcBorders>
          <w:top w:val="single" w:sz="12" w:space="0" w:color="000000"/>
        </w:tcBorders>
        <w:shd w:val="clear" w:color="auto" w:fill="0072BC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/>
      </w:tcPr>
    </w:tblStylePr>
    <w:tblStylePr w:type="band1Horz">
      <w:tblPr/>
      <w:tcPr>
        <w:shd w:val="clear" w:color="auto" w:fill="EAEAEA"/>
      </w:tcPr>
    </w:tblStylePr>
  </w:style>
  <w:style w:type="table" w:styleId="ColorfulList-Accent5">
    <w:name w:val="Colorful List Accent 5"/>
    <w:basedOn w:val="TableNormal"/>
    <w:uiPriority w:val="99"/>
    <w:semiHidden/>
    <w:rsid w:val="00014566"/>
    <w:rPr>
      <w:color w:val="000000"/>
      <w:lang w:val="fr-FR" w:eastAsia="fr-FR"/>
    </w:rPr>
    <w:tblPr>
      <w:tblStyleRowBandSize w:val="1"/>
      <w:tblStyleColBandSize w:val="1"/>
    </w:tblPr>
    <w:tcPr>
      <w:shd w:val="clear" w:color="auto" w:fill="EFEFEF"/>
    </w:tcPr>
    <w:tblStylePr w:type="firstRow">
      <w:rPr>
        <w:b/>
        <w:bCs/>
        <w:color w:val="0072BC"/>
      </w:rPr>
      <w:tblPr/>
      <w:tcPr>
        <w:tcBorders>
          <w:bottom w:val="single" w:sz="12" w:space="0" w:color="0072BC"/>
        </w:tcBorders>
        <w:shd w:val="clear" w:color="auto" w:fill="3D3D3D"/>
      </w:tcPr>
    </w:tblStylePr>
    <w:tblStylePr w:type="lastRow">
      <w:rPr>
        <w:b/>
        <w:bCs/>
        <w:color w:val="3D3D3D"/>
      </w:rPr>
      <w:tblPr/>
      <w:tcPr>
        <w:tcBorders>
          <w:top w:val="single" w:sz="12" w:space="0" w:color="000000"/>
        </w:tcBorders>
        <w:shd w:val="clear" w:color="auto" w:fill="0072BC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/>
      </w:tcPr>
    </w:tblStylePr>
    <w:tblStylePr w:type="band1Horz">
      <w:tblPr/>
      <w:tcPr>
        <w:shd w:val="clear" w:color="auto" w:fill="DFDFDF"/>
      </w:tcPr>
    </w:tblStylePr>
  </w:style>
  <w:style w:type="table" w:styleId="ColorfulList-Accent6">
    <w:name w:val="Colorful List Accent 6"/>
    <w:basedOn w:val="TableNormal"/>
    <w:uiPriority w:val="99"/>
    <w:semiHidden/>
    <w:rsid w:val="00014566"/>
    <w:rPr>
      <w:color w:val="000000"/>
      <w:lang w:val="fr-FR" w:eastAsia="fr-FR"/>
    </w:rPr>
    <w:tblPr>
      <w:tblStyleRowBandSize w:val="1"/>
      <w:tblStyleColBandSize w:val="1"/>
    </w:tblPr>
    <w:tcPr>
      <w:shd w:val="clear" w:color="auto" w:fill="EDEDED"/>
    </w:tcPr>
    <w:tblStylePr w:type="firstRow">
      <w:rPr>
        <w:b/>
        <w:bCs/>
        <w:color w:val="0072BC"/>
      </w:rPr>
      <w:tblPr/>
      <w:tcPr>
        <w:tcBorders>
          <w:bottom w:val="single" w:sz="12" w:space="0" w:color="0072BC"/>
        </w:tcBorders>
        <w:shd w:val="clear" w:color="auto" w:fill="4C4C4C"/>
      </w:tcPr>
    </w:tblStylePr>
    <w:tblStylePr w:type="lastRow">
      <w:rPr>
        <w:b/>
        <w:bCs/>
        <w:color w:val="4C4C4C"/>
      </w:rPr>
      <w:tblPr/>
      <w:tcPr>
        <w:tcBorders>
          <w:top w:val="single" w:sz="12" w:space="0" w:color="000000"/>
        </w:tcBorders>
        <w:shd w:val="clear" w:color="auto" w:fill="0072BC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/>
      </w:tcPr>
    </w:tblStylePr>
    <w:tblStylePr w:type="band1Horz">
      <w:tblPr/>
      <w:tcPr>
        <w:shd w:val="clear" w:color="auto" w:fill="DBDBDB"/>
      </w:tcPr>
    </w:tblStylePr>
  </w:style>
  <w:style w:type="table" w:styleId="ColorfulShading">
    <w:name w:val="Colorful Shading"/>
    <w:basedOn w:val="TableNormal"/>
    <w:uiPriority w:val="99"/>
    <w:semiHidden/>
    <w:rsid w:val="00014566"/>
    <w:rPr>
      <w:color w:val="000000"/>
      <w:lang w:val="fr-FR" w:eastAsia="fr-FR"/>
    </w:rPr>
    <w:tblPr>
      <w:tblStyleRowBandSize w:val="1"/>
      <w:tblStyleColBandSize w:val="1"/>
      <w:tblBorders>
        <w:top w:val="single" w:sz="24" w:space="0" w:color="C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72BC"/>
        <w:insideV w:val="single" w:sz="4" w:space="0" w:color="0072BC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/>
          <w:right w:val="nil"/>
          <w:insideH w:val="nil"/>
          <w:insideV w:val="nil"/>
        </w:tcBorders>
        <w:shd w:val="clear" w:color="auto" w:fill="0072BC"/>
      </w:tcPr>
    </w:tblStylePr>
    <w:tblStylePr w:type="lastRow">
      <w:rPr>
        <w:b/>
        <w:bCs/>
        <w:color w:val="0072BC"/>
      </w:rPr>
      <w:tblPr/>
      <w:tcPr>
        <w:tcBorders>
          <w:top w:val="single" w:sz="6" w:space="0" w:color="0072BC"/>
        </w:tcBorders>
        <w:shd w:val="clear" w:color="auto" w:fill="000000"/>
      </w:tcPr>
    </w:tblStylePr>
    <w:tblStylePr w:type="fir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99"/>
    <w:semiHidden/>
    <w:rsid w:val="00014566"/>
    <w:rPr>
      <w:color w:val="000000"/>
      <w:lang w:val="fr-FR" w:eastAsia="fr-FR"/>
    </w:rPr>
    <w:tblPr>
      <w:tblStyleRowBandSize w:val="1"/>
      <w:tblStyleColBandSize w:val="1"/>
      <w:tblBorders>
        <w:top w:val="single" w:sz="24" w:space="0" w:color="C00000"/>
        <w:left w:val="single" w:sz="4" w:space="0" w:color="0072BC"/>
        <w:bottom w:val="single" w:sz="4" w:space="0" w:color="0072BC"/>
        <w:right w:val="single" w:sz="4" w:space="0" w:color="0072BC"/>
        <w:insideH w:val="single" w:sz="4" w:space="0" w:color="0072BC"/>
        <w:insideV w:val="single" w:sz="4" w:space="0" w:color="0072BC"/>
      </w:tblBorders>
    </w:tblPr>
    <w:tcPr>
      <w:shd w:val="clear" w:color="auto" w:fill="DFF2FF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/>
          <w:right w:val="nil"/>
          <w:insideH w:val="nil"/>
          <w:insideV w:val="nil"/>
        </w:tcBorders>
        <w:shd w:val="clear" w:color="auto" w:fill="0072BC"/>
      </w:tcPr>
    </w:tblStylePr>
    <w:tblStylePr w:type="lastRow">
      <w:rPr>
        <w:b/>
        <w:bCs/>
        <w:color w:val="0072BC"/>
      </w:rPr>
      <w:tblPr/>
      <w:tcPr>
        <w:tcBorders>
          <w:top w:val="single" w:sz="6" w:space="0" w:color="0072BC"/>
        </w:tcBorders>
        <w:shd w:val="clear" w:color="auto" w:fill="004470"/>
      </w:tcPr>
    </w:tblStylePr>
    <w:tblStylePr w:type="fir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single" w:sz="4" w:space="0" w:color="004470"/>
          <w:insideV w:val="nil"/>
        </w:tcBorders>
        <w:shd w:val="clear" w:color="auto" w:fill="004470"/>
      </w:tcPr>
    </w:tblStylePr>
    <w:tblStylePr w:type="la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470"/>
      </w:tcPr>
    </w:tblStylePr>
    <w:tblStylePr w:type="band1Vert">
      <w:tblPr/>
      <w:tcPr>
        <w:shd w:val="clear" w:color="auto" w:fill="7ECBFF"/>
      </w:tcPr>
    </w:tblStylePr>
    <w:tblStylePr w:type="band1Horz">
      <w:tblPr/>
      <w:tcPr>
        <w:shd w:val="clear" w:color="auto" w:fill="5EBFFF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99"/>
    <w:semiHidden/>
    <w:rsid w:val="00014566"/>
    <w:rPr>
      <w:color w:val="000000"/>
      <w:lang w:val="fr-FR" w:eastAsia="fr-FR"/>
    </w:rPr>
    <w:tblPr>
      <w:tblStyleRowBandSize w:val="1"/>
      <w:tblStyleColBandSize w:val="1"/>
      <w:tblBorders>
        <w:top w:val="single" w:sz="24" w:space="0" w:color="C00000"/>
        <w:left w:val="single" w:sz="4" w:space="0" w:color="C00000"/>
        <w:bottom w:val="single" w:sz="4" w:space="0" w:color="C00000"/>
        <w:right w:val="single" w:sz="4" w:space="0" w:color="C00000"/>
        <w:insideH w:val="single" w:sz="4" w:space="0" w:color="0072BC"/>
        <w:insideV w:val="single" w:sz="4" w:space="0" w:color="0072BC"/>
      </w:tblBorders>
    </w:tblPr>
    <w:tcPr>
      <w:shd w:val="clear" w:color="auto" w:fill="FFDFDF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/>
          <w:right w:val="nil"/>
          <w:insideH w:val="nil"/>
          <w:insideV w:val="nil"/>
        </w:tcBorders>
        <w:shd w:val="clear" w:color="auto" w:fill="0072BC"/>
      </w:tcPr>
    </w:tblStylePr>
    <w:tblStylePr w:type="lastRow">
      <w:rPr>
        <w:b/>
        <w:bCs/>
        <w:color w:val="0072BC"/>
      </w:rPr>
      <w:tblPr/>
      <w:tcPr>
        <w:tcBorders>
          <w:top w:val="single" w:sz="6" w:space="0" w:color="0072BC"/>
        </w:tcBorders>
        <w:shd w:val="clear" w:color="auto" w:fill="730000"/>
      </w:tcPr>
    </w:tblStylePr>
    <w:tblStylePr w:type="fir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single" w:sz="4" w:space="0" w:color="730000"/>
          <w:insideV w:val="nil"/>
        </w:tcBorders>
        <w:shd w:val="clear" w:color="auto" w:fill="730000"/>
      </w:tcPr>
    </w:tblStylePr>
    <w:tblStylePr w:type="la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0000"/>
      </w:tcPr>
    </w:tblStylePr>
    <w:tblStylePr w:type="band1Vert">
      <w:tblPr/>
      <w:tcPr>
        <w:shd w:val="clear" w:color="auto" w:fill="FF7F7F"/>
      </w:tcPr>
    </w:tblStylePr>
    <w:tblStylePr w:type="band1Horz">
      <w:tblPr/>
      <w:tcPr>
        <w:shd w:val="clear" w:color="auto" w:fill="FF606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99"/>
    <w:semiHidden/>
    <w:rsid w:val="00014566"/>
    <w:rPr>
      <w:color w:val="000000"/>
      <w:lang w:val="fr-FR" w:eastAsia="fr-FR"/>
    </w:rPr>
    <w:tblPr>
      <w:tblStyleRowBandSize w:val="1"/>
      <w:tblStyleColBandSize w:val="1"/>
      <w:tblBorders>
        <w:top w:val="single" w:sz="24" w:space="0" w:color="969696"/>
        <w:left w:val="single" w:sz="4" w:space="0" w:color="5F5F5F"/>
        <w:bottom w:val="single" w:sz="4" w:space="0" w:color="5F5F5F"/>
        <w:right w:val="single" w:sz="4" w:space="0" w:color="5F5F5F"/>
        <w:insideH w:val="single" w:sz="4" w:space="0" w:color="0072BC"/>
        <w:insideV w:val="single" w:sz="4" w:space="0" w:color="0072BC"/>
      </w:tblBorders>
    </w:tblPr>
    <w:tcPr>
      <w:shd w:val="clear" w:color="auto" w:fill="EFEFEF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/>
          <w:right w:val="nil"/>
          <w:insideH w:val="nil"/>
          <w:insideV w:val="nil"/>
        </w:tcBorders>
        <w:shd w:val="clear" w:color="auto" w:fill="0072BC"/>
      </w:tcPr>
    </w:tblStylePr>
    <w:tblStylePr w:type="lastRow">
      <w:rPr>
        <w:b/>
        <w:bCs/>
        <w:color w:val="0072BC"/>
      </w:rPr>
      <w:tblPr/>
      <w:tcPr>
        <w:tcBorders>
          <w:top w:val="single" w:sz="6" w:space="0" w:color="0072BC"/>
        </w:tcBorders>
        <w:shd w:val="clear" w:color="auto" w:fill="393939"/>
      </w:tcPr>
    </w:tblStylePr>
    <w:tblStylePr w:type="fir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single" w:sz="4" w:space="0" w:color="393939"/>
          <w:insideV w:val="nil"/>
        </w:tcBorders>
        <w:shd w:val="clear" w:color="auto" w:fill="393939"/>
      </w:tcPr>
    </w:tblStylePr>
    <w:tblStylePr w:type="la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/>
      </w:tc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AFAFAF"/>
      </w:tcPr>
    </w:tblStylePr>
  </w:style>
  <w:style w:type="table" w:styleId="ColorfulShading-Accent4">
    <w:name w:val="Colorful Shading Accent 4"/>
    <w:basedOn w:val="TableNormal"/>
    <w:uiPriority w:val="99"/>
    <w:semiHidden/>
    <w:rsid w:val="00014566"/>
    <w:rPr>
      <w:color w:val="000000"/>
      <w:lang w:val="fr-FR" w:eastAsia="fr-FR"/>
    </w:rPr>
    <w:tblPr>
      <w:tblStyleRowBandSize w:val="1"/>
      <w:tblStyleColBandSize w:val="1"/>
      <w:tblBorders>
        <w:top w:val="single" w:sz="24" w:space="0" w:color="5F5F5F"/>
        <w:left w:val="single" w:sz="4" w:space="0" w:color="969696"/>
        <w:bottom w:val="single" w:sz="4" w:space="0" w:color="969696"/>
        <w:right w:val="single" w:sz="4" w:space="0" w:color="969696"/>
        <w:insideH w:val="single" w:sz="4" w:space="0" w:color="0072BC"/>
        <w:insideV w:val="single" w:sz="4" w:space="0" w:color="0072BC"/>
      </w:tblBorders>
    </w:tblPr>
    <w:tcPr>
      <w:shd w:val="clear" w:color="auto" w:fill="F4F4F4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/>
          <w:right w:val="nil"/>
          <w:insideH w:val="nil"/>
          <w:insideV w:val="nil"/>
        </w:tcBorders>
        <w:shd w:val="clear" w:color="auto" w:fill="0072BC"/>
      </w:tcPr>
    </w:tblStylePr>
    <w:tblStylePr w:type="lastRow">
      <w:rPr>
        <w:b/>
        <w:bCs/>
        <w:color w:val="0072BC"/>
      </w:rPr>
      <w:tblPr/>
      <w:tcPr>
        <w:tcBorders>
          <w:top w:val="single" w:sz="6" w:space="0" w:color="0072BC"/>
        </w:tcBorders>
        <w:shd w:val="clear" w:color="auto" w:fill="5A5A5A"/>
      </w:tcPr>
    </w:tblStylePr>
    <w:tblStylePr w:type="fir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single" w:sz="4" w:space="0" w:color="5A5A5A"/>
          <w:insideV w:val="nil"/>
        </w:tcBorders>
        <w:shd w:val="clear" w:color="auto" w:fill="5A5A5A"/>
      </w:tcPr>
    </w:tblStylePr>
    <w:tblStylePr w:type="la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/>
      </w:tcPr>
    </w:tblStylePr>
    <w:tblStylePr w:type="band1Vert">
      <w:tblPr/>
      <w:tcPr>
        <w:shd w:val="clear" w:color="auto" w:fill="D5D5D5"/>
      </w:tcPr>
    </w:tblStylePr>
    <w:tblStylePr w:type="band1Horz">
      <w:tblPr/>
      <w:tcPr>
        <w:shd w:val="clear" w:color="auto" w:fill="CACACA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99"/>
    <w:semiHidden/>
    <w:rsid w:val="00014566"/>
    <w:rPr>
      <w:color w:val="000000"/>
      <w:lang w:val="fr-FR" w:eastAsia="fr-FR"/>
    </w:rPr>
    <w:tblPr>
      <w:tblStyleRowBandSize w:val="1"/>
      <w:tblStyleColBandSize w:val="1"/>
      <w:tblBorders>
        <w:top w:val="single" w:sz="24" w:space="0" w:color="4D4D4D"/>
        <w:left w:val="single" w:sz="4" w:space="0" w:color="5F5F5F"/>
        <w:bottom w:val="single" w:sz="4" w:space="0" w:color="5F5F5F"/>
        <w:right w:val="single" w:sz="4" w:space="0" w:color="5F5F5F"/>
        <w:insideH w:val="single" w:sz="4" w:space="0" w:color="0072BC"/>
        <w:insideV w:val="single" w:sz="4" w:space="0" w:color="0072BC"/>
      </w:tblBorders>
    </w:tblPr>
    <w:tcPr>
      <w:shd w:val="clear" w:color="auto" w:fill="EFEFEF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/>
          <w:right w:val="nil"/>
          <w:insideH w:val="nil"/>
          <w:insideV w:val="nil"/>
        </w:tcBorders>
        <w:shd w:val="clear" w:color="auto" w:fill="0072BC"/>
      </w:tcPr>
    </w:tblStylePr>
    <w:tblStylePr w:type="lastRow">
      <w:rPr>
        <w:b/>
        <w:bCs/>
        <w:color w:val="0072BC"/>
      </w:rPr>
      <w:tblPr/>
      <w:tcPr>
        <w:tcBorders>
          <w:top w:val="single" w:sz="6" w:space="0" w:color="0072BC"/>
        </w:tcBorders>
        <w:shd w:val="clear" w:color="auto" w:fill="393939"/>
      </w:tcPr>
    </w:tblStylePr>
    <w:tblStylePr w:type="fir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single" w:sz="4" w:space="0" w:color="393939"/>
          <w:insideV w:val="nil"/>
        </w:tcBorders>
        <w:shd w:val="clear" w:color="auto" w:fill="393939"/>
      </w:tcPr>
    </w:tblStylePr>
    <w:tblStylePr w:type="la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/>
      </w:tc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AFAFAF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99"/>
    <w:semiHidden/>
    <w:rsid w:val="00014566"/>
    <w:rPr>
      <w:color w:val="000000"/>
      <w:lang w:val="fr-FR" w:eastAsia="fr-FR"/>
    </w:rPr>
    <w:tblPr>
      <w:tblStyleRowBandSize w:val="1"/>
      <w:tblStyleColBandSize w:val="1"/>
      <w:tblBorders>
        <w:top w:val="single" w:sz="24" w:space="0" w:color="5F5F5F"/>
        <w:left w:val="single" w:sz="4" w:space="0" w:color="4D4D4D"/>
        <w:bottom w:val="single" w:sz="4" w:space="0" w:color="4D4D4D"/>
        <w:right w:val="single" w:sz="4" w:space="0" w:color="4D4D4D"/>
        <w:insideH w:val="single" w:sz="4" w:space="0" w:color="0072BC"/>
        <w:insideV w:val="single" w:sz="4" w:space="0" w:color="0072BC"/>
      </w:tblBorders>
    </w:tblPr>
    <w:tcPr>
      <w:shd w:val="clear" w:color="auto" w:fill="ED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/>
          <w:right w:val="nil"/>
          <w:insideH w:val="nil"/>
          <w:insideV w:val="nil"/>
        </w:tcBorders>
        <w:shd w:val="clear" w:color="auto" w:fill="0072BC"/>
      </w:tcPr>
    </w:tblStylePr>
    <w:tblStylePr w:type="lastRow">
      <w:rPr>
        <w:b/>
        <w:bCs/>
        <w:color w:val="0072BC"/>
      </w:rPr>
      <w:tblPr/>
      <w:tcPr>
        <w:tcBorders>
          <w:top w:val="single" w:sz="6" w:space="0" w:color="0072BC"/>
        </w:tcBorders>
        <w:shd w:val="clear" w:color="auto" w:fill="2E2E2E"/>
      </w:tcPr>
    </w:tblStylePr>
    <w:tblStylePr w:type="fir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single" w:sz="4" w:space="0" w:color="2E2E2E"/>
          <w:insideV w:val="nil"/>
        </w:tcBorders>
        <w:shd w:val="clear" w:color="auto" w:fill="2E2E2E"/>
      </w:tcPr>
    </w:tblStylePr>
    <w:tblStylePr w:type="lastCol">
      <w:rPr>
        <w:color w:val="0072BC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/>
      </w:tcPr>
    </w:tblStylePr>
    <w:tblStylePr w:type="band1Vert">
      <w:tblPr/>
      <w:tcPr>
        <w:shd w:val="clear" w:color="auto" w:fill="B7B7B7"/>
      </w:tcPr>
    </w:tblStylePr>
    <w:tblStylePr w:type="band1Horz">
      <w:tblPr/>
      <w:tcPr>
        <w:shd w:val="clear" w:color="auto" w:fill="A6A6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99"/>
    <w:semiHidden/>
    <w:rsid w:val="00014566"/>
    <w:rPr>
      <w:color w:val="0072BC"/>
      <w:lang w:val="fr-FR" w:eastAsia="fr-FR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0072BC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0072BC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99"/>
    <w:semiHidden/>
    <w:rsid w:val="00014566"/>
    <w:rPr>
      <w:color w:val="0072BC"/>
      <w:lang w:val="fr-FR" w:eastAsia="fr-FR"/>
    </w:rPr>
    <w:tblPr>
      <w:tblStyleRowBandSize w:val="1"/>
      <w:tblStyleColBandSize w:val="1"/>
    </w:tblPr>
    <w:tcPr>
      <w:shd w:val="clear" w:color="auto" w:fill="0072BC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0072BC"/>
          <w:left w:val="nil"/>
          <w:bottom w:val="nil"/>
          <w:right w:val="nil"/>
          <w:insideH w:val="nil"/>
          <w:insideV w:val="nil"/>
        </w:tcBorders>
        <w:shd w:val="clear" w:color="auto" w:fill="00385D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/>
          <w:insideH w:val="nil"/>
          <w:insideV w:val="nil"/>
        </w:tcBorders>
        <w:shd w:val="clear" w:color="auto" w:fill="00548C"/>
      </w:tcPr>
    </w:tblStylePr>
    <w:tblStylePr w:type="lastCol">
      <w:tblPr/>
      <w:tcPr>
        <w:tcBorders>
          <w:top w:val="nil"/>
          <w:left w:val="single" w:sz="18" w:space="0" w:color="0072BC"/>
          <w:bottom w:val="nil"/>
          <w:right w:val="nil"/>
          <w:insideH w:val="nil"/>
          <w:insideV w:val="nil"/>
        </w:tcBorders>
        <w:shd w:val="clear" w:color="auto" w:fill="00548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48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48C"/>
      </w:tcPr>
    </w:tblStylePr>
  </w:style>
  <w:style w:type="table" w:styleId="DarkList-Accent2">
    <w:name w:val="Dark List Accent 2"/>
    <w:basedOn w:val="TableNormal"/>
    <w:uiPriority w:val="99"/>
    <w:semiHidden/>
    <w:rsid w:val="00014566"/>
    <w:rPr>
      <w:color w:val="0072BC"/>
      <w:lang w:val="fr-FR" w:eastAsia="fr-FR"/>
    </w:rPr>
    <w:tblPr>
      <w:tblStyleRowBandSize w:val="1"/>
      <w:tblStyleColBandSize w:val="1"/>
    </w:tblPr>
    <w:tcPr>
      <w:shd w:val="clear" w:color="auto" w:fill="C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0072BC"/>
          <w:left w:val="nil"/>
          <w:bottom w:val="nil"/>
          <w:right w:val="nil"/>
          <w:insideH w:val="nil"/>
          <w:insideV w:val="nil"/>
        </w:tcBorders>
        <w:shd w:val="clear" w:color="auto" w:fill="5F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/>
          <w:insideH w:val="nil"/>
          <w:insideV w:val="nil"/>
        </w:tcBorders>
        <w:shd w:val="clear" w:color="auto" w:fill="8F0000"/>
      </w:tcPr>
    </w:tblStylePr>
    <w:tblStylePr w:type="lastCol">
      <w:tblPr/>
      <w:tcPr>
        <w:tcBorders>
          <w:top w:val="nil"/>
          <w:left w:val="single" w:sz="18" w:space="0" w:color="0072BC"/>
          <w:bottom w:val="nil"/>
          <w:right w:val="nil"/>
          <w:insideH w:val="nil"/>
          <w:insideV w:val="nil"/>
        </w:tcBorders>
        <w:shd w:val="clear" w:color="auto" w:fill="8F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0000"/>
      </w:tcPr>
    </w:tblStylePr>
  </w:style>
  <w:style w:type="table" w:styleId="DarkList-Accent3">
    <w:name w:val="Dark List Accent 3"/>
    <w:basedOn w:val="TableNormal"/>
    <w:uiPriority w:val="99"/>
    <w:semiHidden/>
    <w:rsid w:val="00014566"/>
    <w:rPr>
      <w:color w:val="0072BC"/>
      <w:lang w:val="fr-FR" w:eastAsia="fr-FR"/>
    </w:rPr>
    <w:tblPr>
      <w:tblStyleRowBandSize w:val="1"/>
      <w:tblStyleColBandSize w:val="1"/>
    </w:tblPr>
    <w:tcPr>
      <w:shd w:val="clear" w:color="auto" w:fill="5F5F5F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0072BC"/>
          <w:left w:val="nil"/>
          <w:bottom w:val="nil"/>
          <w:right w:val="nil"/>
          <w:insideH w:val="nil"/>
          <w:insideV w:val="nil"/>
        </w:tcBorders>
        <w:shd w:val="clear" w:color="auto" w:fill="2F2F2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/>
          <w:insideH w:val="nil"/>
          <w:insideV w:val="nil"/>
        </w:tcBorders>
        <w:shd w:val="clear" w:color="auto" w:fill="474747"/>
      </w:tcPr>
    </w:tblStylePr>
    <w:tblStylePr w:type="lastCol">
      <w:tblPr/>
      <w:tcPr>
        <w:tcBorders>
          <w:top w:val="nil"/>
          <w:left w:val="single" w:sz="18" w:space="0" w:color="0072BC"/>
          <w:bottom w:val="nil"/>
          <w:right w:val="nil"/>
          <w:insideH w:val="nil"/>
          <w:insideV w:val="nil"/>
        </w:tcBorders>
        <w:shd w:val="clear" w:color="auto" w:fill="474747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/>
      </w:tcPr>
    </w:tblStylePr>
  </w:style>
  <w:style w:type="table" w:styleId="DarkList-Accent4">
    <w:name w:val="Dark List Accent 4"/>
    <w:basedOn w:val="TableNormal"/>
    <w:uiPriority w:val="99"/>
    <w:semiHidden/>
    <w:rsid w:val="00014566"/>
    <w:rPr>
      <w:color w:val="0072BC"/>
      <w:lang w:val="fr-FR" w:eastAsia="fr-FR"/>
    </w:rPr>
    <w:tblPr>
      <w:tblStyleRowBandSize w:val="1"/>
      <w:tblStyleColBandSize w:val="1"/>
    </w:tblPr>
    <w:tcPr>
      <w:shd w:val="clear" w:color="auto" w:fill="96969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0072BC"/>
          <w:left w:val="nil"/>
          <w:bottom w:val="nil"/>
          <w:right w:val="nil"/>
          <w:insideH w:val="nil"/>
          <w:insideV w:val="nil"/>
        </w:tcBorders>
        <w:shd w:val="clear" w:color="auto" w:fill="4A4A4A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/>
          <w:insideH w:val="nil"/>
          <w:insideV w:val="nil"/>
        </w:tcBorders>
        <w:shd w:val="clear" w:color="auto" w:fill="707070"/>
      </w:tcPr>
    </w:tblStylePr>
    <w:tblStylePr w:type="lastCol">
      <w:tblPr/>
      <w:tcPr>
        <w:tcBorders>
          <w:top w:val="nil"/>
          <w:left w:val="single" w:sz="18" w:space="0" w:color="0072BC"/>
          <w:bottom w:val="nil"/>
          <w:right w:val="nil"/>
          <w:insideH w:val="nil"/>
          <w:insideV w:val="nil"/>
        </w:tcBorders>
        <w:shd w:val="clear" w:color="auto" w:fill="70707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/>
      </w:tcPr>
    </w:tblStylePr>
  </w:style>
  <w:style w:type="table" w:styleId="DarkList-Accent5">
    <w:name w:val="Dark List Accent 5"/>
    <w:basedOn w:val="TableNormal"/>
    <w:uiPriority w:val="99"/>
    <w:semiHidden/>
    <w:rsid w:val="00014566"/>
    <w:rPr>
      <w:color w:val="0072BC"/>
      <w:lang w:val="fr-FR" w:eastAsia="fr-FR"/>
    </w:rPr>
    <w:tblPr>
      <w:tblStyleRowBandSize w:val="1"/>
      <w:tblStyleColBandSize w:val="1"/>
    </w:tblPr>
    <w:tcPr>
      <w:shd w:val="clear" w:color="auto" w:fill="5F5F5F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0072BC"/>
          <w:left w:val="nil"/>
          <w:bottom w:val="nil"/>
          <w:right w:val="nil"/>
          <w:insideH w:val="nil"/>
          <w:insideV w:val="nil"/>
        </w:tcBorders>
        <w:shd w:val="clear" w:color="auto" w:fill="2F2F2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/>
          <w:insideH w:val="nil"/>
          <w:insideV w:val="nil"/>
        </w:tcBorders>
        <w:shd w:val="clear" w:color="auto" w:fill="474747"/>
      </w:tcPr>
    </w:tblStylePr>
    <w:tblStylePr w:type="lastCol">
      <w:tblPr/>
      <w:tcPr>
        <w:tcBorders>
          <w:top w:val="nil"/>
          <w:left w:val="single" w:sz="18" w:space="0" w:color="0072BC"/>
          <w:bottom w:val="nil"/>
          <w:right w:val="nil"/>
          <w:insideH w:val="nil"/>
          <w:insideV w:val="nil"/>
        </w:tcBorders>
        <w:shd w:val="clear" w:color="auto" w:fill="474747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/>
      </w:tcPr>
    </w:tblStylePr>
  </w:style>
  <w:style w:type="table" w:styleId="DarkList-Accent6">
    <w:name w:val="Dark List Accent 6"/>
    <w:basedOn w:val="TableNormal"/>
    <w:uiPriority w:val="99"/>
    <w:semiHidden/>
    <w:rsid w:val="00014566"/>
    <w:rPr>
      <w:color w:val="0072BC"/>
      <w:lang w:val="fr-FR" w:eastAsia="fr-FR"/>
    </w:rPr>
    <w:tblPr>
      <w:tblStyleRowBandSize w:val="1"/>
      <w:tblStyleColBandSize w:val="1"/>
    </w:tblPr>
    <w:tcPr>
      <w:shd w:val="clear" w:color="auto" w:fill="4D4D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0072BC"/>
          <w:left w:val="nil"/>
          <w:bottom w:val="nil"/>
          <w:right w:val="nil"/>
          <w:insideH w:val="nil"/>
          <w:insideV w:val="nil"/>
        </w:tcBorders>
        <w:shd w:val="clear" w:color="auto" w:fill="26262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/>
          <w:insideH w:val="nil"/>
          <w:insideV w:val="nil"/>
        </w:tcBorders>
        <w:shd w:val="clear" w:color="auto" w:fill="393939"/>
      </w:tcPr>
    </w:tblStylePr>
    <w:tblStylePr w:type="lastCol">
      <w:tblPr/>
      <w:tcPr>
        <w:tcBorders>
          <w:top w:val="nil"/>
          <w:left w:val="single" w:sz="18" w:space="0" w:color="0072BC"/>
          <w:bottom w:val="nil"/>
          <w:right w:val="nil"/>
          <w:insideH w:val="nil"/>
          <w:insideV w:val="nil"/>
        </w:tcBorders>
        <w:shd w:val="clear" w:color="auto" w:fill="393939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/>
      </w:tcPr>
    </w:tblStylePr>
  </w:style>
  <w:style w:type="paragraph" w:styleId="Date">
    <w:name w:val="Date"/>
    <w:basedOn w:val="Normal"/>
    <w:next w:val="Normal"/>
    <w:link w:val="DateChar"/>
    <w:uiPriority w:val="99"/>
    <w:semiHidden/>
    <w:rsid w:val="00014566"/>
  </w:style>
  <w:style w:type="character" w:customStyle="1" w:styleId="DateChar">
    <w:name w:val="Date Char"/>
    <w:link w:val="Date"/>
    <w:uiPriority w:val="99"/>
    <w:semiHidden/>
    <w:rsid w:val="00014566"/>
    <w:rPr>
      <w:rFonts w:eastAsia="MS Mincho"/>
      <w:sz w:val="24"/>
      <w:lang w:val="bg-BG" w:eastAsia="bg-BG"/>
    </w:rPr>
  </w:style>
  <w:style w:type="paragraph" w:styleId="E-mailSignature">
    <w:name w:val="E-mail Signature"/>
    <w:basedOn w:val="Normal"/>
    <w:link w:val="E-mailSignatureChar"/>
    <w:uiPriority w:val="99"/>
    <w:semiHidden/>
    <w:rsid w:val="00014566"/>
  </w:style>
  <w:style w:type="character" w:customStyle="1" w:styleId="E-mailSignatureChar">
    <w:name w:val="E-mail Signature Char"/>
    <w:link w:val="E-mailSignature"/>
    <w:uiPriority w:val="99"/>
    <w:semiHidden/>
    <w:rsid w:val="00014566"/>
    <w:rPr>
      <w:rFonts w:eastAsia="MS Mincho"/>
      <w:sz w:val="24"/>
      <w:lang w:val="bg-BG" w:eastAsia="bg-BG"/>
    </w:rPr>
  </w:style>
  <w:style w:type="paragraph" w:styleId="EnvelopeAddress">
    <w:name w:val="envelope address"/>
    <w:basedOn w:val="Normal"/>
    <w:uiPriority w:val="99"/>
    <w:semiHidden/>
    <w:rsid w:val="00014566"/>
    <w:pPr>
      <w:framePr w:w="7938" w:h="1985" w:hRule="exact" w:hSpace="141" w:wrap="auto" w:hAnchor="page" w:xAlign="center" w:yAlign="bottom"/>
      <w:ind w:left="2835"/>
    </w:pPr>
    <w:rPr>
      <w:rFonts w:eastAsia="MS Gothic"/>
      <w:szCs w:val="24"/>
    </w:rPr>
  </w:style>
  <w:style w:type="paragraph" w:styleId="EnvelopeReturn">
    <w:name w:val="envelope return"/>
    <w:basedOn w:val="Normal"/>
    <w:uiPriority w:val="99"/>
    <w:semiHidden/>
    <w:rsid w:val="00014566"/>
    <w:rPr>
      <w:rFonts w:eastAsia="MS Gothic"/>
      <w:sz w:val="20"/>
      <w:szCs w:val="20"/>
    </w:rPr>
  </w:style>
  <w:style w:type="character" w:styleId="HTMLAcronym">
    <w:name w:val="HTML Acronym"/>
    <w:basedOn w:val="DefaultParagraphFont"/>
    <w:uiPriority w:val="99"/>
    <w:semiHidden/>
    <w:rsid w:val="00014566"/>
  </w:style>
  <w:style w:type="paragraph" w:styleId="HTMLAddress">
    <w:name w:val="HTML Address"/>
    <w:basedOn w:val="Normal"/>
    <w:link w:val="HTMLAddressChar"/>
    <w:uiPriority w:val="99"/>
    <w:semiHidden/>
    <w:rsid w:val="00014566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014566"/>
    <w:rPr>
      <w:rFonts w:eastAsia="MS Mincho"/>
      <w:i/>
      <w:iCs/>
      <w:sz w:val="24"/>
      <w:lang w:val="bg-BG" w:eastAsia="bg-BG"/>
    </w:rPr>
  </w:style>
  <w:style w:type="character" w:styleId="HTMLCite">
    <w:name w:val="HTML Cite"/>
    <w:uiPriority w:val="99"/>
    <w:semiHidden/>
    <w:rsid w:val="00014566"/>
    <w:rPr>
      <w:i/>
      <w:iCs/>
      <w:lang w:val="bg-BG" w:eastAsia="bg-BG"/>
    </w:rPr>
  </w:style>
  <w:style w:type="character" w:styleId="HTMLCode">
    <w:name w:val="HTML Code"/>
    <w:uiPriority w:val="99"/>
    <w:semiHidden/>
    <w:rsid w:val="00014566"/>
    <w:rPr>
      <w:rFonts w:ascii="Consolas" w:hAnsi="Consolas" w:cs="Consolas"/>
      <w:sz w:val="20"/>
      <w:szCs w:val="20"/>
      <w:lang w:val="bg-BG" w:eastAsia="bg-BG"/>
    </w:rPr>
  </w:style>
  <w:style w:type="character" w:styleId="HTMLDefinition">
    <w:name w:val="HTML Definition"/>
    <w:uiPriority w:val="99"/>
    <w:semiHidden/>
    <w:rsid w:val="00014566"/>
    <w:rPr>
      <w:i/>
      <w:iCs/>
      <w:lang w:val="bg-BG" w:eastAsia="bg-BG"/>
    </w:rPr>
  </w:style>
  <w:style w:type="character" w:styleId="HTMLKeyboard">
    <w:name w:val="HTML Keyboard"/>
    <w:uiPriority w:val="99"/>
    <w:semiHidden/>
    <w:rsid w:val="00014566"/>
    <w:rPr>
      <w:rFonts w:ascii="Consolas" w:hAnsi="Consolas" w:cs="Consolas"/>
      <w:sz w:val="20"/>
      <w:szCs w:val="20"/>
      <w:lang w:val="bg-BG" w:eastAsia="bg-BG"/>
    </w:rPr>
  </w:style>
  <w:style w:type="paragraph" w:styleId="HTMLPreformatted">
    <w:name w:val="HTML Preformatted"/>
    <w:basedOn w:val="Normal"/>
    <w:link w:val="HTMLPreformattedChar"/>
    <w:uiPriority w:val="99"/>
    <w:semiHidden/>
    <w:rsid w:val="00014566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014566"/>
    <w:rPr>
      <w:rFonts w:ascii="Consolas" w:eastAsia="MS Mincho" w:hAnsi="Consolas" w:cs="Consolas"/>
      <w:sz w:val="20"/>
      <w:szCs w:val="20"/>
      <w:lang w:val="bg-BG" w:eastAsia="bg-BG"/>
    </w:rPr>
  </w:style>
  <w:style w:type="character" w:styleId="HTMLSample">
    <w:name w:val="HTML Sample"/>
    <w:uiPriority w:val="99"/>
    <w:semiHidden/>
    <w:rsid w:val="00014566"/>
    <w:rPr>
      <w:rFonts w:ascii="Consolas" w:hAnsi="Consolas" w:cs="Consolas"/>
      <w:sz w:val="24"/>
      <w:szCs w:val="24"/>
      <w:lang w:val="bg-BG" w:eastAsia="bg-BG"/>
    </w:rPr>
  </w:style>
  <w:style w:type="character" w:styleId="HTMLTypewriter">
    <w:name w:val="HTML Typewriter"/>
    <w:uiPriority w:val="99"/>
    <w:semiHidden/>
    <w:rsid w:val="00014566"/>
    <w:rPr>
      <w:rFonts w:ascii="Consolas" w:hAnsi="Consolas" w:cs="Consolas"/>
      <w:sz w:val="20"/>
      <w:szCs w:val="20"/>
      <w:lang w:val="bg-BG" w:eastAsia="bg-BG"/>
    </w:rPr>
  </w:style>
  <w:style w:type="character" w:styleId="HTMLVariable">
    <w:name w:val="HTML Variable"/>
    <w:uiPriority w:val="99"/>
    <w:semiHidden/>
    <w:rsid w:val="00014566"/>
    <w:rPr>
      <w:i/>
      <w:iCs/>
      <w:lang w:val="bg-BG" w:eastAsia="bg-BG"/>
    </w:rPr>
  </w:style>
  <w:style w:type="paragraph" w:styleId="Index1">
    <w:name w:val="index 1"/>
    <w:basedOn w:val="Normal"/>
    <w:next w:val="Normal"/>
    <w:autoRedefine/>
    <w:uiPriority w:val="99"/>
    <w:semiHidden/>
    <w:rsid w:val="00014566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rsid w:val="00014566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rsid w:val="00014566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rsid w:val="00014566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rsid w:val="00014566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rsid w:val="00014566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rsid w:val="00014566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rsid w:val="00014566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rsid w:val="00014566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rsid w:val="00014566"/>
    <w:rPr>
      <w:rFonts w:eastAsia="MS Gothic"/>
      <w:b/>
      <w:bCs/>
    </w:rPr>
  </w:style>
  <w:style w:type="table" w:styleId="LightGrid">
    <w:name w:val="Light Grid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Times New Roman" w:eastAsia="MS Gothic" w:hAnsi="Times New Rom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Times New Roman" w:eastAsia="MS Gothic" w:hAnsi="Times New Rom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Times New Roman" w:eastAsia="MS Gothic" w:hAnsi="Times New Roman" w:cs="Times New Roman"/>
        <w:b/>
        <w:bCs/>
      </w:rPr>
    </w:tblStylePr>
    <w:tblStylePr w:type="lastCol">
      <w:rPr>
        <w:rFonts w:ascii="Times New Roman" w:eastAsia="MS Gothic" w:hAnsi="Times New Rom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8" w:space="0" w:color="0072BC"/>
        <w:insideV w:val="single" w:sz="8" w:space="0" w:color="0072BC"/>
      </w:tblBorders>
    </w:tblPr>
    <w:tblStylePr w:type="firstRow">
      <w:pPr>
        <w:spacing w:before="0" w:after="0" w:line="240" w:lineRule="auto"/>
      </w:pPr>
      <w:rPr>
        <w:rFonts w:ascii="Times New Roman" w:eastAsia="MS Gothic" w:hAnsi="Times New Roman" w:cs="Times New Roman"/>
        <w:b/>
        <w:bCs/>
      </w:rPr>
      <w:tblPr/>
      <w:tcPr>
        <w:tcBorders>
          <w:top w:val="single" w:sz="8" w:space="0" w:color="0072BC"/>
          <w:left w:val="single" w:sz="8" w:space="0" w:color="0072BC"/>
          <w:bottom w:val="single" w:sz="18" w:space="0" w:color="0072BC"/>
          <w:right w:val="single" w:sz="8" w:space="0" w:color="0072BC"/>
          <w:insideH w:val="nil"/>
          <w:insideV w:val="single" w:sz="8" w:space="0" w:color="0072BC"/>
        </w:tcBorders>
      </w:tcPr>
    </w:tblStylePr>
    <w:tblStylePr w:type="lastRow">
      <w:pPr>
        <w:spacing w:before="0" w:after="0" w:line="240" w:lineRule="auto"/>
      </w:pPr>
      <w:rPr>
        <w:rFonts w:ascii="Times New Roman" w:eastAsia="MS Gothic" w:hAnsi="Times New Roman" w:cs="Times New Roman"/>
        <w:b/>
        <w:bCs/>
      </w:rPr>
      <w:tblPr/>
      <w:tcPr>
        <w:tcBorders>
          <w:top w:val="double" w:sz="6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</w:tcPr>
    </w:tblStylePr>
    <w:tblStylePr w:type="firstCol">
      <w:rPr>
        <w:rFonts w:ascii="Times New Roman" w:eastAsia="MS Gothic" w:hAnsi="Times New Roman" w:cs="Times New Roman"/>
        <w:b/>
        <w:bCs/>
      </w:rPr>
    </w:tblStylePr>
    <w:tblStylePr w:type="lastCol">
      <w:rPr>
        <w:rFonts w:ascii="Times New Roman" w:eastAsia="MS Gothic" w:hAnsi="Times New Roman" w:cs="Times New Roman"/>
        <w:b/>
        <w:bCs/>
      </w:rPr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</w:tcBorders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</w:tcBorders>
        <w:shd w:val="clear" w:color="auto" w:fill="AFDFFF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V w:val="single" w:sz="8" w:space="0" w:color="0072BC"/>
        </w:tcBorders>
        <w:shd w:val="clear" w:color="auto" w:fill="AFDFFF"/>
      </w:tcPr>
    </w:tblStylePr>
    <w:tblStylePr w:type="band2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V w:val="single" w:sz="8" w:space="0" w:color="0072BC"/>
        </w:tcBorders>
      </w:tcPr>
    </w:tblStylePr>
  </w:style>
  <w:style w:type="table" w:styleId="LightGrid-Accent2">
    <w:name w:val="Light Grid Accent 2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C00000"/>
        <w:left w:val="single" w:sz="8" w:space="0" w:color="C00000"/>
        <w:bottom w:val="single" w:sz="8" w:space="0" w:color="C00000"/>
        <w:right w:val="single" w:sz="8" w:space="0" w:color="C00000"/>
        <w:insideH w:val="single" w:sz="8" w:space="0" w:color="C00000"/>
        <w:insideV w:val="single" w:sz="8" w:space="0" w:color="C00000"/>
      </w:tblBorders>
    </w:tblPr>
    <w:tblStylePr w:type="firstRow">
      <w:pPr>
        <w:spacing w:before="0" w:after="0" w:line="240" w:lineRule="auto"/>
      </w:pPr>
      <w:rPr>
        <w:rFonts w:ascii="Times New Roman" w:eastAsia="MS Gothic" w:hAnsi="Times New Roman" w:cs="Times New Roman"/>
        <w:b/>
        <w:bCs/>
      </w:rPr>
      <w:tblPr/>
      <w:tcPr>
        <w:tcBorders>
          <w:top w:val="single" w:sz="8" w:space="0" w:color="C00000"/>
          <w:left w:val="single" w:sz="8" w:space="0" w:color="C00000"/>
          <w:bottom w:val="single" w:sz="18" w:space="0" w:color="C00000"/>
          <w:right w:val="single" w:sz="8" w:space="0" w:color="C00000"/>
          <w:insideH w:val="nil"/>
          <w:insideV w:val="single" w:sz="8" w:space="0" w:color="C00000"/>
        </w:tcBorders>
      </w:tcPr>
    </w:tblStylePr>
    <w:tblStylePr w:type="lastRow">
      <w:pPr>
        <w:spacing w:before="0" w:after="0" w:line="240" w:lineRule="auto"/>
      </w:pPr>
      <w:rPr>
        <w:rFonts w:ascii="Times New Roman" w:eastAsia="MS Gothic" w:hAnsi="Times New Roman" w:cs="Times New Roman"/>
        <w:b/>
        <w:bCs/>
      </w:rPr>
      <w:tblPr/>
      <w:tcPr>
        <w:tcBorders>
          <w:top w:val="double" w:sz="6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nil"/>
          <w:insideV w:val="single" w:sz="8" w:space="0" w:color="C00000"/>
        </w:tcBorders>
      </w:tcPr>
    </w:tblStylePr>
    <w:tblStylePr w:type="firstCol">
      <w:rPr>
        <w:rFonts w:ascii="Times New Roman" w:eastAsia="MS Gothic" w:hAnsi="Times New Roman" w:cs="Times New Roman"/>
        <w:b/>
        <w:bCs/>
      </w:rPr>
    </w:tblStylePr>
    <w:tblStylePr w:type="lastCol">
      <w:rPr>
        <w:rFonts w:ascii="Times New Roman" w:eastAsia="MS Gothic" w:hAnsi="Times New Roman" w:cs="Times New Roman"/>
        <w:b/>
        <w:bCs/>
      </w:rPr>
      <w:tblPr/>
      <w:tcPr>
        <w:tc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</w:tcBorders>
      </w:tcPr>
    </w:tblStylePr>
    <w:tblStylePr w:type="band1Vert">
      <w:tblPr/>
      <w:tcPr>
        <w:tc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</w:tcBorders>
        <w:shd w:val="clear" w:color="auto" w:fill="FFB0B0"/>
      </w:tcPr>
    </w:tblStylePr>
    <w:tblStylePr w:type="band1Horz">
      <w:tblPr/>
      <w:tcPr>
        <w:tc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V w:val="single" w:sz="8" w:space="0" w:color="C00000"/>
        </w:tcBorders>
        <w:shd w:val="clear" w:color="auto" w:fill="FFB0B0"/>
      </w:tcPr>
    </w:tblStylePr>
    <w:tblStylePr w:type="band2Horz">
      <w:tblPr/>
      <w:tcPr>
        <w:tc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V w:val="single" w:sz="8" w:space="0" w:color="C00000"/>
        </w:tcBorders>
      </w:tcPr>
    </w:tblStylePr>
  </w:style>
  <w:style w:type="table" w:styleId="LightGrid-Accent3">
    <w:name w:val="Light Grid Accent 3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  <w:insideH w:val="single" w:sz="8" w:space="0" w:color="5F5F5F"/>
        <w:insideV w:val="single" w:sz="8" w:space="0" w:color="5F5F5F"/>
      </w:tblBorders>
    </w:tblPr>
    <w:tblStylePr w:type="firstRow">
      <w:pPr>
        <w:spacing w:before="0" w:after="0" w:line="240" w:lineRule="auto"/>
      </w:pPr>
      <w:rPr>
        <w:rFonts w:ascii="Times New Roman" w:eastAsia="MS Gothic" w:hAnsi="Times New Roman" w:cs="Times New Roman"/>
        <w:b/>
        <w:bCs/>
      </w:rPr>
      <w:tblPr/>
      <w:tcPr>
        <w:tcBorders>
          <w:top w:val="single" w:sz="8" w:space="0" w:color="5F5F5F"/>
          <w:left w:val="single" w:sz="8" w:space="0" w:color="5F5F5F"/>
          <w:bottom w:val="single" w:sz="18" w:space="0" w:color="5F5F5F"/>
          <w:right w:val="single" w:sz="8" w:space="0" w:color="5F5F5F"/>
          <w:insideH w:val="nil"/>
          <w:insideV w:val="single" w:sz="8" w:space="0" w:color="5F5F5F"/>
        </w:tcBorders>
      </w:tcPr>
    </w:tblStylePr>
    <w:tblStylePr w:type="lastRow">
      <w:pPr>
        <w:spacing w:before="0" w:after="0" w:line="240" w:lineRule="auto"/>
      </w:pPr>
      <w:rPr>
        <w:rFonts w:ascii="Times New Roman" w:eastAsia="MS Gothic" w:hAnsi="Times New Roman" w:cs="Times New Roman"/>
        <w:b/>
        <w:bCs/>
      </w:rPr>
      <w:tblPr/>
      <w:tcPr>
        <w:tcBorders>
          <w:top w:val="double" w:sz="6" w:space="0" w:color="5F5F5F"/>
          <w:left w:val="single" w:sz="8" w:space="0" w:color="5F5F5F"/>
          <w:bottom w:val="single" w:sz="8" w:space="0" w:color="5F5F5F"/>
          <w:right w:val="single" w:sz="8" w:space="0" w:color="5F5F5F"/>
          <w:insideH w:val="nil"/>
          <w:insideV w:val="single" w:sz="8" w:space="0" w:color="5F5F5F"/>
        </w:tcBorders>
      </w:tcPr>
    </w:tblStylePr>
    <w:tblStylePr w:type="firstCol">
      <w:rPr>
        <w:rFonts w:ascii="Times New Roman" w:eastAsia="MS Gothic" w:hAnsi="Times New Roman" w:cs="Times New Roman"/>
        <w:b/>
        <w:bCs/>
      </w:rPr>
    </w:tblStylePr>
    <w:tblStylePr w:type="lastCol">
      <w:rPr>
        <w:rFonts w:ascii="Times New Roman" w:eastAsia="MS Gothic" w:hAnsi="Times New Roman" w:cs="Times New Roman"/>
        <w:b/>
        <w:bCs/>
      </w:rPr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  <w:tblStylePr w:type="band1Vert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  <w:shd w:val="clear" w:color="auto" w:fill="D7D7D7"/>
      </w:tcPr>
    </w:tblStylePr>
    <w:tblStylePr w:type="band1Horz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  <w:insideV w:val="single" w:sz="8" w:space="0" w:color="5F5F5F"/>
        </w:tcBorders>
        <w:shd w:val="clear" w:color="auto" w:fill="D7D7D7"/>
      </w:tcPr>
    </w:tblStylePr>
    <w:tblStylePr w:type="band2Horz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  <w:insideV w:val="single" w:sz="8" w:space="0" w:color="5F5F5F"/>
        </w:tcBorders>
      </w:tcPr>
    </w:tblStylePr>
  </w:style>
  <w:style w:type="table" w:styleId="LightGrid-Accent4">
    <w:name w:val="Light Grid Accent 4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969696"/>
        <w:left w:val="single" w:sz="8" w:space="0" w:color="969696"/>
        <w:bottom w:val="single" w:sz="8" w:space="0" w:color="969696"/>
        <w:right w:val="single" w:sz="8" w:space="0" w:color="969696"/>
        <w:insideH w:val="single" w:sz="8" w:space="0" w:color="969696"/>
        <w:insideV w:val="single" w:sz="8" w:space="0" w:color="969696"/>
      </w:tblBorders>
    </w:tblPr>
    <w:tblStylePr w:type="firstRow">
      <w:pPr>
        <w:spacing w:before="0" w:after="0" w:line="240" w:lineRule="auto"/>
      </w:pPr>
      <w:rPr>
        <w:rFonts w:ascii="Times New Roman" w:eastAsia="MS Gothic" w:hAnsi="Times New Roman" w:cs="Times New Roman"/>
        <w:b/>
        <w:bCs/>
      </w:rPr>
      <w:tblPr/>
      <w:tcPr>
        <w:tcBorders>
          <w:top w:val="single" w:sz="8" w:space="0" w:color="969696"/>
          <w:left w:val="single" w:sz="8" w:space="0" w:color="969696"/>
          <w:bottom w:val="single" w:sz="18" w:space="0" w:color="969696"/>
          <w:right w:val="single" w:sz="8" w:space="0" w:color="969696"/>
          <w:insideH w:val="nil"/>
          <w:insideV w:val="single" w:sz="8" w:space="0" w:color="969696"/>
        </w:tcBorders>
      </w:tcPr>
    </w:tblStylePr>
    <w:tblStylePr w:type="lastRow">
      <w:pPr>
        <w:spacing w:before="0" w:after="0" w:line="240" w:lineRule="auto"/>
      </w:pPr>
      <w:rPr>
        <w:rFonts w:ascii="Times New Roman" w:eastAsia="MS Gothic" w:hAnsi="Times New Roman" w:cs="Times New Roman"/>
        <w:b/>
        <w:bCs/>
      </w:rPr>
      <w:tblPr/>
      <w:tcPr>
        <w:tcBorders>
          <w:top w:val="double" w:sz="6" w:space="0" w:color="969696"/>
          <w:left w:val="single" w:sz="8" w:space="0" w:color="969696"/>
          <w:bottom w:val="single" w:sz="8" w:space="0" w:color="969696"/>
          <w:right w:val="single" w:sz="8" w:space="0" w:color="969696"/>
          <w:insideH w:val="nil"/>
          <w:insideV w:val="single" w:sz="8" w:space="0" w:color="969696"/>
        </w:tcBorders>
      </w:tcPr>
    </w:tblStylePr>
    <w:tblStylePr w:type="firstCol">
      <w:rPr>
        <w:rFonts w:ascii="Times New Roman" w:eastAsia="MS Gothic" w:hAnsi="Times New Roman" w:cs="Times New Roman"/>
        <w:b/>
        <w:bCs/>
      </w:rPr>
    </w:tblStylePr>
    <w:tblStylePr w:type="lastCol">
      <w:rPr>
        <w:rFonts w:ascii="Times New Roman" w:eastAsia="MS Gothic" w:hAnsi="Times New Roman" w:cs="Times New Roman"/>
        <w:b/>
        <w:bCs/>
      </w:rPr>
      <w:tblPr/>
      <w:tcPr>
        <w:tcBorders>
          <w:top w:val="single" w:sz="8" w:space="0" w:color="969696"/>
          <w:left w:val="single" w:sz="8" w:space="0" w:color="969696"/>
          <w:bottom w:val="single" w:sz="8" w:space="0" w:color="969696"/>
          <w:right w:val="single" w:sz="8" w:space="0" w:color="969696"/>
        </w:tcBorders>
      </w:tcPr>
    </w:tblStylePr>
    <w:tblStylePr w:type="band1Vert">
      <w:tblPr/>
      <w:tcPr>
        <w:tcBorders>
          <w:top w:val="single" w:sz="8" w:space="0" w:color="969696"/>
          <w:left w:val="single" w:sz="8" w:space="0" w:color="969696"/>
          <w:bottom w:val="single" w:sz="8" w:space="0" w:color="969696"/>
          <w:right w:val="single" w:sz="8" w:space="0" w:color="969696"/>
        </w:tcBorders>
        <w:shd w:val="clear" w:color="auto" w:fill="E5E5E5"/>
      </w:tcPr>
    </w:tblStylePr>
    <w:tblStylePr w:type="band1Horz">
      <w:tblPr/>
      <w:tcPr>
        <w:tcBorders>
          <w:top w:val="single" w:sz="8" w:space="0" w:color="969696"/>
          <w:left w:val="single" w:sz="8" w:space="0" w:color="969696"/>
          <w:bottom w:val="single" w:sz="8" w:space="0" w:color="969696"/>
          <w:right w:val="single" w:sz="8" w:space="0" w:color="969696"/>
          <w:insideV w:val="single" w:sz="8" w:space="0" w:color="969696"/>
        </w:tcBorders>
        <w:shd w:val="clear" w:color="auto" w:fill="E5E5E5"/>
      </w:tcPr>
    </w:tblStylePr>
    <w:tblStylePr w:type="band2Horz">
      <w:tblPr/>
      <w:tcPr>
        <w:tcBorders>
          <w:top w:val="single" w:sz="8" w:space="0" w:color="969696"/>
          <w:left w:val="single" w:sz="8" w:space="0" w:color="969696"/>
          <w:bottom w:val="single" w:sz="8" w:space="0" w:color="969696"/>
          <w:right w:val="single" w:sz="8" w:space="0" w:color="969696"/>
          <w:insideV w:val="single" w:sz="8" w:space="0" w:color="969696"/>
        </w:tcBorders>
      </w:tcPr>
    </w:tblStylePr>
  </w:style>
  <w:style w:type="table" w:styleId="LightGrid-Accent5">
    <w:name w:val="Light Grid Accent 5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  <w:insideH w:val="single" w:sz="8" w:space="0" w:color="5F5F5F"/>
        <w:insideV w:val="single" w:sz="8" w:space="0" w:color="5F5F5F"/>
      </w:tblBorders>
    </w:tblPr>
    <w:tblStylePr w:type="firstRow">
      <w:pPr>
        <w:spacing w:before="0" w:after="0" w:line="240" w:lineRule="auto"/>
      </w:pPr>
      <w:rPr>
        <w:rFonts w:ascii="Times New Roman" w:eastAsia="MS Gothic" w:hAnsi="Times New Roman" w:cs="Times New Roman"/>
        <w:b/>
        <w:bCs/>
      </w:rPr>
      <w:tblPr/>
      <w:tcPr>
        <w:tcBorders>
          <w:top w:val="single" w:sz="8" w:space="0" w:color="5F5F5F"/>
          <w:left w:val="single" w:sz="8" w:space="0" w:color="5F5F5F"/>
          <w:bottom w:val="single" w:sz="18" w:space="0" w:color="5F5F5F"/>
          <w:right w:val="single" w:sz="8" w:space="0" w:color="5F5F5F"/>
          <w:insideH w:val="nil"/>
          <w:insideV w:val="single" w:sz="8" w:space="0" w:color="5F5F5F"/>
        </w:tcBorders>
      </w:tcPr>
    </w:tblStylePr>
    <w:tblStylePr w:type="lastRow">
      <w:pPr>
        <w:spacing w:before="0" w:after="0" w:line="240" w:lineRule="auto"/>
      </w:pPr>
      <w:rPr>
        <w:rFonts w:ascii="Times New Roman" w:eastAsia="MS Gothic" w:hAnsi="Times New Roman" w:cs="Times New Roman"/>
        <w:b/>
        <w:bCs/>
      </w:rPr>
      <w:tblPr/>
      <w:tcPr>
        <w:tcBorders>
          <w:top w:val="double" w:sz="6" w:space="0" w:color="5F5F5F"/>
          <w:left w:val="single" w:sz="8" w:space="0" w:color="5F5F5F"/>
          <w:bottom w:val="single" w:sz="8" w:space="0" w:color="5F5F5F"/>
          <w:right w:val="single" w:sz="8" w:space="0" w:color="5F5F5F"/>
          <w:insideH w:val="nil"/>
          <w:insideV w:val="single" w:sz="8" w:space="0" w:color="5F5F5F"/>
        </w:tcBorders>
      </w:tcPr>
    </w:tblStylePr>
    <w:tblStylePr w:type="firstCol">
      <w:rPr>
        <w:rFonts w:ascii="Times New Roman" w:eastAsia="MS Gothic" w:hAnsi="Times New Roman" w:cs="Times New Roman"/>
        <w:b/>
        <w:bCs/>
      </w:rPr>
    </w:tblStylePr>
    <w:tblStylePr w:type="lastCol">
      <w:rPr>
        <w:rFonts w:ascii="Times New Roman" w:eastAsia="MS Gothic" w:hAnsi="Times New Roman" w:cs="Times New Roman"/>
        <w:b/>
        <w:bCs/>
      </w:rPr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  <w:tblStylePr w:type="band1Vert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  <w:shd w:val="clear" w:color="auto" w:fill="D7D7D7"/>
      </w:tcPr>
    </w:tblStylePr>
    <w:tblStylePr w:type="band1Horz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  <w:insideV w:val="single" w:sz="8" w:space="0" w:color="5F5F5F"/>
        </w:tcBorders>
        <w:shd w:val="clear" w:color="auto" w:fill="D7D7D7"/>
      </w:tcPr>
    </w:tblStylePr>
    <w:tblStylePr w:type="band2Horz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  <w:insideV w:val="single" w:sz="8" w:space="0" w:color="5F5F5F"/>
        </w:tcBorders>
      </w:tcPr>
    </w:tblStylePr>
  </w:style>
  <w:style w:type="table" w:styleId="LightGrid-Accent6">
    <w:name w:val="Light Grid Accent 6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4D4D4D"/>
        <w:left w:val="single" w:sz="8" w:space="0" w:color="4D4D4D"/>
        <w:bottom w:val="single" w:sz="8" w:space="0" w:color="4D4D4D"/>
        <w:right w:val="single" w:sz="8" w:space="0" w:color="4D4D4D"/>
        <w:insideH w:val="single" w:sz="8" w:space="0" w:color="4D4D4D"/>
        <w:insideV w:val="single" w:sz="8" w:space="0" w:color="4D4D4D"/>
      </w:tblBorders>
    </w:tblPr>
    <w:tblStylePr w:type="firstRow">
      <w:pPr>
        <w:spacing w:before="0" w:after="0" w:line="240" w:lineRule="auto"/>
      </w:pPr>
      <w:rPr>
        <w:rFonts w:ascii="Times New Roman" w:eastAsia="MS Gothic" w:hAnsi="Times New Roman" w:cs="Times New Roman"/>
        <w:b/>
        <w:bCs/>
      </w:rPr>
      <w:tblPr/>
      <w:tcPr>
        <w:tcBorders>
          <w:top w:val="single" w:sz="8" w:space="0" w:color="4D4D4D"/>
          <w:left w:val="single" w:sz="8" w:space="0" w:color="4D4D4D"/>
          <w:bottom w:val="single" w:sz="18" w:space="0" w:color="4D4D4D"/>
          <w:right w:val="single" w:sz="8" w:space="0" w:color="4D4D4D"/>
          <w:insideH w:val="nil"/>
          <w:insideV w:val="single" w:sz="8" w:space="0" w:color="4D4D4D"/>
        </w:tcBorders>
      </w:tcPr>
    </w:tblStylePr>
    <w:tblStylePr w:type="lastRow">
      <w:pPr>
        <w:spacing w:before="0" w:after="0" w:line="240" w:lineRule="auto"/>
      </w:pPr>
      <w:rPr>
        <w:rFonts w:ascii="Times New Roman" w:eastAsia="MS Gothic" w:hAnsi="Times New Roman" w:cs="Times New Roman"/>
        <w:b/>
        <w:bCs/>
      </w:rPr>
      <w:tblPr/>
      <w:tcPr>
        <w:tcBorders>
          <w:top w:val="double" w:sz="6" w:space="0" w:color="4D4D4D"/>
          <w:left w:val="single" w:sz="8" w:space="0" w:color="4D4D4D"/>
          <w:bottom w:val="single" w:sz="8" w:space="0" w:color="4D4D4D"/>
          <w:right w:val="single" w:sz="8" w:space="0" w:color="4D4D4D"/>
          <w:insideH w:val="nil"/>
          <w:insideV w:val="single" w:sz="8" w:space="0" w:color="4D4D4D"/>
        </w:tcBorders>
      </w:tcPr>
    </w:tblStylePr>
    <w:tblStylePr w:type="firstCol">
      <w:rPr>
        <w:rFonts w:ascii="Times New Roman" w:eastAsia="MS Gothic" w:hAnsi="Times New Roman" w:cs="Times New Roman"/>
        <w:b/>
        <w:bCs/>
      </w:rPr>
    </w:tblStylePr>
    <w:tblStylePr w:type="lastCol">
      <w:rPr>
        <w:rFonts w:ascii="Times New Roman" w:eastAsia="MS Gothic" w:hAnsi="Times New Roman" w:cs="Times New Roman"/>
        <w:b/>
        <w:bCs/>
      </w:rPr>
      <w:tblPr/>
      <w:tcPr>
        <w:tcBorders>
          <w:top w:val="single" w:sz="8" w:space="0" w:color="4D4D4D"/>
          <w:left w:val="single" w:sz="8" w:space="0" w:color="4D4D4D"/>
          <w:bottom w:val="single" w:sz="8" w:space="0" w:color="4D4D4D"/>
          <w:right w:val="single" w:sz="8" w:space="0" w:color="4D4D4D"/>
        </w:tcBorders>
      </w:tcPr>
    </w:tblStylePr>
    <w:tblStylePr w:type="band1Vert">
      <w:tblPr/>
      <w:tcPr>
        <w:tcBorders>
          <w:top w:val="single" w:sz="8" w:space="0" w:color="4D4D4D"/>
          <w:left w:val="single" w:sz="8" w:space="0" w:color="4D4D4D"/>
          <w:bottom w:val="single" w:sz="8" w:space="0" w:color="4D4D4D"/>
          <w:right w:val="single" w:sz="8" w:space="0" w:color="4D4D4D"/>
        </w:tcBorders>
        <w:shd w:val="clear" w:color="auto" w:fill="D3D3D3"/>
      </w:tcPr>
    </w:tblStylePr>
    <w:tblStylePr w:type="band1Horz">
      <w:tblPr/>
      <w:tcPr>
        <w:tcBorders>
          <w:top w:val="single" w:sz="8" w:space="0" w:color="4D4D4D"/>
          <w:left w:val="single" w:sz="8" w:space="0" w:color="4D4D4D"/>
          <w:bottom w:val="single" w:sz="8" w:space="0" w:color="4D4D4D"/>
          <w:right w:val="single" w:sz="8" w:space="0" w:color="4D4D4D"/>
          <w:insideV w:val="single" w:sz="8" w:space="0" w:color="4D4D4D"/>
        </w:tcBorders>
        <w:shd w:val="clear" w:color="auto" w:fill="D3D3D3"/>
      </w:tcPr>
    </w:tblStylePr>
    <w:tblStylePr w:type="band2Horz">
      <w:tblPr/>
      <w:tcPr>
        <w:tcBorders>
          <w:top w:val="single" w:sz="8" w:space="0" w:color="4D4D4D"/>
          <w:left w:val="single" w:sz="8" w:space="0" w:color="4D4D4D"/>
          <w:bottom w:val="single" w:sz="8" w:space="0" w:color="4D4D4D"/>
          <w:right w:val="single" w:sz="8" w:space="0" w:color="4D4D4D"/>
          <w:insideV w:val="single" w:sz="8" w:space="0" w:color="4D4D4D"/>
        </w:tcBorders>
      </w:tcPr>
    </w:tblStylePr>
  </w:style>
  <w:style w:type="table" w:styleId="LightList">
    <w:name w:val="Light List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shd w:val="clear" w:color="auto" w:fill="0072BC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2BC"/>
          <w:left w:val="single" w:sz="8" w:space="0" w:color="0072BC"/>
          <w:bottom w:val="single" w:sz="8" w:space="0" w:color="0072BC"/>
          <w:right w:val="single" w:sz="8" w:space="0" w:color="0072B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</w:tcBorders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</w:tcBorders>
      </w:tcPr>
    </w:tblStylePr>
  </w:style>
  <w:style w:type="table" w:styleId="LightList-Accent2">
    <w:name w:val="Light List Accent 2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C00000"/>
        <w:left w:val="single" w:sz="8" w:space="0" w:color="C00000"/>
        <w:bottom w:val="single" w:sz="8" w:space="0" w:color="C00000"/>
        <w:right w:val="single" w:sz="8" w:space="0" w:color="C00000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shd w:val="clear" w:color="auto" w:fill="C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0000"/>
          <w:left w:val="single" w:sz="8" w:space="0" w:color="C00000"/>
          <w:bottom w:val="single" w:sz="8" w:space="0" w:color="C00000"/>
          <w:right w:val="single" w:sz="8" w:space="0" w:color="C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</w:tcBorders>
      </w:tcPr>
    </w:tblStylePr>
    <w:tblStylePr w:type="band1Horz">
      <w:tblPr/>
      <w:tcPr>
        <w:tc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</w:tcBorders>
      </w:tcPr>
    </w:tblStylePr>
  </w:style>
  <w:style w:type="table" w:styleId="LightList-Accent3">
    <w:name w:val="Light List Accent 3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shd w:val="clear" w:color="auto" w:fill="5F5F5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  <w:tblStylePr w:type="band1Horz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</w:style>
  <w:style w:type="table" w:styleId="LightList-Accent4">
    <w:name w:val="Light List Accent 4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969696"/>
        <w:left w:val="single" w:sz="8" w:space="0" w:color="969696"/>
        <w:bottom w:val="single" w:sz="8" w:space="0" w:color="969696"/>
        <w:right w:val="single" w:sz="8" w:space="0" w:color="969696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shd w:val="clear" w:color="auto" w:fill="96969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/>
          <w:left w:val="single" w:sz="8" w:space="0" w:color="969696"/>
          <w:bottom w:val="single" w:sz="8" w:space="0" w:color="969696"/>
          <w:right w:val="single" w:sz="8" w:space="0" w:color="96969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/>
          <w:left w:val="single" w:sz="8" w:space="0" w:color="969696"/>
          <w:bottom w:val="single" w:sz="8" w:space="0" w:color="969696"/>
          <w:right w:val="single" w:sz="8" w:space="0" w:color="969696"/>
        </w:tcBorders>
      </w:tcPr>
    </w:tblStylePr>
    <w:tblStylePr w:type="band1Horz">
      <w:tblPr/>
      <w:tcPr>
        <w:tcBorders>
          <w:top w:val="single" w:sz="8" w:space="0" w:color="969696"/>
          <w:left w:val="single" w:sz="8" w:space="0" w:color="969696"/>
          <w:bottom w:val="single" w:sz="8" w:space="0" w:color="969696"/>
          <w:right w:val="single" w:sz="8" w:space="0" w:color="969696"/>
        </w:tcBorders>
      </w:tcPr>
    </w:tblStylePr>
  </w:style>
  <w:style w:type="table" w:styleId="LightList-Accent5">
    <w:name w:val="Light List Accent 5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shd w:val="clear" w:color="auto" w:fill="5F5F5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  <w:tblStylePr w:type="band1Horz">
      <w:tblPr/>
      <w:tcPr>
        <w:tcBorders>
          <w:top w:val="single" w:sz="8" w:space="0" w:color="5F5F5F"/>
          <w:left w:val="single" w:sz="8" w:space="0" w:color="5F5F5F"/>
          <w:bottom w:val="single" w:sz="8" w:space="0" w:color="5F5F5F"/>
          <w:right w:val="single" w:sz="8" w:space="0" w:color="5F5F5F"/>
        </w:tcBorders>
      </w:tcPr>
    </w:tblStylePr>
  </w:style>
  <w:style w:type="table" w:styleId="LightList-Accent6">
    <w:name w:val="Light List Accent 6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4D4D4D"/>
        <w:left w:val="single" w:sz="8" w:space="0" w:color="4D4D4D"/>
        <w:bottom w:val="single" w:sz="8" w:space="0" w:color="4D4D4D"/>
        <w:right w:val="single" w:sz="8" w:space="0" w:color="4D4D4D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shd w:val="clear" w:color="auto" w:fill="4D4D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/>
          <w:left w:val="single" w:sz="8" w:space="0" w:color="4D4D4D"/>
          <w:bottom w:val="single" w:sz="8" w:space="0" w:color="4D4D4D"/>
          <w:right w:val="single" w:sz="8" w:space="0" w:color="4D4D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/>
          <w:left w:val="single" w:sz="8" w:space="0" w:color="4D4D4D"/>
          <w:bottom w:val="single" w:sz="8" w:space="0" w:color="4D4D4D"/>
          <w:right w:val="single" w:sz="8" w:space="0" w:color="4D4D4D"/>
        </w:tcBorders>
      </w:tcPr>
    </w:tblStylePr>
    <w:tblStylePr w:type="band1Horz">
      <w:tblPr/>
      <w:tcPr>
        <w:tcBorders>
          <w:top w:val="single" w:sz="8" w:space="0" w:color="4D4D4D"/>
          <w:left w:val="single" w:sz="8" w:space="0" w:color="4D4D4D"/>
          <w:bottom w:val="single" w:sz="8" w:space="0" w:color="4D4D4D"/>
          <w:right w:val="single" w:sz="8" w:space="0" w:color="4D4D4D"/>
        </w:tcBorders>
      </w:tcPr>
    </w:tblStylePr>
  </w:style>
  <w:style w:type="table" w:styleId="LightShading">
    <w:name w:val="Light Shading"/>
    <w:basedOn w:val="TableNormal"/>
    <w:uiPriority w:val="99"/>
    <w:semiHidden/>
    <w:rsid w:val="00014566"/>
    <w:rPr>
      <w:color w:val="000000"/>
      <w:lang w:val="fr-FR" w:eastAsia="fr-FR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99"/>
    <w:semiHidden/>
    <w:rsid w:val="00014566"/>
    <w:rPr>
      <w:color w:val="00548C"/>
      <w:lang w:val="fr-FR" w:eastAsia="fr-FR"/>
    </w:rPr>
    <w:tblPr>
      <w:tblStyleRowBandSize w:val="1"/>
      <w:tblStyleColBandSize w:val="1"/>
      <w:tblBorders>
        <w:top w:val="single" w:sz="8" w:space="0" w:color="0072BC"/>
        <w:bottom w:val="single" w:sz="8" w:space="0" w:color="0072BC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BC"/>
          <w:left w:val="nil"/>
          <w:bottom w:val="single" w:sz="8" w:space="0" w:color="0072BC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BC"/>
          <w:left w:val="nil"/>
          <w:bottom w:val="single" w:sz="8" w:space="0" w:color="0072BC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FF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FDFFF"/>
      </w:tcPr>
    </w:tblStylePr>
  </w:style>
  <w:style w:type="table" w:styleId="LightShading-Accent2">
    <w:name w:val="Light Shading Accent 2"/>
    <w:basedOn w:val="TableNormal"/>
    <w:uiPriority w:val="99"/>
    <w:semiHidden/>
    <w:rsid w:val="00014566"/>
    <w:rPr>
      <w:color w:val="8F0000"/>
      <w:lang w:val="fr-FR" w:eastAsia="fr-FR"/>
    </w:rPr>
    <w:tblPr>
      <w:tblStyleRowBandSize w:val="1"/>
      <w:tblStyleColBandSize w:val="1"/>
      <w:tblBorders>
        <w:top w:val="single" w:sz="8" w:space="0" w:color="C00000"/>
        <w:bottom w:val="single" w:sz="8" w:space="0" w:color="C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0000"/>
          <w:left w:val="nil"/>
          <w:bottom w:val="single" w:sz="8" w:space="0" w:color="C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0000"/>
          <w:left w:val="nil"/>
          <w:bottom w:val="single" w:sz="8" w:space="0" w:color="C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0B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B0B0"/>
      </w:tcPr>
    </w:tblStylePr>
  </w:style>
  <w:style w:type="table" w:styleId="LightShading-Accent3">
    <w:name w:val="Light Shading Accent 3"/>
    <w:basedOn w:val="TableNormal"/>
    <w:uiPriority w:val="99"/>
    <w:semiHidden/>
    <w:rsid w:val="00014566"/>
    <w:rPr>
      <w:color w:val="474747"/>
      <w:lang w:val="fr-FR" w:eastAsia="fr-FR"/>
    </w:rPr>
    <w:tblPr>
      <w:tblStyleRowBandSize w:val="1"/>
      <w:tblStyleColBandSize w:val="1"/>
      <w:tblBorders>
        <w:top w:val="single" w:sz="8" w:space="0" w:color="5F5F5F"/>
        <w:bottom w:val="single" w:sz="8" w:space="0" w:color="5F5F5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/>
          <w:left w:val="nil"/>
          <w:bottom w:val="single" w:sz="8" w:space="0" w:color="5F5F5F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/>
          <w:left w:val="nil"/>
          <w:bottom w:val="single" w:sz="8" w:space="0" w:color="5F5F5F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/>
      </w:tcPr>
    </w:tblStylePr>
  </w:style>
  <w:style w:type="table" w:styleId="LightShading-Accent4">
    <w:name w:val="Light Shading Accent 4"/>
    <w:basedOn w:val="TableNormal"/>
    <w:uiPriority w:val="99"/>
    <w:semiHidden/>
    <w:rsid w:val="00014566"/>
    <w:rPr>
      <w:color w:val="707070"/>
      <w:lang w:val="fr-FR" w:eastAsia="fr-FR"/>
    </w:rPr>
    <w:tblPr>
      <w:tblStyleRowBandSize w:val="1"/>
      <w:tblStyleColBandSize w:val="1"/>
      <w:tblBorders>
        <w:top w:val="single" w:sz="8" w:space="0" w:color="969696"/>
        <w:bottom w:val="single" w:sz="8" w:space="0" w:color="96969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/>
          <w:left w:val="nil"/>
          <w:bottom w:val="single" w:sz="8" w:space="0" w:color="96969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/>
          <w:left w:val="nil"/>
          <w:bottom w:val="single" w:sz="8" w:space="0" w:color="96969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/>
      </w:tcPr>
    </w:tblStylePr>
  </w:style>
  <w:style w:type="table" w:styleId="LightShading-Accent5">
    <w:name w:val="Light Shading Accent 5"/>
    <w:basedOn w:val="TableNormal"/>
    <w:uiPriority w:val="99"/>
    <w:semiHidden/>
    <w:rsid w:val="00014566"/>
    <w:rPr>
      <w:color w:val="474747"/>
      <w:lang w:val="fr-FR" w:eastAsia="fr-FR"/>
    </w:rPr>
    <w:tblPr>
      <w:tblStyleRowBandSize w:val="1"/>
      <w:tblStyleColBandSize w:val="1"/>
      <w:tblBorders>
        <w:top w:val="single" w:sz="8" w:space="0" w:color="5F5F5F"/>
        <w:bottom w:val="single" w:sz="8" w:space="0" w:color="5F5F5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/>
          <w:left w:val="nil"/>
          <w:bottom w:val="single" w:sz="8" w:space="0" w:color="5F5F5F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/>
          <w:left w:val="nil"/>
          <w:bottom w:val="single" w:sz="8" w:space="0" w:color="5F5F5F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/>
      </w:tcPr>
    </w:tblStylePr>
  </w:style>
  <w:style w:type="table" w:styleId="LightShading-Accent6">
    <w:name w:val="Light Shading Accent 6"/>
    <w:basedOn w:val="TableNormal"/>
    <w:uiPriority w:val="99"/>
    <w:semiHidden/>
    <w:rsid w:val="00014566"/>
    <w:rPr>
      <w:color w:val="393939"/>
      <w:lang w:val="fr-FR" w:eastAsia="fr-FR"/>
    </w:rPr>
    <w:tblPr>
      <w:tblStyleRowBandSize w:val="1"/>
      <w:tblStyleColBandSize w:val="1"/>
      <w:tblBorders>
        <w:top w:val="single" w:sz="8" w:space="0" w:color="4D4D4D"/>
        <w:bottom w:val="single" w:sz="8" w:space="0" w:color="4D4D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/>
          <w:left w:val="nil"/>
          <w:bottom w:val="single" w:sz="8" w:space="0" w:color="4D4D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/>
          <w:left w:val="nil"/>
          <w:bottom w:val="single" w:sz="8" w:space="0" w:color="4D4D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/>
      </w:tcPr>
    </w:tblStylePr>
  </w:style>
  <w:style w:type="character" w:styleId="LineNumber">
    <w:name w:val="line number"/>
    <w:basedOn w:val="DefaultParagraphFont"/>
    <w:uiPriority w:val="99"/>
    <w:semiHidden/>
    <w:rsid w:val="00014566"/>
  </w:style>
  <w:style w:type="paragraph" w:styleId="List">
    <w:name w:val="List"/>
    <w:basedOn w:val="Normal"/>
    <w:uiPriority w:val="99"/>
    <w:semiHidden/>
    <w:rsid w:val="00014566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rsid w:val="00014566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014566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014566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014566"/>
    <w:pPr>
      <w:ind w:left="1415" w:hanging="283"/>
      <w:contextualSpacing/>
    </w:pPr>
  </w:style>
  <w:style w:type="paragraph" w:styleId="ListBullet2">
    <w:name w:val="List Bullet 2"/>
    <w:basedOn w:val="Normal"/>
    <w:uiPriority w:val="99"/>
    <w:semiHidden/>
    <w:rsid w:val="00014566"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semiHidden/>
    <w:rsid w:val="00014566"/>
    <w:pPr>
      <w:numPr>
        <w:numId w:val="6"/>
      </w:numPr>
      <w:contextualSpacing/>
    </w:pPr>
  </w:style>
  <w:style w:type="paragraph" w:styleId="ListBullet4">
    <w:name w:val="List Bullet 4"/>
    <w:basedOn w:val="Normal"/>
    <w:uiPriority w:val="99"/>
    <w:semiHidden/>
    <w:rsid w:val="00014566"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99"/>
    <w:semiHidden/>
    <w:rsid w:val="00014566"/>
    <w:pPr>
      <w:numPr>
        <w:numId w:val="8"/>
      </w:numPr>
      <w:contextualSpacing/>
    </w:pPr>
  </w:style>
  <w:style w:type="paragraph" w:styleId="ListContinue">
    <w:name w:val="List Continue"/>
    <w:basedOn w:val="Normal"/>
    <w:uiPriority w:val="99"/>
    <w:semiHidden/>
    <w:rsid w:val="00014566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rsid w:val="00014566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rsid w:val="00014566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rsid w:val="00014566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rsid w:val="00014566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rsid w:val="00014566"/>
    <w:pPr>
      <w:numPr>
        <w:numId w:val="9"/>
      </w:numPr>
      <w:contextualSpacing/>
    </w:pPr>
  </w:style>
  <w:style w:type="paragraph" w:styleId="ListNumber2">
    <w:name w:val="List Number 2"/>
    <w:basedOn w:val="Normal"/>
    <w:uiPriority w:val="99"/>
    <w:semiHidden/>
    <w:rsid w:val="00014566"/>
    <w:pPr>
      <w:numPr>
        <w:numId w:val="10"/>
      </w:numPr>
      <w:contextualSpacing/>
    </w:pPr>
  </w:style>
  <w:style w:type="paragraph" w:styleId="ListNumber3">
    <w:name w:val="List Number 3"/>
    <w:basedOn w:val="Normal"/>
    <w:uiPriority w:val="99"/>
    <w:semiHidden/>
    <w:rsid w:val="00014566"/>
    <w:pPr>
      <w:numPr>
        <w:numId w:val="11"/>
      </w:numPr>
      <w:contextualSpacing/>
    </w:pPr>
  </w:style>
  <w:style w:type="paragraph" w:styleId="ListNumber4">
    <w:name w:val="List Number 4"/>
    <w:basedOn w:val="Normal"/>
    <w:uiPriority w:val="99"/>
    <w:semiHidden/>
    <w:rsid w:val="00014566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rsid w:val="00014566"/>
    <w:pPr>
      <w:numPr>
        <w:numId w:val="13"/>
      </w:numPr>
      <w:contextualSpacing/>
    </w:pPr>
  </w:style>
  <w:style w:type="paragraph" w:styleId="MacroText">
    <w:name w:val="macro"/>
    <w:link w:val="MacroTextChar"/>
    <w:uiPriority w:val="99"/>
    <w:semiHidden/>
    <w:rsid w:val="0001456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</w:pPr>
    <w:rPr>
      <w:rFonts w:ascii="Consolas" w:hAnsi="Consolas" w:cs="Consolas"/>
      <w:lang w:val="bg-BG" w:eastAsia="bg-BG"/>
    </w:rPr>
  </w:style>
  <w:style w:type="character" w:customStyle="1" w:styleId="MacroTextChar">
    <w:name w:val="Macro Text Char"/>
    <w:link w:val="MacroText"/>
    <w:uiPriority w:val="99"/>
    <w:semiHidden/>
    <w:rsid w:val="00014566"/>
    <w:rPr>
      <w:rFonts w:ascii="Consolas" w:hAnsi="Consolas" w:cs="Consolas"/>
      <w:sz w:val="20"/>
      <w:szCs w:val="20"/>
      <w:lang w:val="bg-BG" w:eastAsia="bg-BG"/>
    </w:rPr>
  </w:style>
  <w:style w:type="table" w:styleId="MediumGrid1">
    <w:name w:val="Medium Grid 1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0D9FFF"/>
        <w:left w:val="single" w:sz="8" w:space="0" w:color="0D9FFF"/>
        <w:bottom w:val="single" w:sz="8" w:space="0" w:color="0D9FFF"/>
        <w:right w:val="single" w:sz="8" w:space="0" w:color="0D9FFF"/>
        <w:insideH w:val="single" w:sz="8" w:space="0" w:color="0D9FFF"/>
        <w:insideV w:val="single" w:sz="8" w:space="0" w:color="0D9FFF"/>
      </w:tblBorders>
    </w:tblPr>
    <w:tcPr>
      <w:shd w:val="clear" w:color="auto" w:fill="AFDFF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D9FF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EBFFF"/>
      </w:tcPr>
    </w:tblStylePr>
    <w:tblStylePr w:type="band1Horz">
      <w:tblPr/>
      <w:tcPr>
        <w:shd w:val="clear" w:color="auto" w:fill="5EBFFF"/>
      </w:tcPr>
    </w:tblStylePr>
  </w:style>
  <w:style w:type="table" w:styleId="MediumGrid1-Accent2">
    <w:name w:val="Medium Grid 1 Accent 2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FF1010"/>
        <w:left w:val="single" w:sz="8" w:space="0" w:color="FF1010"/>
        <w:bottom w:val="single" w:sz="8" w:space="0" w:color="FF1010"/>
        <w:right w:val="single" w:sz="8" w:space="0" w:color="FF1010"/>
        <w:insideH w:val="single" w:sz="8" w:space="0" w:color="FF1010"/>
        <w:insideV w:val="single" w:sz="8" w:space="0" w:color="FF1010"/>
      </w:tblBorders>
    </w:tblPr>
    <w:tcPr>
      <w:shd w:val="clear" w:color="auto" w:fill="FFB0B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101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6060"/>
      </w:tcPr>
    </w:tblStylePr>
    <w:tblStylePr w:type="band1Horz">
      <w:tblPr/>
      <w:tcPr>
        <w:shd w:val="clear" w:color="auto" w:fill="FF6060"/>
      </w:tcPr>
    </w:tblStylePr>
  </w:style>
  <w:style w:type="table" w:styleId="MediumGrid1-Accent3">
    <w:name w:val="Medium Grid 1 Accent 3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878787"/>
        <w:left w:val="single" w:sz="8" w:space="0" w:color="878787"/>
        <w:bottom w:val="single" w:sz="8" w:space="0" w:color="878787"/>
        <w:right w:val="single" w:sz="8" w:space="0" w:color="878787"/>
        <w:insideH w:val="single" w:sz="8" w:space="0" w:color="878787"/>
        <w:insideV w:val="single" w:sz="8" w:space="0" w:color="878787"/>
      </w:tblBorders>
    </w:tblPr>
    <w:tcPr>
      <w:shd w:val="clear" w:color="auto" w:fill="D7D7D7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/>
      </w:tcPr>
    </w:tblStylePr>
    <w:tblStylePr w:type="band1Horz">
      <w:tblPr/>
      <w:tcPr>
        <w:shd w:val="clear" w:color="auto" w:fill="AFAFAF"/>
      </w:tcPr>
    </w:tblStylePr>
  </w:style>
  <w:style w:type="table" w:styleId="MediumGrid1-Accent4">
    <w:name w:val="Medium Grid 1 Accent 4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B0B0B0"/>
        <w:left w:val="single" w:sz="8" w:space="0" w:color="B0B0B0"/>
        <w:bottom w:val="single" w:sz="8" w:space="0" w:color="B0B0B0"/>
        <w:right w:val="single" w:sz="8" w:space="0" w:color="B0B0B0"/>
        <w:insideH w:val="single" w:sz="8" w:space="0" w:color="B0B0B0"/>
        <w:insideV w:val="single" w:sz="8" w:space="0" w:color="B0B0B0"/>
      </w:tblBorders>
    </w:tblPr>
    <w:tcPr>
      <w:shd w:val="clear" w:color="auto" w:fill="E5E5E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/>
      </w:tcPr>
    </w:tblStylePr>
    <w:tblStylePr w:type="band1Horz">
      <w:tblPr/>
      <w:tcPr>
        <w:shd w:val="clear" w:color="auto" w:fill="CACACA"/>
      </w:tcPr>
    </w:tblStylePr>
  </w:style>
  <w:style w:type="table" w:styleId="MediumGrid1-Accent5">
    <w:name w:val="Medium Grid 1 Accent 5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878787"/>
        <w:left w:val="single" w:sz="8" w:space="0" w:color="878787"/>
        <w:bottom w:val="single" w:sz="8" w:space="0" w:color="878787"/>
        <w:right w:val="single" w:sz="8" w:space="0" w:color="878787"/>
        <w:insideH w:val="single" w:sz="8" w:space="0" w:color="878787"/>
        <w:insideV w:val="single" w:sz="8" w:space="0" w:color="878787"/>
      </w:tblBorders>
    </w:tblPr>
    <w:tcPr>
      <w:shd w:val="clear" w:color="auto" w:fill="D7D7D7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/>
      </w:tcPr>
    </w:tblStylePr>
    <w:tblStylePr w:type="band1Horz">
      <w:tblPr/>
      <w:tcPr>
        <w:shd w:val="clear" w:color="auto" w:fill="AFAFAF"/>
      </w:tcPr>
    </w:tblStylePr>
  </w:style>
  <w:style w:type="table" w:styleId="MediumGrid1-Accent6">
    <w:name w:val="Medium Grid 1 Accent 6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797979"/>
        <w:left w:val="single" w:sz="8" w:space="0" w:color="797979"/>
        <w:bottom w:val="single" w:sz="8" w:space="0" w:color="797979"/>
        <w:right w:val="single" w:sz="8" w:space="0" w:color="797979"/>
        <w:insideH w:val="single" w:sz="8" w:space="0" w:color="797979"/>
        <w:insideV w:val="single" w:sz="8" w:space="0" w:color="797979"/>
      </w:tblBorders>
    </w:tblPr>
    <w:tcPr>
      <w:shd w:val="clear" w:color="auto" w:fill="D3D3D3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/>
      </w:tcPr>
    </w:tblStylePr>
    <w:tblStylePr w:type="band1Horz">
      <w:tblPr/>
      <w:tcPr>
        <w:shd w:val="clear" w:color="auto" w:fill="A6A6A6"/>
      </w:tcPr>
    </w:tblStylePr>
  </w:style>
  <w:style w:type="table" w:styleId="MediumGrid2">
    <w:name w:val="Medium Grid 2"/>
    <w:basedOn w:val="TableNormal"/>
    <w:uiPriority w:val="99"/>
    <w:semiHidden/>
    <w:rsid w:val="00014566"/>
    <w:rPr>
      <w:rFonts w:eastAsia="MS Gothic"/>
      <w:color w:val="000000"/>
      <w:lang w:val="fr-FR" w:eastAsia="fr-FR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0072BC"/>
      </w:tcPr>
    </w:tblStylePr>
  </w:style>
  <w:style w:type="table" w:styleId="MediumGrid2-Accent1">
    <w:name w:val="Medium Grid 2 Accent 1"/>
    <w:basedOn w:val="TableNormal"/>
    <w:uiPriority w:val="99"/>
    <w:semiHidden/>
    <w:rsid w:val="00014566"/>
    <w:rPr>
      <w:rFonts w:eastAsia="MS Gothic"/>
      <w:color w:val="000000"/>
      <w:lang w:val="fr-FR" w:eastAsia="fr-FR"/>
    </w:rPr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8" w:space="0" w:color="0072BC"/>
        <w:insideV w:val="single" w:sz="8" w:space="0" w:color="0072BC"/>
      </w:tblBorders>
    </w:tblPr>
    <w:tcPr>
      <w:shd w:val="clear" w:color="auto" w:fill="AFDFFF"/>
    </w:tcPr>
    <w:tblStylePr w:type="firstRow">
      <w:rPr>
        <w:b/>
        <w:bCs/>
        <w:color w:val="000000"/>
      </w:rPr>
      <w:tblPr/>
      <w:tcPr>
        <w:shd w:val="clear" w:color="auto" w:fill="DFF2FF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E5FF"/>
      </w:tcPr>
    </w:tblStylePr>
    <w:tblStylePr w:type="band1Vert">
      <w:tblPr/>
      <w:tcPr>
        <w:shd w:val="clear" w:color="auto" w:fill="5EBFFF"/>
      </w:tcPr>
    </w:tblStylePr>
    <w:tblStylePr w:type="band1Horz">
      <w:tblPr/>
      <w:tcPr>
        <w:tcBorders>
          <w:insideH w:val="single" w:sz="6" w:space="0" w:color="0072BC"/>
          <w:insideV w:val="single" w:sz="6" w:space="0" w:color="0072BC"/>
        </w:tcBorders>
        <w:shd w:val="clear" w:color="auto" w:fill="5EBFFF"/>
      </w:tcPr>
    </w:tblStylePr>
    <w:tblStylePr w:type="nwCell">
      <w:tblPr/>
      <w:tcPr>
        <w:shd w:val="clear" w:color="auto" w:fill="0072BC"/>
      </w:tcPr>
    </w:tblStylePr>
  </w:style>
  <w:style w:type="table" w:styleId="MediumGrid2-Accent2">
    <w:name w:val="Medium Grid 2 Accent 2"/>
    <w:basedOn w:val="TableNormal"/>
    <w:uiPriority w:val="99"/>
    <w:semiHidden/>
    <w:rsid w:val="00014566"/>
    <w:rPr>
      <w:rFonts w:eastAsia="MS Gothic"/>
      <w:color w:val="000000"/>
      <w:lang w:val="fr-FR" w:eastAsia="fr-FR"/>
    </w:rPr>
    <w:tblPr>
      <w:tblStyleRowBandSize w:val="1"/>
      <w:tblStyleColBandSize w:val="1"/>
      <w:tblBorders>
        <w:top w:val="single" w:sz="8" w:space="0" w:color="C00000"/>
        <w:left w:val="single" w:sz="8" w:space="0" w:color="C00000"/>
        <w:bottom w:val="single" w:sz="8" w:space="0" w:color="C00000"/>
        <w:right w:val="single" w:sz="8" w:space="0" w:color="C00000"/>
        <w:insideH w:val="single" w:sz="8" w:space="0" w:color="C00000"/>
        <w:insideV w:val="single" w:sz="8" w:space="0" w:color="C00000"/>
      </w:tblBorders>
    </w:tblPr>
    <w:tcPr>
      <w:shd w:val="clear" w:color="auto" w:fill="FFB0B0"/>
    </w:tcPr>
    <w:tblStylePr w:type="firstRow">
      <w:rPr>
        <w:b/>
        <w:bCs/>
        <w:color w:val="000000"/>
      </w:rPr>
      <w:tblPr/>
      <w:tcPr>
        <w:shd w:val="clear" w:color="auto" w:fill="FFDFDF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FBF"/>
      </w:tcPr>
    </w:tblStylePr>
    <w:tblStylePr w:type="band1Vert">
      <w:tblPr/>
      <w:tcPr>
        <w:shd w:val="clear" w:color="auto" w:fill="FF6060"/>
      </w:tcPr>
    </w:tblStylePr>
    <w:tblStylePr w:type="band1Horz">
      <w:tblPr/>
      <w:tcPr>
        <w:tcBorders>
          <w:insideH w:val="single" w:sz="6" w:space="0" w:color="C00000"/>
          <w:insideV w:val="single" w:sz="6" w:space="0" w:color="C00000"/>
        </w:tcBorders>
        <w:shd w:val="clear" w:color="auto" w:fill="FF6060"/>
      </w:tcPr>
    </w:tblStylePr>
    <w:tblStylePr w:type="nwCell">
      <w:tblPr/>
      <w:tcPr>
        <w:shd w:val="clear" w:color="auto" w:fill="0072BC"/>
      </w:tcPr>
    </w:tblStylePr>
  </w:style>
  <w:style w:type="table" w:styleId="MediumGrid2-Accent3">
    <w:name w:val="Medium Grid 2 Accent 3"/>
    <w:basedOn w:val="TableNormal"/>
    <w:uiPriority w:val="99"/>
    <w:semiHidden/>
    <w:rsid w:val="00014566"/>
    <w:rPr>
      <w:rFonts w:eastAsia="MS Gothic"/>
      <w:color w:val="000000"/>
      <w:lang w:val="fr-FR" w:eastAsia="fr-FR"/>
    </w:rPr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  <w:insideH w:val="single" w:sz="8" w:space="0" w:color="5F5F5F"/>
        <w:insideV w:val="single" w:sz="8" w:space="0" w:color="5F5F5F"/>
      </w:tblBorders>
    </w:tblPr>
    <w:tcPr>
      <w:shd w:val="clear" w:color="auto" w:fill="D7D7D7"/>
    </w:tcPr>
    <w:tblStylePr w:type="firstRow">
      <w:rPr>
        <w:b/>
        <w:bCs/>
        <w:color w:val="000000"/>
      </w:rPr>
      <w:tblPr/>
      <w:tcPr>
        <w:shd w:val="clear" w:color="auto" w:fill="EFEFEF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/>
      </w:tcPr>
    </w:tblStylePr>
    <w:tblStylePr w:type="band1Vert">
      <w:tblPr/>
      <w:tcPr>
        <w:shd w:val="clear" w:color="auto" w:fill="AFAFAF"/>
      </w:tcPr>
    </w:tblStylePr>
    <w:tblStylePr w:type="band1Horz">
      <w:tblPr/>
      <w:tcPr>
        <w:tcBorders>
          <w:insideH w:val="single" w:sz="6" w:space="0" w:color="5F5F5F"/>
          <w:insideV w:val="single" w:sz="6" w:space="0" w:color="5F5F5F"/>
        </w:tcBorders>
        <w:shd w:val="clear" w:color="auto" w:fill="AFAFAF"/>
      </w:tcPr>
    </w:tblStylePr>
    <w:tblStylePr w:type="nwCell">
      <w:tblPr/>
      <w:tcPr>
        <w:shd w:val="clear" w:color="auto" w:fill="0072BC"/>
      </w:tcPr>
    </w:tblStylePr>
  </w:style>
  <w:style w:type="table" w:styleId="MediumGrid2-Accent4">
    <w:name w:val="Medium Grid 2 Accent 4"/>
    <w:basedOn w:val="TableNormal"/>
    <w:uiPriority w:val="99"/>
    <w:semiHidden/>
    <w:rsid w:val="00014566"/>
    <w:rPr>
      <w:rFonts w:eastAsia="MS Gothic"/>
      <w:color w:val="000000"/>
      <w:lang w:val="fr-FR" w:eastAsia="fr-FR"/>
    </w:rPr>
    <w:tblPr>
      <w:tblStyleRowBandSize w:val="1"/>
      <w:tblStyleColBandSize w:val="1"/>
      <w:tblBorders>
        <w:top w:val="single" w:sz="8" w:space="0" w:color="969696"/>
        <w:left w:val="single" w:sz="8" w:space="0" w:color="969696"/>
        <w:bottom w:val="single" w:sz="8" w:space="0" w:color="969696"/>
        <w:right w:val="single" w:sz="8" w:space="0" w:color="969696"/>
        <w:insideH w:val="single" w:sz="8" w:space="0" w:color="969696"/>
        <w:insideV w:val="single" w:sz="8" w:space="0" w:color="969696"/>
      </w:tblBorders>
    </w:tblPr>
    <w:tcPr>
      <w:shd w:val="clear" w:color="auto" w:fill="E5E5E5"/>
    </w:tcPr>
    <w:tblStylePr w:type="firstRow">
      <w:rPr>
        <w:b/>
        <w:bCs/>
        <w:color w:val="000000"/>
      </w:rPr>
      <w:tblPr/>
      <w:tcPr>
        <w:shd w:val="clear" w:color="auto" w:fill="F4F4F4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/>
      </w:tcPr>
    </w:tblStylePr>
    <w:tblStylePr w:type="band1Vert">
      <w:tblPr/>
      <w:tcPr>
        <w:shd w:val="clear" w:color="auto" w:fill="CACACA"/>
      </w:tcPr>
    </w:tblStylePr>
    <w:tblStylePr w:type="band1Horz">
      <w:tblPr/>
      <w:tcPr>
        <w:tcBorders>
          <w:insideH w:val="single" w:sz="6" w:space="0" w:color="969696"/>
          <w:insideV w:val="single" w:sz="6" w:space="0" w:color="969696"/>
        </w:tcBorders>
        <w:shd w:val="clear" w:color="auto" w:fill="CACACA"/>
      </w:tcPr>
    </w:tblStylePr>
    <w:tblStylePr w:type="nwCell">
      <w:tblPr/>
      <w:tcPr>
        <w:shd w:val="clear" w:color="auto" w:fill="0072BC"/>
      </w:tcPr>
    </w:tblStylePr>
  </w:style>
  <w:style w:type="table" w:styleId="MediumGrid2-Accent5">
    <w:name w:val="Medium Grid 2 Accent 5"/>
    <w:basedOn w:val="TableNormal"/>
    <w:uiPriority w:val="99"/>
    <w:semiHidden/>
    <w:rsid w:val="00014566"/>
    <w:rPr>
      <w:rFonts w:eastAsia="MS Gothic"/>
      <w:color w:val="000000"/>
      <w:lang w:val="fr-FR" w:eastAsia="fr-FR"/>
    </w:rPr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  <w:insideH w:val="single" w:sz="8" w:space="0" w:color="5F5F5F"/>
        <w:insideV w:val="single" w:sz="8" w:space="0" w:color="5F5F5F"/>
      </w:tblBorders>
    </w:tblPr>
    <w:tcPr>
      <w:shd w:val="clear" w:color="auto" w:fill="D7D7D7"/>
    </w:tcPr>
    <w:tblStylePr w:type="firstRow">
      <w:rPr>
        <w:b/>
        <w:bCs/>
        <w:color w:val="000000"/>
      </w:rPr>
      <w:tblPr/>
      <w:tcPr>
        <w:shd w:val="clear" w:color="auto" w:fill="EFEFEF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/>
      </w:tcPr>
    </w:tblStylePr>
    <w:tblStylePr w:type="band1Vert">
      <w:tblPr/>
      <w:tcPr>
        <w:shd w:val="clear" w:color="auto" w:fill="AFAFAF"/>
      </w:tcPr>
    </w:tblStylePr>
    <w:tblStylePr w:type="band1Horz">
      <w:tblPr/>
      <w:tcPr>
        <w:tcBorders>
          <w:insideH w:val="single" w:sz="6" w:space="0" w:color="5F5F5F"/>
          <w:insideV w:val="single" w:sz="6" w:space="0" w:color="5F5F5F"/>
        </w:tcBorders>
        <w:shd w:val="clear" w:color="auto" w:fill="AFAFAF"/>
      </w:tcPr>
    </w:tblStylePr>
    <w:tblStylePr w:type="nwCell">
      <w:tblPr/>
      <w:tcPr>
        <w:shd w:val="clear" w:color="auto" w:fill="0072BC"/>
      </w:tcPr>
    </w:tblStylePr>
  </w:style>
  <w:style w:type="table" w:styleId="MediumGrid2-Accent6">
    <w:name w:val="Medium Grid 2 Accent 6"/>
    <w:basedOn w:val="TableNormal"/>
    <w:uiPriority w:val="99"/>
    <w:semiHidden/>
    <w:rsid w:val="00014566"/>
    <w:rPr>
      <w:rFonts w:eastAsia="MS Gothic"/>
      <w:color w:val="000000"/>
      <w:lang w:val="fr-FR" w:eastAsia="fr-FR"/>
    </w:rPr>
    <w:tblPr>
      <w:tblStyleRowBandSize w:val="1"/>
      <w:tblStyleColBandSize w:val="1"/>
      <w:tblBorders>
        <w:top w:val="single" w:sz="8" w:space="0" w:color="4D4D4D"/>
        <w:left w:val="single" w:sz="8" w:space="0" w:color="4D4D4D"/>
        <w:bottom w:val="single" w:sz="8" w:space="0" w:color="4D4D4D"/>
        <w:right w:val="single" w:sz="8" w:space="0" w:color="4D4D4D"/>
        <w:insideH w:val="single" w:sz="8" w:space="0" w:color="4D4D4D"/>
        <w:insideV w:val="single" w:sz="8" w:space="0" w:color="4D4D4D"/>
      </w:tblBorders>
    </w:tblPr>
    <w:tcPr>
      <w:shd w:val="clear" w:color="auto" w:fill="D3D3D3"/>
    </w:tcPr>
    <w:tblStylePr w:type="firstRow">
      <w:rPr>
        <w:b/>
        <w:bCs/>
        <w:color w:val="000000"/>
      </w:rPr>
      <w:tblPr/>
      <w:tcPr>
        <w:shd w:val="clear" w:color="auto" w:fill="ED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/>
      </w:tcPr>
    </w:tblStylePr>
    <w:tblStylePr w:type="band1Vert">
      <w:tblPr/>
      <w:tcPr>
        <w:shd w:val="clear" w:color="auto" w:fill="A6A6A6"/>
      </w:tcPr>
    </w:tblStylePr>
    <w:tblStylePr w:type="band1Horz">
      <w:tblPr/>
      <w:tcPr>
        <w:tcBorders>
          <w:insideH w:val="single" w:sz="6" w:space="0" w:color="4D4D4D"/>
          <w:insideV w:val="single" w:sz="6" w:space="0" w:color="4D4D4D"/>
        </w:tcBorders>
        <w:shd w:val="clear" w:color="auto" w:fill="A6A6A6"/>
      </w:tcPr>
    </w:tblStylePr>
    <w:tblStylePr w:type="nwCell">
      <w:tblPr/>
      <w:tcPr>
        <w:shd w:val="clear" w:color="auto" w:fill="0072BC"/>
      </w:tcPr>
    </w:tblStylePr>
  </w:style>
  <w:style w:type="table" w:styleId="MediumGrid3">
    <w:name w:val="Medium Grid 3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6" w:space="0" w:color="0072BC"/>
        <w:insideV w:val="single" w:sz="6" w:space="0" w:color="0072BC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0072BC"/>
      </w:rPr>
      <w:tblPr/>
      <w:tcPr>
        <w:tcBorders>
          <w:top w:val="single" w:sz="8" w:space="0" w:color="0072BC"/>
          <w:left w:val="single" w:sz="8" w:space="0" w:color="0072BC"/>
          <w:bottom w:val="single" w:sz="24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0072BC"/>
      </w:rPr>
      <w:tblPr/>
      <w:tcPr>
        <w:tcBorders>
          <w:top w:val="single" w:sz="24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0072BC"/>
      </w:rPr>
      <w:tblPr/>
      <w:tcPr>
        <w:tcBorders>
          <w:left w:val="single" w:sz="8" w:space="0" w:color="0072BC"/>
          <w:right w:val="single" w:sz="24" w:space="0" w:color="0072BC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0072BC"/>
      </w:rPr>
      <w:tblPr/>
      <w:tcPr>
        <w:tcBorders>
          <w:top w:val="nil"/>
          <w:left w:val="single" w:sz="24" w:space="0" w:color="0072BC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single" w:sz="8" w:space="0" w:color="0072BC"/>
          <w:insideV w:val="single" w:sz="8" w:space="0" w:color="0072BC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6" w:space="0" w:color="0072BC"/>
        <w:insideV w:val="single" w:sz="6" w:space="0" w:color="0072BC"/>
      </w:tblBorders>
    </w:tblPr>
    <w:tcPr>
      <w:shd w:val="clear" w:color="auto" w:fill="AFDFFF"/>
    </w:tcPr>
    <w:tblStylePr w:type="firstRow">
      <w:rPr>
        <w:b/>
        <w:bCs/>
        <w:i w:val="0"/>
        <w:iCs w:val="0"/>
        <w:color w:val="0072BC"/>
      </w:rPr>
      <w:tblPr/>
      <w:tcPr>
        <w:tcBorders>
          <w:top w:val="single" w:sz="8" w:space="0" w:color="0072BC"/>
          <w:left w:val="single" w:sz="8" w:space="0" w:color="0072BC"/>
          <w:bottom w:val="single" w:sz="24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0072BC"/>
      </w:tcPr>
    </w:tblStylePr>
    <w:tblStylePr w:type="lastRow">
      <w:rPr>
        <w:b/>
        <w:bCs/>
        <w:i w:val="0"/>
        <w:iCs w:val="0"/>
        <w:color w:val="0072BC"/>
      </w:rPr>
      <w:tblPr/>
      <w:tcPr>
        <w:tcBorders>
          <w:top w:val="single" w:sz="24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0072BC"/>
      </w:tcPr>
    </w:tblStylePr>
    <w:tblStylePr w:type="firstCol">
      <w:rPr>
        <w:b/>
        <w:bCs/>
        <w:i w:val="0"/>
        <w:iCs w:val="0"/>
        <w:color w:val="0072BC"/>
      </w:rPr>
      <w:tblPr/>
      <w:tcPr>
        <w:tcBorders>
          <w:left w:val="single" w:sz="8" w:space="0" w:color="0072BC"/>
          <w:right w:val="single" w:sz="24" w:space="0" w:color="0072BC"/>
          <w:insideH w:val="nil"/>
          <w:insideV w:val="nil"/>
        </w:tcBorders>
        <w:shd w:val="clear" w:color="auto" w:fill="0072BC"/>
      </w:tcPr>
    </w:tblStylePr>
    <w:tblStylePr w:type="lastCol">
      <w:rPr>
        <w:b/>
        <w:bCs/>
        <w:i w:val="0"/>
        <w:iCs w:val="0"/>
        <w:color w:val="0072BC"/>
      </w:rPr>
      <w:tblPr/>
      <w:tcPr>
        <w:tcBorders>
          <w:top w:val="nil"/>
          <w:left w:val="single" w:sz="24" w:space="0" w:color="0072BC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nil"/>
        </w:tcBorders>
        <w:shd w:val="clear" w:color="auto" w:fill="5EBFFF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single" w:sz="8" w:space="0" w:color="0072BC"/>
          <w:insideV w:val="single" w:sz="8" w:space="0" w:color="0072BC"/>
        </w:tcBorders>
        <w:shd w:val="clear" w:color="auto" w:fill="5EBFFF"/>
      </w:tcPr>
    </w:tblStylePr>
  </w:style>
  <w:style w:type="table" w:styleId="MediumGrid3-Accent2">
    <w:name w:val="Medium Grid 3 Accent 2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6" w:space="0" w:color="0072BC"/>
        <w:insideV w:val="single" w:sz="6" w:space="0" w:color="0072BC"/>
      </w:tblBorders>
    </w:tblPr>
    <w:tcPr>
      <w:shd w:val="clear" w:color="auto" w:fill="FFB0B0"/>
    </w:tcPr>
    <w:tblStylePr w:type="firstRow">
      <w:rPr>
        <w:b/>
        <w:bCs/>
        <w:i w:val="0"/>
        <w:iCs w:val="0"/>
        <w:color w:val="0072BC"/>
      </w:rPr>
      <w:tblPr/>
      <w:tcPr>
        <w:tcBorders>
          <w:top w:val="single" w:sz="8" w:space="0" w:color="0072BC"/>
          <w:left w:val="single" w:sz="8" w:space="0" w:color="0072BC"/>
          <w:bottom w:val="single" w:sz="24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C00000"/>
      </w:tcPr>
    </w:tblStylePr>
    <w:tblStylePr w:type="lastRow">
      <w:rPr>
        <w:b/>
        <w:bCs/>
        <w:i w:val="0"/>
        <w:iCs w:val="0"/>
        <w:color w:val="0072BC"/>
      </w:rPr>
      <w:tblPr/>
      <w:tcPr>
        <w:tcBorders>
          <w:top w:val="single" w:sz="24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C00000"/>
      </w:tcPr>
    </w:tblStylePr>
    <w:tblStylePr w:type="firstCol">
      <w:rPr>
        <w:b/>
        <w:bCs/>
        <w:i w:val="0"/>
        <w:iCs w:val="0"/>
        <w:color w:val="0072BC"/>
      </w:rPr>
      <w:tblPr/>
      <w:tcPr>
        <w:tcBorders>
          <w:left w:val="single" w:sz="8" w:space="0" w:color="0072BC"/>
          <w:right w:val="single" w:sz="24" w:space="0" w:color="0072BC"/>
          <w:insideH w:val="nil"/>
          <w:insideV w:val="nil"/>
        </w:tcBorders>
        <w:shd w:val="clear" w:color="auto" w:fill="C00000"/>
      </w:tcPr>
    </w:tblStylePr>
    <w:tblStylePr w:type="lastCol">
      <w:rPr>
        <w:b/>
        <w:bCs/>
        <w:i w:val="0"/>
        <w:iCs w:val="0"/>
        <w:color w:val="0072BC"/>
      </w:rPr>
      <w:tblPr/>
      <w:tcPr>
        <w:tcBorders>
          <w:top w:val="nil"/>
          <w:left w:val="single" w:sz="24" w:space="0" w:color="0072BC"/>
          <w:bottom w:val="nil"/>
          <w:right w:val="nil"/>
          <w:insideH w:val="nil"/>
          <w:insideV w:val="nil"/>
        </w:tcBorders>
        <w:shd w:val="clear" w:color="auto" w:fill="C00000"/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nil"/>
        </w:tcBorders>
        <w:shd w:val="clear" w:color="auto" w:fill="FF6060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single" w:sz="8" w:space="0" w:color="0072BC"/>
          <w:insideV w:val="single" w:sz="8" w:space="0" w:color="0072BC"/>
        </w:tcBorders>
        <w:shd w:val="clear" w:color="auto" w:fill="FF6060"/>
      </w:tcPr>
    </w:tblStylePr>
  </w:style>
  <w:style w:type="table" w:styleId="MediumGrid3-Accent3">
    <w:name w:val="Medium Grid 3 Accent 3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6" w:space="0" w:color="0072BC"/>
        <w:insideV w:val="single" w:sz="6" w:space="0" w:color="0072BC"/>
      </w:tblBorders>
    </w:tblPr>
    <w:tcPr>
      <w:shd w:val="clear" w:color="auto" w:fill="D7D7D7"/>
    </w:tcPr>
    <w:tblStylePr w:type="firstRow">
      <w:rPr>
        <w:b/>
        <w:bCs/>
        <w:i w:val="0"/>
        <w:iCs w:val="0"/>
        <w:color w:val="0072BC"/>
      </w:rPr>
      <w:tblPr/>
      <w:tcPr>
        <w:tcBorders>
          <w:top w:val="single" w:sz="8" w:space="0" w:color="0072BC"/>
          <w:left w:val="single" w:sz="8" w:space="0" w:color="0072BC"/>
          <w:bottom w:val="single" w:sz="24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5F5F5F"/>
      </w:tcPr>
    </w:tblStylePr>
    <w:tblStylePr w:type="lastRow">
      <w:rPr>
        <w:b/>
        <w:bCs/>
        <w:i w:val="0"/>
        <w:iCs w:val="0"/>
        <w:color w:val="0072BC"/>
      </w:rPr>
      <w:tblPr/>
      <w:tcPr>
        <w:tcBorders>
          <w:top w:val="single" w:sz="24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5F5F5F"/>
      </w:tcPr>
    </w:tblStylePr>
    <w:tblStylePr w:type="firstCol">
      <w:rPr>
        <w:b/>
        <w:bCs/>
        <w:i w:val="0"/>
        <w:iCs w:val="0"/>
        <w:color w:val="0072BC"/>
      </w:rPr>
      <w:tblPr/>
      <w:tcPr>
        <w:tcBorders>
          <w:left w:val="single" w:sz="8" w:space="0" w:color="0072BC"/>
          <w:right w:val="single" w:sz="24" w:space="0" w:color="0072BC"/>
          <w:insideH w:val="nil"/>
          <w:insideV w:val="nil"/>
        </w:tcBorders>
        <w:shd w:val="clear" w:color="auto" w:fill="5F5F5F"/>
      </w:tcPr>
    </w:tblStylePr>
    <w:tblStylePr w:type="lastCol">
      <w:rPr>
        <w:b/>
        <w:bCs/>
        <w:i w:val="0"/>
        <w:iCs w:val="0"/>
        <w:color w:val="0072BC"/>
      </w:rPr>
      <w:tblPr/>
      <w:tcPr>
        <w:tcBorders>
          <w:top w:val="nil"/>
          <w:left w:val="single" w:sz="24" w:space="0" w:color="0072BC"/>
          <w:bottom w:val="nil"/>
          <w:right w:val="nil"/>
          <w:insideH w:val="nil"/>
          <w:insideV w:val="nil"/>
        </w:tcBorders>
        <w:shd w:val="clear" w:color="auto" w:fill="5F5F5F"/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nil"/>
        </w:tcBorders>
        <w:shd w:val="clear" w:color="auto" w:fill="AFAFAF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single" w:sz="8" w:space="0" w:color="0072BC"/>
          <w:insideV w:val="single" w:sz="8" w:space="0" w:color="0072BC"/>
        </w:tcBorders>
        <w:shd w:val="clear" w:color="auto" w:fill="AFAFAF"/>
      </w:tcPr>
    </w:tblStylePr>
  </w:style>
  <w:style w:type="table" w:styleId="MediumGrid3-Accent4">
    <w:name w:val="Medium Grid 3 Accent 4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6" w:space="0" w:color="0072BC"/>
        <w:insideV w:val="single" w:sz="6" w:space="0" w:color="0072BC"/>
      </w:tblBorders>
    </w:tblPr>
    <w:tcPr>
      <w:shd w:val="clear" w:color="auto" w:fill="E5E5E5"/>
    </w:tcPr>
    <w:tblStylePr w:type="firstRow">
      <w:rPr>
        <w:b/>
        <w:bCs/>
        <w:i w:val="0"/>
        <w:iCs w:val="0"/>
        <w:color w:val="0072BC"/>
      </w:rPr>
      <w:tblPr/>
      <w:tcPr>
        <w:tcBorders>
          <w:top w:val="single" w:sz="8" w:space="0" w:color="0072BC"/>
          <w:left w:val="single" w:sz="8" w:space="0" w:color="0072BC"/>
          <w:bottom w:val="single" w:sz="24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969696"/>
      </w:tcPr>
    </w:tblStylePr>
    <w:tblStylePr w:type="lastRow">
      <w:rPr>
        <w:b/>
        <w:bCs/>
        <w:i w:val="0"/>
        <w:iCs w:val="0"/>
        <w:color w:val="0072BC"/>
      </w:rPr>
      <w:tblPr/>
      <w:tcPr>
        <w:tcBorders>
          <w:top w:val="single" w:sz="24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969696"/>
      </w:tcPr>
    </w:tblStylePr>
    <w:tblStylePr w:type="firstCol">
      <w:rPr>
        <w:b/>
        <w:bCs/>
        <w:i w:val="0"/>
        <w:iCs w:val="0"/>
        <w:color w:val="0072BC"/>
      </w:rPr>
      <w:tblPr/>
      <w:tcPr>
        <w:tcBorders>
          <w:left w:val="single" w:sz="8" w:space="0" w:color="0072BC"/>
          <w:right w:val="single" w:sz="24" w:space="0" w:color="0072BC"/>
          <w:insideH w:val="nil"/>
          <w:insideV w:val="nil"/>
        </w:tcBorders>
        <w:shd w:val="clear" w:color="auto" w:fill="969696"/>
      </w:tcPr>
    </w:tblStylePr>
    <w:tblStylePr w:type="lastCol">
      <w:rPr>
        <w:b/>
        <w:bCs/>
        <w:i w:val="0"/>
        <w:iCs w:val="0"/>
        <w:color w:val="0072BC"/>
      </w:rPr>
      <w:tblPr/>
      <w:tcPr>
        <w:tcBorders>
          <w:top w:val="nil"/>
          <w:left w:val="single" w:sz="24" w:space="0" w:color="0072BC"/>
          <w:bottom w:val="nil"/>
          <w:right w:val="nil"/>
          <w:insideH w:val="nil"/>
          <w:insideV w:val="nil"/>
        </w:tcBorders>
        <w:shd w:val="clear" w:color="auto" w:fill="969696"/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nil"/>
        </w:tcBorders>
        <w:shd w:val="clear" w:color="auto" w:fill="CACACA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single" w:sz="8" w:space="0" w:color="0072BC"/>
          <w:insideV w:val="single" w:sz="8" w:space="0" w:color="0072BC"/>
        </w:tcBorders>
        <w:shd w:val="clear" w:color="auto" w:fill="CACACA"/>
      </w:tcPr>
    </w:tblStylePr>
  </w:style>
  <w:style w:type="table" w:styleId="MediumGrid3-Accent5">
    <w:name w:val="Medium Grid 3 Accent 5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6" w:space="0" w:color="0072BC"/>
        <w:insideV w:val="single" w:sz="6" w:space="0" w:color="0072BC"/>
      </w:tblBorders>
    </w:tblPr>
    <w:tcPr>
      <w:shd w:val="clear" w:color="auto" w:fill="D7D7D7"/>
    </w:tcPr>
    <w:tblStylePr w:type="firstRow">
      <w:rPr>
        <w:b/>
        <w:bCs/>
        <w:i w:val="0"/>
        <w:iCs w:val="0"/>
        <w:color w:val="0072BC"/>
      </w:rPr>
      <w:tblPr/>
      <w:tcPr>
        <w:tcBorders>
          <w:top w:val="single" w:sz="8" w:space="0" w:color="0072BC"/>
          <w:left w:val="single" w:sz="8" w:space="0" w:color="0072BC"/>
          <w:bottom w:val="single" w:sz="24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5F5F5F"/>
      </w:tcPr>
    </w:tblStylePr>
    <w:tblStylePr w:type="lastRow">
      <w:rPr>
        <w:b/>
        <w:bCs/>
        <w:i w:val="0"/>
        <w:iCs w:val="0"/>
        <w:color w:val="0072BC"/>
      </w:rPr>
      <w:tblPr/>
      <w:tcPr>
        <w:tcBorders>
          <w:top w:val="single" w:sz="24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5F5F5F"/>
      </w:tcPr>
    </w:tblStylePr>
    <w:tblStylePr w:type="firstCol">
      <w:rPr>
        <w:b/>
        <w:bCs/>
        <w:i w:val="0"/>
        <w:iCs w:val="0"/>
        <w:color w:val="0072BC"/>
      </w:rPr>
      <w:tblPr/>
      <w:tcPr>
        <w:tcBorders>
          <w:left w:val="single" w:sz="8" w:space="0" w:color="0072BC"/>
          <w:right w:val="single" w:sz="24" w:space="0" w:color="0072BC"/>
          <w:insideH w:val="nil"/>
          <w:insideV w:val="nil"/>
        </w:tcBorders>
        <w:shd w:val="clear" w:color="auto" w:fill="5F5F5F"/>
      </w:tcPr>
    </w:tblStylePr>
    <w:tblStylePr w:type="lastCol">
      <w:rPr>
        <w:b/>
        <w:bCs/>
        <w:i w:val="0"/>
        <w:iCs w:val="0"/>
        <w:color w:val="0072BC"/>
      </w:rPr>
      <w:tblPr/>
      <w:tcPr>
        <w:tcBorders>
          <w:top w:val="nil"/>
          <w:left w:val="single" w:sz="24" w:space="0" w:color="0072BC"/>
          <w:bottom w:val="nil"/>
          <w:right w:val="nil"/>
          <w:insideH w:val="nil"/>
          <w:insideV w:val="nil"/>
        </w:tcBorders>
        <w:shd w:val="clear" w:color="auto" w:fill="5F5F5F"/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nil"/>
        </w:tcBorders>
        <w:shd w:val="clear" w:color="auto" w:fill="AFAFAF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single" w:sz="8" w:space="0" w:color="0072BC"/>
          <w:insideV w:val="single" w:sz="8" w:space="0" w:color="0072BC"/>
        </w:tcBorders>
        <w:shd w:val="clear" w:color="auto" w:fill="AFAFAF"/>
      </w:tcPr>
    </w:tblStylePr>
  </w:style>
  <w:style w:type="table" w:styleId="MediumGrid3-Accent6">
    <w:name w:val="Medium Grid 3 Accent 6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  <w:insideH w:val="single" w:sz="6" w:space="0" w:color="0072BC"/>
        <w:insideV w:val="single" w:sz="6" w:space="0" w:color="0072BC"/>
      </w:tblBorders>
    </w:tblPr>
    <w:tcPr>
      <w:shd w:val="clear" w:color="auto" w:fill="D3D3D3"/>
    </w:tcPr>
    <w:tblStylePr w:type="firstRow">
      <w:rPr>
        <w:b/>
        <w:bCs/>
        <w:i w:val="0"/>
        <w:iCs w:val="0"/>
        <w:color w:val="0072BC"/>
      </w:rPr>
      <w:tblPr/>
      <w:tcPr>
        <w:tcBorders>
          <w:top w:val="single" w:sz="8" w:space="0" w:color="0072BC"/>
          <w:left w:val="single" w:sz="8" w:space="0" w:color="0072BC"/>
          <w:bottom w:val="single" w:sz="24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4D4D4D"/>
      </w:tcPr>
    </w:tblStylePr>
    <w:tblStylePr w:type="lastRow">
      <w:rPr>
        <w:b/>
        <w:bCs/>
        <w:i w:val="0"/>
        <w:iCs w:val="0"/>
        <w:color w:val="0072BC"/>
      </w:rPr>
      <w:tblPr/>
      <w:tcPr>
        <w:tcBorders>
          <w:top w:val="single" w:sz="24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single" w:sz="8" w:space="0" w:color="0072BC"/>
        </w:tcBorders>
        <w:shd w:val="clear" w:color="auto" w:fill="4D4D4D"/>
      </w:tcPr>
    </w:tblStylePr>
    <w:tblStylePr w:type="firstCol">
      <w:rPr>
        <w:b/>
        <w:bCs/>
        <w:i w:val="0"/>
        <w:iCs w:val="0"/>
        <w:color w:val="0072BC"/>
      </w:rPr>
      <w:tblPr/>
      <w:tcPr>
        <w:tcBorders>
          <w:left w:val="single" w:sz="8" w:space="0" w:color="0072BC"/>
          <w:right w:val="single" w:sz="24" w:space="0" w:color="0072BC"/>
          <w:insideH w:val="nil"/>
          <w:insideV w:val="nil"/>
        </w:tcBorders>
        <w:shd w:val="clear" w:color="auto" w:fill="4D4D4D"/>
      </w:tcPr>
    </w:tblStylePr>
    <w:tblStylePr w:type="lastCol">
      <w:rPr>
        <w:b/>
        <w:bCs/>
        <w:i w:val="0"/>
        <w:iCs w:val="0"/>
        <w:color w:val="0072BC"/>
      </w:rPr>
      <w:tblPr/>
      <w:tcPr>
        <w:tcBorders>
          <w:top w:val="nil"/>
          <w:left w:val="single" w:sz="24" w:space="0" w:color="0072BC"/>
          <w:bottom w:val="nil"/>
          <w:right w:val="nil"/>
          <w:insideH w:val="nil"/>
          <w:insideV w:val="nil"/>
        </w:tcBorders>
        <w:shd w:val="clear" w:color="auto" w:fill="4D4D4D"/>
      </w:tcPr>
    </w:tblStylePr>
    <w:tblStylePr w:type="band1Vert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nil"/>
          <w:insideV w:val="nil"/>
        </w:tcBorders>
        <w:shd w:val="clear" w:color="auto" w:fill="A6A6A6"/>
      </w:tcPr>
    </w:tblStylePr>
    <w:tblStylePr w:type="band1Horz">
      <w:tblPr/>
      <w:tcPr>
        <w:tcBorders>
          <w:top w:val="single" w:sz="8" w:space="0" w:color="0072BC"/>
          <w:left w:val="single" w:sz="8" w:space="0" w:color="0072BC"/>
          <w:bottom w:val="single" w:sz="8" w:space="0" w:color="0072BC"/>
          <w:right w:val="single" w:sz="8" w:space="0" w:color="0072BC"/>
          <w:insideH w:val="single" w:sz="8" w:space="0" w:color="0072BC"/>
          <w:insideV w:val="single" w:sz="8" w:space="0" w:color="0072BC"/>
        </w:tcBorders>
        <w:shd w:val="clear" w:color="auto" w:fill="A6A6A6"/>
      </w:tcPr>
    </w:tblStylePr>
  </w:style>
  <w:style w:type="table" w:styleId="MediumList1">
    <w:name w:val="Medium List 1"/>
    <w:basedOn w:val="TableNormal"/>
    <w:uiPriority w:val="99"/>
    <w:semiHidden/>
    <w:rsid w:val="00014566"/>
    <w:rPr>
      <w:color w:val="000000"/>
      <w:lang w:val="fr-FR" w:eastAsia="fr-FR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Times New Roman" w:eastAsia="MS Gothic" w:hAnsi="Times New Roman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C6C6C6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99"/>
    <w:semiHidden/>
    <w:rsid w:val="00014566"/>
    <w:rPr>
      <w:color w:val="000000"/>
      <w:lang w:val="fr-FR" w:eastAsia="fr-FR"/>
    </w:rPr>
    <w:tblPr>
      <w:tblStyleRowBandSize w:val="1"/>
      <w:tblStyleColBandSize w:val="1"/>
      <w:tblBorders>
        <w:top w:val="single" w:sz="8" w:space="0" w:color="0072BC"/>
        <w:bottom w:val="single" w:sz="8" w:space="0" w:color="0072BC"/>
      </w:tblBorders>
    </w:tblPr>
    <w:tblStylePr w:type="firstRow">
      <w:rPr>
        <w:rFonts w:ascii="Times New Roman" w:eastAsia="MS Gothic" w:hAnsi="Times New Roman" w:cs="Times New Roman"/>
      </w:rPr>
      <w:tblPr/>
      <w:tcPr>
        <w:tcBorders>
          <w:top w:val="nil"/>
          <w:bottom w:val="single" w:sz="8" w:space="0" w:color="0072BC"/>
        </w:tcBorders>
      </w:tcPr>
    </w:tblStylePr>
    <w:tblStylePr w:type="lastRow">
      <w:rPr>
        <w:b/>
        <w:bCs/>
        <w:color w:val="C6C6C6"/>
      </w:rPr>
      <w:tblPr/>
      <w:tcPr>
        <w:tcBorders>
          <w:top w:val="single" w:sz="8" w:space="0" w:color="0072BC"/>
          <w:bottom w:val="single" w:sz="8" w:space="0" w:color="0072B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72BC"/>
          <w:bottom w:val="single" w:sz="8" w:space="0" w:color="0072BC"/>
        </w:tcBorders>
      </w:tcPr>
    </w:tblStylePr>
    <w:tblStylePr w:type="band1Vert">
      <w:tblPr/>
      <w:tcPr>
        <w:shd w:val="clear" w:color="auto" w:fill="AFDFFF"/>
      </w:tcPr>
    </w:tblStylePr>
    <w:tblStylePr w:type="band1Horz">
      <w:tblPr/>
      <w:tcPr>
        <w:shd w:val="clear" w:color="auto" w:fill="AFDFFF"/>
      </w:tcPr>
    </w:tblStylePr>
  </w:style>
  <w:style w:type="table" w:styleId="MediumList1-Accent2">
    <w:name w:val="Medium List 1 Accent 2"/>
    <w:basedOn w:val="TableNormal"/>
    <w:uiPriority w:val="99"/>
    <w:semiHidden/>
    <w:rsid w:val="00014566"/>
    <w:rPr>
      <w:color w:val="000000"/>
      <w:lang w:val="fr-FR" w:eastAsia="fr-FR"/>
    </w:rPr>
    <w:tblPr>
      <w:tblStyleRowBandSize w:val="1"/>
      <w:tblStyleColBandSize w:val="1"/>
      <w:tblBorders>
        <w:top w:val="single" w:sz="8" w:space="0" w:color="C00000"/>
        <w:bottom w:val="single" w:sz="8" w:space="0" w:color="C00000"/>
      </w:tblBorders>
    </w:tblPr>
    <w:tblStylePr w:type="firstRow">
      <w:rPr>
        <w:rFonts w:ascii="Times New Roman" w:eastAsia="MS Gothic" w:hAnsi="Times New Roman" w:cs="Times New Roman"/>
      </w:rPr>
      <w:tblPr/>
      <w:tcPr>
        <w:tcBorders>
          <w:top w:val="nil"/>
          <w:bottom w:val="single" w:sz="8" w:space="0" w:color="C00000"/>
        </w:tcBorders>
      </w:tcPr>
    </w:tblStylePr>
    <w:tblStylePr w:type="lastRow">
      <w:rPr>
        <w:b/>
        <w:bCs/>
        <w:color w:val="C6C6C6"/>
      </w:rPr>
      <w:tblPr/>
      <w:tcPr>
        <w:tcBorders>
          <w:top w:val="single" w:sz="8" w:space="0" w:color="C00000"/>
          <w:bottom w:val="single" w:sz="8" w:space="0" w:color="C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0000"/>
          <w:bottom w:val="single" w:sz="8" w:space="0" w:color="C00000"/>
        </w:tcBorders>
      </w:tcPr>
    </w:tblStylePr>
    <w:tblStylePr w:type="band1Vert">
      <w:tblPr/>
      <w:tcPr>
        <w:shd w:val="clear" w:color="auto" w:fill="FFB0B0"/>
      </w:tcPr>
    </w:tblStylePr>
    <w:tblStylePr w:type="band1Horz">
      <w:tblPr/>
      <w:tcPr>
        <w:shd w:val="clear" w:color="auto" w:fill="FFB0B0"/>
      </w:tcPr>
    </w:tblStylePr>
  </w:style>
  <w:style w:type="table" w:styleId="MediumList1-Accent3">
    <w:name w:val="Medium List 1 Accent 3"/>
    <w:basedOn w:val="TableNormal"/>
    <w:uiPriority w:val="99"/>
    <w:semiHidden/>
    <w:rsid w:val="00014566"/>
    <w:rPr>
      <w:color w:val="000000"/>
      <w:lang w:val="fr-FR" w:eastAsia="fr-FR"/>
    </w:rPr>
    <w:tblPr>
      <w:tblStyleRowBandSize w:val="1"/>
      <w:tblStyleColBandSize w:val="1"/>
      <w:tblBorders>
        <w:top w:val="single" w:sz="8" w:space="0" w:color="5F5F5F"/>
        <w:bottom w:val="single" w:sz="8" w:space="0" w:color="5F5F5F"/>
      </w:tblBorders>
    </w:tblPr>
    <w:tblStylePr w:type="firstRow">
      <w:rPr>
        <w:rFonts w:ascii="Times New Roman" w:eastAsia="MS Gothic" w:hAnsi="Times New Roman" w:cs="Times New Roman"/>
      </w:rPr>
      <w:tblPr/>
      <w:tcPr>
        <w:tcBorders>
          <w:top w:val="nil"/>
          <w:bottom w:val="single" w:sz="8" w:space="0" w:color="5F5F5F"/>
        </w:tcBorders>
      </w:tcPr>
    </w:tblStylePr>
    <w:tblStylePr w:type="lastRow">
      <w:rPr>
        <w:b/>
        <w:bCs/>
        <w:color w:val="C6C6C6"/>
      </w:rPr>
      <w:tblPr/>
      <w:tcPr>
        <w:tcBorders>
          <w:top w:val="single" w:sz="8" w:space="0" w:color="5F5F5F"/>
          <w:bottom w:val="single" w:sz="8" w:space="0" w:color="5F5F5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/>
          <w:bottom w:val="single" w:sz="8" w:space="0" w:color="5F5F5F"/>
        </w:tcBorders>
      </w:tcPr>
    </w:tblStylePr>
    <w:tblStylePr w:type="band1Vert">
      <w:tblPr/>
      <w:tcPr>
        <w:shd w:val="clear" w:color="auto" w:fill="D7D7D7"/>
      </w:tcPr>
    </w:tblStylePr>
    <w:tblStylePr w:type="band1Horz">
      <w:tblPr/>
      <w:tcPr>
        <w:shd w:val="clear" w:color="auto" w:fill="D7D7D7"/>
      </w:tcPr>
    </w:tblStylePr>
  </w:style>
  <w:style w:type="table" w:styleId="MediumList1-Accent4">
    <w:name w:val="Medium List 1 Accent 4"/>
    <w:basedOn w:val="TableNormal"/>
    <w:uiPriority w:val="99"/>
    <w:semiHidden/>
    <w:rsid w:val="00014566"/>
    <w:rPr>
      <w:color w:val="000000"/>
      <w:lang w:val="fr-FR" w:eastAsia="fr-FR"/>
    </w:rPr>
    <w:tblPr>
      <w:tblStyleRowBandSize w:val="1"/>
      <w:tblStyleColBandSize w:val="1"/>
      <w:tblBorders>
        <w:top w:val="single" w:sz="8" w:space="0" w:color="969696"/>
        <w:bottom w:val="single" w:sz="8" w:space="0" w:color="969696"/>
      </w:tblBorders>
    </w:tblPr>
    <w:tblStylePr w:type="firstRow">
      <w:rPr>
        <w:rFonts w:ascii="Times New Roman" w:eastAsia="MS Gothic" w:hAnsi="Times New Roman" w:cs="Times New Roman"/>
      </w:rPr>
      <w:tblPr/>
      <w:tcPr>
        <w:tcBorders>
          <w:top w:val="nil"/>
          <w:bottom w:val="single" w:sz="8" w:space="0" w:color="969696"/>
        </w:tcBorders>
      </w:tcPr>
    </w:tblStylePr>
    <w:tblStylePr w:type="lastRow">
      <w:rPr>
        <w:b/>
        <w:bCs/>
        <w:color w:val="C6C6C6"/>
      </w:rPr>
      <w:tblPr/>
      <w:tcPr>
        <w:tcBorders>
          <w:top w:val="single" w:sz="8" w:space="0" w:color="969696"/>
          <w:bottom w:val="single" w:sz="8" w:space="0" w:color="96969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/>
          <w:bottom w:val="single" w:sz="8" w:space="0" w:color="969696"/>
        </w:tcBorders>
      </w:tcPr>
    </w:tblStylePr>
    <w:tblStylePr w:type="band1Vert">
      <w:tblPr/>
      <w:tcPr>
        <w:shd w:val="clear" w:color="auto" w:fill="E5E5E5"/>
      </w:tcPr>
    </w:tblStylePr>
    <w:tblStylePr w:type="band1Horz">
      <w:tblPr/>
      <w:tcPr>
        <w:shd w:val="clear" w:color="auto" w:fill="E5E5E5"/>
      </w:tcPr>
    </w:tblStylePr>
  </w:style>
  <w:style w:type="table" w:styleId="MediumList1-Accent5">
    <w:name w:val="Medium List 1 Accent 5"/>
    <w:basedOn w:val="TableNormal"/>
    <w:uiPriority w:val="99"/>
    <w:semiHidden/>
    <w:rsid w:val="00014566"/>
    <w:rPr>
      <w:color w:val="000000"/>
      <w:lang w:val="fr-FR" w:eastAsia="fr-FR"/>
    </w:rPr>
    <w:tblPr>
      <w:tblStyleRowBandSize w:val="1"/>
      <w:tblStyleColBandSize w:val="1"/>
      <w:tblBorders>
        <w:top w:val="single" w:sz="8" w:space="0" w:color="5F5F5F"/>
        <w:bottom w:val="single" w:sz="8" w:space="0" w:color="5F5F5F"/>
      </w:tblBorders>
    </w:tblPr>
    <w:tblStylePr w:type="firstRow">
      <w:rPr>
        <w:rFonts w:ascii="Times New Roman" w:eastAsia="MS Gothic" w:hAnsi="Times New Roman" w:cs="Times New Roman"/>
      </w:rPr>
      <w:tblPr/>
      <w:tcPr>
        <w:tcBorders>
          <w:top w:val="nil"/>
          <w:bottom w:val="single" w:sz="8" w:space="0" w:color="5F5F5F"/>
        </w:tcBorders>
      </w:tcPr>
    </w:tblStylePr>
    <w:tblStylePr w:type="lastRow">
      <w:rPr>
        <w:b/>
        <w:bCs/>
        <w:color w:val="C6C6C6"/>
      </w:rPr>
      <w:tblPr/>
      <w:tcPr>
        <w:tcBorders>
          <w:top w:val="single" w:sz="8" w:space="0" w:color="5F5F5F"/>
          <w:bottom w:val="single" w:sz="8" w:space="0" w:color="5F5F5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/>
          <w:bottom w:val="single" w:sz="8" w:space="0" w:color="5F5F5F"/>
        </w:tcBorders>
      </w:tcPr>
    </w:tblStylePr>
    <w:tblStylePr w:type="band1Vert">
      <w:tblPr/>
      <w:tcPr>
        <w:shd w:val="clear" w:color="auto" w:fill="D7D7D7"/>
      </w:tcPr>
    </w:tblStylePr>
    <w:tblStylePr w:type="band1Horz">
      <w:tblPr/>
      <w:tcPr>
        <w:shd w:val="clear" w:color="auto" w:fill="D7D7D7"/>
      </w:tcPr>
    </w:tblStylePr>
  </w:style>
  <w:style w:type="table" w:styleId="MediumList1-Accent6">
    <w:name w:val="Medium List 1 Accent 6"/>
    <w:basedOn w:val="TableNormal"/>
    <w:uiPriority w:val="99"/>
    <w:semiHidden/>
    <w:rsid w:val="00014566"/>
    <w:rPr>
      <w:color w:val="000000"/>
      <w:lang w:val="fr-FR" w:eastAsia="fr-FR"/>
    </w:rPr>
    <w:tblPr>
      <w:tblStyleRowBandSize w:val="1"/>
      <w:tblStyleColBandSize w:val="1"/>
      <w:tblBorders>
        <w:top w:val="single" w:sz="8" w:space="0" w:color="4D4D4D"/>
        <w:bottom w:val="single" w:sz="8" w:space="0" w:color="4D4D4D"/>
      </w:tblBorders>
    </w:tblPr>
    <w:tblStylePr w:type="firstRow">
      <w:rPr>
        <w:rFonts w:ascii="Times New Roman" w:eastAsia="MS Gothic" w:hAnsi="Times New Roman" w:cs="Times New Roman"/>
      </w:rPr>
      <w:tblPr/>
      <w:tcPr>
        <w:tcBorders>
          <w:top w:val="nil"/>
          <w:bottom w:val="single" w:sz="8" w:space="0" w:color="4D4D4D"/>
        </w:tcBorders>
      </w:tcPr>
    </w:tblStylePr>
    <w:tblStylePr w:type="lastRow">
      <w:rPr>
        <w:b/>
        <w:bCs/>
        <w:color w:val="C6C6C6"/>
      </w:rPr>
      <w:tblPr/>
      <w:tcPr>
        <w:tcBorders>
          <w:top w:val="single" w:sz="8" w:space="0" w:color="4D4D4D"/>
          <w:bottom w:val="single" w:sz="8" w:space="0" w:color="4D4D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/>
          <w:bottom w:val="single" w:sz="8" w:space="0" w:color="4D4D4D"/>
        </w:tcBorders>
      </w:tcPr>
    </w:tblStylePr>
    <w:tblStylePr w:type="band1Vert">
      <w:tblPr/>
      <w:tcPr>
        <w:shd w:val="clear" w:color="auto" w:fill="D3D3D3"/>
      </w:tcPr>
    </w:tblStylePr>
    <w:tblStylePr w:type="band1Horz">
      <w:tblPr/>
      <w:tcPr>
        <w:shd w:val="clear" w:color="auto" w:fill="D3D3D3"/>
      </w:tcPr>
    </w:tblStylePr>
  </w:style>
  <w:style w:type="table" w:styleId="MediumList2">
    <w:name w:val="Medium List 2"/>
    <w:basedOn w:val="TableNormal"/>
    <w:uiPriority w:val="99"/>
    <w:semiHidden/>
    <w:rsid w:val="00014566"/>
    <w:rPr>
      <w:rFonts w:eastAsia="MS Gothic"/>
      <w:color w:val="000000"/>
      <w:lang w:val="fr-FR" w:eastAsia="fr-FR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0072BC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0072BC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0072BC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99"/>
    <w:semiHidden/>
    <w:rsid w:val="00014566"/>
    <w:rPr>
      <w:rFonts w:eastAsia="MS Gothic"/>
      <w:color w:val="000000"/>
      <w:lang w:val="fr-FR" w:eastAsia="fr-FR"/>
    </w:rPr>
    <w:tblPr>
      <w:tblStyleRowBandSize w:val="1"/>
      <w:tblStyleColBandSize w:val="1"/>
      <w:tblBorders>
        <w:top w:val="single" w:sz="8" w:space="0" w:color="0072BC"/>
        <w:left w:val="single" w:sz="8" w:space="0" w:color="0072BC"/>
        <w:bottom w:val="single" w:sz="8" w:space="0" w:color="0072BC"/>
        <w:right w:val="single" w:sz="8" w:space="0" w:color="0072BC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2BC"/>
          <w:right w:val="nil"/>
          <w:insideH w:val="nil"/>
          <w:insideV w:val="nil"/>
        </w:tcBorders>
        <w:shd w:val="clear" w:color="auto" w:fill="0072BC"/>
      </w:tcPr>
    </w:tblStylePr>
    <w:tblStylePr w:type="lastRow">
      <w:tblPr/>
      <w:tcPr>
        <w:tcBorders>
          <w:top w:val="single" w:sz="8" w:space="0" w:color="0072BC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2BC"/>
          <w:insideH w:val="nil"/>
          <w:insideV w:val="nil"/>
        </w:tcBorders>
        <w:shd w:val="clear" w:color="auto" w:fill="0072BC"/>
      </w:tcPr>
    </w:tblStylePr>
    <w:tblStylePr w:type="lastCol">
      <w:tblPr/>
      <w:tcPr>
        <w:tcBorders>
          <w:top w:val="nil"/>
          <w:left w:val="single" w:sz="8" w:space="0" w:color="0072BC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FF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FDFFF"/>
      </w:tcPr>
    </w:tblStylePr>
    <w:tblStylePr w:type="nwCell">
      <w:tblPr/>
      <w:tcPr>
        <w:shd w:val="clear" w:color="auto" w:fill="0072BC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99"/>
    <w:semiHidden/>
    <w:rsid w:val="00014566"/>
    <w:rPr>
      <w:rFonts w:eastAsia="MS Gothic"/>
      <w:color w:val="000000"/>
      <w:lang w:val="fr-FR" w:eastAsia="fr-FR"/>
    </w:rPr>
    <w:tblPr>
      <w:tblStyleRowBandSize w:val="1"/>
      <w:tblStyleColBandSize w:val="1"/>
      <w:tblBorders>
        <w:top w:val="single" w:sz="8" w:space="0" w:color="C00000"/>
        <w:left w:val="single" w:sz="8" w:space="0" w:color="C00000"/>
        <w:bottom w:val="single" w:sz="8" w:space="0" w:color="C00000"/>
        <w:right w:val="single" w:sz="8" w:space="0" w:color="C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0000"/>
          <w:right w:val="nil"/>
          <w:insideH w:val="nil"/>
          <w:insideV w:val="nil"/>
        </w:tcBorders>
        <w:shd w:val="clear" w:color="auto" w:fill="0072BC"/>
      </w:tcPr>
    </w:tblStylePr>
    <w:tblStylePr w:type="lastRow">
      <w:tblPr/>
      <w:tcPr>
        <w:tcBorders>
          <w:top w:val="single" w:sz="8" w:space="0" w:color="C00000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0000"/>
          <w:insideH w:val="nil"/>
          <w:insideV w:val="nil"/>
        </w:tcBorders>
        <w:shd w:val="clear" w:color="auto" w:fill="0072BC"/>
      </w:tcPr>
    </w:tblStylePr>
    <w:tblStylePr w:type="lastCol">
      <w:tblPr/>
      <w:tcPr>
        <w:tcBorders>
          <w:top w:val="nil"/>
          <w:left w:val="single" w:sz="8" w:space="0" w:color="C00000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0B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B0B0"/>
      </w:tcPr>
    </w:tblStylePr>
    <w:tblStylePr w:type="nwCell">
      <w:tblPr/>
      <w:tcPr>
        <w:shd w:val="clear" w:color="auto" w:fill="0072BC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99"/>
    <w:semiHidden/>
    <w:rsid w:val="00014566"/>
    <w:rPr>
      <w:rFonts w:eastAsia="MS Gothic"/>
      <w:color w:val="000000"/>
      <w:lang w:val="fr-FR" w:eastAsia="fr-FR"/>
    </w:rPr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/>
          <w:right w:val="nil"/>
          <w:insideH w:val="nil"/>
          <w:insideV w:val="nil"/>
        </w:tcBorders>
        <w:shd w:val="clear" w:color="auto" w:fill="0072BC"/>
      </w:tcPr>
    </w:tblStylePr>
    <w:tblStylePr w:type="lastRow">
      <w:tblPr/>
      <w:tcPr>
        <w:tcBorders>
          <w:top w:val="single" w:sz="8" w:space="0" w:color="5F5F5F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/>
          <w:insideH w:val="nil"/>
          <w:insideV w:val="nil"/>
        </w:tcBorders>
        <w:shd w:val="clear" w:color="auto" w:fill="0072BC"/>
      </w:tcPr>
    </w:tblStylePr>
    <w:tblStylePr w:type="lastCol">
      <w:tblPr/>
      <w:tcPr>
        <w:tcBorders>
          <w:top w:val="nil"/>
          <w:left w:val="single" w:sz="8" w:space="0" w:color="5F5F5F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/>
      </w:tcPr>
    </w:tblStylePr>
    <w:tblStylePr w:type="nwCell">
      <w:tblPr/>
      <w:tcPr>
        <w:shd w:val="clear" w:color="auto" w:fill="0072BC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99"/>
    <w:semiHidden/>
    <w:rsid w:val="00014566"/>
    <w:rPr>
      <w:rFonts w:eastAsia="MS Gothic"/>
      <w:color w:val="000000"/>
      <w:lang w:val="fr-FR" w:eastAsia="fr-FR"/>
    </w:rPr>
    <w:tblPr>
      <w:tblStyleRowBandSize w:val="1"/>
      <w:tblStyleColBandSize w:val="1"/>
      <w:tblBorders>
        <w:top w:val="single" w:sz="8" w:space="0" w:color="969696"/>
        <w:left w:val="single" w:sz="8" w:space="0" w:color="969696"/>
        <w:bottom w:val="single" w:sz="8" w:space="0" w:color="969696"/>
        <w:right w:val="single" w:sz="8" w:space="0" w:color="96969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/>
          <w:right w:val="nil"/>
          <w:insideH w:val="nil"/>
          <w:insideV w:val="nil"/>
        </w:tcBorders>
        <w:shd w:val="clear" w:color="auto" w:fill="0072BC"/>
      </w:tcPr>
    </w:tblStylePr>
    <w:tblStylePr w:type="lastRow">
      <w:tblPr/>
      <w:tcPr>
        <w:tcBorders>
          <w:top w:val="single" w:sz="8" w:space="0" w:color="969696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/>
          <w:insideH w:val="nil"/>
          <w:insideV w:val="nil"/>
        </w:tcBorders>
        <w:shd w:val="clear" w:color="auto" w:fill="0072BC"/>
      </w:tcPr>
    </w:tblStylePr>
    <w:tblStylePr w:type="lastCol">
      <w:tblPr/>
      <w:tcPr>
        <w:tcBorders>
          <w:top w:val="nil"/>
          <w:left w:val="single" w:sz="8" w:space="0" w:color="969696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/>
      </w:tcPr>
    </w:tblStylePr>
    <w:tblStylePr w:type="nwCell">
      <w:tblPr/>
      <w:tcPr>
        <w:shd w:val="clear" w:color="auto" w:fill="0072BC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99"/>
    <w:semiHidden/>
    <w:rsid w:val="00014566"/>
    <w:rPr>
      <w:rFonts w:eastAsia="MS Gothic"/>
      <w:color w:val="000000"/>
      <w:lang w:val="fr-FR" w:eastAsia="fr-FR"/>
    </w:rPr>
    <w:tblPr>
      <w:tblStyleRowBandSize w:val="1"/>
      <w:tblStyleColBandSize w:val="1"/>
      <w:tblBorders>
        <w:top w:val="single" w:sz="8" w:space="0" w:color="5F5F5F"/>
        <w:left w:val="single" w:sz="8" w:space="0" w:color="5F5F5F"/>
        <w:bottom w:val="single" w:sz="8" w:space="0" w:color="5F5F5F"/>
        <w:right w:val="single" w:sz="8" w:space="0" w:color="5F5F5F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/>
          <w:right w:val="nil"/>
          <w:insideH w:val="nil"/>
          <w:insideV w:val="nil"/>
        </w:tcBorders>
        <w:shd w:val="clear" w:color="auto" w:fill="0072BC"/>
      </w:tcPr>
    </w:tblStylePr>
    <w:tblStylePr w:type="lastRow">
      <w:tblPr/>
      <w:tcPr>
        <w:tcBorders>
          <w:top w:val="single" w:sz="8" w:space="0" w:color="5F5F5F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/>
          <w:insideH w:val="nil"/>
          <w:insideV w:val="nil"/>
        </w:tcBorders>
        <w:shd w:val="clear" w:color="auto" w:fill="0072BC"/>
      </w:tcPr>
    </w:tblStylePr>
    <w:tblStylePr w:type="lastCol">
      <w:tblPr/>
      <w:tcPr>
        <w:tcBorders>
          <w:top w:val="nil"/>
          <w:left w:val="single" w:sz="8" w:space="0" w:color="5F5F5F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/>
      </w:tcPr>
    </w:tblStylePr>
    <w:tblStylePr w:type="nwCell">
      <w:tblPr/>
      <w:tcPr>
        <w:shd w:val="clear" w:color="auto" w:fill="0072BC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99"/>
    <w:semiHidden/>
    <w:rsid w:val="00014566"/>
    <w:rPr>
      <w:rFonts w:eastAsia="MS Gothic"/>
      <w:color w:val="000000"/>
      <w:lang w:val="fr-FR" w:eastAsia="fr-FR"/>
    </w:rPr>
    <w:tblPr>
      <w:tblStyleRowBandSize w:val="1"/>
      <w:tblStyleColBandSize w:val="1"/>
      <w:tblBorders>
        <w:top w:val="single" w:sz="8" w:space="0" w:color="4D4D4D"/>
        <w:left w:val="single" w:sz="8" w:space="0" w:color="4D4D4D"/>
        <w:bottom w:val="single" w:sz="8" w:space="0" w:color="4D4D4D"/>
        <w:right w:val="single" w:sz="8" w:space="0" w:color="4D4D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/>
          <w:right w:val="nil"/>
          <w:insideH w:val="nil"/>
          <w:insideV w:val="nil"/>
        </w:tcBorders>
        <w:shd w:val="clear" w:color="auto" w:fill="0072BC"/>
      </w:tcPr>
    </w:tblStylePr>
    <w:tblStylePr w:type="lastRow">
      <w:tblPr/>
      <w:tcPr>
        <w:tcBorders>
          <w:top w:val="single" w:sz="8" w:space="0" w:color="4D4D4D"/>
          <w:left w:val="nil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/>
          <w:insideH w:val="nil"/>
          <w:insideV w:val="nil"/>
        </w:tcBorders>
        <w:shd w:val="clear" w:color="auto" w:fill="0072BC"/>
      </w:tcPr>
    </w:tblStylePr>
    <w:tblStylePr w:type="lastCol">
      <w:tblPr/>
      <w:tcPr>
        <w:tcBorders>
          <w:top w:val="nil"/>
          <w:left w:val="single" w:sz="8" w:space="0" w:color="4D4D4D"/>
          <w:bottom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/>
      </w:tcPr>
    </w:tblStylePr>
    <w:tblStylePr w:type="nwCell">
      <w:tblPr/>
      <w:tcPr>
        <w:shd w:val="clear" w:color="auto" w:fill="0072BC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0D9FFF"/>
        <w:left w:val="single" w:sz="8" w:space="0" w:color="0D9FFF"/>
        <w:bottom w:val="single" w:sz="8" w:space="0" w:color="0D9FFF"/>
        <w:right w:val="single" w:sz="8" w:space="0" w:color="0D9FFF"/>
        <w:insideH w:val="single" w:sz="8" w:space="0" w:color="0D9FFF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8" w:space="0" w:color="0D9FFF"/>
          <w:left w:val="single" w:sz="8" w:space="0" w:color="0D9FFF"/>
          <w:bottom w:val="single" w:sz="8" w:space="0" w:color="0D9FFF"/>
          <w:right w:val="single" w:sz="8" w:space="0" w:color="0D9FFF"/>
          <w:insideH w:val="nil"/>
          <w:insideV w:val="nil"/>
        </w:tcBorders>
        <w:shd w:val="clear" w:color="auto" w:fill="0072BC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D9FFF"/>
          <w:left w:val="single" w:sz="8" w:space="0" w:color="0D9FFF"/>
          <w:bottom w:val="single" w:sz="8" w:space="0" w:color="0D9FFF"/>
          <w:right w:val="single" w:sz="8" w:space="0" w:color="0D9FF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DFFF"/>
      </w:tcPr>
    </w:tblStylePr>
    <w:tblStylePr w:type="band1Horz">
      <w:tblPr/>
      <w:tcPr>
        <w:tcBorders>
          <w:insideH w:val="nil"/>
          <w:insideV w:val="nil"/>
        </w:tcBorders>
        <w:shd w:val="clear" w:color="auto" w:fill="AFDFF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FF1010"/>
        <w:left w:val="single" w:sz="8" w:space="0" w:color="FF1010"/>
        <w:bottom w:val="single" w:sz="8" w:space="0" w:color="FF1010"/>
        <w:right w:val="single" w:sz="8" w:space="0" w:color="FF1010"/>
        <w:insideH w:val="single" w:sz="8" w:space="0" w:color="FF1010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8" w:space="0" w:color="FF1010"/>
          <w:left w:val="single" w:sz="8" w:space="0" w:color="FF1010"/>
          <w:bottom w:val="single" w:sz="8" w:space="0" w:color="FF1010"/>
          <w:right w:val="single" w:sz="8" w:space="0" w:color="FF1010"/>
          <w:insideH w:val="nil"/>
          <w:insideV w:val="nil"/>
        </w:tcBorders>
        <w:shd w:val="clear" w:color="auto" w:fill="C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1010"/>
          <w:left w:val="single" w:sz="8" w:space="0" w:color="FF1010"/>
          <w:bottom w:val="single" w:sz="8" w:space="0" w:color="FF1010"/>
          <w:right w:val="single" w:sz="8" w:space="0" w:color="FF101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0B0"/>
      </w:tcPr>
    </w:tblStylePr>
    <w:tblStylePr w:type="band1Horz">
      <w:tblPr/>
      <w:tcPr>
        <w:tcBorders>
          <w:insideH w:val="nil"/>
          <w:insideV w:val="nil"/>
        </w:tcBorders>
        <w:shd w:val="clear" w:color="auto" w:fill="FFB0B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878787"/>
        <w:left w:val="single" w:sz="8" w:space="0" w:color="878787"/>
        <w:bottom w:val="single" w:sz="8" w:space="0" w:color="878787"/>
        <w:right w:val="single" w:sz="8" w:space="0" w:color="878787"/>
        <w:insideH w:val="single" w:sz="8" w:space="0" w:color="878787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8" w:space="0" w:color="878787"/>
          <w:left w:val="single" w:sz="8" w:space="0" w:color="878787"/>
          <w:bottom w:val="single" w:sz="8" w:space="0" w:color="878787"/>
          <w:right w:val="single" w:sz="8" w:space="0" w:color="878787"/>
          <w:insideH w:val="nil"/>
          <w:insideV w:val="nil"/>
        </w:tcBorders>
        <w:shd w:val="clear" w:color="auto" w:fill="5F5F5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/>
          <w:left w:val="single" w:sz="8" w:space="0" w:color="878787"/>
          <w:bottom w:val="single" w:sz="8" w:space="0" w:color="878787"/>
          <w:right w:val="single" w:sz="8" w:space="0" w:color="878787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B0B0B0"/>
        <w:left w:val="single" w:sz="8" w:space="0" w:color="B0B0B0"/>
        <w:bottom w:val="single" w:sz="8" w:space="0" w:color="B0B0B0"/>
        <w:right w:val="single" w:sz="8" w:space="0" w:color="B0B0B0"/>
        <w:insideH w:val="single" w:sz="8" w:space="0" w:color="B0B0B0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8" w:space="0" w:color="B0B0B0"/>
          <w:left w:val="single" w:sz="8" w:space="0" w:color="B0B0B0"/>
          <w:bottom w:val="single" w:sz="8" w:space="0" w:color="B0B0B0"/>
          <w:right w:val="single" w:sz="8" w:space="0" w:color="B0B0B0"/>
          <w:insideH w:val="nil"/>
          <w:insideV w:val="nil"/>
        </w:tcBorders>
        <w:shd w:val="clear" w:color="auto" w:fill="96969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/>
          <w:left w:val="single" w:sz="8" w:space="0" w:color="B0B0B0"/>
          <w:bottom w:val="single" w:sz="8" w:space="0" w:color="B0B0B0"/>
          <w:right w:val="single" w:sz="8" w:space="0" w:color="B0B0B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878787"/>
        <w:left w:val="single" w:sz="8" w:space="0" w:color="878787"/>
        <w:bottom w:val="single" w:sz="8" w:space="0" w:color="878787"/>
        <w:right w:val="single" w:sz="8" w:space="0" w:color="878787"/>
        <w:insideH w:val="single" w:sz="8" w:space="0" w:color="878787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8" w:space="0" w:color="878787"/>
          <w:left w:val="single" w:sz="8" w:space="0" w:color="878787"/>
          <w:bottom w:val="single" w:sz="8" w:space="0" w:color="878787"/>
          <w:right w:val="single" w:sz="8" w:space="0" w:color="878787"/>
          <w:insideH w:val="nil"/>
          <w:insideV w:val="nil"/>
        </w:tcBorders>
        <w:shd w:val="clear" w:color="auto" w:fill="5F5F5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/>
          <w:left w:val="single" w:sz="8" w:space="0" w:color="878787"/>
          <w:bottom w:val="single" w:sz="8" w:space="0" w:color="878787"/>
          <w:right w:val="single" w:sz="8" w:space="0" w:color="878787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8" w:space="0" w:color="797979"/>
        <w:left w:val="single" w:sz="8" w:space="0" w:color="797979"/>
        <w:bottom w:val="single" w:sz="8" w:space="0" w:color="797979"/>
        <w:right w:val="single" w:sz="8" w:space="0" w:color="797979"/>
        <w:insideH w:val="single" w:sz="8" w:space="0" w:color="797979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8" w:space="0" w:color="797979"/>
          <w:left w:val="single" w:sz="8" w:space="0" w:color="797979"/>
          <w:bottom w:val="single" w:sz="8" w:space="0" w:color="797979"/>
          <w:right w:val="single" w:sz="8" w:space="0" w:color="797979"/>
          <w:insideH w:val="nil"/>
          <w:insideV w:val="nil"/>
        </w:tcBorders>
        <w:shd w:val="clear" w:color="auto" w:fill="4D4D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/>
          <w:left w:val="single" w:sz="8" w:space="0" w:color="797979"/>
          <w:bottom w:val="single" w:sz="8" w:space="0" w:color="797979"/>
          <w:right w:val="single" w:sz="8" w:space="0" w:color="7979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72BC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0000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99"/>
    <w:semiHidden/>
    <w:rsid w:val="00014566"/>
    <w:rPr>
      <w:lang w:val="fr-FR" w:eastAsia="fr-F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/>
      </w:tcPr>
    </w:tblStylePr>
    <w:tblStylePr w:type="firstCol">
      <w:rPr>
        <w:b/>
        <w:bCs/>
        <w:color w:val="0072BC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/>
      </w:tcPr>
    </w:tblStylePr>
    <w:tblStylePr w:type="lastCol">
      <w:rPr>
        <w:b/>
        <w:bCs/>
        <w:color w:val="0072BC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/>
      </w:tcPr>
    </w:tblStylePr>
    <w:tblStylePr w:type="band1Horz">
      <w:tblPr/>
      <w:tcPr>
        <w:shd w:val="clear" w:color="auto" w:fill="00609F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rsid w:val="0001456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eastAsia="MS Gothic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014566"/>
    <w:rPr>
      <w:rFonts w:ascii="Times New Roman" w:eastAsia="MS Gothic" w:hAnsi="Times New Roman" w:cs="Times New Roman"/>
      <w:sz w:val="24"/>
      <w:szCs w:val="24"/>
      <w:lang w:val="bg-BG" w:eastAsia="bg-BG"/>
    </w:rPr>
  </w:style>
  <w:style w:type="paragraph" w:styleId="NormalWeb">
    <w:name w:val="Normal (Web)"/>
    <w:basedOn w:val="Normal"/>
    <w:uiPriority w:val="99"/>
    <w:semiHidden/>
    <w:rsid w:val="00014566"/>
    <w:rPr>
      <w:szCs w:val="24"/>
    </w:rPr>
  </w:style>
  <w:style w:type="paragraph" w:styleId="NormalIndent">
    <w:name w:val="Normal Indent"/>
    <w:basedOn w:val="Normal"/>
    <w:uiPriority w:val="99"/>
    <w:semiHidden/>
    <w:rsid w:val="00014566"/>
    <w:pPr>
      <w:ind w:left="720"/>
    </w:pPr>
  </w:style>
  <w:style w:type="paragraph" w:customStyle="1" w:styleId="OpiHA0">
    <w:name w:val="Opi_H_A"/>
    <w:basedOn w:val="ECHRHeading1"/>
    <w:next w:val="OpiPara"/>
    <w:uiPriority w:val="41"/>
    <w:qFormat/>
    <w:rsid w:val="001B7813"/>
    <w:pPr>
      <w:tabs>
        <w:tab w:val="clear" w:pos="357"/>
      </w:tabs>
      <w:outlineLvl w:val="1"/>
    </w:pPr>
    <w:rPr>
      <w:b/>
    </w:rPr>
  </w:style>
  <w:style w:type="paragraph" w:customStyle="1" w:styleId="OpiHi">
    <w:name w:val="Opi_H_i"/>
    <w:basedOn w:val="ECHRHeading4"/>
    <w:uiPriority w:val="44"/>
    <w:qFormat/>
    <w:rsid w:val="001B7813"/>
    <w:pPr>
      <w:ind w:left="1037" w:hanging="357"/>
      <w:outlineLvl w:val="4"/>
    </w:pPr>
    <w:rPr>
      <w:b w:val="0"/>
      <w:i/>
    </w:rPr>
  </w:style>
  <w:style w:type="character" w:styleId="PlaceholderText">
    <w:name w:val="Placeholder Text"/>
    <w:uiPriority w:val="99"/>
    <w:semiHidden/>
    <w:rsid w:val="001B7813"/>
    <w:rPr>
      <w:color w:val="000000"/>
      <w:bdr w:val="none" w:sz="0" w:space="0" w:color="auto"/>
      <w:lang w:val="bg-BG" w:eastAsia="bg-BG"/>
    </w:rPr>
  </w:style>
  <w:style w:type="paragraph" w:styleId="PlainText">
    <w:name w:val="Plain Text"/>
    <w:basedOn w:val="Normal"/>
    <w:link w:val="PlainTextChar"/>
    <w:uiPriority w:val="99"/>
    <w:semiHidden/>
    <w:rsid w:val="00014566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semiHidden/>
    <w:rsid w:val="00014566"/>
    <w:rPr>
      <w:rFonts w:ascii="Consolas" w:eastAsia="MS Mincho" w:hAnsi="Consolas" w:cs="Consolas"/>
      <w:sz w:val="21"/>
      <w:szCs w:val="21"/>
      <w:lang w:val="bg-BG" w:eastAsia="bg-BG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014566"/>
  </w:style>
  <w:style w:type="character" w:customStyle="1" w:styleId="SalutationChar">
    <w:name w:val="Salutation Char"/>
    <w:link w:val="Salutation"/>
    <w:uiPriority w:val="99"/>
    <w:semiHidden/>
    <w:rsid w:val="00014566"/>
    <w:rPr>
      <w:rFonts w:eastAsia="MS Mincho"/>
      <w:sz w:val="24"/>
      <w:lang w:val="bg-BG" w:eastAsia="bg-BG"/>
    </w:rPr>
  </w:style>
  <w:style w:type="paragraph" w:styleId="Signature">
    <w:name w:val="Signature"/>
    <w:basedOn w:val="Normal"/>
    <w:link w:val="SignatureChar"/>
    <w:uiPriority w:val="99"/>
    <w:semiHidden/>
    <w:rsid w:val="00014566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014566"/>
    <w:rPr>
      <w:rFonts w:eastAsia="MS Mincho"/>
      <w:sz w:val="24"/>
      <w:lang w:val="bg-BG" w:eastAsia="bg-BG"/>
    </w:rPr>
  </w:style>
  <w:style w:type="table" w:styleId="Table3Deffects1">
    <w:name w:val="Table 3D effects 1"/>
    <w:basedOn w:val="TableNormal"/>
    <w:uiPriority w:val="99"/>
    <w:semiHidden/>
    <w:rsid w:val="00014566"/>
    <w:pPr>
      <w:suppressAutoHyphens/>
    </w:pPr>
    <w:rPr>
      <w:lang w:val="fr-FR" w:eastAsia="fr-FR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rsid w:val="00014566"/>
    <w:pPr>
      <w:suppressAutoHyphens/>
    </w:pPr>
    <w:rPr>
      <w:lang w:val="fr-FR" w:eastAsia="fr-FR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rsid w:val="00014566"/>
    <w:pPr>
      <w:suppressAutoHyphens/>
    </w:pPr>
    <w:rPr>
      <w:lang w:val="fr-FR" w:eastAsia="fr-FR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rsid w:val="00014566"/>
    <w:pPr>
      <w:suppressAutoHyphens/>
    </w:pPr>
    <w:rPr>
      <w:lang w:val="fr-FR" w:eastAsia="fr-FR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rsid w:val="00014566"/>
    <w:pPr>
      <w:suppressAutoHyphens/>
    </w:pPr>
    <w:rPr>
      <w:lang w:val="fr-FR" w:eastAsia="fr-FR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rsid w:val="00014566"/>
    <w:pPr>
      <w:suppressAutoHyphens/>
    </w:pPr>
    <w:rPr>
      <w:color w:val="000080"/>
      <w:lang w:val="fr-FR" w:eastAsia="fr-FR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rsid w:val="00014566"/>
    <w:pPr>
      <w:suppressAutoHyphens/>
    </w:pPr>
    <w:rPr>
      <w:lang w:val="fr-FR" w:eastAsia="fr-FR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rsid w:val="00014566"/>
    <w:pPr>
      <w:suppressAutoHyphens/>
    </w:pPr>
    <w:rPr>
      <w:color w:val="FFFFFF"/>
      <w:lang w:val="fr-FR" w:eastAsia="fr-FR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rsid w:val="00014566"/>
    <w:pPr>
      <w:suppressAutoHyphens/>
    </w:pPr>
    <w:rPr>
      <w:lang w:val="fr-FR" w:eastAsia="fr-FR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rsid w:val="00014566"/>
    <w:pPr>
      <w:suppressAutoHyphens/>
    </w:pPr>
    <w:rPr>
      <w:lang w:val="fr-FR" w:eastAsia="fr-FR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rsid w:val="00014566"/>
    <w:pPr>
      <w:suppressAutoHyphens/>
    </w:pPr>
    <w:rPr>
      <w:b/>
      <w:bCs/>
      <w:lang w:val="fr-FR" w:eastAsia="fr-FR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rsid w:val="00014566"/>
    <w:pPr>
      <w:suppressAutoHyphens/>
    </w:pPr>
    <w:rPr>
      <w:b/>
      <w:bCs/>
      <w:lang w:val="fr-FR" w:eastAsia="fr-FR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rsid w:val="00014566"/>
    <w:pPr>
      <w:suppressAutoHyphens/>
    </w:pPr>
    <w:rPr>
      <w:b/>
      <w:bCs/>
      <w:lang w:val="fr-FR" w:eastAsia="fr-FR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rsid w:val="00014566"/>
    <w:pPr>
      <w:suppressAutoHyphens/>
    </w:pPr>
    <w:rPr>
      <w:lang w:val="fr-FR" w:eastAsia="fr-FR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rsid w:val="00014566"/>
    <w:pPr>
      <w:suppressAutoHyphens/>
    </w:pPr>
    <w:rPr>
      <w:lang w:val="fr-FR" w:eastAsia="fr-FR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rsid w:val="00014566"/>
    <w:pPr>
      <w:suppressAutoHyphens/>
    </w:pPr>
    <w:rPr>
      <w:lang w:val="fr-FR" w:eastAsia="fr-FR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rsid w:val="00014566"/>
    <w:pPr>
      <w:suppressAutoHyphens/>
    </w:pPr>
    <w:rPr>
      <w:lang w:val="fr-FR" w:eastAsia="fr-FR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rsid w:val="00014566"/>
    <w:pPr>
      <w:suppressAutoHyphens/>
    </w:pPr>
    <w:rPr>
      <w:lang w:val="fr-FR" w:eastAsia="fr-FR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rsid w:val="00014566"/>
    <w:pPr>
      <w:suppressAutoHyphens/>
    </w:pPr>
    <w:rPr>
      <w:lang w:val="fr-FR" w:eastAsia="fr-FR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rsid w:val="00014566"/>
    <w:pPr>
      <w:suppressAutoHyphens/>
    </w:pPr>
    <w:rPr>
      <w:lang w:val="fr-FR" w:eastAsia="fr-FR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rsid w:val="00014566"/>
    <w:pPr>
      <w:suppressAutoHyphens/>
    </w:pPr>
    <w:rPr>
      <w:lang w:val="fr-FR" w:eastAsia="fr-FR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rsid w:val="00014566"/>
    <w:pPr>
      <w:suppressAutoHyphens/>
    </w:pPr>
    <w:rPr>
      <w:lang w:val="fr-FR" w:eastAsia="fr-FR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rsid w:val="00014566"/>
    <w:pPr>
      <w:suppressAutoHyphens/>
    </w:pPr>
    <w:rPr>
      <w:lang w:val="fr-FR" w:eastAsia="fr-FR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rsid w:val="00014566"/>
    <w:pPr>
      <w:suppressAutoHyphens/>
    </w:pPr>
    <w:rPr>
      <w:b/>
      <w:bCs/>
      <w:lang w:val="fr-FR" w:eastAsia="fr-FR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rsid w:val="00014566"/>
    <w:pPr>
      <w:suppressAutoHyphens/>
    </w:pPr>
    <w:rPr>
      <w:lang w:val="fr-FR" w:eastAsia="fr-FR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rsid w:val="00014566"/>
    <w:pPr>
      <w:suppressAutoHyphens/>
    </w:pPr>
    <w:rPr>
      <w:lang w:val="fr-FR" w:eastAsia="fr-FR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rsid w:val="00014566"/>
    <w:pPr>
      <w:suppressAutoHyphens/>
    </w:pPr>
    <w:rPr>
      <w:lang w:val="fr-FR" w:eastAsia="fr-FR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rsid w:val="00014566"/>
    <w:pPr>
      <w:suppressAutoHyphens/>
    </w:pPr>
    <w:rPr>
      <w:lang w:val="fr-FR" w:eastAsia="fr-FR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rsid w:val="00014566"/>
    <w:pPr>
      <w:suppressAutoHyphens/>
    </w:pPr>
    <w:rPr>
      <w:lang w:val="fr-FR" w:eastAsia="fr-FR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rsid w:val="00014566"/>
    <w:pPr>
      <w:suppressAutoHyphens/>
    </w:pPr>
    <w:rPr>
      <w:lang w:val="fr-FR" w:eastAsia="fr-FR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rsid w:val="00014566"/>
    <w:pPr>
      <w:suppressAutoHyphens/>
    </w:pPr>
    <w:rPr>
      <w:lang w:val="fr-FR" w:eastAsia="fr-FR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rsid w:val="00014566"/>
    <w:pPr>
      <w:suppressAutoHyphens/>
    </w:pPr>
    <w:rPr>
      <w:lang w:val="fr-FR" w:eastAsia="fr-FR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rsid w:val="00014566"/>
    <w:pPr>
      <w:suppressAutoHyphens/>
    </w:pPr>
    <w:rPr>
      <w:lang w:val="fr-FR" w:eastAsia="fr-FR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rsid w:val="00014566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rsid w:val="00014566"/>
  </w:style>
  <w:style w:type="table" w:styleId="TableProfessional">
    <w:name w:val="Table Professional"/>
    <w:basedOn w:val="TableNormal"/>
    <w:uiPriority w:val="99"/>
    <w:semiHidden/>
    <w:rsid w:val="00014566"/>
    <w:pPr>
      <w:suppressAutoHyphens/>
    </w:pPr>
    <w:rPr>
      <w:lang w:val="fr-FR" w:eastAsia="fr-FR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rsid w:val="00014566"/>
    <w:pPr>
      <w:suppressAutoHyphens/>
    </w:pPr>
    <w:rPr>
      <w:lang w:val="fr-FR" w:eastAsia="fr-FR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rsid w:val="00014566"/>
    <w:pPr>
      <w:suppressAutoHyphens/>
    </w:pPr>
    <w:rPr>
      <w:lang w:val="fr-FR" w:eastAsia="fr-FR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rsid w:val="00014566"/>
    <w:pPr>
      <w:suppressAutoHyphens/>
    </w:pPr>
    <w:rPr>
      <w:lang w:val="fr-FR" w:eastAsia="fr-FR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rsid w:val="00014566"/>
    <w:pPr>
      <w:suppressAutoHyphens/>
    </w:pPr>
    <w:rPr>
      <w:lang w:val="fr-FR" w:eastAsia="fr-FR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rsid w:val="00014566"/>
    <w:pPr>
      <w:suppressAutoHyphens/>
    </w:pPr>
    <w:rPr>
      <w:lang w:val="fr-FR" w:eastAsia="fr-FR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rsid w:val="00014566"/>
    <w:pPr>
      <w:suppressAutoHyphens/>
    </w:pPr>
    <w:rPr>
      <w:lang w:val="fr-FR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rsid w:val="00014566"/>
    <w:pPr>
      <w:suppressAutoHyphens/>
    </w:pPr>
    <w:rPr>
      <w:lang w:val="fr-FR" w:eastAsia="fr-FR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rsid w:val="00014566"/>
    <w:pPr>
      <w:suppressAutoHyphens/>
    </w:pPr>
    <w:rPr>
      <w:lang w:val="fr-FR" w:eastAsia="fr-FR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rsid w:val="00014566"/>
    <w:pPr>
      <w:suppressAutoHyphens/>
    </w:pPr>
    <w:rPr>
      <w:lang w:val="fr-FR" w:eastAsia="fr-FR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6">
    <w:name w:val="toc 6"/>
    <w:basedOn w:val="Normal"/>
    <w:next w:val="Normal"/>
    <w:autoRedefine/>
    <w:uiPriority w:val="99"/>
    <w:semiHidden/>
    <w:rsid w:val="001B7813"/>
    <w:pPr>
      <w:tabs>
        <w:tab w:val="right" w:leader="dot" w:pos="7371"/>
      </w:tabs>
      <w:spacing w:after="60" w:line="240" w:lineRule="exact"/>
      <w:ind w:left="2041" w:right="567" w:hanging="340"/>
    </w:pPr>
    <w:rPr>
      <w:sz w:val="20"/>
    </w:rPr>
  </w:style>
  <w:style w:type="paragraph" w:styleId="TOC7">
    <w:name w:val="toc 7"/>
    <w:basedOn w:val="Normal"/>
    <w:next w:val="Normal"/>
    <w:autoRedefine/>
    <w:uiPriority w:val="99"/>
    <w:semiHidden/>
    <w:rsid w:val="001B7813"/>
    <w:pPr>
      <w:tabs>
        <w:tab w:val="right" w:leader="dot" w:pos="7371"/>
      </w:tabs>
      <w:spacing w:after="60" w:line="240" w:lineRule="exact"/>
      <w:ind w:left="2381" w:right="567" w:hanging="340"/>
    </w:pPr>
    <w:rPr>
      <w:sz w:val="20"/>
    </w:rPr>
  </w:style>
  <w:style w:type="paragraph" w:styleId="TOC8">
    <w:name w:val="toc 8"/>
    <w:basedOn w:val="Normal"/>
    <w:next w:val="Normal"/>
    <w:autoRedefine/>
    <w:uiPriority w:val="99"/>
    <w:semiHidden/>
    <w:rsid w:val="00014566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99"/>
    <w:semiHidden/>
    <w:rsid w:val="00014566"/>
    <w:pPr>
      <w:spacing w:after="100"/>
      <w:ind w:left="1920"/>
    </w:pPr>
  </w:style>
  <w:style w:type="paragraph" w:customStyle="1" w:styleId="OpiPara">
    <w:name w:val="Opi_Para"/>
    <w:basedOn w:val="ECHRPara"/>
    <w:uiPriority w:val="46"/>
    <w:qFormat/>
    <w:rsid w:val="001B7813"/>
  </w:style>
  <w:style w:type="paragraph" w:customStyle="1" w:styleId="OpiParaSub">
    <w:name w:val="Opi_Para_Sub"/>
    <w:basedOn w:val="JuParaSub"/>
    <w:uiPriority w:val="47"/>
    <w:qFormat/>
    <w:rsid w:val="001B7813"/>
  </w:style>
  <w:style w:type="paragraph" w:customStyle="1" w:styleId="OpiQuot">
    <w:name w:val="Opi_Quot"/>
    <w:basedOn w:val="ECHRParaQuote"/>
    <w:uiPriority w:val="48"/>
    <w:qFormat/>
    <w:rsid w:val="001B7813"/>
  </w:style>
  <w:style w:type="paragraph" w:customStyle="1" w:styleId="OpiQuotSub">
    <w:name w:val="Opi_Quot_Sub"/>
    <w:basedOn w:val="JuQuotSub"/>
    <w:uiPriority w:val="49"/>
    <w:qFormat/>
    <w:rsid w:val="001B7813"/>
  </w:style>
  <w:style w:type="paragraph" w:customStyle="1" w:styleId="OpiTranslation">
    <w:name w:val="Opi_Translation"/>
    <w:basedOn w:val="Normal"/>
    <w:next w:val="OpiPara"/>
    <w:uiPriority w:val="40"/>
    <w:qFormat/>
    <w:rsid w:val="001B7813"/>
    <w:pPr>
      <w:jc w:val="center"/>
      <w:outlineLvl w:val="0"/>
    </w:pPr>
    <w:rPr>
      <w:i/>
    </w:rPr>
  </w:style>
  <w:style w:type="paragraph" w:styleId="NoteHeading">
    <w:name w:val="Note Heading"/>
    <w:basedOn w:val="Normal"/>
    <w:next w:val="Normal"/>
    <w:link w:val="NoteHeadingChar"/>
    <w:uiPriority w:val="99"/>
    <w:semiHidden/>
    <w:rsid w:val="001B7813"/>
  </w:style>
  <w:style w:type="character" w:customStyle="1" w:styleId="NoteHeadingChar">
    <w:name w:val="Note Heading Char"/>
    <w:link w:val="NoteHeading"/>
    <w:uiPriority w:val="99"/>
    <w:semiHidden/>
    <w:rsid w:val="001B7813"/>
    <w:rPr>
      <w:rFonts w:eastAsia="MS Mincho"/>
      <w:sz w:val="24"/>
      <w:lang w:val="bg-BG" w:eastAsia="bg-BG"/>
    </w:rPr>
  </w:style>
  <w:style w:type="character" w:customStyle="1" w:styleId="ECHRParaChar">
    <w:name w:val="ECHR_Para Char"/>
    <w:aliases w:val="Ju_Para Char,Ju_Para Char1"/>
    <w:link w:val="ECHRPara"/>
    <w:uiPriority w:val="12"/>
    <w:rsid w:val="00341746"/>
    <w:rPr>
      <w:rFonts w:eastAsia="MS Mincho"/>
      <w:sz w:val="24"/>
      <w:lang w:val="bg-BG" w:eastAsia="bg-BG"/>
    </w:rPr>
  </w:style>
  <w:style w:type="character" w:customStyle="1" w:styleId="JuQuotChar">
    <w:name w:val="Ju_Quot Char"/>
    <w:link w:val="ECHRParaQuote"/>
    <w:uiPriority w:val="14"/>
    <w:rsid w:val="005B1618"/>
    <w:rPr>
      <w:rFonts w:eastAsia="MS Mincho"/>
      <w:sz w:val="20"/>
      <w:lang w:val="bg-BG" w:eastAsia="bg-BG"/>
    </w:rPr>
  </w:style>
  <w:style w:type="character" w:customStyle="1" w:styleId="JuHArticleChar">
    <w:name w:val="Ju_H_Article Char"/>
    <w:link w:val="ECHRTitleCentre3"/>
    <w:uiPriority w:val="27"/>
    <w:rsid w:val="005B1618"/>
    <w:rPr>
      <w:rFonts w:ascii="Times New Roman" w:eastAsia="MS Mincho" w:hAnsi="Times New Roman"/>
      <w:b/>
      <w:sz w:val="20"/>
      <w:lang w:val="bg-BG" w:eastAsia="bg-BG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3AB0C0-BFAB-4007-85E1-C5F3BBF97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3252</Words>
  <Characters>18537</Characters>
  <Application>Microsoft Office Word</Application>
  <DocSecurity>0</DocSecurity>
  <Lines>154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2019-01-16T15:05:00Z</dcterms:created>
  <dcterms:modified xsi:type="dcterms:W3CDTF">2019-01-16T15:05:00Z</dcterms:modified>
  <cp:category/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