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04" w:rsidRPr="009F05E1" w:rsidRDefault="00FF5604" w:rsidP="00FF5604">
      <w:pPr>
        <w:jc w:val="center"/>
      </w:pPr>
      <w:bookmarkStart w:id="0" w:name="_GoBack"/>
      <w:bookmarkEnd w:id="0"/>
    </w:p>
    <w:p w:rsidR="00FF5604" w:rsidRPr="009F05E1" w:rsidRDefault="00FF5604" w:rsidP="00FF5604">
      <w:pPr>
        <w:jc w:val="center"/>
      </w:pPr>
    </w:p>
    <w:p w:rsidR="00FF5604" w:rsidRPr="009F05E1" w:rsidRDefault="00FF5604" w:rsidP="00FF5604">
      <w:pPr>
        <w:jc w:val="center"/>
      </w:pPr>
    </w:p>
    <w:p w:rsidR="00FF5604" w:rsidRPr="00C0447B" w:rsidRDefault="00FF5604" w:rsidP="00FF5604">
      <w:pPr>
        <w:jc w:val="center"/>
      </w:pPr>
      <w:r w:rsidRPr="00C0447B">
        <w:rPr>
          <w:rStyle w:val="Normal"/>
        </w:rPr>
        <w:t>ПЕТО ОТДЕЛЕНИЕ</w:t>
      </w:r>
    </w:p>
    <w:p w:rsidR="00FF5604" w:rsidRPr="00376665" w:rsidRDefault="00FF5604" w:rsidP="00FF5604">
      <w:pPr>
        <w:jc w:val="center"/>
      </w:pPr>
    </w:p>
    <w:p w:rsidR="00FF5604" w:rsidRPr="00376665" w:rsidRDefault="00FF5604" w:rsidP="00FF5604">
      <w:pPr>
        <w:jc w:val="center"/>
      </w:pPr>
    </w:p>
    <w:p w:rsidR="00FF5604" w:rsidRPr="00376665" w:rsidRDefault="00FF5604" w:rsidP="00FF5604">
      <w:pPr>
        <w:jc w:val="center"/>
      </w:pPr>
    </w:p>
    <w:p w:rsidR="00FF5604" w:rsidRPr="00376665" w:rsidRDefault="00FF5604" w:rsidP="00FF5604">
      <w:pPr>
        <w:jc w:val="center"/>
      </w:pPr>
    </w:p>
    <w:p w:rsidR="00FF5604" w:rsidRPr="00376665" w:rsidRDefault="00FF5604" w:rsidP="00FF5604">
      <w:pPr>
        <w:jc w:val="center"/>
      </w:pPr>
    </w:p>
    <w:p w:rsidR="00FF5604" w:rsidRPr="00376665" w:rsidRDefault="00FF5604" w:rsidP="00FF5604">
      <w:pPr>
        <w:jc w:val="center"/>
      </w:pPr>
    </w:p>
    <w:p w:rsidR="00FF5604" w:rsidRPr="00376665" w:rsidRDefault="00FF5604" w:rsidP="00FF5604">
      <w:pPr>
        <w:jc w:val="center"/>
        <w:rPr>
          <w:b/>
        </w:rPr>
      </w:pPr>
      <w:bookmarkStart w:id="1" w:name="To"/>
      <w:r w:rsidRPr="00376665">
        <w:rPr>
          <w:rStyle w:val="Normal"/>
          <w:b/>
        </w:rPr>
        <w:t xml:space="preserve">ДЕЛО </w:t>
      </w:r>
      <w:bookmarkEnd w:id="1"/>
      <w:r w:rsidRPr="00376665">
        <w:rPr>
          <w:rStyle w:val="Normal"/>
          <w:b/>
        </w:rPr>
        <w:t>ЧОРБОВ СРЕЩУ БЪЛГАРИЯ</w:t>
      </w:r>
    </w:p>
    <w:p w:rsidR="00FF5604" w:rsidRPr="00376665" w:rsidRDefault="00FF5604" w:rsidP="00FF5604">
      <w:pPr>
        <w:jc w:val="center"/>
      </w:pPr>
    </w:p>
    <w:p w:rsidR="00FF5604" w:rsidRPr="00376665" w:rsidRDefault="00FF5604" w:rsidP="00FF5604">
      <w:pPr>
        <w:jc w:val="center"/>
      </w:pPr>
      <w:r w:rsidRPr="00376665">
        <w:rPr>
          <w:rStyle w:val="Normal"/>
          <w:i/>
        </w:rPr>
        <w:t xml:space="preserve">(Жалба </w:t>
      </w:r>
      <w:r w:rsidRPr="00376665">
        <w:rPr>
          <w:rStyle w:val="Normal"/>
          <w:i/>
          <w:cs/>
        </w:rPr>
        <w:t xml:space="preserve">№ </w:t>
      </w:r>
      <w:r w:rsidRPr="00376665">
        <w:rPr>
          <w:rStyle w:val="Normal"/>
          <w:i/>
        </w:rPr>
        <w:t>39942/13)</w:t>
      </w:r>
    </w:p>
    <w:p w:rsidR="00FF5604" w:rsidRPr="00376665" w:rsidRDefault="00FF5604" w:rsidP="00FF5604">
      <w:pPr>
        <w:jc w:val="center"/>
      </w:pPr>
    </w:p>
    <w:p w:rsidR="00FF5604" w:rsidRPr="00376665" w:rsidRDefault="00FF5604" w:rsidP="00FF5604">
      <w:pPr>
        <w:jc w:val="center"/>
      </w:pPr>
    </w:p>
    <w:p w:rsidR="00FF5604" w:rsidRPr="00376665" w:rsidRDefault="00FF5604" w:rsidP="00FF5604">
      <w:pPr>
        <w:jc w:val="center"/>
      </w:pPr>
    </w:p>
    <w:p w:rsidR="00FF5604" w:rsidRPr="00376665" w:rsidRDefault="00FF5604" w:rsidP="00FF5604">
      <w:pPr>
        <w:jc w:val="center"/>
      </w:pPr>
    </w:p>
    <w:p w:rsidR="00FF5604" w:rsidRPr="00376665" w:rsidRDefault="00FF5604" w:rsidP="00FF5604">
      <w:pPr>
        <w:jc w:val="center"/>
      </w:pPr>
    </w:p>
    <w:p w:rsidR="00FF5604" w:rsidRPr="00376665" w:rsidRDefault="00FF5604" w:rsidP="00FF5604">
      <w:pPr>
        <w:jc w:val="center"/>
      </w:pPr>
    </w:p>
    <w:p w:rsidR="00FF5604" w:rsidRPr="00376665" w:rsidRDefault="00FF5604" w:rsidP="00FF5604">
      <w:pPr>
        <w:jc w:val="center"/>
      </w:pPr>
    </w:p>
    <w:p w:rsidR="00FF5604" w:rsidRPr="00376665" w:rsidRDefault="00FF5604" w:rsidP="00FF5604">
      <w:pPr>
        <w:jc w:val="center"/>
      </w:pPr>
    </w:p>
    <w:p w:rsidR="00FF5604" w:rsidRPr="00376665" w:rsidRDefault="00FF5604" w:rsidP="00FF5604">
      <w:pPr>
        <w:jc w:val="center"/>
      </w:pPr>
    </w:p>
    <w:p w:rsidR="00FF5604" w:rsidRPr="00376665" w:rsidRDefault="00FF5604" w:rsidP="00FF5604">
      <w:pPr>
        <w:jc w:val="center"/>
      </w:pPr>
    </w:p>
    <w:p w:rsidR="00FF5604" w:rsidRPr="00376665" w:rsidRDefault="00FF5604" w:rsidP="00FF5604">
      <w:pPr>
        <w:jc w:val="center"/>
        <w:rPr>
          <w:szCs w:val="24"/>
        </w:rPr>
      </w:pPr>
      <w:r w:rsidRPr="00376665">
        <w:rPr>
          <w:rStyle w:val="Normal"/>
        </w:rPr>
        <w:t>РЕШЕНИЕ</w:t>
      </w:r>
    </w:p>
    <w:p w:rsidR="00FF5604" w:rsidRPr="00376665" w:rsidRDefault="00FF5604" w:rsidP="00FF5604">
      <w:pPr>
        <w:jc w:val="center"/>
        <w:rPr>
          <w:szCs w:val="24"/>
        </w:rPr>
      </w:pPr>
    </w:p>
    <w:p w:rsidR="00FF5604" w:rsidRPr="00376665" w:rsidRDefault="00FF5604" w:rsidP="00FF5604">
      <w:pPr>
        <w:jc w:val="center"/>
        <w:rPr>
          <w:szCs w:val="24"/>
        </w:rPr>
      </w:pPr>
    </w:p>
    <w:p w:rsidR="00FF5604" w:rsidRPr="00376665" w:rsidRDefault="00FF5604" w:rsidP="00FF5604">
      <w:pPr>
        <w:jc w:val="center"/>
        <w:rPr>
          <w:szCs w:val="24"/>
        </w:rPr>
      </w:pPr>
    </w:p>
    <w:p w:rsidR="00FF5604" w:rsidRPr="00376665" w:rsidRDefault="00FF5604" w:rsidP="00FF5604">
      <w:pPr>
        <w:jc w:val="center"/>
        <w:rPr>
          <w:szCs w:val="24"/>
        </w:rPr>
      </w:pPr>
      <w:r w:rsidRPr="00376665">
        <w:rPr>
          <w:rStyle w:val="Normal"/>
        </w:rPr>
        <w:t>СТРАСБУРГ</w:t>
      </w:r>
    </w:p>
    <w:p w:rsidR="00FF5604" w:rsidRPr="00376665" w:rsidRDefault="00FF5604" w:rsidP="00FF5604">
      <w:pPr>
        <w:jc w:val="center"/>
        <w:rPr>
          <w:szCs w:val="24"/>
        </w:rPr>
      </w:pPr>
    </w:p>
    <w:p w:rsidR="00FF5604" w:rsidRPr="00376665" w:rsidRDefault="00FF5604" w:rsidP="00FF5604">
      <w:pPr>
        <w:jc w:val="center"/>
        <w:rPr>
          <w:szCs w:val="24"/>
        </w:rPr>
      </w:pPr>
      <w:r w:rsidRPr="00376665">
        <w:rPr>
          <w:rStyle w:val="Normal"/>
        </w:rPr>
        <w:t>25 януари 2018 г.</w:t>
      </w:r>
    </w:p>
    <w:p w:rsidR="00FF5604" w:rsidRPr="00376665" w:rsidRDefault="00FF5604" w:rsidP="00FF5604">
      <w:pPr>
        <w:jc w:val="center"/>
        <w:rPr>
          <w:szCs w:val="24"/>
        </w:rPr>
      </w:pPr>
    </w:p>
    <w:p w:rsidR="00FF5604" w:rsidRPr="00376665" w:rsidRDefault="00FF5604" w:rsidP="00FF5604">
      <w:pPr>
        <w:pStyle w:val="jucase0"/>
        <w:ind w:firstLine="0"/>
        <w:jc w:val="center"/>
        <w:rPr>
          <w:color w:val="FF0000"/>
          <w:sz w:val="28"/>
          <w:szCs w:val="28"/>
          <w:u w:val="single"/>
        </w:rPr>
      </w:pPr>
      <w:r w:rsidRPr="00376665">
        <w:rPr>
          <w:rStyle w:val="jucase0"/>
          <w:color w:val="FF0000"/>
          <w:sz w:val="28"/>
          <w:u w:val="single"/>
        </w:rPr>
        <w:t>ОКОНЧАТЕЛНО</w:t>
      </w:r>
    </w:p>
    <w:p w:rsidR="00FF5604" w:rsidRPr="00376665" w:rsidRDefault="00FF5604" w:rsidP="00FF5604">
      <w:pPr>
        <w:pStyle w:val="jupara"/>
        <w:tabs>
          <w:tab w:val="left" w:pos="4650"/>
        </w:tabs>
        <w:ind w:firstLine="0"/>
        <w:jc w:val="center"/>
        <w:rPr>
          <w:color w:val="FF0000"/>
          <w:sz w:val="28"/>
          <w:szCs w:val="28"/>
        </w:rPr>
      </w:pPr>
    </w:p>
    <w:p w:rsidR="00FF5604" w:rsidRPr="00376665" w:rsidRDefault="00FF5604" w:rsidP="00FF5604">
      <w:pPr>
        <w:pStyle w:val="jupara"/>
        <w:ind w:firstLine="0"/>
        <w:jc w:val="center"/>
        <w:rPr>
          <w:color w:val="FF0000"/>
          <w:sz w:val="28"/>
          <w:szCs w:val="28"/>
        </w:rPr>
      </w:pPr>
      <w:r w:rsidRPr="00376665">
        <w:rPr>
          <w:rStyle w:val="jupara"/>
          <w:color w:val="FF0000"/>
          <w:sz w:val="28"/>
        </w:rPr>
        <w:t>25/04/2018 г.</w:t>
      </w:r>
    </w:p>
    <w:p w:rsidR="00FF5604" w:rsidRPr="00376665" w:rsidRDefault="00FF5604" w:rsidP="00FF5604">
      <w:pPr>
        <w:pStyle w:val="jupara"/>
        <w:ind w:firstLine="0"/>
        <w:jc w:val="center"/>
      </w:pPr>
    </w:p>
    <w:p w:rsidR="00FF5604" w:rsidRPr="00376665" w:rsidRDefault="00FF5604" w:rsidP="00FF5604">
      <w:pPr>
        <w:pStyle w:val="JuCase"/>
        <w:jc w:val="center"/>
      </w:pPr>
      <w:r w:rsidRPr="00376665">
        <w:rPr>
          <w:rStyle w:val="JuCase"/>
          <w:b w:val="0"/>
          <w:i/>
          <w:sz w:val="22"/>
        </w:rPr>
        <w:t xml:space="preserve">Това решение е станало окончателно при условията на чл. 44, </w:t>
      </w:r>
      <w:r w:rsidR="00C618B1">
        <w:rPr>
          <w:rStyle w:val="JuCase"/>
          <w:b w:val="0"/>
          <w:i/>
          <w:sz w:val="22"/>
        </w:rPr>
        <w:t>§</w:t>
      </w:r>
      <w:r w:rsidRPr="00376665">
        <w:rPr>
          <w:rStyle w:val="JuCase"/>
          <w:b w:val="0"/>
          <w:i/>
          <w:sz w:val="22"/>
        </w:rPr>
        <w:t xml:space="preserve"> 2 от Конвенцията. </w:t>
      </w:r>
      <w:r w:rsidR="00C618B1">
        <w:rPr>
          <w:rStyle w:val="JuCase"/>
          <w:b w:val="0"/>
          <w:i/>
          <w:sz w:val="22"/>
        </w:rPr>
        <w:t>То м</w:t>
      </w:r>
      <w:r w:rsidRPr="00376665">
        <w:rPr>
          <w:rStyle w:val="JuCase"/>
          <w:b w:val="0"/>
          <w:i/>
          <w:sz w:val="22"/>
        </w:rPr>
        <w:t>оже да бъде предмет на редакционни промени.</w:t>
      </w:r>
      <w:r w:rsidRPr="00376665">
        <w:br w:type="page"/>
      </w:r>
      <w:r w:rsidRPr="00376665">
        <w:rPr>
          <w:rStyle w:val="JuCase"/>
        </w:rPr>
        <w:lastRenderedPageBreak/>
        <w:t>По делото Чорбов срещу България,</w:t>
      </w:r>
    </w:p>
    <w:p w:rsidR="00FF5604" w:rsidRPr="00376665" w:rsidRDefault="00FF5604" w:rsidP="00FF5604">
      <w:pPr>
        <w:pStyle w:val="ECHRPara"/>
      </w:pPr>
      <w:r w:rsidRPr="00376665">
        <w:rPr>
          <w:rStyle w:val="ECHRPara"/>
        </w:rPr>
        <w:t>Европейският съд по правата на човека (Пето отделение), заседаващ в състав:</w:t>
      </w:r>
    </w:p>
    <w:p w:rsidR="00FF5604" w:rsidRPr="00376665" w:rsidRDefault="00FF5604" w:rsidP="00FF5604">
      <w:pPr>
        <w:pStyle w:val="ECHRDecisionBody"/>
      </w:pPr>
      <w:r w:rsidRPr="00376665">
        <w:rPr>
          <w:rStyle w:val="ECHRDecisionBody"/>
        </w:rPr>
        <w:tab/>
        <w:t>Ангелика Н</w:t>
      </w:r>
      <w:r w:rsidR="003546B0">
        <w:rPr>
          <w:rStyle w:val="ECHRDecisionBody"/>
        </w:rPr>
        <w:t>ю</w:t>
      </w:r>
      <w:r w:rsidRPr="00376665">
        <w:rPr>
          <w:rStyle w:val="ECHRDecisionBody"/>
        </w:rPr>
        <w:t xml:space="preserve">сбергер (Angelika Nußberger), </w:t>
      </w:r>
      <w:r w:rsidRPr="00376665">
        <w:rPr>
          <w:rStyle w:val="ECHRDecisionBody"/>
          <w:i/>
        </w:rPr>
        <w:t>председател</w:t>
      </w:r>
      <w:r w:rsidRPr="00376665">
        <w:rPr>
          <w:rStyle w:val="ECHRDecisionBody"/>
        </w:rPr>
        <w:t>,</w:t>
      </w:r>
      <w:r w:rsidRPr="00376665">
        <w:br/>
      </w:r>
      <w:r w:rsidRPr="00376665">
        <w:tab/>
      </w:r>
      <w:r w:rsidRPr="00376665">
        <w:rPr>
          <w:rStyle w:val="ECHRDecisionBody"/>
        </w:rPr>
        <w:t>Ерик Мьозе (Erik Møse),</w:t>
      </w:r>
      <w:r w:rsidRPr="00376665">
        <w:br/>
      </w:r>
      <w:r w:rsidRPr="00376665">
        <w:tab/>
      </w:r>
      <w:r w:rsidRPr="00376665">
        <w:rPr>
          <w:rStyle w:val="ECHRDecisionBody"/>
        </w:rPr>
        <w:t>Нона Цоцориа (Nona Tsotsoria),</w:t>
      </w:r>
      <w:r w:rsidRPr="00376665">
        <w:br/>
      </w:r>
      <w:r w:rsidRPr="00376665">
        <w:tab/>
      </w:r>
      <w:r w:rsidRPr="00376665">
        <w:rPr>
          <w:rStyle w:val="ECHRDecisionBody"/>
        </w:rPr>
        <w:t>Йонко Грозев (Yonko Grozev),</w:t>
      </w:r>
      <w:r w:rsidRPr="00376665">
        <w:br/>
      </w:r>
      <w:r w:rsidRPr="00376665">
        <w:tab/>
      </w:r>
      <w:r w:rsidRPr="00376665">
        <w:rPr>
          <w:rStyle w:val="ECHRDecisionBody"/>
        </w:rPr>
        <w:t>Шифра О</w:t>
      </w:r>
      <w:r w:rsidRPr="00376665">
        <w:rPr>
          <w:rStyle w:val="ECHRDecisionBody"/>
          <w:cs/>
        </w:rPr>
        <w:t>’</w:t>
      </w:r>
      <w:r w:rsidRPr="00376665">
        <w:rPr>
          <w:rStyle w:val="ECHRDecisionBody"/>
        </w:rPr>
        <w:t>Лиъри (Síofra O</w:t>
      </w:r>
      <w:r w:rsidRPr="00376665">
        <w:rPr>
          <w:rStyle w:val="ECHRDecisionBody"/>
          <w:cs/>
        </w:rPr>
        <w:t>’</w:t>
      </w:r>
      <w:r w:rsidRPr="00376665">
        <w:rPr>
          <w:rStyle w:val="ECHRDecisionBody"/>
        </w:rPr>
        <w:t>Leary),</w:t>
      </w:r>
      <w:r w:rsidRPr="00376665">
        <w:br/>
      </w:r>
      <w:r w:rsidRPr="00376665">
        <w:tab/>
      </w:r>
      <w:r w:rsidRPr="00376665">
        <w:rPr>
          <w:rStyle w:val="ECHRDecisionBody"/>
        </w:rPr>
        <w:t>Мартинш Митс (Mārtiņš Mits),</w:t>
      </w:r>
      <w:r w:rsidRPr="00376665">
        <w:br/>
      </w:r>
      <w:r w:rsidRPr="00376665">
        <w:tab/>
      </w:r>
      <w:r w:rsidRPr="00376665">
        <w:rPr>
          <w:rStyle w:val="ECHRDecisionBody"/>
        </w:rPr>
        <w:t xml:space="preserve">Летиф Хюсеинов (Lәtif Hüseynov), </w:t>
      </w:r>
      <w:r w:rsidRPr="00376665">
        <w:rPr>
          <w:rStyle w:val="ECHRDecisionBody"/>
          <w:i/>
        </w:rPr>
        <w:t>съдии</w:t>
      </w:r>
      <w:r w:rsidRPr="00376665">
        <w:rPr>
          <w:rStyle w:val="ECHRDecisionBody"/>
        </w:rPr>
        <w:t>,</w:t>
      </w:r>
      <w:r w:rsidRPr="00376665">
        <w:br/>
      </w:r>
      <w:r w:rsidRPr="00376665">
        <w:rPr>
          <w:rStyle w:val="ECHRDecisionBody"/>
        </w:rPr>
        <w:t xml:space="preserve">и Клаудия Вестердик (Claudia Westerdiek), </w:t>
      </w:r>
      <w:r w:rsidRPr="00376665">
        <w:rPr>
          <w:rStyle w:val="ECHRDecisionBody"/>
          <w:i/>
        </w:rPr>
        <w:t>секретар на отделението,</w:t>
      </w:r>
    </w:p>
    <w:p w:rsidR="00FF5604" w:rsidRPr="00376665" w:rsidRDefault="00FF5604" w:rsidP="00FF5604">
      <w:pPr>
        <w:pStyle w:val="ECHRPara"/>
      </w:pPr>
      <w:r w:rsidRPr="00376665">
        <w:rPr>
          <w:rStyle w:val="ECHRPara"/>
        </w:rPr>
        <w:t>След закрито заседание, проведено на 19 декември 2017 г.,</w:t>
      </w:r>
    </w:p>
    <w:p w:rsidR="00FF5604" w:rsidRPr="00376665" w:rsidRDefault="00FF5604" w:rsidP="00FF5604">
      <w:pPr>
        <w:pStyle w:val="ECHRPara"/>
      </w:pPr>
      <w:r w:rsidRPr="00376665">
        <w:rPr>
          <w:rStyle w:val="ECHRPara"/>
        </w:rPr>
        <w:t xml:space="preserve">Постановява следното решение, прието на </w:t>
      </w:r>
      <w:r w:rsidR="00763BB3" w:rsidRPr="00376665">
        <w:rPr>
          <w:rStyle w:val="ECHRPara"/>
        </w:rPr>
        <w:t xml:space="preserve">същата </w:t>
      </w:r>
      <w:r w:rsidRPr="00376665">
        <w:rPr>
          <w:rStyle w:val="ECHRPara"/>
        </w:rPr>
        <w:t>дата:</w:t>
      </w:r>
    </w:p>
    <w:p w:rsidR="00FF5604" w:rsidRPr="00376665" w:rsidRDefault="00FF5604" w:rsidP="00FF5604">
      <w:pPr>
        <w:pStyle w:val="ECHRTitle1"/>
      </w:pPr>
      <w:r w:rsidRPr="00376665">
        <w:rPr>
          <w:rStyle w:val="ECHRTitle1"/>
        </w:rPr>
        <w:t>ПРОЦЕДУРА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1</w:t>
      </w:r>
      <w:r w:rsidRPr="00376665">
        <w:fldChar w:fldCharType="end"/>
      </w:r>
      <w:r w:rsidRPr="00376665">
        <w:rPr>
          <w:rStyle w:val="ECHRPara"/>
        </w:rPr>
        <w:t>.  Делото е образувано по жалба (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>39942/13) срещу Република България, подадена в Съда на основание чл. 34 от Конвенцията за защита на правата на човека и основните свободи (</w:t>
      </w:r>
      <w:r w:rsidRPr="00376665">
        <w:rPr>
          <w:rStyle w:val="ECHRPara"/>
          <w:cs/>
        </w:rPr>
        <w:t>”</w:t>
      </w:r>
      <w:r w:rsidRPr="00376665">
        <w:rPr>
          <w:rStyle w:val="ECHRPara"/>
        </w:rPr>
        <w:t>Конвенцията</w:t>
      </w:r>
      <w:r w:rsidRPr="00376665">
        <w:rPr>
          <w:rStyle w:val="ECHRPara"/>
          <w:cs/>
        </w:rPr>
        <w:t>”</w:t>
      </w:r>
      <w:r w:rsidRPr="00376665">
        <w:rPr>
          <w:rStyle w:val="ECHRPara"/>
        </w:rPr>
        <w:t>) от български граждани</w:t>
      </w:r>
      <w:r w:rsidR="00763BB3" w:rsidRPr="00376665">
        <w:rPr>
          <w:rStyle w:val="ECHRPara"/>
        </w:rPr>
        <w:t>н</w:t>
      </w:r>
      <w:r w:rsidRPr="00376665">
        <w:rPr>
          <w:rStyle w:val="ECHRPara"/>
        </w:rPr>
        <w:t>, г-н Георги Ангелов Чорбов (</w:t>
      </w:r>
      <w:r w:rsidRPr="00376665">
        <w:rPr>
          <w:rStyle w:val="ECHRPara"/>
          <w:cs/>
        </w:rPr>
        <w:t>”</w:t>
      </w:r>
      <w:r w:rsidRPr="00376665">
        <w:rPr>
          <w:rStyle w:val="ECHRPara"/>
        </w:rPr>
        <w:t>жалбоподателя</w:t>
      </w:r>
      <w:r w:rsidRPr="00376665">
        <w:rPr>
          <w:rStyle w:val="ECHRPara"/>
          <w:cs/>
        </w:rPr>
        <w:t>”</w:t>
      </w:r>
      <w:r w:rsidRPr="00376665">
        <w:rPr>
          <w:rStyle w:val="ECHRPara"/>
        </w:rPr>
        <w:t>), на 10 юни 2013 г.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2</w:t>
      </w:r>
      <w:r w:rsidRPr="00376665">
        <w:fldChar w:fldCharType="end"/>
      </w:r>
      <w:r w:rsidRPr="00376665">
        <w:rPr>
          <w:rStyle w:val="ECHRPara"/>
        </w:rPr>
        <w:t xml:space="preserve">.  Жалбоподателят е представляван от г-жа С. Маргаритова-Вучкова, </w:t>
      </w:r>
      <w:r w:rsidR="003546B0">
        <w:rPr>
          <w:rStyle w:val="ECHRPara"/>
        </w:rPr>
        <w:t>юрист</w:t>
      </w:r>
      <w:r w:rsidRPr="00376665">
        <w:rPr>
          <w:rStyle w:val="ECHRPara"/>
        </w:rPr>
        <w:t>, практикуващ в София. Българското правителство (</w:t>
      </w:r>
      <w:r w:rsidRPr="00376665">
        <w:rPr>
          <w:rStyle w:val="ECHRPara"/>
          <w:cs/>
        </w:rPr>
        <w:t>„</w:t>
      </w:r>
      <w:r w:rsidRPr="00376665">
        <w:rPr>
          <w:rStyle w:val="ECHRPara"/>
        </w:rPr>
        <w:t>Правителството</w:t>
      </w:r>
      <w:r w:rsidRPr="00376665">
        <w:rPr>
          <w:rStyle w:val="ECHRPara"/>
          <w:cs/>
        </w:rPr>
        <w:t>”</w:t>
      </w:r>
      <w:r w:rsidRPr="00376665">
        <w:rPr>
          <w:rStyle w:val="ECHRPara"/>
        </w:rPr>
        <w:t>) се представлява от правителствения агент г-жа Л. Гюрова от Министерство</w:t>
      </w:r>
      <w:r w:rsidR="003546B0">
        <w:rPr>
          <w:rStyle w:val="ECHRPara"/>
        </w:rPr>
        <w:t>то</w:t>
      </w:r>
      <w:r w:rsidRPr="00376665">
        <w:rPr>
          <w:rStyle w:val="ECHRPara"/>
        </w:rPr>
        <w:t xml:space="preserve"> на правосъдието.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3</w:t>
      </w:r>
      <w:r w:rsidRPr="00376665">
        <w:fldChar w:fldCharType="end"/>
      </w:r>
      <w:r w:rsidRPr="00376665">
        <w:rPr>
          <w:rStyle w:val="ECHRPara"/>
        </w:rPr>
        <w:t>.  Жалбоподателят твърди, че право</w:t>
      </w:r>
      <w:r w:rsidR="00763BB3" w:rsidRPr="00376665">
        <w:rPr>
          <w:rStyle w:val="ECHRPara"/>
        </w:rPr>
        <w:t>то му</w:t>
      </w:r>
      <w:r w:rsidRPr="00376665">
        <w:rPr>
          <w:rStyle w:val="ECHRPara"/>
        </w:rPr>
        <w:t xml:space="preserve"> мирно </w:t>
      </w:r>
      <w:r w:rsidR="000070EF">
        <w:rPr>
          <w:rStyle w:val="ECHRPara"/>
        </w:rPr>
        <w:t xml:space="preserve">да се </w:t>
      </w:r>
      <w:r w:rsidRPr="00376665">
        <w:rPr>
          <w:rStyle w:val="ECHRPara"/>
        </w:rPr>
        <w:t>ползва</w:t>
      </w:r>
      <w:r w:rsidR="000070EF">
        <w:rPr>
          <w:rStyle w:val="ECHRPara"/>
        </w:rPr>
        <w:t xml:space="preserve"> от</w:t>
      </w:r>
      <w:r w:rsidRPr="00376665">
        <w:rPr>
          <w:rStyle w:val="ECHRPara"/>
        </w:rPr>
        <w:t xml:space="preserve"> </w:t>
      </w:r>
      <w:r w:rsidR="003546B0">
        <w:rPr>
          <w:rStyle w:val="ECHRPara"/>
        </w:rPr>
        <w:t xml:space="preserve"> притежанията </w:t>
      </w:r>
      <w:r w:rsidR="000070EF">
        <w:rPr>
          <w:rStyle w:val="ECHRPara"/>
        </w:rPr>
        <w:t>си</w:t>
      </w:r>
      <w:r w:rsidRPr="00376665">
        <w:rPr>
          <w:rStyle w:val="ECHRPara"/>
        </w:rPr>
        <w:t xml:space="preserve"> е нарушено в резултат на това, че властите не са платили втората половина от дължим</w:t>
      </w:r>
      <w:r w:rsidR="000070EF">
        <w:rPr>
          <w:rStyle w:val="ECHRPara"/>
        </w:rPr>
        <w:t>ия</w:t>
      </w:r>
      <w:r w:rsidRPr="00376665">
        <w:rPr>
          <w:rStyle w:val="ECHRPara"/>
        </w:rPr>
        <w:t xml:space="preserve"> му </w:t>
      </w:r>
      <w:r w:rsidR="000070EF">
        <w:rPr>
          <w:rStyle w:val="ECHRPara"/>
        </w:rPr>
        <w:t xml:space="preserve">адвокатски хонорар </w:t>
      </w:r>
      <w:r w:rsidRPr="00376665">
        <w:rPr>
          <w:rStyle w:val="ECHRPara"/>
        </w:rPr>
        <w:t>въз основа на договор, който той е сключил с тях. Той също така твърди, че не разполага с ефективно вътрешноправно средство за защита в това отношение.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4</w:t>
      </w:r>
      <w:r w:rsidRPr="00376665">
        <w:fldChar w:fldCharType="end"/>
      </w:r>
      <w:r w:rsidRPr="00376665">
        <w:rPr>
          <w:rStyle w:val="ECHRPara"/>
        </w:rPr>
        <w:t xml:space="preserve">.  На 15 декември 2014 г. </w:t>
      </w:r>
      <w:r w:rsidR="00763BB3" w:rsidRPr="00376665">
        <w:rPr>
          <w:rStyle w:val="ECHRPara"/>
        </w:rPr>
        <w:t xml:space="preserve">Правителството е уведомено за </w:t>
      </w:r>
      <w:r w:rsidRPr="00376665">
        <w:rPr>
          <w:rStyle w:val="ECHRPara"/>
        </w:rPr>
        <w:t>жалбата.</w:t>
      </w:r>
    </w:p>
    <w:p w:rsidR="00FF5604" w:rsidRPr="00376665" w:rsidRDefault="00FF5604" w:rsidP="00FF5604">
      <w:pPr>
        <w:pStyle w:val="ECHRTitle1"/>
      </w:pPr>
      <w:r w:rsidRPr="00376665">
        <w:rPr>
          <w:rStyle w:val="ECHRTitle1"/>
        </w:rPr>
        <w:t>ФАКТИТЕ</w:t>
      </w:r>
    </w:p>
    <w:p w:rsidR="00FF5604" w:rsidRPr="00376665" w:rsidRDefault="00FF5604" w:rsidP="00FF5604">
      <w:pPr>
        <w:pStyle w:val="ECHRHeading1"/>
      </w:pPr>
      <w:r w:rsidRPr="00376665">
        <w:rPr>
          <w:rStyle w:val="ECHRHeading1"/>
        </w:rPr>
        <w:t>I.  ОБСТОЯТЕЛСТВА ПО ДЕЛОТО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5</w:t>
      </w:r>
      <w:r w:rsidRPr="00376665">
        <w:fldChar w:fldCharType="end"/>
      </w:r>
      <w:r w:rsidRPr="00376665">
        <w:rPr>
          <w:rStyle w:val="ECHRPara"/>
        </w:rPr>
        <w:t>.  Жалбоподателят е роден през 1950 г. и живее в София. Той е адвокат, практикуващ в София.</w:t>
      </w:r>
    </w:p>
    <w:p w:rsidR="00FF5604" w:rsidRPr="00376665" w:rsidRDefault="00FF5604" w:rsidP="00FF5604">
      <w:pPr>
        <w:pStyle w:val="ECHRHeading2"/>
      </w:pPr>
      <w:r w:rsidRPr="00376665">
        <w:rPr>
          <w:rStyle w:val="ECHRHeading2"/>
        </w:rPr>
        <w:lastRenderedPageBreak/>
        <w:t>А. Предистория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6</w:t>
      </w:r>
      <w:r w:rsidRPr="00376665">
        <w:fldChar w:fldCharType="end"/>
      </w:r>
      <w:r w:rsidRPr="00376665">
        <w:rPr>
          <w:rStyle w:val="ECHRPara"/>
        </w:rPr>
        <w:t>.  </w:t>
      </w:r>
      <w:r w:rsidR="00763BB3" w:rsidRPr="00376665">
        <w:rPr>
          <w:rStyle w:val="ECHRPara"/>
        </w:rPr>
        <w:t xml:space="preserve">На </w:t>
      </w:r>
      <w:r w:rsidRPr="00376665">
        <w:rPr>
          <w:rStyle w:val="ECHRPara"/>
        </w:rPr>
        <w:t>15 юли 2004 г. жалбоподателят подписва договор с</w:t>
      </w:r>
      <w:r w:rsidR="000070EF">
        <w:rPr>
          <w:rStyle w:val="ECHRPara"/>
        </w:rPr>
        <w:t xml:space="preserve"> тогавашното</w:t>
      </w:r>
      <w:r w:rsidRPr="00376665">
        <w:rPr>
          <w:rStyle w:val="ECHRPara"/>
        </w:rPr>
        <w:t xml:space="preserve"> българско Министерство на земеделието и горите (наричано по-нататък </w:t>
      </w:r>
      <w:r w:rsidRPr="00376665">
        <w:rPr>
          <w:rStyle w:val="ECHRPara"/>
          <w:cs/>
        </w:rPr>
        <w:t>“</w:t>
      </w:r>
      <w:r w:rsidRPr="00376665">
        <w:rPr>
          <w:rStyle w:val="ECHRPara"/>
        </w:rPr>
        <w:t>Министерството</w:t>
      </w:r>
      <w:r w:rsidRPr="00376665">
        <w:rPr>
          <w:rStyle w:val="ECHRPara"/>
          <w:cs/>
        </w:rPr>
        <w:t>”</w:t>
      </w:r>
      <w:r w:rsidRPr="00376665">
        <w:rPr>
          <w:rStyle w:val="ECHRPara"/>
        </w:rPr>
        <w:t xml:space="preserve">). Съгласно условията на договора, жалбоподателят се ангажира да действа като </w:t>
      </w:r>
      <w:r w:rsidR="000070EF">
        <w:rPr>
          <w:rStyle w:val="ECHRPara"/>
        </w:rPr>
        <w:t xml:space="preserve">процесуален </w:t>
      </w:r>
      <w:r w:rsidRPr="00376665">
        <w:rPr>
          <w:rStyle w:val="ECHRPara"/>
        </w:rPr>
        <w:t xml:space="preserve">представител на Министерството по дело пред Международния арбитражен съд в Париж, за което Министерството трябва да му плати 58 100 български лева (около 29 600 евро). Тази сума включва </w:t>
      </w:r>
      <w:r w:rsidR="00763BB3" w:rsidRPr="00376665">
        <w:rPr>
          <w:rStyle w:val="ECHRPara"/>
        </w:rPr>
        <w:t>адвокатско възнаграждение</w:t>
      </w:r>
      <w:r w:rsidRPr="00376665">
        <w:rPr>
          <w:rStyle w:val="ECHRPara"/>
        </w:rPr>
        <w:t xml:space="preserve"> и всички свързани разходи и разноски, направени от него във връзка с представителството.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7</w:t>
      </w:r>
      <w:r w:rsidRPr="00376665">
        <w:fldChar w:fldCharType="end"/>
      </w:r>
      <w:r w:rsidRPr="00376665">
        <w:rPr>
          <w:rStyle w:val="ECHRPara"/>
        </w:rPr>
        <w:t>.  Министерството плаща на жалбоподателя половината от дължимата сума в деня на подписването на договора. Договорът предвижда, че втората половина ще му бъде изплатенa в края на производството.</w:t>
      </w:r>
    </w:p>
    <w:p w:rsidR="00FF5604" w:rsidRPr="00376665" w:rsidRDefault="00FF5604" w:rsidP="00FF5604">
      <w:pPr>
        <w:pStyle w:val="ECHRHeading2"/>
      </w:pPr>
      <w:r w:rsidRPr="00376665">
        <w:rPr>
          <w:rStyle w:val="ECHRHeading2"/>
        </w:rPr>
        <w:t xml:space="preserve">Б. Опит </w:t>
      </w:r>
      <w:r w:rsidR="00C143DA" w:rsidRPr="00376665">
        <w:rPr>
          <w:rStyle w:val="ECHRHeading2"/>
        </w:rPr>
        <w:t xml:space="preserve">на </w:t>
      </w:r>
      <w:r w:rsidR="00C143DA">
        <w:rPr>
          <w:rStyle w:val="ECHRHeading2"/>
        </w:rPr>
        <w:t>жалбоподателя</w:t>
      </w:r>
      <w:r w:rsidR="00C143DA" w:rsidRPr="00376665">
        <w:rPr>
          <w:rStyle w:val="ECHRHeading2"/>
        </w:rPr>
        <w:t xml:space="preserve"> </w:t>
      </w:r>
      <w:r w:rsidR="00C143DA">
        <w:rPr>
          <w:rStyle w:val="ECHRHeading2"/>
        </w:rPr>
        <w:t>да</w:t>
      </w:r>
      <w:r w:rsidR="00C143DA" w:rsidRPr="00376665">
        <w:rPr>
          <w:rStyle w:val="ECHRHeading2"/>
        </w:rPr>
        <w:t xml:space="preserve"> </w:t>
      </w:r>
      <w:r w:rsidRPr="00376665">
        <w:rPr>
          <w:rStyle w:val="ECHRHeading2"/>
        </w:rPr>
        <w:t>получ</w:t>
      </w:r>
      <w:r w:rsidR="00C143DA">
        <w:rPr>
          <w:rStyle w:val="ECHRHeading2"/>
        </w:rPr>
        <w:t>и</w:t>
      </w:r>
      <w:r w:rsidRPr="00376665">
        <w:rPr>
          <w:rStyle w:val="ECHRHeading2"/>
        </w:rPr>
        <w:t xml:space="preserve"> плащане на втората половина от </w:t>
      </w:r>
      <w:r w:rsidR="003B56C6">
        <w:rPr>
          <w:rStyle w:val="ECHRHeading2"/>
        </w:rPr>
        <w:t>своя</w:t>
      </w:r>
      <w:r w:rsidR="003B56C6" w:rsidRPr="00376665">
        <w:rPr>
          <w:rStyle w:val="ECHRHeading2"/>
        </w:rPr>
        <w:t xml:space="preserve"> </w:t>
      </w:r>
      <w:r w:rsidRPr="00376665">
        <w:rPr>
          <w:rStyle w:val="ECHRHeading2"/>
        </w:rPr>
        <w:t>договор</w:t>
      </w:r>
      <w:r w:rsidR="00C143DA">
        <w:rPr>
          <w:rStyle w:val="ECHRHeading2"/>
        </w:rPr>
        <w:t>ен</w:t>
      </w:r>
      <w:r w:rsidRPr="00376665">
        <w:rPr>
          <w:rStyle w:val="ECHRHeading2"/>
        </w:rPr>
        <w:t xml:space="preserve"> </w:t>
      </w:r>
      <w:r w:rsidR="00C143DA">
        <w:rPr>
          <w:rStyle w:val="ECHRHeading2"/>
        </w:rPr>
        <w:t>хонорар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8</w:t>
      </w:r>
      <w:r w:rsidRPr="00376665">
        <w:fldChar w:fldCharType="end"/>
      </w:r>
      <w:r w:rsidRPr="00376665">
        <w:rPr>
          <w:rStyle w:val="ECHRPara"/>
        </w:rPr>
        <w:t>.  Производството пред Международния арбитражен съд в Париж приключва на 28 ноември 2005 г. На 19 декември 2005 г. жалбоподателят иска от Министерството да му плати дължим</w:t>
      </w:r>
      <w:r w:rsidR="003B56C6">
        <w:rPr>
          <w:rStyle w:val="ECHRPara"/>
        </w:rPr>
        <w:t>ия остатък</w:t>
      </w:r>
      <w:r w:rsidRPr="00376665">
        <w:rPr>
          <w:rStyle w:val="ECHRPara"/>
        </w:rPr>
        <w:t xml:space="preserve">, но Министерството не отговаря. След това жалбоподателят иска от Софийски районен съд да му издаде </w:t>
      </w:r>
      <w:r w:rsidR="00423446" w:rsidRPr="00376665">
        <w:rPr>
          <w:rStyle w:val="ECHRPara"/>
        </w:rPr>
        <w:t>изпълнителен лист</w:t>
      </w:r>
      <w:r w:rsidRPr="00376665">
        <w:rPr>
          <w:rStyle w:val="ECHRPara"/>
        </w:rPr>
        <w:t xml:space="preserve"> срещу Министерството. На 23 февруари 2006 г. съдът издава </w:t>
      </w:r>
      <w:r w:rsidR="00423446" w:rsidRPr="00376665">
        <w:rPr>
          <w:rStyle w:val="ECHRPara"/>
        </w:rPr>
        <w:t xml:space="preserve">изпълнителен лист </w:t>
      </w:r>
      <w:r w:rsidRPr="00376665">
        <w:rPr>
          <w:rStyle w:val="ECHRPara"/>
        </w:rPr>
        <w:t xml:space="preserve">въз основа на договора от 15 юли 2004 г. за сумата от 29 631 лева, включваща 29 050 лева, дължими въз основа на договора, и 581 лева за разноските, свързани с изпълнителното производство, плюс </w:t>
      </w:r>
      <w:r w:rsidR="003B56C6">
        <w:rPr>
          <w:rStyle w:val="ECHRPara"/>
        </w:rPr>
        <w:t>законна лихва</w:t>
      </w:r>
      <w:r w:rsidRPr="00376665">
        <w:rPr>
          <w:rStyle w:val="ECHRPara"/>
        </w:rPr>
        <w:t xml:space="preserve"> за периода от 1 февруари 2006 г. до пълното изплащане.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9</w:t>
      </w:r>
      <w:r w:rsidRPr="00376665">
        <w:fldChar w:fldCharType="end"/>
      </w:r>
      <w:r w:rsidRPr="00376665">
        <w:rPr>
          <w:rStyle w:val="ECHRPara"/>
        </w:rPr>
        <w:t>.  На 24 февруари 2006 г., в съответствие с чл</w:t>
      </w:r>
      <w:r w:rsidR="00EE1EDE" w:rsidRPr="00376665">
        <w:rPr>
          <w:rStyle w:val="ECHRPara"/>
        </w:rPr>
        <w:t>.</w:t>
      </w:r>
      <w:r w:rsidRPr="00376665">
        <w:rPr>
          <w:rStyle w:val="ECHRPara"/>
        </w:rPr>
        <w:t xml:space="preserve"> 399 от Кодекса от 1952 г., нотариус, действащ от името на жалбоподателя, връчва оригиналн</w:t>
      </w:r>
      <w:r w:rsidR="00EE1EDE" w:rsidRPr="00376665">
        <w:rPr>
          <w:rStyle w:val="ECHRPara"/>
        </w:rPr>
        <w:t>ия изпълнителен лист</w:t>
      </w:r>
      <w:r w:rsidRPr="00376665">
        <w:rPr>
          <w:rStyle w:val="ECHRPara"/>
        </w:rPr>
        <w:t xml:space="preserve"> на Министерството и иска институцията да плати. Тъй като Министерството отново не отговаря, жалбоподателят търси помощта на омбудсмана. Впоследствие Министерството потвърждава пред омбудсмана в писмо от 27 март 2006 г., че е получило нотариалн</w:t>
      </w:r>
      <w:r w:rsidR="003B56C6">
        <w:rPr>
          <w:rStyle w:val="ECHRPara"/>
        </w:rPr>
        <w:t xml:space="preserve">а покана </w:t>
      </w:r>
      <w:r w:rsidRPr="00376665">
        <w:rPr>
          <w:rStyle w:val="ECHRPara"/>
        </w:rPr>
        <w:t xml:space="preserve">за плащане и </w:t>
      </w:r>
      <w:r w:rsidR="00EE1EDE" w:rsidRPr="00376665">
        <w:rPr>
          <w:rStyle w:val="ECHRPara"/>
        </w:rPr>
        <w:t>изпълнителн</w:t>
      </w:r>
      <w:r w:rsidR="003B56C6">
        <w:rPr>
          <w:rStyle w:val="ECHRPara"/>
        </w:rPr>
        <w:t>ия</w:t>
      </w:r>
      <w:r w:rsidR="00EE1EDE" w:rsidRPr="00376665">
        <w:rPr>
          <w:rStyle w:val="ECHRPara"/>
        </w:rPr>
        <w:t xml:space="preserve"> лист</w:t>
      </w:r>
      <w:r w:rsidRPr="00376665">
        <w:rPr>
          <w:rStyle w:val="ECHRPara"/>
        </w:rPr>
        <w:t xml:space="preserve"> по делото на жалбоподателя. То също така заявява, че ако парите за погасяване на дълговете на Министерството не са включени в бюджета за текущата година, това ще бъде направено в бюджета за следващата година.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10</w:t>
      </w:r>
      <w:r w:rsidRPr="00376665">
        <w:fldChar w:fldCharType="end"/>
      </w:r>
      <w:r w:rsidRPr="00376665">
        <w:rPr>
          <w:rStyle w:val="ECHRPara"/>
        </w:rPr>
        <w:t>.  През м. юли 2006 г. Министерството иска Софийската адвокатска колегия да открие дисциплинарно производство срещу жалбоподателя за действия срещу интересите на клиент</w:t>
      </w:r>
      <w:r w:rsidR="003B56C6">
        <w:rPr>
          <w:rStyle w:val="ECHRPara"/>
        </w:rPr>
        <w:t>а му</w:t>
      </w:r>
      <w:r w:rsidR="00EE1EDE" w:rsidRPr="00376665">
        <w:rPr>
          <w:rStyle w:val="ECHRPara"/>
        </w:rPr>
        <w:t xml:space="preserve"> -</w:t>
      </w:r>
      <w:r w:rsidRPr="00376665">
        <w:rPr>
          <w:rStyle w:val="ECHRPara"/>
        </w:rPr>
        <w:t xml:space="preserve"> Министерството. Софийската адвокатска колегия прекратява това производство същата </w:t>
      </w:r>
      <w:r w:rsidRPr="00376665">
        <w:rPr>
          <w:rStyle w:val="ECHRPara"/>
        </w:rPr>
        <w:lastRenderedPageBreak/>
        <w:t>година след като установява, че жалбоподателят не е действал в противоречие с интересите на Министерството.</w:t>
      </w:r>
    </w:p>
    <w:p w:rsidR="00FF5604" w:rsidRPr="00376665" w:rsidRDefault="00FF5604" w:rsidP="00FF5604">
      <w:pPr>
        <w:pStyle w:val="ECHRHeading2"/>
      </w:pPr>
      <w:r w:rsidRPr="00376665">
        <w:rPr>
          <w:rStyle w:val="ECHRHeading2"/>
        </w:rPr>
        <w:t>В. Производство</w:t>
      </w:r>
      <w:r w:rsidR="0057604F">
        <w:rPr>
          <w:rStyle w:val="ECHRHeading2"/>
        </w:rPr>
        <w:t xml:space="preserve">, заведено от </w:t>
      </w:r>
      <w:r w:rsidRPr="00376665">
        <w:rPr>
          <w:rStyle w:val="ECHRHeading2"/>
        </w:rPr>
        <w:t>Министерството срещу жалбоподателя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11</w:t>
      </w:r>
      <w:r w:rsidRPr="00376665">
        <w:fldChar w:fldCharType="end"/>
      </w:r>
      <w:r w:rsidRPr="00376665">
        <w:rPr>
          <w:rStyle w:val="ECHRPara"/>
        </w:rPr>
        <w:t xml:space="preserve">.  Министерството не плаща остатъка, дължим на жалбоподателя. Вместо това на 26 юли 2006 г. Министерството предявява граждански иск срещу него в съда, искайки обезщетение за </w:t>
      </w:r>
      <w:r w:rsidR="0057604F">
        <w:rPr>
          <w:rStyle w:val="ECHRPara"/>
        </w:rPr>
        <w:t xml:space="preserve">неизпълнение на </w:t>
      </w:r>
      <w:r w:rsidRPr="00376665">
        <w:rPr>
          <w:rStyle w:val="ECHRPara"/>
        </w:rPr>
        <w:t xml:space="preserve">задълженията </w:t>
      </w:r>
      <w:r w:rsidR="0057604F">
        <w:rPr>
          <w:rStyle w:val="ECHRPara"/>
        </w:rPr>
        <w:t>му</w:t>
      </w:r>
      <w:r w:rsidRPr="00376665">
        <w:rPr>
          <w:rStyle w:val="ECHRPara"/>
        </w:rPr>
        <w:t xml:space="preserve">, произтичащи от договора от 15 юли 2004 г. </w:t>
      </w:r>
      <w:r w:rsidR="0057604F" w:rsidRPr="00376665">
        <w:rPr>
          <w:rStyle w:val="ECHRPara"/>
        </w:rPr>
        <w:t>Суми</w:t>
      </w:r>
      <w:r w:rsidR="0057604F">
        <w:rPr>
          <w:rStyle w:val="ECHRPara"/>
        </w:rPr>
        <w:t>те</w:t>
      </w:r>
      <w:r w:rsidR="0057604F" w:rsidRPr="00376665">
        <w:rPr>
          <w:rStyle w:val="ECHRPara"/>
        </w:rPr>
        <w:t xml:space="preserve"> </w:t>
      </w:r>
      <w:r w:rsidR="0057604F">
        <w:rPr>
          <w:rStyle w:val="ECHRPara"/>
        </w:rPr>
        <w:t>претендирани</w:t>
      </w:r>
      <w:r w:rsidR="0057604F" w:rsidRPr="00376665">
        <w:rPr>
          <w:rStyle w:val="ECHRPara"/>
        </w:rPr>
        <w:t xml:space="preserve"> </w:t>
      </w:r>
      <w:r w:rsidR="0057604F">
        <w:rPr>
          <w:rStyle w:val="ECHRPara"/>
        </w:rPr>
        <w:t>като</w:t>
      </w:r>
      <w:r w:rsidR="0057604F" w:rsidRPr="00376665">
        <w:rPr>
          <w:rStyle w:val="ECHRPara"/>
        </w:rPr>
        <w:t xml:space="preserve"> </w:t>
      </w:r>
      <w:r w:rsidRPr="00376665">
        <w:rPr>
          <w:rStyle w:val="ECHRPara"/>
        </w:rPr>
        <w:t>обезщетение за вреди са 568 897.90 щатски долара и 29 500 л</w:t>
      </w:r>
      <w:r w:rsidR="005410FA" w:rsidRPr="00376665">
        <w:rPr>
          <w:rStyle w:val="ECHRPara"/>
        </w:rPr>
        <w:t>в.</w:t>
      </w:r>
      <w:r w:rsidRPr="00376665">
        <w:rPr>
          <w:rStyle w:val="ECHRPara"/>
        </w:rPr>
        <w:t xml:space="preserve"> (приблизително 15 000 </w:t>
      </w:r>
      <w:r w:rsidR="005410FA" w:rsidRPr="00376665">
        <w:rPr>
          <w:rStyle w:val="ECHRPara"/>
        </w:rPr>
        <w:t>евро</w:t>
      </w:r>
      <w:r w:rsidRPr="00376665">
        <w:rPr>
          <w:rStyle w:val="ECHRPara"/>
        </w:rPr>
        <w:t>), като за последн</w:t>
      </w:r>
      <w:r w:rsidR="00026F66">
        <w:rPr>
          <w:rStyle w:val="ECHRPara"/>
        </w:rPr>
        <w:t>ата</w:t>
      </w:r>
      <w:r w:rsidRPr="00376665">
        <w:rPr>
          <w:rStyle w:val="ECHRPara"/>
        </w:rPr>
        <w:t xml:space="preserve"> изрично се </w:t>
      </w:r>
      <w:r w:rsidR="00026F66">
        <w:rPr>
          <w:rStyle w:val="ECHRPara"/>
        </w:rPr>
        <w:t>посочва</w:t>
      </w:r>
      <w:r w:rsidRPr="00376665">
        <w:rPr>
          <w:rStyle w:val="ECHRPara"/>
        </w:rPr>
        <w:t xml:space="preserve">, че съответстват на първата половина от </w:t>
      </w:r>
      <w:r w:rsidR="00026F66">
        <w:rPr>
          <w:rStyle w:val="ECHRPara"/>
        </w:rPr>
        <w:t>хонорара</w:t>
      </w:r>
      <w:r w:rsidRPr="00376665">
        <w:rPr>
          <w:rStyle w:val="ECHRPara"/>
        </w:rPr>
        <w:t xml:space="preserve">, дължим на жалбоподателя, която му е платена от Министерството при подписване на договора. Освен това, Министерството иска 4 648 лв. (oколо 2300 евро) като </w:t>
      </w:r>
      <w:r w:rsidR="00026F66">
        <w:rPr>
          <w:rStyle w:val="ECHRPara"/>
        </w:rPr>
        <w:t>неустойка</w:t>
      </w:r>
      <w:r w:rsidRPr="00376665">
        <w:rPr>
          <w:rStyle w:val="ECHRPara"/>
        </w:rPr>
        <w:t>, представляващ</w:t>
      </w:r>
      <w:r w:rsidR="00026F66">
        <w:rPr>
          <w:rStyle w:val="ECHRPara"/>
        </w:rPr>
        <w:t>а</w:t>
      </w:r>
      <w:r w:rsidRPr="00376665">
        <w:rPr>
          <w:rStyle w:val="ECHRPara"/>
        </w:rPr>
        <w:t xml:space="preserve"> 8% от общата сума от 58 100 лв. (oколо 29 600 евро), дължими на жалбоподателя </w:t>
      </w:r>
      <w:r w:rsidR="005410FA" w:rsidRPr="00376665">
        <w:rPr>
          <w:rStyle w:val="ECHRPara"/>
        </w:rPr>
        <w:t>като хонорар</w:t>
      </w:r>
      <w:r w:rsidRPr="00376665">
        <w:rPr>
          <w:rStyle w:val="ECHRPara"/>
        </w:rPr>
        <w:t xml:space="preserve">; тази </w:t>
      </w:r>
      <w:r w:rsidR="00026F66">
        <w:rPr>
          <w:rStyle w:val="ECHRPara"/>
        </w:rPr>
        <w:t>неустойка</w:t>
      </w:r>
      <w:r w:rsidR="00026F66" w:rsidRPr="00376665">
        <w:rPr>
          <w:rStyle w:val="ECHRPara"/>
        </w:rPr>
        <w:t xml:space="preserve"> </w:t>
      </w:r>
      <w:r w:rsidRPr="00376665">
        <w:rPr>
          <w:rStyle w:val="ECHRPara"/>
        </w:rPr>
        <w:t xml:space="preserve">e предвидена в договора в случай, че жалбоподателят не изпълнява договорните си задължения. В иска си пред съда Министерството не споменава остатъка от </w:t>
      </w:r>
      <w:r w:rsidR="005410FA" w:rsidRPr="00376665">
        <w:rPr>
          <w:rStyle w:val="ECHRPara"/>
        </w:rPr>
        <w:t>хонорара</w:t>
      </w:r>
      <w:r w:rsidRPr="00376665">
        <w:rPr>
          <w:rStyle w:val="ECHRPara"/>
        </w:rPr>
        <w:t xml:space="preserve">, дължим на жалбоподателя при </w:t>
      </w:r>
      <w:r w:rsidR="00026F66">
        <w:rPr>
          <w:rStyle w:val="ECHRPara"/>
        </w:rPr>
        <w:t>приключването</w:t>
      </w:r>
      <w:r w:rsidR="00026F66" w:rsidRPr="00376665">
        <w:rPr>
          <w:rStyle w:val="ECHRPara"/>
        </w:rPr>
        <w:t xml:space="preserve"> </w:t>
      </w:r>
      <w:r w:rsidRPr="00376665">
        <w:rPr>
          <w:rStyle w:val="ECHRPara"/>
        </w:rPr>
        <w:t xml:space="preserve">на договора от 2004 г. </w:t>
      </w:r>
      <w:r w:rsidRPr="00376665">
        <w:rPr>
          <w:rStyle w:val="ECHRPara"/>
          <w:cs/>
        </w:rPr>
        <w:t xml:space="preserve">– </w:t>
      </w:r>
      <w:r w:rsidRPr="00376665">
        <w:rPr>
          <w:rStyle w:val="ECHRPara"/>
        </w:rPr>
        <w:t xml:space="preserve">сума, която е предмет на </w:t>
      </w:r>
      <w:r w:rsidR="005410FA" w:rsidRPr="00376665">
        <w:rPr>
          <w:rStyle w:val="ECHRPara"/>
        </w:rPr>
        <w:t xml:space="preserve">изпълнителен лист, който </w:t>
      </w:r>
      <w:r w:rsidRPr="00376665">
        <w:rPr>
          <w:rStyle w:val="ECHRPara"/>
        </w:rPr>
        <w:t>е връчен на Министерството в началото на 2006 г.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12</w:t>
      </w:r>
      <w:r w:rsidRPr="00376665">
        <w:fldChar w:fldCharType="end"/>
      </w:r>
      <w:r w:rsidRPr="00376665">
        <w:rPr>
          <w:rStyle w:val="ECHRPara"/>
        </w:rPr>
        <w:t xml:space="preserve">.  С решение от 3 август 2009 г. Софийски градски съд, в качеството си на първоинстанционен съд, отхвърля иска на Министерството по отношение на всички суми. Съдът констатира, че макар Министерството в действителност да е претърпяло загуби в размер на 568 897,90 </w:t>
      </w:r>
      <w:r w:rsidR="005410FA" w:rsidRPr="00376665">
        <w:rPr>
          <w:rStyle w:val="ECHRPara"/>
        </w:rPr>
        <w:t xml:space="preserve">щатски долара </w:t>
      </w:r>
      <w:r w:rsidRPr="00376665">
        <w:rPr>
          <w:rStyle w:val="ECHRPara"/>
        </w:rPr>
        <w:t>в контекста на арбитражното производство в Париж, тези загуби не са резултат от поведението на жалбоподателя. Освен това съдът констатира, че тъй като жалбоподателят е изпълнил своите договорни задължения, плащането, което е получил, съответстващо на първата половина от договорен</w:t>
      </w:r>
      <w:r w:rsidR="005410FA" w:rsidRPr="00376665">
        <w:rPr>
          <w:rStyle w:val="ECHRPara"/>
        </w:rPr>
        <w:t>ия хонорар</w:t>
      </w:r>
      <w:r w:rsidRPr="00376665">
        <w:rPr>
          <w:rStyle w:val="ECHRPara"/>
        </w:rPr>
        <w:t>, е дължимо и надлежно му е платено от Министерството. Също така, като се има предвид, че жалбоподателят е изпълнил договорните си задължения, не е обосновано налагането на неустойката, която е договорена в споразумението в случай на неизпълнение.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13</w:t>
      </w:r>
      <w:r w:rsidRPr="00376665">
        <w:fldChar w:fldCharType="end"/>
      </w:r>
      <w:r w:rsidRPr="00376665">
        <w:rPr>
          <w:rStyle w:val="ECHRPara"/>
        </w:rPr>
        <w:t xml:space="preserve">.  След обжалване от Министерството, </w:t>
      </w:r>
      <w:r w:rsidR="002754B5" w:rsidRPr="00376665">
        <w:rPr>
          <w:rStyle w:val="ECHRPara"/>
        </w:rPr>
        <w:t xml:space="preserve">с </w:t>
      </w:r>
      <w:r w:rsidRPr="00376665">
        <w:rPr>
          <w:rStyle w:val="ECHRPara"/>
        </w:rPr>
        <w:t xml:space="preserve">решение от 30 април 2010 г. Апелативен съд </w:t>
      </w:r>
      <w:r w:rsidRPr="00376665">
        <w:rPr>
          <w:rStyle w:val="ECHRPara"/>
          <w:cs/>
        </w:rPr>
        <w:t xml:space="preserve">– </w:t>
      </w:r>
      <w:r w:rsidRPr="00376665">
        <w:rPr>
          <w:rStyle w:val="ECHRPara"/>
        </w:rPr>
        <w:t xml:space="preserve">София отхвърля иска на Министерството по отношение на двете </w:t>
      </w:r>
      <w:r w:rsidR="002754B5" w:rsidRPr="00376665">
        <w:rPr>
          <w:rStyle w:val="ECHRPara"/>
        </w:rPr>
        <w:t xml:space="preserve">претендирани </w:t>
      </w:r>
      <w:r w:rsidRPr="00376665">
        <w:rPr>
          <w:rStyle w:val="ECHRPara"/>
        </w:rPr>
        <w:t>суми за обезщетение (вж. параграф 11 по-горе). Що се отнася</w:t>
      </w:r>
      <w:r w:rsidR="0092504D">
        <w:rPr>
          <w:rStyle w:val="ECHRPara"/>
        </w:rPr>
        <w:t>, по-конкретно,</w:t>
      </w:r>
      <w:r w:rsidRPr="00376665">
        <w:rPr>
          <w:rStyle w:val="ECHRPara"/>
        </w:rPr>
        <w:t xml:space="preserve"> до първата половина от заплатен</w:t>
      </w:r>
      <w:r w:rsidR="002754B5" w:rsidRPr="00376665">
        <w:rPr>
          <w:rStyle w:val="ECHRPara"/>
        </w:rPr>
        <w:t>ия</w:t>
      </w:r>
      <w:r w:rsidRPr="00376665">
        <w:rPr>
          <w:rStyle w:val="ECHRPara"/>
        </w:rPr>
        <w:t xml:space="preserve"> на жалбоподателя </w:t>
      </w:r>
      <w:r w:rsidR="002754B5" w:rsidRPr="00376665">
        <w:rPr>
          <w:rStyle w:val="ECHRPara"/>
        </w:rPr>
        <w:t>хонорар</w:t>
      </w:r>
      <w:r w:rsidRPr="00376665">
        <w:rPr>
          <w:rStyle w:val="ECHRPara"/>
        </w:rPr>
        <w:t xml:space="preserve">, съдът отбелязва, че Министерството не претендира, че договорът, който </w:t>
      </w:r>
      <w:r w:rsidR="0092504D">
        <w:rPr>
          <w:rStyle w:val="ECHRPara"/>
        </w:rPr>
        <w:t xml:space="preserve">е </w:t>
      </w:r>
      <w:r w:rsidRPr="00376665">
        <w:rPr>
          <w:rStyle w:val="ECHRPara"/>
        </w:rPr>
        <w:t>сключ</w:t>
      </w:r>
      <w:r w:rsidR="0092504D">
        <w:rPr>
          <w:rStyle w:val="ECHRPara"/>
        </w:rPr>
        <w:t>ило</w:t>
      </w:r>
      <w:r w:rsidRPr="00376665">
        <w:rPr>
          <w:rStyle w:val="ECHRPara"/>
        </w:rPr>
        <w:t xml:space="preserve"> с жалбоподателя, е анулиран и констатира, че първата половина от платен</w:t>
      </w:r>
      <w:r w:rsidR="00385AD6" w:rsidRPr="00376665">
        <w:rPr>
          <w:rStyle w:val="ECHRPara"/>
        </w:rPr>
        <w:t>ия хонорар</w:t>
      </w:r>
      <w:r w:rsidRPr="00376665">
        <w:rPr>
          <w:rStyle w:val="ECHRPara"/>
        </w:rPr>
        <w:t xml:space="preserve"> не може да </w:t>
      </w:r>
      <w:r w:rsidR="00385AD6" w:rsidRPr="00376665">
        <w:rPr>
          <w:rStyle w:val="ECHRPara"/>
        </w:rPr>
        <w:t xml:space="preserve">се </w:t>
      </w:r>
      <w:r w:rsidRPr="00376665">
        <w:rPr>
          <w:rStyle w:val="ECHRPara"/>
        </w:rPr>
        <w:t xml:space="preserve">счита за вреда. Съдът обаче </w:t>
      </w:r>
      <w:r w:rsidR="00385AD6" w:rsidRPr="00376665">
        <w:rPr>
          <w:rStyle w:val="ECHRPara"/>
        </w:rPr>
        <w:t>приема</w:t>
      </w:r>
      <w:r w:rsidRPr="00376665">
        <w:rPr>
          <w:rStyle w:val="ECHRPara"/>
        </w:rPr>
        <w:t xml:space="preserve">, че </w:t>
      </w:r>
      <w:r w:rsidRPr="00376665">
        <w:rPr>
          <w:rStyle w:val="ECHRPara"/>
        </w:rPr>
        <w:lastRenderedPageBreak/>
        <w:t xml:space="preserve">жалбоподателят дължи на Министерството сумата от 4 648 лв. (около 2 300 евро) като </w:t>
      </w:r>
      <w:r w:rsidR="0092504D">
        <w:rPr>
          <w:rStyle w:val="ECHRPara"/>
        </w:rPr>
        <w:t>неустойка</w:t>
      </w:r>
      <w:r w:rsidRPr="00376665">
        <w:rPr>
          <w:rStyle w:val="ECHRPara"/>
        </w:rPr>
        <w:t xml:space="preserve">, тъй като по време на арбитражното производство </w:t>
      </w:r>
      <w:r w:rsidR="009354A7">
        <w:rPr>
          <w:rStyle w:val="ECHRPara"/>
        </w:rPr>
        <w:t>е пропуснал</w:t>
      </w:r>
      <w:r w:rsidRPr="00376665">
        <w:rPr>
          <w:rStyle w:val="ECHRPara"/>
        </w:rPr>
        <w:t xml:space="preserve"> да предаде на Министерството искане от арбитъра</w:t>
      </w:r>
      <w:r w:rsidR="009354A7">
        <w:rPr>
          <w:rStyle w:val="ECHRPara"/>
        </w:rPr>
        <w:t xml:space="preserve"> да му бъде представен оригиналът на документ</w:t>
      </w:r>
      <w:r w:rsidRPr="00376665">
        <w:rPr>
          <w:rStyle w:val="ECHRPara"/>
        </w:rPr>
        <w:t xml:space="preserve">. </w:t>
      </w:r>
      <w:r w:rsidR="009354A7">
        <w:rPr>
          <w:rStyle w:val="ECHRPara"/>
        </w:rPr>
        <w:t>Неустойка</w:t>
      </w:r>
      <w:r w:rsidRPr="00376665">
        <w:rPr>
          <w:rStyle w:val="ECHRPara"/>
        </w:rPr>
        <w:t>, уговорен</w:t>
      </w:r>
      <w:r w:rsidR="009354A7">
        <w:rPr>
          <w:rStyle w:val="ECHRPara"/>
        </w:rPr>
        <w:t>а</w:t>
      </w:r>
      <w:r w:rsidRPr="00376665">
        <w:rPr>
          <w:rStyle w:val="ECHRPara"/>
        </w:rPr>
        <w:t xml:space="preserve"> в договора между Министерството и жалбоподателя, е дължим</w:t>
      </w:r>
      <w:r w:rsidR="009354A7">
        <w:rPr>
          <w:rStyle w:val="ECHRPara"/>
        </w:rPr>
        <w:t>а</w:t>
      </w:r>
      <w:r w:rsidRPr="00376665">
        <w:rPr>
          <w:rStyle w:val="ECHRPara"/>
        </w:rPr>
        <w:t xml:space="preserve"> в случай на неизпълнение от страна на жалбоподателя на задълженията му и не </w:t>
      </w:r>
      <w:r w:rsidR="003629EB">
        <w:rPr>
          <w:rStyle w:val="ECHRPara"/>
        </w:rPr>
        <w:t xml:space="preserve">е </w:t>
      </w:r>
      <w:r w:rsidRPr="00376665">
        <w:rPr>
          <w:rStyle w:val="ECHRPara"/>
        </w:rPr>
        <w:t>необходимо Министерството да док</w:t>
      </w:r>
      <w:r w:rsidR="00E2064B" w:rsidRPr="00376665">
        <w:rPr>
          <w:rStyle w:val="ECHRPara"/>
        </w:rPr>
        <w:t>аз</w:t>
      </w:r>
      <w:r w:rsidR="00E2064B" w:rsidRPr="0055557D">
        <w:rPr>
          <w:rStyle w:val="ECHRPara"/>
        </w:rPr>
        <w:t>ва</w:t>
      </w:r>
      <w:r w:rsidRPr="00376665">
        <w:rPr>
          <w:rStyle w:val="ECHRPara"/>
        </w:rPr>
        <w:t xml:space="preserve">, че е претърпяло загуба в резултат на поведението на жалбоподателя. Поради това съдът допуска иска на Министерството за сумата от 5 102,88 лв., която включва 4 648 лв. като </w:t>
      </w:r>
      <w:r w:rsidR="009354A7">
        <w:rPr>
          <w:rStyle w:val="ECHRPara"/>
        </w:rPr>
        <w:t>неустойка</w:t>
      </w:r>
      <w:r w:rsidR="009354A7" w:rsidRPr="00376665">
        <w:rPr>
          <w:rStyle w:val="ECHRPara"/>
        </w:rPr>
        <w:t xml:space="preserve"> </w:t>
      </w:r>
      <w:r w:rsidRPr="00376665">
        <w:rPr>
          <w:rStyle w:val="ECHRPara"/>
        </w:rPr>
        <w:t>и 418,88 лв. за разходи, свързани с делото. Тъй като иска на Министерството не споменава остатъка от дължим</w:t>
      </w:r>
      <w:r w:rsidR="00E2064B" w:rsidRPr="00376665">
        <w:rPr>
          <w:rStyle w:val="ECHRPara"/>
        </w:rPr>
        <w:t>ия</w:t>
      </w:r>
      <w:r w:rsidRPr="00376665">
        <w:rPr>
          <w:rStyle w:val="ECHRPara"/>
        </w:rPr>
        <w:t xml:space="preserve"> на жалбоподателя </w:t>
      </w:r>
      <w:r w:rsidR="00E2064B" w:rsidRPr="00376665">
        <w:rPr>
          <w:rStyle w:val="ECHRPara"/>
        </w:rPr>
        <w:t>хонорар</w:t>
      </w:r>
      <w:r w:rsidRPr="00376665">
        <w:rPr>
          <w:rStyle w:val="ECHRPara"/>
        </w:rPr>
        <w:t xml:space="preserve">, в нито един момент съдът не разглежда в това решение дали втората половина от плащането на </w:t>
      </w:r>
      <w:r w:rsidR="00E2064B" w:rsidRPr="00376665">
        <w:rPr>
          <w:rStyle w:val="ECHRPara"/>
        </w:rPr>
        <w:t>хонорара</w:t>
      </w:r>
      <w:r w:rsidRPr="00376665">
        <w:rPr>
          <w:rStyle w:val="ECHRPara"/>
        </w:rPr>
        <w:t xml:space="preserve">, договорен в споразумението, му се дължи след приключването </w:t>
      </w:r>
      <w:r w:rsidR="000E102A">
        <w:rPr>
          <w:rStyle w:val="ECHRPara"/>
        </w:rPr>
        <w:t>на договора</w:t>
      </w:r>
      <w:r w:rsidRPr="00376665">
        <w:rPr>
          <w:rStyle w:val="ECHRPara"/>
        </w:rPr>
        <w:t>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14</w:t>
      </w:r>
      <w:r w:rsidRPr="00376665">
        <w:fldChar w:fldCharType="end"/>
      </w:r>
      <w:r w:rsidRPr="00376665">
        <w:rPr>
          <w:rStyle w:val="ECHRPara"/>
        </w:rPr>
        <w:t xml:space="preserve">.  В окончателно решение от 28 юни 2011 г. Върховният касационен съд (ВКС) не </w:t>
      </w:r>
      <w:r w:rsidR="00E2064B" w:rsidRPr="00376665">
        <w:rPr>
          <w:rStyle w:val="ECHRPara"/>
        </w:rPr>
        <w:t xml:space="preserve">допуска </w:t>
      </w:r>
      <w:r w:rsidRPr="00376665">
        <w:rPr>
          <w:rStyle w:val="ECHRPara"/>
        </w:rPr>
        <w:t>касацион</w:t>
      </w:r>
      <w:r w:rsidR="00E2064B" w:rsidRPr="00376665">
        <w:rPr>
          <w:rStyle w:val="ECHRPara"/>
        </w:rPr>
        <w:t>но обжалване</w:t>
      </w:r>
      <w:r w:rsidRPr="00376665">
        <w:rPr>
          <w:rStyle w:val="ECHRPara"/>
        </w:rPr>
        <w:t xml:space="preserve"> като установява, че законовите условия за това не са изпълнени. </w:t>
      </w:r>
      <w:r w:rsidR="00E2064B" w:rsidRPr="00376665">
        <w:rPr>
          <w:rStyle w:val="ECHRPara"/>
        </w:rPr>
        <w:t xml:space="preserve">Така </w:t>
      </w:r>
      <w:r w:rsidRPr="00376665">
        <w:rPr>
          <w:rStyle w:val="ECHRPara"/>
        </w:rPr>
        <w:t xml:space="preserve">решението на Апелативен съд </w:t>
      </w:r>
      <w:r w:rsidRPr="00376665">
        <w:rPr>
          <w:rStyle w:val="ECHRPara"/>
          <w:cs/>
        </w:rPr>
        <w:t xml:space="preserve">– </w:t>
      </w:r>
      <w:r w:rsidRPr="00376665">
        <w:rPr>
          <w:rStyle w:val="ECHRPara"/>
        </w:rPr>
        <w:t>София става окончателно на тази дата.</w:t>
      </w:r>
    </w:p>
    <w:p w:rsidR="00FF5604" w:rsidRPr="00376665" w:rsidRDefault="00FF5604" w:rsidP="00FF5604">
      <w:pPr>
        <w:pStyle w:val="ECHRHeading2"/>
      </w:pPr>
      <w:r w:rsidRPr="00376665">
        <w:rPr>
          <w:rStyle w:val="ECHRHeading2"/>
        </w:rPr>
        <w:t>Г. Последващо развитие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15</w:t>
      </w:r>
      <w:r w:rsidRPr="00376665">
        <w:fldChar w:fldCharType="end"/>
      </w:r>
      <w:r w:rsidRPr="00376665">
        <w:rPr>
          <w:rStyle w:val="ECHRPara"/>
        </w:rPr>
        <w:t xml:space="preserve">.  На 12 юли 2011 г. жалбоподателят отново иска </w:t>
      </w:r>
      <w:r w:rsidR="00E2064B" w:rsidRPr="00376665">
        <w:rPr>
          <w:rStyle w:val="ECHRPara"/>
        </w:rPr>
        <w:t xml:space="preserve">от </w:t>
      </w:r>
      <w:r w:rsidRPr="00376665">
        <w:rPr>
          <w:rStyle w:val="ECHRPara"/>
        </w:rPr>
        <w:t>Министерството, с надлежно връчен</w:t>
      </w:r>
      <w:r w:rsidR="006B7F09">
        <w:rPr>
          <w:rStyle w:val="ECHRPara"/>
        </w:rPr>
        <w:t>а</w:t>
      </w:r>
      <w:r w:rsidRPr="00376665">
        <w:rPr>
          <w:rStyle w:val="ECHRPara"/>
        </w:rPr>
        <w:t xml:space="preserve"> нотариалн</w:t>
      </w:r>
      <w:r w:rsidR="006B7F09">
        <w:rPr>
          <w:rStyle w:val="ECHRPara"/>
        </w:rPr>
        <w:t>а покана</w:t>
      </w:r>
      <w:r w:rsidRPr="00376665">
        <w:rPr>
          <w:rStyle w:val="ECHRPara"/>
        </w:rPr>
        <w:t>, да му плати сумата от 57 964,81 лв., която представлява 29 050 лв. (основната сума, съответстваща на остатъка от дължим</w:t>
      </w:r>
      <w:r w:rsidR="00E2064B" w:rsidRPr="00376665">
        <w:rPr>
          <w:rStyle w:val="ECHRPara"/>
        </w:rPr>
        <w:t>ия</w:t>
      </w:r>
      <w:r w:rsidRPr="00376665">
        <w:rPr>
          <w:rStyle w:val="ECHRPara"/>
        </w:rPr>
        <w:t xml:space="preserve"> му </w:t>
      </w:r>
      <w:r w:rsidR="00E2064B" w:rsidRPr="00376665">
        <w:rPr>
          <w:rStyle w:val="ECHRPara"/>
        </w:rPr>
        <w:t>хонорар</w:t>
      </w:r>
      <w:r w:rsidRPr="00376665">
        <w:rPr>
          <w:rStyle w:val="ECHRPara"/>
        </w:rPr>
        <w:t>)</w:t>
      </w:r>
      <w:r w:rsidR="00E2064B" w:rsidRPr="00376665">
        <w:rPr>
          <w:rStyle w:val="ECHRPara"/>
        </w:rPr>
        <w:t>,</w:t>
      </w:r>
      <w:r w:rsidRPr="00376665">
        <w:rPr>
          <w:rStyle w:val="ECHRPara"/>
        </w:rPr>
        <w:t xml:space="preserve"> 12,874.58 (неустойка, договорена </w:t>
      </w:r>
      <w:r w:rsidR="00E2064B" w:rsidRPr="00376665">
        <w:rPr>
          <w:rStyle w:val="ECHRPara"/>
        </w:rPr>
        <w:t xml:space="preserve">в </w:t>
      </w:r>
      <w:r w:rsidRPr="00376665">
        <w:rPr>
          <w:rStyle w:val="ECHRPara"/>
        </w:rPr>
        <w:t xml:space="preserve">договора в случай на неизпълнение на договорните задължения от страна на Министерството), 20,143.23 лева (законова лихва) и 581 лева (разходи и разноски) минус </w:t>
      </w:r>
      <w:r w:rsidR="006B7F09">
        <w:rPr>
          <w:rStyle w:val="ECHRPara"/>
        </w:rPr>
        <w:t>осемте процента</w:t>
      </w:r>
      <w:r w:rsidRPr="00376665">
        <w:rPr>
          <w:rStyle w:val="ECHRPara"/>
        </w:rPr>
        <w:t xml:space="preserve"> неустойка в размер на 4,648 лева, която Апелативен съд </w:t>
      </w:r>
      <w:r w:rsidRPr="00376665">
        <w:rPr>
          <w:rStyle w:val="ECHRPara"/>
          <w:cs/>
        </w:rPr>
        <w:t xml:space="preserve">– </w:t>
      </w:r>
      <w:r w:rsidRPr="00376665">
        <w:rPr>
          <w:rStyle w:val="ECHRPara"/>
        </w:rPr>
        <w:t xml:space="preserve">София </w:t>
      </w:r>
      <w:r w:rsidR="006B7F09" w:rsidRPr="00376665">
        <w:rPr>
          <w:rStyle w:val="ECHRPara"/>
        </w:rPr>
        <w:t>в своето решение</w:t>
      </w:r>
      <w:r w:rsidR="006B7F09">
        <w:rPr>
          <w:rStyle w:val="ECHRPara"/>
        </w:rPr>
        <w:t xml:space="preserve"> е </w:t>
      </w:r>
      <w:r w:rsidR="006B7F09" w:rsidRPr="00376665">
        <w:rPr>
          <w:rStyle w:val="ECHRPara"/>
        </w:rPr>
        <w:t>осъди</w:t>
      </w:r>
      <w:r w:rsidR="006B7F09">
        <w:rPr>
          <w:rStyle w:val="ECHRPara"/>
        </w:rPr>
        <w:t>л</w:t>
      </w:r>
      <w:r w:rsidRPr="00376665">
        <w:rPr>
          <w:rStyle w:val="ECHRPara"/>
        </w:rPr>
        <w:t xml:space="preserve"> жалбоподателя да плати на Министерството.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16</w:t>
      </w:r>
      <w:r w:rsidRPr="00376665">
        <w:fldChar w:fldCharType="end"/>
      </w:r>
      <w:r w:rsidRPr="00376665">
        <w:rPr>
          <w:rStyle w:val="ECHRPara"/>
        </w:rPr>
        <w:t xml:space="preserve">.  На 15 юли 2011 г. Министерството отговаря, че задълженията му трябва да се изплащат от неговия годишен бюджет, а в случай на липса на средства, средствата за неизплатени дългове следва да бъдат включени най-късно в бюджета за следващата година. Министерството също така иска от жалбоподателя да представи оригиналния изпълнителен лист. Жалбоподателят </w:t>
      </w:r>
      <w:r w:rsidR="00E36873" w:rsidRPr="00376665">
        <w:rPr>
          <w:rStyle w:val="ECHRPara"/>
        </w:rPr>
        <w:t xml:space="preserve">отговаря писмено </w:t>
      </w:r>
      <w:r w:rsidRPr="00376665">
        <w:rPr>
          <w:rStyle w:val="ECHRPara"/>
        </w:rPr>
        <w:t>на Министерството на 28 юли 2011 г. като заявява, че вече им го е връчил и уточн</w:t>
      </w:r>
      <w:r w:rsidR="00E36873" w:rsidRPr="00376665">
        <w:rPr>
          <w:rStyle w:val="ECHRPara"/>
        </w:rPr>
        <w:t>ява</w:t>
      </w:r>
      <w:r w:rsidRPr="00376665">
        <w:rPr>
          <w:rStyle w:val="ECHRPara"/>
        </w:rPr>
        <w:t xml:space="preserve"> датата и номера на нотариалния документ, с който</w:t>
      </w:r>
      <w:r w:rsidR="00E36873" w:rsidRPr="00376665">
        <w:rPr>
          <w:rStyle w:val="ECHRPara"/>
        </w:rPr>
        <w:t xml:space="preserve"> това</w:t>
      </w:r>
      <w:r w:rsidRPr="00376665">
        <w:rPr>
          <w:rStyle w:val="ECHRPara"/>
        </w:rPr>
        <w:t xml:space="preserve"> е направено (вж. параграфи 8-9 по-горе).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17</w:t>
      </w:r>
      <w:r w:rsidRPr="00376665">
        <w:fldChar w:fldCharType="end"/>
      </w:r>
      <w:r w:rsidRPr="00376665">
        <w:rPr>
          <w:rStyle w:val="ECHRPara"/>
        </w:rPr>
        <w:t xml:space="preserve">.  На 2 август 2013 г. жалбоподателят отново </w:t>
      </w:r>
      <w:r w:rsidR="00E36873" w:rsidRPr="00376665">
        <w:rPr>
          <w:rStyle w:val="ECHRPara"/>
        </w:rPr>
        <w:t xml:space="preserve">писмено </w:t>
      </w:r>
      <w:r w:rsidRPr="00376665">
        <w:rPr>
          <w:rStyle w:val="ECHRPara"/>
        </w:rPr>
        <w:t>иска от Министерството да му плати дължимата сума. От Министерството отговарят</w:t>
      </w:r>
      <w:r w:rsidR="00DF7199">
        <w:rPr>
          <w:rStyle w:val="ECHRPara"/>
        </w:rPr>
        <w:t xml:space="preserve"> писмено</w:t>
      </w:r>
      <w:r w:rsidRPr="00376665">
        <w:rPr>
          <w:rStyle w:val="ECHRPara"/>
        </w:rPr>
        <w:t xml:space="preserve"> в същия месец</w:t>
      </w:r>
      <w:r w:rsidR="006B7F09">
        <w:rPr>
          <w:rStyle w:val="ECHRPara"/>
        </w:rPr>
        <w:t>,</w:t>
      </w:r>
      <w:r w:rsidRPr="00376665">
        <w:rPr>
          <w:rStyle w:val="ECHRPara"/>
        </w:rPr>
        <w:t xml:space="preserve"> като заявяват, че са получили оригиналния изпълнителен лист на 24 февруари 2006 г., но не мог</w:t>
      </w:r>
      <w:r w:rsidR="00E36873" w:rsidRPr="00376665">
        <w:rPr>
          <w:rStyle w:val="ECHRPara"/>
        </w:rPr>
        <w:t>ат</w:t>
      </w:r>
      <w:r w:rsidRPr="00376665">
        <w:rPr>
          <w:rStyle w:val="ECHRPara"/>
        </w:rPr>
        <w:t xml:space="preserve"> да проследят какво се е случило с него след това.</w:t>
      </w:r>
    </w:p>
    <w:p w:rsidR="00FF5604" w:rsidRPr="00376665" w:rsidRDefault="00FF5604" w:rsidP="00FF5604">
      <w:pPr>
        <w:pStyle w:val="ECHRHeading1"/>
      </w:pPr>
      <w:r w:rsidRPr="00376665">
        <w:rPr>
          <w:rStyle w:val="ECHRHeading1"/>
        </w:rPr>
        <w:t>II.  ПРИЛОЖИМО ВЪТРЕШНО ПРАВО И ПРАКТИКА</w:t>
      </w:r>
    </w:p>
    <w:p w:rsidR="00FF5604" w:rsidRPr="00376665" w:rsidRDefault="00FF5604" w:rsidP="00FF5604">
      <w:pPr>
        <w:pStyle w:val="ECHRHeading2"/>
      </w:pPr>
      <w:r w:rsidRPr="00376665">
        <w:rPr>
          <w:rStyle w:val="ECHRHeading2"/>
        </w:rPr>
        <w:t xml:space="preserve">А. Изпълнителни основания, изпълнителни листове и искове за </w:t>
      </w:r>
      <w:r w:rsidR="0055557D">
        <w:rPr>
          <w:rStyle w:val="ECHRHeading2"/>
        </w:rPr>
        <w:t>установяване</w:t>
      </w:r>
      <w:r w:rsidR="0055557D" w:rsidRPr="00376665">
        <w:rPr>
          <w:rStyle w:val="ECHRHeading2"/>
        </w:rPr>
        <w:t xml:space="preserve"> </w:t>
      </w:r>
      <w:r w:rsidRPr="00376665">
        <w:rPr>
          <w:rStyle w:val="ECHRHeading2"/>
        </w:rPr>
        <w:t>на право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18</w:t>
      </w:r>
      <w:r w:rsidRPr="00376665">
        <w:fldChar w:fldCharType="end"/>
      </w:r>
      <w:r w:rsidRPr="00376665">
        <w:rPr>
          <w:rStyle w:val="ECHRPara"/>
        </w:rPr>
        <w:t>.  До 2008 г. чл. 237 от Гражданск</w:t>
      </w:r>
      <w:r w:rsidR="00E36873" w:rsidRPr="00376665">
        <w:rPr>
          <w:rStyle w:val="ECHRPara"/>
        </w:rPr>
        <w:t>о</w:t>
      </w:r>
      <w:r w:rsidRPr="00376665">
        <w:rPr>
          <w:rStyle w:val="ECHRPara"/>
        </w:rPr>
        <w:t>процесуал</w:t>
      </w:r>
      <w:r w:rsidR="00E36873" w:rsidRPr="00376665">
        <w:rPr>
          <w:rStyle w:val="ECHRPara"/>
        </w:rPr>
        <w:t>ния</w:t>
      </w:r>
      <w:r w:rsidRPr="00376665">
        <w:rPr>
          <w:rStyle w:val="ECHRPara"/>
        </w:rPr>
        <w:t xml:space="preserve"> кодекс от 1952 г. (</w:t>
      </w:r>
      <w:r w:rsidRPr="00376665">
        <w:rPr>
          <w:rStyle w:val="ECHRPara"/>
          <w:cs/>
        </w:rPr>
        <w:t>”</w:t>
      </w:r>
      <w:r w:rsidRPr="00376665">
        <w:rPr>
          <w:rStyle w:val="ECHRPara"/>
        </w:rPr>
        <w:t>Кодексът от 1952 г.</w:t>
      </w:r>
      <w:r w:rsidRPr="00376665">
        <w:rPr>
          <w:rStyle w:val="ECHRPara"/>
          <w:cs/>
        </w:rPr>
        <w:t>”</w:t>
      </w:r>
      <w:r w:rsidRPr="00376665">
        <w:rPr>
          <w:rStyle w:val="ECHRPara"/>
        </w:rPr>
        <w:t>) предвижда, че изпълнителните основания включват договори, носещи нотариално заверени подписи, или други документи, въз основа на които могат да бъдат издадени изпълнителни листове.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19</w:t>
      </w:r>
      <w:r w:rsidRPr="00376665">
        <w:fldChar w:fldCharType="end"/>
      </w:r>
      <w:r w:rsidRPr="00376665">
        <w:rPr>
          <w:rStyle w:val="ECHRPara"/>
        </w:rPr>
        <w:t>.  Според чл. 242 § 1 от Кодекса от 1952 г., изпълнителните листове с</w:t>
      </w:r>
      <w:r w:rsidR="00E36873" w:rsidRPr="00376665">
        <w:rPr>
          <w:rStyle w:val="ECHRPara"/>
        </w:rPr>
        <w:t>е</w:t>
      </w:r>
      <w:r w:rsidRPr="00376665">
        <w:rPr>
          <w:rStyle w:val="ECHRPara"/>
        </w:rPr>
        <w:t xml:space="preserve"> изда</w:t>
      </w:r>
      <w:r w:rsidR="00E36873" w:rsidRPr="00376665">
        <w:rPr>
          <w:rStyle w:val="ECHRPara"/>
        </w:rPr>
        <w:t>ват</w:t>
      </w:r>
      <w:r w:rsidRPr="00376665">
        <w:rPr>
          <w:rStyle w:val="ECHRPara"/>
        </w:rPr>
        <w:t xml:space="preserve"> </w:t>
      </w:r>
      <w:r w:rsidR="0055557D">
        <w:rPr>
          <w:rStyle w:val="ECHRPara"/>
        </w:rPr>
        <w:t>въз основа</w:t>
      </w:r>
      <w:r w:rsidRPr="00376665">
        <w:rPr>
          <w:rStyle w:val="ECHRPara"/>
        </w:rPr>
        <w:t xml:space="preserve"> на писмени искания от страна на лице, притежаващо изпълнителн</w:t>
      </w:r>
      <w:r w:rsidR="0055557D">
        <w:rPr>
          <w:rStyle w:val="ECHRPara"/>
        </w:rPr>
        <w:t>о</w:t>
      </w:r>
      <w:r w:rsidRPr="00376665">
        <w:rPr>
          <w:rStyle w:val="ECHRPara"/>
        </w:rPr>
        <w:t xml:space="preserve"> основани</w:t>
      </w:r>
      <w:r w:rsidR="0055557D">
        <w:rPr>
          <w:rStyle w:val="ECHRPara"/>
        </w:rPr>
        <w:t>е</w:t>
      </w:r>
      <w:r w:rsidRPr="00376665">
        <w:rPr>
          <w:rStyle w:val="ECHRPara"/>
        </w:rPr>
        <w:t xml:space="preserve">. Такова искане трябва да бъде подадено в първоинстанционен съд, който </w:t>
      </w:r>
      <w:r w:rsidR="0055557D">
        <w:rPr>
          <w:rStyle w:val="ECHRPara"/>
        </w:rPr>
        <w:t xml:space="preserve"> следва да се произнесе по него</w:t>
      </w:r>
      <w:r w:rsidR="0055557D" w:rsidRPr="00376665">
        <w:rPr>
          <w:rStyle w:val="ECHRPara"/>
        </w:rPr>
        <w:t xml:space="preserve"> </w:t>
      </w:r>
      <w:r w:rsidRPr="00376665">
        <w:rPr>
          <w:rStyle w:val="ECHRPara"/>
        </w:rPr>
        <w:t>в рамките на седемдневен срок (чл. 242 §§ 2 и 4).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20</w:t>
      </w:r>
      <w:r w:rsidRPr="00376665">
        <w:fldChar w:fldCharType="end"/>
      </w:r>
      <w:r w:rsidRPr="00376665">
        <w:rPr>
          <w:rStyle w:val="ECHRPara"/>
        </w:rPr>
        <w:t xml:space="preserve">.  Първоинстанционният съд проверява дали документът подлежи на изпълнение спрямо лицето, срещу което е поискан изпълнителният лист. В случаи, в които </w:t>
      </w:r>
      <w:r w:rsidR="003549F2" w:rsidRPr="003549F2">
        <w:t xml:space="preserve">изискуемостта на вземането е в зависимост от изпълнението на насрещно задължение или от настъпването на друг факт, изпълнението на задължението или настъпването на факта трябва да бъдат установени или с официален, или с </w:t>
      </w:r>
      <w:r w:rsidR="003549F2">
        <w:t>подписан</w:t>
      </w:r>
      <w:r w:rsidR="003549F2" w:rsidRPr="003549F2">
        <w:t xml:space="preserve"> от длъжника документ </w:t>
      </w:r>
      <w:r w:rsidRPr="00376665">
        <w:rPr>
          <w:rStyle w:val="ECHRPara"/>
        </w:rPr>
        <w:t>(чл. 243, § 1 от Кодекса от 1952 г.).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21</w:t>
      </w:r>
      <w:r w:rsidRPr="00376665">
        <w:fldChar w:fldCharType="end"/>
      </w:r>
      <w:r w:rsidRPr="00376665">
        <w:rPr>
          <w:rStyle w:val="ECHRPara"/>
        </w:rPr>
        <w:t>.  </w:t>
      </w:r>
      <w:r w:rsidR="003549F2">
        <w:rPr>
          <w:rStyle w:val="ECHRPara"/>
        </w:rPr>
        <w:t>Определението</w:t>
      </w:r>
      <w:r w:rsidR="003549F2" w:rsidRPr="00376665">
        <w:rPr>
          <w:rStyle w:val="ECHRPara"/>
        </w:rPr>
        <w:t xml:space="preserve"> </w:t>
      </w:r>
      <w:r w:rsidRPr="00376665">
        <w:rPr>
          <w:rStyle w:val="ECHRPara"/>
        </w:rPr>
        <w:t xml:space="preserve">на съда за приемане или отхвърляне на молбата за издаване на изпълнителен лист подлежи на обжалване </w:t>
      </w:r>
      <w:r w:rsidR="003B1B9F">
        <w:rPr>
          <w:rStyle w:val="ECHRPara"/>
        </w:rPr>
        <w:t xml:space="preserve">в </w:t>
      </w:r>
      <w:r w:rsidR="003B1B9F" w:rsidRPr="00376665">
        <w:rPr>
          <w:rStyle w:val="ECHRPara"/>
        </w:rPr>
        <w:t>седемдневен</w:t>
      </w:r>
      <w:r w:rsidRPr="00376665">
        <w:rPr>
          <w:rStyle w:val="ECHRPara"/>
        </w:rPr>
        <w:t xml:space="preserve"> срок, който за кредитора се брои от деня, в който му е връчено </w:t>
      </w:r>
      <w:r w:rsidR="003549F2">
        <w:rPr>
          <w:rStyle w:val="ECHRPara"/>
        </w:rPr>
        <w:t>определението</w:t>
      </w:r>
      <w:r w:rsidR="003549F2" w:rsidRPr="00376665">
        <w:rPr>
          <w:rStyle w:val="ECHRPara"/>
        </w:rPr>
        <w:t xml:space="preserve"> </w:t>
      </w:r>
      <w:r w:rsidRPr="00376665">
        <w:rPr>
          <w:rStyle w:val="ECHRPara"/>
        </w:rPr>
        <w:t>на съда, а за длъжника - от деня, в който</w:t>
      </w:r>
      <w:r w:rsidR="003549F2">
        <w:rPr>
          <w:rStyle w:val="ECHRPara"/>
        </w:rPr>
        <w:t xml:space="preserve"> му</w:t>
      </w:r>
      <w:r w:rsidRPr="00376665">
        <w:rPr>
          <w:rStyle w:val="ECHRPara"/>
        </w:rPr>
        <w:t xml:space="preserve"> е връчена поканата за доброволно изпълнение (чл. 244 от Кодекса от 1952 г.).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22</w:t>
      </w:r>
      <w:r w:rsidRPr="00376665">
        <w:fldChar w:fldCharType="end"/>
      </w:r>
      <w:r w:rsidRPr="00376665">
        <w:rPr>
          <w:rStyle w:val="ECHRPara"/>
        </w:rPr>
        <w:t>.  Съдът издава изпълнителен лист</w:t>
      </w:r>
      <w:r w:rsidR="003549F2" w:rsidRPr="003549F2">
        <w:t xml:space="preserve"> </w:t>
      </w:r>
      <w:r w:rsidR="003549F2">
        <w:t xml:space="preserve">в </w:t>
      </w:r>
      <w:r w:rsidR="003549F2" w:rsidRPr="003549F2">
        <w:t>един екземпляр</w:t>
      </w:r>
      <w:r w:rsidRPr="00376665">
        <w:rPr>
          <w:rStyle w:val="ECHRPara"/>
        </w:rPr>
        <w:t xml:space="preserve">, подписан от съдия от </w:t>
      </w:r>
      <w:r w:rsidR="003549F2">
        <w:rPr>
          <w:rStyle w:val="ECHRPara"/>
        </w:rPr>
        <w:t>съответния</w:t>
      </w:r>
      <w:r w:rsidR="003549F2" w:rsidRPr="00376665">
        <w:rPr>
          <w:rStyle w:val="ECHRPara"/>
        </w:rPr>
        <w:t xml:space="preserve"> </w:t>
      </w:r>
      <w:r w:rsidRPr="00376665">
        <w:rPr>
          <w:rStyle w:val="ECHRPara"/>
        </w:rPr>
        <w:t>съд (чл. 246 от Кодекса от 1952 г.).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23</w:t>
      </w:r>
      <w:r w:rsidRPr="00376665">
        <w:fldChar w:fldCharType="end"/>
      </w:r>
      <w:r w:rsidRPr="00376665">
        <w:rPr>
          <w:rStyle w:val="ECHRPara"/>
        </w:rPr>
        <w:t xml:space="preserve">.  Чл. 97 § 1 от Кодекса от 1952 г. постановява, че всеки има право да предявява иск в съда в случай, че иска да възстанови своите права или да установи съществуването или </w:t>
      </w:r>
      <w:r w:rsidR="003549F2" w:rsidRPr="003549F2">
        <w:t xml:space="preserve">несъществуването </w:t>
      </w:r>
      <w:r w:rsidRPr="00376665">
        <w:rPr>
          <w:rStyle w:val="ECHRPara"/>
        </w:rPr>
        <w:t>на право, когато той или тя има правен интерес от това.</w:t>
      </w:r>
      <w:r w:rsidR="003549F2" w:rsidRPr="003549F2">
        <w:rPr>
          <w:rFonts w:ascii="Verdana" w:hAnsi="Verdana"/>
        </w:rPr>
        <w:t xml:space="preserve"> </w:t>
      </w:r>
    </w:p>
    <w:p w:rsidR="00FF5604" w:rsidRPr="00376665" w:rsidRDefault="00FF5604" w:rsidP="00FF5604">
      <w:pPr>
        <w:pStyle w:val="ECHRHeading2"/>
      </w:pPr>
      <w:r w:rsidRPr="00376665">
        <w:rPr>
          <w:rStyle w:val="ECHRHeading2"/>
        </w:rPr>
        <w:t>Б. Изпълнение на парични вземания срещу държавни институции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24</w:t>
      </w:r>
      <w:r w:rsidRPr="00376665">
        <w:fldChar w:fldCharType="end"/>
      </w:r>
      <w:r w:rsidRPr="00376665">
        <w:rPr>
          <w:rStyle w:val="ECHRPara"/>
        </w:rPr>
        <w:t xml:space="preserve">.   </w:t>
      </w:r>
      <w:r w:rsidR="007D6463" w:rsidRPr="00F9777D">
        <w:rPr>
          <w:rStyle w:val="ECHRPara"/>
        </w:rPr>
        <w:t>П</w:t>
      </w:r>
      <w:r w:rsidRPr="00F9777D">
        <w:rPr>
          <w:rStyle w:val="ECHRPara"/>
        </w:rPr>
        <w:t xml:space="preserve">о Кодекса от 1952 г. </w:t>
      </w:r>
      <w:r w:rsidR="007D6463" w:rsidRPr="00F9777D">
        <w:rPr>
          <w:rStyle w:val="ECHRPara"/>
        </w:rPr>
        <w:t>производство по принудително изпълнение не е</w:t>
      </w:r>
      <w:r w:rsidRPr="00F9777D">
        <w:rPr>
          <w:rStyle w:val="ECHRPara"/>
        </w:rPr>
        <w:t xml:space="preserve"> възможн</w:t>
      </w:r>
      <w:r w:rsidR="007D6463" w:rsidRPr="00F9777D">
        <w:rPr>
          <w:rStyle w:val="ECHRPara"/>
        </w:rPr>
        <w:t>о</w:t>
      </w:r>
      <w:r w:rsidRPr="00F9777D">
        <w:rPr>
          <w:rStyle w:val="ECHRPara"/>
        </w:rPr>
        <w:t xml:space="preserve">, когато </w:t>
      </w:r>
      <w:r w:rsidR="00C0447B" w:rsidRPr="00F9777D">
        <w:rPr>
          <w:rStyle w:val="ECHRPara"/>
        </w:rPr>
        <w:t>д</w:t>
      </w:r>
      <w:r w:rsidRPr="00F9777D">
        <w:rPr>
          <w:rStyle w:val="ECHRPara"/>
        </w:rPr>
        <w:t>ържавата</w:t>
      </w:r>
      <w:r w:rsidR="00F9777D" w:rsidRPr="00F9777D">
        <w:rPr>
          <w:rStyle w:val="ECHRPara"/>
        </w:rPr>
        <w:t xml:space="preserve"> дължи парична сума</w:t>
      </w:r>
      <w:r w:rsidRPr="00F9777D">
        <w:rPr>
          <w:rStyle w:val="ECHRPara"/>
        </w:rPr>
        <w:t>. Това продължава да бъде така съгласно Гражданск</w:t>
      </w:r>
      <w:r w:rsidR="00E36873" w:rsidRPr="00F9777D">
        <w:rPr>
          <w:rStyle w:val="ECHRPara"/>
        </w:rPr>
        <w:t>о</w:t>
      </w:r>
      <w:r w:rsidRPr="00F9777D">
        <w:rPr>
          <w:rStyle w:val="ECHRPara"/>
        </w:rPr>
        <w:t>процесуал</w:t>
      </w:r>
      <w:r w:rsidR="00E36873" w:rsidRPr="00F9777D">
        <w:rPr>
          <w:rStyle w:val="ECHRPara"/>
        </w:rPr>
        <w:t>ния</w:t>
      </w:r>
      <w:r w:rsidRPr="00F9777D">
        <w:rPr>
          <w:rStyle w:val="ECHRPara"/>
        </w:rPr>
        <w:t xml:space="preserve"> кодекс от 2007 г. (</w:t>
      </w:r>
      <w:r w:rsidRPr="00F9777D">
        <w:rPr>
          <w:rStyle w:val="ECHRPara"/>
          <w:cs/>
        </w:rPr>
        <w:t>”</w:t>
      </w:r>
      <w:r w:rsidRPr="00F9777D">
        <w:rPr>
          <w:rStyle w:val="ECHRPara"/>
        </w:rPr>
        <w:t>Кодекса от 2007 г.</w:t>
      </w:r>
      <w:r w:rsidRPr="00F9777D">
        <w:rPr>
          <w:rStyle w:val="ECHRPara"/>
          <w:cs/>
        </w:rPr>
        <w:t>”</w:t>
      </w:r>
      <w:r w:rsidRPr="00F9777D">
        <w:rPr>
          <w:rStyle w:val="ECHRPara"/>
        </w:rPr>
        <w:t>).</w:t>
      </w:r>
    </w:p>
    <w:p w:rsidR="001C7170" w:rsidRDefault="00FF5604" w:rsidP="00FD04AF">
      <w:pPr>
        <w:pStyle w:val="ECHRPara"/>
        <w:rPr>
          <w:rFonts w:ascii="Verdana" w:hAnsi="Verdana"/>
        </w:rPr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25</w:t>
      </w:r>
      <w:r w:rsidRPr="00376665">
        <w:fldChar w:fldCharType="end"/>
      </w:r>
      <w:r w:rsidRPr="00376665">
        <w:rPr>
          <w:rStyle w:val="ECHRPara"/>
        </w:rPr>
        <w:t xml:space="preserve">.  Съгласно </w:t>
      </w:r>
      <w:r w:rsidR="00FD04AF">
        <w:rPr>
          <w:rStyle w:val="ECHRPara"/>
        </w:rPr>
        <w:t>ал.</w:t>
      </w:r>
      <w:r w:rsidR="00FD04AF" w:rsidRPr="00376665">
        <w:rPr>
          <w:rStyle w:val="ECHRPara"/>
        </w:rPr>
        <w:t xml:space="preserve"> </w:t>
      </w:r>
      <w:r w:rsidRPr="00376665">
        <w:rPr>
          <w:rStyle w:val="ECHRPara"/>
        </w:rPr>
        <w:t xml:space="preserve">2 </w:t>
      </w:r>
      <w:r w:rsidR="00E36873" w:rsidRPr="00376665">
        <w:rPr>
          <w:rStyle w:val="ECHRPara"/>
        </w:rPr>
        <w:t xml:space="preserve">на </w:t>
      </w:r>
      <w:r w:rsidRPr="00376665">
        <w:rPr>
          <w:rStyle w:val="ECHRPara"/>
        </w:rPr>
        <w:t>чл. 399 от Кодекса от 1952 г. в сила до месец март 2008 г., лице, което има подлежащ</w:t>
      </w:r>
      <w:r w:rsidR="00FD04AF">
        <w:rPr>
          <w:rStyle w:val="ECHRPara"/>
        </w:rPr>
        <w:t>о</w:t>
      </w:r>
      <w:r w:rsidRPr="00376665">
        <w:rPr>
          <w:rStyle w:val="ECHRPara"/>
        </w:rPr>
        <w:t xml:space="preserve"> на принудително изпълнение </w:t>
      </w:r>
      <w:r w:rsidR="00FD04AF">
        <w:rPr>
          <w:rStyle w:val="ECHRPara"/>
        </w:rPr>
        <w:t xml:space="preserve">парично </w:t>
      </w:r>
      <w:r w:rsidRPr="00376665">
        <w:rPr>
          <w:rStyle w:val="ECHRPara"/>
        </w:rPr>
        <w:t>вземан</w:t>
      </w:r>
      <w:r w:rsidR="00FD04AF">
        <w:rPr>
          <w:rStyle w:val="ECHRPara"/>
        </w:rPr>
        <w:t>е</w:t>
      </w:r>
      <w:r w:rsidRPr="00376665">
        <w:rPr>
          <w:rStyle w:val="ECHRPara"/>
        </w:rPr>
        <w:t xml:space="preserve"> срещу държав</w:t>
      </w:r>
      <w:r w:rsidR="001C7170">
        <w:rPr>
          <w:rStyle w:val="ECHRPara"/>
        </w:rPr>
        <w:t>но учреждение</w:t>
      </w:r>
      <w:r w:rsidRPr="00376665">
        <w:rPr>
          <w:rStyle w:val="ECHRPara"/>
        </w:rPr>
        <w:t xml:space="preserve">, получава плащане от средствата, предназначени за тази цел в бюджета на </w:t>
      </w:r>
      <w:r w:rsidR="001C7170">
        <w:rPr>
          <w:rStyle w:val="ECHRPara"/>
        </w:rPr>
        <w:t>учреждението</w:t>
      </w:r>
      <w:r w:rsidRPr="00376665">
        <w:rPr>
          <w:rStyle w:val="ECHRPara"/>
        </w:rPr>
        <w:t xml:space="preserve">. Изпълнителният лист, който доказва вземането, трябва да бъде представен пред </w:t>
      </w:r>
      <w:r w:rsidR="001C7170" w:rsidRPr="001C7170">
        <w:t>финансовия орган на съответното учреждение</w:t>
      </w:r>
      <w:r w:rsidRPr="00376665">
        <w:rPr>
          <w:rStyle w:val="ECHRPara"/>
        </w:rPr>
        <w:t xml:space="preserve">. Ако в бюджета на </w:t>
      </w:r>
      <w:r w:rsidR="001C7170">
        <w:rPr>
          <w:rStyle w:val="ECHRPara"/>
        </w:rPr>
        <w:t>учреждението</w:t>
      </w:r>
      <w:r w:rsidR="001C7170" w:rsidRPr="00376665">
        <w:rPr>
          <w:rStyle w:val="ECHRPara"/>
        </w:rPr>
        <w:t xml:space="preserve"> </w:t>
      </w:r>
      <w:r w:rsidRPr="00376665">
        <w:rPr>
          <w:rStyle w:val="ECHRPara"/>
        </w:rPr>
        <w:t>няма налични финансови средства, по-висш</w:t>
      </w:r>
      <w:r w:rsidR="00E36873" w:rsidRPr="00376665">
        <w:rPr>
          <w:rStyle w:val="ECHRPara"/>
        </w:rPr>
        <w:t>естоящ</w:t>
      </w:r>
      <w:r w:rsidR="00C03EEE">
        <w:rPr>
          <w:rStyle w:val="ECHRPara"/>
        </w:rPr>
        <w:t>ото</w:t>
      </w:r>
      <w:r w:rsidRPr="00376665">
        <w:rPr>
          <w:rStyle w:val="ECHRPara"/>
        </w:rPr>
        <w:t xml:space="preserve"> </w:t>
      </w:r>
      <w:r w:rsidR="001C7170">
        <w:rPr>
          <w:rStyle w:val="ECHRPara"/>
        </w:rPr>
        <w:t>учреждение</w:t>
      </w:r>
      <w:r w:rsidRPr="00376665">
        <w:rPr>
          <w:rStyle w:val="ECHRPara"/>
        </w:rPr>
        <w:t xml:space="preserve"> трябва да </w:t>
      </w:r>
      <w:r w:rsidR="00FD04AF">
        <w:rPr>
          <w:rStyle w:val="ECHRPara"/>
        </w:rPr>
        <w:t xml:space="preserve">направи потребното </w:t>
      </w:r>
      <w:r w:rsidRPr="00376665">
        <w:rPr>
          <w:rStyle w:val="ECHRPara"/>
        </w:rPr>
        <w:t xml:space="preserve">средствата </w:t>
      </w:r>
      <w:r w:rsidR="00FD04AF">
        <w:rPr>
          <w:rStyle w:val="ECHRPara"/>
        </w:rPr>
        <w:t xml:space="preserve">да </w:t>
      </w:r>
      <w:r w:rsidR="00FD04AF" w:rsidRPr="00376665">
        <w:rPr>
          <w:rStyle w:val="ECHRPara"/>
        </w:rPr>
        <w:t xml:space="preserve"> </w:t>
      </w:r>
      <w:r w:rsidRPr="00376665">
        <w:rPr>
          <w:rStyle w:val="ECHRPara"/>
        </w:rPr>
        <w:t>бъдат налични в бюджета за следващата година.</w:t>
      </w:r>
      <w:r w:rsidR="00FD04AF" w:rsidRPr="00FD04AF">
        <w:rPr>
          <w:rFonts w:ascii="Verdana" w:hAnsi="Verdana"/>
        </w:rPr>
        <w:t xml:space="preserve"> </w:t>
      </w:r>
    </w:p>
    <w:p w:rsidR="001E40EC" w:rsidRDefault="00FF5604" w:rsidP="00FD04AF">
      <w:pPr>
        <w:pStyle w:val="ECHRPara"/>
        <w:rPr>
          <w:rStyle w:val="ECHRPara"/>
        </w:rPr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26</w:t>
      </w:r>
      <w:r w:rsidRPr="00376665">
        <w:fldChar w:fldCharType="end"/>
      </w:r>
      <w:r w:rsidRPr="00376665">
        <w:rPr>
          <w:rStyle w:val="ECHRPara"/>
        </w:rPr>
        <w:t xml:space="preserve">.  Чл. 519 от Кодекса от 2007 г. предвижда, че не </w:t>
      </w:r>
      <w:r w:rsidR="001C7170">
        <w:rPr>
          <w:rStyle w:val="ECHRPara"/>
        </w:rPr>
        <w:t>се допускат</w:t>
      </w:r>
      <w:r w:rsidR="001C7170" w:rsidRPr="00376665">
        <w:rPr>
          <w:rStyle w:val="ECHRPara"/>
        </w:rPr>
        <w:t xml:space="preserve"> </w:t>
      </w:r>
      <w:r w:rsidRPr="00376665">
        <w:rPr>
          <w:rStyle w:val="ECHRPara"/>
        </w:rPr>
        <w:t>изпълнителни производства срещу държав</w:t>
      </w:r>
      <w:r w:rsidR="001C7170">
        <w:rPr>
          <w:rStyle w:val="ECHRPara"/>
        </w:rPr>
        <w:t xml:space="preserve">но учреждение за </w:t>
      </w:r>
      <w:r w:rsidRPr="00376665">
        <w:rPr>
          <w:rStyle w:val="ECHRPara"/>
        </w:rPr>
        <w:t xml:space="preserve">събиране на паричен дълг. Изпълнителен лист, </w:t>
      </w:r>
      <w:r w:rsidR="001C7170">
        <w:rPr>
          <w:rStyle w:val="ECHRPara"/>
        </w:rPr>
        <w:t>доказващ</w:t>
      </w:r>
      <w:r w:rsidRPr="00376665">
        <w:rPr>
          <w:rStyle w:val="ECHRPara"/>
        </w:rPr>
        <w:t xml:space="preserve"> вземането, трябва да бъде получен от съда и след това представен </w:t>
      </w:r>
      <w:r w:rsidR="001C7170">
        <w:rPr>
          <w:rStyle w:val="ECHRPara"/>
        </w:rPr>
        <w:t>на</w:t>
      </w:r>
      <w:r w:rsidR="001C7170" w:rsidRPr="00376665">
        <w:rPr>
          <w:rStyle w:val="ECHRPara"/>
        </w:rPr>
        <w:t xml:space="preserve"> </w:t>
      </w:r>
      <w:r w:rsidRPr="00376665">
        <w:rPr>
          <w:rStyle w:val="ECHRPara"/>
        </w:rPr>
        <w:t xml:space="preserve">финансовия </w:t>
      </w:r>
      <w:r w:rsidR="001C7170">
        <w:rPr>
          <w:rStyle w:val="ECHRPara"/>
        </w:rPr>
        <w:t>орган на съответното учреждение</w:t>
      </w:r>
      <w:r w:rsidRPr="00376665">
        <w:rPr>
          <w:rStyle w:val="ECHRPara"/>
        </w:rPr>
        <w:t>. Ако в бюджета на държавн</w:t>
      </w:r>
      <w:r w:rsidR="001C7170">
        <w:rPr>
          <w:rStyle w:val="ECHRPara"/>
        </w:rPr>
        <w:t>ото учреждение</w:t>
      </w:r>
      <w:r w:rsidRPr="00376665">
        <w:rPr>
          <w:rStyle w:val="ECHRPara"/>
        </w:rPr>
        <w:t xml:space="preserve"> няма налични средства, властите трябва да гарантират наличието на средства в бюджета за следващата година (вж. чл. 519 § 2 от Кодекса от 2007 г.).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27</w:t>
      </w:r>
      <w:r w:rsidRPr="00376665">
        <w:fldChar w:fldCharType="end"/>
      </w:r>
      <w:r w:rsidRPr="00376665">
        <w:rPr>
          <w:rStyle w:val="ECHRPara"/>
        </w:rPr>
        <w:t xml:space="preserve">.  Националните съдилища </w:t>
      </w:r>
      <w:r w:rsidR="001C7170">
        <w:rPr>
          <w:rStyle w:val="ECHRPara"/>
        </w:rPr>
        <w:t>последователно</w:t>
      </w:r>
      <w:r w:rsidR="001C7170" w:rsidRPr="00376665">
        <w:rPr>
          <w:rStyle w:val="ECHRPara"/>
        </w:rPr>
        <w:t xml:space="preserve"> </w:t>
      </w:r>
      <w:r w:rsidRPr="00376665">
        <w:rPr>
          <w:rStyle w:val="ECHRPara"/>
        </w:rPr>
        <w:t>потвърждават, че</w:t>
      </w:r>
      <w:r w:rsidR="00E36873" w:rsidRPr="00376665">
        <w:rPr>
          <w:rStyle w:val="ECHRPara"/>
        </w:rPr>
        <w:t xml:space="preserve"> не са възможни</w:t>
      </w:r>
      <w:r w:rsidRPr="00376665">
        <w:rPr>
          <w:rStyle w:val="ECHRPara"/>
        </w:rPr>
        <w:t xml:space="preserve"> преки изпълнителни производства срещу държавни институции, които имат дългове, както и че конкретната процедура, която трябва да се следва е тази, предвидена в чл. 519 от Кодекса от 2007 г.(реш.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 xml:space="preserve">131859 от 29.05.2017 г. на СРС по гр. д.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 xml:space="preserve">22589/2016 г.; реш.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 xml:space="preserve">198 от 14.07.2010 г. на окр. съд Хасково, г. о. по ч. гр. д.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 xml:space="preserve">380; реш. от 15.05.2015 г. на окр. съд София по ч. гр. д.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 xml:space="preserve">320/2015 г. реш.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 xml:space="preserve">173 от 23.03.2015 г. на окр. съд Пазарджик по гр. д.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 xml:space="preserve">195/2015 г.; реш. от 13.07.2016 г. на окр. съд Сливен по гр. д.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 xml:space="preserve">306/2016 г.). Върховният касационен съд постановява </w:t>
      </w:r>
      <w:r w:rsidR="008A33BD">
        <w:rPr>
          <w:rStyle w:val="ECHRPara"/>
        </w:rPr>
        <w:t>в</w:t>
      </w:r>
      <w:r w:rsidRPr="00376665">
        <w:rPr>
          <w:rStyle w:val="ECHRPara"/>
        </w:rPr>
        <w:t xml:space="preserve"> определение от 2016 г., че плащането от държав</w:t>
      </w:r>
      <w:r w:rsidR="008A33BD">
        <w:rPr>
          <w:rStyle w:val="ECHRPara"/>
        </w:rPr>
        <w:t>но учреждение</w:t>
      </w:r>
      <w:r w:rsidR="006C6CD8">
        <w:rPr>
          <w:rStyle w:val="ECHRPara"/>
        </w:rPr>
        <w:t xml:space="preserve"> </w:t>
      </w:r>
      <w:r w:rsidRPr="00376665">
        <w:rPr>
          <w:rStyle w:val="ECHRPara"/>
        </w:rPr>
        <w:t xml:space="preserve">се извършва след представяне на оригиналния изпълнителен лист на </w:t>
      </w:r>
      <w:r w:rsidR="008A33BD">
        <w:rPr>
          <w:rStyle w:val="ECHRPara"/>
        </w:rPr>
        <w:t>това учреждение</w:t>
      </w:r>
      <w:r w:rsidRPr="00376665">
        <w:rPr>
          <w:rStyle w:val="ECHRPara"/>
        </w:rPr>
        <w:t xml:space="preserve"> (опр.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 xml:space="preserve">194/27.04.2016 по дело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>604/2016 на ВКС, ТК, I т.о.).</w:t>
      </w:r>
    </w:p>
    <w:p w:rsidR="00FF5604" w:rsidRPr="00376665" w:rsidRDefault="005B6988" w:rsidP="00FF5604">
      <w:pPr>
        <w:pStyle w:val="ECHRTitle1"/>
      </w:pPr>
      <w:r w:rsidRPr="00376665">
        <w:rPr>
          <w:rStyle w:val="ECHRTitle1"/>
        </w:rPr>
        <w:t>ПРАВОТО</w:t>
      </w:r>
    </w:p>
    <w:p w:rsidR="00FF5604" w:rsidRPr="00376665" w:rsidRDefault="00FF5604" w:rsidP="00FF5604">
      <w:pPr>
        <w:pStyle w:val="ECHRHeading1"/>
      </w:pPr>
      <w:r w:rsidRPr="00376665">
        <w:rPr>
          <w:rStyle w:val="ECHRHeading1"/>
        </w:rPr>
        <w:t xml:space="preserve">I. ТВЪРДЯНО НАРУШЕНИЕ НА ЧЛ. 1 ОТ ПРОТОКОЛ </w:t>
      </w:r>
      <w:r w:rsidR="00646AF0">
        <w:rPr>
          <w:rStyle w:val="ECHRHeading1"/>
        </w:rPr>
        <w:t>№</w:t>
      </w:r>
      <w:r w:rsidRPr="00376665">
        <w:rPr>
          <w:rStyle w:val="ECHRHeading1"/>
          <w:cs/>
        </w:rPr>
        <w:t xml:space="preserve"> </w:t>
      </w:r>
      <w:r w:rsidRPr="00376665">
        <w:rPr>
          <w:rStyle w:val="ECHRHeading1"/>
        </w:rPr>
        <w:t xml:space="preserve">1 </w:t>
      </w:r>
      <w:r w:rsidR="005B6988" w:rsidRPr="00376665">
        <w:rPr>
          <w:rStyle w:val="ECHRHeading1"/>
        </w:rPr>
        <w:t xml:space="preserve">КЪМ </w:t>
      </w:r>
      <w:r w:rsidRPr="00376665">
        <w:rPr>
          <w:rStyle w:val="ECHRHeading1"/>
        </w:rPr>
        <w:t>КОНВЕНЦИЯТА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28</w:t>
      </w:r>
      <w:r w:rsidRPr="00376665">
        <w:fldChar w:fldCharType="end"/>
      </w:r>
      <w:r w:rsidRPr="00376665">
        <w:rPr>
          <w:rStyle w:val="ECHRPara"/>
        </w:rPr>
        <w:t>.  Жалбоподателят се оплаква, че като не му плащат остатъка от дължим</w:t>
      </w:r>
      <w:r w:rsidR="005B6988" w:rsidRPr="00376665">
        <w:rPr>
          <w:rStyle w:val="ECHRPara"/>
        </w:rPr>
        <w:t xml:space="preserve">ия </w:t>
      </w:r>
      <w:r w:rsidRPr="00376665">
        <w:rPr>
          <w:rStyle w:val="ECHRPara"/>
        </w:rPr>
        <w:t>въз основа на договора между него и Министерството</w:t>
      </w:r>
      <w:r w:rsidR="00646AF0" w:rsidRPr="00646AF0">
        <w:rPr>
          <w:rStyle w:val="ECHRPara"/>
        </w:rPr>
        <w:t xml:space="preserve"> </w:t>
      </w:r>
      <w:r w:rsidR="00646AF0" w:rsidRPr="00376665">
        <w:rPr>
          <w:rStyle w:val="ECHRPara"/>
        </w:rPr>
        <w:t>хонорар</w:t>
      </w:r>
      <w:r w:rsidRPr="00376665">
        <w:rPr>
          <w:rStyle w:val="ECHRPara"/>
        </w:rPr>
        <w:t xml:space="preserve">, властите са нарушили правото му мирно </w:t>
      </w:r>
      <w:r w:rsidR="00646AF0">
        <w:rPr>
          <w:rStyle w:val="ECHRPara"/>
        </w:rPr>
        <w:t>да се ползва от притежанията си</w:t>
      </w:r>
      <w:r w:rsidR="008952D9">
        <w:rPr>
          <w:rStyle w:val="ECHRPara"/>
        </w:rPr>
        <w:t>,</w:t>
      </w:r>
      <w:r w:rsidR="00646AF0">
        <w:rPr>
          <w:rStyle w:val="ECHRPara"/>
        </w:rPr>
        <w:t xml:space="preserve"> </w:t>
      </w:r>
      <w:r w:rsidRPr="00376665">
        <w:rPr>
          <w:rStyle w:val="ECHRPara"/>
        </w:rPr>
        <w:t xml:space="preserve">в нарушение на чл. 1 от Протокол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>1 към Конвенцията, който гласи следното:</w:t>
      </w:r>
    </w:p>
    <w:p w:rsidR="00FF5604" w:rsidRPr="00376665" w:rsidRDefault="00FF5604" w:rsidP="00FF5604">
      <w:pPr>
        <w:pStyle w:val="ECHRParaQuote"/>
      </w:pPr>
      <w:r w:rsidRPr="00376665">
        <w:rPr>
          <w:rStyle w:val="ECHRParaQuote"/>
        </w:rPr>
        <w:t>"Βсяко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FF5604" w:rsidRPr="00376665" w:rsidRDefault="00FF5604" w:rsidP="00FF5604">
      <w:pPr>
        <w:pStyle w:val="ECHRParaQuote"/>
      </w:pPr>
      <w:r w:rsidRPr="00376665">
        <w:rPr>
          <w:rStyle w:val="ECHRParaQuote"/>
        </w:rP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глоби."</w:t>
      </w:r>
    </w:p>
    <w:p w:rsidR="00FF5604" w:rsidRPr="00376665" w:rsidRDefault="00FF5604" w:rsidP="00FF5604">
      <w:pPr>
        <w:pStyle w:val="ECHRHeading2"/>
      </w:pPr>
      <w:r w:rsidRPr="00376665">
        <w:rPr>
          <w:rStyle w:val="ECHRHeading2"/>
        </w:rPr>
        <w:t>A.  Допустимост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29</w:t>
      </w:r>
      <w:r w:rsidRPr="00376665">
        <w:fldChar w:fldCharType="end"/>
      </w:r>
      <w:r w:rsidRPr="00376665">
        <w:rPr>
          <w:rStyle w:val="ECHRPara"/>
        </w:rPr>
        <w:t>.  Съдът отбелязва, че това оплакване не е явно необосновано по смисъла на чл. 35 § 3</w:t>
      </w:r>
      <w:r w:rsidR="004D16E3">
        <w:rPr>
          <w:rStyle w:val="ECHRPara"/>
        </w:rPr>
        <w:t xml:space="preserve"> </w:t>
      </w:r>
      <w:r w:rsidRPr="00376665">
        <w:rPr>
          <w:rStyle w:val="ECHRPara"/>
        </w:rPr>
        <w:t>(а) от Конвенцията. Той отбелязва още, че то не е недопустимо на друг</w:t>
      </w:r>
      <w:r w:rsidR="004D16E3">
        <w:rPr>
          <w:rStyle w:val="ECHRPara"/>
        </w:rPr>
        <w:t>о</w:t>
      </w:r>
      <w:r w:rsidRPr="00376665">
        <w:rPr>
          <w:rStyle w:val="ECHRPara"/>
        </w:rPr>
        <w:t xml:space="preserve"> основани</w:t>
      </w:r>
      <w:r w:rsidR="004D16E3">
        <w:rPr>
          <w:rStyle w:val="ECHRPara"/>
        </w:rPr>
        <w:t>е</w:t>
      </w:r>
      <w:r w:rsidRPr="00376665">
        <w:rPr>
          <w:rStyle w:val="ECHRPara"/>
        </w:rPr>
        <w:t xml:space="preserve">. Следователно </w:t>
      </w:r>
      <w:r w:rsidR="004D16E3">
        <w:rPr>
          <w:rStyle w:val="ECHRPara"/>
        </w:rPr>
        <w:t xml:space="preserve">трябва да бъде обявено за </w:t>
      </w:r>
      <w:r w:rsidRPr="00376665">
        <w:rPr>
          <w:rStyle w:val="ECHRPara"/>
        </w:rPr>
        <w:t>допустимо.</w:t>
      </w:r>
    </w:p>
    <w:p w:rsidR="00FF5604" w:rsidRPr="00376665" w:rsidRDefault="00FF5604" w:rsidP="00FF5604">
      <w:pPr>
        <w:pStyle w:val="ECHRHeading2"/>
      </w:pPr>
      <w:r w:rsidRPr="00376665">
        <w:rPr>
          <w:rStyle w:val="ECHRHeading2"/>
        </w:rPr>
        <w:t>Б. Основателност</w:t>
      </w:r>
    </w:p>
    <w:p w:rsidR="00FF5604" w:rsidRPr="00376665" w:rsidRDefault="00FF5604" w:rsidP="00FF5604">
      <w:pPr>
        <w:pStyle w:val="ECHRHeading3"/>
      </w:pPr>
      <w:r w:rsidRPr="00376665">
        <w:rPr>
          <w:rStyle w:val="ECHRHeading3"/>
        </w:rPr>
        <w:t>1.  Становища на страните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30</w:t>
      </w:r>
      <w:r w:rsidRPr="00376665">
        <w:fldChar w:fldCharType="end"/>
      </w:r>
      <w:r w:rsidRPr="00376665">
        <w:rPr>
          <w:rStyle w:val="ECHRPara"/>
        </w:rPr>
        <w:t>.  Правителството не оспорва неизпълнението</w:t>
      </w:r>
      <w:r w:rsidR="00764506">
        <w:rPr>
          <w:rStyle w:val="ECHRPara"/>
        </w:rPr>
        <w:t xml:space="preserve"> на плащането</w:t>
      </w:r>
      <w:r w:rsidRPr="00376665">
        <w:rPr>
          <w:rStyle w:val="ECHRPara"/>
        </w:rPr>
        <w:t xml:space="preserve"> на дължимия на жалбоподателя остатък </w:t>
      </w:r>
      <w:r w:rsidR="004D16E3">
        <w:rPr>
          <w:rStyle w:val="ECHRPara"/>
        </w:rPr>
        <w:t xml:space="preserve">от хонорара, </w:t>
      </w:r>
      <w:r w:rsidRPr="00376665">
        <w:rPr>
          <w:rStyle w:val="ECHRPara"/>
        </w:rPr>
        <w:t xml:space="preserve">нито факта, че властите му дължат тази втора половина от </w:t>
      </w:r>
      <w:r w:rsidR="005B6988" w:rsidRPr="00376665">
        <w:rPr>
          <w:rStyle w:val="ECHRPara"/>
        </w:rPr>
        <w:t>хонорара</w:t>
      </w:r>
      <w:r w:rsidRPr="00376665">
        <w:rPr>
          <w:rStyle w:val="ECHRPara"/>
        </w:rPr>
        <w:t xml:space="preserve">. То обаче </w:t>
      </w:r>
      <w:r w:rsidR="004D16E3">
        <w:rPr>
          <w:rStyle w:val="ECHRPara"/>
        </w:rPr>
        <w:t>поддържа</w:t>
      </w:r>
      <w:r w:rsidRPr="00376665">
        <w:rPr>
          <w:rStyle w:val="ECHRPara"/>
        </w:rPr>
        <w:t>, че плащането не е било дължимо до 28 юни 2011 г., което е датата на окончателното съдебно определение в производството, образувано от Министерството (вж. параграфи 13-14 по-горе).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31</w:t>
      </w:r>
      <w:r w:rsidRPr="00376665">
        <w:fldChar w:fldCharType="end"/>
      </w:r>
      <w:r w:rsidRPr="00376665">
        <w:rPr>
          <w:rStyle w:val="ECHRPara"/>
        </w:rPr>
        <w:t xml:space="preserve">.  По-конкретно то твърди, че изпълнителният лист от 23 февруари 2006 г. е издаден единствено въз основа на договора между страните, а не в следствие на съдебно производство, приключило с решение относно защитима претенция с ефект </w:t>
      </w:r>
      <w:r w:rsidRPr="00376665">
        <w:rPr>
          <w:rStyle w:val="ECHRPara"/>
          <w:i/>
        </w:rPr>
        <w:t>res judicata</w:t>
      </w:r>
      <w:r w:rsidRPr="00376665">
        <w:rPr>
          <w:rStyle w:val="ECHRPara"/>
        </w:rPr>
        <w:t>. То твърди, че в производството, образувано от Министерството, последното оспор</w:t>
      </w:r>
      <w:r w:rsidR="005B6988" w:rsidRPr="00376665">
        <w:rPr>
          <w:rStyle w:val="ECHRPara"/>
        </w:rPr>
        <w:t>ва</w:t>
      </w:r>
      <w:r w:rsidRPr="00376665">
        <w:rPr>
          <w:rStyle w:val="ECHRPara"/>
        </w:rPr>
        <w:t xml:space="preserve"> иска на жалбоподателя за останалата част от </w:t>
      </w:r>
      <w:r w:rsidR="005B6988" w:rsidRPr="00376665">
        <w:rPr>
          <w:rStyle w:val="ECHRPara"/>
        </w:rPr>
        <w:t>хонорара</w:t>
      </w:r>
      <w:r w:rsidRPr="00376665">
        <w:rPr>
          <w:rStyle w:val="ECHRPara"/>
        </w:rPr>
        <w:t xml:space="preserve">, дължим му за </w:t>
      </w:r>
      <w:r w:rsidR="004D16E3">
        <w:rPr>
          <w:rStyle w:val="ECHRPara"/>
        </w:rPr>
        <w:t xml:space="preserve">осъщественото от </w:t>
      </w:r>
      <w:r w:rsidRPr="00376665">
        <w:rPr>
          <w:rStyle w:val="ECHRPara"/>
        </w:rPr>
        <w:t xml:space="preserve">него </w:t>
      </w:r>
      <w:r w:rsidR="004D16E3">
        <w:rPr>
          <w:rStyle w:val="ECHRPara"/>
        </w:rPr>
        <w:t xml:space="preserve">процесуално </w:t>
      </w:r>
      <w:r w:rsidRPr="00376665">
        <w:rPr>
          <w:rStyle w:val="ECHRPara"/>
        </w:rPr>
        <w:t>представителство. Този спор е уреден едва в края на това съдебно производство, когато съдилищата призна</w:t>
      </w:r>
      <w:r w:rsidR="005B6988" w:rsidRPr="00376665">
        <w:rPr>
          <w:rStyle w:val="ECHRPara"/>
        </w:rPr>
        <w:t>ват</w:t>
      </w:r>
      <w:r w:rsidRPr="00376665">
        <w:rPr>
          <w:rStyle w:val="ECHRPara"/>
        </w:rPr>
        <w:t xml:space="preserve"> </w:t>
      </w:r>
      <w:r w:rsidR="00E319A6">
        <w:rPr>
          <w:rStyle w:val="ECHRPara"/>
        </w:rPr>
        <w:t>с</w:t>
      </w:r>
      <w:r w:rsidRPr="00376665">
        <w:rPr>
          <w:rStyle w:val="ECHRPara"/>
        </w:rPr>
        <w:t xml:space="preserve"> окончателно решение иска на жалбоподателя за изплащане на дължимата му</w:t>
      </w:r>
      <w:r w:rsidR="00E319A6">
        <w:rPr>
          <w:rStyle w:val="ECHRPara"/>
        </w:rPr>
        <w:t xml:space="preserve"> се</w:t>
      </w:r>
      <w:r w:rsidRPr="00376665">
        <w:rPr>
          <w:rStyle w:val="ECHRPara"/>
        </w:rPr>
        <w:t xml:space="preserve"> по договора сума.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32</w:t>
      </w:r>
      <w:r w:rsidRPr="00376665">
        <w:fldChar w:fldCharType="end"/>
      </w:r>
      <w:r w:rsidRPr="00376665">
        <w:rPr>
          <w:rStyle w:val="ECHRPara"/>
        </w:rPr>
        <w:t xml:space="preserve">.  Правителството също така твърди, че не оспорва, че това плащане е дължимо на жалбоподателя, </w:t>
      </w:r>
      <w:r w:rsidR="00E319A6">
        <w:rPr>
          <w:rStyle w:val="ECHRPara"/>
        </w:rPr>
        <w:t>но</w:t>
      </w:r>
      <w:r w:rsidR="00FD5D60" w:rsidRPr="00376665">
        <w:rPr>
          <w:rStyle w:val="ECHRPara"/>
        </w:rPr>
        <w:t xml:space="preserve"> </w:t>
      </w:r>
      <w:r w:rsidRPr="00376665">
        <w:rPr>
          <w:rStyle w:val="ECHRPara"/>
        </w:rPr>
        <w:t>че Министерството е загубило оригиналния изпълнителен лист, изискващ плащане, който му е представен през 2006 г. Това обстоятелство представлява пречка за плащането от страна на властите на дължимата сума.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33</w:t>
      </w:r>
      <w:r w:rsidRPr="00376665">
        <w:fldChar w:fldCharType="end"/>
      </w:r>
      <w:r w:rsidRPr="00376665">
        <w:rPr>
          <w:rStyle w:val="ECHRPara"/>
        </w:rPr>
        <w:t xml:space="preserve">.  В отговора си на становището на Правителството жалбоподателят оспорва началната дата за изчисляване на </w:t>
      </w:r>
      <w:r w:rsidR="00E319A6">
        <w:rPr>
          <w:rStyle w:val="ECHRPara"/>
        </w:rPr>
        <w:t>изискуемостта на вземането</w:t>
      </w:r>
      <w:r w:rsidRPr="00376665">
        <w:rPr>
          <w:rStyle w:val="ECHRPara"/>
        </w:rPr>
        <w:t>. Той твърди, че Министерството не се</w:t>
      </w:r>
      <w:r w:rsidR="00E319A6">
        <w:rPr>
          <w:rStyle w:val="ECHRPara"/>
        </w:rPr>
        <w:t xml:space="preserve"> е</w:t>
      </w:r>
      <w:r w:rsidRPr="00376665">
        <w:rPr>
          <w:rStyle w:val="ECHRPara"/>
        </w:rPr>
        <w:t xml:space="preserve"> противопостав</w:t>
      </w:r>
      <w:r w:rsidR="00E319A6">
        <w:rPr>
          <w:rStyle w:val="ECHRPara"/>
        </w:rPr>
        <w:t>ило</w:t>
      </w:r>
      <w:r w:rsidRPr="00376665">
        <w:rPr>
          <w:rStyle w:val="ECHRPara"/>
        </w:rPr>
        <w:t xml:space="preserve"> на изпълнителния лист, издаден на 23 февруари 2006 г., макар че </w:t>
      </w:r>
      <w:r w:rsidR="00E319A6">
        <w:rPr>
          <w:rStyle w:val="ECHRPara"/>
        </w:rPr>
        <w:t xml:space="preserve">е </w:t>
      </w:r>
      <w:r w:rsidR="00720578" w:rsidRPr="00376665">
        <w:rPr>
          <w:rStyle w:val="ECHRPara"/>
        </w:rPr>
        <w:t>може</w:t>
      </w:r>
      <w:r w:rsidR="00E319A6">
        <w:rPr>
          <w:rStyle w:val="ECHRPara"/>
        </w:rPr>
        <w:t>ло</w:t>
      </w:r>
      <w:r w:rsidRPr="00376665">
        <w:rPr>
          <w:rStyle w:val="ECHRPara"/>
        </w:rPr>
        <w:t xml:space="preserve"> да го направи съгласно чл. 244 и чл. 97</w:t>
      </w:r>
      <w:r w:rsidR="00E319A6">
        <w:rPr>
          <w:rStyle w:val="ECHRPara"/>
        </w:rPr>
        <w:t>, ал.</w:t>
      </w:r>
      <w:r w:rsidRPr="00376665">
        <w:rPr>
          <w:rStyle w:val="ECHRPara"/>
        </w:rPr>
        <w:t xml:space="preserve"> 1 от Кодекса от 1952 г., който е</w:t>
      </w:r>
      <w:r w:rsidR="00731DEC">
        <w:rPr>
          <w:rStyle w:val="ECHRPara"/>
        </w:rPr>
        <w:t xml:space="preserve"> бил</w:t>
      </w:r>
      <w:r w:rsidRPr="00376665">
        <w:rPr>
          <w:rStyle w:val="ECHRPara"/>
        </w:rPr>
        <w:t xml:space="preserve"> в сила по времето на издаване на изпълнителния лист (вж. раздела за вътрешно</w:t>
      </w:r>
      <w:r w:rsidR="00720578" w:rsidRPr="00376665">
        <w:rPr>
          <w:rStyle w:val="ECHRPara"/>
        </w:rPr>
        <w:t>то</w:t>
      </w:r>
      <w:r w:rsidRPr="00376665">
        <w:rPr>
          <w:rStyle w:val="ECHRPara"/>
        </w:rPr>
        <w:t xml:space="preserve"> право, параграфи 21 и 23 по-горе). Освен това гражданското производство, образувано от Министерството, не се отнася до дълга, съответстващ на остатъка от негов</w:t>
      </w:r>
      <w:r w:rsidR="00720578" w:rsidRPr="00376665">
        <w:rPr>
          <w:rStyle w:val="ECHRPara"/>
        </w:rPr>
        <w:t>ия хонорар</w:t>
      </w:r>
      <w:r w:rsidRPr="00376665">
        <w:rPr>
          <w:rStyle w:val="ECHRPara"/>
        </w:rPr>
        <w:t>, а е образуван</w:t>
      </w:r>
      <w:r w:rsidR="00720578" w:rsidRPr="00376665">
        <w:rPr>
          <w:rStyle w:val="ECHRPara"/>
        </w:rPr>
        <w:t>о</w:t>
      </w:r>
      <w:r w:rsidRPr="00376665">
        <w:rPr>
          <w:rStyle w:val="ECHRPara"/>
        </w:rPr>
        <w:t xml:space="preserve"> </w:t>
      </w:r>
      <w:r w:rsidR="000512DA">
        <w:rPr>
          <w:rStyle w:val="ECHRPara"/>
        </w:rPr>
        <w:t>на</w:t>
      </w:r>
      <w:r w:rsidR="000512DA" w:rsidRPr="00376665">
        <w:rPr>
          <w:rStyle w:val="ECHRPara"/>
        </w:rPr>
        <w:t xml:space="preserve"> </w:t>
      </w:r>
      <w:r w:rsidRPr="00376665">
        <w:rPr>
          <w:rStyle w:val="ECHRPara"/>
        </w:rPr>
        <w:t>други правни основания (вж. параграфи 11-13 по-горе). Жалбоподателят твърди, че неговият иск подлежи на събиране от края на производството в Париж в края на 2005 г., както и че Министерството не го е уведомило, че е изгубило изпълнителния лист.</w:t>
      </w:r>
    </w:p>
    <w:p w:rsidR="00FF5604" w:rsidRPr="00376665" w:rsidRDefault="00FF5604" w:rsidP="00FF5604">
      <w:pPr>
        <w:pStyle w:val="ECHRHeading3"/>
      </w:pPr>
      <w:r w:rsidRPr="00376665">
        <w:rPr>
          <w:rStyle w:val="ECHRHeading3"/>
        </w:rPr>
        <w:t>2.  Преценка</w:t>
      </w:r>
      <w:r w:rsidR="00720578" w:rsidRPr="00376665">
        <w:rPr>
          <w:rStyle w:val="ECHRHeading3"/>
        </w:rPr>
        <w:t>та</w:t>
      </w:r>
      <w:r w:rsidRPr="00376665">
        <w:rPr>
          <w:rStyle w:val="ECHRHeading3"/>
        </w:rPr>
        <w:t xml:space="preserve"> на Съда</w:t>
      </w:r>
    </w:p>
    <w:p w:rsidR="00FF5604" w:rsidRPr="00376665" w:rsidRDefault="00FF5604" w:rsidP="00FF5604">
      <w:pPr>
        <w:pStyle w:val="ECHRHeading4"/>
      </w:pPr>
      <w:r w:rsidRPr="00376665">
        <w:rPr>
          <w:rStyle w:val="ECHRHeading4"/>
        </w:rPr>
        <w:t>(а)  Общи принципи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34</w:t>
      </w:r>
      <w:r w:rsidRPr="00376665">
        <w:fldChar w:fldCharType="end"/>
      </w:r>
      <w:r w:rsidRPr="00376665">
        <w:rPr>
          <w:rStyle w:val="ECHRPara"/>
        </w:rPr>
        <w:t xml:space="preserve">.  Съдът </w:t>
      </w:r>
      <w:r w:rsidR="00A36E05" w:rsidRPr="00376665">
        <w:rPr>
          <w:rStyle w:val="ECHRPara"/>
        </w:rPr>
        <w:t>припомня</w:t>
      </w:r>
      <w:r w:rsidRPr="00376665">
        <w:rPr>
          <w:rStyle w:val="ECHRPara"/>
        </w:rPr>
        <w:t xml:space="preserve">, че автономното значение на концепцията за </w:t>
      </w:r>
      <w:r w:rsidRPr="00376665">
        <w:rPr>
          <w:rStyle w:val="ECHRPara"/>
          <w:cs/>
        </w:rPr>
        <w:t>“</w:t>
      </w:r>
      <w:r w:rsidRPr="00376665">
        <w:rPr>
          <w:rStyle w:val="ECHRPara"/>
        </w:rPr>
        <w:t>притежания</w:t>
      </w:r>
      <w:r w:rsidRPr="00376665">
        <w:rPr>
          <w:rStyle w:val="ECHRPara"/>
          <w:cs/>
        </w:rPr>
        <w:t xml:space="preserve">” </w:t>
      </w:r>
      <w:r w:rsidRPr="00376665">
        <w:rPr>
          <w:rStyle w:val="ECHRPara"/>
        </w:rPr>
        <w:t xml:space="preserve">съгласно чл. 1 от Протокол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 xml:space="preserve">1 към Конвенцията е изложено в редица по-ранни дела (вж., наред с </w:t>
      </w:r>
      <w:r w:rsidR="000512DA">
        <w:rPr>
          <w:rStyle w:val="ECHRPara"/>
        </w:rPr>
        <w:t xml:space="preserve">много </w:t>
      </w:r>
      <w:r w:rsidRPr="00376665">
        <w:rPr>
          <w:rStyle w:val="ECHRPara"/>
        </w:rPr>
        <w:t>други примери</w:t>
      </w:r>
      <w:r w:rsidR="000512DA">
        <w:rPr>
          <w:rStyle w:val="ECHRPara"/>
        </w:rPr>
        <w:t>,</w:t>
      </w:r>
      <w:r w:rsidRPr="00376665">
        <w:rPr>
          <w:rStyle w:val="ECHRPara"/>
        </w:rPr>
        <w:t xml:space="preserve"> </w:t>
      </w:r>
      <w:r w:rsidRPr="00376665">
        <w:rPr>
          <w:rStyle w:val="ECHRPara"/>
          <w:i/>
        </w:rPr>
        <w:t>Depalle v. France</w:t>
      </w:r>
      <w:r w:rsidRPr="00376665">
        <w:rPr>
          <w:rStyle w:val="ECHRPara"/>
        </w:rPr>
        <w:t xml:space="preserve"> [</w:t>
      </w:r>
      <w:r w:rsidR="000512DA">
        <w:rPr>
          <w:rStyle w:val="ECHRPara"/>
        </w:rPr>
        <w:t>ГК</w:t>
      </w:r>
      <w:r w:rsidRPr="00376665">
        <w:rPr>
          <w:rStyle w:val="ECHRPara"/>
        </w:rPr>
        <w:t xml:space="preserve">], </w:t>
      </w:r>
      <w:r w:rsidRPr="00376665">
        <w:rPr>
          <w:rStyle w:val="ECHRPara"/>
          <w:cs/>
        </w:rPr>
        <w:t xml:space="preserve">№ </w:t>
      </w:r>
      <w:hyperlink r:id="rId8" w:anchor="{&quot;appno&quot;:[&quot;34044/02&quot;]}" w:tgtFrame="_blank" w:history="1">
        <w:r w:rsidRPr="00376665">
          <w:rPr>
            <w:rStyle w:val="ECHRPara"/>
          </w:rPr>
          <w:t>34044/02</w:t>
        </w:r>
      </w:hyperlink>
      <w:r w:rsidRPr="00376665">
        <w:rPr>
          <w:rStyle w:val="ECHRPara"/>
        </w:rPr>
        <w:t xml:space="preserve">, § 62, ЕСПЧ 2010 г.; </w:t>
      </w:r>
      <w:r w:rsidRPr="00376665">
        <w:rPr>
          <w:rStyle w:val="ECHRPara"/>
          <w:i/>
        </w:rPr>
        <w:t>Fabris v. France</w:t>
      </w:r>
      <w:r w:rsidRPr="00376665">
        <w:rPr>
          <w:rStyle w:val="ECHRPara"/>
        </w:rPr>
        <w:t xml:space="preserve"> [</w:t>
      </w:r>
      <w:r w:rsidR="000512DA">
        <w:rPr>
          <w:rStyle w:val="ECHRPara"/>
        </w:rPr>
        <w:t>ГК</w:t>
      </w:r>
      <w:r w:rsidRPr="00376665">
        <w:rPr>
          <w:rStyle w:val="ECHRPara"/>
        </w:rPr>
        <w:t xml:space="preserve">], </w:t>
      </w:r>
      <w:r w:rsidRPr="00376665">
        <w:rPr>
          <w:rStyle w:val="ECHRPara"/>
          <w:cs/>
        </w:rPr>
        <w:t xml:space="preserve">№ </w:t>
      </w:r>
      <w:hyperlink r:id="rId9" w:anchor="{&quot;appno&quot;:[&quot;16574/08&quot;]}" w:tgtFrame="_blank" w:history="1">
        <w:r w:rsidRPr="00376665">
          <w:rPr>
            <w:rStyle w:val="ECHRPara"/>
          </w:rPr>
          <w:t>16574/08</w:t>
        </w:r>
      </w:hyperlink>
      <w:r w:rsidRPr="00376665">
        <w:rPr>
          <w:rStyle w:val="ECHRPara"/>
        </w:rPr>
        <w:t xml:space="preserve">, § 49, ЕСПЧ 2013 г. (откъси); и </w:t>
      </w:r>
      <w:r w:rsidRPr="00376665">
        <w:rPr>
          <w:rStyle w:val="ECHRPara"/>
          <w:i/>
        </w:rPr>
        <w:t>Parrillo v. Italy</w:t>
      </w:r>
      <w:r w:rsidRPr="00376665">
        <w:rPr>
          <w:rStyle w:val="ECHRPara"/>
        </w:rPr>
        <w:t xml:space="preserve"> [</w:t>
      </w:r>
      <w:r w:rsidR="000512DA">
        <w:rPr>
          <w:rStyle w:val="ECHRPara"/>
        </w:rPr>
        <w:t>ГК</w:t>
      </w:r>
      <w:r w:rsidRPr="00376665">
        <w:rPr>
          <w:rStyle w:val="ECHRPara"/>
        </w:rPr>
        <w:t xml:space="preserve">], </w:t>
      </w:r>
      <w:r w:rsidRPr="00376665">
        <w:rPr>
          <w:rStyle w:val="ECHRPara"/>
          <w:cs/>
        </w:rPr>
        <w:t xml:space="preserve">№ </w:t>
      </w:r>
      <w:hyperlink r:id="rId10" w:anchor="{&quot;appno&quot;:[&quot;46470/11&quot;]}" w:tgtFrame="_blank" w:history="1">
        <w:r w:rsidRPr="00376665">
          <w:rPr>
            <w:rStyle w:val="ECHRPara"/>
          </w:rPr>
          <w:t>46470/11</w:t>
        </w:r>
      </w:hyperlink>
      <w:r w:rsidRPr="00376665">
        <w:rPr>
          <w:rStyle w:val="ECHRPara"/>
        </w:rPr>
        <w:t>, § 211, ЕСПЧ 2015 г.).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35</w:t>
      </w:r>
      <w:r w:rsidRPr="00376665">
        <w:fldChar w:fldCharType="end"/>
      </w:r>
      <w:r w:rsidRPr="00376665">
        <w:rPr>
          <w:rStyle w:val="ECHRPara"/>
        </w:rPr>
        <w:t xml:space="preserve">.  Когато имущественият интерес приема формата на иск, Съдът </w:t>
      </w:r>
      <w:r w:rsidR="000512DA">
        <w:rPr>
          <w:rStyle w:val="ECHRPara"/>
        </w:rPr>
        <w:t>застъпва становището</w:t>
      </w:r>
      <w:r w:rsidRPr="00376665">
        <w:rPr>
          <w:rStyle w:val="ECHRPara"/>
        </w:rPr>
        <w:t xml:space="preserve">, че той може да се счита за </w:t>
      </w:r>
      <w:r w:rsidRPr="00376665">
        <w:rPr>
          <w:rStyle w:val="ECHRPara"/>
          <w:cs/>
        </w:rPr>
        <w:t>“</w:t>
      </w:r>
      <w:r w:rsidRPr="00376665">
        <w:rPr>
          <w:rStyle w:val="ECHRPara"/>
        </w:rPr>
        <w:t>актив</w:t>
      </w:r>
      <w:r w:rsidRPr="00376665">
        <w:rPr>
          <w:rStyle w:val="ECHRPara"/>
          <w:cs/>
        </w:rPr>
        <w:t xml:space="preserve">” </w:t>
      </w:r>
      <w:r w:rsidRPr="00376665">
        <w:rPr>
          <w:rStyle w:val="ECHRPara"/>
        </w:rPr>
        <w:t>само когато има достатъчн</w:t>
      </w:r>
      <w:r w:rsidR="000512DA">
        <w:rPr>
          <w:rStyle w:val="ECHRPara"/>
        </w:rPr>
        <w:t>а</w:t>
      </w:r>
      <w:r w:rsidRPr="00376665">
        <w:rPr>
          <w:rStyle w:val="ECHRPara"/>
        </w:rPr>
        <w:t xml:space="preserve"> основ</w:t>
      </w:r>
      <w:r w:rsidR="000512DA">
        <w:rPr>
          <w:rStyle w:val="ECHRPara"/>
        </w:rPr>
        <w:t>а</w:t>
      </w:r>
      <w:r w:rsidRPr="00376665">
        <w:rPr>
          <w:rStyle w:val="ECHRPara"/>
        </w:rPr>
        <w:t xml:space="preserve"> в националното </w:t>
      </w:r>
      <w:r w:rsidR="00A36E05" w:rsidRPr="00376665">
        <w:rPr>
          <w:rStyle w:val="ECHRPara"/>
        </w:rPr>
        <w:t xml:space="preserve">законодателство </w:t>
      </w:r>
      <w:r w:rsidRPr="00376665">
        <w:rPr>
          <w:rStyle w:val="ECHRPara"/>
        </w:rPr>
        <w:t xml:space="preserve">(вж. </w:t>
      </w:r>
      <w:r w:rsidRPr="00376665">
        <w:rPr>
          <w:rStyle w:val="ECHRPara"/>
          <w:i/>
        </w:rPr>
        <w:t>Kopecký v. Slovakia</w:t>
      </w:r>
      <w:r w:rsidRPr="00376665">
        <w:rPr>
          <w:rStyle w:val="ECHRPara"/>
        </w:rPr>
        <w:t xml:space="preserve"> [</w:t>
      </w:r>
      <w:r w:rsidR="000512DA">
        <w:rPr>
          <w:rStyle w:val="ECHRPara"/>
        </w:rPr>
        <w:t>ГК</w:t>
      </w:r>
      <w:r w:rsidRPr="00376665">
        <w:rPr>
          <w:rStyle w:val="ECHRPara"/>
        </w:rPr>
        <w:t xml:space="preserve">], </w:t>
      </w:r>
      <w:r w:rsidRPr="00376665">
        <w:rPr>
          <w:rStyle w:val="ECHRPara"/>
          <w:cs/>
        </w:rPr>
        <w:t>№</w:t>
      </w:r>
      <w:r w:rsidRPr="00376665">
        <w:rPr>
          <w:rStyle w:val="ECHRPara"/>
        </w:rPr>
        <w:t xml:space="preserve"> 44912/98, §§ 49 и 52, ЕСПЧ 2004-IX; </w:t>
      </w:r>
      <w:r w:rsidRPr="00376665">
        <w:rPr>
          <w:rStyle w:val="ECHRPara"/>
          <w:i/>
        </w:rPr>
        <w:t>Maurice v. France</w:t>
      </w:r>
      <w:r w:rsidRPr="00376665">
        <w:rPr>
          <w:rStyle w:val="ECHRPara"/>
        </w:rPr>
        <w:t xml:space="preserve"> [</w:t>
      </w:r>
      <w:r w:rsidR="000512DA">
        <w:rPr>
          <w:rStyle w:val="ECHRPara"/>
        </w:rPr>
        <w:t>ГК</w:t>
      </w:r>
      <w:r w:rsidRPr="00376665">
        <w:rPr>
          <w:rStyle w:val="ECHRPara"/>
        </w:rPr>
        <w:t xml:space="preserve">], </w:t>
      </w:r>
      <w:r w:rsidRPr="00376665">
        <w:rPr>
          <w:rStyle w:val="ECHRPara"/>
          <w:cs/>
        </w:rPr>
        <w:t>№</w:t>
      </w:r>
      <w:r w:rsidRPr="00376665">
        <w:rPr>
          <w:rStyle w:val="ECHRPara"/>
        </w:rPr>
        <w:t xml:space="preserve"> 11810/03, § 66, ЕСПЧ 2005-IX; </w:t>
      </w:r>
      <w:r w:rsidRPr="00376665">
        <w:rPr>
          <w:rStyle w:val="ECHRPara"/>
          <w:i/>
        </w:rPr>
        <w:t>Vilho Eskelinen and Others v. Finland</w:t>
      </w:r>
      <w:r w:rsidRPr="00376665">
        <w:rPr>
          <w:rStyle w:val="ECHRPara"/>
        </w:rPr>
        <w:t xml:space="preserve"> [</w:t>
      </w:r>
      <w:r w:rsidR="000512DA">
        <w:rPr>
          <w:rStyle w:val="ECHRPara"/>
        </w:rPr>
        <w:t>ГК</w:t>
      </w:r>
      <w:r w:rsidRPr="00376665">
        <w:rPr>
          <w:rStyle w:val="ECHRPara"/>
        </w:rPr>
        <w:t xml:space="preserve">], </w:t>
      </w:r>
      <w:r w:rsidRPr="00376665">
        <w:rPr>
          <w:rStyle w:val="ECHRPara"/>
          <w:cs/>
        </w:rPr>
        <w:t xml:space="preserve">№ </w:t>
      </w:r>
      <w:hyperlink r:id="rId11" w:anchor="{&quot;appno&quot;:[&quot;63235/00&quot;]}" w:tgtFrame="_blank" w:history="1">
        <w:r w:rsidRPr="00376665">
          <w:rPr>
            <w:rStyle w:val="ECHRPara"/>
          </w:rPr>
          <w:t>63235/00</w:t>
        </w:r>
      </w:hyperlink>
      <w:r w:rsidRPr="00376665">
        <w:rPr>
          <w:rStyle w:val="ECHRPara"/>
        </w:rPr>
        <w:t xml:space="preserve">, § 94, ЕСПЧ 2007-II; и </w:t>
      </w:r>
      <w:r w:rsidRPr="00376665">
        <w:rPr>
          <w:rStyle w:val="ECHRPara"/>
          <w:i/>
        </w:rPr>
        <w:t>Parrillo</w:t>
      </w:r>
      <w:r w:rsidRPr="00376665">
        <w:rPr>
          <w:rStyle w:val="ECHRPara"/>
        </w:rPr>
        <w:t xml:space="preserve">, цитирани по-горе, § 213), или когато жалбоподателите имат </w:t>
      </w:r>
      <w:r w:rsidRPr="00376665">
        <w:rPr>
          <w:rStyle w:val="ECHRPara"/>
          <w:cs/>
        </w:rPr>
        <w:t>“</w:t>
      </w:r>
      <w:r w:rsidRPr="00376665">
        <w:rPr>
          <w:rStyle w:val="ECHRPara"/>
        </w:rPr>
        <w:t>иск, за ко</w:t>
      </w:r>
      <w:r w:rsidR="00AE03BA" w:rsidRPr="00376665">
        <w:rPr>
          <w:rStyle w:val="ECHRPara"/>
        </w:rPr>
        <w:t>й</w:t>
      </w:r>
      <w:r w:rsidRPr="00376665">
        <w:rPr>
          <w:rStyle w:val="ECHRPara"/>
        </w:rPr>
        <w:t xml:space="preserve">то е установено в достатъчна степен, </w:t>
      </w:r>
      <w:r w:rsidR="008853E7">
        <w:rPr>
          <w:rStyle w:val="ECHRPara"/>
        </w:rPr>
        <w:t xml:space="preserve">за да </w:t>
      </w:r>
      <w:r w:rsidR="008853E7" w:rsidRPr="00376665">
        <w:rPr>
          <w:rStyle w:val="ECHRPara"/>
        </w:rPr>
        <w:t xml:space="preserve"> </w:t>
      </w:r>
      <w:r w:rsidRPr="00376665">
        <w:rPr>
          <w:rStyle w:val="ECHRPara"/>
        </w:rPr>
        <w:t>е изпълняем</w:t>
      </w:r>
      <w:r w:rsidRPr="00376665">
        <w:rPr>
          <w:rStyle w:val="ECHRPara"/>
          <w:cs/>
        </w:rPr>
        <w:t xml:space="preserve">” </w:t>
      </w:r>
      <w:r w:rsidRPr="00376665">
        <w:rPr>
          <w:rStyle w:val="ECHRPara"/>
        </w:rPr>
        <w:t xml:space="preserve">(вж. </w:t>
      </w:r>
      <w:r w:rsidRPr="00376665">
        <w:rPr>
          <w:rStyle w:val="ECHRPara"/>
          <w:i/>
        </w:rPr>
        <w:t>Gratzinger and Gratzingerova v. the Czech Republic</w:t>
      </w:r>
      <w:r w:rsidRPr="00376665">
        <w:rPr>
          <w:rStyle w:val="ECHRPara"/>
        </w:rPr>
        <w:t xml:space="preserve"> (решение за допустимост), </w:t>
      </w:r>
      <w:r w:rsidRPr="00376665">
        <w:rPr>
          <w:rStyle w:val="ECHRPara"/>
          <w:cs/>
        </w:rPr>
        <w:t xml:space="preserve">№ </w:t>
      </w:r>
      <w:hyperlink r:id="rId12" w:anchor="{&quot;appno&quot;:[&quot;39794/98&quot;]}" w:tgtFrame="_blank" w:history="1">
        <w:r w:rsidRPr="00376665">
          <w:rPr>
            <w:rStyle w:val="ECHRPara"/>
          </w:rPr>
          <w:t>39794/98</w:t>
        </w:r>
      </w:hyperlink>
      <w:r w:rsidRPr="00376665">
        <w:rPr>
          <w:rStyle w:val="ECHRPara"/>
        </w:rPr>
        <w:t>, § 74, ЕСПЧ 2002-VII), или когато засегнатите лица имат право да се позоват на факта, че конкретен правен акт няма да бъде анулиран с</w:t>
      </w:r>
      <w:r w:rsidR="008853E7">
        <w:rPr>
          <w:rStyle w:val="ECHRPara"/>
        </w:rPr>
        <w:t xml:space="preserve"> обратна сила</w:t>
      </w:r>
      <w:r w:rsidR="006C6CD8">
        <w:rPr>
          <w:rStyle w:val="ECHRPara"/>
        </w:rPr>
        <w:t xml:space="preserve"> </w:t>
      </w:r>
      <w:r w:rsidRPr="00376665">
        <w:rPr>
          <w:rStyle w:val="ECHRPara"/>
        </w:rPr>
        <w:t xml:space="preserve">в техен </w:t>
      </w:r>
      <w:r w:rsidR="00AE03BA" w:rsidRPr="00376665">
        <w:rPr>
          <w:rStyle w:val="ECHRPara"/>
        </w:rPr>
        <w:t>ущърб</w:t>
      </w:r>
      <w:r w:rsidRPr="00376665">
        <w:rPr>
          <w:rStyle w:val="ECHRPara"/>
        </w:rPr>
        <w:t xml:space="preserve"> (вж. </w:t>
      </w:r>
      <w:r w:rsidRPr="00376665">
        <w:rPr>
          <w:rStyle w:val="ECHRPara"/>
          <w:i/>
        </w:rPr>
        <w:t>Kopecký</w:t>
      </w:r>
      <w:r w:rsidRPr="00376665">
        <w:rPr>
          <w:rStyle w:val="ECHRPara"/>
        </w:rPr>
        <w:t xml:space="preserve">, цитирано по-горе, § 47, и </w:t>
      </w:r>
      <w:r w:rsidRPr="00376665">
        <w:rPr>
          <w:rStyle w:val="ECHRPara"/>
          <w:i/>
        </w:rPr>
        <w:t>Noreikienė and Noreika v. Lithuania</w:t>
      </w:r>
      <w:r w:rsidRPr="00376665">
        <w:rPr>
          <w:rStyle w:val="ECHRPara"/>
        </w:rPr>
        <w:t xml:space="preserve">, </w:t>
      </w:r>
      <w:r w:rsidRPr="00376665">
        <w:rPr>
          <w:rStyle w:val="ECHRPara"/>
          <w:cs/>
        </w:rPr>
        <w:t xml:space="preserve">№ </w:t>
      </w:r>
      <w:hyperlink r:id="rId13" w:anchor="{&quot;appno&quot;:[&quot;17285/08&quot;]}" w:tgtFrame="_blank" w:history="1">
        <w:r w:rsidRPr="00376665">
          <w:rPr>
            <w:rStyle w:val="ECHRPara"/>
          </w:rPr>
          <w:t>17285/08</w:t>
        </w:r>
      </w:hyperlink>
      <w:r w:rsidRPr="00376665">
        <w:rPr>
          <w:rStyle w:val="ECHRPara"/>
        </w:rPr>
        <w:t xml:space="preserve">, § 36, 24 ноември 2015 г.) и когато такива правни актове биха могли да </w:t>
      </w:r>
      <w:r w:rsidR="008853E7">
        <w:rPr>
          <w:rStyle w:val="ECHRPara"/>
        </w:rPr>
        <w:t>представляват</w:t>
      </w:r>
      <w:r w:rsidRPr="00376665">
        <w:rPr>
          <w:rStyle w:val="ECHRPara"/>
        </w:rPr>
        <w:t xml:space="preserve"> договор, например (вж. </w:t>
      </w:r>
      <w:r w:rsidRPr="00376665">
        <w:rPr>
          <w:rStyle w:val="ECHRPara"/>
          <w:i/>
        </w:rPr>
        <w:t>Stretch v. the United Kingdom</w:t>
      </w:r>
      <w:r w:rsidRPr="00376665">
        <w:rPr>
          <w:rStyle w:val="ECHRPara"/>
        </w:rPr>
        <w:t xml:space="preserve">,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>44277/98, § 35, 24 юни 2003 г.).</w:t>
      </w:r>
    </w:p>
    <w:p w:rsidR="00FF5604" w:rsidRPr="00376665" w:rsidRDefault="00FF5604" w:rsidP="00FF5604">
      <w:pPr>
        <w:pStyle w:val="ECHRHeading4"/>
      </w:pPr>
      <w:r w:rsidRPr="00376665">
        <w:rPr>
          <w:rStyle w:val="ECHRHeading4"/>
        </w:rPr>
        <w:t>(б) Приложение на тези принципи към настоящото дело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36</w:t>
      </w:r>
      <w:r w:rsidRPr="00376665">
        <w:fldChar w:fldCharType="end"/>
      </w:r>
      <w:r w:rsidRPr="00376665">
        <w:rPr>
          <w:rStyle w:val="ECHRPara"/>
        </w:rPr>
        <w:t xml:space="preserve">.   </w:t>
      </w:r>
      <w:r w:rsidR="00764506">
        <w:rPr>
          <w:rStyle w:val="ECHRPara"/>
        </w:rPr>
        <w:t>С</w:t>
      </w:r>
      <w:r w:rsidRPr="00376665">
        <w:rPr>
          <w:rStyle w:val="ECHRPara"/>
        </w:rPr>
        <w:t>ъд</w:t>
      </w:r>
      <w:r w:rsidR="00764506">
        <w:rPr>
          <w:rStyle w:val="ECHRPara"/>
        </w:rPr>
        <w:t>ът</w:t>
      </w:r>
      <w:r w:rsidRPr="00376665">
        <w:rPr>
          <w:rStyle w:val="ECHRPara"/>
        </w:rPr>
        <w:t xml:space="preserve"> отбелязва на първо място, че не е предмет на спор между страните, че липсата на плащане </w:t>
      </w:r>
      <w:r w:rsidR="008853E7">
        <w:rPr>
          <w:rStyle w:val="ECHRPara"/>
        </w:rPr>
        <w:t>на</w:t>
      </w:r>
      <w:r w:rsidR="008853E7" w:rsidRPr="00376665">
        <w:rPr>
          <w:rStyle w:val="ECHRPara"/>
        </w:rPr>
        <w:t xml:space="preserve"> </w:t>
      </w:r>
      <w:r w:rsidRPr="00376665">
        <w:rPr>
          <w:rStyle w:val="ECHRPara"/>
        </w:rPr>
        <w:t xml:space="preserve">жалбоподателя на остатъка от </w:t>
      </w:r>
      <w:r w:rsidR="003D2B82" w:rsidRPr="00376665">
        <w:rPr>
          <w:rStyle w:val="ECHRPara"/>
        </w:rPr>
        <w:t>хонорара</w:t>
      </w:r>
      <w:r w:rsidRPr="00376665">
        <w:rPr>
          <w:rStyle w:val="ECHRPara"/>
        </w:rPr>
        <w:t xml:space="preserve">, дължим съгласно договора от 2004 г., представлява намеса в </w:t>
      </w:r>
      <w:r w:rsidR="008853E7">
        <w:rPr>
          <w:rStyle w:val="ECHRPara"/>
        </w:rPr>
        <w:t>притежанията му</w:t>
      </w:r>
      <w:r w:rsidRPr="00376665">
        <w:rPr>
          <w:rStyle w:val="ECHRPara"/>
        </w:rPr>
        <w:t>. По-конкретно</w:t>
      </w:r>
      <w:r w:rsidR="008853E7">
        <w:rPr>
          <w:rStyle w:val="ECHRPara"/>
        </w:rPr>
        <w:t>,</w:t>
      </w:r>
      <w:r w:rsidRPr="00376665">
        <w:rPr>
          <w:rStyle w:val="ECHRPara"/>
        </w:rPr>
        <w:t xml:space="preserve"> страните </w:t>
      </w:r>
      <w:r w:rsidR="003D2B82" w:rsidRPr="00376665">
        <w:rPr>
          <w:rStyle w:val="ECHRPara"/>
        </w:rPr>
        <w:t xml:space="preserve">са </w:t>
      </w:r>
      <w:r w:rsidRPr="00376665">
        <w:rPr>
          <w:rStyle w:val="ECHRPara"/>
        </w:rPr>
        <w:t xml:space="preserve">съгласяват, че жалбоподателят е имал легитимното очакване да получи </w:t>
      </w:r>
      <w:r w:rsidR="008853E7">
        <w:rPr>
          <w:rStyle w:val="ECHRPara"/>
        </w:rPr>
        <w:t>въпросното</w:t>
      </w:r>
      <w:r w:rsidR="008853E7" w:rsidRPr="00376665">
        <w:rPr>
          <w:rStyle w:val="ECHRPara"/>
        </w:rPr>
        <w:t xml:space="preserve"> </w:t>
      </w:r>
      <w:r w:rsidRPr="00376665">
        <w:rPr>
          <w:rStyle w:val="ECHRPara"/>
        </w:rPr>
        <w:t xml:space="preserve">плащане. Това легитимно очакване приема формата на иск, който е достатъчно изпълняем съгласно </w:t>
      </w:r>
      <w:r w:rsidR="003D2B82" w:rsidRPr="00376665">
        <w:rPr>
          <w:rStyle w:val="ECHRPara"/>
        </w:rPr>
        <w:t>националното законодателство</w:t>
      </w:r>
      <w:r w:rsidRPr="00376665">
        <w:rPr>
          <w:rStyle w:val="ECHRPara"/>
        </w:rPr>
        <w:t xml:space="preserve"> и следователно представлява актив, защитен </w:t>
      </w:r>
      <w:r w:rsidR="003D2B82" w:rsidRPr="00376665">
        <w:rPr>
          <w:rStyle w:val="ECHRPara"/>
        </w:rPr>
        <w:t>съгласно</w:t>
      </w:r>
      <w:r w:rsidRPr="00376665">
        <w:rPr>
          <w:rStyle w:val="ECHRPara"/>
        </w:rPr>
        <w:t xml:space="preserve"> чл. 1 от Протокол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 xml:space="preserve">1 (вж. параграф 35 по-горе). Страните обаче не постигат съгласие относно датата, на която плащането е </w:t>
      </w:r>
      <w:r w:rsidR="00C65D18">
        <w:rPr>
          <w:rStyle w:val="ECHRPara"/>
        </w:rPr>
        <w:t xml:space="preserve">станало </w:t>
      </w:r>
      <w:r w:rsidRPr="00376665">
        <w:rPr>
          <w:rStyle w:val="ECHRPara"/>
        </w:rPr>
        <w:t>дължимо.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37</w:t>
      </w:r>
      <w:r w:rsidRPr="00376665">
        <w:fldChar w:fldCharType="end"/>
      </w:r>
      <w:r w:rsidRPr="00376665">
        <w:rPr>
          <w:rStyle w:val="ECHRPara"/>
        </w:rPr>
        <w:t>.  Правителството твърди, че за жалбоподателя не</w:t>
      </w:r>
      <w:r w:rsidR="00C65D18">
        <w:rPr>
          <w:rStyle w:val="ECHRPara"/>
        </w:rPr>
        <w:t xml:space="preserve"> е</w:t>
      </w:r>
      <w:r w:rsidRPr="00376665">
        <w:rPr>
          <w:rStyle w:val="ECHRPara"/>
        </w:rPr>
        <w:t xml:space="preserve"> възник</w:t>
      </w:r>
      <w:r w:rsidR="00C65D18">
        <w:rPr>
          <w:rStyle w:val="ECHRPara"/>
        </w:rPr>
        <w:t>нало</w:t>
      </w:r>
      <w:r w:rsidRPr="00376665">
        <w:rPr>
          <w:rStyle w:val="ECHRPara"/>
        </w:rPr>
        <w:t xml:space="preserve"> легитимно очакване до 28 юни 2011 г., което е датата на окончателното съдебно решение в производството, образувано от Министерството. Жалбоподателят твърди, че легитимното му очакване възник</w:t>
      </w:r>
      <w:r w:rsidR="003D2B82" w:rsidRPr="00376665">
        <w:rPr>
          <w:rStyle w:val="ECHRPara"/>
        </w:rPr>
        <w:t>ва</w:t>
      </w:r>
      <w:r w:rsidRPr="00376665">
        <w:rPr>
          <w:rStyle w:val="ECHRPara"/>
        </w:rPr>
        <w:t xml:space="preserve"> в момента, в който е изпълнено съответното условие, предвидено в договора, а именно в края на производството в Париж.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38</w:t>
      </w:r>
      <w:r w:rsidRPr="00376665">
        <w:fldChar w:fldCharType="end"/>
      </w:r>
      <w:r w:rsidRPr="00376665">
        <w:rPr>
          <w:rStyle w:val="ECHRPara"/>
        </w:rPr>
        <w:t>.  Съдът отбелязва, че през месец февруари 2006 г. жалбоподателят придоби</w:t>
      </w:r>
      <w:r w:rsidR="003D2B82" w:rsidRPr="00376665">
        <w:rPr>
          <w:rStyle w:val="ECHRPara"/>
        </w:rPr>
        <w:t>ва</w:t>
      </w:r>
      <w:r w:rsidRPr="00376665">
        <w:rPr>
          <w:rStyle w:val="ECHRPara"/>
        </w:rPr>
        <w:t xml:space="preserve"> изпълнителен лист въз основа на договора, който </w:t>
      </w:r>
      <w:r w:rsidR="00C65D18">
        <w:rPr>
          <w:rStyle w:val="ECHRPara"/>
        </w:rPr>
        <w:t xml:space="preserve">е </w:t>
      </w:r>
      <w:r w:rsidRPr="00376665">
        <w:rPr>
          <w:rStyle w:val="ECHRPara"/>
        </w:rPr>
        <w:t>сключ</w:t>
      </w:r>
      <w:r w:rsidR="00C65D18">
        <w:rPr>
          <w:rStyle w:val="ECHRPara"/>
        </w:rPr>
        <w:t>ил</w:t>
      </w:r>
      <w:r w:rsidRPr="00376665">
        <w:rPr>
          <w:rStyle w:val="ECHRPara"/>
        </w:rPr>
        <w:t xml:space="preserve"> с Министерството през 2004 г. (вж. параграф 8 по-горе). Договорът представлява извънсъдебно изпълнително основание, което му дава правото съгласно националното </w:t>
      </w:r>
      <w:r w:rsidR="003D2B82" w:rsidRPr="00376665">
        <w:rPr>
          <w:rStyle w:val="ECHRPara"/>
        </w:rPr>
        <w:t xml:space="preserve">законодателство </w:t>
      </w:r>
      <w:r w:rsidRPr="00376665">
        <w:rPr>
          <w:rStyle w:val="ECHRPara"/>
        </w:rPr>
        <w:t xml:space="preserve">да иска изплащане на сумата, посочена </w:t>
      </w:r>
      <w:r w:rsidR="005204A8">
        <w:rPr>
          <w:rStyle w:val="ECHRPara"/>
        </w:rPr>
        <w:t>вътре</w:t>
      </w:r>
      <w:r w:rsidRPr="00376665">
        <w:rPr>
          <w:rStyle w:val="ECHRPara"/>
        </w:rPr>
        <w:t>, след изпълнение на договорните условия (вж. параграфи 18-19 по-горе). Съгласно съответната процедура, жалбоподателят подава изпълнителния лист в Министерството и иска да получи плащането (вж. параграф 9 по-горе). Показателно е, че Министерството не оспорва изпълнителния лист, въпреки че е можело да го направи съгласно чл. 244 от Кодекса от 1952 г., ако</w:t>
      </w:r>
      <w:r w:rsidR="00C65D18">
        <w:rPr>
          <w:rStyle w:val="ECHRPara"/>
        </w:rPr>
        <w:t xml:space="preserve"> е</w:t>
      </w:r>
      <w:r w:rsidRPr="00376665">
        <w:rPr>
          <w:rStyle w:val="ECHRPara"/>
        </w:rPr>
        <w:t xml:space="preserve"> см</w:t>
      </w:r>
      <w:r w:rsidR="00C65D18">
        <w:rPr>
          <w:rStyle w:val="ECHRPara"/>
        </w:rPr>
        <w:t>ятало</w:t>
      </w:r>
      <w:r w:rsidR="008952D9">
        <w:rPr>
          <w:rStyle w:val="ECHRPara"/>
        </w:rPr>
        <w:t>,</w:t>
      </w:r>
      <w:r w:rsidRPr="00376665">
        <w:rPr>
          <w:rStyle w:val="ECHRPara"/>
        </w:rPr>
        <w:t xml:space="preserve"> че плащането на остатъка не е </w:t>
      </w:r>
      <w:r w:rsidR="00C65D18">
        <w:rPr>
          <w:rStyle w:val="ECHRPara"/>
        </w:rPr>
        <w:t xml:space="preserve">било </w:t>
      </w:r>
      <w:r w:rsidRPr="00376665">
        <w:rPr>
          <w:rStyle w:val="ECHRPara"/>
        </w:rPr>
        <w:t xml:space="preserve">дължимо към </w:t>
      </w:r>
      <w:r w:rsidR="00C65D18">
        <w:rPr>
          <w:rStyle w:val="ECHRPara"/>
        </w:rPr>
        <w:t>онзи</w:t>
      </w:r>
      <w:r w:rsidR="00C65D18" w:rsidRPr="00376665">
        <w:rPr>
          <w:rStyle w:val="ECHRPara"/>
        </w:rPr>
        <w:t xml:space="preserve"> </w:t>
      </w:r>
      <w:r w:rsidRPr="00376665">
        <w:rPr>
          <w:rStyle w:val="ECHRPara"/>
        </w:rPr>
        <w:t>момент (вж. параграф 21 по-горе). Освен това</w:t>
      </w:r>
      <w:r w:rsidR="008952D9">
        <w:rPr>
          <w:rStyle w:val="ECHRPara"/>
        </w:rPr>
        <w:t>,</w:t>
      </w:r>
      <w:r w:rsidRPr="00376665">
        <w:rPr>
          <w:rStyle w:val="ECHRPara"/>
        </w:rPr>
        <w:t xml:space="preserve"> Министерството не</w:t>
      </w:r>
      <w:r w:rsidR="00C65D18">
        <w:rPr>
          <w:rStyle w:val="ECHRPara"/>
        </w:rPr>
        <w:t xml:space="preserve"> е</w:t>
      </w:r>
      <w:r w:rsidRPr="00376665">
        <w:rPr>
          <w:rStyle w:val="ECHRPara"/>
        </w:rPr>
        <w:t xml:space="preserve"> предяв</w:t>
      </w:r>
      <w:r w:rsidR="00C65D18">
        <w:rPr>
          <w:rStyle w:val="ECHRPara"/>
        </w:rPr>
        <w:t>ило</w:t>
      </w:r>
      <w:r w:rsidRPr="00376665">
        <w:rPr>
          <w:rStyle w:val="ECHRPara"/>
        </w:rPr>
        <w:t xml:space="preserve"> иск по чл.</w:t>
      </w:r>
      <w:r w:rsidR="00C65D18">
        <w:rPr>
          <w:rStyle w:val="ECHRPara"/>
        </w:rPr>
        <w:t xml:space="preserve"> </w:t>
      </w:r>
      <w:r w:rsidRPr="00376665">
        <w:rPr>
          <w:rStyle w:val="ECHRPara"/>
        </w:rPr>
        <w:t>97</w:t>
      </w:r>
      <w:r w:rsidR="00C65D18">
        <w:rPr>
          <w:rStyle w:val="ECHRPara"/>
        </w:rPr>
        <w:t>, ал</w:t>
      </w:r>
      <w:r w:rsidRPr="00376665">
        <w:rPr>
          <w:rStyle w:val="ECHRPara"/>
        </w:rPr>
        <w:t xml:space="preserve"> 1 от същия Кодекс, въпреки че </w:t>
      </w:r>
      <w:r w:rsidR="00C65D18">
        <w:rPr>
          <w:rStyle w:val="ECHRPara"/>
        </w:rPr>
        <w:t xml:space="preserve">е </w:t>
      </w:r>
      <w:r w:rsidRPr="00376665">
        <w:rPr>
          <w:rStyle w:val="ECHRPara"/>
        </w:rPr>
        <w:t>разполага</w:t>
      </w:r>
      <w:r w:rsidR="00C65D18">
        <w:rPr>
          <w:rStyle w:val="ECHRPara"/>
        </w:rPr>
        <w:t>ло</w:t>
      </w:r>
      <w:r w:rsidRPr="00376665">
        <w:rPr>
          <w:rStyle w:val="ECHRPara"/>
        </w:rPr>
        <w:t xml:space="preserve"> с тази възможност</w:t>
      </w:r>
      <w:r w:rsidR="00C65D18">
        <w:rPr>
          <w:rStyle w:val="ECHRPara"/>
        </w:rPr>
        <w:t>,</w:t>
      </w:r>
      <w:r w:rsidRPr="00376665">
        <w:rPr>
          <w:rStyle w:val="ECHRPara"/>
        </w:rPr>
        <w:t xml:space="preserve"> ако </w:t>
      </w:r>
      <w:r w:rsidR="00C65D18">
        <w:rPr>
          <w:rStyle w:val="ECHRPara"/>
        </w:rPr>
        <w:t xml:space="preserve">е </w:t>
      </w:r>
      <w:r w:rsidR="00CE79D7" w:rsidRPr="00376665">
        <w:rPr>
          <w:rStyle w:val="ECHRPara"/>
        </w:rPr>
        <w:t>счита</w:t>
      </w:r>
      <w:r w:rsidR="00C65D18">
        <w:rPr>
          <w:rStyle w:val="ECHRPara"/>
        </w:rPr>
        <w:t>ло</w:t>
      </w:r>
      <w:r w:rsidRPr="00376665">
        <w:rPr>
          <w:rStyle w:val="ECHRPara"/>
        </w:rPr>
        <w:t>, че не дължи парите, претендирани от жалбоподателя (вж. параграф 23 по-горе).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39</w:t>
      </w:r>
      <w:r w:rsidRPr="00376665">
        <w:fldChar w:fldCharType="end"/>
      </w:r>
      <w:r w:rsidRPr="00376665">
        <w:rPr>
          <w:rStyle w:val="ECHRPara"/>
        </w:rPr>
        <w:t>.  В съдебн</w:t>
      </w:r>
      <w:r w:rsidR="00C65D18">
        <w:rPr>
          <w:rStyle w:val="ECHRPara"/>
        </w:rPr>
        <w:t>ото</w:t>
      </w:r>
      <w:r w:rsidRPr="00376665">
        <w:rPr>
          <w:rStyle w:val="ECHRPara"/>
        </w:rPr>
        <w:t xml:space="preserve"> производств</w:t>
      </w:r>
      <w:r w:rsidR="00C65D18">
        <w:rPr>
          <w:rStyle w:val="ECHRPara"/>
        </w:rPr>
        <w:t>о</w:t>
      </w:r>
      <w:r w:rsidRPr="00376665">
        <w:rPr>
          <w:rStyle w:val="ECHRPara"/>
        </w:rPr>
        <w:t>, ко</w:t>
      </w:r>
      <w:r w:rsidR="00C65D18">
        <w:rPr>
          <w:rStyle w:val="ECHRPara"/>
        </w:rPr>
        <w:t>е</w:t>
      </w:r>
      <w:r w:rsidRPr="00376665">
        <w:rPr>
          <w:rStyle w:val="ECHRPara"/>
        </w:rPr>
        <w:t xml:space="preserve">то Министерството </w:t>
      </w:r>
      <w:r w:rsidR="007B53E5" w:rsidRPr="00376665">
        <w:rPr>
          <w:rStyle w:val="ECHRPara"/>
        </w:rPr>
        <w:t xml:space="preserve">инициира </w:t>
      </w:r>
      <w:r w:rsidRPr="00376665">
        <w:rPr>
          <w:rStyle w:val="ECHRPara"/>
        </w:rPr>
        <w:t xml:space="preserve">впоследствие срещу жалбоподателя, то иска </w:t>
      </w:r>
      <w:r w:rsidR="00C65D18">
        <w:rPr>
          <w:rStyle w:val="ECHRPara"/>
        </w:rPr>
        <w:t>прилагането на клауза за неустойка</w:t>
      </w:r>
      <w:r w:rsidRPr="00376665">
        <w:rPr>
          <w:rStyle w:val="ECHRPara"/>
        </w:rPr>
        <w:t xml:space="preserve">, предвидена в договора, както и обезщетение, което включва връщането от негова страна на първата половина от </w:t>
      </w:r>
      <w:r w:rsidR="007B53E5" w:rsidRPr="00376665">
        <w:rPr>
          <w:rStyle w:val="ECHRPara"/>
        </w:rPr>
        <w:t>хонорара</w:t>
      </w:r>
      <w:r w:rsidRPr="00376665">
        <w:rPr>
          <w:rStyle w:val="ECHRPara"/>
        </w:rPr>
        <w:t xml:space="preserve">, която вече му е платена от Министерството. Както е видно от фактите, в това производство Министерството не оспорва валидността на договора като цяло, нито на някоя от неговите разпоредби, нито оспорва остатъка от </w:t>
      </w:r>
      <w:r w:rsidR="007B53E5" w:rsidRPr="00376665">
        <w:rPr>
          <w:rStyle w:val="ECHRPara"/>
        </w:rPr>
        <w:t>хонорара</w:t>
      </w:r>
      <w:r w:rsidRPr="00376665">
        <w:rPr>
          <w:rStyle w:val="ECHRPara"/>
        </w:rPr>
        <w:t xml:space="preserve">, </w:t>
      </w:r>
      <w:r w:rsidR="00F511D8">
        <w:rPr>
          <w:rStyle w:val="ECHRPara"/>
        </w:rPr>
        <w:t>който</w:t>
      </w:r>
      <w:r w:rsidRPr="00376665">
        <w:rPr>
          <w:rStyle w:val="ECHRPara"/>
        </w:rPr>
        <w:t xml:space="preserve"> жалбоподателят вече е </w:t>
      </w:r>
      <w:r w:rsidR="00F511D8">
        <w:rPr>
          <w:rStyle w:val="ECHRPara"/>
        </w:rPr>
        <w:t>заявил</w:t>
      </w:r>
      <w:r w:rsidRPr="00376665">
        <w:rPr>
          <w:rStyle w:val="ECHRPara"/>
        </w:rPr>
        <w:t xml:space="preserve">, че му </w:t>
      </w:r>
      <w:r w:rsidR="00F511D8">
        <w:rPr>
          <w:rStyle w:val="ECHRPara"/>
        </w:rPr>
        <w:t>се</w:t>
      </w:r>
      <w:r w:rsidRPr="00376665">
        <w:rPr>
          <w:rStyle w:val="ECHRPara"/>
        </w:rPr>
        <w:t xml:space="preserve"> дължи, и ко</w:t>
      </w:r>
      <w:r w:rsidR="00F511D8">
        <w:rPr>
          <w:rStyle w:val="ECHRPara"/>
        </w:rPr>
        <w:t>й</w:t>
      </w:r>
      <w:r w:rsidRPr="00376665">
        <w:rPr>
          <w:rStyle w:val="ECHRPara"/>
        </w:rPr>
        <w:t xml:space="preserve">то е предмет на настоящото дело (вж. параграф 11 по-горе). Националните съдилища също не се занимават с остатъка от </w:t>
      </w:r>
      <w:r w:rsidR="007B53E5" w:rsidRPr="00376665">
        <w:rPr>
          <w:rStyle w:val="ECHRPara"/>
        </w:rPr>
        <w:t>хонорара</w:t>
      </w:r>
      <w:r w:rsidRPr="00376665">
        <w:rPr>
          <w:rStyle w:val="ECHRPara"/>
        </w:rPr>
        <w:t xml:space="preserve"> в тези производства (вж. параграфи 12-13 по-горе).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40</w:t>
      </w:r>
      <w:r w:rsidRPr="00376665">
        <w:fldChar w:fldCharType="end"/>
      </w:r>
      <w:r w:rsidRPr="00376665">
        <w:rPr>
          <w:rStyle w:val="ECHRPara"/>
        </w:rPr>
        <w:t xml:space="preserve">.  Съдът отбелязва, че макар да е вярно, че в производството пред Софийски градски съд Министерството твърди, че жалбоподателят не е изпълнил задълженията си по договора, този съд е отсъдил в полза на Министерството само по една конкретна точка, по отношение на която неустойката, договорена </w:t>
      </w:r>
      <w:r w:rsidR="00516B46" w:rsidRPr="00376665">
        <w:rPr>
          <w:rStyle w:val="ECHRPara"/>
        </w:rPr>
        <w:t xml:space="preserve">в </w:t>
      </w:r>
      <w:r w:rsidRPr="00376665">
        <w:rPr>
          <w:rStyle w:val="ECHRPara"/>
        </w:rPr>
        <w:t xml:space="preserve">договора, е станала </w:t>
      </w:r>
      <w:r w:rsidR="00F511D8">
        <w:rPr>
          <w:rStyle w:val="ECHRPara"/>
        </w:rPr>
        <w:t>дължима</w:t>
      </w:r>
      <w:r w:rsidR="00F511D8" w:rsidRPr="00376665">
        <w:rPr>
          <w:rStyle w:val="ECHRPara"/>
        </w:rPr>
        <w:t xml:space="preserve"> </w:t>
      </w:r>
      <w:r w:rsidRPr="00376665">
        <w:rPr>
          <w:rStyle w:val="ECHRPara"/>
        </w:rPr>
        <w:t>от жалбоподателя.</w:t>
      </w:r>
      <w:r w:rsidR="003B1B9F">
        <w:rPr>
          <w:rStyle w:val="ECHRPara"/>
        </w:rPr>
        <w:t xml:space="preserve"> </w:t>
      </w:r>
      <w:r w:rsidRPr="00376665">
        <w:rPr>
          <w:rStyle w:val="ECHRPara"/>
        </w:rPr>
        <w:t>Софийски градски съд установява, че жалбоподателят е изпълнил своите договорни задължения</w:t>
      </w:r>
      <w:r w:rsidR="00165936" w:rsidRPr="00165936">
        <w:rPr>
          <w:rStyle w:val="ECHRPara"/>
        </w:rPr>
        <w:t xml:space="preserve"> </w:t>
      </w:r>
      <w:r w:rsidR="00165936">
        <w:rPr>
          <w:rStyle w:val="ECHRPara"/>
        </w:rPr>
        <w:t>в</w:t>
      </w:r>
      <w:r w:rsidR="00165936" w:rsidRPr="00376665">
        <w:rPr>
          <w:rStyle w:val="ECHRPara"/>
        </w:rPr>
        <w:t xml:space="preserve">ъв всички останали </w:t>
      </w:r>
      <w:r w:rsidR="00165936" w:rsidRPr="0091526C">
        <w:rPr>
          <w:rStyle w:val="ECHRPara"/>
        </w:rPr>
        <w:t xml:space="preserve"> </w:t>
      </w:r>
      <w:r w:rsidR="00165936">
        <w:rPr>
          <w:rStyle w:val="ECHRPara"/>
        </w:rPr>
        <w:t>отношения</w:t>
      </w:r>
      <w:r w:rsidRPr="00376665">
        <w:rPr>
          <w:rStyle w:val="ECHRPara"/>
        </w:rPr>
        <w:t xml:space="preserve">, отказва </w:t>
      </w:r>
      <w:r w:rsidR="00516B46" w:rsidRPr="00376665">
        <w:rPr>
          <w:rStyle w:val="ECHRPara"/>
        </w:rPr>
        <w:t xml:space="preserve">възстановяване на </w:t>
      </w:r>
      <w:r w:rsidRPr="00376665">
        <w:rPr>
          <w:rStyle w:val="ECHRPara"/>
        </w:rPr>
        <w:t xml:space="preserve">Министерството първата половина от </w:t>
      </w:r>
      <w:r w:rsidR="00516B46" w:rsidRPr="00376665">
        <w:rPr>
          <w:rStyle w:val="ECHRPara"/>
        </w:rPr>
        <w:t>хонорара му</w:t>
      </w:r>
      <w:r w:rsidR="008952D9">
        <w:rPr>
          <w:rStyle w:val="ECHRPara"/>
        </w:rPr>
        <w:t>,</w:t>
      </w:r>
      <w:r w:rsidRPr="00376665">
        <w:rPr>
          <w:rStyle w:val="ECHRPara"/>
        </w:rPr>
        <w:t xml:space="preserve"> и не споменава остатъка. За да получи плащането на този остатък, жалбоподателят </w:t>
      </w:r>
      <w:r w:rsidR="00165936">
        <w:rPr>
          <w:rStyle w:val="ECHRPara"/>
        </w:rPr>
        <w:t xml:space="preserve">е трябвало </w:t>
      </w:r>
      <w:r w:rsidRPr="00376665">
        <w:rPr>
          <w:rStyle w:val="ECHRPara"/>
        </w:rPr>
        <w:t xml:space="preserve">да получи изпълнителен лист и да го представи на Министерството; направил е и двете неща. Тъй като изпълнителният лист не е анулиран и жалбоподателят е спазил </w:t>
      </w:r>
      <w:r w:rsidR="00165936">
        <w:rPr>
          <w:rStyle w:val="ECHRPara"/>
        </w:rPr>
        <w:t>приложимата</w:t>
      </w:r>
      <w:r w:rsidR="00165936" w:rsidRPr="00376665">
        <w:rPr>
          <w:rStyle w:val="ECHRPara"/>
        </w:rPr>
        <w:t xml:space="preserve"> </w:t>
      </w:r>
      <w:r w:rsidRPr="00376665">
        <w:rPr>
          <w:rStyle w:val="ECHRPara"/>
        </w:rPr>
        <w:t>национална процедура за искане на дължимото плащане (вж. параграф 9 по-горе), Съдът няма друг избор освен да установи, че плащането е станало дължимо на 24 февруари 2006 г., когато изпълнителният лист е подаден в Министерството. От документите в преписката е видно, че</w:t>
      </w:r>
      <w:r w:rsidR="00165936">
        <w:rPr>
          <w:rStyle w:val="ECHRPara"/>
        </w:rPr>
        <w:t xml:space="preserve"> на жалбоподателя</w:t>
      </w:r>
      <w:r w:rsidRPr="00376665">
        <w:rPr>
          <w:rStyle w:val="ECHRPara"/>
        </w:rPr>
        <w:t xml:space="preserve"> така и не му е платен остатъкът от </w:t>
      </w:r>
      <w:r w:rsidR="008952D9">
        <w:rPr>
          <w:rStyle w:val="ECHRPara"/>
        </w:rPr>
        <w:t xml:space="preserve">полагащия му се </w:t>
      </w:r>
      <w:r w:rsidR="00516B46" w:rsidRPr="00376665">
        <w:rPr>
          <w:rStyle w:val="ECHRPara"/>
        </w:rPr>
        <w:t>хонорар</w:t>
      </w:r>
      <w:r w:rsidRPr="00376665">
        <w:rPr>
          <w:rStyle w:val="ECHRPara"/>
        </w:rPr>
        <w:t>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41</w:t>
      </w:r>
      <w:r w:rsidRPr="00376665">
        <w:fldChar w:fldCharType="end"/>
      </w:r>
      <w:r w:rsidRPr="00376665">
        <w:rPr>
          <w:rStyle w:val="ECHRPara"/>
        </w:rPr>
        <w:t xml:space="preserve">.  Освен това, както става ясно от представените от ответното Правителство становища пред Съда, то по същество не оспорва необходимостта от плащане на остатъка от </w:t>
      </w:r>
      <w:r w:rsidR="00516B46" w:rsidRPr="00376665">
        <w:rPr>
          <w:rStyle w:val="ECHRPara"/>
        </w:rPr>
        <w:t>хонорара</w:t>
      </w:r>
      <w:r w:rsidRPr="00376665">
        <w:rPr>
          <w:rStyle w:val="ECHRPara"/>
        </w:rPr>
        <w:t>, но изпълнителният лист от 2006 г. е изгубен, което създава пречка за плащането (вж. параграф 32 по-горе и параграф 52 по-долу).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42</w:t>
      </w:r>
      <w:r w:rsidRPr="00376665">
        <w:fldChar w:fldCharType="end"/>
      </w:r>
      <w:r w:rsidRPr="00376665">
        <w:rPr>
          <w:rStyle w:val="ECHRPara"/>
        </w:rPr>
        <w:t xml:space="preserve">.  Гореизложените съображения са достатъчни, за да дадат </w:t>
      </w:r>
      <w:r w:rsidR="005204A8">
        <w:rPr>
          <w:rStyle w:val="ECHRPara"/>
        </w:rPr>
        <w:t>основание</w:t>
      </w:r>
      <w:r w:rsidRPr="00376665">
        <w:rPr>
          <w:rStyle w:val="ECHRPara"/>
        </w:rPr>
        <w:t xml:space="preserve"> на Съда да заключи, че е налице нарушение на чл. 1 от Протокол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>1 към Конвенцията.</w:t>
      </w:r>
    </w:p>
    <w:p w:rsidR="00FF5604" w:rsidRPr="00376665" w:rsidRDefault="00FF5604" w:rsidP="00FF5604">
      <w:pPr>
        <w:pStyle w:val="ECHRHeading1"/>
      </w:pPr>
      <w:r w:rsidRPr="00376665">
        <w:rPr>
          <w:rStyle w:val="ECHRHeading1"/>
        </w:rPr>
        <w:t>II.  ТВЪРДЯНО НАРУШЕНИЕ НА ЧЛ. 13 ОТ КОНВЕНЦИЯТА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43</w:t>
      </w:r>
      <w:r w:rsidRPr="00376665">
        <w:fldChar w:fldCharType="end"/>
      </w:r>
      <w:r w:rsidRPr="00376665">
        <w:rPr>
          <w:rStyle w:val="ECHRPara"/>
        </w:rPr>
        <w:t xml:space="preserve">.  Жалбоподателят се оплаква, че не е имал ефективно правно средство за защита във връзка със своето оплакване в противоречие с чл. 13 от Конвенцията във връзка с чл. 1 от Протокол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>1 към Конвенцията. Чл. 13 гласи следното:</w:t>
      </w:r>
    </w:p>
    <w:p w:rsidR="00FF5604" w:rsidRPr="00376665" w:rsidRDefault="00FF5604" w:rsidP="00FF5604">
      <w:pPr>
        <w:pStyle w:val="ECHRParaQuote"/>
      </w:pPr>
      <w:r w:rsidRPr="00376665">
        <w:rPr>
          <w:rStyle w:val="ECHRParaQuote"/>
        </w:rPr>
        <w:t>"Βсеки, чиито права и свободи, провъзгласени в тази Конвенция, са нарушени, има право на ефикасни правни средства за тяхната защита пред съответните национални власти, дори и нарушението да е извършено от лица, действащи при упражняване на служебни функции."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44</w:t>
      </w:r>
      <w:r w:rsidRPr="00376665">
        <w:fldChar w:fldCharType="end"/>
      </w:r>
      <w:r w:rsidRPr="00376665">
        <w:rPr>
          <w:rStyle w:val="ECHRPara"/>
        </w:rPr>
        <w:t xml:space="preserve">.  Жалбоподателят заявява, че липсата на ефективно правно средство за защита във връзка с неговата жалба е доказана от неговите многобройни неуспешни опити </w:t>
      </w:r>
      <w:r w:rsidR="00804EE0" w:rsidRPr="00376665">
        <w:rPr>
          <w:rStyle w:val="ECHRPara"/>
        </w:rPr>
        <w:t xml:space="preserve">да </w:t>
      </w:r>
      <w:r w:rsidRPr="00376665">
        <w:rPr>
          <w:rStyle w:val="ECHRPara"/>
        </w:rPr>
        <w:t>получ</w:t>
      </w:r>
      <w:r w:rsidR="00804EE0" w:rsidRPr="00376665">
        <w:rPr>
          <w:rStyle w:val="ECHRPara"/>
        </w:rPr>
        <w:t>и</w:t>
      </w:r>
      <w:r w:rsidRPr="00376665">
        <w:rPr>
          <w:rStyle w:val="ECHRPara"/>
        </w:rPr>
        <w:t xml:space="preserve"> плащане от Министерството, които включват и обръщането му към омбудсмана.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45</w:t>
      </w:r>
      <w:r w:rsidRPr="00376665">
        <w:fldChar w:fldCharType="end"/>
      </w:r>
      <w:r w:rsidRPr="00376665">
        <w:rPr>
          <w:rStyle w:val="ECHRPara"/>
        </w:rPr>
        <w:t>.  Правителството подчертава, че това е еднократна, изолирана ситуация, която по никакъв начин не е представителна за обща или структурна липса на средства за защита в случай на неплащане от страна на държавните институции на неизплатените им задължения.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46</w:t>
      </w:r>
      <w:r w:rsidRPr="00376665">
        <w:fldChar w:fldCharType="end"/>
      </w:r>
      <w:r w:rsidRPr="00376665">
        <w:rPr>
          <w:rStyle w:val="ECHRPara"/>
        </w:rPr>
        <w:t xml:space="preserve">.  Съдът на първо място отбелязва, че това оплакване е свързано с разгледаното по-горе и също </w:t>
      </w:r>
      <w:r w:rsidR="009154A2" w:rsidRPr="00376665">
        <w:rPr>
          <w:rStyle w:val="ECHRPara"/>
        </w:rPr>
        <w:t xml:space="preserve">следва </w:t>
      </w:r>
      <w:r w:rsidRPr="00376665">
        <w:rPr>
          <w:rStyle w:val="ECHRPara"/>
        </w:rPr>
        <w:t xml:space="preserve">да </w:t>
      </w:r>
      <w:r w:rsidR="009154A2" w:rsidRPr="00376665">
        <w:rPr>
          <w:rStyle w:val="ECHRPara"/>
        </w:rPr>
        <w:t xml:space="preserve">се </w:t>
      </w:r>
      <w:r w:rsidRPr="00376665">
        <w:rPr>
          <w:rStyle w:val="ECHRPara"/>
        </w:rPr>
        <w:t>обяв</w:t>
      </w:r>
      <w:r w:rsidR="009154A2" w:rsidRPr="00376665">
        <w:rPr>
          <w:rStyle w:val="ECHRPara"/>
        </w:rPr>
        <w:t>и</w:t>
      </w:r>
      <w:r w:rsidRPr="00376665">
        <w:rPr>
          <w:rStyle w:val="ECHRPara"/>
        </w:rPr>
        <w:t xml:space="preserve"> за допустимо.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47</w:t>
      </w:r>
      <w:r w:rsidRPr="00376665">
        <w:fldChar w:fldCharType="end"/>
      </w:r>
      <w:r w:rsidRPr="00376665">
        <w:rPr>
          <w:rStyle w:val="ECHRPara"/>
        </w:rPr>
        <w:t xml:space="preserve">.  Съдът отбелязва, че жалбоподателят е направил всичко, което е трябвало да направи по закон и на практика, за да получи плащане на дължимия остатък (вж. параграфи 9 и 38 по-горе). Той отбелязва освен това, че процедурата </w:t>
      </w:r>
      <w:r w:rsidR="009154A2" w:rsidRPr="00376665">
        <w:rPr>
          <w:rStyle w:val="ECHRPara"/>
        </w:rPr>
        <w:t xml:space="preserve">за </w:t>
      </w:r>
      <w:r w:rsidRPr="00376665">
        <w:rPr>
          <w:rStyle w:val="ECHRPara"/>
        </w:rPr>
        <w:t xml:space="preserve">общо изпълнение на окончателните съдебни решения не е приложима по отношение на искове срещу </w:t>
      </w:r>
      <w:r w:rsidR="009154A2" w:rsidRPr="00376665">
        <w:rPr>
          <w:rStyle w:val="ECHRPara"/>
        </w:rPr>
        <w:t>д</w:t>
      </w:r>
      <w:r w:rsidRPr="00C0447B">
        <w:rPr>
          <w:rStyle w:val="ECHRPara"/>
        </w:rPr>
        <w:t>ържавата</w:t>
      </w:r>
      <w:r w:rsidRPr="00376665">
        <w:rPr>
          <w:rStyle w:val="ECHRPara"/>
        </w:rPr>
        <w:t xml:space="preserve"> и че няма специална процедура, която да ускори или отстрани отрицателните последици от забавеното изпълнение в такива случаи (вж. параграфи 24-27 по-горе). Съдът многократно е заявявал, че макар държавите-членки да разполагат с широка свобода на преценка при предоставянето на такова средство за защита в съответствие със собствената си правна система и традиции, все пак трябва да съществува средство за защита на забавеното изпълнение на искове срещу държавата (вж. </w:t>
      </w:r>
      <w:r w:rsidRPr="00376665">
        <w:rPr>
          <w:rStyle w:val="ECHRPara"/>
          <w:i/>
        </w:rPr>
        <w:t>Scordino v. Italy</w:t>
      </w:r>
      <w:r w:rsidRPr="00376665">
        <w:rPr>
          <w:rStyle w:val="ECHRPara"/>
        </w:rPr>
        <w:t xml:space="preserve"> (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 xml:space="preserve">1) [GC],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 xml:space="preserve">36813/97, §§ 186187, ЕСПЧ 2006-V и </w:t>
      </w:r>
      <w:r w:rsidRPr="00376665">
        <w:rPr>
          <w:rStyle w:val="ECHRPara"/>
          <w:i/>
        </w:rPr>
        <w:t>Burdov v. Russia</w:t>
      </w:r>
      <w:r w:rsidRPr="00376665">
        <w:rPr>
          <w:rStyle w:val="ECHRPara"/>
        </w:rPr>
        <w:t xml:space="preserve"> (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 xml:space="preserve">2),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>33509/04, §§ 96-100, ЕСПЧ 2009). Правителството</w:t>
      </w:r>
      <w:r w:rsidRPr="00376665">
        <w:rPr>
          <w:rStyle w:val="ECHRPara"/>
          <w:color w:val="1F497D"/>
        </w:rPr>
        <w:t xml:space="preserve"> </w:t>
      </w:r>
      <w:r w:rsidRPr="00376665">
        <w:rPr>
          <w:rStyle w:val="ECHRPara"/>
        </w:rPr>
        <w:t>не е посочило наличието на ефективно вътрешноправно средство за защита в такива ситуации.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48</w:t>
      </w:r>
      <w:r w:rsidRPr="00376665">
        <w:fldChar w:fldCharType="end"/>
      </w:r>
      <w:r w:rsidRPr="00376665">
        <w:rPr>
          <w:rStyle w:val="ECHRPara"/>
        </w:rPr>
        <w:t xml:space="preserve">.  Съответно Съдът констатира, че е налице нарушение на чл. 13 във връзка с чл. 1 от Протокол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>1.</w:t>
      </w:r>
    </w:p>
    <w:p w:rsidR="00FF5604" w:rsidRPr="00376665" w:rsidRDefault="00FF5604" w:rsidP="00FF5604">
      <w:pPr>
        <w:pStyle w:val="ECHRHeading1"/>
      </w:pPr>
      <w:r w:rsidRPr="00376665">
        <w:rPr>
          <w:rStyle w:val="ECHRHeading1"/>
        </w:rPr>
        <w:t>III.  ПРИЛ</w:t>
      </w:r>
      <w:r w:rsidR="009154A2" w:rsidRPr="00376665">
        <w:rPr>
          <w:rStyle w:val="ECHRHeading1"/>
        </w:rPr>
        <w:t>ОЖЕНИЕ</w:t>
      </w:r>
      <w:r w:rsidRPr="00376665">
        <w:rPr>
          <w:rStyle w:val="ECHRHeading1"/>
        </w:rPr>
        <w:t xml:space="preserve"> НА ЧЛЕН 41 ОТ КОНВЕНЦИЯТА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49</w:t>
      </w:r>
      <w:r w:rsidRPr="00376665">
        <w:fldChar w:fldCharType="end"/>
      </w:r>
      <w:r w:rsidRPr="00376665">
        <w:rPr>
          <w:rStyle w:val="ECHRPara"/>
        </w:rPr>
        <w:t>.  Чл. 41 от Конвенцията гласи:</w:t>
      </w:r>
    </w:p>
    <w:p w:rsidR="00FF5604" w:rsidRPr="00376665" w:rsidRDefault="00FF5604" w:rsidP="00FF5604">
      <w:pPr>
        <w:pStyle w:val="ECHRParaQuote"/>
        <w:keepNext/>
        <w:keepLines/>
      </w:pPr>
      <w:r w:rsidRPr="00376665">
        <w:rPr>
          <w:rStyle w:val="ECHRParaQuote"/>
          <w:cs/>
        </w:rPr>
        <w:t>“</w:t>
      </w:r>
      <w:r w:rsidRPr="00376665">
        <w:rPr>
          <w:rStyle w:val="ECHRParaQuote"/>
        </w:rPr>
        <w:t>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страна."</w:t>
      </w:r>
    </w:p>
    <w:p w:rsidR="00FF5604" w:rsidRPr="00376665" w:rsidRDefault="00FF5604" w:rsidP="00FF5604">
      <w:pPr>
        <w:pStyle w:val="ECHRHeading2"/>
      </w:pPr>
      <w:r w:rsidRPr="00376665">
        <w:rPr>
          <w:rStyle w:val="ECHRHeading2"/>
        </w:rPr>
        <w:t>А. Обезщетение за вреди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50</w:t>
      </w:r>
      <w:r w:rsidRPr="00376665">
        <w:fldChar w:fldCharType="end"/>
      </w:r>
      <w:r w:rsidRPr="00376665">
        <w:rPr>
          <w:rStyle w:val="ECHRPara"/>
        </w:rPr>
        <w:t xml:space="preserve">.  Жалбоподателят претендира около 33 500 евро имуществени вреди, съответстващи на приблизително 22 000 евро като основна сума, покриваща остатъка от </w:t>
      </w:r>
      <w:r w:rsidR="009154A2" w:rsidRPr="00376665">
        <w:rPr>
          <w:rStyle w:val="ECHRPara"/>
        </w:rPr>
        <w:t>хонорара</w:t>
      </w:r>
      <w:r w:rsidRPr="00376665">
        <w:rPr>
          <w:rStyle w:val="ECHRPara"/>
        </w:rPr>
        <w:t>, ко</w:t>
      </w:r>
      <w:r w:rsidR="009154A2" w:rsidRPr="00376665">
        <w:rPr>
          <w:rStyle w:val="ECHRPara"/>
        </w:rPr>
        <w:t>й</w:t>
      </w:r>
      <w:r w:rsidRPr="00376665">
        <w:rPr>
          <w:rStyle w:val="ECHRPara"/>
        </w:rPr>
        <w:t>то му се дължи, разходите, свързани с иска за плащане на тази сума, и неустойката, произтичаща от неуспеха на Министерството да спази договорното си задължение да заплати този остатък, заедно с натрупаната лихва до 30 април 2010 г. (датата на определението на апелативния съд), плюс 11 500 евро лихва върху горепосочените суми след 30 април 2010 г.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51</w:t>
      </w:r>
      <w:r w:rsidRPr="00376665">
        <w:fldChar w:fldCharType="end"/>
      </w:r>
      <w:r w:rsidRPr="00376665">
        <w:rPr>
          <w:rStyle w:val="ECHRPara"/>
        </w:rPr>
        <w:t xml:space="preserve">.  В допълнение, жалбоподателят претендира 9 000 евро като обезщетение по отношение на неимуществени вреди. Тази сума </w:t>
      </w:r>
      <w:r w:rsidR="00567B12">
        <w:rPr>
          <w:rStyle w:val="ECHRPara"/>
        </w:rPr>
        <w:t>включва</w:t>
      </w:r>
      <w:r w:rsidR="00567B12" w:rsidRPr="00376665">
        <w:rPr>
          <w:rStyle w:val="ECHRPara"/>
        </w:rPr>
        <w:t xml:space="preserve"> </w:t>
      </w:r>
      <w:r w:rsidRPr="00376665">
        <w:rPr>
          <w:rStyle w:val="ECHRPara"/>
        </w:rPr>
        <w:t xml:space="preserve">2000 евро </w:t>
      </w:r>
      <w:r w:rsidR="009154A2" w:rsidRPr="00376665">
        <w:rPr>
          <w:rStyle w:val="ECHRPara"/>
        </w:rPr>
        <w:t>произтичащи от</w:t>
      </w:r>
      <w:r w:rsidRPr="00376665">
        <w:rPr>
          <w:rStyle w:val="ECHRPara"/>
        </w:rPr>
        <w:t xml:space="preserve"> чувството на неудовлетвореност и безпокойство, причинени му във връзка с дисциплинарното производство, </w:t>
      </w:r>
      <w:r w:rsidR="0091464C" w:rsidRPr="00376665">
        <w:rPr>
          <w:rStyle w:val="ECHRPara"/>
        </w:rPr>
        <w:t xml:space="preserve">инициирано </w:t>
      </w:r>
      <w:r w:rsidRPr="00376665">
        <w:rPr>
          <w:rStyle w:val="ECHRPara"/>
        </w:rPr>
        <w:t xml:space="preserve">пред Софийската адвокатска колегия от Министерството срещу жалбоподателя (вж. параграф 10 по-горе); 5000 евро </w:t>
      </w:r>
      <w:r w:rsidR="0091464C" w:rsidRPr="00376665">
        <w:rPr>
          <w:rStyle w:val="ECHRPara"/>
        </w:rPr>
        <w:t>произтичащи от</w:t>
      </w:r>
      <w:r w:rsidRPr="00376665">
        <w:rPr>
          <w:rStyle w:val="ECHRPara"/>
        </w:rPr>
        <w:t xml:space="preserve"> чувството на неудовлетвореност и безпокойство, причинени му за период от шест години от заведеното от Министерството съдебно производство </w:t>
      </w:r>
      <w:r w:rsidR="00567B12" w:rsidRPr="00567B12">
        <w:t xml:space="preserve">за вреди </w:t>
      </w:r>
      <w:r w:rsidRPr="00376665">
        <w:rPr>
          <w:rStyle w:val="ECHRPara"/>
        </w:rPr>
        <w:t>срещу него (вж. параграфи 11-14 по-горе); и 2000 евро във връзка с чувството му за неудовлетвореност, произтичащо от отказа на Министерството да му плати дължимата сума в продължение на повече от десет години.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52</w:t>
      </w:r>
      <w:r w:rsidRPr="00376665">
        <w:fldChar w:fldCharType="end"/>
      </w:r>
      <w:r w:rsidRPr="00376665">
        <w:rPr>
          <w:rStyle w:val="ECHRPara"/>
        </w:rPr>
        <w:t>.  Правителството оспорва иска за обезщетение за имуществени вреди и подчертава, че Министерството не е платило, защото е загубило първоначалния изпълнителен лист, a жалбоподателят не е поискал да му бъде издаден дубликат. То също така потвърждава, че претендираната сума, както е установено в представения от жалбоподателя експертен доклад, не съответства на фактите по делото.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53</w:t>
      </w:r>
      <w:r w:rsidRPr="00376665">
        <w:fldChar w:fldCharType="end"/>
      </w:r>
      <w:r w:rsidRPr="00376665">
        <w:rPr>
          <w:rStyle w:val="ECHRPara"/>
        </w:rPr>
        <w:t>.  Що се отнася до иска за обезщетение за неимуществени вреди, то счита исканата сума за прекомерно висока и твърди, че ако Съдът установи нарушение на Конвенцията по отношение на жалбоподателя, тази констатация би представлявала достатъчно справедливо обезщетение.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54</w:t>
      </w:r>
      <w:r w:rsidRPr="00376665">
        <w:fldChar w:fldCharType="end"/>
      </w:r>
      <w:r w:rsidRPr="00376665">
        <w:rPr>
          <w:rStyle w:val="ECHRPara"/>
        </w:rPr>
        <w:t xml:space="preserve">.  Съдът </w:t>
      </w:r>
      <w:r w:rsidR="0091464C" w:rsidRPr="00376665">
        <w:rPr>
          <w:rStyle w:val="ECHRPara"/>
        </w:rPr>
        <w:t>напомня</w:t>
      </w:r>
      <w:r w:rsidRPr="00376665">
        <w:rPr>
          <w:rStyle w:val="ECHRPara"/>
        </w:rPr>
        <w:t>, че за да бъдат присъдени имуществени вреди, жалбоподател</w:t>
      </w:r>
      <w:r w:rsidR="008C2A74">
        <w:rPr>
          <w:rStyle w:val="ECHRPara"/>
        </w:rPr>
        <w:t>ят</w:t>
      </w:r>
      <w:r w:rsidRPr="00376665">
        <w:rPr>
          <w:rStyle w:val="ECHRPara"/>
        </w:rPr>
        <w:t xml:space="preserve"> трябва да докаже, че е налице причинно-следствена връзка между нарушението и всяка твърдяна финансова загуба (вж. например </w:t>
      </w:r>
      <w:r w:rsidRPr="00376665">
        <w:rPr>
          <w:rStyle w:val="ECHRPara"/>
          <w:i/>
        </w:rPr>
        <w:t>Družstevní záložna Pria and Others v. the Czech Republic</w:t>
      </w:r>
      <w:r w:rsidRPr="00376665">
        <w:rPr>
          <w:rStyle w:val="ECHRPara"/>
        </w:rPr>
        <w:t xml:space="preserve"> (справедливо обезщетение), </w:t>
      </w:r>
      <w:r w:rsidRPr="00376665">
        <w:rPr>
          <w:rStyle w:val="ECHRPara"/>
          <w:cs/>
        </w:rPr>
        <w:t xml:space="preserve">№ </w:t>
      </w:r>
      <w:r w:rsidRPr="00376665">
        <w:rPr>
          <w:rStyle w:val="ECHRPara"/>
        </w:rPr>
        <w:t>72034/01, § 9, 21 януари 2010 г.).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55</w:t>
      </w:r>
      <w:r w:rsidRPr="00376665">
        <w:fldChar w:fldCharType="end"/>
      </w:r>
      <w:r w:rsidRPr="00376665">
        <w:rPr>
          <w:rStyle w:val="ECHRPara"/>
        </w:rPr>
        <w:t xml:space="preserve">.  Освен това Съдът отбелязва, че оплакването на жалбоподателя пред него </w:t>
      </w:r>
      <w:r w:rsidR="0091464C" w:rsidRPr="00376665">
        <w:rPr>
          <w:rStyle w:val="ECHRPara"/>
        </w:rPr>
        <w:t xml:space="preserve">касае неплащането от страна на </w:t>
      </w:r>
      <w:r w:rsidRPr="00376665">
        <w:rPr>
          <w:rStyle w:val="ECHRPara"/>
        </w:rPr>
        <w:t>Министерството</w:t>
      </w:r>
      <w:r w:rsidR="008C2A74">
        <w:rPr>
          <w:rStyle w:val="ECHRPara"/>
        </w:rPr>
        <w:t xml:space="preserve"> на</w:t>
      </w:r>
      <w:r w:rsidRPr="00376665">
        <w:rPr>
          <w:rStyle w:val="ECHRPara"/>
        </w:rPr>
        <w:t xml:space="preserve"> остатъка от </w:t>
      </w:r>
      <w:r w:rsidR="007D4399">
        <w:rPr>
          <w:rStyle w:val="ECHRPara"/>
        </w:rPr>
        <w:t>установения</w:t>
      </w:r>
      <w:r w:rsidR="007D4399" w:rsidRPr="00376665">
        <w:rPr>
          <w:rStyle w:val="ECHRPara"/>
        </w:rPr>
        <w:t xml:space="preserve"> </w:t>
      </w:r>
      <w:r w:rsidR="007D4399">
        <w:rPr>
          <w:rStyle w:val="ECHRPara"/>
        </w:rPr>
        <w:t>в</w:t>
      </w:r>
      <w:r w:rsidR="007D4399" w:rsidRPr="00376665">
        <w:rPr>
          <w:rStyle w:val="ECHRPara"/>
        </w:rPr>
        <w:t xml:space="preserve"> </w:t>
      </w:r>
      <w:r w:rsidRPr="00376665">
        <w:rPr>
          <w:rStyle w:val="ECHRPara"/>
        </w:rPr>
        <w:t xml:space="preserve">договор </w:t>
      </w:r>
      <w:r w:rsidR="0091464C" w:rsidRPr="00376665">
        <w:rPr>
          <w:rStyle w:val="ECHRPara"/>
        </w:rPr>
        <w:t>хонорар</w:t>
      </w:r>
      <w:r w:rsidRPr="00376665">
        <w:rPr>
          <w:rStyle w:val="ECHRPara"/>
        </w:rPr>
        <w:t xml:space="preserve"> и </w:t>
      </w:r>
      <w:r w:rsidR="007D4399">
        <w:rPr>
          <w:rStyle w:val="ECHRPara"/>
        </w:rPr>
        <w:t xml:space="preserve">Съдът е </w:t>
      </w:r>
      <w:r w:rsidRPr="00376665">
        <w:rPr>
          <w:rStyle w:val="ECHRPara"/>
        </w:rPr>
        <w:t>констатира</w:t>
      </w:r>
      <w:r w:rsidR="007D4399">
        <w:rPr>
          <w:rStyle w:val="ECHRPara"/>
        </w:rPr>
        <w:t>л</w:t>
      </w:r>
      <w:r w:rsidRPr="00376665">
        <w:rPr>
          <w:rStyle w:val="ECHRPara"/>
        </w:rPr>
        <w:t xml:space="preserve"> нарушение на Конвенцията в резултат на отказа на властите да </w:t>
      </w:r>
      <w:r w:rsidR="0091464C" w:rsidRPr="00376665">
        <w:rPr>
          <w:rStyle w:val="ECHRPara"/>
        </w:rPr>
        <w:t xml:space="preserve">го </w:t>
      </w:r>
      <w:r w:rsidRPr="00376665">
        <w:rPr>
          <w:rStyle w:val="ECHRPara"/>
        </w:rPr>
        <w:t xml:space="preserve">платят. Жалбоподателят не демонстрира, че се е опитал да предяви иск за свързаното плащане на неустойка </w:t>
      </w:r>
      <w:r w:rsidR="0091464C" w:rsidRPr="00376665">
        <w:rPr>
          <w:rStyle w:val="ECHRPara"/>
        </w:rPr>
        <w:t xml:space="preserve">от </w:t>
      </w:r>
      <w:r w:rsidR="007D4399">
        <w:rPr>
          <w:rStyle w:val="ECHRPara"/>
        </w:rPr>
        <w:t>М</w:t>
      </w:r>
      <w:r w:rsidRPr="00376665">
        <w:rPr>
          <w:rStyle w:val="ECHRPara"/>
        </w:rPr>
        <w:t xml:space="preserve">инистерството като представи изпълнителен лист по отношение на тази сума, който не е включен в първоначалния </w:t>
      </w:r>
      <w:r w:rsidR="00B67E3D">
        <w:rPr>
          <w:rStyle w:val="ECHRPara"/>
        </w:rPr>
        <w:t>такъв</w:t>
      </w:r>
      <w:r w:rsidR="00CD7A92">
        <w:rPr>
          <w:rStyle w:val="ECHRPara"/>
        </w:rPr>
        <w:t xml:space="preserve"> представен от него</w:t>
      </w:r>
      <w:r w:rsidRPr="00376665">
        <w:rPr>
          <w:rStyle w:val="ECHRPara"/>
        </w:rPr>
        <w:t xml:space="preserve">, </w:t>
      </w:r>
      <w:r w:rsidR="00CD7A92">
        <w:rPr>
          <w:rStyle w:val="ECHRPara"/>
        </w:rPr>
        <w:t>и</w:t>
      </w:r>
      <w:r w:rsidR="00CD7A92" w:rsidRPr="00376665">
        <w:rPr>
          <w:rStyle w:val="ECHRPara"/>
        </w:rPr>
        <w:t xml:space="preserve"> </w:t>
      </w:r>
      <w:r w:rsidRPr="00376665">
        <w:rPr>
          <w:rStyle w:val="ECHRPara"/>
        </w:rPr>
        <w:t>жалбата му пред Съда също не се занимава с плащането на такава неустойка. Съответно Съдът не вижда връзка между търсеното обезщетение във връзка с неустойката и констатираното нарушение.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56</w:t>
      </w:r>
      <w:r w:rsidRPr="00376665">
        <w:fldChar w:fldCharType="end"/>
      </w:r>
      <w:r w:rsidRPr="00376665">
        <w:rPr>
          <w:rStyle w:val="ECHRPara"/>
        </w:rPr>
        <w:t>.  Въз основа на материалите, с които разполага, Съдът присъжда на жалбоподателя 15 000 евро за имуществени вреди, плюс законната лихва за забав</w:t>
      </w:r>
      <w:r w:rsidR="008C2A74">
        <w:rPr>
          <w:rStyle w:val="ECHRPara"/>
        </w:rPr>
        <w:t>а</w:t>
      </w:r>
      <w:r w:rsidRPr="00376665">
        <w:rPr>
          <w:rStyle w:val="ECHRPara"/>
        </w:rPr>
        <w:t xml:space="preserve"> в България за периода от 1 февруари 2006 г. (както е предвидено в изпълнителния лист от 23 февруари 2006 г., вж. параграф 8 по-горе) до датата на пълното плащане.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57</w:t>
      </w:r>
      <w:r w:rsidRPr="00376665">
        <w:fldChar w:fldCharType="end"/>
      </w:r>
      <w:r w:rsidRPr="00376665">
        <w:rPr>
          <w:rStyle w:val="ECHRPara"/>
        </w:rPr>
        <w:t>.  Що се отнася до искането на жалбоподателя за обезщетение за неимуществени вреди</w:t>
      </w:r>
      <w:r w:rsidR="00B67E3D">
        <w:rPr>
          <w:rStyle w:val="ECHRPara"/>
        </w:rPr>
        <w:t>,</w:t>
      </w:r>
      <w:r w:rsidRPr="00376665">
        <w:rPr>
          <w:rStyle w:val="ECHRPara"/>
        </w:rPr>
        <w:t xml:space="preserve"> Съдът констатира, че отказът на властите да заплатят остатъка от дължимата му договорна такса и продължителността и естеството на последвалото дисциплинарно производство </w:t>
      </w:r>
      <w:r w:rsidR="0091464C" w:rsidRPr="00376665">
        <w:rPr>
          <w:rStyle w:val="ECHRPara"/>
        </w:rPr>
        <w:t>несъмнено</w:t>
      </w:r>
      <w:r w:rsidRPr="00376665">
        <w:rPr>
          <w:rStyle w:val="ECHRPara"/>
        </w:rPr>
        <w:t xml:space="preserve"> са причинили на жалбоподателя емоционално страдание. Следователно, по отношение на неимуществените вреди той присъжда на жалбоподателя сумата, искана от него в тази връзка, а именно 2000 евро.</w:t>
      </w:r>
    </w:p>
    <w:p w:rsidR="00FF5604" w:rsidRPr="00376665" w:rsidRDefault="00FF5604" w:rsidP="00FF5604">
      <w:pPr>
        <w:pStyle w:val="ECHRHeading2"/>
      </w:pPr>
      <w:r w:rsidRPr="00376665">
        <w:rPr>
          <w:rStyle w:val="ECHRHeading2"/>
        </w:rPr>
        <w:t>Б. Разходи и разноски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58</w:t>
      </w:r>
      <w:r w:rsidRPr="00376665">
        <w:fldChar w:fldCharType="end"/>
      </w:r>
      <w:r w:rsidRPr="00376665">
        <w:rPr>
          <w:rStyle w:val="ECHRPara"/>
        </w:rPr>
        <w:t xml:space="preserve">.  Жалбоподателят претендира също приблизително 1260 евро за разходите и разноските, направени пред Съда, които да се </w:t>
      </w:r>
      <w:r w:rsidR="00B67E3D">
        <w:rPr>
          <w:rStyle w:val="ECHRPara"/>
        </w:rPr>
        <w:t>из</w:t>
      </w:r>
      <w:r w:rsidRPr="00376665">
        <w:rPr>
          <w:rStyle w:val="ECHRPara"/>
        </w:rPr>
        <w:t xml:space="preserve">платят директно на процесуалния му представител. Тази сума представлява 1000 евро за </w:t>
      </w:r>
      <w:r w:rsidR="0091464C" w:rsidRPr="00376665">
        <w:rPr>
          <w:rStyle w:val="ECHRPara"/>
        </w:rPr>
        <w:t>хонорар</w:t>
      </w:r>
      <w:r w:rsidRPr="00376665">
        <w:rPr>
          <w:rStyle w:val="ECHRPara"/>
        </w:rPr>
        <w:t>, 200 евро за разходи за превод и 60 евро за експертен доклад, в който се изчисляват сумите, дължими на жалбоподателя.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59</w:t>
      </w:r>
      <w:r w:rsidRPr="00376665">
        <w:fldChar w:fldCharType="end"/>
      </w:r>
      <w:r w:rsidRPr="00376665">
        <w:rPr>
          <w:rStyle w:val="ECHRPara"/>
        </w:rPr>
        <w:t>.  Правителството не коментира иска за разходи и разноски.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60</w:t>
      </w:r>
      <w:r w:rsidRPr="00376665">
        <w:fldChar w:fldCharType="end"/>
      </w:r>
      <w:r w:rsidRPr="00376665">
        <w:rPr>
          <w:rStyle w:val="ECHRPara"/>
        </w:rPr>
        <w:t>.  </w:t>
      </w:r>
      <w:r w:rsidR="0091464C" w:rsidRPr="00376665">
        <w:rPr>
          <w:rStyle w:val="ECHRPara"/>
        </w:rPr>
        <w:t xml:space="preserve">Съгласно </w:t>
      </w:r>
      <w:r w:rsidRPr="00376665">
        <w:rPr>
          <w:rStyle w:val="ECHRPara"/>
        </w:rPr>
        <w:t>съдебната практика на Съда, жалбоподател има право на възстановяване на разходи и разноски само доколкото е доказано, че те са били действително и необходимо направени и са в разумен размер. В настоящ</w:t>
      </w:r>
      <w:r w:rsidR="0091464C" w:rsidRPr="00376665">
        <w:rPr>
          <w:rStyle w:val="ECHRPara"/>
        </w:rPr>
        <w:t>ия случай</w:t>
      </w:r>
      <w:r w:rsidRPr="00376665">
        <w:rPr>
          <w:rStyle w:val="ECHRPara"/>
        </w:rPr>
        <w:t xml:space="preserve">, като </w:t>
      </w:r>
      <w:r w:rsidR="0091464C" w:rsidRPr="00376665">
        <w:rPr>
          <w:rStyle w:val="ECHRPara"/>
        </w:rPr>
        <w:t>вз</w:t>
      </w:r>
      <w:r w:rsidRPr="00376665">
        <w:rPr>
          <w:rStyle w:val="ECHRPara"/>
        </w:rPr>
        <w:t>има предвид документи</w:t>
      </w:r>
      <w:r w:rsidR="007F67C7" w:rsidRPr="00376665">
        <w:rPr>
          <w:rStyle w:val="ECHRPara"/>
        </w:rPr>
        <w:t>те, с които разполага</w:t>
      </w:r>
      <w:r w:rsidRPr="00376665">
        <w:rPr>
          <w:rStyle w:val="ECHRPara"/>
        </w:rPr>
        <w:t xml:space="preserve"> и горепосочените критерии, Съдът счита за разумно да присъди сумата от 1 260 евро, покриващи разходи</w:t>
      </w:r>
      <w:r w:rsidR="007F67C7" w:rsidRPr="00376665">
        <w:rPr>
          <w:rStyle w:val="ECHRPara"/>
        </w:rPr>
        <w:t>те за</w:t>
      </w:r>
      <w:r w:rsidRPr="00376665">
        <w:rPr>
          <w:rStyle w:val="ECHRPara"/>
        </w:rPr>
        <w:t xml:space="preserve"> производството пред Съда, които да бъдат изплатени директно на процесуални</w:t>
      </w:r>
      <w:r w:rsidR="008C2A74">
        <w:rPr>
          <w:rStyle w:val="ECHRPara"/>
        </w:rPr>
        <w:t>я</w:t>
      </w:r>
      <w:r w:rsidRPr="00376665">
        <w:rPr>
          <w:rStyle w:val="ECHRPara"/>
        </w:rPr>
        <w:t xml:space="preserve"> представител на жалбоподателя.</w:t>
      </w:r>
    </w:p>
    <w:p w:rsidR="00FF5604" w:rsidRPr="00376665" w:rsidRDefault="00FF5604" w:rsidP="00FF5604">
      <w:pPr>
        <w:pStyle w:val="ECHRHeading2"/>
      </w:pPr>
      <w:r w:rsidRPr="00376665">
        <w:rPr>
          <w:rStyle w:val="ECHRHeading2"/>
        </w:rPr>
        <w:t xml:space="preserve">В. </w:t>
      </w:r>
      <w:r w:rsidR="007F67C7" w:rsidRPr="00376665">
        <w:rPr>
          <w:rStyle w:val="ECHRHeading2"/>
        </w:rPr>
        <w:t xml:space="preserve">Лихва </w:t>
      </w:r>
      <w:r w:rsidRPr="00376665">
        <w:rPr>
          <w:rStyle w:val="ECHRHeading2"/>
        </w:rPr>
        <w:t>за забава</w:t>
      </w:r>
    </w:p>
    <w:p w:rsidR="00FF5604" w:rsidRPr="00376665" w:rsidRDefault="00FF5604" w:rsidP="00FF5604">
      <w:pPr>
        <w:pStyle w:val="ECHRPara"/>
      </w:pPr>
      <w:r w:rsidRPr="00376665">
        <w:fldChar w:fldCharType="begin"/>
      </w:r>
      <w:r w:rsidRPr="00376665">
        <w:rPr>
          <w:rStyle w:val="ECHRPara"/>
        </w:rPr>
        <w:instrText xml:space="preserve"> SEQ level0 \*arabic </w:instrText>
      </w:r>
      <w:r w:rsidRPr="00376665">
        <w:fldChar w:fldCharType="separate"/>
      </w:r>
      <w:r w:rsidRPr="00376665">
        <w:rPr>
          <w:rStyle w:val="ECHRPara"/>
        </w:rPr>
        <w:t>61</w:t>
      </w:r>
      <w:r w:rsidRPr="00376665">
        <w:fldChar w:fldCharType="end"/>
      </w:r>
      <w:r w:rsidRPr="00376665">
        <w:rPr>
          <w:rStyle w:val="ECHRPara"/>
        </w:rPr>
        <w:t>.  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FF5604" w:rsidRPr="00376665" w:rsidRDefault="00FF5604" w:rsidP="00FF5604">
      <w:pPr>
        <w:pStyle w:val="ECHRTitle1"/>
      </w:pPr>
      <w:r w:rsidRPr="00376665">
        <w:rPr>
          <w:rStyle w:val="ECHRTitle1"/>
        </w:rPr>
        <w:t>ПО ТЕЗИ СЪОБРАЖЕНИЯ СЪДЪТ ЕДИНОДУШНО</w:t>
      </w:r>
    </w:p>
    <w:p w:rsidR="00FF5604" w:rsidRPr="00376665" w:rsidRDefault="00FF5604" w:rsidP="00FF5604">
      <w:pPr>
        <w:pStyle w:val="JuList"/>
      </w:pPr>
      <w:r w:rsidRPr="00376665">
        <w:rPr>
          <w:rStyle w:val="JuList"/>
        </w:rPr>
        <w:t>1.  </w:t>
      </w:r>
      <w:r w:rsidRPr="00376665">
        <w:rPr>
          <w:rStyle w:val="JuList"/>
          <w:i/>
        </w:rPr>
        <w:t>Обявява</w:t>
      </w:r>
      <w:r w:rsidRPr="00376665">
        <w:rPr>
          <w:rStyle w:val="JuList"/>
        </w:rPr>
        <w:t xml:space="preserve"> жалбата за допустима;</w:t>
      </w:r>
    </w:p>
    <w:p w:rsidR="00FF5604" w:rsidRPr="00376665" w:rsidRDefault="00FF5604" w:rsidP="00FF5604">
      <w:pPr>
        <w:pStyle w:val="JuList"/>
        <w:ind w:left="0" w:firstLine="0"/>
      </w:pPr>
    </w:p>
    <w:p w:rsidR="00FF5604" w:rsidRPr="00376665" w:rsidRDefault="00FF5604" w:rsidP="00FF5604">
      <w:pPr>
        <w:pStyle w:val="JuList"/>
      </w:pPr>
      <w:r w:rsidRPr="00376665">
        <w:rPr>
          <w:rStyle w:val="JuList"/>
        </w:rPr>
        <w:t>2.  </w:t>
      </w:r>
      <w:r w:rsidRPr="00376665">
        <w:rPr>
          <w:rStyle w:val="JuList"/>
          <w:i/>
        </w:rPr>
        <w:t>Приема</w:t>
      </w:r>
      <w:r w:rsidRPr="00376665">
        <w:rPr>
          <w:rStyle w:val="JuList"/>
        </w:rPr>
        <w:t xml:space="preserve">, че е налице нарушение на чл. 1 от Протокол </w:t>
      </w:r>
      <w:r w:rsidRPr="00376665">
        <w:rPr>
          <w:rStyle w:val="JuList"/>
          <w:cs/>
        </w:rPr>
        <w:t xml:space="preserve">№ </w:t>
      </w:r>
      <w:r w:rsidRPr="00376665">
        <w:rPr>
          <w:rStyle w:val="JuList"/>
        </w:rPr>
        <w:t xml:space="preserve">1 </w:t>
      </w:r>
      <w:r w:rsidR="007F67C7" w:rsidRPr="00376665">
        <w:rPr>
          <w:rStyle w:val="JuList"/>
        </w:rPr>
        <w:t xml:space="preserve">към </w:t>
      </w:r>
      <w:r w:rsidRPr="00376665">
        <w:rPr>
          <w:rStyle w:val="JuList"/>
        </w:rPr>
        <w:t>Конвенцията;</w:t>
      </w:r>
    </w:p>
    <w:p w:rsidR="00FF5604" w:rsidRPr="00376665" w:rsidRDefault="00FF5604" w:rsidP="00FF5604">
      <w:pPr>
        <w:pStyle w:val="JuList"/>
        <w:ind w:left="0" w:firstLine="0"/>
      </w:pPr>
    </w:p>
    <w:p w:rsidR="00FF5604" w:rsidRPr="00376665" w:rsidRDefault="00FF5604" w:rsidP="00FF5604">
      <w:pPr>
        <w:pStyle w:val="JuList"/>
      </w:pPr>
      <w:r w:rsidRPr="00376665">
        <w:rPr>
          <w:rStyle w:val="JuList"/>
        </w:rPr>
        <w:t>3.  </w:t>
      </w:r>
      <w:r w:rsidRPr="00376665">
        <w:rPr>
          <w:rStyle w:val="JuList"/>
          <w:i/>
        </w:rPr>
        <w:t>Приема</w:t>
      </w:r>
      <w:r w:rsidRPr="00376665">
        <w:rPr>
          <w:rStyle w:val="JuList"/>
        </w:rPr>
        <w:t xml:space="preserve">, че е налице нарушение на чл. 13 от Конвенцията във връзка с чл. 1 от Протокол </w:t>
      </w:r>
      <w:r w:rsidRPr="00376665">
        <w:rPr>
          <w:rStyle w:val="JuList"/>
          <w:cs/>
        </w:rPr>
        <w:t xml:space="preserve">№ </w:t>
      </w:r>
      <w:r w:rsidRPr="00376665">
        <w:rPr>
          <w:rStyle w:val="JuList"/>
        </w:rPr>
        <w:t>1 към Конвенцията;</w:t>
      </w:r>
    </w:p>
    <w:p w:rsidR="00FF5604" w:rsidRPr="00376665" w:rsidRDefault="00FF5604" w:rsidP="00FF5604">
      <w:pPr>
        <w:pStyle w:val="JuList"/>
        <w:ind w:left="0" w:firstLine="0"/>
      </w:pPr>
    </w:p>
    <w:p w:rsidR="00FF5604" w:rsidRPr="00376665" w:rsidRDefault="00FF5604" w:rsidP="00FF5604">
      <w:pPr>
        <w:pStyle w:val="JuList"/>
      </w:pPr>
      <w:r w:rsidRPr="00376665">
        <w:rPr>
          <w:rStyle w:val="JuList"/>
        </w:rPr>
        <w:t>4.  </w:t>
      </w:r>
      <w:r w:rsidRPr="00376665">
        <w:rPr>
          <w:rStyle w:val="JuList"/>
          <w:i/>
        </w:rPr>
        <w:t>Приема,</w:t>
      </w:r>
    </w:p>
    <w:p w:rsidR="00FF5604" w:rsidRPr="00376665" w:rsidRDefault="00FF5604" w:rsidP="00FF5604">
      <w:pPr>
        <w:pStyle w:val="JuLista"/>
      </w:pPr>
      <w:r w:rsidRPr="00376665">
        <w:rPr>
          <w:rStyle w:val="JuLista"/>
        </w:rPr>
        <w:t>(а) че държавата-ответник трябва да заплати на жалбоподателя в срок от три месеца от датата, на която решението стане окончателно</w:t>
      </w:r>
      <w:r w:rsidR="00093059">
        <w:rPr>
          <w:rStyle w:val="JuLista"/>
        </w:rPr>
        <w:t>,</w:t>
      </w:r>
      <w:r w:rsidRPr="00376665">
        <w:rPr>
          <w:rStyle w:val="JuLista"/>
        </w:rPr>
        <w:t xml:space="preserve"> в съответствие с чл. 44, § 2 от Конвенцията, следните суми, които се </w:t>
      </w:r>
      <w:r w:rsidR="007F67C7" w:rsidRPr="00376665">
        <w:rPr>
          <w:rStyle w:val="JuLista"/>
        </w:rPr>
        <w:t xml:space="preserve">конвертират </w:t>
      </w:r>
      <w:r w:rsidRPr="00376665">
        <w:rPr>
          <w:rStyle w:val="JuLista"/>
        </w:rPr>
        <w:t>в български лева по курса</w:t>
      </w:r>
      <w:r w:rsidR="007F67C7" w:rsidRPr="00376665">
        <w:rPr>
          <w:rStyle w:val="JuLista"/>
        </w:rPr>
        <w:t>, валиден</w:t>
      </w:r>
      <w:r w:rsidRPr="00376665">
        <w:rPr>
          <w:rStyle w:val="JuLista"/>
        </w:rPr>
        <w:t xml:space="preserve"> към датата на плащането:</w:t>
      </w:r>
    </w:p>
    <w:p w:rsidR="00FF5604" w:rsidRPr="00376665" w:rsidRDefault="00FF5604" w:rsidP="00FF5604">
      <w:pPr>
        <w:pStyle w:val="JuListi"/>
      </w:pPr>
      <w:r w:rsidRPr="00376665">
        <w:rPr>
          <w:rStyle w:val="JuListi"/>
        </w:rPr>
        <w:t>(i) 15 000 евро (петнадесет хиляди евро) плюс законната лихва за забава в България за периода от 1 февруари 2006 г. до пълното изплащане, плюс всякакви данъци, които биха могли да се начислят, по отношение на имуществени вреди;</w:t>
      </w:r>
    </w:p>
    <w:p w:rsidR="00FF5604" w:rsidRPr="00376665" w:rsidRDefault="00FF5604" w:rsidP="00FF5604">
      <w:pPr>
        <w:pStyle w:val="JuListi"/>
      </w:pPr>
      <w:r w:rsidRPr="00376665">
        <w:rPr>
          <w:rStyle w:val="JuListi"/>
        </w:rPr>
        <w:t>(i) 2 000 евро (две хиляди евро), плюс всякакви данъци, които биха могли да се начислят, по отношение на неимуществени вреди;</w:t>
      </w:r>
    </w:p>
    <w:p w:rsidR="00FF5604" w:rsidRPr="00376665" w:rsidRDefault="00FF5604" w:rsidP="00FF5604">
      <w:pPr>
        <w:pStyle w:val="JuListi"/>
      </w:pPr>
      <w:r w:rsidRPr="00376665">
        <w:rPr>
          <w:rStyle w:val="JuListi"/>
        </w:rPr>
        <w:t xml:space="preserve">(iii) 1260 </w:t>
      </w:r>
      <w:r w:rsidR="00093059">
        <w:rPr>
          <w:rStyle w:val="JuListi"/>
        </w:rPr>
        <w:t xml:space="preserve">евро </w:t>
      </w:r>
      <w:r w:rsidRPr="00376665">
        <w:rPr>
          <w:rStyle w:val="JuListi"/>
        </w:rPr>
        <w:t>(хиляда двеста и шестдесет евро), плюс всякакви данъци, които биха могли да се начислят на жалбоподателя, по отношение на разходи и разноски, които да бъдат изплатени директно на процесуалния представител на жалбоподателя;</w:t>
      </w:r>
    </w:p>
    <w:p w:rsidR="00FF5604" w:rsidRPr="00376665" w:rsidRDefault="00FF5604" w:rsidP="00FF5604">
      <w:pPr>
        <w:pStyle w:val="JuLista"/>
      </w:pPr>
      <w:r w:rsidRPr="00376665">
        <w:rPr>
          <w:rStyle w:val="JuLista"/>
        </w:rPr>
        <w:t xml:space="preserve">(б) че от изтичането на </w:t>
      </w:r>
      <w:r w:rsidR="007F67C7" w:rsidRPr="00376665">
        <w:rPr>
          <w:rStyle w:val="JuLista"/>
        </w:rPr>
        <w:t>горес</w:t>
      </w:r>
      <w:r w:rsidRPr="00376665">
        <w:rPr>
          <w:rStyle w:val="JuLista"/>
        </w:rPr>
        <w:t xml:space="preserve">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</w:t>
      </w:r>
      <w:r w:rsidR="007F67C7" w:rsidRPr="00376665">
        <w:rPr>
          <w:rStyle w:val="JuLista"/>
        </w:rPr>
        <w:t>за срока</w:t>
      </w:r>
      <w:r w:rsidRPr="00376665">
        <w:rPr>
          <w:rStyle w:val="JuLista"/>
        </w:rPr>
        <w:t xml:space="preserve"> на забава, към която се добавят три процентни пункта;</w:t>
      </w:r>
    </w:p>
    <w:p w:rsidR="00FF5604" w:rsidRPr="00376665" w:rsidRDefault="00FF5604" w:rsidP="00FF5604">
      <w:pPr>
        <w:pStyle w:val="JuList"/>
      </w:pPr>
    </w:p>
    <w:p w:rsidR="00FF5604" w:rsidRPr="00376665" w:rsidRDefault="00FF5604" w:rsidP="00FF5604">
      <w:pPr>
        <w:pStyle w:val="JuList"/>
      </w:pPr>
      <w:r w:rsidRPr="00376665">
        <w:rPr>
          <w:rStyle w:val="JuList"/>
        </w:rPr>
        <w:t>5.  </w:t>
      </w:r>
      <w:r w:rsidRPr="00376665">
        <w:rPr>
          <w:rStyle w:val="JuList"/>
          <w:i/>
        </w:rPr>
        <w:t>Отхвърля</w:t>
      </w:r>
      <w:r w:rsidRPr="00376665">
        <w:rPr>
          <w:rStyle w:val="JuList"/>
        </w:rPr>
        <w:t xml:space="preserve"> останалата част от иска на жалбоподателя за справедливо обезщетение.</w:t>
      </w:r>
    </w:p>
    <w:p w:rsidR="00FF5604" w:rsidRPr="00376665" w:rsidRDefault="00FF5604" w:rsidP="00FF5604">
      <w:pPr>
        <w:pStyle w:val="JuParaLast"/>
      </w:pPr>
      <w:r w:rsidRPr="00376665">
        <w:rPr>
          <w:rStyle w:val="JuParaLast"/>
        </w:rPr>
        <w:t xml:space="preserve">Изготвено на английски език и оповестено писмено на 25 януари 2018 г. в съответствие с </w:t>
      </w:r>
      <w:r w:rsidR="007F67C7" w:rsidRPr="00376665">
        <w:rPr>
          <w:rStyle w:val="JuParaLast"/>
        </w:rPr>
        <w:t>п</w:t>
      </w:r>
      <w:r w:rsidRPr="00376665">
        <w:rPr>
          <w:rStyle w:val="JuParaLast"/>
        </w:rPr>
        <w:t>равило 77 §§ 2 и 3 от Правилника на Съда.</w:t>
      </w:r>
    </w:p>
    <w:p w:rsidR="00FF5604" w:rsidRPr="00131C60" w:rsidRDefault="00FF5604" w:rsidP="00FF5604">
      <w:pPr>
        <w:pStyle w:val="JuSigned"/>
      </w:pPr>
      <w:r w:rsidRPr="00376665">
        <w:rPr>
          <w:rStyle w:val="JuSigned"/>
        </w:rPr>
        <w:tab/>
        <w:t>Клаудия Вестердик</w:t>
      </w:r>
      <w:r w:rsidRPr="00376665">
        <w:rPr>
          <w:rStyle w:val="JuSigned"/>
        </w:rPr>
        <w:tab/>
        <w:t>Ангелика Н</w:t>
      </w:r>
      <w:r w:rsidR="00ED3F5B">
        <w:rPr>
          <w:rStyle w:val="JuSigned"/>
        </w:rPr>
        <w:t>ю</w:t>
      </w:r>
      <w:r w:rsidRPr="00376665">
        <w:rPr>
          <w:rStyle w:val="JuSigned"/>
        </w:rPr>
        <w:t xml:space="preserve">сбергер </w:t>
      </w:r>
      <w:r w:rsidRPr="00376665">
        <w:br/>
      </w:r>
      <w:r w:rsidRPr="00376665">
        <w:tab/>
      </w:r>
      <w:r w:rsidR="007F67C7" w:rsidRPr="00376665">
        <w:rPr>
          <w:rStyle w:val="JuSigned"/>
        </w:rPr>
        <w:t>с</w:t>
      </w:r>
      <w:r w:rsidRPr="00376665">
        <w:rPr>
          <w:rStyle w:val="JuSigned"/>
        </w:rPr>
        <w:t>екретар</w:t>
      </w:r>
      <w:r w:rsidRPr="00376665">
        <w:rPr>
          <w:rStyle w:val="JuSigned"/>
        </w:rPr>
        <w:tab/>
      </w:r>
      <w:r w:rsidR="007F67C7" w:rsidRPr="00376665">
        <w:rPr>
          <w:rStyle w:val="JuSigned"/>
        </w:rPr>
        <w:t>п</w:t>
      </w:r>
      <w:r w:rsidRPr="00376665">
        <w:rPr>
          <w:rStyle w:val="JuSigned"/>
        </w:rPr>
        <w:t>редседател</w:t>
      </w:r>
    </w:p>
    <w:sectPr w:rsidR="00FF5604" w:rsidRPr="00131C60" w:rsidSect="006C6C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4C9" w:rsidRPr="00E4133A" w:rsidRDefault="00CD04C9" w:rsidP="00FF5604">
      <w:r>
        <w:separator/>
      </w:r>
    </w:p>
  </w:endnote>
  <w:endnote w:type="continuationSeparator" w:id="0">
    <w:p w:rsidR="00CD04C9" w:rsidRPr="00E4133A" w:rsidRDefault="00CD04C9" w:rsidP="00FF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B6" w:rsidRDefault="005E5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B6" w:rsidRDefault="005E52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604" w:rsidRPr="00150BFA" w:rsidRDefault="00513149" w:rsidP="00FF5604">
    <w:pPr>
      <w:jc w:val="center"/>
    </w:pPr>
    <w:r>
      <w:rPr>
        <w:noProof/>
        <w:lang w:val="en-US" w:eastAsia="en-US"/>
      </w:rPr>
      <w:drawing>
        <wp:inline distT="0" distB="0" distL="0" distR="0">
          <wp:extent cx="771525" cy="619125"/>
          <wp:effectExtent l="0" t="0" r="0" b="0"/>
          <wp:docPr id="2" name="Picture 17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5604" w:rsidRDefault="00FF5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4C9" w:rsidRPr="00E4133A" w:rsidRDefault="00CD04C9" w:rsidP="00FF5604">
      <w:r>
        <w:separator/>
      </w:r>
    </w:p>
  </w:footnote>
  <w:footnote w:type="continuationSeparator" w:id="0">
    <w:p w:rsidR="00CD04C9" w:rsidRPr="00E4133A" w:rsidRDefault="00CD04C9" w:rsidP="00FF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B3" w:rsidRPr="00376665" w:rsidRDefault="00763BB3" w:rsidP="00B67E3D">
    <w:pPr>
      <w:pStyle w:val="Header"/>
      <w:jc w:val="center"/>
      <w:rPr>
        <w:sz w:val="20"/>
      </w:rPr>
    </w:pPr>
    <w:r w:rsidRPr="00376665">
      <w:rPr>
        <w:sz w:val="20"/>
      </w:rPr>
      <w:t>РЕШЕНИЕ ЧОРБОВ СРЕЩУ БЪЛГАРИЯ</w:t>
    </w:r>
    <w:r w:rsidRPr="00376665">
      <w:rPr>
        <w:sz w:val="20"/>
      </w:rPr>
      <w:tab/>
    </w:r>
    <w:r w:rsidRPr="00376665">
      <w:rPr>
        <w:sz w:val="20"/>
      </w:rPr>
      <w:tab/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279" w:rsidRDefault="00052279" w:rsidP="003B1B9F">
    <w:pPr>
      <w:pStyle w:val="Header"/>
      <w:jc w:val="center"/>
    </w:pPr>
    <w:r>
      <w:t xml:space="preserve">РЕШЕНИЕ ЧОРБОВ срещу БЪЛГАРИЯ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E52B6">
      <w:rPr>
        <w:noProof/>
      </w:rPr>
      <w:t>15</w:t>
    </w:r>
    <w:r>
      <w:rPr>
        <w:noProof/>
      </w:rPr>
      <w:fldChar w:fldCharType="end"/>
    </w:r>
  </w:p>
  <w:p w:rsidR="00FF5604" w:rsidRPr="00C61F89" w:rsidRDefault="00FF5604" w:rsidP="00FF560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604" w:rsidRPr="00A45145" w:rsidRDefault="00513149" w:rsidP="00FF5604">
    <w:pPr>
      <w:jc w:val="center"/>
    </w:pPr>
    <w:r>
      <w:rPr>
        <w:noProof/>
        <w:lang w:val="en-US" w:eastAsia="en-US"/>
      </w:rPr>
      <w:drawing>
        <wp:inline distT="0" distB="0" distL="0" distR="0">
          <wp:extent cx="2962275" cy="1219200"/>
          <wp:effectExtent l="0" t="0" r="0" b="0"/>
          <wp:docPr id="1" name="Picture 9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5604" w:rsidRDefault="00FF56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37461D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MM" w:val="0"/>
    <w:docVar w:name="NBEMMDOC" w:val="0"/>
  </w:docVars>
  <w:rsids>
    <w:rsidRoot w:val="007E1B9C"/>
    <w:rsid w:val="000070EF"/>
    <w:rsid w:val="00024354"/>
    <w:rsid w:val="00026F66"/>
    <w:rsid w:val="000512DA"/>
    <w:rsid w:val="00052279"/>
    <w:rsid w:val="00083033"/>
    <w:rsid w:val="00093059"/>
    <w:rsid w:val="000E09C7"/>
    <w:rsid w:val="000E102A"/>
    <w:rsid w:val="000F6888"/>
    <w:rsid w:val="001249E7"/>
    <w:rsid w:val="00165936"/>
    <w:rsid w:val="001C7170"/>
    <w:rsid w:val="001D39A0"/>
    <w:rsid w:val="001E078C"/>
    <w:rsid w:val="001E40EC"/>
    <w:rsid w:val="002754B5"/>
    <w:rsid w:val="002B6B20"/>
    <w:rsid w:val="002D1130"/>
    <w:rsid w:val="002F1FCE"/>
    <w:rsid w:val="00307310"/>
    <w:rsid w:val="003546B0"/>
    <w:rsid w:val="003549F2"/>
    <w:rsid w:val="003629EB"/>
    <w:rsid w:val="00376665"/>
    <w:rsid w:val="00382723"/>
    <w:rsid w:val="00385AD6"/>
    <w:rsid w:val="003B1B9F"/>
    <w:rsid w:val="003B56C6"/>
    <w:rsid w:val="003D2B82"/>
    <w:rsid w:val="003E497E"/>
    <w:rsid w:val="00423446"/>
    <w:rsid w:val="004A4635"/>
    <w:rsid w:val="004D16E3"/>
    <w:rsid w:val="004F6FFB"/>
    <w:rsid w:val="00513149"/>
    <w:rsid w:val="00516B46"/>
    <w:rsid w:val="005204A8"/>
    <w:rsid w:val="005410FA"/>
    <w:rsid w:val="00546451"/>
    <w:rsid w:val="0055557D"/>
    <w:rsid w:val="00567B12"/>
    <w:rsid w:val="0057604F"/>
    <w:rsid w:val="005924A6"/>
    <w:rsid w:val="00596404"/>
    <w:rsid w:val="005B6988"/>
    <w:rsid w:val="005D2073"/>
    <w:rsid w:val="005D6380"/>
    <w:rsid w:val="005E52B6"/>
    <w:rsid w:val="00646AF0"/>
    <w:rsid w:val="006B7F09"/>
    <w:rsid w:val="006C6CD8"/>
    <w:rsid w:val="00720578"/>
    <w:rsid w:val="00731DEC"/>
    <w:rsid w:val="00737B05"/>
    <w:rsid w:val="00763BB3"/>
    <w:rsid w:val="00764506"/>
    <w:rsid w:val="007B53E5"/>
    <w:rsid w:val="007D272F"/>
    <w:rsid w:val="007D4399"/>
    <w:rsid w:val="007D5756"/>
    <w:rsid w:val="007D6463"/>
    <w:rsid w:val="007F67C7"/>
    <w:rsid w:val="00804EE0"/>
    <w:rsid w:val="00837AEC"/>
    <w:rsid w:val="008664DC"/>
    <w:rsid w:val="008853E7"/>
    <w:rsid w:val="008952D9"/>
    <w:rsid w:val="008A23F1"/>
    <w:rsid w:val="008A33BD"/>
    <w:rsid w:val="008C2A74"/>
    <w:rsid w:val="0091464C"/>
    <w:rsid w:val="009154A2"/>
    <w:rsid w:val="00922FBA"/>
    <w:rsid w:val="0092504D"/>
    <w:rsid w:val="009354A7"/>
    <w:rsid w:val="00A23FB6"/>
    <w:rsid w:val="00A36E05"/>
    <w:rsid w:val="00A717B1"/>
    <w:rsid w:val="00AE03BA"/>
    <w:rsid w:val="00AE3B65"/>
    <w:rsid w:val="00B67E3D"/>
    <w:rsid w:val="00BE10F5"/>
    <w:rsid w:val="00C03EEE"/>
    <w:rsid w:val="00C0447B"/>
    <w:rsid w:val="00C133EF"/>
    <w:rsid w:val="00C143DA"/>
    <w:rsid w:val="00C30F79"/>
    <w:rsid w:val="00C618B1"/>
    <w:rsid w:val="00C65D18"/>
    <w:rsid w:val="00CA48BB"/>
    <w:rsid w:val="00CD04C9"/>
    <w:rsid w:val="00CD7A92"/>
    <w:rsid w:val="00CE6FE1"/>
    <w:rsid w:val="00CE79D7"/>
    <w:rsid w:val="00D07AD6"/>
    <w:rsid w:val="00D34B89"/>
    <w:rsid w:val="00DA4EAC"/>
    <w:rsid w:val="00DF7199"/>
    <w:rsid w:val="00E2064B"/>
    <w:rsid w:val="00E2088D"/>
    <w:rsid w:val="00E319A6"/>
    <w:rsid w:val="00E36873"/>
    <w:rsid w:val="00EB306B"/>
    <w:rsid w:val="00ED3F5B"/>
    <w:rsid w:val="00EE1EDE"/>
    <w:rsid w:val="00F511D8"/>
    <w:rsid w:val="00F968CF"/>
    <w:rsid w:val="00F9777D"/>
    <w:rsid w:val="00FD04AF"/>
    <w:rsid w:val="00FD5D60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2C1C91"/>
    <w:pPr>
      <w:jc w:val="both"/>
    </w:pPr>
    <w:rPr>
      <w:rFonts w:eastAsia="MS Mincho"/>
      <w:sz w:val="24"/>
      <w:szCs w:val="22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2C1C91"/>
    <w:pPr>
      <w:spacing w:before="480"/>
      <w:contextualSpacing/>
      <w:outlineLvl w:val="0"/>
    </w:pPr>
    <w:rPr>
      <w:rFonts w:eastAsia="MS Gothic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2C1C91"/>
    <w:pPr>
      <w:spacing w:before="200"/>
      <w:outlineLvl w:val="1"/>
    </w:pPr>
    <w:rPr>
      <w:rFonts w:eastAsia="MS Gothic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2C1C91"/>
    <w:pPr>
      <w:spacing w:before="200" w:line="271" w:lineRule="auto"/>
      <w:outlineLvl w:val="2"/>
    </w:pPr>
    <w:rPr>
      <w:rFonts w:eastAsia="MS Gothic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2C1C91"/>
    <w:pPr>
      <w:spacing w:before="200"/>
      <w:outlineLvl w:val="3"/>
    </w:pPr>
    <w:rPr>
      <w:rFonts w:eastAsia="MS Gothic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2C1C91"/>
    <w:pPr>
      <w:spacing w:before="200"/>
      <w:outlineLvl w:val="4"/>
    </w:pPr>
    <w:rPr>
      <w:rFonts w:eastAsia="MS Gothic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2C1C91"/>
    <w:pPr>
      <w:spacing w:line="271" w:lineRule="auto"/>
      <w:outlineLvl w:val="5"/>
    </w:pPr>
    <w:rPr>
      <w:rFonts w:eastAsia="MS Gothic"/>
      <w:b/>
      <w:bCs/>
      <w:i/>
      <w:iCs/>
      <w:color w:val="7F7F7F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2C1C91"/>
    <w:pPr>
      <w:outlineLvl w:val="6"/>
    </w:pPr>
    <w:rPr>
      <w:rFonts w:eastAsia="MS Gothic"/>
      <w:i/>
      <w:iCs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2C1C91"/>
    <w:pPr>
      <w:outlineLvl w:val="7"/>
    </w:pPr>
    <w:rPr>
      <w:rFonts w:eastAsia="MS Gothic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2C1C91"/>
    <w:pPr>
      <w:outlineLvl w:val="8"/>
    </w:pPr>
    <w:rPr>
      <w:rFonts w:eastAsia="MS Gothic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1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1C91"/>
    <w:rPr>
      <w:rFonts w:ascii="Tahoma" w:eastAsia="MS Mincho" w:hAnsi="Tahoma" w:cs="Tahoma"/>
      <w:sz w:val="16"/>
      <w:szCs w:val="16"/>
      <w:lang w:val="bg-BG" w:eastAsia="bg-BG"/>
    </w:rPr>
  </w:style>
  <w:style w:type="character" w:styleId="BookTitle">
    <w:name w:val="Book Title"/>
    <w:uiPriority w:val="99"/>
    <w:semiHidden/>
    <w:qFormat/>
    <w:rsid w:val="002C1C91"/>
    <w:rPr>
      <w:i/>
      <w:iCs/>
      <w:smallCaps/>
      <w:spacing w:val="5"/>
      <w:lang w:val="bg-BG" w:eastAsia="bg-BG"/>
    </w:rPr>
  </w:style>
  <w:style w:type="paragraph" w:customStyle="1" w:styleId="ECHRHeader">
    <w:name w:val="ECHR_Header"/>
    <w:aliases w:val="Ju_Header"/>
    <w:basedOn w:val="Header"/>
    <w:uiPriority w:val="4"/>
    <w:qFormat/>
    <w:rsid w:val="002C1C91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2C1C91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2C1C91"/>
    <w:rPr>
      <w:b/>
      <w:bCs/>
      <w:lang w:val="bg-BG" w:eastAsia="bg-BG"/>
    </w:rPr>
  </w:style>
  <w:style w:type="paragraph" w:styleId="NoSpacing">
    <w:name w:val="No Spacing"/>
    <w:basedOn w:val="Normal"/>
    <w:link w:val="NoSpacingChar"/>
    <w:semiHidden/>
    <w:qFormat/>
    <w:rsid w:val="002C1C91"/>
    <w:rPr>
      <w:sz w:val="22"/>
    </w:rPr>
  </w:style>
  <w:style w:type="character" w:customStyle="1" w:styleId="NoSpacingChar">
    <w:name w:val="No Spacing Char"/>
    <w:link w:val="NoSpacing"/>
    <w:semiHidden/>
    <w:rsid w:val="002C1C91"/>
    <w:rPr>
      <w:rFonts w:eastAsia="MS Mincho"/>
      <w:lang w:val="bg-BG" w:eastAsia="bg-BG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2C1C91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2C1C91"/>
  </w:style>
  <w:style w:type="paragraph" w:customStyle="1" w:styleId="DecList">
    <w:name w:val="Dec_List"/>
    <w:basedOn w:val="Normal"/>
    <w:uiPriority w:val="9"/>
    <w:semiHidden/>
    <w:qFormat/>
    <w:rsid w:val="002C1C91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2C1C91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2C1C91"/>
    <w:pPr>
      <w:keepNext/>
      <w:keepLines/>
      <w:spacing w:before="240" w:after="120"/>
      <w:jc w:val="center"/>
      <w:outlineLvl w:val="3"/>
    </w:pPr>
    <w:rPr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2C1C91"/>
    <w:pPr>
      <w:keepNext/>
      <w:keepLines/>
      <w:spacing w:after="240"/>
      <w:jc w:val="center"/>
      <w:outlineLvl w:val="0"/>
    </w:pPr>
    <w:rPr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2C1C91"/>
    <w:pPr>
      <w:numPr>
        <w:numId w:val="20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2C1C91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HeaderLandscape">
    <w:name w:val="Ju_Header_Landscape"/>
    <w:basedOn w:val="ECHRHeader"/>
    <w:uiPriority w:val="4"/>
    <w:qFormat/>
    <w:rsid w:val="002C1C91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2C1C91"/>
    <w:pPr>
      <w:spacing w:after="240"/>
      <w:jc w:val="center"/>
      <w:outlineLvl w:val="0"/>
    </w:pPr>
  </w:style>
  <w:style w:type="paragraph" w:customStyle="1" w:styleId="JuInitialled">
    <w:name w:val="Ju_Initialled"/>
    <w:basedOn w:val="Normal"/>
    <w:uiPriority w:val="31"/>
    <w:qFormat/>
    <w:rsid w:val="002C1C91"/>
    <w:pPr>
      <w:tabs>
        <w:tab w:val="center" w:pos="6407"/>
      </w:tabs>
      <w:spacing w:before="720"/>
      <w:jc w:val="righ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2C1C91"/>
    <w:pPr>
      <w:pBdr>
        <w:bottom w:val="single" w:sz="4" w:space="1" w:color="auto"/>
      </w:pBdr>
      <w:contextualSpacing/>
    </w:pPr>
    <w:rPr>
      <w:rFonts w:eastAsia="MS Gothic"/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99"/>
    <w:semiHidden/>
    <w:rsid w:val="002C1C91"/>
    <w:rPr>
      <w:rFonts w:ascii="Times New Roman" w:eastAsia="MS Gothic" w:hAnsi="Times New Roman" w:cs="Times New Roman"/>
      <w:spacing w:val="5"/>
      <w:sz w:val="52"/>
      <w:szCs w:val="52"/>
      <w:lang w:val="bg-BG" w:eastAsia="bg-BG"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2C1C91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000000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2C1C91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000000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2C1C91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000000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2C1C91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000000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2C1C91"/>
    <w:pPr>
      <w:keepNext/>
      <w:keepLines/>
      <w:spacing w:before="240" w:after="120"/>
      <w:ind w:left="1236"/>
    </w:pPr>
    <w:rPr>
      <w:sz w:val="20"/>
    </w:rPr>
  </w:style>
  <w:style w:type="character" w:customStyle="1" w:styleId="JuITMark">
    <w:name w:val="Ju_ITMark"/>
    <w:uiPriority w:val="38"/>
    <w:qFormat/>
    <w:rsid w:val="002C1C91"/>
    <w:rPr>
      <w:color w:val="000000"/>
      <w:sz w:val="14"/>
      <w:bdr w:val="none" w:sz="0" w:space="0" w:color="auto"/>
      <w:lang w:val="bg-BG" w:eastAsia="bg-BG"/>
    </w:rPr>
  </w:style>
  <w:style w:type="character" w:customStyle="1" w:styleId="JUNAMES">
    <w:name w:val="JU_NAMES"/>
    <w:uiPriority w:val="17"/>
    <w:qFormat/>
    <w:rsid w:val="002C1C91"/>
    <w:rPr>
      <w:smallCaps/>
      <w:lang w:val="bg-BG" w:eastAsia="bg-BG"/>
    </w:rPr>
  </w:style>
  <w:style w:type="paragraph" w:customStyle="1" w:styleId="JuParaSub">
    <w:name w:val="Ju_Para_Sub"/>
    <w:basedOn w:val="ECHRPara"/>
    <w:uiPriority w:val="13"/>
    <w:qFormat/>
    <w:rsid w:val="002C1C91"/>
    <w:pPr>
      <w:ind w:left="284"/>
    </w:pPr>
  </w:style>
  <w:style w:type="paragraph" w:styleId="Header">
    <w:name w:val="header"/>
    <w:basedOn w:val="Normal"/>
    <w:link w:val="HeaderChar"/>
    <w:uiPriority w:val="99"/>
    <w:rsid w:val="002C1C9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2C1C91"/>
    <w:rPr>
      <w:sz w:val="24"/>
      <w:lang w:val="bg-BG" w:eastAsia="bg-BG"/>
    </w:rPr>
  </w:style>
  <w:style w:type="character" w:customStyle="1" w:styleId="Heading1Char">
    <w:name w:val="Heading 1 Char"/>
    <w:link w:val="Heading1"/>
    <w:uiPriority w:val="99"/>
    <w:semiHidden/>
    <w:rsid w:val="002C1C91"/>
    <w:rPr>
      <w:rFonts w:ascii="Times New Roman" w:eastAsia="MS Gothic" w:hAnsi="Times New Roman" w:cs="Times New Roman"/>
      <w:b/>
      <w:bCs/>
      <w:color w:val="333333"/>
      <w:sz w:val="28"/>
      <w:szCs w:val="28"/>
      <w:lang w:val="bg-BG" w:eastAsia="bg-BG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2C1C91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000000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2C1C91"/>
    <w:pPr>
      <w:keepNext/>
      <w:keepLines/>
      <w:tabs>
        <w:tab w:val="left" w:pos="584"/>
      </w:tabs>
      <w:spacing w:before="360" w:after="240"/>
      <w:ind w:left="584" w:hanging="352"/>
    </w:pPr>
    <w:rPr>
      <w:color w:val="000000"/>
      <w:sz w:val="24"/>
    </w:rPr>
  </w:style>
  <w:style w:type="character" w:customStyle="1" w:styleId="Heading2Char">
    <w:name w:val="Heading 2 Char"/>
    <w:link w:val="Heading2"/>
    <w:uiPriority w:val="99"/>
    <w:semiHidden/>
    <w:rsid w:val="002C1C91"/>
    <w:rPr>
      <w:rFonts w:ascii="Times New Roman" w:eastAsia="MS Gothic" w:hAnsi="Times New Roman" w:cs="Times New Roman"/>
      <w:b/>
      <w:bCs/>
      <w:color w:val="4D4D4D"/>
      <w:sz w:val="26"/>
      <w:szCs w:val="26"/>
      <w:lang w:val="bg-BG" w:eastAsia="bg-BG"/>
    </w:rPr>
  </w:style>
  <w:style w:type="paragraph" w:customStyle="1" w:styleId="JuQuotSub">
    <w:name w:val="Ju_Quot_Sub"/>
    <w:basedOn w:val="ECHRParaQuote"/>
    <w:uiPriority w:val="15"/>
    <w:qFormat/>
    <w:rsid w:val="002C1C91"/>
    <w:pPr>
      <w:ind w:left="567"/>
    </w:pPr>
  </w:style>
  <w:style w:type="paragraph" w:customStyle="1" w:styleId="JuCase">
    <w:name w:val="Ju_Case"/>
    <w:basedOn w:val="Normal"/>
    <w:next w:val="ECHRPara"/>
    <w:uiPriority w:val="10"/>
    <w:rsid w:val="002C1C91"/>
    <w:pPr>
      <w:ind w:firstLine="284"/>
    </w:pPr>
    <w:rPr>
      <w:b/>
    </w:rPr>
  </w:style>
  <w:style w:type="character" w:customStyle="1" w:styleId="Heading3Char">
    <w:name w:val="Heading 3 Char"/>
    <w:link w:val="Heading3"/>
    <w:uiPriority w:val="99"/>
    <w:semiHidden/>
    <w:rsid w:val="002C1C91"/>
    <w:rPr>
      <w:rFonts w:ascii="Times New Roman" w:eastAsia="MS Gothic" w:hAnsi="Times New Roman" w:cs="Times New Roman"/>
      <w:b/>
      <w:bCs/>
      <w:color w:val="5F5F5F"/>
      <w:sz w:val="24"/>
      <w:lang w:val="bg-BG" w:eastAsia="bg-BG"/>
    </w:rPr>
  </w:style>
  <w:style w:type="character" w:customStyle="1" w:styleId="Heading4Char">
    <w:name w:val="Heading 4 Char"/>
    <w:link w:val="Heading4"/>
    <w:uiPriority w:val="99"/>
    <w:semiHidden/>
    <w:rsid w:val="002C1C91"/>
    <w:rPr>
      <w:rFonts w:ascii="Times New Roman" w:eastAsia="MS Gothic" w:hAnsi="Times New Roman" w:cs="Times New Roman"/>
      <w:b/>
      <w:bCs/>
      <w:i/>
      <w:iCs/>
      <w:color w:val="777777"/>
      <w:sz w:val="24"/>
      <w:lang w:val="bg-BG" w:eastAsia="bg-BG"/>
    </w:rPr>
  </w:style>
  <w:style w:type="character" w:customStyle="1" w:styleId="Heading5Char">
    <w:name w:val="Heading 5 Char"/>
    <w:link w:val="Heading5"/>
    <w:uiPriority w:val="99"/>
    <w:semiHidden/>
    <w:rsid w:val="002C1C91"/>
    <w:rPr>
      <w:rFonts w:ascii="Times New Roman" w:eastAsia="MS Gothic" w:hAnsi="Times New Roman" w:cs="Times New Roman"/>
      <w:b/>
      <w:bCs/>
      <w:color w:val="808080"/>
      <w:lang w:val="bg-BG" w:eastAsia="bg-BG"/>
    </w:rPr>
  </w:style>
  <w:style w:type="character" w:styleId="SubtleEmphasis">
    <w:name w:val="Subtle Emphasis"/>
    <w:uiPriority w:val="99"/>
    <w:semiHidden/>
    <w:qFormat/>
    <w:rsid w:val="002C1C91"/>
    <w:rPr>
      <w:i/>
      <w:iCs/>
      <w:lang w:val="bg-BG" w:eastAsia="bg-BG"/>
    </w:rPr>
  </w:style>
  <w:style w:type="table" w:customStyle="1" w:styleId="ECHRTable">
    <w:name w:val="ECHR_Table"/>
    <w:basedOn w:val="TableNormal"/>
    <w:rsid w:val="00860B03"/>
    <w:rPr>
      <w:lang w:val="en-GB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hAnsi="Verdana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2C1C91"/>
    <w:pPr>
      <w:keepNext/>
      <w:keepLines/>
      <w:spacing w:before="720" w:after="240"/>
      <w:outlineLvl w:val="0"/>
    </w:pPr>
    <w:rPr>
      <w:sz w:val="28"/>
    </w:rPr>
  </w:style>
  <w:style w:type="character" w:styleId="Emphasis">
    <w:name w:val="Emphasis"/>
    <w:uiPriority w:val="99"/>
    <w:semiHidden/>
    <w:qFormat/>
    <w:rsid w:val="002C1C91"/>
    <w:rPr>
      <w:b/>
      <w:bCs/>
      <w:i/>
      <w:iCs/>
      <w:spacing w:val="10"/>
      <w:bdr w:val="none" w:sz="0" w:space="0" w:color="auto"/>
      <w:lang w:val="bg-BG" w:eastAsia="bg-BG"/>
    </w:rPr>
  </w:style>
  <w:style w:type="paragraph" w:styleId="Footer">
    <w:name w:val="footer"/>
    <w:basedOn w:val="Normal"/>
    <w:link w:val="FooterChar"/>
    <w:uiPriority w:val="57"/>
    <w:semiHidden/>
    <w:rsid w:val="002C1C91"/>
    <w:pPr>
      <w:tabs>
        <w:tab w:val="center" w:pos="4536"/>
        <w:tab w:val="right" w:pos="9696"/>
      </w:tabs>
      <w:ind w:left="-680" w:right="-680"/>
    </w:pPr>
    <w:rPr>
      <w:rFonts w:eastAsia="Times New Roman"/>
    </w:rPr>
  </w:style>
  <w:style w:type="character" w:customStyle="1" w:styleId="FooterChar">
    <w:name w:val="Footer Char"/>
    <w:link w:val="Footer"/>
    <w:uiPriority w:val="57"/>
    <w:semiHidden/>
    <w:rsid w:val="002C1C91"/>
    <w:rPr>
      <w:sz w:val="24"/>
      <w:lang w:val="bg-BG" w:eastAsia="bg-BG"/>
    </w:rPr>
  </w:style>
  <w:style w:type="character" w:styleId="FootnoteReference">
    <w:name w:val="footnote reference"/>
    <w:uiPriority w:val="99"/>
    <w:semiHidden/>
    <w:rsid w:val="002C1C91"/>
    <w:rPr>
      <w:vertAlign w:val="superscript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2C1C9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C1C91"/>
    <w:rPr>
      <w:rFonts w:eastAsia="MS Mincho"/>
      <w:sz w:val="20"/>
      <w:szCs w:val="20"/>
      <w:lang w:val="bg-BG" w:eastAsia="bg-BG"/>
    </w:rPr>
  </w:style>
  <w:style w:type="character" w:customStyle="1" w:styleId="Heading6Char">
    <w:name w:val="Heading 6 Char"/>
    <w:link w:val="Heading6"/>
    <w:uiPriority w:val="99"/>
    <w:semiHidden/>
    <w:rsid w:val="002C1C91"/>
    <w:rPr>
      <w:rFonts w:ascii="Times New Roman" w:eastAsia="MS Gothic" w:hAnsi="Times New Roman" w:cs="Times New Roman"/>
      <w:b/>
      <w:bCs/>
      <w:i/>
      <w:iCs/>
      <w:color w:val="7F7F7F"/>
      <w:sz w:val="24"/>
      <w:lang w:val="bg-BG" w:eastAsia="bg-BG" w:bidi="en-US"/>
    </w:rPr>
  </w:style>
  <w:style w:type="character" w:customStyle="1" w:styleId="Heading7Char">
    <w:name w:val="Heading 7 Char"/>
    <w:link w:val="Heading7"/>
    <w:uiPriority w:val="99"/>
    <w:semiHidden/>
    <w:rsid w:val="002C1C91"/>
    <w:rPr>
      <w:rFonts w:ascii="Times New Roman" w:eastAsia="MS Gothic" w:hAnsi="Times New Roman" w:cs="Times New Roman"/>
      <w:i/>
      <w:iCs/>
      <w:lang w:val="bg-BG" w:eastAsia="bg-BG" w:bidi="en-US"/>
    </w:rPr>
  </w:style>
  <w:style w:type="character" w:customStyle="1" w:styleId="Heading8Char">
    <w:name w:val="Heading 8 Char"/>
    <w:link w:val="Heading8"/>
    <w:uiPriority w:val="99"/>
    <w:semiHidden/>
    <w:rsid w:val="002C1C91"/>
    <w:rPr>
      <w:rFonts w:ascii="Times New Roman" w:eastAsia="MS Gothic" w:hAnsi="Times New Roman" w:cs="Times New Roman"/>
      <w:sz w:val="20"/>
      <w:szCs w:val="20"/>
      <w:lang w:val="bg-BG" w:eastAsia="bg-BG" w:bidi="en-US"/>
    </w:rPr>
  </w:style>
  <w:style w:type="character" w:customStyle="1" w:styleId="Heading9Char">
    <w:name w:val="Heading 9 Char"/>
    <w:link w:val="Heading9"/>
    <w:uiPriority w:val="99"/>
    <w:semiHidden/>
    <w:rsid w:val="002C1C91"/>
    <w:rPr>
      <w:rFonts w:ascii="Times New Roman" w:eastAsia="MS Gothic" w:hAnsi="Times New Roman" w:cs="Times New Roman"/>
      <w:i/>
      <w:iCs/>
      <w:spacing w:val="5"/>
      <w:sz w:val="20"/>
      <w:szCs w:val="20"/>
      <w:lang w:val="bg-BG" w:eastAsia="bg-BG" w:bidi="en-US"/>
    </w:rPr>
  </w:style>
  <w:style w:type="character" w:styleId="Hyperlink">
    <w:name w:val="Hyperlink"/>
    <w:uiPriority w:val="99"/>
    <w:semiHidden/>
    <w:rsid w:val="002C1C91"/>
    <w:rPr>
      <w:color w:val="0072BC"/>
      <w:u w:val="single"/>
      <w:lang w:val="bg-BG" w:eastAsia="bg-BG"/>
    </w:rPr>
  </w:style>
  <w:style w:type="character" w:styleId="IntenseEmphasis">
    <w:name w:val="Intense Emphasis"/>
    <w:uiPriority w:val="99"/>
    <w:semiHidden/>
    <w:qFormat/>
    <w:rsid w:val="002C1C91"/>
    <w:rPr>
      <w:b/>
      <w:bCs/>
      <w:lang w:val="bg-BG" w:eastAsia="bg-BG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2C1C9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IntenseQuoteChar">
    <w:name w:val="Intense Quote Char"/>
    <w:link w:val="IntenseQuote"/>
    <w:uiPriority w:val="99"/>
    <w:semiHidden/>
    <w:rsid w:val="002C1C91"/>
    <w:rPr>
      <w:rFonts w:eastAsia="MS Mincho"/>
      <w:b/>
      <w:bCs/>
      <w:i/>
      <w:iCs/>
      <w:lang w:val="bg-BG" w:eastAsia="bg-BG" w:bidi="en-US"/>
    </w:rPr>
  </w:style>
  <w:style w:type="character" w:styleId="IntenseReference">
    <w:name w:val="Intense Reference"/>
    <w:uiPriority w:val="99"/>
    <w:semiHidden/>
    <w:qFormat/>
    <w:rsid w:val="002C1C91"/>
    <w:rPr>
      <w:smallCaps/>
      <w:spacing w:val="5"/>
      <w:u w:val="single"/>
      <w:lang w:val="bg-BG" w:eastAsia="bg-BG"/>
    </w:rPr>
  </w:style>
  <w:style w:type="paragraph" w:styleId="ListParagraph">
    <w:name w:val="List Paragraph"/>
    <w:basedOn w:val="Normal"/>
    <w:uiPriority w:val="99"/>
    <w:semiHidden/>
    <w:qFormat/>
    <w:rsid w:val="002C1C91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2C1C91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QuoteChar">
    <w:name w:val="Quote Char"/>
    <w:link w:val="Quote"/>
    <w:uiPriority w:val="99"/>
    <w:semiHidden/>
    <w:rsid w:val="002C1C91"/>
    <w:rPr>
      <w:rFonts w:eastAsia="MS Mincho"/>
      <w:i/>
      <w:iCs/>
      <w:lang w:val="bg-BG" w:eastAsia="bg-BG" w:bidi="en-US"/>
    </w:rPr>
  </w:style>
  <w:style w:type="character" w:styleId="SubtleReference">
    <w:name w:val="Subtle Reference"/>
    <w:uiPriority w:val="99"/>
    <w:semiHidden/>
    <w:qFormat/>
    <w:rsid w:val="002C1C91"/>
    <w:rPr>
      <w:smallCaps/>
      <w:lang w:val="bg-BG" w:eastAsia="bg-BG"/>
    </w:rPr>
  </w:style>
  <w:style w:type="table" w:styleId="TableGrid">
    <w:name w:val="Table Grid"/>
    <w:basedOn w:val="TableNormal"/>
    <w:uiPriority w:val="59"/>
    <w:semiHidden/>
    <w:rsid w:val="002C1C9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2C1C91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2C1C91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2C1C91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2C1C91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2C1C91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2C1C91"/>
    <w:pPr>
      <w:keepNext/>
      <w:keepLines/>
      <w:spacing w:before="240"/>
      <w:contextualSpacing/>
      <w:jc w:val="center"/>
    </w:pPr>
    <w:rPr>
      <w:rFonts w:eastAsia="Times New Roman"/>
      <w:b/>
      <w:color w:val="474747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="MS Mincho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="MS Mincho"/>
      <w:lang w:val="en-GB"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TOAHeading">
    <w:name w:val="toa heading"/>
    <w:basedOn w:val="Normal"/>
    <w:next w:val="Normal"/>
    <w:uiPriority w:val="99"/>
    <w:semiHidden/>
    <w:rsid w:val="002C1C91"/>
    <w:pPr>
      <w:keepNext/>
      <w:keepLines/>
      <w:spacing w:before="240"/>
      <w:contextualSpacing/>
      <w:jc w:val="center"/>
    </w:pPr>
    <w:rPr>
      <w:rFonts w:eastAsia="MS Gothic"/>
      <w:b/>
      <w:bCs/>
      <w:color w:val="474747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2C1C91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2C1C91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2C1C91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2C1C91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2C1C91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2C1C91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2C1C91"/>
    <w:pPr>
      <w:keepNext/>
      <w:keepLines/>
      <w:spacing w:before="240"/>
      <w:ind w:firstLine="284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2C1C91"/>
    <w:pPr>
      <w:spacing w:before="720" w:after="240"/>
      <w:jc w:val="center"/>
      <w:outlineLvl w:val="0"/>
    </w:pPr>
    <w:rPr>
      <w:b/>
      <w:caps/>
    </w:rPr>
  </w:style>
  <w:style w:type="character" w:styleId="PageNumber">
    <w:name w:val="page number"/>
    <w:uiPriority w:val="99"/>
    <w:semiHidden/>
    <w:rsid w:val="00014566"/>
    <w:rPr>
      <w:sz w:val="18"/>
      <w:lang w:val="bg-BG" w:eastAsia="bg-BG"/>
    </w:rPr>
  </w:style>
  <w:style w:type="paragraph" w:customStyle="1" w:styleId="JuLista">
    <w:name w:val="Ju_List_a"/>
    <w:basedOn w:val="JuList"/>
    <w:uiPriority w:val="28"/>
    <w:qFormat/>
    <w:rsid w:val="002C1C91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2C1C91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semiHidden/>
    <w:rsid w:val="000145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14566"/>
    <w:rPr>
      <w:rFonts w:eastAsia="MS Mincho"/>
      <w:sz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4566"/>
    <w:rPr>
      <w:rFonts w:eastAsia="MS Mincho"/>
      <w:b/>
      <w:bCs/>
      <w:sz w:val="20"/>
      <w:lang w:val="bg-BG" w:eastAsia="bg-BG"/>
    </w:rPr>
  </w:style>
  <w:style w:type="character" w:styleId="EndnoteReference">
    <w:name w:val="endnote reference"/>
    <w:uiPriority w:val="99"/>
    <w:semiHidden/>
    <w:rsid w:val="002C1C91"/>
    <w:rPr>
      <w:vertAlign w:val="superscript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rsid w:val="002C1C9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2C1C91"/>
    <w:rPr>
      <w:rFonts w:eastAsia="MS Mincho"/>
      <w:sz w:val="20"/>
      <w:szCs w:val="20"/>
      <w:lang w:val="bg-BG" w:eastAsia="bg-BG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014566"/>
    <w:rPr>
      <w:rFonts w:ascii="Tahoma" w:eastAsia="MS Mincho" w:hAnsi="Tahoma" w:cs="Tahoma"/>
      <w:sz w:val="20"/>
      <w:lang w:val="bg-BG" w:eastAsia="bg-BG"/>
    </w:rPr>
  </w:style>
  <w:style w:type="paragraph" w:customStyle="1" w:styleId="OpiH1">
    <w:name w:val="Opi_H_1"/>
    <w:basedOn w:val="ECHRHeading2"/>
    <w:uiPriority w:val="42"/>
    <w:qFormat/>
    <w:rsid w:val="002C1C91"/>
    <w:pPr>
      <w:ind w:left="635" w:hanging="357"/>
      <w:outlineLvl w:val="2"/>
    </w:p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OpiHa">
    <w:name w:val="Opi_H_a"/>
    <w:basedOn w:val="ECHRHeading3"/>
    <w:uiPriority w:val="43"/>
    <w:qFormat/>
    <w:rsid w:val="002C1C91"/>
    <w:pPr>
      <w:ind w:left="833" w:hanging="357"/>
      <w:outlineLvl w:val="3"/>
    </w:pPr>
    <w:rPr>
      <w:b/>
      <w:i w:val="0"/>
      <w:sz w:val="20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2C1C91"/>
    <w:pPr>
      <w:spacing w:after="600"/>
    </w:pPr>
    <w:rPr>
      <w:rFonts w:eastAsia="MS Gothic"/>
      <w:i/>
      <w:iCs/>
      <w:spacing w:val="13"/>
      <w:szCs w:val="24"/>
      <w:lang w:bidi="en-US"/>
    </w:rPr>
  </w:style>
  <w:style w:type="character" w:customStyle="1" w:styleId="SubtitleChar">
    <w:name w:val="Subtitle Char"/>
    <w:link w:val="Subtitle"/>
    <w:uiPriority w:val="99"/>
    <w:semiHidden/>
    <w:rsid w:val="002C1C91"/>
    <w:rPr>
      <w:rFonts w:ascii="Times New Roman" w:eastAsia="MS Gothic" w:hAnsi="Times New Roman" w:cs="Times New Roman"/>
      <w:i/>
      <w:iCs/>
      <w:spacing w:val="13"/>
      <w:sz w:val="24"/>
      <w:szCs w:val="24"/>
      <w:lang w:val="bg-BG" w:eastAsia="bg-BG" w:bidi="en-US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shadow="1" w:frame="1"/>
        <w:left w:val="single" w:sz="2" w:space="10" w:color="0072BC" w:shadow="1" w:frame="1"/>
        <w:bottom w:val="single" w:sz="2" w:space="10" w:color="0072BC" w:shadow="1" w:frame="1"/>
        <w:right w:val="single" w:sz="2" w:space="10" w:color="0072BC" w:shadow="1" w:frame="1"/>
      </w:pBdr>
      <w:ind w:left="1152" w:right="1152"/>
    </w:pPr>
    <w:rPr>
      <w:i/>
      <w:iCs/>
      <w:color w:val="0072BC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014566"/>
    <w:rPr>
      <w:rFonts w:eastAsia="MS Mincho"/>
      <w:sz w:val="24"/>
      <w:lang w:val="bg-BG" w:eastAsia="bg-BG"/>
    </w:rPr>
  </w:style>
  <w:style w:type="table" w:styleId="ColorfulGrid">
    <w:name w:val="Colorful Grid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link w:val="Dat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link w:val="E-mailSignatur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eastAsia="MS Gothic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eastAsia="MS Gothic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014566"/>
    <w:rPr>
      <w:rFonts w:eastAsia="MS Mincho"/>
      <w:i/>
      <w:iCs/>
      <w:sz w:val="24"/>
      <w:lang w:val="bg-BG" w:eastAsia="bg-BG"/>
    </w:rPr>
  </w:style>
  <w:style w:type="character" w:styleId="HTMLCite">
    <w:name w:val="HTML Cite"/>
    <w:uiPriority w:val="99"/>
    <w:semiHidden/>
    <w:rsid w:val="00014566"/>
    <w:rPr>
      <w:i/>
      <w:iCs/>
      <w:lang w:val="bg-BG" w:eastAsia="bg-BG"/>
    </w:rPr>
  </w:style>
  <w:style w:type="character" w:styleId="HTMLCode">
    <w:name w:val="HTML Code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Definition">
    <w:name w:val="HTML Definition"/>
    <w:uiPriority w:val="99"/>
    <w:semiHidden/>
    <w:rsid w:val="00014566"/>
    <w:rPr>
      <w:i/>
      <w:iCs/>
      <w:lang w:val="bg-BG" w:eastAsia="bg-BG"/>
    </w:rPr>
  </w:style>
  <w:style w:type="character" w:styleId="HTMLKeyboard">
    <w:name w:val="HTML Keyboard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14566"/>
    <w:rPr>
      <w:rFonts w:ascii="Consolas" w:eastAsia="MS Mincho" w:hAnsi="Consolas" w:cs="Consolas"/>
      <w:sz w:val="20"/>
      <w:szCs w:val="20"/>
      <w:lang w:val="bg-BG" w:eastAsia="bg-BG"/>
    </w:rPr>
  </w:style>
  <w:style w:type="character" w:styleId="HTMLSample">
    <w:name w:val="HTML Sample"/>
    <w:uiPriority w:val="99"/>
    <w:semiHidden/>
    <w:rsid w:val="00014566"/>
    <w:rPr>
      <w:rFonts w:ascii="Consolas" w:hAnsi="Consolas" w:cs="Consolas"/>
      <w:sz w:val="24"/>
      <w:szCs w:val="24"/>
      <w:lang w:val="bg-BG" w:eastAsia="bg-BG"/>
    </w:rPr>
  </w:style>
  <w:style w:type="character" w:styleId="HTMLTypewriter">
    <w:name w:val="HTML Typewriter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Variable">
    <w:name w:val="HTML Variable"/>
    <w:uiPriority w:val="99"/>
    <w:semiHidden/>
    <w:rsid w:val="00014566"/>
    <w:rPr>
      <w:i/>
      <w:iCs/>
      <w:lang w:val="bg-BG" w:eastAsia="bg-BG"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eastAsia="MS Gothic"/>
      <w:b/>
      <w:bCs/>
    </w:rPr>
  </w:style>
  <w:style w:type="table" w:styleId="LightGrid">
    <w:name w:val="Light Grid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lang w:val="bg-BG" w:eastAsia="bg-BG"/>
    </w:rPr>
  </w:style>
  <w:style w:type="character" w:customStyle="1" w:styleId="MacroTextChar">
    <w:name w:val="Macro Text Char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014566"/>
    <w:rPr>
      <w:rFonts w:ascii="Times New Roman" w:eastAsia="MS Gothic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rsid w:val="00014566"/>
    <w:rPr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link w:val="NoteHeading"/>
    <w:uiPriority w:val="99"/>
    <w:semiHidden/>
    <w:rsid w:val="00014566"/>
    <w:rPr>
      <w:rFonts w:eastAsia="MS Mincho"/>
      <w:sz w:val="24"/>
      <w:lang w:val="bg-BG" w:eastAsia="bg-BG"/>
    </w:rPr>
  </w:style>
  <w:style w:type="character" w:styleId="PlaceholderText">
    <w:name w:val="Placeholder Text"/>
    <w:uiPriority w:val="99"/>
    <w:semiHidden/>
    <w:rsid w:val="002C1C91"/>
    <w:rPr>
      <w:color w:val="000000"/>
      <w:bdr w:val="none" w:sz="0" w:space="0" w:color="auto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14566"/>
    <w:rPr>
      <w:rFonts w:ascii="Consolas" w:eastAsia="MS Mincho" w:hAnsi="Consolas" w:cs="Consolas"/>
      <w:sz w:val="21"/>
      <w:szCs w:val="21"/>
      <w:lang w:val="bg-BG" w:eastAsia="bg-BG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link w:val="Salutation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014566"/>
    <w:rPr>
      <w:rFonts w:eastAsia="MS Mincho"/>
      <w:sz w:val="24"/>
      <w:lang w:val="bg-BG" w:eastAsia="bg-BG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2C1C91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2C1C91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2C1C91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2C1C91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2C1C91"/>
  </w:style>
  <w:style w:type="paragraph" w:customStyle="1" w:styleId="OpiParaSub">
    <w:name w:val="Opi_Para_Sub"/>
    <w:basedOn w:val="JuParaSub"/>
    <w:uiPriority w:val="47"/>
    <w:qFormat/>
    <w:rsid w:val="002C1C91"/>
  </w:style>
  <w:style w:type="paragraph" w:customStyle="1" w:styleId="OpiQuot">
    <w:name w:val="Opi_Quot"/>
    <w:basedOn w:val="ECHRParaQuote"/>
    <w:uiPriority w:val="48"/>
    <w:qFormat/>
    <w:rsid w:val="002C1C91"/>
  </w:style>
  <w:style w:type="paragraph" w:customStyle="1" w:styleId="OpiQuotSub">
    <w:name w:val="Opi_Quot_Sub"/>
    <w:basedOn w:val="JuQuotSub"/>
    <w:uiPriority w:val="49"/>
    <w:qFormat/>
    <w:rsid w:val="002C1C91"/>
  </w:style>
  <w:style w:type="paragraph" w:customStyle="1" w:styleId="OpiTranslation">
    <w:name w:val="Opi_Translation"/>
    <w:basedOn w:val="Normal"/>
    <w:next w:val="OpiPara"/>
    <w:uiPriority w:val="40"/>
    <w:qFormat/>
    <w:rsid w:val="002C1C91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7E1B9C"/>
    <w:rPr>
      <w:rFonts w:eastAsia="MS Mincho"/>
      <w:sz w:val="24"/>
      <w:lang w:val="bg-BG" w:eastAsia="bg-BG"/>
    </w:rPr>
  </w:style>
  <w:style w:type="paragraph" w:customStyle="1" w:styleId="jupara">
    <w:name w:val="jupara"/>
    <w:basedOn w:val="Normal"/>
    <w:rsid w:val="00396215"/>
    <w:pPr>
      <w:ind w:firstLine="284"/>
    </w:pPr>
    <w:rPr>
      <w:rFonts w:eastAsia="Times New Roman"/>
      <w:szCs w:val="24"/>
    </w:rPr>
  </w:style>
  <w:style w:type="paragraph" w:customStyle="1" w:styleId="jucase0">
    <w:name w:val="jucase"/>
    <w:basedOn w:val="Normal"/>
    <w:rsid w:val="00396215"/>
    <w:pPr>
      <w:ind w:firstLine="284"/>
    </w:pPr>
    <w:rPr>
      <w:rFonts w:eastAsia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56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039262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3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45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4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611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doc.echr.coe.int/eng" TargetMode="External"/><Relationship Id="rId13" Type="http://schemas.openxmlformats.org/officeDocument/2006/relationships/hyperlink" Target="http://hudoc.echr.coe.int/en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udoc.echr.coe.int/e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udoc.echr.coe.int/e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udoc.echr.coe.int/en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hudoc.echr.coe.int/eng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DDA6-6017-4D3E-92E5-A9592E60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5050</Words>
  <Characters>28788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33771</CharactersWithSpaces>
  <SharedDoc>false</SharedDoc>
  <HLinks>
    <vt:vector size="36" baseType="variant">
      <vt:variant>
        <vt:i4>1376266</vt:i4>
      </vt:variant>
      <vt:variant>
        <vt:i4>120</vt:i4>
      </vt:variant>
      <vt:variant>
        <vt:i4>0</vt:i4>
      </vt:variant>
      <vt:variant>
        <vt:i4>5</vt:i4>
      </vt:variant>
      <vt:variant>
        <vt:lpwstr>http://hudoc.echr.coe.int/eng</vt:lpwstr>
      </vt:variant>
      <vt:variant>
        <vt:lpwstr>{"appno":["17285/08"]}</vt:lpwstr>
      </vt:variant>
      <vt:variant>
        <vt:i4>1703941</vt:i4>
      </vt:variant>
      <vt:variant>
        <vt:i4>117</vt:i4>
      </vt:variant>
      <vt:variant>
        <vt:i4>0</vt:i4>
      </vt:variant>
      <vt:variant>
        <vt:i4>5</vt:i4>
      </vt:variant>
      <vt:variant>
        <vt:lpwstr>http://hudoc.echr.coe.int/eng</vt:lpwstr>
      </vt:variant>
      <vt:variant>
        <vt:lpwstr>{"appno":["39794/98"]}</vt:lpwstr>
      </vt:variant>
      <vt:variant>
        <vt:i4>1179661</vt:i4>
      </vt:variant>
      <vt:variant>
        <vt:i4>114</vt:i4>
      </vt:variant>
      <vt:variant>
        <vt:i4>0</vt:i4>
      </vt:variant>
      <vt:variant>
        <vt:i4>5</vt:i4>
      </vt:variant>
      <vt:variant>
        <vt:lpwstr>http://hudoc.echr.coe.int/eng</vt:lpwstr>
      </vt:variant>
      <vt:variant>
        <vt:lpwstr>{"appno":["63235/00"]}</vt:lpwstr>
      </vt:variant>
      <vt:variant>
        <vt:i4>1179661</vt:i4>
      </vt:variant>
      <vt:variant>
        <vt:i4>108</vt:i4>
      </vt:variant>
      <vt:variant>
        <vt:i4>0</vt:i4>
      </vt:variant>
      <vt:variant>
        <vt:i4>5</vt:i4>
      </vt:variant>
      <vt:variant>
        <vt:lpwstr>http://hudoc.echr.coe.int/eng</vt:lpwstr>
      </vt:variant>
      <vt:variant>
        <vt:lpwstr>{"appno":["46470/11"]}</vt:lpwstr>
      </vt:variant>
      <vt:variant>
        <vt:i4>1245188</vt:i4>
      </vt:variant>
      <vt:variant>
        <vt:i4>105</vt:i4>
      </vt:variant>
      <vt:variant>
        <vt:i4>0</vt:i4>
      </vt:variant>
      <vt:variant>
        <vt:i4>5</vt:i4>
      </vt:variant>
      <vt:variant>
        <vt:lpwstr>http://hudoc.echr.coe.int/eng</vt:lpwstr>
      </vt:variant>
      <vt:variant>
        <vt:lpwstr>{"appno":["16574/08"]}</vt:lpwstr>
      </vt:variant>
      <vt:variant>
        <vt:i4>1310735</vt:i4>
      </vt:variant>
      <vt:variant>
        <vt:i4>102</vt:i4>
      </vt:variant>
      <vt:variant>
        <vt:i4>0</vt:i4>
      </vt:variant>
      <vt:variant>
        <vt:i4>5</vt:i4>
      </vt:variant>
      <vt:variant>
        <vt:lpwstr>http://hudoc.echr.coe.int/eng</vt:lpwstr>
      </vt:variant>
      <vt:variant>
        <vt:lpwstr>{"appno":["34044/02"]}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2018-10-30T09:09:00Z</dcterms:created>
  <dcterms:modified xsi:type="dcterms:W3CDTF">2018-10-30T09:09:00Z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