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D9" w:rsidRPr="00955550" w:rsidRDefault="003C62D9" w:rsidP="00841F8F">
      <w:pPr>
        <w:pStyle w:val="DecHTitle"/>
      </w:pPr>
      <w:bookmarkStart w:id="0" w:name="_GoBack"/>
      <w:bookmarkEnd w:id="0"/>
    </w:p>
    <w:p w:rsidR="003C62D9" w:rsidRPr="00955550" w:rsidRDefault="003C62D9" w:rsidP="00955550">
      <w:pPr>
        <w:jc w:val="center"/>
      </w:pPr>
    </w:p>
    <w:p w:rsidR="00014566" w:rsidRPr="00955550" w:rsidRDefault="00014566" w:rsidP="00955550">
      <w:pPr>
        <w:jc w:val="center"/>
      </w:pPr>
    </w:p>
    <w:p w:rsidR="00014566" w:rsidRPr="00955550" w:rsidRDefault="00BA2811" w:rsidP="00955550">
      <w:pPr>
        <w:jc w:val="center"/>
      </w:pPr>
      <w:r>
        <w:t>ПЕТО ОТДЕЛЕНИЕ</w:t>
      </w:r>
    </w:p>
    <w:p w:rsidR="00014566" w:rsidRPr="00955550" w:rsidRDefault="00014566" w:rsidP="00955550">
      <w:pPr>
        <w:jc w:val="center"/>
      </w:pPr>
    </w:p>
    <w:p w:rsidR="003C62D9" w:rsidRPr="00955550" w:rsidRDefault="003C62D9" w:rsidP="00955550">
      <w:pPr>
        <w:jc w:val="center"/>
      </w:pPr>
    </w:p>
    <w:p w:rsidR="003C62D9" w:rsidRPr="00955550" w:rsidRDefault="003C62D9" w:rsidP="00955550">
      <w:pPr>
        <w:jc w:val="center"/>
      </w:pPr>
    </w:p>
    <w:p w:rsidR="003C62D9" w:rsidRPr="00955550" w:rsidRDefault="003C62D9" w:rsidP="00955550">
      <w:pPr>
        <w:jc w:val="center"/>
      </w:pPr>
    </w:p>
    <w:p w:rsidR="003C62D9" w:rsidRPr="00955550" w:rsidRDefault="003C62D9" w:rsidP="00955550">
      <w:pPr>
        <w:jc w:val="center"/>
      </w:pPr>
    </w:p>
    <w:p w:rsidR="003C62D9" w:rsidRPr="00955550" w:rsidRDefault="003C62D9" w:rsidP="00955550">
      <w:pPr>
        <w:jc w:val="center"/>
      </w:pPr>
    </w:p>
    <w:p w:rsidR="00014566" w:rsidRPr="00955550" w:rsidRDefault="00014566" w:rsidP="00955550">
      <w:pPr>
        <w:jc w:val="center"/>
        <w:rPr>
          <w:b/>
        </w:rPr>
      </w:pPr>
      <w:bookmarkStart w:id="1" w:name="To"/>
      <w:r>
        <w:rPr>
          <w:b/>
        </w:rPr>
        <w:t xml:space="preserve">ДЕЛО </w:t>
      </w:r>
      <w:bookmarkEnd w:id="1"/>
      <w:r>
        <w:rPr>
          <w:b/>
        </w:rPr>
        <w:t xml:space="preserve">ЧАКАЛОВА-ИЛИЕВА </w:t>
      </w:r>
      <w:r w:rsidR="00DF61BE">
        <w:rPr>
          <w:b/>
        </w:rPr>
        <w:t xml:space="preserve">срещу </w:t>
      </w:r>
      <w:r>
        <w:rPr>
          <w:b/>
        </w:rPr>
        <w:t>БЪЛГАРИЯ</w:t>
      </w:r>
    </w:p>
    <w:p w:rsidR="00014566" w:rsidRPr="00955550" w:rsidRDefault="00014566" w:rsidP="00955550">
      <w:pPr>
        <w:jc w:val="center"/>
      </w:pPr>
    </w:p>
    <w:p w:rsidR="00014566" w:rsidRPr="00955550" w:rsidRDefault="00014566" w:rsidP="00955550">
      <w:pPr>
        <w:jc w:val="center"/>
        <w:rPr>
          <w:i/>
        </w:rPr>
      </w:pPr>
      <w:r>
        <w:rPr>
          <w:i/>
        </w:rPr>
        <w:t>(Жалба № 53071/08)</w:t>
      </w:r>
    </w:p>
    <w:p w:rsidR="00014566" w:rsidRPr="00955550" w:rsidRDefault="00014566" w:rsidP="00955550">
      <w:pPr>
        <w:jc w:val="center"/>
      </w:pPr>
    </w:p>
    <w:p w:rsidR="00014566" w:rsidRPr="00955550" w:rsidRDefault="00014566" w:rsidP="00955550">
      <w:pPr>
        <w:jc w:val="center"/>
      </w:pPr>
    </w:p>
    <w:p w:rsidR="00106A6D" w:rsidRPr="00955550" w:rsidRDefault="00106A6D" w:rsidP="00955550">
      <w:pPr>
        <w:jc w:val="center"/>
      </w:pPr>
    </w:p>
    <w:p w:rsidR="00106A6D" w:rsidRPr="00955550" w:rsidRDefault="00106A6D" w:rsidP="00955550">
      <w:pPr>
        <w:jc w:val="center"/>
      </w:pPr>
    </w:p>
    <w:p w:rsidR="00106A6D" w:rsidRPr="00955550" w:rsidRDefault="00106A6D" w:rsidP="00955550">
      <w:pPr>
        <w:jc w:val="center"/>
      </w:pPr>
    </w:p>
    <w:p w:rsidR="00106A6D" w:rsidRPr="00955550" w:rsidRDefault="00106A6D" w:rsidP="00955550">
      <w:pPr>
        <w:jc w:val="center"/>
      </w:pPr>
    </w:p>
    <w:p w:rsidR="00014566" w:rsidRPr="00955550" w:rsidRDefault="00014566" w:rsidP="00955550">
      <w:pPr>
        <w:jc w:val="center"/>
      </w:pPr>
    </w:p>
    <w:p w:rsidR="00014566" w:rsidRPr="00955550" w:rsidRDefault="003C62D9" w:rsidP="00955550">
      <w:pPr>
        <w:jc w:val="center"/>
        <w:rPr>
          <w:szCs w:val="24"/>
        </w:rPr>
      </w:pPr>
      <w:r>
        <w:t>РЕШЕНИЕ</w:t>
      </w:r>
    </w:p>
    <w:p w:rsidR="00014566" w:rsidRPr="00955550" w:rsidRDefault="00014566" w:rsidP="00955550">
      <w:pPr>
        <w:jc w:val="center"/>
        <w:rPr>
          <w:szCs w:val="24"/>
        </w:rPr>
      </w:pPr>
    </w:p>
    <w:p w:rsidR="00DE375E" w:rsidRPr="00955550" w:rsidRDefault="00DE375E" w:rsidP="00955550">
      <w:pPr>
        <w:jc w:val="center"/>
      </w:pPr>
    </w:p>
    <w:p w:rsidR="003C62D9" w:rsidRPr="00955550" w:rsidRDefault="003C62D9" w:rsidP="00955550">
      <w:pPr>
        <w:jc w:val="center"/>
      </w:pPr>
    </w:p>
    <w:p w:rsidR="003C62D9" w:rsidRPr="00955550" w:rsidRDefault="003C62D9" w:rsidP="00955550">
      <w:pPr>
        <w:jc w:val="center"/>
      </w:pPr>
    </w:p>
    <w:p w:rsidR="0098427F" w:rsidRPr="00955550" w:rsidRDefault="0098427F" w:rsidP="00955550">
      <w:pPr>
        <w:jc w:val="center"/>
      </w:pPr>
    </w:p>
    <w:p w:rsidR="0098427F" w:rsidRPr="00955550" w:rsidRDefault="0098427F" w:rsidP="00955550">
      <w:pPr>
        <w:jc w:val="center"/>
      </w:pPr>
    </w:p>
    <w:p w:rsidR="003C62D9" w:rsidRPr="00955550" w:rsidRDefault="003C62D9" w:rsidP="00955550">
      <w:pPr>
        <w:jc w:val="center"/>
      </w:pPr>
      <w:r>
        <w:t>СТРАСБУРГ</w:t>
      </w:r>
    </w:p>
    <w:p w:rsidR="003C62D9" w:rsidRPr="00955550" w:rsidRDefault="003C62D9" w:rsidP="00955550">
      <w:pPr>
        <w:jc w:val="center"/>
      </w:pPr>
    </w:p>
    <w:p w:rsidR="003C62D9" w:rsidRPr="00955550" w:rsidRDefault="003C62D9" w:rsidP="00955550">
      <w:pPr>
        <w:jc w:val="center"/>
      </w:pPr>
      <w:r>
        <w:t>6 октомври 2016 г.</w:t>
      </w:r>
    </w:p>
    <w:p w:rsidR="003C62D9" w:rsidRPr="00955550" w:rsidRDefault="003C62D9" w:rsidP="00955550">
      <w:pPr>
        <w:jc w:val="center"/>
      </w:pPr>
    </w:p>
    <w:p w:rsidR="0098427F" w:rsidRPr="00955550" w:rsidRDefault="0098427F" w:rsidP="00955550">
      <w:pPr>
        <w:jc w:val="center"/>
      </w:pPr>
    </w:p>
    <w:p w:rsidR="0098427F" w:rsidRPr="00955550" w:rsidRDefault="0098427F" w:rsidP="00955550">
      <w:pPr>
        <w:jc w:val="center"/>
      </w:pPr>
    </w:p>
    <w:p w:rsidR="008262C3" w:rsidRPr="00955550" w:rsidRDefault="003C62D9" w:rsidP="00955550">
      <w:pPr>
        <w:jc w:val="left"/>
        <w:rPr>
          <w:i/>
        </w:rPr>
      </w:pPr>
      <w:r>
        <w:rPr>
          <w:i/>
        </w:rPr>
        <w:t>Това решение ще стане окончателно при условията на чл. 44, ал. 2 от Конвенцията. Може да бъде предмет на редакционни промени.</w:t>
      </w:r>
    </w:p>
    <w:p w:rsidR="003C62D9" w:rsidRPr="00955550" w:rsidRDefault="003C62D9" w:rsidP="00955550">
      <w:pPr>
        <w:pStyle w:val="JuCase"/>
        <w:ind w:firstLine="0"/>
        <w:rPr>
          <w:b w:val="0"/>
        </w:rPr>
        <w:sectPr w:rsidR="003C62D9" w:rsidRPr="00955550" w:rsidSect="003C62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955550" w:rsidRDefault="00014566" w:rsidP="00955550">
      <w:pPr>
        <w:pStyle w:val="JuCase"/>
        <w:rPr>
          <w:bCs/>
        </w:rPr>
      </w:pPr>
      <w:r>
        <w:lastRenderedPageBreak/>
        <w:t>По делото Чакалова-Илиева срещу България,</w:t>
      </w:r>
    </w:p>
    <w:p w:rsidR="00014566" w:rsidRPr="00955550" w:rsidRDefault="00014566" w:rsidP="00955550">
      <w:pPr>
        <w:pStyle w:val="ECHRPara"/>
      </w:pPr>
      <w:r>
        <w:t>Европейският съд по правата на човека (Пето отделение), заседаващ в състав:</w:t>
      </w:r>
    </w:p>
    <w:p w:rsidR="00014566" w:rsidRPr="00955550" w:rsidRDefault="003C62D9" w:rsidP="00955550">
      <w:pPr>
        <w:pStyle w:val="ECHRDecisionBody"/>
      </w:pPr>
      <w:r>
        <w:tab/>
      </w:r>
      <w:proofErr w:type="spellStart"/>
      <w:r>
        <w:t>Ангелика</w:t>
      </w:r>
      <w:proofErr w:type="spellEnd"/>
      <w:r>
        <w:t xml:space="preserve"> </w:t>
      </w:r>
      <w:proofErr w:type="spellStart"/>
      <w:r>
        <w:t>Нусбергер</w:t>
      </w:r>
      <w:proofErr w:type="spellEnd"/>
      <w:r>
        <w:t xml:space="preserve"> (</w:t>
      </w:r>
      <w:proofErr w:type="spellStart"/>
      <w:r>
        <w:t>Angelika</w:t>
      </w:r>
      <w:proofErr w:type="spellEnd"/>
      <w:r>
        <w:t xml:space="preserve"> </w:t>
      </w:r>
      <w:proofErr w:type="spellStart"/>
      <w:r>
        <w:t>Nußberger</w:t>
      </w:r>
      <w:proofErr w:type="spellEnd"/>
      <w:r>
        <w:t>),</w:t>
      </w:r>
      <w:r>
        <w:rPr>
          <w:i/>
        </w:rPr>
        <w:t xml:space="preserve"> председател</w:t>
      </w:r>
      <w:r>
        <w:t>,</w:t>
      </w:r>
      <w:r>
        <w:br/>
      </w:r>
      <w:r>
        <w:tab/>
      </w:r>
      <w:proofErr w:type="spellStart"/>
      <w:r w:rsidR="00B31302">
        <w:t>Кх</w:t>
      </w:r>
      <w:r>
        <w:t>анлар</w:t>
      </w:r>
      <w:proofErr w:type="spellEnd"/>
      <w:r>
        <w:t xml:space="preserve"> Хаджиев (</w:t>
      </w:r>
      <w:proofErr w:type="spellStart"/>
      <w:r>
        <w:t>Khanlar</w:t>
      </w:r>
      <w:proofErr w:type="spellEnd"/>
      <w:r>
        <w:t xml:space="preserve"> </w:t>
      </w:r>
      <w:proofErr w:type="spellStart"/>
      <w:r>
        <w:t>Hajiyev</w:t>
      </w:r>
      <w:proofErr w:type="spellEnd"/>
      <w:r>
        <w:t>),</w:t>
      </w:r>
      <w:r>
        <w:rPr>
          <w:i/>
        </w:rPr>
        <w:br/>
      </w:r>
      <w:r>
        <w:tab/>
      </w:r>
      <w:proofErr w:type="spellStart"/>
      <w:r>
        <w:t>Ериз</w:t>
      </w:r>
      <w:proofErr w:type="spellEnd"/>
      <w:r>
        <w:t xml:space="preserve"> </w:t>
      </w:r>
      <w:proofErr w:type="spellStart"/>
      <w:r>
        <w:t>Мьозе</w:t>
      </w:r>
      <w:proofErr w:type="spellEnd"/>
      <w:r>
        <w:t xml:space="preserve"> (</w:t>
      </w:r>
      <w:proofErr w:type="spellStart"/>
      <w:r>
        <w:t>Erik</w:t>
      </w:r>
      <w:proofErr w:type="spellEnd"/>
      <w:r>
        <w:t xml:space="preserve"> </w:t>
      </w:r>
      <w:proofErr w:type="spellStart"/>
      <w:r>
        <w:t>Møse</w:t>
      </w:r>
      <w:proofErr w:type="spellEnd"/>
      <w:r>
        <w:t>),</w:t>
      </w:r>
      <w:r>
        <w:rPr>
          <w:i/>
        </w:rPr>
        <w:br/>
      </w: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 xml:space="preserve"> (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Vehabović</w:t>
      </w:r>
      <w:proofErr w:type="spellEnd"/>
      <w:r>
        <w:t>),</w:t>
      </w:r>
      <w:r>
        <w:rPr>
          <w:i/>
        </w:rPr>
        <w:br/>
      </w:r>
      <w:r>
        <w:tab/>
        <w:t>Йонко Грозев (</w:t>
      </w:r>
      <w:proofErr w:type="spellStart"/>
      <w:r>
        <w:t>Yonko</w:t>
      </w:r>
      <w:proofErr w:type="spellEnd"/>
      <w:r>
        <w:t xml:space="preserve"> </w:t>
      </w:r>
      <w:proofErr w:type="spellStart"/>
      <w:r>
        <w:t>Grozev</w:t>
      </w:r>
      <w:proofErr w:type="spellEnd"/>
      <w:r>
        <w:t>),</w:t>
      </w:r>
      <w:r>
        <w:rPr>
          <w:i/>
        </w:rPr>
        <w:br/>
      </w:r>
      <w:r>
        <w:tab/>
        <w:t xml:space="preserve">Карло </w:t>
      </w:r>
      <w:proofErr w:type="spellStart"/>
      <w:r>
        <w:t>Ранцони</w:t>
      </w:r>
      <w:proofErr w:type="spellEnd"/>
      <w:r>
        <w:t xml:space="preserve"> (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Ranzoni</w:t>
      </w:r>
      <w:proofErr w:type="spellEnd"/>
      <w:r>
        <w:t>),</w:t>
      </w:r>
      <w:r>
        <w:rPr>
          <w:i/>
        </w:rPr>
        <w:br/>
      </w:r>
      <w:r>
        <w:tab/>
      </w:r>
      <w:proofErr w:type="spellStart"/>
      <w:r w:rsidRPr="0042217B">
        <w:t>Мартинш</w:t>
      </w:r>
      <w:proofErr w:type="spellEnd"/>
      <w:r w:rsidRPr="0042217B">
        <w:t xml:space="preserve"> </w:t>
      </w:r>
      <w:proofErr w:type="spellStart"/>
      <w:r w:rsidRPr="0042217B">
        <w:t>Митс</w:t>
      </w:r>
      <w:proofErr w:type="spellEnd"/>
      <w:r>
        <w:t xml:space="preserve"> (</w:t>
      </w:r>
      <w:proofErr w:type="spellStart"/>
      <w:r>
        <w:t>Mārtiņš</w:t>
      </w:r>
      <w:proofErr w:type="spellEnd"/>
      <w:r>
        <w:t xml:space="preserve"> </w:t>
      </w:r>
      <w:proofErr w:type="spellStart"/>
      <w:r>
        <w:t>Mits</w:t>
      </w:r>
      <w:proofErr w:type="spellEnd"/>
      <w:r>
        <w:t>),</w:t>
      </w:r>
      <w:r>
        <w:rPr>
          <w:i/>
        </w:rPr>
        <w:t xml:space="preserve"> съдии</w:t>
      </w:r>
      <w:r>
        <w:t>,</w:t>
      </w:r>
      <w:r>
        <w:br/>
        <w:t xml:space="preserve">и Милан </w:t>
      </w:r>
      <w:proofErr w:type="spellStart"/>
      <w:r>
        <w:t>Бла</w:t>
      </w:r>
      <w:r w:rsidR="00B31302">
        <w:t>с</w:t>
      </w:r>
      <w:r>
        <w:t>ко</w:t>
      </w:r>
      <w:proofErr w:type="spellEnd"/>
      <w:r>
        <w:t xml:space="preserve"> (</w:t>
      </w:r>
      <w:proofErr w:type="spellStart"/>
      <w:r>
        <w:t>Milan</w:t>
      </w:r>
      <w:proofErr w:type="spellEnd"/>
      <w:r>
        <w:t xml:space="preserve"> </w:t>
      </w:r>
      <w:proofErr w:type="spellStart"/>
      <w:r>
        <w:t>Blaško</w:t>
      </w:r>
      <w:proofErr w:type="spellEnd"/>
      <w:r>
        <w:t xml:space="preserve">), </w:t>
      </w:r>
      <w:r>
        <w:rPr>
          <w:i/>
        </w:rPr>
        <w:t>заместник-секретар на отделението,</w:t>
      </w:r>
    </w:p>
    <w:p w:rsidR="00014566" w:rsidRPr="00955550" w:rsidRDefault="00014566" w:rsidP="00955550">
      <w:pPr>
        <w:pStyle w:val="ECHRPara"/>
      </w:pPr>
      <w:r>
        <w:t>След закрито заседание, проведено на 30 август 2016 г.,</w:t>
      </w:r>
    </w:p>
    <w:p w:rsidR="00014566" w:rsidRPr="00955550" w:rsidRDefault="00014566" w:rsidP="00955550">
      <w:pPr>
        <w:pStyle w:val="ECHRPara"/>
      </w:pPr>
      <w:r>
        <w:t xml:space="preserve">Постановява следното решение, прието на </w:t>
      </w:r>
      <w:r w:rsidR="00B31302">
        <w:t xml:space="preserve">същата </w:t>
      </w:r>
      <w:r>
        <w:t>дата:</w:t>
      </w:r>
    </w:p>
    <w:p w:rsidR="00014566" w:rsidRPr="00955550" w:rsidRDefault="00014566" w:rsidP="00955550">
      <w:pPr>
        <w:pStyle w:val="ECHRTitle1"/>
      </w:pPr>
      <w:r>
        <w:t>ПРОЦЕДУРА</w:t>
      </w:r>
    </w:p>
    <w:p w:rsidR="00C71B7E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1</w:t>
        </w:r>
      </w:fldSimple>
      <w:r w:rsidR="00BA2811">
        <w:t>.  Делото е образувано по жалба (№ 53071/08) срещу Република България, подадена в Съда на основание чл. 34 от Конвенцията за защита на правата на човека и основните свободи (”Конвенцията”) от българска гражданка, г-жа Веселина Иванова Чакалова-Илиева (”жалбоподателката”), на 14 октомври 2008 г.</w:t>
      </w:r>
    </w:p>
    <w:p w:rsidR="00BA281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</w:t>
        </w:r>
      </w:fldSimple>
      <w:r w:rsidR="00BA2811">
        <w:t xml:space="preserve">.  Жалбоподателката се представлява от г-н М. </w:t>
      </w:r>
      <w:proofErr w:type="spellStart"/>
      <w:r w:rsidR="00BA2811">
        <w:t>Екимджиев</w:t>
      </w:r>
      <w:proofErr w:type="spellEnd"/>
      <w:r w:rsidR="00BA2811">
        <w:t>, адвокат, практикуващ в Пловдив. Българското правителство („Правителството”) се представлява от правителствения агент г-жа М. Димова от Министерство на правосъдието.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</w:t>
        </w:r>
      </w:fldSimple>
      <w:r w:rsidR="00BA2811">
        <w:t>.  </w:t>
      </w:r>
      <w:r w:rsidR="00BA2811" w:rsidRPr="0091093A">
        <w:t>Жалбоподателката твърди, че с постановяването на две противоречиви решения относно пра</w:t>
      </w:r>
      <w:r w:rsidR="00BA2811" w:rsidRPr="009A780B">
        <w:t xml:space="preserve">вилния ответник по иск, който тя е </w:t>
      </w:r>
      <w:r w:rsidR="0091093A" w:rsidRPr="0042217B">
        <w:t>предявява</w:t>
      </w:r>
      <w:r w:rsidR="0091093A" w:rsidRPr="0091093A">
        <w:t xml:space="preserve"> </w:t>
      </w:r>
      <w:r w:rsidR="00BA2811" w:rsidRPr="009A780B">
        <w:t xml:space="preserve">срещу властите, съдилищата са </w:t>
      </w:r>
      <w:r w:rsidR="0091093A" w:rsidRPr="0042217B">
        <w:t>я възпрепятствали</w:t>
      </w:r>
      <w:r w:rsidR="00BA2811" w:rsidRPr="009A780B">
        <w:t xml:space="preserve"> да получи произнасяне по </w:t>
      </w:r>
      <w:r w:rsidR="00BA2811" w:rsidRPr="0042217B">
        <w:t xml:space="preserve">същество </w:t>
      </w:r>
      <w:r w:rsidR="008B35FF" w:rsidRPr="0042217B">
        <w:t xml:space="preserve">на </w:t>
      </w:r>
      <w:r w:rsidR="00BA2811" w:rsidRPr="0042217B">
        <w:t xml:space="preserve">нейния случай и по този начин са ѝ попречили ефективно да отстоява </w:t>
      </w:r>
      <w:r w:rsidR="009A780B">
        <w:t>исковете</w:t>
      </w:r>
      <w:r w:rsidR="009A780B" w:rsidRPr="009A780B">
        <w:t xml:space="preserve"> </w:t>
      </w:r>
      <w:r w:rsidR="00BA2811" w:rsidRPr="009A780B">
        <w:t>си.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4</w:t>
        </w:r>
      </w:fldSimple>
      <w:r w:rsidR="00BA2811">
        <w:t xml:space="preserve">.  На 29 юни 2015 г. </w:t>
      </w:r>
      <w:r w:rsidR="008B35FF">
        <w:t xml:space="preserve">Правителството  е уведомено за </w:t>
      </w:r>
      <w:r w:rsidR="00BA2811">
        <w:t>жалбата.</w:t>
      </w:r>
    </w:p>
    <w:p w:rsidR="00014566" w:rsidRPr="00955550" w:rsidRDefault="00014566" w:rsidP="00955550">
      <w:pPr>
        <w:pStyle w:val="ECHRTitle1"/>
      </w:pPr>
      <w:r>
        <w:t>ФАКТИТЕ</w:t>
      </w:r>
    </w:p>
    <w:p w:rsidR="00014566" w:rsidRPr="00955550" w:rsidRDefault="00014566" w:rsidP="00955550">
      <w:pPr>
        <w:pStyle w:val="ECHRHeading1"/>
      </w:pPr>
      <w:r>
        <w:t>I.  ОБСТОЯТЕЛСТВАТА НА ДЕЛОТО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</w:t>
        </w:r>
      </w:fldSimple>
      <w:r w:rsidR="00BA2811">
        <w:t>.  Жалбоподателката е родена през 1951 г. и живее в Стара Загора.</w:t>
      </w:r>
    </w:p>
    <w:p w:rsidR="00704DB1" w:rsidRPr="00955550" w:rsidRDefault="00704DB1" w:rsidP="00955550">
      <w:pPr>
        <w:pStyle w:val="ECHRHeading2"/>
      </w:pPr>
      <w:r>
        <w:lastRenderedPageBreak/>
        <w:t xml:space="preserve">А. Първо </w:t>
      </w:r>
      <w:r w:rsidRPr="00394A50">
        <w:t>уволнение</w:t>
      </w:r>
      <w:r>
        <w:t xml:space="preserve"> на жалбоподателката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6</w:t>
        </w:r>
      </w:fldSimple>
      <w:r w:rsidR="00AE4E31">
        <w:t xml:space="preserve">.  Жалбоподателката работи като </w:t>
      </w:r>
      <w:r w:rsidR="00AE4E31" w:rsidRPr="00394A50">
        <w:t>директор</w:t>
      </w:r>
      <w:r w:rsidR="00AE4E31">
        <w:t xml:space="preserve"> на средно училище в Стара Загора.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7</w:t>
        </w:r>
      </w:fldSimple>
      <w:r w:rsidR="00AE4E31">
        <w:t xml:space="preserve">.  На 19 юли 2002 г. </w:t>
      </w:r>
      <w:r w:rsidR="0091093A">
        <w:t>началникът</w:t>
      </w:r>
      <w:r w:rsidR="002D53F0">
        <w:t xml:space="preserve"> </w:t>
      </w:r>
      <w:r w:rsidR="00AE4E31">
        <w:t xml:space="preserve">на Регионалния инспекторат по образование (“РИО”) към Министерство на образованието уволнява </w:t>
      </w:r>
      <w:r w:rsidR="00394A50" w:rsidRPr="00394A50">
        <w:t xml:space="preserve">дисциплинарно </w:t>
      </w:r>
      <w:r w:rsidR="00AE4E31" w:rsidRPr="00394A50">
        <w:t>жалбоподателката</w:t>
      </w:r>
      <w:r w:rsidR="00AE4E31" w:rsidRPr="009A780B">
        <w:t>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8</w:t>
        </w:r>
      </w:fldSimple>
      <w:r w:rsidR="00AE4E31">
        <w:t xml:space="preserve">.  Жалбоподателката </w:t>
      </w:r>
      <w:r w:rsidR="004D068C">
        <w:t xml:space="preserve">предявява </w:t>
      </w:r>
      <w:r w:rsidR="00AE4E31">
        <w:t xml:space="preserve">иск срещу РИО, като оспорва заповедта за </w:t>
      </w:r>
      <w:r w:rsidR="004D068C">
        <w:t xml:space="preserve">своето </w:t>
      </w:r>
      <w:r w:rsidR="00AE4E31">
        <w:t>уволнение и иска възстановяване</w:t>
      </w:r>
      <w:r w:rsidR="004D068C">
        <w:t>то си</w:t>
      </w:r>
      <w:r w:rsidR="00AE4E31">
        <w:t xml:space="preserve"> на длъжност и обезщетение за пропуснати ползи.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9</w:t>
        </w:r>
      </w:fldSimple>
      <w:r w:rsidR="001946F9">
        <w:t xml:space="preserve">.  С решение от 2 април 2003 г. Районен съд - Стара Загора уважава иска на жалбоподателката. Това решение е потвърдено от Окръжен съд - Стара Загора и от Върховния касационен съд съответно на 18 юли 2003 г. и 24 ноември 2005 г. В хода на производството нито ответната страна, нито </w:t>
      </w:r>
      <w:r w:rsidR="00BB253B">
        <w:t>някое</w:t>
      </w:r>
      <w:r w:rsidR="001946F9">
        <w:t xml:space="preserve"> от съдилищата повдига съмнения относно дали РИО е правилния ответник по делото.</w:t>
      </w:r>
    </w:p>
    <w:p w:rsidR="00704DB1" w:rsidRPr="00955550" w:rsidRDefault="00435760" w:rsidP="00955550">
      <w:pPr>
        <w:pStyle w:val="ECHRHeading2"/>
      </w:pPr>
      <w:r>
        <w:t xml:space="preserve">Б. Второ </w:t>
      </w:r>
      <w:r w:rsidRPr="00394A50">
        <w:t>уволнение</w:t>
      </w:r>
      <w:r>
        <w:t xml:space="preserve"> на жалбоподателката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10</w:t>
        </w:r>
      </w:fldSimple>
      <w:r w:rsidR="00AE4E31">
        <w:t xml:space="preserve">.  След влизането в сила на съдебното решение от 24 ноември 2005 г., жалбоподателката </w:t>
      </w:r>
      <w:r w:rsidR="00FB7725" w:rsidRPr="00FB7725">
        <w:t>отправя искане да бъде възстановена на работа</w:t>
      </w:r>
      <w:r w:rsidR="00FB7725" w:rsidRPr="00FB7725" w:rsidDel="00FB7725">
        <w:t xml:space="preserve"> </w:t>
      </w:r>
      <w:r w:rsidR="00AE4E31">
        <w:t>на 6 декември 2005 г. На същ</w:t>
      </w:r>
      <w:r w:rsidR="00F27539">
        <w:t>ата дата директорът на РИО издава</w:t>
      </w:r>
      <w:r w:rsidR="00AE4E31">
        <w:t xml:space="preserve"> нова заповед за нейното уволнение.</w:t>
      </w:r>
    </w:p>
    <w:bookmarkStart w:id="2" w:name="Article_7_Constitution"/>
    <w:p w:rsidR="00704DB1" w:rsidRPr="00955550" w:rsidRDefault="00704DB1" w:rsidP="00955550">
      <w:pPr>
        <w:pStyle w:val="ECHRPara"/>
      </w:pPr>
      <w:r w:rsidRPr="00955550">
        <w:fldChar w:fldCharType="begin"/>
      </w:r>
      <w:r w:rsidRPr="00955550">
        <w:instrText xml:space="preserve"> SEQ level0 \*arabic </w:instrText>
      </w:r>
      <w:r w:rsidRPr="00955550">
        <w:fldChar w:fldCharType="separate"/>
      </w:r>
      <w:r w:rsidR="00955550" w:rsidRPr="00955550">
        <w:rPr>
          <w:noProof/>
        </w:rPr>
        <w:t>11</w:t>
      </w:r>
      <w:r w:rsidRPr="00955550">
        <w:fldChar w:fldCharType="end"/>
      </w:r>
      <w:bookmarkEnd w:id="2"/>
      <w:r>
        <w:t>.  На неуточнена дата, най-късно през януари 2006 г., жалбоподателката подава жалба срещу заповедта за уволнение в Окръжен съд - Стара Загора, като оспорва не</w:t>
      </w:r>
      <w:r w:rsidR="00F27539">
        <w:t>йната</w:t>
      </w:r>
      <w:r>
        <w:t xml:space="preserve"> законосъобразност и иска </w:t>
      </w:r>
      <w:r w:rsidR="00817916">
        <w:t xml:space="preserve">да бъде </w:t>
      </w:r>
      <w:r>
        <w:t>възстанов</w:t>
      </w:r>
      <w:r w:rsidR="00817916">
        <w:t>ена</w:t>
      </w:r>
      <w:r>
        <w:t xml:space="preserve"> на предишната </w:t>
      </w:r>
      <w:r w:rsidR="00817916">
        <w:t>си</w:t>
      </w:r>
      <w:r>
        <w:t xml:space="preserve"> длъжност и обезщетение за загуба на </w:t>
      </w:r>
      <w:r w:rsidRPr="00394A50">
        <w:t>доход</w:t>
      </w:r>
      <w:r>
        <w:t xml:space="preserve">. От </w:t>
      </w:r>
      <w:r w:rsidR="00817916">
        <w:t xml:space="preserve">преписката </w:t>
      </w:r>
      <w:r>
        <w:t>по делото изглежда, че при първото съдебно заседание, датата на ко</w:t>
      </w:r>
      <w:r w:rsidR="00817916">
        <w:t>е</w:t>
      </w:r>
      <w:r>
        <w:t xml:space="preserve">то не е </w:t>
      </w:r>
      <w:r w:rsidR="00817916">
        <w:t>уточнена</w:t>
      </w:r>
      <w:r>
        <w:t xml:space="preserve">, РИО твърди, че не е правилният ответник по делото и че </w:t>
      </w:r>
      <w:r w:rsidR="009A780B">
        <w:t xml:space="preserve">исковете </w:t>
      </w:r>
      <w:r>
        <w:t xml:space="preserve">трябва да бъдат отправени към средното училище, в което жалбоподателката работи преди уволнението си. РИО твърди, че чл. 61 § 2 от Кодекса на труда и чл. 37(4) </w:t>
      </w:r>
      <w:r w:rsidRPr="00394A50">
        <w:t>от Закона за народната просвета</w:t>
      </w:r>
      <w:r w:rsidRPr="009A780B">
        <w:t xml:space="preserve"> </w:t>
      </w:r>
      <w:r w:rsidR="00FD7226" w:rsidRPr="009A780B">
        <w:t>предвиждат</w:t>
      </w:r>
      <w:r w:rsidRPr="009A780B">
        <w:t>, че работодате</w:t>
      </w:r>
      <w:r>
        <w:t>лят на жалбоподателката е училището.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12</w:t>
        </w:r>
      </w:fldSimple>
      <w:r w:rsidR="00704DB1">
        <w:t xml:space="preserve">.  По време на съдебно заседание на 12 април 2006 г. Районният съд отсъжда в полза на възражението и, обосновавайки се, че </w:t>
      </w:r>
      <w:r w:rsidR="00FD7226">
        <w:t xml:space="preserve">правилният </w:t>
      </w:r>
      <w:r w:rsidR="00704DB1">
        <w:t>ответник по делото е училището, прекратява производството.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13</w:t>
        </w:r>
      </w:fldSimple>
      <w:r w:rsidR="00704DB1">
        <w:t>.  Жалбоподателката обжалва това решение пред Окръжен съд - Стара Загора.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14</w:t>
        </w:r>
      </w:fldSimple>
      <w:r w:rsidR="00704DB1">
        <w:t xml:space="preserve">.  На 26 май 2006 г. Окръжният съд отменя решението на предходната инстанция като изрично посочва, че </w:t>
      </w:r>
      <w:r w:rsidR="009269E7">
        <w:t xml:space="preserve">правилният </w:t>
      </w:r>
      <w:r w:rsidR="00704DB1">
        <w:t>ответник по делото на жалбоподателката е РИО. Той връща делото на първоинстанционния съд за разглеждане по същество.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15</w:t>
        </w:r>
      </w:fldSimple>
      <w:r w:rsidR="00704DB1">
        <w:t>.  С решение от 8 декември 2006 г. Районният съд уважава иска на жалбоподателката.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16</w:t>
        </w:r>
      </w:fldSimple>
      <w:r w:rsidR="00704DB1">
        <w:t>.  След жалба, подадена от РИО, на 27 април 2007 г. Окръжният съд потвърждава решението.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17</w:t>
        </w:r>
      </w:fldSimple>
      <w:r w:rsidR="00333C57">
        <w:t xml:space="preserve">.  РИО </w:t>
      </w:r>
      <w:r w:rsidR="009269E7">
        <w:t>об</w:t>
      </w:r>
      <w:r w:rsidR="00333C57">
        <w:t>жал</w:t>
      </w:r>
      <w:r w:rsidR="009269E7">
        <w:t>в</w:t>
      </w:r>
      <w:r w:rsidR="00333C57">
        <w:t xml:space="preserve">а </w:t>
      </w:r>
      <w:r w:rsidR="009269E7">
        <w:t xml:space="preserve">на </w:t>
      </w:r>
      <w:r w:rsidR="00333C57">
        <w:t>правн</w:t>
      </w:r>
      <w:r w:rsidR="009269E7">
        <w:t>о основание</w:t>
      </w:r>
      <w:r w:rsidR="00333C57">
        <w:t xml:space="preserve">. На 16 април 2008 г.  Апелативен съд - Пловдив, заседаващ като касационен съд съгласно законодателно изменение, влязло в сила през юли 2007 г., отменя решението на </w:t>
      </w:r>
      <w:r w:rsidR="0029673F">
        <w:t>долната</w:t>
      </w:r>
      <w:r w:rsidR="00333C57">
        <w:t xml:space="preserve"> инстанция и отхвърля иска на жалбоподателката. Той констатира, че РИО не е работодател на жалбоподателката </w:t>
      </w:r>
      <w:r w:rsidR="0029673F">
        <w:t>съгласно</w:t>
      </w:r>
      <w:r w:rsidR="00333C57">
        <w:t xml:space="preserve"> закона и следователно не е </w:t>
      </w:r>
      <w:r w:rsidR="0029673F">
        <w:t xml:space="preserve">правилният </w:t>
      </w:r>
      <w:r w:rsidR="00333C57">
        <w:t xml:space="preserve">ответник по делото. </w:t>
      </w:r>
      <w:r w:rsidR="0029673F">
        <w:t>Следователно</w:t>
      </w:r>
      <w:r w:rsidR="00333C57" w:rsidRPr="00394A50">
        <w:t xml:space="preserve"> предявени срещу него</w:t>
      </w:r>
      <w:r w:rsidR="00394A50" w:rsidRPr="00394A50">
        <w:t xml:space="preserve"> </w:t>
      </w:r>
      <w:r w:rsidR="00394A50" w:rsidRPr="003D50BD">
        <w:t>исковете</w:t>
      </w:r>
      <w:r w:rsidR="00333C57" w:rsidRPr="00394A50">
        <w:t xml:space="preserve"> са неоснователни. Съдът</w:t>
      </w:r>
      <w:r w:rsidR="00333C57">
        <w:t xml:space="preserve"> </w:t>
      </w:r>
      <w:r w:rsidR="0029673F">
        <w:t>постановява</w:t>
      </w:r>
      <w:r w:rsidR="00333C57">
        <w:t xml:space="preserve">, че искът на жалбоподателката трябва да бъде </w:t>
      </w:r>
      <w:r w:rsidR="0029673F">
        <w:t xml:space="preserve">предявен </w:t>
      </w:r>
      <w:r w:rsidR="00333C57">
        <w:t>срещу училището, в което тя работи преди уволнението си, тъй като училището е нейният работодател.</w:t>
      </w:r>
    </w:p>
    <w:p w:rsidR="00C96801" w:rsidRPr="00955550" w:rsidRDefault="00014566" w:rsidP="00955550">
      <w:pPr>
        <w:pStyle w:val="ECHRHeading1"/>
      </w:pPr>
      <w:r>
        <w:t>II.  ПРИЛОЖИМО ВЪТРЕШНО ПРАВО И ПРАКТИКА</w:t>
      </w:r>
    </w:p>
    <w:p w:rsidR="00704DB1" w:rsidRPr="003D2FE6" w:rsidRDefault="00DA056A" w:rsidP="00955550">
      <w:pPr>
        <w:pStyle w:val="ECHRHeading2"/>
      </w:pPr>
      <w:r>
        <w:t xml:space="preserve">А. Трудови договори с </w:t>
      </w:r>
      <w:r w:rsidRPr="00394A50">
        <w:t>директори</w:t>
      </w:r>
    </w:p>
    <w:p w:rsidR="00704DB1" w:rsidRPr="00955550" w:rsidRDefault="003D2FE6" w:rsidP="00955550">
      <w:pPr>
        <w:pStyle w:val="ECHRPara"/>
        <w:rPr>
          <w:i/>
        </w:rPr>
      </w:pPr>
      <w:fldSimple w:instr=" SEQ level0 \*arabic ">
        <w:r w:rsidR="00955550" w:rsidRPr="00955550">
          <w:rPr>
            <w:noProof/>
          </w:rPr>
          <w:t>18</w:t>
        </w:r>
      </w:fldSimple>
      <w:r w:rsidR="00AE4E31">
        <w:t xml:space="preserve">.  Трудовите договори с </w:t>
      </w:r>
      <w:r w:rsidR="00AE4E31" w:rsidRPr="00394A50">
        <w:t>директори</w:t>
      </w:r>
      <w:r w:rsidR="00AE4E31">
        <w:t xml:space="preserve"> с</w:t>
      </w:r>
      <w:r w:rsidR="00B96103">
        <w:t>е</w:t>
      </w:r>
      <w:r w:rsidR="00AE4E31">
        <w:t xml:space="preserve"> регламентира</w:t>
      </w:r>
      <w:r w:rsidR="00B96103">
        <w:t>т</w:t>
      </w:r>
      <w:r w:rsidR="00AE4E31">
        <w:t xml:space="preserve"> от Кодекса на труда от 1986 г. и Закона за народната просвета от 1991 г.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19</w:t>
        </w:r>
      </w:fldSimple>
      <w:r w:rsidR="00AE4E31">
        <w:t>.  Параграф 1 от Допълнителните разпоредби към Кодекса на труда определя работодател като всяко физическо лице, юридическо лице или негово поделение, както и всяко друго организационно и икономически обособено образувани</w:t>
      </w:r>
      <w:r w:rsidR="00F30F35">
        <w:t>е</w:t>
      </w:r>
      <w:r w:rsidR="00AE4E31">
        <w:t>, което наема работници или служители.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20</w:t>
        </w:r>
      </w:fldSimple>
      <w:r w:rsidR="00AE4E31">
        <w:t xml:space="preserve">.  По </w:t>
      </w:r>
      <w:r w:rsidR="00F30F35">
        <w:t xml:space="preserve">силата на </w:t>
      </w:r>
      <w:r w:rsidR="00AE4E31">
        <w:t xml:space="preserve">чл. 61 § 2 от Кодекса на труда и чл. 37(4) от Закона за образованието, трудовите договори на директори на </w:t>
      </w:r>
      <w:r w:rsidR="009D0D1F">
        <w:t xml:space="preserve">общински </w:t>
      </w:r>
      <w:r w:rsidR="00AE4E31">
        <w:t xml:space="preserve">училища се сключват от </w:t>
      </w:r>
      <w:r w:rsidR="009D0D1F">
        <w:t xml:space="preserve">началника </w:t>
      </w:r>
      <w:r w:rsidR="00AE4E31">
        <w:t>на РИО като органа, по-висш от работодателя.</w:t>
      </w:r>
    </w:p>
    <w:p w:rsidR="00EE235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21</w:t>
        </w:r>
      </w:fldSimple>
      <w:r w:rsidR="00DA056A">
        <w:t>.  </w:t>
      </w:r>
      <w:r w:rsidR="009D0D1F">
        <w:t xml:space="preserve">Съгласно </w:t>
      </w:r>
      <w:r w:rsidR="00DA056A">
        <w:t xml:space="preserve">чл. 344 и 358 § 1(2) от ТК когато служител смята, че е несправедливо уволнен, той може да </w:t>
      </w:r>
      <w:r w:rsidR="0019688C">
        <w:t xml:space="preserve">предяви </w:t>
      </w:r>
      <w:r w:rsidR="00DA056A">
        <w:t>иск, оспорвайки законността на уволнението пред гражданските съдилища в срок от два месеца. Тази разпоредба е приложима и за прекратяване на трудовите договори на държавни служители.</w:t>
      </w:r>
    </w:p>
    <w:p w:rsidR="00D8096A" w:rsidRPr="00955550" w:rsidRDefault="00DB505E" w:rsidP="00955550">
      <w:pPr>
        <w:pStyle w:val="ECHRHeading2"/>
      </w:pPr>
      <w:bookmarkStart w:id="3" w:name="p5987946"/>
      <w:bookmarkEnd w:id="3"/>
      <w:r>
        <w:t>Г. Тълкувателни решения на Върховния касационен съд</w:t>
      </w:r>
    </w:p>
    <w:p w:rsidR="00704DB1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22</w:t>
        </w:r>
      </w:fldSimple>
      <w:r w:rsidR="00704DB1">
        <w:t xml:space="preserve">.  С решение от 2 юни 2010 г. Върховният касационен съд констатира, че редица национални съдилища са тълкували непоследователно определени разпоредби </w:t>
      </w:r>
      <w:r w:rsidR="0019688C">
        <w:t xml:space="preserve">от </w:t>
      </w:r>
      <w:r w:rsidR="00704DB1">
        <w:t xml:space="preserve">Кодекса на труда, а именно тези по отношение на правилния ответник </w:t>
      </w:r>
      <w:r w:rsidR="00684D55">
        <w:t xml:space="preserve">в </w:t>
      </w:r>
      <w:r w:rsidR="00704DB1">
        <w:t xml:space="preserve">трудови спорове. Върховният касационен съд се позовава на съдебни решения, постановени между юли 2007 г. и датата на делото, което разглежда към </w:t>
      </w:r>
      <w:r w:rsidR="00704DB1">
        <w:lastRenderedPageBreak/>
        <w:t xml:space="preserve">момента. С оглед на тази констатация, съдът спира въпросното производство и предлага да бъде </w:t>
      </w:r>
      <w:r w:rsidR="00684D55">
        <w:t xml:space="preserve">постановено </w:t>
      </w:r>
      <w:r w:rsidR="00704DB1">
        <w:t xml:space="preserve">тълкувателно </w:t>
      </w:r>
      <w:r w:rsidR="00684D55">
        <w:t xml:space="preserve">решение </w:t>
      </w:r>
      <w:r w:rsidR="00704DB1">
        <w:t>(</w:t>
      </w:r>
      <w:proofErr w:type="spellStart"/>
      <w:r w:rsidR="00704DB1">
        <w:rPr>
          <w:i/>
        </w:rPr>
        <w:t>опред</w:t>
      </w:r>
      <w:proofErr w:type="spellEnd"/>
      <w:r w:rsidR="00704DB1">
        <w:rPr>
          <w:i/>
        </w:rPr>
        <w:t>. № 269 от 2.06.2010 г. на ВКС по гр. д. № 187/2010 г., IV г. о., ГК</w:t>
      </w:r>
      <w:r w:rsidR="00704DB1">
        <w:t>). Впоследствие, в тълкувателно решение № 1 от 30 март 2012 г.,  Общото събрание на Гражданската колегия на Върховния касационен съд (</w:t>
      </w:r>
      <w:proofErr w:type="spellStart"/>
      <w:r w:rsidR="00704DB1">
        <w:rPr>
          <w:i/>
        </w:rPr>
        <w:t>тълк</w:t>
      </w:r>
      <w:proofErr w:type="spellEnd"/>
      <w:r w:rsidR="00704DB1">
        <w:rPr>
          <w:i/>
        </w:rPr>
        <w:t xml:space="preserve">. </w:t>
      </w:r>
      <w:proofErr w:type="spellStart"/>
      <w:r w:rsidR="00704DB1">
        <w:rPr>
          <w:i/>
        </w:rPr>
        <w:t>реш</w:t>
      </w:r>
      <w:proofErr w:type="spellEnd"/>
      <w:r w:rsidR="00704DB1">
        <w:rPr>
          <w:i/>
        </w:rPr>
        <w:t xml:space="preserve">. № 1 от 30 март 2012 г. на ВКС по </w:t>
      </w:r>
      <w:proofErr w:type="spellStart"/>
      <w:r w:rsidR="00704DB1">
        <w:rPr>
          <w:i/>
        </w:rPr>
        <w:t>тълк.д</w:t>
      </w:r>
      <w:proofErr w:type="spellEnd"/>
      <w:r w:rsidR="00704DB1">
        <w:rPr>
          <w:i/>
        </w:rPr>
        <w:t>. №1/ 2010 г., ОСГК</w:t>
      </w:r>
      <w:r w:rsidR="00704DB1">
        <w:t xml:space="preserve">) решава този спорен въпрос. По-конкретно то отбеляза, че </w:t>
      </w:r>
      <w:r w:rsidR="00390AB7">
        <w:t>съгласно</w:t>
      </w:r>
      <w:r w:rsidR="00704DB1">
        <w:t xml:space="preserve"> чл. 344 § 1 от Кодекса на труда предявен от служител иск</w:t>
      </w:r>
      <w:r w:rsidR="00390AB7">
        <w:t>, който</w:t>
      </w:r>
      <w:r w:rsidR="00704DB1">
        <w:t xml:space="preserve"> оспорва незакон</w:t>
      </w:r>
      <w:r w:rsidR="00390AB7">
        <w:t>осъобраз</w:t>
      </w:r>
      <w:r w:rsidR="00704DB1">
        <w:t xml:space="preserve">но уволнение и </w:t>
      </w:r>
      <w:r w:rsidR="00390AB7">
        <w:t>търси</w:t>
      </w:r>
      <w:r w:rsidR="00704DB1">
        <w:t xml:space="preserve"> възстановяване на длъжност и обезщетение</w:t>
      </w:r>
      <w:r w:rsidR="00390AB7">
        <w:t>,</w:t>
      </w:r>
      <w:r w:rsidR="00704DB1">
        <w:t xml:space="preserve"> трябва да бъде насочен срещу работодателя, а именно физическото или юридическото лице, което е наело служителя. В случая на директор това е училището. То приема, че същият подход се прилага за ситуации, в които трудовият договор е сключен от институцията,  по-висша от работодателя.</w:t>
      </w:r>
    </w:p>
    <w:p w:rsidR="00D8096A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23</w:t>
        </w:r>
      </w:fldSimple>
      <w:r w:rsidR="00D8096A">
        <w:t xml:space="preserve">.  Тълкувателно решение № 1 от 9 декември 2014 г. на Общото събрание на Гражданската </w:t>
      </w:r>
      <w:r w:rsidR="00A7528F">
        <w:t xml:space="preserve">и Търговската </w:t>
      </w:r>
      <w:r w:rsidR="00D8096A">
        <w:t>колегия на Върховния касационен съд (</w:t>
      </w:r>
      <w:proofErr w:type="spellStart"/>
      <w:r w:rsidR="00D8096A">
        <w:t>тълк</w:t>
      </w:r>
      <w:proofErr w:type="spellEnd"/>
      <w:r w:rsidR="00D8096A">
        <w:t xml:space="preserve">. </w:t>
      </w:r>
      <w:proofErr w:type="spellStart"/>
      <w:r w:rsidR="00D8096A">
        <w:t>реш</w:t>
      </w:r>
      <w:proofErr w:type="spellEnd"/>
      <w:r w:rsidR="00D8096A">
        <w:t xml:space="preserve">. № 1 от 9 декември 2013 г. на ВКС по </w:t>
      </w:r>
      <w:proofErr w:type="spellStart"/>
      <w:r w:rsidR="00D8096A">
        <w:t>тълк.д</w:t>
      </w:r>
      <w:proofErr w:type="spellEnd"/>
      <w:r w:rsidR="00D8096A">
        <w:t>. №1/ 2013 г., ОСГТК) се отнася за противоречия в искови</w:t>
      </w:r>
      <w:r w:rsidR="00A7528F">
        <w:t>те</w:t>
      </w:r>
      <w:r w:rsidR="00D8096A">
        <w:t xml:space="preserve"> молби. Общото събрание уточнява, че когато съд, който заседава като касационна инстанция, констатира несъответствия в исковата молба в резултат на противоречие между фактите и твърденията, показващи, че е налице правен интерес от търсене на защита срещу конкретно лице</w:t>
      </w:r>
      <w:r w:rsidR="00EB594F">
        <w:t>,</w:t>
      </w:r>
      <w:r w:rsidR="00D8096A">
        <w:t xml:space="preserve"> от една страна и искът, предявен срещу друго лице от друга страна, решението на </w:t>
      </w:r>
      <w:proofErr w:type="spellStart"/>
      <w:r w:rsidR="00D8096A">
        <w:t>второинстанционния</w:t>
      </w:r>
      <w:proofErr w:type="spellEnd"/>
      <w:r w:rsidR="00D8096A">
        <w:t xml:space="preserve"> съд следва да бъде обявено за недопустимо и да бъде отменено. Делото трябва да </w:t>
      </w:r>
      <w:r w:rsidR="00EB594F">
        <w:t xml:space="preserve">се </w:t>
      </w:r>
      <w:r w:rsidR="00D8096A">
        <w:t>върн</w:t>
      </w:r>
      <w:r w:rsidR="00EB594F">
        <w:t>е</w:t>
      </w:r>
      <w:r w:rsidR="00D8096A">
        <w:t xml:space="preserve"> за ново разглеждане от друг състав на първоинстанционния съд и да </w:t>
      </w:r>
      <w:r w:rsidR="00EB594F">
        <w:t xml:space="preserve">се </w:t>
      </w:r>
      <w:r w:rsidR="00D8096A">
        <w:t>призов</w:t>
      </w:r>
      <w:r w:rsidR="00EB594F">
        <w:t>е</w:t>
      </w:r>
      <w:r w:rsidR="00D8096A">
        <w:t xml:space="preserve"> правилния ответник.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24</w:t>
        </w:r>
      </w:fldSimple>
      <w:r w:rsidR="00C34AD2">
        <w:t xml:space="preserve">.  Чл. 86(2) от Закона за съдебната власт от 1994 г. </w:t>
      </w:r>
      <w:r w:rsidR="00EB594F">
        <w:t>предвижда</w:t>
      </w:r>
      <w:r w:rsidR="00C34AD2">
        <w:t>, че тълкувателните решения са задължителни за съдебната и изпълнителната власт.</w:t>
      </w:r>
    </w:p>
    <w:p w:rsidR="00DB505E" w:rsidRPr="00955550" w:rsidRDefault="00DB505E" w:rsidP="00955550">
      <w:pPr>
        <w:pStyle w:val="ECHRHeading2"/>
      </w:pPr>
      <w:r>
        <w:t xml:space="preserve">В. Възражения, </w:t>
      </w:r>
      <w:r w:rsidR="00970013">
        <w:t xml:space="preserve">повдигнати </w:t>
      </w:r>
      <w:r>
        <w:t xml:space="preserve">от ответник </w:t>
      </w:r>
      <w:r w:rsidR="00970013">
        <w:t xml:space="preserve">в </w:t>
      </w:r>
      <w:r>
        <w:t>гражданско съдебно производство</w:t>
      </w:r>
    </w:p>
    <w:p w:rsidR="00DB505E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25</w:t>
        </w:r>
      </w:fldSimple>
      <w:r w:rsidR="00AE4E31">
        <w:t>.  </w:t>
      </w:r>
      <w:r w:rsidR="00970013">
        <w:t xml:space="preserve">Съгласно </w:t>
      </w:r>
      <w:r w:rsidR="00AE4E31">
        <w:t xml:space="preserve">чл. 109 и чл. 110 от Гражданския процесуален кодекс от 1952 г., приложим към </w:t>
      </w:r>
      <w:r w:rsidR="00970013">
        <w:t xml:space="preserve">тогавашния </w:t>
      </w:r>
      <w:r w:rsidR="00AE4E31">
        <w:t xml:space="preserve">момент, ответникът е задължен да </w:t>
      </w:r>
      <w:r w:rsidR="00970013">
        <w:t xml:space="preserve">повдигне </w:t>
      </w:r>
      <w:r w:rsidR="00AE4E31">
        <w:t xml:space="preserve">възражения, свързани с </w:t>
      </w:r>
      <w:r w:rsidR="009A780B">
        <w:t>исковете</w:t>
      </w:r>
      <w:r w:rsidR="00AE4E31">
        <w:t>, най-късно при първото съдебно заседание. Ищецът има възможност да представи нови доказателства по отношение на тези възражения в срок, определ</w:t>
      </w:r>
      <w:r w:rsidR="00970013">
        <w:t>ен</w:t>
      </w:r>
      <w:r w:rsidR="00AE4E31">
        <w:t xml:space="preserve"> от съда.</w:t>
      </w:r>
    </w:p>
    <w:p w:rsidR="00DB505E" w:rsidRPr="00955550" w:rsidRDefault="00DB505E" w:rsidP="00955550">
      <w:pPr>
        <w:pStyle w:val="ECHRHeading2"/>
      </w:pPr>
      <w:r>
        <w:t>Г. Изменение на ответника в хода на гражданско производство</w:t>
      </w:r>
    </w:p>
    <w:p w:rsidR="00DB505E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26</w:t>
        </w:r>
      </w:fldSimple>
      <w:r w:rsidR="00DB505E">
        <w:t>.  По чл. 117, §§ 4 и 5 от Гражданския процесуален кодекс от 1952 г., ищецът може да посочи друг ответник</w:t>
      </w:r>
      <w:r w:rsidR="00D92532">
        <w:t>,</w:t>
      </w:r>
      <w:r w:rsidR="00DB505E">
        <w:t xml:space="preserve"> заедно с първия</w:t>
      </w:r>
      <w:r w:rsidR="00D92532">
        <w:t>,</w:t>
      </w:r>
      <w:r w:rsidR="00DB505E">
        <w:t xml:space="preserve"> на всеки етап от производството на първа инстанция и без съгласието на ответниците. В този случай обаче ищецът не би могъл да се ползва с датата, на която първоначалният иск е </w:t>
      </w:r>
      <w:r w:rsidR="00E25C59">
        <w:t xml:space="preserve">предявен </w:t>
      </w:r>
      <w:r w:rsidR="00DB505E">
        <w:t>срещу първия ответник. Датата, на която молбата да се присъедини новият ответник е подадена, ще се счита за датата, на която искът е подаден по отношение на този ответник.</w:t>
      </w:r>
    </w:p>
    <w:p w:rsidR="00014566" w:rsidRPr="00955550" w:rsidRDefault="00E25C59" w:rsidP="00955550">
      <w:pPr>
        <w:pStyle w:val="ECHRTitle1"/>
      </w:pPr>
      <w:r>
        <w:t>ПРАВОТО</w:t>
      </w:r>
    </w:p>
    <w:p w:rsidR="00014566" w:rsidRPr="00955550" w:rsidRDefault="00014566" w:rsidP="00955550">
      <w:pPr>
        <w:pStyle w:val="ECHRHeading1"/>
      </w:pPr>
      <w:r>
        <w:t>I. ТВЪРДЯНО НАРУШЕНИЕ НА ЧЛ. 6 ОТ КОНВЕНЦИЯТА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27</w:t>
        </w:r>
      </w:fldSimple>
      <w:r w:rsidR="00BA2811">
        <w:t xml:space="preserve">.  Жалбоподателката се оплаква, че ѝ е отказан ефективен достъп до съд за разглеждане на второто ѝ уволнение. Тя се позовава на чл. 6 § 1 от Конвенцията, който в </w:t>
      </w:r>
      <w:r w:rsidR="00563576">
        <w:t>приложимите</w:t>
      </w:r>
      <w:r w:rsidR="00BA2811">
        <w:t xml:space="preserve"> си части гласи:</w:t>
      </w:r>
    </w:p>
    <w:p w:rsidR="00014566" w:rsidRPr="00955550" w:rsidRDefault="00D92648" w:rsidP="00955550">
      <w:pPr>
        <w:pStyle w:val="ECHRParaQuote"/>
      </w:pPr>
      <w:r>
        <w:t xml:space="preserve">“Всяко лице, при решаването на правен спор относно  </w:t>
      </w:r>
      <w:r>
        <w:br/>
        <w:t>неговите граждански права и задължения..., има право на справедливо и публично гледане на неговото дело в разумен срок, от независим и безпристрастен съд, създаден в съответствие със закона.”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28</w:t>
        </w:r>
      </w:fldSimple>
      <w:r w:rsidR="00DA056A">
        <w:t>.  Правителството оспорва аргумента.</w:t>
      </w:r>
    </w:p>
    <w:p w:rsidR="00014566" w:rsidRPr="00955550" w:rsidRDefault="00014566" w:rsidP="00955550">
      <w:pPr>
        <w:pStyle w:val="ECHRHeading2"/>
      </w:pPr>
      <w:r>
        <w:t>A.  Допустимост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29</w:t>
        </w:r>
      </w:fldSimple>
      <w:r w:rsidR="00BA2811">
        <w:t xml:space="preserve">.  Съдът отбелязва, че </w:t>
      </w:r>
      <w:r w:rsidR="00836AE4">
        <w:t xml:space="preserve">тази жалба </w:t>
      </w:r>
      <w:r w:rsidR="00BA2811">
        <w:t>не е явно необоснован</w:t>
      </w:r>
      <w:r w:rsidR="00836AE4">
        <w:t>а</w:t>
      </w:r>
      <w:r w:rsidR="00BA2811">
        <w:t xml:space="preserve"> по смисъла на чл. 35 § 3(а) от Конвенцията. Той отбелязва още, че тя не е недопустима на други основания. Следователно тя </w:t>
      </w:r>
      <w:r w:rsidR="00836AE4">
        <w:t>е</w:t>
      </w:r>
      <w:r w:rsidR="00BA2811">
        <w:t xml:space="preserve"> допустима.</w:t>
      </w:r>
    </w:p>
    <w:p w:rsidR="00014566" w:rsidRPr="00955550" w:rsidRDefault="00014566" w:rsidP="00955550">
      <w:pPr>
        <w:pStyle w:val="ECHRHeading2"/>
      </w:pPr>
      <w:r>
        <w:t xml:space="preserve">Б. </w:t>
      </w:r>
      <w:r w:rsidR="00836AE4">
        <w:t>По същество</w:t>
      </w:r>
    </w:p>
    <w:p w:rsidR="00BF1035" w:rsidRPr="00955550" w:rsidRDefault="00BF1035" w:rsidP="00955550">
      <w:pPr>
        <w:pStyle w:val="ECHRHeading3"/>
        <w:ind w:left="0" w:firstLine="431"/>
      </w:pPr>
      <w:r>
        <w:t>1.  </w:t>
      </w:r>
      <w:r w:rsidR="00B53154">
        <w:t xml:space="preserve">Становища </w:t>
      </w:r>
      <w:r>
        <w:t>на страните</w:t>
      </w:r>
    </w:p>
    <w:p w:rsidR="008A56C4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30</w:t>
        </w:r>
      </w:fldSimple>
      <w:r w:rsidR="00BA2811">
        <w:t>.  Жалбоподателката твърди, че в рамките на кратък период от време и въз основа на една и съща правна рамка, която тя счита за неясна, националните съдилища възприе</w:t>
      </w:r>
      <w:r w:rsidR="00B54E65">
        <w:t>мат</w:t>
      </w:r>
      <w:r w:rsidR="00BA2811">
        <w:t xml:space="preserve"> напълно противоположни позиции по въпроса за правилния ответник - РИО или училището - в нейните дела, които </w:t>
      </w:r>
      <w:r w:rsidR="00B54E65">
        <w:t>засягат</w:t>
      </w:r>
      <w:r w:rsidR="00BA2811">
        <w:t xml:space="preserve"> подобни въпроси и едни и същи страни. Тя твърди, че не е получ</w:t>
      </w:r>
      <w:r w:rsidR="00B54E65">
        <w:t>ила</w:t>
      </w:r>
      <w:r w:rsidR="00BA2811">
        <w:t xml:space="preserve"> указания от националните съдилища, позволяващи ѝ да промени ответника навреме. Противоречивите решения на съдилищата я поставят в ситуация, в която не </w:t>
      </w:r>
      <w:r w:rsidR="00B54E65">
        <w:t>може</w:t>
      </w:r>
      <w:r w:rsidR="00BA2811">
        <w:t xml:space="preserve"> да заведе последващ иск срещу училището, както е посочено в решението на Апелативен съд - Пловдив от 16 април 2008 г., тъй като законоустановеният двумесечен срок за завеждане на делото е изтекъл. </w:t>
      </w:r>
      <w:r w:rsidR="00432DA2">
        <w:t>Като се п</w:t>
      </w:r>
      <w:r w:rsidR="00BA2811">
        <w:t xml:space="preserve">озовава на решението на Съда по </w:t>
      </w:r>
      <w:r w:rsidR="00432DA2">
        <w:t>случая</w:t>
      </w:r>
      <w:r w:rsidR="00432DA2">
        <w:rPr>
          <w:i/>
        </w:rPr>
        <w:t xml:space="preserve"> </w:t>
      </w:r>
      <w:r w:rsidR="00BA2811">
        <w:rPr>
          <w:i/>
        </w:rPr>
        <w:t>Костадин Михайлов срещу България</w:t>
      </w:r>
      <w:r w:rsidR="00BA2811">
        <w:t xml:space="preserve">, жалбоподателката счита, че тя е била лишена от правото си на разглеждане на основателността на нейните </w:t>
      </w:r>
      <w:r w:rsidR="00554E43">
        <w:t xml:space="preserve">искове </w:t>
      </w:r>
      <w:r w:rsidR="00BA2811">
        <w:t xml:space="preserve">във връзка със законността на уволнението ѝ, възстановяването </w:t>
      </w:r>
      <w:r w:rsidR="00432DA2">
        <w:t xml:space="preserve">й </w:t>
      </w:r>
      <w:r w:rsidR="00BA2811">
        <w:t>на предишната ѝ длъжност и обезщетението за загуба на доход (</w:t>
      </w:r>
      <w:r w:rsidR="00BA2811">
        <w:rPr>
          <w:i/>
        </w:rPr>
        <w:t>Костадин Михайлов срещу България</w:t>
      </w:r>
      <w:r w:rsidR="00BA2811">
        <w:t>, № 17868/07, 27 март 2008 г.).</w:t>
      </w:r>
    </w:p>
    <w:p w:rsidR="00BF1035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31</w:t>
        </w:r>
      </w:fldSimple>
      <w:r w:rsidR="00BA2811">
        <w:t xml:space="preserve">.  Правителството твърди, че </w:t>
      </w:r>
      <w:r w:rsidR="00554E43">
        <w:t xml:space="preserve">исковете </w:t>
      </w:r>
      <w:r w:rsidR="00BA2811">
        <w:t xml:space="preserve">на жалбоподателката срещу РИО във второто производство за уволнение са разгледани по </w:t>
      </w:r>
      <w:r w:rsidR="00432DA2">
        <w:t xml:space="preserve">същество </w:t>
      </w:r>
      <w:r w:rsidR="00BA2811">
        <w:t>и отхвърлени от Апелативен съд - Пловдив в решението му от 16 април 2008 г. Въпросът относно ответник</w:t>
      </w:r>
      <w:r w:rsidR="00D04731">
        <w:t>а</w:t>
      </w:r>
      <w:r w:rsidR="00BA2811">
        <w:t xml:space="preserve"> е част от разглеждането по същество на </w:t>
      </w:r>
      <w:r w:rsidR="00554E43">
        <w:t>исковете</w:t>
      </w:r>
      <w:r w:rsidR="00BA2811">
        <w:t>, а не въпрос на допустимост. По-конкретно апелативният съд посоч</w:t>
      </w:r>
      <w:r w:rsidR="00D04731">
        <w:t>ва</w:t>
      </w:r>
      <w:r w:rsidR="00BA2811">
        <w:t xml:space="preserve">, че по закон РИО не може да се счита за работодател на жалбоподателката. След това той приема по </w:t>
      </w:r>
      <w:r w:rsidR="00EB350B">
        <w:t xml:space="preserve">съществото </w:t>
      </w:r>
      <w:r w:rsidR="00BA2811">
        <w:t xml:space="preserve">на делото решение, че </w:t>
      </w:r>
      <w:r w:rsidR="00554E43">
        <w:t xml:space="preserve">исковете </w:t>
      </w:r>
      <w:r w:rsidR="00BA2811">
        <w:t xml:space="preserve">са неоснователни. </w:t>
      </w:r>
      <w:r w:rsidR="00EB350B">
        <w:t xml:space="preserve">Следователно </w:t>
      </w:r>
      <w:r w:rsidR="00BA2811">
        <w:t xml:space="preserve">жалбоподателката не може да твърди, че по нейните </w:t>
      </w:r>
      <w:r w:rsidR="00554E43">
        <w:t xml:space="preserve">искове </w:t>
      </w:r>
      <w:r w:rsidR="00BA2811">
        <w:t>срещу РИО н</w:t>
      </w:r>
      <w:r w:rsidR="00EA2714">
        <w:t>яма</w:t>
      </w:r>
      <w:r w:rsidR="00BA2811">
        <w:t xml:space="preserve"> произнасяне. Фактът, че не са разгледани </w:t>
      </w:r>
      <w:r w:rsidR="00EA2714">
        <w:t xml:space="preserve">искове </w:t>
      </w:r>
      <w:r w:rsidR="00BA2811">
        <w:t>срещу училището, се дължи изцяло на неуспеха на жалбоподателката да го посочи като ответник в производството или заедно с РИО, или чрез заместване на последния с училището.</w:t>
      </w:r>
    </w:p>
    <w:p w:rsidR="00BF1035" w:rsidRPr="00955550" w:rsidRDefault="00BF1035" w:rsidP="00955550">
      <w:pPr>
        <w:pStyle w:val="ECHRHeading3"/>
      </w:pPr>
      <w:r>
        <w:t>2.  Преценка</w:t>
      </w:r>
      <w:r w:rsidR="00EA2714">
        <w:t>та</w:t>
      </w:r>
      <w:r>
        <w:t xml:space="preserve"> на Съда</w:t>
      </w:r>
    </w:p>
    <w:p w:rsidR="005A578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32</w:t>
        </w:r>
      </w:fldSimple>
      <w:r w:rsidR="005A578D">
        <w:t xml:space="preserve">.  Съдът отбелязва, че е налице спор за право, признато съгласно българското законодателство - правото на лице да не бъде несправедливо уволнено. Той отбелязва още, че спорът е истински и сериозен и че изходът </w:t>
      </w:r>
      <w:r w:rsidR="00610C80">
        <w:t xml:space="preserve">от </w:t>
      </w:r>
      <w:r w:rsidR="005A578D">
        <w:t xml:space="preserve">производството пред националните съдилища е пряко решаващ за </w:t>
      </w:r>
      <w:r w:rsidR="00610C80">
        <w:t xml:space="preserve">засегнатото </w:t>
      </w:r>
      <w:r w:rsidR="005A578D">
        <w:t xml:space="preserve">право (вж. </w:t>
      </w:r>
      <w:proofErr w:type="spellStart"/>
      <w:r w:rsidR="005A578D">
        <w:rPr>
          <w:i/>
        </w:rPr>
        <w:t>Фазлийски</w:t>
      </w:r>
      <w:proofErr w:type="spellEnd"/>
      <w:r w:rsidR="005A578D">
        <w:rPr>
          <w:i/>
        </w:rPr>
        <w:t xml:space="preserve"> срещу България</w:t>
      </w:r>
      <w:r w:rsidR="005A578D">
        <w:t xml:space="preserve">, № 40908/05, § 52, 16 април 2013 г.). </w:t>
      </w:r>
      <w:r w:rsidR="00610C80">
        <w:t xml:space="preserve">Съгласно </w:t>
      </w:r>
      <w:r w:rsidR="005A578D">
        <w:t>вътрешното право</w:t>
      </w:r>
      <w:r w:rsidR="00610C80">
        <w:t>,</w:t>
      </w:r>
      <w:r w:rsidR="005A578D">
        <w:t xml:space="preserve"> спорове относно уволнението на държавните служители</w:t>
      </w:r>
      <w:r w:rsidR="00610C80">
        <w:t>,</w:t>
      </w:r>
      <w:r w:rsidR="005A578D">
        <w:t xml:space="preserve"> като жалбоподателката</w:t>
      </w:r>
      <w:r w:rsidR="00610C80">
        <w:t>,</w:t>
      </w:r>
      <w:r w:rsidR="005A578D">
        <w:t xml:space="preserve"> подлежат на обикновен съдебен контрол. Приложимата процедура е същата, както всяка друга съдебна процедура (вж. параграф 21 по-горе). От това следва, че чл. 6 § 1 е приложим в настоящия случай (вж. </w:t>
      </w:r>
      <w:proofErr w:type="spellStart"/>
      <w:r w:rsidR="005A578D">
        <w:rPr>
          <w:i/>
        </w:rPr>
        <w:t>Vilho</w:t>
      </w:r>
      <w:proofErr w:type="spellEnd"/>
      <w:r w:rsidR="005A578D">
        <w:rPr>
          <w:i/>
        </w:rPr>
        <w:t xml:space="preserve"> </w:t>
      </w:r>
      <w:proofErr w:type="spellStart"/>
      <w:r w:rsidR="005A578D">
        <w:rPr>
          <w:i/>
        </w:rPr>
        <w:t>Eskelinen</w:t>
      </w:r>
      <w:proofErr w:type="spellEnd"/>
      <w:r w:rsidR="005A578D">
        <w:rPr>
          <w:i/>
        </w:rPr>
        <w:t xml:space="preserve"> </w:t>
      </w:r>
      <w:proofErr w:type="spellStart"/>
      <w:r w:rsidR="005A578D">
        <w:rPr>
          <w:i/>
        </w:rPr>
        <w:t>and</w:t>
      </w:r>
      <w:proofErr w:type="spellEnd"/>
      <w:r w:rsidR="005A578D">
        <w:rPr>
          <w:i/>
        </w:rPr>
        <w:t xml:space="preserve"> </w:t>
      </w:r>
      <w:proofErr w:type="spellStart"/>
      <w:r w:rsidR="005A578D">
        <w:rPr>
          <w:i/>
        </w:rPr>
        <w:t>Others</w:t>
      </w:r>
      <w:proofErr w:type="spellEnd"/>
      <w:r w:rsidR="005A578D">
        <w:rPr>
          <w:i/>
        </w:rPr>
        <w:t xml:space="preserve"> v. </w:t>
      </w:r>
      <w:proofErr w:type="spellStart"/>
      <w:r w:rsidR="005A578D">
        <w:rPr>
          <w:i/>
        </w:rPr>
        <w:t>Finland</w:t>
      </w:r>
      <w:proofErr w:type="spellEnd"/>
      <w:r w:rsidR="005A578D">
        <w:t xml:space="preserve"> [GC], № 63235/00, § 62-63, ЕСПЧ 2007</w:t>
      </w:r>
      <w:r w:rsidR="005A578D">
        <w:noBreakHyphen/>
        <w:t>II).</w:t>
      </w:r>
    </w:p>
    <w:p w:rsidR="003E193D" w:rsidRPr="00955550" w:rsidRDefault="003D2FE6" w:rsidP="00955550">
      <w:pPr>
        <w:pStyle w:val="ECHRPara"/>
        <w:rPr>
          <w:i/>
        </w:rPr>
      </w:pPr>
      <w:fldSimple w:instr=" SEQ level0 \*arabic ">
        <w:r w:rsidR="00955550" w:rsidRPr="00955550">
          <w:rPr>
            <w:noProof/>
          </w:rPr>
          <w:t>33</w:t>
        </w:r>
      </w:fldSimple>
      <w:r w:rsidR="005923A8">
        <w:t xml:space="preserve">.  Съдът </w:t>
      </w:r>
      <w:r w:rsidR="00A56845">
        <w:t>също припомня</w:t>
      </w:r>
      <w:r w:rsidR="005923A8">
        <w:t xml:space="preserve">, че чл. 6 § 1 гарантира на всеки правото </w:t>
      </w:r>
      <w:r w:rsidR="00A56845">
        <w:t>всички</w:t>
      </w:r>
      <w:r w:rsidR="005923A8">
        <w:t xml:space="preserve"> </w:t>
      </w:r>
      <w:r w:rsidR="00101F6D">
        <w:t xml:space="preserve">негови </w:t>
      </w:r>
      <w:r w:rsidR="005923A8">
        <w:t>искове, отн</w:t>
      </w:r>
      <w:r w:rsidR="00101F6D">
        <w:t>осно</w:t>
      </w:r>
      <w:r w:rsidR="005923A8">
        <w:t xml:space="preserve"> неговите граждански права и задължения, да бъдат </w:t>
      </w:r>
      <w:r w:rsidR="00101F6D">
        <w:t>разгледани от</w:t>
      </w:r>
      <w:r w:rsidR="005923A8">
        <w:t xml:space="preserve"> съд или трибунал; по този начин той е олицетвор</w:t>
      </w:r>
      <w:r w:rsidR="004E50C2">
        <w:t>ява</w:t>
      </w:r>
      <w:r w:rsidR="005923A8">
        <w:t xml:space="preserve"> “правото на съд”, от което правото на достъп представлява един аспект (вж. </w:t>
      </w:r>
      <w:proofErr w:type="spellStart"/>
      <w:r w:rsidR="005923A8">
        <w:rPr>
          <w:i/>
        </w:rPr>
        <w:t>Golder</w:t>
      </w:r>
      <w:proofErr w:type="spellEnd"/>
      <w:r w:rsidR="005923A8">
        <w:rPr>
          <w:i/>
        </w:rPr>
        <w:t xml:space="preserve"> v. </w:t>
      </w:r>
      <w:proofErr w:type="spellStart"/>
      <w:r w:rsidR="005923A8">
        <w:rPr>
          <w:i/>
        </w:rPr>
        <w:t>the</w:t>
      </w:r>
      <w:proofErr w:type="spellEnd"/>
      <w:r w:rsidR="005923A8">
        <w:rPr>
          <w:i/>
        </w:rPr>
        <w:t> </w:t>
      </w:r>
      <w:proofErr w:type="spellStart"/>
      <w:r w:rsidR="005923A8">
        <w:rPr>
          <w:i/>
        </w:rPr>
        <w:t>United</w:t>
      </w:r>
      <w:proofErr w:type="spellEnd"/>
      <w:r w:rsidR="005923A8">
        <w:rPr>
          <w:i/>
        </w:rPr>
        <w:t xml:space="preserve"> </w:t>
      </w:r>
      <w:proofErr w:type="spellStart"/>
      <w:r w:rsidR="005923A8">
        <w:rPr>
          <w:i/>
        </w:rPr>
        <w:t>Kingdom</w:t>
      </w:r>
      <w:proofErr w:type="spellEnd"/>
      <w:r w:rsidR="005923A8">
        <w:t>, 21 февруари 1975 г., §§ 28</w:t>
      </w:r>
      <w:r w:rsidR="005923A8">
        <w:noBreakHyphen/>
        <w:t xml:space="preserve">36, Серия A № 18, и </w:t>
      </w:r>
      <w:proofErr w:type="spellStart"/>
      <w:r w:rsidR="005923A8">
        <w:rPr>
          <w:i/>
        </w:rPr>
        <w:t>Osman</w:t>
      </w:r>
      <w:proofErr w:type="spellEnd"/>
      <w:r w:rsidR="005923A8">
        <w:rPr>
          <w:i/>
        </w:rPr>
        <w:t xml:space="preserve"> v. </w:t>
      </w:r>
      <w:proofErr w:type="spellStart"/>
      <w:r w:rsidR="005923A8">
        <w:rPr>
          <w:i/>
        </w:rPr>
        <w:t>the</w:t>
      </w:r>
      <w:proofErr w:type="spellEnd"/>
      <w:r w:rsidR="005923A8">
        <w:rPr>
          <w:i/>
        </w:rPr>
        <w:t xml:space="preserve"> </w:t>
      </w:r>
      <w:proofErr w:type="spellStart"/>
      <w:r w:rsidR="005923A8">
        <w:rPr>
          <w:i/>
        </w:rPr>
        <w:t>United</w:t>
      </w:r>
      <w:proofErr w:type="spellEnd"/>
      <w:r w:rsidR="005923A8">
        <w:rPr>
          <w:i/>
        </w:rPr>
        <w:t xml:space="preserve"> </w:t>
      </w:r>
      <w:proofErr w:type="spellStart"/>
      <w:r w:rsidR="005923A8">
        <w:rPr>
          <w:i/>
        </w:rPr>
        <w:t>Kingdom</w:t>
      </w:r>
      <w:proofErr w:type="spellEnd"/>
      <w:r w:rsidR="005923A8">
        <w:t xml:space="preserve">, 28 октомври 1998 г., §§ 136 и 147, </w:t>
      </w:r>
      <w:r w:rsidR="005923A8">
        <w:rPr>
          <w:i/>
        </w:rPr>
        <w:t>Доклади за решения и определения</w:t>
      </w:r>
      <w:r w:rsidR="005923A8">
        <w:t xml:space="preserve"> 1998-VIII). Това право не е абсолютно, а може да бъде предмет на ограничения; те са разрешени по подразбиране, тъй като правото на достъп “по своята същност призовава за регулиране от страна на държавата – регулиране, което може да се различава </w:t>
      </w:r>
      <w:r w:rsidR="00D72EA9">
        <w:t>по</w:t>
      </w:r>
      <w:r w:rsidR="005923A8">
        <w:t xml:space="preserve"> време и място</w:t>
      </w:r>
      <w:r w:rsidR="00D72EA9">
        <w:t>,</w:t>
      </w:r>
      <w:r w:rsidR="005923A8">
        <w:t xml:space="preserve"> в зависимост от нуждите и ресурсите на общността и на лицата”. Прилаганите ограничения не трябва да ограничават или намаляват достъпа, оставен на лицето, по такъв начин или до такава степен, че самата същност на правото да е нарушена. Освен това</w:t>
      </w:r>
      <w:r w:rsidR="00DE11BA">
        <w:t>,</w:t>
      </w:r>
      <w:r w:rsidR="005923A8">
        <w:t xml:space="preserve"> ограничение</w:t>
      </w:r>
      <w:r w:rsidR="00DE11BA">
        <w:t>то</w:t>
      </w:r>
      <w:r w:rsidR="005923A8">
        <w:t xml:space="preserve"> няма да бъде съвместимо с чл. 6 § 1, ако не преследва легитимна цел или ако няма разумно </w:t>
      </w:r>
      <w:r w:rsidR="00DE11BA">
        <w:t xml:space="preserve">съотношение </w:t>
      </w:r>
      <w:r w:rsidR="005923A8">
        <w:t xml:space="preserve">на пропорционалност между използваните средства и преследваната цел (вж. наред с други решения </w:t>
      </w:r>
      <w:r w:rsidR="005923A8">
        <w:rPr>
          <w:i/>
        </w:rPr>
        <w:t>Станев срещу България</w:t>
      </w:r>
      <w:r w:rsidR="005923A8">
        <w:t xml:space="preserve"> [GC], № 36760/06, § 230, ЕСПЧ 2012 г.).</w:t>
      </w:r>
    </w:p>
    <w:p w:rsidR="003E193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34</w:t>
        </w:r>
      </w:fldSimple>
      <w:r w:rsidR="003E193D">
        <w:t>.  В настоящия случай Съдът отбелязва, че жалбоподателката по същество твърди, че съдилищата не са се произнесли по спора ѝ, защото в производството по второто уволнение те обяв</w:t>
      </w:r>
      <w:r w:rsidR="00894BE3">
        <w:t>яват</w:t>
      </w:r>
      <w:r w:rsidR="003E193D">
        <w:t xml:space="preserve"> делото за недопустимо, след като установяват, че РИО не е правилният ответник. Според нея това решение противоречи на констатациите в производство за първото уволнение по такъв начин, че тя се оказва в ситуация, в която е лишена от ефективен достъп до съд, за да оспори второто уволнение (вж. параграфи 27 и 30 по-горе).</w:t>
      </w:r>
    </w:p>
    <w:p w:rsidR="006B3623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35</w:t>
        </w:r>
      </w:fldSimple>
      <w:r w:rsidR="00EA3741">
        <w:t xml:space="preserve">.  Не е задача на Съда да реши кой орган е правилният ответник по </w:t>
      </w:r>
      <w:r w:rsidR="00894BE3">
        <w:t xml:space="preserve">дела, заведени  </w:t>
      </w:r>
      <w:r w:rsidR="00EA3741">
        <w:t>по Кодекса на труда. Това е въпрос на българско</w:t>
      </w:r>
      <w:r w:rsidR="00894BE3">
        <w:t>то</w:t>
      </w:r>
      <w:r w:rsidR="00EA3741">
        <w:t xml:space="preserve"> </w:t>
      </w:r>
      <w:r w:rsidR="00894BE3">
        <w:t>законодателство</w:t>
      </w:r>
      <w:r w:rsidR="00EA3741">
        <w:t xml:space="preserve">, който попада в изключителната компетентност на българските съдилища (вж., </w:t>
      </w:r>
      <w:proofErr w:type="spellStart"/>
      <w:r w:rsidR="00EA3741">
        <w:rPr>
          <w:i/>
        </w:rPr>
        <w:t>mutatis</w:t>
      </w:r>
      <w:proofErr w:type="spellEnd"/>
      <w:r w:rsidR="00EA3741">
        <w:rPr>
          <w:i/>
        </w:rPr>
        <w:t xml:space="preserve"> </w:t>
      </w:r>
      <w:proofErr w:type="spellStart"/>
      <w:r w:rsidR="00EA3741">
        <w:rPr>
          <w:i/>
        </w:rPr>
        <w:t>mutandis</w:t>
      </w:r>
      <w:proofErr w:type="spellEnd"/>
      <w:r w:rsidR="00EA3741">
        <w:t xml:space="preserve">, </w:t>
      </w:r>
      <w:r w:rsidR="00EA3741">
        <w:rPr>
          <w:i/>
        </w:rPr>
        <w:t>Костадин Михайлов</w:t>
      </w:r>
      <w:r w:rsidR="00EA3741">
        <w:t xml:space="preserve">, цитирано по-горе, § 41). Във всеки случай основният въпрос в настоящия случай не е дали националните съдилища са допуснали грешка при прилагане на националното </w:t>
      </w:r>
      <w:r w:rsidR="00582F2C">
        <w:t>законодателство</w:t>
      </w:r>
      <w:r w:rsidR="00EA3741">
        <w:t xml:space="preserve">, а дали решенията и определенията, постановени от националните съдилища във връзка с двата иска, предявени от жалбоподателката, са </w:t>
      </w:r>
      <w:r w:rsidR="00582F2C">
        <w:t xml:space="preserve">били </w:t>
      </w:r>
      <w:r w:rsidR="00EA3741">
        <w:t>намеса в правото ѝ по чл. 6 § 1 да получи съдебно разглеждане на иска си по отношение на второто уволнение.</w:t>
      </w:r>
    </w:p>
    <w:p w:rsidR="00BE4C18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36</w:t>
        </w:r>
      </w:fldSimple>
      <w:r w:rsidR="006B3623">
        <w:t xml:space="preserve">.  Жалбоподателката </w:t>
      </w:r>
      <w:r w:rsidR="004A5650">
        <w:t>счита</w:t>
      </w:r>
      <w:r w:rsidR="006B3623">
        <w:t xml:space="preserve">, че настоящият случай е идентичен с </w:t>
      </w:r>
      <w:r w:rsidR="004A5650">
        <w:t xml:space="preserve">този в </w:t>
      </w:r>
      <w:r w:rsidR="006B3623">
        <w:rPr>
          <w:i/>
        </w:rPr>
        <w:t>Костадин Михайлов</w:t>
      </w:r>
      <w:r w:rsidR="006B3623">
        <w:t>, цитирано по-горе. Съдът отбелязва, че в последн</w:t>
      </w:r>
      <w:r w:rsidR="004A5650">
        <w:t>ия случай,</w:t>
      </w:r>
      <w:r w:rsidR="006B3623">
        <w:t xml:space="preserve"> оплакването на жалбоподателя се отнася до две различни производства по отношение на идентични фактически обстоятелства и на един и същ граждански деликтен иск. По-важното е, че и в двете производства въпросът за правилния ответник е изрично повдигнат от ответниците и разгледан от националните съдилища, които заемат две диаметрално противоположни позиции по последния въпрос, така че  </w:t>
      </w:r>
      <w:r w:rsidR="00A165FA">
        <w:t xml:space="preserve">исковете </w:t>
      </w:r>
      <w:r w:rsidR="006B3623">
        <w:t xml:space="preserve">на жалбоподателя не </w:t>
      </w:r>
      <w:r w:rsidR="00A165FA">
        <w:t>се разглеждат по същество</w:t>
      </w:r>
      <w:r w:rsidR="006B3623">
        <w:t xml:space="preserve"> (вж. </w:t>
      </w:r>
      <w:r w:rsidR="006B3623">
        <w:rPr>
          <w:i/>
        </w:rPr>
        <w:t>Костадин Михайлов</w:t>
      </w:r>
      <w:r w:rsidR="006B3623">
        <w:t xml:space="preserve">, цитирано по-горе, §§ 14-22). В светлината на тези обстоятелства за Съда изглежда, че настоящият случай е различен от този </w:t>
      </w:r>
      <w:r w:rsidR="00131231">
        <w:t xml:space="preserve">в </w:t>
      </w:r>
      <w:r w:rsidR="006B3623">
        <w:rPr>
          <w:i/>
        </w:rPr>
        <w:t>Костадин Михайлов</w:t>
      </w:r>
      <w:r w:rsidR="006B3623">
        <w:t>, цитирано по-горе, поради поне две причини. Първо, производството за уволнението в случая на настоящата жалбоподателка се отнася до различни въпроси: първото производство се отнася само до заповедта за уволнение от 19 юли 2002 г., докато второто производство се отнася до уволнението от 6 декември 2005 г. (вж. параграфи 7-9 и 11-17-горе). Второ, въпросът за правилния ответник не е разгледан от съдилищата в производството за първото уволнение, тъй като РИО не повдига възражение в този смисъл (вж. параграфи 7-9 по-горе). Не е задача за то</w:t>
      </w:r>
      <w:r w:rsidR="00131231">
        <w:t>зи</w:t>
      </w:r>
      <w:r w:rsidR="006B3623">
        <w:t xml:space="preserve"> Съд да се произнесе по въпроса дали националните съдилища са длъжни да разгледат </w:t>
      </w:r>
      <w:proofErr w:type="spellStart"/>
      <w:r w:rsidR="006B3623">
        <w:rPr>
          <w:i/>
        </w:rPr>
        <w:t>ex</w:t>
      </w:r>
      <w:proofErr w:type="spellEnd"/>
      <w:r w:rsidR="006B3623">
        <w:rPr>
          <w:i/>
        </w:rPr>
        <w:t xml:space="preserve"> </w:t>
      </w:r>
      <w:proofErr w:type="spellStart"/>
      <w:r w:rsidR="006B3623">
        <w:rPr>
          <w:i/>
        </w:rPr>
        <w:t>officio</w:t>
      </w:r>
      <w:proofErr w:type="spellEnd"/>
      <w:r w:rsidR="006B3623">
        <w:t xml:space="preserve"> този въпрос в първото производство. Във всеки случай, те разглеждат граждански спор, както е описан от жалбоподателката по отношение на обстоятелствата на първото уволнение, и при липса на възражение от страна на РИО, че той не е правилният ответник, те се произнасят по </w:t>
      </w:r>
      <w:r w:rsidR="000D1362">
        <w:t xml:space="preserve">съществото </w:t>
      </w:r>
      <w:r w:rsidR="006B3623">
        <w:t xml:space="preserve">на делото. </w:t>
      </w:r>
      <w:r w:rsidR="00E22DBF">
        <w:t>Според</w:t>
      </w:r>
      <w:r w:rsidR="006B3623">
        <w:t xml:space="preserve"> Съда, РИО не е възпрепятстван да повдигне възражение, че не е правилният ответник в последващи производства срещу същата жалбоподателка, а съдилищата не грешат като смятат, че не са обвързани от факта, че РИО е действал като ответна страна в предишното производство, </w:t>
      </w:r>
      <w:r w:rsidR="00E22DBF">
        <w:t xml:space="preserve">повдигнато </w:t>
      </w:r>
      <w:r w:rsidR="006B3623">
        <w:t>от жалбоподателката.</w:t>
      </w:r>
    </w:p>
    <w:p w:rsidR="00A25955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37</w:t>
        </w:r>
      </w:fldSimple>
      <w:r w:rsidR="00AF7130">
        <w:t>.  </w:t>
      </w:r>
      <w:r w:rsidR="007E68EE">
        <w:t>Предвид горепосоченото</w:t>
      </w:r>
      <w:r w:rsidR="00AF7130">
        <w:t xml:space="preserve"> Съдът </w:t>
      </w:r>
      <w:r w:rsidR="007E68EE">
        <w:t>счита</w:t>
      </w:r>
      <w:r w:rsidR="00AF7130">
        <w:t>, че настоящ</w:t>
      </w:r>
      <w:r w:rsidR="007E68EE">
        <w:t>ия случай</w:t>
      </w:r>
      <w:r w:rsidR="00AF7130">
        <w:t xml:space="preserve"> повдига други проблеми, свързани с въпроса дали жалбоподателката е имала ефективен достъп до съд.</w:t>
      </w:r>
    </w:p>
    <w:p w:rsidR="003E7CD7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38</w:t>
        </w:r>
      </w:fldSimple>
      <w:r w:rsidR="00A25955">
        <w:t xml:space="preserve">.  За Съда е </w:t>
      </w:r>
      <w:r w:rsidR="00E0390F">
        <w:t>важно</w:t>
      </w:r>
      <w:r w:rsidR="00A25955">
        <w:t>, че заповедта за уволнение на жалбоподателката от 6 декември 2005 г. е издадена от началника на РИО (вж. параграф 10 по-горе). Това юридическо лице е същото, който преди това е действало като ответник в производството за първото уволнение, когато жалбоподателката постига успе</w:t>
      </w:r>
      <w:r w:rsidR="00E0390F">
        <w:t>шни резултати</w:t>
      </w:r>
      <w:r w:rsidR="00A25955">
        <w:t xml:space="preserve"> в окончателно решение на съда, постановено само две седмици преди да бъде уволнена отново (вж. параграфи 7-9 по-горе). Също така изглежда, че в </w:t>
      </w:r>
      <w:r w:rsidR="00E0390F">
        <w:t>по това време</w:t>
      </w:r>
      <w:r w:rsidR="00A25955">
        <w:t xml:space="preserve"> е обичайна практика за националните съдилища да се произнасят по искове за несправедливо уволнение срещу РИО като ответник (вж. параграф 22 по-горе). Поради това Съдът прием</w:t>
      </w:r>
      <w:r w:rsidR="00C54E59">
        <w:t>а</w:t>
      </w:r>
      <w:r w:rsidR="00A25955">
        <w:t xml:space="preserve">, че жалбоподателката не може да бъде упреквана, че е предвидила, че РИО отново ще бъде страната, която трябва да отговори на нейните </w:t>
      </w:r>
      <w:r w:rsidR="00213EBE">
        <w:t>искове</w:t>
      </w:r>
      <w:r w:rsidR="00A25955">
        <w:t xml:space="preserve">, свързани с новото ѝ уволнение. Съдът отбелязва, че законоустановеният двумесечен срок за оплакване от уволнението на жалбоподателката изтича на 6 февруари 2006 г. Това </w:t>
      </w:r>
      <w:r w:rsidR="00C54E59">
        <w:t xml:space="preserve">също </w:t>
      </w:r>
      <w:r w:rsidR="00A25955">
        <w:t>е</w:t>
      </w:r>
      <w:r w:rsidR="00C54E59">
        <w:t xml:space="preserve"> </w:t>
      </w:r>
      <w:r w:rsidR="00A25955">
        <w:t>послед</w:t>
      </w:r>
      <w:r w:rsidR="00C54E59">
        <w:t>ният</w:t>
      </w:r>
      <w:r w:rsidR="00A25955">
        <w:t xml:space="preserve"> срок за предявяване на иск срещу училището или в отделно производство, или в хода на производството, вече образувано срещу РИО. Това се посочва в приложимото законодателство, което </w:t>
      </w:r>
      <w:r w:rsidR="002E5F88">
        <w:t>предвижда</w:t>
      </w:r>
      <w:r w:rsidR="00A25955">
        <w:t>, че само датата на гражданския иск срещу училището е обвързваща за последното, а не датата на началото на производството за уволнение (вж. параграфи 21 и 26 по-горе). Вярно е, че жалбоподателката не обясн</w:t>
      </w:r>
      <w:r w:rsidR="002E5F88">
        <w:t>ява</w:t>
      </w:r>
      <w:r w:rsidR="00A25955">
        <w:t xml:space="preserve"> защо не посочва училището като ответна страна в това производство или заедно с РИО, или замествайки последния с училището, както е предложено от Правителството (вж. параграф 31 по-горе). Изглежда обаче, че първото заседание, в което РИО повдигна възражението си по въпроса за ответника, се състои след 6 февруари 2006 г., когато дело срещу училището вече е </w:t>
      </w:r>
      <w:r w:rsidR="00BB08A3">
        <w:t>с</w:t>
      </w:r>
      <w:r w:rsidR="00A25955">
        <w:t xml:space="preserve"> изтекла давност. Въпреки че това остава неясно от </w:t>
      </w:r>
      <w:r w:rsidR="00BB08A3">
        <w:t xml:space="preserve">преписката </w:t>
      </w:r>
      <w:r w:rsidR="00A25955">
        <w:t xml:space="preserve">по делото, Съдът отбелязва, че във всеки случай първото решение на съда, в което се посочва, че жалбоподателката </w:t>
      </w:r>
      <w:r w:rsidR="00BB08A3">
        <w:t xml:space="preserve">трябва </w:t>
      </w:r>
      <w:r w:rsidR="00A25955">
        <w:t xml:space="preserve">да </w:t>
      </w:r>
      <w:r w:rsidR="00213EBE">
        <w:t xml:space="preserve">предяви исковете </w:t>
      </w:r>
      <w:r w:rsidR="00A25955">
        <w:t>си срещу училището, е взето на 12 април 2006 г. (вж. параграф 12 по-горе), много след двумесечното законово ограничение, в рамките на което жалбоподателката е можела да присъедини училището като ответник в съответствие с националното законодателство.</w:t>
      </w:r>
    </w:p>
    <w:p w:rsidR="00260AB9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39</w:t>
        </w:r>
      </w:fldSimple>
      <w:r w:rsidR="003E7CD7">
        <w:t>.  Съдът още отбелязва, че съдебната практика на националните съдилища е противоречива по въпроса за правилния ответник в трудови дела от този тип</w:t>
      </w:r>
      <w:r w:rsidR="00CE1448">
        <w:t>,</w:t>
      </w:r>
      <w:r w:rsidR="003E7CD7">
        <w:t xml:space="preserve"> най-малко </w:t>
      </w:r>
      <w:r w:rsidR="00CE1448">
        <w:t xml:space="preserve">в </w:t>
      </w:r>
      <w:r w:rsidR="003E7CD7">
        <w:t xml:space="preserve">периода от юли 2007 г. до юни 2010 г. (вж. параграф 22 по-горе). Въпреки че тази непоследователност и някои от </w:t>
      </w:r>
      <w:r w:rsidR="00CE1448">
        <w:t xml:space="preserve">приложимите </w:t>
      </w:r>
      <w:r w:rsidR="003E7CD7">
        <w:t xml:space="preserve">процедури по-късно са уредени от две задължителни тълкувателни решения, </w:t>
      </w:r>
      <w:r w:rsidR="00CE1448">
        <w:t xml:space="preserve">постановени </w:t>
      </w:r>
      <w:r w:rsidR="003E7CD7">
        <w:t xml:space="preserve">от Върховния касационен съд, </w:t>
      </w:r>
      <w:r w:rsidR="00CE1448">
        <w:t xml:space="preserve">и </w:t>
      </w:r>
      <w:r w:rsidR="003E7CD7">
        <w:t xml:space="preserve">потвърждаващи, че училищата са правилните ответници </w:t>
      </w:r>
      <w:r w:rsidR="00CE1448">
        <w:t xml:space="preserve">в </w:t>
      </w:r>
      <w:r w:rsidR="003E7CD7">
        <w:t>дела за уволнение на директори, тези решения са задължителни само за последващи съдебни решения и н</w:t>
      </w:r>
      <w:r w:rsidR="00977894">
        <w:rPr>
          <w:lang w:val="en-US"/>
        </w:rPr>
        <w:t>e</w:t>
      </w:r>
      <w:r w:rsidR="003E7CD7">
        <w:t xml:space="preserve"> </w:t>
      </w:r>
      <w:r w:rsidR="00CE1448">
        <w:t>засягат</w:t>
      </w:r>
      <w:r w:rsidR="003E7CD7">
        <w:t xml:space="preserve"> ситуацията на жалбоподателката (вж. параграфи 22 и 23 по-горе). Освен това Правителството не представ</w:t>
      </w:r>
      <w:r w:rsidR="00330F56">
        <w:t>я</w:t>
      </w:r>
      <w:r w:rsidR="003E7CD7">
        <w:t xml:space="preserve"> копия на </w:t>
      </w:r>
      <w:r w:rsidR="00330F56">
        <w:t xml:space="preserve">приложими </w:t>
      </w:r>
      <w:r w:rsidR="003E7CD7">
        <w:t>вътрешни съдебни решения, постановени преди началото на 2006 г. От информацията, с която Съд</w:t>
      </w:r>
      <w:r w:rsidR="00330F56">
        <w:t>ът</w:t>
      </w:r>
      <w:r w:rsidR="003E7CD7">
        <w:t xml:space="preserve"> разполага, изглежда, че тази различаваща се практика на националните съдилища започва след като жалбоподателката предявява своя иск в началото на 2006 г. Въпросната различаваща се практика е решена от Върховния касационен съд в началото на 2012 г., тоест повече от шест години след второто уволнение на жалбоподателката. Следователно информацията, доведена до знанието на Съда, не е достатъчна, за да се установи, че тази непоследователност в съдебната практика вече е съществувала по времето на жалбата на жалбоподателката срещу второто ѝ уволнение до такава степен, че разумно да </w:t>
      </w:r>
      <w:r w:rsidR="003E7CD7" w:rsidRPr="00F50891">
        <w:t xml:space="preserve">очаква, че </w:t>
      </w:r>
      <w:r w:rsidR="006A3D7D" w:rsidRPr="00F50891">
        <w:t xml:space="preserve">тя </w:t>
      </w:r>
      <w:r w:rsidR="00A929A5" w:rsidRPr="0042217B">
        <w:t>ще</w:t>
      </w:r>
      <w:r w:rsidR="003E7CD7" w:rsidRPr="00F50891">
        <w:t xml:space="preserve"> отправи </w:t>
      </w:r>
      <w:r w:rsidR="00A929A5" w:rsidRPr="0042217B">
        <w:t>исковете</w:t>
      </w:r>
      <w:r w:rsidR="00A929A5" w:rsidRPr="00F50891">
        <w:t xml:space="preserve"> </w:t>
      </w:r>
      <w:r w:rsidR="003E7CD7" w:rsidRPr="00F50891">
        <w:t>си и срещу училището, и срещу РИО от самото начало</w:t>
      </w:r>
      <w:r w:rsidR="003E7CD7">
        <w:t xml:space="preserve"> на производството, за да бъде сигурна в получаването на съдебно разглеждане </w:t>
      </w:r>
      <w:r w:rsidR="00F50891">
        <w:t>по същество</w:t>
      </w:r>
      <w:r w:rsidR="003E7CD7">
        <w:t>.</w:t>
      </w:r>
    </w:p>
    <w:p w:rsidR="00A25955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40</w:t>
        </w:r>
      </w:fldSimple>
      <w:r w:rsidR="00196896">
        <w:t xml:space="preserve">.  По този начин при конкретните обстоятелства жалбоподателката е поставена в ситуация на невъзможност да получи съдебно разглеждане на второто си уволнение не по </w:t>
      </w:r>
      <w:r w:rsidR="00D8775A">
        <w:t xml:space="preserve">нейна </w:t>
      </w:r>
      <w:r w:rsidR="00196896">
        <w:t xml:space="preserve">вина. Съдът не е убеден, че тя </w:t>
      </w:r>
      <w:r w:rsidR="00D8775A">
        <w:t>може</w:t>
      </w:r>
      <w:r w:rsidR="00196896">
        <w:t xml:space="preserve"> да бъде държана отговорна за т</w:t>
      </w:r>
      <w:r w:rsidR="00977358">
        <w:t>ази ситуация</w:t>
      </w:r>
      <w:r w:rsidR="00196896">
        <w:t xml:space="preserve"> поради факта, че тя не посочила училището в производството за обжалване на уволнението. Това е по-скоро резултат от комбинация от фактори </w:t>
      </w:r>
      <w:r w:rsidR="00977358">
        <w:t xml:space="preserve">като </w:t>
      </w:r>
      <w:r w:rsidR="00196896">
        <w:t>различаващата се практика на националните съдилища, която започва да се развива в съответното време и изтичане</w:t>
      </w:r>
      <w:r w:rsidR="00977358">
        <w:t>то</w:t>
      </w:r>
      <w:r w:rsidR="00196896">
        <w:t xml:space="preserve"> на законово установените срокове за </w:t>
      </w:r>
      <w:r w:rsidR="00977358">
        <w:t xml:space="preserve">започване </w:t>
      </w:r>
      <w:r w:rsidR="00196896">
        <w:t xml:space="preserve">на делото срещу училището, преди последното да бъде </w:t>
      </w:r>
      <w:r w:rsidR="00977358">
        <w:t xml:space="preserve">официално </w:t>
      </w:r>
      <w:r w:rsidR="00196896">
        <w:t>определено като правилният ответник от първото съдебно решение по възражението на РИО от 12 април 2006 г.</w:t>
      </w:r>
    </w:p>
    <w:p w:rsidR="00C106C7" w:rsidRPr="00955550" w:rsidRDefault="003D2FE6" w:rsidP="00955550">
      <w:pPr>
        <w:pStyle w:val="ECHRPara"/>
        <w:rPr>
          <w:i/>
          <w:szCs w:val="24"/>
        </w:rPr>
      </w:pPr>
      <w:fldSimple w:instr=" SEQ level0 \*arabic ">
        <w:r w:rsidR="00955550" w:rsidRPr="00955550">
          <w:rPr>
            <w:noProof/>
          </w:rPr>
          <w:t>41</w:t>
        </w:r>
      </w:fldSimple>
      <w:r w:rsidR="00C106C7">
        <w:t xml:space="preserve">.  Не е </w:t>
      </w:r>
      <w:r w:rsidR="00076235">
        <w:t>предоставена</w:t>
      </w:r>
      <w:r w:rsidR="00C106C7">
        <w:t xml:space="preserve"> обосновка за тази ситуация. По-конкретно нито националните съдилища, нито Правителството са се опитали да твърдят, че този отказ на достъп до съд преследва легитимна цел и е пропорционален по отношение на използваните средства и целта, която трябва да бъде постигната (вж., </w:t>
      </w:r>
      <w:proofErr w:type="spellStart"/>
      <w:r w:rsidR="00C106C7">
        <w:rPr>
          <w:i/>
        </w:rPr>
        <w:t>mutatis</w:t>
      </w:r>
      <w:proofErr w:type="spellEnd"/>
      <w:r w:rsidR="00C106C7">
        <w:rPr>
          <w:i/>
        </w:rPr>
        <w:t xml:space="preserve"> </w:t>
      </w:r>
      <w:proofErr w:type="spellStart"/>
      <w:r w:rsidR="00C106C7">
        <w:rPr>
          <w:i/>
        </w:rPr>
        <w:t>mutandis</w:t>
      </w:r>
      <w:proofErr w:type="spellEnd"/>
      <w:r w:rsidR="00C106C7">
        <w:t xml:space="preserve">, </w:t>
      </w:r>
      <w:proofErr w:type="spellStart"/>
      <w:r w:rsidR="00C106C7">
        <w:rPr>
          <w:i/>
        </w:rPr>
        <w:t>Kristiansen</w:t>
      </w:r>
      <w:proofErr w:type="spellEnd"/>
      <w:r w:rsidR="00C106C7">
        <w:rPr>
          <w:i/>
        </w:rPr>
        <w:t xml:space="preserve"> </w:t>
      </w:r>
      <w:proofErr w:type="spellStart"/>
      <w:r w:rsidR="00C106C7">
        <w:rPr>
          <w:i/>
        </w:rPr>
        <w:t>and</w:t>
      </w:r>
      <w:proofErr w:type="spellEnd"/>
      <w:r w:rsidR="00C106C7">
        <w:rPr>
          <w:i/>
        </w:rPr>
        <w:t xml:space="preserve"> </w:t>
      </w:r>
      <w:proofErr w:type="spellStart"/>
      <w:r w:rsidR="00C106C7">
        <w:rPr>
          <w:i/>
        </w:rPr>
        <w:t>Tyvik</w:t>
      </w:r>
      <w:proofErr w:type="spellEnd"/>
      <w:r w:rsidR="00C106C7">
        <w:rPr>
          <w:i/>
        </w:rPr>
        <w:t xml:space="preserve"> </w:t>
      </w:r>
      <w:proofErr w:type="spellStart"/>
      <w:r w:rsidR="00C106C7">
        <w:rPr>
          <w:i/>
        </w:rPr>
        <w:t>As</w:t>
      </w:r>
      <w:proofErr w:type="spellEnd"/>
      <w:r w:rsidR="00C106C7">
        <w:rPr>
          <w:i/>
        </w:rPr>
        <w:t xml:space="preserve"> v. </w:t>
      </w:r>
      <w:proofErr w:type="spellStart"/>
      <w:r w:rsidR="00C106C7">
        <w:rPr>
          <w:i/>
        </w:rPr>
        <w:t>Norway</w:t>
      </w:r>
      <w:proofErr w:type="spellEnd"/>
      <w:r w:rsidR="00C106C7">
        <w:t>, № 25498/08, § 57, 2 май 2013 г.).</w:t>
      </w:r>
    </w:p>
    <w:p w:rsidR="00C106C7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42</w:t>
        </w:r>
      </w:fldSimple>
      <w:r w:rsidR="00C106C7">
        <w:t>.  Следователно е налице нарушение на чл. 6 § 1 от Конвенцията.</w:t>
      </w:r>
    </w:p>
    <w:p w:rsidR="00014566" w:rsidRPr="00955550" w:rsidRDefault="000F67A4" w:rsidP="00955550">
      <w:pPr>
        <w:pStyle w:val="ECHRHeading1"/>
        <w:tabs>
          <w:tab w:val="left" w:pos="851"/>
        </w:tabs>
      </w:pPr>
      <w:r>
        <w:t>II.  ТВЪРДЯНО НАРУШЕНИЕ НА ЧЛ. 1 ОТ ПРОТОКОЛ № 1</w:t>
      </w:r>
    </w:p>
    <w:p w:rsidR="00CB4C5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43</w:t>
        </w:r>
      </w:fldSimple>
      <w:r w:rsidR="00BA2811">
        <w:t>.  Жалбоподателката се оплаква, че е загубила сумата, която би получила като обезщетение, ако нейният иск е бил разгледан по същество. Тя се позовава на чл. 1 от Протокол № 1, който гласи:</w:t>
      </w:r>
    </w:p>
    <w:p w:rsidR="00CB4C5D" w:rsidRPr="00955550" w:rsidRDefault="00CB4C5D" w:rsidP="00955550">
      <w:pPr>
        <w:pStyle w:val="ECHRParaQuote"/>
      </w:pPr>
      <w:r>
        <w:t>"</w:t>
      </w:r>
      <w:proofErr w:type="spellStart"/>
      <w:r>
        <w:t>Βсяко</w:t>
      </w:r>
      <w:proofErr w:type="spellEnd"/>
      <w:r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CB4C5D" w:rsidRPr="00955550" w:rsidRDefault="00CB4C5D" w:rsidP="00955550">
      <w:pPr>
        <w:pStyle w:val="ECHRParaQuote"/>
      </w:pPr>
      <w: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CB4C5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44</w:t>
        </w:r>
      </w:fldSimple>
      <w:r w:rsidR="00CB4C5D">
        <w:t>.  Жалбоподателката твърди, че искът ѝ за незакон</w:t>
      </w:r>
      <w:r w:rsidR="008D304A">
        <w:t>осъобраз</w:t>
      </w:r>
      <w:r w:rsidR="00CB4C5D">
        <w:t xml:space="preserve">но уволнение представлява “притежание” по смисъла на чл. 1 от Протокол № 1, доколкото тя е легитимно </w:t>
      </w:r>
      <w:r w:rsidR="008D304A">
        <w:t xml:space="preserve">е </w:t>
      </w:r>
      <w:r w:rsidR="00CB4C5D">
        <w:t>очаква</w:t>
      </w:r>
      <w:r w:rsidR="008D304A">
        <w:t>ла</w:t>
      </w:r>
      <w:r w:rsidR="00CB4C5D">
        <w:t>, че ще получи присъждане на обезщетение. Тя се позовава по-конкретно на факта, че съдилищата на първа и втора инстанция, които са били компетентни да събират доказателства и да установят фактите, са взели решение в нейна полза.</w:t>
      </w:r>
    </w:p>
    <w:p w:rsidR="00CB4C5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45</w:t>
        </w:r>
      </w:fldSimple>
      <w:r w:rsidR="00681FC8">
        <w:t xml:space="preserve">.  Правителството не изразява </w:t>
      </w:r>
      <w:r w:rsidR="008D304A">
        <w:t xml:space="preserve">мнение </w:t>
      </w:r>
      <w:r w:rsidR="00681FC8">
        <w:t>по въпроса.</w:t>
      </w:r>
    </w:p>
    <w:p w:rsidR="00CB4C5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46</w:t>
        </w:r>
      </w:fldSimple>
      <w:r w:rsidR="00CB4C5D">
        <w:t xml:space="preserve">.  Съдът </w:t>
      </w:r>
      <w:r w:rsidR="00E65466">
        <w:t>счита</w:t>
      </w:r>
      <w:r w:rsidR="00CB4C5D">
        <w:t>, че това оплакване е тясно свързано с разгледаното по-горе и също трябва да бъде обявено за допустимо.</w:t>
      </w:r>
    </w:p>
    <w:p w:rsidR="00223840" w:rsidRPr="00955550" w:rsidRDefault="003D2FE6" w:rsidP="00955550">
      <w:pPr>
        <w:pStyle w:val="ECHRPara"/>
        <w:rPr>
          <w:szCs w:val="24"/>
        </w:rPr>
      </w:pPr>
      <w:fldSimple w:instr=" SEQ level0 \*arabic ">
        <w:r w:rsidR="00955550" w:rsidRPr="00955550">
          <w:rPr>
            <w:noProof/>
          </w:rPr>
          <w:t>47</w:t>
        </w:r>
      </w:fldSimple>
      <w:r w:rsidR="00223840">
        <w:t xml:space="preserve">.  Въпреки това, като взема предвид заключенията си по чл. 6 § 1 от Конвенцията и констатацията си, че жалбоподателката е неправомерно възпрепятствана да получи съдебно решаване на твърдяното от нея право на обезщетение, Съдът смята, че не може да спекулира каква би била ситуацията, ако жалбоподателката е имала ефективен достъп до съд. Следователно той не смята за необходимо да се произнесе по въпроса дали жалбоподателката има "притежание" по смисъла на чл. 1 от Протокол № 1 и съответно по оплакването въз основа на тази разпоредба (вж. </w:t>
      </w:r>
      <w:proofErr w:type="spellStart"/>
      <w:r w:rsidR="00223840">
        <w:rPr>
          <w:i/>
        </w:rPr>
        <w:t>Glod</w:t>
      </w:r>
      <w:proofErr w:type="spellEnd"/>
      <w:r w:rsidR="00223840">
        <w:rPr>
          <w:i/>
        </w:rPr>
        <w:t xml:space="preserve"> v. </w:t>
      </w:r>
      <w:proofErr w:type="spellStart"/>
      <w:r w:rsidR="00223840">
        <w:rPr>
          <w:i/>
        </w:rPr>
        <w:t>Romania</w:t>
      </w:r>
      <w:proofErr w:type="spellEnd"/>
      <w:r w:rsidR="00223840">
        <w:t xml:space="preserve">, № 41134/98, § 46, 16 септември 2003 г.; </w:t>
      </w:r>
      <w:proofErr w:type="spellStart"/>
      <w:r w:rsidR="00223840">
        <w:rPr>
          <w:i/>
        </w:rPr>
        <w:t>Albina</w:t>
      </w:r>
      <w:proofErr w:type="spellEnd"/>
      <w:r w:rsidR="00223840">
        <w:rPr>
          <w:i/>
        </w:rPr>
        <w:t xml:space="preserve"> v. </w:t>
      </w:r>
      <w:proofErr w:type="spellStart"/>
      <w:r w:rsidR="00223840">
        <w:rPr>
          <w:i/>
        </w:rPr>
        <w:t>Romania</w:t>
      </w:r>
      <w:proofErr w:type="spellEnd"/>
      <w:r w:rsidR="00223840">
        <w:t xml:space="preserve">, № 57808/00, § 43, 28 април 2005 г.; </w:t>
      </w:r>
      <w:proofErr w:type="spellStart"/>
      <w:r w:rsidR="00223840">
        <w:rPr>
          <w:i/>
        </w:rPr>
        <w:t>Lungoci</w:t>
      </w:r>
      <w:proofErr w:type="spellEnd"/>
      <w:r w:rsidR="00223840">
        <w:rPr>
          <w:i/>
        </w:rPr>
        <w:t xml:space="preserve"> v. </w:t>
      </w:r>
      <w:proofErr w:type="spellStart"/>
      <w:r w:rsidR="00223840">
        <w:rPr>
          <w:i/>
        </w:rPr>
        <w:t>Romania</w:t>
      </w:r>
      <w:proofErr w:type="spellEnd"/>
      <w:r w:rsidR="00223840">
        <w:t xml:space="preserve">, № 62710/00, § 48, 26 януари 2006 г.; </w:t>
      </w:r>
      <w:r w:rsidR="00223840">
        <w:rPr>
          <w:i/>
        </w:rPr>
        <w:t>Янакиев срещу България</w:t>
      </w:r>
      <w:r w:rsidR="00223840">
        <w:t xml:space="preserve">, № 40476/98, § 82, 10 август 2006 г.; и </w:t>
      </w:r>
      <w:r w:rsidR="00223840">
        <w:rPr>
          <w:i/>
        </w:rPr>
        <w:t>Костадин Михайлов</w:t>
      </w:r>
      <w:r w:rsidR="00223840">
        <w:t>, § 49, цитирано по-горе).</w:t>
      </w:r>
    </w:p>
    <w:p w:rsidR="00CB4C5D" w:rsidRPr="00955550" w:rsidRDefault="00CB4C5D" w:rsidP="00955550">
      <w:pPr>
        <w:pStyle w:val="ECHRHeading1"/>
        <w:tabs>
          <w:tab w:val="left" w:pos="851"/>
        </w:tabs>
      </w:pPr>
      <w:r>
        <w:t>III.  ТВЪРДЯНО НАРУШЕНИЕ НА ЧЛ. 13 ОТ КОНВЕНЦИЯТА</w:t>
      </w:r>
    </w:p>
    <w:p w:rsidR="00CB4C5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48</w:t>
        </w:r>
      </w:fldSimple>
      <w:r w:rsidR="00CB4C5D">
        <w:t>.  Жалбоподателката твърди, че не е разполагала с ефективни средства на защита по отношение на оплакванията си по чл. 6 и чл. 1 от Протокол № 1. Тя се позовава на чл. 13 от Конвенцията, който гласи:</w:t>
      </w:r>
    </w:p>
    <w:p w:rsidR="00CB4C5D" w:rsidRPr="00955550" w:rsidRDefault="00CB4C5D" w:rsidP="00955550">
      <w:pPr>
        <w:pStyle w:val="ECHRParaQuote"/>
      </w:pPr>
      <w:r>
        <w:t>"</w:t>
      </w:r>
      <w:proofErr w:type="spellStart"/>
      <w:r>
        <w:t>Βсеки</w:t>
      </w:r>
      <w:proofErr w:type="spellEnd"/>
      <w:r>
        <w:t>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функции."</w:t>
      </w:r>
    </w:p>
    <w:p w:rsidR="00223840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49</w:t>
        </w:r>
      </w:fldSimple>
      <w:r w:rsidR="00CB4C5D">
        <w:t>.  Според жалбоподателката тя е използвала всички налични средства, за да защити правото си на обезщетение за твърдяното незаконно уволнение.</w:t>
      </w:r>
    </w:p>
    <w:p w:rsidR="00CB4C5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50</w:t>
        </w:r>
      </w:fldSimple>
      <w:r w:rsidR="00223840">
        <w:t xml:space="preserve">.  Правителството не изразява </w:t>
      </w:r>
      <w:r w:rsidR="002946B2">
        <w:t xml:space="preserve">мнение </w:t>
      </w:r>
      <w:r w:rsidR="00223840">
        <w:t>по въпроса.</w:t>
      </w:r>
    </w:p>
    <w:p w:rsidR="00CB4C5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51</w:t>
        </w:r>
      </w:fldSimple>
      <w:r w:rsidR="00CB4C5D">
        <w:t>.  Съдът смята, че това оплакване е тясно свързано с разгледаните по-горе и също трябва да бъде обявено за допустимо.</w:t>
      </w:r>
    </w:p>
    <w:p w:rsidR="00CB4C5D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52</w:t>
        </w:r>
      </w:fldSimple>
      <w:r w:rsidR="00CB4C5D">
        <w:t xml:space="preserve">.  Въпреки това Съдът </w:t>
      </w:r>
      <w:r w:rsidR="002946B2">
        <w:t>счита</w:t>
      </w:r>
      <w:r w:rsidR="00CB4C5D">
        <w:t xml:space="preserve">, че не е необходимо да </w:t>
      </w:r>
      <w:r w:rsidR="002946B2">
        <w:t xml:space="preserve">определи </w:t>
      </w:r>
      <w:r w:rsidR="00CB4C5D">
        <w:t>дали е налице нарушение на чл. 13, защото</w:t>
      </w:r>
      <w:r w:rsidR="00B26A58">
        <w:t>,</w:t>
      </w:r>
      <w:r w:rsidR="00CB4C5D">
        <w:t xml:space="preserve"> когато </w:t>
      </w:r>
      <w:r w:rsidR="00B26A58">
        <w:t xml:space="preserve">– както в настоящия случай - </w:t>
      </w:r>
      <w:r w:rsidR="00B26A58" w:rsidRPr="00B26A58">
        <w:t xml:space="preserve">твърдяното </w:t>
      </w:r>
      <w:r w:rsidR="00CB4C5D">
        <w:t xml:space="preserve">право е </w:t>
      </w:r>
      <w:r w:rsidR="00B26A58">
        <w:t xml:space="preserve">от </w:t>
      </w:r>
      <w:r w:rsidR="00CB4C5D">
        <w:t>гражданск</w:t>
      </w:r>
      <w:r w:rsidR="00B26A58">
        <w:t>и характер</w:t>
      </w:r>
      <w:r w:rsidR="00CB4C5D">
        <w:t xml:space="preserve">, изискванията на тази разпоредба не са толкова строги и се </w:t>
      </w:r>
      <w:r w:rsidR="00B26A58">
        <w:t>поемат</w:t>
      </w:r>
      <w:r w:rsidR="002946B2">
        <w:t xml:space="preserve"> </w:t>
      </w:r>
      <w:r w:rsidR="00CB4C5D">
        <w:t xml:space="preserve">от тези на чл. 6 § 1 (вж. </w:t>
      </w:r>
      <w:proofErr w:type="spellStart"/>
      <w:r w:rsidR="00CB4C5D">
        <w:rPr>
          <w:i/>
        </w:rPr>
        <w:t>Związek</w:t>
      </w:r>
      <w:proofErr w:type="spellEnd"/>
      <w:r w:rsidR="00CB4C5D">
        <w:rPr>
          <w:i/>
        </w:rPr>
        <w:t> </w:t>
      </w:r>
      <w:proofErr w:type="spellStart"/>
      <w:r w:rsidR="00CB4C5D">
        <w:rPr>
          <w:i/>
        </w:rPr>
        <w:t>Nauczycielstwa</w:t>
      </w:r>
      <w:proofErr w:type="spellEnd"/>
      <w:r w:rsidR="00CB4C5D">
        <w:rPr>
          <w:i/>
        </w:rPr>
        <w:t xml:space="preserve"> </w:t>
      </w:r>
      <w:proofErr w:type="spellStart"/>
      <w:r w:rsidR="00CB4C5D">
        <w:rPr>
          <w:i/>
        </w:rPr>
        <w:t>Polskiego</w:t>
      </w:r>
      <w:proofErr w:type="spellEnd"/>
      <w:r w:rsidR="00CB4C5D">
        <w:rPr>
          <w:i/>
        </w:rPr>
        <w:t xml:space="preserve"> v. </w:t>
      </w:r>
      <w:proofErr w:type="spellStart"/>
      <w:r w:rsidR="00CB4C5D">
        <w:rPr>
          <w:i/>
        </w:rPr>
        <w:t>Poland</w:t>
      </w:r>
      <w:proofErr w:type="spellEnd"/>
      <w:r w:rsidR="00CB4C5D">
        <w:t>, № 42049/98, § 43, ЕСПЧ 2004</w:t>
      </w:r>
      <w:r w:rsidR="00CB4C5D">
        <w:noBreakHyphen/>
        <w:t xml:space="preserve">IX; </w:t>
      </w:r>
      <w:r w:rsidR="00CB4C5D">
        <w:rPr>
          <w:i/>
        </w:rPr>
        <w:t>Янакиев</w:t>
      </w:r>
      <w:r w:rsidR="00CB4C5D">
        <w:t xml:space="preserve">, § 76; и </w:t>
      </w:r>
      <w:r w:rsidR="00CB4C5D">
        <w:rPr>
          <w:i/>
        </w:rPr>
        <w:t>Костадин Михайлов</w:t>
      </w:r>
      <w:r w:rsidR="00CB4C5D">
        <w:t>, § 54, и двете цитирани по-горе).</w:t>
      </w:r>
    </w:p>
    <w:p w:rsidR="00014566" w:rsidRPr="00955550" w:rsidRDefault="00223840" w:rsidP="00955550">
      <w:pPr>
        <w:pStyle w:val="ECHRHeading1"/>
      </w:pPr>
      <w:r>
        <w:t>IV.  ПРИЛОЖЕНИЕ НА ЧЛ. 41 ОТ КОНВЕНЦИЯТА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53</w:t>
        </w:r>
      </w:fldSimple>
      <w:r w:rsidR="00BA2811">
        <w:t>.  Чл. 41 от Конвенцията гласи:</w:t>
      </w:r>
    </w:p>
    <w:p w:rsidR="00014566" w:rsidRPr="00955550" w:rsidRDefault="00014566" w:rsidP="00955550">
      <w:pPr>
        <w:pStyle w:val="ECHRParaQuote"/>
        <w:keepNext/>
        <w:keepLines/>
      </w:pPr>
      <w:r>
        <w:t xml:space="preserve">“Ако Съдът установи нарушение на Конвенцията или на  </w:t>
      </w:r>
      <w:r>
        <w:br/>
        <w:t>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014566" w:rsidRPr="00955550" w:rsidRDefault="00014566" w:rsidP="00955550">
      <w:pPr>
        <w:pStyle w:val="ECHRHeading2"/>
      </w:pPr>
      <w:r>
        <w:t>А. Обезщетение за вреди</w:t>
      </w:r>
    </w:p>
    <w:p w:rsidR="00165D17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54</w:t>
        </w:r>
      </w:fldSimple>
      <w:r w:rsidR="00BA2811">
        <w:t xml:space="preserve">.  Жалбоподателката претендира 8 000 евро по отношение на неимуществени вреди, претърпени в резултат на факта, че не е могла да получи решение на своите </w:t>
      </w:r>
      <w:r w:rsidR="00DC5730">
        <w:t xml:space="preserve">искове </w:t>
      </w:r>
      <w:r w:rsidR="00BA2811">
        <w:t>от съд.</w:t>
      </w:r>
    </w:p>
    <w:p w:rsidR="000904DD" w:rsidRPr="00955550" w:rsidRDefault="00DC5730" w:rsidP="00955550">
      <w:pPr>
        <w:pStyle w:val="ECHRPara"/>
      </w:pPr>
      <w:r>
        <w:t>Т</w:t>
      </w:r>
      <w:r w:rsidR="000904DD">
        <w:t xml:space="preserve">я </w:t>
      </w:r>
      <w:r>
        <w:t xml:space="preserve">още </w:t>
      </w:r>
      <w:r w:rsidR="000904DD">
        <w:t>претендира 1596 български лева (</w:t>
      </w:r>
      <w:r>
        <w:t>лв.</w:t>
      </w:r>
      <w:r w:rsidR="000904DD">
        <w:t xml:space="preserve">) (приблизително 790 евро) по отношение на имуществени вреди, претърпени в резултат на </w:t>
      </w:r>
      <w:r>
        <w:t xml:space="preserve">незаконосъобразното </w:t>
      </w:r>
      <w:r w:rsidR="000904DD">
        <w:t xml:space="preserve">уволнение, и разходи във връзка с вътрешното производство в това отношение. По-конкретно тя е платила 700 лева (около 350 евро) за съдебни </w:t>
      </w:r>
      <w:r>
        <w:t xml:space="preserve">разходи и </w:t>
      </w:r>
      <w:r w:rsidR="000904DD">
        <w:t>разноски в производството за второто уволнение и е претърпяла загуба от около 896 лева (около 466 евро)</w:t>
      </w:r>
      <w:r w:rsidR="00B70B51">
        <w:t>,</w:t>
      </w:r>
      <w:r w:rsidR="000904DD">
        <w:t xml:space="preserve"> в резултат на твърдяното </w:t>
      </w:r>
      <w:r w:rsidR="00B70B51">
        <w:t xml:space="preserve">незаконосъобразно </w:t>
      </w:r>
      <w:r w:rsidR="000904DD">
        <w:t>уволнение.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55</w:t>
        </w:r>
      </w:fldSimple>
      <w:r w:rsidR="00FB2D39">
        <w:t>.  Правителството оспорва претенцията на жалбоподателката.</w:t>
      </w:r>
    </w:p>
    <w:p w:rsidR="00FB2D39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56</w:t>
        </w:r>
      </w:fldSimple>
      <w:r w:rsidR="00BA2811">
        <w:t xml:space="preserve">.  Съдът отбелязва, че в настоящия случай присъждане на справедливо обезщетение може да се основава само на факта, че жалбоподателката не се е </w:t>
      </w:r>
      <w:r w:rsidR="00B27CDA">
        <w:t>въз</w:t>
      </w:r>
      <w:r w:rsidR="00BA2811">
        <w:t xml:space="preserve">ползвала </w:t>
      </w:r>
      <w:r w:rsidR="00B27CDA">
        <w:t xml:space="preserve">от </w:t>
      </w:r>
      <w:r w:rsidR="00BA2811">
        <w:t xml:space="preserve">гаранциите на чл. 6 § 1 от Конвенцията. Отсъждайки по справедливост, както се изисква от чл. 41 от Конвенцията, Съдът ѝ присъжда 4000 евро, плюс </w:t>
      </w:r>
      <w:r w:rsidR="00B27CDA">
        <w:t xml:space="preserve">всякакви </w:t>
      </w:r>
      <w:r w:rsidR="00BA2811">
        <w:t>данъци, които могат да бъдат начислени.</w:t>
      </w:r>
    </w:p>
    <w:p w:rsidR="00014566" w:rsidRPr="00955550" w:rsidRDefault="00014566" w:rsidP="00955550">
      <w:pPr>
        <w:pStyle w:val="ECHRHeading2"/>
      </w:pPr>
      <w:r>
        <w:t>Б. Разходи и разноски</w:t>
      </w:r>
    </w:p>
    <w:p w:rsidR="008B0B72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57</w:t>
        </w:r>
      </w:fldSimple>
      <w:r w:rsidR="00F1467C">
        <w:t>.  Жалбоподателката иска възстановяване на 2 400 евро</w:t>
      </w:r>
      <w:r w:rsidR="00B27CDA">
        <w:t>, платени</w:t>
      </w:r>
      <w:r w:rsidR="00F1467C">
        <w:t xml:space="preserve"> за адвокатски хонорари за производството пред Съда (двадесет и четири часа работа по 100 евро на час), както и 125 евро за пощенски и технически разходи. Тя моли всяка сума, присъдена от Съда по тази позиция, да бъде заплатена по банковата сметка на нейния представител г-н М. </w:t>
      </w:r>
      <w:proofErr w:type="spellStart"/>
      <w:r w:rsidR="00F1467C">
        <w:t>Екимджиев</w:t>
      </w:r>
      <w:proofErr w:type="spellEnd"/>
      <w:r w:rsidR="00F1467C">
        <w:t>, с изключение на сумата от 511 евро, която тя му е платила авансово.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58</w:t>
        </w:r>
      </w:fldSimple>
      <w:r w:rsidR="00BA2811">
        <w:t>.  Правителството оспорва горната претенция.</w:t>
      </w:r>
    </w:p>
    <w:p w:rsidR="00CB4993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59</w:t>
        </w:r>
      </w:fldSimple>
      <w:r w:rsidR="00BA2811">
        <w:t>.  </w:t>
      </w:r>
      <w:r w:rsidR="00B27CDA">
        <w:t xml:space="preserve">Съгласно съдебната </w:t>
      </w:r>
      <w:r w:rsidR="00BA2811">
        <w:t xml:space="preserve">практика на Съда, жалбоподател има право на възстановяване на разходите и разноските си, само доколкото </w:t>
      </w:r>
      <w:r w:rsidR="00FF1BAF">
        <w:t>с</w:t>
      </w:r>
      <w:r w:rsidR="00BA2811">
        <w:t xml:space="preserve">е </w:t>
      </w:r>
      <w:r w:rsidR="00FF1BAF">
        <w:t>установи</w:t>
      </w:r>
      <w:r w:rsidR="00BA2811">
        <w:t>, че те са действително и необходимо направени и са в разумен размер. В настоящия случай, като взе</w:t>
      </w:r>
      <w:r w:rsidR="00FF1BAF">
        <w:t>ма</w:t>
      </w:r>
      <w:r w:rsidR="00BA2811">
        <w:t xml:space="preserve"> предвид информацията, с която разполага, и горните критерии, Съдът намира за разумно да присъди сумата от 2 000 евро</w:t>
      </w:r>
      <w:r w:rsidR="00FF1BAF">
        <w:t>,</w:t>
      </w:r>
      <w:r w:rsidR="00BA2811">
        <w:t xml:space="preserve"> плюс </w:t>
      </w:r>
      <w:r w:rsidR="00FF1BAF">
        <w:t xml:space="preserve">всякакви </w:t>
      </w:r>
      <w:r w:rsidR="00BA2811">
        <w:t xml:space="preserve">данъци, които могат да бъдат начислени на жалбоподателката, покриващи разходи по всички позиции. 511 евро от тази сума </w:t>
      </w:r>
      <w:r w:rsidR="003F643B">
        <w:t>е</w:t>
      </w:r>
      <w:r w:rsidR="00BA2811">
        <w:t xml:space="preserve"> плат</w:t>
      </w:r>
      <w:r w:rsidR="003F643B">
        <w:t>има</w:t>
      </w:r>
      <w:r w:rsidR="00BA2811">
        <w:t xml:space="preserve"> на жалбоподателката, а оставащите 1 489 евро </w:t>
      </w:r>
      <w:r w:rsidR="003F643B">
        <w:t>са</w:t>
      </w:r>
      <w:r w:rsidR="00BA2811">
        <w:t xml:space="preserve"> плат</w:t>
      </w:r>
      <w:r w:rsidR="003F643B">
        <w:t>ими</w:t>
      </w:r>
      <w:r w:rsidR="00BA2811">
        <w:t xml:space="preserve"> по банковата сметка на представителя на жалбоподателката</w:t>
      </w:r>
      <w:r w:rsidR="000C2E78">
        <w:t>,</w:t>
      </w:r>
      <w:r w:rsidR="00BA2811">
        <w:t xml:space="preserve"> г-н М. </w:t>
      </w:r>
      <w:proofErr w:type="spellStart"/>
      <w:r w:rsidR="00BA2811">
        <w:t>Екимджиев</w:t>
      </w:r>
      <w:proofErr w:type="spellEnd"/>
      <w:r w:rsidR="00BA2811">
        <w:t>.</w:t>
      </w:r>
    </w:p>
    <w:p w:rsidR="00014566" w:rsidRPr="00955550" w:rsidRDefault="00014566" w:rsidP="00955550">
      <w:pPr>
        <w:pStyle w:val="ECHRHeading2"/>
      </w:pPr>
      <w:r>
        <w:t>В. Лихва за забава</w:t>
      </w:r>
    </w:p>
    <w:p w:rsidR="00014566" w:rsidRPr="00955550" w:rsidRDefault="003D2FE6" w:rsidP="00955550">
      <w:pPr>
        <w:pStyle w:val="ECHRPara"/>
      </w:pPr>
      <w:fldSimple w:instr=" SEQ level0 \*arabic ">
        <w:r w:rsidR="00955550" w:rsidRPr="00955550">
          <w:rPr>
            <w:noProof/>
          </w:rPr>
          <w:t>60</w:t>
        </w:r>
      </w:fldSimple>
      <w:r w:rsidR="00BA2811">
        <w:t>.  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955550" w:rsidRDefault="00BB5883" w:rsidP="00955550">
      <w:pPr>
        <w:pStyle w:val="ECHRTitle1"/>
      </w:pPr>
      <w:r>
        <w:t>ПО ТЕЗИ СЪОБРАЖЕНИЯ СЪДЪТ ЕДИНОДУШНО</w:t>
      </w:r>
    </w:p>
    <w:p w:rsidR="00B637B9" w:rsidRPr="00955550" w:rsidRDefault="00B637B9" w:rsidP="00955550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014566" w:rsidRPr="00955550" w:rsidRDefault="00014566" w:rsidP="00955550">
      <w:pPr>
        <w:pStyle w:val="JuList"/>
        <w:ind w:left="0" w:firstLine="0"/>
      </w:pPr>
    </w:p>
    <w:p w:rsidR="00CB4993" w:rsidRPr="00955550" w:rsidRDefault="00CB4993" w:rsidP="00955550">
      <w:pPr>
        <w:pStyle w:val="JuList"/>
        <w:ind w:left="0" w:firstLine="0"/>
      </w:pPr>
      <w:r>
        <w:t>2.  </w:t>
      </w:r>
      <w:r>
        <w:rPr>
          <w:i/>
        </w:rPr>
        <w:t>Приема</w:t>
      </w:r>
      <w:r>
        <w:t>, че е налице нарушение на чл. 6 § 1 от Конвенцията;</w:t>
      </w:r>
    </w:p>
    <w:p w:rsidR="00E864E3" w:rsidRPr="00955550" w:rsidRDefault="00E864E3" w:rsidP="00955550">
      <w:pPr>
        <w:pStyle w:val="JuList"/>
        <w:ind w:left="0" w:firstLine="0"/>
      </w:pPr>
    </w:p>
    <w:p w:rsidR="00E864E3" w:rsidRPr="00955550" w:rsidRDefault="00E864E3" w:rsidP="00955550">
      <w:pPr>
        <w:pStyle w:val="JuList"/>
      </w:pPr>
      <w:r>
        <w:t>3.  </w:t>
      </w:r>
      <w:r>
        <w:rPr>
          <w:i/>
        </w:rPr>
        <w:t>Приема</w:t>
      </w:r>
      <w:r>
        <w:t xml:space="preserve">, че не е необходимо да разглежда </w:t>
      </w:r>
      <w:r w:rsidR="003F643B">
        <w:t xml:space="preserve">жалбата </w:t>
      </w:r>
      <w:r>
        <w:t>по чл. 1 от Протокол № 1;</w:t>
      </w:r>
    </w:p>
    <w:p w:rsidR="00E864E3" w:rsidRPr="00955550" w:rsidRDefault="00E864E3" w:rsidP="00955550">
      <w:pPr>
        <w:pStyle w:val="JuList"/>
        <w:ind w:left="0" w:firstLine="0"/>
      </w:pPr>
    </w:p>
    <w:p w:rsidR="00E864E3" w:rsidRPr="00955550" w:rsidRDefault="00E864E3" w:rsidP="00955550">
      <w:pPr>
        <w:pStyle w:val="JuList"/>
        <w:ind w:left="0" w:firstLine="0"/>
      </w:pPr>
      <w:r>
        <w:t>4.  </w:t>
      </w:r>
      <w:r>
        <w:rPr>
          <w:i/>
        </w:rPr>
        <w:t>Приема</w:t>
      </w:r>
      <w:r>
        <w:t xml:space="preserve">, че не е необходимо да разглежда </w:t>
      </w:r>
      <w:r w:rsidR="00A7493B">
        <w:t xml:space="preserve">жалбата </w:t>
      </w:r>
      <w:r>
        <w:t>по чл. 13 от Конвенцията;</w:t>
      </w:r>
    </w:p>
    <w:p w:rsidR="00E864E3" w:rsidRPr="00955550" w:rsidRDefault="00E864E3" w:rsidP="00955550">
      <w:pPr>
        <w:pStyle w:val="JuList"/>
        <w:ind w:left="0" w:firstLine="0"/>
      </w:pPr>
    </w:p>
    <w:p w:rsidR="00E864E3" w:rsidRPr="00955550" w:rsidRDefault="00E864E3" w:rsidP="00955550">
      <w:pPr>
        <w:pStyle w:val="JuList"/>
      </w:pPr>
      <w:r>
        <w:t>5.  </w:t>
      </w:r>
      <w:r>
        <w:rPr>
          <w:i/>
        </w:rPr>
        <w:t>Приема,</w:t>
      </w:r>
    </w:p>
    <w:p w:rsidR="00E864E3" w:rsidRPr="00955550" w:rsidRDefault="00E864E3" w:rsidP="00955550">
      <w:pPr>
        <w:pStyle w:val="JuLista"/>
      </w:pPr>
      <w:r>
        <w:t xml:space="preserve">(а) че държавата-ответник трябва да заплати на жалбоподателката в срок от три месеца от датата, на която решението стане окончателно в съответствие с чл. 44, § 2 от Конвенцията, следните суми, които се </w:t>
      </w:r>
      <w:r w:rsidR="00A7493B">
        <w:t xml:space="preserve">конвертират </w:t>
      </w:r>
      <w:r>
        <w:t>в български лева по курса</w:t>
      </w:r>
      <w:r w:rsidR="00A7493B">
        <w:t>, валиден</w:t>
      </w:r>
      <w:r>
        <w:t xml:space="preserve"> към датата на плащането:</w:t>
      </w:r>
    </w:p>
    <w:p w:rsidR="00E864E3" w:rsidRPr="00955550" w:rsidRDefault="00E864E3" w:rsidP="00955550">
      <w:pPr>
        <w:pStyle w:val="JuListi"/>
      </w:pPr>
      <w:r>
        <w:t>(i) 4 000 евро (четири хиляди евро), плюс всякакви данъци, които биха могли да се начислят по отношение на неимуществени вреди;</w:t>
      </w:r>
    </w:p>
    <w:p w:rsidR="00E864E3" w:rsidRPr="00955550" w:rsidRDefault="00E864E3" w:rsidP="00955550">
      <w:pPr>
        <w:pStyle w:val="JuListi"/>
      </w:pPr>
      <w:r>
        <w:t>(ii) 2000 евро (две хиляди евро), плюс всякакви данъци, които биха могли да се начислят на жалбоподателката, по отношение на разходи и разноски, като 511 евро (петстотин и единадесет евро) от посочената сума да бъдат платени на жалбоподателката и 1 489 евро (хиляда четиристотин осемдесет и девет евро) да бъдат платени по банковата сметка на представителя на жалбоподателката</w:t>
      </w:r>
      <w:r w:rsidR="00A7493B">
        <w:t>,</w:t>
      </w:r>
      <w:r>
        <w:t xml:space="preserve"> г-н М. </w:t>
      </w:r>
      <w:proofErr w:type="spellStart"/>
      <w:r>
        <w:t>Екимджиев</w:t>
      </w:r>
      <w:proofErr w:type="spellEnd"/>
      <w:r>
        <w:t>;</w:t>
      </w:r>
    </w:p>
    <w:p w:rsidR="00E864E3" w:rsidRPr="00955550" w:rsidRDefault="00E864E3" w:rsidP="00955550">
      <w:pPr>
        <w:pStyle w:val="JuLista"/>
      </w:pPr>
      <w:r>
        <w:t xml:space="preserve">(б) че от изтичането на </w:t>
      </w:r>
      <w:r w:rsidR="00A7493B">
        <w:t>горес</w:t>
      </w:r>
      <w: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A7493B">
        <w:t>за срока</w:t>
      </w:r>
      <w:r>
        <w:t xml:space="preserve"> на забава, към която се добавят три процентни пункта;</w:t>
      </w:r>
    </w:p>
    <w:p w:rsidR="00E864E3" w:rsidRPr="00955550" w:rsidRDefault="00E864E3" w:rsidP="00955550">
      <w:pPr>
        <w:pStyle w:val="JuList"/>
      </w:pPr>
    </w:p>
    <w:p w:rsidR="00014566" w:rsidRPr="00955550" w:rsidRDefault="006434D5" w:rsidP="00955550">
      <w:pPr>
        <w:pStyle w:val="JuList"/>
      </w:pPr>
      <w:r>
        <w:t>6.  </w:t>
      </w:r>
      <w:r>
        <w:rPr>
          <w:i/>
        </w:rPr>
        <w:t>Отхвърля</w:t>
      </w:r>
      <w:r>
        <w:t xml:space="preserve"> останалата част от иска на жалбоподателя за справедливо обезщетение.</w:t>
      </w:r>
    </w:p>
    <w:p w:rsidR="00014566" w:rsidRPr="00955550" w:rsidRDefault="00014566" w:rsidP="00955550">
      <w:pPr>
        <w:pStyle w:val="JuParaLast"/>
      </w:pPr>
      <w:r>
        <w:t>Изготвено на английски език и оповестено писмено на 6 октомври 2016 г. в съответствие с правило 77 §§ 2 и 3 от Правилника на Съда.</w:t>
      </w:r>
    </w:p>
    <w:p w:rsidR="00014566" w:rsidRPr="00955550" w:rsidRDefault="00014566" w:rsidP="00955550">
      <w:pPr>
        <w:pStyle w:val="JuSigned"/>
      </w:pPr>
      <w:r>
        <w:tab/>
        <w:t xml:space="preserve">Милан </w:t>
      </w:r>
      <w:proofErr w:type="spellStart"/>
      <w:r>
        <w:t>Бла</w:t>
      </w:r>
      <w:r w:rsidR="003D61E8">
        <w:t>с</w:t>
      </w:r>
      <w:r>
        <w:t>ко</w:t>
      </w:r>
      <w:proofErr w:type="spellEnd"/>
      <w:r>
        <w:tab/>
      </w:r>
      <w:proofErr w:type="spellStart"/>
      <w:r>
        <w:t>Ангелика</w:t>
      </w:r>
      <w:proofErr w:type="spellEnd"/>
      <w:r>
        <w:t xml:space="preserve"> </w:t>
      </w:r>
      <w:proofErr w:type="spellStart"/>
      <w:r>
        <w:t>Нусбергер</w:t>
      </w:r>
      <w:proofErr w:type="spellEnd"/>
      <w:r>
        <w:br/>
      </w:r>
      <w:r w:rsidR="003D61E8">
        <w:t>з</w:t>
      </w:r>
      <w:r>
        <w:t>аместник-секретар</w:t>
      </w:r>
      <w:r>
        <w:tab/>
      </w:r>
      <w:r w:rsidR="003D61E8">
        <w:t>п</w:t>
      </w:r>
      <w:r>
        <w:t>редседател</w:t>
      </w:r>
    </w:p>
    <w:sectPr w:rsidR="00014566" w:rsidRPr="00955550" w:rsidSect="003C62D9">
      <w:headerReference w:type="even" r:id="rId13"/>
      <w:headerReference w:type="default" r:id="rId14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2A" w:rsidRDefault="003B0C2A" w:rsidP="00014566">
      <w:r>
        <w:separator/>
      </w:r>
    </w:p>
  </w:endnote>
  <w:endnote w:type="continuationSeparator" w:id="0">
    <w:p w:rsidR="003B0C2A" w:rsidRDefault="003B0C2A" w:rsidP="0001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E6" w:rsidRDefault="003D2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E6" w:rsidRDefault="003D2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50" w:rsidRPr="00150BFA" w:rsidRDefault="004A5650" w:rsidP="004A5650">
    <w:pPr>
      <w:jc w:val="center"/>
    </w:pPr>
    <w:r>
      <w:rPr>
        <w:noProof/>
        <w:lang w:val="en-US" w:eastAsia="en-US" w:bidi="ar-SA"/>
      </w:rPr>
      <w:drawing>
        <wp:inline distT="0" distB="0" distL="0" distR="0" wp14:anchorId="731E6E2F" wp14:editId="7175F7AF">
          <wp:extent cx="771525" cy="619125"/>
          <wp:effectExtent l="0" t="0" r="9525" b="9525"/>
          <wp:docPr id="17" name="Picture 1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650" w:rsidRDefault="004A5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2A" w:rsidRDefault="003B0C2A" w:rsidP="00014566">
      <w:r>
        <w:separator/>
      </w:r>
    </w:p>
  </w:footnote>
  <w:footnote w:type="continuationSeparator" w:id="0">
    <w:p w:rsidR="003B0C2A" w:rsidRDefault="003B0C2A" w:rsidP="0001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E6" w:rsidRDefault="003D2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50" w:rsidRPr="00D60D87" w:rsidRDefault="004A5650" w:rsidP="003C62D9">
    <w:pPr>
      <w:pStyle w:val="ECHR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50" w:rsidRPr="00A45145" w:rsidRDefault="004A5650" w:rsidP="004A5650">
    <w:pPr>
      <w:jc w:val="center"/>
    </w:pPr>
    <w:r>
      <w:rPr>
        <w:noProof/>
        <w:lang w:val="en-US" w:eastAsia="en-US" w:bidi="ar-SA"/>
      </w:rPr>
      <w:drawing>
        <wp:inline distT="0" distB="0" distL="0" distR="0" wp14:anchorId="18412A49" wp14:editId="16FFEC71">
          <wp:extent cx="2962275" cy="1219200"/>
          <wp:effectExtent l="0" t="0" r="9525" b="0"/>
          <wp:docPr id="9" name="Picture 9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650" w:rsidRDefault="004A56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50" w:rsidRPr="00FF2306" w:rsidRDefault="004A5650" w:rsidP="00EE1DA9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F25FF9">
      <w:rPr>
        <w:rStyle w:val="PageNumber"/>
        <w:noProof/>
        <w:szCs w:val="18"/>
      </w:rPr>
      <w:t>12</w:t>
    </w:r>
    <w:r>
      <w:rPr>
        <w:rStyle w:val="PageNumber"/>
        <w:szCs w:val="18"/>
      </w:rPr>
      <w:fldChar w:fldCharType="end"/>
    </w:r>
    <w:r>
      <w:tab/>
      <w:t>РЕШЕНИЕ ЧАКАЛОВА-ИЛИЕВА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50" w:rsidRPr="00D60D87" w:rsidRDefault="004A5650" w:rsidP="00D60D87">
    <w:pPr>
      <w:pStyle w:val="ECHRHeader"/>
    </w:pPr>
    <w:r>
      <w:tab/>
      <w:t>РЕШЕНИЕ ЧАКАЛОВА-ИЛИЕВА СРЕЩУ БЪЛГАРИЯ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F25FF9">
      <w:rPr>
        <w:rStyle w:val="PageNumber"/>
        <w:noProof/>
        <w:szCs w:val="18"/>
      </w:rPr>
      <w:t>13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BA2811"/>
    <w:rsid w:val="000010ED"/>
    <w:rsid w:val="000041F8"/>
    <w:rsid w:val="000042A8"/>
    <w:rsid w:val="00004308"/>
    <w:rsid w:val="00005BF0"/>
    <w:rsid w:val="000070CA"/>
    <w:rsid w:val="00007154"/>
    <w:rsid w:val="000103AE"/>
    <w:rsid w:val="00011D69"/>
    <w:rsid w:val="00012059"/>
    <w:rsid w:val="00012AD3"/>
    <w:rsid w:val="00014566"/>
    <w:rsid w:val="000153D3"/>
    <w:rsid w:val="00015C2D"/>
    <w:rsid w:val="00015F00"/>
    <w:rsid w:val="00022C1D"/>
    <w:rsid w:val="00034987"/>
    <w:rsid w:val="00046AF2"/>
    <w:rsid w:val="00055D45"/>
    <w:rsid w:val="000602DF"/>
    <w:rsid w:val="00061B05"/>
    <w:rsid w:val="00062973"/>
    <w:rsid w:val="00062D5D"/>
    <w:rsid w:val="000632D5"/>
    <w:rsid w:val="00063524"/>
    <w:rsid w:val="00063CFC"/>
    <w:rsid w:val="000644EE"/>
    <w:rsid w:val="00071D96"/>
    <w:rsid w:val="00076235"/>
    <w:rsid w:val="000856D7"/>
    <w:rsid w:val="000904DD"/>
    <w:rsid w:val="000925AD"/>
    <w:rsid w:val="000A24EB"/>
    <w:rsid w:val="000A353D"/>
    <w:rsid w:val="000B6923"/>
    <w:rsid w:val="000C033C"/>
    <w:rsid w:val="000C0FE2"/>
    <w:rsid w:val="000C2E78"/>
    <w:rsid w:val="000C5F3C"/>
    <w:rsid w:val="000C6DCC"/>
    <w:rsid w:val="000D1362"/>
    <w:rsid w:val="000D2740"/>
    <w:rsid w:val="000D47AA"/>
    <w:rsid w:val="000D6B86"/>
    <w:rsid w:val="000D721F"/>
    <w:rsid w:val="000E069B"/>
    <w:rsid w:val="000E0E82"/>
    <w:rsid w:val="000E1DC5"/>
    <w:rsid w:val="000E223F"/>
    <w:rsid w:val="000E35AC"/>
    <w:rsid w:val="000E7105"/>
    <w:rsid w:val="000E7D45"/>
    <w:rsid w:val="000F67A4"/>
    <w:rsid w:val="000F7851"/>
    <w:rsid w:val="00101D73"/>
    <w:rsid w:val="00101F6D"/>
    <w:rsid w:val="00102DE8"/>
    <w:rsid w:val="00104E23"/>
    <w:rsid w:val="00106A6D"/>
    <w:rsid w:val="00111B0C"/>
    <w:rsid w:val="00120D6C"/>
    <w:rsid w:val="00122929"/>
    <w:rsid w:val="001257EC"/>
    <w:rsid w:val="00126213"/>
    <w:rsid w:val="00131231"/>
    <w:rsid w:val="00132C6A"/>
    <w:rsid w:val="00133D33"/>
    <w:rsid w:val="00134D64"/>
    <w:rsid w:val="001350F7"/>
    <w:rsid w:val="00135A30"/>
    <w:rsid w:val="0013612C"/>
    <w:rsid w:val="00137FF6"/>
    <w:rsid w:val="00141650"/>
    <w:rsid w:val="001623A7"/>
    <w:rsid w:val="00162A12"/>
    <w:rsid w:val="00165D17"/>
    <w:rsid w:val="00166530"/>
    <w:rsid w:val="001832BD"/>
    <w:rsid w:val="00184E43"/>
    <w:rsid w:val="001943B5"/>
    <w:rsid w:val="001946F9"/>
    <w:rsid w:val="00195134"/>
    <w:rsid w:val="0019688C"/>
    <w:rsid w:val="00196896"/>
    <w:rsid w:val="001A145B"/>
    <w:rsid w:val="001A33F5"/>
    <w:rsid w:val="001A5E91"/>
    <w:rsid w:val="001A674C"/>
    <w:rsid w:val="001B3B24"/>
    <w:rsid w:val="001C0F98"/>
    <w:rsid w:val="001C2A42"/>
    <w:rsid w:val="001D63ED"/>
    <w:rsid w:val="001D7348"/>
    <w:rsid w:val="001E035B"/>
    <w:rsid w:val="001E0961"/>
    <w:rsid w:val="001E3EAE"/>
    <w:rsid w:val="001E5348"/>
    <w:rsid w:val="001E6F32"/>
    <w:rsid w:val="001F2145"/>
    <w:rsid w:val="001F6262"/>
    <w:rsid w:val="001F67B0"/>
    <w:rsid w:val="001F7B3D"/>
    <w:rsid w:val="00205F9F"/>
    <w:rsid w:val="00207FDF"/>
    <w:rsid w:val="00210338"/>
    <w:rsid w:val="002115FC"/>
    <w:rsid w:val="002133F8"/>
    <w:rsid w:val="00213EBE"/>
    <w:rsid w:val="0021423C"/>
    <w:rsid w:val="00216CDB"/>
    <w:rsid w:val="00223840"/>
    <w:rsid w:val="002304B7"/>
    <w:rsid w:val="00230D00"/>
    <w:rsid w:val="00231DF7"/>
    <w:rsid w:val="00231FD1"/>
    <w:rsid w:val="002339E0"/>
    <w:rsid w:val="00233CF8"/>
    <w:rsid w:val="0023575D"/>
    <w:rsid w:val="00237148"/>
    <w:rsid w:val="00240AEF"/>
    <w:rsid w:val="0024222D"/>
    <w:rsid w:val="00244B0E"/>
    <w:rsid w:val="00244F6C"/>
    <w:rsid w:val="002532C5"/>
    <w:rsid w:val="00254764"/>
    <w:rsid w:val="002558EE"/>
    <w:rsid w:val="00256766"/>
    <w:rsid w:val="00260AB9"/>
    <w:rsid w:val="00260C03"/>
    <w:rsid w:val="0026540E"/>
    <w:rsid w:val="0027225C"/>
    <w:rsid w:val="0027345C"/>
    <w:rsid w:val="00275123"/>
    <w:rsid w:val="00282240"/>
    <w:rsid w:val="0028572A"/>
    <w:rsid w:val="002946B2"/>
    <w:rsid w:val="002948AD"/>
    <w:rsid w:val="00294C05"/>
    <w:rsid w:val="00294C92"/>
    <w:rsid w:val="0029673F"/>
    <w:rsid w:val="002A01CC"/>
    <w:rsid w:val="002A61B1"/>
    <w:rsid w:val="002A663C"/>
    <w:rsid w:val="002B1E6C"/>
    <w:rsid w:val="002B444B"/>
    <w:rsid w:val="002B5887"/>
    <w:rsid w:val="002C0692"/>
    <w:rsid w:val="002C0E27"/>
    <w:rsid w:val="002C3040"/>
    <w:rsid w:val="002D022D"/>
    <w:rsid w:val="002D24BB"/>
    <w:rsid w:val="002D53F0"/>
    <w:rsid w:val="002E23EE"/>
    <w:rsid w:val="002E5F88"/>
    <w:rsid w:val="002F134B"/>
    <w:rsid w:val="002F2AF7"/>
    <w:rsid w:val="002F7E1C"/>
    <w:rsid w:val="00301A75"/>
    <w:rsid w:val="00302F70"/>
    <w:rsid w:val="0030336F"/>
    <w:rsid w:val="0030375E"/>
    <w:rsid w:val="00304735"/>
    <w:rsid w:val="00312A30"/>
    <w:rsid w:val="00320F72"/>
    <w:rsid w:val="0032463E"/>
    <w:rsid w:val="00324A0B"/>
    <w:rsid w:val="003261C1"/>
    <w:rsid w:val="00326224"/>
    <w:rsid w:val="00330F56"/>
    <w:rsid w:val="00333C57"/>
    <w:rsid w:val="00337EE4"/>
    <w:rsid w:val="00340FFD"/>
    <w:rsid w:val="00342B22"/>
    <w:rsid w:val="003506B1"/>
    <w:rsid w:val="00356AC7"/>
    <w:rsid w:val="003609FA"/>
    <w:rsid w:val="00360BB5"/>
    <w:rsid w:val="003710C8"/>
    <w:rsid w:val="003750BE"/>
    <w:rsid w:val="00377EB7"/>
    <w:rsid w:val="0038596D"/>
    <w:rsid w:val="003879C3"/>
    <w:rsid w:val="00387B9D"/>
    <w:rsid w:val="00390AB7"/>
    <w:rsid w:val="0039364F"/>
    <w:rsid w:val="00394A50"/>
    <w:rsid w:val="00396686"/>
    <w:rsid w:val="0039778E"/>
    <w:rsid w:val="003A3DE2"/>
    <w:rsid w:val="003B0C2A"/>
    <w:rsid w:val="003B4941"/>
    <w:rsid w:val="003C5714"/>
    <w:rsid w:val="003C62D9"/>
    <w:rsid w:val="003C6B9F"/>
    <w:rsid w:val="003C6E2A"/>
    <w:rsid w:val="003D0299"/>
    <w:rsid w:val="003D2FE6"/>
    <w:rsid w:val="003D61E8"/>
    <w:rsid w:val="003E193D"/>
    <w:rsid w:val="003E6D80"/>
    <w:rsid w:val="003E7CD7"/>
    <w:rsid w:val="003F05FA"/>
    <w:rsid w:val="003F0E47"/>
    <w:rsid w:val="003F244A"/>
    <w:rsid w:val="003F30B8"/>
    <w:rsid w:val="003F4C45"/>
    <w:rsid w:val="003F5F7B"/>
    <w:rsid w:val="003F643B"/>
    <w:rsid w:val="003F7D64"/>
    <w:rsid w:val="00414300"/>
    <w:rsid w:val="00414DD5"/>
    <w:rsid w:val="0042217B"/>
    <w:rsid w:val="00425578"/>
    <w:rsid w:val="00425C67"/>
    <w:rsid w:val="00427E7A"/>
    <w:rsid w:val="00430325"/>
    <w:rsid w:val="00432DA2"/>
    <w:rsid w:val="00435760"/>
    <w:rsid w:val="00436307"/>
    <w:rsid w:val="00436C49"/>
    <w:rsid w:val="00445366"/>
    <w:rsid w:val="00447F5B"/>
    <w:rsid w:val="00461DB0"/>
    <w:rsid w:val="00462879"/>
    <w:rsid w:val="00463926"/>
    <w:rsid w:val="004646E0"/>
    <w:rsid w:val="00464C9A"/>
    <w:rsid w:val="00474F3D"/>
    <w:rsid w:val="00477E3A"/>
    <w:rsid w:val="00483E5F"/>
    <w:rsid w:val="00485FF9"/>
    <w:rsid w:val="004907F0"/>
    <w:rsid w:val="0049140B"/>
    <w:rsid w:val="004923A5"/>
    <w:rsid w:val="00496BFB"/>
    <w:rsid w:val="004A15C7"/>
    <w:rsid w:val="004A26A9"/>
    <w:rsid w:val="004A5650"/>
    <w:rsid w:val="004B013B"/>
    <w:rsid w:val="004B112B"/>
    <w:rsid w:val="004C01E4"/>
    <w:rsid w:val="004C086C"/>
    <w:rsid w:val="004C1F56"/>
    <w:rsid w:val="004C27BC"/>
    <w:rsid w:val="004D068C"/>
    <w:rsid w:val="004D15F3"/>
    <w:rsid w:val="004D5311"/>
    <w:rsid w:val="004D5DCC"/>
    <w:rsid w:val="004E50C2"/>
    <w:rsid w:val="004F10AF"/>
    <w:rsid w:val="004F11A4"/>
    <w:rsid w:val="004F2389"/>
    <w:rsid w:val="004F304D"/>
    <w:rsid w:val="004F61BE"/>
    <w:rsid w:val="004F66B1"/>
    <w:rsid w:val="00501F69"/>
    <w:rsid w:val="00511C07"/>
    <w:rsid w:val="005173A6"/>
    <w:rsid w:val="00520BAA"/>
    <w:rsid w:val="00525208"/>
    <w:rsid w:val="005257A5"/>
    <w:rsid w:val="005257ED"/>
    <w:rsid w:val="005264C0"/>
    <w:rsid w:val="00526982"/>
    <w:rsid w:val="00526A8A"/>
    <w:rsid w:val="00531DF2"/>
    <w:rsid w:val="005442EE"/>
    <w:rsid w:val="00547353"/>
    <w:rsid w:val="005474E7"/>
    <w:rsid w:val="005512A3"/>
    <w:rsid w:val="00554E43"/>
    <w:rsid w:val="005578CE"/>
    <w:rsid w:val="00562781"/>
    <w:rsid w:val="00563576"/>
    <w:rsid w:val="00563E83"/>
    <w:rsid w:val="0057271C"/>
    <w:rsid w:val="00572845"/>
    <w:rsid w:val="005754EC"/>
    <w:rsid w:val="0057705D"/>
    <w:rsid w:val="00582F2C"/>
    <w:rsid w:val="00584F3C"/>
    <w:rsid w:val="005923A8"/>
    <w:rsid w:val="00592772"/>
    <w:rsid w:val="0059574A"/>
    <w:rsid w:val="005A1B9B"/>
    <w:rsid w:val="005A1E31"/>
    <w:rsid w:val="005A578D"/>
    <w:rsid w:val="005A6751"/>
    <w:rsid w:val="005B092E"/>
    <w:rsid w:val="005B152C"/>
    <w:rsid w:val="005B1EE0"/>
    <w:rsid w:val="005B2B24"/>
    <w:rsid w:val="005B4425"/>
    <w:rsid w:val="005B4B94"/>
    <w:rsid w:val="005C3EE8"/>
    <w:rsid w:val="005C5006"/>
    <w:rsid w:val="005D2DFA"/>
    <w:rsid w:val="005D34F9"/>
    <w:rsid w:val="005D4190"/>
    <w:rsid w:val="005D67A3"/>
    <w:rsid w:val="005E2988"/>
    <w:rsid w:val="005E2A43"/>
    <w:rsid w:val="005E3085"/>
    <w:rsid w:val="005E438A"/>
    <w:rsid w:val="005E58E1"/>
    <w:rsid w:val="005F09CC"/>
    <w:rsid w:val="005F51E1"/>
    <w:rsid w:val="005F613C"/>
    <w:rsid w:val="00610C80"/>
    <w:rsid w:val="00611C80"/>
    <w:rsid w:val="00620692"/>
    <w:rsid w:val="00620C6F"/>
    <w:rsid w:val="006242CA"/>
    <w:rsid w:val="00627507"/>
    <w:rsid w:val="00633717"/>
    <w:rsid w:val="006344E1"/>
    <w:rsid w:val="00637B4A"/>
    <w:rsid w:val="006405F5"/>
    <w:rsid w:val="0064146D"/>
    <w:rsid w:val="006434D5"/>
    <w:rsid w:val="006545C4"/>
    <w:rsid w:val="00661971"/>
    <w:rsid w:val="00661CE8"/>
    <w:rsid w:val="006623D9"/>
    <w:rsid w:val="006636EA"/>
    <w:rsid w:val="0066550C"/>
    <w:rsid w:val="006716F2"/>
    <w:rsid w:val="00681FC8"/>
    <w:rsid w:val="00682BF2"/>
    <w:rsid w:val="00684D55"/>
    <w:rsid w:val="006859CE"/>
    <w:rsid w:val="00686936"/>
    <w:rsid w:val="00691270"/>
    <w:rsid w:val="00691AB3"/>
    <w:rsid w:val="00692128"/>
    <w:rsid w:val="00694BA8"/>
    <w:rsid w:val="006A037C"/>
    <w:rsid w:val="006A348E"/>
    <w:rsid w:val="006A36F4"/>
    <w:rsid w:val="006A3D7D"/>
    <w:rsid w:val="006A406F"/>
    <w:rsid w:val="006A5D3A"/>
    <w:rsid w:val="006A61F1"/>
    <w:rsid w:val="006B3623"/>
    <w:rsid w:val="006B7C85"/>
    <w:rsid w:val="006C23D4"/>
    <w:rsid w:val="006C7BB0"/>
    <w:rsid w:val="006D0CA2"/>
    <w:rsid w:val="006D3237"/>
    <w:rsid w:val="006D5F0C"/>
    <w:rsid w:val="006D7E89"/>
    <w:rsid w:val="006E2E37"/>
    <w:rsid w:val="006E3CF1"/>
    <w:rsid w:val="006E7E80"/>
    <w:rsid w:val="006F1DF9"/>
    <w:rsid w:val="006F2292"/>
    <w:rsid w:val="006F24DB"/>
    <w:rsid w:val="006F48CA"/>
    <w:rsid w:val="006F64DD"/>
    <w:rsid w:val="00701B4F"/>
    <w:rsid w:val="00704DB1"/>
    <w:rsid w:val="007134C0"/>
    <w:rsid w:val="00713F68"/>
    <w:rsid w:val="00715127"/>
    <w:rsid w:val="00715AC3"/>
    <w:rsid w:val="00715E8E"/>
    <w:rsid w:val="00723580"/>
    <w:rsid w:val="00723755"/>
    <w:rsid w:val="0073136C"/>
    <w:rsid w:val="00731F0F"/>
    <w:rsid w:val="00733250"/>
    <w:rsid w:val="00741404"/>
    <w:rsid w:val="007449E5"/>
    <w:rsid w:val="00746C5A"/>
    <w:rsid w:val="00747FF0"/>
    <w:rsid w:val="00760E4E"/>
    <w:rsid w:val="00764D4E"/>
    <w:rsid w:val="00765A1F"/>
    <w:rsid w:val="00775B6D"/>
    <w:rsid w:val="00776D68"/>
    <w:rsid w:val="007850EE"/>
    <w:rsid w:val="00785B95"/>
    <w:rsid w:val="00790E96"/>
    <w:rsid w:val="00793366"/>
    <w:rsid w:val="007A716F"/>
    <w:rsid w:val="007B270A"/>
    <w:rsid w:val="007C0695"/>
    <w:rsid w:val="007C37D2"/>
    <w:rsid w:val="007C419A"/>
    <w:rsid w:val="007C4CC8"/>
    <w:rsid w:val="007C5426"/>
    <w:rsid w:val="007C5798"/>
    <w:rsid w:val="007D05AE"/>
    <w:rsid w:val="007D4832"/>
    <w:rsid w:val="007E0177"/>
    <w:rsid w:val="007E21B2"/>
    <w:rsid w:val="007E2C4E"/>
    <w:rsid w:val="007E68EE"/>
    <w:rsid w:val="007F1905"/>
    <w:rsid w:val="007F7B64"/>
    <w:rsid w:val="00801300"/>
    <w:rsid w:val="00802C64"/>
    <w:rsid w:val="00805E52"/>
    <w:rsid w:val="008061D0"/>
    <w:rsid w:val="00810B38"/>
    <w:rsid w:val="00817916"/>
    <w:rsid w:val="008204C7"/>
    <w:rsid w:val="00820992"/>
    <w:rsid w:val="00823602"/>
    <w:rsid w:val="008255F5"/>
    <w:rsid w:val="008262C3"/>
    <w:rsid w:val="00826723"/>
    <w:rsid w:val="0083014E"/>
    <w:rsid w:val="0083214A"/>
    <w:rsid w:val="00834220"/>
    <w:rsid w:val="00836AE4"/>
    <w:rsid w:val="00841F8F"/>
    <w:rsid w:val="00845723"/>
    <w:rsid w:val="00851EF9"/>
    <w:rsid w:val="0085759F"/>
    <w:rsid w:val="008577FD"/>
    <w:rsid w:val="00860B03"/>
    <w:rsid w:val="0086497A"/>
    <w:rsid w:val="00867936"/>
    <w:rsid w:val="008713A1"/>
    <w:rsid w:val="008754AB"/>
    <w:rsid w:val="00880606"/>
    <w:rsid w:val="0088060C"/>
    <w:rsid w:val="00893576"/>
    <w:rsid w:val="00893E73"/>
    <w:rsid w:val="00894BE3"/>
    <w:rsid w:val="008A424E"/>
    <w:rsid w:val="008A43C4"/>
    <w:rsid w:val="008A56C4"/>
    <w:rsid w:val="008B02DC"/>
    <w:rsid w:val="008B0B72"/>
    <w:rsid w:val="008B145D"/>
    <w:rsid w:val="008B35FF"/>
    <w:rsid w:val="008B3B90"/>
    <w:rsid w:val="008B57CE"/>
    <w:rsid w:val="008B659F"/>
    <w:rsid w:val="008C26DE"/>
    <w:rsid w:val="008D2225"/>
    <w:rsid w:val="008D304A"/>
    <w:rsid w:val="008D4752"/>
    <w:rsid w:val="008D552A"/>
    <w:rsid w:val="008D7AD3"/>
    <w:rsid w:val="008E271C"/>
    <w:rsid w:val="008E418E"/>
    <w:rsid w:val="008E5BC6"/>
    <w:rsid w:val="008E6A25"/>
    <w:rsid w:val="008F25AE"/>
    <w:rsid w:val="008F4061"/>
    <w:rsid w:val="008F4F89"/>
    <w:rsid w:val="008F5193"/>
    <w:rsid w:val="009013A7"/>
    <w:rsid w:val="009017FB"/>
    <w:rsid w:val="009017FC"/>
    <w:rsid w:val="00903AE4"/>
    <w:rsid w:val="00903B43"/>
    <w:rsid w:val="0090506B"/>
    <w:rsid w:val="009050C9"/>
    <w:rsid w:val="009066FC"/>
    <w:rsid w:val="00907733"/>
    <w:rsid w:val="0091093A"/>
    <w:rsid w:val="009140A3"/>
    <w:rsid w:val="009144A2"/>
    <w:rsid w:val="0091510C"/>
    <w:rsid w:val="00915452"/>
    <w:rsid w:val="00915ACA"/>
    <w:rsid w:val="0092295C"/>
    <w:rsid w:val="009259AC"/>
    <w:rsid w:val="009269E7"/>
    <w:rsid w:val="00926F38"/>
    <w:rsid w:val="00926F94"/>
    <w:rsid w:val="009275AF"/>
    <w:rsid w:val="00934301"/>
    <w:rsid w:val="009345CA"/>
    <w:rsid w:val="00936CD1"/>
    <w:rsid w:val="00941747"/>
    <w:rsid w:val="00941EFB"/>
    <w:rsid w:val="00947AFB"/>
    <w:rsid w:val="00951D7D"/>
    <w:rsid w:val="00952C12"/>
    <w:rsid w:val="00955550"/>
    <w:rsid w:val="009630C7"/>
    <w:rsid w:val="00970013"/>
    <w:rsid w:val="00971ADB"/>
    <w:rsid w:val="00971BCC"/>
    <w:rsid w:val="00972B55"/>
    <w:rsid w:val="009743B7"/>
    <w:rsid w:val="009760AD"/>
    <w:rsid w:val="00977358"/>
    <w:rsid w:val="00977894"/>
    <w:rsid w:val="00977C2E"/>
    <w:rsid w:val="0098228B"/>
    <w:rsid w:val="009828DA"/>
    <w:rsid w:val="0098427F"/>
    <w:rsid w:val="00985BAB"/>
    <w:rsid w:val="00997F03"/>
    <w:rsid w:val="009A46DF"/>
    <w:rsid w:val="009A780B"/>
    <w:rsid w:val="009B1B5F"/>
    <w:rsid w:val="009B2EC2"/>
    <w:rsid w:val="009B4194"/>
    <w:rsid w:val="009B6673"/>
    <w:rsid w:val="009C191B"/>
    <w:rsid w:val="009C2BD6"/>
    <w:rsid w:val="009D0D1F"/>
    <w:rsid w:val="009D4764"/>
    <w:rsid w:val="009E1F32"/>
    <w:rsid w:val="009E5829"/>
    <w:rsid w:val="009E776C"/>
    <w:rsid w:val="009F61E8"/>
    <w:rsid w:val="00A02A62"/>
    <w:rsid w:val="00A05258"/>
    <w:rsid w:val="00A07A23"/>
    <w:rsid w:val="00A165FA"/>
    <w:rsid w:val="00A1726E"/>
    <w:rsid w:val="00A204CF"/>
    <w:rsid w:val="00A23D49"/>
    <w:rsid w:val="00A248C0"/>
    <w:rsid w:val="00A25955"/>
    <w:rsid w:val="00A27004"/>
    <w:rsid w:val="00A30C29"/>
    <w:rsid w:val="00A34DD6"/>
    <w:rsid w:val="00A36819"/>
    <w:rsid w:val="00A3689C"/>
    <w:rsid w:val="00A36989"/>
    <w:rsid w:val="00A41596"/>
    <w:rsid w:val="00A43628"/>
    <w:rsid w:val="00A54192"/>
    <w:rsid w:val="00A56845"/>
    <w:rsid w:val="00A6035E"/>
    <w:rsid w:val="00A6144C"/>
    <w:rsid w:val="00A66617"/>
    <w:rsid w:val="00A671F8"/>
    <w:rsid w:val="00A673A4"/>
    <w:rsid w:val="00A67CFA"/>
    <w:rsid w:val="00A724AE"/>
    <w:rsid w:val="00A72A78"/>
    <w:rsid w:val="00A73329"/>
    <w:rsid w:val="00A738D3"/>
    <w:rsid w:val="00A7493B"/>
    <w:rsid w:val="00A7528F"/>
    <w:rsid w:val="00A758A7"/>
    <w:rsid w:val="00A82359"/>
    <w:rsid w:val="00A865D2"/>
    <w:rsid w:val="00A919F0"/>
    <w:rsid w:val="00A929A5"/>
    <w:rsid w:val="00A94C20"/>
    <w:rsid w:val="00A95C1E"/>
    <w:rsid w:val="00A96ED6"/>
    <w:rsid w:val="00AA227F"/>
    <w:rsid w:val="00AA3BC7"/>
    <w:rsid w:val="00AA754A"/>
    <w:rsid w:val="00AB099E"/>
    <w:rsid w:val="00AB4328"/>
    <w:rsid w:val="00AB5FA0"/>
    <w:rsid w:val="00AD2993"/>
    <w:rsid w:val="00AD3469"/>
    <w:rsid w:val="00AE0A2E"/>
    <w:rsid w:val="00AE2D82"/>
    <w:rsid w:val="00AE311D"/>
    <w:rsid w:val="00AE331C"/>
    <w:rsid w:val="00AE354C"/>
    <w:rsid w:val="00AE4E31"/>
    <w:rsid w:val="00AE5975"/>
    <w:rsid w:val="00AF4B07"/>
    <w:rsid w:val="00AF6186"/>
    <w:rsid w:val="00AF63BD"/>
    <w:rsid w:val="00AF7130"/>
    <w:rsid w:val="00AF7A3A"/>
    <w:rsid w:val="00B01626"/>
    <w:rsid w:val="00B04B5D"/>
    <w:rsid w:val="00B160DB"/>
    <w:rsid w:val="00B163B1"/>
    <w:rsid w:val="00B16436"/>
    <w:rsid w:val="00B20836"/>
    <w:rsid w:val="00B235BB"/>
    <w:rsid w:val="00B26A58"/>
    <w:rsid w:val="00B27A44"/>
    <w:rsid w:val="00B27CDA"/>
    <w:rsid w:val="00B30BBF"/>
    <w:rsid w:val="00B31302"/>
    <w:rsid w:val="00B33C03"/>
    <w:rsid w:val="00B43B28"/>
    <w:rsid w:val="00B44E56"/>
    <w:rsid w:val="00B45270"/>
    <w:rsid w:val="00B45C69"/>
    <w:rsid w:val="00B46543"/>
    <w:rsid w:val="00B47D33"/>
    <w:rsid w:val="00B504C2"/>
    <w:rsid w:val="00B52BE0"/>
    <w:rsid w:val="00B53154"/>
    <w:rsid w:val="00B54133"/>
    <w:rsid w:val="00B54E65"/>
    <w:rsid w:val="00B62614"/>
    <w:rsid w:val="00B637B9"/>
    <w:rsid w:val="00B701ED"/>
    <w:rsid w:val="00B70B51"/>
    <w:rsid w:val="00B73153"/>
    <w:rsid w:val="00B8086C"/>
    <w:rsid w:val="00B81DE8"/>
    <w:rsid w:val="00B861B4"/>
    <w:rsid w:val="00B86DFE"/>
    <w:rsid w:val="00B90990"/>
    <w:rsid w:val="00B922FF"/>
    <w:rsid w:val="00B9281E"/>
    <w:rsid w:val="00B93925"/>
    <w:rsid w:val="00B95187"/>
    <w:rsid w:val="00B96103"/>
    <w:rsid w:val="00BA2811"/>
    <w:rsid w:val="00BA2D55"/>
    <w:rsid w:val="00BA71B1"/>
    <w:rsid w:val="00BB0637"/>
    <w:rsid w:val="00BB08A3"/>
    <w:rsid w:val="00BB253B"/>
    <w:rsid w:val="00BB345F"/>
    <w:rsid w:val="00BB52EE"/>
    <w:rsid w:val="00BB5883"/>
    <w:rsid w:val="00BB5BC1"/>
    <w:rsid w:val="00BB68EA"/>
    <w:rsid w:val="00BC1C27"/>
    <w:rsid w:val="00BC6BBF"/>
    <w:rsid w:val="00BD1572"/>
    <w:rsid w:val="00BE14E3"/>
    <w:rsid w:val="00BE3774"/>
    <w:rsid w:val="00BE41E5"/>
    <w:rsid w:val="00BE4C18"/>
    <w:rsid w:val="00BE5D26"/>
    <w:rsid w:val="00BF0BBB"/>
    <w:rsid w:val="00BF1035"/>
    <w:rsid w:val="00BF4109"/>
    <w:rsid w:val="00BF4CC3"/>
    <w:rsid w:val="00C054C7"/>
    <w:rsid w:val="00C057B5"/>
    <w:rsid w:val="00C106C7"/>
    <w:rsid w:val="00C1248C"/>
    <w:rsid w:val="00C22687"/>
    <w:rsid w:val="00C32E4D"/>
    <w:rsid w:val="00C333A0"/>
    <w:rsid w:val="00C34AD2"/>
    <w:rsid w:val="00C36A81"/>
    <w:rsid w:val="00C372CC"/>
    <w:rsid w:val="00C377DF"/>
    <w:rsid w:val="00C41974"/>
    <w:rsid w:val="00C43AEB"/>
    <w:rsid w:val="00C447AD"/>
    <w:rsid w:val="00C528B1"/>
    <w:rsid w:val="00C53F4A"/>
    <w:rsid w:val="00C54125"/>
    <w:rsid w:val="00C54E59"/>
    <w:rsid w:val="00C5537F"/>
    <w:rsid w:val="00C55B54"/>
    <w:rsid w:val="00C57A46"/>
    <w:rsid w:val="00C57A6E"/>
    <w:rsid w:val="00C6098E"/>
    <w:rsid w:val="00C6152C"/>
    <w:rsid w:val="00C621C2"/>
    <w:rsid w:val="00C6407D"/>
    <w:rsid w:val="00C71B7E"/>
    <w:rsid w:val="00C71E88"/>
    <w:rsid w:val="00C74810"/>
    <w:rsid w:val="00C848E8"/>
    <w:rsid w:val="00C90D68"/>
    <w:rsid w:val="00C939FE"/>
    <w:rsid w:val="00C96801"/>
    <w:rsid w:val="00CA4BDA"/>
    <w:rsid w:val="00CB1F66"/>
    <w:rsid w:val="00CB2951"/>
    <w:rsid w:val="00CB4591"/>
    <w:rsid w:val="00CB4993"/>
    <w:rsid w:val="00CB4C5D"/>
    <w:rsid w:val="00CD282B"/>
    <w:rsid w:val="00CD4C35"/>
    <w:rsid w:val="00CD6F4C"/>
    <w:rsid w:val="00CD7369"/>
    <w:rsid w:val="00CE0B0E"/>
    <w:rsid w:val="00CE1448"/>
    <w:rsid w:val="00CE3831"/>
    <w:rsid w:val="00CF04AD"/>
    <w:rsid w:val="00CF1A59"/>
    <w:rsid w:val="00CF420E"/>
    <w:rsid w:val="00CF7C6B"/>
    <w:rsid w:val="00D00ABB"/>
    <w:rsid w:val="00D02EEC"/>
    <w:rsid w:val="00D03551"/>
    <w:rsid w:val="00D04731"/>
    <w:rsid w:val="00D06A63"/>
    <w:rsid w:val="00D07E0E"/>
    <w:rsid w:val="00D11478"/>
    <w:rsid w:val="00D15ED0"/>
    <w:rsid w:val="00D21B3E"/>
    <w:rsid w:val="00D21FED"/>
    <w:rsid w:val="00D24251"/>
    <w:rsid w:val="00D343E2"/>
    <w:rsid w:val="00D355CD"/>
    <w:rsid w:val="00D361A2"/>
    <w:rsid w:val="00D44C2E"/>
    <w:rsid w:val="00D45414"/>
    <w:rsid w:val="00D5204F"/>
    <w:rsid w:val="00D53C0F"/>
    <w:rsid w:val="00D566BD"/>
    <w:rsid w:val="00D57A4D"/>
    <w:rsid w:val="00D60AA7"/>
    <w:rsid w:val="00D60D87"/>
    <w:rsid w:val="00D6435F"/>
    <w:rsid w:val="00D64E75"/>
    <w:rsid w:val="00D72EA9"/>
    <w:rsid w:val="00D75E28"/>
    <w:rsid w:val="00D7661F"/>
    <w:rsid w:val="00D772C2"/>
    <w:rsid w:val="00D8008E"/>
    <w:rsid w:val="00D8096A"/>
    <w:rsid w:val="00D82C45"/>
    <w:rsid w:val="00D835EA"/>
    <w:rsid w:val="00D8775A"/>
    <w:rsid w:val="00D908A8"/>
    <w:rsid w:val="00D92532"/>
    <w:rsid w:val="00D92648"/>
    <w:rsid w:val="00D977B6"/>
    <w:rsid w:val="00DA056A"/>
    <w:rsid w:val="00DA2472"/>
    <w:rsid w:val="00DA4A31"/>
    <w:rsid w:val="00DA61F2"/>
    <w:rsid w:val="00DA7B04"/>
    <w:rsid w:val="00DB36C2"/>
    <w:rsid w:val="00DB505E"/>
    <w:rsid w:val="00DB7196"/>
    <w:rsid w:val="00DC169B"/>
    <w:rsid w:val="00DC2AB9"/>
    <w:rsid w:val="00DC498C"/>
    <w:rsid w:val="00DC5730"/>
    <w:rsid w:val="00DC63F0"/>
    <w:rsid w:val="00DD6EE5"/>
    <w:rsid w:val="00DE11BA"/>
    <w:rsid w:val="00DE1B8E"/>
    <w:rsid w:val="00DE375E"/>
    <w:rsid w:val="00DE386C"/>
    <w:rsid w:val="00DE4D35"/>
    <w:rsid w:val="00DF0549"/>
    <w:rsid w:val="00DF098B"/>
    <w:rsid w:val="00DF11C4"/>
    <w:rsid w:val="00DF210C"/>
    <w:rsid w:val="00DF327E"/>
    <w:rsid w:val="00DF4B6A"/>
    <w:rsid w:val="00DF61BE"/>
    <w:rsid w:val="00E02C09"/>
    <w:rsid w:val="00E0390F"/>
    <w:rsid w:val="00E04D59"/>
    <w:rsid w:val="00E07DA1"/>
    <w:rsid w:val="00E123CB"/>
    <w:rsid w:val="00E1557C"/>
    <w:rsid w:val="00E20E13"/>
    <w:rsid w:val="00E21DBC"/>
    <w:rsid w:val="00E22DBF"/>
    <w:rsid w:val="00E25C59"/>
    <w:rsid w:val="00E275D7"/>
    <w:rsid w:val="00E27DBE"/>
    <w:rsid w:val="00E32AB1"/>
    <w:rsid w:val="00E36C71"/>
    <w:rsid w:val="00E40404"/>
    <w:rsid w:val="00E41A23"/>
    <w:rsid w:val="00E459C6"/>
    <w:rsid w:val="00E47589"/>
    <w:rsid w:val="00E64915"/>
    <w:rsid w:val="00E65466"/>
    <w:rsid w:val="00E661D4"/>
    <w:rsid w:val="00E70091"/>
    <w:rsid w:val="00E720F5"/>
    <w:rsid w:val="00E75CA9"/>
    <w:rsid w:val="00E76D47"/>
    <w:rsid w:val="00E7741F"/>
    <w:rsid w:val="00E849F7"/>
    <w:rsid w:val="00E864E3"/>
    <w:rsid w:val="00E90302"/>
    <w:rsid w:val="00E9597F"/>
    <w:rsid w:val="00E97396"/>
    <w:rsid w:val="00EA0779"/>
    <w:rsid w:val="00EA185E"/>
    <w:rsid w:val="00EA2714"/>
    <w:rsid w:val="00EA3741"/>
    <w:rsid w:val="00EA592A"/>
    <w:rsid w:val="00EB14E4"/>
    <w:rsid w:val="00EB2FFD"/>
    <w:rsid w:val="00EB32A5"/>
    <w:rsid w:val="00EB34ED"/>
    <w:rsid w:val="00EB350B"/>
    <w:rsid w:val="00EB594F"/>
    <w:rsid w:val="00EB7BE0"/>
    <w:rsid w:val="00EC315E"/>
    <w:rsid w:val="00EC5FBD"/>
    <w:rsid w:val="00ED077C"/>
    <w:rsid w:val="00ED1190"/>
    <w:rsid w:val="00ED12BF"/>
    <w:rsid w:val="00ED592F"/>
    <w:rsid w:val="00ED6544"/>
    <w:rsid w:val="00EE0277"/>
    <w:rsid w:val="00EE1DA9"/>
    <w:rsid w:val="00EE2356"/>
    <w:rsid w:val="00EE3E00"/>
    <w:rsid w:val="00EE440C"/>
    <w:rsid w:val="00EE5DD2"/>
    <w:rsid w:val="00EF41F1"/>
    <w:rsid w:val="00EF4F08"/>
    <w:rsid w:val="00F00A79"/>
    <w:rsid w:val="00F00E86"/>
    <w:rsid w:val="00F00F8B"/>
    <w:rsid w:val="00F07C1E"/>
    <w:rsid w:val="00F105DB"/>
    <w:rsid w:val="00F11A15"/>
    <w:rsid w:val="00F132BC"/>
    <w:rsid w:val="00F13D80"/>
    <w:rsid w:val="00F1467C"/>
    <w:rsid w:val="00F16AAA"/>
    <w:rsid w:val="00F20B1B"/>
    <w:rsid w:val="00F21161"/>
    <w:rsid w:val="00F218EF"/>
    <w:rsid w:val="00F21BC7"/>
    <w:rsid w:val="00F25FF9"/>
    <w:rsid w:val="00F266A2"/>
    <w:rsid w:val="00F27539"/>
    <w:rsid w:val="00F30F35"/>
    <w:rsid w:val="00F32269"/>
    <w:rsid w:val="00F36759"/>
    <w:rsid w:val="00F4457E"/>
    <w:rsid w:val="00F50891"/>
    <w:rsid w:val="00F56A6F"/>
    <w:rsid w:val="00F5709C"/>
    <w:rsid w:val="00F64EF1"/>
    <w:rsid w:val="00F8765F"/>
    <w:rsid w:val="00F90767"/>
    <w:rsid w:val="00FA685B"/>
    <w:rsid w:val="00FB0C01"/>
    <w:rsid w:val="00FB2D39"/>
    <w:rsid w:val="00FB7725"/>
    <w:rsid w:val="00FC18F2"/>
    <w:rsid w:val="00FC39E5"/>
    <w:rsid w:val="00FC3A78"/>
    <w:rsid w:val="00FC5FFE"/>
    <w:rsid w:val="00FD1005"/>
    <w:rsid w:val="00FD3180"/>
    <w:rsid w:val="00FD5F66"/>
    <w:rsid w:val="00FD6C75"/>
    <w:rsid w:val="00FD7226"/>
    <w:rsid w:val="00FE3303"/>
    <w:rsid w:val="00FE71B3"/>
    <w:rsid w:val="00FF1BAF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324A0B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324A0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24A0B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24A0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24A0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24A0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24A0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24A0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24A0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24A0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4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0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324A0B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324A0B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324A0B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324A0B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324A0B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324A0B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324A0B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324A0B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324A0B"/>
  </w:style>
  <w:style w:type="paragraph" w:customStyle="1" w:styleId="JuParaSub">
    <w:name w:val="Ju_Para_Sub"/>
    <w:basedOn w:val="ECHRPara"/>
    <w:uiPriority w:val="13"/>
    <w:unhideWhenUsed/>
    <w:qFormat/>
    <w:rsid w:val="00324A0B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324A0B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324A0B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unhideWhenUsed/>
    <w:qFormat/>
    <w:rsid w:val="00324A0B"/>
  </w:style>
  <w:style w:type="paragraph" w:customStyle="1" w:styleId="OpiQuot">
    <w:name w:val="Opi_Quot"/>
    <w:basedOn w:val="ECHRParaQuote"/>
    <w:uiPriority w:val="48"/>
    <w:qFormat/>
    <w:rsid w:val="00324A0B"/>
  </w:style>
  <w:style w:type="paragraph" w:customStyle="1" w:styleId="OpiQuotSub">
    <w:name w:val="Opi_Quot_Sub"/>
    <w:basedOn w:val="JuQuotSub"/>
    <w:uiPriority w:val="49"/>
    <w:qFormat/>
    <w:rsid w:val="00324A0B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324A0B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qFormat/>
    <w:rsid w:val="00324A0B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324A0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24A0B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324A0B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324A0B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324A0B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324A0B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324A0B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324A0B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324A0B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324A0B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324A0B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324A0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324A0B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324A0B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324A0B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24A0B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324A0B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324A0B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24A0B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24A0B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24A0B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324A0B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324A0B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324A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324A0B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324A0B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324A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24A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A0B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24A0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24A0B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24A0B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24A0B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rsid w:val="00324A0B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324A0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324A0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324A0B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324A0B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324A0B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324A0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324A0B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324A0B"/>
    <w:rPr>
      <w:smallCaps/>
    </w:rPr>
  </w:style>
  <w:style w:type="table" w:styleId="TableGrid">
    <w:name w:val="Table Grid"/>
    <w:basedOn w:val="TableNormal"/>
    <w:uiPriority w:val="59"/>
    <w:rsid w:val="00324A0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24A0B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324A0B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324A0B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324A0B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324A0B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324A0B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324A0B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324A0B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324A0B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324A0B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324A0B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324A0B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324A0B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324A0B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324A0B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OpiTranslation">
    <w:name w:val="Opi_Translation"/>
    <w:basedOn w:val="Normal"/>
    <w:next w:val="OpiPara"/>
    <w:uiPriority w:val="40"/>
    <w:qFormat/>
    <w:rsid w:val="00324A0B"/>
    <w:pPr>
      <w:jc w:val="center"/>
      <w:outlineLvl w:val="0"/>
    </w:pPr>
    <w:rPr>
      <w:i/>
    </w:rPr>
  </w:style>
  <w:style w:type="paragraph" w:customStyle="1" w:styleId="DecHTitle">
    <w:name w:val="Dec_H_Title"/>
    <w:basedOn w:val="ECHRTitleCentre1"/>
    <w:uiPriority w:val="7"/>
    <w:qFormat/>
    <w:rsid w:val="00324A0B"/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JuCourt">
    <w:name w:val="Ju_Court"/>
    <w:basedOn w:val="Normal"/>
    <w:next w:val="Normal"/>
    <w:uiPriority w:val="16"/>
    <w:qFormat/>
    <w:rsid w:val="00324A0B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List">
    <w:name w:val="Dec_List"/>
    <w:basedOn w:val="Normal"/>
    <w:uiPriority w:val="9"/>
    <w:qFormat/>
    <w:rsid w:val="00324A0B"/>
    <w:pPr>
      <w:spacing w:before="240"/>
      <w:ind w:left="284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324A0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24A0B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324A0B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324A0B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324A0B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Lista">
    <w:name w:val="Ju_List_a"/>
    <w:basedOn w:val="JuList"/>
    <w:uiPriority w:val="28"/>
    <w:qFormat/>
    <w:rsid w:val="00324A0B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324A0B"/>
    <w:pPr>
      <w:ind w:left="794"/>
    </w:pPr>
  </w:style>
  <w:style w:type="paragraph" w:customStyle="1" w:styleId="OpiHa0">
    <w:name w:val="Opi_H_a"/>
    <w:basedOn w:val="ECHRHeading3"/>
    <w:uiPriority w:val="43"/>
    <w:qFormat/>
    <w:rsid w:val="00324A0B"/>
    <w:pPr>
      <w:ind w:left="833" w:hanging="357"/>
      <w:outlineLvl w:val="3"/>
    </w:pPr>
    <w:rPr>
      <w:b/>
      <w:i w:val="0"/>
      <w:sz w:val="20"/>
    </w:rPr>
  </w:style>
  <w:style w:type="paragraph" w:customStyle="1" w:styleId="OpiH1">
    <w:name w:val="Opi_H_1"/>
    <w:basedOn w:val="ECHRHeading2"/>
    <w:uiPriority w:val="42"/>
    <w:qFormat/>
    <w:rsid w:val="00324A0B"/>
    <w:pPr>
      <w:ind w:left="635" w:hanging="357"/>
      <w:outlineLvl w:val="2"/>
    </w:pPr>
  </w:style>
  <w:style w:type="paragraph" w:customStyle="1" w:styleId="OpiHi">
    <w:name w:val="Opi_H_i"/>
    <w:basedOn w:val="ECHRHeading4"/>
    <w:uiPriority w:val="44"/>
    <w:qFormat/>
    <w:rsid w:val="00324A0B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324A0B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324A0B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ECHRParaChar">
    <w:name w:val="ECHR_Para Char"/>
    <w:aliases w:val="Ju_Para Char"/>
    <w:link w:val="ECHRPara"/>
    <w:uiPriority w:val="12"/>
    <w:rsid w:val="00012059"/>
    <w:rPr>
      <w:rFonts w:eastAsiaTheme="minorEastAsia"/>
      <w:sz w:val="24"/>
    </w:rPr>
  </w:style>
  <w:style w:type="paragraph" w:styleId="Revision">
    <w:name w:val="Revision"/>
    <w:hidden/>
    <w:uiPriority w:val="99"/>
    <w:semiHidden/>
    <w:rsid w:val="009760AD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2823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9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2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6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9719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7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5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0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2016-12-16T13:36:00Z</dcterms:created>
  <dcterms:modified xsi:type="dcterms:W3CDTF">2016-12-16T13:37:00Z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