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45" w:rsidRPr="00666B37" w:rsidRDefault="005A2345">
      <w:pPr>
        <w:jc w:val="center"/>
        <w:rPr>
          <w:szCs w:val="24"/>
          <w:lang w:val="bg-BG"/>
        </w:rPr>
      </w:pPr>
      <w:bookmarkStart w:id="0" w:name="_GoBack"/>
      <w:bookmarkEnd w:id="0"/>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r w:rsidRPr="00666B37">
        <w:rPr>
          <w:szCs w:val="24"/>
          <w:lang w:val="bg-BG"/>
        </w:rPr>
        <w:t>ПЕТО ОТДЕЛЕНИЕ</w:t>
      </w: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b/>
          <w:szCs w:val="24"/>
          <w:lang w:val="bg-BG"/>
        </w:rPr>
      </w:pPr>
      <w:bookmarkStart w:id="1" w:name="To"/>
      <w:r w:rsidRPr="00666B37">
        <w:rPr>
          <w:b/>
          <w:szCs w:val="24"/>
          <w:lang w:val="bg-BG"/>
        </w:rPr>
        <w:t>АРАБАДЖИЕВ И АЛЕКСИЕВ СРЕЩУ БЪЛГАРИЯ</w:t>
      </w:r>
    </w:p>
    <w:bookmarkEnd w:id="1"/>
    <w:p w:rsidR="005A2345" w:rsidRPr="00666B37" w:rsidRDefault="005A2345">
      <w:pPr>
        <w:jc w:val="center"/>
        <w:rPr>
          <w:szCs w:val="24"/>
          <w:lang w:val="bg-BG"/>
        </w:rPr>
      </w:pPr>
    </w:p>
    <w:p w:rsidR="005A2345" w:rsidRPr="00666B37" w:rsidRDefault="005A2345">
      <w:pPr>
        <w:jc w:val="center"/>
        <w:rPr>
          <w:i/>
          <w:szCs w:val="24"/>
          <w:lang w:val="bg-BG"/>
        </w:rPr>
      </w:pPr>
      <w:r w:rsidRPr="00666B37">
        <w:rPr>
          <w:i/>
          <w:szCs w:val="24"/>
          <w:lang w:val="bg-BG"/>
        </w:rPr>
        <w:t>(Жалба № 20484/05 г.)</w:t>
      </w: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r w:rsidRPr="00666B37">
        <w:rPr>
          <w:szCs w:val="24"/>
          <w:lang w:val="bg-BG"/>
        </w:rPr>
        <w:t>РЕШЕНИЕ</w:t>
      </w: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jc w:val="center"/>
        <w:rPr>
          <w:szCs w:val="24"/>
          <w:lang w:val="bg-BG"/>
        </w:rPr>
      </w:pPr>
      <w:r w:rsidRPr="00666B37">
        <w:rPr>
          <w:szCs w:val="24"/>
          <w:lang w:val="bg-BG"/>
        </w:rPr>
        <w:t>СТРАСБУРГ</w:t>
      </w:r>
    </w:p>
    <w:p w:rsidR="005A2345" w:rsidRPr="00666B37" w:rsidRDefault="005A2345">
      <w:pPr>
        <w:jc w:val="center"/>
        <w:rPr>
          <w:szCs w:val="24"/>
          <w:lang w:val="bg-BG"/>
        </w:rPr>
      </w:pPr>
    </w:p>
    <w:p w:rsidR="005A2345" w:rsidRPr="00666B37" w:rsidRDefault="00061C92">
      <w:pPr>
        <w:jc w:val="center"/>
        <w:rPr>
          <w:szCs w:val="24"/>
          <w:lang w:val="bg-BG"/>
        </w:rPr>
      </w:pPr>
      <w:r>
        <w:rPr>
          <w:szCs w:val="24"/>
          <w:lang w:val="bg-BG"/>
        </w:rPr>
        <w:t>11 декември 2010</w:t>
      </w:r>
      <w:r w:rsidR="005A2345" w:rsidRPr="00666B37">
        <w:rPr>
          <w:szCs w:val="24"/>
          <w:lang w:val="bg-BG"/>
        </w:rPr>
        <w:t xml:space="preserve"> </w:t>
      </w:r>
      <w:r w:rsidR="00674D68">
        <w:rPr>
          <w:szCs w:val="24"/>
          <w:lang w:val="bg-BG"/>
        </w:rPr>
        <w:t>г.</w:t>
      </w:r>
    </w:p>
    <w:p w:rsidR="005A2345" w:rsidRPr="00666B37" w:rsidRDefault="005A2345">
      <w:pPr>
        <w:jc w:val="center"/>
        <w:rPr>
          <w:szCs w:val="24"/>
          <w:lang w:val="bg-BG"/>
        </w:rPr>
      </w:pPr>
    </w:p>
    <w:p w:rsidR="005A2345" w:rsidRPr="00666B37" w:rsidRDefault="005A2345">
      <w:pPr>
        <w:jc w:val="center"/>
        <w:rPr>
          <w:szCs w:val="24"/>
          <w:lang w:val="bg-BG"/>
        </w:rPr>
      </w:pPr>
    </w:p>
    <w:p w:rsidR="005A2345" w:rsidRPr="00666B37" w:rsidRDefault="005A2345">
      <w:pPr>
        <w:pStyle w:val="a0"/>
        <w:ind w:firstLine="0"/>
        <w:rPr>
          <w:szCs w:val="24"/>
          <w:lang w:val="bg-BG"/>
        </w:rPr>
      </w:pPr>
      <w:r w:rsidRPr="00666B37">
        <w:rPr>
          <w:i/>
          <w:sz w:val="22"/>
          <w:szCs w:val="24"/>
          <w:lang w:val="bg-BG"/>
        </w:rPr>
        <w:t>Това решение е окончателно, но може да претърпи редакционни промени.</w:t>
      </w:r>
    </w:p>
    <w:p w:rsidR="005A2345" w:rsidRPr="00666B37" w:rsidRDefault="005A2345">
      <w:pPr>
        <w:pStyle w:val="JuCase"/>
        <w:rPr>
          <w:szCs w:val="24"/>
          <w:lang w:val="bg-BG"/>
        </w:rPr>
        <w:sectPr w:rsidR="005A2345" w:rsidRPr="00666B37">
          <w:headerReference w:type="default" r:id="rId7"/>
          <w:headerReference w:type="first" r:id="rId8"/>
          <w:footerReference w:type="first" r:id="rId9"/>
          <w:footnotePr>
            <w:numRestart w:val="eachPage"/>
          </w:footnotePr>
          <w:pgSz w:w="11906" w:h="16838" w:code="9"/>
          <w:pgMar w:top="2274" w:right="2274" w:bottom="2274" w:left="2274" w:header="1701" w:footer="720" w:gutter="0"/>
          <w:pgNumType w:start="1"/>
          <w:cols w:space="720"/>
          <w:titlePg/>
          <w:docGrid w:linePitch="254"/>
        </w:sectPr>
      </w:pPr>
    </w:p>
    <w:p w:rsidR="005A2345" w:rsidRPr="00666B37" w:rsidRDefault="005A2345">
      <w:pPr>
        <w:pStyle w:val="JuCase"/>
        <w:rPr>
          <w:szCs w:val="24"/>
          <w:lang w:val="bg-BG"/>
        </w:rPr>
      </w:pPr>
      <w:r w:rsidRPr="00666B37">
        <w:rPr>
          <w:szCs w:val="24"/>
          <w:lang w:val="bg-BG"/>
        </w:rPr>
        <w:lastRenderedPageBreak/>
        <w:t>По делото Арабаджиев и Алексиев срещу България,</w:t>
      </w:r>
    </w:p>
    <w:p w:rsidR="005A2345" w:rsidRPr="00666B37" w:rsidRDefault="005A2345">
      <w:pPr>
        <w:pStyle w:val="a0"/>
        <w:rPr>
          <w:szCs w:val="24"/>
          <w:lang w:val="bg-BG"/>
        </w:rPr>
      </w:pPr>
      <w:r w:rsidRPr="00666B37">
        <w:rPr>
          <w:szCs w:val="24"/>
          <w:lang w:val="bg-BG"/>
        </w:rPr>
        <w:t>Европейският съд по правата на човека (Пето отделение), заседаващ като Комитет в състав:</w:t>
      </w:r>
    </w:p>
    <w:p w:rsidR="005A2345" w:rsidRPr="00666B37" w:rsidRDefault="005A2345">
      <w:pPr>
        <w:pStyle w:val="JuJudges"/>
        <w:rPr>
          <w:szCs w:val="24"/>
          <w:lang w:val="bg-BG"/>
        </w:rPr>
      </w:pPr>
      <w:r w:rsidRPr="00666B37">
        <w:rPr>
          <w:szCs w:val="24"/>
          <w:lang w:val="bg-BG"/>
        </w:rPr>
        <w:tab/>
        <w:t>Ра</w:t>
      </w:r>
      <w:r w:rsidR="00674D68">
        <w:rPr>
          <w:szCs w:val="24"/>
          <w:lang w:val="bg-BG"/>
        </w:rPr>
        <w:t>й</w:t>
      </w:r>
      <w:r w:rsidRPr="00666B37">
        <w:rPr>
          <w:szCs w:val="24"/>
          <w:lang w:val="bg-BG"/>
        </w:rPr>
        <w:t xml:space="preserve">т </w:t>
      </w:r>
      <w:proofErr w:type="spellStart"/>
      <w:r w:rsidRPr="00666B37">
        <w:rPr>
          <w:szCs w:val="24"/>
          <w:lang w:val="bg-BG"/>
        </w:rPr>
        <w:t>Марусте</w:t>
      </w:r>
      <w:proofErr w:type="spellEnd"/>
      <w:r w:rsidRPr="00666B37">
        <w:rPr>
          <w:szCs w:val="24"/>
          <w:lang w:val="bg-BG"/>
        </w:rPr>
        <w:t xml:space="preserve"> (</w:t>
      </w:r>
      <w:proofErr w:type="spellStart"/>
      <w:r w:rsidRPr="00666B37">
        <w:rPr>
          <w:szCs w:val="24"/>
          <w:lang w:val="bg-BG"/>
        </w:rPr>
        <w:t>Rait</w:t>
      </w:r>
      <w:proofErr w:type="spellEnd"/>
      <w:r w:rsidRPr="00666B37">
        <w:rPr>
          <w:szCs w:val="24"/>
          <w:lang w:val="bg-BG"/>
        </w:rPr>
        <w:t xml:space="preserve"> </w:t>
      </w:r>
      <w:proofErr w:type="spellStart"/>
      <w:r w:rsidRPr="00666B37">
        <w:rPr>
          <w:szCs w:val="24"/>
          <w:lang w:val="bg-BG"/>
        </w:rPr>
        <w:t>Maruste</w:t>
      </w:r>
      <w:proofErr w:type="spellEnd"/>
      <w:r w:rsidRPr="00666B37">
        <w:rPr>
          <w:szCs w:val="24"/>
          <w:lang w:val="bg-BG"/>
        </w:rPr>
        <w:t>),</w:t>
      </w:r>
      <w:r w:rsidRPr="00666B37">
        <w:rPr>
          <w:i/>
          <w:szCs w:val="24"/>
          <w:lang w:val="bg-BG"/>
        </w:rPr>
        <w:t xml:space="preserve"> председател,</w:t>
      </w:r>
      <w:r w:rsidRPr="00666B37">
        <w:rPr>
          <w:i/>
          <w:szCs w:val="24"/>
          <w:lang w:val="bg-BG"/>
        </w:rPr>
        <w:br/>
      </w:r>
      <w:r w:rsidRPr="00666B37">
        <w:rPr>
          <w:szCs w:val="24"/>
          <w:lang w:val="bg-BG"/>
        </w:rPr>
        <w:tab/>
        <w:t>М</w:t>
      </w:r>
      <w:r w:rsidR="00674D68">
        <w:rPr>
          <w:szCs w:val="24"/>
          <w:lang w:val="bg-BG"/>
        </w:rPr>
        <w:t>и</w:t>
      </w:r>
      <w:r w:rsidRPr="00666B37">
        <w:rPr>
          <w:szCs w:val="24"/>
          <w:lang w:val="bg-BG"/>
        </w:rPr>
        <w:t>р</w:t>
      </w:r>
      <w:r w:rsidR="00674D68">
        <w:rPr>
          <w:szCs w:val="24"/>
          <w:lang w:val="bg-BG"/>
        </w:rPr>
        <w:t>я</w:t>
      </w:r>
      <w:r w:rsidRPr="00666B37">
        <w:rPr>
          <w:szCs w:val="24"/>
          <w:lang w:val="bg-BG"/>
        </w:rPr>
        <w:t>на Лазарова Трайковска</w:t>
      </w:r>
      <w:r w:rsidR="00674D68">
        <w:rPr>
          <w:szCs w:val="24"/>
          <w:lang w:val="bg-BG"/>
        </w:rPr>
        <w:t xml:space="preserve"> (</w:t>
      </w:r>
      <w:proofErr w:type="spellStart"/>
      <w:r w:rsidR="00674D68" w:rsidRPr="00DA703C">
        <w:t>Mirjana</w:t>
      </w:r>
      <w:proofErr w:type="spellEnd"/>
      <w:r w:rsidR="00674D68">
        <w:t xml:space="preserve"> </w:t>
      </w:r>
      <w:proofErr w:type="spellStart"/>
      <w:r w:rsidR="00674D68" w:rsidRPr="00DA703C">
        <w:t>Lazarova</w:t>
      </w:r>
      <w:proofErr w:type="spellEnd"/>
      <w:r w:rsidR="00674D68" w:rsidRPr="00DA703C">
        <w:t xml:space="preserve"> </w:t>
      </w:r>
      <w:proofErr w:type="spellStart"/>
      <w:r w:rsidR="00674D68" w:rsidRPr="00DA703C">
        <w:t>Trajkovska</w:t>
      </w:r>
      <w:proofErr w:type="spellEnd"/>
      <w:r w:rsidR="00674D68">
        <w:rPr>
          <w:szCs w:val="24"/>
          <w:lang w:val="bg-BG"/>
        </w:rPr>
        <w:t>)</w:t>
      </w:r>
      <w:r w:rsidRPr="00666B37">
        <w:rPr>
          <w:szCs w:val="24"/>
          <w:lang w:val="bg-BG"/>
        </w:rPr>
        <w:t>,</w:t>
      </w:r>
      <w:r w:rsidRPr="00666B37">
        <w:rPr>
          <w:i/>
          <w:szCs w:val="24"/>
          <w:lang w:val="bg-BG"/>
        </w:rPr>
        <w:br/>
      </w:r>
      <w:r w:rsidRPr="00666B37">
        <w:rPr>
          <w:szCs w:val="24"/>
          <w:lang w:val="bg-BG"/>
        </w:rPr>
        <w:tab/>
        <w:t>Здравка Калайджиева</w:t>
      </w:r>
      <w:r w:rsidRPr="00666B37">
        <w:rPr>
          <w:i/>
          <w:szCs w:val="24"/>
          <w:lang w:val="bg-BG"/>
        </w:rPr>
        <w:t>,</w:t>
      </w:r>
      <w:r w:rsidRPr="00666B37">
        <w:rPr>
          <w:i/>
          <w:color w:val="FF0000"/>
          <w:szCs w:val="24"/>
          <w:lang w:val="bg-BG"/>
        </w:rPr>
        <w:t xml:space="preserve"> </w:t>
      </w:r>
      <w:r w:rsidRPr="00666B37">
        <w:rPr>
          <w:i/>
          <w:szCs w:val="24"/>
          <w:lang w:val="bg-BG"/>
        </w:rPr>
        <w:t>съдии,</w:t>
      </w:r>
      <w:r w:rsidRPr="00666B37">
        <w:rPr>
          <w:szCs w:val="24"/>
          <w:lang w:val="bg-BG"/>
        </w:rPr>
        <w:br/>
        <w:t>и Стивън Филипс (</w:t>
      </w:r>
      <w:proofErr w:type="spellStart"/>
      <w:r w:rsidRPr="00666B37">
        <w:rPr>
          <w:szCs w:val="24"/>
          <w:lang w:val="bg-BG"/>
        </w:rPr>
        <w:t>Stephen</w:t>
      </w:r>
      <w:proofErr w:type="spellEnd"/>
      <w:r w:rsidRPr="00666B37">
        <w:rPr>
          <w:szCs w:val="24"/>
          <w:lang w:val="bg-BG"/>
        </w:rPr>
        <w:t xml:space="preserve"> </w:t>
      </w:r>
      <w:proofErr w:type="spellStart"/>
      <w:r w:rsidRPr="00666B37">
        <w:rPr>
          <w:szCs w:val="24"/>
          <w:lang w:val="bg-BG"/>
        </w:rPr>
        <w:t>Phillips</w:t>
      </w:r>
      <w:proofErr w:type="spellEnd"/>
      <w:r w:rsidRPr="00666B37">
        <w:rPr>
          <w:szCs w:val="24"/>
          <w:lang w:val="bg-BG"/>
        </w:rPr>
        <w:t>)</w:t>
      </w:r>
      <w:r w:rsidRPr="00666B37">
        <w:rPr>
          <w:rStyle w:val="JuJudgesChar"/>
          <w:szCs w:val="24"/>
          <w:lang w:val="bg-BG"/>
        </w:rPr>
        <w:t xml:space="preserve">, </w:t>
      </w:r>
      <w:r w:rsidRPr="00666B37">
        <w:rPr>
          <w:rStyle w:val="JuJudgesChar"/>
          <w:i/>
          <w:szCs w:val="24"/>
          <w:lang w:val="bg-BG"/>
        </w:rPr>
        <w:t>заместник-</w:t>
      </w:r>
      <w:r w:rsidRPr="00666B37">
        <w:rPr>
          <w:i/>
          <w:szCs w:val="24"/>
          <w:lang w:val="bg-BG"/>
        </w:rPr>
        <w:t>секретар на Отделението,</w:t>
      </w:r>
    </w:p>
    <w:p w:rsidR="005A2345" w:rsidRPr="00666B37" w:rsidRDefault="005A2345">
      <w:pPr>
        <w:pStyle w:val="a0"/>
        <w:rPr>
          <w:szCs w:val="24"/>
          <w:lang w:val="bg-BG"/>
        </w:rPr>
      </w:pPr>
      <w:r w:rsidRPr="00666B37">
        <w:rPr>
          <w:szCs w:val="24"/>
          <w:lang w:val="bg-BG"/>
        </w:rPr>
        <w:t>след проведено закрито заседание на 30 ноември 2010 г.,</w:t>
      </w:r>
    </w:p>
    <w:p w:rsidR="005A2345" w:rsidRPr="00666B37" w:rsidRDefault="005A2345">
      <w:pPr>
        <w:pStyle w:val="a0"/>
        <w:rPr>
          <w:szCs w:val="24"/>
          <w:lang w:val="bg-BG"/>
        </w:rPr>
      </w:pPr>
      <w:r w:rsidRPr="00666B37">
        <w:rPr>
          <w:szCs w:val="24"/>
          <w:lang w:val="bg-BG"/>
        </w:rPr>
        <w:t>се произнесе със следното съдебно решение, постановено на същата дата:</w:t>
      </w:r>
    </w:p>
    <w:p w:rsidR="005A2345" w:rsidRPr="00666B37" w:rsidRDefault="005A2345">
      <w:pPr>
        <w:pStyle w:val="JuHHead"/>
        <w:rPr>
          <w:szCs w:val="24"/>
          <w:lang w:val="bg-BG"/>
        </w:rPr>
      </w:pPr>
      <w:r w:rsidRPr="00666B37">
        <w:rPr>
          <w:szCs w:val="24"/>
          <w:lang w:val="bg-BG"/>
        </w:rPr>
        <w:t>ПРОЦЕДУРАТА</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w:t>
      </w:r>
      <w:r w:rsidRPr="00666B37">
        <w:rPr>
          <w:szCs w:val="24"/>
          <w:lang w:val="bg-BG"/>
        </w:rPr>
        <w:fldChar w:fldCharType="end"/>
      </w:r>
      <w:r w:rsidR="00456151" w:rsidRPr="00666B37">
        <w:rPr>
          <w:szCs w:val="24"/>
          <w:lang w:val="bg-BG"/>
        </w:rPr>
        <w:t xml:space="preserve">. </w:t>
      </w:r>
      <w:r w:rsidRPr="00666B37">
        <w:rPr>
          <w:szCs w:val="24"/>
          <w:lang w:val="bg-BG"/>
        </w:rPr>
        <w:t xml:space="preserve">Делото е образувано по жалба (№ </w:t>
      </w:r>
      <w:r w:rsidRPr="00666B37">
        <w:rPr>
          <w:rStyle w:val="JuParaCar"/>
          <w:szCs w:val="24"/>
          <w:lang w:val="bg-BG"/>
        </w:rPr>
        <w:t>20484/03</w:t>
      </w:r>
      <w:r w:rsidRPr="00666B37">
        <w:rPr>
          <w:szCs w:val="24"/>
          <w:lang w:val="bg-BG"/>
        </w:rPr>
        <w:t xml:space="preserve"> г.) срещу Република България, подадена на 10 май 2005 г. пред Съда на основание на чл. 34 от Конвенцията за защита правата на човека и основните свободи  (“Конвенцията”) от двама български граждани – г-н Иван Делев Арабаджиев и г-н Григор Димитров Алексиев (“жалбоподателите”).</w:t>
      </w:r>
    </w:p>
    <w:p w:rsidR="005A2345" w:rsidRPr="00666B37" w:rsidRDefault="005A2345">
      <w:pPr>
        <w:pStyle w:val="a0"/>
        <w:rPr>
          <w:rFonts w:ascii="Times New (W1)" w:hAnsi="Times New (W1)"/>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w:t>
      </w:r>
      <w:r w:rsidRPr="00666B37">
        <w:rPr>
          <w:szCs w:val="24"/>
          <w:lang w:val="bg-BG"/>
        </w:rPr>
        <w:fldChar w:fldCharType="end"/>
      </w:r>
      <w:r w:rsidR="00666B37" w:rsidRPr="00666B37">
        <w:rPr>
          <w:szCs w:val="24"/>
          <w:lang w:val="bg-BG"/>
        </w:rPr>
        <w:t xml:space="preserve">. </w:t>
      </w:r>
      <w:r w:rsidRPr="00666B37">
        <w:rPr>
          <w:szCs w:val="24"/>
          <w:lang w:val="bg-BG"/>
        </w:rPr>
        <w:t>Жалбоподателите се представляват от г-жа С. Стефанова и г-н А. Атанасов – адвокати, практикуващи в град Пловдив.</w:t>
      </w:r>
      <w:r w:rsidRPr="00666B37">
        <w:rPr>
          <w:rStyle w:val="JuPara1"/>
          <w:szCs w:val="24"/>
          <w:lang w:val="bg-BG"/>
        </w:rPr>
        <w:t xml:space="preserve"> </w:t>
      </w:r>
      <w:r w:rsidRPr="00666B37">
        <w:rPr>
          <w:szCs w:val="24"/>
          <w:lang w:val="bg-BG"/>
        </w:rPr>
        <w:t xml:space="preserve">Българското правителство („правителството”) е представлявано от своя агент </w:t>
      </w:r>
      <w:r w:rsidR="00674D68">
        <w:rPr>
          <w:szCs w:val="24"/>
          <w:lang w:val="bg-BG"/>
        </w:rPr>
        <w:t xml:space="preserve">– </w:t>
      </w:r>
      <w:r w:rsidRPr="00666B37">
        <w:rPr>
          <w:szCs w:val="24"/>
          <w:lang w:val="bg-BG"/>
        </w:rPr>
        <w:t>г-жа М. Димова от Министерството на правосъдието.</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3</w:t>
      </w:r>
      <w:r w:rsidRPr="00666B37">
        <w:rPr>
          <w:szCs w:val="24"/>
          <w:lang w:val="bg-BG"/>
        </w:rPr>
        <w:fldChar w:fldCharType="end"/>
      </w:r>
      <w:r w:rsidRPr="00666B37">
        <w:rPr>
          <w:szCs w:val="24"/>
          <w:lang w:val="bg-BG"/>
        </w:rPr>
        <w:t xml:space="preserve">.  На </w:t>
      </w:r>
      <w:r w:rsidRPr="00666B37">
        <w:rPr>
          <w:rStyle w:val="Firstline0cm1"/>
          <w:szCs w:val="24"/>
          <w:lang w:val="bg-BG"/>
        </w:rPr>
        <w:t>11 март 2009 г.</w:t>
      </w:r>
      <w:r w:rsidRPr="00666B37">
        <w:rPr>
          <w:szCs w:val="24"/>
          <w:lang w:val="bg-BG"/>
        </w:rPr>
        <w:t xml:space="preserve"> </w:t>
      </w:r>
      <w:r w:rsidR="00674D68">
        <w:rPr>
          <w:szCs w:val="24"/>
          <w:lang w:val="bg-BG"/>
        </w:rPr>
        <w:t>п</w:t>
      </w:r>
      <w:r w:rsidRPr="00666B37">
        <w:rPr>
          <w:szCs w:val="24"/>
          <w:lang w:val="bg-BG"/>
        </w:rPr>
        <w:t>редседателят на Пето отделение решава да изпрати уведомление до правителството относно жалбата. В съответствие с Протокол № 14 жалбата е разпределена за разглеждане на Комитет от трима съдии.</w:t>
      </w:r>
    </w:p>
    <w:p w:rsidR="005A2345" w:rsidRPr="00666B37" w:rsidRDefault="005A2345">
      <w:pPr>
        <w:pStyle w:val="JuHHead"/>
        <w:rPr>
          <w:szCs w:val="24"/>
          <w:lang w:val="bg-BG"/>
        </w:rPr>
      </w:pPr>
      <w:r w:rsidRPr="00666B37">
        <w:rPr>
          <w:szCs w:val="24"/>
          <w:lang w:val="bg-BG"/>
        </w:rPr>
        <w:t>ФАКТИТЕ</w:t>
      </w:r>
    </w:p>
    <w:p w:rsidR="005A2345" w:rsidRPr="00666B37" w:rsidRDefault="005A2345">
      <w:pPr>
        <w:pStyle w:val="a"/>
        <w:rPr>
          <w:szCs w:val="24"/>
          <w:lang w:val="bg-BG"/>
        </w:rPr>
      </w:pPr>
      <w:r w:rsidRPr="00666B37">
        <w:rPr>
          <w:szCs w:val="24"/>
          <w:lang w:val="bg-BG"/>
        </w:rPr>
        <w:t>I. ОБСТОЯТЕЛСТВА ПО ДЕЛОТО</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4</w:t>
      </w:r>
      <w:r w:rsidRPr="00666B37">
        <w:rPr>
          <w:szCs w:val="24"/>
          <w:lang w:val="bg-BG"/>
        </w:rPr>
        <w:fldChar w:fldCharType="end"/>
      </w:r>
      <w:r w:rsidR="00AC3D32">
        <w:rPr>
          <w:szCs w:val="24"/>
          <w:lang w:val="bg-BG"/>
        </w:rPr>
        <w:t xml:space="preserve">. </w:t>
      </w:r>
      <w:r w:rsidRPr="00666B37">
        <w:rPr>
          <w:szCs w:val="24"/>
          <w:lang w:val="bg-BG"/>
        </w:rPr>
        <w:t xml:space="preserve">Жалбоподателите са родени съответно през 1963 и 1964 </w:t>
      </w:r>
      <w:r w:rsidR="00674D68">
        <w:rPr>
          <w:szCs w:val="24"/>
          <w:lang w:val="bg-BG"/>
        </w:rPr>
        <w:t>г.</w:t>
      </w:r>
      <w:r w:rsidRPr="00666B37">
        <w:rPr>
          <w:szCs w:val="24"/>
          <w:lang w:val="bg-BG"/>
        </w:rPr>
        <w:t xml:space="preserve"> и живеят в Пловдив.</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5</w:t>
      </w:r>
      <w:r w:rsidRPr="00666B37">
        <w:rPr>
          <w:szCs w:val="24"/>
          <w:lang w:val="bg-BG"/>
        </w:rPr>
        <w:fldChar w:fldCharType="end"/>
      </w:r>
      <w:r w:rsidRPr="00666B37">
        <w:rPr>
          <w:szCs w:val="24"/>
          <w:lang w:val="bg-BG"/>
        </w:rPr>
        <w:t>.  На 3 октомври 1994 г. възниква конфликт между жалбоподателите и други лица</w:t>
      </w:r>
      <w:r w:rsidR="00674D68">
        <w:rPr>
          <w:szCs w:val="24"/>
          <w:lang w:val="bg-BG"/>
        </w:rPr>
        <w:t>,</w:t>
      </w:r>
      <w:r w:rsidRPr="00666B37">
        <w:rPr>
          <w:szCs w:val="24"/>
          <w:lang w:val="bg-BG"/>
        </w:rPr>
        <w:t xml:space="preserve"> от една страна</w:t>
      </w:r>
      <w:r w:rsidR="00674D68">
        <w:rPr>
          <w:szCs w:val="24"/>
          <w:lang w:val="bg-BG"/>
        </w:rPr>
        <w:t>,</w:t>
      </w:r>
      <w:r w:rsidRPr="00666B37">
        <w:rPr>
          <w:szCs w:val="24"/>
          <w:lang w:val="bg-BG"/>
        </w:rPr>
        <w:t xml:space="preserve"> и четирима полицаи</w:t>
      </w:r>
      <w:r w:rsidR="00674D68">
        <w:rPr>
          <w:szCs w:val="24"/>
          <w:lang w:val="bg-BG"/>
        </w:rPr>
        <w:t>,</w:t>
      </w:r>
      <w:r w:rsidRPr="00666B37">
        <w:rPr>
          <w:szCs w:val="24"/>
          <w:lang w:val="bg-BG"/>
        </w:rPr>
        <w:t xml:space="preserve"> от друга, докато последните се опитват да арестуват издирвано лице. Първият жалбоподател е арестуван. На следващия ден е обвинен в хулиганство и възпрепятстване на органите на реда, след което е освободен под гаранция. На 10 октомври 1994 г. е разпитан вторият </w:t>
      </w:r>
      <w:r w:rsidRPr="00666B37">
        <w:rPr>
          <w:szCs w:val="24"/>
          <w:lang w:val="bg-BG"/>
        </w:rPr>
        <w:lastRenderedPageBreak/>
        <w:t xml:space="preserve">жалбоподател и срещу него са повдигнати същите обвинения. Делото е оставено без движение до 2002 </w:t>
      </w:r>
      <w:r w:rsidR="00674D68">
        <w:rPr>
          <w:szCs w:val="24"/>
          <w:lang w:val="bg-BG"/>
        </w:rPr>
        <w:t>г</w:t>
      </w:r>
      <w:r w:rsidRPr="00666B37">
        <w:rPr>
          <w:szCs w:val="24"/>
          <w:lang w:val="bg-BG"/>
        </w:rPr>
        <w:t>.</w:t>
      </w:r>
    </w:p>
    <w:p w:rsidR="005A2345" w:rsidRPr="00666B37" w:rsidRDefault="005A2345" w:rsidP="00AC3D32">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6</w:t>
      </w:r>
      <w:r w:rsidRPr="00666B37">
        <w:rPr>
          <w:szCs w:val="24"/>
          <w:lang w:val="bg-BG"/>
        </w:rPr>
        <w:fldChar w:fldCharType="end"/>
      </w:r>
      <w:r w:rsidRPr="00666B37">
        <w:rPr>
          <w:szCs w:val="24"/>
          <w:lang w:val="bg-BG"/>
        </w:rPr>
        <w:t xml:space="preserve">.  През м. юли и м. август 2002 г. са разпитани няколко свидетели. През м. септември и м. ноември 2002 г. и през м. февруари и м. март 2003 г. следователят дава нова формулировка на обвиненията срещу жалбоподателите и ги разпитва </w:t>
      </w:r>
      <w:r w:rsidR="00AC3D32">
        <w:rPr>
          <w:szCs w:val="24"/>
          <w:lang w:val="bg-BG"/>
        </w:rPr>
        <w:t>повторно</w:t>
      </w:r>
      <w:r w:rsidRPr="00666B37">
        <w:rPr>
          <w:szCs w:val="24"/>
          <w:lang w:val="bg-BG"/>
        </w:rPr>
        <w:t>. На 14 юни 2003 г. прокурорът внася обвинителен акт срещу тях.</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7</w:t>
      </w:r>
      <w:r w:rsidRPr="00666B37">
        <w:rPr>
          <w:szCs w:val="24"/>
          <w:lang w:val="bg-BG"/>
        </w:rPr>
        <w:fldChar w:fldCharType="end"/>
      </w:r>
      <w:r w:rsidRPr="00666B37">
        <w:rPr>
          <w:szCs w:val="24"/>
          <w:lang w:val="bg-BG"/>
        </w:rPr>
        <w:t>.  Пловдивски</w:t>
      </w:r>
      <w:r w:rsidR="00674D68">
        <w:rPr>
          <w:szCs w:val="24"/>
          <w:lang w:val="bg-BG"/>
        </w:rPr>
        <w:t>ят</w:t>
      </w:r>
      <w:r w:rsidRPr="00666B37">
        <w:rPr>
          <w:szCs w:val="24"/>
          <w:lang w:val="bg-BG"/>
        </w:rPr>
        <w:t xml:space="preserve"> </w:t>
      </w:r>
      <w:r w:rsidR="00674D68">
        <w:rPr>
          <w:szCs w:val="24"/>
          <w:lang w:val="bg-BG"/>
        </w:rPr>
        <w:t>районен</w:t>
      </w:r>
      <w:r w:rsidRPr="00666B37">
        <w:rPr>
          <w:szCs w:val="24"/>
          <w:lang w:val="bg-BG"/>
        </w:rPr>
        <w:t xml:space="preserve"> съд провежда две съдебни заседания и на 18 ноември 2004 г. приема сключването на съдебно споразумение между жалбоподателите и прокуратурата и прекратява производството. Жалбоподателите са наказани с три месеца лишаване от свобода.</w:t>
      </w:r>
    </w:p>
    <w:p w:rsidR="005A2345" w:rsidRPr="00666B37" w:rsidRDefault="005A2345">
      <w:pPr>
        <w:pStyle w:val="JuHHead"/>
        <w:rPr>
          <w:szCs w:val="24"/>
          <w:lang w:val="bg-BG"/>
        </w:rPr>
      </w:pPr>
      <w:r w:rsidRPr="00666B37">
        <w:rPr>
          <w:szCs w:val="24"/>
          <w:lang w:val="bg-BG"/>
        </w:rPr>
        <w:t>ПРАВОТО</w:t>
      </w:r>
    </w:p>
    <w:p w:rsidR="005A2345" w:rsidRPr="00666B37" w:rsidRDefault="005A2345">
      <w:pPr>
        <w:pStyle w:val="a"/>
        <w:rPr>
          <w:szCs w:val="24"/>
          <w:lang w:val="bg-BG"/>
        </w:rPr>
      </w:pPr>
      <w:r w:rsidRPr="00666B37">
        <w:rPr>
          <w:szCs w:val="24"/>
          <w:lang w:val="bg-BG"/>
        </w:rPr>
        <w:t>II. ТВЪРДЯНО НАРУШЕНИЕ НА ЧЛ. 6, АЛ. 1 ОТ КОНВЕНЦИЯТА</w:t>
      </w:r>
    </w:p>
    <w:p w:rsidR="005A2345" w:rsidRPr="00666B37" w:rsidRDefault="005A2345" w:rsidP="00B40F70">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8</w:t>
      </w:r>
      <w:r w:rsidRPr="00666B37">
        <w:rPr>
          <w:szCs w:val="24"/>
          <w:lang w:val="bg-BG"/>
        </w:rPr>
        <w:fldChar w:fldCharType="end"/>
      </w:r>
      <w:r w:rsidR="00B40F70">
        <w:rPr>
          <w:szCs w:val="24"/>
          <w:lang w:val="bg-BG"/>
        </w:rPr>
        <w:t xml:space="preserve">. </w:t>
      </w:r>
      <w:r w:rsidRPr="00666B37">
        <w:rPr>
          <w:szCs w:val="24"/>
          <w:lang w:val="bg-BG"/>
        </w:rPr>
        <w:t>Жалбоподателите се оплакват, че продължителността на производството срещу тях е несъвместима с изискването за „разумен срок”, предвидено в чл. 6, ал. 1 от Конвенцията, ко</w:t>
      </w:r>
      <w:r w:rsidR="00B40F70">
        <w:rPr>
          <w:szCs w:val="24"/>
          <w:lang w:val="bg-BG"/>
        </w:rPr>
        <w:t>й</w:t>
      </w:r>
      <w:r w:rsidRPr="00666B37">
        <w:rPr>
          <w:szCs w:val="24"/>
          <w:lang w:val="bg-BG"/>
        </w:rPr>
        <w:t>то гласи:</w:t>
      </w:r>
    </w:p>
    <w:p w:rsidR="005A2345" w:rsidRPr="00666B37" w:rsidRDefault="005A2345">
      <w:pPr>
        <w:pStyle w:val="JuQuot"/>
        <w:rPr>
          <w:szCs w:val="24"/>
          <w:lang w:val="bg-BG"/>
        </w:rPr>
      </w:pPr>
      <w:r w:rsidRPr="00666B37">
        <w:rPr>
          <w:szCs w:val="24"/>
          <w:lang w:val="bg-BG"/>
        </w:rPr>
        <w:t>„</w:t>
      </w:r>
      <w:proofErr w:type="spellStart"/>
      <w:r w:rsidRPr="00666B37">
        <w:rPr>
          <w:szCs w:val="24"/>
          <w:lang w:val="bg-BG"/>
        </w:rPr>
        <w:t>Βсяко</w:t>
      </w:r>
      <w:proofErr w:type="spellEnd"/>
      <w:r w:rsidRPr="00666B37">
        <w:rPr>
          <w:szCs w:val="24"/>
          <w:lang w:val="bg-BG"/>
        </w:rPr>
        <w:t xml:space="preserve"> лице, при решаването на правен спор относно… основателността на каквото и да е наказателно обвинение срещу него ..., има право на ... гледане на неговото дело в разумен срок, от [a] ... съд ...”</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9</w:t>
      </w:r>
      <w:r w:rsidRPr="00666B37">
        <w:rPr>
          <w:szCs w:val="24"/>
          <w:lang w:val="bg-BG"/>
        </w:rPr>
        <w:fldChar w:fldCharType="end"/>
      </w:r>
      <w:r w:rsidRPr="00666B37">
        <w:rPr>
          <w:szCs w:val="24"/>
          <w:lang w:val="bg-BG"/>
        </w:rPr>
        <w:t xml:space="preserve">.  Правителството не </w:t>
      </w:r>
      <w:r w:rsidR="00674D68">
        <w:rPr>
          <w:szCs w:val="24"/>
          <w:lang w:val="bg-BG"/>
        </w:rPr>
        <w:t>е представило</w:t>
      </w:r>
      <w:r w:rsidRPr="00666B37">
        <w:rPr>
          <w:szCs w:val="24"/>
          <w:lang w:val="bg-BG"/>
        </w:rPr>
        <w:t xml:space="preserve"> коментар.</w:t>
      </w:r>
    </w:p>
    <w:p w:rsidR="005A2345" w:rsidRPr="00666B37" w:rsidRDefault="005A2345">
      <w:pPr>
        <w:pStyle w:val="JuHA"/>
        <w:rPr>
          <w:szCs w:val="24"/>
          <w:lang w:val="bg-BG"/>
        </w:rPr>
      </w:pPr>
      <w:r w:rsidRPr="00666B37">
        <w:rPr>
          <w:szCs w:val="24"/>
          <w:lang w:val="bg-BG"/>
        </w:rPr>
        <w:t>A. Допустимост</w:t>
      </w:r>
    </w:p>
    <w:p w:rsidR="005A2345" w:rsidRPr="00666B37" w:rsidRDefault="005A2345" w:rsidP="00405E59">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10</w:t>
      </w:r>
      <w:r w:rsidRPr="00666B37">
        <w:rPr>
          <w:szCs w:val="24"/>
          <w:lang w:val="bg-BG"/>
        </w:rPr>
        <w:fldChar w:fldCharType="end"/>
      </w:r>
      <w:r w:rsidR="00405E59">
        <w:rPr>
          <w:szCs w:val="24"/>
          <w:lang w:val="bg-BG"/>
        </w:rPr>
        <w:t xml:space="preserve">. </w:t>
      </w:r>
      <w:r w:rsidRPr="00666B37">
        <w:rPr>
          <w:rStyle w:val="hps"/>
          <w:szCs w:val="24"/>
          <w:lang w:val="bg-BG"/>
        </w:rPr>
        <w:t>Съдът отбелязва, че</w:t>
      </w:r>
      <w:r w:rsidRPr="00666B37">
        <w:rPr>
          <w:szCs w:val="24"/>
          <w:lang w:val="bg-BG"/>
        </w:rPr>
        <w:t xml:space="preserve"> </w:t>
      </w:r>
      <w:r w:rsidRPr="00666B37">
        <w:rPr>
          <w:rStyle w:val="hps"/>
          <w:szCs w:val="24"/>
          <w:lang w:val="bg-BG"/>
        </w:rPr>
        <w:t>това оплакване не</w:t>
      </w:r>
      <w:r w:rsidRPr="00666B37">
        <w:rPr>
          <w:szCs w:val="24"/>
          <w:lang w:val="bg-BG"/>
        </w:rPr>
        <w:t xml:space="preserve"> </w:t>
      </w:r>
      <w:r w:rsidRPr="00666B37">
        <w:rPr>
          <w:rStyle w:val="hps"/>
          <w:szCs w:val="24"/>
          <w:lang w:val="bg-BG"/>
        </w:rPr>
        <w:t>е явно необосновано</w:t>
      </w:r>
      <w:r w:rsidRPr="00666B37">
        <w:rPr>
          <w:szCs w:val="24"/>
          <w:lang w:val="bg-BG"/>
        </w:rPr>
        <w:t xml:space="preserve"> </w:t>
      </w:r>
      <w:r w:rsidRPr="00666B37">
        <w:rPr>
          <w:rStyle w:val="hps"/>
          <w:szCs w:val="24"/>
          <w:lang w:val="bg-BG"/>
        </w:rPr>
        <w:t>по смисъла на</w:t>
      </w:r>
      <w:r w:rsidRPr="00666B37">
        <w:rPr>
          <w:szCs w:val="24"/>
          <w:lang w:val="bg-BG"/>
        </w:rPr>
        <w:t xml:space="preserve"> </w:t>
      </w:r>
      <w:r w:rsidRPr="00666B37">
        <w:rPr>
          <w:rStyle w:val="hps"/>
          <w:szCs w:val="24"/>
          <w:lang w:val="bg-BG"/>
        </w:rPr>
        <w:t>чл.</w:t>
      </w:r>
      <w:r w:rsidRPr="00666B37">
        <w:rPr>
          <w:szCs w:val="24"/>
          <w:lang w:val="bg-BG"/>
        </w:rPr>
        <w:t xml:space="preserve"> 35, ал. </w:t>
      </w:r>
      <w:r w:rsidRPr="00666B37">
        <w:rPr>
          <w:rStyle w:val="hps"/>
          <w:szCs w:val="24"/>
          <w:lang w:val="bg-BG"/>
        </w:rPr>
        <w:t>3, о</w:t>
      </w:r>
      <w:r w:rsidRPr="00666B37">
        <w:rPr>
          <w:szCs w:val="24"/>
          <w:lang w:val="bg-BG"/>
        </w:rPr>
        <w:t xml:space="preserve">т </w:t>
      </w:r>
      <w:r w:rsidRPr="00666B37">
        <w:rPr>
          <w:rStyle w:val="hps"/>
          <w:szCs w:val="24"/>
          <w:lang w:val="bg-BG"/>
        </w:rPr>
        <w:t>Конвенцията.</w:t>
      </w:r>
      <w:r w:rsidRPr="00666B37">
        <w:rPr>
          <w:szCs w:val="24"/>
          <w:lang w:val="bg-BG"/>
        </w:rPr>
        <w:t xml:space="preserve"> </w:t>
      </w:r>
      <w:r w:rsidR="00405E59">
        <w:rPr>
          <w:szCs w:val="24"/>
          <w:lang w:val="bg-BG"/>
        </w:rPr>
        <w:t>Освен това Съдът отбелязва, че то не е недопустимо на други основания.</w:t>
      </w:r>
      <w:r w:rsidRPr="00666B37">
        <w:rPr>
          <w:szCs w:val="24"/>
          <w:lang w:val="bg-BG"/>
        </w:rPr>
        <w:t xml:space="preserve"> </w:t>
      </w:r>
      <w:r w:rsidR="00405E59">
        <w:rPr>
          <w:rStyle w:val="hps"/>
          <w:szCs w:val="24"/>
          <w:lang w:val="bg-BG"/>
        </w:rPr>
        <w:t>Следователно трябва да</w:t>
      </w:r>
      <w:r w:rsidR="00405E59">
        <w:rPr>
          <w:szCs w:val="24"/>
          <w:lang w:val="bg-BG"/>
        </w:rPr>
        <w:t xml:space="preserve"> </w:t>
      </w:r>
      <w:r w:rsidR="00405E59">
        <w:rPr>
          <w:rStyle w:val="hps"/>
          <w:szCs w:val="24"/>
          <w:lang w:val="bg-BG"/>
        </w:rPr>
        <w:t>бъде обявено за допустимо</w:t>
      </w:r>
      <w:r w:rsidRPr="00666B37">
        <w:rPr>
          <w:szCs w:val="24"/>
          <w:lang w:val="bg-BG"/>
        </w:rPr>
        <w:t>.</w:t>
      </w:r>
    </w:p>
    <w:p w:rsidR="005A2345" w:rsidRPr="00666B37" w:rsidRDefault="005A2345">
      <w:pPr>
        <w:pStyle w:val="JuHA"/>
        <w:rPr>
          <w:szCs w:val="24"/>
          <w:lang w:val="bg-BG"/>
        </w:rPr>
      </w:pPr>
      <w:r w:rsidRPr="00666B37">
        <w:rPr>
          <w:szCs w:val="24"/>
          <w:lang w:val="bg-BG"/>
        </w:rPr>
        <w:t>Б.  По същество</w:t>
      </w:r>
    </w:p>
    <w:p w:rsidR="005A2345" w:rsidRPr="00666B37" w:rsidRDefault="005A2345" w:rsidP="00DE71FD">
      <w:pPr>
        <w:pStyle w:val="a0"/>
        <w:rPr>
          <w:i/>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11</w:t>
      </w:r>
      <w:r w:rsidRPr="00666B37">
        <w:rPr>
          <w:szCs w:val="24"/>
          <w:lang w:val="bg-BG"/>
        </w:rPr>
        <w:fldChar w:fldCharType="end"/>
      </w:r>
      <w:r w:rsidRPr="00666B37">
        <w:rPr>
          <w:szCs w:val="24"/>
          <w:lang w:val="bg-BG"/>
        </w:rPr>
        <w:t xml:space="preserve">.  Съдът намира, че </w:t>
      </w:r>
      <w:r w:rsidRPr="00666B37">
        <w:rPr>
          <w:color w:val="000000"/>
          <w:szCs w:val="24"/>
          <w:lang w:val="bg-BG"/>
        </w:rPr>
        <w:t xml:space="preserve">периодът, който следва да се вземе под внимание, започва да тече от 3 октомври 1994 г. по отношение на първия жалбоподател и </w:t>
      </w:r>
      <w:r w:rsidR="00DE71FD">
        <w:rPr>
          <w:color w:val="000000"/>
          <w:szCs w:val="24"/>
          <w:lang w:val="bg-BG"/>
        </w:rPr>
        <w:t xml:space="preserve">от </w:t>
      </w:r>
      <w:r w:rsidRPr="00666B37">
        <w:rPr>
          <w:szCs w:val="24"/>
          <w:lang w:val="bg-BG"/>
        </w:rPr>
        <w:t>10 октомври 2004</w:t>
      </w:r>
      <w:r w:rsidR="00DE71FD">
        <w:rPr>
          <w:szCs w:val="24"/>
          <w:lang w:val="bg-BG"/>
        </w:rPr>
        <w:t xml:space="preserve"> г.</w:t>
      </w:r>
      <w:r w:rsidRPr="00666B37">
        <w:rPr>
          <w:szCs w:val="24"/>
          <w:lang w:val="bg-BG"/>
        </w:rPr>
        <w:t xml:space="preserve"> по отношение на втория жалбоподател (вж. параграф 5 по-горе, също</w:t>
      </w:r>
      <w:r w:rsidR="00674D68">
        <w:rPr>
          <w:szCs w:val="24"/>
          <w:lang w:val="bg-BG"/>
        </w:rPr>
        <w:t xml:space="preserve"> и:</w:t>
      </w:r>
      <w:r w:rsidRPr="00666B37">
        <w:rPr>
          <w:szCs w:val="24"/>
          <w:lang w:val="bg-BG"/>
        </w:rPr>
        <w:t xml:space="preserve"> </w:t>
      </w:r>
      <w:proofErr w:type="spellStart"/>
      <w:r w:rsidRPr="00666B37">
        <w:rPr>
          <w:i/>
          <w:szCs w:val="24"/>
          <w:lang w:val="bg-BG"/>
        </w:rPr>
        <w:t>Малечков</w:t>
      </w:r>
      <w:proofErr w:type="spellEnd"/>
      <w:r w:rsidRPr="00666B37">
        <w:rPr>
          <w:i/>
          <w:szCs w:val="24"/>
          <w:lang w:val="bg-BG"/>
        </w:rPr>
        <w:t xml:space="preserve"> срещу България</w:t>
      </w:r>
      <w:r w:rsidRPr="00666B37">
        <w:rPr>
          <w:szCs w:val="24"/>
          <w:lang w:val="bg-BG"/>
        </w:rPr>
        <w:t xml:space="preserve">, № 57830/00, § 95, 28 юни 2007 г.; и </w:t>
      </w:r>
      <w:r w:rsidRPr="00666B37">
        <w:rPr>
          <w:i/>
          <w:szCs w:val="24"/>
          <w:lang w:val="bg-BG"/>
        </w:rPr>
        <w:t>Филипов срещу България</w:t>
      </w:r>
      <w:r w:rsidRPr="00666B37">
        <w:rPr>
          <w:szCs w:val="24"/>
          <w:lang w:val="bg-BG"/>
        </w:rPr>
        <w:t>, № 40495/04, § 34, 10 юни 2010</w:t>
      </w:r>
      <w:r w:rsidR="00DE71FD">
        <w:rPr>
          <w:szCs w:val="24"/>
          <w:lang w:val="bg-BG"/>
        </w:rPr>
        <w:t xml:space="preserve"> </w:t>
      </w:r>
      <w:r w:rsidR="00674D68">
        <w:rPr>
          <w:szCs w:val="24"/>
          <w:lang w:val="bg-BG"/>
        </w:rPr>
        <w:t>г.</w:t>
      </w:r>
      <w:r w:rsidRPr="00666B37">
        <w:rPr>
          <w:szCs w:val="24"/>
          <w:lang w:val="bg-BG"/>
        </w:rPr>
        <w:t xml:space="preserve">). По отношение и на двамата жалбоподатели периодът приключва на 18 ноември 2004 </w:t>
      </w:r>
      <w:r w:rsidR="00674D68">
        <w:rPr>
          <w:szCs w:val="24"/>
          <w:lang w:val="bg-BG"/>
        </w:rPr>
        <w:t>г.</w:t>
      </w:r>
      <w:r w:rsidRPr="00666B37">
        <w:rPr>
          <w:szCs w:val="24"/>
          <w:lang w:val="bg-BG"/>
        </w:rPr>
        <w:t xml:space="preserve"> </w:t>
      </w:r>
      <w:r w:rsidRPr="00666B37">
        <w:rPr>
          <w:color w:val="000000"/>
          <w:szCs w:val="24"/>
          <w:lang w:val="bg-BG"/>
        </w:rPr>
        <w:t>(</w:t>
      </w:r>
      <w:r w:rsidRPr="00666B37">
        <w:rPr>
          <w:szCs w:val="24"/>
          <w:lang w:val="bg-BG"/>
        </w:rPr>
        <w:t>вж. параграф 7 по-горе</w:t>
      </w:r>
      <w:r w:rsidRPr="00666B37">
        <w:rPr>
          <w:color w:val="000000"/>
          <w:szCs w:val="24"/>
          <w:lang w:val="bg-BG"/>
        </w:rPr>
        <w:t>)</w:t>
      </w:r>
      <w:r w:rsidRPr="00666B37">
        <w:rPr>
          <w:szCs w:val="24"/>
          <w:lang w:val="bg-BG"/>
        </w:rPr>
        <w:t xml:space="preserve">. По този начин производството е продължило </w:t>
      </w:r>
      <w:r w:rsidRPr="00666B37">
        <w:rPr>
          <w:szCs w:val="24"/>
          <w:lang w:val="bg-BG"/>
        </w:rPr>
        <w:lastRenderedPageBreak/>
        <w:t>десет години и един месец за фазата на досъдебното разследване и първата съдебна инстанция.</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12</w:t>
      </w:r>
      <w:r w:rsidRPr="00666B37">
        <w:rPr>
          <w:szCs w:val="24"/>
          <w:lang w:val="bg-BG"/>
        </w:rPr>
        <w:fldChar w:fldCharType="end"/>
      </w:r>
      <w:r w:rsidR="003D41FF">
        <w:rPr>
          <w:szCs w:val="24"/>
          <w:lang w:val="bg-BG"/>
        </w:rPr>
        <w:t xml:space="preserve">. </w:t>
      </w:r>
      <w:r w:rsidRPr="00666B37">
        <w:rPr>
          <w:szCs w:val="24"/>
          <w:lang w:val="bg-BG"/>
        </w:rPr>
        <w:t xml:space="preserve">Съдът припомня, че разумността на продължителността на производството следва да се преценява в светлината на обстоятелствата по делото и с оглед на следните критерии: сложността на делото, поведението на жалбоподателите и на съответните власти (вж., наред с много други източници, </w:t>
      </w:r>
      <w:proofErr w:type="spellStart"/>
      <w:r w:rsidRPr="00674D68">
        <w:rPr>
          <w:i/>
          <w:szCs w:val="24"/>
          <w:lang w:val="bg-BG"/>
        </w:rPr>
        <w:t>Пелисие</w:t>
      </w:r>
      <w:proofErr w:type="spellEnd"/>
      <w:r w:rsidRPr="00666B37">
        <w:rPr>
          <w:i/>
          <w:szCs w:val="24"/>
          <w:lang w:val="bg-BG"/>
        </w:rPr>
        <w:t xml:space="preserve"> и </w:t>
      </w:r>
      <w:proofErr w:type="spellStart"/>
      <w:r w:rsidRPr="00666B37">
        <w:rPr>
          <w:i/>
          <w:szCs w:val="24"/>
          <w:lang w:val="bg-BG"/>
        </w:rPr>
        <w:t>Саси</w:t>
      </w:r>
      <w:proofErr w:type="spellEnd"/>
      <w:r w:rsidRPr="00666B37">
        <w:rPr>
          <w:i/>
          <w:szCs w:val="24"/>
          <w:lang w:val="bg-BG"/>
        </w:rPr>
        <w:t xml:space="preserve"> срещу Франция</w:t>
      </w:r>
      <w:r w:rsidRPr="00666B37">
        <w:rPr>
          <w:szCs w:val="24"/>
          <w:lang w:val="bg-BG"/>
        </w:rPr>
        <w:t xml:space="preserve"> [ГК], № 25444/94, § 67, ЕСПЧ 1999-II).</w:t>
      </w:r>
    </w:p>
    <w:p w:rsidR="005A2345" w:rsidRPr="00666B37" w:rsidRDefault="005A2345">
      <w:pPr>
        <w:pStyle w:val="a0"/>
        <w:rPr>
          <w:i/>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13</w:t>
      </w:r>
      <w:r w:rsidRPr="00666B37">
        <w:rPr>
          <w:szCs w:val="24"/>
          <w:lang w:val="bg-BG"/>
        </w:rPr>
        <w:fldChar w:fldCharType="end"/>
      </w:r>
      <w:r w:rsidR="008033F1">
        <w:rPr>
          <w:szCs w:val="24"/>
          <w:lang w:val="bg-BG"/>
        </w:rPr>
        <w:t xml:space="preserve">. </w:t>
      </w:r>
      <w:r w:rsidRPr="00666B37">
        <w:rPr>
          <w:rStyle w:val="hps"/>
          <w:szCs w:val="24"/>
          <w:lang w:val="bg-BG"/>
        </w:rPr>
        <w:t>Съдът</w:t>
      </w:r>
      <w:r w:rsidRPr="00666B37">
        <w:rPr>
          <w:szCs w:val="24"/>
          <w:lang w:val="bg-BG"/>
        </w:rPr>
        <w:t xml:space="preserve"> </w:t>
      </w:r>
      <w:r w:rsidRPr="00666B37">
        <w:rPr>
          <w:rStyle w:val="hps"/>
          <w:szCs w:val="24"/>
          <w:lang w:val="bg-BG"/>
        </w:rPr>
        <w:t>често е установявал</w:t>
      </w:r>
      <w:r w:rsidRPr="00666B37">
        <w:rPr>
          <w:szCs w:val="24"/>
          <w:lang w:val="bg-BG"/>
        </w:rPr>
        <w:t xml:space="preserve"> наличието на </w:t>
      </w:r>
      <w:r w:rsidRPr="00666B37">
        <w:rPr>
          <w:rStyle w:val="hps"/>
          <w:szCs w:val="24"/>
          <w:lang w:val="bg-BG"/>
        </w:rPr>
        <w:t>нарушения на</w:t>
      </w:r>
      <w:r w:rsidRPr="00666B37">
        <w:rPr>
          <w:szCs w:val="24"/>
          <w:lang w:val="bg-BG"/>
        </w:rPr>
        <w:t xml:space="preserve"> </w:t>
      </w:r>
      <w:r w:rsidRPr="00666B37">
        <w:rPr>
          <w:rStyle w:val="hps"/>
          <w:szCs w:val="24"/>
          <w:lang w:val="bg-BG"/>
        </w:rPr>
        <w:t>чл.</w:t>
      </w:r>
      <w:r w:rsidRPr="00666B37">
        <w:rPr>
          <w:szCs w:val="24"/>
          <w:lang w:val="bg-BG"/>
        </w:rPr>
        <w:t xml:space="preserve"> </w:t>
      </w:r>
      <w:r w:rsidRPr="00666B37">
        <w:rPr>
          <w:rStyle w:val="hps"/>
          <w:szCs w:val="24"/>
          <w:lang w:val="bg-BG"/>
        </w:rPr>
        <w:t>6</w:t>
      </w:r>
      <w:r w:rsidRPr="00666B37">
        <w:rPr>
          <w:szCs w:val="24"/>
          <w:lang w:val="bg-BG"/>
        </w:rPr>
        <w:t xml:space="preserve">, ал. </w:t>
      </w:r>
      <w:r w:rsidRPr="00666B37">
        <w:rPr>
          <w:rStyle w:val="hps"/>
          <w:szCs w:val="24"/>
          <w:lang w:val="bg-BG"/>
        </w:rPr>
        <w:t>1 от Конвенцията</w:t>
      </w:r>
      <w:r w:rsidRPr="00666B37">
        <w:rPr>
          <w:szCs w:val="24"/>
          <w:lang w:val="bg-BG"/>
        </w:rPr>
        <w:t xml:space="preserve"> </w:t>
      </w:r>
      <w:r w:rsidRPr="00666B37">
        <w:rPr>
          <w:rStyle w:val="hps"/>
          <w:szCs w:val="24"/>
          <w:lang w:val="bg-BG"/>
        </w:rPr>
        <w:t>по дела,</w:t>
      </w:r>
      <w:r w:rsidRPr="00666B37">
        <w:rPr>
          <w:szCs w:val="24"/>
          <w:lang w:val="bg-BG"/>
        </w:rPr>
        <w:t xml:space="preserve"> </w:t>
      </w:r>
      <w:r w:rsidRPr="00666B37">
        <w:rPr>
          <w:rStyle w:val="hps"/>
          <w:szCs w:val="24"/>
          <w:lang w:val="bg-BG"/>
        </w:rPr>
        <w:t>повдигащи въпроси,</w:t>
      </w:r>
      <w:r w:rsidRPr="00666B37">
        <w:rPr>
          <w:szCs w:val="24"/>
          <w:lang w:val="bg-BG"/>
        </w:rPr>
        <w:t xml:space="preserve"> </w:t>
      </w:r>
      <w:r w:rsidR="00674D68">
        <w:rPr>
          <w:rStyle w:val="hps"/>
          <w:szCs w:val="24"/>
          <w:lang w:val="bg-BG"/>
        </w:rPr>
        <w:t xml:space="preserve">сходни с </w:t>
      </w:r>
      <w:r w:rsidRPr="00666B37">
        <w:rPr>
          <w:rStyle w:val="hps"/>
          <w:szCs w:val="24"/>
          <w:lang w:val="bg-BG"/>
        </w:rPr>
        <w:t>този по</w:t>
      </w:r>
      <w:r w:rsidRPr="00666B37">
        <w:rPr>
          <w:szCs w:val="24"/>
          <w:lang w:val="bg-BG"/>
        </w:rPr>
        <w:t xml:space="preserve"> </w:t>
      </w:r>
      <w:r w:rsidRPr="00666B37">
        <w:rPr>
          <w:rStyle w:val="hps"/>
          <w:szCs w:val="24"/>
          <w:lang w:val="bg-BG"/>
        </w:rPr>
        <w:t>настоящото дело (</w:t>
      </w:r>
      <w:r w:rsidRPr="00666B37">
        <w:rPr>
          <w:szCs w:val="24"/>
          <w:lang w:val="bg-BG"/>
        </w:rPr>
        <w:t>вж., наред с много други източници</w:t>
      </w:r>
      <w:r w:rsidR="00674D68">
        <w:rPr>
          <w:szCs w:val="24"/>
          <w:lang w:val="bg-BG"/>
        </w:rPr>
        <w:t>,</w:t>
      </w:r>
      <w:r w:rsidRPr="00666B37">
        <w:rPr>
          <w:szCs w:val="24"/>
          <w:lang w:val="bg-BG"/>
        </w:rPr>
        <w:t xml:space="preserve"> Я</w:t>
      </w:r>
      <w:r w:rsidRPr="00666B37">
        <w:rPr>
          <w:i/>
          <w:szCs w:val="24"/>
          <w:lang w:val="bg-BG"/>
        </w:rPr>
        <w:t>нков и Манчев срещу България</w:t>
      </w:r>
      <w:r w:rsidRPr="00666B37">
        <w:rPr>
          <w:szCs w:val="24"/>
          <w:lang w:val="bg-BG"/>
        </w:rPr>
        <w:t>, № № 27207/04 и 15614/05, §§ 17</w:t>
      </w:r>
      <w:r w:rsidR="00674D68">
        <w:rPr>
          <w:szCs w:val="24"/>
          <w:lang w:val="bg-BG"/>
        </w:rPr>
        <w:t xml:space="preserve"> – </w:t>
      </w:r>
      <w:r w:rsidRPr="00666B37">
        <w:rPr>
          <w:szCs w:val="24"/>
          <w:lang w:val="bg-BG"/>
        </w:rPr>
        <w:t xml:space="preserve">26, 22 октомври 2009 г.; и </w:t>
      </w:r>
      <w:r w:rsidRPr="00666B37">
        <w:rPr>
          <w:i/>
          <w:szCs w:val="24"/>
          <w:lang w:val="bg-BG"/>
        </w:rPr>
        <w:t>Стефанов и Юруков</w:t>
      </w:r>
      <w:r w:rsidR="00674D68">
        <w:rPr>
          <w:i/>
          <w:szCs w:val="24"/>
          <w:lang w:val="bg-BG"/>
        </w:rPr>
        <w:t xml:space="preserve"> </w:t>
      </w:r>
      <w:r w:rsidR="00674D68" w:rsidRPr="00666B37">
        <w:rPr>
          <w:i/>
          <w:szCs w:val="24"/>
          <w:lang w:val="bg-BG"/>
        </w:rPr>
        <w:t>срещу България</w:t>
      </w:r>
      <w:r w:rsidR="00674D68">
        <w:rPr>
          <w:i/>
          <w:szCs w:val="24"/>
          <w:lang w:val="bg-BG"/>
        </w:rPr>
        <w:t>,</w:t>
      </w:r>
      <w:r w:rsidRPr="00666B37">
        <w:rPr>
          <w:i/>
          <w:szCs w:val="24"/>
          <w:lang w:val="bg-BG"/>
        </w:rPr>
        <w:t xml:space="preserve"> </w:t>
      </w:r>
      <w:r w:rsidRPr="00666B37">
        <w:rPr>
          <w:szCs w:val="24"/>
          <w:lang w:val="bg-BG"/>
        </w:rPr>
        <w:t>№ 25382/04, § 17, 1 април 2010</w:t>
      </w:r>
      <w:r w:rsidR="008033F1">
        <w:rPr>
          <w:szCs w:val="24"/>
          <w:lang w:val="bg-BG"/>
        </w:rPr>
        <w:t xml:space="preserve"> </w:t>
      </w:r>
      <w:r w:rsidR="00674D68">
        <w:rPr>
          <w:szCs w:val="24"/>
          <w:lang w:val="bg-BG"/>
        </w:rPr>
        <w:t>г.</w:t>
      </w:r>
      <w:r w:rsidRPr="00666B37">
        <w:rPr>
          <w:rStyle w:val="hps"/>
          <w:szCs w:val="24"/>
          <w:lang w:val="bg-BG"/>
        </w:rPr>
        <w:t>)</w:t>
      </w:r>
      <w:r w:rsidRPr="00666B37">
        <w:rPr>
          <w:szCs w:val="24"/>
          <w:lang w:val="bg-BG"/>
        </w:rPr>
        <w:t>. Настоящото дело не е сложно</w:t>
      </w:r>
      <w:r w:rsidR="00674D68">
        <w:rPr>
          <w:szCs w:val="24"/>
          <w:lang w:val="bg-BG"/>
        </w:rPr>
        <w:t xml:space="preserve"> и </w:t>
      </w:r>
      <w:r w:rsidRPr="00666B37">
        <w:rPr>
          <w:szCs w:val="24"/>
          <w:lang w:val="bg-BG"/>
        </w:rPr>
        <w:t xml:space="preserve">няма основание да се смята, че забавянето на производството е по вина на жалбоподателите. Основната причина, поради която обвиненията срещу тях не са били окончателно формулирани за такъв дълъг период, е фактът, че от м. октомври 1994 </w:t>
      </w:r>
      <w:r w:rsidR="00674D68">
        <w:rPr>
          <w:szCs w:val="24"/>
          <w:lang w:val="bg-BG"/>
        </w:rPr>
        <w:t>г. до</w:t>
      </w:r>
      <w:r w:rsidRPr="00666B37">
        <w:rPr>
          <w:szCs w:val="24"/>
          <w:lang w:val="bg-BG"/>
        </w:rPr>
        <w:t xml:space="preserve"> м. юли 2002 г. по делото няма движение (вж. параграфи 5 и 6 по-горе). Правителството не е представило каквото и да е обяснение за този период.</w:t>
      </w:r>
    </w:p>
    <w:p w:rsidR="005A2345" w:rsidRPr="00666B37" w:rsidRDefault="005A2345">
      <w:pPr>
        <w:pStyle w:val="a0"/>
        <w:rPr>
          <w:color w:val="000000"/>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14</w:t>
      </w:r>
      <w:r w:rsidRPr="00666B37">
        <w:rPr>
          <w:szCs w:val="24"/>
          <w:lang w:val="bg-BG"/>
        </w:rPr>
        <w:fldChar w:fldCharType="end"/>
      </w:r>
      <w:r w:rsidR="001251F5">
        <w:rPr>
          <w:szCs w:val="24"/>
          <w:lang w:val="bg-BG"/>
        </w:rPr>
        <w:t xml:space="preserve">. </w:t>
      </w:r>
      <w:r w:rsidRPr="00666B37">
        <w:rPr>
          <w:rStyle w:val="hps"/>
          <w:szCs w:val="24"/>
          <w:lang w:val="bg-BG"/>
        </w:rPr>
        <w:t>Като</w:t>
      </w:r>
      <w:r w:rsidRPr="00666B37">
        <w:rPr>
          <w:szCs w:val="24"/>
          <w:lang w:val="bg-BG"/>
        </w:rPr>
        <w:t xml:space="preserve"> </w:t>
      </w:r>
      <w:r w:rsidRPr="00666B37">
        <w:rPr>
          <w:rStyle w:val="hps"/>
          <w:szCs w:val="24"/>
          <w:lang w:val="bg-BG"/>
        </w:rPr>
        <w:t>взе предвид гореизложените съображения и своята</w:t>
      </w:r>
      <w:r w:rsidRPr="00666B37">
        <w:rPr>
          <w:szCs w:val="24"/>
          <w:lang w:val="bg-BG"/>
        </w:rPr>
        <w:t xml:space="preserve"> </w:t>
      </w:r>
      <w:r w:rsidR="00674D68">
        <w:rPr>
          <w:rStyle w:val="hps"/>
          <w:szCs w:val="24"/>
          <w:lang w:val="bg-BG"/>
        </w:rPr>
        <w:t>установена</w:t>
      </w:r>
      <w:r w:rsidRPr="00666B37">
        <w:rPr>
          <w:rStyle w:val="hps"/>
          <w:szCs w:val="24"/>
          <w:lang w:val="bg-BG"/>
        </w:rPr>
        <w:t xml:space="preserve"> практика</w:t>
      </w:r>
      <w:r w:rsidRPr="00666B37">
        <w:rPr>
          <w:szCs w:val="24"/>
          <w:lang w:val="bg-BG"/>
        </w:rPr>
        <w:t xml:space="preserve"> </w:t>
      </w:r>
      <w:r w:rsidRPr="00666B37">
        <w:rPr>
          <w:rStyle w:val="hps"/>
          <w:szCs w:val="24"/>
          <w:lang w:val="bg-BG"/>
        </w:rPr>
        <w:t>по този въпрос,</w:t>
      </w:r>
      <w:r w:rsidRPr="00666B37">
        <w:rPr>
          <w:szCs w:val="24"/>
          <w:lang w:val="bg-BG"/>
        </w:rPr>
        <w:t xml:space="preserve"> </w:t>
      </w:r>
      <w:r w:rsidRPr="00666B37">
        <w:rPr>
          <w:rStyle w:val="hps"/>
          <w:szCs w:val="24"/>
          <w:lang w:val="bg-BG"/>
        </w:rPr>
        <w:t>Съдът счита</w:t>
      </w:r>
      <w:r w:rsidRPr="00666B37">
        <w:rPr>
          <w:szCs w:val="24"/>
          <w:lang w:val="bg-BG"/>
        </w:rPr>
        <w:t xml:space="preserve">, че </w:t>
      </w:r>
      <w:r w:rsidRPr="00666B37">
        <w:rPr>
          <w:rStyle w:val="hps"/>
          <w:szCs w:val="24"/>
          <w:lang w:val="bg-BG"/>
        </w:rPr>
        <w:t>продължителността</w:t>
      </w:r>
      <w:r w:rsidRPr="00666B37">
        <w:rPr>
          <w:szCs w:val="24"/>
          <w:lang w:val="bg-BG"/>
        </w:rPr>
        <w:t xml:space="preserve"> </w:t>
      </w:r>
      <w:r w:rsidRPr="00666B37">
        <w:rPr>
          <w:rStyle w:val="hps"/>
          <w:szCs w:val="24"/>
          <w:lang w:val="bg-BG"/>
        </w:rPr>
        <w:t>на</w:t>
      </w:r>
      <w:r w:rsidRPr="00666B37">
        <w:rPr>
          <w:szCs w:val="24"/>
          <w:lang w:val="bg-BG"/>
        </w:rPr>
        <w:t xml:space="preserve"> </w:t>
      </w:r>
      <w:r w:rsidRPr="00666B37">
        <w:rPr>
          <w:rStyle w:val="hps"/>
          <w:szCs w:val="24"/>
          <w:lang w:val="bg-BG"/>
        </w:rPr>
        <w:t>производството срещу жалбоподателите е прекомерна</w:t>
      </w:r>
      <w:r w:rsidRPr="00666B37">
        <w:rPr>
          <w:szCs w:val="24"/>
          <w:lang w:val="bg-BG"/>
        </w:rPr>
        <w:t xml:space="preserve"> </w:t>
      </w:r>
      <w:r w:rsidRPr="00666B37">
        <w:rPr>
          <w:rStyle w:val="hps"/>
          <w:szCs w:val="24"/>
          <w:lang w:val="bg-BG"/>
        </w:rPr>
        <w:t>и не отговаря</w:t>
      </w:r>
      <w:r w:rsidRPr="00666B37">
        <w:rPr>
          <w:szCs w:val="24"/>
          <w:lang w:val="bg-BG"/>
        </w:rPr>
        <w:t xml:space="preserve"> на изискването </w:t>
      </w:r>
      <w:r w:rsidRPr="00666B37">
        <w:rPr>
          <w:rStyle w:val="hps"/>
          <w:szCs w:val="24"/>
          <w:lang w:val="bg-BG"/>
        </w:rPr>
        <w:t>за „разумен</w:t>
      </w:r>
      <w:r w:rsidRPr="00666B37">
        <w:rPr>
          <w:szCs w:val="24"/>
          <w:lang w:val="bg-BG"/>
        </w:rPr>
        <w:t xml:space="preserve"> </w:t>
      </w:r>
      <w:r w:rsidRPr="00666B37">
        <w:rPr>
          <w:rStyle w:val="hps"/>
          <w:szCs w:val="24"/>
          <w:lang w:val="bg-BG"/>
        </w:rPr>
        <w:t>срок”.</w:t>
      </w:r>
    </w:p>
    <w:p w:rsidR="005A2345" w:rsidRPr="00666B37" w:rsidRDefault="005A2345">
      <w:pPr>
        <w:pStyle w:val="a0"/>
        <w:rPr>
          <w:szCs w:val="24"/>
          <w:lang w:val="bg-BG"/>
        </w:rPr>
      </w:pPr>
      <w:r w:rsidRPr="00666B37">
        <w:rPr>
          <w:color w:val="000000"/>
          <w:szCs w:val="24"/>
          <w:lang w:val="bg-BG"/>
        </w:rPr>
        <w:fldChar w:fldCharType="begin"/>
      </w:r>
      <w:r w:rsidRPr="00666B37">
        <w:rPr>
          <w:color w:val="000000"/>
          <w:szCs w:val="24"/>
          <w:lang w:val="bg-BG"/>
        </w:rPr>
        <w:instrText xml:space="preserve"> SEQ level0 \*arabic </w:instrText>
      </w:r>
      <w:r w:rsidRPr="00666B37">
        <w:rPr>
          <w:color w:val="000000"/>
          <w:szCs w:val="24"/>
          <w:lang w:val="bg-BG"/>
        </w:rPr>
        <w:fldChar w:fldCharType="separate"/>
      </w:r>
      <w:r w:rsidRPr="00666B37">
        <w:rPr>
          <w:color w:val="000000"/>
          <w:szCs w:val="24"/>
          <w:lang w:val="bg-BG"/>
        </w:rPr>
        <w:t>15</w:t>
      </w:r>
      <w:r w:rsidRPr="00666B37">
        <w:rPr>
          <w:color w:val="000000"/>
          <w:szCs w:val="24"/>
          <w:lang w:val="bg-BG"/>
        </w:rPr>
        <w:fldChar w:fldCharType="end"/>
      </w:r>
      <w:r w:rsidR="001251F5">
        <w:rPr>
          <w:color w:val="000000"/>
          <w:szCs w:val="24"/>
          <w:lang w:val="bg-BG"/>
        </w:rPr>
        <w:t xml:space="preserve">. </w:t>
      </w:r>
      <w:r w:rsidRPr="00666B37">
        <w:rPr>
          <w:color w:val="000000"/>
          <w:szCs w:val="24"/>
          <w:lang w:val="bg-BG"/>
        </w:rPr>
        <w:t>Ето защо е налице нарушение на чл. 6, ал. 1 от Конвенцията.</w:t>
      </w:r>
    </w:p>
    <w:p w:rsidR="005A2345" w:rsidRPr="00666B37" w:rsidRDefault="005A2345">
      <w:pPr>
        <w:pStyle w:val="a"/>
        <w:rPr>
          <w:szCs w:val="24"/>
          <w:lang w:val="bg-BG"/>
        </w:rPr>
      </w:pPr>
      <w:r w:rsidRPr="00666B37">
        <w:rPr>
          <w:szCs w:val="24"/>
          <w:lang w:val="bg-BG"/>
        </w:rPr>
        <w:t>I. ТВЪРДЯНО НАРУШЕНИЕ НА ЧЛ. 13 ОТ КОНВЕНЦИЯТА</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16</w:t>
      </w:r>
      <w:r w:rsidRPr="00666B37">
        <w:rPr>
          <w:szCs w:val="24"/>
          <w:lang w:val="bg-BG"/>
        </w:rPr>
        <w:fldChar w:fldCharType="end"/>
      </w:r>
      <w:r w:rsidR="001251F5">
        <w:rPr>
          <w:szCs w:val="24"/>
          <w:lang w:val="bg-BG"/>
        </w:rPr>
        <w:t xml:space="preserve">. </w:t>
      </w:r>
      <w:r w:rsidRPr="00666B37">
        <w:rPr>
          <w:szCs w:val="24"/>
          <w:lang w:val="bg-BG"/>
        </w:rPr>
        <w:t>По-нататък жалбоподателите се оплакват относно липсата на ефикасни средства за правна защита по отношение на прекомерната продължителност на производството срещу тях. Те се позовават на чл. 13 от Конвенцията, който гласи:</w:t>
      </w:r>
    </w:p>
    <w:p w:rsidR="005A2345" w:rsidRPr="00666B37" w:rsidRDefault="005A2345">
      <w:pPr>
        <w:pStyle w:val="JuQuot"/>
        <w:rPr>
          <w:szCs w:val="24"/>
          <w:lang w:val="bg-BG"/>
        </w:rPr>
      </w:pPr>
      <w:r w:rsidRPr="00666B37">
        <w:rPr>
          <w:szCs w:val="24"/>
          <w:lang w:val="bg-BG"/>
        </w:rPr>
        <w:t>„</w:t>
      </w:r>
      <w:proofErr w:type="spellStart"/>
      <w:r w:rsidRPr="00666B37">
        <w:rPr>
          <w:szCs w:val="24"/>
          <w:lang w:val="bg-BG"/>
        </w:rPr>
        <w:t>Βсеки</w:t>
      </w:r>
      <w:proofErr w:type="spellEnd"/>
      <w:r w:rsidRPr="00666B37">
        <w:rPr>
          <w:szCs w:val="24"/>
          <w:lang w:val="bg-BG"/>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5A2345" w:rsidRPr="00666B37" w:rsidRDefault="005A2345" w:rsidP="001251F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17</w:t>
      </w:r>
      <w:r w:rsidRPr="00666B37">
        <w:rPr>
          <w:szCs w:val="24"/>
          <w:lang w:val="bg-BG"/>
        </w:rPr>
        <w:fldChar w:fldCharType="end"/>
      </w:r>
      <w:r w:rsidRPr="00666B37">
        <w:rPr>
          <w:szCs w:val="24"/>
          <w:lang w:val="bg-BG"/>
        </w:rPr>
        <w:t xml:space="preserve">.  Правителството не </w:t>
      </w:r>
      <w:r w:rsidR="00674D68">
        <w:rPr>
          <w:szCs w:val="24"/>
          <w:lang w:val="bg-BG"/>
        </w:rPr>
        <w:t xml:space="preserve">е представило </w:t>
      </w:r>
      <w:r w:rsidRPr="00666B37">
        <w:rPr>
          <w:szCs w:val="24"/>
          <w:lang w:val="bg-BG"/>
        </w:rPr>
        <w:t>коментар.</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18</w:t>
      </w:r>
      <w:r w:rsidRPr="00666B37">
        <w:rPr>
          <w:szCs w:val="24"/>
          <w:lang w:val="bg-BG"/>
        </w:rPr>
        <w:fldChar w:fldCharType="end"/>
      </w:r>
      <w:r w:rsidRPr="00666B37">
        <w:rPr>
          <w:szCs w:val="24"/>
          <w:lang w:val="bg-BG"/>
        </w:rPr>
        <w:t>.  Съдът отбелязва, че настоящото оплакване е във връзка с оплакването, разгледано по-горе</w:t>
      </w:r>
      <w:r w:rsidR="00674D68">
        <w:rPr>
          <w:szCs w:val="24"/>
          <w:lang w:val="bg-BG"/>
        </w:rPr>
        <w:t>,</w:t>
      </w:r>
      <w:r w:rsidRPr="00666B37">
        <w:rPr>
          <w:szCs w:val="24"/>
          <w:lang w:val="bg-BG"/>
        </w:rPr>
        <w:t xml:space="preserve"> и следователно трябва да бъде обявено за допустимо.</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19</w:t>
      </w:r>
      <w:r w:rsidRPr="00666B37">
        <w:rPr>
          <w:szCs w:val="24"/>
          <w:lang w:val="bg-BG"/>
        </w:rPr>
        <w:fldChar w:fldCharType="end"/>
      </w:r>
      <w:r w:rsidRPr="00666B37">
        <w:rPr>
          <w:szCs w:val="24"/>
          <w:lang w:val="bg-BG"/>
        </w:rPr>
        <w:t xml:space="preserve">.  Съдът отново напомня, че член 13 гарантира ефикасни правни средства за защита пред съответните национални власти за твърдяно нарушение на изискването по чл. 6, ал. 1 делото да бъде разгледано в разумен срок (вж. </w:t>
      </w:r>
      <w:proofErr w:type="spellStart"/>
      <w:r w:rsidRPr="00666B37">
        <w:rPr>
          <w:rStyle w:val="ju-005fpara--char"/>
          <w:i/>
          <w:szCs w:val="24"/>
          <w:lang w:val="bg-BG"/>
        </w:rPr>
        <w:t>Кудла</w:t>
      </w:r>
      <w:proofErr w:type="spellEnd"/>
      <w:r w:rsidRPr="00666B37">
        <w:rPr>
          <w:rStyle w:val="ju-005fpara--char"/>
          <w:i/>
          <w:szCs w:val="24"/>
          <w:lang w:val="bg-BG"/>
        </w:rPr>
        <w:t xml:space="preserve"> срещу Полша</w:t>
      </w:r>
      <w:r w:rsidR="00674D68">
        <w:rPr>
          <w:rStyle w:val="ju-005fpara--char"/>
          <w:i/>
          <w:szCs w:val="24"/>
          <w:lang w:val="bg-BG"/>
        </w:rPr>
        <w:t xml:space="preserve"> (</w:t>
      </w:r>
      <w:proofErr w:type="spellStart"/>
      <w:r w:rsidRPr="00666B37">
        <w:rPr>
          <w:rStyle w:val="ju-005fpara--char"/>
          <w:i/>
          <w:szCs w:val="24"/>
          <w:lang w:val="bg-BG"/>
        </w:rPr>
        <w:t>Kudła</w:t>
      </w:r>
      <w:proofErr w:type="spellEnd"/>
      <w:r w:rsidRPr="00666B37">
        <w:rPr>
          <w:rStyle w:val="ju-005fpara--char"/>
          <w:i/>
          <w:szCs w:val="24"/>
          <w:lang w:val="bg-BG"/>
        </w:rPr>
        <w:t xml:space="preserve"> v. </w:t>
      </w:r>
      <w:proofErr w:type="spellStart"/>
      <w:r w:rsidRPr="00666B37">
        <w:rPr>
          <w:rStyle w:val="ju-005fpara--char"/>
          <w:i/>
          <w:szCs w:val="24"/>
          <w:lang w:val="bg-BG"/>
        </w:rPr>
        <w:t>Poland</w:t>
      </w:r>
      <w:proofErr w:type="spellEnd"/>
      <w:r w:rsidR="00674D68">
        <w:rPr>
          <w:rStyle w:val="ju-005fpara--char"/>
          <w:i/>
          <w:szCs w:val="24"/>
          <w:lang w:val="bg-BG"/>
        </w:rPr>
        <w:t>)</w:t>
      </w:r>
      <w:r w:rsidR="00674D68">
        <w:rPr>
          <w:szCs w:val="24"/>
          <w:lang w:val="bg-BG"/>
        </w:rPr>
        <w:t xml:space="preserve"> [</w:t>
      </w:r>
      <w:r w:rsidRPr="00666B37">
        <w:rPr>
          <w:szCs w:val="24"/>
          <w:lang w:val="bg-BG"/>
        </w:rPr>
        <w:t>Г</w:t>
      </w:r>
      <w:r w:rsidR="00674D68">
        <w:rPr>
          <w:szCs w:val="24"/>
          <w:lang w:val="bg-BG"/>
        </w:rPr>
        <w:t>К</w:t>
      </w:r>
      <w:r w:rsidRPr="00666B37">
        <w:rPr>
          <w:szCs w:val="24"/>
          <w:lang w:val="bg-BG"/>
        </w:rPr>
        <w:t xml:space="preserve">], № </w:t>
      </w:r>
      <w:r w:rsidRPr="00666B37">
        <w:rPr>
          <w:szCs w:val="24"/>
          <w:lang w:val="bg-BG"/>
        </w:rPr>
        <w:lastRenderedPageBreak/>
        <w:t>30210/96, § 156, ЕСПЧ 2000-XI). Като се позовава на мотивите си по други решения срещу България, където намира, че за съответния период и при сходни обстоятелства българското право не предоставя ефикасни правни средства за защита (вж. например</w:t>
      </w:r>
      <w:r w:rsidR="007C7594">
        <w:rPr>
          <w:szCs w:val="24"/>
          <w:lang w:val="bg-BG"/>
        </w:rPr>
        <w:t>:</w:t>
      </w:r>
      <w:r w:rsidRPr="00666B37">
        <w:rPr>
          <w:szCs w:val="24"/>
          <w:lang w:val="bg-BG"/>
        </w:rPr>
        <w:t xml:space="preserve"> </w:t>
      </w:r>
      <w:proofErr w:type="spellStart"/>
      <w:r w:rsidRPr="00666B37">
        <w:rPr>
          <w:i/>
          <w:szCs w:val="24"/>
          <w:lang w:val="bg-BG"/>
        </w:rPr>
        <w:t>Сиджимов</w:t>
      </w:r>
      <w:proofErr w:type="spellEnd"/>
      <w:r w:rsidRPr="00666B37">
        <w:rPr>
          <w:i/>
          <w:szCs w:val="24"/>
          <w:lang w:val="bg-BG"/>
        </w:rPr>
        <w:t xml:space="preserve"> срещу </w:t>
      </w:r>
      <w:proofErr w:type="spellStart"/>
      <w:r w:rsidRPr="00666B37">
        <w:rPr>
          <w:i/>
          <w:szCs w:val="24"/>
          <w:lang w:val="bg-BG"/>
        </w:rPr>
        <w:t>Българияa</w:t>
      </w:r>
      <w:proofErr w:type="spellEnd"/>
      <w:r w:rsidRPr="00666B37">
        <w:rPr>
          <w:szCs w:val="24"/>
          <w:lang w:val="bg-BG"/>
        </w:rPr>
        <w:t>, №  55057/00, § 40</w:t>
      </w:r>
      <w:r w:rsidR="00674D68">
        <w:rPr>
          <w:szCs w:val="24"/>
          <w:lang w:val="bg-BG"/>
        </w:rPr>
        <w:t xml:space="preserve"> – </w:t>
      </w:r>
      <w:r w:rsidRPr="00666B37">
        <w:rPr>
          <w:szCs w:val="24"/>
          <w:lang w:val="bg-BG"/>
        </w:rPr>
        <w:t xml:space="preserve">43, 27 януари 2005 г.; и </w:t>
      </w:r>
      <w:r w:rsidRPr="00666B37">
        <w:rPr>
          <w:i/>
          <w:szCs w:val="24"/>
          <w:lang w:val="bg-BG"/>
        </w:rPr>
        <w:t>Янков и Манчев срещу България</w:t>
      </w:r>
      <w:r w:rsidRPr="00666B37">
        <w:rPr>
          <w:szCs w:val="24"/>
          <w:lang w:val="bg-BG"/>
        </w:rPr>
        <w:t>, цитирани по-горе, §§ 32</w:t>
      </w:r>
      <w:r w:rsidR="007C7594">
        <w:rPr>
          <w:szCs w:val="24"/>
          <w:lang w:val="bg-BG"/>
        </w:rPr>
        <w:t xml:space="preserve"> – </w:t>
      </w:r>
      <w:r w:rsidRPr="00666B37">
        <w:rPr>
          <w:szCs w:val="24"/>
          <w:lang w:val="bg-BG"/>
        </w:rPr>
        <w:t>34), Съдът не вижда причина да достигне до различно заключение по настоящото дело.</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20</w:t>
      </w:r>
      <w:r w:rsidRPr="00666B37">
        <w:rPr>
          <w:szCs w:val="24"/>
          <w:lang w:val="bg-BG"/>
        </w:rPr>
        <w:fldChar w:fldCharType="end"/>
      </w:r>
      <w:r w:rsidRPr="00666B37">
        <w:rPr>
          <w:szCs w:val="24"/>
          <w:lang w:val="bg-BG"/>
        </w:rPr>
        <w:t>.  </w:t>
      </w:r>
      <w:r w:rsidRPr="007C7594">
        <w:rPr>
          <w:szCs w:val="24"/>
          <w:lang w:val="bg-BG"/>
        </w:rPr>
        <w:t>В този смисъл</w:t>
      </w:r>
      <w:r w:rsidRPr="00666B37">
        <w:rPr>
          <w:szCs w:val="24"/>
          <w:lang w:val="bg-BG"/>
        </w:rPr>
        <w:t xml:space="preserve"> е налице нар</w:t>
      </w:r>
      <w:r w:rsidR="007C7594">
        <w:rPr>
          <w:szCs w:val="24"/>
          <w:lang w:val="bg-BG"/>
        </w:rPr>
        <w:t>ушение на чл. 13 от Конвенцията.</w:t>
      </w:r>
    </w:p>
    <w:p w:rsidR="005A2345" w:rsidRPr="00666B37" w:rsidRDefault="005A2345">
      <w:pPr>
        <w:pStyle w:val="a"/>
        <w:rPr>
          <w:szCs w:val="24"/>
          <w:lang w:val="bg-BG"/>
        </w:rPr>
      </w:pPr>
      <w:r w:rsidRPr="00666B37">
        <w:rPr>
          <w:szCs w:val="24"/>
          <w:lang w:val="bg-BG"/>
        </w:rPr>
        <w:t>IV. ПРИЛОЖЕНИЕ НА ЧЛ. 41 ОТ КОНВЕНЦИЯТА</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21</w:t>
      </w:r>
      <w:r w:rsidRPr="00666B37">
        <w:rPr>
          <w:szCs w:val="24"/>
          <w:lang w:val="bg-BG"/>
        </w:rPr>
        <w:fldChar w:fldCharType="end"/>
      </w:r>
      <w:r w:rsidRPr="00666B37">
        <w:rPr>
          <w:szCs w:val="24"/>
          <w:lang w:val="bg-BG"/>
        </w:rPr>
        <w:t>.  Член 41 от Конвенцията гласи:</w:t>
      </w:r>
    </w:p>
    <w:p w:rsidR="005A2345" w:rsidRPr="00666B37" w:rsidRDefault="005A2345">
      <w:pPr>
        <w:pStyle w:val="JuQuot"/>
        <w:keepNext/>
        <w:keepLines/>
        <w:rPr>
          <w:szCs w:val="24"/>
          <w:lang w:val="bg-BG"/>
        </w:rPr>
      </w:pPr>
      <w:r w:rsidRPr="00666B37">
        <w:rPr>
          <w:szCs w:val="24"/>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Pr="00666B37">
        <w:rPr>
          <w:szCs w:val="24"/>
          <w:lang w:val="bg-BG"/>
        </w:rPr>
        <w:t>Βисокодоговаряща</w:t>
      </w:r>
      <w:proofErr w:type="spellEnd"/>
      <w:r w:rsidRPr="00666B37">
        <w:rPr>
          <w:szCs w:val="24"/>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5A2345" w:rsidRPr="00666B37" w:rsidRDefault="005A2345">
      <w:pPr>
        <w:pStyle w:val="JuHA"/>
        <w:keepLines w:val="0"/>
        <w:rPr>
          <w:szCs w:val="24"/>
          <w:lang w:val="bg-BG"/>
        </w:rPr>
      </w:pPr>
      <w:r w:rsidRPr="00666B37">
        <w:rPr>
          <w:szCs w:val="24"/>
          <w:lang w:val="bg-BG"/>
        </w:rPr>
        <w:t>A. Вреди</w:t>
      </w:r>
    </w:p>
    <w:p w:rsidR="005A2345" w:rsidRPr="00666B37" w:rsidRDefault="005A2345" w:rsidP="001251F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22</w:t>
      </w:r>
      <w:r w:rsidRPr="00666B37">
        <w:rPr>
          <w:szCs w:val="24"/>
          <w:lang w:val="bg-BG"/>
        </w:rPr>
        <w:fldChar w:fldCharType="end"/>
      </w:r>
      <w:r w:rsidRPr="00666B37">
        <w:rPr>
          <w:szCs w:val="24"/>
          <w:lang w:val="bg-BG"/>
        </w:rPr>
        <w:t>.  Жалбоподателите претендират 20 000 евро (EUR) за неимуществени вреди, претърпени в резултат на прекомерната продължителност на производството срещу тях.</w:t>
      </w:r>
      <w:r w:rsidR="001251F5">
        <w:rPr>
          <w:szCs w:val="24"/>
          <w:lang w:val="bg-BG"/>
        </w:rPr>
        <w:t xml:space="preserve"> </w:t>
      </w:r>
      <w:r w:rsidRPr="00666B37">
        <w:rPr>
          <w:szCs w:val="24"/>
          <w:lang w:val="bg-BG"/>
        </w:rPr>
        <w:t xml:space="preserve">Жалбоподателите освен това претендират 6 000 евро (EUR) за неимуществени вреди, претърпени в резултат </w:t>
      </w:r>
      <w:r w:rsidR="007C7594">
        <w:rPr>
          <w:szCs w:val="24"/>
          <w:lang w:val="bg-BG"/>
        </w:rPr>
        <w:t>от</w:t>
      </w:r>
      <w:r w:rsidRPr="00666B37">
        <w:rPr>
          <w:szCs w:val="24"/>
          <w:lang w:val="bg-BG"/>
        </w:rPr>
        <w:t xml:space="preserve"> липсата на ефикасни средства за правна защита срещу прекомерната продължителност на производството.</w:t>
      </w:r>
    </w:p>
    <w:p w:rsidR="005A2345" w:rsidRPr="00666B37" w:rsidRDefault="005A2345" w:rsidP="001251F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23</w:t>
      </w:r>
      <w:r w:rsidRPr="00666B37">
        <w:rPr>
          <w:szCs w:val="24"/>
          <w:lang w:val="bg-BG"/>
        </w:rPr>
        <w:fldChar w:fldCharType="end"/>
      </w:r>
      <w:r w:rsidRPr="00666B37">
        <w:rPr>
          <w:szCs w:val="24"/>
          <w:lang w:val="bg-BG"/>
        </w:rPr>
        <w:t>.  Правителството оспорва тези претенции.</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24</w:t>
      </w:r>
      <w:r w:rsidRPr="00666B37">
        <w:rPr>
          <w:szCs w:val="24"/>
          <w:lang w:val="bg-BG"/>
        </w:rPr>
        <w:fldChar w:fldCharType="end"/>
      </w:r>
      <w:r w:rsidRPr="00666B37">
        <w:rPr>
          <w:szCs w:val="24"/>
          <w:lang w:val="bg-BG"/>
        </w:rPr>
        <w:t xml:space="preserve">.  Съдът счита, че жалбоподателите би трябвало да са претърпели неимуществени вреди в резултат на прекомерната продължителност на производството срещу тях и липсата на ефикасни средства за правна защита в тази връзка. Като взе предвид конкретните обстоятелства и сумите, присъдени по предходни подобни дела, </w:t>
      </w:r>
      <w:r w:rsidR="007C7594">
        <w:rPr>
          <w:szCs w:val="24"/>
          <w:lang w:val="bg-BG"/>
        </w:rPr>
        <w:t>произнасяйки се по справедливост</w:t>
      </w:r>
      <w:r w:rsidRPr="00666B37">
        <w:rPr>
          <w:szCs w:val="24"/>
          <w:lang w:val="bg-BG"/>
        </w:rPr>
        <w:t>, както се изисква по силата на чл. 41 от Конвенцията, Съдът присъжда на всеки от жалбоподателите по 2 500 евро, заедно с всички данъци, които могат да бъдат дължими.</w:t>
      </w:r>
    </w:p>
    <w:p w:rsidR="005A2345" w:rsidRPr="00666B37" w:rsidRDefault="005A2345">
      <w:pPr>
        <w:pStyle w:val="JuHA"/>
        <w:rPr>
          <w:szCs w:val="24"/>
          <w:lang w:val="bg-BG"/>
        </w:rPr>
      </w:pPr>
      <w:r w:rsidRPr="00666B37">
        <w:rPr>
          <w:szCs w:val="24"/>
          <w:lang w:val="bg-BG"/>
        </w:rPr>
        <w:t>Б.  Разноски</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25</w:t>
      </w:r>
      <w:r w:rsidRPr="00666B37">
        <w:rPr>
          <w:szCs w:val="24"/>
          <w:lang w:val="bg-BG"/>
        </w:rPr>
        <w:fldChar w:fldCharType="end"/>
      </w:r>
      <w:r w:rsidRPr="00666B37">
        <w:rPr>
          <w:szCs w:val="24"/>
          <w:lang w:val="bg-BG"/>
        </w:rPr>
        <w:t>.  Жалбоподателите претендират 3 150 евро за адвокатски хонорари в производството пред Съда и 155 евро за други разходи, сред които превод на становищата, пощенски разходи и канцеларски материали. В подкрепа на искането си те представят договор със своите адвокати и почасов график за четиридесет и пет часа</w:t>
      </w:r>
      <w:r w:rsidR="007C7594">
        <w:rPr>
          <w:szCs w:val="24"/>
          <w:lang w:val="bg-BG"/>
        </w:rPr>
        <w:t xml:space="preserve"> правна работа</w:t>
      </w:r>
      <w:r w:rsidRPr="00666B37">
        <w:rPr>
          <w:szCs w:val="24"/>
          <w:lang w:val="bg-BG"/>
        </w:rPr>
        <w:t xml:space="preserve">, при тарифа от 70 евро на час. </w:t>
      </w:r>
      <w:r w:rsidRPr="00666B37">
        <w:rPr>
          <w:color w:val="000000"/>
          <w:szCs w:val="24"/>
          <w:lang w:val="bg-BG"/>
        </w:rPr>
        <w:t xml:space="preserve">Жалбоподателите молят сумата, </w:t>
      </w:r>
      <w:r w:rsidRPr="00666B37">
        <w:rPr>
          <w:color w:val="000000"/>
          <w:szCs w:val="24"/>
          <w:lang w:val="bg-BG"/>
        </w:rPr>
        <w:lastRenderedPageBreak/>
        <w:t>присъдена за разноски по настоящия иск</w:t>
      </w:r>
      <w:r w:rsidR="001F3DDA">
        <w:rPr>
          <w:color w:val="000000"/>
          <w:szCs w:val="24"/>
          <w:lang w:val="bg-BG"/>
        </w:rPr>
        <w:t>,</w:t>
      </w:r>
      <w:r w:rsidRPr="00666B37">
        <w:rPr>
          <w:color w:val="000000"/>
          <w:szCs w:val="24"/>
          <w:lang w:val="bg-BG"/>
        </w:rPr>
        <w:t xml:space="preserve"> да се заплати директно на техните адвокати</w:t>
      </w:r>
      <w:r w:rsidRPr="00666B37">
        <w:rPr>
          <w:szCs w:val="24"/>
          <w:lang w:val="bg-BG"/>
        </w:rPr>
        <w:t xml:space="preserve"> </w:t>
      </w:r>
      <w:r w:rsidR="007C7594">
        <w:rPr>
          <w:szCs w:val="24"/>
          <w:lang w:val="bg-BG"/>
        </w:rPr>
        <w:t xml:space="preserve">– </w:t>
      </w:r>
      <w:r w:rsidRPr="00666B37">
        <w:rPr>
          <w:szCs w:val="24"/>
          <w:lang w:val="bg-BG"/>
        </w:rPr>
        <w:t>г-жа Стефанова и г-н Атанасов</w:t>
      </w:r>
      <w:r w:rsidRPr="00666B37">
        <w:rPr>
          <w:color w:val="000000"/>
          <w:szCs w:val="24"/>
          <w:lang w:val="bg-BG"/>
        </w:rPr>
        <w:t>.</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26</w:t>
      </w:r>
      <w:r w:rsidRPr="00666B37">
        <w:rPr>
          <w:szCs w:val="24"/>
          <w:lang w:val="bg-BG"/>
        </w:rPr>
        <w:fldChar w:fldCharType="end"/>
      </w:r>
      <w:r w:rsidRPr="00666B37">
        <w:rPr>
          <w:szCs w:val="24"/>
          <w:lang w:val="bg-BG"/>
        </w:rPr>
        <w:t>.  Правителството оспорва тези претенции с аргумента, че са прекалено високи.</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27</w:t>
      </w:r>
      <w:r w:rsidRPr="00666B37">
        <w:rPr>
          <w:szCs w:val="24"/>
          <w:lang w:val="bg-BG"/>
        </w:rPr>
        <w:fldChar w:fldCharType="end"/>
      </w:r>
      <w:r w:rsidR="00A72CD5">
        <w:rPr>
          <w:szCs w:val="24"/>
          <w:lang w:val="bg-BG"/>
        </w:rPr>
        <w:t xml:space="preserve">. </w:t>
      </w:r>
      <w:r w:rsidRPr="00666B37">
        <w:rPr>
          <w:szCs w:val="24"/>
          <w:lang w:val="bg-BG"/>
        </w:rPr>
        <w:t xml:space="preserve">Според практиката на Съда жалбоподател има право на възстановяване на разноски само доколкото </w:t>
      </w:r>
      <w:r w:rsidR="007C7594">
        <w:rPr>
          <w:szCs w:val="24"/>
          <w:lang w:val="bg-BG"/>
        </w:rPr>
        <w:t>е доказано</w:t>
      </w:r>
      <w:r w:rsidRPr="00666B37">
        <w:rPr>
          <w:szCs w:val="24"/>
          <w:lang w:val="bg-BG"/>
        </w:rPr>
        <w:t>, че същите са действителн</w:t>
      </w:r>
      <w:r w:rsidR="007C7594">
        <w:rPr>
          <w:szCs w:val="24"/>
          <w:lang w:val="bg-BG"/>
        </w:rPr>
        <w:t xml:space="preserve">о и по необходимост направени </w:t>
      </w:r>
      <w:r w:rsidRPr="00666B37">
        <w:rPr>
          <w:szCs w:val="24"/>
          <w:lang w:val="bg-BG"/>
        </w:rPr>
        <w:t>и са в разумен размер. В този случай, като им</w:t>
      </w:r>
      <w:r w:rsidR="007C7594">
        <w:rPr>
          <w:szCs w:val="24"/>
          <w:lang w:val="bg-BG"/>
        </w:rPr>
        <w:t>а</w:t>
      </w:r>
      <w:r w:rsidR="00A72CD5">
        <w:rPr>
          <w:szCs w:val="24"/>
          <w:lang w:val="bg-BG"/>
        </w:rPr>
        <w:t xml:space="preserve"> предвид</w:t>
      </w:r>
      <w:r w:rsidRPr="00666B37">
        <w:rPr>
          <w:szCs w:val="24"/>
          <w:lang w:val="bg-BG"/>
        </w:rPr>
        <w:t xml:space="preserve"> внесените документи по делото и горните критерии, Съдът намира за разумно да присъди сумата от 500 евро за разноски по всички искове. Тази сума ще бъде преведена директно по банковата сметка на процесуалните представители на жалбоподателите – г-жа Стефанова и г-н Атанасов.</w:t>
      </w:r>
    </w:p>
    <w:p w:rsidR="005A2345" w:rsidRPr="00666B37" w:rsidRDefault="005A2345">
      <w:pPr>
        <w:pStyle w:val="JuHA"/>
        <w:rPr>
          <w:szCs w:val="24"/>
          <w:lang w:val="bg-BG"/>
        </w:rPr>
      </w:pPr>
      <w:r w:rsidRPr="00666B37">
        <w:rPr>
          <w:szCs w:val="24"/>
          <w:lang w:val="bg-BG"/>
        </w:rPr>
        <w:t>В.  Лихва за забава</w:t>
      </w:r>
    </w:p>
    <w:p w:rsidR="005A2345" w:rsidRPr="00666B37" w:rsidRDefault="005A2345">
      <w:pPr>
        <w:pStyle w:val="a0"/>
        <w:rPr>
          <w:szCs w:val="24"/>
          <w:lang w:val="bg-BG"/>
        </w:rPr>
      </w:pPr>
      <w:r w:rsidRPr="00666B37">
        <w:rPr>
          <w:szCs w:val="24"/>
          <w:lang w:val="bg-BG"/>
        </w:rPr>
        <w:fldChar w:fldCharType="begin"/>
      </w:r>
      <w:r w:rsidRPr="00666B37">
        <w:rPr>
          <w:szCs w:val="24"/>
          <w:lang w:val="bg-BG"/>
        </w:rPr>
        <w:instrText xml:space="preserve"> SEQ level0 \*arabic </w:instrText>
      </w:r>
      <w:r w:rsidRPr="00666B37">
        <w:rPr>
          <w:szCs w:val="24"/>
          <w:lang w:val="bg-BG"/>
        </w:rPr>
        <w:fldChar w:fldCharType="separate"/>
      </w:r>
      <w:r w:rsidRPr="00666B37">
        <w:rPr>
          <w:szCs w:val="24"/>
          <w:lang w:val="bg-BG"/>
        </w:rPr>
        <w:t>28</w:t>
      </w:r>
      <w:r w:rsidRPr="00666B37">
        <w:rPr>
          <w:szCs w:val="24"/>
          <w:lang w:val="bg-BG"/>
        </w:rPr>
        <w:fldChar w:fldCharType="end"/>
      </w:r>
      <w:r w:rsidRPr="00666B37">
        <w:rPr>
          <w:szCs w:val="24"/>
          <w:lang w:val="bg-BG"/>
        </w:rPr>
        <w:t>.  Съдът счита за подходящо лихвата за забава да бъде изчислена на основата на пределния лихвен процент по заеми на Европейската централна банка, с добавени три процентни пункта.</w:t>
      </w:r>
    </w:p>
    <w:p w:rsidR="005A2345" w:rsidRPr="00666B37" w:rsidRDefault="005A2345">
      <w:pPr>
        <w:pStyle w:val="JuHHead"/>
        <w:rPr>
          <w:szCs w:val="24"/>
          <w:lang w:val="bg-BG"/>
        </w:rPr>
      </w:pPr>
      <w:r w:rsidRPr="00666B37">
        <w:rPr>
          <w:szCs w:val="24"/>
          <w:lang w:val="bg-BG"/>
        </w:rPr>
        <w:t>ПО ИЗЛОЖЕНИТЕ СЪОБРАЖЕНИЯ СЪДЪТ ЕДИНОДУШНО</w:t>
      </w:r>
    </w:p>
    <w:p w:rsidR="005A2345" w:rsidRPr="00666B37" w:rsidRDefault="005A2345">
      <w:pPr>
        <w:pStyle w:val="JuList"/>
        <w:rPr>
          <w:szCs w:val="24"/>
          <w:lang w:val="bg-BG"/>
        </w:rPr>
      </w:pPr>
      <w:r w:rsidRPr="00666B37">
        <w:rPr>
          <w:szCs w:val="24"/>
          <w:lang w:val="bg-BG"/>
        </w:rPr>
        <w:t>1.  </w:t>
      </w:r>
      <w:r w:rsidRPr="00666B37">
        <w:rPr>
          <w:i/>
          <w:szCs w:val="24"/>
          <w:lang w:val="bg-BG"/>
        </w:rPr>
        <w:t>Обявява</w:t>
      </w:r>
      <w:r w:rsidRPr="00666B37">
        <w:rPr>
          <w:szCs w:val="24"/>
          <w:lang w:val="bg-BG"/>
        </w:rPr>
        <w:t xml:space="preserve"> жалбата за допустима;</w:t>
      </w:r>
    </w:p>
    <w:p w:rsidR="005A2345" w:rsidRPr="00666B37" w:rsidRDefault="005A2345">
      <w:pPr>
        <w:pStyle w:val="JuList"/>
        <w:rPr>
          <w:szCs w:val="24"/>
          <w:lang w:val="bg-BG"/>
        </w:rPr>
      </w:pPr>
    </w:p>
    <w:p w:rsidR="005A2345" w:rsidRPr="00666B37" w:rsidRDefault="005A2345">
      <w:pPr>
        <w:pStyle w:val="JuList"/>
        <w:rPr>
          <w:szCs w:val="24"/>
          <w:lang w:val="bg-BG"/>
        </w:rPr>
      </w:pPr>
      <w:r w:rsidRPr="00666B37">
        <w:rPr>
          <w:szCs w:val="24"/>
          <w:lang w:val="bg-BG"/>
        </w:rPr>
        <w:t>2.  </w:t>
      </w:r>
      <w:r w:rsidRPr="00666B37">
        <w:rPr>
          <w:rStyle w:val="hps"/>
          <w:i/>
          <w:szCs w:val="24"/>
          <w:lang w:val="bg-BG"/>
        </w:rPr>
        <w:t>Постановява</w:t>
      </w:r>
      <w:r w:rsidRPr="00666B37">
        <w:rPr>
          <w:szCs w:val="24"/>
          <w:lang w:val="bg-BG"/>
        </w:rPr>
        <w:t xml:space="preserve">, че е налице </w:t>
      </w:r>
      <w:r w:rsidRPr="00666B37">
        <w:rPr>
          <w:rStyle w:val="hps"/>
          <w:szCs w:val="24"/>
          <w:lang w:val="bg-BG"/>
        </w:rPr>
        <w:t>нарушение на</w:t>
      </w:r>
      <w:r w:rsidRPr="00666B37">
        <w:rPr>
          <w:szCs w:val="24"/>
          <w:lang w:val="bg-BG"/>
        </w:rPr>
        <w:t xml:space="preserve"> </w:t>
      </w:r>
      <w:r w:rsidRPr="00666B37">
        <w:rPr>
          <w:rStyle w:val="hps"/>
          <w:szCs w:val="24"/>
          <w:lang w:val="bg-BG"/>
        </w:rPr>
        <w:t>чл.</w:t>
      </w:r>
      <w:r w:rsidRPr="00666B37">
        <w:rPr>
          <w:szCs w:val="24"/>
          <w:lang w:val="bg-BG"/>
        </w:rPr>
        <w:t xml:space="preserve"> </w:t>
      </w:r>
      <w:r w:rsidRPr="00666B37">
        <w:rPr>
          <w:rStyle w:val="hps"/>
          <w:szCs w:val="24"/>
          <w:lang w:val="bg-BG"/>
        </w:rPr>
        <w:t>6</w:t>
      </w:r>
      <w:r w:rsidRPr="00666B37">
        <w:rPr>
          <w:szCs w:val="24"/>
          <w:lang w:val="bg-BG"/>
        </w:rPr>
        <w:t xml:space="preserve">, ал. </w:t>
      </w:r>
      <w:r w:rsidRPr="00666B37">
        <w:rPr>
          <w:rStyle w:val="hps"/>
          <w:szCs w:val="24"/>
          <w:lang w:val="bg-BG"/>
        </w:rPr>
        <w:t>1 от</w:t>
      </w:r>
      <w:r w:rsidRPr="00666B37">
        <w:rPr>
          <w:szCs w:val="24"/>
          <w:lang w:val="bg-BG"/>
        </w:rPr>
        <w:t xml:space="preserve"> </w:t>
      </w:r>
      <w:r w:rsidRPr="00666B37">
        <w:rPr>
          <w:rStyle w:val="hps"/>
          <w:szCs w:val="24"/>
          <w:lang w:val="bg-BG"/>
        </w:rPr>
        <w:t>Конвенцията поради</w:t>
      </w:r>
      <w:r w:rsidRPr="00666B37">
        <w:rPr>
          <w:szCs w:val="24"/>
          <w:lang w:val="bg-BG"/>
        </w:rPr>
        <w:t xml:space="preserve"> </w:t>
      </w:r>
      <w:r w:rsidRPr="00666B37">
        <w:rPr>
          <w:rStyle w:val="hps"/>
          <w:szCs w:val="24"/>
          <w:lang w:val="bg-BG"/>
        </w:rPr>
        <w:t>прекомерната продължителност</w:t>
      </w:r>
      <w:r w:rsidRPr="00666B37">
        <w:rPr>
          <w:szCs w:val="24"/>
          <w:lang w:val="bg-BG"/>
        </w:rPr>
        <w:t xml:space="preserve"> </w:t>
      </w:r>
      <w:r w:rsidRPr="00666B37">
        <w:rPr>
          <w:rStyle w:val="hps"/>
          <w:szCs w:val="24"/>
          <w:lang w:val="bg-BG"/>
        </w:rPr>
        <w:t>на</w:t>
      </w:r>
      <w:r w:rsidRPr="00666B37">
        <w:rPr>
          <w:szCs w:val="24"/>
          <w:lang w:val="bg-BG"/>
        </w:rPr>
        <w:t xml:space="preserve"> наказателното </w:t>
      </w:r>
      <w:r w:rsidRPr="00666B37">
        <w:rPr>
          <w:rStyle w:val="hps"/>
          <w:szCs w:val="24"/>
          <w:lang w:val="bg-BG"/>
        </w:rPr>
        <w:t>производство срещу жалбоподателите</w:t>
      </w:r>
      <w:r w:rsidRPr="00666B37">
        <w:rPr>
          <w:szCs w:val="24"/>
          <w:lang w:val="bg-BG"/>
        </w:rPr>
        <w:t>;</w:t>
      </w:r>
    </w:p>
    <w:p w:rsidR="005A2345" w:rsidRPr="00666B37" w:rsidRDefault="005A2345">
      <w:pPr>
        <w:pStyle w:val="JuList"/>
        <w:rPr>
          <w:szCs w:val="24"/>
          <w:lang w:val="bg-BG"/>
        </w:rPr>
      </w:pPr>
    </w:p>
    <w:p w:rsidR="005A2345" w:rsidRPr="00666B37" w:rsidRDefault="005A2345">
      <w:pPr>
        <w:pStyle w:val="JuList"/>
        <w:rPr>
          <w:szCs w:val="24"/>
          <w:lang w:val="bg-BG"/>
        </w:rPr>
      </w:pPr>
      <w:r w:rsidRPr="00666B37">
        <w:rPr>
          <w:szCs w:val="24"/>
          <w:lang w:val="bg-BG"/>
        </w:rPr>
        <w:t>3.  </w:t>
      </w:r>
      <w:r w:rsidRPr="00666B37">
        <w:rPr>
          <w:rStyle w:val="hps"/>
          <w:i/>
          <w:szCs w:val="24"/>
          <w:lang w:val="bg-BG"/>
        </w:rPr>
        <w:t>Постановява</w:t>
      </w:r>
      <w:r w:rsidRPr="00666B37">
        <w:rPr>
          <w:szCs w:val="24"/>
          <w:lang w:val="bg-BG"/>
        </w:rPr>
        <w:t xml:space="preserve">, че е налице </w:t>
      </w:r>
      <w:r w:rsidRPr="00666B37">
        <w:rPr>
          <w:rStyle w:val="hps"/>
          <w:szCs w:val="24"/>
          <w:lang w:val="bg-BG"/>
        </w:rPr>
        <w:t>нарушение на</w:t>
      </w:r>
      <w:r w:rsidRPr="00666B37">
        <w:rPr>
          <w:szCs w:val="24"/>
          <w:lang w:val="bg-BG"/>
        </w:rPr>
        <w:t xml:space="preserve"> </w:t>
      </w:r>
      <w:r w:rsidRPr="00666B37">
        <w:rPr>
          <w:rStyle w:val="hps"/>
          <w:szCs w:val="24"/>
          <w:lang w:val="bg-BG"/>
        </w:rPr>
        <w:t>чл.</w:t>
      </w:r>
      <w:r w:rsidRPr="00666B37">
        <w:rPr>
          <w:szCs w:val="24"/>
          <w:lang w:val="bg-BG"/>
        </w:rPr>
        <w:t xml:space="preserve"> </w:t>
      </w:r>
      <w:r w:rsidRPr="00666B37">
        <w:rPr>
          <w:rStyle w:val="hps"/>
          <w:szCs w:val="24"/>
          <w:lang w:val="bg-BG"/>
        </w:rPr>
        <w:t>13</w:t>
      </w:r>
      <w:r w:rsidRPr="00666B37">
        <w:rPr>
          <w:szCs w:val="24"/>
          <w:lang w:val="bg-BG"/>
        </w:rPr>
        <w:t xml:space="preserve">, ал. </w:t>
      </w:r>
      <w:r w:rsidRPr="00666B37">
        <w:rPr>
          <w:rStyle w:val="hps"/>
          <w:szCs w:val="24"/>
          <w:lang w:val="bg-BG"/>
        </w:rPr>
        <w:t>1 от</w:t>
      </w:r>
      <w:r w:rsidRPr="00666B37">
        <w:rPr>
          <w:szCs w:val="24"/>
          <w:lang w:val="bg-BG"/>
        </w:rPr>
        <w:t xml:space="preserve"> </w:t>
      </w:r>
      <w:r w:rsidRPr="00666B37">
        <w:rPr>
          <w:rStyle w:val="hps"/>
          <w:szCs w:val="24"/>
          <w:lang w:val="bg-BG"/>
        </w:rPr>
        <w:t xml:space="preserve">Конвенцията поради </w:t>
      </w:r>
      <w:r w:rsidRPr="00666B37">
        <w:rPr>
          <w:szCs w:val="24"/>
          <w:lang w:val="bg-BG"/>
        </w:rPr>
        <w:t xml:space="preserve">липсата на ефикасни средства за правна защита срещу </w:t>
      </w:r>
      <w:r w:rsidRPr="00666B37">
        <w:rPr>
          <w:rStyle w:val="hps"/>
          <w:szCs w:val="24"/>
          <w:lang w:val="bg-BG"/>
        </w:rPr>
        <w:t>прекомерната продължителност</w:t>
      </w:r>
      <w:r w:rsidRPr="00666B37">
        <w:rPr>
          <w:szCs w:val="24"/>
          <w:lang w:val="bg-BG"/>
        </w:rPr>
        <w:t xml:space="preserve"> </w:t>
      </w:r>
      <w:r w:rsidRPr="00666B37">
        <w:rPr>
          <w:rStyle w:val="hps"/>
          <w:szCs w:val="24"/>
          <w:lang w:val="bg-BG"/>
        </w:rPr>
        <w:t>на</w:t>
      </w:r>
      <w:r w:rsidRPr="00666B37">
        <w:rPr>
          <w:szCs w:val="24"/>
          <w:lang w:val="bg-BG"/>
        </w:rPr>
        <w:t xml:space="preserve"> </w:t>
      </w:r>
      <w:r w:rsidRPr="00666B37">
        <w:rPr>
          <w:rStyle w:val="hps"/>
          <w:szCs w:val="24"/>
          <w:lang w:val="bg-BG"/>
        </w:rPr>
        <w:t>производството</w:t>
      </w:r>
      <w:r w:rsidRPr="00666B37">
        <w:rPr>
          <w:szCs w:val="24"/>
          <w:lang w:val="bg-BG"/>
        </w:rPr>
        <w:t>;</w:t>
      </w:r>
    </w:p>
    <w:p w:rsidR="005A2345" w:rsidRPr="00666B37" w:rsidRDefault="005A2345">
      <w:pPr>
        <w:pStyle w:val="JuList"/>
        <w:rPr>
          <w:szCs w:val="24"/>
          <w:lang w:val="bg-BG"/>
        </w:rPr>
      </w:pPr>
    </w:p>
    <w:p w:rsidR="005A2345" w:rsidRPr="00666B37" w:rsidRDefault="005A2345">
      <w:pPr>
        <w:pStyle w:val="JuList"/>
        <w:rPr>
          <w:szCs w:val="24"/>
          <w:lang w:val="bg-BG"/>
        </w:rPr>
      </w:pPr>
      <w:r w:rsidRPr="00666B37">
        <w:rPr>
          <w:szCs w:val="24"/>
          <w:lang w:val="bg-BG"/>
        </w:rPr>
        <w:t>4.  </w:t>
      </w:r>
      <w:r w:rsidRPr="00666B37">
        <w:rPr>
          <w:i/>
          <w:szCs w:val="24"/>
          <w:lang w:val="bg-BG"/>
        </w:rPr>
        <w:t>Постановява</w:t>
      </w:r>
    </w:p>
    <w:p w:rsidR="005A2345" w:rsidRPr="00666B37" w:rsidRDefault="005A2345">
      <w:pPr>
        <w:pStyle w:val="JuLista"/>
        <w:rPr>
          <w:szCs w:val="24"/>
          <w:lang w:val="bg-BG"/>
        </w:rPr>
      </w:pPr>
      <w:r w:rsidRPr="00666B37">
        <w:rPr>
          <w:szCs w:val="24"/>
          <w:lang w:val="bg-BG"/>
        </w:rPr>
        <w:t>(a)  ответната държава да заплати на жалбоподателите в срок до три месеца от датата на влизане в сила на съдебното решение съгласно чл. 44, ал. 2 от Конвенцията долупосочените суми, преобразувани в левова равностойност по курса към датата на плащането;</w:t>
      </w:r>
    </w:p>
    <w:p w:rsidR="005A2345" w:rsidRPr="00666B37" w:rsidRDefault="005A2345">
      <w:pPr>
        <w:pStyle w:val="JuListi"/>
        <w:rPr>
          <w:szCs w:val="24"/>
          <w:lang w:val="bg-BG"/>
        </w:rPr>
      </w:pPr>
      <w:r w:rsidRPr="00666B37">
        <w:rPr>
          <w:szCs w:val="24"/>
          <w:lang w:val="bg-BG"/>
        </w:rPr>
        <w:t>(i)  на г-н Арабаджиев – EUR 2 500 (две хиляди и петстотин евро) за неимуществени вреди, заедно с всички данъци, които могат да бъдат дължими;</w:t>
      </w:r>
    </w:p>
    <w:p w:rsidR="005A2345" w:rsidRPr="00666B37" w:rsidRDefault="005A2345">
      <w:pPr>
        <w:pStyle w:val="JuListi"/>
        <w:rPr>
          <w:szCs w:val="24"/>
          <w:lang w:val="bg-BG"/>
        </w:rPr>
      </w:pPr>
      <w:r w:rsidRPr="00666B37">
        <w:rPr>
          <w:szCs w:val="24"/>
          <w:lang w:val="bg-BG"/>
        </w:rPr>
        <w:lastRenderedPageBreak/>
        <w:t>(i</w:t>
      </w:r>
      <w:r w:rsidR="009B3A6A">
        <w:rPr>
          <w:szCs w:val="24"/>
          <w:lang w:val="en-US"/>
        </w:rPr>
        <w:t>i</w:t>
      </w:r>
      <w:r w:rsidRPr="00666B37">
        <w:rPr>
          <w:szCs w:val="24"/>
          <w:lang w:val="bg-BG"/>
        </w:rPr>
        <w:t>)  на г-н Алексиев – EUR 2 500 (две хиляди и петстотин евро) за неимуществени вреди, заедно с всички данъци, които могат да бъдат дължими;</w:t>
      </w:r>
    </w:p>
    <w:p w:rsidR="005A2345" w:rsidRPr="00666B37" w:rsidRDefault="005A2345">
      <w:pPr>
        <w:pStyle w:val="JuListi"/>
        <w:rPr>
          <w:szCs w:val="24"/>
          <w:lang w:val="bg-BG"/>
        </w:rPr>
      </w:pPr>
      <w:r w:rsidRPr="00666B37">
        <w:rPr>
          <w:szCs w:val="24"/>
          <w:lang w:val="bg-BG"/>
        </w:rPr>
        <w:t>(ii</w:t>
      </w:r>
      <w:r w:rsidR="009B3A6A">
        <w:rPr>
          <w:szCs w:val="24"/>
          <w:lang w:val="en-US"/>
        </w:rPr>
        <w:t>i</w:t>
      </w:r>
      <w:r w:rsidRPr="00666B37">
        <w:rPr>
          <w:szCs w:val="24"/>
          <w:lang w:val="bg-BG"/>
        </w:rPr>
        <w:t>)  EUR 500 (петстотин евро) за разноски общо на двамата жалбоподатели, заедно с всички данъци, дължими върху тази сума, които да бъдат преведени директно по банковата сметка на техните процесуални представители г-жа Стефанова и г-н Атанасов;</w:t>
      </w:r>
    </w:p>
    <w:p w:rsidR="005A2345" w:rsidRPr="00666B37" w:rsidRDefault="005A2345">
      <w:pPr>
        <w:pStyle w:val="JuLista"/>
        <w:rPr>
          <w:szCs w:val="24"/>
          <w:lang w:val="bg-BG"/>
        </w:rPr>
      </w:pPr>
      <w:r w:rsidRPr="00666B37">
        <w:rPr>
          <w:szCs w:val="24"/>
          <w:lang w:val="bg-BG"/>
        </w:rPr>
        <w:t>(б)  след изтичане на указания тримесечен срок до извършване на плащането върху горната сума се дължи проста лихва в размер, равен на пределния лихвен процент по заеми на Европейската централна банка за периода на забава, с добавени три процентни пункта;</w:t>
      </w:r>
    </w:p>
    <w:p w:rsidR="005A2345" w:rsidRPr="00666B37" w:rsidRDefault="005A2345">
      <w:pPr>
        <w:pStyle w:val="JuList"/>
        <w:rPr>
          <w:szCs w:val="24"/>
          <w:lang w:val="bg-BG"/>
        </w:rPr>
      </w:pPr>
    </w:p>
    <w:p w:rsidR="005A2345" w:rsidRPr="00666B37" w:rsidRDefault="005A2345">
      <w:pPr>
        <w:pStyle w:val="JuList"/>
        <w:keepNext/>
        <w:keepLines/>
        <w:rPr>
          <w:szCs w:val="24"/>
          <w:lang w:val="bg-BG"/>
        </w:rPr>
      </w:pPr>
      <w:r w:rsidRPr="00666B37">
        <w:rPr>
          <w:szCs w:val="24"/>
          <w:lang w:val="bg-BG"/>
        </w:rPr>
        <w:t>5.  </w:t>
      </w:r>
      <w:r w:rsidRPr="00666B37">
        <w:rPr>
          <w:i/>
          <w:szCs w:val="24"/>
          <w:lang w:val="bg-BG"/>
        </w:rPr>
        <w:t xml:space="preserve">Отхвърля </w:t>
      </w:r>
      <w:r w:rsidRPr="00666B37">
        <w:rPr>
          <w:szCs w:val="24"/>
          <w:lang w:val="bg-BG"/>
        </w:rPr>
        <w:t>останал</w:t>
      </w:r>
      <w:r w:rsidR="007C7594">
        <w:rPr>
          <w:szCs w:val="24"/>
          <w:lang w:val="bg-BG"/>
        </w:rPr>
        <w:t xml:space="preserve">ата част от </w:t>
      </w:r>
      <w:r w:rsidRPr="00666B37">
        <w:rPr>
          <w:szCs w:val="24"/>
          <w:lang w:val="bg-BG"/>
        </w:rPr>
        <w:t>исков</w:t>
      </w:r>
      <w:r w:rsidR="007C7594">
        <w:rPr>
          <w:szCs w:val="24"/>
          <w:lang w:val="bg-BG"/>
        </w:rPr>
        <w:t>ите претенции</w:t>
      </w:r>
      <w:r w:rsidRPr="00666B37">
        <w:rPr>
          <w:szCs w:val="24"/>
          <w:lang w:val="bg-BG"/>
        </w:rPr>
        <w:t xml:space="preserve"> за справедливо обезщетение.</w:t>
      </w:r>
    </w:p>
    <w:p w:rsidR="005A2345" w:rsidRPr="00666B37" w:rsidRDefault="005A2345">
      <w:pPr>
        <w:pStyle w:val="JuParaLast"/>
        <w:keepNext/>
        <w:keepLines/>
        <w:rPr>
          <w:szCs w:val="24"/>
          <w:lang w:val="bg-BG"/>
        </w:rPr>
      </w:pPr>
      <w:r w:rsidRPr="00666B37">
        <w:rPr>
          <w:szCs w:val="24"/>
          <w:lang w:val="bg-BG"/>
        </w:rPr>
        <w:t>Изготвено на английски език и оповестено в писмен вид на 21 декември 2010 г. в съответствие с чл. 77, ал. 2 и 3 от Правилника на Съда.</w:t>
      </w:r>
    </w:p>
    <w:p w:rsidR="005A2345" w:rsidRPr="00666B37" w:rsidRDefault="005A2345">
      <w:pPr>
        <w:pStyle w:val="JuSigned"/>
        <w:keepNext/>
        <w:keepLines/>
        <w:rPr>
          <w:szCs w:val="24"/>
          <w:lang w:val="bg-BG"/>
        </w:rPr>
      </w:pPr>
      <w:r w:rsidRPr="00666B37">
        <w:rPr>
          <w:szCs w:val="24"/>
          <w:lang w:val="bg-BG"/>
        </w:rPr>
        <w:tab/>
        <w:t>Стивън Филипс</w:t>
      </w:r>
      <w:r w:rsidRPr="00666B37">
        <w:rPr>
          <w:szCs w:val="24"/>
          <w:lang w:val="bg-BG"/>
        </w:rPr>
        <w:tab/>
        <w:t>Ра</w:t>
      </w:r>
      <w:r w:rsidR="007C7594">
        <w:rPr>
          <w:szCs w:val="24"/>
          <w:lang w:val="bg-BG"/>
        </w:rPr>
        <w:t>й</w:t>
      </w:r>
      <w:r w:rsidRPr="00666B37">
        <w:rPr>
          <w:szCs w:val="24"/>
          <w:lang w:val="bg-BG"/>
        </w:rPr>
        <w:t xml:space="preserve">т </w:t>
      </w:r>
      <w:proofErr w:type="spellStart"/>
      <w:r w:rsidRPr="00666B37">
        <w:rPr>
          <w:szCs w:val="24"/>
          <w:lang w:val="bg-BG"/>
        </w:rPr>
        <w:t>Марусте</w:t>
      </w:r>
      <w:proofErr w:type="spellEnd"/>
      <w:r w:rsidRPr="00666B37">
        <w:rPr>
          <w:szCs w:val="24"/>
          <w:lang w:val="bg-BG"/>
        </w:rPr>
        <w:br/>
      </w:r>
      <w:r w:rsidRPr="00666B37">
        <w:rPr>
          <w:szCs w:val="24"/>
          <w:lang w:val="bg-BG"/>
        </w:rPr>
        <w:tab/>
        <w:t>Заместник</w:t>
      </w:r>
      <w:r w:rsidRPr="007C7594">
        <w:rPr>
          <w:i/>
          <w:szCs w:val="24"/>
          <w:lang w:val="bg-BG"/>
        </w:rPr>
        <w:t>-секретар на Отделението</w:t>
      </w:r>
      <w:r w:rsidRPr="00666B37">
        <w:rPr>
          <w:szCs w:val="24"/>
          <w:lang w:val="bg-BG"/>
        </w:rPr>
        <w:tab/>
        <w:t>Председател</w:t>
      </w:r>
    </w:p>
    <w:sectPr w:rsidR="005A2345" w:rsidRPr="00666B37">
      <w:headerReference w:type="even" r:id="rId10"/>
      <w:headerReference w:type="default" r:id="rId11"/>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4A" w:rsidRDefault="008F144A">
      <w:pPr>
        <w:rPr>
          <w:szCs w:val="24"/>
        </w:rPr>
      </w:pPr>
      <w:r>
        <w:rPr>
          <w:szCs w:val="24"/>
        </w:rPr>
        <w:separator/>
      </w:r>
    </w:p>
  </w:endnote>
  <w:endnote w:type="continuationSeparator" w:id="0">
    <w:p w:rsidR="008F144A" w:rsidRDefault="008F144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6A" w:rsidRDefault="00EF09E1">
    <w:pPr>
      <w:jc w:val="center"/>
      <w:rPr>
        <w:sz w:val="4"/>
        <w:szCs w:val="24"/>
      </w:rPr>
    </w:pPr>
    <w:r>
      <w:rPr>
        <w:noProof/>
        <w:snapToGrid/>
        <w:sz w:val="4"/>
        <w:szCs w:val="24"/>
        <w:lang w:val="en-US" w:eastAsia="en-US"/>
      </w:rPr>
      <w:drawing>
        <wp:inline distT="0" distB="0" distL="0" distR="0">
          <wp:extent cx="685800" cy="419100"/>
          <wp:effectExtent l="0" t="0" r="0" b="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9B3A6A" w:rsidRDefault="009B3A6A">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4A" w:rsidRDefault="008F144A">
      <w:pPr>
        <w:rPr>
          <w:szCs w:val="24"/>
        </w:rPr>
      </w:pPr>
      <w:r>
        <w:rPr>
          <w:szCs w:val="24"/>
        </w:rPr>
        <w:separator/>
      </w:r>
    </w:p>
  </w:footnote>
  <w:footnote w:type="continuationSeparator" w:id="0">
    <w:p w:rsidR="008F144A" w:rsidRDefault="008F144A">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6A" w:rsidRDefault="009B3A6A">
    <w:pPr>
      <w:pStyle w:val="Heade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6A" w:rsidRDefault="00EF09E1">
    <w:pPr>
      <w:pStyle w:val="Header"/>
      <w:jc w:val="center"/>
      <w:rPr>
        <w:sz w:val="4"/>
        <w:szCs w:val="24"/>
      </w:rPr>
    </w:pPr>
    <w:r>
      <w:rPr>
        <w:noProof/>
        <w:snapToGrid/>
        <w:sz w:val="4"/>
        <w:szCs w:val="24"/>
        <w:lang w:val="en-US" w:eastAsia="en-US"/>
      </w:rPr>
      <w:drawing>
        <wp:inline distT="0" distB="0" distL="0" distR="0">
          <wp:extent cx="4095750" cy="208280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2800"/>
                  </a:xfrm>
                  <a:prstGeom prst="rect">
                    <a:avLst/>
                  </a:prstGeom>
                  <a:noFill/>
                  <a:ln>
                    <a:noFill/>
                  </a:ln>
                </pic:spPr>
              </pic:pic>
            </a:graphicData>
          </a:graphic>
        </wp:inline>
      </w:drawing>
    </w:r>
  </w:p>
  <w:p w:rsidR="009B3A6A" w:rsidRDefault="009B3A6A">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6A" w:rsidRDefault="009B3A6A">
    <w:pPr>
      <w:pStyle w:val="JuHeader"/>
      <w:rPr>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sidR="00EF09E1">
      <w:rPr>
        <w:rStyle w:val="PageNumber"/>
        <w:noProof/>
        <w:szCs w:val="24"/>
      </w:rPr>
      <w:t>6</w:t>
    </w:r>
    <w:r>
      <w:rPr>
        <w:rStyle w:val="PageNumber"/>
        <w:szCs w:val="24"/>
      </w:rPr>
      <w:fldChar w:fldCharType="end"/>
    </w:r>
    <w:r>
      <w:rPr>
        <w:szCs w:val="24"/>
      </w:rPr>
      <w:tab/>
    </w:r>
    <w:r>
      <w:rPr>
        <w:szCs w:val="24"/>
        <w:lang w:val="bg-BG"/>
      </w:rPr>
      <w:t>РЕШЕНИЕ АРАБАДЖИЕВ И АЛЕКСИЕВ СРЕЩУ БЪЛГАРИЯ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6A" w:rsidRDefault="009B3A6A">
    <w:pPr>
      <w:pStyle w:val="JuHeader"/>
      <w:rPr>
        <w:szCs w:val="24"/>
      </w:rPr>
    </w:pPr>
    <w:r>
      <w:rPr>
        <w:szCs w:val="24"/>
      </w:rPr>
      <w:tab/>
    </w:r>
    <w:r>
      <w:rPr>
        <w:szCs w:val="24"/>
        <w:lang w:val="bg-BG"/>
      </w:rPr>
      <w:t>РЕШЕНИЕ АРАБАДЖИЕВ И АЛЕКСИЕВ СРЕЩУ БЪЛГАРИЯ</w:t>
    </w:r>
    <w:r>
      <w:rPr>
        <w:szCs w:val="24"/>
      </w:rPr>
      <w:tab/>
    </w:r>
    <w:r>
      <w:rPr>
        <w:rStyle w:val="PageNumber"/>
        <w:szCs w:val="24"/>
      </w:rPr>
      <w:fldChar w:fldCharType="begin"/>
    </w:r>
    <w:r>
      <w:rPr>
        <w:rStyle w:val="PageNumber"/>
        <w:szCs w:val="24"/>
      </w:rPr>
      <w:instrText xml:space="preserve"> PAGE </w:instrText>
    </w:r>
    <w:r>
      <w:rPr>
        <w:rStyle w:val="PageNumber"/>
        <w:szCs w:val="24"/>
      </w:rPr>
      <w:fldChar w:fldCharType="separate"/>
    </w:r>
    <w:r w:rsidR="00EF09E1">
      <w:rPr>
        <w:rStyle w:val="PageNumber"/>
        <w:noProof/>
        <w:szCs w:val="24"/>
      </w:rPr>
      <w:t>5</w:t>
    </w:r>
    <w:r>
      <w:rPr>
        <w:rStyle w:val="PageNumber"/>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evenAndOddHeaders/>
  <w:drawingGridHorizontalSpacing w:val="187"/>
  <w:displayHorizontalDrawingGridEvery w:val="0"/>
  <w:displayVerticalDrawingGridEvery w:val="0"/>
  <w:characterSpacingControl w:val="doNotCompress"/>
  <w:hdrShapeDefaults>
    <o:shapedefaults v:ext="edit" spidmax="3074"/>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ETRANSMISSION" w:val=" "/>
    <w:docVar w:name="L4_1Annex" w:val="0"/>
    <w:docVar w:name="L4_1Anonymity" w:val="0"/>
    <w:docVar w:name="SignForeName" w:val="0"/>
  </w:docVars>
  <w:rsids>
    <w:rsidRoot w:val="0010256D"/>
    <w:rsid w:val="00015B7F"/>
    <w:rsid w:val="0002149C"/>
    <w:rsid w:val="00031D23"/>
    <w:rsid w:val="00046A4A"/>
    <w:rsid w:val="0005376F"/>
    <w:rsid w:val="00057E69"/>
    <w:rsid w:val="00061C92"/>
    <w:rsid w:val="000621E9"/>
    <w:rsid w:val="0006426C"/>
    <w:rsid w:val="00072D28"/>
    <w:rsid w:val="000820FE"/>
    <w:rsid w:val="0009093C"/>
    <w:rsid w:val="00096909"/>
    <w:rsid w:val="00096CC0"/>
    <w:rsid w:val="0009749C"/>
    <w:rsid w:val="000A7A72"/>
    <w:rsid w:val="000B00C8"/>
    <w:rsid w:val="000B4D2A"/>
    <w:rsid w:val="000C09DC"/>
    <w:rsid w:val="000C17A2"/>
    <w:rsid w:val="000C5E5D"/>
    <w:rsid w:val="000D2C5B"/>
    <w:rsid w:val="000E1FCC"/>
    <w:rsid w:val="000E3B9F"/>
    <w:rsid w:val="000E50B8"/>
    <w:rsid w:val="000E7BBE"/>
    <w:rsid w:val="000F0A18"/>
    <w:rsid w:val="0010256D"/>
    <w:rsid w:val="00103204"/>
    <w:rsid w:val="00110F02"/>
    <w:rsid w:val="001162F9"/>
    <w:rsid w:val="001169C9"/>
    <w:rsid w:val="001251F5"/>
    <w:rsid w:val="0014299A"/>
    <w:rsid w:val="0014680A"/>
    <w:rsid w:val="00150BFA"/>
    <w:rsid w:val="00152A8A"/>
    <w:rsid w:val="0016278E"/>
    <w:rsid w:val="00172644"/>
    <w:rsid w:val="001A1886"/>
    <w:rsid w:val="001B00FC"/>
    <w:rsid w:val="001B7949"/>
    <w:rsid w:val="001D2996"/>
    <w:rsid w:val="001D5150"/>
    <w:rsid w:val="001E0809"/>
    <w:rsid w:val="001E3439"/>
    <w:rsid w:val="001F3DDA"/>
    <w:rsid w:val="001F5EF5"/>
    <w:rsid w:val="0021469D"/>
    <w:rsid w:val="00230862"/>
    <w:rsid w:val="002376EF"/>
    <w:rsid w:val="00246046"/>
    <w:rsid w:val="002464B8"/>
    <w:rsid w:val="00283019"/>
    <w:rsid w:val="00283428"/>
    <w:rsid w:val="00284A28"/>
    <w:rsid w:val="00285C5B"/>
    <w:rsid w:val="00293BD7"/>
    <w:rsid w:val="002A2AFC"/>
    <w:rsid w:val="002A6E0B"/>
    <w:rsid w:val="002B0B30"/>
    <w:rsid w:val="002B2DC6"/>
    <w:rsid w:val="002B3282"/>
    <w:rsid w:val="002C0AF2"/>
    <w:rsid w:val="002C637F"/>
    <w:rsid w:val="002D6269"/>
    <w:rsid w:val="002E4EB9"/>
    <w:rsid w:val="002E7539"/>
    <w:rsid w:val="002F3B14"/>
    <w:rsid w:val="002F5EE8"/>
    <w:rsid w:val="002F7E54"/>
    <w:rsid w:val="00300753"/>
    <w:rsid w:val="003218C5"/>
    <w:rsid w:val="00325F85"/>
    <w:rsid w:val="0032715F"/>
    <w:rsid w:val="0032789F"/>
    <w:rsid w:val="00333BAA"/>
    <w:rsid w:val="00335EDC"/>
    <w:rsid w:val="00347854"/>
    <w:rsid w:val="00360BB7"/>
    <w:rsid w:val="0037103A"/>
    <w:rsid w:val="003817C5"/>
    <w:rsid w:val="00383770"/>
    <w:rsid w:val="003901F7"/>
    <w:rsid w:val="003A4140"/>
    <w:rsid w:val="003C04B7"/>
    <w:rsid w:val="003C3C83"/>
    <w:rsid w:val="003C6FFD"/>
    <w:rsid w:val="003D41FF"/>
    <w:rsid w:val="003D5192"/>
    <w:rsid w:val="003D6EBE"/>
    <w:rsid w:val="003E028A"/>
    <w:rsid w:val="003E1DFE"/>
    <w:rsid w:val="003E2061"/>
    <w:rsid w:val="003E2EDF"/>
    <w:rsid w:val="003E7B05"/>
    <w:rsid w:val="00405E59"/>
    <w:rsid w:val="00414517"/>
    <w:rsid w:val="00456151"/>
    <w:rsid w:val="004606E6"/>
    <w:rsid w:val="00464B5F"/>
    <w:rsid w:val="00481ADF"/>
    <w:rsid w:val="00486430"/>
    <w:rsid w:val="004C4341"/>
    <w:rsid w:val="004E439F"/>
    <w:rsid w:val="004F4C5F"/>
    <w:rsid w:val="00501D1A"/>
    <w:rsid w:val="0050576E"/>
    <w:rsid w:val="00510BF7"/>
    <w:rsid w:val="0051733D"/>
    <w:rsid w:val="0051794D"/>
    <w:rsid w:val="00520D6E"/>
    <w:rsid w:val="00527341"/>
    <w:rsid w:val="0053027E"/>
    <w:rsid w:val="0053075D"/>
    <w:rsid w:val="00536FC1"/>
    <w:rsid w:val="00542B92"/>
    <w:rsid w:val="00551452"/>
    <w:rsid w:val="005552A9"/>
    <w:rsid w:val="00561EA2"/>
    <w:rsid w:val="00562BA3"/>
    <w:rsid w:val="00570D34"/>
    <w:rsid w:val="005771EC"/>
    <w:rsid w:val="00577E6A"/>
    <w:rsid w:val="00577EA0"/>
    <w:rsid w:val="00591BFA"/>
    <w:rsid w:val="0059507B"/>
    <w:rsid w:val="005959A8"/>
    <w:rsid w:val="005A2345"/>
    <w:rsid w:val="005B715A"/>
    <w:rsid w:val="005C2165"/>
    <w:rsid w:val="005C6ED9"/>
    <w:rsid w:val="00600FD2"/>
    <w:rsid w:val="00602AEC"/>
    <w:rsid w:val="00616404"/>
    <w:rsid w:val="00631B21"/>
    <w:rsid w:val="0066108D"/>
    <w:rsid w:val="00666B37"/>
    <w:rsid w:val="00672181"/>
    <w:rsid w:val="00674D68"/>
    <w:rsid w:val="006A4CD5"/>
    <w:rsid w:val="006B3481"/>
    <w:rsid w:val="006B570A"/>
    <w:rsid w:val="006B7709"/>
    <w:rsid w:val="006C67EB"/>
    <w:rsid w:val="006D1978"/>
    <w:rsid w:val="006E239E"/>
    <w:rsid w:val="006F5356"/>
    <w:rsid w:val="007036AC"/>
    <w:rsid w:val="007049FE"/>
    <w:rsid w:val="00731002"/>
    <w:rsid w:val="00752697"/>
    <w:rsid w:val="00752D46"/>
    <w:rsid w:val="0075456D"/>
    <w:rsid w:val="007545CC"/>
    <w:rsid w:val="00756930"/>
    <w:rsid w:val="007636D5"/>
    <w:rsid w:val="00774552"/>
    <w:rsid w:val="007822C2"/>
    <w:rsid w:val="00790865"/>
    <w:rsid w:val="007B5C50"/>
    <w:rsid w:val="007C1E7A"/>
    <w:rsid w:val="007C7594"/>
    <w:rsid w:val="007D248F"/>
    <w:rsid w:val="007D37DD"/>
    <w:rsid w:val="007E6E63"/>
    <w:rsid w:val="0080266D"/>
    <w:rsid w:val="008033F1"/>
    <w:rsid w:val="00806E5F"/>
    <w:rsid w:val="00826617"/>
    <w:rsid w:val="00844099"/>
    <w:rsid w:val="0084510E"/>
    <w:rsid w:val="0084687D"/>
    <w:rsid w:val="008572C2"/>
    <w:rsid w:val="0086150E"/>
    <w:rsid w:val="00861F65"/>
    <w:rsid w:val="00871C3E"/>
    <w:rsid w:val="00873496"/>
    <w:rsid w:val="00883CD2"/>
    <w:rsid w:val="00885D16"/>
    <w:rsid w:val="008874F3"/>
    <w:rsid w:val="00895D35"/>
    <w:rsid w:val="00896CC5"/>
    <w:rsid w:val="008D0A4C"/>
    <w:rsid w:val="008D417A"/>
    <w:rsid w:val="008E3B03"/>
    <w:rsid w:val="008F144A"/>
    <w:rsid w:val="008F713F"/>
    <w:rsid w:val="008F7CEC"/>
    <w:rsid w:val="0090300E"/>
    <w:rsid w:val="00904E5E"/>
    <w:rsid w:val="0090641F"/>
    <w:rsid w:val="009071E0"/>
    <w:rsid w:val="00924DD0"/>
    <w:rsid w:val="00925D26"/>
    <w:rsid w:val="009313BD"/>
    <w:rsid w:val="00943B61"/>
    <w:rsid w:val="00973A0D"/>
    <w:rsid w:val="009912C4"/>
    <w:rsid w:val="00992D4E"/>
    <w:rsid w:val="00995AA0"/>
    <w:rsid w:val="00996A2B"/>
    <w:rsid w:val="009B3A6A"/>
    <w:rsid w:val="009C211E"/>
    <w:rsid w:val="009C705A"/>
    <w:rsid w:val="009C77E7"/>
    <w:rsid w:val="009E7DEC"/>
    <w:rsid w:val="00A00017"/>
    <w:rsid w:val="00A00261"/>
    <w:rsid w:val="00A02915"/>
    <w:rsid w:val="00A07A2A"/>
    <w:rsid w:val="00A23AD5"/>
    <w:rsid w:val="00A32581"/>
    <w:rsid w:val="00A345DF"/>
    <w:rsid w:val="00A420F7"/>
    <w:rsid w:val="00A50DED"/>
    <w:rsid w:val="00A50E32"/>
    <w:rsid w:val="00A5743D"/>
    <w:rsid w:val="00A6532E"/>
    <w:rsid w:val="00A7267C"/>
    <w:rsid w:val="00A72CD5"/>
    <w:rsid w:val="00A750C4"/>
    <w:rsid w:val="00A87B2F"/>
    <w:rsid w:val="00A92B83"/>
    <w:rsid w:val="00AA209C"/>
    <w:rsid w:val="00AA2CC9"/>
    <w:rsid w:val="00AA6799"/>
    <w:rsid w:val="00AB34EE"/>
    <w:rsid w:val="00AB48C8"/>
    <w:rsid w:val="00AB6587"/>
    <w:rsid w:val="00AC3D32"/>
    <w:rsid w:val="00AD3049"/>
    <w:rsid w:val="00AD76E1"/>
    <w:rsid w:val="00AF2951"/>
    <w:rsid w:val="00AF561D"/>
    <w:rsid w:val="00B10F10"/>
    <w:rsid w:val="00B11D20"/>
    <w:rsid w:val="00B40CA4"/>
    <w:rsid w:val="00B40F70"/>
    <w:rsid w:val="00B41A8A"/>
    <w:rsid w:val="00B471D4"/>
    <w:rsid w:val="00B613AF"/>
    <w:rsid w:val="00B62012"/>
    <w:rsid w:val="00B7290A"/>
    <w:rsid w:val="00B74432"/>
    <w:rsid w:val="00B81ADF"/>
    <w:rsid w:val="00B91480"/>
    <w:rsid w:val="00BB3E9B"/>
    <w:rsid w:val="00BB5E62"/>
    <w:rsid w:val="00BC6A16"/>
    <w:rsid w:val="00BE55FA"/>
    <w:rsid w:val="00BF0AA3"/>
    <w:rsid w:val="00C00F0F"/>
    <w:rsid w:val="00C02F97"/>
    <w:rsid w:val="00C06C44"/>
    <w:rsid w:val="00C1092B"/>
    <w:rsid w:val="00C3677F"/>
    <w:rsid w:val="00C36A72"/>
    <w:rsid w:val="00C72447"/>
    <w:rsid w:val="00C810B7"/>
    <w:rsid w:val="00C93323"/>
    <w:rsid w:val="00CA296C"/>
    <w:rsid w:val="00CB645C"/>
    <w:rsid w:val="00CC5720"/>
    <w:rsid w:val="00CD5761"/>
    <w:rsid w:val="00CE3B2C"/>
    <w:rsid w:val="00CE67CB"/>
    <w:rsid w:val="00CE7FB6"/>
    <w:rsid w:val="00D111D3"/>
    <w:rsid w:val="00D25990"/>
    <w:rsid w:val="00D35C6C"/>
    <w:rsid w:val="00D3708B"/>
    <w:rsid w:val="00D4069A"/>
    <w:rsid w:val="00D73751"/>
    <w:rsid w:val="00D773E4"/>
    <w:rsid w:val="00D83C37"/>
    <w:rsid w:val="00D84495"/>
    <w:rsid w:val="00D8491C"/>
    <w:rsid w:val="00D86521"/>
    <w:rsid w:val="00D921E9"/>
    <w:rsid w:val="00DA703C"/>
    <w:rsid w:val="00DC0F95"/>
    <w:rsid w:val="00DC1D8C"/>
    <w:rsid w:val="00DC5031"/>
    <w:rsid w:val="00DC6731"/>
    <w:rsid w:val="00DD7D9C"/>
    <w:rsid w:val="00DE71FD"/>
    <w:rsid w:val="00DF6524"/>
    <w:rsid w:val="00E01FA7"/>
    <w:rsid w:val="00E02575"/>
    <w:rsid w:val="00E040C5"/>
    <w:rsid w:val="00E0577D"/>
    <w:rsid w:val="00E05F92"/>
    <w:rsid w:val="00E11A5C"/>
    <w:rsid w:val="00E41C07"/>
    <w:rsid w:val="00E452D8"/>
    <w:rsid w:val="00E45ACA"/>
    <w:rsid w:val="00E51DEE"/>
    <w:rsid w:val="00E55E6A"/>
    <w:rsid w:val="00E62AD8"/>
    <w:rsid w:val="00E66638"/>
    <w:rsid w:val="00E72271"/>
    <w:rsid w:val="00E73E93"/>
    <w:rsid w:val="00E74079"/>
    <w:rsid w:val="00E93627"/>
    <w:rsid w:val="00EB6A0A"/>
    <w:rsid w:val="00ED1E2E"/>
    <w:rsid w:val="00ED7540"/>
    <w:rsid w:val="00EE73DC"/>
    <w:rsid w:val="00EF09E1"/>
    <w:rsid w:val="00EF7875"/>
    <w:rsid w:val="00F203D1"/>
    <w:rsid w:val="00F344D6"/>
    <w:rsid w:val="00F378D4"/>
    <w:rsid w:val="00F44907"/>
    <w:rsid w:val="00F550D8"/>
    <w:rsid w:val="00F55D45"/>
    <w:rsid w:val="00F64106"/>
    <w:rsid w:val="00F64660"/>
    <w:rsid w:val="00F64997"/>
    <w:rsid w:val="00F67B28"/>
    <w:rsid w:val="00F71A6A"/>
    <w:rsid w:val="00F72FB9"/>
    <w:rsid w:val="00F76B25"/>
    <w:rsid w:val="00F83897"/>
    <w:rsid w:val="00FA32DF"/>
    <w:rsid w:val="00FB3F1A"/>
    <w:rsid w:val="00FC0902"/>
    <w:rsid w:val="00FC0A8C"/>
    <w:rsid w:val="00FE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napToGrid w:val="0"/>
      <w:sz w:val="24"/>
      <w:lang w:val="en-GB" w:eastAsia="zh-CN"/>
    </w:rPr>
  </w:style>
  <w:style w:type="paragraph" w:styleId="Heading1">
    <w:name w:val="heading 1"/>
    <w:basedOn w:val="Normal"/>
    <w:next w:val="Normal"/>
    <w:qFormat/>
    <w:pPr>
      <w:keepNext/>
      <w:spacing w:before="360" w:after="240"/>
      <w:jc w:val="center"/>
      <w:outlineLvl w:val="0"/>
    </w:pPr>
    <w:rPr>
      <w:b/>
      <w:sz w:val="28"/>
    </w:rPr>
  </w:style>
  <w:style w:type="paragraph" w:styleId="Heading2">
    <w:name w:val="heading 2"/>
    <w:basedOn w:val="Normal"/>
    <w:next w:val="Normal"/>
    <w:qFormat/>
    <w:pPr>
      <w:keepNext/>
      <w:spacing w:before="240" w:after="120"/>
      <w:ind w:left="284" w:hanging="284"/>
      <w:outlineLvl w:val="1"/>
    </w:pPr>
    <w:rPr>
      <w:b/>
    </w:rPr>
  </w:style>
  <w:style w:type="paragraph" w:styleId="Heading3">
    <w:name w:val="heading 3"/>
    <w:basedOn w:val="Normal"/>
    <w:next w:val="Normal"/>
    <w:qFormat/>
    <w:pPr>
      <w:keepNext/>
      <w:spacing w:before="120" w:after="60"/>
      <w:ind w:left="1418" w:hanging="851"/>
      <w:outlineLvl w:val="2"/>
    </w:pPr>
    <w:rPr>
      <w:i/>
    </w:rPr>
  </w:style>
  <w:style w:type="paragraph" w:styleId="Heading4">
    <w:name w:val="heading 4"/>
    <w:basedOn w:val="Normal"/>
    <w:next w:val="Normal"/>
    <w:qFormat/>
    <w:pPr>
      <w:widowControl w:val="0"/>
      <w:outlineLvl w:val="3"/>
    </w:pPr>
    <w:rPr>
      <w:lang w:val="en-US"/>
    </w:rPr>
  </w:style>
  <w:style w:type="paragraph" w:styleId="Heading5">
    <w:name w:val="heading 5"/>
    <w:basedOn w:val="Normal"/>
    <w:next w:val="Normal"/>
    <w:qFormat/>
    <w:pPr>
      <w:widowControl w:val="0"/>
      <w:outlineLvl w:val="4"/>
    </w:pPr>
    <w:rPr>
      <w:lang w:val="en-US"/>
    </w:rPr>
  </w:style>
  <w:style w:type="paragraph" w:styleId="Heading6">
    <w:name w:val="heading 6"/>
    <w:basedOn w:val="Normal"/>
    <w:next w:val="Normal"/>
    <w:qFormat/>
    <w:pPr>
      <w:widowControl w:val="0"/>
      <w:outlineLvl w:val="5"/>
    </w:pPr>
    <w:rPr>
      <w:lang w:val="en-US"/>
    </w:rPr>
  </w:style>
  <w:style w:type="paragraph" w:styleId="Heading7">
    <w:name w:val="heading 7"/>
    <w:basedOn w:val="Normal"/>
    <w:next w:val="Normal"/>
    <w:qFormat/>
    <w:pPr>
      <w:widowControl w:val="0"/>
      <w:outlineLvl w:val="6"/>
    </w:pPr>
    <w:rPr>
      <w:lang w:val="en-US"/>
    </w:rPr>
  </w:style>
  <w:style w:type="paragraph" w:styleId="Heading8">
    <w:name w:val="heading 8"/>
    <w:basedOn w:val="Normal"/>
    <w:next w:val="Normal"/>
    <w:qFormat/>
    <w:pPr>
      <w:widowControl w:val="0"/>
      <w:outlineLvl w:val="7"/>
    </w:pPr>
    <w:rPr>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piHA">
    <w:name w:val="Opi_H_A"/>
    <w:basedOn w:val="a"/>
    <w:next w:val="OpiPara"/>
    <w:pPr>
      <w:tabs>
        <w:tab w:val="clear" w:pos="357"/>
      </w:tabs>
    </w:pPr>
    <w:rPr>
      <w:b/>
    </w:rPr>
  </w:style>
  <w:style w:type="paragraph" w:customStyle="1" w:styleId="a">
    <w:basedOn w:val="JuHHead"/>
    <w:next w:val="a0"/>
    <w:link w:val="CommentReference"/>
    <w:pPr>
      <w:tabs>
        <w:tab w:val="left" w:pos="357"/>
      </w:tabs>
      <w:spacing w:before="360"/>
      <w:ind w:left="357" w:hanging="357"/>
    </w:pPr>
    <w:rPr>
      <w:sz w:val="24"/>
    </w:rPr>
  </w:style>
  <w:style w:type="paragraph" w:customStyle="1" w:styleId="JuHHead">
    <w:name w:val="Ju_H_Head"/>
    <w:basedOn w:val="Normal"/>
    <w:next w:val="a0"/>
    <w:pPr>
      <w:keepNext/>
      <w:keepLines/>
      <w:spacing w:before="720" w:after="240"/>
      <w:jc w:val="both"/>
    </w:pPr>
    <w:rPr>
      <w:sz w:val="28"/>
    </w:rPr>
  </w:style>
  <w:style w:type="paragraph" w:customStyle="1" w:styleId="a0">
    <w:basedOn w:val="Normal"/>
    <w:link w:val="PageNumber"/>
    <w:pPr>
      <w:ind w:firstLine="284"/>
      <w:jc w:val="both"/>
    </w:pPr>
  </w:style>
  <w:style w:type="character" w:customStyle="1" w:styleId="JuPara1">
    <w:name w:val="Ju_Para1"/>
    <w:aliases w:val="Left1,First line:  0 cm Знак Знак Знак Знак Знак Знак Знак Знак Знак"/>
    <w:rPr>
      <w:rFonts w:cs="Times New Roman"/>
      <w:sz w:val="24"/>
      <w:lang w:val="en-GB" w:bidi="ar-SA"/>
    </w:rPr>
  </w:style>
  <w:style w:type="character" w:customStyle="1" w:styleId="JuHIRoman">
    <w:name w:val="Ju_H_I_Roman Знак"/>
    <w:rPr>
      <w:rFonts w:cs="Times New Roman"/>
      <w:sz w:val="24"/>
      <w:lang w:val="en-GB" w:bidi="ar-SA"/>
    </w:rPr>
  </w:style>
  <w:style w:type="paragraph" w:customStyle="1" w:styleId="OpiPara">
    <w:name w:val="Opi_Para"/>
    <w:basedOn w:val="a0"/>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1"/>
    <w:next w:val="OpiPara"/>
    <w:pPr>
      <w:ind w:left="834"/>
    </w:pPr>
    <w:rPr>
      <w:b/>
      <w:i w:val="0"/>
      <w:sz w:val="20"/>
    </w:rPr>
  </w:style>
  <w:style w:type="paragraph" w:customStyle="1" w:styleId="OpiHHead">
    <w:name w:val="Opi_H_Head"/>
    <w:basedOn w:val="JuHHead"/>
    <w:next w:val="OpiPara"/>
    <w:pPr>
      <w:spacing w:before="0"/>
      <w:jc w:val="center"/>
    </w:pPr>
  </w:style>
  <w:style w:type="paragraph" w:customStyle="1" w:styleId="OpiHi">
    <w:name w:val="Opi_H_i"/>
    <w:basedOn w:val="OpiHa0"/>
    <w:next w:val="OpiPara"/>
    <w:pPr>
      <w:ind w:left="1038"/>
    </w:pPr>
    <w:rPr>
      <w:b w:val="0"/>
      <w:i/>
    </w:rPr>
  </w:style>
  <w:style w:type="paragraph" w:styleId="Footer">
    <w:name w:val="footer"/>
    <w:basedOn w:val="Normal"/>
    <w:pPr>
      <w:tabs>
        <w:tab w:val="center" w:pos="3686"/>
        <w:tab w:val="right" w:pos="7371"/>
      </w:tabs>
    </w:pPr>
    <w:rPr>
      <w:sz w:val="18"/>
    </w:rPr>
  </w:style>
  <w:style w:type="paragraph" w:customStyle="1" w:styleId="JuJudges">
    <w:name w:val="Ju_Judges"/>
    <w:basedOn w:val="Normal"/>
    <w:pPr>
      <w:tabs>
        <w:tab w:val="left" w:pos="567"/>
        <w:tab w:val="left" w:pos="1134"/>
      </w:tabs>
    </w:pPr>
  </w:style>
  <w:style w:type="character" w:customStyle="1" w:styleId="JuParaChar">
    <w:name w:val="Ju_Para Char"/>
    <w:rPr>
      <w:rFonts w:cs="Times New Roman"/>
      <w:sz w:val="24"/>
      <w:lang w:val="en-GB" w:bidi="ar-SA"/>
    </w:rPr>
  </w:style>
  <w:style w:type="paragraph" w:customStyle="1" w:styleId="JuHA">
    <w:name w:val="Ju_H_A"/>
    <w:basedOn w:val="a"/>
    <w:next w:val="a0"/>
    <w:pPr>
      <w:tabs>
        <w:tab w:val="clear" w:pos="357"/>
        <w:tab w:val="left" w:pos="584"/>
      </w:tabs>
      <w:ind w:left="584" w:hanging="352"/>
    </w:pPr>
    <w:rPr>
      <w:b/>
    </w:rPr>
  </w:style>
  <w:style w:type="paragraph" w:customStyle="1" w:styleId="JuQuot">
    <w:name w:val="Ju_Quot"/>
    <w:basedOn w:val="a0"/>
    <w:pPr>
      <w:spacing w:before="120" w:after="120"/>
      <w:ind w:left="425" w:firstLine="142"/>
    </w:pPr>
    <w:rPr>
      <w:sz w:val="20"/>
    </w:rPr>
  </w:style>
  <w:style w:type="paragraph" w:customStyle="1" w:styleId="JuSigned">
    <w:name w:val="Ju_Signed"/>
    <w:basedOn w:val="Normal"/>
    <w:next w:val="JuParaLast"/>
    <w:pPr>
      <w:tabs>
        <w:tab w:val="center" w:pos="1219"/>
        <w:tab w:val="center" w:pos="6379"/>
      </w:tabs>
      <w:spacing w:before="720"/>
    </w:pPr>
  </w:style>
  <w:style w:type="paragraph" w:customStyle="1" w:styleId="JuParaLast">
    <w:name w:val="Ju_Para_Last"/>
    <w:basedOn w:val="a0"/>
    <w:next w:val="a0"/>
    <w:pPr>
      <w:spacing w:before="240"/>
    </w:pPr>
  </w:style>
  <w:style w:type="paragraph" w:customStyle="1" w:styleId="JuCase">
    <w:name w:val="Ju_Case"/>
    <w:basedOn w:val="a0"/>
    <w:next w:val="a0"/>
    <w:rPr>
      <w:b/>
    </w:rPr>
  </w:style>
  <w:style w:type="paragraph" w:customStyle="1" w:styleId="JuList">
    <w:name w:val="Ju_List"/>
    <w:basedOn w:val="a0"/>
    <w:pPr>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1"/>
    <w:next w:val="a0"/>
    <w:pPr>
      <w:tabs>
        <w:tab w:val="clear" w:pos="731"/>
        <w:tab w:val="left" w:pos="975"/>
      </w:tabs>
      <w:ind w:left="975" w:hanging="340"/>
    </w:pPr>
    <w:rPr>
      <w:b/>
      <w:i w:val="0"/>
      <w:sz w:val="20"/>
    </w:rPr>
  </w:style>
  <w:style w:type="paragraph" w:customStyle="1" w:styleId="JuH1">
    <w:name w:val="Ju_H_1."/>
    <w:basedOn w:val="JuHA"/>
    <w:next w:val="a0"/>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style>
  <w:style w:type="paragraph" w:customStyle="1" w:styleId="OpiTranslation">
    <w:name w:val="Opi_Translation"/>
    <w:basedOn w:val="OpiHHead"/>
    <w:next w:val="OpiPara"/>
    <w:rPr>
      <w:sz w:val="24"/>
    </w:rPr>
  </w:style>
  <w:style w:type="paragraph" w:styleId="FootnoteText">
    <w:name w:val="footnote text"/>
    <w:basedOn w:val="Normal"/>
    <w:semiHidden/>
    <w:pPr>
      <w:jc w:val="both"/>
    </w:pPr>
    <w:rPr>
      <w:sz w:val="20"/>
    </w:rPr>
  </w:style>
  <w:style w:type="character" w:styleId="FootnoteReference">
    <w:name w:val="footnote reference"/>
    <w:semiHidden/>
    <w:rPr>
      <w:rFonts w:cs="Times New Roman"/>
      <w:vertAlign w:val="superscript"/>
    </w:rPr>
  </w:style>
  <w:style w:type="paragraph" w:customStyle="1" w:styleId="JuHi">
    <w:name w:val="Ju_H_i"/>
    <w:basedOn w:val="JuHa0"/>
    <w:next w:val="a0"/>
    <w:pPr>
      <w:tabs>
        <w:tab w:val="clear" w:pos="975"/>
        <w:tab w:val="left" w:pos="1191"/>
      </w:tabs>
      <w:ind w:left="1190" w:hanging="357"/>
    </w:pPr>
    <w:rPr>
      <w:b w:val="0"/>
      <w:i/>
    </w:rPr>
  </w:style>
  <w:style w:type="paragraph" w:styleId="Header">
    <w:name w:val="header"/>
    <w:basedOn w:val="Normal"/>
    <w:pPr>
      <w:tabs>
        <w:tab w:val="center" w:pos="3686"/>
        <w:tab w:val="right" w:pos="7371"/>
      </w:tabs>
    </w:pPr>
    <w:rPr>
      <w:sz w:val="18"/>
    </w:rPr>
  </w:style>
  <w:style w:type="character" w:styleId="PageNumber">
    <w:name w:val="page number"/>
    <w:aliases w:val=" Char Char1"/>
    <w:link w:val="a0"/>
    <w:rPr>
      <w:rFonts w:cs="Times New Roman"/>
      <w:sz w:val="18"/>
    </w:rPr>
  </w:style>
  <w:style w:type="paragraph" w:customStyle="1" w:styleId="JuH">
    <w:name w:val="Ju_H_–"/>
    <w:basedOn w:val="JuHalpha"/>
    <w:next w:val="a0"/>
    <w:pPr>
      <w:tabs>
        <w:tab w:val="clear" w:pos="1372"/>
      </w:tabs>
      <w:ind w:left="1236" w:firstLine="0"/>
    </w:pPr>
    <w:rPr>
      <w:i/>
    </w:rPr>
  </w:style>
  <w:style w:type="paragraph" w:customStyle="1" w:styleId="JuHalpha">
    <w:name w:val="Ju_H_alpha"/>
    <w:basedOn w:val="JuHi"/>
    <w:next w:val="a0"/>
    <w:pPr>
      <w:tabs>
        <w:tab w:val="clear" w:pos="1191"/>
        <w:tab w:val="left" w:pos="1372"/>
      </w:tabs>
      <w:ind w:left="1373" w:hanging="335"/>
    </w:pPr>
    <w:rPr>
      <w:i w:val="0"/>
    </w:rPr>
  </w:style>
  <w:style w:type="paragraph" w:customStyle="1" w:styleId="JuLista">
    <w:name w:val="Ju_List_a"/>
    <w:basedOn w:val="JuList"/>
    <w:pPr>
      <w:ind w:left="346" w:firstLine="0"/>
    </w:pPr>
  </w:style>
  <w:style w:type="paragraph" w:customStyle="1" w:styleId="JuListi">
    <w:name w:val="Ju_List_i"/>
    <w:basedOn w:val="JuLista"/>
    <w:pPr>
      <w:ind w:left="794"/>
    </w:pPr>
  </w:style>
  <w:style w:type="character" w:styleId="CommentReference">
    <w:name w:val="annotation reference"/>
    <w:aliases w:val=" Char Char"/>
    <w:link w:val="a"/>
    <w:semiHidden/>
    <w:rPr>
      <w:rFonts w:cs="Times New Roman"/>
      <w:sz w:val="16"/>
    </w:rPr>
  </w:style>
  <w:style w:type="paragraph" w:styleId="CommentText">
    <w:name w:val="annotation text"/>
    <w:basedOn w:val="Normal"/>
    <w:semiHidden/>
    <w:rPr>
      <w:sz w:val="20"/>
    </w:rPr>
  </w:style>
  <w:style w:type="paragraph" w:customStyle="1" w:styleId="JuInitialled">
    <w:name w:val="Ju_Initialled"/>
    <w:basedOn w:val="JuSigned"/>
    <w:pPr>
      <w:jc w:val="right"/>
    </w:pPr>
  </w:style>
  <w:style w:type="paragraph" w:customStyle="1" w:styleId="JuHeader">
    <w:name w:val="Ju_Header"/>
    <w:basedOn w:val="Heade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a0"/>
    <w:rPr>
      <w:sz w:val="24"/>
    </w:rPr>
  </w:style>
  <w:style w:type="paragraph" w:customStyle="1" w:styleId="DecList">
    <w:name w:val="Dec_List"/>
    <w:basedOn w:val="Normal"/>
    <w:pPr>
      <w:spacing w:before="240"/>
      <w:ind w:left="284"/>
      <w:jc w:val="both"/>
    </w:pPr>
  </w:style>
  <w:style w:type="paragraph" w:customStyle="1" w:styleId="JuParaSub">
    <w:name w:val="Ju_Para_Sub"/>
    <w:basedOn w:val="a0"/>
    <w:pPr>
      <w:ind w:left="284"/>
    </w:pPr>
    <w:rPr>
      <w:szCs w:val="24"/>
    </w:rPr>
  </w:style>
  <w:style w:type="paragraph" w:customStyle="1" w:styleId="JuQuotSub">
    <w:name w:val="Ju_Quot_Sub"/>
    <w:basedOn w:val="JuQuot"/>
    <w:pPr>
      <w:ind w:left="567"/>
    </w:pPr>
  </w:style>
  <w:style w:type="paragraph" w:styleId="BalloonText">
    <w:name w:val="Balloon Text"/>
    <w:basedOn w:val="Normal"/>
    <w:semiHidden/>
    <w:rPr>
      <w:sz w:val="16"/>
      <w:szCs w:val="16"/>
    </w:rPr>
  </w:style>
  <w:style w:type="paragraph" w:styleId="CommentSubject">
    <w:name w:val="annotation subject"/>
    <w:basedOn w:val="CommentText"/>
    <w:next w:val="CommentText"/>
    <w:semiHidden/>
    <w:rPr>
      <w:b/>
      <w:bCs/>
    </w:rPr>
  </w:style>
  <w:style w:type="paragraph" w:customStyle="1" w:styleId="PJuPara">
    <w:name w:val="P_Ju_Para"/>
    <w:basedOn w:val="Normal"/>
    <w:pPr>
      <w:ind w:firstLine="284"/>
      <w:jc w:val="both"/>
    </w:pPr>
  </w:style>
  <w:style w:type="paragraph" w:customStyle="1" w:styleId="PJuQuot">
    <w:name w:val="P_Ju_Quot"/>
    <w:basedOn w:val="Normal"/>
    <w:pPr>
      <w:spacing w:before="120" w:after="120"/>
      <w:ind w:left="403" w:firstLine="176"/>
      <w:jc w:val="both"/>
    </w:pPr>
    <w:rPr>
      <w:sz w:val="20"/>
    </w:rPr>
  </w:style>
  <w:style w:type="paragraph" w:customStyle="1" w:styleId="PListArticleSubject">
    <w:name w:val="P_List_ArticleSubject"/>
    <w:basedOn w:val="Normal"/>
    <w:pPr>
      <w:tabs>
        <w:tab w:val="left" w:pos="2977"/>
      </w:tabs>
      <w:ind w:left="2977" w:hanging="2977"/>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next w:val="Normal"/>
    <w:pPr>
      <w:spacing w:before="240"/>
    </w:pPr>
    <w:rPr>
      <w:sz w:val="18"/>
    </w:rPr>
  </w:style>
  <w:style w:type="paragraph" w:customStyle="1" w:styleId="SuPara">
    <w:name w:val="Su_Para"/>
    <w:basedOn w:val="SuKeywords"/>
    <w:pPr>
      <w:spacing w:before="0" w:after="0"/>
    </w:pPr>
    <w:rPr>
      <w:i w:val="0"/>
    </w:rPr>
  </w:style>
  <w:style w:type="paragraph" w:customStyle="1" w:styleId="SuKeywords">
    <w:name w:val="Su_Keywords"/>
    <w:basedOn w:val="SuHHead"/>
    <w:pPr>
      <w:spacing w:before="120"/>
    </w:pPr>
    <w:rPr>
      <w:b w:val="0"/>
      <w:i/>
    </w:rPr>
  </w:style>
  <w:style w:type="paragraph" w:customStyle="1" w:styleId="SuHHead">
    <w:name w:val="Su_H_Head"/>
    <w:basedOn w:val="SuSubject"/>
    <w:pPr>
      <w:spacing w:after="120"/>
    </w:pPr>
  </w:style>
  <w:style w:type="paragraph" w:customStyle="1" w:styleId="SuSubject">
    <w:name w:val="Su_Subject"/>
    <w:basedOn w:val="SuSummary"/>
    <w:pPr>
      <w:spacing w:before="360"/>
      <w:jc w:val="both"/>
    </w:pPr>
    <w:rPr>
      <w:b/>
      <w:sz w:val="22"/>
    </w:rPr>
  </w:style>
  <w:style w:type="paragraph" w:customStyle="1" w:styleId="SuSummary">
    <w:name w:val="Su_Summary"/>
    <w:basedOn w:val="Normal"/>
    <w:next w:val="SuSubject"/>
    <w:pPr>
      <w:spacing w:after="240"/>
      <w:jc w:val="center"/>
    </w:pPr>
  </w:style>
  <w:style w:type="paragraph" w:customStyle="1" w:styleId="PListCaseNo">
    <w:name w:val="P_List_CaseNo"/>
    <w:basedOn w:val="Normal"/>
    <w:pPr>
      <w:tabs>
        <w:tab w:val="left" w:pos="1276"/>
      </w:tabs>
      <w:spacing w:line="288" w:lineRule="auto"/>
      <w:ind w:left="1276" w:hanging="1276"/>
    </w:pPr>
  </w:style>
  <w:style w:type="paragraph" w:customStyle="1" w:styleId="PListCases">
    <w:name w:val="P_List_Cases"/>
    <w:basedOn w:val="Normal"/>
    <w:pPr>
      <w:spacing w:line="288" w:lineRule="auto"/>
    </w:pPr>
  </w:style>
  <w:style w:type="paragraph" w:customStyle="1" w:styleId="PTextIntro">
    <w:name w:val="P_Text_Intro"/>
    <w:basedOn w:val="Normal"/>
    <w:pPr>
      <w:jc w:val="both"/>
    </w:pPr>
    <w:rPr>
      <w:i/>
      <w:sz w:val="20"/>
    </w:rPr>
  </w:style>
  <w:style w:type="paragraph" w:customStyle="1" w:styleId="PTitleCover">
    <w:name w:val="P_Title_Cover"/>
    <w:basedOn w:val="Normal"/>
    <w:pPr>
      <w:spacing w:before="2500"/>
      <w:jc w:val="center"/>
    </w:pPr>
    <w:rPr>
      <w:b/>
      <w:smallCaps/>
      <w:sz w:val="30"/>
    </w:rPr>
  </w:style>
  <w:style w:type="paragraph" w:customStyle="1" w:styleId="PTitle1Alpha">
    <w:name w:val="P_Title1_Alpha"/>
    <w:basedOn w:val="Normal"/>
    <w:next w:val="Normal"/>
    <w:pPr>
      <w:spacing w:after="120"/>
      <w:jc w:val="center"/>
    </w:pPr>
    <w:rPr>
      <w:b/>
      <w:smallCaps/>
      <w:sz w:val="30"/>
    </w:rPr>
  </w:style>
  <w:style w:type="paragraph" w:customStyle="1" w:styleId="PTitle1IndexArticle">
    <w:name w:val="P_Title1_IndexArticle"/>
    <w:basedOn w:val="Normal"/>
    <w:pPr>
      <w:spacing w:after="120"/>
      <w:jc w:val="center"/>
    </w:pPr>
    <w:rPr>
      <w:b/>
      <w:smallCaps/>
      <w:sz w:val="30"/>
    </w:rPr>
  </w:style>
  <w:style w:type="paragraph" w:customStyle="1" w:styleId="PTitle1IndexKey">
    <w:name w:val="P_Title1_IndexKey"/>
    <w:basedOn w:val="Normal"/>
    <w:pPr>
      <w:spacing w:after="600"/>
      <w:jc w:val="center"/>
    </w:pPr>
    <w:rPr>
      <w:b/>
      <w:smallCaps/>
      <w:sz w:val="30"/>
    </w:rPr>
  </w:style>
  <w:style w:type="paragraph" w:customStyle="1" w:styleId="PTitle1Num">
    <w:name w:val="P_Title1_Num"/>
    <w:basedOn w:val="Normal"/>
    <w:next w:val="PListCaseNo"/>
    <w:pPr>
      <w:spacing w:after="720"/>
      <w:jc w:val="center"/>
    </w:pPr>
    <w:rPr>
      <w:b/>
      <w:smallCaps/>
      <w:sz w:val="30"/>
    </w:rPr>
  </w:style>
  <w:style w:type="paragraph" w:customStyle="1" w:styleId="PTitle2Country">
    <w:name w:val="P_Title2_Country"/>
    <w:basedOn w:val="Normal"/>
    <w:next w:val="PListCases"/>
    <w:pPr>
      <w:keepNext/>
      <w:keepLines/>
      <w:spacing w:before="600" w:after="360"/>
    </w:pPr>
    <w:rPr>
      <w:b/>
    </w:rPr>
  </w:style>
  <w:style w:type="paragraph" w:customStyle="1" w:styleId="PTitle2Letters">
    <w:name w:val="P_Title2_Letters"/>
    <w:basedOn w:val="Normal"/>
    <w:next w:val="PListCases"/>
    <w:pPr>
      <w:keepNext/>
      <w:keepLines/>
      <w:spacing w:before="600" w:after="360"/>
    </w:pPr>
    <w:rPr>
      <w:b/>
      <w:sz w:val="28"/>
    </w:rPr>
  </w:style>
  <w:style w:type="paragraph" w:customStyle="1" w:styleId="PTitle2Part">
    <w:name w:val="P_Title2_Part"/>
    <w:basedOn w:val="Normal"/>
    <w:pPr>
      <w:keepNext/>
      <w:keepLines/>
      <w:spacing w:before="600" w:after="240"/>
      <w:jc w:val="center"/>
    </w:pPr>
    <w:rPr>
      <w:b/>
      <w:caps/>
    </w:rPr>
  </w:style>
  <w:style w:type="paragraph" w:customStyle="1" w:styleId="PTitle3Article">
    <w:name w:val="P_Title3_Article"/>
    <w:basedOn w:val="Normal"/>
    <w:pPr>
      <w:keepNext/>
      <w:keepLines/>
      <w:spacing w:before="360" w:after="120"/>
      <w:jc w:val="center"/>
    </w:pPr>
    <w:rPr>
      <w:b/>
      <w:smallCaps/>
      <w:sz w:val="22"/>
    </w:rPr>
  </w:style>
  <w:style w:type="paragraph" w:customStyle="1" w:styleId="PTitle4ArticleSub">
    <w:name w:val="P_Title4_Article_Sub"/>
    <w:basedOn w:val="PTitle3Article"/>
    <w:pPr>
      <w:spacing w:before="240"/>
    </w:pPr>
    <w:rPr>
      <w:smallCaps w:val="0"/>
      <w:sz w:val="20"/>
    </w:rPr>
  </w:style>
  <w:style w:type="paragraph" w:customStyle="1" w:styleId="PTitle5Subject">
    <w:name w:val="P_Title5_Subject"/>
    <w:basedOn w:val="Normal"/>
    <w:pPr>
      <w:keepNext/>
      <w:keepLines/>
      <w:spacing w:before="240" w:after="120"/>
      <w:jc w:val="both"/>
    </w:pPr>
    <w:rPr>
      <w:b/>
      <w:i/>
    </w:rPr>
  </w:style>
  <w:style w:type="paragraph" w:customStyle="1" w:styleId="PTitle6SubjectSub">
    <w:name w:val="P_Title6_Subject_Sub"/>
    <w:basedOn w:val="Normal"/>
    <w:pPr>
      <w:keepNext/>
      <w:keepLines/>
      <w:spacing w:before="240" w:after="120"/>
      <w:ind w:left="284"/>
      <w:jc w:val="both"/>
    </w:pPr>
    <w:rPr>
      <w:b/>
      <w:sz w:val="20"/>
    </w:rPr>
  </w:style>
  <w:style w:type="paragraph" w:customStyle="1" w:styleId="PTitle7CaseName">
    <w:name w:val="P_Title7_CaseName"/>
    <w:basedOn w:val="Normal"/>
    <w:pPr>
      <w:keepLines/>
      <w:spacing w:after="240"/>
      <w:jc w:val="right"/>
    </w:pPr>
    <w:rPr>
      <w:sz w:val="22"/>
    </w:rPr>
  </w:style>
  <w:style w:type="paragraph" w:customStyle="1" w:styleId="OpiParaSub">
    <w:name w:val="Opi_Para_Sub"/>
    <w:basedOn w:val="JuParaSub"/>
  </w:style>
  <w:style w:type="paragraph" w:customStyle="1" w:styleId="OpiQuotSub">
    <w:name w:val="Opi_Quot_Sub"/>
    <w:basedOn w:val="JuQuotSub"/>
  </w:style>
  <w:style w:type="character" w:customStyle="1" w:styleId="JuSigned0">
    <w:name w:val="Ju_Signed Знак"/>
    <w:rPr>
      <w:rFonts w:cs="Times New Roman"/>
      <w:sz w:val="24"/>
      <w:lang w:val="en-GB" w:bidi="ar-SA"/>
    </w:rPr>
  </w:style>
  <w:style w:type="character" w:customStyle="1" w:styleId="JuJudges0">
    <w:name w:val="Ju_Judges Знак"/>
    <w:rPr>
      <w:rFonts w:cs="Times New Roman"/>
      <w:sz w:val="24"/>
      <w:lang w:val="en-GB" w:bidi="ar-SA"/>
    </w:rPr>
  </w:style>
  <w:style w:type="character" w:customStyle="1" w:styleId="JuList0">
    <w:name w:val="Ju_List Знак"/>
    <w:basedOn w:val="JuPara1"/>
    <w:rPr>
      <w:rFonts w:cs="Times New Roman"/>
      <w:sz w:val="24"/>
      <w:lang w:val="en-GB" w:bidi="ar-SA"/>
    </w:rPr>
  </w:style>
  <w:style w:type="character" w:styleId="Hyperlink">
    <w:name w:val="Hyperlink"/>
    <w:rPr>
      <w:rFonts w:cs="Times New Roman"/>
      <w:color w:val="0000FF"/>
      <w:u w:val="single"/>
    </w:rPr>
  </w:style>
  <w:style w:type="character" w:customStyle="1" w:styleId="ju-005fpara-002cleft-002cfirst-0020line-003a-0020-00200-0020cm--char">
    <w:name w:val="ju-005fpara-002cleft-002cfirst-0020line-003a-0020-00200-0020cm--char"/>
    <w:rPr>
      <w:rFonts w:cs="Times New Roman"/>
    </w:rPr>
  </w:style>
  <w:style w:type="character" w:customStyle="1" w:styleId="ju-005fpara--char">
    <w:name w:val="ju-005fpara--char"/>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JuJudgesChar">
    <w:name w:val="Ju_Judges Char"/>
    <w:rPr>
      <w:sz w:val="24"/>
      <w:lang w:val="en-GB"/>
    </w:rPr>
  </w:style>
  <w:style w:type="character" w:customStyle="1" w:styleId="JuSignedChar">
    <w:name w:val="Ju_Signed Char Знак Знак Знак Знак Знак Знак Знак Знак Знак Знак Знак Знак Знак Знак Знак Знак Знак Знак Знак Знак Знак"/>
    <w:rPr>
      <w:sz w:val="24"/>
    </w:rPr>
  </w:style>
  <w:style w:type="character" w:customStyle="1" w:styleId="JuParaCar">
    <w:name w:val="Ju_Para Car"/>
    <w:rPr>
      <w:sz w:val="24"/>
    </w:rPr>
  </w:style>
  <w:style w:type="character" w:customStyle="1" w:styleId="Firstline0cm1">
    <w:name w:val="First line:  0 cm Знак Знак Знак Знак Знак Знак Знак Знак Знак1"/>
    <w:rPr>
      <w:sz w:val="24"/>
    </w:rPr>
  </w:style>
  <w:style w:type="character" w:customStyle="1" w:styleId="hps">
    <w:name w:val="hps"/>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napToGrid w:val="0"/>
      <w:sz w:val="24"/>
      <w:lang w:val="en-GB" w:eastAsia="zh-CN"/>
    </w:rPr>
  </w:style>
  <w:style w:type="paragraph" w:styleId="Heading1">
    <w:name w:val="heading 1"/>
    <w:basedOn w:val="Normal"/>
    <w:next w:val="Normal"/>
    <w:qFormat/>
    <w:pPr>
      <w:keepNext/>
      <w:spacing w:before="360" w:after="240"/>
      <w:jc w:val="center"/>
      <w:outlineLvl w:val="0"/>
    </w:pPr>
    <w:rPr>
      <w:b/>
      <w:sz w:val="28"/>
    </w:rPr>
  </w:style>
  <w:style w:type="paragraph" w:styleId="Heading2">
    <w:name w:val="heading 2"/>
    <w:basedOn w:val="Normal"/>
    <w:next w:val="Normal"/>
    <w:qFormat/>
    <w:pPr>
      <w:keepNext/>
      <w:spacing w:before="240" w:after="120"/>
      <w:ind w:left="284" w:hanging="284"/>
      <w:outlineLvl w:val="1"/>
    </w:pPr>
    <w:rPr>
      <w:b/>
    </w:rPr>
  </w:style>
  <w:style w:type="paragraph" w:styleId="Heading3">
    <w:name w:val="heading 3"/>
    <w:basedOn w:val="Normal"/>
    <w:next w:val="Normal"/>
    <w:qFormat/>
    <w:pPr>
      <w:keepNext/>
      <w:spacing w:before="120" w:after="60"/>
      <w:ind w:left="1418" w:hanging="851"/>
      <w:outlineLvl w:val="2"/>
    </w:pPr>
    <w:rPr>
      <w:i/>
    </w:rPr>
  </w:style>
  <w:style w:type="paragraph" w:styleId="Heading4">
    <w:name w:val="heading 4"/>
    <w:basedOn w:val="Normal"/>
    <w:next w:val="Normal"/>
    <w:qFormat/>
    <w:pPr>
      <w:widowControl w:val="0"/>
      <w:outlineLvl w:val="3"/>
    </w:pPr>
    <w:rPr>
      <w:lang w:val="en-US"/>
    </w:rPr>
  </w:style>
  <w:style w:type="paragraph" w:styleId="Heading5">
    <w:name w:val="heading 5"/>
    <w:basedOn w:val="Normal"/>
    <w:next w:val="Normal"/>
    <w:qFormat/>
    <w:pPr>
      <w:widowControl w:val="0"/>
      <w:outlineLvl w:val="4"/>
    </w:pPr>
    <w:rPr>
      <w:lang w:val="en-US"/>
    </w:rPr>
  </w:style>
  <w:style w:type="paragraph" w:styleId="Heading6">
    <w:name w:val="heading 6"/>
    <w:basedOn w:val="Normal"/>
    <w:next w:val="Normal"/>
    <w:qFormat/>
    <w:pPr>
      <w:widowControl w:val="0"/>
      <w:outlineLvl w:val="5"/>
    </w:pPr>
    <w:rPr>
      <w:lang w:val="en-US"/>
    </w:rPr>
  </w:style>
  <w:style w:type="paragraph" w:styleId="Heading7">
    <w:name w:val="heading 7"/>
    <w:basedOn w:val="Normal"/>
    <w:next w:val="Normal"/>
    <w:qFormat/>
    <w:pPr>
      <w:widowControl w:val="0"/>
      <w:outlineLvl w:val="6"/>
    </w:pPr>
    <w:rPr>
      <w:lang w:val="en-US"/>
    </w:rPr>
  </w:style>
  <w:style w:type="paragraph" w:styleId="Heading8">
    <w:name w:val="heading 8"/>
    <w:basedOn w:val="Normal"/>
    <w:next w:val="Normal"/>
    <w:qFormat/>
    <w:pPr>
      <w:widowControl w:val="0"/>
      <w:outlineLvl w:val="7"/>
    </w:pPr>
    <w:rPr>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piHA">
    <w:name w:val="Opi_H_A"/>
    <w:basedOn w:val="a"/>
    <w:next w:val="OpiPara"/>
    <w:pPr>
      <w:tabs>
        <w:tab w:val="clear" w:pos="357"/>
      </w:tabs>
    </w:pPr>
    <w:rPr>
      <w:b/>
    </w:rPr>
  </w:style>
  <w:style w:type="paragraph" w:customStyle="1" w:styleId="a">
    <w:basedOn w:val="JuHHead"/>
    <w:next w:val="a0"/>
    <w:link w:val="CommentReference"/>
    <w:pPr>
      <w:tabs>
        <w:tab w:val="left" w:pos="357"/>
      </w:tabs>
      <w:spacing w:before="360"/>
      <w:ind w:left="357" w:hanging="357"/>
    </w:pPr>
    <w:rPr>
      <w:sz w:val="24"/>
    </w:rPr>
  </w:style>
  <w:style w:type="paragraph" w:customStyle="1" w:styleId="JuHHead">
    <w:name w:val="Ju_H_Head"/>
    <w:basedOn w:val="Normal"/>
    <w:next w:val="a0"/>
    <w:pPr>
      <w:keepNext/>
      <w:keepLines/>
      <w:spacing w:before="720" w:after="240"/>
      <w:jc w:val="both"/>
    </w:pPr>
    <w:rPr>
      <w:sz w:val="28"/>
    </w:rPr>
  </w:style>
  <w:style w:type="paragraph" w:customStyle="1" w:styleId="a0">
    <w:basedOn w:val="Normal"/>
    <w:link w:val="PageNumber"/>
    <w:pPr>
      <w:ind w:firstLine="284"/>
      <w:jc w:val="both"/>
    </w:pPr>
  </w:style>
  <w:style w:type="character" w:customStyle="1" w:styleId="JuPara1">
    <w:name w:val="Ju_Para1"/>
    <w:aliases w:val="Left1,First line:  0 cm Знак Знак Знак Знак Знак Знак Знак Знак Знак"/>
    <w:rPr>
      <w:rFonts w:cs="Times New Roman"/>
      <w:sz w:val="24"/>
      <w:lang w:val="en-GB" w:bidi="ar-SA"/>
    </w:rPr>
  </w:style>
  <w:style w:type="character" w:customStyle="1" w:styleId="JuHIRoman">
    <w:name w:val="Ju_H_I_Roman Знак"/>
    <w:rPr>
      <w:rFonts w:cs="Times New Roman"/>
      <w:sz w:val="24"/>
      <w:lang w:val="en-GB" w:bidi="ar-SA"/>
    </w:rPr>
  </w:style>
  <w:style w:type="paragraph" w:customStyle="1" w:styleId="OpiPara">
    <w:name w:val="Opi_Para"/>
    <w:basedOn w:val="a0"/>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1"/>
    <w:next w:val="OpiPara"/>
    <w:pPr>
      <w:ind w:left="834"/>
    </w:pPr>
    <w:rPr>
      <w:b/>
      <w:i w:val="0"/>
      <w:sz w:val="20"/>
    </w:rPr>
  </w:style>
  <w:style w:type="paragraph" w:customStyle="1" w:styleId="OpiHHead">
    <w:name w:val="Opi_H_Head"/>
    <w:basedOn w:val="JuHHead"/>
    <w:next w:val="OpiPara"/>
    <w:pPr>
      <w:spacing w:before="0"/>
      <w:jc w:val="center"/>
    </w:pPr>
  </w:style>
  <w:style w:type="paragraph" w:customStyle="1" w:styleId="OpiHi">
    <w:name w:val="Opi_H_i"/>
    <w:basedOn w:val="OpiHa0"/>
    <w:next w:val="OpiPara"/>
    <w:pPr>
      <w:ind w:left="1038"/>
    </w:pPr>
    <w:rPr>
      <w:b w:val="0"/>
      <w:i/>
    </w:rPr>
  </w:style>
  <w:style w:type="paragraph" w:styleId="Footer">
    <w:name w:val="footer"/>
    <w:basedOn w:val="Normal"/>
    <w:pPr>
      <w:tabs>
        <w:tab w:val="center" w:pos="3686"/>
        <w:tab w:val="right" w:pos="7371"/>
      </w:tabs>
    </w:pPr>
    <w:rPr>
      <w:sz w:val="18"/>
    </w:rPr>
  </w:style>
  <w:style w:type="paragraph" w:customStyle="1" w:styleId="JuJudges">
    <w:name w:val="Ju_Judges"/>
    <w:basedOn w:val="Normal"/>
    <w:pPr>
      <w:tabs>
        <w:tab w:val="left" w:pos="567"/>
        <w:tab w:val="left" w:pos="1134"/>
      </w:tabs>
    </w:pPr>
  </w:style>
  <w:style w:type="character" w:customStyle="1" w:styleId="JuParaChar">
    <w:name w:val="Ju_Para Char"/>
    <w:rPr>
      <w:rFonts w:cs="Times New Roman"/>
      <w:sz w:val="24"/>
      <w:lang w:val="en-GB" w:bidi="ar-SA"/>
    </w:rPr>
  </w:style>
  <w:style w:type="paragraph" w:customStyle="1" w:styleId="JuHA">
    <w:name w:val="Ju_H_A"/>
    <w:basedOn w:val="a"/>
    <w:next w:val="a0"/>
    <w:pPr>
      <w:tabs>
        <w:tab w:val="clear" w:pos="357"/>
        <w:tab w:val="left" w:pos="584"/>
      </w:tabs>
      <w:ind w:left="584" w:hanging="352"/>
    </w:pPr>
    <w:rPr>
      <w:b/>
    </w:rPr>
  </w:style>
  <w:style w:type="paragraph" w:customStyle="1" w:styleId="JuQuot">
    <w:name w:val="Ju_Quot"/>
    <w:basedOn w:val="a0"/>
    <w:pPr>
      <w:spacing w:before="120" w:after="120"/>
      <w:ind w:left="425" w:firstLine="142"/>
    </w:pPr>
    <w:rPr>
      <w:sz w:val="20"/>
    </w:rPr>
  </w:style>
  <w:style w:type="paragraph" w:customStyle="1" w:styleId="JuSigned">
    <w:name w:val="Ju_Signed"/>
    <w:basedOn w:val="Normal"/>
    <w:next w:val="JuParaLast"/>
    <w:pPr>
      <w:tabs>
        <w:tab w:val="center" w:pos="1219"/>
        <w:tab w:val="center" w:pos="6379"/>
      </w:tabs>
      <w:spacing w:before="720"/>
    </w:pPr>
  </w:style>
  <w:style w:type="paragraph" w:customStyle="1" w:styleId="JuParaLast">
    <w:name w:val="Ju_Para_Last"/>
    <w:basedOn w:val="a0"/>
    <w:next w:val="a0"/>
    <w:pPr>
      <w:spacing w:before="240"/>
    </w:pPr>
  </w:style>
  <w:style w:type="paragraph" w:customStyle="1" w:styleId="JuCase">
    <w:name w:val="Ju_Case"/>
    <w:basedOn w:val="a0"/>
    <w:next w:val="a0"/>
    <w:rPr>
      <w:b/>
    </w:rPr>
  </w:style>
  <w:style w:type="paragraph" w:customStyle="1" w:styleId="JuList">
    <w:name w:val="Ju_List"/>
    <w:basedOn w:val="a0"/>
    <w:pPr>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1"/>
    <w:next w:val="a0"/>
    <w:pPr>
      <w:tabs>
        <w:tab w:val="clear" w:pos="731"/>
        <w:tab w:val="left" w:pos="975"/>
      </w:tabs>
      <w:ind w:left="975" w:hanging="340"/>
    </w:pPr>
    <w:rPr>
      <w:b/>
      <w:i w:val="0"/>
      <w:sz w:val="20"/>
    </w:rPr>
  </w:style>
  <w:style w:type="paragraph" w:customStyle="1" w:styleId="JuH1">
    <w:name w:val="Ju_H_1."/>
    <w:basedOn w:val="JuHA"/>
    <w:next w:val="a0"/>
    <w:pPr>
      <w:tabs>
        <w:tab w:val="clear" w:pos="584"/>
        <w:tab w:val="left" w:pos="731"/>
      </w:tabs>
      <w:spacing w:before="240" w:after="120"/>
      <w:ind w:left="732" w:hanging="301"/>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style>
  <w:style w:type="paragraph" w:customStyle="1" w:styleId="OpiTranslation">
    <w:name w:val="Opi_Translation"/>
    <w:basedOn w:val="OpiHHead"/>
    <w:next w:val="OpiPara"/>
    <w:rPr>
      <w:sz w:val="24"/>
    </w:rPr>
  </w:style>
  <w:style w:type="paragraph" w:styleId="FootnoteText">
    <w:name w:val="footnote text"/>
    <w:basedOn w:val="Normal"/>
    <w:semiHidden/>
    <w:pPr>
      <w:jc w:val="both"/>
    </w:pPr>
    <w:rPr>
      <w:sz w:val="20"/>
    </w:rPr>
  </w:style>
  <w:style w:type="character" w:styleId="FootnoteReference">
    <w:name w:val="footnote reference"/>
    <w:semiHidden/>
    <w:rPr>
      <w:rFonts w:cs="Times New Roman"/>
      <w:vertAlign w:val="superscript"/>
    </w:rPr>
  </w:style>
  <w:style w:type="paragraph" w:customStyle="1" w:styleId="JuHi">
    <w:name w:val="Ju_H_i"/>
    <w:basedOn w:val="JuHa0"/>
    <w:next w:val="a0"/>
    <w:pPr>
      <w:tabs>
        <w:tab w:val="clear" w:pos="975"/>
        <w:tab w:val="left" w:pos="1191"/>
      </w:tabs>
      <w:ind w:left="1190" w:hanging="357"/>
    </w:pPr>
    <w:rPr>
      <w:b w:val="0"/>
      <w:i/>
    </w:rPr>
  </w:style>
  <w:style w:type="paragraph" w:styleId="Header">
    <w:name w:val="header"/>
    <w:basedOn w:val="Normal"/>
    <w:pPr>
      <w:tabs>
        <w:tab w:val="center" w:pos="3686"/>
        <w:tab w:val="right" w:pos="7371"/>
      </w:tabs>
    </w:pPr>
    <w:rPr>
      <w:sz w:val="18"/>
    </w:rPr>
  </w:style>
  <w:style w:type="character" w:styleId="PageNumber">
    <w:name w:val="page number"/>
    <w:aliases w:val=" Char Char1"/>
    <w:link w:val="a0"/>
    <w:rPr>
      <w:rFonts w:cs="Times New Roman"/>
      <w:sz w:val="18"/>
    </w:rPr>
  </w:style>
  <w:style w:type="paragraph" w:customStyle="1" w:styleId="JuH">
    <w:name w:val="Ju_H_–"/>
    <w:basedOn w:val="JuHalpha"/>
    <w:next w:val="a0"/>
    <w:pPr>
      <w:tabs>
        <w:tab w:val="clear" w:pos="1372"/>
      </w:tabs>
      <w:ind w:left="1236" w:firstLine="0"/>
    </w:pPr>
    <w:rPr>
      <w:i/>
    </w:rPr>
  </w:style>
  <w:style w:type="paragraph" w:customStyle="1" w:styleId="JuHalpha">
    <w:name w:val="Ju_H_alpha"/>
    <w:basedOn w:val="JuHi"/>
    <w:next w:val="a0"/>
    <w:pPr>
      <w:tabs>
        <w:tab w:val="clear" w:pos="1191"/>
        <w:tab w:val="left" w:pos="1372"/>
      </w:tabs>
      <w:ind w:left="1373" w:hanging="335"/>
    </w:pPr>
    <w:rPr>
      <w:i w:val="0"/>
    </w:rPr>
  </w:style>
  <w:style w:type="paragraph" w:customStyle="1" w:styleId="JuLista">
    <w:name w:val="Ju_List_a"/>
    <w:basedOn w:val="JuList"/>
    <w:pPr>
      <w:ind w:left="346" w:firstLine="0"/>
    </w:pPr>
  </w:style>
  <w:style w:type="paragraph" w:customStyle="1" w:styleId="JuListi">
    <w:name w:val="Ju_List_i"/>
    <w:basedOn w:val="JuLista"/>
    <w:pPr>
      <w:ind w:left="794"/>
    </w:pPr>
  </w:style>
  <w:style w:type="character" w:styleId="CommentReference">
    <w:name w:val="annotation reference"/>
    <w:aliases w:val=" Char Char"/>
    <w:link w:val="a"/>
    <w:semiHidden/>
    <w:rPr>
      <w:rFonts w:cs="Times New Roman"/>
      <w:sz w:val="16"/>
    </w:rPr>
  </w:style>
  <w:style w:type="paragraph" w:styleId="CommentText">
    <w:name w:val="annotation text"/>
    <w:basedOn w:val="Normal"/>
    <w:semiHidden/>
    <w:rPr>
      <w:sz w:val="20"/>
    </w:rPr>
  </w:style>
  <w:style w:type="paragraph" w:customStyle="1" w:styleId="JuInitialled">
    <w:name w:val="Ju_Initialled"/>
    <w:basedOn w:val="JuSigned"/>
    <w:pPr>
      <w:jc w:val="right"/>
    </w:pPr>
  </w:style>
  <w:style w:type="paragraph" w:customStyle="1" w:styleId="JuHeader">
    <w:name w:val="Ju_Header"/>
    <w:basedOn w:val="Heade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a0"/>
    <w:rPr>
      <w:sz w:val="24"/>
    </w:rPr>
  </w:style>
  <w:style w:type="paragraph" w:customStyle="1" w:styleId="DecList">
    <w:name w:val="Dec_List"/>
    <w:basedOn w:val="Normal"/>
    <w:pPr>
      <w:spacing w:before="240"/>
      <w:ind w:left="284"/>
      <w:jc w:val="both"/>
    </w:pPr>
  </w:style>
  <w:style w:type="paragraph" w:customStyle="1" w:styleId="JuParaSub">
    <w:name w:val="Ju_Para_Sub"/>
    <w:basedOn w:val="a0"/>
    <w:pPr>
      <w:ind w:left="284"/>
    </w:pPr>
    <w:rPr>
      <w:szCs w:val="24"/>
    </w:rPr>
  </w:style>
  <w:style w:type="paragraph" w:customStyle="1" w:styleId="JuQuotSub">
    <w:name w:val="Ju_Quot_Sub"/>
    <w:basedOn w:val="JuQuot"/>
    <w:pPr>
      <w:ind w:left="567"/>
    </w:pPr>
  </w:style>
  <w:style w:type="paragraph" w:styleId="BalloonText">
    <w:name w:val="Balloon Text"/>
    <w:basedOn w:val="Normal"/>
    <w:semiHidden/>
    <w:rPr>
      <w:sz w:val="16"/>
      <w:szCs w:val="16"/>
    </w:rPr>
  </w:style>
  <w:style w:type="paragraph" w:styleId="CommentSubject">
    <w:name w:val="annotation subject"/>
    <w:basedOn w:val="CommentText"/>
    <w:next w:val="CommentText"/>
    <w:semiHidden/>
    <w:rPr>
      <w:b/>
      <w:bCs/>
    </w:rPr>
  </w:style>
  <w:style w:type="paragraph" w:customStyle="1" w:styleId="PJuPara">
    <w:name w:val="P_Ju_Para"/>
    <w:basedOn w:val="Normal"/>
    <w:pPr>
      <w:ind w:firstLine="284"/>
      <w:jc w:val="both"/>
    </w:pPr>
  </w:style>
  <w:style w:type="paragraph" w:customStyle="1" w:styleId="PJuQuot">
    <w:name w:val="P_Ju_Quot"/>
    <w:basedOn w:val="Normal"/>
    <w:pPr>
      <w:spacing w:before="120" w:after="120"/>
      <w:ind w:left="403" w:firstLine="176"/>
      <w:jc w:val="both"/>
    </w:pPr>
    <w:rPr>
      <w:sz w:val="20"/>
    </w:rPr>
  </w:style>
  <w:style w:type="paragraph" w:customStyle="1" w:styleId="PListArticleSubject">
    <w:name w:val="P_List_ArticleSubject"/>
    <w:basedOn w:val="Normal"/>
    <w:pPr>
      <w:tabs>
        <w:tab w:val="left" w:pos="2977"/>
      </w:tabs>
      <w:ind w:left="2977" w:hanging="2977"/>
    </w:pPr>
  </w:style>
  <w:style w:type="paragraph" w:customStyle="1" w:styleId="SuCoverTitle1">
    <w:name w:val="Su_Cover_Title1"/>
    <w:basedOn w:val="Normal"/>
    <w:next w:val="SuCoverTitle2"/>
    <w:pPr>
      <w:spacing w:before="2500"/>
      <w:jc w:val="center"/>
    </w:pPr>
    <w:rPr>
      <w:sz w:val="22"/>
    </w:rPr>
  </w:style>
  <w:style w:type="paragraph" w:customStyle="1" w:styleId="SuCoverTitle2">
    <w:name w:val="Su_Cover_Title2"/>
    <w:basedOn w:val="SuCoverTitle1"/>
    <w:next w:val="Normal"/>
    <w:pPr>
      <w:spacing w:before="240"/>
    </w:pPr>
    <w:rPr>
      <w:sz w:val="18"/>
    </w:rPr>
  </w:style>
  <w:style w:type="paragraph" w:customStyle="1" w:styleId="SuPara">
    <w:name w:val="Su_Para"/>
    <w:basedOn w:val="SuKeywords"/>
    <w:pPr>
      <w:spacing w:before="0" w:after="0"/>
    </w:pPr>
    <w:rPr>
      <w:i w:val="0"/>
    </w:rPr>
  </w:style>
  <w:style w:type="paragraph" w:customStyle="1" w:styleId="SuKeywords">
    <w:name w:val="Su_Keywords"/>
    <w:basedOn w:val="SuHHead"/>
    <w:pPr>
      <w:spacing w:before="120"/>
    </w:pPr>
    <w:rPr>
      <w:b w:val="0"/>
      <w:i/>
    </w:rPr>
  </w:style>
  <w:style w:type="paragraph" w:customStyle="1" w:styleId="SuHHead">
    <w:name w:val="Su_H_Head"/>
    <w:basedOn w:val="SuSubject"/>
    <w:pPr>
      <w:spacing w:after="120"/>
    </w:pPr>
  </w:style>
  <w:style w:type="paragraph" w:customStyle="1" w:styleId="SuSubject">
    <w:name w:val="Su_Subject"/>
    <w:basedOn w:val="SuSummary"/>
    <w:pPr>
      <w:spacing w:before="360"/>
      <w:jc w:val="both"/>
    </w:pPr>
    <w:rPr>
      <w:b/>
      <w:sz w:val="22"/>
    </w:rPr>
  </w:style>
  <w:style w:type="paragraph" w:customStyle="1" w:styleId="SuSummary">
    <w:name w:val="Su_Summary"/>
    <w:basedOn w:val="Normal"/>
    <w:next w:val="SuSubject"/>
    <w:pPr>
      <w:spacing w:after="240"/>
      <w:jc w:val="center"/>
    </w:pPr>
  </w:style>
  <w:style w:type="paragraph" w:customStyle="1" w:styleId="PListCaseNo">
    <w:name w:val="P_List_CaseNo"/>
    <w:basedOn w:val="Normal"/>
    <w:pPr>
      <w:tabs>
        <w:tab w:val="left" w:pos="1276"/>
      </w:tabs>
      <w:spacing w:line="288" w:lineRule="auto"/>
      <w:ind w:left="1276" w:hanging="1276"/>
    </w:pPr>
  </w:style>
  <w:style w:type="paragraph" w:customStyle="1" w:styleId="PListCases">
    <w:name w:val="P_List_Cases"/>
    <w:basedOn w:val="Normal"/>
    <w:pPr>
      <w:spacing w:line="288" w:lineRule="auto"/>
    </w:pPr>
  </w:style>
  <w:style w:type="paragraph" w:customStyle="1" w:styleId="PTextIntro">
    <w:name w:val="P_Text_Intro"/>
    <w:basedOn w:val="Normal"/>
    <w:pPr>
      <w:jc w:val="both"/>
    </w:pPr>
    <w:rPr>
      <w:i/>
      <w:sz w:val="20"/>
    </w:rPr>
  </w:style>
  <w:style w:type="paragraph" w:customStyle="1" w:styleId="PTitleCover">
    <w:name w:val="P_Title_Cover"/>
    <w:basedOn w:val="Normal"/>
    <w:pPr>
      <w:spacing w:before="2500"/>
      <w:jc w:val="center"/>
    </w:pPr>
    <w:rPr>
      <w:b/>
      <w:smallCaps/>
      <w:sz w:val="30"/>
    </w:rPr>
  </w:style>
  <w:style w:type="paragraph" w:customStyle="1" w:styleId="PTitle1Alpha">
    <w:name w:val="P_Title1_Alpha"/>
    <w:basedOn w:val="Normal"/>
    <w:next w:val="Normal"/>
    <w:pPr>
      <w:spacing w:after="120"/>
      <w:jc w:val="center"/>
    </w:pPr>
    <w:rPr>
      <w:b/>
      <w:smallCaps/>
      <w:sz w:val="30"/>
    </w:rPr>
  </w:style>
  <w:style w:type="paragraph" w:customStyle="1" w:styleId="PTitle1IndexArticle">
    <w:name w:val="P_Title1_IndexArticle"/>
    <w:basedOn w:val="Normal"/>
    <w:pPr>
      <w:spacing w:after="120"/>
      <w:jc w:val="center"/>
    </w:pPr>
    <w:rPr>
      <w:b/>
      <w:smallCaps/>
      <w:sz w:val="30"/>
    </w:rPr>
  </w:style>
  <w:style w:type="paragraph" w:customStyle="1" w:styleId="PTitle1IndexKey">
    <w:name w:val="P_Title1_IndexKey"/>
    <w:basedOn w:val="Normal"/>
    <w:pPr>
      <w:spacing w:after="600"/>
      <w:jc w:val="center"/>
    </w:pPr>
    <w:rPr>
      <w:b/>
      <w:smallCaps/>
      <w:sz w:val="30"/>
    </w:rPr>
  </w:style>
  <w:style w:type="paragraph" w:customStyle="1" w:styleId="PTitle1Num">
    <w:name w:val="P_Title1_Num"/>
    <w:basedOn w:val="Normal"/>
    <w:next w:val="PListCaseNo"/>
    <w:pPr>
      <w:spacing w:after="720"/>
      <w:jc w:val="center"/>
    </w:pPr>
    <w:rPr>
      <w:b/>
      <w:smallCaps/>
      <w:sz w:val="30"/>
    </w:rPr>
  </w:style>
  <w:style w:type="paragraph" w:customStyle="1" w:styleId="PTitle2Country">
    <w:name w:val="P_Title2_Country"/>
    <w:basedOn w:val="Normal"/>
    <w:next w:val="PListCases"/>
    <w:pPr>
      <w:keepNext/>
      <w:keepLines/>
      <w:spacing w:before="600" w:after="360"/>
    </w:pPr>
    <w:rPr>
      <w:b/>
    </w:rPr>
  </w:style>
  <w:style w:type="paragraph" w:customStyle="1" w:styleId="PTitle2Letters">
    <w:name w:val="P_Title2_Letters"/>
    <w:basedOn w:val="Normal"/>
    <w:next w:val="PListCases"/>
    <w:pPr>
      <w:keepNext/>
      <w:keepLines/>
      <w:spacing w:before="600" w:after="360"/>
    </w:pPr>
    <w:rPr>
      <w:b/>
      <w:sz w:val="28"/>
    </w:rPr>
  </w:style>
  <w:style w:type="paragraph" w:customStyle="1" w:styleId="PTitle2Part">
    <w:name w:val="P_Title2_Part"/>
    <w:basedOn w:val="Normal"/>
    <w:pPr>
      <w:keepNext/>
      <w:keepLines/>
      <w:spacing w:before="600" w:after="240"/>
      <w:jc w:val="center"/>
    </w:pPr>
    <w:rPr>
      <w:b/>
      <w:caps/>
    </w:rPr>
  </w:style>
  <w:style w:type="paragraph" w:customStyle="1" w:styleId="PTitle3Article">
    <w:name w:val="P_Title3_Article"/>
    <w:basedOn w:val="Normal"/>
    <w:pPr>
      <w:keepNext/>
      <w:keepLines/>
      <w:spacing w:before="360" w:after="120"/>
      <w:jc w:val="center"/>
    </w:pPr>
    <w:rPr>
      <w:b/>
      <w:smallCaps/>
      <w:sz w:val="22"/>
    </w:rPr>
  </w:style>
  <w:style w:type="paragraph" w:customStyle="1" w:styleId="PTitle4ArticleSub">
    <w:name w:val="P_Title4_Article_Sub"/>
    <w:basedOn w:val="PTitle3Article"/>
    <w:pPr>
      <w:spacing w:before="240"/>
    </w:pPr>
    <w:rPr>
      <w:smallCaps w:val="0"/>
      <w:sz w:val="20"/>
    </w:rPr>
  </w:style>
  <w:style w:type="paragraph" w:customStyle="1" w:styleId="PTitle5Subject">
    <w:name w:val="P_Title5_Subject"/>
    <w:basedOn w:val="Normal"/>
    <w:pPr>
      <w:keepNext/>
      <w:keepLines/>
      <w:spacing w:before="240" w:after="120"/>
      <w:jc w:val="both"/>
    </w:pPr>
    <w:rPr>
      <w:b/>
      <w:i/>
    </w:rPr>
  </w:style>
  <w:style w:type="paragraph" w:customStyle="1" w:styleId="PTitle6SubjectSub">
    <w:name w:val="P_Title6_Subject_Sub"/>
    <w:basedOn w:val="Normal"/>
    <w:pPr>
      <w:keepNext/>
      <w:keepLines/>
      <w:spacing w:before="240" w:after="120"/>
      <w:ind w:left="284"/>
      <w:jc w:val="both"/>
    </w:pPr>
    <w:rPr>
      <w:b/>
      <w:sz w:val="20"/>
    </w:rPr>
  </w:style>
  <w:style w:type="paragraph" w:customStyle="1" w:styleId="PTitle7CaseName">
    <w:name w:val="P_Title7_CaseName"/>
    <w:basedOn w:val="Normal"/>
    <w:pPr>
      <w:keepLines/>
      <w:spacing w:after="240"/>
      <w:jc w:val="right"/>
    </w:pPr>
    <w:rPr>
      <w:sz w:val="22"/>
    </w:rPr>
  </w:style>
  <w:style w:type="paragraph" w:customStyle="1" w:styleId="OpiParaSub">
    <w:name w:val="Opi_Para_Sub"/>
    <w:basedOn w:val="JuParaSub"/>
  </w:style>
  <w:style w:type="paragraph" w:customStyle="1" w:styleId="OpiQuotSub">
    <w:name w:val="Opi_Quot_Sub"/>
    <w:basedOn w:val="JuQuotSub"/>
  </w:style>
  <w:style w:type="character" w:customStyle="1" w:styleId="JuSigned0">
    <w:name w:val="Ju_Signed Знак"/>
    <w:rPr>
      <w:rFonts w:cs="Times New Roman"/>
      <w:sz w:val="24"/>
      <w:lang w:val="en-GB" w:bidi="ar-SA"/>
    </w:rPr>
  </w:style>
  <w:style w:type="character" w:customStyle="1" w:styleId="JuJudges0">
    <w:name w:val="Ju_Judges Знак"/>
    <w:rPr>
      <w:rFonts w:cs="Times New Roman"/>
      <w:sz w:val="24"/>
      <w:lang w:val="en-GB" w:bidi="ar-SA"/>
    </w:rPr>
  </w:style>
  <w:style w:type="character" w:customStyle="1" w:styleId="JuList0">
    <w:name w:val="Ju_List Знак"/>
    <w:basedOn w:val="JuPara1"/>
    <w:rPr>
      <w:rFonts w:cs="Times New Roman"/>
      <w:sz w:val="24"/>
      <w:lang w:val="en-GB" w:bidi="ar-SA"/>
    </w:rPr>
  </w:style>
  <w:style w:type="character" w:styleId="Hyperlink">
    <w:name w:val="Hyperlink"/>
    <w:rPr>
      <w:rFonts w:cs="Times New Roman"/>
      <w:color w:val="0000FF"/>
      <w:u w:val="single"/>
    </w:rPr>
  </w:style>
  <w:style w:type="character" w:customStyle="1" w:styleId="ju-005fpara-002cleft-002cfirst-0020line-003a-0020-00200-0020cm--char">
    <w:name w:val="ju-005fpara-002cleft-002cfirst-0020line-003a-0020-00200-0020cm--char"/>
    <w:rPr>
      <w:rFonts w:cs="Times New Roman"/>
    </w:rPr>
  </w:style>
  <w:style w:type="character" w:customStyle="1" w:styleId="ju-005fpara--char">
    <w:name w:val="ju-005fpara--char"/>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JuJudgesChar">
    <w:name w:val="Ju_Judges Char"/>
    <w:rPr>
      <w:sz w:val="24"/>
      <w:lang w:val="en-GB"/>
    </w:rPr>
  </w:style>
  <w:style w:type="character" w:customStyle="1" w:styleId="JuSignedChar">
    <w:name w:val="Ju_Signed Char Знак Знак Знак Знак Знак Знак Знак Знак Знак Знак Знак Знак Знак Знак Знак Знак Знак Знак Знак Знак Знак"/>
    <w:rPr>
      <w:sz w:val="24"/>
    </w:rPr>
  </w:style>
  <w:style w:type="character" w:customStyle="1" w:styleId="JuParaCar">
    <w:name w:val="Ju_Para Car"/>
    <w:rPr>
      <w:sz w:val="24"/>
    </w:rPr>
  </w:style>
  <w:style w:type="character" w:customStyle="1" w:styleId="Firstline0cm1">
    <w:name w:val="First line:  0 cm Знак Знак Знак Знак Знак Знак Знак Знак Знак1"/>
    <w:rPr>
      <w:sz w:val="24"/>
    </w:rPr>
  </w:style>
  <w:style w:type="character" w:customStyle="1" w:styleId="hps">
    <w:name w:val="hps"/>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2016-01-09T09:51:00Z</dcterms:created>
  <dcterms:modified xsi:type="dcterms:W3CDTF">2016-01-09T09:51:00Z</dcterms:modified>
  <cp:category/>
  <cp:contentStatus/>
</cp:coreProperties>
</file>