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B501BB" w:rsidRDefault="00E77CB3" w:rsidP="00B501BB">
      <w:bookmarkStart w:id="0" w:name="_GoBack"/>
      <w:bookmarkEnd w:id="0"/>
    </w:p>
    <w:p w:rsidR="00444F1F" w:rsidRPr="008849C3" w:rsidRDefault="00444F1F" w:rsidP="006B0E9F">
      <w:pPr>
        <w:jc w:val="center"/>
        <w:rPr>
          <w:lang w:val="bg-BG"/>
        </w:rPr>
      </w:pPr>
    </w:p>
    <w:p w:rsidR="00444F1F" w:rsidRPr="008849C3" w:rsidRDefault="00444F1F" w:rsidP="006B0E9F">
      <w:pPr>
        <w:jc w:val="center"/>
        <w:rPr>
          <w:lang w:val="bg-BG"/>
        </w:rPr>
      </w:pPr>
    </w:p>
    <w:p w:rsidR="00E77CB3" w:rsidRPr="008849C3" w:rsidRDefault="00AE582B" w:rsidP="006B0E9F">
      <w:pPr>
        <w:jc w:val="center"/>
        <w:rPr>
          <w:lang w:val="bg-BG"/>
        </w:rPr>
      </w:pPr>
      <w:r w:rsidRPr="008849C3">
        <w:rPr>
          <w:lang w:val="bg-BG"/>
        </w:rPr>
        <w:t>ПЕТО ОТДЕЛЕНИЕ</w:t>
      </w:r>
    </w:p>
    <w:p w:rsidR="00444F1F" w:rsidRPr="008849C3" w:rsidRDefault="00444F1F" w:rsidP="006B0E9F">
      <w:pPr>
        <w:jc w:val="center"/>
        <w:rPr>
          <w:lang w:val="bg-BG"/>
        </w:rPr>
      </w:pPr>
    </w:p>
    <w:p w:rsidR="00444F1F" w:rsidRPr="008849C3" w:rsidRDefault="00444F1F" w:rsidP="006B0E9F">
      <w:pPr>
        <w:jc w:val="center"/>
        <w:rPr>
          <w:lang w:val="bg-BG"/>
        </w:rPr>
      </w:pPr>
    </w:p>
    <w:p w:rsidR="00444F1F" w:rsidRPr="008849C3" w:rsidRDefault="00444F1F" w:rsidP="006B0E9F">
      <w:pPr>
        <w:jc w:val="center"/>
        <w:rPr>
          <w:lang w:val="bg-BG"/>
        </w:rPr>
      </w:pPr>
    </w:p>
    <w:p w:rsidR="00444F1F" w:rsidRPr="008849C3" w:rsidRDefault="00444F1F" w:rsidP="006B0E9F">
      <w:pPr>
        <w:jc w:val="center"/>
        <w:rPr>
          <w:lang w:val="bg-BG"/>
        </w:rPr>
      </w:pPr>
    </w:p>
    <w:p w:rsidR="00444F1F" w:rsidRPr="008849C3" w:rsidRDefault="00444F1F" w:rsidP="006B0E9F">
      <w:pPr>
        <w:jc w:val="center"/>
        <w:rPr>
          <w:lang w:val="bg-BG"/>
        </w:rPr>
      </w:pPr>
    </w:p>
    <w:p w:rsidR="00E77CB3" w:rsidRPr="008849C3" w:rsidRDefault="004476A7" w:rsidP="006B0E9F">
      <w:pPr>
        <w:jc w:val="center"/>
        <w:rPr>
          <w:b/>
          <w:lang w:val="bg-BG"/>
        </w:rPr>
      </w:pPr>
      <w:bookmarkStart w:id="1" w:name="To"/>
      <w:r w:rsidRPr="008849C3">
        <w:rPr>
          <w:b/>
          <w:lang w:val="bg-BG"/>
        </w:rPr>
        <w:t xml:space="preserve">ДЕЛО ПОПОВИ </w:t>
      </w:r>
      <w:r w:rsidR="00713473">
        <w:rPr>
          <w:b/>
          <w:lang w:val="bg-BG"/>
        </w:rPr>
        <w:t>срещу</w:t>
      </w:r>
      <w:r w:rsidR="00AE582B" w:rsidRPr="008849C3">
        <w:rPr>
          <w:b/>
          <w:lang w:val="bg-BG"/>
        </w:rPr>
        <w:t xml:space="preserve"> БЪЛГАРИЯ</w:t>
      </w:r>
      <w:r w:rsidR="00E77CB3" w:rsidRPr="008849C3">
        <w:rPr>
          <w:b/>
          <w:lang w:val="bg-BG"/>
        </w:rPr>
        <w:t xml:space="preserve"> </w:t>
      </w:r>
      <w:bookmarkEnd w:id="1"/>
    </w:p>
    <w:p w:rsidR="00E77CB3" w:rsidRPr="008849C3" w:rsidRDefault="00E77CB3" w:rsidP="006B0E9F">
      <w:pPr>
        <w:jc w:val="center"/>
        <w:rPr>
          <w:lang w:val="bg-BG"/>
        </w:rPr>
      </w:pPr>
    </w:p>
    <w:p w:rsidR="00E77CB3" w:rsidRPr="008849C3" w:rsidRDefault="00E77CB3" w:rsidP="006B0E9F">
      <w:pPr>
        <w:jc w:val="center"/>
        <w:rPr>
          <w:szCs w:val="24"/>
          <w:u w:val="single"/>
          <w:lang w:val="bg-BG"/>
        </w:rPr>
      </w:pPr>
      <w:r w:rsidRPr="008849C3">
        <w:rPr>
          <w:i/>
          <w:lang w:val="bg-BG"/>
        </w:rPr>
        <w:t>(</w:t>
      </w:r>
      <w:r w:rsidR="00AE582B" w:rsidRPr="008849C3">
        <w:rPr>
          <w:i/>
          <w:lang w:val="bg-BG"/>
        </w:rPr>
        <w:t>Жалба №</w:t>
      </w:r>
      <w:r w:rsidR="00472D9E" w:rsidRPr="008849C3">
        <w:rPr>
          <w:i/>
          <w:lang w:val="bg-BG"/>
        </w:rPr>
        <w:t xml:space="preserve"> 39651/11</w:t>
      </w:r>
      <w:r w:rsidRPr="008849C3">
        <w:rPr>
          <w:i/>
          <w:lang w:val="bg-BG"/>
        </w:rPr>
        <w:t>)</w:t>
      </w: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276C60" w:rsidRPr="008849C3" w:rsidRDefault="00276C60"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444F1F" w:rsidP="006B0E9F">
      <w:pPr>
        <w:jc w:val="center"/>
        <w:rPr>
          <w:szCs w:val="24"/>
          <w:u w:val="single"/>
          <w:lang w:val="bg-BG"/>
        </w:rPr>
      </w:pPr>
    </w:p>
    <w:p w:rsidR="00444F1F" w:rsidRPr="008849C3" w:rsidRDefault="00AE582B" w:rsidP="006B0E9F">
      <w:pPr>
        <w:jc w:val="center"/>
        <w:rPr>
          <w:szCs w:val="24"/>
          <w:lang w:val="bg-BG"/>
        </w:rPr>
      </w:pPr>
      <w:r w:rsidRPr="008849C3">
        <w:rPr>
          <w:szCs w:val="24"/>
          <w:lang w:val="bg-BG"/>
        </w:rPr>
        <w:t>РЕШЕНИЕ</w:t>
      </w:r>
    </w:p>
    <w:p w:rsidR="0050654E" w:rsidRPr="008849C3" w:rsidRDefault="0050654E" w:rsidP="006B0E9F">
      <w:pPr>
        <w:jc w:val="center"/>
        <w:rPr>
          <w:szCs w:val="24"/>
          <w:lang w:val="bg-BG"/>
        </w:rPr>
      </w:pPr>
    </w:p>
    <w:p w:rsidR="0050654E" w:rsidRPr="008849C3" w:rsidRDefault="0050654E" w:rsidP="006B0E9F">
      <w:pPr>
        <w:jc w:val="center"/>
        <w:rPr>
          <w:szCs w:val="24"/>
          <w:lang w:val="bg-BG"/>
        </w:rPr>
      </w:pPr>
    </w:p>
    <w:p w:rsidR="0050654E" w:rsidRPr="008849C3" w:rsidRDefault="0050654E" w:rsidP="006B0E9F">
      <w:pPr>
        <w:jc w:val="center"/>
        <w:rPr>
          <w:szCs w:val="24"/>
          <w:lang w:val="bg-BG"/>
        </w:rPr>
      </w:pPr>
    </w:p>
    <w:p w:rsidR="0050654E" w:rsidRPr="008849C3" w:rsidRDefault="0050654E" w:rsidP="006B0E9F">
      <w:pPr>
        <w:jc w:val="center"/>
        <w:rPr>
          <w:szCs w:val="24"/>
          <w:lang w:val="bg-BG"/>
        </w:rPr>
      </w:pPr>
    </w:p>
    <w:p w:rsidR="0050654E" w:rsidRPr="008849C3" w:rsidRDefault="00AE582B" w:rsidP="006B0E9F">
      <w:pPr>
        <w:jc w:val="center"/>
        <w:rPr>
          <w:szCs w:val="24"/>
          <w:lang w:val="bg-BG"/>
        </w:rPr>
      </w:pPr>
      <w:r w:rsidRPr="008849C3">
        <w:rPr>
          <w:szCs w:val="24"/>
          <w:lang w:val="bg-BG"/>
        </w:rPr>
        <w:t>СТРАСБУРГ</w:t>
      </w:r>
    </w:p>
    <w:p w:rsidR="0050654E" w:rsidRPr="008849C3" w:rsidRDefault="0050654E" w:rsidP="006B0E9F">
      <w:pPr>
        <w:jc w:val="center"/>
        <w:rPr>
          <w:szCs w:val="24"/>
          <w:lang w:val="bg-BG"/>
        </w:rPr>
      </w:pPr>
    </w:p>
    <w:p w:rsidR="0050654E" w:rsidRPr="008849C3" w:rsidRDefault="0050654E" w:rsidP="006B0E9F">
      <w:pPr>
        <w:jc w:val="center"/>
        <w:rPr>
          <w:szCs w:val="24"/>
          <w:lang w:val="bg-BG"/>
        </w:rPr>
      </w:pPr>
      <w:r w:rsidRPr="008849C3">
        <w:rPr>
          <w:szCs w:val="24"/>
          <w:lang w:val="bg-BG"/>
        </w:rPr>
        <w:t xml:space="preserve">9 </w:t>
      </w:r>
      <w:r w:rsidR="00AE582B" w:rsidRPr="008849C3">
        <w:rPr>
          <w:szCs w:val="24"/>
          <w:lang w:val="bg-BG"/>
        </w:rPr>
        <w:t>юни</w:t>
      </w:r>
      <w:r w:rsidRPr="008849C3">
        <w:rPr>
          <w:szCs w:val="24"/>
          <w:lang w:val="bg-BG"/>
        </w:rPr>
        <w:t xml:space="preserve"> 2016</w:t>
      </w:r>
    </w:p>
    <w:p w:rsidR="0050654E" w:rsidRPr="008849C3" w:rsidRDefault="0050654E" w:rsidP="006B0E9F">
      <w:pPr>
        <w:jc w:val="center"/>
        <w:rPr>
          <w:szCs w:val="24"/>
          <w:lang w:val="bg-BG"/>
        </w:rPr>
      </w:pPr>
    </w:p>
    <w:p w:rsidR="0050654E" w:rsidRPr="008849C3" w:rsidRDefault="0050654E" w:rsidP="006B0E9F">
      <w:pPr>
        <w:jc w:val="center"/>
        <w:rPr>
          <w:szCs w:val="24"/>
          <w:lang w:val="bg-BG"/>
        </w:rPr>
      </w:pPr>
    </w:p>
    <w:p w:rsidR="00DE21AE" w:rsidRPr="008849C3" w:rsidRDefault="00DE21AE" w:rsidP="006B0E9F">
      <w:pPr>
        <w:jc w:val="center"/>
        <w:rPr>
          <w:szCs w:val="24"/>
          <w:lang w:val="bg-BG"/>
        </w:rPr>
      </w:pPr>
    </w:p>
    <w:p w:rsidR="00DE21AE" w:rsidRPr="008849C3" w:rsidRDefault="00DE21AE" w:rsidP="006B0E9F">
      <w:pPr>
        <w:jc w:val="center"/>
        <w:rPr>
          <w:szCs w:val="24"/>
          <w:lang w:val="bg-BG"/>
        </w:rPr>
      </w:pPr>
    </w:p>
    <w:p w:rsidR="00FF2AE9" w:rsidRPr="008849C3" w:rsidRDefault="00AE582B" w:rsidP="006B0E9F">
      <w:pPr>
        <w:rPr>
          <w:szCs w:val="24"/>
          <w:u w:val="single"/>
          <w:lang w:val="bg-BG"/>
        </w:rPr>
      </w:pPr>
      <w:r w:rsidRPr="008849C3">
        <w:rPr>
          <w:i/>
          <w:sz w:val="20"/>
          <w:szCs w:val="20"/>
          <w:lang w:val="bg-BG"/>
        </w:rPr>
        <w:t xml:space="preserve">Решението ще стане окончателно </w:t>
      </w:r>
      <w:r w:rsidR="00713473">
        <w:rPr>
          <w:i/>
          <w:sz w:val="20"/>
          <w:szCs w:val="20"/>
          <w:lang w:val="bg-BG"/>
        </w:rPr>
        <w:t>съгласно</w:t>
      </w:r>
      <w:r w:rsidRPr="008849C3">
        <w:rPr>
          <w:i/>
          <w:sz w:val="20"/>
          <w:szCs w:val="20"/>
          <w:lang w:val="bg-BG"/>
        </w:rPr>
        <w:t xml:space="preserve"> </w:t>
      </w:r>
      <w:r w:rsidR="00CA7BA4">
        <w:rPr>
          <w:i/>
          <w:sz w:val="20"/>
          <w:szCs w:val="20"/>
          <w:lang w:val="bg-BG"/>
        </w:rPr>
        <w:t>чл.</w:t>
      </w:r>
      <w:r w:rsidRPr="008849C3">
        <w:rPr>
          <w:i/>
          <w:sz w:val="20"/>
          <w:szCs w:val="20"/>
          <w:lang w:val="bg-BG"/>
        </w:rPr>
        <w:t xml:space="preserve"> </w:t>
      </w:r>
      <w:r w:rsidR="0050654E" w:rsidRPr="008849C3">
        <w:rPr>
          <w:i/>
          <w:sz w:val="20"/>
          <w:szCs w:val="20"/>
          <w:lang w:val="bg-BG"/>
        </w:rPr>
        <w:t xml:space="preserve">44 § 2 </w:t>
      </w:r>
      <w:r w:rsidRPr="008849C3">
        <w:rPr>
          <w:i/>
          <w:sz w:val="20"/>
          <w:szCs w:val="20"/>
          <w:lang w:val="bg-BG"/>
        </w:rPr>
        <w:t xml:space="preserve">от Конвенцията. </w:t>
      </w:r>
      <w:r w:rsidR="0050654E" w:rsidRPr="008849C3">
        <w:rPr>
          <w:i/>
          <w:sz w:val="20"/>
          <w:szCs w:val="20"/>
          <w:lang w:val="bg-BG"/>
        </w:rPr>
        <w:t xml:space="preserve"> </w:t>
      </w:r>
      <w:r w:rsidR="00713473" w:rsidRPr="00713473">
        <w:rPr>
          <w:i/>
          <w:sz w:val="20"/>
          <w:szCs w:val="20"/>
          <w:lang w:val="bg-BG"/>
        </w:rPr>
        <w:t>Може да бъде предмет на редакционни промени</w:t>
      </w:r>
      <w:r w:rsidR="00713473" w:rsidRPr="00713473" w:rsidDel="00713473">
        <w:rPr>
          <w:i/>
          <w:sz w:val="20"/>
          <w:szCs w:val="20"/>
          <w:lang w:val="bg-BG"/>
        </w:rPr>
        <w:t xml:space="preserve"> </w:t>
      </w:r>
      <w:r w:rsidR="0050654E" w:rsidRPr="008849C3">
        <w:rPr>
          <w:i/>
          <w:sz w:val="20"/>
          <w:szCs w:val="20"/>
          <w:lang w:val="bg-BG"/>
        </w:rPr>
        <w:t>.</w:t>
      </w:r>
    </w:p>
    <w:p w:rsidR="00444F1F" w:rsidRPr="008849C3" w:rsidRDefault="00444F1F" w:rsidP="006B0E9F">
      <w:pPr>
        <w:pStyle w:val="JuCase"/>
        <w:rPr>
          <w:lang w:val="bg-BG"/>
        </w:rPr>
        <w:sectPr w:rsidR="00444F1F" w:rsidRPr="008849C3" w:rsidSect="00444F1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2274" w:right="2274" w:bottom="2274" w:left="2274" w:header="1701" w:footer="720" w:gutter="0"/>
          <w:pgNumType w:start="1"/>
          <w:cols w:space="720"/>
          <w:titlePg/>
          <w:docGrid w:linePitch="326"/>
        </w:sectPr>
      </w:pPr>
    </w:p>
    <w:p w:rsidR="00E77CB3" w:rsidRPr="008849C3" w:rsidRDefault="00AE582B" w:rsidP="006B0E9F">
      <w:pPr>
        <w:pStyle w:val="JuCase"/>
        <w:rPr>
          <w:lang w:val="bg-BG"/>
        </w:rPr>
      </w:pPr>
      <w:r w:rsidRPr="008849C3">
        <w:rPr>
          <w:lang w:val="bg-BG"/>
        </w:rPr>
        <w:lastRenderedPageBreak/>
        <w:t xml:space="preserve">По делото </w:t>
      </w:r>
      <w:r w:rsidR="004476A7" w:rsidRPr="008849C3">
        <w:rPr>
          <w:lang w:val="bg-BG"/>
        </w:rPr>
        <w:t xml:space="preserve">Попови </w:t>
      </w:r>
      <w:r w:rsidRPr="008849C3">
        <w:rPr>
          <w:lang w:val="bg-BG"/>
        </w:rPr>
        <w:t>срещу България</w:t>
      </w:r>
      <w:r w:rsidR="00E77CB3" w:rsidRPr="008849C3">
        <w:rPr>
          <w:lang w:val="bg-BG"/>
        </w:rPr>
        <w:t>,</w:t>
      </w:r>
    </w:p>
    <w:p w:rsidR="00E77CB3" w:rsidRPr="008849C3" w:rsidRDefault="00AE582B" w:rsidP="006B0E9F">
      <w:pPr>
        <w:pStyle w:val="ECHRPara"/>
        <w:rPr>
          <w:lang w:val="bg-BG"/>
        </w:rPr>
      </w:pPr>
      <w:r w:rsidRPr="008849C3">
        <w:rPr>
          <w:lang w:val="bg-BG"/>
        </w:rPr>
        <w:t xml:space="preserve">Европейският съд по правата на човека (Пето отделение), заседаващ в състав: </w:t>
      </w:r>
    </w:p>
    <w:p w:rsidR="00E77CB3" w:rsidRPr="008849C3" w:rsidRDefault="00444F1F" w:rsidP="006B0E9F">
      <w:pPr>
        <w:pStyle w:val="ECHRDecisionBody"/>
        <w:rPr>
          <w:lang w:val="bg-BG"/>
        </w:rPr>
      </w:pPr>
      <w:r w:rsidRPr="008849C3">
        <w:rPr>
          <w:lang w:val="bg-BG"/>
        </w:rPr>
        <w:tab/>
      </w:r>
      <w:proofErr w:type="spellStart"/>
      <w:r w:rsidR="00AE582B" w:rsidRPr="008849C3">
        <w:rPr>
          <w:lang w:val="bg-BG"/>
        </w:rPr>
        <w:t>Ганна</w:t>
      </w:r>
      <w:proofErr w:type="spellEnd"/>
      <w:r w:rsidR="00AE582B" w:rsidRPr="008849C3">
        <w:rPr>
          <w:lang w:val="bg-BG"/>
        </w:rPr>
        <w:t xml:space="preserve"> </w:t>
      </w:r>
      <w:proofErr w:type="spellStart"/>
      <w:r w:rsidR="00AE582B" w:rsidRPr="008849C3">
        <w:rPr>
          <w:lang w:val="bg-BG"/>
        </w:rPr>
        <w:t>Юдкивска</w:t>
      </w:r>
      <w:proofErr w:type="spellEnd"/>
      <w:r w:rsidRPr="008849C3">
        <w:rPr>
          <w:lang w:val="bg-BG"/>
        </w:rPr>
        <w:t xml:space="preserve"> </w:t>
      </w:r>
      <w:r w:rsidR="00AE582B" w:rsidRPr="008849C3">
        <w:rPr>
          <w:lang w:val="bg-BG"/>
        </w:rPr>
        <w:t>(</w:t>
      </w:r>
      <w:proofErr w:type="spellStart"/>
      <w:r w:rsidR="00AE582B" w:rsidRPr="008849C3">
        <w:rPr>
          <w:lang w:val="bg-BG"/>
        </w:rPr>
        <w:t>Ganna</w:t>
      </w:r>
      <w:proofErr w:type="spellEnd"/>
      <w:r w:rsidR="00AE582B" w:rsidRPr="008849C3">
        <w:rPr>
          <w:lang w:val="bg-BG"/>
        </w:rPr>
        <w:t xml:space="preserve"> </w:t>
      </w:r>
      <w:proofErr w:type="spellStart"/>
      <w:r w:rsidRPr="008849C3">
        <w:rPr>
          <w:lang w:val="bg-BG"/>
        </w:rPr>
        <w:t>Yudkivska</w:t>
      </w:r>
      <w:proofErr w:type="spellEnd"/>
      <w:r w:rsidR="00AE582B" w:rsidRPr="008849C3">
        <w:rPr>
          <w:lang w:val="bg-BG"/>
        </w:rPr>
        <w:t>)</w:t>
      </w:r>
      <w:r w:rsidRPr="008849C3">
        <w:rPr>
          <w:lang w:val="bg-BG"/>
        </w:rPr>
        <w:t>,</w:t>
      </w:r>
      <w:r w:rsidRPr="008849C3">
        <w:rPr>
          <w:i/>
          <w:lang w:val="bg-BG"/>
        </w:rPr>
        <w:t xml:space="preserve"> </w:t>
      </w:r>
      <w:r w:rsidR="00AE582B" w:rsidRPr="008849C3">
        <w:rPr>
          <w:i/>
          <w:lang w:val="bg-BG"/>
        </w:rPr>
        <w:t>председател</w:t>
      </w:r>
      <w:r w:rsidRPr="008849C3">
        <w:rPr>
          <w:i/>
          <w:lang w:val="bg-BG"/>
        </w:rPr>
        <w:t>,</w:t>
      </w:r>
      <w:r w:rsidRPr="008849C3">
        <w:rPr>
          <w:i/>
          <w:lang w:val="bg-BG"/>
        </w:rPr>
        <w:br/>
      </w:r>
      <w:r w:rsidRPr="008849C3">
        <w:rPr>
          <w:lang w:val="bg-BG"/>
        </w:rPr>
        <w:tab/>
      </w:r>
      <w:r w:rsidR="00AE582B" w:rsidRPr="008849C3">
        <w:rPr>
          <w:lang w:val="bg-BG"/>
        </w:rPr>
        <w:t xml:space="preserve">Ерик </w:t>
      </w:r>
      <w:proofErr w:type="spellStart"/>
      <w:r w:rsidR="00AE582B" w:rsidRPr="008849C3">
        <w:rPr>
          <w:lang w:val="bg-BG"/>
        </w:rPr>
        <w:t>Мьозе</w:t>
      </w:r>
      <w:proofErr w:type="spellEnd"/>
      <w:r w:rsidR="00AE582B" w:rsidRPr="008849C3">
        <w:rPr>
          <w:lang w:val="bg-BG"/>
        </w:rPr>
        <w:t xml:space="preserve"> (</w:t>
      </w:r>
      <w:proofErr w:type="spellStart"/>
      <w:r w:rsidRPr="008849C3">
        <w:rPr>
          <w:lang w:val="bg-BG"/>
        </w:rPr>
        <w:t>Erik</w:t>
      </w:r>
      <w:proofErr w:type="spellEnd"/>
      <w:r w:rsidRPr="008849C3">
        <w:rPr>
          <w:lang w:val="bg-BG"/>
        </w:rPr>
        <w:t xml:space="preserve"> </w:t>
      </w:r>
      <w:proofErr w:type="spellStart"/>
      <w:r w:rsidRPr="008849C3">
        <w:rPr>
          <w:lang w:val="bg-BG"/>
        </w:rPr>
        <w:t>Møse</w:t>
      </w:r>
      <w:proofErr w:type="spellEnd"/>
      <w:r w:rsidR="00AE582B" w:rsidRPr="008849C3">
        <w:rPr>
          <w:lang w:val="bg-BG"/>
        </w:rPr>
        <w:t>)</w:t>
      </w:r>
      <w:r w:rsidRPr="008849C3">
        <w:rPr>
          <w:lang w:val="bg-BG"/>
        </w:rPr>
        <w:t>,</w:t>
      </w:r>
      <w:r w:rsidRPr="008849C3">
        <w:rPr>
          <w:i/>
          <w:lang w:val="bg-BG"/>
        </w:rPr>
        <w:br/>
      </w:r>
      <w:r w:rsidRPr="008849C3">
        <w:rPr>
          <w:lang w:val="bg-BG"/>
        </w:rPr>
        <w:tab/>
      </w:r>
      <w:r w:rsidR="00AE582B" w:rsidRPr="008849C3">
        <w:rPr>
          <w:lang w:val="bg-BG"/>
        </w:rPr>
        <w:t xml:space="preserve">Андре </w:t>
      </w:r>
      <w:proofErr w:type="spellStart"/>
      <w:r w:rsidR="00AE582B" w:rsidRPr="008849C3">
        <w:rPr>
          <w:lang w:val="bg-BG"/>
        </w:rPr>
        <w:t>Потоцки</w:t>
      </w:r>
      <w:proofErr w:type="spellEnd"/>
      <w:r w:rsidR="00AE582B" w:rsidRPr="008849C3">
        <w:rPr>
          <w:lang w:val="bg-BG"/>
        </w:rPr>
        <w:t xml:space="preserve"> (</w:t>
      </w:r>
      <w:proofErr w:type="spellStart"/>
      <w:r w:rsidRPr="008849C3">
        <w:rPr>
          <w:lang w:val="bg-BG"/>
        </w:rPr>
        <w:t>André</w:t>
      </w:r>
      <w:proofErr w:type="spellEnd"/>
      <w:r w:rsidRPr="008849C3">
        <w:rPr>
          <w:lang w:val="bg-BG"/>
        </w:rPr>
        <w:t xml:space="preserve"> </w:t>
      </w:r>
      <w:proofErr w:type="spellStart"/>
      <w:r w:rsidRPr="008849C3">
        <w:rPr>
          <w:lang w:val="bg-BG"/>
        </w:rPr>
        <w:t>Potocki</w:t>
      </w:r>
      <w:proofErr w:type="spellEnd"/>
      <w:r w:rsidR="00AE582B" w:rsidRPr="008849C3">
        <w:rPr>
          <w:lang w:val="bg-BG"/>
        </w:rPr>
        <w:t>)</w:t>
      </w:r>
      <w:r w:rsidRPr="008849C3">
        <w:rPr>
          <w:lang w:val="bg-BG"/>
        </w:rPr>
        <w:t>,</w:t>
      </w:r>
      <w:r w:rsidRPr="008849C3">
        <w:rPr>
          <w:i/>
          <w:lang w:val="bg-BG"/>
        </w:rPr>
        <w:br/>
      </w:r>
      <w:r w:rsidRPr="008849C3">
        <w:rPr>
          <w:lang w:val="bg-BG"/>
        </w:rPr>
        <w:tab/>
      </w:r>
      <w:r w:rsidR="00AE582B" w:rsidRPr="008849C3">
        <w:rPr>
          <w:lang w:val="bg-BG"/>
        </w:rPr>
        <w:t>Йонко Грозев (</w:t>
      </w:r>
      <w:proofErr w:type="spellStart"/>
      <w:r w:rsidRPr="008849C3">
        <w:rPr>
          <w:lang w:val="bg-BG"/>
        </w:rPr>
        <w:t>Yonko</w:t>
      </w:r>
      <w:proofErr w:type="spellEnd"/>
      <w:r w:rsidRPr="008849C3">
        <w:rPr>
          <w:lang w:val="bg-BG"/>
        </w:rPr>
        <w:t xml:space="preserve"> </w:t>
      </w:r>
      <w:proofErr w:type="spellStart"/>
      <w:r w:rsidRPr="008849C3">
        <w:rPr>
          <w:lang w:val="bg-BG"/>
        </w:rPr>
        <w:t>Grozev</w:t>
      </w:r>
      <w:proofErr w:type="spellEnd"/>
      <w:r w:rsidR="00AE582B" w:rsidRPr="008849C3">
        <w:rPr>
          <w:lang w:val="bg-BG"/>
        </w:rPr>
        <w:t>)</w:t>
      </w:r>
      <w:r w:rsidRPr="008849C3">
        <w:rPr>
          <w:lang w:val="bg-BG"/>
        </w:rPr>
        <w:t>,</w:t>
      </w:r>
      <w:r w:rsidRPr="008849C3">
        <w:rPr>
          <w:i/>
          <w:lang w:val="bg-BG"/>
        </w:rPr>
        <w:br/>
      </w:r>
      <w:r w:rsidRPr="008849C3">
        <w:rPr>
          <w:lang w:val="bg-BG"/>
        </w:rPr>
        <w:tab/>
      </w:r>
      <w:proofErr w:type="spellStart"/>
      <w:r w:rsidR="00AE582B" w:rsidRPr="008849C3">
        <w:rPr>
          <w:lang w:val="bg-BG"/>
        </w:rPr>
        <w:t>Шифра</w:t>
      </w:r>
      <w:proofErr w:type="spellEnd"/>
      <w:r w:rsidR="00AE582B" w:rsidRPr="008849C3">
        <w:rPr>
          <w:lang w:val="bg-BG"/>
        </w:rPr>
        <w:t xml:space="preserve"> </w:t>
      </w:r>
      <w:proofErr w:type="spellStart"/>
      <w:r w:rsidR="00AE582B" w:rsidRPr="008849C3">
        <w:rPr>
          <w:lang w:val="bg-BG"/>
        </w:rPr>
        <w:t>О’Лиъри</w:t>
      </w:r>
      <w:proofErr w:type="spellEnd"/>
      <w:r w:rsidR="00AE582B" w:rsidRPr="008849C3">
        <w:rPr>
          <w:lang w:val="bg-BG"/>
        </w:rPr>
        <w:t xml:space="preserve"> (</w:t>
      </w:r>
      <w:proofErr w:type="spellStart"/>
      <w:r w:rsidRPr="008849C3">
        <w:rPr>
          <w:lang w:val="bg-BG"/>
        </w:rPr>
        <w:t>Síofra</w:t>
      </w:r>
      <w:proofErr w:type="spellEnd"/>
      <w:r w:rsidRPr="008849C3">
        <w:rPr>
          <w:lang w:val="bg-BG"/>
        </w:rPr>
        <w:t xml:space="preserve"> </w:t>
      </w:r>
      <w:proofErr w:type="spellStart"/>
      <w:r w:rsidRPr="008849C3">
        <w:rPr>
          <w:lang w:val="bg-BG"/>
        </w:rPr>
        <w:t>O</w:t>
      </w:r>
      <w:r w:rsidR="006B0E9F" w:rsidRPr="008849C3">
        <w:rPr>
          <w:lang w:val="bg-BG"/>
        </w:rPr>
        <w:t>’</w:t>
      </w:r>
      <w:r w:rsidRPr="008849C3">
        <w:rPr>
          <w:lang w:val="bg-BG"/>
        </w:rPr>
        <w:t>Leary</w:t>
      </w:r>
      <w:proofErr w:type="spellEnd"/>
      <w:r w:rsidR="00AE582B" w:rsidRPr="008849C3">
        <w:rPr>
          <w:lang w:val="bg-BG"/>
        </w:rPr>
        <w:t>)</w:t>
      </w:r>
      <w:r w:rsidRPr="008849C3">
        <w:rPr>
          <w:lang w:val="bg-BG"/>
        </w:rPr>
        <w:t>,</w:t>
      </w:r>
      <w:r w:rsidRPr="008849C3">
        <w:rPr>
          <w:i/>
          <w:lang w:val="bg-BG"/>
        </w:rPr>
        <w:br/>
      </w:r>
      <w:r w:rsidRPr="008849C3">
        <w:rPr>
          <w:lang w:val="bg-BG"/>
        </w:rPr>
        <w:tab/>
      </w:r>
      <w:r w:rsidR="00AE582B" w:rsidRPr="008849C3">
        <w:rPr>
          <w:lang w:val="bg-BG"/>
        </w:rPr>
        <w:t xml:space="preserve">Карло </w:t>
      </w:r>
      <w:proofErr w:type="spellStart"/>
      <w:r w:rsidR="00AE582B" w:rsidRPr="008849C3">
        <w:rPr>
          <w:lang w:val="bg-BG"/>
        </w:rPr>
        <w:t>Рандзони</w:t>
      </w:r>
      <w:proofErr w:type="spellEnd"/>
      <w:r w:rsidR="00AE582B" w:rsidRPr="008849C3">
        <w:rPr>
          <w:lang w:val="bg-BG"/>
        </w:rPr>
        <w:t xml:space="preserve"> (</w:t>
      </w:r>
      <w:proofErr w:type="spellStart"/>
      <w:r w:rsidRPr="008849C3">
        <w:rPr>
          <w:lang w:val="bg-BG"/>
        </w:rPr>
        <w:t>Carlo</w:t>
      </w:r>
      <w:proofErr w:type="spellEnd"/>
      <w:r w:rsidRPr="008849C3">
        <w:rPr>
          <w:lang w:val="bg-BG"/>
        </w:rPr>
        <w:t xml:space="preserve"> </w:t>
      </w:r>
      <w:proofErr w:type="spellStart"/>
      <w:r w:rsidRPr="008849C3">
        <w:rPr>
          <w:lang w:val="bg-BG"/>
        </w:rPr>
        <w:t>Ranzoni</w:t>
      </w:r>
      <w:proofErr w:type="spellEnd"/>
      <w:r w:rsidR="00AE582B" w:rsidRPr="008849C3">
        <w:rPr>
          <w:lang w:val="bg-BG"/>
        </w:rPr>
        <w:t>)</w:t>
      </w:r>
      <w:r w:rsidRPr="008849C3">
        <w:rPr>
          <w:lang w:val="bg-BG"/>
        </w:rPr>
        <w:t>,</w:t>
      </w:r>
      <w:r w:rsidRPr="008849C3">
        <w:rPr>
          <w:i/>
          <w:lang w:val="bg-BG"/>
        </w:rPr>
        <w:br/>
      </w:r>
      <w:r w:rsidRPr="008849C3">
        <w:rPr>
          <w:lang w:val="bg-BG"/>
        </w:rPr>
        <w:tab/>
      </w:r>
      <w:proofErr w:type="spellStart"/>
      <w:r w:rsidR="00AE582B" w:rsidRPr="008849C3">
        <w:rPr>
          <w:lang w:val="bg-BG"/>
        </w:rPr>
        <w:t>Мартинш</w:t>
      </w:r>
      <w:proofErr w:type="spellEnd"/>
      <w:r w:rsidR="00AE582B" w:rsidRPr="008849C3">
        <w:rPr>
          <w:lang w:val="bg-BG"/>
        </w:rPr>
        <w:t xml:space="preserve"> </w:t>
      </w:r>
      <w:proofErr w:type="spellStart"/>
      <w:r w:rsidR="00AE582B" w:rsidRPr="008849C3">
        <w:rPr>
          <w:lang w:val="bg-BG"/>
        </w:rPr>
        <w:t>Митс</w:t>
      </w:r>
      <w:proofErr w:type="spellEnd"/>
      <w:r w:rsidR="00AE582B" w:rsidRPr="008849C3">
        <w:rPr>
          <w:lang w:val="bg-BG"/>
        </w:rPr>
        <w:t xml:space="preserve"> (</w:t>
      </w:r>
      <w:proofErr w:type="spellStart"/>
      <w:r w:rsidRPr="008849C3">
        <w:rPr>
          <w:lang w:val="bg-BG"/>
        </w:rPr>
        <w:t>Mārtiņš</w:t>
      </w:r>
      <w:proofErr w:type="spellEnd"/>
      <w:r w:rsidRPr="008849C3">
        <w:rPr>
          <w:lang w:val="bg-BG"/>
        </w:rPr>
        <w:t xml:space="preserve"> </w:t>
      </w:r>
      <w:proofErr w:type="spellStart"/>
      <w:r w:rsidRPr="008849C3">
        <w:rPr>
          <w:lang w:val="bg-BG"/>
        </w:rPr>
        <w:t>Mits</w:t>
      </w:r>
      <w:proofErr w:type="spellEnd"/>
      <w:r w:rsidR="00AE582B" w:rsidRPr="008849C3">
        <w:rPr>
          <w:lang w:val="bg-BG"/>
        </w:rPr>
        <w:t>)</w:t>
      </w:r>
      <w:r w:rsidRPr="008849C3">
        <w:rPr>
          <w:lang w:val="bg-BG"/>
        </w:rPr>
        <w:t>,</w:t>
      </w:r>
      <w:r w:rsidRPr="008849C3">
        <w:rPr>
          <w:i/>
          <w:lang w:val="bg-BG"/>
        </w:rPr>
        <w:t xml:space="preserve"> </w:t>
      </w:r>
      <w:r w:rsidR="00AE582B" w:rsidRPr="008849C3">
        <w:rPr>
          <w:i/>
          <w:lang w:val="bg-BG"/>
        </w:rPr>
        <w:t>съдии</w:t>
      </w:r>
      <w:r w:rsidRPr="008849C3">
        <w:rPr>
          <w:i/>
          <w:lang w:val="bg-BG"/>
        </w:rPr>
        <w:t>,</w:t>
      </w:r>
      <w:r w:rsidR="00AE582B" w:rsidRPr="008849C3">
        <w:rPr>
          <w:lang w:val="bg-BG"/>
        </w:rPr>
        <w:br/>
        <w:t xml:space="preserve">и </w:t>
      </w:r>
      <w:proofErr w:type="spellStart"/>
      <w:r w:rsidR="00AE582B" w:rsidRPr="008849C3">
        <w:rPr>
          <w:lang w:val="bg-BG"/>
        </w:rPr>
        <w:t>Клаудия</w:t>
      </w:r>
      <w:proofErr w:type="spellEnd"/>
      <w:r w:rsidR="00AE582B" w:rsidRPr="008849C3">
        <w:rPr>
          <w:lang w:val="bg-BG"/>
        </w:rPr>
        <w:t xml:space="preserve"> </w:t>
      </w:r>
      <w:proofErr w:type="spellStart"/>
      <w:r w:rsidR="00AE582B" w:rsidRPr="008849C3">
        <w:rPr>
          <w:lang w:val="bg-BG"/>
        </w:rPr>
        <w:t>Вестердик</w:t>
      </w:r>
      <w:proofErr w:type="spellEnd"/>
      <w:r w:rsidR="00AE582B" w:rsidRPr="008849C3">
        <w:rPr>
          <w:lang w:val="bg-BG"/>
        </w:rPr>
        <w:t xml:space="preserve"> (</w:t>
      </w:r>
      <w:proofErr w:type="spellStart"/>
      <w:r w:rsidR="00472D9E" w:rsidRPr="008849C3">
        <w:rPr>
          <w:lang w:val="bg-BG"/>
        </w:rPr>
        <w:t>Claudia</w:t>
      </w:r>
      <w:proofErr w:type="spellEnd"/>
      <w:r w:rsidR="00472D9E" w:rsidRPr="008849C3">
        <w:rPr>
          <w:lang w:val="bg-BG"/>
        </w:rPr>
        <w:t xml:space="preserve"> </w:t>
      </w:r>
      <w:proofErr w:type="spellStart"/>
      <w:r w:rsidR="00472D9E" w:rsidRPr="008849C3">
        <w:rPr>
          <w:lang w:val="bg-BG"/>
        </w:rPr>
        <w:t>Westerdiek</w:t>
      </w:r>
      <w:proofErr w:type="spellEnd"/>
      <w:r w:rsidR="00AE582B" w:rsidRPr="008849C3">
        <w:rPr>
          <w:lang w:val="bg-BG"/>
        </w:rPr>
        <w:t>)</w:t>
      </w:r>
      <w:r w:rsidR="00E77CB3" w:rsidRPr="008849C3">
        <w:rPr>
          <w:lang w:val="bg-BG"/>
        </w:rPr>
        <w:t xml:space="preserve">, </w:t>
      </w:r>
      <w:r w:rsidR="00AE582B" w:rsidRPr="008849C3">
        <w:rPr>
          <w:i/>
          <w:lang w:val="bg-BG"/>
        </w:rPr>
        <w:t>секретар на отделението</w:t>
      </w:r>
      <w:r w:rsidR="00E77CB3" w:rsidRPr="008849C3">
        <w:rPr>
          <w:lang w:val="bg-BG"/>
        </w:rPr>
        <w:t>,</w:t>
      </w:r>
    </w:p>
    <w:p w:rsidR="00E77CB3" w:rsidRPr="008849C3" w:rsidRDefault="00845F30" w:rsidP="006B0E9F">
      <w:pPr>
        <w:pStyle w:val="ECHRPara"/>
        <w:rPr>
          <w:lang w:val="bg-BG"/>
        </w:rPr>
      </w:pPr>
      <w:r>
        <w:rPr>
          <w:lang w:val="bg-BG"/>
        </w:rPr>
        <w:t>С</w:t>
      </w:r>
      <w:r w:rsidR="00AE582B" w:rsidRPr="008849C3">
        <w:rPr>
          <w:lang w:val="bg-BG"/>
        </w:rPr>
        <w:t>лед закрито заседание</w:t>
      </w:r>
      <w:r>
        <w:rPr>
          <w:lang w:val="bg-BG"/>
        </w:rPr>
        <w:t>, проведено</w:t>
      </w:r>
      <w:r w:rsidR="00AE582B" w:rsidRPr="008849C3">
        <w:rPr>
          <w:lang w:val="bg-BG"/>
        </w:rPr>
        <w:t xml:space="preserve"> на </w:t>
      </w:r>
      <w:r w:rsidR="00E7684E" w:rsidRPr="008849C3">
        <w:rPr>
          <w:lang w:val="bg-BG"/>
        </w:rPr>
        <w:t xml:space="preserve">17 </w:t>
      </w:r>
      <w:r w:rsidR="00AE582B" w:rsidRPr="008849C3">
        <w:rPr>
          <w:lang w:val="bg-BG"/>
        </w:rPr>
        <w:t>май</w:t>
      </w:r>
      <w:r w:rsidR="00E7684E" w:rsidRPr="008849C3">
        <w:rPr>
          <w:lang w:val="bg-BG"/>
        </w:rPr>
        <w:t xml:space="preserve"> 2016</w:t>
      </w:r>
      <w:r w:rsidR="00AE582B" w:rsidRPr="008849C3">
        <w:rPr>
          <w:lang w:val="bg-BG"/>
        </w:rPr>
        <w:t xml:space="preserve"> г.</w:t>
      </w:r>
      <w:r w:rsidR="00E77CB3" w:rsidRPr="008849C3">
        <w:rPr>
          <w:lang w:val="bg-BG"/>
        </w:rPr>
        <w:t>,</w:t>
      </w:r>
    </w:p>
    <w:p w:rsidR="00E77CB3" w:rsidRPr="008849C3" w:rsidRDefault="00845F30" w:rsidP="006B0E9F">
      <w:pPr>
        <w:pStyle w:val="ECHRPara"/>
        <w:spacing w:line="276" w:lineRule="auto"/>
        <w:rPr>
          <w:lang w:val="bg-BG"/>
        </w:rPr>
      </w:pPr>
      <w:r>
        <w:rPr>
          <w:lang w:val="bg-BG"/>
        </w:rPr>
        <w:t>Постановява следното решение, прието на същата дата</w:t>
      </w:r>
      <w:r w:rsidRPr="008849C3" w:rsidDel="00845F30">
        <w:rPr>
          <w:lang w:val="bg-BG"/>
        </w:rPr>
        <w:t xml:space="preserve"> </w:t>
      </w:r>
      <w:r w:rsidR="00E77CB3" w:rsidRPr="008849C3">
        <w:rPr>
          <w:lang w:val="bg-BG"/>
        </w:rPr>
        <w:t>:</w:t>
      </w:r>
    </w:p>
    <w:p w:rsidR="00E77CB3" w:rsidRPr="008849C3" w:rsidRDefault="00AE582B" w:rsidP="006B0E9F">
      <w:pPr>
        <w:pStyle w:val="ECHRTitle1"/>
        <w:spacing w:line="276" w:lineRule="auto"/>
        <w:rPr>
          <w:lang w:val="bg-BG"/>
        </w:rPr>
      </w:pPr>
      <w:r w:rsidRPr="008849C3">
        <w:rPr>
          <w:lang w:val="bg-BG"/>
        </w:rPr>
        <w:t xml:space="preserve">ПРОЦЕДУРА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w:t>
      </w:r>
      <w:r w:rsidRPr="008849C3">
        <w:rPr>
          <w:lang w:val="bg-BG"/>
        </w:rPr>
        <w:fldChar w:fldCharType="end"/>
      </w:r>
      <w:r w:rsidR="00E77CB3" w:rsidRPr="008849C3">
        <w:rPr>
          <w:lang w:val="bg-BG"/>
        </w:rPr>
        <w:t>.  </w:t>
      </w:r>
      <w:r w:rsidR="00AE582B" w:rsidRPr="008849C3">
        <w:rPr>
          <w:lang w:val="bg-BG"/>
        </w:rPr>
        <w:t xml:space="preserve">Делото е образувано по жалба (№ </w:t>
      </w:r>
      <w:r w:rsidRPr="008849C3">
        <w:rPr>
          <w:lang w:val="bg-BG"/>
        </w:rPr>
        <w:t>39651/11)</w:t>
      </w:r>
      <w:r w:rsidR="00AE582B" w:rsidRPr="008849C3">
        <w:rPr>
          <w:lang w:val="bg-BG"/>
        </w:rPr>
        <w:t>,</w:t>
      </w:r>
      <w:r w:rsidRPr="008849C3">
        <w:rPr>
          <w:lang w:val="bg-BG"/>
        </w:rPr>
        <w:t xml:space="preserve"> </w:t>
      </w:r>
      <w:r w:rsidR="00AE582B" w:rsidRPr="008849C3">
        <w:rPr>
          <w:lang w:val="bg-BG"/>
        </w:rPr>
        <w:t xml:space="preserve">подадена срещу Република България, </w:t>
      </w:r>
      <w:r w:rsidR="00845F30">
        <w:rPr>
          <w:lang w:val="bg-BG"/>
        </w:rPr>
        <w:t xml:space="preserve">подадена в Съда на </w:t>
      </w:r>
      <w:r w:rsidR="00845F30" w:rsidRPr="008849C3">
        <w:rPr>
          <w:lang w:val="bg-BG"/>
        </w:rPr>
        <w:t xml:space="preserve">основание </w:t>
      </w:r>
      <w:r w:rsidR="00845F30">
        <w:rPr>
          <w:lang w:val="bg-BG"/>
        </w:rPr>
        <w:t>чл.</w:t>
      </w:r>
      <w:r w:rsidR="00845F30" w:rsidRPr="008849C3">
        <w:rPr>
          <w:lang w:val="bg-BG"/>
        </w:rPr>
        <w:t xml:space="preserve"> 34 от Конвенцията за защита правата на човека и основните свободи („Конвенцията“)</w:t>
      </w:r>
      <w:r w:rsidR="00845F30">
        <w:rPr>
          <w:lang w:val="bg-BG"/>
        </w:rPr>
        <w:t xml:space="preserve"> от</w:t>
      </w:r>
      <w:r w:rsidR="00AE582B" w:rsidRPr="008849C3">
        <w:rPr>
          <w:lang w:val="bg-BG"/>
        </w:rPr>
        <w:t xml:space="preserve"> граждани на тази държава, г-н </w:t>
      </w:r>
      <w:r w:rsidR="0096615E" w:rsidRPr="008849C3">
        <w:rPr>
          <w:lang w:val="bg-BG"/>
        </w:rPr>
        <w:t>Тенчо Николов Попов и г-жа Антон</w:t>
      </w:r>
      <w:r w:rsidR="00AE582B" w:rsidRPr="008849C3">
        <w:rPr>
          <w:lang w:val="bg-BG"/>
        </w:rPr>
        <w:t>ия Василева Попова</w:t>
      </w:r>
      <w:r w:rsidR="00DA28C0" w:rsidRPr="008849C3">
        <w:rPr>
          <w:lang w:val="bg-BG"/>
        </w:rPr>
        <w:t xml:space="preserve"> </w:t>
      </w:r>
      <w:r w:rsidR="00AE582B" w:rsidRPr="008849C3">
        <w:rPr>
          <w:lang w:val="bg-BG"/>
        </w:rPr>
        <w:t>(„жалбоподателите“</w:t>
      </w:r>
      <w:r w:rsidRPr="008849C3">
        <w:rPr>
          <w:lang w:val="bg-BG"/>
        </w:rPr>
        <w:t xml:space="preserve">), </w:t>
      </w:r>
      <w:r w:rsidR="00AE582B" w:rsidRPr="008849C3">
        <w:rPr>
          <w:lang w:val="bg-BG"/>
        </w:rPr>
        <w:t xml:space="preserve">на </w:t>
      </w:r>
      <w:r w:rsidRPr="008849C3">
        <w:rPr>
          <w:lang w:val="bg-BG"/>
        </w:rPr>
        <w:t xml:space="preserve">13 </w:t>
      </w:r>
      <w:r w:rsidR="00AE582B" w:rsidRPr="008849C3">
        <w:rPr>
          <w:lang w:val="bg-BG"/>
        </w:rPr>
        <w:t>юни</w:t>
      </w:r>
      <w:r w:rsidRPr="008849C3">
        <w:rPr>
          <w:lang w:val="bg-BG"/>
        </w:rPr>
        <w:t xml:space="preserve"> 2011</w:t>
      </w:r>
      <w:r w:rsidR="00E77CB3" w:rsidRPr="008849C3">
        <w:rPr>
          <w:lang w:val="bg-BG"/>
        </w:rPr>
        <w:t xml:space="preserve"> </w:t>
      </w:r>
      <w:r w:rsidR="00AE582B" w:rsidRPr="008849C3">
        <w:rPr>
          <w:lang w:val="bg-BG"/>
        </w:rPr>
        <w:t xml:space="preserve">г. </w:t>
      </w:r>
    </w:p>
    <w:p w:rsidR="00472D9E"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w:t>
      </w:r>
      <w:r w:rsidRPr="008849C3">
        <w:rPr>
          <w:lang w:val="bg-BG"/>
        </w:rPr>
        <w:fldChar w:fldCharType="end"/>
      </w:r>
      <w:r w:rsidR="00E77CB3" w:rsidRPr="008849C3">
        <w:rPr>
          <w:lang w:val="bg-BG"/>
        </w:rPr>
        <w:t>.  </w:t>
      </w:r>
      <w:r w:rsidR="00AE582B" w:rsidRPr="008849C3">
        <w:rPr>
          <w:lang w:val="bg-BG"/>
        </w:rPr>
        <w:t xml:space="preserve">Жалбоподателите се представляват от г-н </w:t>
      </w:r>
      <w:proofErr w:type="spellStart"/>
      <w:r w:rsidR="00AE582B" w:rsidRPr="008849C3">
        <w:rPr>
          <w:lang w:val="bg-BG"/>
        </w:rPr>
        <w:t>Екимджиев</w:t>
      </w:r>
      <w:proofErr w:type="spellEnd"/>
      <w:r w:rsidR="00AE582B" w:rsidRPr="008849C3">
        <w:rPr>
          <w:lang w:val="bg-BG"/>
        </w:rPr>
        <w:t xml:space="preserve">, г-жа К. Бончева и г-жа С. Стефанова, адвокати в Пловдив. Българското правителство („Правителството“) се представлява от </w:t>
      </w:r>
      <w:r w:rsidR="00BE1593">
        <w:rPr>
          <w:lang w:val="bg-BG"/>
        </w:rPr>
        <w:t>правителствения</w:t>
      </w:r>
      <w:r w:rsidR="00BE1593" w:rsidRPr="008849C3">
        <w:rPr>
          <w:lang w:val="bg-BG"/>
        </w:rPr>
        <w:t xml:space="preserve"> </w:t>
      </w:r>
      <w:r w:rsidR="00AE582B" w:rsidRPr="008849C3">
        <w:rPr>
          <w:lang w:val="bg-BG"/>
        </w:rPr>
        <w:t>агент</w:t>
      </w:r>
      <w:r w:rsidR="00E77CB3" w:rsidRPr="008849C3">
        <w:rPr>
          <w:lang w:val="bg-BG"/>
        </w:rPr>
        <w:t xml:space="preserve">, </w:t>
      </w:r>
      <w:r w:rsidR="00AE582B" w:rsidRPr="008849C3">
        <w:rPr>
          <w:lang w:val="bg-BG"/>
        </w:rPr>
        <w:t>г-н В. Обретенов,</w:t>
      </w:r>
      <w:r w:rsidR="0028066B" w:rsidRPr="008849C3">
        <w:rPr>
          <w:lang w:val="bg-BG"/>
        </w:rPr>
        <w:t xml:space="preserve"> </w:t>
      </w:r>
      <w:r w:rsidR="00AE582B" w:rsidRPr="008849C3">
        <w:rPr>
          <w:lang w:val="bg-BG"/>
        </w:rPr>
        <w:t xml:space="preserve">от Министерство на правосъдието.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w:t>
      </w:r>
      <w:r w:rsidRPr="008849C3">
        <w:rPr>
          <w:lang w:val="bg-BG"/>
        </w:rPr>
        <w:fldChar w:fldCharType="end"/>
      </w:r>
      <w:r w:rsidRPr="008849C3">
        <w:rPr>
          <w:lang w:val="bg-BG"/>
        </w:rPr>
        <w:t>.  </w:t>
      </w:r>
      <w:r w:rsidR="0036409A" w:rsidRPr="008849C3">
        <w:rPr>
          <w:lang w:val="bg-BG"/>
        </w:rPr>
        <w:t>В жалбата си пред Съда жалбоподателят, г-н Попов, твърди, че е бил подложен</w:t>
      </w:r>
      <w:r w:rsidR="00E365DA" w:rsidRPr="008849C3">
        <w:rPr>
          <w:lang w:val="bg-BG"/>
        </w:rPr>
        <w:t xml:space="preserve"> на нечовешко и унизително отношение по време на </w:t>
      </w:r>
      <w:r w:rsidR="00B26C75">
        <w:rPr>
          <w:lang w:val="bg-BG"/>
        </w:rPr>
        <w:t>задържането</w:t>
      </w:r>
      <w:r w:rsidR="00B26C75" w:rsidRPr="008849C3">
        <w:rPr>
          <w:lang w:val="bg-BG"/>
        </w:rPr>
        <w:t xml:space="preserve"> </w:t>
      </w:r>
      <w:r w:rsidR="00E365DA" w:rsidRPr="008849C3">
        <w:rPr>
          <w:lang w:val="bg-BG"/>
        </w:rPr>
        <w:t>си от полиц</w:t>
      </w:r>
      <w:r w:rsidR="00B26C75">
        <w:rPr>
          <w:lang w:val="bg-BG"/>
        </w:rPr>
        <w:t>ейските органи</w:t>
      </w:r>
      <w:r w:rsidR="00E365DA" w:rsidRPr="008849C3">
        <w:rPr>
          <w:lang w:val="bg-BG"/>
        </w:rPr>
        <w:t xml:space="preserve"> и съобщава за липсата на ефективно разследване на събитие</w:t>
      </w:r>
      <w:r w:rsidR="00A65526">
        <w:rPr>
          <w:lang w:val="bg-BG"/>
        </w:rPr>
        <w:t>то</w:t>
      </w:r>
      <w:r w:rsidR="00E365DA" w:rsidRPr="008849C3">
        <w:rPr>
          <w:lang w:val="bg-BG"/>
        </w:rPr>
        <w:t>.</w:t>
      </w:r>
      <w:r w:rsidR="00EA32F8" w:rsidRPr="008849C3">
        <w:rPr>
          <w:lang w:val="bg-BG"/>
        </w:rPr>
        <w:t xml:space="preserve"> </w:t>
      </w:r>
      <w:r w:rsidR="00CD3B92" w:rsidRPr="008849C3">
        <w:rPr>
          <w:lang w:val="bg-BG"/>
        </w:rPr>
        <w:t xml:space="preserve">Той обвинява двама политици и един прокурор за това, че са </w:t>
      </w:r>
      <w:r w:rsidR="00A65526">
        <w:rPr>
          <w:lang w:val="bg-BG"/>
        </w:rPr>
        <w:t>направили изявления</w:t>
      </w:r>
      <w:r w:rsidR="00CD3B92" w:rsidRPr="008849C3">
        <w:rPr>
          <w:lang w:val="bg-BG"/>
        </w:rPr>
        <w:t xml:space="preserve"> в разрез с </w:t>
      </w:r>
      <w:r w:rsidR="00A65526">
        <w:rPr>
          <w:lang w:val="bg-BG"/>
        </w:rPr>
        <w:t>презумпцията за невиновност</w:t>
      </w:r>
      <w:r w:rsidR="00CD3B92" w:rsidRPr="008849C3">
        <w:rPr>
          <w:lang w:val="bg-BG"/>
        </w:rPr>
        <w:t xml:space="preserve">, гарантирано от </w:t>
      </w:r>
      <w:r w:rsidR="00CA7BA4">
        <w:rPr>
          <w:lang w:val="bg-BG"/>
        </w:rPr>
        <w:t>чл.</w:t>
      </w:r>
      <w:r w:rsidR="00CD3B92" w:rsidRPr="008849C3">
        <w:rPr>
          <w:lang w:val="bg-BG"/>
        </w:rPr>
        <w:t xml:space="preserve"> </w:t>
      </w:r>
      <w:r w:rsidR="00EA32F8" w:rsidRPr="008849C3">
        <w:rPr>
          <w:lang w:val="bg-BG"/>
        </w:rPr>
        <w:t xml:space="preserve">6 § 2 </w:t>
      </w:r>
      <w:r w:rsidR="00CD3B92" w:rsidRPr="008849C3">
        <w:rPr>
          <w:lang w:val="bg-BG"/>
        </w:rPr>
        <w:t>от Конвенцията</w:t>
      </w:r>
      <w:r w:rsidR="00EA32F8" w:rsidRPr="008849C3">
        <w:rPr>
          <w:lang w:val="bg-BG"/>
        </w:rPr>
        <w:t xml:space="preserve">. </w:t>
      </w:r>
      <w:r w:rsidR="00433446" w:rsidRPr="008849C3">
        <w:rPr>
          <w:lang w:val="bg-BG"/>
        </w:rPr>
        <w:t xml:space="preserve">Освен това той намира, че медийното отразяване на </w:t>
      </w:r>
      <w:r w:rsidR="00A65526">
        <w:rPr>
          <w:lang w:val="bg-BG"/>
        </w:rPr>
        <w:t>задържането</w:t>
      </w:r>
      <w:r w:rsidR="00A65526" w:rsidRPr="008849C3">
        <w:rPr>
          <w:lang w:val="bg-BG"/>
        </w:rPr>
        <w:t xml:space="preserve"> </w:t>
      </w:r>
      <w:r w:rsidR="00964BBC" w:rsidRPr="008849C3">
        <w:rPr>
          <w:lang w:val="bg-BG"/>
        </w:rPr>
        <w:t>му</w:t>
      </w:r>
      <w:r w:rsidR="00433446" w:rsidRPr="008849C3">
        <w:rPr>
          <w:lang w:val="bg-BG"/>
        </w:rPr>
        <w:t xml:space="preserve"> е </w:t>
      </w:r>
      <w:r w:rsidR="00E815DC">
        <w:rPr>
          <w:lang w:val="bg-BG"/>
        </w:rPr>
        <w:t>неоснователна</w:t>
      </w:r>
      <w:r w:rsidR="00E815DC" w:rsidRPr="008849C3">
        <w:rPr>
          <w:lang w:val="bg-BG"/>
        </w:rPr>
        <w:t xml:space="preserve"> </w:t>
      </w:r>
      <w:r w:rsidR="00964BBC" w:rsidRPr="008849C3">
        <w:rPr>
          <w:lang w:val="bg-BG"/>
        </w:rPr>
        <w:t>намеса в личния му живот</w:t>
      </w:r>
      <w:r w:rsidR="00E815DC">
        <w:rPr>
          <w:lang w:val="bg-BG"/>
        </w:rPr>
        <w:t xml:space="preserve"> по</w:t>
      </w:r>
      <w:r w:rsidR="00964BBC" w:rsidRPr="008849C3">
        <w:rPr>
          <w:lang w:val="bg-BG"/>
        </w:rPr>
        <w:t xml:space="preserve"> </w:t>
      </w:r>
      <w:r w:rsidR="00CA7BA4">
        <w:rPr>
          <w:lang w:val="bg-BG"/>
        </w:rPr>
        <w:t>чл.</w:t>
      </w:r>
      <w:r w:rsidR="00EA32F8" w:rsidRPr="008849C3">
        <w:rPr>
          <w:lang w:val="bg-BG"/>
        </w:rPr>
        <w:t xml:space="preserve"> 8 </w:t>
      </w:r>
      <w:r w:rsidR="00CD3B92" w:rsidRPr="008849C3">
        <w:rPr>
          <w:lang w:val="bg-BG"/>
        </w:rPr>
        <w:t>от Конвенцията</w:t>
      </w:r>
      <w:r w:rsidR="00EA32F8" w:rsidRPr="008849C3">
        <w:rPr>
          <w:lang w:val="bg-BG"/>
        </w:rPr>
        <w:t xml:space="preserve">. </w:t>
      </w:r>
      <w:r w:rsidR="00964BBC" w:rsidRPr="008849C3">
        <w:rPr>
          <w:lang w:val="bg-BG"/>
        </w:rPr>
        <w:t xml:space="preserve">Съгласно </w:t>
      </w:r>
      <w:r w:rsidR="00CA7BA4">
        <w:rPr>
          <w:lang w:val="bg-BG"/>
        </w:rPr>
        <w:t>чл.</w:t>
      </w:r>
      <w:r w:rsidR="009F0F76" w:rsidRPr="008849C3">
        <w:rPr>
          <w:lang w:val="bg-BG"/>
        </w:rPr>
        <w:t xml:space="preserve"> 8 </w:t>
      </w:r>
      <w:r w:rsidR="00CD3B92" w:rsidRPr="008849C3">
        <w:rPr>
          <w:lang w:val="bg-BG"/>
        </w:rPr>
        <w:t>от Конвенцията</w:t>
      </w:r>
      <w:r w:rsidR="009F0F76" w:rsidRPr="008849C3">
        <w:rPr>
          <w:lang w:val="bg-BG"/>
        </w:rPr>
        <w:t xml:space="preserve">, </w:t>
      </w:r>
      <w:r w:rsidR="00964BBC" w:rsidRPr="008849C3">
        <w:rPr>
          <w:lang w:val="bg-BG"/>
        </w:rPr>
        <w:t>двамата жалбоподатели се оплакват от претърсването и изземването, извършени в нотариалнат</w:t>
      </w:r>
      <w:r w:rsidR="004476A7" w:rsidRPr="008849C3">
        <w:rPr>
          <w:lang w:val="bg-BG"/>
        </w:rPr>
        <w:t>а</w:t>
      </w:r>
      <w:r w:rsidR="00964BBC" w:rsidRPr="008849C3">
        <w:rPr>
          <w:lang w:val="bg-BG"/>
        </w:rPr>
        <w:t xml:space="preserve"> кантора на жалбоподателката, г-жа Попова. </w:t>
      </w:r>
      <w:r w:rsidR="00B72AF4">
        <w:rPr>
          <w:lang w:val="bg-BG"/>
        </w:rPr>
        <w:t>Позовавайки се</w:t>
      </w:r>
      <w:r w:rsidR="00964BBC" w:rsidRPr="008849C3">
        <w:rPr>
          <w:lang w:val="bg-BG"/>
        </w:rPr>
        <w:t xml:space="preserve"> на </w:t>
      </w:r>
      <w:r w:rsidR="00CA7BA4">
        <w:rPr>
          <w:lang w:val="bg-BG"/>
        </w:rPr>
        <w:t>чл.</w:t>
      </w:r>
      <w:r w:rsidR="00CD3CA0" w:rsidRPr="008849C3">
        <w:rPr>
          <w:lang w:val="bg-BG"/>
        </w:rPr>
        <w:t xml:space="preserve"> 6 § 1 </w:t>
      </w:r>
      <w:r w:rsidR="00CD3B92" w:rsidRPr="008849C3">
        <w:rPr>
          <w:lang w:val="bg-BG"/>
        </w:rPr>
        <w:t>от Конвенцията</w:t>
      </w:r>
      <w:r w:rsidR="00CD3CA0" w:rsidRPr="008849C3">
        <w:rPr>
          <w:lang w:val="bg-BG"/>
        </w:rPr>
        <w:t xml:space="preserve">, </w:t>
      </w:r>
      <w:r w:rsidR="00964BBC" w:rsidRPr="008849C3">
        <w:rPr>
          <w:lang w:val="bg-BG"/>
        </w:rPr>
        <w:t xml:space="preserve">те </w:t>
      </w:r>
      <w:r w:rsidR="00B72AF4">
        <w:rPr>
          <w:lang w:val="bg-BG"/>
        </w:rPr>
        <w:t>се оплакват от</w:t>
      </w:r>
      <w:r w:rsidR="00964BBC" w:rsidRPr="008849C3">
        <w:rPr>
          <w:lang w:val="bg-BG"/>
        </w:rPr>
        <w:t xml:space="preserve"> липсата на </w:t>
      </w:r>
      <w:r w:rsidR="00B72AF4">
        <w:rPr>
          <w:lang w:val="bg-BG"/>
        </w:rPr>
        <w:t>каквато и да е</w:t>
      </w:r>
      <w:r w:rsidR="00B72AF4" w:rsidRPr="008849C3">
        <w:rPr>
          <w:lang w:val="bg-BG"/>
        </w:rPr>
        <w:t xml:space="preserve"> </w:t>
      </w:r>
      <w:r w:rsidR="00964BBC" w:rsidRPr="008849C3">
        <w:rPr>
          <w:lang w:val="bg-BG"/>
        </w:rPr>
        <w:t xml:space="preserve">възможност за оспорване на законосъобразността и необходимостта от </w:t>
      </w:r>
      <w:r w:rsidR="00B72AF4">
        <w:rPr>
          <w:lang w:val="bg-BG"/>
        </w:rPr>
        <w:t>посочената мярка за събиране на доказателства</w:t>
      </w:r>
      <w:r w:rsidR="00964BBC" w:rsidRPr="008849C3">
        <w:rPr>
          <w:lang w:val="bg-BG"/>
        </w:rPr>
        <w:t>. Съгласно</w:t>
      </w:r>
      <w:r w:rsidR="000C1174" w:rsidRPr="008849C3">
        <w:rPr>
          <w:lang w:val="bg-BG"/>
        </w:rPr>
        <w:t xml:space="preserve"> </w:t>
      </w:r>
      <w:r w:rsidR="00CA7BA4">
        <w:rPr>
          <w:lang w:val="bg-BG"/>
        </w:rPr>
        <w:t>чл.</w:t>
      </w:r>
      <w:r w:rsidR="000C1174" w:rsidRPr="008849C3">
        <w:rPr>
          <w:lang w:val="bg-BG"/>
        </w:rPr>
        <w:t xml:space="preserve"> 1 </w:t>
      </w:r>
      <w:r w:rsidR="00964BBC" w:rsidRPr="008849C3">
        <w:rPr>
          <w:lang w:val="bg-BG"/>
        </w:rPr>
        <w:t>от Протокол №</w:t>
      </w:r>
      <w:r w:rsidR="000C1174" w:rsidRPr="008849C3">
        <w:rPr>
          <w:lang w:val="bg-BG"/>
        </w:rPr>
        <w:t xml:space="preserve"> 1</w:t>
      </w:r>
      <w:r w:rsidR="0028066B" w:rsidRPr="008849C3">
        <w:rPr>
          <w:lang w:val="bg-BG"/>
        </w:rPr>
        <w:t xml:space="preserve"> </w:t>
      </w:r>
      <w:r w:rsidR="00964BBC" w:rsidRPr="008849C3">
        <w:rPr>
          <w:lang w:val="bg-BG"/>
        </w:rPr>
        <w:t xml:space="preserve">към Конвенцията, двамата жалбоподатели </w:t>
      </w:r>
      <w:r w:rsidR="0070142C">
        <w:rPr>
          <w:lang w:val="bg-BG"/>
        </w:rPr>
        <w:t>оспорват</w:t>
      </w:r>
      <w:r w:rsidR="00964BBC" w:rsidRPr="008849C3">
        <w:rPr>
          <w:lang w:val="bg-BG"/>
        </w:rPr>
        <w:t xml:space="preserve"> </w:t>
      </w:r>
      <w:r w:rsidR="006B393C" w:rsidRPr="008849C3">
        <w:rPr>
          <w:lang w:val="bg-BG"/>
        </w:rPr>
        <w:t>запора на имуществото им</w:t>
      </w:r>
      <w:r w:rsidR="000C1174" w:rsidRPr="008849C3">
        <w:rPr>
          <w:lang w:val="bg-BG"/>
        </w:rPr>
        <w:t>.</w:t>
      </w:r>
      <w:r w:rsidR="0070142C">
        <w:rPr>
          <w:lang w:val="bg-BG"/>
        </w:rPr>
        <w:t xml:space="preserve"> На последно място</w:t>
      </w:r>
      <w:r w:rsidR="006B393C" w:rsidRPr="008849C3">
        <w:rPr>
          <w:lang w:val="bg-BG"/>
        </w:rPr>
        <w:t xml:space="preserve">, </w:t>
      </w:r>
      <w:r w:rsidR="0070142C">
        <w:rPr>
          <w:lang w:val="bg-BG"/>
        </w:rPr>
        <w:t>позовавайки се</w:t>
      </w:r>
      <w:r w:rsidR="006B393C" w:rsidRPr="008849C3">
        <w:rPr>
          <w:lang w:val="bg-BG"/>
        </w:rPr>
        <w:t xml:space="preserve"> на</w:t>
      </w:r>
      <w:r w:rsidR="000C1174" w:rsidRPr="008849C3">
        <w:rPr>
          <w:lang w:val="bg-BG"/>
        </w:rPr>
        <w:t xml:space="preserve"> </w:t>
      </w:r>
      <w:r w:rsidR="00CA7BA4">
        <w:rPr>
          <w:lang w:val="bg-BG"/>
        </w:rPr>
        <w:t>чл.</w:t>
      </w:r>
      <w:r w:rsidR="00EA32F8" w:rsidRPr="008849C3">
        <w:rPr>
          <w:lang w:val="bg-BG"/>
        </w:rPr>
        <w:t xml:space="preserve"> 13</w:t>
      </w:r>
      <w:r w:rsidR="0028066B" w:rsidRPr="008849C3">
        <w:rPr>
          <w:lang w:val="bg-BG"/>
        </w:rPr>
        <w:t xml:space="preserve"> </w:t>
      </w:r>
      <w:r w:rsidR="00CD3B92" w:rsidRPr="008849C3">
        <w:rPr>
          <w:lang w:val="bg-BG"/>
        </w:rPr>
        <w:t xml:space="preserve">от </w:t>
      </w:r>
      <w:r w:rsidR="00CD3B92" w:rsidRPr="008849C3">
        <w:rPr>
          <w:lang w:val="bg-BG"/>
        </w:rPr>
        <w:lastRenderedPageBreak/>
        <w:t>Конвенцията</w:t>
      </w:r>
      <w:r w:rsidR="00EA32F8" w:rsidRPr="008849C3">
        <w:rPr>
          <w:lang w:val="bg-BG"/>
        </w:rPr>
        <w:t xml:space="preserve">, </w:t>
      </w:r>
      <w:r w:rsidR="006B393C" w:rsidRPr="008849C3">
        <w:rPr>
          <w:lang w:val="bg-BG"/>
        </w:rPr>
        <w:t>те се оплакват от липсата на</w:t>
      </w:r>
      <w:r w:rsidR="00EA32F8" w:rsidRPr="008849C3">
        <w:rPr>
          <w:lang w:val="bg-BG"/>
        </w:rPr>
        <w:t xml:space="preserve"> </w:t>
      </w:r>
      <w:r w:rsidR="006B393C" w:rsidRPr="008849C3">
        <w:rPr>
          <w:lang w:val="bg-BG"/>
        </w:rPr>
        <w:t xml:space="preserve">вътрешноправни средства за защита за отстраняване на твърдените нарушения на </w:t>
      </w:r>
      <w:r w:rsidR="00CA7BA4">
        <w:rPr>
          <w:lang w:val="bg-BG"/>
        </w:rPr>
        <w:t>чл</w:t>
      </w:r>
      <w:r w:rsidR="0070142C">
        <w:rPr>
          <w:lang w:val="bg-BG"/>
        </w:rPr>
        <w:t>.</w:t>
      </w:r>
      <w:r w:rsidR="006B393C" w:rsidRPr="008849C3">
        <w:rPr>
          <w:lang w:val="bg-BG"/>
        </w:rPr>
        <w:t xml:space="preserve"> </w:t>
      </w:r>
      <w:r w:rsidR="00EA32F8" w:rsidRPr="008849C3">
        <w:rPr>
          <w:lang w:val="bg-BG"/>
        </w:rPr>
        <w:t>3, 6 § 2</w:t>
      </w:r>
      <w:r w:rsidR="000C1174" w:rsidRPr="008849C3">
        <w:rPr>
          <w:lang w:val="bg-BG"/>
        </w:rPr>
        <w:t>,</w:t>
      </w:r>
      <w:r w:rsidR="00EA32F8" w:rsidRPr="008849C3">
        <w:rPr>
          <w:lang w:val="bg-BG"/>
        </w:rPr>
        <w:t xml:space="preserve"> </w:t>
      </w:r>
      <w:r w:rsidR="006B393C" w:rsidRPr="008849C3">
        <w:rPr>
          <w:lang w:val="bg-BG"/>
        </w:rPr>
        <w:t>и</w:t>
      </w:r>
      <w:r w:rsidR="00F1181F" w:rsidRPr="008849C3">
        <w:rPr>
          <w:lang w:val="bg-BG"/>
        </w:rPr>
        <w:t xml:space="preserve"> </w:t>
      </w:r>
      <w:r w:rsidR="00EA32F8" w:rsidRPr="008849C3">
        <w:rPr>
          <w:lang w:val="bg-BG"/>
        </w:rPr>
        <w:t>8</w:t>
      </w:r>
      <w:r w:rsidR="000C1174" w:rsidRPr="008849C3">
        <w:rPr>
          <w:lang w:val="bg-BG"/>
        </w:rPr>
        <w:t xml:space="preserve"> </w:t>
      </w:r>
      <w:r w:rsidR="00CD3B92" w:rsidRPr="008849C3">
        <w:rPr>
          <w:lang w:val="bg-BG"/>
        </w:rPr>
        <w:t>от Конвенцията</w:t>
      </w:r>
      <w:r w:rsidR="00F1181F" w:rsidRPr="008849C3">
        <w:rPr>
          <w:lang w:val="bg-BG"/>
        </w:rPr>
        <w:t xml:space="preserve"> </w:t>
      </w:r>
      <w:r w:rsidR="006B393C" w:rsidRPr="008849C3">
        <w:rPr>
          <w:lang w:val="bg-BG"/>
        </w:rPr>
        <w:t xml:space="preserve">и </w:t>
      </w:r>
      <w:r w:rsidR="00CA7BA4">
        <w:rPr>
          <w:lang w:val="bg-BG"/>
        </w:rPr>
        <w:t>чл.</w:t>
      </w:r>
      <w:r w:rsidR="00F1181F" w:rsidRPr="008849C3">
        <w:rPr>
          <w:lang w:val="bg-BG"/>
        </w:rPr>
        <w:t xml:space="preserve"> </w:t>
      </w:r>
      <w:r w:rsidR="000C1174" w:rsidRPr="008849C3">
        <w:rPr>
          <w:lang w:val="bg-BG"/>
        </w:rPr>
        <w:t xml:space="preserve">1 </w:t>
      </w:r>
      <w:r w:rsidR="006B393C" w:rsidRPr="008849C3">
        <w:rPr>
          <w:lang w:val="bg-BG"/>
        </w:rPr>
        <w:t>от Протокол №</w:t>
      </w:r>
      <w:r w:rsidR="000C1174" w:rsidRPr="008849C3">
        <w:rPr>
          <w:lang w:val="bg-BG"/>
        </w:rPr>
        <w:t xml:space="preserve"> 1</w:t>
      </w:r>
      <w:r w:rsidR="00CC1E16" w:rsidRPr="008849C3">
        <w:rPr>
          <w:lang w:val="bg-BG"/>
        </w:rPr>
        <w:t xml:space="preserve"> </w:t>
      </w:r>
      <w:r w:rsidR="006B393C" w:rsidRPr="008849C3">
        <w:rPr>
          <w:lang w:val="bg-BG"/>
        </w:rPr>
        <w:t>към Конвенцията</w:t>
      </w:r>
      <w:r w:rsidRPr="008849C3">
        <w:rPr>
          <w:lang w:val="bg-BG"/>
        </w:rPr>
        <w:t>.</w:t>
      </w:r>
    </w:p>
    <w:p w:rsidR="00E77CB3" w:rsidRPr="008849C3" w:rsidRDefault="00472D9E" w:rsidP="006B0E9F">
      <w:pPr>
        <w:pStyle w:val="ECHRPara"/>
        <w:rPr>
          <w:szCs w:val="24"/>
          <w:lang w:val="bg-BG" w:eastAsia="en-GB"/>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w:t>
      </w:r>
      <w:r w:rsidRPr="008849C3">
        <w:rPr>
          <w:lang w:val="bg-BG"/>
        </w:rPr>
        <w:fldChar w:fldCharType="end"/>
      </w:r>
      <w:r w:rsidR="00E77CB3" w:rsidRPr="008849C3">
        <w:rPr>
          <w:lang w:val="bg-BG"/>
        </w:rPr>
        <w:t>.  </w:t>
      </w:r>
      <w:r w:rsidR="006B393C" w:rsidRPr="008849C3">
        <w:rPr>
          <w:lang w:val="bg-BG"/>
        </w:rPr>
        <w:t>На</w:t>
      </w:r>
      <w:r w:rsidRPr="008849C3">
        <w:rPr>
          <w:lang w:val="bg-BG"/>
        </w:rPr>
        <w:t xml:space="preserve"> </w:t>
      </w:r>
      <w:r w:rsidRPr="008849C3">
        <w:rPr>
          <w:szCs w:val="24"/>
          <w:lang w:val="bg-BG"/>
        </w:rPr>
        <w:t xml:space="preserve">26 </w:t>
      </w:r>
      <w:r w:rsidR="006B393C" w:rsidRPr="008849C3">
        <w:rPr>
          <w:szCs w:val="24"/>
          <w:lang w:val="bg-BG"/>
        </w:rPr>
        <w:t>май</w:t>
      </w:r>
      <w:r w:rsidRPr="008849C3">
        <w:rPr>
          <w:szCs w:val="24"/>
          <w:lang w:val="bg-BG"/>
        </w:rPr>
        <w:t xml:space="preserve"> 2014</w:t>
      </w:r>
      <w:r w:rsidR="006B393C" w:rsidRPr="008849C3">
        <w:rPr>
          <w:szCs w:val="24"/>
          <w:lang w:val="bg-BG"/>
        </w:rPr>
        <w:t xml:space="preserve"> г.</w:t>
      </w:r>
      <w:r w:rsidR="00E77CB3" w:rsidRPr="008849C3">
        <w:rPr>
          <w:lang w:val="bg-BG"/>
        </w:rPr>
        <w:t xml:space="preserve">, </w:t>
      </w:r>
      <w:r w:rsidR="006B393C" w:rsidRPr="008849C3">
        <w:rPr>
          <w:lang w:val="bg-BG"/>
        </w:rPr>
        <w:t xml:space="preserve">споменатите оплаквания </w:t>
      </w:r>
      <w:r w:rsidR="00F319FB">
        <w:rPr>
          <w:lang w:val="bg-BG"/>
        </w:rPr>
        <w:t>по</w:t>
      </w:r>
      <w:r w:rsidR="006B393C" w:rsidRPr="008849C3">
        <w:rPr>
          <w:lang w:val="bg-BG"/>
        </w:rPr>
        <w:t xml:space="preserve"> </w:t>
      </w:r>
      <w:r w:rsidR="00CA7BA4">
        <w:rPr>
          <w:lang w:val="bg-BG"/>
        </w:rPr>
        <w:t>чл</w:t>
      </w:r>
      <w:r w:rsidR="00F319FB">
        <w:rPr>
          <w:lang w:val="bg-BG"/>
        </w:rPr>
        <w:t>.</w:t>
      </w:r>
      <w:r w:rsidRPr="008849C3">
        <w:rPr>
          <w:lang w:val="bg-BG"/>
        </w:rPr>
        <w:t xml:space="preserve"> </w:t>
      </w:r>
      <w:r w:rsidR="001354EF" w:rsidRPr="008849C3">
        <w:rPr>
          <w:lang w:val="bg-BG"/>
        </w:rPr>
        <w:t>3,</w:t>
      </w:r>
      <w:r w:rsidR="000C1174" w:rsidRPr="008849C3">
        <w:rPr>
          <w:lang w:val="bg-BG"/>
        </w:rPr>
        <w:t xml:space="preserve"> 6 §</w:t>
      </w:r>
      <w:r w:rsidR="001354EF" w:rsidRPr="008849C3">
        <w:rPr>
          <w:lang w:val="bg-BG"/>
        </w:rPr>
        <w:t xml:space="preserve">§ 1 </w:t>
      </w:r>
      <w:r w:rsidR="006B393C" w:rsidRPr="008849C3">
        <w:rPr>
          <w:lang w:val="bg-BG"/>
        </w:rPr>
        <w:t>и</w:t>
      </w:r>
      <w:r w:rsidR="00276C60" w:rsidRPr="008849C3">
        <w:rPr>
          <w:lang w:val="bg-BG"/>
        </w:rPr>
        <w:t> </w:t>
      </w:r>
      <w:r w:rsidR="000C1174" w:rsidRPr="008849C3">
        <w:rPr>
          <w:lang w:val="bg-BG"/>
        </w:rPr>
        <w:t>2,</w:t>
      </w:r>
      <w:r w:rsidR="006B393C" w:rsidRPr="008849C3">
        <w:rPr>
          <w:lang w:val="bg-BG"/>
        </w:rPr>
        <w:t xml:space="preserve"> 8 и</w:t>
      </w:r>
      <w:r w:rsidR="001354EF" w:rsidRPr="008849C3">
        <w:rPr>
          <w:lang w:val="bg-BG"/>
        </w:rPr>
        <w:t xml:space="preserve"> 13 </w:t>
      </w:r>
      <w:r w:rsidR="00CD3B92" w:rsidRPr="008849C3">
        <w:rPr>
          <w:lang w:val="bg-BG"/>
        </w:rPr>
        <w:t>от Конвенцията</w:t>
      </w:r>
      <w:r w:rsidR="001354EF" w:rsidRPr="008849C3">
        <w:rPr>
          <w:lang w:val="bg-BG"/>
        </w:rPr>
        <w:t xml:space="preserve"> </w:t>
      </w:r>
      <w:r w:rsidR="006B393C" w:rsidRPr="008849C3">
        <w:rPr>
          <w:lang w:val="bg-BG"/>
        </w:rPr>
        <w:t xml:space="preserve">и </w:t>
      </w:r>
      <w:r w:rsidR="00CA7BA4">
        <w:rPr>
          <w:lang w:val="bg-BG"/>
        </w:rPr>
        <w:t>чл.</w:t>
      </w:r>
      <w:r w:rsidR="001354EF" w:rsidRPr="008849C3">
        <w:rPr>
          <w:lang w:val="bg-BG"/>
        </w:rPr>
        <w:t xml:space="preserve"> 1 </w:t>
      </w:r>
      <w:r w:rsidR="006B393C" w:rsidRPr="008849C3">
        <w:rPr>
          <w:lang w:val="bg-BG"/>
        </w:rPr>
        <w:t>от Протокол №</w:t>
      </w:r>
      <w:r w:rsidR="00F319FB">
        <w:rPr>
          <w:lang w:val="bg-BG"/>
        </w:rPr>
        <w:t>1</w:t>
      </w:r>
      <w:r w:rsidR="006B393C" w:rsidRPr="008849C3">
        <w:rPr>
          <w:lang w:val="bg-BG"/>
        </w:rPr>
        <w:t xml:space="preserve"> </w:t>
      </w:r>
      <w:r w:rsidR="004476A7" w:rsidRPr="008849C3">
        <w:rPr>
          <w:lang w:val="bg-BG"/>
        </w:rPr>
        <w:t>са съобщ</w:t>
      </w:r>
      <w:r w:rsidR="006B393C" w:rsidRPr="008849C3">
        <w:rPr>
          <w:lang w:val="bg-BG"/>
        </w:rPr>
        <w:t xml:space="preserve">ени на Правителството и жалбата е обявена за </w:t>
      </w:r>
      <w:r w:rsidR="003049D7" w:rsidRPr="008849C3">
        <w:rPr>
          <w:lang w:val="bg-BG"/>
        </w:rPr>
        <w:t xml:space="preserve">недопустима в останалата си част на основание </w:t>
      </w:r>
      <w:r w:rsidR="00F319FB">
        <w:rPr>
          <w:lang w:val="bg-BG"/>
        </w:rPr>
        <w:t>правило</w:t>
      </w:r>
      <w:r w:rsidRPr="008849C3">
        <w:rPr>
          <w:lang w:val="bg-BG"/>
        </w:rPr>
        <w:t xml:space="preserve"> 54 § 3 </w:t>
      </w:r>
      <w:r w:rsidR="003049D7" w:rsidRPr="008849C3">
        <w:rPr>
          <w:lang w:val="bg-BG"/>
        </w:rPr>
        <w:t xml:space="preserve">от </w:t>
      </w:r>
      <w:r w:rsidR="00CA7BA4" w:rsidRPr="008849C3">
        <w:rPr>
          <w:lang w:val="bg-BG"/>
        </w:rPr>
        <w:t xml:space="preserve">Правилника </w:t>
      </w:r>
      <w:r w:rsidR="003049D7" w:rsidRPr="008849C3">
        <w:rPr>
          <w:lang w:val="bg-BG"/>
        </w:rPr>
        <w:t>на Съда</w:t>
      </w:r>
      <w:r w:rsidRPr="008849C3">
        <w:rPr>
          <w:lang w:val="bg-BG"/>
        </w:rPr>
        <w:t xml:space="preserve"> </w:t>
      </w:r>
      <w:r w:rsidR="0028066B" w:rsidRPr="008849C3">
        <w:rPr>
          <w:lang w:val="bg-BG"/>
        </w:rPr>
        <w:t>(</w:t>
      </w:r>
      <w:r w:rsidR="003049D7" w:rsidRPr="008849C3">
        <w:rPr>
          <w:lang w:val="bg-BG"/>
        </w:rPr>
        <w:t>„</w:t>
      </w:r>
      <w:r w:rsidR="00CA7BA4" w:rsidRPr="008849C3">
        <w:rPr>
          <w:lang w:val="bg-BG"/>
        </w:rPr>
        <w:t>Правилникът</w:t>
      </w:r>
      <w:r w:rsidR="003049D7" w:rsidRPr="008849C3">
        <w:rPr>
          <w:lang w:val="bg-BG"/>
        </w:rPr>
        <w:t>“).</w:t>
      </w:r>
    </w:p>
    <w:p w:rsidR="00E77CB3" w:rsidRPr="008849C3" w:rsidRDefault="003049D7" w:rsidP="006B0E9F">
      <w:pPr>
        <w:pStyle w:val="ECHRTitle1"/>
        <w:tabs>
          <w:tab w:val="left" w:pos="5387"/>
        </w:tabs>
        <w:rPr>
          <w:lang w:val="bg-BG"/>
        </w:rPr>
      </w:pPr>
      <w:r w:rsidRPr="008849C3">
        <w:rPr>
          <w:lang w:val="bg-BG"/>
        </w:rPr>
        <w:t>ФАКТИТЕ</w:t>
      </w:r>
      <w:r w:rsidR="00E77CB3" w:rsidRPr="008849C3">
        <w:rPr>
          <w:lang w:val="bg-BG"/>
        </w:rPr>
        <w:t xml:space="preserve"> </w:t>
      </w:r>
    </w:p>
    <w:p w:rsidR="00E77CB3" w:rsidRPr="008849C3" w:rsidRDefault="00E77CB3" w:rsidP="006B0E9F">
      <w:pPr>
        <w:pStyle w:val="ECHRHeading1"/>
        <w:rPr>
          <w:lang w:val="bg-BG"/>
        </w:rPr>
      </w:pPr>
      <w:r w:rsidRPr="008849C3">
        <w:rPr>
          <w:lang w:val="bg-BG"/>
        </w:rPr>
        <w:t>I.  </w:t>
      </w:r>
      <w:r w:rsidR="003049D7" w:rsidRPr="008849C3">
        <w:rPr>
          <w:lang w:val="bg-BG"/>
        </w:rPr>
        <w:t xml:space="preserve">ОБСТОЯТЕЛСТВАТА ПО ДЕЛОТО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w:t>
      </w:r>
      <w:r w:rsidRPr="008849C3">
        <w:rPr>
          <w:lang w:val="bg-BG"/>
        </w:rPr>
        <w:fldChar w:fldCharType="end"/>
      </w:r>
      <w:r w:rsidR="00E77CB3" w:rsidRPr="008849C3">
        <w:rPr>
          <w:lang w:val="bg-BG"/>
        </w:rPr>
        <w:t>.  </w:t>
      </w:r>
      <w:r w:rsidR="003847C9" w:rsidRPr="008849C3">
        <w:rPr>
          <w:lang w:val="bg-BG"/>
        </w:rPr>
        <w:t xml:space="preserve"> </w:t>
      </w:r>
      <w:r w:rsidR="003049D7" w:rsidRPr="008849C3">
        <w:rPr>
          <w:lang w:val="bg-BG"/>
        </w:rPr>
        <w:t xml:space="preserve">Г-н Попов и г-жа Попова са родени съответно през </w:t>
      </w:r>
      <w:r w:rsidRPr="008849C3">
        <w:rPr>
          <w:lang w:val="bg-BG"/>
        </w:rPr>
        <w:t xml:space="preserve">1962 </w:t>
      </w:r>
      <w:r w:rsidR="003049D7" w:rsidRPr="008849C3">
        <w:rPr>
          <w:lang w:val="bg-BG"/>
        </w:rPr>
        <w:t>и</w:t>
      </w:r>
      <w:r w:rsidR="003847C9" w:rsidRPr="008849C3">
        <w:rPr>
          <w:lang w:val="bg-BG"/>
        </w:rPr>
        <w:t xml:space="preserve"> </w:t>
      </w:r>
      <w:r w:rsidR="006E1CE2" w:rsidRPr="008849C3">
        <w:rPr>
          <w:lang w:val="bg-BG"/>
        </w:rPr>
        <w:t>1969</w:t>
      </w:r>
      <w:r w:rsidR="004476A7" w:rsidRPr="008849C3">
        <w:rPr>
          <w:lang w:val="bg-BG"/>
        </w:rPr>
        <w:t xml:space="preserve"> </w:t>
      </w:r>
      <w:r w:rsidR="003049D7" w:rsidRPr="008849C3">
        <w:rPr>
          <w:lang w:val="bg-BG"/>
        </w:rPr>
        <w:t xml:space="preserve">г. и живеят в София. </w:t>
      </w:r>
      <w:r w:rsidRPr="008849C3">
        <w:rPr>
          <w:lang w:val="bg-BG"/>
        </w:rPr>
        <w:t xml:space="preserve">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w:t>
      </w:r>
      <w:r w:rsidRPr="008849C3">
        <w:rPr>
          <w:lang w:val="bg-BG"/>
        </w:rPr>
        <w:fldChar w:fldCharType="end"/>
      </w:r>
      <w:r w:rsidR="00E77CB3" w:rsidRPr="008849C3">
        <w:rPr>
          <w:lang w:val="bg-BG"/>
        </w:rPr>
        <w:t>.  </w:t>
      </w:r>
      <w:r w:rsidR="003049D7" w:rsidRPr="008849C3">
        <w:rPr>
          <w:lang w:val="bg-BG"/>
        </w:rPr>
        <w:t xml:space="preserve">Жалбоподателят е бивш главен секретар на Министерство на финансите. Жалбоподателката е съпруга на жалбоподателя. Тя е нотариус в София. </w:t>
      </w:r>
      <w:r w:rsidR="00731F55" w:rsidRPr="008849C3">
        <w:rPr>
          <w:lang w:val="bg-BG"/>
        </w:rPr>
        <w:t xml:space="preserve"> </w:t>
      </w:r>
    </w:p>
    <w:p w:rsidR="004F2FDE" w:rsidRPr="008849C3" w:rsidRDefault="004F2FDE" w:rsidP="006B0E9F">
      <w:pPr>
        <w:pStyle w:val="ECHRHeading2"/>
        <w:rPr>
          <w:lang w:val="bg-BG"/>
        </w:rPr>
      </w:pPr>
      <w:r w:rsidRPr="008849C3">
        <w:rPr>
          <w:lang w:val="bg-BG"/>
        </w:rPr>
        <w:t>A.  </w:t>
      </w:r>
      <w:r w:rsidR="003049D7" w:rsidRPr="008849C3">
        <w:rPr>
          <w:lang w:val="bg-BG"/>
        </w:rPr>
        <w:t>Общ контекст на делото</w:t>
      </w:r>
      <w:r w:rsidRPr="008849C3">
        <w:rPr>
          <w:lang w:val="bg-BG"/>
        </w:rPr>
        <w:t xml:space="preserve"> </w:t>
      </w:r>
    </w:p>
    <w:p w:rsidR="004F2FDE" w:rsidRPr="008849C3" w:rsidRDefault="004A160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w:t>
      </w:r>
      <w:r w:rsidRPr="008849C3">
        <w:rPr>
          <w:lang w:val="bg-BG"/>
        </w:rPr>
        <w:fldChar w:fldCharType="end"/>
      </w:r>
      <w:r w:rsidRPr="008849C3">
        <w:rPr>
          <w:lang w:val="bg-BG"/>
        </w:rPr>
        <w:t>.  </w:t>
      </w:r>
      <w:r w:rsidR="003049D7" w:rsidRPr="008849C3">
        <w:rPr>
          <w:lang w:val="bg-BG"/>
        </w:rPr>
        <w:t>През</w:t>
      </w:r>
      <w:r w:rsidR="004F2FDE" w:rsidRPr="008849C3">
        <w:rPr>
          <w:lang w:val="bg-BG"/>
        </w:rPr>
        <w:t xml:space="preserve"> 2009</w:t>
      </w:r>
      <w:r w:rsidR="003049D7" w:rsidRPr="008849C3">
        <w:rPr>
          <w:lang w:val="bg-BG"/>
        </w:rPr>
        <w:t xml:space="preserve"> г.</w:t>
      </w:r>
      <w:r w:rsidR="004F2FDE" w:rsidRPr="008849C3">
        <w:rPr>
          <w:lang w:val="bg-BG"/>
        </w:rPr>
        <w:t xml:space="preserve">, </w:t>
      </w:r>
      <w:r w:rsidR="003049D7" w:rsidRPr="008849C3">
        <w:rPr>
          <w:lang w:val="bg-BG"/>
        </w:rPr>
        <w:t xml:space="preserve">на </w:t>
      </w:r>
      <w:r w:rsidR="009F2778" w:rsidRPr="008849C3">
        <w:rPr>
          <w:lang w:val="bg-BG"/>
        </w:rPr>
        <w:t xml:space="preserve">неизвестна </w:t>
      </w:r>
      <w:r w:rsidR="003049D7" w:rsidRPr="008849C3">
        <w:rPr>
          <w:lang w:val="bg-BG"/>
        </w:rPr>
        <w:t xml:space="preserve">дата, </w:t>
      </w:r>
      <w:r w:rsidR="009F2778" w:rsidRPr="008849C3">
        <w:rPr>
          <w:lang w:val="bg-BG"/>
        </w:rPr>
        <w:t xml:space="preserve">Прокуратурата </w:t>
      </w:r>
      <w:r w:rsidR="00F96241">
        <w:rPr>
          <w:lang w:val="bg-BG"/>
        </w:rPr>
        <w:t>образува</w:t>
      </w:r>
      <w:r w:rsidR="00F96241" w:rsidRPr="008849C3">
        <w:rPr>
          <w:lang w:val="bg-BG"/>
        </w:rPr>
        <w:t xml:space="preserve"> </w:t>
      </w:r>
      <w:r w:rsidR="003049D7" w:rsidRPr="008849C3">
        <w:rPr>
          <w:lang w:val="bg-BG"/>
        </w:rPr>
        <w:t xml:space="preserve">наказателно </w:t>
      </w:r>
      <w:r w:rsidR="00F96241">
        <w:rPr>
          <w:lang w:val="bg-BG"/>
        </w:rPr>
        <w:t>производство</w:t>
      </w:r>
      <w:r w:rsidR="00F96241" w:rsidRPr="008849C3">
        <w:rPr>
          <w:lang w:val="bg-BG"/>
        </w:rPr>
        <w:t xml:space="preserve"> </w:t>
      </w:r>
      <w:r w:rsidR="003049D7" w:rsidRPr="008849C3">
        <w:rPr>
          <w:lang w:val="bg-BG"/>
        </w:rPr>
        <w:t xml:space="preserve">срещу Х </w:t>
      </w:r>
      <w:r w:rsidR="00823559">
        <w:rPr>
          <w:lang w:val="bg-BG"/>
        </w:rPr>
        <w:t>поради</w:t>
      </w:r>
      <w:r w:rsidR="003049D7" w:rsidRPr="008849C3">
        <w:rPr>
          <w:lang w:val="bg-BG"/>
        </w:rPr>
        <w:t xml:space="preserve"> </w:t>
      </w:r>
      <w:r w:rsidR="009F2778" w:rsidRPr="008849C3">
        <w:rPr>
          <w:lang w:val="bg-BG"/>
        </w:rPr>
        <w:t>лошо</w:t>
      </w:r>
      <w:r w:rsidR="003049D7" w:rsidRPr="008849C3">
        <w:rPr>
          <w:lang w:val="bg-BG"/>
        </w:rPr>
        <w:t xml:space="preserve"> управление на обществени средства в</w:t>
      </w:r>
      <w:r w:rsidR="00823559">
        <w:rPr>
          <w:lang w:val="bg-BG"/>
        </w:rPr>
        <w:t xml:space="preserve"> рамките на</w:t>
      </w:r>
      <w:r w:rsidR="003049D7" w:rsidRPr="008849C3">
        <w:rPr>
          <w:lang w:val="bg-BG"/>
        </w:rPr>
        <w:t xml:space="preserve"> Министерство на отбраната. </w:t>
      </w:r>
      <w:r w:rsidR="00823559">
        <w:rPr>
          <w:lang w:val="bg-BG"/>
        </w:rPr>
        <w:t>Разследването</w:t>
      </w:r>
      <w:r w:rsidR="00823559" w:rsidRPr="008849C3">
        <w:rPr>
          <w:lang w:val="bg-BG"/>
        </w:rPr>
        <w:t xml:space="preserve"> </w:t>
      </w:r>
      <w:r w:rsidR="00823559">
        <w:rPr>
          <w:lang w:val="bg-BG"/>
        </w:rPr>
        <w:t>е свързано,</w:t>
      </w:r>
      <w:r w:rsidR="00823559" w:rsidRPr="008849C3">
        <w:rPr>
          <w:lang w:val="bg-BG"/>
        </w:rPr>
        <w:t xml:space="preserve"> </w:t>
      </w:r>
      <w:r w:rsidR="009F2778" w:rsidRPr="008849C3">
        <w:rPr>
          <w:lang w:val="bg-BG"/>
        </w:rPr>
        <w:t>по-специално</w:t>
      </w:r>
      <w:r w:rsidR="00823559">
        <w:rPr>
          <w:lang w:val="bg-BG"/>
        </w:rPr>
        <w:t>, с</w:t>
      </w:r>
      <w:r w:rsidR="009F2778" w:rsidRPr="008849C3">
        <w:rPr>
          <w:lang w:val="bg-BG"/>
        </w:rPr>
        <w:t xml:space="preserve"> финансови</w:t>
      </w:r>
      <w:r w:rsidR="00823559">
        <w:rPr>
          <w:lang w:val="bg-BG"/>
        </w:rPr>
        <w:t xml:space="preserve"> параметри</w:t>
      </w:r>
      <w:r w:rsidR="009F2778" w:rsidRPr="008849C3">
        <w:rPr>
          <w:lang w:val="bg-BG"/>
        </w:rPr>
        <w:t xml:space="preserve"> на важен договор, сключен от бившия министър на отбраната, г-н Николай Цонев. </w:t>
      </w:r>
    </w:p>
    <w:p w:rsidR="004F2FDE" w:rsidRPr="008849C3" w:rsidRDefault="004A160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w:t>
      </w:r>
      <w:r w:rsidRPr="008849C3">
        <w:rPr>
          <w:lang w:val="bg-BG"/>
        </w:rPr>
        <w:fldChar w:fldCharType="end"/>
      </w:r>
      <w:r w:rsidRPr="008849C3">
        <w:rPr>
          <w:lang w:val="bg-BG"/>
        </w:rPr>
        <w:t>.  </w:t>
      </w:r>
      <w:r w:rsidR="009F2778" w:rsidRPr="008849C3">
        <w:rPr>
          <w:lang w:val="bg-BG"/>
        </w:rPr>
        <w:t>Следователят</w:t>
      </w:r>
      <w:r w:rsidR="00E4026F">
        <w:rPr>
          <w:lang w:val="bg-BG"/>
        </w:rPr>
        <w:t>, на когото е възложено разследването,</w:t>
      </w:r>
      <w:r w:rsidR="009F2778" w:rsidRPr="008849C3">
        <w:rPr>
          <w:lang w:val="bg-BG"/>
        </w:rPr>
        <w:t xml:space="preserve"> сигнализирал полиц</w:t>
      </w:r>
      <w:r w:rsidR="00E4026F">
        <w:rPr>
          <w:lang w:val="bg-BG"/>
        </w:rPr>
        <w:t>ейските органи</w:t>
      </w:r>
      <w:r w:rsidR="009F2778" w:rsidRPr="008849C3">
        <w:rPr>
          <w:lang w:val="bg-BG"/>
        </w:rPr>
        <w:t xml:space="preserve">, че жалбоподателят и неговият </w:t>
      </w:r>
      <w:r w:rsidR="00E4026F">
        <w:rPr>
          <w:lang w:val="bg-BG"/>
        </w:rPr>
        <w:t>девер (братът на съпругата му)</w:t>
      </w:r>
      <w:r w:rsidR="009F2778" w:rsidRPr="008849C3">
        <w:rPr>
          <w:lang w:val="bg-BG"/>
        </w:rPr>
        <w:t>, П. С., съдия в Софийски градски съд</w:t>
      </w:r>
      <w:r w:rsidR="00E4026F">
        <w:rPr>
          <w:lang w:val="bg-BG"/>
        </w:rPr>
        <w:t xml:space="preserve"> </w:t>
      </w:r>
      <w:r w:rsidR="009F2778" w:rsidRPr="008849C3">
        <w:rPr>
          <w:lang w:val="bg-BG"/>
        </w:rPr>
        <w:t xml:space="preserve">са му предложили пари, за да повлияят върху изхода </w:t>
      </w:r>
      <w:r w:rsidR="00E4026F">
        <w:rPr>
          <w:lang w:val="bg-BG"/>
        </w:rPr>
        <w:t>на разследването</w:t>
      </w:r>
      <w:r w:rsidR="009F2778" w:rsidRPr="008849C3">
        <w:rPr>
          <w:lang w:val="bg-BG"/>
        </w:rPr>
        <w:t xml:space="preserve">. </w:t>
      </w:r>
    </w:p>
    <w:p w:rsidR="004F2FDE" w:rsidRPr="008849C3" w:rsidRDefault="004A160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w:t>
      </w:r>
      <w:r w:rsidRPr="008849C3">
        <w:rPr>
          <w:lang w:val="bg-BG"/>
        </w:rPr>
        <w:fldChar w:fldCharType="end"/>
      </w:r>
      <w:r w:rsidRPr="008849C3">
        <w:rPr>
          <w:lang w:val="bg-BG"/>
        </w:rPr>
        <w:t>.  </w:t>
      </w:r>
      <w:r w:rsidR="009F2778" w:rsidRPr="008849C3">
        <w:rPr>
          <w:lang w:val="bg-BG"/>
        </w:rPr>
        <w:t>Националн</w:t>
      </w:r>
      <w:r w:rsidR="00E4026F">
        <w:rPr>
          <w:lang w:val="bg-BG"/>
        </w:rPr>
        <w:t>ите полицейски органи</w:t>
      </w:r>
      <w:r w:rsidR="009F2778" w:rsidRPr="008849C3">
        <w:rPr>
          <w:lang w:val="bg-BG"/>
        </w:rPr>
        <w:t xml:space="preserve"> </w:t>
      </w:r>
      <w:r w:rsidR="00E4026F">
        <w:rPr>
          <w:lang w:val="bg-BG"/>
        </w:rPr>
        <w:t>предприемат</w:t>
      </w:r>
      <w:r w:rsidR="00E4026F" w:rsidRPr="008849C3">
        <w:rPr>
          <w:lang w:val="bg-BG"/>
        </w:rPr>
        <w:t xml:space="preserve"> </w:t>
      </w:r>
      <w:r w:rsidR="009F2778" w:rsidRPr="008849C3">
        <w:rPr>
          <w:lang w:val="bg-BG"/>
        </w:rPr>
        <w:t xml:space="preserve">операция по наблюдение на </w:t>
      </w:r>
      <w:r w:rsidR="00587B95" w:rsidRPr="008849C3">
        <w:rPr>
          <w:lang w:val="bg-BG"/>
        </w:rPr>
        <w:t>разследваните</w:t>
      </w:r>
      <w:r w:rsidR="009F2778" w:rsidRPr="008849C3">
        <w:rPr>
          <w:lang w:val="bg-BG"/>
        </w:rPr>
        <w:t xml:space="preserve"> лица </w:t>
      </w:r>
      <w:r w:rsidR="004476A7" w:rsidRPr="008849C3">
        <w:rPr>
          <w:lang w:val="bg-BG"/>
        </w:rPr>
        <w:t>и подготвя</w:t>
      </w:r>
      <w:r w:rsidR="00E4026F">
        <w:rPr>
          <w:lang w:val="bg-BG"/>
        </w:rPr>
        <w:t>т</w:t>
      </w:r>
      <w:r w:rsidR="00587B95" w:rsidRPr="008849C3">
        <w:rPr>
          <w:lang w:val="bg-BG"/>
        </w:rPr>
        <w:t xml:space="preserve"> </w:t>
      </w:r>
      <w:r w:rsidR="00E4026F">
        <w:rPr>
          <w:lang w:val="bg-BG"/>
        </w:rPr>
        <w:t>задържането</w:t>
      </w:r>
      <w:r w:rsidR="00E4026F" w:rsidRPr="008849C3">
        <w:rPr>
          <w:lang w:val="bg-BG"/>
        </w:rPr>
        <w:t xml:space="preserve"> </w:t>
      </w:r>
      <w:r w:rsidR="00587B95" w:rsidRPr="008849C3">
        <w:rPr>
          <w:lang w:val="bg-BG"/>
        </w:rPr>
        <w:t>им. Според събраната от полиц</w:t>
      </w:r>
      <w:r w:rsidR="00E4026F">
        <w:rPr>
          <w:lang w:val="bg-BG"/>
        </w:rPr>
        <w:t>ейските органи</w:t>
      </w:r>
      <w:r w:rsidR="00587B95" w:rsidRPr="008849C3">
        <w:rPr>
          <w:lang w:val="bg-BG"/>
        </w:rPr>
        <w:t xml:space="preserve"> информация, предложението за подкуп било на </w:t>
      </w:r>
      <w:r w:rsidR="00A31718" w:rsidRPr="008849C3">
        <w:rPr>
          <w:lang w:val="bg-BG"/>
        </w:rPr>
        <w:t xml:space="preserve">Николай Цонев, а жалбоподателят и </w:t>
      </w:r>
      <w:r w:rsidR="00E4026F">
        <w:rPr>
          <w:lang w:val="bg-BG"/>
        </w:rPr>
        <w:t>деверът</w:t>
      </w:r>
      <w:r w:rsidR="00A31718" w:rsidRPr="008849C3">
        <w:rPr>
          <w:lang w:val="bg-BG"/>
        </w:rPr>
        <w:t xml:space="preserve"> му, съдията П. С., са </w:t>
      </w:r>
      <w:r w:rsidR="00E4026F">
        <w:rPr>
          <w:lang w:val="bg-BG"/>
        </w:rPr>
        <w:t>служили</w:t>
      </w:r>
      <w:r w:rsidR="00A31718" w:rsidRPr="008849C3">
        <w:rPr>
          <w:lang w:val="bg-BG"/>
        </w:rPr>
        <w:t xml:space="preserve"> </w:t>
      </w:r>
      <w:r w:rsidR="00E4026F">
        <w:rPr>
          <w:lang w:val="bg-BG"/>
        </w:rPr>
        <w:t>като</w:t>
      </w:r>
      <w:r w:rsidR="00A31718" w:rsidRPr="008849C3">
        <w:rPr>
          <w:lang w:val="bg-BG"/>
        </w:rPr>
        <w:t xml:space="preserve"> посредници. Жалбоподателят и двамата му предполагаеми съучастници са </w:t>
      </w:r>
      <w:r w:rsidR="00E4026F">
        <w:rPr>
          <w:lang w:val="bg-BG"/>
        </w:rPr>
        <w:t>задържани</w:t>
      </w:r>
      <w:r w:rsidR="00E4026F" w:rsidRPr="008849C3">
        <w:rPr>
          <w:lang w:val="bg-BG"/>
        </w:rPr>
        <w:t xml:space="preserve"> </w:t>
      </w:r>
      <w:r w:rsidR="00A31718" w:rsidRPr="008849C3">
        <w:rPr>
          <w:lang w:val="bg-BG"/>
        </w:rPr>
        <w:t xml:space="preserve">на 1 април 2010 г. </w:t>
      </w:r>
      <w:r w:rsidR="00587B95" w:rsidRPr="008849C3">
        <w:rPr>
          <w:lang w:val="bg-BG"/>
        </w:rPr>
        <w:t xml:space="preserve">  </w:t>
      </w:r>
    </w:p>
    <w:p w:rsidR="000E6B75" w:rsidRPr="008849C3" w:rsidRDefault="001B5F59" w:rsidP="006B0E9F">
      <w:pPr>
        <w:pStyle w:val="ECHRHeading2"/>
        <w:spacing w:line="276" w:lineRule="auto"/>
        <w:rPr>
          <w:lang w:val="bg-BG"/>
        </w:rPr>
      </w:pPr>
      <w:r>
        <w:rPr>
          <w:lang w:val="bg-BG"/>
        </w:rPr>
        <w:lastRenderedPageBreak/>
        <w:t>Б</w:t>
      </w:r>
      <w:r w:rsidR="000E6B75" w:rsidRPr="008849C3">
        <w:rPr>
          <w:lang w:val="bg-BG"/>
        </w:rPr>
        <w:t>.  </w:t>
      </w:r>
      <w:r w:rsidR="00174623">
        <w:rPr>
          <w:lang w:val="bg-BG"/>
        </w:rPr>
        <w:t>Задържането</w:t>
      </w:r>
      <w:r w:rsidR="00A31718" w:rsidRPr="008849C3">
        <w:rPr>
          <w:lang w:val="bg-BG"/>
        </w:rPr>
        <w:t xml:space="preserve"> на жалбоподателя и наказателното </w:t>
      </w:r>
      <w:r w:rsidR="00E4026F">
        <w:rPr>
          <w:lang w:val="bg-BG"/>
        </w:rPr>
        <w:t>производство</w:t>
      </w:r>
      <w:r w:rsidR="00A31718" w:rsidRPr="008849C3">
        <w:rPr>
          <w:lang w:val="bg-BG"/>
        </w:rPr>
        <w:t xml:space="preserve">, </w:t>
      </w:r>
      <w:r w:rsidR="008C108E">
        <w:rPr>
          <w:lang w:val="bg-BG"/>
        </w:rPr>
        <w:t>образувано</w:t>
      </w:r>
      <w:r w:rsidR="008C108E" w:rsidRPr="008849C3">
        <w:rPr>
          <w:lang w:val="bg-BG"/>
        </w:rPr>
        <w:t xml:space="preserve"> </w:t>
      </w:r>
      <w:r w:rsidR="00A31718" w:rsidRPr="008849C3">
        <w:rPr>
          <w:lang w:val="bg-BG"/>
        </w:rPr>
        <w:t xml:space="preserve">срещу него </w:t>
      </w:r>
    </w:p>
    <w:p w:rsidR="00471917"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w:t>
      </w:r>
      <w:r w:rsidRPr="008849C3">
        <w:rPr>
          <w:lang w:val="bg-BG"/>
        </w:rPr>
        <w:fldChar w:fldCharType="end"/>
      </w:r>
      <w:r w:rsidRPr="008849C3">
        <w:rPr>
          <w:lang w:val="bg-BG"/>
        </w:rPr>
        <w:t>.  </w:t>
      </w:r>
      <w:r w:rsidR="00A31718" w:rsidRPr="008849C3">
        <w:rPr>
          <w:lang w:val="bg-BG"/>
        </w:rPr>
        <w:t xml:space="preserve">От документите по делото става ясно, че планът за полицейската операция, имаща за цел </w:t>
      </w:r>
      <w:r w:rsidR="008C108E">
        <w:rPr>
          <w:lang w:val="bg-BG"/>
        </w:rPr>
        <w:t>задържането</w:t>
      </w:r>
      <w:r w:rsidR="008C108E" w:rsidRPr="008849C3">
        <w:rPr>
          <w:lang w:val="bg-BG"/>
        </w:rPr>
        <w:t xml:space="preserve"> </w:t>
      </w:r>
      <w:r w:rsidR="00A31718" w:rsidRPr="008849C3">
        <w:rPr>
          <w:lang w:val="bg-BG"/>
        </w:rPr>
        <w:t xml:space="preserve">на жалбоподателя и на двамата му предполагаеми съучастници, е изготвен на 26 март 2010 г. </w:t>
      </w:r>
      <w:r w:rsidRPr="008849C3">
        <w:rPr>
          <w:lang w:val="bg-BG"/>
        </w:rPr>
        <w:t xml:space="preserve"> </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w:t>
      </w:r>
      <w:r w:rsidRPr="008849C3">
        <w:rPr>
          <w:lang w:val="bg-BG"/>
        </w:rPr>
        <w:fldChar w:fldCharType="end"/>
      </w:r>
      <w:r w:rsidRPr="008849C3">
        <w:rPr>
          <w:lang w:val="bg-BG"/>
        </w:rPr>
        <w:t>.  </w:t>
      </w:r>
      <w:r w:rsidR="00A31718" w:rsidRPr="008849C3">
        <w:rPr>
          <w:lang w:val="bg-BG"/>
        </w:rPr>
        <w:t xml:space="preserve">На 1 април 2010 г., около 12,20 ч. жалбоподателят се намира в нотариалната кантора на съпругата си в София. </w:t>
      </w:r>
      <w:r w:rsidR="008C108E">
        <w:rPr>
          <w:lang w:val="bg-BG"/>
        </w:rPr>
        <w:t>Присъстват също и д</w:t>
      </w:r>
      <w:r w:rsidR="00A31718" w:rsidRPr="008849C3">
        <w:rPr>
          <w:lang w:val="bg-BG"/>
        </w:rPr>
        <w:t>в</w:t>
      </w:r>
      <w:r w:rsidR="008C108E">
        <w:rPr>
          <w:lang w:val="bg-BG"/>
        </w:rPr>
        <w:t>е служителки</w:t>
      </w:r>
      <w:r w:rsidR="00A31718" w:rsidRPr="008849C3">
        <w:rPr>
          <w:lang w:val="bg-BG"/>
        </w:rPr>
        <w:t xml:space="preserve"> на нотариуса. Самата жалбоподателка отсъства от кантората си. Помещенията на нотариалната кантора са оборудвани със си</w:t>
      </w:r>
      <w:r w:rsidR="00FC2B87" w:rsidRPr="008849C3">
        <w:rPr>
          <w:lang w:val="bg-BG"/>
        </w:rPr>
        <w:t>с</w:t>
      </w:r>
      <w:r w:rsidR="00A31718" w:rsidRPr="008849C3">
        <w:rPr>
          <w:lang w:val="bg-BG"/>
        </w:rPr>
        <w:t xml:space="preserve">тема за видеонаблюдение, която </w:t>
      </w:r>
      <w:r w:rsidR="00FC2B87" w:rsidRPr="008849C3">
        <w:rPr>
          <w:lang w:val="bg-BG"/>
        </w:rPr>
        <w:t>е запис</w:t>
      </w:r>
      <w:r w:rsidR="00A31718" w:rsidRPr="008849C3">
        <w:rPr>
          <w:lang w:val="bg-BG"/>
        </w:rPr>
        <w:t>а</w:t>
      </w:r>
      <w:r w:rsidR="00FC2B87" w:rsidRPr="008849C3">
        <w:rPr>
          <w:lang w:val="bg-BG"/>
        </w:rPr>
        <w:t xml:space="preserve">ла действията на екипа на Министерството на вътрешните работи.  </w:t>
      </w:r>
      <w:r w:rsidR="00A31718" w:rsidRPr="008849C3">
        <w:rPr>
          <w:lang w:val="bg-BG"/>
        </w:rPr>
        <w:t xml:space="preserve"> </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w:t>
      </w:r>
      <w:r w:rsidRPr="008849C3">
        <w:rPr>
          <w:lang w:val="bg-BG"/>
        </w:rPr>
        <w:fldChar w:fldCharType="end"/>
      </w:r>
      <w:r w:rsidRPr="008849C3">
        <w:rPr>
          <w:lang w:val="bg-BG"/>
        </w:rPr>
        <w:t>.  </w:t>
      </w:r>
      <w:r w:rsidR="00FC2B87" w:rsidRPr="008849C3">
        <w:rPr>
          <w:lang w:val="bg-BG"/>
        </w:rPr>
        <w:t xml:space="preserve">Жалбоподателите </w:t>
      </w:r>
      <w:r w:rsidR="008C108E">
        <w:rPr>
          <w:lang w:val="bg-BG"/>
        </w:rPr>
        <w:t>предоставят</w:t>
      </w:r>
      <w:r w:rsidR="00FC2B87" w:rsidRPr="008849C3">
        <w:rPr>
          <w:lang w:val="bg-BG"/>
        </w:rPr>
        <w:t xml:space="preserve"> </w:t>
      </w:r>
      <w:r w:rsidR="008C108E">
        <w:rPr>
          <w:lang w:val="bg-BG"/>
        </w:rPr>
        <w:t>на</w:t>
      </w:r>
      <w:r w:rsidR="00FC2B87" w:rsidRPr="008849C3">
        <w:rPr>
          <w:lang w:val="bg-BG"/>
        </w:rPr>
        <w:t xml:space="preserve"> Съда записа от охранителната камера, намираща се във фоайето на кантората. Този запис е с дата 1 април 2010 г. и започва в 12,18 ч.  </w:t>
      </w:r>
      <w:r w:rsidRPr="008849C3">
        <w:rPr>
          <w:lang w:val="bg-BG"/>
        </w:rPr>
        <w:t xml:space="preserve"> </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13</w:t>
      </w:r>
      <w:r w:rsidRPr="008849C3">
        <w:rPr>
          <w:lang w:val="bg-BG"/>
        </w:rPr>
        <w:fldChar w:fldCharType="end"/>
      </w:r>
      <w:r w:rsidRPr="008849C3">
        <w:rPr>
          <w:lang w:val="bg-BG"/>
        </w:rPr>
        <w:t>.  </w:t>
      </w:r>
      <w:r w:rsidR="00FC2B87" w:rsidRPr="008849C3">
        <w:rPr>
          <w:lang w:val="bg-BG"/>
        </w:rPr>
        <w:t xml:space="preserve">Първият от </w:t>
      </w:r>
      <w:r w:rsidR="009171CB">
        <w:rPr>
          <w:lang w:val="bg-BG"/>
        </w:rPr>
        <w:t>кадрите</w:t>
      </w:r>
      <w:r w:rsidR="009171CB" w:rsidRPr="008849C3">
        <w:rPr>
          <w:lang w:val="bg-BG"/>
        </w:rPr>
        <w:t xml:space="preserve"> </w:t>
      </w:r>
      <w:r w:rsidR="000A4D42" w:rsidRPr="008849C3">
        <w:rPr>
          <w:lang w:val="bg-BG"/>
        </w:rPr>
        <w:t>на запис</w:t>
      </w:r>
      <w:r w:rsidR="009171CB">
        <w:rPr>
          <w:lang w:val="bg-BG"/>
        </w:rPr>
        <w:t>а</w:t>
      </w:r>
      <w:r w:rsidR="00FC2B87" w:rsidRPr="008849C3">
        <w:rPr>
          <w:lang w:val="bg-BG"/>
        </w:rPr>
        <w:t>, имащи отношение към делото</w:t>
      </w:r>
      <w:r w:rsidR="000A4D42" w:rsidRPr="008849C3">
        <w:rPr>
          <w:lang w:val="bg-BG"/>
        </w:rPr>
        <w:t xml:space="preserve">, показва как едната от </w:t>
      </w:r>
      <w:r w:rsidR="008C108E">
        <w:rPr>
          <w:lang w:val="bg-BG"/>
        </w:rPr>
        <w:t>служителките</w:t>
      </w:r>
      <w:r w:rsidR="008C108E" w:rsidRPr="008849C3">
        <w:rPr>
          <w:lang w:val="bg-BG"/>
        </w:rPr>
        <w:t xml:space="preserve"> </w:t>
      </w:r>
      <w:r w:rsidR="000A4D42" w:rsidRPr="008849C3">
        <w:rPr>
          <w:lang w:val="bg-BG"/>
        </w:rPr>
        <w:t>на жалбоподателката се отправя към входната врата</w:t>
      </w:r>
      <w:r w:rsidR="00626CC7" w:rsidRPr="008849C3">
        <w:rPr>
          <w:lang w:val="bg-BG"/>
        </w:rPr>
        <w:t xml:space="preserve"> на кантората. Отваря вратата. </w:t>
      </w:r>
      <w:r w:rsidR="009171CB">
        <w:rPr>
          <w:lang w:val="bg-BG"/>
        </w:rPr>
        <w:t>Виждайки маскиран</w:t>
      </w:r>
      <w:r w:rsidR="001C6A1A">
        <w:rPr>
          <w:lang w:val="bg-BG"/>
        </w:rPr>
        <w:t>о лице</w:t>
      </w:r>
      <w:r w:rsidR="00626CC7" w:rsidRPr="008849C3">
        <w:rPr>
          <w:lang w:val="bg-BG"/>
        </w:rPr>
        <w:t xml:space="preserve">, тя бързо затваря вратата и опитва да я заключи, като я затиска с тяло. </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14</w:t>
      </w:r>
      <w:r w:rsidRPr="008849C3">
        <w:rPr>
          <w:lang w:val="bg-BG"/>
        </w:rPr>
        <w:fldChar w:fldCharType="end"/>
      </w:r>
      <w:r w:rsidRPr="008849C3">
        <w:rPr>
          <w:lang w:val="bg-BG"/>
        </w:rPr>
        <w:t>.  </w:t>
      </w:r>
      <w:r w:rsidR="00626CC7" w:rsidRPr="008849C3">
        <w:rPr>
          <w:lang w:val="bg-BG"/>
        </w:rPr>
        <w:t xml:space="preserve">Вторият </w:t>
      </w:r>
      <w:r w:rsidR="009171CB">
        <w:rPr>
          <w:lang w:val="bg-BG"/>
        </w:rPr>
        <w:t>кадър</w:t>
      </w:r>
      <w:r w:rsidR="009171CB" w:rsidRPr="008849C3">
        <w:rPr>
          <w:lang w:val="bg-BG"/>
        </w:rPr>
        <w:t xml:space="preserve"> </w:t>
      </w:r>
      <w:r w:rsidR="00626CC7" w:rsidRPr="008849C3">
        <w:rPr>
          <w:lang w:val="bg-BG"/>
        </w:rPr>
        <w:t xml:space="preserve">показва </w:t>
      </w:r>
      <w:r w:rsidR="00432EC3" w:rsidRPr="008849C3">
        <w:rPr>
          <w:lang w:val="bg-BG"/>
        </w:rPr>
        <w:t xml:space="preserve">група от петима </w:t>
      </w:r>
      <w:r w:rsidR="003E1756" w:rsidRPr="008849C3">
        <w:rPr>
          <w:lang w:val="bg-BG"/>
        </w:rPr>
        <w:t xml:space="preserve">маскирани и въоръжени </w:t>
      </w:r>
      <w:r w:rsidR="001C6A1A">
        <w:rPr>
          <w:lang w:val="bg-BG"/>
        </w:rPr>
        <w:t>лица</w:t>
      </w:r>
      <w:r w:rsidR="003E1756" w:rsidRPr="008849C3">
        <w:rPr>
          <w:lang w:val="bg-BG"/>
        </w:rPr>
        <w:t xml:space="preserve">, облечени в черни якета </w:t>
      </w:r>
      <w:r w:rsidR="001C6A1A">
        <w:rPr>
          <w:lang w:val="bg-BG"/>
        </w:rPr>
        <w:t>с отличителни знаци, отпред и на гърба,</w:t>
      </w:r>
      <w:r w:rsidR="003E1756" w:rsidRPr="008849C3">
        <w:rPr>
          <w:lang w:val="bg-BG"/>
        </w:rPr>
        <w:t xml:space="preserve"> на службата за борба с организираната престъпност на Министерство на вътрешните работи, които нахлуват в помещенията като блъскат входната врата. </w:t>
      </w:r>
      <w:r w:rsidR="001C6A1A">
        <w:rPr>
          <w:lang w:val="bg-BG"/>
        </w:rPr>
        <w:t>Служителката</w:t>
      </w:r>
      <w:r w:rsidR="001C6A1A" w:rsidRPr="008849C3">
        <w:rPr>
          <w:lang w:val="bg-BG"/>
        </w:rPr>
        <w:t xml:space="preserve"> </w:t>
      </w:r>
      <w:r w:rsidR="003E1756" w:rsidRPr="008849C3">
        <w:rPr>
          <w:lang w:val="bg-BG"/>
        </w:rPr>
        <w:t xml:space="preserve">на нотариуса остава затисната зад вратата. </w:t>
      </w:r>
      <w:r w:rsidR="001C6A1A">
        <w:rPr>
          <w:lang w:val="bg-BG"/>
        </w:rPr>
        <w:t>В този момент</w:t>
      </w:r>
      <w:r w:rsidR="001C6A1A" w:rsidRPr="008849C3">
        <w:rPr>
          <w:lang w:val="bg-BG"/>
        </w:rPr>
        <w:t xml:space="preserve"> </w:t>
      </w:r>
      <w:r w:rsidR="003E1756" w:rsidRPr="008849C3">
        <w:rPr>
          <w:lang w:val="bg-BG"/>
        </w:rPr>
        <w:t>жалбоподателят се затичва към входната врата. Ед</w:t>
      </w:r>
      <w:r w:rsidR="001C6A1A">
        <w:rPr>
          <w:lang w:val="bg-BG"/>
        </w:rPr>
        <w:t>но</w:t>
      </w:r>
      <w:r w:rsidR="003E1756" w:rsidRPr="008849C3">
        <w:rPr>
          <w:lang w:val="bg-BG"/>
        </w:rPr>
        <w:t xml:space="preserve"> от маскираните </w:t>
      </w:r>
      <w:r w:rsidR="001C6A1A">
        <w:rPr>
          <w:lang w:val="bg-BG"/>
        </w:rPr>
        <w:t>лица</w:t>
      </w:r>
      <w:r w:rsidR="001C6A1A" w:rsidRPr="008849C3">
        <w:rPr>
          <w:lang w:val="bg-BG"/>
        </w:rPr>
        <w:t xml:space="preserve"> </w:t>
      </w:r>
      <w:r w:rsidR="003E1756" w:rsidRPr="008849C3">
        <w:rPr>
          <w:lang w:val="bg-BG"/>
        </w:rPr>
        <w:t>го хваща през врата и го извива надяс</w:t>
      </w:r>
      <w:r w:rsidR="00D320EB" w:rsidRPr="008849C3">
        <w:rPr>
          <w:lang w:val="bg-BG"/>
        </w:rPr>
        <w:t xml:space="preserve">но и надолу. Главата му се удря във вратата в </w:t>
      </w:r>
      <w:r w:rsidR="001C6A1A">
        <w:rPr>
          <w:lang w:val="bg-BG"/>
        </w:rPr>
        <w:t>непосредствена близост</w:t>
      </w:r>
      <w:r w:rsidR="001C6A1A" w:rsidRPr="008849C3">
        <w:rPr>
          <w:lang w:val="bg-BG"/>
        </w:rPr>
        <w:t xml:space="preserve"> </w:t>
      </w:r>
      <w:r w:rsidR="00D320EB" w:rsidRPr="008849C3">
        <w:rPr>
          <w:lang w:val="bg-BG"/>
        </w:rPr>
        <w:t xml:space="preserve">с входната и </w:t>
      </w:r>
      <w:r w:rsidR="00CA7BA4">
        <w:rPr>
          <w:lang w:val="bg-BG"/>
        </w:rPr>
        <w:t>пада</w:t>
      </w:r>
      <w:r w:rsidR="00D320EB" w:rsidRPr="008849C3">
        <w:rPr>
          <w:lang w:val="bg-BG"/>
        </w:rPr>
        <w:t xml:space="preserve"> по лице на земята. Петимата маскирани и въоръжени </w:t>
      </w:r>
      <w:r w:rsidR="001C6A1A">
        <w:rPr>
          <w:lang w:val="bg-BG"/>
        </w:rPr>
        <w:t>лица</w:t>
      </w:r>
      <w:r w:rsidR="001C6A1A" w:rsidRPr="008849C3">
        <w:rPr>
          <w:lang w:val="bg-BG"/>
        </w:rPr>
        <w:t xml:space="preserve"> </w:t>
      </w:r>
      <w:r w:rsidR="00D320EB" w:rsidRPr="008849C3">
        <w:rPr>
          <w:lang w:val="bg-BG"/>
        </w:rPr>
        <w:t xml:space="preserve">са във фоайето. Придружавани са от оператор в цивилни дрехи, който снима </w:t>
      </w:r>
      <w:r w:rsidR="001C6A1A">
        <w:rPr>
          <w:lang w:val="bg-BG"/>
        </w:rPr>
        <w:t>задържането</w:t>
      </w:r>
      <w:r w:rsidR="001C6A1A" w:rsidRPr="008849C3">
        <w:rPr>
          <w:lang w:val="bg-BG"/>
        </w:rPr>
        <w:t xml:space="preserve"> </w:t>
      </w:r>
      <w:r w:rsidR="00D320EB" w:rsidRPr="008849C3">
        <w:rPr>
          <w:lang w:val="bg-BG"/>
        </w:rPr>
        <w:t xml:space="preserve">на жалбоподателя. </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15</w:t>
      </w:r>
      <w:r w:rsidRPr="008849C3">
        <w:rPr>
          <w:lang w:val="bg-BG"/>
        </w:rPr>
        <w:fldChar w:fldCharType="end"/>
      </w:r>
      <w:r w:rsidRPr="008849C3">
        <w:rPr>
          <w:lang w:val="bg-BG"/>
        </w:rPr>
        <w:t>.  </w:t>
      </w:r>
      <w:r w:rsidR="00D320EB" w:rsidRPr="008849C3">
        <w:rPr>
          <w:lang w:val="bg-BG"/>
        </w:rPr>
        <w:t>Ед</w:t>
      </w:r>
      <w:r w:rsidR="00174623">
        <w:rPr>
          <w:lang w:val="bg-BG"/>
        </w:rPr>
        <w:t>но</w:t>
      </w:r>
      <w:r w:rsidR="00D320EB" w:rsidRPr="008849C3">
        <w:rPr>
          <w:lang w:val="bg-BG"/>
        </w:rPr>
        <w:t xml:space="preserve"> от маскираните </w:t>
      </w:r>
      <w:r w:rsidR="00174623">
        <w:rPr>
          <w:lang w:val="bg-BG"/>
        </w:rPr>
        <w:t>лица</w:t>
      </w:r>
      <w:r w:rsidR="00174623" w:rsidRPr="008849C3">
        <w:rPr>
          <w:lang w:val="bg-BG"/>
        </w:rPr>
        <w:t xml:space="preserve"> </w:t>
      </w:r>
      <w:r w:rsidR="00D320EB" w:rsidRPr="008849C3">
        <w:rPr>
          <w:lang w:val="bg-BG"/>
        </w:rPr>
        <w:t xml:space="preserve">разтваря ръцете на жалбоподателя и блокира с крака си </w:t>
      </w:r>
      <w:r w:rsidR="007A49FE" w:rsidRPr="008849C3">
        <w:rPr>
          <w:lang w:val="bg-BG"/>
        </w:rPr>
        <w:t>лявата</w:t>
      </w:r>
      <w:r w:rsidR="00D320EB" w:rsidRPr="008849C3">
        <w:rPr>
          <w:lang w:val="bg-BG"/>
        </w:rPr>
        <w:t xml:space="preserve"> му длан. Друг</w:t>
      </w:r>
      <w:r w:rsidR="00174623">
        <w:rPr>
          <w:lang w:val="bg-BG"/>
        </w:rPr>
        <w:t xml:space="preserve">о лице </w:t>
      </w:r>
      <w:r w:rsidR="00D320EB" w:rsidRPr="008849C3">
        <w:rPr>
          <w:lang w:val="bg-BG"/>
        </w:rPr>
        <w:t xml:space="preserve">насочва оръжието си към жалбоподателя. След </w:t>
      </w:r>
      <w:r w:rsidR="00174623">
        <w:rPr>
          <w:lang w:val="bg-BG"/>
        </w:rPr>
        <w:t>което</w:t>
      </w:r>
      <w:r w:rsidR="00174623" w:rsidRPr="008849C3">
        <w:rPr>
          <w:lang w:val="bg-BG"/>
        </w:rPr>
        <w:t xml:space="preserve"> </w:t>
      </w:r>
      <w:r w:rsidR="00D320EB" w:rsidRPr="008849C3">
        <w:rPr>
          <w:lang w:val="bg-BG"/>
        </w:rPr>
        <w:t>трет</w:t>
      </w:r>
      <w:r w:rsidR="00174623">
        <w:rPr>
          <w:lang w:val="bg-BG"/>
        </w:rPr>
        <w:t xml:space="preserve">о лице </w:t>
      </w:r>
      <w:r w:rsidR="00D320EB" w:rsidRPr="008849C3">
        <w:rPr>
          <w:lang w:val="bg-BG"/>
        </w:rPr>
        <w:t xml:space="preserve">му </w:t>
      </w:r>
      <w:r w:rsidR="00174623">
        <w:rPr>
          <w:lang w:val="bg-BG"/>
        </w:rPr>
        <w:t>поставят</w:t>
      </w:r>
      <w:r w:rsidR="00174623" w:rsidRPr="008849C3">
        <w:rPr>
          <w:lang w:val="bg-BG"/>
        </w:rPr>
        <w:t xml:space="preserve"> </w:t>
      </w:r>
      <w:r w:rsidR="00D320EB" w:rsidRPr="008849C3">
        <w:rPr>
          <w:lang w:val="bg-BG"/>
        </w:rPr>
        <w:t xml:space="preserve">белезници зад гърба. Жалбоподателят остава </w:t>
      </w:r>
      <w:r w:rsidR="00174623">
        <w:rPr>
          <w:lang w:val="bg-BG"/>
        </w:rPr>
        <w:t>да лежи</w:t>
      </w:r>
      <w:r w:rsidR="00174623" w:rsidRPr="008849C3">
        <w:rPr>
          <w:lang w:val="bg-BG"/>
        </w:rPr>
        <w:t xml:space="preserve"> </w:t>
      </w:r>
      <w:r w:rsidR="00174623">
        <w:rPr>
          <w:lang w:val="bg-BG"/>
        </w:rPr>
        <w:t>с</w:t>
      </w:r>
      <w:r w:rsidR="00174623" w:rsidRPr="008849C3">
        <w:rPr>
          <w:lang w:val="bg-BG"/>
        </w:rPr>
        <w:t xml:space="preserve"> </w:t>
      </w:r>
      <w:r w:rsidR="00D320EB" w:rsidRPr="008849C3">
        <w:rPr>
          <w:lang w:val="bg-BG"/>
        </w:rPr>
        <w:t xml:space="preserve">лице </w:t>
      </w:r>
      <w:r w:rsidR="00174623">
        <w:rPr>
          <w:lang w:val="bg-BG"/>
        </w:rPr>
        <w:t>към</w:t>
      </w:r>
      <w:r w:rsidR="00174623" w:rsidRPr="008849C3">
        <w:rPr>
          <w:lang w:val="bg-BG"/>
        </w:rPr>
        <w:t xml:space="preserve"> </w:t>
      </w:r>
      <w:r w:rsidR="00D320EB" w:rsidRPr="008849C3">
        <w:rPr>
          <w:lang w:val="bg-BG"/>
        </w:rPr>
        <w:t xml:space="preserve">земята. Маскираните </w:t>
      </w:r>
      <w:r w:rsidR="00174623">
        <w:rPr>
          <w:lang w:val="bg-BG"/>
        </w:rPr>
        <w:t>лица</w:t>
      </w:r>
      <w:r w:rsidR="00D320EB" w:rsidRPr="008849C3">
        <w:rPr>
          <w:lang w:val="bg-BG"/>
        </w:rPr>
        <w:t>, операторът и други три</w:t>
      </w:r>
      <w:r w:rsidR="00174623">
        <w:rPr>
          <w:lang w:val="bg-BG"/>
        </w:rPr>
        <w:t xml:space="preserve"> лица</w:t>
      </w:r>
      <w:r w:rsidR="00D320EB" w:rsidRPr="008849C3">
        <w:rPr>
          <w:lang w:val="bg-BG"/>
        </w:rPr>
        <w:t xml:space="preserve"> в цивилни дрехи </w:t>
      </w:r>
      <w:r w:rsidR="00072673" w:rsidRPr="008849C3">
        <w:rPr>
          <w:lang w:val="bg-BG"/>
        </w:rPr>
        <w:t>оглеждат другите стаи на нотариалната кантора. След три минути ед</w:t>
      </w:r>
      <w:r w:rsidR="006A677C">
        <w:rPr>
          <w:lang w:val="bg-BG"/>
        </w:rPr>
        <w:t>ин</w:t>
      </w:r>
      <w:r w:rsidR="00072673" w:rsidRPr="008849C3">
        <w:rPr>
          <w:lang w:val="bg-BG"/>
        </w:rPr>
        <w:t xml:space="preserve"> от маскираните </w:t>
      </w:r>
      <w:r w:rsidR="006A677C">
        <w:rPr>
          <w:lang w:val="bg-BG"/>
        </w:rPr>
        <w:t>лица</w:t>
      </w:r>
      <w:r w:rsidR="006A677C" w:rsidRPr="008849C3">
        <w:rPr>
          <w:lang w:val="bg-BG"/>
        </w:rPr>
        <w:t xml:space="preserve"> </w:t>
      </w:r>
      <w:r w:rsidR="00072673" w:rsidRPr="008849C3">
        <w:rPr>
          <w:lang w:val="bg-BG"/>
        </w:rPr>
        <w:t>изправя жалбоподателя и го отвежда в стаята, намираща се до фоайето. Те са следвани от оператора, който продължава да снима.</w:t>
      </w:r>
    </w:p>
    <w:p w:rsidR="00F05348" w:rsidRPr="008849C3" w:rsidRDefault="00F0534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16</w:t>
      </w:r>
      <w:r w:rsidRPr="008849C3">
        <w:rPr>
          <w:lang w:val="bg-BG"/>
        </w:rPr>
        <w:fldChar w:fldCharType="end"/>
      </w:r>
      <w:r w:rsidRPr="008849C3">
        <w:rPr>
          <w:lang w:val="bg-BG"/>
        </w:rPr>
        <w:t>.  </w:t>
      </w:r>
      <w:r w:rsidR="00072673" w:rsidRPr="008849C3">
        <w:rPr>
          <w:lang w:val="bg-BG"/>
        </w:rPr>
        <w:t xml:space="preserve">Последният </w:t>
      </w:r>
      <w:r w:rsidR="006A677C">
        <w:rPr>
          <w:lang w:val="bg-BG"/>
        </w:rPr>
        <w:t>кадър</w:t>
      </w:r>
      <w:r w:rsidR="00072673" w:rsidRPr="008849C3">
        <w:rPr>
          <w:lang w:val="bg-BG"/>
        </w:rPr>
        <w:t xml:space="preserve">, записан в </w:t>
      </w:r>
      <w:r w:rsidR="004476A7" w:rsidRPr="008849C3">
        <w:rPr>
          <w:lang w:val="bg-BG"/>
        </w:rPr>
        <w:t>12,29 ч., показва жалбоподателя</w:t>
      </w:r>
      <w:r w:rsidR="00072673" w:rsidRPr="008849C3">
        <w:rPr>
          <w:lang w:val="bg-BG"/>
        </w:rPr>
        <w:t>, който отново е във фоайето. Той вече е без белезници и</w:t>
      </w:r>
      <w:r w:rsidR="00225FFC" w:rsidRPr="008849C3">
        <w:rPr>
          <w:lang w:val="bg-BG"/>
        </w:rPr>
        <w:t xml:space="preserve"> спори с </w:t>
      </w:r>
      <w:r w:rsidR="006A677C">
        <w:rPr>
          <w:lang w:val="bg-BG"/>
        </w:rPr>
        <w:t>лице</w:t>
      </w:r>
      <w:r w:rsidR="006A677C" w:rsidRPr="008849C3">
        <w:rPr>
          <w:lang w:val="bg-BG"/>
        </w:rPr>
        <w:t xml:space="preserve"> </w:t>
      </w:r>
      <w:r w:rsidR="00225FFC" w:rsidRPr="008849C3">
        <w:rPr>
          <w:lang w:val="bg-BG"/>
        </w:rPr>
        <w:t xml:space="preserve">в цивилно облекло. След това сяда на канапето във фоайето. </w:t>
      </w:r>
      <w:r w:rsidR="00072673" w:rsidRPr="008849C3">
        <w:rPr>
          <w:lang w:val="bg-BG"/>
        </w:rPr>
        <w:t xml:space="preserve"> </w:t>
      </w:r>
    </w:p>
    <w:p w:rsidR="00471917" w:rsidRPr="008849C3" w:rsidRDefault="00AD584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17</w:t>
      </w:r>
      <w:r w:rsidRPr="008849C3">
        <w:rPr>
          <w:lang w:val="bg-BG"/>
        </w:rPr>
        <w:fldChar w:fldCharType="end"/>
      </w:r>
      <w:r w:rsidRPr="008849C3">
        <w:rPr>
          <w:lang w:val="bg-BG"/>
        </w:rPr>
        <w:t>.  </w:t>
      </w:r>
      <w:r w:rsidR="00225FFC" w:rsidRPr="008849C3">
        <w:rPr>
          <w:lang w:val="bg-BG"/>
        </w:rPr>
        <w:t xml:space="preserve">Освен тези три </w:t>
      </w:r>
      <w:r w:rsidR="006A677C">
        <w:rPr>
          <w:lang w:val="bg-BG"/>
        </w:rPr>
        <w:t>кадъра</w:t>
      </w:r>
      <w:r w:rsidR="006A677C" w:rsidRPr="008849C3">
        <w:rPr>
          <w:lang w:val="bg-BG"/>
        </w:rPr>
        <w:t xml:space="preserve"> </w:t>
      </w:r>
      <w:r w:rsidR="00225FFC" w:rsidRPr="008849C3">
        <w:rPr>
          <w:lang w:val="bg-BG"/>
        </w:rPr>
        <w:t xml:space="preserve">от записа на охранителната камера, жалбоподателите са представили пред Съда четири декларации, </w:t>
      </w:r>
      <w:r w:rsidR="00225FFC" w:rsidRPr="008849C3">
        <w:rPr>
          <w:lang w:val="bg-BG"/>
        </w:rPr>
        <w:lastRenderedPageBreak/>
        <w:t xml:space="preserve">подписани от жалбоподателя, жалбоподателката и от двете й </w:t>
      </w:r>
      <w:r w:rsidR="006A677C">
        <w:rPr>
          <w:lang w:val="bg-BG"/>
        </w:rPr>
        <w:t>служителки</w:t>
      </w:r>
      <w:r w:rsidR="00225FFC" w:rsidRPr="008849C3">
        <w:rPr>
          <w:lang w:val="bg-BG"/>
        </w:rPr>
        <w:t xml:space="preserve">, Е. С. и Н. П.  </w:t>
      </w:r>
    </w:p>
    <w:p w:rsidR="00F05348" w:rsidRPr="008849C3" w:rsidRDefault="00E8403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18</w:t>
      </w:r>
      <w:r w:rsidRPr="008849C3">
        <w:rPr>
          <w:lang w:val="bg-BG"/>
        </w:rPr>
        <w:fldChar w:fldCharType="end"/>
      </w:r>
      <w:r w:rsidRPr="008849C3">
        <w:rPr>
          <w:lang w:val="bg-BG"/>
        </w:rPr>
        <w:t>.  </w:t>
      </w:r>
      <w:r w:rsidR="00225FFC" w:rsidRPr="008849C3">
        <w:rPr>
          <w:lang w:val="bg-BG"/>
        </w:rPr>
        <w:t>В своята декларация Е. С. излага следното: тя се отправ</w:t>
      </w:r>
      <w:r w:rsidR="006A677C">
        <w:rPr>
          <w:lang w:val="bg-BG"/>
        </w:rPr>
        <w:t>я</w:t>
      </w:r>
      <w:r w:rsidR="00225FFC" w:rsidRPr="008849C3">
        <w:rPr>
          <w:lang w:val="bg-BG"/>
        </w:rPr>
        <w:t xml:space="preserve"> към входната врата на нотариалната кантора, за да отговори на позвъняване; като я отвор</w:t>
      </w:r>
      <w:r w:rsidR="006A677C">
        <w:rPr>
          <w:lang w:val="bg-BG"/>
        </w:rPr>
        <w:t>я</w:t>
      </w:r>
      <w:r w:rsidR="00225FFC" w:rsidRPr="008849C3">
        <w:rPr>
          <w:lang w:val="bg-BG"/>
        </w:rPr>
        <w:t xml:space="preserve"> ви</w:t>
      </w:r>
      <w:r w:rsidR="006A677C">
        <w:rPr>
          <w:lang w:val="bg-BG"/>
        </w:rPr>
        <w:t>жда</w:t>
      </w:r>
      <w:r w:rsidR="00225FFC" w:rsidRPr="008849C3">
        <w:rPr>
          <w:lang w:val="bg-BG"/>
        </w:rPr>
        <w:t xml:space="preserve"> </w:t>
      </w:r>
      <w:r w:rsidR="006A677C">
        <w:rPr>
          <w:lang w:val="bg-BG"/>
        </w:rPr>
        <w:t>маскирани въоръжени лица</w:t>
      </w:r>
      <w:r w:rsidR="00225FFC" w:rsidRPr="008849C3">
        <w:rPr>
          <w:lang w:val="bg-BG"/>
        </w:rPr>
        <w:t xml:space="preserve">, които й </w:t>
      </w:r>
      <w:r w:rsidR="006A677C">
        <w:rPr>
          <w:lang w:val="bg-BG"/>
        </w:rPr>
        <w:t>казват</w:t>
      </w:r>
      <w:r w:rsidR="006A677C" w:rsidRPr="008849C3">
        <w:rPr>
          <w:lang w:val="bg-BG"/>
        </w:rPr>
        <w:t xml:space="preserve"> </w:t>
      </w:r>
      <w:r w:rsidR="00225FFC" w:rsidRPr="008849C3">
        <w:rPr>
          <w:lang w:val="bg-BG"/>
        </w:rPr>
        <w:t xml:space="preserve">да вдигне ръце и да легне на земята; като </w:t>
      </w:r>
      <w:r w:rsidR="006A677C">
        <w:rPr>
          <w:lang w:val="bg-BG"/>
        </w:rPr>
        <w:t>решава</w:t>
      </w:r>
      <w:r w:rsidR="00225FFC" w:rsidRPr="008849C3">
        <w:rPr>
          <w:lang w:val="bg-BG"/>
        </w:rPr>
        <w:t>, че става дума за обир, тя опит</w:t>
      </w:r>
      <w:r w:rsidR="006A677C">
        <w:rPr>
          <w:lang w:val="bg-BG"/>
        </w:rPr>
        <w:t>ва</w:t>
      </w:r>
      <w:r w:rsidR="00225FFC" w:rsidRPr="008849C3">
        <w:rPr>
          <w:lang w:val="bg-BG"/>
        </w:rPr>
        <w:t xml:space="preserve"> да затвори вратата и </w:t>
      </w:r>
      <w:r w:rsidR="006A677C">
        <w:rPr>
          <w:lang w:val="bg-BG"/>
        </w:rPr>
        <w:t>казва на</w:t>
      </w:r>
      <w:r w:rsidR="00225FFC" w:rsidRPr="008849C3">
        <w:rPr>
          <w:lang w:val="bg-BG"/>
        </w:rPr>
        <w:t xml:space="preserve"> колежката си Н. П. да повика полицията; маскираните </w:t>
      </w:r>
      <w:r w:rsidR="006A677C">
        <w:rPr>
          <w:lang w:val="bg-BG"/>
        </w:rPr>
        <w:t>лица</w:t>
      </w:r>
      <w:r w:rsidR="006A677C" w:rsidRPr="008849C3">
        <w:rPr>
          <w:lang w:val="bg-BG"/>
        </w:rPr>
        <w:t xml:space="preserve"> </w:t>
      </w:r>
      <w:r w:rsidR="009366A9" w:rsidRPr="008849C3">
        <w:rPr>
          <w:lang w:val="bg-BG"/>
        </w:rPr>
        <w:t>отвор</w:t>
      </w:r>
      <w:r w:rsidR="006A677C">
        <w:rPr>
          <w:lang w:val="bg-BG"/>
        </w:rPr>
        <w:t>ят</w:t>
      </w:r>
      <w:r w:rsidR="009366A9" w:rsidRPr="008849C3">
        <w:rPr>
          <w:lang w:val="bg-BG"/>
        </w:rPr>
        <w:t xml:space="preserve"> със сила и тя оста</w:t>
      </w:r>
      <w:r w:rsidR="006A677C">
        <w:rPr>
          <w:lang w:val="bg-BG"/>
        </w:rPr>
        <w:t>ва</w:t>
      </w:r>
      <w:r w:rsidR="009366A9" w:rsidRPr="008849C3">
        <w:rPr>
          <w:lang w:val="bg-BG"/>
        </w:rPr>
        <w:t xml:space="preserve"> затисната зад вратата; след това ви</w:t>
      </w:r>
      <w:r w:rsidR="006A677C">
        <w:rPr>
          <w:lang w:val="bg-BG"/>
        </w:rPr>
        <w:t>жда</w:t>
      </w:r>
      <w:r w:rsidR="009366A9" w:rsidRPr="008849C3">
        <w:rPr>
          <w:lang w:val="bg-BG"/>
        </w:rPr>
        <w:t xml:space="preserve"> как полиц</w:t>
      </w:r>
      <w:r w:rsidR="006A677C">
        <w:rPr>
          <w:lang w:val="bg-BG"/>
        </w:rPr>
        <w:t>ейски служител</w:t>
      </w:r>
      <w:r w:rsidR="009366A9" w:rsidRPr="008849C3">
        <w:rPr>
          <w:lang w:val="bg-BG"/>
        </w:rPr>
        <w:t xml:space="preserve"> </w:t>
      </w:r>
      <w:r w:rsidR="006A677C">
        <w:rPr>
          <w:lang w:val="bg-BG"/>
        </w:rPr>
        <w:t>поставя</w:t>
      </w:r>
      <w:r w:rsidR="009366A9" w:rsidRPr="008849C3">
        <w:rPr>
          <w:lang w:val="bg-BG"/>
        </w:rPr>
        <w:t xml:space="preserve"> белезници зад гърба на жалбоподателя,</w:t>
      </w:r>
      <w:r w:rsidR="0074683E">
        <w:rPr>
          <w:lang w:val="bg-BG"/>
        </w:rPr>
        <w:t xml:space="preserve"> който</w:t>
      </w:r>
      <w:r w:rsidR="009366A9" w:rsidRPr="008849C3">
        <w:rPr>
          <w:lang w:val="bg-BG"/>
        </w:rPr>
        <w:t xml:space="preserve"> ле</w:t>
      </w:r>
      <w:r w:rsidR="0074683E">
        <w:rPr>
          <w:lang w:val="bg-BG"/>
        </w:rPr>
        <w:t>жи</w:t>
      </w:r>
      <w:r w:rsidR="009366A9" w:rsidRPr="008849C3">
        <w:rPr>
          <w:lang w:val="bg-BG"/>
        </w:rPr>
        <w:t xml:space="preserve"> на земята.</w:t>
      </w:r>
      <w:r w:rsidR="00225FFC" w:rsidRPr="008849C3">
        <w:rPr>
          <w:lang w:val="bg-BG"/>
        </w:rPr>
        <w:t xml:space="preserve"> </w:t>
      </w:r>
      <w:r w:rsidR="002F2C6F" w:rsidRPr="008849C3">
        <w:rPr>
          <w:lang w:val="bg-BG"/>
        </w:rPr>
        <w:t xml:space="preserve"> </w:t>
      </w:r>
    </w:p>
    <w:p w:rsidR="00471917" w:rsidRPr="008849C3" w:rsidRDefault="00AD584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19</w:t>
      </w:r>
      <w:r w:rsidRPr="008849C3">
        <w:rPr>
          <w:lang w:val="bg-BG"/>
        </w:rPr>
        <w:fldChar w:fldCharType="end"/>
      </w:r>
      <w:r w:rsidRPr="008849C3">
        <w:rPr>
          <w:lang w:val="bg-BG"/>
        </w:rPr>
        <w:t>.  </w:t>
      </w:r>
      <w:r w:rsidR="009366A9" w:rsidRPr="008849C3">
        <w:rPr>
          <w:lang w:val="bg-BG"/>
        </w:rPr>
        <w:t xml:space="preserve">Н. П. прави следната декларация: </w:t>
      </w:r>
      <w:r w:rsidR="007A49FE" w:rsidRPr="008849C3">
        <w:rPr>
          <w:lang w:val="bg-BG"/>
        </w:rPr>
        <w:t>тя се намира в една от ста</w:t>
      </w:r>
      <w:r w:rsidR="009366A9" w:rsidRPr="008849C3">
        <w:rPr>
          <w:lang w:val="bg-BG"/>
        </w:rPr>
        <w:t>ите на нотари</w:t>
      </w:r>
      <w:r w:rsidR="007A49FE" w:rsidRPr="008849C3">
        <w:rPr>
          <w:lang w:val="bg-BG"/>
        </w:rPr>
        <w:t>алната кантора, когато чу</w:t>
      </w:r>
      <w:r w:rsidR="0074683E">
        <w:rPr>
          <w:lang w:val="bg-BG"/>
        </w:rPr>
        <w:t>ва</w:t>
      </w:r>
      <w:r w:rsidR="007A49FE" w:rsidRPr="008849C3">
        <w:rPr>
          <w:lang w:val="bg-BG"/>
        </w:rPr>
        <w:t xml:space="preserve"> шум</w:t>
      </w:r>
      <w:r w:rsidR="009366A9" w:rsidRPr="008849C3">
        <w:rPr>
          <w:lang w:val="bg-BG"/>
        </w:rPr>
        <w:t xml:space="preserve"> от разбиването на входната врата и как колежката й </w:t>
      </w:r>
      <w:r w:rsidR="0074683E">
        <w:rPr>
          <w:lang w:val="bg-BG"/>
        </w:rPr>
        <w:t>казва</w:t>
      </w:r>
      <w:r w:rsidR="009366A9" w:rsidRPr="008849C3">
        <w:rPr>
          <w:lang w:val="bg-BG"/>
        </w:rPr>
        <w:t>: „Извикайте полиция! Обират ни!“</w:t>
      </w:r>
      <w:r w:rsidR="00B9068A" w:rsidRPr="008849C3">
        <w:rPr>
          <w:lang w:val="bg-BG"/>
        </w:rPr>
        <w:t xml:space="preserve">; </w:t>
      </w:r>
      <w:r w:rsidR="009366A9" w:rsidRPr="008849C3">
        <w:rPr>
          <w:lang w:val="bg-BG"/>
        </w:rPr>
        <w:t>тогава жалбоподателят хукнал към вратата, докато</w:t>
      </w:r>
      <w:r w:rsidR="007A49FE" w:rsidRPr="008849C3">
        <w:rPr>
          <w:lang w:val="bg-BG"/>
        </w:rPr>
        <w:t xml:space="preserve"> тя безуспешно се опит</w:t>
      </w:r>
      <w:r w:rsidR="0074683E">
        <w:rPr>
          <w:lang w:val="bg-BG"/>
        </w:rPr>
        <w:t>ва</w:t>
      </w:r>
      <w:r w:rsidR="007A49FE" w:rsidRPr="008849C3">
        <w:rPr>
          <w:lang w:val="bg-BG"/>
        </w:rPr>
        <w:t xml:space="preserve"> да повика полиц</w:t>
      </w:r>
      <w:r w:rsidR="0074683E">
        <w:rPr>
          <w:lang w:val="bg-BG"/>
        </w:rPr>
        <w:t>ейските органи</w:t>
      </w:r>
      <w:r w:rsidR="007A49FE" w:rsidRPr="008849C3">
        <w:rPr>
          <w:lang w:val="bg-BG"/>
        </w:rPr>
        <w:t xml:space="preserve">. </w:t>
      </w:r>
      <w:r w:rsidR="00ED6C5E" w:rsidRPr="008849C3">
        <w:rPr>
          <w:lang w:val="bg-BG"/>
        </w:rPr>
        <w:t xml:space="preserve"> </w:t>
      </w:r>
    </w:p>
    <w:p w:rsidR="00F05348" w:rsidRPr="008849C3" w:rsidRDefault="00AD584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20</w:t>
      </w:r>
      <w:r w:rsidRPr="008849C3">
        <w:rPr>
          <w:lang w:val="bg-BG"/>
        </w:rPr>
        <w:fldChar w:fldCharType="end"/>
      </w:r>
      <w:r w:rsidRPr="008849C3">
        <w:rPr>
          <w:lang w:val="bg-BG"/>
        </w:rPr>
        <w:t>.  </w:t>
      </w:r>
      <w:r w:rsidR="007A49FE" w:rsidRPr="008849C3">
        <w:rPr>
          <w:lang w:val="bg-BG"/>
        </w:rPr>
        <w:t>В декларацията си, подписана от него, жалбоподателят обяснява, че чу</w:t>
      </w:r>
      <w:r w:rsidR="0074683E">
        <w:rPr>
          <w:lang w:val="bg-BG"/>
        </w:rPr>
        <w:t>ва</w:t>
      </w:r>
      <w:r w:rsidR="007A49FE" w:rsidRPr="008849C3">
        <w:rPr>
          <w:lang w:val="bg-BG"/>
        </w:rPr>
        <w:t xml:space="preserve"> Е. С. да казва, че има обир и се затич</w:t>
      </w:r>
      <w:r w:rsidR="0074683E">
        <w:rPr>
          <w:lang w:val="bg-BG"/>
        </w:rPr>
        <w:t>ва</w:t>
      </w:r>
      <w:r w:rsidR="007A49FE" w:rsidRPr="008849C3">
        <w:rPr>
          <w:lang w:val="bg-BG"/>
        </w:rPr>
        <w:t xml:space="preserve"> към входната врата да й помогне. Чу</w:t>
      </w:r>
      <w:r w:rsidR="0074683E">
        <w:rPr>
          <w:lang w:val="bg-BG"/>
        </w:rPr>
        <w:t>ва</w:t>
      </w:r>
      <w:r w:rsidR="007A49FE" w:rsidRPr="008849C3">
        <w:rPr>
          <w:lang w:val="bg-BG"/>
        </w:rPr>
        <w:t xml:space="preserve"> викове и ви</w:t>
      </w:r>
      <w:r w:rsidR="0074683E">
        <w:rPr>
          <w:lang w:val="bg-BG"/>
        </w:rPr>
        <w:t>жда</w:t>
      </w:r>
      <w:r w:rsidR="007A49FE" w:rsidRPr="008849C3">
        <w:rPr>
          <w:lang w:val="bg-BG"/>
        </w:rPr>
        <w:t xml:space="preserve"> няколко маскирани </w:t>
      </w:r>
      <w:r w:rsidR="0074683E">
        <w:rPr>
          <w:lang w:val="bg-BG"/>
        </w:rPr>
        <w:t>лица</w:t>
      </w:r>
      <w:r w:rsidR="007A49FE" w:rsidRPr="008849C3">
        <w:rPr>
          <w:lang w:val="bg-BG"/>
        </w:rPr>
        <w:t>. Тъй като главата му се уда</w:t>
      </w:r>
      <w:r w:rsidR="0074683E">
        <w:rPr>
          <w:lang w:val="bg-BG"/>
        </w:rPr>
        <w:t>ря</w:t>
      </w:r>
      <w:r w:rsidR="007A49FE" w:rsidRPr="008849C3">
        <w:rPr>
          <w:lang w:val="bg-BG"/>
        </w:rPr>
        <w:t xml:space="preserve"> във вратата, изгубил съзнание. Свест</w:t>
      </w:r>
      <w:r w:rsidR="0074683E">
        <w:rPr>
          <w:lang w:val="bg-BG"/>
        </w:rPr>
        <w:t>ява</w:t>
      </w:r>
      <w:r w:rsidR="007A49FE" w:rsidRPr="008849C3">
        <w:rPr>
          <w:lang w:val="bg-BG"/>
        </w:rPr>
        <w:t xml:space="preserve"> се на земята и усе</w:t>
      </w:r>
      <w:r w:rsidR="0074683E">
        <w:rPr>
          <w:lang w:val="bg-BG"/>
        </w:rPr>
        <w:t>ща</w:t>
      </w:r>
      <w:r w:rsidR="007A49FE" w:rsidRPr="008849C3">
        <w:rPr>
          <w:lang w:val="bg-BG"/>
        </w:rPr>
        <w:t xml:space="preserve"> болка в челото, в ребрата и лявата китка.</w:t>
      </w:r>
      <w:r w:rsidR="008F7E85" w:rsidRPr="008849C3">
        <w:rPr>
          <w:lang w:val="bg-BG"/>
        </w:rPr>
        <w:t xml:space="preserve"> Тогава разб</w:t>
      </w:r>
      <w:r w:rsidR="0074683E">
        <w:rPr>
          <w:lang w:val="bg-BG"/>
        </w:rPr>
        <w:t>ира</w:t>
      </w:r>
      <w:r w:rsidR="008F7E85" w:rsidRPr="008849C3">
        <w:rPr>
          <w:lang w:val="bg-BG"/>
        </w:rPr>
        <w:t>, че това е полицейска операция. Изправ</w:t>
      </w:r>
      <w:r w:rsidR="0074683E">
        <w:rPr>
          <w:lang w:val="bg-BG"/>
        </w:rPr>
        <w:t>ят</w:t>
      </w:r>
      <w:r w:rsidR="008F7E85" w:rsidRPr="008849C3">
        <w:rPr>
          <w:lang w:val="bg-BG"/>
        </w:rPr>
        <w:t xml:space="preserve"> </w:t>
      </w:r>
      <w:r w:rsidR="00E00288">
        <w:rPr>
          <w:lang w:val="bg-BG"/>
        </w:rPr>
        <w:t>ме</w:t>
      </w:r>
      <w:r w:rsidR="008F7E85" w:rsidRPr="008849C3">
        <w:rPr>
          <w:lang w:val="bg-BG"/>
        </w:rPr>
        <w:t xml:space="preserve"> и </w:t>
      </w:r>
      <w:r w:rsidR="00E00288">
        <w:rPr>
          <w:lang w:val="bg-BG"/>
        </w:rPr>
        <w:t>ме</w:t>
      </w:r>
      <w:r w:rsidR="00E00288" w:rsidRPr="008849C3">
        <w:rPr>
          <w:lang w:val="bg-BG"/>
        </w:rPr>
        <w:t xml:space="preserve"> </w:t>
      </w:r>
      <w:r w:rsidR="008F7E85" w:rsidRPr="008849C3">
        <w:rPr>
          <w:lang w:val="bg-BG"/>
        </w:rPr>
        <w:t>отве</w:t>
      </w:r>
      <w:r w:rsidR="00E00288">
        <w:rPr>
          <w:lang w:val="bg-BG"/>
        </w:rPr>
        <w:t>ждат</w:t>
      </w:r>
      <w:r w:rsidR="008F7E85" w:rsidRPr="008849C3">
        <w:rPr>
          <w:lang w:val="bg-BG"/>
        </w:rPr>
        <w:t xml:space="preserve"> </w:t>
      </w:r>
      <w:r w:rsidR="00E325B4" w:rsidRPr="008849C3">
        <w:rPr>
          <w:lang w:val="bg-BG"/>
        </w:rPr>
        <w:t xml:space="preserve">в друга стая, където </w:t>
      </w:r>
      <w:r w:rsidR="00E00288">
        <w:rPr>
          <w:lang w:val="bg-BG"/>
        </w:rPr>
        <w:t>ме</w:t>
      </w:r>
      <w:r w:rsidR="00E00288" w:rsidRPr="008849C3">
        <w:rPr>
          <w:lang w:val="bg-BG"/>
        </w:rPr>
        <w:t xml:space="preserve"> </w:t>
      </w:r>
      <w:r w:rsidR="00E00288">
        <w:rPr>
          <w:lang w:val="bg-BG"/>
        </w:rPr>
        <w:t>принуждават</w:t>
      </w:r>
      <w:r w:rsidR="00E00288" w:rsidRPr="008849C3">
        <w:rPr>
          <w:lang w:val="bg-BG"/>
        </w:rPr>
        <w:t xml:space="preserve"> </w:t>
      </w:r>
      <w:r w:rsidR="00E325B4" w:rsidRPr="008849C3">
        <w:rPr>
          <w:lang w:val="bg-BG"/>
        </w:rPr>
        <w:t>да коленич</w:t>
      </w:r>
      <w:r w:rsidR="00E00288">
        <w:rPr>
          <w:lang w:val="bg-BG"/>
        </w:rPr>
        <w:t>а</w:t>
      </w:r>
      <w:r w:rsidR="00E325B4" w:rsidRPr="008849C3">
        <w:rPr>
          <w:lang w:val="bg-BG"/>
        </w:rPr>
        <w:t xml:space="preserve"> и да позира</w:t>
      </w:r>
      <w:r w:rsidR="00E00288">
        <w:rPr>
          <w:lang w:val="bg-BG"/>
        </w:rPr>
        <w:t>м</w:t>
      </w:r>
      <w:r w:rsidR="00E325B4" w:rsidRPr="008849C3">
        <w:rPr>
          <w:lang w:val="bg-BG"/>
        </w:rPr>
        <w:t xml:space="preserve"> за камерата. </w:t>
      </w:r>
      <w:r w:rsidR="00E00288">
        <w:rPr>
          <w:lang w:val="bg-BG"/>
        </w:rPr>
        <w:t>Аз</w:t>
      </w:r>
      <w:r w:rsidR="00E00288" w:rsidRPr="008849C3">
        <w:rPr>
          <w:lang w:val="bg-BG"/>
        </w:rPr>
        <w:t xml:space="preserve"> </w:t>
      </w:r>
      <w:r w:rsidR="004E3883" w:rsidRPr="008849C3">
        <w:rPr>
          <w:lang w:val="bg-BG"/>
        </w:rPr>
        <w:t>отказа</w:t>
      </w:r>
      <w:r w:rsidR="00E00288">
        <w:rPr>
          <w:lang w:val="bg-BG"/>
        </w:rPr>
        <w:t>х</w:t>
      </w:r>
      <w:r w:rsidR="004E3883" w:rsidRPr="008849C3">
        <w:rPr>
          <w:lang w:val="bg-BG"/>
        </w:rPr>
        <w:t xml:space="preserve"> </w:t>
      </w:r>
      <w:r w:rsidR="00E00288">
        <w:rPr>
          <w:lang w:val="bg-BG"/>
        </w:rPr>
        <w:t>д</w:t>
      </w:r>
      <w:r w:rsidR="004E3883" w:rsidRPr="008849C3">
        <w:rPr>
          <w:lang w:val="bg-BG"/>
        </w:rPr>
        <w:t xml:space="preserve">а бъде </w:t>
      </w:r>
      <w:r w:rsidR="00E00288">
        <w:rPr>
          <w:lang w:val="bg-BG"/>
        </w:rPr>
        <w:t>заснет</w:t>
      </w:r>
      <w:r w:rsidR="00E00288" w:rsidRPr="008849C3">
        <w:rPr>
          <w:lang w:val="bg-BG"/>
        </w:rPr>
        <w:t xml:space="preserve"> </w:t>
      </w:r>
      <w:r w:rsidR="004E3883" w:rsidRPr="008849C3">
        <w:rPr>
          <w:lang w:val="bg-BG"/>
        </w:rPr>
        <w:t>и се обърна</w:t>
      </w:r>
      <w:r w:rsidR="00E00288">
        <w:rPr>
          <w:lang w:val="bg-BG"/>
        </w:rPr>
        <w:t>х</w:t>
      </w:r>
      <w:r w:rsidR="004E3883" w:rsidRPr="008849C3">
        <w:rPr>
          <w:lang w:val="bg-BG"/>
        </w:rPr>
        <w:t xml:space="preserve"> към камерата, показвайки нараненото си чело. Тогава операторът м</w:t>
      </w:r>
      <w:r w:rsidR="00E00288">
        <w:rPr>
          <w:lang w:val="bg-BG"/>
        </w:rPr>
        <w:t>и</w:t>
      </w:r>
      <w:r w:rsidR="004E3883" w:rsidRPr="008849C3">
        <w:rPr>
          <w:lang w:val="bg-BG"/>
        </w:rPr>
        <w:t xml:space="preserve"> удари плесница и главата м</w:t>
      </w:r>
      <w:r w:rsidR="00E00288">
        <w:rPr>
          <w:lang w:val="bg-BG"/>
        </w:rPr>
        <w:t>и</w:t>
      </w:r>
      <w:r w:rsidR="004E3883" w:rsidRPr="008849C3">
        <w:rPr>
          <w:lang w:val="bg-BG"/>
        </w:rPr>
        <w:t xml:space="preserve"> се извъртя</w:t>
      </w:r>
      <w:r w:rsidR="00E00288">
        <w:rPr>
          <w:lang w:val="bg-BG"/>
        </w:rPr>
        <w:t>,</w:t>
      </w:r>
      <w:r w:rsidR="004E3883" w:rsidRPr="008849C3">
        <w:rPr>
          <w:lang w:val="bg-BG"/>
        </w:rPr>
        <w:t xml:space="preserve"> така </w:t>
      </w:r>
      <w:r w:rsidR="00E00288">
        <w:rPr>
          <w:lang w:val="bg-BG"/>
        </w:rPr>
        <w:t>че</w:t>
      </w:r>
      <w:r w:rsidR="00E00288" w:rsidRPr="008849C3">
        <w:rPr>
          <w:lang w:val="bg-BG"/>
        </w:rPr>
        <w:t xml:space="preserve"> </w:t>
      </w:r>
      <w:r w:rsidR="004E3883" w:rsidRPr="008849C3">
        <w:rPr>
          <w:lang w:val="bg-BG"/>
        </w:rPr>
        <w:t xml:space="preserve">да бъде сниман без да </w:t>
      </w:r>
      <w:r w:rsidR="00E00288">
        <w:rPr>
          <w:lang w:val="bg-BG"/>
        </w:rPr>
        <w:t>се вижда</w:t>
      </w:r>
      <w:r w:rsidR="004E3883" w:rsidRPr="008849C3">
        <w:rPr>
          <w:lang w:val="bg-BG"/>
        </w:rPr>
        <w:t xml:space="preserve"> раната </w:t>
      </w:r>
      <w:r w:rsidR="00E00288">
        <w:rPr>
          <w:lang w:val="bg-BG"/>
        </w:rPr>
        <w:t>м</w:t>
      </w:r>
      <w:r w:rsidR="004E3883" w:rsidRPr="008849C3">
        <w:rPr>
          <w:lang w:val="bg-BG"/>
        </w:rPr>
        <w:t>и. Малко след това м</w:t>
      </w:r>
      <w:r w:rsidR="00E00288">
        <w:rPr>
          <w:lang w:val="bg-BG"/>
        </w:rPr>
        <w:t>и</w:t>
      </w:r>
      <w:r w:rsidR="004E3883" w:rsidRPr="008849C3">
        <w:rPr>
          <w:lang w:val="bg-BG"/>
        </w:rPr>
        <w:t xml:space="preserve"> свали</w:t>
      </w:r>
      <w:r w:rsidR="00E00288">
        <w:rPr>
          <w:lang w:val="bg-BG"/>
        </w:rPr>
        <w:t>ха</w:t>
      </w:r>
      <w:r w:rsidR="004E3883" w:rsidRPr="008849C3">
        <w:rPr>
          <w:lang w:val="bg-BG"/>
        </w:rPr>
        <w:t xml:space="preserve"> белезниците и почисти</w:t>
      </w:r>
      <w:r w:rsidR="00E00288">
        <w:rPr>
          <w:lang w:val="bg-BG"/>
        </w:rPr>
        <w:t>х</w:t>
      </w:r>
      <w:r w:rsidR="004E3883" w:rsidRPr="008849C3">
        <w:rPr>
          <w:lang w:val="bg-BG"/>
        </w:rPr>
        <w:t xml:space="preserve"> раната си в банята. </w:t>
      </w:r>
    </w:p>
    <w:p w:rsidR="00F05348" w:rsidRPr="008849C3" w:rsidRDefault="00AD584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21</w:t>
      </w:r>
      <w:r w:rsidRPr="008849C3">
        <w:rPr>
          <w:lang w:val="bg-BG"/>
        </w:rPr>
        <w:fldChar w:fldCharType="end"/>
      </w:r>
      <w:r w:rsidRPr="008849C3">
        <w:rPr>
          <w:lang w:val="bg-BG"/>
        </w:rPr>
        <w:t>.  </w:t>
      </w:r>
      <w:r w:rsidR="004E3883" w:rsidRPr="008849C3">
        <w:rPr>
          <w:lang w:val="bg-BG"/>
        </w:rPr>
        <w:t>Жалбоподателката посочва в декларацията си, че оти</w:t>
      </w:r>
      <w:r w:rsidR="00E00288">
        <w:rPr>
          <w:lang w:val="bg-BG"/>
        </w:rPr>
        <w:t>ва</w:t>
      </w:r>
      <w:r w:rsidR="004E3883" w:rsidRPr="008849C3">
        <w:rPr>
          <w:lang w:val="bg-BG"/>
        </w:rPr>
        <w:t xml:space="preserve"> в нотариалната си кантора малко след нахлуването на полиц</w:t>
      </w:r>
      <w:r w:rsidR="007017F4">
        <w:rPr>
          <w:lang w:val="bg-BG"/>
        </w:rPr>
        <w:t>ейският екип</w:t>
      </w:r>
      <w:r w:rsidR="004E3883" w:rsidRPr="008849C3">
        <w:rPr>
          <w:lang w:val="bg-BG"/>
        </w:rPr>
        <w:t>. Т</w:t>
      </w:r>
      <w:r w:rsidR="007017F4">
        <w:rPr>
          <w:lang w:val="bg-BG"/>
        </w:rPr>
        <w:t xml:space="preserve">я намира </w:t>
      </w:r>
      <w:r w:rsidR="004E3883" w:rsidRPr="008849C3">
        <w:rPr>
          <w:lang w:val="bg-BG"/>
        </w:rPr>
        <w:t>цивилни и униформени полиц</w:t>
      </w:r>
      <w:r w:rsidR="007017F4">
        <w:rPr>
          <w:lang w:val="bg-BG"/>
        </w:rPr>
        <w:t>ейски служители</w:t>
      </w:r>
      <w:r w:rsidR="004E3883" w:rsidRPr="008849C3">
        <w:rPr>
          <w:lang w:val="bg-BG"/>
        </w:rPr>
        <w:t xml:space="preserve">, както и </w:t>
      </w:r>
      <w:proofErr w:type="spellStart"/>
      <w:r w:rsidR="004E3883" w:rsidRPr="008849C3">
        <w:rPr>
          <w:lang w:val="bg-BG"/>
        </w:rPr>
        <w:t>следователка</w:t>
      </w:r>
      <w:proofErr w:type="spellEnd"/>
      <w:r w:rsidR="004E3883" w:rsidRPr="008849C3">
        <w:rPr>
          <w:lang w:val="bg-BG"/>
        </w:rPr>
        <w:t xml:space="preserve"> от Следствена служба </w:t>
      </w:r>
      <w:r w:rsidR="007017F4">
        <w:rPr>
          <w:lang w:val="bg-BG"/>
        </w:rPr>
        <w:t xml:space="preserve">- </w:t>
      </w:r>
      <w:r w:rsidR="004E3883" w:rsidRPr="008849C3">
        <w:rPr>
          <w:lang w:val="bg-BG"/>
        </w:rPr>
        <w:t>София</w:t>
      </w:r>
      <w:r w:rsidR="007230F2" w:rsidRPr="008849C3">
        <w:rPr>
          <w:lang w:val="bg-BG"/>
        </w:rPr>
        <w:t xml:space="preserve">. </w:t>
      </w:r>
      <w:r w:rsidR="007017F4">
        <w:rPr>
          <w:lang w:val="bg-BG"/>
        </w:rPr>
        <w:t>На въпроса й</w:t>
      </w:r>
      <w:r w:rsidR="007230F2" w:rsidRPr="008849C3">
        <w:rPr>
          <w:lang w:val="bg-BG"/>
        </w:rPr>
        <w:t xml:space="preserve"> дали има</w:t>
      </w:r>
      <w:r w:rsidR="007017F4">
        <w:rPr>
          <w:lang w:val="bg-BG"/>
        </w:rPr>
        <w:t>т</w:t>
      </w:r>
      <w:r w:rsidR="007230F2" w:rsidRPr="008849C3">
        <w:rPr>
          <w:lang w:val="bg-BG"/>
        </w:rPr>
        <w:t xml:space="preserve"> заповед за </w:t>
      </w:r>
      <w:r w:rsidR="007017F4">
        <w:rPr>
          <w:lang w:val="bg-BG"/>
        </w:rPr>
        <w:t xml:space="preserve">обиск, </w:t>
      </w:r>
      <w:proofErr w:type="spellStart"/>
      <w:r w:rsidR="007017F4">
        <w:rPr>
          <w:lang w:val="bg-BG"/>
        </w:rPr>
        <w:t>следователката</w:t>
      </w:r>
      <w:proofErr w:type="spellEnd"/>
      <w:r w:rsidR="007230F2" w:rsidRPr="008849C3">
        <w:rPr>
          <w:lang w:val="bg-BG"/>
        </w:rPr>
        <w:t xml:space="preserve"> й отговор</w:t>
      </w:r>
      <w:r w:rsidR="0034682B">
        <w:rPr>
          <w:lang w:val="bg-BG"/>
        </w:rPr>
        <w:t>я</w:t>
      </w:r>
      <w:r w:rsidR="007017F4">
        <w:rPr>
          <w:lang w:val="bg-BG"/>
        </w:rPr>
        <w:t>, че такова не е нужно</w:t>
      </w:r>
      <w:r w:rsidR="007230F2" w:rsidRPr="008849C3">
        <w:rPr>
          <w:lang w:val="bg-BG"/>
        </w:rPr>
        <w:t>, като добав</w:t>
      </w:r>
      <w:r w:rsidR="0034682B">
        <w:rPr>
          <w:lang w:val="bg-BG"/>
        </w:rPr>
        <w:t>я</w:t>
      </w:r>
      <w:r w:rsidR="007230F2" w:rsidRPr="008849C3">
        <w:rPr>
          <w:lang w:val="bg-BG"/>
        </w:rPr>
        <w:t>, че се касае за</w:t>
      </w:r>
      <w:r w:rsidR="007017F4">
        <w:rPr>
          <w:lang w:val="bg-BG"/>
        </w:rPr>
        <w:t xml:space="preserve"> извършването на</w:t>
      </w:r>
      <w:r w:rsidR="007230F2" w:rsidRPr="008849C3">
        <w:rPr>
          <w:lang w:val="bg-BG"/>
        </w:rPr>
        <w:t xml:space="preserve"> неотложно следствено действие. </w:t>
      </w:r>
      <w:r w:rsidR="0034682B">
        <w:rPr>
          <w:lang w:val="bg-BG"/>
        </w:rPr>
        <w:t>Жалбоподателката иска да разбере от</w:t>
      </w:r>
      <w:r w:rsidR="007230F2" w:rsidRPr="008849C3">
        <w:rPr>
          <w:lang w:val="bg-BG"/>
        </w:rPr>
        <w:t xml:space="preserve"> </w:t>
      </w:r>
      <w:proofErr w:type="spellStart"/>
      <w:r w:rsidR="007230F2" w:rsidRPr="008849C3">
        <w:rPr>
          <w:lang w:val="bg-BG"/>
        </w:rPr>
        <w:t>следователката</w:t>
      </w:r>
      <w:proofErr w:type="spellEnd"/>
      <w:r w:rsidR="007230F2" w:rsidRPr="008849C3">
        <w:rPr>
          <w:lang w:val="bg-BG"/>
        </w:rPr>
        <w:t xml:space="preserve"> какво търс</w:t>
      </w:r>
      <w:r w:rsidR="0034682B">
        <w:rPr>
          <w:lang w:val="bg-BG"/>
        </w:rPr>
        <w:t>ят</w:t>
      </w:r>
      <w:r w:rsidR="007230F2" w:rsidRPr="008849C3">
        <w:rPr>
          <w:lang w:val="bg-BG"/>
        </w:rPr>
        <w:t xml:space="preserve"> и предложила да сътрудничи. </w:t>
      </w:r>
      <w:proofErr w:type="spellStart"/>
      <w:r w:rsidR="007230F2" w:rsidRPr="008849C3">
        <w:rPr>
          <w:lang w:val="bg-BG"/>
        </w:rPr>
        <w:t>Следователката</w:t>
      </w:r>
      <w:proofErr w:type="spellEnd"/>
      <w:r w:rsidR="007230F2" w:rsidRPr="008849C3">
        <w:rPr>
          <w:lang w:val="bg-BG"/>
        </w:rPr>
        <w:t xml:space="preserve"> й отговор</w:t>
      </w:r>
      <w:r w:rsidR="0034682B">
        <w:rPr>
          <w:lang w:val="bg-BG"/>
        </w:rPr>
        <w:t>я</w:t>
      </w:r>
      <w:r w:rsidR="007230F2" w:rsidRPr="008849C3">
        <w:rPr>
          <w:lang w:val="bg-BG"/>
        </w:rPr>
        <w:t>, че търс</w:t>
      </w:r>
      <w:r w:rsidR="0034682B">
        <w:rPr>
          <w:lang w:val="bg-BG"/>
        </w:rPr>
        <w:t>ят</w:t>
      </w:r>
      <w:r w:rsidR="007230F2" w:rsidRPr="008849C3">
        <w:rPr>
          <w:lang w:val="bg-BG"/>
        </w:rPr>
        <w:t xml:space="preserve"> пари, монети и антики. Жалбоподателката отв</w:t>
      </w:r>
      <w:r w:rsidR="0034682B">
        <w:rPr>
          <w:lang w:val="bg-BG"/>
        </w:rPr>
        <w:t>а</w:t>
      </w:r>
      <w:r w:rsidR="007230F2" w:rsidRPr="008849C3">
        <w:rPr>
          <w:lang w:val="bg-BG"/>
        </w:rPr>
        <w:t>р</w:t>
      </w:r>
      <w:r w:rsidR="0034682B">
        <w:rPr>
          <w:lang w:val="bg-BG"/>
        </w:rPr>
        <w:t>я</w:t>
      </w:r>
      <w:r w:rsidR="007230F2" w:rsidRPr="008849C3">
        <w:rPr>
          <w:lang w:val="bg-BG"/>
        </w:rPr>
        <w:t xml:space="preserve"> сейфа, който се намира в архива и показ</w:t>
      </w:r>
      <w:r w:rsidR="0034682B">
        <w:rPr>
          <w:lang w:val="bg-BG"/>
        </w:rPr>
        <w:t>ва</w:t>
      </w:r>
      <w:r w:rsidR="007230F2" w:rsidRPr="008849C3">
        <w:rPr>
          <w:lang w:val="bg-BG"/>
        </w:rPr>
        <w:t xml:space="preserve"> съдържанието му. Показ</w:t>
      </w:r>
      <w:r w:rsidR="0034682B">
        <w:rPr>
          <w:lang w:val="bg-BG"/>
        </w:rPr>
        <w:t>ва</w:t>
      </w:r>
      <w:r w:rsidR="007230F2" w:rsidRPr="008849C3">
        <w:rPr>
          <w:lang w:val="bg-BG"/>
        </w:rPr>
        <w:t xml:space="preserve"> също и парите, които </w:t>
      </w:r>
      <w:r w:rsidR="0034682B">
        <w:rPr>
          <w:lang w:val="bg-BG"/>
        </w:rPr>
        <w:t>са</w:t>
      </w:r>
      <w:r w:rsidR="0034682B" w:rsidRPr="008849C3">
        <w:rPr>
          <w:lang w:val="bg-BG"/>
        </w:rPr>
        <w:t xml:space="preserve"> </w:t>
      </w:r>
      <w:r w:rsidR="007230F2" w:rsidRPr="008849C3">
        <w:rPr>
          <w:lang w:val="bg-BG"/>
        </w:rPr>
        <w:t xml:space="preserve">в кантората и колекцията </w:t>
      </w:r>
      <w:r w:rsidR="004476A7" w:rsidRPr="008849C3">
        <w:rPr>
          <w:lang w:val="bg-BG"/>
        </w:rPr>
        <w:t xml:space="preserve">от </w:t>
      </w:r>
      <w:r w:rsidR="007230F2" w:rsidRPr="008849C3">
        <w:rPr>
          <w:lang w:val="bg-BG"/>
        </w:rPr>
        <w:t xml:space="preserve">монети и </w:t>
      </w:r>
      <w:r w:rsidR="00FD212C" w:rsidRPr="008849C3">
        <w:rPr>
          <w:lang w:val="bg-BG"/>
        </w:rPr>
        <w:t>антики на съпруга си. Отказ</w:t>
      </w:r>
      <w:r w:rsidR="0034682B">
        <w:rPr>
          <w:lang w:val="bg-BG"/>
        </w:rPr>
        <w:t>ва</w:t>
      </w:r>
      <w:r w:rsidR="00FD212C" w:rsidRPr="008849C3">
        <w:rPr>
          <w:lang w:val="bg-BG"/>
        </w:rPr>
        <w:t xml:space="preserve"> да </w:t>
      </w:r>
      <w:r w:rsidR="0034682B">
        <w:rPr>
          <w:lang w:val="bg-BG"/>
        </w:rPr>
        <w:t xml:space="preserve">ги </w:t>
      </w:r>
      <w:r w:rsidR="00FD212C" w:rsidRPr="008849C3">
        <w:rPr>
          <w:lang w:val="bg-BG"/>
        </w:rPr>
        <w:t>предаде на полиц</w:t>
      </w:r>
      <w:r w:rsidR="0034682B">
        <w:rPr>
          <w:lang w:val="bg-BG"/>
        </w:rPr>
        <w:t>ейските служители</w:t>
      </w:r>
      <w:r w:rsidR="00FD212C" w:rsidRPr="008849C3">
        <w:rPr>
          <w:lang w:val="bg-BG"/>
        </w:rPr>
        <w:t xml:space="preserve"> и </w:t>
      </w:r>
      <w:proofErr w:type="spellStart"/>
      <w:r w:rsidR="00FD212C" w:rsidRPr="008849C3">
        <w:rPr>
          <w:lang w:val="bg-BG"/>
        </w:rPr>
        <w:t>следователката</w:t>
      </w:r>
      <w:proofErr w:type="spellEnd"/>
      <w:r w:rsidR="00FD212C" w:rsidRPr="008849C3">
        <w:rPr>
          <w:lang w:val="bg-BG"/>
        </w:rPr>
        <w:t xml:space="preserve">, както и мобилния си телефон, но </w:t>
      </w:r>
      <w:r w:rsidR="004970F3" w:rsidRPr="008849C3">
        <w:rPr>
          <w:lang w:val="bg-BG"/>
        </w:rPr>
        <w:t xml:space="preserve">въпреки това </w:t>
      </w:r>
      <w:r w:rsidR="0034682B">
        <w:rPr>
          <w:lang w:val="bg-BG"/>
        </w:rPr>
        <w:t>разследващите</w:t>
      </w:r>
      <w:r w:rsidR="004970F3" w:rsidRPr="008849C3">
        <w:rPr>
          <w:lang w:val="bg-BG"/>
        </w:rPr>
        <w:t xml:space="preserve"> иззе</w:t>
      </w:r>
      <w:r w:rsidR="0034682B">
        <w:rPr>
          <w:lang w:val="bg-BG"/>
        </w:rPr>
        <w:t>мват</w:t>
      </w:r>
      <w:r w:rsidR="004970F3" w:rsidRPr="008849C3">
        <w:rPr>
          <w:lang w:val="bg-BG"/>
        </w:rPr>
        <w:t xml:space="preserve"> два мобилни телефона, принадлежащи на съпруга й. Няколко дни по-късно жалбоподателката </w:t>
      </w:r>
      <w:r w:rsidR="0034682B">
        <w:rPr>
          <w:lang w:val="bg-BG"/>
        </w:rPr>
        <w:t>установява</w:t>
      </w:r>
      <w:r w:rsidR="004970F3" w:rsidRPr="008849C3">
        <w:rPr>
          <w:lang w:val="bg-BG"/>
        </w:rPr>
        <w:t xml:space="preserve">, с помощта на компютърен специалист, че в паметта на два от компютрите й </w:t>
      </w:r>
      <w:r w:rsidR="0034682B">
        <w:rPr>
          <w:lang w:val="bg-BG"/>
        </w:rPr>
        <w:t>е качена програма</w:t>
      </w:r>
      <w:r w:rsidR="004970F3" w:rsidRPr="008849C3">
        <w:rPr>
          <w:lang w:val="bg-BG"/>
        </w:rPr>
        <w:t>, ко</w:t>
      </w:r>
      <w:r w:rsidR="0034682B">
        <w:rPr>
          <w:lang w:val="bg-BG"/>
        </w:rPr>
        <w:t>я</w:t>
      </w:r>
      <w:r w:rsidR="004970F3" w:rsidRPr="008849C3">
        <w:rPr>
          <w:lang w:val="bg-BG"/>
        </w:rPr>
        <w:t xml:space="preserve">то </w:t>
      </w:r>
      <w:r w:rsidR="0034682B">
        <w:rPr>
          <w:lang w:val="bg-BG"/>
        </w:rPr>
        <w:t>тя не е</w:t>
      </w:r>
      <w:r w:rsidR="004970F3" w:rsidRPr="008849C3">
        <w:rPr>
          <w:lang w:val="bg-BG"/>
        </w:rPr>
        <w:t xml:space="preserve"> инсталирала. </w:t>
      </w:r>
    </w:p>
    <w:p w:rsidR="00471917" w:rsidRPr="008849C3" w:rsidRDefault="00294ACB" w:rsidP="006B0E9F">
      <w:pPr>
        <w:pStyle w:val="ECHRPara"/>
        <w:rPr>
          <w:lang w:val="bg-BG"/>
        </w:rPr>
      </w:pPr>
      <w:r w:rsidRPr="008849C3">
        <w:rPr>
          <w:lang w:val="bg-BG"/>
        </w:rPr>
        <w:lastRenderedPageBreak/>
        <w:fldChar w:fldCharType="begin"/>
      </w:r>
      <w:r w:rsidRPr="008849C3">
        <w:rPr>
          <w:lang w:val="bg-BG"/>
        </w:rPr>
        <w:instrText xml:space="preserve"> SEQ level0 \*arabic </w:instrText>
      </w:r>
      <w:r w:rsidRPr="008849C3">
        <w:rPr>
          <w:lang w:val="bg-BG"/>
        </w:rPr>
        <w:fldChar w:fldCharType="separate"/>
      </w:r>
      <w:r w:rsidR="00134118">
        <w:rPr>
          <w:noProof/>
          <w:lang w:val="bg-BG"/>
        </w:rPr>
        <w:t>22</w:t>
      </w:r>
      <w:r w:rsidRPr="008849C3">
        <w:rPr>
          <w:lang w:val="bg-BG"/>
        </w:rPr>
        <w:fldChar w:fldCharType="end"/>
      </w:r>
      <w:r w:rsidRPr="008849C3">
        <w:rPr>
          <w:lang w:val="bg-BG"/>
        </w:rPr>
        <w:t>.  </w:t>
      </w:r>
      <w:r w:rsidR="004970F3" w:rsidRPr="008849C3">
        <w:rPr>
          <w:lang w:val="bg-BG"/>
        </w:rPr>
        <w:t xml:space="preserve">В деня на </w:t>
      </w:r>
      <w:r w:rsidR="003766C3" w:rsidRPr="00863229">
        <w:rPr>
          <w:lang w:val="bg-BG"/>
        </w:rPr>
        <w:t>задържането си</w:t>
      </w:r>
      <w:r w:rsidR="0034682B" w:rsidRPr="008A7C01">
        <w:rPr>
          <w:lang w:val="bg-BG"/>
        </w:rPr>
        <w:t>,</w:t>
      </w:r>
      <w:r w:rsidR="004970F3" w:rsidRPr="00B501BB">
        <w:rPr>
          <w:lang w:val="bg-BG"/>
        </w:rPr>
        <w:t xml:space="preserve"> 1 април 2010 г.</w:t>
      </w:r>
      <w:r w:rsidR="004476A7" w:rsidRPr="00B501BB">
        <w:rPr>
          <w:lang w:val="bg-BG"/>
        </w:rPr>
        <w:t>,</w:t>
      </w:r>
      <w:r w:rsidR="004970F3" w:rsidRPr="00B501BB">
        <w:rPr>
          <w:lang w:val="bg-BG"/>
        </w:rPr>
        <w:t xml:space="preserve"> жалбоподателят </w:t>
      </w:r>
      <w:r w:rsidR="00884414" w:rsidRPr="00B501BB">
        <w:rPr>
          <w:lang w:val="bg-BG"/>
        </w:rPr>
        <w:t>е</w:t>
      </w:r>
      <w:r w:rsidR="004970F3" w:rsidRPr="00B501BB">
        <w:rPr>
          <w:lang w:val="bg-BG"/>
        </w:rPr>
        <w:t xml:space="preserve"> </w:t>
      </w:r>
      <w:r w:rsidR="003766C3" w:rsidRPr="00B501BB">
        <w:rPr>
          <w:lang w:val="bg-BG"/>
        </w:rPr>
        <w:t>държан</w:t>
      </w:r>
      <w:r w:rsidR="003766C3" w:rsidRPr="00863229">
        <w:rPr>
          <w:lang w:val="bg-BG"/>
        </w:rPr>
        <w:t xml:space="preserve"> </w:t>
      </w:r>
      <w:r w:rsidR="004970F3" w:rsidRPr="00863229">
        <w:rPr>
          <w:lang w:val="bg-BG"/>
        </w:rPr>
        <w:t xml:space="preserve">в </w:t>
      </w:r>
      <w:r w:rsidR="003766C3" w:rsidRPr="00B501BB">
        <w:rPr>
          <w:lang w:val="bg-BG"/>
        </w:rPr>
        <w:t>следствения</w:t>
      </w:r>
      <w:r w:rsidR="003766C3" w:rsidRPr="00863229">
        <w:rPr>
          <w:lang w:val="bg-BG"/>
        </w:rPr>
        <w:t xml:space="preserve"> </w:t>
      </w:r>
      <w:r w:rsidR="00884414" w:rsidRPr="00863229">
        <w:rPr>
          <w:lang w:val="bg-BG"/>
        </w:rPr>
        <w:t>арест</w:t>
      </w:r>
      <w:r w:rsidR="004970F3" w:rsidRPr="008849C3">
        <w:rPr>
          <w:lang w:val="bg-BG"/>
        </w:rPr>
        <w:t>.</w:t>
      </w:r>
      <w:r w:rsidR="00884414" w:rsidRPr="008849C3">
        <w:rPr>
          <w:lang w:val="bg-BG"/>
        </w:rPr>
        <w:t xml:space="preserve"> Лекарят </w:t>
      </w:r>
      <w:r w:rsidR="003766C3">
        <w:rPr>
          <w:lang w:val="bg-BG"/>
        </w:rPr>
        <w:t>в</w:t>
      </w:r>
      <w:r w:rsidR="003766C3" w:rsidRPr="008849C3">
        <w:rPr>
          <w:lang w:val="bg-BG"/>
        </w:rPr>
        <w:t xml:space="preserve"> </w:t>
      </w:r>
      <w:r w:rsidR="003766C3">
        <w:rPr>
          <w:lang w:val="bg-BG"/>
        </w:rPr>
        <w:t>ареста</w:t>
      </w:r>
      <w:r w:rsidR="003766C3" w:rsidRPr="008849C3">
        <w:rPr>
          <w:lang w:val="bg-BG"/>
        </w:rPr>
        <w:t xml:space="preserve"> </w:t>
      </w:r>
      <w:r w:rsidR="00884414" w:rsidRPr="008849C3">
        <w:rPr>
          <w:lang w:val="bg-BG"/>
        </w:rPr>
        <w:t xml:space="preserve">вписва в медицинския регистър на 2 април 2010, че жалбоподателят има хематом </w:t>
      </w:r>
      <w:r w:rsidR="003766C3">
        <w:rPr>
          <w:lang w:val="bg-BG"/>
        </w:rPr>
        <w:t xml:space="preserve">на челото </w:t>
      </w:r>
      <w:r w:rsidR="00884414" w:rsidRPr="008849C3">
        <w:rPr>
          <w:lang w:val="bg-BG"/>
        </w:rPr>
        <w:t xml:space="preserve">с големината на детски юмрук и </w:t>
      </w:r>
      <w:r w:rsidR="00CB73EE" w:rsidRPr="008849C3">
        <w:rPr>
          <w:lang w:val="bg-BG"/>
        </w:rPr>
        <w:t>2-3</w:t>
      </w:r>
      <w:r w:rsidR="003766C3">
        <w:rPr>
          <w:lang w:val="bg-BG"/>
        </w:rPr>
        <w:t xml:space="preserve"> </w:t>
      </w:r>
      <w:r w:rsidR="00884414" w:rsidRPr="008849C3">
        <w:rPr>
          <w:lang w:val="bg-BG"/>
        </w:rPr>
        <w:t>сантиметр</w:t>
      </w:r>
      <w:r w:rsidR="00CB73EE" w:rsidRPr="008849C3">
        <w:rPr>
          <w:lang w:val="bg-BG"/>
        </w:rPr>
        <w:t>ов</w:t>
      </w:r>
      <w:r w:rsidR="00884414" w:rsidRPr="008849C3">
        <w:rPr>
          <w:lang w:val="bg-BG"/>
        </w:rPr>
        <w:t>а</w:t>
      </w:r>
      <w:r w:rsidR="00CB73EE" w:rsidRPr="008849C3">
        <w:rPr>
          <w:lang w:val="bg-BG"/>
        </w:rPr>
        <w:t xml:space="preserve"> </w:t>
      </w:r>
      <w:r w:rsidR="000966D7">
        <w:rPr>
          <w:lang w:val="bg-BG"/>
        </w:rPr>
        <w:t>рана</w:t>
      </w:r>
      <w:r w:rsidR="00884414" w:rsidRPr="008849C3">
        <w:rPr>
          <w:lang w:val="bg-BG"/>
        </w:rPr>
        <w:t xml:space="preserve">.  </w:t>
      </w:r>
    </w:p>
    <w:p w:rsidR="00F05348" w:rsidRPr="008849C3" w:rsidRDefault="00294ACB"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23</w:t>
      </w:r>
      <w:r w:rsidRPr="008849C3">
        <w:rPr>
          <w:lang w:val="bg-BG"/>
        </w:rPr>
        <w:fldChar w:fldCharType="end"/>
      </w:r>
      <w:r w:rsidRPr="008849C3">
        <w:rPr>
          <w:lang w:val="bg-BG"/>
        </w:rPr>
        <w:t>.  </w:t>
      </w:r>
      <w:r w:rsidR="00CB73EE" w:rsidRPr="008849C3">
        <w:rPr>
          <w:lang w:val="bg-BG"/>
        </w:rPr>
        <w:t xml:space="preserve">Полицейската операция привлича вниманието на медиите. Видеозаписът от </w:t>
      </w:r>
      <w:r w:rsidR="003766C3">
        <w:rPr>
          <w:lang w:val="bg-BG"/>
        </w:rPr>
        <w:t>задържането</w:t>
      </w:r>
      <w:r w:rsidR="004476A7" w:rsidRPr="008849C3">
        <w:rPr>
          <w:lang w:val="bg-BG"/>
        </w:rPr>
        <w:t>, направен от присъствалия</w:t>
      </w:r>
      <w:r w:rsidR="00CB73EE" w:rsidRPr="008849C3">
        <w:rPr>
          <w:lang w:val="bg-BG"/>
        </w:rPr>
        <w:t xml:space="preserve"> на мястото оператор, е предоставен на медиите, които го използват в репор</w:t>
      </w:r>
      <w:r w:rsidR="00CA7BA4">
        <w:rPr>
          <w:lang w:val="bg-BG"/>
        </w:rPr>
        <w:t>тажите си.</w:t>
      </w:r>
      <w:r w:rsidR="00CB73EE" w:rsidRPr="008849C3">
        <w:rPr>
          <w:lang w:val="bg-BG"/>
        </w:rPr>
        <w:t xml:space="preserve"> Снимки на жалбоподателя, </w:t>
      </w:r>
      <w:r w:rsidR="00623395">
        <w:rPr>
          <w:lang w:val="bg-BG"/>
        </w:rPr>
        <w:t>оставен да лежи</w:t>
      </w:r>
      <w:r w:rsidR="00623395" w:rsidRPr="008849C3">
        <w:rPr>
          <w:lang w:val="bg-BG"/>
        </w:rPr>
        <w:t xml:space="preserve"> </w:t>
      </w:r>
      <w:r w:rsidR="00623395">
        <w:rPr>
          <w:lang w:val="bg-BG"/>
        </w:rPr>
        <w:t>с</w:t>
      </w:r>
      <w:r w:rsidR="00CB73EE" w:rsidRPr="008849C3">
        <w:rPr>
          <w:lang w:val="bg-BG"/>
        </w:rPr>
        <w:t xml:space="preserve"> лице </w:t>
      </w:r>
      <w:r w:rsidR="00623395">
        <w:rPr>
          <w:lang w:val="bg-BG"/>
        </w:rPr>
        <w:t>към</w:t>
      </w:r>
      <w:r w:rsidR="00623395" w:rsidRPr="008849C3">
        <w:rPr>
          <w:lang w:val="bg-BG"/>
        </w:rPr>
        <w:t xml:space="preserve"> </w:t>
      </w:r>
      <w:r w:rsidR="00CB73EE" w:rsidRPr="008849C3">
        <w:rPr>
          <w:lang w:val="bg-BG"/>
        </w:rPr>
        <w:t xml:space="preserve">земята, с белезници </w:t>
      </w:r>
      <w:r w:rsidR="00623395">
        <w:rPr>
          <w:lang w:val="bg-BG"/>
        </w:rPr>
        <w:t>на ръцете</w:t>
      </w:r>
      <w:r w:rsidR="00CB73EE" w:rsidRPr="008849C3">
        <w:rPr>
          <w:lang w:val="bg-BG"/>
        </w:rPr>
        <w:t xml:space="preserve">, са публикувани в печатните издания. </w:t>
      </w:r>
      <w:r w:rsidR="00F05348" w:rsidRPr="008849C3">
        <w:rPr>
          <w:lang w:val="bg-BG"/>
        </w:rPr>
        <w:t xml:space="preserve"> </w:t>
      </w:r>
    </w:p>
    <w:p w:rsidR="00F05348" w:rsidRPr="008849C3" w:rsidRDefault="00294ACB"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24</w:t>
      </w:r>
      <w:r w:rsidRPr="008849C3">
        <w:rPr>
          <w:lang w:val="bg-BG"/>
        </w:rPr>
        <w:fldChar w:fldCharType="end"/>
      </w:r>
      <w:r w:rsidRPr="008849C3">
        <w:rPr>
          <w:lang w:val="bg-BG"/>
        </w:rPr>
        <w:t>.  </w:t>
      </w:r>
      <w:r w:rsidR="00CB73EE" w:rsidRPr="008849C3">
        <w:rPr>
          <w:lang w:val="bg-BG"/>
        </w:rPr>
        <w:t xml:space="preserve">На 1 април 2010 г. жалбоподателят е обвинен </w:t>
      </w:r>
      <w:r w:rsidR="00623395">
        <w:rPr>
          <w:lang w:val="bg-BG"/>
        </w:rPr>
        <w:t>за активен</w:t>
      </w:r>
      <w:r w:rsidR="00CB73EE" w:rsidRPr="008849C3">
        <w:rPr>
          <w:lang w:val="bg-BG"/>
        </w:rPr>
        <w:t xml:space="preserve"> подкуп на следовател на основание</w:t>
      </w:r>
      <w:r w:rsidR="00F05348" w:rsidRPr="008849C3">
        <w:rPr>
          <w:lang w:val="bg-BG"/>
        </w:rPr>
        <w:t xml:space="preserve"> </w:t>
      </w:r>
      <w:r w:rsidR="00CA7BA4">
        <w:rPr>
          <w:lang w:val="bg-BG"/>
        </w:rPr>
        <w:t>чл.</w:t>
      </w:r>
      <w:r w:rsidR="00F05348" w:rsidRPr="008849C3">
        <w:rPr>
          <w:lang w:val="bg-BG"/>
        </w:rPr>
        <w:t xml:space="preserve"> 304a </w:t>
      </w:r>
      <w:r w:rsidR="00CB73EE" w:rsidRPr="008849C3">
        <w:rPr>
          <w:lang w:val="bg-BG"/>
        </w:rPr>
        <w:t>от Наказателния кодекс</w:t>
      </w:r>
      <w:r w:rsidR="00F05348" w:rsidRPr="008849C3">
        <w:rPr>
          <w:lang w:val="bg-BG"/>
        </w:rPr>
        <w:t xml:space="preserve">. </w:t>
      </w:r>
      <w:r w:rsidR="00CB73EE" w:rsidRPr="008849C3">
        <w:rPr>
          <w:lang w:val="bg-BG"/>
        </w:rPr>
        <w:t>Обвинен е, че е предложил 30 000 евро</w:t>
      </w:r>
      <w:r w:rsidR="00276C60" w:rsidRPr="008849C3">
        <w:rPr>
          <w:lang w:val="bg-BG"/>
        </w:rPr>
        <w:t xml:space="preserve"> </w:t>
      </w:r>
      <w:r w:rsidR="00CB73EE" w:rsidRPr="008849C3">
        <w:rPr>
          <w:lang w:val="bg-BG"/>
        </w:rPr>
        <w:t>и</w:t>
      </w:r>
      <w:r w:rsidR="00276C60" w:rsidRPr="008849C3">
        <w:rPr>
          <w:lang w:val="bg-BG"/>
        </w:rPr>
        <w:t xml:space="preserve"> 20 </w:t>
      </w:r>
      <w:r w:rsidR="00F05348" w:rsidRPr="008849C3">
        <w:rPr>
          <w:lang w:val="bg-BG"/>
        </w:rPr>
        <w:t xml:space="preserve">000 </w:t>
      </w:r>
      <w:r w:rsidR="00CB73EE" w:rsidRPr="008849C3">
        <w:rPr>
          <w:lang w:val="bg-BG"/>
        </w:rPr>
        <w:t>лева на следователя</w:t>
      </w:r>
      <w:r w:rsidR="00583328" w:rsidRPr="008849C3">
        <w:rPr>
          <w:lang w:val="bg-BG"/>
        </w:rPr>
        <w:t>,</w:t>
      </w:r>
      <w:r w:rsidR="00CB73EE" w:rsidRPr="008849C3">
        <w:rPr>
          <w:lang w:val="bg-BG"/>
        </w:rPr>
        <w:t xml:space="preserve"> </w:t>
      </w:r>
      <w:r w:rsidR="00623395">
        <w:rPr>
          <w:lang w:val="bg-BG"/>
        </w:rPr>
        <w:t>който</w:t>
      </w:r>
      <w:r w:rsidR="00CB73EE" w:rsidRPr="008849C3">
        <w:rPr>
          <w:lang w:val="bg-BG"/>
        </w:rPr>
        <w:t xml:space="preserve"> провежда разследване, за да </w:t>
      </w:r>
      <w:r w:rsidR="00623395">
        <w:rPr>
          <w:lang w:val="bg-BG"/>
        </w:rPr>
        <w:t>повлияе на</w:t>
      </w:r>
      <w:r w:rsidR="00623395" w:rsidRPr="008849C3">
        <w:rPr>
          <w:lang w:val="bg-BG"/>
        </w:rPr>
        <w:t xml:space="preserve"> </w:t>
      </w:r>
      <w:r w:rsidR="00583328" w:rsidRPr="008849C3">
        <w:rPr>
          <w:lang w:val="bg-BG"/>
        </w:rPr>
        <w:t xml:space="preserve">последния </w:t>
      </w:r>
      <w:r w:rsidR="00CB73EE" w:rsidRPr="008849C3">
        <w:rPr>
          <w:lang w:val="bg-BG"/>
        </w:rPr>
        <w:t xml:space="preserve">да го води по начин, </w:t>
      </w:r>
      <w:r w:rsidR="00981188" w:rsidRPr="008849C3">
        <w:rPr>
          <w:lang w:val="bg-BG"/>
        </w:rPr>
        <w:t xml:space="preserve">оневиняващ бившия министър на отбраната. </w:t>
      </w:r>
      <w:r w:rsidR="00F05348" w:rsidRPr="008849C3">
        <w:rPr>
          <w:lang w:val="bg-BG"/>
        </w:rPr>
        <w:t xml:space="preserve"> </w:t>
      </w:r>
    </w:p>
    <w:p w:rsidR="00583E7D" w:rsidRPr="008849C3" w:rsidRDefault="000B48C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25</w:t>
      </w:r>
      <w:r w:rsidRPr="008849C3">
        <w:rPr>
          <w:lang w:val="bg-BG"/>
        </w:rPr>
        <w:fldChar w:fldCharType="end"/>
      </w:r>
      <w:r w:rsidRPr="008849C3">
        <w:rPr>
          <w:lang w:val="bg-BG"/>
        </w:rPr>
        <w:t>.  </w:t>
      </w:r>
      <w:r w:rsidR="00981188" w:rsidRPr="008849C3">
        <w:rPr>
          <w:lang w:val="bg-BG"/>
        </w:rPr>
        <w:t xml:space="preserve">С решение от 29 октомври 2012 г. Софийският градски съд оправдава жалбоподателя и другите две лица, обвинени заедно с него. </w:t>
      </w:r>
      <w:r w:rsidR="00FF762B" w:rsidRPr="008849C3">
        <w:rPr>
          <w:lang w:val="bg-BG"/>
        </w:rPr>
        <w:t xml:space="preserve"> </w:t>
      </w:r>
      <w:r w:rsidR="00981188" w:rsidRPr="008849C3">
        <w:rPr>
          <w:lang w:val="bg-BG"/>
        </w:rPr>
        <w:t xml:space="preserve">Това решение е потвърдено на 14 февруари </w:t>
      </w:r>
      <w:r w:rsidR="00FF762B" w:rsidRPr="008849C3">
        <w:rPr>
          <w:lang w:val="bg-BG"/>
        </w:rPr>
        <w:t>2014</w:t>
      </w:r>
      <w:r w:rsidR="00981188" w:rsidRPr="008849C3">
        <w:rPr>
          <w:lang w:val="bg-BG"/>
        </w:rPr>
        <w:t xml:space="preserve"> г.</w:t>
      </w:r>
      <w:r w:rsidR="00FF762B" w:rsidRPr="008849C3">
        <w:rPr>
          <w:lang w:val="bg-BG"/>
        </w:rPr>
        <w:t xml:space="preserve"> </w:t>
      </w:r>
      <w:r w:rsidR="00981188" w:rsidRPr="008849C3">
        <w:rPr>
          <w:lang w:val="bg-BG"/>
        </w:rPr>
        <w:t>от Софийски</w:t>
      </w:r>
      <w:r w:rsidR="00583328" w:rsidRPr="008849C3">
        <w:rPr>
          <w:lang w:val="bg-BG"/>
        </w:rPr>
        <w:t>я</w:t>
      </w:r>
      <w:r w:rsidR="00981188" w:rsidRPr="008849C3">
        <w:rPr>
          <w:lang w:val="bg-BG"/>
        </w:rPr>
        <w:t xml:space="preserve"> апелативен съд</w:t>
      </w:r>
      <w:r w:rsidR="00583328" w:rsidRPr="008849C3">
        <w:rPr>
          <w:lang w:val="bg-BG"/>
        </w:rPr>
        <w:t xml:space="preserve"> и на 3 февруари 2015 г. от Върховния касационен съд. </w:t>
      </w:r>
      <w:r w:rsidR="00981188" w:rsidRPr="008849C3">
        <w:rPr>
          <w:lang w:val="bg-BG"/>
        </w:rPr>
        <w:t xml:space="preserve"> </w:t>
      </w:r>
    </w:p>
    <w:p w:rsidR="00AC36AD" w:rsidRPr="008849C3" w:rsidRDefault="001B5F59" w:rsidP="006B0E9F">
      <w:pPr>
        <w:pStyle w:val="ECHRHeading2"/>
        <w:rPr>
          <w:lang w:val="bg-BG"/>
        </w:rPr>
      </w:pPr>
      <w:r>
        <w:rPr>
          <w:lang w:val="bg-BG"/>
        </w:rPr>
        <w:t>В</w:t>
      </w:r>
      <w:r w:rsidR="00AC36AD" w:rsidRPr="008849C3">
        <w:rPr>
          <w:lang w:val="bg-BG"/>
        </w:rPr>
        <w:t>.  </w:t>
      </w:r>
      <w:r w:rsidR="00C77B1A" w:rsidRPr="008849C3">
        <w:rPr>
          <w:lang w:val="bg-BG"/>
        </w:rPr>
        <w:t>Из</w:t>
      </w:r>
      <w:r w:rsidR="00623395">
        <w:rPr>
          <w:lang w:val="bg-BG"/>
        </w:rPr>
        <w:t>явления</w:t>
      </w:r>
      <w:r w:rsidR="00C77B1A" w:rsidRPr="008849C3">
        <w:rPr>
          <w:lang w:val="bg-BG"/>
        </w:rPr>
        <w:t xml:space="preserve"> на прокурора Р. В., министъра на вътрешните работи и министър-председателя относно наказателното </w:t>
      </w:r>
      <w:r w:rsidR="00CA7BA4">
        <w:rPr>
          <w:lang w:val="bg-BG"/>
        </w:rPr>
        <w:t>производство</w:t>
      </w:r>
      <w:r w:rsidR="00C77B1A" w:rsidRPr="008849C3">
        <w:rPr>
          <w:lang w:val="bg-BG"/>
        </w:rPr>
        <w:t xml:space="preserve"> срещу жалбоподателя  </w:t>
      </w:r>
      <w:r w:rsidR="00AC36AD" w:rsidRPr="008849C3">
        <w:rPr>
          <w:lang w:val="bg-BG"/>
        </w:rPr>
        <w:t xml:space="preserve"> </w:t>
      </w:r>
    </w:p>
    <w:p w:rsidR="00AC36AD" w:rsidRPr="008849C3" w:rsidRDefault="00AC36AD"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26</w:t>
      </w:r>
      <w:r w:rsidRPr="008849C3">
        <w:rPr>
          <w:lang w:val="bg-BG"/>
        </w:rPr>
        <w:fldChar w:fldCharType="end"/>
      </w:r>
      <w:r w:rsidRPr="008849C3">
        <w:rPr>
          <w:lang w:val="bg-BG"/>
        </w:rPr>
        <w:t>.  </w:t>
      </w:r>
      <w:r w:rsidR="00246CA1" w:rsidRPr="008849C3">
        <w:rPr>
          <w:lang w:val="bg-BG"/>
        </w:rPr>
        <w:t xml:space="preserve">На 1 април 2010 г., в интервю, дадено по националното радио, прокурорът Р. В., който </w:t>
      </w:r>
      <w:r w:rsidR="00AD6026" w:rsidRPr="008849C3">
        <w:rPr>
          <w:lang w:val="bg-BG"/>
        </w:rPr>
        <w:t xml:space="preserve">осъществява контрол върху наказателното </w:t>
      </w:r>
      <w:r w:rsidR="00623395">
        <w:rPr>
          <w:lang w:val="bg-BG"/>
        </w:rPr>
        <w:t>производство</w:t>
      </w:r>
      <w:r w:rsidR="00AD6026" w:rsidRPr="008849C3">
        <w:rPr>
          <w:lang w:val="bg-BG"/>
        </w:rPr>
        <w:t xml:space="preserve">, </w:t>
      </w:r>
      <w:r w:rsidR="00623395">
        <w:rPr>
          <w:lang w:val="bg-BG"/>
        </w:rPr>
        <w:t>образувано</w:t>
      </w:r>
      <w:r w:rsidR="00623395" w:rsidRPr="008849C3">
        <w:rPr>
          <w:lang w:val="bg-BG"/>
        </w:rPr>
        <w:t xml:space="preserve"> </w:t>
      </w:r>
      <w:r w:rsidR="00AD6026" w:rsidRPr="008849C3">
        <w:rPr>
          <w:lang w:val="bg-BG"/>
        </w:rPr>
        <w:t>срещу жалбоподателя и предполагаемите му съучастници, прави следн</w:t>
      </w:r>
      <w:r w:rsidR="00623395">
        <w:rPr>
          <w:lang w:val="bg-BG"/>
        </w:rPr>
        <w:t>ото изявление</w:t>
      </w:r>
      <w:r w:rsidR="00AD6026" w:rsidRPr="008849C3">
        <w:rPr>
          <w:lang w:val="bg-BG"/>
        </w:rPr>
        <w:t>, ко</w:t>
      </w:r>
      <w:r w:rsidR="00623395">
        <w:rPr>
          <w:lang w:val="bg-BG"/>
        </w:rPr>
        <w:t>е</w:t>
      </w:r>
      <w:r w:rsidR="00AD6026" w:rsidRPr="008849C3">
        <w:rPr>
          <w:lang w:val="bg-BG"/>
        </w:rPr>
        <w:t xml:space="preserve">то </w:t>
      </w:r>
      <w:r w:rsidR="00623395">
        <w:rPr>
          <w:lang w:val="bg-BG"/>
        </w:rPr>
        <w:t>е</w:t>
      </w:r>
      <w:r w:rsidR="00623395" w:rsidRPr="008849C3">
        <w:rPr>
          <w:lang w:val="bg-BG"/>
        </w:rPr>
        <w:t xml:space="preserve"> </w:t>
      </w:r>
      <w:r w:rsidR="00AD6026" w:rsidRPr="008849C3">
        <w:rPr>
          <w:lang w:val="bg-BG"/>
        </w:rPr>
        <w:t>широко отразен</w:t>
      </w:r>
      <w:r w:rsidR="00623395">
        <w:rPr>
          <w:lang w:val="bg-BG"/>
        </w:rPr>
        <w:t>о</w:t>
      </w:r>
      <w:r w:rsidR="00AD6026" w:rsidRPr="008849C3">
        <w:rPr>
          <w:lang w:val="bg-BG"/>
        </w:rPr>
        <w:t xml:space="preserve"> от вестниците и </w:t>
      </w:r>
      <w:r w:rsidR="00623395">
        <w:rPr>
          <w:lang w:val="bg-BG"/>
        </w:rPr>
        <w:t>новинарски</w:t>
      </w:r>
      <w:r w:rsidR="00623395" w:rsidRPr="008849C3">
        <w:rPr>
          <w:lang w:val="bg-BG"/>
        </w:rPr>
        <w:t xml:space="preserve"> </w:t>
      </w:r>
      <w:r w:rsidR="00AD6026" w:rsidRPr="008849C3">
        <w:rPr>
          <w:lang w:val="bg-BG"/>
        </w:rPr>
        <w:t xml:space="preserve">сайтове: </w:t>
      </w:r>
    </w:p>
    <w:p w:rsidR="00A652FF" w:rsidRPr="008849C3" w:rsidRDefault="00AD6026" w:rsidP="006B0E9F">
      <w:pPr>
        <w:pStyle w:val="ECHRParaQuote"/>
        <w:rPr>
          <w:lang w:val="bg-BG"/>
        </w:rPr>
      </w:pPr>
      <w:r w:rsidRPr="008849C3">
        <w:rPr>
          <w:lang w:val="bg-BG"/>
        </w:rPr>
        <w:t>„</w:t>
      </w:r>
      <w:r w:rsidR="00623395" w:rsidRPr="00623395">
        <w:rPr>
          <w:lang w:val="bg-BG"/>
        </w:rPr>
        <w:t>Днес е Велики четвъртък по православния календар, един хубав ден преди Разпети петък. Днес ще разпънем трима: бивш министър, съдия и бивш главен секретар на Министерство на финансите</w:t>
      </w:r>
      <w:r w:rsidRPr="008849C3">
        <w:rPr>
          <w:lang w:val="bg-BG"/>
        </w:rPr>
        <w:t xml:space="preserve">.“ </w:t>
      </w:r>
    </w:p>
    <w:p w:rsidR="00CB557A" w:rsidRPr="008849C3" w:rsidRDefault="00CB557A"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27</w:t>
      </w:r>
      <w:r w:rsidRPr="008849C3">
        <w:rPr>
          <w:lang w:val="bg-BG"/>
        </w:rPr>
        <w:fldChar w:fldCharType="end"/>
      </w:r>
      <w:r w:rsidRPr="008849C3">
        <w:rPr>
          <w:lang w:val="bg-BG"/>
        </w:rPr>
        <w:t>.  </w:t>
      </w:r>
      <w:r w:rsidR="004E0492" w:rsidRPr="008849C3">
        <w:rPr>
          <w:lang w:val="bg-BG"/>
        </w:rPr>
        <w:t xml:space="preserve">На </w:t>
      </w:r>
      <w:r w:rsidR="00444FAE" w:rsidRPr="008849C3">
        <w:rPr>
          <w:lang w:val="bg-BG"/>
        </w:rPr>
        <w:t xml:space="preserve">2 </w:t>
      </w:r>
      <w:r w:rsidR="004E0492" w:rsidRPr="008849C3">
        <w:rPr>
          <w:lang w:val="bg-BG"/>
        </w:rPr>
        <w:t>април</w:t>
      </w:r>
      <w:r w:rsidR="00444FAE" w:rsidRPr="008849C3">
        <w:rPr>
          <w:lang w:val="bg-BG"/>
        </w:rPr>
        <w:t xml:space="preserve"> 2010</w:t>
      </w:r>
      <w:r w:rsidR="004E0492" w:rsidRPr="008849C3">
        <w:rPr>
          <w:lang w:val="bg-BG"/>
        </w:rPr>
        <w:t xml:space="preserve"> г.</w:t>
      </w:r>
      <w:r w:rsidR="00444FAE" w:rsidRPr="008849C3">
        <w:rPr>
          <w:lang w:val="bg-BG"/>
        </w:rPr>
        <w:t xml:space="preserve">, </w:t>
      </w:r>
      <w:r w:rsidR="004E0492" w:rsidRPr="008849C3">
        <w:rPr>
          <w:lang w:val="bg-BG"/>
        </w:rPr>
        <w:t>няколко всекидневника цитират следното из</w:t>
      </w:r>
      <w:r w:rsidR="007442C4">
        <w:rPr>
          <w:lang w:val="bg-BG"/>
        </w:rPr>
        <w:t>явление</w:t>
      </w:r>
      <w:r w:rsidR="004E0492" w:rsidRPr="008849C3">
        <w:rPr>
          <w:lang w:val="bg-BG"/>
        </w:rPr>
        <w:t xml:space="preserve">, направено предишната вечер от министъра на вътрешните работи: </w:t>
      </w:r>
      <w:r w:rsidR="00444FAE" w:rsidRPr="008849C3">
        <w:rPr>
          <w:lang w:val="bg-BG"/>
        </w:rPr>
        <w:t xml:space="preserve"> </w:t>
      </w:r>
    </w:p>
    <w:p w:rsidR="00D95B03" w:rsidRPr="008849C3" w:rsidRDefault="004E0492" w:rsidP="006B0E9F">
      <w:pPr>
        <w:pStyle w:val="ECHRParaQuote"/>
        <w:rPr>
          <w:lang w:val="bg-BG"/>
        </w:rPr>
      </w:pPr>
      <w:r w:rsidRPr="008849C3">
        <w:rPr>
          <w:lang w:val="bg-BG"/>
        </w:rPr>
        <w:t>„С днешните арести МВР демонстрира системен и последователен подход, в който трудно могат да се открият политически пристрастия.</w:t>
      </w:r>
      <w:r w:rsidR="00D95B03" w:rsidRPr="008849C3">
        <w:rPr>
          <w:lang w:val="bg-BG"/>
        </w:rPr>
        <w:t xml:space="preserve"> </w:t>
      </w:r>
      <w:r w:rsidRPr="008849C3">
        <w:rPr>
          <w:lang w:val="bg-BG"/>
        </w:rPr>
        <w:t>Очевидно става въпрос за вече изградена схема за решаване на съдебно дело в предварително определена посока. Парите, които е носил в себе си Тенчо Попов, е трябвало да стигнат до съдията, за да бъде решено делото на бившия министър Николай Цонев по удобен за него начин</w:t>
      </w:r>
      <w:r w:rsidR="00D95B03" w:rsidRPr="008849C3">
        <w:rPr>
          <w:lang w:val="bg-BG"/>
        </w:rPr>
        <w:t>.</w:t>
      </w:r>
      <w:r w:rsidRPr="008849C3">
        <w:rPr>
          <w:lang w:val="bg-BG"/>
        </w:rPr>
        <w:t>“</w:t>
      </w:r>
    </w:p>
    <w:p w:rsidR="006D6840" w:rsidRPr="008849C3" w:rsidRDefault="006D684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28</w:t>
      </w:r>
      <w:r w:rsidRPr="008849C3">
        <w:rPr>
          <w:lang w:val="bg-BG"/>
        </w:rPr>
        <w:fldChar w:fldCharType="end"/>
      </w:r>
      <w:r w:rsidRPr="008849C3">
        <w:rPr>
          <w:lang w:val="bg-BG"/>
        </w:rPr>
        <w:t>.  </w:t>
      </w:r>
      <w:r w:rsidR="004E0492" w:rsidRPr="008849C3">
        <w:rPr>
          <w:lang w:val="bg-BG"/>
        </w:rPr>
        <w:t>На</w:t>
      </w:r>
      <w:r w:rsidRPr="008849C3">
        <w:rPr>
          <w:lang w:val="bg-BG"/>
        </w:rPr>
        <w:t xml:space="preserve"> 5 </w:t>
      </w:r>
      <w:r w:rsidR="004E0492" w:rsidRPr="008849C3">
        <w:rPr>
          <w:lang w:val="bg-BG"/>
        </w:rPr>
        <w:t>април</w:t>
      </w:r>
      <w:r w:rsidRPr="008849C3">
        <w:rPr>
          <w:lang w:val="bg-BG"/>
        </w:rPr>
        <w:t xml:space="preserve"> 2010</w:t>
      </w:r>
      <w:r w:rsidR="004E0492" w:rsidRPr="008849C3">
        <w:rPr>
          <w:lang w:val="bg-BG"/>
        </w:rPr>
        <w:t xml:space="preserve"> г., всекидневникът </w:t>
      </w:r>
      <w:r w:rsidR="004E0492" w:rsidRPr="008849C3">
        <w:rPr>
          <w:i/>
          <w:lang w:val="bg-BG"/>
        </w:rPr>
        <w:t>Телеграф</w:t>
      </w:r>
      <w:r w:rsidRPr="008849C3">
        <w:rPr>
          <w:lang w:val="bg-BG"/>
        </w:rPr>
        <w:t xml:space="preserve"> </w:t>
      </w:r>
      <w:r w:rsidR="004E0492" w:rsidRPr="008849C3">
        <w:rPr>
          <w:lang w:val="bg-BG"/>
        </w:rPr>
        <w:t>публикува коментар на министър-председателя относно из</w:t>
      </w:r>
      <w:r w:rsidR="007442C4">
        <w:rPr>
          <w:lang w:val="bg-BG"/>
        </w:rPr>
        <w:t>явлението</w:t>
      </w:r>
      <w:r w:rsidR="004E0492" w:rsidRPr="008849C3">
        <w:rPr>
          <w:lang w:val="bg-BG"/>
        </w:rPr>
        <w:t xml:space="preserve">, направено от </w:t>
      </w:r>
      <w:r w:rsidR="00231337" w:rsidRPr="008849C3">
        <w:rPr>
          <w:lang w:val="bg-BG"/>
        </w:rPr>
        <w:t>прокурор</w:t>
      </w:r>
      <w:r w:rsidR="004E0492" w:rsidRPr="008849C3">
        <w:rPr>
          <w:lang w:val="bg-BG"/>
        </w:rPr>
        <w:t xml:space="preserve"> Р. В. по </w:t>
      </w:r>
      <w:r w:rsidR="00231337" w:rsidRPr="008849C3">
        <w:rPr>
          <w:lang w:val="bg-BG"/>
        </w:rPr>
        <w:t>време</w:t>
      </w:r>
      <w:r w:rsidR="004E0492" w:rsidRPr="008849C3">
        <w:rPr>
          <w:lang w:val="bg-BG"/>
        </w:rPr>
        <w:t xml:space="preserve"> на </w:t>
      </w:r>
      <w:r w:rsidR="007442C4">
        <w:rPr>
          <w:lang w:val="bg-BG"/>
        </w:rPr>
        <w:t>задържането</w:t>
      </w:r>
      <w:r w:rsidR="007442C4" w:rsidRPr="008849C3">
        <w:rPr>
          <w:lang w:val="bg-BG"/>
        </w:rPr>
        <w:t xml:space="preserve"> </w:t>
      </w:r>
      <w:r w:rsidR="004E0492" w:rsidRPr="008849C3">
        <w:rPr>
          <w:lang w:val="bg-BG"/>
        </w:rPr>
        <w:t xml:space="preserve">на бившия министър на </w:t>
      </w:r>
      <w:r w:rsidR="004E0492" w:rsidRPr="008849C3">
        <w:rPr>
          <w:lang w:val="bg-BG"/>
        </w:rPr>
        <w:lastRenderedPageBreak/>
        <w:t xml:space="preserve">отбраната, единият от </w:t>
      </w:r>
      <w:r w:rsidR="00231337" w:rsidRPr="008849C3">
        <w:rPr>
          <w:lang w:val="bg-BG"/>
        </w:rPr>
        <w:t xml:space="preserve">предполагаемите съучастници на жалбоподателя. </w:t>
      </w:r>
      <w:r w:rsidR="007442C4">
        <w:rPr>
          <w:lang w:val="bg-BG"/>
        </w:rPr>
        <w:t>Изявлението</w:t>
      </w:r>
      <w:r w:rsidR="007442C4" w:rsidRPr="008849C3">
        <w:rPr>
          <w:lang w:val="bg-BG"/>
        </w:rPr>
        <w:t xml:space="preserve"> </w:t>
      </w:r>
      <w:r w:rsidR="00231337" w:rsidRPr="008849C3">
        <w:rPr>
          <w:lang w:val="bg-BG"/>
        </w:rPr>
        <w:t xml:space="preserve">е следният: </w:t>
      </w:r>
      <w:r w:rsidR="00174CAD" w:rsidRPr="008849C3">
        <w:rPr>
          <w:lang w:val="bg-BG"/>
        </w:rPr>
        <w:t xml:space="preserve"> </w:t>
      </w:r>
    </w:p>
    <w:p w:rsidR="005A2FC9" w:rsidRPr="008849C3" w:rsidRDefault="00231337" w:rsidP="006B0E9F">
      <w:pPr>
        <w:pStyle w:val="ECHRParaQuote"/>
        <w:rPr>
          <w:lang w:val="bg-BG"/>
        </w:rPr>
      </w:pPr>
      <w:r w:rsidRPr="008849C3">
        <w:rPr>
          <w:lang w:val="bg-BG"/>
        </w:rPr>
        <w:t>„</w:t>
      </w:r>
      <w:r w:rsidR="008925FD" w:rsidRPr="008849C3">
        <w:rPr>
          <w:lang w:val="bg-BG"/>
        </w:rPr>
        <w:t>Прокурорът Р. В. не бива да говори такива неща, защото той е господар на всичко, което се случва - от ареста до искането на мярка. Нека не бъдем толкова състрадателни към хора, които са нанесли огромни щети на държавата</w:t>
      </w:r>
      <w:r w:rsidR="00F766EC" w:rsidRPr="008849C3">
        <w:rPr>
          <w:lang w:val="bg-BG"/>
        </w:rPr>
        <w:t>.</w:t>
      </w:r>
      <w:r w:rsidR="008925FD" w:rsidRPr="008849C3">
        <w:rPr>
          <w:lang w:val="bg-BG"/>
        </w:rPr>
        <w:t>“</w:t>
      </w:r>
    </w:p>
    <w:p w:rsidR="006D6840" w:rsidRPr="008849C3" w:rsidRDefault="00ED5166"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29</w:t>
      </w:r>
      <w:r w:rsidRPr="008849C3">
        <w:rPr>
          <w:lang w:val="bg-BG"/>
        </w:rPr>
        <w:fldChar w:fldCharType="end"/>
      </w:r>
      <w:r w:rsidRPr="008849C3">
        <w:rPr>
          <w:lang w:val="bg-BG"/>
        </w:rPr>
        <w:t>.  </w:t>
      </w:r>
      <w:r w:rsidR="008925FD" w:rsidRPr="008849C3">
        <w:rPr>
          <w:lang w:val="bg-BG"/>
        </w:rPr>
        <w:t>На</w:t>
      </w:r>
      <w:r w:rsidR="00590276" w:rsidRPr="008849C3">
        <w:rPr>
          <w:lang w:val="bg-BG"/>
        </w:rPr>
        <w:t xml:space="preserve"> 19 </w:t>
      </w:r>
      <w:r w:rsidR="008925FD" w:rsidRPr="008849C3">
        <w:rPr>
          <w:lang w:val="bg-BG"/>
        </w:rPr>
        <w:t>май</w:t>
      </w:r>
      <w:r w:rsidR="00590276" w:rsidRPr="008849C3">
        <w:rPr>
          <w:lang w:val="bg-BG"/>
        </w:rPr>
        <w:t xml:space="preserve"> 2011</w:t>
      </w:r>
      <w:r w:rsidR="008925FD" w:rsidRPr="008849C3">
        <w:rPr>
          <w:lang w:val="bg-BG"/>
        </w:rPr>
        <w:t xml:space="preserve"> г.</w:t>
      </w:r>
      <w:r w:rsidR="00590276" w:rsidRPr="008849C3">
        <w:rPr>
          <w:lang w:val="bg-BG"/>
        </w:rPr>
        <w:t xml:space="preserve">, </w:t>
      </w:r>
      <w:r w:rsidR="007442C4">
        <w:rPr>
          <w:lang w:val="bg-BG"/>
        </w:rPr>
        <w:t>новинарския</w:t>
      </w:r>
      <w:r w:rsidR="007442C4" w:rsidRPr="008849C3">
        <w:rPr>
          <w:lang w:val="bg-BG"/>
        </w:rPr>
        <w:t xml:space="preserve"> </w:t>
      </w:r>
      <w:r w:rsidR="008925FD" w:rsidRPr="008849C3">
        <w:rPr>
          <w:lang w:val="bg-BG"/>
        </w:rPr>
        <w:t xml:space="preserve">сайт </w:t>
      </w:r>
      <w:r w:rsidR="00590276" w:rsidRPr="008849C3">
        <w:rPr>
          <w:lang w:val="bg-BG"/>
        </w:rPr>
        <w:t xml:space="preserve">www.mediapool.bg </w:t>
      </w:r>
      <w:r w:rsidR="00197400" w:rsidRPr="008849C3">
        <w:rPr>
          <w:lang w:val="bg-BG"/>
        </w:rPr>
        <w:t>публикува статия, посветена на заключенията на инспектората на МВР, който обвинява полиц</w:t>
      </w:r>
      <w:r w:rsidR="007442C4">
        <w:rPr>
          <w:lang w:val="bg-BG"/>
        </w:rPr>
        <w:t>ейските служители</w:t>
      </w:r>
      <w:r w:rsidR="00197400" w:rsidRPr="008849C3">
        <w:rPr>
          <w:lang w:val="bg-BG"/>
        </w:rPr>
        <w:t xml:space="preserve">, извършили </w:t>
      </w:r>
      <w:r w:rsidR="007442C4">
        <w:rPr>
          <w:lang w:val="bg-BG"/>
        </w:rPr>
        <w:t>задържането</w:t>
      </w:r>
      <w:r w:rsidR="007442C4" w:rsidRPr="008849C3">
        <w:rPr>
          <w:lang w:val="bg-BG"/>
        </w:rPr>
        <w:t xml:space="preserve"> </w:t>
      </w:r>
      <w:r w:rsidR="00197400" w:rsidRPr="008849C3">
        <w:rPr>
          <w:lang w:val="bg-BG"/>
        </w:rPr>
        <w:t xml:space="preserve">на жалбоподателя. Частта от статията, относима към случая, гласи следното: </w:t>
      </w:r>
    </w:p>
    <w:p w:rsidR="00590276" w:rsidRPr="00B501BB" w:rsidRDefault="00197400" w:rsidP="006B0E9F">
      <w:pPr>
        <w:pStyle w:val="ECHRParaQuote"/>
        <w:rPr>
          <w:lang w:val="bg-BG"/>
        </w:rPr>
      </w:pPr>
      <w:r w:rsidRPr="008849C3">
        <w:rPr>
          <w:lang w:val="bg-BG"/>
        </w:rPr>
        <w:t>„</w:t>
      </w:r>
      <w:r w:rsidR="00590276" w:rsidRPr="008849C3">
        <w:rPr>
          <w:lang w:val="bg-BG"/>
        </w:rPr>
        <w:t>[</w:t>
      </w:r>
      <w:r w:rsidRPr="008849C3">
        <w:rPr>
          <w:lang w:val="bg-BG"/>
        </w:rPr>
        <w:t>Министърът на вътрешните работи</w:t>
      </w:r>
      <w:r w:rsidR="00590276" w:rsidRPr="008849C3">
        <w:rPr>
          <w:lang w:val="bg-BG"/>
        </w:rPr>
        <w:t xml:space="preserve">] </w:t>
      </w:r>
      <w:r w:rsidRPr="008849C3">
        <w:rPr>
          <w:lang w:val="bg-BG"/>
        </w:rPr>
        <w:t>Ц</w:t>
      </w:r>
      <w:r w:rsidR="00590276" w:rsidRPr="008849C3">
        <w:rPr>
          <w:lang w:val="bg-BG"/>
        </w:rPr>
        <w:t>.</w:t>
      </w:r>
      <w:r w:rsidRPr="008849C3">
        <w:rPr>
          <w:lang w:val="bg-BG"/>
        </w:rPr>
        <w:t>Ц</w:t>
      </w:r>
      <w:r w:rsidR="00590276" w:rsidRPr="008849C3">
        <w:rPr>
          <w:lang w:val="bg-BG"/>
        </w:rPr>
        <w:t xml:space="preserve">. </w:t>
      </w:r>
      <w:r w:rsidRPr="008849C3">
        <w:rPr>
          <w:lang w:val="bg-BG"/>
        </w:rPr>
        <w:t xml:space="preserve">каза, че </w:t>
      </w:r>
      <w:r w:rsidR="00590276" w:rsidRPr="008849C3">
        <w:rPr>
          <w:lang w:val="bg-BG"/>
        </w:rPr>
        <w:t>[</w:t>
      </w:r>
      <w:r w:rsidR="009755B4" w:rsidRPr="008849C3">
        <w:rPr>
          <w:lang w:val="bg-BG"/>
        </w:rPr>
        <w:t xml:space="preserve">в </w:t>
      </w:r>
      <w:r w:rsidRPr="008849C3">
        <w:rPr>
          <w:lang w:val="bg-BG"/>
        </w:rPr>
        <w:t>министерството</w:t>
      </w:r>
      <w:r w:rsidR="00590276" w:rsidRPr="008849C3">
        <w:rPr>
          <w:lang w:val="bg-BG"/>
        </w:rPr>
        <w:t xml:space="preserve">] </w:t>
      </w:r>
      <w:r w:rsidRPr="008849C3">
        <w:rPr>
          <w:lang w:val="bg-BG"/>
        </w:rPr>
        <w:t xml:space="preserve">все още не са получили пълния запис от камерата в офиса на Тенчо Попов </w:t>
      </w:r>
      <w:r w:rsidR="00C94E77" w:rsidRPr="008849C3">
        <w:rPr>
          <w:lang w:val="bg-BG"/>
        </w:rPr>
        <w:t>[</w:t>
      </w:r>
      <w:r w:rsidR="00F25CCF" w:rsidRPr="008849C3">
        <w:rPr>
          <w:lang w:val="bg-BG"/>
        </w:rPr>
        <w:t>конкретно страната</w:t>
      </w:r>
      <w:r w:rsidR="00C94E77" w:rsidRPr="008849C3">
        <w:rPr>
          <w:lang w:val="bg-BG"/>
        </w:rPr>
        <w:t>]</w:t>
      </w:r>
      <w:r w:rsidR="00F25CCF" w:rsidRPr="008849C3">
        <w:rPr>
          <w:lang w:val="bg-BG"/>
        </w:rPr>
        <w:t xml:space="preserve">, в който се е виждал и моментът на предаването на подкуп. След което разконспирира поведението на адвокатите на Попов и ги разкритикува: „Тук може би защитата е целяла само едно – да изчака заседанието, за да го използва [видеозаписа] като защитна теза за подкупа, който е даден от Тенчо Попов, но не и затова действително да не създадем условия за допускането на подобни прояви на служители на министерството </w:t>
      </w:r>
      <w:r w:rsidR="00590276" w:rsidRPr="008849C3">
        <w:rPr>
          <w:lang w:val="bg-BG"/>
        </w:rPr>
        <w:t>(...)</w:t>
      </w:r>
      <w:r w:rsidR="00F25CCF" w:rsidRPr="008849C3">
        <w:rPr>
          <w:lang w:val="bg-BG"/>
        </w:rPr>
        <w:t>“ По този начин той обяви</w:t>
      </w:r>
      <w:r w:rsidR="00476A2D" w:rsidRPr="008849C3">
        <w:rPr>
          <w:lang w:val="bg-BG"/>
        </w:rPr>
        <w:t xml:space="preserve"> </w:t>
      </w:r>
      <w:r w:rsidR="00F25CCF" w:rsidRPr="008849C3">
        <w:rPr>
          <w:lang w:val="bg-BG"/>
        </w:rPr>
        <w:t>(...)</w:t>
      </w:r>
      <w:r w:rsidR="00590276" w:rsidRPr="008849C3">
        <w:rPr>
          <w:lang w:val="bg-BG"/>
        </w:rPr>
        <w:t xml:space="preserve"> </w:t>
      </w:r>
      <w:r w:rsidR="00F25CCF" w:rsidRPr="008849C3">
        <w:rPr>
          <w:lang w:val="bg-BG"/>
        </w:rPr>
        <w:t xml:space="preserve">Попов за виновен за </w:t>
      </w:r>
      <w:r w:rsidR="00F25CCF" w:rsidRPr="00B501BB">
        <w:rPr>
          <w:lang w:val="bg-BG"/>
        </w:rPr>
        <w:t xml:space="preserve">подкуп. </w:t>
      </w:r>
      <w:r w:rsidR="00590276" w:rsidRPr="00B501BB">
        <w:rPr>
          <w:lang w:val="bg-BG"/>
        </w:rPr>
        <w:t>(...)</w:t>
      </w:r>
      <w:r w:rsidR="00F25CCF" w:rsidRPr="00B501BB">
        <w:rPr>
          <w:lang w:val="bg-BG"/>
        </w:rPr>
        <w:t>“ </w:t>
      </w:r>
    </w:p>
    <w:p w:rsidR="0039680C" w:rsidRPr="008849C3" w:rsidRDefault="001B5F59" w:rsidP="006B0E9F">
      <w:pPr>
        <w:pStyle w:val="ECHRHeading2"/>
        <w:rPr>
          <w:lang w:val="bg-BG"/>
        </w:rPr>
      </w:pPr>
      <w:r w:rsidRPr="00B501BB">
        <w:rPr>
          <w:lang w:val="bg-BG"/>
        </w:rPr>
        <w:t>Г</w:t>
      </w:r>
      <w:r w:rsidR="0039680C" w:rsidRPr="00B501BB">
        <w:rPr>
          <w:lang w:val="bg-BG"/>
        </w:rPr>
        <w:t>.  </w:t>
      </w:r>
      <w:r w:rsidR="00BA6799" w:rsidRPr="00B501BB">
        <w:rPr>
          <w:lang w:val="bg-BG"/>
        </w:rPr>
        <w:t>Разследването, водено за действията на полиц</w:t>
      </w:r>
      <w:r w:rsidR="00542402" w:rsidRPr="00B501BB">
        <w:rPr>
          <w:lang w:val="bg-BG"/>
        </w:rPr>
        <w:t>ейските служители</w:t>
      </w:r>
      <w:r w:rsidR="00BA6799" w:rsidRPr="008849C3">
        <w:rPr>
          <w:lang w:val="bg-BG"/>
        </w:rPr>
        <w:t xml:space="preserve"> </w:t>
      </w:r>
      <w:r w:rsidR="0039680C" w:rsidRPr="008849C3">
        <w:rPr>
          <w:lang w:val="bg-BG"/>
        </w:rPr>
        <w:t xml:space="preserve"> </w:t>
      </w:r>
    </w:p>
    <w:p w:rsidR="00A76D7B" w:rsidRPr="008849C3" w:rsidRDefault="0039680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30</w:t>
      </w:r>
      <w:r w:rsidRPr="008849C3">
        <w:rPr>
          <w:lang w:val="bg-BG"/>
        </w:rPr>
        <w:fldChar w:fldCharType="end"/>
      </w:r>
      <w:r w:rsidRPr="008849C3">
        <w:rPr>
          <w:lang w:val="bg-BG"/>
        </w:rPr>
        <w:t>.  </w:t>
      </w:r>
      <w:r w:rsidR="00542402">
        <w:rPr>
          <w:lang w:val="bg-BG"/>
        </w:rPr>
        <w:t>В</w:t>
      </w:r>
      <w:r w:rsidR="00542402" w:rsidRPr="008849C3">
        <w:rPr>
          <w:lang w:val="bg-BG"/>
        </w:rPr>
        <w:t xml:space="preserve"> </w:t>
      </w:r>
      <w:r w:rsidR="00BA6799" w:rsidRPr="008849C3">
        <w:rPr>
          <w:lang w:val="bg-BG"/>
        </w:rPr>
        <w:t xml:space="preserve">заседанието от 27 април </w:t>
      </w:r>
      <w:r w:rsidR="00A76D7B" w:rsidRPr="008849C3">
        <w:rPr>
          <w:lang w:val="bg-BG"/>
        </w:rPr>
        <w:t>2011</w:t>
      </w:r>
      <w:r w:rsidR="00BA6799" w:rsidRPr="008849C3">
        <w:rPr>
          <w:lang w:val="bg-BG"/>
        </w:rPr>
        <w:t xml:space="preserve"> г. на Софийски градски съд пред страните по делото са </w:t>
      </w:r>
      <w:r w:rsidR="009755B4" w:rsidRPr="008849C3">
        <w:rPr>
          <w:lang w:val="bg-BG"/>
        </w:rPr>
        <w:t>прожектирани</w:t>
      </w:r>
      <w:r w:rsidR="00291B31" w:rsidRPr="008849C3">
        <w:rPr>
          <w:lang w:val="bg-BG"/>
        </w:rPr>
        <w:t xml:space="preserve"> два видеозаписа от </w:t>
      </w:r>
      <w:r w:rsidR="00542402">
        <w:rPr>
          <w:lang w:val="bg-BG"/>
        </w:rPr>
        <w:t>задържането</w:t>
      </w:r>
      <w:r w:rsidR="00542402" w:rsidRPr="008849C3">
        <w:rPr>
          <w:lang w:val="bg-BG"/>
        </w:rPr>
        <w:t xml:space="preserve"> </w:t>
      </w:r>
      <w:r w:rsidR="00291B31" w:rsidRPr="008849C3">
        <w:rPr>
          <w:lang w:val="bg-BG"/>
        </w:rPr>
        <w:t xml:space="preserve">на жалбоподателя. </w:t>
      </w:r>
      <w:r w:rsidR="00C0709F" w:rsidRPr="008849C3">
        <w:rPr>
          <w:lang w:val="bg-BG"/>
        </w:rPr>
        <w:t>След</w:t>
      </w:r>
      <w:r w:rsidR="00291B31" w:rsidRPr="008849C3">
        <w:rPr>
          <w:lang w:val="bg-BG"/>
        </w:rPr>
        <w:t xml:space="preserve"> прожекция</w:t>
      </w:r>
      <w:r w:rsidR="00542402">
        <w:rPr>
          <w:lang w:val="bg-BG"/>
        </w:rPr>
        <w:t>та</w:t>
      </w:r>
      <w:r w:rsidR="00C0709F" w:rsidRPr="008849C3">
        <w:rPr>
          <w:lang w:val="bg-BG"/>
        </w:rPr>
        <w:t>,</w:t>
      </w:r>
      <w:r w:rsidR="00291B31" w:rsidRPr="008849C3">
        <w:rPr>
          <w:lang w:val="bg-BG"/>
        </w:rPr>
        <w:t xml:space="preserve"> на 4 май 2011 г.</w:t>
      </w:r>
      <w:r w:rsidR="00C0709F" w:rsidRPr="008849C3">
        <w:rPr>
          <w:lang w:val="bg-BG"/>
        </w:rPr>
        <w:t>,</w:t>
      </w:r>
      <w:r w:rsidR="00291B31" w:rsidRPr="008849C3">
        <w:rPr>
          <w:lang w:val="bg-BG"/>
        </w:rPr>
        <w:t xml:space="preserve"> заместник градският прокурор на София</w:t>
      </w:r>
      <w:r w:rsidR="00C0709F" w:rsidRPr="008849C3">
        <w:rPr>
          <w:lang w:val="bg-BG"/>
        </w:rPr>
        <w:t xml:space="preserve"> </w:t>
      </w:r>
      <w:r w:rsidR="00542402">
        <w:rPr>
          <w:lang w:val="bg-BG"/>
        </w:rPr>
        <w:t>разпорежда изпращането им</w:t>
      </w:r>
      <w:r w:rsidR="00C0709F" w:rsidRPr="008849C3">
        <w:rPr>
          <w:lang w:val="bg-BG"/>
        </w:rPr>
        <w:t xml:space="preserve"> на Софийска районна прокуратура </w:t>
      </w:r>
      <w:r w:rsidR="0064358A" w:rsidRPr="008849C3">
        <w:rPr>
          <w:lang w:val="bg-BG"/>
        </w:rPr>
        <w:t xml:space="preserve">с </w:t>
      </w:r>
      <w:r w:rsidR="00542402">
        <w:rPr>
          <w:lang w:val="bg-BG"/>
        </w:rPr>
        <w:t>указания</w:t>
      </w:r>
      <w:r w:rsidR="00542402" w:rsidRPr="008849C3">
        <w:rPr>
          <w:lang w:val="bg-BG"/>
        </w:rPr>
        <w:t xml:space="preserve"> </w:t>
      </w:r>
      <w:r w:rsidR="0064358A" w:rsidRPr="008849C3">
        <w:rPr>
          <w:lang w:val="bg-BG"/>
        </w:rPr>
        <w:t>същата да предприеме нужните мерки</w:t>
      </w:r>
      <w:r w:rsidR="00E460D0" w:rsidRPr="008849C3">
        <w:rPr>
          <w:lang w:val="bg-BG"/>
        </w:rPr>
        <w:t xml:space="preserve">, за да провери дали </w:t>
      </w:r>
      <w:r w:rsidR="009755B4" w:rsidRPr="008849C3">
        <w:rPr>
          <w:lang w:val="bg-BG"/>
        </w:rPr>
        <w:t>прибягването до</w:t>
      </w:r>
      <w:r w:rsidR="00E460D0" w:rsidRPr="008849C3">
        <w:rPr>
          <w:lang w:val="bg-BG"/>
        </w:rPr>
        <w:t xml:space="preserve"> физическа сила от полиц</w:t>
      </w:r>
      <w:r w:rsidR="00542402">
        <w:rPr>
          <w:lang w:val="bg-BG"/>
        </w:rPr>
        <w:t>ейските служители</w:t>
      </w:r>
      <w:r w:rsidR="00E460D0" w:rsidRPr="008849C3">
        <w:rPr>
          <w:lang w:val="bg-BG"/>
        </w:rPr>
        <w:t xml:space="preserve"> </w:t>
      </w:r>
      <w:r w:rsidR="00863229">
        <w:rPr>
          <w:lang w:val="bg-BG"/>
        </w:rPr>
        <w:t>има основание за</w:t>
      </w:r>
      <w:r w:rsidR="00863229" w:rsidRPr="008849C3">
        <w:rPr>
          <w:lang w:val="bg-BG"/>
        </w:rPr>
        <w:t xml:space="preserve"> </w:t>
      </w:r>
      <w:r w:rsidR="009755B4" w:rsidRPr="008849C3">
        <w:rPr>
          <w:lang w:val="bg-BG"/>
        </w:rPr>
        <w:t>престъпление</w:t>
      </w:r>
      <w:r w:rsidR="00A76D7B" w:rsidRPr="008849C3">
        <w:rPr>
          <w:lang w:val="bg-BG"/>
        </w:rPr>
        <w:t>.</w:t>
      </w:r>
    </w:p>
    <w:p w:rsidR="0039680C" w:rsidRPr="008849C3" w:rsidRDefault="00A76D7B"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31</w:t>
      </w:r>
      <w:r w:rsidRPr="008849C3">
        <w:rPr>
          <w:lang w:val="bg-BG"/>
        </w:rPr>
        <w:fldChar w:fldCharType="end"/>
      </w:r>
      <w:r w:rsidRPr="008849C3">
        <w:rPr>
          <w:lang w:val="bg-BG"/>
        </w:rPr>
        <w:t>.  </w:t>
      </w:r>
      <w:r w:rsidR="009755B4" w:rsidRPr="008849C3">
        <w:rPr>
          <w:lang w:val="bg-BG"/>
        </w:rPr>
        <w:t>На</w:t>
      </w:r>
      <w:r w:rsidR="000E3AE2" w:rsidRPr="008849C3">
        <w:rPr>
          <w:lang w:val="bg-BG"/>
        </w:rPr>
        <w:t xml:space="preserve"> 9 </w:t>
      </w:r>
      <w:r w:rsidR="009755B4" w:rsidRPr="008849C3">
        <w:rPr>
          <w:lang w:val="bg-BG"/>
        </w:rPr>
        <w:t>май</w:t>
      </w:r>
      <w:r w:rsidR="000E3AE2" w:rsidRPr="008849C3">
        <w:rPr>
          <w:lang w:val="bg-BG"/>
        </w:rPr>
        <w:t xml:space="preserve"> 2011</w:t>
      </w:r>
      <w:r w:rsidR="009755B4" w:rsidRPr="008849C3">
        <w:rPr>
          <w:lang w:val="bg-BG"/>
        </w:rPr>
        <w:t xml:space="preserve"> г.</w:t>
      </w:r>
      <w:r w:rsidR="0046668C" w:rsidRPr="008849C3">
        <w:rPr>
          <w:lang w:val="bg-BG"/>
        </w:rPr>
        <w:t xml:space="preserve"> </w:t>
      </w:r>
      <w:r w:rsidR="009755B4" w:rsidRPr="008849C3">
        <w:rPr>
          <w:lang w:val="bg-BG"/>
        </w:rPr>
        <w:t xml:space="preserve">Софийска районна прокуратура </w:t>
      </w:r>
      <w:r w:rsidR="00863229">
        <w:rPr>
          <w:lang w:val="bg-BG"/>
        </w:rPr>
        <w:t xml:space="preserve">образува досъдебно производство във връзка със </w:t>
      </w:r>
      <w:r w:rsidR="009755B4" w:rsidRPr="008849C3">
        <w:rPr>
          <w:lang w:val="bg-BG"/>
        </w:rPr>
        <w:t xml:space="preserve">събитията около </w:t>
      </w:r>
      <w:r w:rsidR="00863229">
        <w:rPr>
          <w:lang w:val="bg-BG"/>
        </w:rPr>
        <w:t>задържането</w:t>
      </w:r>
      <w:r w:rsidR="00863229" w:rsidRPr="008849C3">
        <w:rPr>
          <w:lang w:val="bg-BG"/>
        </w:rPr>
        <w:t xml:space="preserve"> </w:t>
      </w:r>
      <w:r w:rsidR="009755B4" w:rsidRPr="008849C3">
        <w:rPr>
          <w:lang w:val="bg-BG"/>
        </w:rPr>
        <w:t xml:space="preserve">на жалбоподателя. </w:t>
      </w:r>
    </w:p>
    <w:p w:rsidR="00043309" w:rsidRPr="008849C3" w:rsidRDefault="0022211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32</w:t>
      </w:r>
      <w:r w:rsidRPr="008849C3">
        <w:rPr>
          <w:lang w:val="bg-BG"/>
        </w:rPr>
        <w:fldChar w:fldCharType="end"/>
      </w:r>
      <w:r w:rsidRPr="008849C3">
        <w:rPr>
          <w:lang w:val="bg-BG"/>
        </w:rPr>
        <w:t>.  </w:t>
      </w:r>
      <w:r w:rsidR="00E21FCC" w:rsidRPr="008849C3">
        <w:rPr>
          <w:lang w:val="bg-BG"/>
        </w:rPr>
        <w:t xml:space="preserve">С </w:t>
      </w:r>
      <w:r w:rsidR="00A93353" w:rsidRPr="008849C3">
        <w:rPr>
          <w:lang w:val="bg-BG"/>
        </w:rPr>
        <w:t>постановление</w:t>
      </w:r>
      <w:r w:rsidR="00E21FCC" w:rsidRPr="008849C3">
        <w:rPr>
          <w:lang w:val="bg-BG"/>
        </w:rPr>
        <w:t xml:space="preserve"> от 6 юли 2011 г.</w:t>
      </w:r>
      <w:r w:rsidRPr="008849C3">
        <w:rPr>
          <w:lang w:val="bg-BG"/>
        </w:rPr>
        <w:t xml:space="preserve"> </w:t>
      </w:r>
      <w:r w:rsidR="00E21FCC" w:rsidRPr="008849C3">
        <w:rPr>
          <w:lang w:val="bg-BG"/>
        </w:rPr>
        <w:t xml:space="preserve">Софийска районна прокуратура отказва да </w:t>
      </w:r>
      <w:r w:rsidR="00863229">
        <w:rPr>
          <w:lang w:val="bg-BG"/>
        </w:rPr>
        <w:t>повдигне</w:t>
      </w:r>
      <w:r w:rsidR="00863229" w:rsidRPr="008849C3">
        <w:rPr>
          <w:lang w:val="bg-BG"/>
        </w:rPr>
        <w:t xml:space="preserve"> </w:t>
      </w:r>
      <w:r w:rsidR="00E21FCC" w:rsidRPr="008849C3">
        <w:rPr>
          <w:lang w:val="bg-BG"/>
        </w:rPr>
        <w:t xml:space="preserve">наказателно </w:t>
      </w:r>
      <w:r w:rsidR="00863229">
        <w:rPr>
          <w:lang w:val="bg-BG"/>
        </w:rPr>
        <w:t>производство</w:t>
      </w:r>
      <w:r w:rsidR="00863229" w:rsidRPr="008849C3">
        <w:rPr>
          <w:lang w:val="bg-BG"/>
        </w:rPr>
        <w:t xml:space="preserve"> </w:t>
      </w:r>
      <w:r w:rsidR="00E21FCC" w:rsidRPr="008849C3">
        <w:rPr>
          <w:lang w:val="bg-BG"/>
        </w:rPr>
        <w:t>срещу полиц</w:t>
      </w:r>
      <w:r w:rsidR="00863229">
        <w:rPr>
          <w:lang w:val="bg-BG"/>
        </w:rPr>
        <w:t>ейските служите</w:t>
      </w:r>
      <w:r w:rsidR="00E21FCC" w:rsidRPr="008849C3">
        <w:rPr>
          <w:lang w:val="bg-BG"/>
        </w:rPr>
        <w:t xml:space="preserve">, </w:t>
      </w:r>
      <w:r w:rsidR="00A93353" w:rsidRPr="008849C3">
        <w:rPr>
          <w:lang w:val="bg-BG"/>
        </w:rPr>
        <w:t xml:space="preserve">арестували първия жалбоподател. </w:t>
      </w:r>
      <w:r w:rsidR="00863229">
        <w:rPr>
          <w:lang w:val="bg-BG"/>
        </w:rPr>
        <w:t>Позовавайки се</w:t>
      </w:r>
      <w:r w:rsidR="00A93353" w:rsidRPr="008849C3">
        <w:rPr>
          <w:lang w:val="bg-BG"/>
        </w:rPr>
        <w:t xml:space="preserve"> на всички събрани доказателства, по-конкретно показанията на </w:t>
      </w:r>
      <w:r w:rsidR="00863229">
        <w:rPr>
          <w:lang w:val="bg-BG"/>
        </w:rPr>
        <w:t xml:space="preserve">разследваните </w:t>
      </w:r>
      <w:r w:rsidR="00A93353" w:rsidRPr="008849C3">
        <w:rPr>
          <w:lang w:val="bg-BG"/>
        </w:rPr>
        <w:t>полиц</w:t>
      </w:r>
      <w:r w:rsidR="00863229">
        <w:rPr>
          <w:lang w:val="bg-BG"/>
        </w:rPr>
        <w:t>ейски служители</w:t>
      </w:r>
      <w:r w:rsidR="00A93353" w:rsidRPr="008849C3">
        <w:rPr>
          <w:lang w:val="bg-BG"/>
        </w:rPr>
        <w:t xml:space="preserve">, жалбоподателя и </w:t>
      </w:r>
      <w:r w:rsidR="00863229">
        <w:rPr>
          <w:lang w:val="bg-BG"/>
        </w:rPr>
        <w:t>служителката</w:t>
      </w:r>
      <w:r w:rsidR="00A93353" w:rsidRPr="008849C3">
        <w:rPr>
          <w:lang w:val="bg-BG"/>
        </w:rPr>
        <w:t xml:space="preserve"> Е. С., двата записа от </w:t>
      </w:r>
      <w:r w:rsidR="00863229">
        <w:rPr>
          <w:lang w:val="bg-BG"/>
        </w:rPr>
        <w:t>задържането</w:t>
      </w:r>
      <w:r w:rsidR="00863229" w:rsidRPr="008849C3">
        <w:rPr>
          <w:lang w:val="bg-BG"/>
        </w:rPr>
        <w:t xml:space="preserve"> </w:t>
      </w:r>
      <w:r w:rsidR="00A93353" w:rsidRPr="008849C3">
        <w:rPr>
          <w:lang w:val="bg-BG"/>
        </w:rPr>
        <w:t xml:space="preserve">и документалните доказателства, </w:t>
      </w:r>
      <w:r w:rsidR="00ED2456" w:rsidRPr="008849C3">
        <w:rPr>
          <w:lang w:val="bg-BG"/>
        </w:rPr>
        <w:t>събрани от инспектората на МВР, районният прокурор заключава, че няма достатъчно доказателства, сочещи</w:t>
      </w:r>
      <w:r w:rsidR="005B709A" w:rsidRPr="008849C3">
        <w:rPr>
          <w:lang w:val="bg-BG"/>
        </w:rPr>
        <w:t>,</w:t>
      </w:r>
      <w:r w:rsidR="00ED2456" w:rsidRPr="008849C3">
        <w:rPr>
          <w:lang w:val="bg-BG"/>
        </w:rPr>
        <w:t xml:space="preserve"> че в конкретния случай е извършено престъпление. По-конкретно, Прокуратурата </w:t>
      </w:r>
      <w:r w:rsidR="004F2C3F">
        <w:rPr>
          <w:lang w:val="bg-BG"/>
        </w:rPr>
        <w:t>приема</w:t>
      </w:r>
      <w:r w:rsidR="005B709A" w:rsidRPr="008849C3">
        <w:rPr>
          <w:lang w:val="bg-BG"/>
        </w:rPr>
        <w:t>, че полиц</w:t>
      </w:r>
      <w:r w:rsidR="00863229">
        <w:rPr>
          <w:lang w:val="bg-BG"/>
        </w:rPr>
        <w:t>ейския служител</w:t>
      </w:r>
      <w:r w:rsidR="005B709A" w:rsidRPr="008849C3">
        <w:rPr>
          <w:lang w:val="bg-BG"/>
        </w:rPr>
        <w:t xml:space="preserve"> В. С., който</w:t>
      </w:r>
      <w:r w:rsidR="00ED2456" w:rsidRPr="008849C3">
        <w:rPr>
          <w:lang w:val="bg-BG"/>
        </w:rPr>
        <w:t xml:space="preserve"> </w:t>
      </w:r>
      <w:r w:rsidR="00DF7C4F" w:rsidRPr="008849C3">
        <w:rPr>
          <w:lang w:val="bg-BG"/>
        </w:rPr>
        <w:t xml:space="preserve">при обездвижването на жалбоподателя му е причинил хематом и </w:t>
      </w:r>
      <w:r w:rsidR="00863229">
        <w:rPr>
          <w:lang w:val="bg-BG"/>
        </w:rPr>
        <w:t>рана</w:t>
      </w:r>
      <w:r w:rsidR="00863229" w:rsidRPr="008849C3">
        <w:rPr>
          <w:lang w:val="bg-BG"/>
        </w:rPr>
        <w:t xml:space="preserve"> </w:t>
      </w:r>
      <w:r w:rsidR="00DF7C4F" w:rsidRPr="008849C3">
        <w:rPr>
          <w:lang w:val="bg-BG"/>
        </w:rPr>
        <w:t xml:space="preserve">на челото, е действал </w:t>
      </w:r>
      <w:r w:rsidR="004F2C3F">
        <w:rPr>
          <w:lang w:val="bg-BG"/>
        </w:rPr>
        <w:t>в рамките на неизбежна отбрана</w:t>
      </w:r>
      <w:r w:rsidR="00DF7C4F" w:rsidRPr="008849C3">
        <w:rPr>
          <w:lang w:val="bg-BG"/>
        </w:rPr>
        <w:t xml:space="preserve">, </w:t>
      </w:r>
      <w:r w:rsidR="004F2C3F">
        <w:rPr>
          <w:lang w:val="bg-BG"/>
        </w:rPr>
        <w:t>тъй като</w:t>
      </w:r>
      <w:r w:rsidR="00DF7C4F" w:rsidRPr="008849C3">
        <w:rPr>
          <w:lang w:val="bg-BG"/>
        </w:rPr>
        <w:t xml:space="preserve"> жалбоподателя се </w:t>
      </w:r>
      <w:r w:rsidR="004F2C3F">
        <w:rPr>
          <w:lang w:val="bg-BG"/>
        </w:rPr>
        <w:t xml:space="preserve">бил </w:t>
      </w:r>
      <w:r w:rsidR="00DF7C4F" w:rsidRPr="008849C3">
        <w:rPr>
          <w:lang w:val="bg-BG"/>
        </w:rPr>
        <w:t>затичал към входната врата</w:t>
      </w:r>
      <w:r w:rsidR="004F2C3F">
        <w:rPr>
          <w:lang w:val="bg-BG"/>
        </w:rPr>
        <w:t>,</w:t>
      </w:r>
      <w:r w:rsidR="00DF7C4F" w:rsidRPr="008849C3">
        <w:rPr>
          <w:lang w:val="bg-BG"/>
        </w:rPr>
        <w:t xml:space="preserve"> </w:t>
      </w:r>
      <w:r w:rsidR="00DF7C4F" w:rsidRPr="008849C3">
        <w:rPr>
          <w:lang w:val="bg-BG"/>
        </w:rPr>
        <w:lastRenderedPageBreak/>
        <w:t>размахва</w:t>
      </w:r>
      <w:r w:rsidR="004F2C3F">
        <w:rPr>
          <w:lang w:val="bg-BG"/>
        </w:rPr>
        <w:t>йки</w:t>
      </w:r>
      <w:r w:rsidR="00DF7C4F" w:rsidRPr="008849C3">
        <w:rPr>
          <w:lang w:val="bg-BG"/>
        </w:rPr>
        <w:t xml:space="preserve"> ръце. При всички положения прокуратурата </w:t>
      </w:r>
      <w:r w:rsidR="004F2C3F">
        <w:rPr>
          <w:lang w:val="bg-BG"/>
        </w:rPr>
        <w:t>намира</w:t>
      </w:r>
      <w:r w:rsidR="0061335F" w:rsidRPr="008849C3">
        <w:rPr>
          <w:lang w:val="bg-BG"/>
        </w:rPr>
        <w:t xml:space="preserve">, че </w:t>
      </w:r>
      <w:r w:rsidR="004F2C3F">
        <w:rPr>
          <w:lang w:val="bg-BG"/>
        </w:rPr>
        <w:t>блъскането</w:t>
      </w:r>
      <w:r w:rsidR="004F2C3F" w:rsidRPr="008849C3">
        <w:rPr>
          <w:lang w:val="bg-BG"/>
        </w:rPr>
        <w:t xml:space="preserve"> </w:t>
      </w:r>
      <w:r w:rsidR="0061335F" w:rsidRPr="008849C3">
        <w:rPr>
          <w:lang w:val="bg-BG"/>
        </w:rPr>
        <w:t>на главата на жалбоподателя във вратата е чисто случайно обстоятелство, за което полиц</w:t>
      </w:r>
      <w:r w:rsidR="004F2C3F">
        <w:rPr>
          <w:lang w:val="bg-BG"/>
        </w:rPr>
        <w:t>ейския служител</w:t>
      </w:r>
      <w:r w:rsidR="0061335F" w:rsidRPr="008849C3">
        <w:rPr>
          <w:lang w:val="bg-BG"/>
        </w:rPr>
        <w:t xml:space="preserve"> В.С. не носи наказателна отговорност. </w:t>
      </w:r>
      <w:r w:rsidR="00DF7C4F" w:rsidRPr="008849C3">
        <w:rPr>
          <w:lang w:val="bg-BG"/>
        </w:rPr>
        <w:t xml:space="preserve"> </w:t>
      </w:r>
    </w:p>
    <w:p w:rsidR="003B7B69" w:rsidRPr="008849C3" w:rsidRDefault="003B7B6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33</w:t>
      </w:r>
      <w:r w:rsidRPr="008849C3">
        <w:rPr>
          <w:lang w:val="bg-BG"/>
        </w:rPr>
        <w:fldChar w:fldCharType="end"/>
      </w:r>
      <w:r w:rsidRPr="008849C3">
        <w:rPr>
          <w:lang w:val="bg-BG"/>
        </w:rPr>
        <w:t>.  </w:t>
      </w:r>
      <w:r w:rsidR="0061335F" w:rsidRPr="008849C3">
        <w:rPr>
          <w:lang w:val="bg-BG"/>
        </w:rPr>
        <w:t>На</w:t>
      </w:r>
      <w:r w:rsidRPr="008849C3">
        <w:rPr>
          <w:lang w:val="bg-BG"/>
        </w:rPr>
        <w:t xml:space="preserve"> 19 </w:t>
      </w:r>
      <w:r w:rsidR="0061335F" w:rsidRPr="008849C3">
        <w:rPr>
          <w:lang w:val="bg-BG"/>
        </w:rPr>
        <w:t>юли</w:t>
      </w:r>
      <w:r w:rsidRPr="008849C3">
        <w:rPr>
          <w:lang w:val="bg-BG"/>
        </w:rPr>
        <w:t xml:space="preserve"> 2011</w:t>
      </w:r>
      <w:r w:rsidR="007D41B6" w:rsidRPr="008849C3">
        <w:rPr>
          <w:lang w:val="bg-BG"/>
        </w:rPr>
        <w:t xml:space="preserve"> г.</w:t>
      </w:r>
      <w:r w:rsidR="0061335F" w:rsidRPr="008849C3">
        <w:rPr>
          <w:lang w:val="bg-BG"/>
        </w:rPr>
        <w:t xml:space="preserve"> жалбоподателят </w:t>
      </w:r>
      <w:r w:rsidR="004F2C3F">
        <w:rPr>
          <w:lang w:val="bg-BG"/>
        </w:rPr>
        <w:t>обжалва</w:t>
      </w:r>
      <w:r w:rsidR="004F2C3F" w:rsidRPr="008849C3">
        <w:rPr>
          <w:lang w:val="bg-BG"/>
        </w:rPr>
        <w:t xml:space="preserve"> </w:t>
      </w:r>
      <w:r w:rsidR="0061335F" w:rsidRPr="008849C3">
        <w:rPr>
          <w:lang w:val="bg-BG"/>
        </w:rPr>
        <w:t xml:space="preserve">постановлението за </w:t>
      </w:r>
      <w:r w:rsidR="007D41B6" w:rsidRPr="008849C3">
        <w:rPr>
          <w:lang w:val="bg-BG"/>
        </w:rPr>
        <w:t xml:space="preserve">прекратяване на делото пред Софийска градска прокуратура. </w:t>
      </w:r>
    </w:p>
    <w:p w:rsidR="003B7B69" w:rsidRPr="008849C3" w:rsidRDefault="004F0FC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34</w:t>
      </w:r>
      <w:r w:rsidRPr="008849C3">
        <w:rPr>
          <w:lang w:val="bg-BG"/>
        </w:rPr>
        <w:fldChar w:fldCharType="end"/>
      </w:r>
      <w:r w:rsidRPr="008849C3">
        <w:rPr>
          <w:lang w:val="bg-BG"/>
        </w:rPr>
        <w:t>.  </w:t>
      </w:r>
      <w:r w:rsidR="007D41B6" w:rsidRPr="008849C3">
        <w:rPr>
          <w:lang w:val="bg-BG"/>
        </w:rPr>
        <w:t>На</w:t>
      </w:r>
      <w:r w:rsidR="009C51F2" w:rsidRPr="008849C3">
        <w:rPr>
          <w:lang w:val="bg-BG"/>
        </w:rPr>
        <w:t xml:space="preserve"> 23 </w:t>
      </w:r>
      <w:r w:rsidR="007D41B6" w:rsidRPr="008849C3">
        <w:rPr>
          <w:lang w:val="bg-BG"/>
        </w:rPr>
        <w:t>март</w:t>
      </w:r>
      <w:r w:rsidR="009C51F2" w:rsidRPr="008849C3">
        <w:rPr>
          <w:lang w:val="bg-BG"/>
        </w:rPr>
        <w:t xml:space="preserve"> 2012</w:t>
      </w:r>
      <w:r w:rsidR="007D41B6" w:rsidRPr="008849C3">
        <w:rPr>
          <w:lang w:val="bg-BG"/>
        </w:rPr>
        <w:t xml:space="preserve"> г. Софийска градска прокуратура</w:t>
      </w:r>
      <w:r w:rsidR="009B3570" w:rsidRPr="008849C3">
        <w:rPr>
          <w:lang w:val="bg-BG"/>
        </w:rPr>
        <w:t xml:space="preserve"> приема жалбата на жалбоподателя и нарежда на районната прокуратура </w:t>
      </w:r>
      <w:r w:rsidR="00E85B68" w:rsidRPr="008849C3">
        <w:rPr>
          <w:lang w:val="bg-BG"/>
        </w:rPr>
        <w:t xml:space="preserve">да </w:t>
      </w:r>
      <w:r w:rsidR="004F2C3F">
        <w:rPr>
          <w:lang w:val="bg-BG"/>
        </w:rPr>
        <w:t>образува</w:t>
      </w:r>
      <w:r w:rsidR="004F2C3F" w:rsidRPr="008849C3">
        <w:rPr>
          <w:lang w:val="bg-BG"/>
        </w:rPr>
        <w:t xml:space="preserve"> </w:t>
      </w:r>
      <w:r w:rsidR="00E51970" w:rsidRPr="008849C3">
        <w:rPr>
          <w:lang w:val="bg-BG"/>
        </w:rPr>
        <w:t xml:space="preserve">наказателно </w:t>
      </w:r>
      <w:r w:rsidR="004F2C3F">
        <w:rPr>
          <w:lang w:val="bg-BG"/>
        </w:rPr>
        <w:t>производство</w:t>
      </w:r>
      <w:r w:rsidR="004F2C3F" w:rsidRPr="008849C3">
        <w:rPr>
          <w:lang w:val="bg-BG"/>
        </w:rPr>
        <w:t xml:space="preserve"> </w:t>
      </w:r>
      <w:r w:rsidR="00E51970" w:rsidRPr="008849C3">
        <w:rPr>
          <w:lang w:val="bg-BG"/>
        </w:rPr>
        <w:t xml:space="preserve">за обстоятелствата около </w:t>
      </w:r>
      <w:r w:rsidR="004F2C3F">
        <w:rPr>
          <w:lang w:val="bg-BG"/>
        </w:rPr>
        <w:t>задържането</w:t>
      </w:r>
      <w:r w:rsidR="004F2C3F" w:rsidRPr="008849C3">
        <w:rPr>
          <w:lang w:val="bg-BG"/>
        </w:rPr>
        <w:t xml:space="preserve"> </w:t>
      </w:r>
      <w:r w:rsidR="00E51970" w:rsidRPr="008849C3">
        <w:rPr>
          <w:lang w:val="bg-BG"/>
        </w:rPr>
        <w:t xml:space="preserve">на жалбоподателя. </w:t>
      </w:r>
    </w:p>
    <w:p w:rsidR="009D7CCD" w:rsidRPr="008849C3" w:rsidRDefault="00A852D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35</w:t>
      </w:r>
      <w:r w:rsidRPr="008849C3">
        <w:rPr>
          <w:lang w:val="bg-BG"/>
        </w:rPr>
        <w:fldChar w:fldCharType="end"/>
      </w:r>
      <w:r w:rsidRPr="008849C3">
        <w:rPr>
          <w:lang w:val="bg-BG"/>
        </w:rPr>
        <w:t>.  </w:t>
      </w:r>
      <w:r w:rsidR="00E51970" w:rsidRPr="008849C3">
        <w:rPr>
          <w:lang w:val="bg-BG"/>
        </w:rPr>
        <w:t>На</w:t>
      </w:r>
      <w:r w:rsidRPr="008849C3">
        <w:rPr>
          <w:lang w:val="bg-BG"/>
        </w:rPr>
        <w:t xml:space="preserve"> 29 </w:t>
      </w:r>
      <w:r w:rsidR="00E51970" w:rsidRPr="008849C3">
        <w:rPr>
          <w:lang w:val="bg-BG"/>
        </w:rPr>
        <w:t>май</w:t>
      </w:r>
      <w:r w:rsidRPr="008849C3">
        <w:rPr>
          <w:lang w:val="bg-BG"/>
        </w:rPr>
        <w:t xml:space="preserve"> 2012</w:t>
      </w:r>
      <w:r w:rsidR="00E51970" w:rsidRPr="008849C3">
        <w:rPr>
          <w:lang w:val="bg-BG"/>
        </w:rPr>
        <w:t xml:space="preserve"> г.</w:t>
      </w:r>
      <w:r w:rsidRPr="008849C3">
        <w:rPr>
          <w:lang w:val="bg-BG"/>
        </w:rPr>
        <w:t xml:space="preserve"> </w:t>
      </w:r>
      <w:r w:rsidR="00E51970" w:rsidRPr="008849C3">
        <w:rPr>
          <w:lang w:val="bg-BG"/>
        </w:rPr>
        <w:t xml:space="preserve">Софийска районна прокуратура </w:t>
      </w:r>
      <w:r w:rsidR="004F2C3F">
        <w:rPr>
          <w:lang w:val="bg-BG"/>
        </w:rPr>
        <w:t>образува</w:t>
      </w:r>
      <w:r w:rsidR="004F2C3F" w:rsidRPr="008849C3">
        <w:rPr>
          <w:lang w:val="bg-BG"/>
        </w:rPr>
        <w:t xml:space="preserve"> </w:t>
      </w:r>
      <w:r w:rsidR="00E85B68" w:rsidRPr="008849C3">
        <w:rPr>
          <w:lang w:val="bg-BG"/>
        </w:rPr>
        <w:t xml:space="preserve">наказателно </w:t>
      </w:r>
      <w:r w:rsidR="004F2C3F">
        <w:rPr>
          <w:lang w:val="bg-BG"/>
        </w:rPr>
        <w:t>производство</w:t>
      </w:r>
      <w:r w:rsidR="004F2C3F" w:rsidRPr="008849C3">
        <w:rPr>
          <w:lang w:val="bg-BG"/>
        </w:rPr>
        <w:t xml:space="preserve"> </w:t>
      </w:r>
      <w:r w:rsidR="00E85B68" w:rsidRPr="008849C3">
        <w:rPr>
          <w:lang w:val="bg-BG"/>
        </w:rPr>
        <w:t>срещу Х за телесна повреда</w:t>
      </w:r>
      <w:r w:rsidR="0079744A" w:rsidRPr="008849C3">
        <w:rPr>
          <w:lang w:val="bg-BG"/>
        </w:rPr>
        <w:t>, причинена от полиц</w:t>
      </w:r>
      <w:r w:rsidR="004F2C3F">
        <w:rPr>
          <w:lang w:val="bg-BG"/>
        </w:rPr>
        <w:t>ейски служител</w:t>
      </w:r>
      <w:r w:rsidR="0079744A" w:rsidRPr="008849C3">
        <w:rPr>
          <w:lang w:val="bg-BG"/>
        </w:rPr>
        <w:t xml:space="preserve"> при изпълнението на задълженията му, престъпление, наказуемо по </w:t>
      </w:r>
      <w:r w:rsidR="00CA7BA4">
        <w:rPr>
          <w:lang w:val="bg-BG"/>
        </w:rPr>
        <w:t>чл.</w:t>
      </w:r>
      <w:r w:rsidR="00911ECA" w:rsidRPr="008849C3">
        <w:rPr>
          <w:lang w:val="bg-BG"/>
        </w:rPr>
        <w:t> </w:t>
      </w:r>
      <w:r w:rsidR="00D70476" w:rsidRPr="008849C3">
        <w:rPr>
          <w:lang w:val="bg-BG"/>
        </w:rPr>
        <w:t>131</w:t>
      </w:r>
      <w:r w:rsidR="00C33EC4" w:rsidRPr="008849C3">
        <w:rPr>
          <w:lang w:val="bg-BG"/>
        </w:rPr>
        <w:t>,</w:t>
      </w:r>
      <w:r w:rsidR="00D70476" w:rsidRPr="008849C3">
        <w:rPr>
          <w:lang w:val="bg-BG"/>
        </w:rPr>
        <w:t xml:space="preserve"> </w:t>
      </w:r>
      <w:r w:rsidR="004E62E9" w:rsidRPr="008849C3">
        <w:rPr>
          <w:lang w:val="bg-BG"/>
        </w:rPr>
        <w:t>точка</w:t>
      </w:r>
      <w:r w:rsidR="00D70476" w:rsidRPr="008849C3">
        <w:rPr>
          <w:lang w:val="bg-BG"/>
        </w:rPr>
        <w:t xml:space="preserve"> 2</w:t>
      </w:r>
      <w:r w:rsidR="00C33EC4" w:rsidRPr="008849C3">
        <w:rPr>
          <w:lang w:val="bg-BG"/>
        </w:rPr>
        <w:t>,</w:t>
      </w:r>
      <w:r w:rsidR="00D70476" w:rsidRPr="008849C3">
        <w:rPr>
          <w:lang w:val="bg-BG"/>
        </w:rPr>
        <w:t xml:space="preserve"> </w:t>
      </w:r>
      <w:r w:rsidR="004E62E9" w:rsidRPr="008849C3">
        <w:rPr>
          <w:lang w:val="bg-BG"/>
        </w:rPr>
        <w:t xml:space="preserve">от Наказателния кодекс. Тя нарежда на следователя да разпита жалбоподателя, </w:t>
      </w:r>
      <w:r w:rsidR="004F2C3F">
        <w:rPr>
          <w:lang w:val="bg-BG"/>
        </w:rPr>
        <w:t>служителката</w:t>
      </w:r>
      <w:r w:rsidR="004F2C3F" w:rsidRPr="008849C3">
        <w:rPr>
          <w:lang w:val="bg-BG"/>
        </w:rPr>
        <w:t xml:space="preserve"> </w:t>
      </w:r>
      <w:r w:rsidR="004E62E9" w:rsidRPr="008849C3">
        <w:rPr>
          <w:lang w:val="bg-BG"/>
        </w:rPr>
        <w:t>на нотариуса Е.С</w:t>
      </w:r>
      <w:r w:rsidR="004F2C3F">
        <w:rPr>
          <w:lang w:val="bg-BG"/>
        </w:rPr>
        <w:t>.</w:t>
      </w:r>
      <w:r w:rsidR="004E62E9" w:rsidRPr="008849C3">
        <w:rPr>
          <w:lang w:val="bg-BG"/>
        </w:rPr>
        <w:t xml:space="preserve"> и другите лица, присъстващи в нотариалната кантора по време на полицейската операция, а също и полиц</w:t>
      </w:r>
      <w:r w:rsidR="004F2C3F">
        <w:rPr>
          <w:lang w:val="bg-BG"/>
        </w:rPr>
        <w:t>ейските служители</w:t>
      </w:r>
      <w:r w:rsidR="004E62E9" w:rsidRPr="008849C3">
        <w:rPr>
          <w:lang w:val="bg-BG"/>
        </w:rPr>
        <w:t>, участвали в нея. Задължава следователя да разпореди техническа експертиза на видеозаписите на полицейската операция и медицинска експертиза, за да се установи прои</w:t>
      </w:r>
      <w:r w:rsidR="00CB19D4" w:rsidRPr="008849C3">
        <w:rPr>
          <w:lang w:val="bg-BG"/>
        </w:rPr>
        <w:t>зхода и</w:t>
      </w:r>
      <w:r w:rsidR="004E62E9" w:rsidRPr="008849C3">
        <w:rPr>
          <w:lang w:val="bg-BG"/>
        </w:rPr>
        <w:t xml:space="preserve"> </w:t>
      </w:r>
      <w:r w:rsidR="00CB19D4" w:rsidRPr="008849C3">
        <w:rPr>
          <w:lang w:val="bg-BG"/>
        </w:rPr>
        <w:t xml:space="preserve">естеството на нараняванията, причинени на жалбоподателя.  </w:t>
      </w:r>
      <w:r w:rsidR="004E62E9" w:rsidRPr="008849C3">
        <w:rPr>
          <w:lang w:val="bg-BG"/>
        </w:rPr>
        <w:t xml:space="preserve"> </w:t>
      </w:r>
    </w:p>
    <w:p w:rsidR="00E5520C" w:rsidRPr="00B501BB" w:rsidRDefault="009D7CCD"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36</w:t>
      </w:r>
      <w:r w:rsidRPr="008849C3">
        <w:rPr>
          <w:lang w:val="bg-BG"/>
        </w:rPr>
        <w:fldChar w:fldCharType="end"/>
      </w:r>
      <w:r w:rsidRPr="008849C3">
        <w:rPr>
          <w:lang w:val="bg-BG"/>
        </w:rPr>
        <w:t>.  </w:t>
      </w:r>
      <w:r w:rsidR="00CB19D4" w:rsidRPr="008849C3">
        <w:rPr>
          <w:lang w:val="bg-BG"/>
        </w:rPr>
        <w:t>На</w:t>
      </w:r>
      <w:r w:rsidRPr="008849C3">
        <w:rPr>
          <w:lang w:val="bg-BG"/>
        </w:rPr>
        <w:t xml:space="preserve"> 29 </w:t>
      </w:r>
      <w:r w:rsidR="00CB19D4" w:rsidRPr="008849C3">
        <w:rPr>
          <w:lang w:val="bg-BG"/>
        </w:rPr>
        <w:t>юни</w:t>
      </w:r>
      <w:r w:rsidRPr="008849C3">
        <w:rPr>
          <w:lang w:val="bg-BG"/>
        </w:rPr>
        <w:t xml:space="preserve"> 2012</w:t>
      </w:r>
      <w:r w:rsidR="00CB19D4" w:rsidRPr="008849C3">
        <w:rPr>
          <w:lang w:val="bg-BG"/>
        </w:rPr>
        <w:t xml:space="preserve"> г. </w:t>
      </w:r>
      <w:r w:rsidR="00CB19D4" w:rsidRPr="00B501BB">
        <w:rPr>
          <w:lang w:val="bg-BG"/>
        </w:rPr>
        <w:t xml:space="preserve">следователят, натоварен с разследването, разпорежда експертиза на видеозаписите от </w:t>
      </w:r>
      <w:r w:rsidR="004F2C3F" w:rsidRPr="00B501BB">
        <w:rPr>
          <w:lang w:val="bg-BG"/>
        </w:rPr>
        <w:t xml:space="preserve">задържането </w:t>
      </w:r>
      <w:r w:rsidR="00CB19D4" w:rsidRPr="00B501BB">
        <w:rPr>
          <w:lang w:val="bg-BG"/>
        </w:rPr>
        <w:t>на жалбоподателя, като иска от експерта да определи дали полиц</w:t>
      </w:r>
      <w:r w:rsidR="004F2C3F" w:rsidRPr="00B501BB">
        <w:rPr>
          <w:lang w:val="bg-BG"/>
        </w:rPr>
        <w:t>ейският служител</w:t>
      </w:r>
      <w:r w:rsidR="00CB19D4" w:rsidRPr="00B501BB">
        <w:rPr>
          <w:lang w:val="bg-BG"/>
        </w:rPr>
        <w:t xml:space="preserve">, </w:t>
      </w:r>
      <w:proofErr w:type="spellStart"/>
      <w:r w:rsidR="001315E0" w:rsidRPr="00B501BB">
        <w:rPr>
          <w:lang w:val="bg-BG"/>
        </w:rPr>
        <w:t>обездвижил</w:t>
      </w:r>
      <w:proofErr w:type="spellEnd"/>
      <w:r w:rsidR="00CB19D4" w:rsidRPr="00B501BB">
        <w:rPr>
          <w:lang w:val="bg-BG"/>
        </w:rPr>
        <w:t xml:space="preserve"> жалбоподателя</w:t>
      </w:r>
      <w:r w:rsidRPr="00B501BB">
        <w:rPr>
          <w:lang w:val="bg-BG"/>
        </w:rPr>
        <w:t>,</w:t>
      </w:r>
      <w:r w:rsidR="00080E84" w:rsidRPr="00B501BB">
        <w:rPr>
          <w:lang w:val="bg-BG"/>
        </w:rPr>
        <w:t xml:space="preserve"> може официално да бъде идентифициран и, по-</w:t>
      </w:r>
      <w:r w:rsidR="004F2C3F" w:rsidRPr="00B501BB">
        <w:rPr>
          <w:lang w:val="bg-BG"/>
        </w:rPr>
        <w:t>специално</w:t>
      </w:r>
      <w:r w:rsidR="00080E84" w:rsidRPr="00B501BB">
        <w:rPr>
          <w:lang w:val="bg-BG"/>
        </w:rPr>
        <w:t xml:space="preserve">, дали </w:t>
      </w:r>
      <w:r w:rsidR="004F2C3F" w:rsidRPr="00B501BB">
        <w:rPr>
          <w:lang w:val="bg-BG"/>
        </w:rPr>
        <w:t>това е полицейският служител</w:t>
      </w:r>
      <w:r w:rsidR="00080E84" w:rsidRPr="00B501BB">
        <w:rPr>
          <w:lang w:val="bg-BG"/>
        </w:rPr>
        <w:t xml:space="preserve"> В. С. </w:t>
      </w:r>
      <w:r w:rsidRPr="00B501BB">
        <w:rPr>
          <w:lang w:val="bg-BG"/>
        </w:rPr>
        <w:t xml:space="preserve"> </w:t>
      </w:r>
    </w:p>
    <w:p w:rsidR="00471917" w:rsidRPr="00B501BB" w:rsidRDefault="00E5520C" w:rsidP="006B0E9F">
      <w:pPr>
        <w:pStyle w:val="ECHRPara"/>
        <w:rPr>
          <w:lang w:val="bg-BG"/>
        </w:rPr>
      </w:pPr>
      <w:r w:rsidRPr="00B501BB">
        <w:rPr>
          <w:lang w:val="bg-BG"/>
        </w:rPr>
        <w:fldChar w:fldCharType="begin"/>
      </w:r>
      <w:r w:rsidRPr="00B501BB">
        <w:rPr>
          <w:lang w:val="bg-BG"/>
        </w:rPr>
        <w:instrText xml:space="preserve"> SEQ level0 \*arabic </w:instrText>
      </w:r>
      <w:r w:rsidRPr="00B501BB">
        <w:rPr>
          <w:lang w:val="bg-BG"/>
        </w:rPr>
        <w:fldChar w:fldCharType="separate"/>
      </w:r>
      <w:r w:rsidR="00134118">
        <w:rPr>
          <w:noProof/>
          <w:lang w:val="bg-BG"/>
        </w:rPr>
        <w:t>37</w:t>
      </w:r>
      <w:r w:rsidRPr="00B501BB">
        <w:rPr>
          <w:lang w:val="bg-BG"/>
        </w:rPr>
        <w:fldChar w:fldCharType="end"/>
      </w:r>
      <w:r w:rsidRPr="00B501BB">
        <w:rPr>
          <w:lang w:val="bg-BG"/>
        </w:rPr>
        <w:t>.  </w:t>
      </w:r>
      <w:r w:rsidR="00080E84" w:rsidRPr="00B501BB">
        <w:rPr>
          <w:lang w:val="bg-BG"/>
        </w:rPr>
        <w:t>На</w:t>
      </w:r>
      <w:r w:rsidR="00297DE1" w:rsidRPr="00B501BB">
        <w:rPr>
          <w:lang w:val="bg-BG"/>
        </w:rPr>
        <w:t xml:space="preserve"> 3 </w:t>
      </w:r>
      <w:r w:rsidR="00080E84" w:rsidRPr="00B501BB">
        <w:rPr>
          <w:lang w:val="bg-BG"/>
        </w:rPr>
        <w:t>юли</w:t>
      </w:r>
      <w:r w:rsidR="00297DE1" w:rsidRPr="00B501BB">
        <w:rPr>
          <w:lang w:val="bg-BG"/>
        </w:rPr>
        <w:t xml:space="preserve"> 2012</w:t>
      </w:r>
      <w:r w:rsidR="00080E84" w:rsidRPr="00B501BB">
        <w:rPr>
          <w:lang w:val="bg-BG"/>
        </w:rPr>
        <w:t xml:space="preserve"> г. експертът представя доклада си. Той заключава, че не е възможно официално да се определи самоличността на полиц</w:t>
      </w:r>
      <w:r w:rsidR="001315E0" w:rsidRPr="00B501BB">
        <w:rPr>
          <w:lang w:val="bg-BG"/>
        </w:rPr>
        <w:t>ейския служител</w:t>
      </w:r>
      <w:r w:rsidR="00080E84" w:rsidRPr="00B501BB">
        <w:rPr>
          <w:lang w:val="bg-BG"/>
        </w:rPr>
        <w:t xml:space="preserve">, </w:t>
      </w:r>
      <w:proofErr w:type="spellStart"/>
      <w:r w:rsidR="00080E84" w:rsidRPr="00B501BB">
        <w:rPr>
          <w:lang w:val="bg-BG"/>
        </w:rPr>
        <w:t>обездвижил</w:t>
      </w:r>
      <w:proofErr w:type="spellEnd"/>
      <w:r w:rsidR="00080E84" w:rsidRPr="00B501BB">
        <w:rPr>
          <w:lang w:val="bg-BG"/>
        </w:rPr>
        <w:t xml:space="preserve"> жалбоподателя, с мотива, че</w:t>
      </w:r>
      <w:r w:rsidR="0092565A" w:rsidRPr="00B501BB">
        <w:rPr>
          <w:lang w:val="bg-BG"/>
        </w:rPr>
        <w:t xml:space="preserve"> всички з</w:t>
      </w:r>
      <w:r w:rsidR="005B709A" w:rsidRPr="00B501BB">
        <w:rPr>
          <w:lang w:val="bg-BG"/>
        </w:rPr>
        <w:t>аснети полиц</w:t>
      </w:r>
      <w:r w:rsidR="001315E0" w:rsidRPr="00B501BB">
        <w:rPr>
          <w:lang w:val="bg-BG"/>
        </w:rPr>
        <w:t>ейски служители</w:t>
      </w:r>
      <w:r w:rsidR="005B709A" w:rsidRPr="00B501BB">
        <w:rPr>
          <w:lang w:val="bg-BG"/>
        </w:rPr>
        <w:t xml:space="preserve"> носят маски и чер</w:t>
      </w:r>
      <w:r w:rsidR="0092565A" w:rsidRPr="00B501BB">
        <w:rPr>
          <w:lang w:val="bg-BG"/>
        </w:rPr>
        <w:t xml:space="preserve">ни якета без индивидуални отличителни знаци. </w:t>
      </w:r>
      <w:r w:rsidR="00080E84" w:rsidRPr="00B501BB">
        <w:rPr>
          <w:lang w:val="bg-BG"/>
        </w:rPr>
        <w:t xml:space="preserve">  </w:t>
      </w:r>
    </w:p>
    <w:p w:rsidR="000E0C20" w:rsidRPr="00B501BB" w:rsidRDefault="00C4600F" w:rsidP="006B0E9F">
      <w:pPr>
        <w:pStyle w:val="ECHRPara"/>
        <w:rPr>
          <w:lang w:val="bg-BG"/>
        </w:rPr>
      </w:pPr>
      <w:r w:rsidRPr="00B501BB">
        <w:rPr>
          <w:lang w:val="bg-BG"/>
        </w:rPr>
        <w:fldChar w:fldCharType="begin"/>
      </w:r>
      <w:r w:rsidRPr="00B501BB">
        <w:rPr>
          <w:lang w:val="bg-BG"/>
        </w:rPr>
        <w:instrText xml:space="preserve"> SEQ level0 \*arabic </w:instrText>
      </w:r>
      <w:r w:rsidRPr="00B501BB">
        <w:rPr>
          <w:lang w:val="bg-BG"/>
        </w:rPr>
        <w:fldChar w:fldCharType="separate"/>
      </w:r>
      <w:r w:rsidR="00134118">
        <w:rPr>
          <w:noProof/>
          <w:lang w:val="bg-BG"/>
        </w:rPr>
        <w:t>38</w:t>
      </w:r>
      <w:r w:rsidRPr="00B501BB">
        <w:rPr>
          <w:lang w:val="bg-BG"/>
        </w:rPr>
        <w:fldChar w:fldCharType="end"/>
      </w:r>
      <w:r w:rsidRPr="00B501BB">
        <w:rPr>
          <w:lang w:val="bg-BG"/>
        </w:rPr>
        <w:t>.  </w:t>
      </w:r>
      <w:r w:rsidR="0092565A" w:rsidRPr="00B501BB">
        <w:rPr>
          <w:lang w:val="bg-BG"/>
        </w:rPr>
        <w:t>На</w:t>
      </w:r>
      <w:r w:rsidR="00DC2F1D" w:rsidRPr="00B501BB">
        <w:rPr>
          <w:lang w:val="bg-BG"/>
        </w:rPr>
        <w:t xml:space="preserve"> 8 </w:t>
      </w:r>
      <w:r w:rsidR="0092565A" w:rsidRPr="00B501BB">
        <w:rPr>
          <w:lang w:val="bg-BG"/>
        </w:rPr>
        <w:t>октомври</w:t>
      </w:r>
      <w:r w:rsidR="00DC2F1D" w:rsidRPr="00B501BB">
        <w:rPr>
          <w:lang w:val="bg-BG"/>
        </w:rPr>
        <w:t xml:space="preserve"> 2012</w:t>
      </w:r>
      <w:r w:rsidR="0092565A" w:rsidRPr="00B501BB">
        <w:rPr>
          <w:lang w:val="bg-BG"/>
        </w:rPr>
        <w:t xml:space="preserve"> г. следователят разпитва жалбоподателя и </w:t>
      </w:r>
      <w:r w:rsidR="001315E0" w:rsidRPr="00B501BB">
        <w:rPr>
          <w:lang w:val="bg-BG"/>
        </w:rPr>
        <w:t xml:space="preserve">служителката </w:t>
      </w:r>
      <w:r w:rsidR="0092565A" w:rsidRPr="00B501BB">
        <w:rPr>
          <w:lang w:val="bg-BG"/>
        </w:rPr>
        <w:t xml:space="preserve">на нотариуса Е.С. На </w:t>
      </w:r>
      <w:r w:rsidR="00A468DF" w:rsidRPr="00B501BB">
        <w:rPr>
          <w:lang w:val="bg-BG"/>
        </w:rPr>
        <w:t xml:space="preserve">23 </w:t>
      </w:r>
      <w:r w:rsidR="0092565A" w:rsidRPr="00B501BB">
        <w:rPr>
          <w:lang w:val="bg-BG"/>
        </w:rPr>
        <w:t>октомври</w:t>
      </w:r>
      <w:r w:rsidR="00A468DF" w:rsidRPr="00B501BB">
        <w:rPr>
          <w:lang w:val="bg-BG"/>
        </w:rPr>
        <w:t xml:space="preserve"> 2012</w:t>
      </w:r>
      <w:r w:rsidR="0092565A" w:rsidRPr="00B501BB">
        <w:rPr>
          <w:lang w:val="bg-BG"/>
        </w:rPr>
        <w:t xml:space="preserve"> г. той получава копие от медицинския регистър на </w:t>
      </w:r>
      <w:r w:rsidR="001315E0" w:rsidRPr="00B501BB">
        <w:rPr>
          <w:lang w:val="bg-BG"/>
        </w:rPr>
        <w:t xml:space="preserve">следствения </w:t>
      </w:r>
      <w:r w:rsidR="0092565A" w:rsidRPr="00B501BB">
        <w:rPr>
          <w:lang w:val="bg-BG"/>
        </w:rPr>
        <w:t xml:space="preserve">арест, което съдържа данните, отнасящи се до медицинския преглед на жалбоподателя, извършен на 2 април 2010 г.  </w:t>
      </w:r>
    </w:p>
    <w:p w:rsidR="009E2ADF" w:rsidRPr="00B501BB" w:rsidRDefault="009E2ADF" w:rsidP="006B0E9F">
      <w:pPr>
        <w:pStyle w:val="ECHRPara"/>
        <w:rPr>
          <w:lang w:val="bg-BG"/>
        </w:rPr>
      </w:pPr>
      <w:r w:rsidRPr="00B501BB">
        <w:rPr>
          <w:lang w:val="bg-BG"/>
        </w:rPr>
        <w:fldChar w:fldCharType="begin"/>
      </w:r>
      <w:r w:rsidRPr="00B501BB">
        <w:rPr>
          <w:lang w:val="bg-BG"/>
        </w:rPr>
        <w:instrText xml:space="preserve"> SEQ level0 \*arabic </w:instrText>
      </w:r>
      <w:r w:rsidRPr="00B501BB">
        <w:rPr>
          <w:lang w:val="bg-BG"/>
        </w:rPr>
        <w:fldChar w:fldCharType="separate"/>
      </w:r>
      <w:r w:rsidR="00134118">
        <w:rPr>
          <w:noProof/>
          <w:lang w:val="bg-BG"/>
        </w:rPr>
        <w:t>39</w:t>
      </w:r>
      <w:r w:rsidRPr="00B501BB">
        <w:rPr>
          <w:lang w:val="bg-BG"/>
        </w:rPr>
        <w:fldChar w:fldCharType="end"/>
      </w:r>
      <w:r w:rsidRPr="00B501BB">
        <w:rPr>
          <w:lang w:val="bg-BG"/>
        </w:rPr>
        <w:t>.  </w:t>
      </w:r>
      <w:r w:rsidR="0092565A" w:rsidRPr="00B501BB">
        <w:rPr>
          <w:lang w:val="bg-BG"/>
        </w:rPr>
        <w:t>На</w:t>
      </w:r>
      <w:r w:rsidRPr="00B501BB">
        <w:rPr>
          <w:lang w:val="bg-BG"/>
        </w:rPr>
        <w:t xml:space="preserve"> 28 </w:t>
      </w:r>
      <w:r w:rsidR="0092565A" w:rsidRPr="00B501BB">
        <w:rPr>
          <w:lang w:val="bg-BG"/>
        </w:rPr>
        <w:t>и</w:t>
      </w:r>
      <w:r w:rsidRPr="00B501BB">
        <w:rPr>
          <w:lang w:val="bg-BG"/>
        </w:rPr>
        <w:t xml:space="preserve"> 29 </w:t>
      </w:r>
      <w:r w:rsidR="0092565A" w:rsidRPr="00B501BB">
        <w:rPr>
          <w:lang w:val="bg-BG"/>
        </w:rPr>
        <w:t>ноември</w:t>
      </w:r>
      <w:r w:rsidRPr="00B501BB">
        <w:rPr>
          <w:lang w:val="bg-BG"/>
        </w:rPr>
        <w:t xml:space="preserve"> 2012</w:t>
      </w:r>
      <w:r w:rsidR="0092565A" w:rsidRPr="00B501BB">
        <w:rPr>
          <w:lang w:val="bg-BG"/>
        </w:rPr>
        <w:t xml:space="preserve"> г. следователят разпитва две лица</w:t>
      </w:r>
      <w:r w:rsidRPr="00B501BB">
        <w:rPr>
          <w:lang w:val="bg-BG"/>
        </w:rPr>
        <w:t xml:space="preserve">, </w:t>
      </w:r>
      <w:r w:rsidR="0092565A" w:rsidRPr="00B501BB">
        <w:rPr>
          <w:lang w:val="bg-BG"/>
        </w:rPr>
        <w:t xml:space="preserve">задържани през април 2010 г. в същата килия, където е и жалбоподателят.  </w:t>
      </w:r>
    </w:p>
    <w:p w:rsidR="00F841EE" w:rsidRPr="008849C3" w:rsidRDefault="00C5689D" w:rsidP="006B0E9F">
      <w:pPr>
        <w:pStyle w:val="ECHRPara"/>
        <w:rPr>
          <w:lang w:val="bg-BG"/>
        </w:rPr>
      </w:pPr>
      <w:r w:rsidRPr="00B501BB">
        <w:rPr>
          <w:lang w:val="bg-BG"/>
        </w:rPr>
        <w:fldChar w:fldCharType="begin"/>
      </w:r>
      <w:r w:rsidRPr="00B501BB">
        <w:rPr>
          <w:lang w:val="bg-BG"/>
        </w:rPr>
        <w:instrText xml:space="preserve"> SEQ level0 \*arabic </w:instrText>
      </w:r>
      <w:r w:rsidRPr="00B501BB">
        <w:rPr>
          <w:lang w:val="bg-BG"/>
        </w:rPr>
        <w:fldChar w:fldCharType="separate"/>
      </w:r>
      <w:r w:rsidR="00134118">
        <w:rPr>
          <w:noProof/>
          <w:lang w:val="bg-BG"/>
        </w:rPr>
        <w:t>40</w:t>
      </w:r>
      <w:r w:rsidRPr="00B501BB">
        <w:rPr>
          <w:lang w:val="bg-BG"/>
        </w:rPr>
        <w:fldChar w:fldCharType="end"/>
      </w:r>
      <w:r w:rsidRPr="00B501BB">
        <w:rPr>
          <w:lang w:val="bg-BG"/>
        </w:rPr>
        <w:t>.  </w:t>
      </w:r>
      <w:r w:rsidR="0092565A" w:rsidRPr="00B501BB">
        <w:rPr>
          <w:lang w:val="bg-BG"/>
        </w:rPr>
        <w:t>На</w:t>
      </w:r>
      <w:r w:rsidR="008223A1" w:rsidRPr="00B501BB">
        <w:rPr>
          <w:lang w:val="bg-BG"/>
        </w:rPr>
        <w:t xml:space="preserve"> 13 </w:t>
      </w:r>
      <w:r w:rsidR="0092565A" w:rsidRPr="00B501BB">
        <w:rPr>
          <w:lang w:val="bg-BG"/>
        </w:rPr>
        <w:t>февруари</w:t>
      </w:r>
      <w:r w:rsidR="008223A1" w:rsidRPr="00B501BB">
        <w:rPr>
          <w:lang w:val="bg-BG"/>
        </w:rPr>
        <w:t xml:space="preserve"> 2013</w:t>
      </w:r>
      <w:r w:rsidR="0092565A" w:rsidRPr="00B501BB">
        <w:rPr>
          <w:lang w:val="bg-BG"/>
        </w:rPr>
        <w:t xml:space="preserve"> г.</w:t>
      </w:r>
      <w:r w:rsidR="008223A1" w:rsidRPr="00B501BB">
        <w:rPr>
          <w:lang w:val="bg-BG"/>
        </w:rPr>
        <w:t xml:space="preserve">, </w:t>
      </w:r>
      <w:r w:rsidR="0092565A" w:rsidRPr="00B501BB">
        <w:rPr>
          <w:lang w:val="bg-BG"/>
        </w:rPr>
        <w:t>районният прокурор, натоварен с контрола над разследването, нарежда на следователя да</w:t>
      </w:r>
      <w:r w:rsidR="0092565A" w:rsidRPr="008849C3">
        <w:rPr>
          <w:lang w:val="bg-BG"/>
        </w:rPr>
        <w:t xml:space="preserve"> </w:t>
      </w:r>
      <w:r w:rsidR="00A77E82" w:rsidRPr="008849C3">
        <w:rPr>
          <w:lang w:val="bg-BG"/>
        </w:rPr>
        <w:t>предприеме</w:t>
      </w:r>
      <w:r w:rsidR="0092565A" w:rsidRPr="008849C3">
        <w:rPr>
          <w:lang w:val="bg-BG"/>
        </w:rPr>
        <w:t xml:space="preserve"> някои следствени действия, а име</w:t>
      </w:r>
      <w:r w:rsidR="00A77E82" w:rsidRPr="008849C3">
        <w:rPr>
          <w:lang w:val="bg-BG"/>
        </w:rPr>
        <w:t>нно да разпита петимата полиц</w:t>
      </w:r>
      <w:r w:rsidR="001315E0">
        <w:rPr>
          <w:lang w:val="bg-BG"/>
        </w:rPr>
        <w:t>ейски служители</w:t>
      </w:r>
      <w:r w:rsidR="00A77E82" w:rsidRPr="008849C3">
        <w:rPr>
          <w:lang w:val="bg-BG"/>
        </w:rPr>
        <w:t xml:space="preserve"> и оператора, заснел операцията, да извърши нов разпит </w:t>
      </w:r>
      <w:r w:rsidR="005B709A" w:rsidRPr="008849C3">
        <w:rPr>
          <w:lang w:val="bg-BG"/>
        </w:rPr>
        <w:t xml:space="preserve">на </w:t>
      </w:r>
      <w:r w:rsidR="005B709A" w:rsidRPr="008849C3">
        <w:rPr>
          <w:lang w:val="bg-BG"/>
        </w:rPr>
        <w:lastRenderedPageBreak/>
        <w:t>жалбоподателя, да организира</w:t>
      </w:r>
      <w:r w:rsidR="00A77E82" w:rsidRPr="008849C3">
        <w:rPr>
          <w:lang w:val="bg-BG"/>
        </w:rPr>
        <w:t xml:space="preserve"> </w:t>
      </w:r>
      <w:r w:rsidR="00340FF8" w:rsidRPr="008849C3">
        <w:rPr>
          <w:lang w:val="bg-BG"/>
        </w:rPr>
        <w:t>очни ставки между полиц</w:t>
      </w:r>
      <w:r w:rsidR="001315E0">
        <w:rPr>
          <w:lang w:val="bg-BG"/>
        </w:rPr>
        <w:t>ейските служители</w:t>
      </w:r>
      <w:r w:rsidR="00340FF8" w:rsidRPr="008849C3">
        <w:rPr>
          <w:lang w:val="bg-BG"/>
        </w:rPr>
        <w:t xml:space="preserve">, жалбоподателя и </w:t>
      </w:r>
      <w:r w:rsidR="001315E0">
        <w:rPr>
          <w:lang w:val="bg-BG"/>
        </w:rPr>
        <w:t>служителката</w:t>
      </w:r>
      <w:r w:rsidR="00340FF8" w:rsidRPr="008849C3">
        <w:rPr>
          <w:lang w:val="bg-BG"/>
        </w:rPr>
        <w:t xml:space="preserve"> Е.С</w:t>
      </w:r>
      <w:r w:rsidR="001315E0">
        <w:rPr>
          <w:lang w:val="bg-BG"/>
        </w:rPr>
        <w:t>.</w:t>
      </w:r>
      <w:r w:rsidR="00340FF8" w:rsidRPr="008849C3">
        <w:rPr>
          <w:lang w:val="bg-BG"/>
        </w:rPr>
        <w:t xml:space="preserve">, и да разпореди медицинска експертиза.  </w:t>
      </w:r>
    </w:p>
    <w:p w:rsidR="00220278" w:rsidRPr="008849C3" w:rsidRDefault="00A876ED"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41</w:t>
      </w:r>
      <w:r w:rsidRPr="008849C3">
        <w:rPr>
          <w:lang w:val="bg-BG"/>
        </w:rPr>
        <w:fldChar w:fldCharType="end"/>
      </w:r>
      <w:r w:rsidRPr="008849C3">
        <w:rPr>
          <w:lang w:val="bg-BG"/>
        </w:rPr>
        <w:t>.  </w:t>
      </w:r>
      <w:r w:rsidR="00340FF8" w:rsidRPr="008849C3">
        <w:rPr>
          <w:lang w:val="bg-BG"/>
        </w:rPr>
        <w:t>На</w:t>
      </w:r>
      <w:r w:rsidR="00220278" w:rsidRPr="008849C3">
        <w:rPr>
          <w:lang w:val="bg-BG"/>
        </w:rPr>
        <w:t xml:space="preserve"> 13 </w:t>
      </w:r>
      <w:r w:rsidR="00340FF8" w:rsidRPr="008849C3">
        <w:rPr>
          <w:lang w:val="bg-BG"/>
        </w:rPr>
        <w:t>и</w:t>
      </w:r>
      <w:r w:rsidR="00220278" w:rsidRPr="008849C3">
        <w:rPr>
          <w:lang w:val="bg-BG"/>
        </w:rPr>
        <w:t xml:space="preserve"> 14 </w:t>
      </w:r>
      <w:r w:rsidR="00340FF8" w:rsidRPr="008849C3">
        <w:rPr>
          <w:lang w:val="bg-BG"/>
        </w:rPr>
        <w:t>март</w:t>
      </w:r>
      <w:r w:rsidR="00220278" w:rsidRPr="008849C3">
        <w:rPr>
          <w:lang w:val="bg-BG"/>
        </w:rPr>
        <w:t xml:space="preserve"> 2013</w:t>
      </w:r>
      <w:r w:rsidR="00340FF8" w:rsidRPr="008849C3">
        <w:rPr>
          <w:lang w:val="bg-BG"/>
        </w:rPr>
        <w:t xml:space="preserve"> г. следователят провежда разпит на петимата полиц</w:t>
      </w:r>
      <w:r w:rsidR="001315E0">
        <w:rPr>
          <w:lang w:val="bg-BG"/>
        </w:rPr>
        <w:t>ейски служители</w:t>
      </w:r>
      <w:r w:rsidR="00340FF8" w:rsidRPr="008849C3">
        <w:rPr>
          <w:lang w:val="bg-BG"/>
        </w:rPr>
        <w:t xml:space="preserve"> и оператора, участвали в разследваната полицейска операция. В показанията си от </w:t>
      </w:r>
      <w:r w:rsidR="00BF4065" w:rsidRPr="008849C3">
        <w:rPr>
          <w:lang w:val="bg-BG"/>
        </w:rPr>
        <w:t xml:space="preserve">14 </w:t>
      </w:r>
      <w:r w:rsidR="00340FF8" w:rsidRPr="008849C3">
        <w:rPr>
          <w:lang w:val="bg-BG"/>
        </w:rPr>
        <w:t>март</w:t>
      </w:r>
      <w:r w:rsidR="00BF4065" w:rsidRPr="008849C3">
        <w:rPr>
          <w:lang w:val="bg-BG"/>
        </w:rPr>
        <w:t xml:space="preserve"> 2013</w:t>
      </w:r>
      <w:r w:rsidR="00340FF8" w:rsidRPr="008849C3">
        <w:rPr>
          <w:lang w:val="bg-BG"/>
        </w:rPr>
        <w:t xml:space="preserve"> г. полиц</w:t>
      </w:r>
      <w:r w:rsidR="001315E0">
        <w:rPr>
          <w:lang w:val="bg-BG"/>
        </w:rPr>
        <w:t>ейския служител</w:t>
      </w:r>
      <w:r w:rsidR="00340FF8" w:rsidRPr="008849C3">
        <w:rPr>
          <w:lang w:val="bg-BG"/>
        </w:rPr>
        <w:t xml:space="preserve"> В. С. заявява, че пръв от своя отряд за </w:t>
      </w:r>
      <w:r w:rsidR="002F0C8B" w:rsidRPr="008849C3">
        <w:rPr>
          <w:lang w:val="bg-BG"/>
        </w:rPr>
        <w:t xml:space="preserve">действие е влязъл в нотариалната кантора и е </w:t>
      </w:r>
      <w:r w:rsidR="00CA7BA4">
        <w:rPr>
          <w:lang w:val="bg-BG"/>
        </w:rPr>
        <w:t>обезоръжил</w:t>
      </w:r>
      <w:r w:rsidR="002F0C8B" w:rsidRPr="008849C3">
        <w:rPr>
          <w:lang w:val="bg-BG"/>
        </w:rPr>
        <w:t xml:space="preserve"> жалбоподателя с помощта на техника за обездвижване. </w:t>
      </w:r>
      <w:r w:rsidR="00340FF8" w:rsidRPr="008849C3">
        <w:rPr>
          <w:lang w:val="bg-BG"/>
        </w:rPr>
        <w:t xml:space="preserve"> </w:t>
      </w:r>
    </w:p>
    <w:p w:rsidR="00971AE8" w:rsidRPr="008849C3" w:rsidRDefault="00A876ED"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42</w:t>
      </w:r>
      <w:r w:rsidRPr="008849C3">
        <w:rPr>
          <w:lang w:val="bg-BG"/>
        </w:rPr>
        <w:fldChar w:fldCharType="end"/>
      </w:r>
      <w:r w:rsidRPr="008849C3">
        <w:rPr>
          <w:lang w:val="bg-BG"/>
        </w:rPr>
        <w:t>.  </w:t>
      </w:r>
      <w:r w:rsidR="002F0C8B" w:rsidRPr="008849C3">
        <w:rPr>
          <w:lang w:val="bg-BG"/>
        </w:rPr>
        <w:t xml:space="preserve">Медицинската експертиза е извършена през юни </w:t>
      </w:r>
      <w:r w:rsidR="00594F86" w:rsidRPr="008849C3">
        <w:rPr>
          <w:lang w:val="bg-BG"/>
        </w:rPr>
        <w:t>2013</w:t>
      </w:r>
      <w:r w:rsidR="002F0C8B" w:rsidRPr="008849C3">
        <w:rPr>
          <w:lang w:val="bg-BG"/>
        </w:rPr>
        <w:t xml:space="preserve"> г</w:t>
      </w:r>
      <w:r w:rsidR="00594F86" w:rsidRPr="008849C3">
        <w:rPr>
          <w:lang w:val="bg-BG"/>
        </w:rPr>
        <w:t>.</w:t>
      </w:r>
    </w:p>
    <w:p w:rsidR="00344869" w:rsidRPr="008849C3" w:rsidRDefault="0034486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43</w:t>
      </w:r>
      <w:r w:rsidRPr="008849C3">
        <w:rPr>
          <w:lang w:val="bg-BG"/>
        </w:rPr>
        <w:fldChar w:fldCharType="end"/>
      </w:r>
      <w:r w:rsidRPr="008849C3">
        <w:rPr>
          <w:lang w:val="bg-BG"/>
        </w:rPr>
        <w:t>.  </w:t>
      </w:r>
      <w:r w:rsidR="003D4C03" w:rsidRPr="008849C3">
        <w:rPr>
          <w:lang w:val="bg-BG"/>
        </w:rPr>
        <w:t>На</w:t>
      </w:r>
      <w:r w:rsidRPr="008849C3">
        <w:rPr>
          <w:lang w:val="bg-BG"/>
        </w:rPr>
        <w:t xml:space="preserve"> 22 </w:t>
      </w:r>
      <w:r w:rsidR="003D4C03" w:rsidRPr="008849C3">
        <w:rPr>
          <w:lang w:val="bg-BG"/>
        </w:rPr>
        <w:t>юли</w:t>
      </w:r>
      <w:r w:rsidRPr="008849C3">
        <w:rPr>
          <w:lang w:val="bg-BG"/>
        </w:rPr>
        <w:t xml:space="preserve"> 2013</w:t>
      </w:r>
      <w:r w:rsidR="003D4C03" w:rsidRPr="008849C3">
        <w:rPr>
          <w:lang w:val="bg-BG"/>
        </w:rPr>
        <w:t xml:space="preserve"> г. следователят изпраща </w:t>
      </w:r>
      <w:r w:rsidR="0075487C" w:rsidRPr="008849C3">
        <w:rPr>
          <w:lang w:val="bg-BG"/>
        </w:rPr>
        <w:t xml:space="preserve">документацията по разследването в районната прокуратура, като й предлага да </w:t>
      </w:r>
      <w:r w:rsidR="00AF3571" w:rsidRPr="008849C3">
        <w:rPr>
          <w:lang w:val="bg-BG"/>
        </w:rPr>
        <w:t>прекрати</w:t>
      </w:r>
      <w:r w:rsidR="0075487C" w:rsidRPr="008849C3">
        <w:rPr>
          <w:lang w:val="bg-BG"/>
        </w:rPr>
        <w:t xml:space="preserve"> наказателното </w:t>
      </w:r>
      <w:r w:rsidR="001315E0">
        <w:rPr>
          <w:lang w:val="bg-BG"/>
        </w:rPr>
        <w:t>производство</w:t>
      </w:r>
      <w:r w:rsidR="001315E0" w:rsidRPr="008849C3">
        <w:rPr>
          <w:lang w:val="bg-BG"/>
        </w:rPr>
        <w:t xml:space="preserve"> </w:t>
      </w:r>
      <w:r w:rsidR="0075487C" w:rsidRPr="008849C3">
        <w:rPr>
          <w:lang w:val="bg-BG"/>
        </w:rPr>
        <w:t>поради липса на доказателства, сочещи че полиц</w:t>
      </w:r>
      <w:r w:rsidR="001315E0">
        <w:rPr>
          <w:lang w:val="bg-BG"/>
        </w:rPr>
        <w:t>ейския служител</w:t>
      </w:r>
      <w:r w:rsidR="0075487C" w:rsidRPr="008849C3">
        <w:rPr>
          <w:lang w:val="bg-BG"/>
        </w:rPr>
        <w:t xml:space="preserve"> В. С. умишлено е наранил жалбоподателя. </w:t>
      </w:r>
    </w:p>
    <w:p w:rsidR="00283D37" w:rsidRPr="008849C3" w:rsidRDefault="008A123B"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44</w:t>
      </w:r>
      <w:r w:rsidRPr="008849C3">
        <w:rPr>
          <w:lang w:val="bg-BG"/>
        </w:rPr>
        <w:fldChar w:fldCharType="end"/>
      </w:r>
      <w:r w:rsidRPr="008849C3">
        <w:rPr>
          <w:lang w:val="bg-BG"/>
        </w:rPr>
        <w:t>.  </w:t>
      </w:r>
      <w:r w:rsidR="0075487C" w:rsidRPr="008849C3">
        <w:rPr>
          <w:lang w:val="bg-BG"/>
        </w:rPr>
        <w:t xml:space="preserve">С постановление от </w:t>
      </w:r>
      <w:r w:rsidRPr="008849C3">
        <w:rPr>
          <w:lang w:val="bg-BG"/>
        </w:rPr>
        <w:t xml:space="preserve">24 </w:t>
      </w:r>
      <w:r w:rsidR="0075487C" w:rsidRPr="008849C3">
        <w:rPr>
          <w:lang w:val="bg-BG"/>
        </w:rPr>
        <w:t>юли</w:t>
      </w:r>
      <w:r w:rsidRPr="008849C3">
        <w:rPr>
          <w:lang w:val="bg-BG"/>
        </w:rPr>
        <w:t xml:space="preserve"> 2013</w:t>
      </w:r>
      <w:r w:rsidR="0075487C" w:rsidRPr="008849C3">
        <w:rPr>
          <w:lang w:val="bg-BG"/>
        </w:rPr>
        <w:t xml:space="preserve"> г. районният прокурор</w:t>
      </w:r>
      <w:r w:rsidR="007B2AC5" w:rsidRPr="008849C3">
        <w:rPr>
          <w:lang w:val="bg-BG"/>
        </w:rPr>
        <w:t xml:space="preserve"> прекратява</w:t>
      </w:r>
      <w:r w:rsidR="00AF3571" w:rsidRPr="008849C3">
        <w:rPr>
          <w:lang w:val="bg-BG"/>
        </w:rPr>
        <w:t xml:space="preserve"> разследването с мотива, че не е установена самоличността на извършителя на престъплението.</w:t>
      </w:r>
      <w:r w:rsidR="007B2AC5" w:rsidRPr="008849C3">
        <w:rPr>
          <w:lang w:val="bg-BG"/>
        </w:rPr>
        <w:t xml:space="preserve"> </w:t>
      </w:r>
      <w:r w:rsidR="00AF3571" w:rsidRPr="008849C3">
        <w:rPr>
          <w:lang w:val="bg-BG"/>
        </w:rPr>
        <w:t xml:space="preserve">Жалбоподателят обжалва това постановление пред </w:t>
      </w:r>
      <w:r w:rsidR="002D0EE9" w:rsidRPr="008849C3">
        <w:rPr>
          <w:lang w:val="bg-BG"/>
        </w:rPr>
        <w:t>Софийски районен съд.</w:t>
      </w:r>
    </w:p>
    <w:p w:rsidR="003D13E6" w:rsidRPr="008849C3" w:rsidRDefault="003D13E6"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45</w:t>
      </w:r>
      <w:r w:rsidRPr="008849C3">
        <w:rPr>
          <w:lang w:val="bg-BG"/>
        </w:rPr>
        <w:fldChar w:fldCharType="end"/>
      </w:r>
      <w:r w:rsidRPr="008849C3">
        <w:rPr>
          <w:lang w:val="bg-BG"/>
        </w:rPr>
        <w:t>.  </w:t>
      </w:r>
      <w:r w:rsidR="002D0EE9" w:rsidRPr="008849C3">
        <w:rPr>
          <w:lang w:val="bg-BG"/>
        </w:rPr>
        <w:t xml:space="preserve">С решение от 9 септември 2013 г. Софийски районен съд отменя постановлението на прокурора и връща делото за допълнително разследване.   </w:t>
      </w:r>
    </w:p>
    <w:p w:rsidR="00CC19F8" w:rsidRPr="008849C3" w:rsidRDefault="00CC19F8"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46</w:t>
      </w:r>
      <w:r w:rsidRPr="008849C3">
        <w:rPr>
          <w:lang w:val="bg-BG"/>
        </w:rPr>
        <w:fldChar w:fldCharType="end"/>
      </w:r>
      <w:r w:rsidRPr="008849C3">
        <w:rPr>
          <w:lang w:val="bg-BG"/>
        </w:rPr>
        <w:t>.  </w:t>
      </w:r>
      <w:r w:rsidR="002D0EE9" w:rsidRPr="008849C3">
        <w:rPr>
          <w:lang w:val="bg-BG"/>
        </w:rPr>
        <w:t>С постановление от</w:t>
      </w:r>
      <w:r w:rsidRPr="008849C3">
        <w:rPr>
          <w:lang w:val="bg-BG"/>
        </w:rPr>
        <w:t xml:space="preserve"> </w:t>
      </w:r>
      <w:r w:rsidR="00DC48C0" w:rsidRPr="008849C3">
        <w:rPr>
          <w:lang w:val="bg-BG"/>
        </w:rPr>
        <w:t xml:space="preserve">21 </w:t>
      </w:r>
      <w:r w:rsidR="002D0EE9" w:rsidRPr="008849C3">
        <w:rPr>
          <w:lang w:val="bg-BG"/>
        </w:rPr>
        <w:t>март</w:t>
      </w:r>
      <w:r w:rsidR="00DC48C0" w:rsidRPr="008849C3">
        <w:rPr>
          <w:lang w:val="bg-BG"/>
        </w:rPr>
        <w:t xml:space="preserve"> 2014</w:t>
      </w:r>
      <w:r w:rsidR="002D0EE9" w:rsidRPr="008849C3">
        <w:rPr>
          <w:lang w:val="bg-BG"/>
        </w:rPr>
        <w:t xml:space="preserve"> г. районният прокурор на София прекратява наказателното </w:t>
      </w:r>
      <w:r w:rsidR="001315E0">
        <w:rPr>
          <w:lang w:val="bg-BG"/>
        </w:rPr>
        <w:t>производство</w:t>
      </w:r>
      <w:r w:rsidR="001315E0" w:rsidRPr="008849C3">
        <w:rPr>
          <w:lang w:val="bg-BG"/>
        </w:rPr>
        <w:t xml:space="preserve"> </w:t>
      </w:r>
      <w:r w:rsidR="002D0EE9" w:rsidRPr="008849C3">
        <w:rPr>
          <w:lang w:val="bg-BG"/>
        </w:rPr>
        <w:t xml:space="preserve">поради </w:t>
      </w:r>
      <w:r w:rsidR="0001064C" w:rsidRPr="008849C3">
        <w:rPr>
          <w:lang w:val="bg-BG"/>
        </w:rPr>
        <w:t xml:space="preserve">изтичане на </w:t>
      </w:r>
      <w:r w:rsidR="002D0EE9" w:rsidRPr="008849C3">
        <w:rPr>
          <w:lang w:val="bg-BG"/>
        </w:rPr>
        <w:t xml:space="preserve">давност. Прокурорът констатира, че абсолютната давност е </w:t>
      </w:r>
      <w:r w:rsidR="001315E0">
        <w:rPr>
          <w:lang w:val="bg-BG"/>
        </w:rPr>
        <w:t>настъпила</w:t>
      </w:r>
      <w:r w:rsidR="001315E0" w:rsidRPr="008849C3">
        <w:rPr>
          <w:lang w:val="bg-BG"/>
        </w:rPr>
        <w:t xml:space="preserve"> </w:t>
      </w:r>
      <w:r w:rsidR="002D0EE9" w:rsidRPr="008849C3">
        <w:rPr>
          <w:lang w:val="bg-BG"/>
        </w:rPr>
        <w:t xml:space="preserve">три години </w:t>
      </w:r>
      <w:r w:rsidR="001315E0">
        <w:rPr>
          <w:lang w:val="bg-BG"/>
        </w:rPr>
        <w:t>от извършване на деянието</w:t>
      </w:r>
      <w:r w:rsidR="002D0EE9" w:rsidRPr="008849C3">
        <w:rPr>
          <w:lang w:val="bg-BG"/>
        </w:rPr>
        <w:t xml:space="preserve">, или на 1 април 2013 г. </w:t>
      </w:r>
    </w:p>
    <w:p w:rsidR="00D218D8" w:rsidRPr="008849C3" w:rsidRDefault="001B5F59" w:rsidP="006B0E9F">
      <w:pPr>
        <w:pStyle w:val="ECHRHeading2"/>
        <w:rPr>
          <w:lang w:val="bg-BG"/>
        </w:rPr>
      </w:pPr>
      <w:r>
        <w:rPr>
          <w:lang w:val="bg-BG"/>
        </w:rPr>
        <w:t>Д</w:t>
      </w:r>
      <w:r w:rsidR="007A2B72" w:rsidRPr="008849C3">
        <w:rPr>
          <w:lang w:val="bg-BG"/>
        </w:rPr>
        <w:t>.  </w:t>
      </w:r>
      <w:r w:rsidR="0001064C" w:rsidRPr="008849C3">
        <w:rPr>
          <w:lang w:val="bg-BG"/>
        </w:rPr>
        <w:t>Запорът на имуществото на жалбоподателите в приложение на закона от 2005 г. за отнемане в полза на държавата на имущество, придобито от престъпна дейност (наричан по-долу „законът от 2005 г.“</w:t>
      </w:r>
      <w:r w:rsidR="003B3B1E" w:rsidRPr="008849C3">
        <w:rPr>
          <w:lang w:val="bg-BG"/>
        </w:rPr>
        <w:t>)</w:t>
      </w:r>
    </w:p>
    <w:p w:rsidR="0075406C" w:rsidRPr="008849C3" w:rsidRDefault="0075406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47</w:t>
      </w:r>
      <w:r w:rsidRPr="008849C3">
        <w:rPr>
          <w:lang w:val="bg-BG"/>
        </w:rPr>
        <w:fldChar w:fldCharType="end"/>
      </w:r>
      <w:r w:rsidRPr="008849C3">
        <w:rPr>
          <w:lang w:val="bg-BG"/>
        </w:rPr>
        <w:t>.  </w:t>
      </w:r>
      <w:r w:rsidR="0001064C" w:rsidRPr="008849C3">
        <w:rPr>
          <w:lang w:val="bg-BG"/>
        </w:rPr>
        <w:t xml:space="preserve">След откриването на наказателното </w:t>
      </w:r>
      <w:r w:rsidR="00AC19B5">
        <w:rPr>
          <w:lang w:val="bg-BG"/>
        </w:rPr>
        <w:t>производство</w:t>
      </w:r>
      <w:r w:rsidR="00AC19B5" w:rsidRPr="008849C3">
        <w:rPr>
          <w:lang w:val="bg-BG"/>
        </w:rPr>
        <w:t xml:space="preserve"> </w:t>
      </w:r>
      <w:r w:rsidR="0001064C" w:rsidRPr="008849C3">
        <w:rPr>
          <w:lang w:val="bg-BG"/>
        </w:rPr>
        <w:t xml:space="preserve">срещу жалбоподателя комисията, натоварена с прилагането на закона от 2005 г. („комисията“) </w:t>
      </w:r>
      <w:r w:rsidR="00AC19B5">
        <w:rPr>
          <w:lang w:val="bg-BG"/>
        </w:rPr>
        <w:t>образува</w:t>
      </w:r>
      <w:r w:rsidR="00AC19B5" w:rsidRPr="008849C3">
        <w:rPr>
          <w:lang w:val="bg-BG"/>
        </w:rPr>
        <w:t xml:space="preserve"> </w:t>
      </w:r>
      <w:r w:rsidR="0001064C" w:rsidRPr="008849C3">
        <w:rPr>
          <w:lang w:val="bg-BG"/>
        </w:rPr>
        <w:t xml:space="preserve">спрямо жалбоподателите </w:t>
      </w:r>
      <w:r w:rsidR="00AC19B5">
        <w:rPr>
          <w:lang w:val="bg-BG"/>
        </w:rPr>
        <w:t>производство по отнемане</w:t>
      </w:r>
      <w:r w:rsidR="0001064C" w:rsidRPr="008849C3">
        <w:rPr>
          <w:lang w:val="bg-BG"/>
        </w:rPr>
        <w:t xml:space="preserve"> на имуществото. В рамките на </w:t>
      </w:r>
      <w:r w:rsidR="00AC19B5">
        <w:rPr>
          <w:lang w:val="bg-BG"/>
        </w:rPr>
        <w:t>производството</w:t>
      </w:r>
      <w:r w:rsidR="0001064C" w:rsidRPr="008849C3">
        <w:rPr>
          <w:lang w:val="bg-BG"/>
        </w:rPr>
        <w:t xml:space="preserve"> на 4 август 2010 г. комисията иска от Софийски градски съд налагането на обезпечителни мерки </w:t>
      </w:r>
      <w:r w:rsidR="008F6570">
        <w:rPr>
          <w:lang w:val="bg-BG"/>
        </w:rPr>
        <w:t>върху</w:t>
      </w:r>
      <w:r w:rsidR="0001064C" w:rsidRPr="008849C3">
        <w:rPr>
          <w:lang w:val="bg-BG"/>
        </w:rPr>
        <w:t xml:space="preserve"> различно имущество, собственост на жалбоподателите</w:t>
      </w:r>
      <w:r w:rsidR="00CB6F34" w:rsidRPr="008849C3">
        <w:rPr>
          <w:lang w:val="bg-BG"/>
        </w:rPr>
        <w:t xml:space="preserve"> (</w:t>
      </w:r>
      <w:r w:rsidR="0001064C" w:rsidRPr="008849C3">
        <w:rPr>
          <w:lang w:val="bg-BG"/>
        </w:rPr>
        <w:t>банкови сметки, недвижими имоти, автомобили</w:t>
      </w:r>
      <w:r w:rsidR="00CB6F34" w:rsidRPr="008849C3">
        <w:rPr>
          <w:lang w:val="bg-BG"/>
        </w:rPr>
        <w:t>)</w:t>
      </w:r>
      <w:r w:rsidR="0001064C" w:rsidRPr="008849C3">
        <w:rPr>
          <w:lang w:val="bg-BG"/>
        </w:rPr>
        <w:t>,</w:t>
      </w:r>
      <w:r w:rsidRPr="008849C3">
        <w:rPr>
          <w:lang w:val="bg-BG"/>
        </w:rPr>
        <w:t xml:space="preserve"> </w:t>
      </w:r>
      <w:r w:rsidR="008F6570">
        <w:rPr>
          <w:lang w:val="bg-BG"/>
        </w:rPr>
        <w:t>кое</w:t>
      </w:r>
      <w:r w:rsidR="0001064C" w:rsidRPr="008849C3">
        <w:rPr>
          <w:lang w:val="bg-BG"/>
        </w:rPr>
        <w:t>то мо</w:t>
      </w:r>
      <w:r w:rsidR="008F6570">
        <w:rPr>
          <w:lang w:val="bg-BG"/>
        </w:rPr>
        <w:t>же да представлява</w:t>
      </w:r>
      <w:r w:rsidR="0001064C" w:rsidRPr="008849C3">
        <w:rPr>
          <w:lang w:val="bg-BG"/>
        </w:rPr>
        <w:t xml:space="preserve"> предмет на бъдеща конфискация в приложение на закона от 2005 г. Молбата на комисията е разгледана и приета от Софийски градски съд на 6 август 2010 г. Обжалването на това решение от жалбоподателите е отхвърлено на 4 октомври 201</w:t>
      </w:r>
      <w:r w:rsidR="00630A00" w:rsidRPr="008849C3">
        <w:rPr>
          <w:lang w:val="bg-BG"/>
        </w:rPr>
        <w:t>0 г. от Софийски апелативен съд, а касационната им жалба е обявена за недопустима на 14 декември 2010 г. от Върховния касационен съд.</w:t>
      </w:r>
    </w:p>
    <w:p w:rsidR="00AF72E6" w:rsidRPr="008849C3" w:rsidRDefault="00AF72E6" w:rsidP="006B0E9F">
      <w:pPr>
        <w:pStyle w:val="ECHRPara"/>
        <w:rPr>
          <w:lang w:val="bg-BG"/>
        </w:rPr>
      </w:pPr>
      <w:r w:rsidRPr="008849C3">
        <w:rPr>
          <w:lang w:val="bg-BG"/>
        </w:rPr>
        <w:lastRenderedPageBreak/>
        <w:fldChar w:fldCharType="begin"/>
      </w:r>
      <w:r w:rsidRPr="008849C3">
        <w:rPr>
          <w:lang w:val="bg-BG"/>
        </w:rPr>
        <w:instrText xml:space="preserve"> SEQ level0 \*arabic </w:instrText>
      </w:r>
      <w:r w:rsidRPr="008849C3">
        <w:rPr>
          <w:lang w:val="bg-BG"/>
        </w:rPr>
        <w:fldChar w:fldCharType="separate"/>
      </w:r>
      <w:r w:rsidR="00134118">
        <w:rPr>
          <w:noProof/>
          <w:lang w:val="bg-BG"/>
        </w:rPr>
        <w:t>48</w:t>
      </w:r>
      <w:r w:rsidRPr="008849C3">
        <w:rPr>
          <w:lang w:val="bg-BG"/>
        </w:rPr>
        <w:fldChar w:fldCharType="end"/>
      </w:r>
      <w:r w:rsidRPr="008849C3">
        <w:rPr>
          <w:lang w:val="bg-BG"/>
        </w:rPr>
        <w:t>.  </w:t>
      </w:r>
      <w:r w:rsidR="00630A00" w:rsidRPr="008849C3">
        <w:rPr>
          <w:lang w:val="bg-BG"/>
        </w:rPr>
        <w:t xml:space="preserve">Жалбоподателите не уточняват дали са поискали отмяната на разглежданите обезпечителни мерки след оправдаването на г-н Попов. </w:t>
      </w:r>
      <w:r w:rsidRPr="008849C3">
        <w:rPr>
          <w:lang w:val="bg-BG"/>
        </w:rPr>
        <w:t xml:space="preserve"> </w:t>
      </w:r>
    </w:p>
    <w:p w:rsidR="00E77CB3" w:rsidRPr="008849C3" w:rsidRDefault="00E77CB3" w:rsidP="006B0E9F">
      <w:pPr>
        <w:pStyle w:val="ECHRHeading1"/>
        <w:rPr>
          <w:lang w:val="bg-BG"/>
        </w:rPr>
      </w:pPr>
      <w:r w:rsidRPr="008849C3">
        <w:rPr>
          <w:lang w:val="bg-BG"/>
        </w:rPr>
        <w:t>II.  </w:t>
      </w:r>
      <w:r w:rsidR="00630A00" w:rsidRPr="008849C3">
        <w:rPr>
          <w:lang w:val="bg-BG"/>
        </w:rPr>
        <w:t xml:space="preserve">ПРИЛОЖИМО ВЪТРЕШНО ПРАВО И СЪДЕБНА ПРАКТИКА   </w:t>
      </w:r>
    </w:p>
    <w:p w:rsidR="00A365AC" w:rsidRPr="008849C3" w:rsidRDefault="00A365AC" w:rsidP="006B0E9F">
      <w:pPr>
        <w:pStyle w:val="ECHRHeading2"/>
        <w:rPr>
          <w:lang w:val="bg-BG"/>
        </w:rPr>
      </w:pPr>
      <w:r w:rsidRPr="008849C3">
        <w:rPr>
          <w:lang w:val="bg-BG"/>
        </w:rPr>
        <w:t>A.  </w:t>
      </w:r>
      <w:r w:rsidR="00AC19B5">
        <w:rPr>
          <w:lang w:val="bg-BG"/>
        </w:rPr>
        <w:t>Мярката</w:t>
      </w:r>
      <w:r w:rsidR="00630A00" w:rsidRPr="008849C3">
        <w:rPr>
          <w:lang w:val="bg-BG"/>
        </w:rPr>
        <w:t xml:space="preserve"> </w:t>
      </w:r>
      <w:r w:rsidR="00AC19B5">
        <w:rPr>
          <w:lang w:val="bg-BG"/>
        </w:rPr>
        <w:t>з</w:t>
      </w:r>
      <w:r w:rsidR="00630A00" w:rsidRPr="008849C3">
        <w:rPr>
          <w:lang w:val="bg-BG"/>
        </w:rPr>
        <w:t>а претърсване и изземване</w:t>
      </w:r>
      <w:r w:rsidR="00A07C2D" w:rsidRPr="008849C3">
        <w:rPr>
          <w:lang w:val="bg-BG"/>
        </w:rPr>
        <w:t xml:space="preserve"> </w:t>
      </w:r>
    </w:p>
    <w:p w:rsidR="00A365AC"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49</w:t>
      </w:r>
      <w:r w:rsidRPr="008849C3">
        <w:rPr>
          <w:lang w:val="bg-BG"/>
        </w:rPr>
        <w:fldChar w:fldCharType="end"/>
      </w:r>
      <w:r w:rsidR="00E77CB3" w:rsidRPr="008849C3">
        <w:rPr>
          <w:lang w:val="bg-BG"/>
        </w:rPr>
        <w:t>.  </w:t>
      </w:r>
      <w:r w:rsidR="00CA7BA4">
        <w:rPr>
          <w:lang w:val="bg-BG"/>
        </w:rPr>
        <w:t>Чл</w:t>
      </w:r>
      <w:r w:rsidR="00AC19B5">
        <w:rPr>
          <w:lang w:val="bg-BG"/>
        </w:rPr>
        <w:t>.</w:t>
      </w:r>
      <w:r w:rsidR="00A365AC" w:rsidRPr="008849C3">
        <w:rPr>
          <w:lang w:val="bg-BG"/>
        </w:rPr>
        <w:t xml:space="preserve"> </w:t>
      </w:r>
      <w:r w:rsidR="00630A00" w:rsidRPr="008849C3">
        <w:rPr>
          <w:lang w:val="bg-BG"/>
        </w:rPr>
        <w:t xml:space="preserve">160 до </w:t>
      </w:r>
      <w:r w:rsidR="00A365AC" w:rsidRPr="008849C3">
        <w:rPr>
          <w:lang w:val="bg-BG"/>
        </w:rPr>
        <w:t xml:space="preserve">163 </w:t>
      </w:r>
      <w:r w:rsidR="00630A00" w:rsidRPr="008849C3">
        <w:rPr>
          <w:lang w:val="bg-BG"/>
        </w:rPr>
        <w:t>от Наказателно-процесуалния кодекс (НПК) уреждат претърсването и изземването</w:t>
      </w:r>
      <w:r w:rsidR="003171AB" w:rsidRPr="008849C3">
        <w:rPr>
          <w:lang w:val="bg-BG"/>
        </w:rPr>
        <w:t xml:space="preserve">, извършвани в рамките на наказателното производство. Текстът на тези разпоредби и кратко описание на вътрешната съдебна практика в тяхно приложение могат да бъдат открити в решението </w:t>
      </w:r>
      <w:r w:rsidR="003171AB" w:rsidRPr="008849C3">
        <w:rPr>
          <w:i/>
          <w:lang w:val="bg-BG"/>
        </w:rPr>
        <w:t xml:space="preserve">Гуцанови срещу България, № </w:t>
      </w:r>
      <w:r w:rsidR="003171AB" w:rsidRPr="008849C3">
        <w:rPr>
          <w:lang w:val="bg-BG"/>
        </w:rPr>
        <w:t>34529/10</w:t>
      </w:r>
      <w:r w:rsidR="003171AB" w:rsidRPr="008849C3">
        <w:rPr>
          <w:snapToGrid w:val="0"/>
          <w:lang w:val="bg-BG"/>
        </w:rPr>
        <w:t xml:space="preserve">, параграфи 59 и 60, </w:t>
      </w:r>
      <w:r w:rsidR="003171AB" w:rsidRPr="008849C3">
        <w:rPr>
          <w:lang w:val="bg-BG"/>
        </w:rPr>
        <w:t>ЕСПЧ 2013 г. (извлечения)</w:t>
      </w:r>
      <w:r w:rsidR="00A365AC" w:rsidRPr="008849C3">
        <w:rPr>
          <w:lang w:val="bg-BG"/>
        </w:rPr>
        <w:t>.</w:t>
      </w:r>
    </w:p>
    <w:p w:rsidR="00471917" w:rsidRPr="008849C3" w:rsidRDefault="001B5F59" w:rsidP="006B0E9F">
      <w:pPr>
        <w:pStyle w:val="ECHRHeading2"/>
        <w:rPr>
          <w:lang w:val="bg-BG"/>
        </w:rPr>
      </w:pPr>
      <w:r>
        <w:rPr>
          <w:lang w:val="bg-BG"/>
        </w:rPr>
        <w:t>Б</w:t>
      </w:r>
      <w:r w:rsidR="00F12292" w:rsidRPr="008849C3">
        <w:rPr>
          <w:lang w:val="bg-BG"/>
        </w:rPr>
        <w:t>.  </w:t>
      </w:r>
      <w:r w:rsidR="00F2042D" w:rsidRPr="008849C3">
        <w:rPr>
          <w:lang w:val="bg-BG"/>
        </w:rPr>
        <w:t xml:space="preserve">Отнемане в полза на държавата на имущество, придобито от престъпна дейност </w:t>
      </w:r>
    </w:p>
    <w:p w:rsidR="00F12292" w:rsidRPr="008849C3" w:rsidRDefault="00FE7B9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50</w:t>
      </w:r>
      <w:r w:rsidRPr="008849C3">
        <w:rPr>
          <w:lang w:val="bg-BG"/>
        </w:rPr>
        <w:fldChar w:fldCharType="end"/>
      </w:r>
      <w:r w:rsidRPr="008849C3">
        <w:rPr>
          <w:lang w:val="bg-BG"/>
        </w:rPr>
        <w:t>.  </w:t>
      </w:r>
      <w:r w:rsidR="00F2042D" w:rsidRPr="008849C3">
        <w:rPr>
          <w:lang w:val="bg-BG"/>
        </w:rPr>
        <w:t>Законът от</w:t>
      </w:r>
      <w:r w:rsidR="00A07C2D" w:rsidRPr="008849C3">
        <w:rPr>
          <w:lang w:val="bg-BG"/>
        </w:rPr>
        <w:t xml:space="preserve"> 2005</w:t>
      </w:r>
      <w:r w:rsidR="00F2042D" w:rsidRPr="008849C3">
        <w:rPr>
          <w:lang w:val="bg-BG"/>
        </w:rPr>
        <w:t xml:space="preserve"> г.</w:t>
      </w:r>
      <w:r w:rsidR="00D16306" w:rsidRPr="008849C3">
        <w:rPr>
          <w:lang w:val="bg-BG"/>
        </w:rPr>
        <w:t xml:space="preserve">, </w:t>
      </w:r>
      <w:r w:rsidR="00F2042D" w:rsidRPr="008849C3">
        <w:rPr>
          <w:lang w:val="bg-BG"/>
        </w:rPr>
        <w:t>в сила от март</w:t>
      </w:r>
      <w:r w:rsidRPr="008849C3">
        <w:rPr>
          <w:lang w:val="bg-BG"/>
        </w:rPr>
        <w:t xml:space="preserve"> 2005 </w:t>
      </w:r>
      <w:r w:rsidR="00F2042D" w:rsidRPr="008849C3">
        <w:rPr>
          <w:lang w:val="bg-BG"/>
        </w:rPr>
        <w:t>до ноември</w:t>
      </w:r>
      <w:r w:rsidR="00276C60" w:rsidRPr="008849C3">
        <w:rPr>
          <w:lang w:val="bg-BG"/>
        </w:rPr>
        <w:t xml:space="preserve"> </w:t>
      </w:r>
      <w:r w:rsidRPr="008849C3">
        <w:rPr>
          <w:lang w:val="bg-BG"/>
        </w:rPr>
        <w:t>2012</w:t>
      </w:r>
      <w:r w:rsidR="00F2042D" w:rsidRPr="008849C3">
        <w:rPr>
          <w:lang w:val="bg-BG"/>
        </w:rPr>
        <w:t xml:space="preserve"> г.</w:t>
      </w:r>
      <w:r w:rsidR="00D16306" w:rsidRPr="008849C3">
        <w:rPr>
          <w:lang w:val="bg-BG"/>
        </w:rPr>
        <w:t xml:space="preserve">, </w:t>
      </w:r>
      <w:r w:rsidR="00F2042D" w:rsidRPr="008849C3">
        <w:rPr>
          <w:lang w:val="bg-BG"/>
        </w:rPr>
        <w:t xml:space="preserve">е заменен през </w:t>
      </w:r>
      <w:r w:rsidRPr="008849C3">
        <w:rPr>
          <w:lang w:val="bg-BG"/>
        </w:rPr>
        <w:t xml:space="preserve">2012 </w:t>
      </w:r>
      <w:r w:rsidR="00386AF8" w:rsidRPr="008849C3">
        <w:rPr>
          <w:lang w:val="bg-BG"/>
        </w:rPr>
        <w:t>г. с нов закон за отнемане в полза на държавата на незаконно придобито имущество („законът от</w:t>
      </w:r>
      <w:r w:rsidR="004D6200" w:rsidRPr="008849C3">
        <w:rPr>
          <w:lang w:val="bg-BG"/>
        </w:rPr>
        <w:t xml:space="preserve"> 2012</w:t>
      </w:r>
      <w:r w:rsidR="00386AF8" w:rsidRPr="008849C3">
        <w:rPr>
          <w:lang w:val="bg-BG"/>
        </w:rPr>
        <w:t xml:space="preserve"> г.“</w:t>
      </w:r>
      <w:r w:rsidR="004D6200" w:rsidRPr="008849C3">
        <w:rPr>
          <w:lang w:val="bg-BG"/>
        </w:rPr>
        <w:t>)</w:t>
      </w:r>
      <w:r w:rsidRPr="008849C3">
        <w:rPr>
          <w:lang w:val="bg-BG"/>
        </w:rPr>
        <w:t xml:space="preserve">. </w:t>
      </w:r>
      <w:r w:rsidR="00386AF8" w:rsidRPr="008849C3">
        <w:rPr>
          <w:lang w:val="bg-BG"/>
        </w:rPr>
        <w:t xml:space="preserve">Съгласно параграф 5 от преходните разпоредби на новия закон, всички производства по </w:t>
      </w:r>
      <w:r w:rsidR="00AC19B5">
        <w:rPr>
          <w:lang w:val="bg-BG"/>
        </w:rPr>
        <w:t>отнемане</w:t>
      </w:r>
      <w:r w:rsidR="00386AF8" w:rsidRPr="008849C3">
        <w:rPr>
          <w:lang w:val="bg-BG"/>
        </w:rPr>
        <w:t xml:space="preserve">, висящи към датата на влизане в сила на този текст, продължават да бъдат водени съгласно разпоредбите на закона от 2005 г. Същият предвижда мерки и процедури за запор и </w:t>
      </w:r>
      <w:r w:rsidR="00AC19B5">
        <w:rPr>
          <w:lang w:val="bg-BG"/>
        </w:rPr>
        <w:t>отнемане</w:t>
      </w:r>
      <w:r w:rsidR="00AC19B5" w:rsidRPr="008849C3">
        <w:rPr>
          <w:lang w:val="bg-BG"/>
        </w:rPr>
        <w:t xml:space="preserve"> </w:t>
      </w:r>
      <w:r w:rsidR="00386AF8" w:rsidRPr="008849C3">
        <w:rPr>
          <w:lang w:val="bg-BG"/>
        </w:rPr>
        <w:t xml:space="preserve">на имущество, придобито пряко или непряко </w:t>
      </w:r>
      <w:r w:rsidR="00F63E93" w:rsidRPr="008849C3">
        <w:rPr>
          <w:lang w:val="bg-BG"/>
        </w:rPr>
        <w:t xml:space="preserve">от престъпна дейност. Съкратен преглед на приложимите разпоредби на този закон, както и на националната съдебна практика, отнасяща се към приложението му, могат да бъдат открити в делото </w:t>
      </w:r>
      <w:proofErr w:type="spellStart"/>
      <w:r w:rsidR="00F63E93" w:rsidRPr="008849C3">
        <w:rPr>
          <w:i/>
          <w:lang w:val="bg-BG"/>
        </w:rPr>
        <w:t>Ннедялков</w:t>
      </w:r>
      <w:proofErr w:type="spellEnd"/>
      <w:r w:rsidR="00F63E93" w:rsidRPr="008849C3">
        <w:rPr>
          <w:i/>
          <w:lang w:val="bg-BG"/>
        </w:rPr>
        <w:t xml:space="preserve"> и други срещу България</w:t>
      </w:r>
      <w:r w:rsidRPr="008849C3">
        <w:rPr>
          <w:i/>
          <w:lang w:val="bg-BG"/>
        </w:rPr>
        <w:t xml:space="preserve"> </w:t>
      </w:r>
      <w:r w:rsidRPr="008849C3">
        <w:rPr>
          <w:lang w:val="bg-BG"/>
        </w:rPr>
        <w:t>(</w:t>
      </w:r>
      <w:r w:rsidR="008B09B4" w:rsidRPr="008849C3">
        <w:rPr>
          <w:lang w:val="bg-BG"/>
        </w:rPr>
        <w:t>(</w:t>
      </w:r>
      <w:proofErr w:type="spellStart"/>
      <w:r w:rsidR="00F63E93" w:rsidRPr="008849C3">
        <w:rPr>
          <w:lang w:val="bg-BG"/>
        </w:rPr>
        <w:t>реш</w:t>
      </w:r>
      <w:proofErr w:type="spellEnd"/>
      <w:r w:rsidR="00F63E93" w:rsidRPr="008849C3">
        <w:rPr>
          <w:lang w:val="bg-BG"/>
        </w:rPr>
        <w:t>.), №</w:t>
      </w:r>
      <w:r w:rsidRPr="008849C3">
        <w:rPr>
          <w:lang w:val="bg-BG"/>
        </w:rPr>
        <w:t xml:space="preserve"> 663/11, §§ 33-61, 10</w:t>
      </w:r>
      <w:r w:rsidR="00276C60" w:rsidRPr="008849C3">
        <w:rPr>
          <w:lang w:val="bg-BG"/>
        </w:rPr>
        <w:t xml:space="preserve"> </w:t>
      </w:r>
      <w:r w:rsidR="00F63E93" w:rsidRPr="008849C3">
        <w:rPr>
          <w:lang w:val="bg-BG"/>
        </w:rPr>
        <w:t>септември</w:t>
      </w:r>
      <w:r w:rsidR="00276C60" w:rsidRPr="008849C3">
        <w:rPr>
          <w:lang w:val="bg-BG"/>
        </w:rPr>
        <w:t xml:space="preserve"> </w:t>
      </w:r>
      <w:r w:rsidRPr="008849C3">
        <w:rPr>
          <w:lang w:val="bg-BG"/>
        </w:rPr>
        <w:t>2013</w:t>
      </w:r>
      <w:r w:rsidR="00F63E93" w:rsidRPr="008849C3">
        <w:rPr>
          <w:lang w:val="bg-BG"/>
        </w:rPr>
        <w:t xml:space="preserve"> г.</w:t>
      </w:r>
      <w:r w:rsidR="008B09B4" w:rsidRPr="008849C3">
        <w:rPr>
          <w:lang w:val="bg-BG"/>
        </w:rPr>
        <w:t>)</w:t>
      </w:r>
      <w:r w:rsidRPr="008849C3">
        <w:rPr>
          <w:lang w:val="bg-BG"/>
        </w:rPr>
        <w:t>.</w:t>
      </w:r>
    </w:p>
    <w:p w:rsidR="00FE7B93" w:rsidRPr="008849C3" w:rsidRDefault="00FE7B93" w:rsidP="006B0E9F">
      <w:pPr>
        <w:pStyle w:val="ECHRPara"/>
        <w:rPr>
          <w:i/>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51</w:t>
      </w:r>
      <w:r w:rsidRPr="008849C3">
        <w:rPr>
          <w:lang w:val="bg-BG"/>
        </w:rPr>
        <w:fldChar w:fldCharType="end"/>
      </w:r>
      <w:r w:rsidRPr="008849C3">
        <w:rPr>
          <w:lang w:val="bg-BG"/>
        </w:rPr>
        <w:t>.  </w:t>
      </w:r>
      <w:r w:rsidR="00CA7BA4">
        <w:rPr>
          <w:lang w:val="bg-BG"/>
        </w:rPr>
        <w:t>Чл.</w:t>
      </w:r>
      <w:r w:rsidRPr="008849C3">
        <w:rPr>
          <w:lang w:val="bg-BG"/>
        </w:rPr>
        <w:t xml:space="preserve"> 32 </w:t>
      </w:r>
      <w:r w:rsidR="00F63E93" w:rsidRPr="008849C3">
        <w:rPr>
          <w:lang w:val="bg-BG"/>
        </w:rPr>
        <w:t>от закона от</w:t>
      </w:r>
      <w:r w:rsidRPr="008849C3">
        <w:rPr>
          <w:lang w:val="bg-BG"/>
        </w:rPr>
        <w:t xml:space="preserve"> 2005 </w:t>
      </w:r>
      <w:r w:rsidR="00F63E93" w:rsidRPr="008849C3">
        <w:rPr>
          <w:lang w:val="bg-BG"/>
        </w:rPr>
        <w:t xml:space="preserve">г. предвижда, че държавата носи отговорност за вреди, причинени от нейните органи и служители в рамките на </w:t>
      </w:r>
      <w:r w:rsidR="00DF7202">
        <w:rPr>
          <w:lang w:val="bg-BG"/>
        </w:rPr>
        <w:t>производствата по отнемане</w:t>
      </w:r>
      <w:r w:rsidR="00F63E93" w:rsidRPr="008849C3">
        <w:rPr>
          <w:lang w:val="bg-BG"/>
        </w:rPr>
        <w:t xml:space="preserve">, в случаите, предвидени от Закона за отговорността на държавата. В решение от 29 април 2014 г. Върховният касационен съд потвърждава, че отговорността на специализираната комисия за вредите, произтичащи от налагането на обезпечителни мерки върху имуществото, може да бъде потърсена пред граждански съдилища на основание </w:t>
      </w:r>
      <w:r w:rsidR="00CA7BA4">
        <w:rPr>
          <w:lang w:val="bg-BG"/>
        </w:rPr>
        <w:t>чл.</w:t>
      </w:r>
      <w:r w:rsidR="00F63E93" w:rsidRPr="008849C3">
        <w:rPr>
          <w:lang w:val="bg-BG"/>
        </w:rPr>
        <w:t xml:space="preserve"> 1 от Закона за отговорността на държавата </w:t>
      </w:r>
      <w:r w:rsidRPr="008849C3">
        <w:rPr>
          <w:lang w:val="bg-BG"/>
        </w:rPr>
        <w:t>(</w:t>
      </w:r>
      <w:r w:rsidRPr="008849C3">
        <w:rPr>
          <w:i/>
          <w:lang w:val="bg-BG"/>
        </w:rPr>
        <w:t>Определение № 305 от 29.04.2014</w:t>
      </w:r>
      <w:r w:rsidR="00F63E93" w:rsidRPr="008849C3">
        <w:rPr>
          <w:i/>
          <w:lang w:val="bg-BG"/>
        </w:rPr>
        <w:t xml:space="preserve"> </w:t>
      </w:r>
      <w:r w:rsidRPr="008849C3">
        <w:rPr>
          <w:i/>
          <w:lang w:val="bg-BG"/>
        </w:rPr>
        <w:t>г., на ВКС по ч. гр. д. № 2099/2014г., III г.о., ГК</w:t>
      </w:r>
      <w:r w:rsidRPr="008849C3">
        <w:rPr>
          <w:lang w:val="bg-BG"/>
        </w:rPr>
        <w:t xml:space="preserve">). </w:t>
      </w:r>
      <w:r w:rsidR="00F63E93" w:rsidRPr="008849C3">
        <w:rPr>
          <w:lang w:val="bg-BG"/>
        </w:rPr>
        <w:t xml:space="preserve">Върховният касационен съд утвърждава тази съдебна практика в решение от 9 юли </w:t>
      </w:r>
      <w:r w:rsidRPr="008849C3">
        <w:rPr>
          <w:lang w:val="bg-BG"/>
        </w:rPr>
        <w:t>2014</w:t>
      </w:r>
      <w:r w:rsidR="00F63E93" w:rsidRPr="008849C3">
        <w:rPr>
          <w:lang w:val="bg-BG"/>
        </w:rPr>
        <w:t xml:space="preserve"> г.</w:t>
      </w:r>
      <w:r w:rsidRPr="008849C3">
        <w:rPr>
          <w:lang w:val="bg-BG"/>
        </w:rPr>
        <w:t xml:space="preserve"> (</w:t>
      </w:r>
      <w:r w:rsidRPr="008849C3">
        <w:rPr>
          <w:i/>
          <w:lang w:val="bg-BG"/>
        </w:rPr>
        <w:t>Определение № 423 от 9.07.2014</w:t>
      </w:r>
      <w:r w:rsidR="00F63E93" w:rsidRPr="008849C3">
        <w:rPr>
          <w:i/>
          <w:lang w:val="bg-BG"/>
        </w:rPr>
        <w:t xml:space="preserve"> </w:t>
      </w:r>
      <w:r w:rsidRPr="008849C3">
        <w:rPr>
          <w:i/>
          <w:lang w:val="bg-BG"/>
        </w:rPr>
        <w:t>г., на ВКС по гр. д. № 3914/2014г., I г.о., ГК</w:t>
      </w:r>
      <w:r w:rsidRPr="008849C3">
        <w:rPr>
          <w:lang w:val="bg-BG"/>
        </w:rPr>
        <w:t>)</w:t>
      </w:r>
      <w:r w:rsidRPr="008849C3">
        <w:rPr>
          <w:i/>
          <w:lang w:val="bg-BG"/>
        </w:rPr>
        <w:t>.</w:t>
      </w:r>
    </w:p>
    <w:p w:rsidR="00471917" w:rsidRPr="008849C3" w:rsidRDefault="001B5F59" w:rsidP="006B0E9F">
      <w:pPr>
        <w:pStyle w:val="ECHRHeading2"/>
        <w:rPr>
          <w:lang w:val="bg-BG"/>
        </w:rPr>
      </w:pPr>
      <w:r>
        <w:rPr>
          <w:lang w:val="bg-BG"/>
        </w:rPr>
        <w:lastRenderedPageBreak/>
        <w:t>В</w:t>
      </w:r>
      <w:r w:rsidR="00FE7B93" w:rsidRPr="008849C3">
        <w:rPr>
          <w:lang w:val="bg-BG"/>
        </w:rPr>
        <w:t>.  </w:t>
      </w:r>
      <w:r w:rsidR="00F63E93" w:rsidRPr="008849C3">
        <w:rPr>
          <w:lang w:val="bg-BG"/>
        </w:rPr>
        <w:t xml:space="preserve">Отговорността на държавата за вреди </w:t>
      </w:r>
    </w:p>
    <w:p w:rsidR="00FE7B93" w:rsidRPr="008849C3" w:rsidRDefault="00FE7B9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52</w:t>
      </w:r>
      <w:r w:rsidRPr="008849C3">
        <w:rPr>
          <w:lang w:val="bg-BG"/>
        </w:rPr>
        <w:fldChar w:fldCharType="end"/>
      </w:r>
      <w:r w:rsidRPr="008849C3">
        <w:rPr>
          <w:lang w:val="bg-BG"/>
        </w:rPr>
        <w:t>.  </w:t>
      </w:r>
      <w:r w:rsidR="00934B22" w:rsidRPr="008849C3">
        <w:rPr>
          <w:lang w:val="bg-BG"/>
        </w:rPr>
        <w:t xml:space="preserve">Кратко изложение на разпоредбите на Закона за отговорността на държавата и общините за вреди </w:t>
      </w:r>
      <w:r w:rsidR="00A07C2D" w:rsidRPr="008849C3">
        <w:rPr>
          <w:lang w:val="bg-BG"/>
        </w:rPr>
        <w:t>(</w:t>
      </w:r>
      <w:r w:rsidR="00934B22" w:rsidRPr="008849C3">
        <w:rPr>
          <w:lang w:val="bg-BG"/>
        </w:rPr>
        <w:t>„закон за отговорността на държавата“</w:t>
      </w:r>
      <w:r w:rsidR="00A07C2D" w:rsidRPr="008849C3">
        <w:rPr>
          <w:lang w:val="bg-BG"/>
        </w:rPr>
        <w:t xml:space="preserve">) </w:t>
      </w:r>
      <w:r w:rsidR="00934B22" w:rsidRPr="008849C3">
        <w:rPr>
          <w:lang w:val="bg-BG"/>
        </w:rPr>
        <w:t xml:space="preserve">и на постоянната съдебна практика на вътрешните съдилища, относима към конкретния случай по отношение на компенсациите за понесените </w:t>
      </w:r>
      <w:r w:rsidR="00DF7202">
        <w:rPr>
          <w:lang w:val="bg-BG"/>
        </w:rPr>
        <w:t>вреди</w:t>
      </w:r>
      <w:r w:rsidR="00934B22" w:rsidRPr="008849C3">
        <w:rPr>
          <w:lang w:val="bg-BG"/>
        </w:rPr>
        <w:t xml:space="preserve"> в хода на </w:t>
      </w:r>
      <w:r w:rsidR="00DF7202">
        <w:rPr>
          <w:lang w:val="bg-BG"/>
        </w:rPr>
        <w:t>производството по отнемане</w:t>
      </w:r>
      <w:r w:rsidR="00934B22" w:rsidRPr="008849C3">
        <w:rPr>
          <w:lang w:val="bg-BG"/>
        </w:rPr>
        <w:t xml:space="preserve"> </w:t>
      </w:r>
      <w:r w:rsidR="00DF7202">
        <w:rPr>
          <w:lang w:val="bg-BG"/>
        </w:rPr>
        <w:t>на основание</w:t>
      </w:r>
      <w:r w:rsidR="00934B22" w:rsidRPr="008849C3">
        <w:rPr>
          <w:lang w:val="bg-BG"/>
        </w:rPr>
        <w:t xml:space="preserve"> </w:t>
      </w:r>
      <w:r w:rsidR="00DF7202">
        <w:rPr>
          <w:lang w:val="bg-BG"/>
        </w:rPr>
        <w:t>З</w:t>
      </w:r>
      <w:r w:rsidR="00934B22" w:rsidRPr="008849C3">
        <w:rPr>
          <w:lang w:val="bg-BG"/>
        </w:rPr>
        <w:t>акона от 2005 г. може да се открие в решението</w:t>
      </w:r>
      <w:r w:rsidR="0012049F" w:rsidRPr="008849C3">
        <w:rPr>
          <w:lang w:val="bg-BG"/>
        </w:rPr>
        <w:t xml:space="preserve"> </w:t>
      </w:r>
      <w:r w:rsidR="00934B22" w:rsidRPr="008849C3">
        <w:rPr>
          <w:i/>
          <w:lang w:val="bg-BG"/>
        </w:rPr>
        <w:t>Недялков и други</w:t>
      </w:r>
      <w:r w:rsidRPr="008849C3">
        <w:rPr>
          <w:i/>
          <w:lang w:val="bg-BG"/>
        </w:rPr>
        <w:t xml:space="preserve"> </w:t>
      </w:r>
      <w:r w:rsidR="00736C95" w:rsidRPr="008849C3">
        <w:rPr>
          <w:lang w:val="bg-BG"/>
        </w:rPr>
        <w:t>(</w:t>
      </w:r>
      <w:r w:rsidR="00934B22" w:rsidRPr="008849C3">
        <w:rPr>
          <w:lang w:val="bg-BG"/>
        </w:rPr>
        <w:t>цитирано по-горе</w:t>
      </w:r>
      <w:r w:rsidR="00276C60" w:rsidRPr="008849C3">
        <w:rPr>
          <w:lang w:val="bg-BG"/>
        </w:rPr>
        <w:t xml:space="preserve">, §§ </w:t>
      </w:r>
      <w:r w:rsidRPr="008849C3">
        <w:rPr>
          <w:lang w:val="bg-BG"/>
        </w:rPr>
        <w:t>62-68</w:t>
      </w:r>
      <w:r w:rsidR="00736C95" w:rsidRPr="008849C3">
        <w:rPr>
          <w:lang w:val="bg-BG"/>
        </w:rPr>
        <w:t>)</w:t>
      </w:r>
      <w:r w:rsidRPr="008849C3">
        <w:rPr>
          <w:lang w:val="bg-BG"/>
        </w:rPr>
        <w:t>.</w:t>
      </w:r>
    </w:p>
    <w:p w:rsidR="009148C5" w:rsidRPr="008849C3" w:rsidRDefault="001B5F59" w:rsidP="006B0E9F">
      <w:pPr>
        <w:pStyle w:val="ECHRHeading2"/>
        <w:rPr>
          <w:lang w:val="bg-BG"/>
        </w:rPr>
      </w:pPr>
      <w:r>
        <w:rPr>
          <w:lang w:val="bg-BG"/>
        </w:rPr>
        <w:t>Г</w:t>
      </w:r>
      <w:r w:rsidR="0094457F" w:rsidRPr="008849C3">
        <w:rPr>
          <w:lang w:val="bg-BG"/>
        </w:rPr>
        <w:t>.  </w:t>
      </w:r>
      <w:r w:rsidR="00934B22" w:rsidRPr="008849C3">
        <w:rPr>
          <w:lang w:val="bg-BG"/>
        </w:rPr>
        <w:t>Други приложими разпоредби</w:t>
      </w:r>
    </w:p>
    <w:p w:rsidR="0094457F" w:rsidRPr="008849C3" w:rsidRDefault="00E366C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53</w:t>
      </w:r>
      <w:r w:rsidRPr="008849C3">
        <w:rPr>
          <w:lang w:val="bg-BG"/>
        </w:rPr>
        <w:fldChar w:fldCharType="end"/>
      </w:r>
      <w:r w:rsidRPr="008849C3">
        <w:rPr>
          <w:lang w:val="bg-BG"/>
        </w:rPr>
        <w:t>.  </w:t>
      </w:r>
      <w:r w:rsidR="00934B22" w:rsidRPr="008849C3">
        <w:rPr>
          <w:lang w:val="bg-BG"/>
        </w:rPr>
        <w:t xml:space="preserve">Приложимите вътрешно право и практика, касаещи престъплението клевета, са изложени в резюме в решението </w:t>
      </w:r>
      <w:r w:rsidR="00934B22" w:rsidRPr="008849C3">
        <w:rPr>
          <w:i/>
          <w:lang w:val="bg-BG"/>
        </w:rPr>
        <w:t>Гуцанови</w:t>
      </w:r>
      <w:r w:rsidRPr="008849C3">
        <w:rPr>
          <w:lang w:val="bg-BG"/>
        </w:rPr>
        <w:t xml:space="preserve"> </w:t>
      </w:r>
      <w:r w:rsidR="00346FE7" w:rsidRPr="008849C3">
        <w:rPr>
          <w:lang w:val="bg-BG"/>
        </w:rPr>
        <w:t>(</w:t>
      </w:r>
      <w:r w:rsidR="00934B22" w:rsidRPr="008849C3">
        <w:rPr>
          <w:lang w:val="bg-BG"/>
        </w:rPr>
        <w:t>цитирано по-горе</w:t>
      </w:r>
      <w:r w:rsidRPr="008849C3">
        <w:rPr>
          <w:lang w:val="bg-BG"/>
        </w:rPr>
        <w:t>, §§ 70-74</w:t>
      </w:r>
      <w:r w:rsidR="00346FE7" w:rsidRPr="008849C3">
        <w:rPr>
          <w:lang w:val="bg-BG"/>
        </w:rPr>
        <w:t>)</w:t>
      </w:r>
      <w:r w:rsidRPr="008849C3">
        <w:rPr>
          <w:lang w:val="bg-BG"/>
        </w:rPr>
        <w:t>.</w:t>
      </w:r>
    </w:p>
    <w:p w:rsidR="004239E7" w:rsidRPr="008849C3" w:rsidRDefault="004239E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54</w:t>
      </w:r>
      <w:r w:rsidRPr="008849C3">
        <w:rPr>
          <w:lang w:val="bg-BG"/>
        </w:rPr>
        <w:fldChar w:fldCharType="end"/>
      </w:r>
      <w:r w:rsidRPr="008849C3">
        <w:rPr>
          <w:lang w:val="bg-BG"/>
        </w:rPr>
        <w:t>.  </w:t>
      </w:r>
      <w:r w:rsidR="00CA7BA4">
        <w:rPr>
          <w:lang w:val="bg-BG"/>
        </w:rPr>
        <w:t>Чл</w:t>
      </w:r>
      <w:r w:rsidR="00DF7202">
        <w:rPr>
          <w:lang w:val="bg-BG"/>
        </w:rPr>
        <w:t>.</w:t>
      </w:r>
      <w:r w:rsidRPr="008849C3">
        <w:rPr>
          <w:lang w:val="bg-BG"/>
        </w:rPr>
        <w:t xml:space="preserve"> 240 </w:t>
      </w:r>
      <w:r w:rsidR="00934B22" w:rsidRPr="008849C3">
        <w:rPr>
          <w:lang w:val="bg-BG"/>
        </w:rPr>
        <w:t>и</w:t>
      </w:r>
      <w:r w:rsidRPr="008849C3">
        <w:rPr>
          <w:lang w:val="bg-BG"/>
        </w:rPr>
        <w:t xml:space="preserve"> 241 </w:t>
      </w:r>
      <w:r w:rsidR="00934B22" w:rsidRPr="008849C3">
        <w:rPr>
          <w:lang w:val="bg-BG"/>
        </w:rPr>
        <w:t xml:space="preserve">от НПК предвиждат възможността да бъдат изготвени видеозаписи на разпитите и </w:t>
      </w:r>
      <w:r w:rsidR="0022062F" w:rsidRPr="008849C3">
        <w:rPr>
          <w:lang w:val="bg-BG"/>
        </w:rPr>
        <w:t xml:space="preserve">другите </w:t>
      </w:r>
      <w:r w:rsidRPr="008849C3">
        <w:rPr>
          <w:lang w:val="bg-BG"/>
        </w:rPr>
        <w:t>действия по разследването</w:t>
      </w:r>
      <w:r w:rsidR="0022062F" w:rsidRPr="008849C3">
        <w:rPr>
          <w:lang w:val="bg-BG"/>
        </w:rPr>
        <w:t>, извършени във фазата на досъдебното производство. Съгласно</w:t>
      </w:r>
      <w:r w:rsidRPr="008849C3">
        <w:rPr>
          <w:lang w:val="bg-BG"/>
        </w:rPr>
        <w:t xml:space="preserve"> </w:t>
      </w:r>
      <w:r w:rsidR="00CA7BA4">
        <w:rPr>
          <w:lang w:val="bg-BG"/>
        </w:rPr>
        <w:t>чл.</w:t>
      </w:r>
      <w:r w:rsidRPr="008849C3">
        <w:rPr>
          <w:lang w:val="bg-BG"/>
        </w:rPr>
        <w:t xml:space="preserve"> 198, </w:t>
      </w:r>
      <w:r w:rsidR="00CA7BA4">
        <w:rPr>
          <w:lang w:val="bg-BG"/>
        </w:rPr>
        <w:t>ал.</w:t>
      </w:r>
      <w:r w:rsidRPr="008849C3">
        <w:rPr>
          <w:lang w:val="bg-BG"/>
        </w:rPr>
        <w:t xml:space="preserve"> 1</w:t>
      </w:r>
      <w:r w:rsidR="0022062F" w:rsidRPr="008849C3">
        <w:rPr>
          <w:lang w:val="bg-BG"/>
        </w:rPr>
        <w:t xml:space="preserve"> от НПК</w:t>
      </w:r>
      <w:r w:rsidR="00B93797" w:rsidRPr="008849C3">
        <w:rPr>
          <w:lang w:val="bg-BG"/>
        </w:rPr>
        <w:t>,</w:t>
      </w:r>
      <w:r w:rsidRPr="008849C3">
        <w:rPr>
          <w:lang w:val="bg-BG"/>
        </w:rPr>
        <w:t xml:space="preserve"> </w:t>
      </w:r>
      <w:r w:rsidR="0022062F" w:rsidRPr="008849C3">
        <w:rPr>
          <w:lang w:val="bg-BG"/>
        </w:rPr>
        <w:t>материалите по разследването не могат да се разгласяват без разрешение на прокурора</w:t>
      </w:r>
      <w:r w:rsidRPr="008849C3">
        <w:rPr>
          <w:lang w:val="bg-BG"/>
        </w:rPr>
        <w:t>.</w:t>
      </w:r>
    </w:p>
    <w:p w:rsidR="004239E7" w:rsidRPr="008849C3" w:rsidRDefault="004239E7" w:rsidP="009A0854">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55</w:t>
      </w:r>
      <w:r w:rsidRPr="008849C3">
        <w:rPr>
          <w:lang w:val="bg-BG"/>
        </w:rPr>
        <w:fldChar w:fldCharType="end"/>
      </w:r>
      <w:r w:rsidRPr="008849C3">
        <w:rPr>
          <w:lang w:val="bg-BG"/>
        </w:rPr>
        <w:t>.  </w:t>
      </w:r>
      <w:r w:rsidR="0022062F" w:rsidRPr="008849C3">
        <w:rPr>
          <w:lang w:val="bg-BG"/>
        </w:rPr>
        <w:t>Съгласно</w:t>
      </w:r>
      <w:r w:rsidRPr="008849C3">
        <w:rPr>
          <w:lang w:val="bg-BG"/>
        </w:rPr>
        <w:t xml:space="preserve"> </w:t>
      </w:r>
      <w:r w:rsidR="00CA7BA4">
        <w:rPr>
          <w:lang w:val="bg-BG"/>
        </w:rPr>
        <w:t>чл.</w:t>
      </w:r>
      <w:r w:rsidRPr="008849C3">
        <w:rPr>
          <w:lang w:val="bg-BG"/>
        </w:rPr>
        <w:t xml:space="preserve"> 150з </w:t>
      </w:r>
      <w:r w:rsidR="0022062F" w:rsidRPr="008849C3">
        <w:rPr>
          <w:lang w:val="bg-BG"/>
        </w:rPr>
        <w:t xml:space="preserve">от </w:t>
      </w:r>
      <w:r w:rsidR="009548EF" w:rsidRPr="008849C3">
        <w:rPr>
          <w:lang w:val="bg-BG"/>
        </w:rPr>
        <w:t xml:space="preserve">Правилника </w:t>
      </w:r>
      <w:r w:rsidR="0022062F" w:rsidRPr="008849C3">
        <w:rPr>
          <w:lang w:val="bg-BG"/>
        </w:rPr>
        <w:t xml:space="preserve">за приложение на Закона за Министерството на вътрешните работи от 2006 г., който е в сила към момента на </w:t>
      </w:r>
      <w:proofErr w:type="spellStart"/>
      <w:r w:rsidR="0022062F" w:rsidRPr="008849C3">
        <w:rPr>
          <w:lang w:val="bg-BG"/>
        </w:rPr>
        <w:t>относимите</w:t>
      </w:r>
      <w:proofErr w:type="spellEnd"/>
      <w:r w:rsidR="0022062F" w:rsidRPr="008849C3">
        <w:rPr>
          <w:lang w:val="bg-BG"/>
        </w:rPr>
        <w:t xml:space="preserve"> към делото факти, дирекция </w:t>
      </w:r>
      <w:r w:rsidR="009A0854" w:rsidRPr="008849C3">
        <w:rPr>
          <w:lang w:val="bg-BG"/>
        </w:rPr>
        <w:t>„Пресцентър и връзки с обществеността“ на министерството е натоварена с информирането на обществеността за изпълнението на функциите на министерството и осигуряването на прозрачността и публичността на дейността му</w:t>
      </w:r>
      <w:r w:rsidRPr="008849C3">
        <w:rPr>
          <w:lang w:val="bg-BG"/>
        </w:rPr>
        <w:t>.</w:t>
      </w:r>
    </w:p>
    <w:p w:rsidR="00E77CB3" w:rsidRPr="008849C3" w:rsidRDefault="009A0854" w:rsidP="006B0E9F">
      <w:pPr>
        <w:pStyle w:val="ECHRTitle1"/>
        <w:rPr>
          <w:lang w:val="bg-BG"/>
        </w:rPr>
      </w:pPr>
      <w:r w:rsidRPr="008849C3">
        <w:rPr>
          <w:lang w:val="bg-BG"/>
        </w:rPr>
        <w:t>ПРАВОТО</w:t>
      </w:r>
    </w:p>
    <w:p w:rsidR="00E77CB3" w:rsidRPr="008849C3" w:rsidRDefault="00D01D78" w:rsidP="006B0E9F">
      <w:pPr>
        <w:pStyle w:val="ECHRHeading1"/>
        <w:rPr>
          <w:lang w:val="bg-BG"/>
        </w:rPr>
      </w:pPr>
      <w:r w:rsidRPr="008849C3">
        <w:rPr>
          <w:lang w:val="bg-BG"/>
        </w:rPr>
        <w:t>I.  </w:t>
      </w:r>
      <w:r w:rsidR="009A0854" w:rsidRPr="008849C3">
        <w:rPr>
          <w:lang w:val="bg-BG"/>
        </w:rPr>
        <w:t>ТВЪРД</w:t>
      </w:r>
      <w:r w:rsidR="00EF506A">
        <w:rPr>
          <w:lang w:val="bg-BG"/>
        </w:rPr>
        <w:t>ЯНО</w:t>
      </w:r>
      <w:r w:rsidR="009A0854" w:rsidRPr="008849C3">
        <w:rPr>
          <w:lang w:val="bg-BG"/>
        </w:rPr>
        <w:t xml:space="preserve"> НАРУШЕНИ</w:t>
      </w:r>
      <w:r w:rsidR="00EF506A">
        <w:rPr>
          <w:lang w:val="bg-BG"/>
        </w:rPr>
        <w:t>Е</w:t>
      </w:r>
      <w:r w:rsidR="009A0854" w:rsidRPr="008849C3">
        <w:rPr>
          <w:lang w:val="bg-BG"/>
        </w:rPr>
        <w:t xml:space="preserve"> НА</w:t>
      </w:r>
      <w:r w:rsidRPr="008849C3">
        <w:rPr>
          <w:lang w:val="bg-BG"/>
        </w:rPr>
        <w:t xml:space="preserve"> </w:t>
      </w:r>
      <w:r w:rsidR="00CA7BA4">
        <w:rPr>
          <w:lang w:val="bg-BG"/>
        </w:rPr>
        <w:t>ЧЛ.</w:t>
      </w:r>
      <w:r w:rsidR="00E77CB3" w:rsidRPr="008849C3">
        <w:rPr>
          <w:lang w:val="bg-BG"/>
        </w:rPr>
        <w:t xml:space="preserve"> </w:t>
      </w:r>
      <w:r w:rsidR="002D5CAF" w:rsidRPr="008849C3">
        <w:rPr>
          <w:lang w:val="bg-BG"/>
        </w:rPr>
        <w:t>3</w:t>
      </w:r>
      <w:r w:rsidR="00E77CB3" w:rsidRPr="008849C3">
        <w:rPr>
          <w:lang w:val="bg-BG"/>
        </w:rPr>
        <w:t xml:space="preserve"> </w:t>
      </w:r>
      <w:r w:rsidR="00CD3B92" w:rsidRPr="008849C3">
        <w:rPr>
          <w:lang w:val="bg-BG"/>
        </w:rPr>
        <w:t>ОТ КОНВЕНЦИЯТА</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56</w:t>
      </w:r>
      <w:r w:rsidRPr="008849C3">
        <w:rPr>
          <w:lang w:val="bg-BG"/>
        </w:rPr>
        <w:fldChar w:fldCharType="end"/>
      </w:r>
      <w:r w:rsidR="00E77CB3" w:rsidRPr="008849C3">
        <w:rPr>
          <w:lang w:val="bg-BG"/>
        </w:rPr>
        <w:t>.  </w:t>
      </w:r>
      <w:r w:rsidR="009A0854" w:rsidRPr="008849C3">
        <w:rPr>
          <w:lang w:val="bg-BG"/>
        </w:rPr>
        <w:t>Жалбоподателят</w:t>
      </w:r>
      <w:r w:rsidR="009548EF">
        <w:rPr>
          <w:lang w:val="bg-BG"/>
        </w:rPr>
        <w:t xml:space="preserve"> се оплаква, че е бил подложен н</w:t>
      </w:r>
      <w:r w:rsidR="009A0854" w:rsidRPr="008849C3">
        <w:rPr>
          <w:lang w:val="bg-BG"/>
        </w:rPr>
        <w:t>а унизително отношение от страна на полиц</w:t>
      </w:r>
      <w:r w:rsidR="00EF506A">
        <w:rPr>
          <w:lang w:val="bg-BG"/>
        </w:rPr>
        <w:t>ейските служители</w:t>
      </w:r>
      <w:r w:rsidR="009A0854" w:rsidRPr="008849C3">
        <w:rPr>
          <w:lang w:val="bg-BG"/>
        </w:rPr>
        <w:t xml:space="preserve">. Той посочва освен това и липсата на ефективно разследване на събитията, свързани с </w:t>
      </w:r>
      <w:r w:rsidR="00EF506A">
        <w:rPr>
          <w:lang w:val="bg-BG"/>
        </w:rPr>
        <w:t>задържането</w:t>
      </w:r>
      <w:r w:rsidR="00EF506A" w:rsidRPr="008849C3">
        <w:rPr>
          <w:lang w:val="bg-BG"/>
        </w:rPr>
        <w:t xml:space="preserve"> </w:t>
      </w:r>
      <w:r w:rsidR="009A0854" w:rsidRPr="008849C3">
        <w:rPr>
          <w:lang w:val="bg-BG"/>
        </w:rPr>
        <w:t xml:space="preserve">му. Позовава се на </w:t>
      </w:r>
      <w:r w:rsidR="00CA7BA4">
        <w:rPr>
          <w:lang w:val="bg-BG"/>
        </w:rPr>
        <w:t>чл.</w:t>
      </w:r>
      <w:r w:rsidR="002022A0" w:rsidRPr="008849C3">
        <w:rPr>
          <w:lang w:val="bg-BG"/>
        </w:rPr>
        <w:t xml:space="preserve"> 3 </w:t>
      </w:r>
      <w:r w:rsidR="00CD3B92" w:rsidRPr="008849C3">
        <w:rPr>
          <w:lang w:val="bg-BG"/>
        </w:rPr>
        <w:t>от Конвенцията</w:t>
      </w:r>
      <w:r w:rsidR="002022A0" w:rsidRPr="008849C3">
        <w:rPr>
          <w:lang w:val="bg-BG"/>
        </w:rPr>
        <w:t xml:space="preserve">, </w:t>
      </w:r>
      <w:r w:rsidR="009A0854" w:rsidRPr="008849C3">
        <w:rPr>
          <w:lang w:val="bg-BG"/>
        </w:rPr>
        <w:t>който гласи следното</w:t>
      </w:r>
      <w:r w:rsidR="00E77CB3" w:rsidRPr="008849C3">
        <w:rPr>
          <w:lang w:val="bg-BG"/>
        </w:rPr>
        <w:t>:</w:t>
      </w:r>
    </w:p>
    <w:p w:rsidR="00E77CB3" w:rsidRPr="008849C3" w:rsidRDefault="009A0854" w:rsidP="006B0E9F">
      <w:pPr>
        <w:pStyle w:val="ECHRParaQuote"/>
        <w:rPr>
          <w:lang w:val="bg-BG"/>
        </w:rPr>
      </w:pPr>
      <w:r w:rsidRPr="008849C3">
        <w:rPr>
          <w:lang w:val="bg-BG"/>
        </w:rPr>
        <w:t>„Никой не може да бъде подложен на изтезания или нечовешко или унизително отношение или наказание.“</w:t>
      </w:r>
    </w:p>
    <w:p w:rsidR="00E77CB3" w:rsidRPr="008849C3" w:rsidRDefault="00E77CB3" w:rsidP="006B0E9F">
      <w:pPr>
        <w:pStyle w:val="ECHRHeading2"/>
        <w:rPr>
          <w:lang w:val="bg-BG"/>
        </w:rPr>
      </w:pPr>
      <w:r w:rsidRPr="008849C3">
        <w:rPr>
          <w:lang w:val="bg-BG"/>
        </w:rPr>
        <w:lastRenderedPageBreak/>
        <w:t>A.  </w:t>
      </w:r>
      <w:r w:rsidR="00EF506A">
        <w:rPr>
          <w:lang w:val="bg-BG"/>
        </w:rPr>
        <w:t>Д</w:t>
      </w:r>
      <w:r w:rsidR="009A0854" w:rsidRPr="008849C3">
        <w:rPr>
          <w:lang w:val="bg-BG"/>
        </w:rPr>
        <w:t>опустимост</w:t>
      </w:r>
    </w:p>
    <w:p w:rsidR="00E77CB3" w:rsidRPr="008849C3" w:rsidRDefault="005059EA"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57</w:t>
      </w:r>
      <w:r w:rsidRPr="008849C3">
        <w:rPr>
          <w:lang w:val="bg-BG"/>
        </w:rPr>
        <w:fldChar w:fldCharType="end"/>
      </w:r>
      <w:r w:rsidRPr="008849C3">
        <w:rPr>
          <w:lang w:val="bg-BG"/>
        </w:rPr>
        <w:t>.  </w:t>
      </w:r>
      <w:r w:rsidR="009A0854" w:rsidRPr="008849C3">
        <w:rPr>
          <w:lang w:val="bg-BG"/>
        </w:rPr>
        <w:t>Като установява, че оплакванията</w:t>
      </w:r>
      <w:r w:rsidR="00EF506A">
        <w:rPr>
          <w:lang w:val="bg-BG"/>
        </w:rPr>
        <w:t xml:space="preserve"> по</w:t>
      </w:r>
      <w:r w:rsidR="009A0854" w:rsidRPr="008849C3">
        <w:rPr>
          <w:lang w:val="bg-BG"/>
        </w:rPr>
        <w:t xml:space="preserve"> </w:t>
      </w:r>
      <w:r w:rsidR="00CA7BA4">
        <w:rPr>
          <w:lang w:val="bg-BG"/>
        </w:rPr>
        <w:t>чл.</w:t>
      </w:r>
      <w:r w:rsidR="00031B1F" w:rsidRPr="008849C3">
        <w:rPr>
          <w:lang w:val="bg-BG"/>
        </w:rPr>
        <w:t xml:space="preserve"> 3 </w:t>
      </w:r>
      <w:r w:rsidR="00CD3B92" w:rsidRPr="008849C3">
        <w:rPr>
          <w:lang w:val="bg-BG"/>
        </w:rPr>
        <w:t>от Конвенцията</w:t>
      </w:r>
      <w:r w:rsidR="00031B1F" w:rsidRPr="008849C3">
        <w:rPr>
          <w:lang w:val="bg-BG"/>
        </w:rPr>
        <w:t xml:space="preserve"> </w:t>
      </w:r>
      <w:r w:rsidR="009A0854" w:rsidRPr="008849C3">
        <w:rPr>
          <w:lang w:val="bg-BG"/>
        </w:rPr>
        <w:t xml:space="preserve">не са </w:t>
      </w:r>
      <w:r w:rsidR="00EF506A">
        <w:rPr>
          <w:lang w:val="bg-BG"/>
        </w:rPr>
        <w:t>явно</w:t>
      </w:r>
      <w:r w:rsidR="00EF506A" w:rsidRPr="008849C3">
        <w:rPr>
          <w:lang w:val="bg-BG"/>
        </w:rPr>
        <w:t xml:space="preserve"> </w:t>
      </w:r>
      <w:r w:rsidR="00EF506A">
        <w:rPr>
          <w:lang w:val="bg-BG"/>
        </w:rPr>
        <w:t>необосновано</w:t>
      </w:r>
      <w:r w:rsidR="00EF506A" w:rsidRPr="008849C3">
        <w:rPr>
          <w:lang w:val="bg-BG"/>
        </w:rPr>
        <w:t xml:space="preserve"> </w:t>
      </w:r>
      <w:r w:rsidR="009A0854" w:rsidRPr="008849C3">
        <w:rPr>
          <w:lang w:val="bg-BG"/>
        </w:rPr>
        <w:t xml:space="preserve">по смисъла на </w:t>
      </w:r>
      <w:r w:rsidR="00CA7BA4">
        <w:rPr>
          <w:lang w:val="bg-BG"/>
        </w:rPr>
        <w:t>чл.</w:t>
      </w:r>
      <w:r w:rsidR="00E77CB3" w:rsidRPr="008849C3">
        <w:rPr>
          <w:lang w:val="bg-BG"/>
        </w:rPr>
        <w:t xml:space="preserve"> 35 § 3 a) </w:t>
      </w:r>
      <w:r w:rsidR="00CD3B92" w:rsidRPr="008849C3">
        <w:rPr>
          <w:lang w:val="bg-BG"/>
        </w:rPr>
        <w:t>от Конвенцията</w:t>
      </w:r>
      <w:r w:rsidR="00694A2E" w:rsidRPr="008849C3">
        <w:rPr>
          <w:lang w:val="bg-BG"/>
        </w:rPr>
        <w:t xml:space="preserve"> </w:t>
      </w:r>
      <w:r w:rsidR="009A0854" w:rsidRPr="008849C3">
        <w:rPr>
          <w:lang w:val="bg-BG"/>
        </w:rPr>
        <w:t xml:space="preserve">и че заедно с това не </w:t>
      </w:r>
      <w:r w:rsidR="00EF506A">
        <w:rPr>
          <w:lang w:val="bg-BG"/>
        </w:rPr>
        <w:t>се среща никакво друго основание за недопустимост</w:t>
      </w:r>
      <w:r w:rsidR="009A0854" w:rsidRPr="008849C3">
        <w:rPr>
          <w:lang w:val="bg-BG"/>
        </w:rPr>
        <w:t>, Съдът ги обявява за допустими</w:t>
      </w:r>
      <w:r w:rsidR="00E77CB3" w:rsidRPr="008849C3">
        <w:rPr>
          <w:lang w:val="bg-BG"/>
        </w:rPr>
        <w:t>.</w:t>
      </w:r>
    </w:p>
    <w:p w:rsidR="00E77CB3" w:rsidRPr="008849C3" w:rsidRDefault="001B5F59" w:rsidP="006B0E9F">
      <w:pPr>
        <w:pStyle w:val="ECHRHeading2"/>
        <w:rPr>
          <w:lang w:val="bg-BG"/>
        </w:rPr>
      </w:pPr>
      <w:r>
        <w:rPr>
          <w:lang w:val="bg-BG"/>
        </w:rPr>
        <w:t>Б</w:t>
      </w:r>
      <w:r w:rsidR="00E77CB3" w:rsidRPr="008849C3">
        <w:rPr>
          <w:lang w:val="bg-BG"/>
        </w:rPr>
        <w:t>.  </w:t>
      </w:r>
      <w:r w:rsidR="009A0854" w:rsidRPr="008849C3">
        <w:rPr>
          <w:lang w:val="bg-BG"/>
        </w:rPr>
        <w:t>По същество</w:t>
      </w:r>
    </w:p>
    <w:p w:rsidR="00D01D78" w:rsidRPr="008849C3" w:rsidRDefault="00D01D78" w:rsidP="006B0E9F">
      <w:pPr>
        <w:pStyle w:val="ECHRHeading3"/>
        <w:rPr>
          <w:lang w:val="bg-BG"/>
        </w:rPr>
      </w:pPr>
      <w:r w:rsidRPr="008849C3">
        <w:rPr>
          <w:lang w:val="bg-BG"/>
        </w:rPr>
        <w:t>1.  </w:t>
      </w:r>
      <w:r w:rsidR="002759A9" w:rsidRPr="008849C3">
        <w:rPr>
          <w:lang w:val="bg-BG"/>
        </w:rPr>
        <w:t xml:space="preserve">За </w:t>
      </w:r>
      <w:r w:rsidR="00EF506A">
        <w:rPr>
          <w:lang w:val="bg-BG"/>
        </w:rPr>
        <w:t>унизителното</w:t>
      </w:r>
      <w:r w:rsidR="00EF506A" w:rsidRPr="008849C3">
        <w:rPr>
          <w:lang w:val="bg-BG"/>
        </w:rPr>
        <w:t xml:space="preserve"> </w:t>
      </w:r>
      <w:r w:rsidR="002759A9" w:rsidRPr="008849C3">
        <w:rPr>
          <w:lang w:val="bg-BG"/>
        </w:rPr>
        <w:t xml:space="preserve">отношение, на което е подложен жалбоподателят </w:t>
      </w:r>
      <w:r w:rsidRPr="008849C3">
        <w:rPr>
          <w:lang w:val="bg-BG"/>
        </w:rPr>
        <w:t xml:space="preserve"> </w:t>
      </w:r>
    </w:p>
    <w:p w:rsidR="008A3D06" w:rsidRPr="008849C3" w:rsidRDefault="002759A9" w:rsidP="006B0E9F">
      <w:pPr>
        <w:pStyle w:val="ECHRHeading4"/>
        <w:spacing w:line="276" w:lineRule="auto"/>
        <w:rPr>
          <w:lang w:val="bg-BG"/>
        </w:rPr>
      </w:pPr>
      <w:r w:rsidRPr="008849C3">
        <w:rPr>
          <w:lang w:val="bg-BG"/>
        </w:rPr>
        <w:t xml:space="preserve">a)  Становища на страните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58</w:t>
      </w:r>
      <w:r w:rsidRPr="008849C3">
        <w:rPr>
          <w:lang w:val="bg-BG"/>
        </w:rPr>
        <w:fldChar w:fldCharType="end"/>
      </w:r>
      <w:r w:rsidR="00E77CB3" w:rsidRPr="008849C3">
        <w:rPr>
          <w:lang w:val="bg-BG"/>
        </w:rPr>
        <w:t>.  </w:t>
      </w:r>
      <w:r w:rsidR="002759A9" w:rsidRPr="008849C3">
        <w:rPr>
          <w:lang w:val="bg-BG"/>
        </w:rPr>
        <w:t xml:space="preserve">Жалбоподателят твърди, че </w:t>
      </w:r>
      <w:r w:rsidR="00EF506A">
        <w:rPr>
          <w:lang w:val="bg-BG"/>
        </w:rPr>
        <w:t>задържането</w:t>
      </w:r>
      <w:r w:rsidR="00EF506A" w:rsidRPr="008849C3">
        <w:rPr>
          <w:lang w:val="bg-BG"/>
        </w:rPr>
        <w:t xml:space="preserve"> </w:t>
      </w:r>
      <w:r w:rsidR="002759A9" w:rsidRPr="008849C3">
        <w:rPr>
          <w:lang w:val="bg-BG"/>
        </w:rPr>
        <w:t>му на 1 април 2010 г. е свързано с прекомерн</w:t>
      </w:r>
      <w:r w:rsidR="00EF506A">
        <w:rPr>
          <w:lang w:val="bg-BG"/>
        </w:rPr>
        <w:t>а употреба</w:t>
      </w:r>
      <w:r w:rsidR="002759A9" w:rsidRPr="008849C3">
        <w:rPr>
          <w:lang w:val="bg-BG"/>
        </w:rPr>
        <w:t xml:space="preserve"> на физическа сила от полиц</w:t>
      </w:r>
      <w:r w:rsidR="00EF506A">
        <w:rPr>
          <w:lang w:val="bg-BG"/>
        </w:rPr>
        <w:t>ейските служители</w:t>
      </w:r>
      <w:r w:rsidR="002759A9" w:rsidRPr="008849C3">
        <w:rPr>
          <w:lang w:val="bg-BG"/>
        </w:rPr>
        <w:t xml:space="preserve">. Той уточнява, че няколко маскирани </w:t>
      </w:r>
      <w:r w:rsidR="00EF506A">
        <w:rPr>
          <w:lang w:val="bg-BG"/>
        </w:rPr>
        <w:t>въоръжени лица</w:t>
      </w:r>
      <w:r w:rsidR="002759A9" w:rsidRPr="008849C3">
        <w:rPr>
          <w:lang w:val="bg-BG"/>
        </w:rPr>
        <w:t xml:space="preserve"> облечени в дрехи, лишени от отличителни знаци</w:t>
      </w:r>
      <w:r w:rsidR="00F75854" w:rsidRPr="008849C3">
        <w:rPr>
          <w:lang w:val="bg-BG"/>
        </w:rPr>
        <w:t>,</w:t>
      </w:r>
      <w:r w:rsidR="002759A9" w:rsidRPr="008849C3">
        <w:rPr>
          <w:lang w:val="bg-BG"/>
        </w:rPr>
        <w:t xml:space="preserve"> са </w:t>
      </w:r>
      <w:r w:rsidR="00EF506A">
        <w:rPr>
          <w:lang w:val="bg-BG"/>
        </w:rPr>
        <w:t>нахлули</w:t>
      </w:r>
      <w:r w:rsidR="002759A9" w:rsidRPr="008849C3">
        <w:rPr>
          <w:lang w:val="bg-BG"/>
        </w:rPr>
        <w:t xml:space="preserve"> в нотариалната кантора на съпругата му, че един от полиц</w:t>
      </w:r>
      <w:r w:rsidR="00EF506A">
        <w:rPr>
          <w:lang w:val="bg-BG"/>
        </w:rPr>
        <w:t>ейските служители</w:t>
      </w:r>
      <w:r w:rsidR="002759A9" w:rsidRPr="008849C3">
        <w:rPr>
          <w:lang w:val="bg-BG"/>
        </w:rPr>
        <w:t xml:space="preserve"> го ран</w:t>
      </w:r>
      <w:r w:rsidR="00EF506A">
        <w:rPr>
          <w:lang w:val="bg-BG"/>
        </w:rPr>
        <w:t>ява</w:t>
      </w:r>
      <w:r w:rsidR="002759A9" w:rsidRPr="008849C3">
        <w:rPr>
          <w:lang w:val="bg-BG"/>
        </w:rPr>
        <w:t xml:space="preserve"> </w:t>
      </w:r>
      <w:r w:rsidR="00325370">
        <w:rPr>
          <w:lang w:val="bg-BG"/>
        </w:rPr>
        <w:t>в областта на</w:t>
      </w:r>
      <w:r w:rsidR="00325370" w:rsidRPr="008849C3">
        <w:rPr>
          <w:lang w:val="bg-BG"/>
        </w:rPr>
        <w:t xml:space="preserve"> </w:t>
      </w:r>
      <w:r w:rsidR="002759A9" w:rsidRPr="008849C3">
        <w:rPr>
          <w:lang w:val="bg-BG"/>
        </w:rPr>
        <w:t>челото</w:t>
      </w:r>
      <w:r w:rsidR="00325370">
        <w:rPr>
          <w:lang w:val="bg-BG"/>
        </w:rPr>
        <w:t>,</w:t>
      </w:r>
      <w:r w:rsidR="002759A9" w:rsidRPr="008849C3">
        <w:rPr>
          <w:lang w:val="bg-BG"/>
        </w:rPr>
        <w:t xml:space="preserve"> </w:t>
      </w:r>
      <w:r w:rsidR="00325370">
        <w:rPr>
          <w:lang w:val="bg-BG"/>
        </w:rPr>
        <w:t>притискайки го към</w:t>
      </w:r>
      <w:r w:rsidR="002759A9" w:rsidRPr="008849C3">
        <w:rPr>
          <w:lang w:val="bg-BG"/>
        </w:rPr>
        <w:t xml:space="preserve"> земята, че друг полиц</w:t>
      </w:r>
      <w:r w:rsidR="00325370">
        <w:rPr>
          <w:lang w:val="bg-BG"/>
        </w:rPr>
        <w:t>ейски служител</w:t>
      </w:r>
      <w:r w:rsidR="002759A9" w:rsidRPr="008849C3">
        <w:rPr>
          <w:lang w:val="bg-BG"/>
        </w:rPr>
        <w:t xml:space="preserve"> </w:t>
      </w:r>
      <w:r w:rsidR="00325370">
        <w:rPr>
          <w:lang w:val="bg-BG"/>
        </w:rPr>
        <w:t>обездвижва</w:t>
      </w:r>
      <w:r w:rsidR="002759A9" w:rsidRPr="008849C3">
        <w:rPr>
          <w:lang w:val="bg-BG"/>
        </w:rPr>
        <w:t xml:space="preserve"> ръката</w:t>
      </w:r>
      <w:r w:rsidR="00325370">
        <w:rPr>
          <w:lang w:val="bg-BG"/>
        </w:rPr>
        <w:t xml:space="preserve"> му</w:t>
      </w:r>
      <w:r w:rsidR="002759A9" w:rsidRPr="008849C3">
        <w:rPr>
          <w:lang w:val="bg-BG"/>
        </w:rPr>
        <w:t xml:space="preserve"> с крака си и че операторът, който снима </w:t>
      </w:r>
      <w:r w:rsidR="00325370">
        <w:rPr>
          <w:lang w:val="bg-BG"/>
        </w:rPr>
        <w:t>задържането</w:t>
      </w:r>
      <w:r w:rsidR="00325370" w:rsidRPr="008849C3">
        <w:rPr>
          <w:lang w:val="bg-BG"/>
        </w:rPr>
        <w:t xml:space="preserve"> </w:t>
      </w:r>
      <w:r w:rsidR="002759A9" w:rsidRPr="008849C3">
        <w:rPr>
          <w:lang w:val="bg-BG"/>
        </w:rPr>
        <w:t>му, го зашлев</w:t>
      </w:r>
      <w:r w:rsidR="00325370">
        <w:rPr>
          <w:lang w:val="bg-BG"/>
        </w:rPr>
        <w:t>ява</w:t>
      </w:r>
      <w:r w:rsidR="002759A9" w:rsidRPr="008849C3">
        <w:rPr>
          <w:lang w:val="bg-BG"/>
        </w:rPr>
        <w:t xml:space="preserve">. Счита, че силата, употребена при разглежданата полицейска операция, е била </w:t>
      </w:r>
      <w:r w:rsidR="00325370" w:rsidRPr="008849C3">
        <w:rPr>
          <w:lang w:val="bg-BG"/>
        </w:rPr>
        <w:t>нео</w:t>
      </w:r>
      <w:r w:rsidR="00325370">
        <w:rPr>
          <w:lang w:val="bg-BG"/>
        </w:rPr>
        <w:t>боснована</w:t>
      </w:r>
      <w:r w:rsidR="002759A9" w:rsidRPr="008849C3">
        <w:rPr>
          <w:lang w:val="bg-BG"/>
        </w:rPr>
        <w:t xml:space="preserve"> и несъразмерна.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59</w:t>
      </w:r>
      <w:r w:rsidRPr="008849C3">
        <w:rPr>
          <w:lang w:val="bg-BG"/>
        </w:rPr>
        <w:fldChar w:fldCharType="end"/>
      </w:r>
      <w:r w:rsidR="00E77CB3" w:rsidRPr="008849C3">
        <w:rPr>
          <w:lang w:val="bg-BG"/>
        </w:rPr>
        <w:t>.  </w:t>
      </w:r>
      <w:r w:rsidR="00315ACE" w:rsidRPr="008849C3">
        <w:rPr>
          <w:lang w:val="bg-BG"/>
        </w:rPr>
        <w:t>Правителството оспорва част от фактическите твърдения на жал</w:t>
      </w:r>
      <w:r w:rsidR="00CC5FB8" w:rsidRPr="008849C3">
        <w:rPr>
          <w:lang w:val="bg-BG"/>
        </w:rPr>
        <w:t xml:space="preserve">боподателя. То посочва, че никой документ по делото не потвърждава версията на жалбоподателя, според която е зашлевен от оператора. </w:t>
      </w:r>
      <w:r w:rsidR="009548EF" w:rsidRPr="008849C3">
        <w:rPr>
          <w:lang w:val="bg-BG"/>
        </w:rPr>
        <w:t>Твърди</w:t>
      </w:r>
      <w:r w:rsidR="00CC5FB8" w:rsidRPr="008849C3">
        <w:rPr>
          <w:lang w:val="bg-BG"/>
        </w:rPr>
        <w:t xml:space="preserve">, </w:t>
      </w:r>
      <w:r w:rsidR="00342D2B" w:rsidRPr="008849C3">
        <w:rPr>
          <w:lang w:val="bg-BG"/>
        </w:rPr>
        <w:t>че полиц</w:t>
      </w:r>
      <w:r w:rsidR="00325370">
        <w:rPr>
          <w:lang w:val="bg-BG"/>
        </w:rPr>
        <w:t>ейските служители</w:t>
      </w:r>
      <w:r w:rsidR="00342D2B" w:rsidRPr="008849C3">
        <w:rPr>
          <w:lang w:val="bg-BG"/>
        </w:rPr>
        <w:t xml:space="preserve"> са били облечени в якета</w:t>
      </w:r>
      <w:r w:rsidR="0080444C" w:rsidRPr="008849C3">
        <w:rPr>
          <w:lang w:val="bg-BG"/>
        </w:rPr>
        <w:t xml:space="preserve"> с </w:t>
      </w:r>
      <w:proofErr w:type="spellStart"/>
      <w:r w:rsidR="00325370">
        <w:rPr>
          <w:lang w:val="bg-BG"/>
        </w:rPr>
        <w:t>обозначителните</w:t>
      </w:r>
      <w:proofErr w:type="spellEnd"/>
      <w:r w:rsidR="00325370">
        <w:rPr>
          <w:lang w:val="bg-BG"/>
        </w:rPr>
        <w:t xml:space="preserve"> знаци</w:t>
      </w:r>
      <w:r w:rsidR="00325370" w:rsidRPr="008849C3">
        <w:rPr>
          <w:lang w:val="bg-BG"/>
        </w:rPr>
        <w:t xml:space="preserve"> </w:t>
      </w:r>
      <w:r w:rsidR="0080444C" w:rsidRPr="008849C3">
        <w:rPr>
          <w:lang w:val="bg-BG"/>
        </w:rPr>
        <w:t>на службата за борба с организираната престъпност. Прибавя, че въпреки, че е видял</w:t>
      </w:r>
      <w:r w:rsidR="00325370">
        <w:rPr>
          <w:lang w:val="bg-BG"/>
        </w:rPr>
        <w:t>а</w:t>
      </w:r>
      <w:r w:rsidR="0080444C" w:rsidRPr="008849C3">
        <w:rPr>
          <w:lang w:val="bg-BG"/>
        </w:rPr>
        <w:t xml:space="preserve"> </w:t>
      </w:r>
      <w:proofErr w:type="spellStart"/>
      <w:r w:rsidR="00325370">
        <w:rPr>
          <w:lang w:val="bg-BG"/>
        </w:rPr>
        <w:t>обозначителните</w:t>
      </w:r>
      <w:proofErr w:type="spellEnd"/>
      <w:r w:rsidR="00325370">
        <w:rPr>
          <w:lang w:val="bg-BG"/>
        </w:rPr>
        <w:t xml:space="preserve"> знаци</w:t>
      </w:r>
      <w:r w:rsidR="0080444C" w:rsidRPr="008849C3">
        <w:rPr>
          <w:lang w:val="bg-BG"/>
        </w:rPr>
        <w:t xml:space="preserve">, </w:t>
      </w:r>
      <w:r w:rsidR="00325370">
        <w:rPr>
          <w:lang w:val="bg-BG"/>
        </w:rPr>
        <w:t>служителката</w:t>
      </w:r>
      <w:r w:rsidR="0080444C" w:rsidRPr="008849C3">
        <w:rPr>
          <w:lang w:val="bg-BG"/>
        </w:rPr>
        <w:t xml:space="preserve"> Е.С. все пак се опит</w:t>
      </w:r>
      <w:r w:rsidR="00325370">
        <w:rPr>
          <w:lang w:val="bg-BG"/>
        </w:rPr>
        <w:t>ва</w:t>
      </w:r>
      <w:r w:rsidR="0080444C" w:rsidRPr="008849C3">
        <w:rPr>
          <w:lang w:val="bg-BG"/>
        </w:rPr>
        <w:t xml:space="preserve"> да попречи на полиц</w:t>
      </w:r>
      <w:r w:rsidR="00325370">
        <w:rPr>
          <w:lang w:val="bg-BG"/>
        </w:rPr>
        <w:t>ейските служители</w:t>
      </w:r>
      <w:r w:rsidR="0080444C" w:rsidRPr="008849C3">
        <w:rPr>
          <w:lang w:val="bg-BG"/>
        </w:rPr>
        <w:t xml:space="preserve"> да влязат в нотариалната кантора; </w:t>
      </w:r>
      <w:r w:rsidR="008D4B1B" w:rsidRPr="008849C3">
        <w:rPr>
          <w:lang w:val="bg-BG"/>
        </w:rPr>
        <w:t>тогава последните разби</w:t>
      </w:r>
      <w:r w:rsidR="00325370">
        <w:rPr>
          <w:lang w:val="bg-BG"/>
        </w:rPr>
        <w:t>ват</w:t>
      </w:r>
      <w:r w:rsidR="008D4B1B" w:rsidRPr="008849C3">
        <w:rPr>
          <w:lang w:val="bg-BG"/>
        </w:rPr>
        <w:t xml:space="preserve"> вратата и </w:t>
      </w:r>
      <w:r w:rsidR="00325370">
        <w:rPr>
          <w:lang w:val="bg-BG"/>
        </w:rPr>
        <w:t xml:space="preserve">нахлуват </w:t>
      </w:r>
      <w:r w:rsidR="008D4B1B" w:rsidRPr="008849C3">
        <w:rPr>
          <w:lang w:val="bg-BG"/>
        </w:rPr>
        <w:t>с викове „Полиция!“. Поради това, според Правителството, нито жалбоподателят, нито Е.С. могат с право да претендират, че не са знаели, че става дума за полицейска операция. Правителството добавя, че жалбоподателят се втурнал към входната врата</w:t>
      </w:r>
      <w:r w:rsidR="0080444C" w:rsidRPr="008849C3">
        <w:rPr>
          <w:lang w:val="bg-BG"/>
        </w:rPr>
        <w:t xml:space="preserve"> </w:t>
      </w:r>
      <w:r w:rsidR="008D4B1B" w:rsidRPr="008849C3">
        <w:rPr>
          <w:lang w:val="bg-BG"/>
        </w:rPr>
        <w:t xml:space="preserve">като размахвал ръце, което накарало силите на реда да го обезвредят, като му приложат техника за обездвижване. То счита, че тази </w:t>
      </w:r>
      <w:r w:rsidR="00D97D26">
        <w:rPr>
          <w:lang w:val="bg-BG"/>
        </w:rPr>
        <w:t>операция</w:t>
      </w:r>
      <w:r w:rsidR="00D97D26" w:rsidRPr="008849C3">
        <w:rPr>
          <w:lang w:val="bg-BG"/>
        </w:rPr>
        <w:t xml:space="preserve"> </w:t>
      </w:r>
      <w:r w:rsidR="008D4B1B" w:rsidRPr="008849C3">
        <w:rPr>
          <w:lang w:val="bg-BG"/>
        </w:rPr>
        <w:t>е била съобразена със ситуацият</w:t>
      </w:r>
      <w:r w:rsidR="0078587C" w:rsidRPr="008849C3">
        <w:rPr>
          <w:lang w:val="bg-BG"/>
        </w:rPr>
        <w:t xml:space="preserve">а и че се оценява като </w:t>
      </w:r>
      <w:r w:rsidR="00D97D26">
        <w:rPr>
          <w:lang w:val="bg-BG"/>
        </w:rPr>
        <w:t>основателно</w:t>
      </w:r>
      <w:r w:rsidR="00D97D26" w:rsidRPr="008849C3">
        <w:rPr>
          <w:lang w:val="bg-BG"/>
        </w:rPr>
        <w:t xml:space="preserve"> </w:t>
      </w:r>
      <w:r w:rsidR="008D4B1B" w:rsidRPr="008849C3">
        <w:rPr>
          <w:lang w:val="bg-BG"/>
        </w:rPr>
        <w:t>и</w:t>
      </w:r>
      <w:r w:rsidR="0078587C" w:rsidRPr="008849C3">
        <w:rPr>
          <w:lang w:val="bg-BG"/>
        </w:rPr>
        <w:t xml:space="preserve"> </w:t>
      </w:r>
      <w:r w:rsidR="00D97D26">
        <w:rPr>
          <w:lang w:val="bg-BG"/>
        </w:rPr>
        <w:t>съразмерно</w:t>
      </w:r>
      <w:r w:rsidR="00D97D26" w:rsidRPr="008849C3">
        <w:rPr>
          <w:lang w:val="bg-BG"/>
        </w:rPr>
        <w:t xml:space="preserve"> </w:t>
      </w:r>
      <w:r w:rsidR="0078587C" w:rsidRPr="008849C3">
        <w:rPr>
          <w:lang w:val="bg-BG"/>
        </w:rPr>
        <w:t xml:space="preserve">прибягване до физическа сила. </w:t>
      </w:r>
      <w:r w:rsidR="008D4B1B" w:rsidRPr="008849C3">
        <w:rPr>
          <w:lang w:val="bg-BG"/>
        </w:rPr>
        <w:t xml:space="preserve">  </w:t>
      </w:r>
    </w:p>
    <w:p w:rsidR="00211E87" w:rsidRPr="008849C3" w:rsidRDefault="009548EF" w:rsidP="006B0E9F">
      <w:pPr>
        <w:pStyle w:val="ECHRHeading4"/>
        <w:rPr>
          <w:lang w:val="bg-BG"/>
        </w:rPr>
      </w:pPr>
      <w:r>
        <w:rPr>
          <w:lang w:val="bg-BG"/>
        </w:rPr>
        <w:t>б</w:t>
      </w:r>
      <w:r w:rsidR="00896E61" w:rsidRPr="008849C3">
        <w:rPr>
          <w:lang w:val="bg-BG"/>
        </w:rPr>
        <w:t>)  </w:t>
      </w:r>
      <w:r w:rsidR="00243396" w:rsidRPr="008849C3">
        <w:rPr>
          <w:lang w:val="bg-BG"/>
        </w:rPr>
        <w:t>Пре</w:t>
      </w:r>
      <w:r w:rsidR="00593DF6" w:rsidRPr="008849C3">
        <w:rPr>
          <w:lang w:val="bg-BG"/>
        </w:rPr>
        <w:t xml:space="preserve">ценка на Съда </w:t>
      </w:r>
    </w:p>
    <w:p w:rsidR="00A65D29" w:rsidRPr="008849C3" w:rsidRDefault="00472D9E" w:rsidP="006B0E9F">
      <w:pPr>
        <w:pStyle w:val="ECHRPara"/>
        <w:rPr>
          <w:i/>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60</w:t>
      </w:r>
      <w:r w:rsidRPr="008849C3">
        <w:rPr>
          <w:lang w:val="bg-BG"/>
        </w:rPr>
        <w:fldChar w:fldCharType="end"/>
      </w:r>
      <w:r w:rsidR="00E77CB3" w:rsidRPr="008849C3">
        <w:rPr>
          <w:lang w:val="bg-BG"/>
        </w:rPr>
        <w:t>.  </w:t>
      </w:r>
      <w:r w:rsidR="00186FE7" w:rsidRPr="008849C3">
        <w:rPr>
          <w:lang w:val="bg-BG"/>
        </w:rPr>
        <w:t>Съдът припомня, че за да попадне</w:t>
      </w:r>
      <w:r w:rsidR="00593DF6" w:rsidRPr="008849C3">
        <w:rPr>
          <w:lang w:val="bg-BG"/>
        </w:rPr>
        <w:t xml:space="preserve"> в обхвата на</w:t>
      </w:r>
      <w:r w:rsidR="00A65D29" w:rsidRPr="008849C3">
        <w:rPr>
          <w:lang w:val="bg-BG"/>
        </w:rPr>
        <w:t xml:space="preserve"> </w:t>
      </w:r>
      <w:r w:rsidR="00CA7BA4">
        <w:rPr>
          <w:lang w:val="bg-BG"/>
        </w:rPr>
        <w:t>чл.</w:t>
      </w:r>
      <w:r w:rsidR="00A65D29" w:rsidRPr="008849C3">
        <w:rPr>
          <w:lang w:val="bg-BG"/>
        </w:rPr>
        <w:t xml:space="preserve"> 3 </w:t>
      </w:r>
      <w:r w:rsidR="00CD3B92" w:rsidRPr="008849C3">
        <w:rPr>
          <w:lang w:val="bg-BG"/>
        </w:rPr>
        <w:t>от Конвенцията</w:t>
      </w:r>
      <w:r w:rsidR="00A65D29" w:rsidRPr="008849C3">
        <w:rPr>
          <w:lang w:val="bg-BG"/>
        </w:rPr>
        <w:t xml:space="preserve">, </w:t>
      </w:r>
      <w:r w:rsidR="00D97D26">
        <w:rPr>
          <w:lang w:val="bg-BG"/>
        </w:rPr>
        <w:t>унизително</w:t>
      </w:r>
      <w:r w:rsidR="00243396" w:rsidRPr="008849C3">
        <w:rPr>
          <w:lang w:val="bg-BG"/>
        </w:rPr>
        <w:t xml:space="preserve"> отношение трябва да достигне минимална степен на </w:t>
      </w:r>
      <w:r w:rsidR="00186FE7" w:rsidRPr="008849C3">
        <w:rPr>
          <w:lang w:val="bg-BG"/>
        </w:rPr>
        <w:t>тежест</w:t>
      </w:r>
      <w:r w:rsidR="00243396" w:rsidRPr="008849C3">
        <w:rPr>
          <w:lang w:val="bg-BG"/>
        </w:rPr>
        <w:t xml:space="preserve">. </w:t>
      </w:r>
      <w:r w:rsidR="00186FE7" w:rsidRPr="008849C3">
        <w:rPr>
          <w:lang w:val="bg-BG"/>
        </w:rPr>
        <w:t xml:space="preserve">Преценката за тази минимална степен по своята </w:t>
      </w:r>
      <w:r w:rsidR="00186FE7" w:rsidRPr="008849C3">
        <w:rPr>
          <w:lang w:val="bg-BG"/>
        </w:rPr>
        <w:lastRenderedPageBreak/>
        <w:t xml:space="preserve">същност е относителна; тя зависи от съвкупността от данните по делото и, по-конкретно, от продължителността на отношението, от физическите или психологическите му последици, както понякога и от пола, възрастта и здравословното състояние на жертвата. Съдът </w:t>
      </w:r>
      <w:r w:rsidR="0084573F">
        <w:rPr>
          <w:lang w:val="bg-BG"/>
        </w:rPr>
        <w:t>счита</w:t>
      </w:r>
      <w:r w:rsidR="00186FE7" w:rsidRPr="008849C3">
        <w:rPr>
          <w:lang w:val="bg-BG"/>
        </w:rPr>
        <w:t xml:space="preserve">, </w:t>
      </w:r>
      <w:r w:rsidR="0084573F">
        <w:rPr>
          <w:lang w:val="bg-BG"/>
        </w:rPr>
        <w:t xml:space="preserve">за </w:t>
      </w:r>
      <w:r w:rsidR="00186FE7" w:rsidRPr="008849C3">
        <w:rPr>
          <w:lang w:val="bg-BG"/>
        </w:rPr>
        <w:t>„унизително“</w:t>
      </w:r>
      <w:r w:rsidR="0084573F">
        <w:rPr>
          <w:lang w:val="bg-BG"/>
        </w:rPr>
        <w:t xml:space="preserve"> отношение</w:t>
      </w:r>
      <w:r w:rsidR="00186FE7" w:rsidRPr="008849C3">
        <w:rPr>
          <w:lang w:val="bg-BG"/>
        </w:rPr>
        <w:t xml:space="preserve">, когато предизвиква у жертвите чувства на страх, </w:t>
      </w:r>
      <w:r w:rsidR="0084573F">
        <w:rPr>
          <w:lang w:val="bg-BG"/>
        </w:rPr>
        <w:t>безпокойство</w:t>
      </w:r>
      <w:r w:rsidR="0084573F" w:rsidRPr="008849C3">
        <w:rPr>
          <w:lang w:val="bg-BG"/>
        </w:rPr>
        <w:t xml:space="preserve"> </w:t>
      </w:r>
      <w:r w:rsidR="00186FE7" w:rsidRPr="008849C3">
        <w:rPr>
          <w:lang w:val="bg-BG"/>
        </w:rPr>
        <w:t xml:space="preserve">и </w:t>
      </w:r>
      <w:r w:rsidR="0084573F">
        <w:rPr>
          <w:lang w:val="bg-BG"/>
        </w:rPr>
        <w:t>безсилие</w:t>
      </w:r>
      <w:r w:rsidR="00186FE7" w:rsidRPr="008849C3">
        <w:rPr>
          <w:lang w:val="bg-BG"/>
        </w:rPr>
        <w:t xml:space="preserve">, които са в състояние да ги унижат и да ги принизят </w:t>
      </w:r>
      <w:r w:rsidR="00A65D29" w:rsidRPr="008849C3">
        <w:rPr>
          <w:lang w:val="bg-BG"/>
        </w:rPr>
        <w:t>(</w:t>
      </w:r>
      <w:proofErr w:type="spellStart"/>
      <w:r w:rsidR="00186FE7" w:rsidRPr="008849C3">
        <w:rPr>
          <w:i/>
          <w:lang w:val="bg-BG"/>
        </w:rPr>
        <w:t>Лабита</w:t>
      </w:r>
      <w:proofErr w:type="spellEnd"/>
      <w:r w:rsidR="00186FE7" w:rsidRPr="008849C3">
        <w:rPr>
          <w:i/>
          <w:lang w:val="bg-BG"/>
        </w:rPr>
        <w:t xml:space="preserve"> срещу Италия </w:t>
      </w:r>
      <w:r w:rsidR="00666C57" w:rsidRPr="008849C3">
        <w:rPr>
          <w:i/>
          <w:lang w:val="bg-BG"/>
        </w:rPr>
        <w:t>(</w:t>
      </w:r>
      <w:proofErr w:type="spellStart"/>
      <w:r w:rsidR="00666C57" w:rsidRPr="008849C3">
        <w:rPr>
          <w:i/>
          <w:lang w:val="bg-BG"/>
        </w:rPr>
        <w:t>Labita</w:t>
      </w:r>
      <w:proofErr w:type="spellEnd"/>
      <w:r w:rsidR="00666C57" w:rsidRPr="008849C3">
        <w:rPr>
          <w:i/>
          <w:lang w:val="bg-BG"/>
        </w:rPr>
        <w:t xml:space="preserve"> c. </w:t>
      </w:r>
      <w:proofErr w:type="spellStart"/>
      <w:r w:rsidR="00666C57" w:rsidRPr="008849C3">
        <w:rPr>
          <w:i/>
          <w:lang w:val="bg-BG"/>
        </w:rPr>
        <w:t>Italie</w:t>
      </w:r>
      <w:proofErr w:type="spellEnd"/>
      <w:r w:rsidR="00666C57" w:rsidRPr="008849C3">
        <w:rPr>
          <w:i/>
          <w:lang w:val="bg-BG"/>
        </w:rPr>
        <w:t xml:space="preserve">) </w:t>
      </w:r>
      <w:r w:rsidR="00A65D29" w:rsidRPr="008849C3">
        <w:rPr>
          <w:lang w:val="bg-BG"/>
        </w:rPr>
        <w:t>[</w:t>
      </w:r>
      <w:r w:rsidR="00666C57" w:rsidRPr="008849C3">
        <w:rPr>
          <w:lang w:val="bg-BG"/>
        </w:rPr>
        <w:t xml:space="preserve">ГК], № </w:t>
      </w:r>
      <w:r w:rsidR="0050654E" w:rsidRPr="008849C3">
        <w:rPr>
          <w:lang w:val="bg-BG"/>
        </w:rPr>
        <w:t xml:space="preserve">26772/95, § 120, </w:t>
      </w:r>
      <w:r w:rsidR="00666C57" w:rsidRPr="008849C3">
        <w:rPr>
          <w:lang w:val="bg-BG"/>
        </w:rPr>
        <w:t>ЕСПЧ</w:t>
      </w:r>
      <w:r w:rsidR="0050654E" w:rsidRPr="008849C3">
        <w:rPr>
          <w:lang w:val="bg-BG"/>
        </w:rPr>
        <w:t> </w:t>
      </w:r>
      <w:r w:rsidR="00A65D29" w:rsidRPr="008849C3">
        <w:rPr>
          <w:lang w:val="bg-BG"/>
        </w:rPr>
        <w:t>2000</w:t>
      </w:r>
      <w:r w:rsidR="00A65D29" w:rsidRPr="008849C3">
        <w:rPr>
          <w:lang w:val="bg-BG"/>
        </w:rPr>
        <w:noBreakHyphen/>
        <w:t>IV).</w:t>
      </w:r>
    </w:p>
    <w:p w:rsidR="00A65D29" w:rsidRPr="008849C3" w:rsidRDefault="00A65D2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61</w:t>
      </w:r>
      <w:r w:rsidRPr="008849C3">
        <w:rPr>
          <w:lang w:val="bg-BG"/>
        </w:rPr>
        <w:fldChar w:fldCharType="end"/>
      </w:r>
      <w:r w:rsidRPr="008849C3">
        <w:rPr>
          <w:lang w:val="bg-BG"/>
        </w:rPr>
        <w:t>.  </w:t>
      </w:r>
      <w:r w:rsidR="00666C57" w:rsidRPr="008849C3">
        <w:rPr>
          <w:lang w:val="bg-BG"/>
        </w:rPr>
        <w:t xml:space="preserve">Съдът припомня още, че </w:t>
      </w:r>
      <w:r w:rsidR="00CA7BA4">
        <w:rPr>
          <w:lang w:val="bg-BG"/>
        </w:rPr>
        <w:t>чл.</w:t>
      </w:r>
      <w:r w:rsidRPr="008849C3">
        <w:rPr>
          <w:lang w:val="bg-BG"/>
        </w:rPr>
        <w:t xml:space="preserve"> 3 </w:t>
      </w:r>
      <w:r w:rsidR="00CD3B92" w:rsidRPr="008849C3">
        <w:rPr>
          <w:lang w:val="bg-BG"/>
        </w:rPr>
        <w:t>от</w:t>
      </w:r>
      <w:r w:rsidR="0084573F">
        <w:rPr>
          <w:lang w:val="bg-BG"/>
        </w:rPr>
        <w:t xml:space="preserve"> Конвенцията</w:t>
      </w:r>
      <w:r w:rsidR="00CD3B92" w:rsidRPr="008849C3">
        <w:rPr>
          <w:lang w:val="bg-BG"/>
        </w:rPr>
        <w:t xml:space="preserve"> </w:t>
      </w:r>
      <w:r w:rsidR="00666C57" w:rsidRPr="008849C3">
        <w:rPr>
          <w:lang w:val="bg-BG"/>
        </w:rPr>
        <w:t>не забранява употребата на сила от полице</w:t>
      </w:r>
      <w:r w:rsidR="00E26004">
        <w:rPr>
          <w:lang w:val="bg-BG"/>
        </w:rPr>
        <w:t>йските служители при задържане.</w:t>
      </w:r>
      <w:r w:rsidR="00666C57" w:rsidRPr="008849C3">
        <w:rPr>
          <w:lang w:val="bg-BG"/>
        </w:rPr>
        <w:t xml:space="preserve"> Независимо от това използването на сила трябва да бъде съразмерно и абсолютно необходимо с оглед на конкретните обстоятелства</w:t>
      </w:r>
      <w:r w:rsidRPr="008849C3">
        <w:rPr>
          <w:lang w:val="bg-BG"/>
        </w:rPr>
        <w:t xml:space="preserve"> (</w:t>
      </w:r>
      <w:r w:rsidR="00666C57" w:rsidRPr="008849C3">
        <w:rPr>
          <w:lang w:val="bg-BG"/>
        </w:rPr>
        <w:t>в</w:t>
      </w:r>
      <w:r w:rsidR="0084573F">
        <w:rPr>
          <w:lang w:val="bg-BG"/>
        </w:rPr>
        <w:t>ж.</w:t>
      </w:r>
      <w:r w:rsidR="00666C57" w:rsidRPr="008849C3">
        <w:rPr>
          <w:lang w:val="bg-BG"/>
        </w:rPr>
        <w:t>, наред с много други</w:t>
      </w:r>
      <w:r w:rsidRPr="008849C3">
        <w:rPr>
          <w:lang w:val="bg-BG"/>
        </w:rPr>
        <w:t xml:space="preserve">, </w:t>
      </w:r>
      <w:proofErr w:type="spellStart"/>
      <w:r w:rsidR="00666C57" w:rsidRPr="008849C3">
        <w:rPr>
          <w:i/>
          <w:lang w:val="bg-BG"/>
        </w:rPr>
        <w:t>Ребок</w:t>
      </w:r>
      <w:proofErr w:type="spellEnd"/>
      <w:r w:rsidR="00666C57" w:rsidRPr="008849C3">
        <w:rPr>
          <w:i/>
          <w:lang w:val="bg-BG"/>
        </w:rPr>
        <w:t xml:space="preserve"> срещу Словения (</w:t>
      </w:r>
      <w:proofErr w:type="spellStart"/>
      <w:r w:rsidR="00666C57" w:rsidRPr="008849C3">
        <w:rPr>
          <w:i/>
          <w:lang w:val="bg-BG"/>
        </w:rPr>
        <w:t>Rehbock</w:t>
      </w:r>
      <w:proofErr w:type="spellEnd"/>
      <w:r w:rsidR="00666C57" w:rsidRPr="008849C3">
        <w:rPr>
          <w:i/>
          <w:lang w:val="bg-BG"/>
        </w:rPr>
        <w:t xml:space="preserve"> c. </w:t>
      </w:r>
      <w:proofErr w:type="spellStart"/>
      <w:r w:rsidR="00666C57" w:rsidRPr="008849C3">
        <w:rPr>
          <w:i/>
          <w:lang w:val="bg-BG"/>
        </w:rPr>
        <w:t>Slovénie</w:t>
      </w:r>
      <w:proofErr w:type="spellEnd"/>
      <w:r w:rsidR="00666C57" w:rsidRPr="008849C3">
        <w:rPr>
          <w:i/>
          <w:lang w:val="bg-BG"/>
        </w:rPr>
        <w:t>)</w:t>
      </w:r>
      <w:r w:rsidR="00666C57" w:rsidRPr="008849C3">
        <w:rPr>
          <w:lang w:val="bg-BG"/>
        </w:rPr>
        <w:t>, №</w:t>
      </w:r>
      <w:r w:rsidR="0050654E" w:rsidRPr="008849C3">
        <w:rPr>
          <w:lang w:val="bg-BG"/>
        </w:rPr>
        <w:t xml:space="preserve"> 29462/95, § 76, </w:t>
      </w:r>
      <w:r w:rsidR="00666C57" w:rsidRPr="008849C3">
        <w:rPr>
          <w:lang w:val="bg-BG"/>
        </w:rPr>
        <w:t>ЕСПЧ</w:t>
      </w:r>
      <w:r w:rsidR="0050654E" w:rsidRPr="008849C3">
        <w:rPr>
          <w:lang w:val="bg-BG"/>
        </w:rPr>
        <w:t> </w:t>
      </w:r>
      <w:r w:rsidRPr="008849C3">
        <w:rPr>
          <w:lang w:val="bg-BG"/>
        </w:rPr>
        <w:t>2000</w:t>
      </w:r>
      <w:r w:rsidRPr="008849C3">
        <w:rPr>
          <w:lang w:val="bg-BG"/>
        </w:rPr>
        <w:noBreakHyphen/>
        <w:t xml:space="preserve">XII, </w:t>
      </w:r>
      <w:r w:rsidR="00666C57" w:rsidRPr="008849C3">
        <w:rPr>
          <w:lang w:val="bg-BG"/>
        </w:rPr>
        <w:t>и</w:t>
      </w:r>
      <w:r w:rsidRPr="008849C3">
        <w:rPr>
          <w:lang w:val="bg-BG"/>
        </w:rPr>
        <w:t xml:space="preserve"> </w:t>
      </w:r>
      <w:r w:rsidR="00666C57" w:rsidRPr="008849C3">
        <w:rPr>
          <w:i/>
          <w:lang w:val="bg-BG"/>
        </w:rPr>
        <w:t>Алтай срещу Турция (</w:t>
      </w:r>
      <w:proofErr w:type="spellStart"/>
      <w:r w:rsidR="00666C57" w:rsidRPr="008849C3">
        <w:rPr>
          <w:i/>
          <w:lang w:val="bg-BG"/>
        </w:rPr>
        <w:t>Altay</w:t>
      </w:r>
      <w:proofErr w:type="spellEnd"/>
      <w:r w:rsidR="00666C57" w:rsidRPr="008849C3">
        <w:rPr>
          <w:i/>
          <w:lang w:val="bg-BG"/>
        </w:rPr>
        <w:t xml:space="preserve"> c. </w:t>
      </w:r>
      <w:proofErr w:type="spellStart"/>
      <w:r w:rsidR="00666C57" w:rsidRPr="008849C3">
        <w:rPr>
          <w:i/>
          <w:lang w:val="bg-BG"/>
        </w:rPr>
        <w:t>Turquie</w:t>
      </w:r>
      <w:proofErr w:type="spellEnd"/>
      <w:r w:rsidR="00666C57" w:rsidRPr="008849C3">
        <w:rPr>
          <w:i/>
          <w:lang w:val="bg-BG"/>
        </w:rPr>
        <w:t>)</w:t>
      </w:r>
      <w:r w:rsidR="00666C57" w:rsidRPr="008849C3">
        <w:rPr>
          <w:lang w:val="bg-BG"/>
        </w:rPr>
        <w:t>, №</w:t>
      </w:r>
      <w:r w:rsidRPr="008849C3">
        <w:rPr>
          <w:lang w:val="bg-BG"/>
        </w:rPr>
        <w:t xml:space="preserve"> 22279/93, § 54, 22 </w:t>
      </w:r>
      <w:r w:rsidR="00666C57" w:rsidRPr="008849C3">
        <w:rPr>
          <w:lang w:val="bg-BG"/>
        </w:rPr>
        <w:t>май</w:t>
      </w:r>
      <w:r w:rsidRPr="008849C3">
        <w:rPr>
          <w:lang w:val="bg-BG"/>
        </w:rPr>
        <w:t xml:space="preserve"> 2001</w:t>
      </w:r>
      <w:r w:rsidR="00666C57" w:rsidRPr="008849C3">
        <w:rPr>
          <w:lang w:val="bg-BG"/>
        </w:rPr>
        <w:t xml:space="preserve"> г.</w:t>
      </w:r>
      <w:r w:rsidRPr="008849C3">
        <w:rPr>
          <w:lang w:val="bg-BG"/>
        </w:rPr>
        <w:t xml:space="preserve">). </w:t>
      </w:r>
      <w:r w:rsidR="00666C57" w:rsidRPr="008849C3">
        <w:rPr>
          <w:lang w:val="bg-BG"/>
        </w:rPr>
        <w:t>В това отношение е важно</w:t>
      </w:r>
      <w:r w:rsidR="0084573F">
        <w:rPr>
          <w:lang w:val="bg-BG"/>
        </w:rPr>
        <w:t>,</w:t>
      </w:r>
      <w:r w:rsidR="00666C57" w:rsidRPr="008849C3">
        <w:rPr>
          <w:lang w:val="bg-BG"/>
        </w:rPr>
        <w:t xml:space="preserve"> например</w:t>
      </w:r>
      <w:r w:rsidR="0084573F">
        <w:rPr>
          <w:lang w:val="bg-BG"/>
        </w:rPr>
        <w:t>,</w:t>
      </w:r>
      <w:r w:rsidR="00666C57" w:rsidRPr="008849C3">
        <w:rPr>
          <w:lang w:val="bg-BG"/>
        </w:rPr>
        <w:t xml:space="preserve"> да се прецени доколко има основание да се мисли, че </w:t>
      </w:r>
      <w:r w:rsidR="0084573F">
        <w:rPr>
          <w:lang w:val="bg-BG"/>
        </w:rPr>
        <w:t>съответното</w:t>
      </w:r>
      <w:r w:rsidR="0084573F" w:rsidRPr="008849C3">
        <w:rPr>
          <w:lang w:val="bg-BG"/>
        </w:rPr>
        <w:t xml:space="preserve"> </w:t>
      </w:r>
      <w:r w:rsidR="00666C57" w:rsidRPr="008849C3">
        <w:rPr>
          <w:lang w:val="bg-BG"/>
        </w:rPr>
        <w:t xml:space="preserve">лице би оказало съпротива при </w:t>
      </w:r>
      <w:r w:rsidR="0084573F">
        <w:rPr>
          <w:lang w:val="bg-BG"/>
        </w:rPr>
        <w:t>задържането</w:t>
      </w:r>
      <w:r w:rsidR="0084573F" w:rsidRPr="008849C3">
        <w:rPr>
          <w:lang w:val="bg-BG"/>
        </w:rPr>
        <w:t xml:space="preserve"> </w:t>
      </w:r>
      <w:r w:rsidR="00666C57" w:rsidRPr="008849C3">
        <w:rPr>
          <w:lang w:val="bg-BG"/>
        </w:rPr>
        <w:t>или би се опитало да избяга, да причини наранявания или вреди, или да унищожи доказателства</w:t>
      </w:r>
      <w:r w:rsidRPr="008849C3">
        <w:rPr>
          <w:lang w:val="bg-BG"/>
        </w:rPr>
        <w:t xml:space="preserve"> (</w:t>
      </w:r>
      <w:proofErr w:type="spellStart"/>
      <w:r w:rsidR="00666C57" w:rsidRPr="008849C3">
        <w:rPr>
          <w:i/>
          <w:lang w:val="bg-BG"/>
        </w:rPr>
        <w:t>Ранинен</w:t>
      </w:r>
      <w:proofErr w:type="spellEnd"/>
      <w:r w:rsidR="00666C57" w:rsidRPr="008849C3">
        <w:rPr>
          <w:i/>
          <w:lang w:val="bg-BG"/>
        </w:rPr>
        <w:t xml:space="preserve"> срещу Финландия (</w:t>
      </w:r>
      <w:proofErr w:type="spellStart"/>
      <w:r w:rsidRPr="008849C3">
        <w:rPr>
          <w:i/>
          <w:lang w:val="bg-BG"/>
        </w:rPr>
        <w:t>Raninen</w:t>
      </w:r>
      <w:proofErr w:type="spellEnd"/>
      <w:r w:rsidRPr="008849C3">
        <w:rPr>
          <w:i/>
          <w:lang w:val="bg-BG"/>
        </w:rPr>
        <w:t xml:space="preserve"> c. </w:t>
      </w:r>
      <w:proofErr w:type="spellStart"/>
      <w:r w:rsidRPr="008849C3">
        <w:rPr>
          <w:i/>
          <w:lang w:val="bg-BG"/>
        </w:rPr>
        <w:t>Finlande</w:t>
      </w:r>
      <w:proofErr w:type="spellEnd"/>
      <w:r w:rsidR="00666C57" w:rsidRPr="008849C3">
        <w:rPr>
          <w:i/>
          <w:lang w:val="bg-BG"/>
        </w:rPr>
        <w:t>)</w:t>
      </w:r>
      <w:r w:rsidRPr="008849C3">
        <w:rPr>
          <w:lang w:val="bg-BG"/>
        </w:rPr>
        <w:t xml:space="preserve">, 16 </w:t>
      </w:r>
      <w:r w:rsidR="00666C57" w:rsidRPr="008849C3">
        <w:rPr>
          <w:lang w:val="bg-BG"/>
        </w:rPr>
        <w:t>декември</w:t>
      </w:r>
      <w:r w:rsidRPr="008849C3">
        <w:rPr>
          <w:lang w:val="bg-BG"/>
        </w:rPr>
        <w:t xml:space="preserve"> 1997</w:t>
      </w:r>
      <w:r w:rsidR="00666C57" w:rsidRPr="008849C3">
        <w:rPr>
          <w:lang w:val="bg-BG"/>
        </w:rPr>
        <w:t xml:space="preserve"> г.</w:t>
      </w:r>
      <w:r w:rsidRPr="008849C3">
        <w:rPr>
          <w:lang w:val="bg-BG"/>
        </w:rPr>
        <w:t xml:space="preserve">, § 56, </w:t>
      </w:r>
      <w:r w:rsidR="00666C57" w:rsidRPr="008849C3">
        <w:rPr>
          <w:i/>
          <w:lang w:val="bg-BG"/>
        </w:rPr>
        <w:t xml:space="preserve">Сборник с постановления и решения </w:t>
      </w:r>
      <w:r w:rsidRPr="008849C3">
        <w:rPr>
          <w:lang w:val="bg-BG"/>
        </w:rPr>
        <w:t>1997</w:t>
      </w:r>
      <w:r w:rsidRPr="008849C3">
        <w:rPr>
          <w:lang w:val="bg-BG"/>
        </w:rPr>
        <w:noBreakHyphen/>
        <w:t>VIII).</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62</w:t>
      </w:r>
      <w:r w:rsidRPr="008849C3">
        <w:rPr>
          <w:lang w:val="bg-BG"/>
        </w:rPr>
        <w:fldChar w:fldCharType="end"/>
      </w:r>
      <w:r w:rsidR="00E77CB3" w:rsidRPr="008849C3">
        <w:rPr>
          <w:lang w:val="bg-BG"/>
        </w:rPr>
        <w:t>.  </w:t>
      </w:r>
      <w:r w:rsidR="00666C57" w:rsidRPr="008849C3">
        <w:rPr>
          <w:lang w:val="bg-BG"/>
        </w:rPr>
        <w:t>Съдът отбелязва, че обстоятелствата около обсъжданата полицейска операция не са били разгледани от националните съдилища: следствието, водено по повод на тези събития</w:t>
      </w:r>
      <w:r w:rsidR="00E26004">
        <w:rPr>
          <w:lang w:val="bg-BG"/>
        </w:rPr>
        <w:t>,</w:t>
      </w:r>
      <w:r w:rsidR="00666C57" w:rsidRPr="008849C3">
        <w:rPr>
          <w:lang w:val="bg-BG"/>
        </w:rPr>
        <w:t xml:space="preserve"> е прекратено от прокуратурата поради изтичане на </w:t>
      </w:r>
      <w:proofErr w:type="spellStart"/>
      <w:r w:rsidR="00666C57" w:rsidRPr="008849C3">
        <w:rPr>
          <w:lang w:val="bg-BG"/>
        </w:rPr>
        <w:t>давностния</w:t>
      </w:r>
      <w:proofErr w:type="spellEnd"/>
      <w:r w:rsidR="00666C57" w:rsidRPr="008849C3">
        <w:rPr>
          <w:lang w:val="bg-BG"/>
        </w:rPr>
        <w:t xml:space="preserve"> срок </w:t>
      </w:r>
      <w:r w:rsidR="006038F1" w:rsidRPr="008849C3">
        <w:rPr>
          <w:lang w:val="bg-BG"/>
        </w:rPr>
        <w:t>(</w:t>
      </w:r>
      <w:r w:rsidR="007142F2" w:rsidRPr="008849C3">
        <w:rPr>
          <w:lang w:val="bg-BG"/>
        </w:rPr>
        <w:t>параграф</w:t>
      </w:r>
      <w:r w:rsidR="006038F1" w:rsidRPr="008849C3">
        <w:rPr>
          <w:lang w:val="bg-BG"/>
        </w:rPr>
        <w:t xml:space="preserve"> </w:t>
      </w:r>
      <w:r w:rsidR="00734116" w:rsidRPr="008849C3">
        <w:rPr>
          <w:lang w:val="bg-BG"/>
        </w:rPr>
        <w:t>46</w:t>
      </w:r>
      <w:r w:rsidR="006038F1" w:rsidRPr="008849C3">
        <w:rPr>
          <w:lang w:val="bg-BG"/>
        </w:rPr>
        <w:t xml:space="preserve"> </w:t>
      </w:r>
      <w:r w:rsidR="007142F2" w:rsidRPr="008849C3">
        <w:rPr>
          <w:lang w:val="bg-BG"/>
        </w:rPr>
        <w:t>по-горе</w:t>
      </w:r>
      <w:r w:rsidR="006038F1" w:rsidRPr="008849C3">
        <w:rPr>
          <w:lang w:val="bg-BG"/>
        </w:rPr>
        <w:t xml:space="preserve">). </w:t>
      </w:r>
      <w:r w:rsidR="007142F2" w:rsidRPr="008849C3">
        <w:rPr>
          <w:lang w:val="bg-BG"/>
        </w:rPr>
        <w:t>Той припомня, че</w:t>
      </w:r>
      <w:r w:rsidR="00D16306" w:rsidRPr="008849C3">
        <w:rPr>
          <w:lang w:val="bg-BG"/>
        </w:rPr>
        <w:t xml:space="preserve"> </w:t>
      </w:r>
      <w:r w:rsidR="00D6478D" w:rsidRPr="008849C3">
        <w:rPr>
          <w:lang w:val="bg-BG"/>
        </w:rPr>
        <w:t xml:space="preserve">когато е бил изправен пред подобни случаи, </w:t>
      </w:r>
      <w:r w:rsidR="0084573F">
        <w:rPr>
          <w:lang w:val="bg-BG"/>
        </w:rPr>
        <w:t>извършва</w:t>
      </w:r>
      <w:r w:rsidR="0084573F" w:rsidRPr="008849C3">
        <w:rPr>
          <w:lang w:val="bg-BG"/>
        </w:rPr>
        <w:t xml:space="preserve"> </w:t>
      </w:r>
      <w:r w:rsidR="00D6478D" w:rsidRPr="008849C3">
        <w:rPr>
          <w:lang w:val="bg-BG"/>
        </w:rPr>
        <w:t xml:space="preserve">своя </w:t>
      </w:r>
      <w:r w:rsidR="0084573F">
        <w:rPr>
          <w:lang w:val="bg-BG"/>
        </w:rPr>
        <w:t>преценка</w:t>
      </w:r>
      <w:r w:rsidR="0084573F" w:rsidRPr="008849C3">
        <w:rPr>
          <w:lang w:val="bg-BG"/>
        </w:rPr>
        <w:t xml:space="preserve"> </w:t>
      </w:r>
      <w:r w:rsidR="00D6478D" w:rsidRPr="008849C3">
        <w:rPr>
          <w:lang w:val="bg-BG"/>
        </w:rPr>
        <w:t xml:space="preserve">на обстоятелствата при спазване на определените от съдебната практика правила </w:t>
      </w:r>
      <w:r w:rsidR="006038F1" w:rsidRPr="008849C3">
        <w:rPr>
          <w:lang w:val="bg-BG"/>
        </w:rPr>
        <w:t>(</w:t>
      </w:r>
      <w:r w:rsidR="00D6478D" w:rsidRPr="008849C3">
        <w:rPr>
          <w:lang w:val="bg-BG"/>
        </w:rPr>
        <w:t>в</w:t>
      </w:r>
      <w:r w:rsidR="0084573F">
        <w:rPr>
          <w:lang w:val="bg-BG"/>
        </w:rPr>
        <w:t>ж.</w:t>
      </w:r>
      <w:r w:rsidR="006038F1" w:rsidRPr="008849C3">
        <w:rPr>
          <w:lang w:val="bg-BG"/>
        </w:rPr>
        <w:t xml:space="preserve">, </w:t>
      </w:r>
      <w:r w:rsidR="00D6478D" w:rsidRPr="008849C3">
        <w:rPr>
          <w:lang w:val="bg-BG"/>
        </w:rPr>
        <w:t>напр</w:t>
      </w:r>
      <w:r w:rsidR="0084573F">
        <w:rPr>
          <w:lang w:val="bg-BG"/>
        </w:rPr>
        <w:t>.</w:t>
      </w:r>
      <w:r w:rsidR="006038F1" w:rsidRPr="008849C3">
        <w:rPr>
          <w:lang w:val="bg-BG"/>
        </w:rPr>
        <w:t xml:space="preserve">, </w:t>
      </w:r>
      <w:proofErr w:type="spellStart"/>
      <w:r w:rsidR="00D6478D" w:rsidRPr="008849C3">
        <w:rPr>
          <w:i/>
          <w:lang w:val="bg-BG"/>
        </w:rPr>
        <w:t>Сашов</w:t>
      </w:r>
      <w:proofErr w:type="spellEnd"/>
      <w:r w:rsidR="00D6478D" w:rsidRPr="008849C3">
        <w:rPr>
          <w:i/>
          <w:lang w:val="bg-BG"/>
        </w:rPr>
        <w:t xml:space="preserve"> и други срещу България</w:t>
      </w:r>
      <w:r w:rsidR="00D6478D" w:rsidRPr="008849C3">
        <w:rPr>
          <w:lang w:val="bg-BG"/>
        </w:rPr>
        <w:t xml:space="preserve">, </w:t>
      </w:r>
      <w:r w:rsidR="00B129B7" w:rsidRPr="008849C3">
        <w:rPr>
          <w:lang w:val="bg-BG"/>
        </w:rPr>
        <w:t> </w:t>
      </w:r>
      <w:r w:rsidR="006038F1" w:rsidRPr="008849C3">
        <w:rPr>
          <w:lang w:val="bg-BG"/>
        </w:rPr>
        <w:t xml:space="preserve">14383/03, § 48, 7 </w:t>
      </w:r>
      <w:r w:rsidR="00D6478D" w:rsidRPr="008849C3">
        <w:rPr>
          <w:lang w:val="bg-BG"/>
        </w:rPr>
        <w:t>януари</w:t>
      </w:r>
      <w:r w:rsidR="006038F1" w:rsidRPr="008849C3">
        <w:rPr>
          <w:lang w:val="bg-BG"/>
        </w:rPr>
        <w:t xml:space="preserve"> 2010</w:t>
      </w:r>
      <w:r w:rsidR="00D6478D" w:rsidRPr="008849C3">
        <w:rPr>
          <w:lang w:val="bg-BG"/>
        </w:rPr>
        <w:t xml:space="preserve"> г.</w:t>
      </w:r>
      <w:r w:rsidR="006038F1" w:rsidRPr="008849C3">
        <w:rPr>
          <w:lang w:val="bg-BG"/>
        </w:rPr>
        <w:t>).</w:t>
      </w:r>
    </w:p>
    <w:p w:rsidR="00FA53CF" w:rsidRPr="008849C3" w:rsidRDefault="00C1795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63</w:t>
      </w:r>
      <w:r w:rsidRPr="008849C3">
        <w:rPr>
          <w:lang w:val="bg-BG"/>
        </w:rPr>
        <w:fldChar w:fldCharType="end"/>
      </w:r>
      <w:r w:rsidRPr="008849C3">
        <w:rPr>
          <w:lang w:val="bg-BG"/>
        </w:rPr>
        <w:t>.  </w:t>
      </w:r>
      <w:r w:rsidR="00D6478D" w:rsidRPr="008849C3">
        <w:rPr>
          <w:lang w:val="bg-BG"/>
        </w:rPr>
        <w:t xml:space="preserve">Като се връща към </w:t>
      </w:r>
      <w:r w:rsidR="00A55155">
        <w:rPr>
          <w:lang w:val="bg-BG"/>
        </w:rPr>
        <w:t>обстоятелствата</w:t>
      </w:r>
      <w:r w:rsidR="00D6478D" w:rsidRPr="008849C3">
        <w:rPr>
          <w:lang w:val="bg-BG"/>
        </w:rPr>
        <w:t xml:space="preserve"> по делото, Съдът отбелязва, че страните не оспорват това, че полицейската операция е била планирана няколко дни преди това, че е била осъществена от</w:t>
      </w:r>
      <w:r w:rsidR="0084573F">
        <w:rPr>
          <w:lang w:val="bg-BG"/>
        </w:rPr>
        <w:t xml:space="preserve"> специален</w:t>
      </w:r>
      <w:r w:rsidR="00D6478D" w:rsidRPr="008849C3">
        <w:rPr>
          <w:lang w:val="bg-BG"/>
        </w:rPr>
        <w:t xml:space="preserve"> екип от маскирани и въоръжени </w:t>
      </w:r>
      <w:r w:rsidR="0084573F">
        <w:rPr>
          <w:lang w:val="bg-BG"/>
        </w:rPr>
        <w:t>служители</w:t>
      </w:r>
      <w:r w:rsidR="00D553C8" w:rsidRPr="008849C3">
        <w:rPr>
          <w:lang w:val="bg-BG"/>
        </w:rPr>
        <w:t xml:space="preserve">, че </w:t>
      </w:r>
      <w:r w:rsidR="0084573F">
        <w:rPr>
          <w:lang w:val="bg-BG"/>
        </w:rPr>
        <w:t>служителката</w:t>
      </w:r>
      <w:r w:rsidR="00D553C8" w:rsidRPr="008849C3">
        <w:rPr>
          <w:lang w:val="bg-BG"/>
        </w:rPr>
        <w:t xml:space="preserve"> Е.С. се е опитала да попречи на същите да влязат, като е затворила входната врата на нотариалната кантора, че полиц</w:t>
      </w:r>
      <w:r w:rsidR="0084573F">
        <w:rPr>
          <w:lang w:val="bg-BG"/>
        </w:rPr>
        <w:t>ейските служители</w:t>
      </w:r>
      <w:r w:rsidR="00D553C8" w:rsidRPr="008849C3">
        <w:rPr>
          <w:lang w:val="bg-BG"/>
        </w:rPr>
        <w:t xml:space="preserve"> са блъснали вратата, че един от тях е използвал техника за обездвижване, за да обезоръжи жалбоподателя, който тичал срещу него</w:t>
      </w:r>
      <w:r w:rsidR="00480B12" w:rsidRPr="008849C3">
        <w:rPr>
          <w:lang w:val="bg-BG"/>
        </w:rPr>
        <w:t xml:space="preserve"> и че жалбоподателят си ударил главата в</w:t>
      </w:r>
      <w:r w:rsidR="0084573F">
        <w:rPr>
          <w:lang w:val="bg-BG"/>
        </w:rPr>
        <w:t xml:space="preserve">ъв </w:t>
      </w:r>
      <w:r w:rsidR="00480B12" w:rsidRPr="008849C3">
        <w:rPr>
          <w:lang w:val="bg-BG"/>
        </w:rPr>
        <w:t>врата</w:t>
      </w:r>
      <w:r w:rsidR="00E26004">
        <w:rPr>
          <w:lang w:val="bg-BG"/>
        </w:rPr>
        <w:t>,</w:t>
      </w:r>
      <w:r w:rsidR="00480B12" w:rsidRPr="008849C3">
        <w:rPr>
          <w:lang w:val="bg-BG"/>
        </w:rPr>
        <w:t xml:space="preserve"> докато полиц</w:t>
      </w:r>
      <w:r w:rsidR="0084573F">
        <w:rPr>
          <w:lang w:val="bg-BG"/>
        </w:rPr>
        <w:t>ейският служител</w:t>
      </w:r>
      <w:r w:rsidR="00480B12" w:rsidRPr="008849C3">
        <w:rPr>
          <w:lang w:val="bg-BG"/>
        </w:rPr>
        <w:t xml:space="preserve"> го </w:t>
      </w:r>
      <w:r w:rsidR="002A02BC">
        <w:rPr>
          <w:lang w:val="bg-BG"/>
        </w:rPr>
        <w:t>е блъ</w:t>
      </w:r>
      <w:r w:rsidR="0084573F">
        <w:rPr>
          <w:lang w:val="bg-BG"/>
        </w:rPr>
        <w:t>снал</w:t>
      </w:r>
      <w:r w:rsidR="0084573F" w:rsidRPr="008849C3">
        <w:rPr>
          <w:lang w:val="bg-BG"/>
        </w:rPr>
        <w:t xml:space="preserve"> </w:t>
      </w:r>
      <w:r w:rsidR="00480B12" w:rsidRPr="008849C3">
        <w:rPr>
          <w:lang w:val="bg-BG"/>
        </w:rPr>
        <w:t>на земята</w:t>
      </w:r>
      <w:r w:rsidR="00645E9A" w:rsidRPr="008849C3">
        <w:rPr>
          <w:lang w:val="bg-BG"/>
        </w:rPr>
        <w:t xml:space="preserve">, което му причинило хематом и </w:t>
      </w:r>
      <w:r w:rsidR="002A02BC">
        <w:rPr>
          <w:lang w:val="bg-BG"/>
        </w:rPr>
        <w:t>рана</w:t>
      </w:r>
      <w:r w:rsidR="002A02BC" w:rsidRPr="008849C3">
        <w:rPr>
          <w:lang w:val="bg-BG"/>
        </w:rPr>
        <w:t xml:space="preserve"> </w:t>
      </w:r>
      <w:r w:rsidR="002A02BC">
        <w:rPr>
          <w:lang w:val="bg-BG"/>
        </w:rPr>
        <w:t>в областта на</w:t>
      </w:r>
      <w:r w:rsidR="002A02BC" w:rsidRPr="008849C3">
        <w:rPr>
          <w:lang w:val="bg-BG"/>
        </w:rPr>
        <w:t xml:space="preserve"> </w:t>
      </w:r>
      <w:r w:rsidR="00645E9A" w:rsidRPr="008849C3">
        <w:rPr>
          <w:lang w:val="bg-BG"/>
        </w:rPr>
        <w:t>челото.</w:t>
      </w:r>
      <w:r w:rsidR="00D553C8" w:rsidRPr="008849C3">
        <w:rPr>
          <w:lang w:val="bg-BG"/>
        </w:rPr>
        <w:t xml:space="preserve"> </w:t>
      </w:r>
      <w:r w:rsidR="00645E9A" w:rsidRPr="008849C3">
        <w:rPr>
          <w:lang w:val="bg-BG"/>
        </w:rPr>
        <w:t xml:space="preserve">Той отбелязва, че тези факти се потвърждават и от другите документи по делото, по-конкретно от </w:t>
      </w:r>
      <w:r w:rsidR="002A02BC">
        <w:rPr>
          <w:lang w:val="bg-BG"/>
        </w:rPr>
        <w:t>видео</w:t>
      </w:r>
      <w:r w:rsidR="00645E9A" w:rsidRPr="008849C3">
        <w:rPr>
          <w:lang w:val="bg-BG"/>
        </w:rPr>
        <w:t>записа на полицейската операция</w:t>
      </w:r>
      <w:r w:rsidR="002A02BC">
        <w:rPr>
          <w:lang w:val="bg-BG"/>
        </w:rPr>
        <w:t xml:space="preserve"> и</w:t>
      </w:r>
      <w:r w:rsidR="00645E9A" w:rsidRPr="008849C3">
        <w:rPr>
          <w:lang w:val="bg-BG"/>
        </w:rPr>
        <w:t xml:space="preserve"> от охранителната камера на нотариалната кантора на жалбоподателката </w:t>
      </w:r>
      <w:r w:rsidR="00FA53CF" w:rsidRPr="008849C3">
        <w:rPr>
          <w:lang w:val="bg-BG"/>
        </w:rPr>
        <w:t>(</w:t>
      </w:r>
      <w:r w:rsidR="00645E9A" w:rsidRPr="008849C3">
        <w:rPr>
          <w:lang w:val="bg-BG"/>
        </w:rPr>
        <w:t>параграфи</w:t>
      </w:r>
      <w:r w:rsidR="00FA53CF" w:rsidRPr="008849C3">
        <w:rPr>
          <w:lang w:val="bg-BG"/>
        </w:rPr>
        <w:t xml:space="preserve"> </w:t>
      </w:r>
      <w:r w:rsidR="00F873AF" w:rsidRPr="008849C3">
        <w:rPr>
          <w:lang w:val="bg-BG"/>
        </w:rPr>
        <w:t>12-16</w:t>
      </w:r>
      <w:r w:rsidR="00FA53CF" w:rsidRPr="008849C3">
        <w:rPr>
          <w:lang w:val="bg-BG"/>
        </w:rPr>
        <w:t xml:space="preserve"> </w:t>
      </w:r>
      <w:r w:rsidR="00645E9A" w:rsidRPr="008849C3">
        <w:rPr>
          <w:lang w:val="bg-BG"/>
        </w:rPr>
        <w:t>по-горе</w:t>
      </w:r>
      <w:r w:rsidR="00FA53CF" w:rsidRPr="008849C3">
        <w:rPr>
          <w:lang w:val="bg-BG"/>
        </w:rPr>
        <w:t xml:space="preserve">) </w:t>
      </w:r>
      <w:r w:rsidR="002A02BC">
        <w:rPr>
          <w:lang w:val="bg-BG"/>
        </w:rPr>
        <w:t xml:space="preserve">както </w:t>
      </w:r>
      <w:r w:rsidR="00645E9A" w:rsidRPr="008849C3">
        <w:rPr>
          <w:lang w:val="bg-BG"/>
        </w:rPr>
        <w:t xml:space="preserve">и </w:t>
      </w:r>
      <w:r w:rsidR="00FA53CF" w:rsidRPr="008849C3">
        <w:rPr>
          <w:lang w:val="bg-BG"/>
        </w:rPr>
        <w:t xml:space="preserve"> </w:t>
      </w:r>
      <w:r w:rsidR="003444B0" w:rsidRPr="008849C3">
        <w:rPr>
          <w:lang w:val="bg-BG"/>
        </w:rPr>
        <w:t xml:space="preserve">от медицинския регистър на </w:t>
      </w:r>
      <w:r w:rsidR="002A02BC">
        <w:rPr>
          <w:lang w:val="bg-BG"/>
        </w:rPr>
        <w:t>следствения</w:t>
      </w:r>
      <w:r w:rsidR="002A02BC" w:rsidRPr="008849C3">
        <w:rPr>
          <w:lang w:val="bg-BG"/>
        </w:rPr>
        <w:t xml:space="preserve"> </w:t>
      </w:r>
      <w:r w:rsidR="003444B0" w:rsidRPr="008849C3">
        <w:rPr>
          <w:lang w:val="bg-BG"/>
        </w:rPr>
        <w:t>арест в София</w:t>
      </w:r>
      <w:r w:rsidR="00FA53CF" w:rsidRPr="008849C3">
        <w:rPr>
          <w:lang w:val="bg-BG"/>
        </w:rPr>
        <w:t xml:space="preserve"> (</w:t>
      </w:r>
      <w:r w:rsidR="003444B0" w:rsidRPr="008849C3">
        <w:rPr>
          <w:lang w:val="bg-BG"/>
        </w:rPr>
        <w:t>параграф</w:t>
      </w:r>
      <w:r w:rsidR="00FA53CF" w:rsidRPr="008849C3">
        <w:rPr>
          <w:lang w:val="bg-BG"/>
        </w:rPr>
        <w:t xml:space="preserve"> </w:t>
      </w:r>
      <w:r w:rsidR="00F873AF" w:rsidRPr="008849C3">
        <w:rPr>
          <w:lang w:val="bg-BG"/>
        </w:rPr>
        <w:t>22</w:t>
      </w:r>
      <w:r w:rsidR="0050654E" w:rsidRPr="008849C3">
        <w:rPr>
          <w:lang w:val="bg-BG"/>
        </w:rPr>
        <w:t xml:space="preserve"> </w:t>
      </w:r>
      <w:r w:rsidR="003444B0" w:rsidRPr="008849C3">
        <w:rPr>
          <w:lang w:val="bg-BG"/>
        </w:rPr>
        <w:t>по-горе</w:t>
      </w:r>
      <w:r w:rsidR="00FA53CF" w:rsidRPr="008849C3">
        <w:rPr>
          <w:lang w:val="bg-BG"/>
        </w:rPr>
        <w:t>).</w:t>
      </w:r>
    </w:p>
    <w:p w:rsidR="00E77CB3" w:rsidRPr="008849C3" w:rsidRDefault="00472D9E" w:rsidP="006B0E9F">
      <w:pPr>
        <w:pStyle w:val="ECHRPara"/>
        <w:rPr>
          <w:lang w:val="bg-BG"/>
        </w:rPr>
      </w:pPr>
      <w:r w:rsidRPr="008849C3">
        <w:rPr>
          <w:lang w:val="bg-BG"/>
        </w:rPr>
        <w:lastRenderedPageBreak/>
        <w:fldChar w:fldCharType="begin"/>
      </w:r>
      <w:r w:rsidRPr="008849C3">
        <w:rPr>
          <w:lang w:val="bg-BG"/>
        </w:rPr>
        <w:instrText xml:space="preserve"> SEQ level0 \*arabic </w:instrText>
      </w:r>
      <w:r w:rsidRPr="008849C3">
        <w:rPr>
          <w:lang w:val="bg-BG"/>
        </w:rPr>
        <w:fldChar w:fldCharType="separate"/>
      </w:r>
      <w:r w:rsidR="00134118">
        <w:rPr>
          <w:noProof/>
          <w:lang w:val="bg-BG"/>
        </w:rPr>
        <w:t>64</w:t>
      </w:r>
      <w:r w:rsidRPr="008849C3">
        <w:rPr>
          <w:lang w:val="bg-BG"/>
        </w:rPr>
        <w:fldChar w:fldCharType="end"/>
      </w:r>
      <w:r w:rsidR="00E77CB3" w:rsidRPr="008849C3">
        <w:rPr>
          <w:lang w:val="bg-BG"/>
        </w:rPr>
        <w:t>.  </w:t>
      </w:r>
      <w:r w:rsidR="004F430A" w:rsidRPr="008849C3">
        <w:rPr>
          <w:lang w:val="bg-BG"/>
        </w:rPr>
        <w:t xml:space="preserve">Документите по делото не позволяват на Съда да установи </w:t>
      </w:r>
      <w:r w:rsidR="002A02BC">
        <w:rPr>
          <w:lang w:val="bg-BG"/>
        </w:rPr>
        <w:t>по безспорен начин</w:t>
      </w:r>
      <w:r w:rsidR="004F430A" w:rsidRPr="008849C3">
        <w:rPr>
          <w:lang w:val="bg-BG"/>
        </w:rPr>
        <w:t xml:space="preserve"> дали полиц</w:t>
      </w:r>
      <w:r w:rsidR="002A02BC">
        <w:rPr>
          <w:lang w:val="bg-BG"/>
        </w:rPr>
        <w:t>ейските служители</w:t>
      </w:r>
      <w:r w:rsidR="004F430A" w:rsidRPr="008849C3">
        <w:rPr>
          <w:lang w:val="bg-BG"/>
        </w:rPr>
        <w:t xml:space="preserve"> са обявили на глас, че </w:t>
      </w:r>
      <w:r w:rsidR="002A02BC">
        <w:rPr>
          <w:lang w:val="bg-BG"/>
        </w:rPr>
        <w:t>това е</w:t>
      </w:r>
      <w:r w:rsidR="004F430A" w:rsidRPr="008849C3">
        <w:rPr>
          <w:lang w:val="bg-BG"/>
        </w:rPr>
        <w:t xml:space="preserve"> полицейска операция, дали </w:t>
      </w:r>
      <w:r w:rsidR="002A02BC">
        <w:rPr>
          <w:lang w:val="bg-BG"/>
        </w:rPr>
        <w:t>служителят</w:t>
      </w:r>
      <w:r w:rsidR="004F430A" w:rsidRPr="008849C3">
        <w:rPr>
          <w:lang w:val="bg-BG"/>
        </w:rPr>
        <w:t>, който е обезоръжил жалбоподателя го е ударил умишлено по челото и дали жалбоподателят е бил зашлевен от оператора. Въпреки това</w:t>
      </w:r>
      <w:r w:rsidR="002A02BC">
        <w:rPr>
          <w:lang w:val="bg-BG"/>
        </w:rPr>
        <w:t>,</w:t>
      </w:r>
      <w:r w:rsidR="004F430A" w:rsidRPr="008849C3">
        <w:rPr>
          <w:lang w:val="bg-BG"/>
        </w:rPr>
        <w:t xml:space="preserve"> Съдът счита, че в настоящото дело тези обстоятелства </w:t>
      </w:r>
      <w:r w:rsidR="002A02BC">
        <w:rPr>
          <w:lang w:val="bg-BG"/>
        </w:rPr>
        <w:t>не са от</w:t>
      </w:r>
      <w:r w:rsidR="002A02BC" w:rsidRPr="008849C3">
        <w:rPr>
          <w:lang w:val="bg-BG"/>
        </w:rPr>
        <w:t xml:space="preserve"> </w:t>
      </w:r>
      <w:r w:rsidR="004F430A" w:rsidRPr="008849C3">
        <w:rPr>
          <w:lang w:val="bg-BG"/>
        </w:rPr>
        <w:t xml:space="preserve">решаващо значение по отношение на поемането на отговорност от държавата </w:t>
      </w:r>
      <w:r w:rsidR="002A02BC">
        <w:rPr>
          <w:lang w:val="bg-BG"/>
        </w:rPr>
        <w:t>по</w:t>
      </w:r>
      <w:r w:rsidR="004F430A" w:rsidRPr="008849C3">
        <w:rPr>
          <w:lang w:val="bg-BG"/>
        </w:rPr>
        <w:t xml:space="preserve"> </w:t>
      </w:r>
      <w:r w:rsidR="00CA7BA4">
        <w:rPr>
          <w:lang w:val="bg-BG"/>
        </w:rPr>
        <w:t>чл.</w:t>
      </w:r>
      <w:r w:rsidR="00F32839" w:rsidRPr="008849C3">
        <w:rPr>
          <w:lang w:val="bg-BG"/>
        </w:rPr>
        <w:t xml:space="preserve"> 3 </w:t>
      </w:r>
      <w:r w:rsidR="00CD3B92" w:rsidRPr="008849C3">
        <w:rPr>
          <w:lang w:val="bg-BG"/>
        </w:rPr>
        <w:t>от Конвенцията</w:t>
      </w:r>
      <w:r w:rsidR="0089612E" w:rsidRPr="008849C3">
        <w:rPr>
          <w:lang w:val="bg-BG"/>
        </w:rPr>
        <w:t xml:space="preserve"> </w:t>
      </w:r>
      <w:r w:rsidR="00515328" w:rsidRPr="008849C3">
        <w:rPr>
          <w:lang w:val="bg-BG"/>
        </w:rPr>
        <w:t>по няколко причини</w:t>
      </w:r>
      <w:r w:rsidR="00EB21FA" w:rsidRPr="008849C3">
        <w:rPr>
          <w:lang w:val="bg-BG"/>
        </w:rPr>
        <w:t>.</w:t>
      </w:r>
    </w:p>
    <w:p w:rsidR="001A40C9" w:rsidRPr="008849C3" w:rsidRDefault="0089612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65</w:t>
      </w:r>
      <w:r w:rsidRPr="008849C3">
        <w:rPr>
          <w:lang w:val="bg-BG"/>
        </w:rPr>
        <w:fldChar w:fldCharType="end"/>
      </w:r>
      <w:r w:rsidRPr="008849C3">
        <w:rPr>
          <w:lang w:val="bg-BG"/>
        </w:rPr>
        <w:t>.  </w:t>
      </w:r>
      <w:r w:rsidR="00881B74" w:rsidRPr="008849C3">
        <w:rPr>
          <w:lang w:val="bg-BG"/>
        </w:rPr>
        <w:t xml:space="preserve">Съдът счита, че средствата, използвани от силите на реда и начинът, по който са действали, не </w:t>
      </w:r>
      <w:r w:rsidR="000B58A8" w:rsidRPr="008849C3">
        <w:rPr>
          <w:lang w:val="bg-BG"/>
        </w:rPr>
        <w:t xml:space="preserve">са </w:t>
      </w:r>
      <w:r w:rsidR="002A02BC">
        <w:rPr>
          <w:lang w:val="bg-BG"/>
        </w:rPr>
        <w:t>явно</w:t>
      </w:r>
      <w:r w:rsidR="000B58A8" w:rsidRPr="008849C3">
        <w:rPr>
          <w:lang w:val="bg-BG"/>
        </w:rPr>
        <w:t xml:space="preserve"> необходими </w:t>
      </w:r>
      <w:r w:rsidR="002A02BC">
        <w:rPr>
          <w:lang w:val="bg-BG"/>
        </w:rPr>
        <w:t>с оглед специфичните</w:t>
      </w:r>
      <w:r w:rsidR="000B58A8" w:rsidRPr="008849C3">
        <w:rPr>
          <w:lang w:val="bg-BG"/>
        </w:rPr>
        <w:t xml:space="preserve"> обстоятелства </w:t>
      </w:r>
      <w:r w:rsidR="002A02BC">
        <w:rPr>
          <w:lang w:val="bg-BG"/>
        </w:rPr>
        <w:t>на случая</w:t>
      </w:r>
      <w:r w:rsidR="000B58A8" w:rsidRPr="008849C3">
        <w:rPr>
          <w:lang w:val="bg-BG"/>
        </w:rPr>
        <w:t>. Той отбелязва, че целта на полицейската операция е била да се арестува жалбоподателят</w:t>
      </w:r>
      <w:r w:rsidR="00915F75" w:rsidRPr="008849C3">
        <w:rPr>
          <w:lang w:val="bg-BG"/>
        </w:rPr>
        <w:t xml:space="preserve">, заподозрян по наказателно </w:t>
      </w:r>
      <w:r w:rsidR="002A02BC">
        <w:rPr>
          <w:lang w:val="bg-BG"/>
        </w:rPr>
        <w:t>производство</w:t>
      </w:r>
      <w:r w:rsidR="002A02BC" w:rsidRPr="008849C3">
        <w:rPr>
          <w:lang w:val="bg-BG"/>
        </w:rPr>
        <w:t xml:space="preserve"> </w:t>
      </w:r>
      <w:r w:rsidR="00915F75" w:rsidRPr="008849C3">
        <w:rPr>
          <w:lang w:val="bg-BG"/>
        </w:rPr>
        <w:t>за активен подкуп на следовател</w:t>
      </w:r>
      <w:r w:rsidR="00BE6435" w:rsidRPr="008849C3">
        <w:rPr>
          <w:lang w:val="bg-BG"/>
        </w:rPr>
        <w:t xml:space="preserve">, и да се извърши претърсване на помещенията в нотариалната кантора на жалбоподателката, с цел да се открият доказателства по наказателното </w:t>
      </w:r>
      <w:r w:rsidR="002A02BC">
        <w:rPr>
          <w:lang w:val="bg-BG"/>
        </w:rPr>
        <w:t>производство</w:t>
      </w:r>
      <w:r w:rsidR="00BE6435" w:rsidRPr="008849C3">
        <w:rPr>
          <w:lang w:val="bg-BG"/>
        </w:rPr>
        <w:t xml:space="preserve">. Той </w:t>
      </w:r>
      <w:r w:rsidR="002A02BC">
        <w:rPr>
          <w:lang w:val="bg-BG"/>
        </w:rPr>
        <w:t>отбелязва</w:t>
      </w:r>
      <w:r w:rsidR="00BE6435" w:rsidRPr="008849C3">
        <w:rPr>
          <w:lang w:val="bg-BG"/>
        </w:rPr>
        <w:t>, че подозренията</w:t>
      </w:r>
      <w:r w:rsidR="002A02BC">
        <w:rPr>
          <w:lang w:val="bg-BG"/>
        </w:rPr>
        <w:t xml:space="preserve"> срещу</w:t>
      </w:r>
      <w:r w:rsidR="00BE6435" w:rsidRPr="008849C3">
        <w:rPr>
          <w:lang w:val="bg-BG"/>
        </w:rPr>
        <w:t xml:space="preserve"> жалбоподателя, не са били свързани с </w:t>
      </w:r>
      <w:r w:rsidR="004F78A2" w:rsidRPr="008849C3">
        <w:rPr>
          <w:lang w:val="bg-BG"/>
        </w:rPr>
        <w:t xml:space="preserve">насилствени престъпни деяния и че, освен това, никое доказателство по </w:t>
      </w:r>
      <w:r w:rsidR="002A02BC">
        <w:rPr>
          <w:lang w:val="bg-BG"/>
        </w:rPr>
        <w:t>случая</w:t>
      </w:r>
      <w:r w:rsidR="004F78A2" w:rsidRPr="008849C3">
        <w:rPr>
          <w:lang w:val="bg-BG"/>
        </w:rPr>
        <w:t xml:space="preserve"> не </w:t>
      </w:r>
      <w:r w:rsidR="002A02BC">
        <w:rPr>
          <w:lang w:val="bg-BG"/>
        </w:rPr>
        <w:t>подкрепят</w:t>
      </w:r>
      <w:r w:rsidR="004F78A2" w:rsidRPr="008849C3">
        <w:rPr>
          <w:lang w:val="bg-BG"/>
        </w:rPr>
        <w:t xml:space="preserve"> извода, че жалбоподателят е имал предишни прояви на насилие и че е могъл да представлява опасност за полиц</w:t>
      </w:r>
      <w:r w:rsidR="002A02BC">
        <w:rPr>
          <w:lang w:val="bg-BG"/>
        </w:rPr>
        <w:t>ейските служители,</w:t>
      </w:r>
      <w:r w:rsidR="004F78A2" w:rsidRPr="008849C3">
        <w:rPr>
          <w:lang w:val="bg-BG"/>
        </w:rPr>
        <w:t xml:space="preserve"> участвали в операцията на този ден. </w:t>
      </w:r>
      <w:r w:rsidR="00BE6435" w:rsidRPr="008849C3">
        <w:rPr>
          <w:lang w:val="bg-BG"/>
        </w:rPr>
        <w:t xml:space="preserve"> </w:t>
      </w:r>
    </w:p>
    <w:p w:rsidR="0089612E" w:rsidRPr="008849C3" w:rsidRDefault="00B2751A"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66</w:t>
      </w:r>
      <w:r w:rsidRPr="008849C3">
        <w:rPr>
          <w:lang w:val="bg-BG"/>
        </w:rPr>
        <w:fldChar w:fldCharType="end"/>
      </w:r>
      <w:r w:rsidRPr="008849C3">
        <w:rPr>
          <w:lang w:val="bg-BG"/>
        </w:rPr>
        <w:t>.  </w:t>
      </w:r>
      <w:r w:rsidR="004F78A2" w:rsidRPr="008849C3">
        <w:rPr>
          <w:lang w:val="bg-BG"/>
        </w:rPr>
        <w:t>Безспорен факт е, че жалбоподателят се е затичал към входната врата</w:t>
      </w:r>
      <w:r w:rsidR="00902A6C" w:rsidRPr="008849C3">
        <w:rPr>
          <w:lang w:val="bg-BG"/>
        </w:rPr>
        <w:t xml:space="preserve"> </w:t>
      </w:r>
      <w:r w:rsidR="004F78A2" w:rsidRPr="008849C3">
        <w:rPr>
          <w:lang w:val="bg-BG"/>
        </w:rPr>
        <w:t>на нотариалната кантора в момента, в който полиц</w:t>
      </w:r>
      <w:r w:rsidR="00A35765">
        <w:rPr>
          <w:lang w:val="bg-BG"/>
        </w:rPr>
        <w:t>ейските служители</w:t>
      </w:r>
      <w:r w:rsidR="004F78A2" w:rsidRPr="008849C3">
        <w:rPr>
          <w:lang w:val="bg-BG"/>
        </w:rPr>
        <w:t xml:space="preserve"> са </w:t>
      </w:r>
      <w:r w:rsidR="00A35765">
        <w:rPr>
          <w:lang w:val="bg-BG"/>
        </w:rPr>
        <w:t>нахлували</w:t>
      </w:r>
      <w:r w:rsidR="00A35765" w:rsidRPr="008849C3">
        <w:rPr>
          <w:lang w:val="bg-BG"/>
        </w:rPr>
        <w:t xml:space="preserve"> </w:t>
      </w:r>
      <w:r w:rsidR="004F78A2" w:rsidRPr="008849C3">
        <w:rPr>
          <w:lang w:val="bg-BG"/>
        </w:rPr>
        <w:t>в помещенията. Това поведение на жалбоподателя обаче е</w:t>
      </w:r>
      <w:r w:rsidR="00DE7359" w:rsidRPr="008849C3">
        <w:rPr>
          <w:lang w:val="bg-BG"/>
        </w:rPr>
        <w:t xml:space="preserve"> пряко последствие от действията на екип от маскирани, въоръжени и облечени в черно полиц</w:t>
      </w:r>
      <w:r w:rsidR="00A35765">
        <w:rPr>
          <w:lang w:val="bg-BG"/>
        </w:rPr>
        <w:t>ейски служители</w:t>
      </w:r>
      <w:r w:rsidR="00DE7359" w:rsidRPr="008849C3">
        <w:rPr>
          <w:lang w:val="bg-BG"/>
        </w:rPr>
        <w:t xml:space="preserve">. </w:t>
      </w:r>
      <w:r w:rsidR="00CD3D87" w:rsidRPr="008849C3">
        <w:rPr>
          <w:lang w:val="bg-BG"/>
        </w:rPr>
        <w:t xml:space="preserve">Действията на </w:t>
      </w:r>
      <w:r w:rsidR="00A35765">
        <w:rPr>
          <w:lang w:val="bg-BG"/>
        </w:rPr>
        <w:t>служителите</w:t>
      </w:r>
      <w:r w:rsidR="00A35765" w:rsidRPr="008849C3">
        <w:rPr>
          <w:lang w:val="bg-BG"/>
        </w:rPr>
        <w:t xml:space="preserve"> </w:t>
      </w:r>
      <w:r w:rsidR="00CD3D87" w:rsidRPr="008849C3">
        <w:rPr>
          <w:lang w:val="bg-BG"/>
        </w:rPr>
        <w:t xml:space="preserve">са създали объркване, тъй като са били сметнати за престъпници от </w:t>
      </w:r>
      <w:r w:rsidR="00A35765">
        <w:rPr>
          <w:lang w:val="bg-BG"/>
        </w:rPr>
        <w:t>служителката</w:t>
      </w:r>
      <w:r w:rsidR="00A35765" w:rsidRPr="008849C3">
        <w:rPr>
          <w:lang w:val="bg-BG"/>
        </w:rPr>
        <w:t xml:space="preserve"> </w:t>
      </w:r>
      <w:r w:rsidR="00CD3D87" w:rsidRPr="008849C3">
        <w:rPr>
          <w:lang w:val="bg-BG"/>
        </w:rPr>
        <w:t xml:space="preserve">на нотариуса Е.С.; същата е вдигнала тревога и жалбоподателят </w:t>
      </w:r>
      <w:r w:rsidR="00342EC3" w:rsidRPr="008849C3">
        <w:rPr>
          <w:lang w:val="bg-BG"/>
        </w:rPr>
        <w:t>й се е притекъл на помощ</w:t>
      </w:r>
      <w:r w:rsidR="00CD3D87" w:rsidRPr="008849C3">
        <w:rPr>
          <w:lang w:val="bg-BG"/>
        </w:rPr>
        <w:t xml:space="preserve"> </w:t>
      </w:r>
      <w:r w:rsidR="00046168" w:rsidRPr="008849C3">
        <w:rPr>
          <w:lang w:val="bg-BG"/>
        </w:rPr>
        <w:t>(</w:t>
      </w:r>
      <w:r w:rsidR="00342EC3" w:rsidRPr="008849C3">
        <w:rPr>
          <w:lang w:val="bg-BG"/>
        </w:rPr>
        <w:t>параграфи</w:t>
      </w:r>
      <w:r w:rsidR="009628FA" w:rsidRPr="008849C3">
        <w:rPr>
          <w:lang w:val="bg-BG"/>
        </w:rPr>
        <w:t xml:space="preserve"> 18-20</w:t>
      </w:r>
      <w:r w:rsidR="006231AA" w:rsidRPr="008849C3">
        <w:rPr>
          <w:lang w:val="bg-BG"/>
        </w:rPr>
        <w:t xml:space="preserve"> </w:t>
      </w:r>
      <w:r w:rsidR="00342EC3" w:rsidRPr="008849C3">
        <w:rPr>
          <w:lang w:val="bg-BG"/>
        </w:rPr>
        <w:t>по-горе</w:t>
      </w:r>
      <w:r w:rsidR="006231AA" w:rsidRPr="008849C3">
        <w:rPr>
          <w:lang w:val="bg-BG"/>
        </w:rPr>
        <w:t>)</w:t>
      </w:r>
      <w:r w:rsidR="0089612E" w:rsidRPr="008849C3">
        <w:rPr>
          <w:lang w:val="bg-BG"/>
        </w:rPr>
        <w:t>.</w:t>
      </w:r>
    </w:p>
    <w:p w:rsidR="00471917" w:rsidRPr="008849C3" w:rsidRDefault="00C861B5"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67</w:t>
      </w:r>
      <w:r w:rsidRPr="008849C3">
        <w:rPr>
          <w:lang w:val="bg-BG"/>
        </w:rPr>
        <w:fldChar w:fldCharType="end"/>
      </w:r>
      <w:r w:rsidRPr="008849C3">
        <w:rPr>
          <w:lang w:val="bg-BG"/>
        </w:rPr>
        <w:t>.  </w:t>
      </w:r>
      <w:r w:rsidR="00342EC3" w:rsidRPr="008849C3">
        <w:rPr>
          <w:lang w:val="bg-BG"/>
        </w:rPr>
        <w:t>Съдът счита също, че техниката за обездвижване, която е използвал полиц</w:t>
      </w:r>
      <w:r w:rsidR="00A35765">
        <w:rPr>
          <w:lang w:val="bg-BG"/>
        </w:rPr>
        <w:t>ейският служител</w:t>
      </w:r>
      <w:r w:rsidR="00342EC3" w:rsidRPr="008849C3">
        <w:rPr>
          <w:lang w:val="bg-BG"/>
        </w:rPr>
        <w:t xml:space="preserve">, за да </w:t>
      </w:r>
      <w:proofErr w:type="spellStart"/>
      <w:r w:rsidR="00342EC3" w:rsidRPr="008849C3">
        <w:rPr>
          <w:lang w:val="bg-BG"/>
        </w:rPr>
        <w:t>обез</w:t>
      </w:r>
      <w:r w:rsidR="00A35765">
        <w:rPr>
          <w:lang w:val="bg-BG"/>
        </w:rPr>
        <w:t>движи</w:t>
      </w:r>
      <w:proofErr w:type="spellEnd"/>
      <w:r w:rsidR="00342EC3" w:rsidRPr="008849C3">
        <w:rPr>
          <w:lang w:val="bg-BG"/>
        </w:rPr>
        <w:t xml:space="preserve"> жалбоподателя, изобщо не е била съобразена със ситуацията. Предвид специалните умения и обучение на полиц</w:t>
      </w:r>
      <w:r w:rsidR="00A35765">
        <w:rPr>
          <w:lang w:val="bg-BG"/>
        </w:rPr>
        <w:t>ейския служител</w:t>
      </w:r>
      <w:r w:rsidR="00342EC3" w:rsidRPr="008849C3">
        <w:rPr>
          <w:lang w:val="bg-BG"/>
        </w:rPr>
        <w:t xml:space="preserve">, предвид факта, че е могъл да разчита на помощта на четиримата си колеги </w:t>
      </w:r>
      <w:r w:rsidR="00EC77E2" w:rsidRPr="008849C3">
        <w:rPr>
          <w:lang w:val="bg-BG"/>
        </w:rPr>
        <w:t xml:space="preserve">и ограниченото пространство, където се е извършило </w:t>
      </w:r>
      <w:r w:rsidR="00A35765">
        <w:rPr>
          <w:lang w:val="bg-BG"/>
        </w:rPr>
        <w:t>задържането</w:t>
      </w:r>
      <w:r w:rsidR="00EC77E2" w:rsidRPr="008849C3">
        <w:rPr>
          <w:lang w:val="bg-BG"/>
        </w:rPr>
        <w:t>, а именно фоайето на нотариалната кантора, Съдът счита, че използваната от полиц</w:t>
      </w:r>
      <w:r w:rsidR="00A35765">
        <w:rPr>
          <w:lang w:val="bg-BG"/>
        </w:rPr>
        <w:t>ейския служител</w:t>
      </w:r>
      <w:r w:rsidR="00EC77E2" w:rsidRPr="008849C3">
        <w:rPr>
          <w:lang w:val="bg-BG"/>
        </w:rPr>
        <w:t xml:space="preserve"> сила се явява </w:t>
      </w:r>
      <w:r w:rsidR="00A35765">
        <w:rPr>
          <w:lang w:val="bg-BG"/>
        </w:rPr>
        <w:t>несъразмерна</w:t>
      </w:r>
      <w:r w:rsidR="00A35765" w:rsidRPr="008849C3">
        <w:rPr>
          <w:lang w:val="bg-BG"/>
        </w:rPr>
        <w:t xml:space="preserve"> </w:t>
      </w:r>
      <w:r w:rsidR="00EC77E2" w:rsidRPr="008849C3">
        <w:rPr>
          <w:lang w:val="bg-BG"/>
        </w:rPr>
        <w:t xml:space="preserve">на опасността, която поведението на жалбоподателя би могло да представлява. Той припомня, че използването на въпросната техника е причинило на жалбоподателя наранявания по челото </w:t>
      </w:r>
      <w:r w:rsidR="003B6E6A" w:rsidRPr="008849C3">
        <w:rPr>
          <w:lang w:val="bg-BG"/>
        </w:rPr>
        <w:t>(</w:t>
      </w:r>
      <w:r w:rsidR="00EC77E2" w:rsidRPr="008849C3">
        <w:rPr>
          <w:lang w:val="bg-BG"/>
        </w:rPr>
        <w:t>параграф</w:t>
      </w:r>
      <w:r w:rsidR="003B6E6A" w:rsidRPr="008849C3">
        <w:rPr>
          <w:lang w:val="bg-BG"/>
        </w:rPr>
        <w:t xml:space="preserve"> </w:t>
      </w:r>
      <w:r w:rsidR="000658C5" w:rsidRPr="008849C3">
        <w:rPr>
          <w:lang w:val="bg-BG"/>
        </w:rPr>
        <w:t>22</w:t>
      </w:r>
      <w:r w:rsidR="003B6E6A" w:rsidRPr="008849C3">
        <w:rPr>
          <w:lang w:val="bg-BG"/>
        </w:rPr>
        <w:t xml:space="preserve"> </w:t>
      </w:r>
      <w:r w:rsidR="00EC77E2" w:rsidRPr="008849C3">
        <w:rPr>
          <w:lang w:val="bg-BG"/>
        </w:rPr>
        <w:t>по-горе</w:t>
      </w:r>
      <w:r w:rsidR="003B6E6A" w:rsidRPr="008849C3">
        <w:rPr>
          <w:lang w:val="bg-BG"/>
        </w:rPr>
        <w:t>).</w:t>
      </w:r>
    </w:p>
    <w:p w:rsidR="0089612E" w:rsidRPr="008849C3" w:rsidRDefault="008C429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68</w:t>
      </w:r>
      <w:r w:rsidRPr="008849C3">
        <w:rPr>
          <w:lang w:val="bg-BG"/>
        </w:rPr>
        <w:fldChar w:fldCharType="end"/>
      </w:r>
      <w:r w:rsidR="00EC77E2" w:rsidRPr="008849C3">
        <w:rPr>
          <w:lang w:val="bg-BG"/>
        </w:rPr>
        <w:t xml:space="preserve">.  </w:t>
      </w:r>
      <w:r w:rsidR="00E26004">
        <w:rPr>
          <w:lang w:val="bg-BG"/>
        </w:rPr>
        <w:t>С оглед</w:t>
      </w:r>
      <w:r w:rsidR="00EC77E2" w:rsidRPr="008849C3">
        <w:rPr>
          <w:lang w:val="bg-BG"/>
        </w:rPr>
        <w:t xml:space="preserve"> на </w:t>
      </w:r>
      <w:r w:rsidR="002D2228" w:rsidRPr="008849C3">
        <w:rPr>
          <w:lang w:val="bg-BG"/>
        </w:rPr>
        <w:t xml:space="preserve">гореспоменатите обстоятелства Съдът счита, че жалбоподателят е бил подложен </w:t>
      </w:r>
      <w:r w:rsidR="00A35765">
        <w:rPr>
          <w:lang w:val="bg-BG"/>
        </w:rPr>
        <w:t xml:space="preserve">на </w:t>
      </w:r>
      <w:r w:rsidR="00FC4C9D" w:rsidRPr="008849C3">
        <w:rPr>
          <w:lang w:val="bg-BG"/>
        </w:rPr>
        <w:t>унизително отношение</w:t>
      </w:r>
      <w:r w:rsidR="002D2228" w:rsidRPr="008849C3">
        <w:rPr>
          <w:lang w:val="bg-BG"/>
        </w:rPr>
        <w:t xml:space="preserve"> </w:t>
      </w:r>
      <w:r w:rsidR="00A35765">
        <w:rPr>
          <w:lang w:val="bg-BG"/>
        </w:rPr>
        <w:t xml:space="preserve">от </w:t>
      </w:r>
      <w:r w:rsidR="00A35765">
        <w:rPr>
          <w:lang w:val="bg-BG"/>
        </w:rPr>
        <w:lastRenderedPageBreak/>
        <w:t xml:space="preserve">полицейските служители </w:t>
      </w:r>
      <w:r w:rsidR="00FC4C9D" w:rsidRPr="008849C3">
        <w:rPr>
          <w:lang w:val="bg-BG"/>
        </w:rPr>
        <w:t xml:space="preserve">при </w:t>
      </w:r>
      <w:r w:rsidR="00A35765">
        <w:rPr>
          <w:lang w:val="bg-BG"/>
        </w:rPr>
        <w:t>задържането</w:t>
      </w:r>
      <w:r w:rsidR="00A35765" w:rsidRPr="008849C3">
        <w:rPr>
          <w:lang w:val="bg-BG"/>
        </w:rPr>
        <w:t xml:space="preserve"> </w:t>
      </w:r>
      <w:r w:rsidR="00FC4C9D" w:rsidRPr="008849C3">
        <w:rPr>
          <w:lang w:val="bg-BG"/>
        </w:rPr>
        <w:t xml:space="preserve">си. Следователно налице е нарушение на </w:t>
      </w:r>
      <w:r w:rsidR="00CA7BA4">
        <w:rPr>
          <w:lang w:val="bg-BG"/>
        </w:rPr>
        <w:t>чл.</w:t>
      </w:r>
      <w:r w:rsidR="001D6269" w:rsidRPr="008849C3">
        <w:rPr>
          <w:lang w:val="bg-BG"/>
        </w:rPr>
        <w:t xml:space="preserve"> 3 </w:t>
      </w:r>
      <w:r w:rsidR="00CD3B92" w:rsidRPr="008849C3">
        <w:rPr>
          <w:lang w:val="bg-BG"/>
        </w:rPr>
        <w:t>от Конвенцията</w:t>
      </w:r>
      <w:r w:rsidR="001D6269" w:rsidRPr="008849C3">
        <w:rPr>
          <w:lang w:val="bg-BG"/>
        </w:rPr>
        <w:t xml:space="preserve"> </w:t>
      </w:r>
      <w:r w:rsidR="00FC4C9D" w:rsidRPr="008849C3">
        <w:rPr>
          <w:lang w:val="bg-BG"/>
        </w:rPr>
        <w:t>в материалния му аспект</w:t>
      </w:r>
      <w:r w:rsidR="001D6269" w:rsidRPr="008849C3">
        <w:rPr>
          <w:lang w:val="bg-BG"/>
        </w:rPr>
        <w:t>.</w:t>
      </w:r>
    </w:p>
    <w:p w:rsidR="00FB52E5" w:rsidRPr="008849C3" w:rsidRDefault="00FB52E5" w:rsidP="006B0E9F">
      <w:pPr>
        <w:pStyle w:val="ECHRHeading3"/>
        <w:rPr>
          <w:lang w:val="bg-BG"/>
        </w:rPr>
      </w:pPr>
      <w:r w:rsidRPr="008849C3">
        <w:rPr>
          <w:lang w:val="bg-BG"/>
        </w:rPr>
        <w:t>2.  </w:t>
      </w:r>
      <w:r w:rsidR="00400A2E" w:rsidRPr="008849C3">
        <w:rPr>
          <w:lang w:val="bg-BG"/>
        </w:rPr>
        <w:t xml:space="preserve">Относно липсата на ефективно разследване </w:t>
      </w:r>
      <w:r w:rsidRPr="008849C3">
        <w:rPr>
          <w:lang w:val="bg-BG"/>
        </w:rPr>
        <w:t xml:space="preserve"> </w:t>
      </w:r>
    </w:p>
    <w:p w:rsidR="004F7862" w:rsidRPr="008849C3" w:rsidRDefault="00400A2E" w:rsidP="006B0E9F">
      <w:pPr>
        <w:pStyle w:val="ECHRHeading4"/>
        <w:rPr>
          <w:lang w:val="bg-BG"/>
        </w:rPr>
      </w:pPr>
      <w:r w:rsidRPr="008849C3">
        <w:rPr>
          <w:lang w:val="bg-BG"/>
        </w:rPr>
        <w:t xml:space="preserve">a)  Становища на страните </w:t>
      </w:r>
    </w:p>
    <w:p w:rsidR="002B0225" w:rsidRPr="008849C3" w:rsidRDefault="004F786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69</w:t>
      </w:r>
      <w:r w:rsidRPr="008849C3">
        <w:rPr>
          <w:lang w:val="bg-BG"/>
        </w:rPr>
        <w:fldChar w:fldCharType="end"/>
      </w:r>
      <w:r w:rsidRPr="008849C3">
        <w:rPr>
          <w:lang w:val="bg-BG"/>
        </w:rPr>
        <w:t>.  </w:t>
      </w:r>
      <w:r w:rsidR="00400A2E" w:rsidRPr="008849C3">
        <w:rPr>
          <w:lang w:val="bg-BG"/>
        </w:rPr>
        <w:t>Жалбоподателят твърди, че разследването, водено във връзка с действията на полиц</w:t>
      </w:r>
      <w:r w:rsidR="00A35765">
        <w:rPr>
          <w:lang w:val="bg-BG"/>
        </w:rPr>
        <w:t>ейските служители</w:t>
      </w:r>
      <w:r w:rsidR="00400A2E" w:rsidRPr="008849C3">
        <w:rPr>
          <w:lang w:val="bg-BG"/>
        </w:rPr>
        <w:t>, не е изпълнило изискването за ефективност</w:t>
      </w:r>
      <w:r w:rsidR="00A35765">
        <w:rPr>
          <w:lang w:val="bg-BG"/>
        </w:rPr>
        <w:t xml:space="preserve"> предвидени в </w:t>
      </w:r>
      <w:r w:rsidR="00CA7BA4">
        <w:rPr>
          <w:lang w:val="bg-BG"/>
        </w:rPr>
        <w:t>чл.</w:t>
      </w:r>
      <w:r w:rsidR="002B0225" w:rsidRPr="008849C3">
        <w:rPr>
          <w:lang w:val="bg-BG"/>
        </w:rPr>
        <w:t xml:space="preserve"> 3 </w:t>
      </w:r>
      <w:r w:rsidR="00CD3B92" w:rsidRPr="008849C3">
        <w:rPr>
          <w:lang w:val="bg-BG"/>
        </w:rPr>
        <w:t>от Конвенцията</w:t>
      </w:r>
      <w:r w:rsidR="00AC306C" w:rsidRPr="008849C3">
        <w:rPr>
          <w:lang w:val="bg-BG"/>
        </w:rPr>
        <w:t xml:space="preserve">, </w:t>
      </w:r>
      <w:r w:rsidR="002B5CA4" w:rsidRPr="008849C3">
        <w:rPr>
          <w:lang w:val="bg-BG"/>
        </w:rPr>
        <w:t xml:space="preserve">поради това, че обхватът му е бил ограничен и че е било прекратено поради </w:t>
      </w:r>
      <w:r w:rsidR="00BC6A28">
        <w:rPr>
          <w:lang w:val="bg-BG"/>
        </w:rPr>
        <w:t xml:space="preserve">настъпила </w:t>
      </w:r>
      <w:r w:rsidR="002B5CA4" w:rsidRPr="008849C3">
        <w:rPr>
          <w:lang w:val="bg-BG"/>
        </w:rPr>
        <w:t xml:space="preserve">давност три години </w:t>
      </w:r>
      <w:r w:rsidR="00BC6A28">
        <w:rPr>
          <w:lang w:val="bg-BG"/>
        </w:rPr>
        <w:t>от извършване на деянието</w:t>
      </w:r>
      <w:r w:rsidR="002B5CA4" w:rsidRPr="008849C3">
        <w:rPr>
          <w:lang w:val="bg-BG"/>
        </w:rPr>
        <w:t xml:space="preserve">. </w:t>
      </w:r>
      <w:r w:rsidR="00AC306C" w:rsidRPr="008849C3">
        <w:rPr>
          <w:lang w:val="bg-BG"/>
        </w:rPr>
        <w:t xml:space="preserve"> </w:t>
      </w:r>
    </w:p>
    <w:p w:rsidR="004F7862" w:rsidRPr="008849C3" w:rsidRDefault="002B0225"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70</w:t>
      </w:r>
      <w:r w:rsidRPr="008849C3">
        <w:rPr>
          <w:lang w:val="bg-BG"/>
        </w:rPr>
        <w:fldChar w:fldCharType="end"/>
      </w:r>
      <w:r w:rsidRPr="008849C3">
        <w:rPr>
          <w:lang w:val="bg-BG"/>
        </w:rPr>
        <w:t>.  </w:t>
      </w:r>
      <w:r w:rsidR="002B5CA4" w:rsidRPr="008849C3">
        <w:rPr>
          <w:lang w:val="bg-BG"/>
        </w:rPr>
        <w:t>Правителството счита, че воденото по случая разследване е било обективно и ефективно. Според него</w:t>
      </w:r>
      <w:r w:rsidRPr="008849C3">
        <w:rPr>
          <w:lang w:val="bg-BG"/>
        </w:rPr>
        <w:t xml:space="preserve"> </w:t>
      </w:r>
      <w:r w:rsidR="002B5CA4" w:rsidRPr="008849C3">
        <w:rPr>
          <w:lang w:val="bg-BG"/>
        </w:rPr>
        <w:t xml:space="preserve">в действителност разследващите органи са събрали редица доказателства за установяване на </w:t>
      </w:r>
      <w:r w:rsidR="00A55155">
        <w:rPr>
          <w:lang w:val="bg-BG"/>
        </w:rPr>
        <w:t>обстоятелствата</w:t>
      </w:r>
      <w:r w:rsidR="002B5CA4" w:rsidRPr="008849C3">
        <w:rPr>
          <w:lang w:val="bg-BG"/>
        </w:rPr>
        <w:t xml:space="preserve"> и разследването е прекратено поради изтичане на определения от закона </w:t>
      </w:r>
      <w:proofErr w:type="spellStart"/>
      <w:r w:rsidR="002B5CA4" w:rsidRPr="008849C3">
        <w:rPr>
          <w:lang w:val="bg-BG"/>
        </w:rPr>
        <w:t>давностен</w:t>
      </w:r>
      <w:proofErr w:type="spellEnd"/>
      <w:r w:rsidR="002B5CA4" w:rsidRPr="008849C3">
        <w:rPr>
          <w:lang w:val="bg-BG"/>
        </w:rPr>
        <w:t xml:space="preserve"> срок на наказателното </w:t>
      </w:r>
      <w:r w:rsidR="00BC6A28">
        <w:rPr>
          <w:lang w:val="bg-BG"/>
        </w:rPr>
        <w:t>производство</w:t>
      </w:r>
      <w:r w:rsidR="003E10D3" w:rsidRPr="008849C3">
        <w:rPr>
          <w:lang w:val="bg-BG"/>
        </w:rPr>
        <w:t>.</w:t>
      </w:r>
    </w:p>
    <w:p w:rsidR="0029347B" w:rsidRPr="008849C3" w:rsidRDefault="00E26004" w:rsidP="006B0E9F">
      <w:pPr>
        <w:pStyle w:val="ECHRHeading4"/>
        <w:rPr>
          <w:lang w:val="bg-BG"/>
        </w:rPr>
      </w:pPr>
      <w:r>
        <w:rPr>
          <w:lang w:val="bg-BG"/>
        </w:rPr>
        <w:t>б</w:t>
      </w:r>
      <w:r w:rsidR="0029347B" w:rsidRPr="008849C3">
        <w:rPr>
          <w:lang w:val="bg-BG"/>
        </w:rPr>
        <w:t>)  </w:t>
      </w:r>
      <w:r w:rsidR="002B5CA4" w:rsidRPr="008849C3">
        <w:rPr>
          <w:lang w:val="bg-BG"/>
        </w:rPr>
        <w:t xml:space="preserve">Преценка на Съда </w:t>
      </w:r>
    </w:p>
    <w:p w:rsidR="006B7479" w:rsidRPr="008849C3" w:rsidRDefault="006B747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71</w:t>
      </w:r>
      <w:r w:rsidRPr="008849C3">
        <w:rPr>
          <w:lang w:val="bg-BG"/>
        </w:rPr>
        <w:fldChar w:fldCharType="end"/>
      </w:r>
      <w:r w:rsidRPr="008849C3">
        <w:rPr>
          <w:lang w:val="bg-BG"/>
        </w:rPr>
        <w:t>.  </w:t>
      </w:r>
      <w:r w:rsidR="002B5CA4" w:rsidRPr="008849C3">
        <w:rPr>
          <w:lang w:val="bg-BG"/>
        </w:rPr>
        <w:t xml:space="preserve">Съдът припомня, че когато </w:t>
      </w:r>
      <w:r w:rsidR="009B2938" w:rsidRPr="008849C3">
        <w:rPr>
          <w:lang w:val="bg-BG"/>
        </w:rPr>
        <w:t>едно лице</w:t>
      </w:r>
      <w:r w:rsidR="002B5CA4" w:rsidRPr="008849C3">
        <w:rPr>
          <w:lang w:val="bg-BG"/>
        </w:rPr>
        <w:t xml:space="preserve"> твърди</w:t>
      </w:r>
      <w:r w:rsidR="007715A3" w:rsidRPr="008849C3">
        <w:rPr>
          <w:lang w:val="bg-BG"/>
        </w:rPr>
        <w:t xml:space="preserve"> по защитим начин, че е </w:t>
      </w:r>
      <w:r w:rsidR="009B2938" w:rsidRPr="008849C3">
        <w:rPr>
          <w:lang w:val="bg-BG"/>
        </w:rPr>
        <w:t>било малтретирано,</w:t>
      </w:r>
      <w:r w:rsidR="007715A3" w:rsidRPr="008849C3">
        <w:rPr>
          <w:lang w:val="bg-BG"/>
        </w:rPr>
        <w:t xml:space="preserve"> от полицията или от други подобни държавни </w:t>
      </w:r>
      <w:r w:rsidR="00BC6A28">
        <w:rPr>
          <w:lang w:val="bg-BG"/>
        </w:rPr>
        <w:t>органи</w:t>
      </w:r>
      <w:r w:rsidR="009B2938" w:rsidRPr="008849C3">
        <w:rPr>
          <w:lang w:val="bg-BG"/>
        </w:rPr>
        <w:t>,</w:t>
      </w:r>
      <w:r w:rsidR="007715A3" w:rsidRPr="008849C3">
        <w:rPr>
          <w:lang w:val="bg-BG"/>
        </w:rPr>
        <w:t xml:space="preserve"> </w:t>
      </w:r>
      <w:r w:rsidR="00E14F51" w:rsidRPr="008849C3">
        <w:rPr>
          <w:lang w:val="bg-BG"/>
        </w:rPr>
        <w:t>незаконос</w:t>
      </w:r>
      <w:r w:rsidR="00E14F51">
        <w:rPr>
          <w:lang w:val="bg-BG"/>
        </w:rPr>
        <w:t>ъобразно</w:t>
      </w:r>
      <w:r w:rsidR="007715A3" w:rsidRPr="008849C3">
        <w:rPr>
          <w:lang w:val="bg-BG"/>
        </w:rPr>
        <w:t xml:space="preserve"> и в </w:t>
      </w:r>
      <w:r w:rsidR="009B2938" w:rsidRPr="008849C3">
        <w:rPr>
          <w:lang w:val="bg-BG"/>
        </w:rPr>
        <w:t>нарушение на</w:t>
      </w:r>
      <w:r w:rsidR="007715A3" w:rsidRPr="008849C3">
        <w:rPr>
          <w:lang w:val="bg-BG"/>
        </w:rPr>
        <w:t xml:space="preserve"> </w:t>
      </w:r>
      <w:r w:rsidR="00CA7BA4">
        <w:rPr>
          <w:lang w:val="bg-BG"/>
        </w:rPr>
        <w:t>чл.</w:t>
      </w:r>
      <w:r w:rsidRPr="008849C3">
        <w:rPr>
          <w:lang w:val="bg-BG"/>
        </w:rPr>
        <w:t xml:space="preserve"> 3</w:t>
      </w:r>
      <w:r w:rsidR="000072EC" w:rsidRPr="008849C3">
        <w:rPr>
          <w:lang w:val="bg-BG"/>
        </w:rPr>
        <w:t xml:space="preserve"> </w:t>
      </w:r>
      <w:r w:rsidR="00CD3B92" w:rsidRPr="008849C3">
        <w:rPr>
          <w:lang w:val="bg-BG"/>
        </w:rPr>
        <w:t>от Конвенцията</w:t>
      </w:r>
      <w:r w:rsidRPr="008849C3">
        <w:rPr>
          <w:lang w:val="bg-BG"/>
        </w:rPr>
        <w:t xml:space="preserve">, </w:t>
      </w:r>
      <w:r w:rsidR="007715A3" w:rsidRPr="008849C3">
        <w:rPr>
          <w:lang w:val="bg-BG"/>
        </w:rPr>
        <w:t xml:space="preserve">тази разпоредба, във връзка с </w:t>
      </w:r>
      <w:r w:rsidR="009B2938" w:rsidRPr="008849C3">
        <w:rPr>
          <w:lang w:val="bg-BG"/>
        </w:rPr>
        <w:t xml:space="preserve">общото задължение </w:t>
      </w:r>
      <w:r w:rsidR="007715A3" w:rsidRPr="008849C3">
        <w:rPr>
          <w:lang w:val="bg-BG"/>
        </w:rPr>
        <w:t xml:space="preserve">на държавата  </w:t>
      </w:r>
      <w:r w:rsidR="009B2938" w:rsidRPr="008849C3">
        <w:rPr>
          <w:lang w:val="bg-BG"/>
        </w:rPr>
        <w:t>по</w:t>
      </w:r>
      <w:r w:rsidR="00AB0CF1" w:rsidRPr="008849C3">
        <w:rPr>
          <w:lang w:val="bg-BG"/>
        </w:rPr>
        <w:t xml:space="preserve"> </w:t>
      </w:r>
      <w:r w:rsidRPr="008849C3">
        <w:rPr>
          <w:lang w:val="bg-BG"/>
        </w:rPr>
        <w:t xml:space="preserve"> </w:t>
      </w:r>
      <w:r w:rsidR="00CA7BA4">
        <w:rPr>
          <w:lang w:val="bg-BG"/>
        </w:rPr>
        <w:t>чл.</w:t>
      </w:r>
      <w:r w:rsidRPr="008849C3">
        <w:rPr>
          <w:lang w:val="bg-BG"/>
        </w:rPr>
        <w:t xml:space="preserve"> 1</w:t>
      </w:r>
      <w:r w:rsidR="00AB0CF1" w:rsidRPr="008849C3">
        <w:rPr>
          <w:lang w:val="bg-BG"/>
        </w:rPr>
        <w:t xml:space="preserve"> да</w:t>
      </w:r>
      <w:r w:rsidRPr="008849C3">
        <w:rPr>
          <w:lang w:val="bg-BG"/>
        </w:rPr>
        <w:t xml:space="preserve"> </w:t>
      </w:r>
      <w:r w:rsidR="00AB0CF1" w:rsidRPr="008849C3">
        <w:rPr>
          <w:lang w:val="bg-BG"/>
        </w:rPr>
        <w:t>„осигури на всяко лице под</w:t>
      </w:r>
      <w:r w:rsidRPr="008849C3">
        <w:rPr>
          <w:lang w:val="bg-BG"/>
        </w:rPr>
        <w:t xml:space="preserve"> [</w:t>
      </w:r>
      <w:r w:rsidR="00AB0CF1" w:rsidRPr="008849C3">
        <w:rPr>
          <w:lang w:val="bg-BG"/>
        </w:rPr>
        <w:t>негова</w:t>
      </w:r>
      <w:r w:rsidRPr="008849C3">
        <w:rPr>
          <w:lang w:val="bg-BG"/>
        </w:rPr>
        <w:t xml:space="preserve">] </w:t>
      </w:r>
      <w:r w:rsidR="00AB0CF1" w:rsidRPr="008849C3">
        <w:rPr>
          <w:lang w:val="bg-BG"/>
        </w:rPr>
        <w:t>юрисдикция</w:t>
      </w:r>
      <w:r w:rsidRPr="008849C3">
        <w:rPr>
          <w:lang w:val="bg-BG"/>
        </w:rPr>
        <w:t xml:space="preserve"> </w:t>
      </w:r>
      <w:r w:rsidR="00AB0CF1" w:rsidRPr="008849C3">
        <w:rPr>
          <w:lang w:val="bg-BG"/>
        </w:rPr>
        <w:t>правата и свободите, определени</w:t>
      </w:r>
      <w:r w:rsidRPr="008849C3">
        <w:rPr>
          <w:lang w:val="bg-BG"/>
        </w:rPr>
        <w:t xml:space="preserve"> (...) [</w:t>
      </w:r>
      <w:r w:rsidR="009B2938" w:rsidRPr="008849C3">
        <w:rPr>
          <w:lang w:val="bg-BG"/>
        </w:rPr>
        <w:t>в</w:t>
      </w:r>
      <w:r w:rsidRPr="008849C3">
        <w:rPr>
          <w:lang w:val="bg-BG"/>
        </w:rPr>
        <w:t xml:space="preserve">] </w:t>
      </w:r>
      <w:r w:rsidR="00AB0CF1" w:rsidRPr="008849C3">
        <w:rPr>
          <w:lang w:val="bg-BG"/>
        </w:rPr>
        <w:t>Конвенцията“</w:t>
      </w:r>
      <w:r w:rsidRPr="008849C3">
        <w:rPr>
          <w:lang w:val="bg-BG"/>
        </w:rPr>
        <w:t xml:space="preserve">, </w:t>
      </w:r>
      <w:r w:rsidR="009B2938" w:rsidRPr="008849C3">
        <w:rPr>
          <w:lang w:val="bg-BG"/>
        </w:rPr>
        <w:t xml:space="preserve">предполага и </w:t>
      </w:r>
      <w:r w:rsidR="00AB0CF1" w:rsidRPr="008849C3">
        <w:rPr>
          <w:lang w:val="bg-BG"/>
        </w:rPr>
        <w:t>изисква</w:t>
      </w:r>
      <w:r w:rsidR="009B2938" w:rsidRPr="008849C3">
        <w:rPr>
          <w:lang w:val="bg-BG"/>
        </w:rPr>
        <w:t xml:space="preserve"> да бъде проведено ефективно официално разследване. </w:t>
      </w:r>
      <w:r w:rsidR="009843D5" w:rsidRPr="008849C3">
        <w:rPr>
          <w:lang w:val="bg-BG"/>
        </w:rPr>
        <w:t xml:space="preserve">Това </w:t>
      </w:r>
      <w:r w:rsidR="009B2938" w:rsidRPr="008849C3">
        <w:rPr>
          <w:lang w:val="bg-BG"/>
        </w:rPr>
        <w:t xml:space="preserve">разследване трябва </w:t>
      </w:r>
      <w:r w:rsidR="009843D5" w:rsidRPr="008849C3">
        <w:rPr>
          <w:lang w:val="bg-BG"/>
        </w:rPr>
        <w:t xml:space="preserve">да може да доведе до </w:t>
      </w:r>
      <w:r w:rsidR="00BC6A28">
        <w:rPr>
          <w:lang w:val="bg-BG"/>
        </w:rPr>
        <w:t>установяването</w:t>
      </w:r>
      <w:r w:rsidR="00BC6A28" w:rsidRPr="008849C3">
        <w:rPr>
          <w:lang w:val="bg-BG"/>
        </w:rPr>
        <w:t xml:space="preserve"> </w:t>
      </w:r>
      <w:r w:rsidR="009843D5" w:rsidRPr="008849C3">
        <w:rPr>
          <w:lang w:val="bg-BG"/>
        </w:rPr>
        <w:t xml:space="preserve">и наказването на отговорните лица </w:t>
      </w:r>
      <w:r w:rsidRPr="008849C3">
        <w:rPr>
          <w:lang w:val="bg-BG"/>
        </w:rPr>
        <w:t>(</w:t>
      </w:r>
      <w:r w:rsidR="009843D5" w:rsidRPr="008849C3">
        <w:rPr>
          <w:i/>
          <w:lang w:val="bg-BG"/>
        </w:rPr>
        <w:t>Асенов и други срещу България</w:t>
      </w:r>
      <w:r w:rsidR="00D20ACF" w:rsidRPr="008849C3">
        <w:rPr>
          <w:lang w:val="bg-BG"/>
        </w:rPr>
        <w:t xml:space="preserve">, 28 </w:t>
      </w:r>
      <w:r w:rsidR="009843D5" w:rsidRPr="008849C3">
        <w:rPr>
          <w:lang w:val="bg-BG"/>
        </w:rPr>
        <w:t>октомври</w:t>
      </w:r>
      <w:r w:rsidR="00D20ACF" w:rsidRPr="008849C3">
        <w:rPr>
          <w:lang w:val="bg-BG"/>
        </w:rPr>
        <w:t xml:space="preserve"> 1998</w:t>
      </w:r>
      <w:r w:rsidR="009843D5" w:rsidRPr="008849C3">
        <w:rPr>
          <w:lang w:val="bg-BG"/>
        </w:rPr>
        <w:t xml:space="preserve"> г.</w:t>
      </w:r>
      <w:r w:rsidR="00D20ACF" w:rsidRPr="008849C3">
        <w:rPr>
          <w:lang w:val="bg-BG"/>
        </w:rPr>
        <w:t xml:space="preserve">, § 102, </w:t>
      </w:r>
      <w:r w:rsidR="009843D5" w:rsidRPr="008849C3">
        <w:rPr>
          <w:i/>
          <w:lang w:val="bg-BG"/>
        </w:rPr>
        <w:t>Сборник</w:t>
      </w:r>
      <w:r w:rsidR="00D20ACF" w:rsidRPr="008849C3">
        <w:rPr>
          <w:i/>
          <w:lang w:val="bg-BG"/>
        </w:rPr>
        <w:t xml:space="preserve"> </w:t>
      </w:r>
      <w:r w:rsidR="00D20ACF" w:rsidRPr="008849C3">
        <w:rPr>
          <w:lang w:val="bg-BG"/>
        </w:rPr>
        <w:t>1998</w:t>
      </w:r>
      <w:r w:rsidR="00D20ACF" w:rsidRPr="008849C3">
        <w:rPr>
          <w:lang w:val="bg-BG"/>
        </w:rPr>
        <w:noBreakHyphen/>
        <w:t>VIII</w:t>
      </w:r>
      <w:r w:rsidRPr="008849C3">
        <w:rPr>
          <w:lang w:val="bg-BG"/>
        </w:rPr>
        <w:t>).</w:t>
      </w:r>
    </w:p>
    <w:p w:rsidR="006B7479" w:rsidRPr="008849C3" w:rsidRDefault="006B747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72</w:t>
      </w:r>
      <w:r w:rsidRPr="008849C3">
        <w:rPr>
          <w:lang w:val="bg-BG"/>
        </w:rPr>
        <w:fldChar w:fldCharType="end"/>
      </w:r>
      <w:r w:rsidRPr="008849C3">
        <w:rPr>
          <w:lang w:val="bg-BG"/>
        </w:rPr>
        <w:t>.  </w:t>
      </w:r>
      <w:r w:rsidR="00BC6A28">
        <w:rPr>
          <w:lang w:val="bg-BG"/>
        </w:rPr>
        <w:t>Т</w:t>
      </w:r>
      <w:r w:rsidR="00FB1E83" w:rsidRPr="008849C3">
        <w:rPr>
          <w:lang w:val="bg-BG"/>
        </w:rPr>
        <w:t xml:space="preserve">акова разследване трябва да бъде „ефективно“ в този смисъл, че трябва да позволи на властите да установят дали използването на сила е било оправдано или не </w:t>
      </w:r>
      <w:r w:rsidR="00BC6A28">
        <w:rPr>
          <w:lang w:val="bg-BG"/>
        </w:rPr>
        <w:t>с оглед специфичните</w:t>
      </w:r>
      <w:r w:rsidR="00FB1E83" w:rsidRPr="008849C3">
        <w:rPr>
          <w:lang w:val="bg-BG"/>
        </w:rPr>
        <w:t xml:space="preserve"> об</w:t>
      </w:r>
      <w:r w:rsidR="00D36BAC" w:rsidRPr="008849C3">
        <w:rPr>
          <w:lang w:val="bg-BG"/>
        </w:rPr>
        <w:t>стоятелства на случая</w:t>
      </w:r>
      <w:r w:rsidRPr="008849C3">
        <w:rPr>
          <w:lang w:val="bg-BG"/>
        </w:rPr>
        <w:t xml:space="preserve"> (</w:t>
      </w:r>
      <w:proofErr w:type="spellStart"/>
      <w:r w:rsidR="00FB1E83" w:rsidRPr="008849C3">
        <w:rPr>
          <w:i/>
          <w:lang w:val="bg-BG"/>
        </w:rPr>
        <w:t>Зелилоф</w:t>
      </w:r>
      <w:proofErr w:type="spellEnd"/>
      <w:r w:rsidR="00FB1E83" w:rsidRPr="008849C3">
        <w:rPr>
          <w:i/>
          <w:lang w:val="bg-BG"/>
        </w:rPr>
        <w:t xml:space="preserve"> срещу Гърция</w:t>
      </w:r>
      <w:r w:rsidR="00FB1E83" w:rsidRPr="008849C3">
        <w:rPr>
          <w:lang w:val="bg-BG"/>
        </w:rPr>
        <w:t xml:space="preserve"> (</w:t>
      </w:r>
      <w:proofErr w:type="spellStart"/>
      <w:r w:rsidRPr="008849C3">
        <w:rPr>
          <w:i/>
          <w:lang w:val="bg-BG"/>
        </w:rPr>
        <w:t>Zelilof</w:t>
      </w:r>
      <w:proofErr w:type="spellEnd"/>
      <w:r w:rsidRPr="008849C3">
        <w:rPr>
          <w:i/>
          <w:lang w:val="bg-BG"/>
        </w:rPr>
        <w:t xml:space="preserve"> c. </w:t>
      </w:r>
      <w:proofErr w:type="spellStart"/>
      <w:r w:rsidRPr="008849C3">
        <w:rPr>
          <w:i/>
          <w:lang w:val="bg-BG"/>
        </w:rPr>
        <w:t>Grèce</w:t>
      </w:r>
      <w:proofErr w:type="spellEnd"/>
      <w:r w:rsidR="00FB1E83" w:rsidRPr="008849C3">
        <w:rPr>
          <w:i/>
          <w:lang w:val="bg-BG"/>
        </w:rPr>
        <w:t>)</w:t>
      </w:r>
      <w:r w:rsidR="00FB1E83" w:rsidRPr="008849C3">
        <w:rPr>
          <w:lang w:val="bg-BG"/>
        </w:rPr>
        <w:t>, №</w:t>
      </w:r>
      <w:r w:rsidRPr="008849C3">
        <w:rPr>
          <w:lang w:val="bg-BG"/>
        </w:rPr>
        <w:t xml:space="preserve"> 17060/03, § 55, 24 </w:t>
      </w:r>
      <w:r w:rsidR="00FB1E83" w:rsidRPr="008849C3">
        <w:rPr>
          <w:lang w:val="bg-BG"/>
        </w:rPr>
        <w:t>май</w:t>
      </w:r>
      <w:r w:rsidRPr="008849C3">
        <w:rPr>
          <w:lang w:val="bg-BG"/>
        </w:rPr>
        <w:t xml:space="preserve"> 2007</w:t>
      </w:r>
      <w:r w:rsidR="00FB1E83" w:rsidRPr="008849C3">
        <w:rPr>
          <w:lang w:val="bg-BG"/>
        </w:rPr>
        <w:t xml:space="preserve"> г.</w:t>
      </w:r>
      <w:r w:rsidR="00D36BAC" w:rsidRPr="008849C3">
        <w:rPr>
          <w:lang w:val="bg-BG"/>
        </w:rPr>
        <w:t xml:space="preserve">). </w:t>
      </w:r>
      <w:r w:rsidR="00E14F51">
        <w:rPr>
          <w:lang w:val="bg-BG"/>
        </w:rPr>
        <w:t>О</w:t>
      </w:r>
      <w:r w:rsidR="00D36BAC" w:rsidRPr="008849C3">
        <w:rPr>
          <w:lang w:val="bg-BG"/>
        </w:rPr>
        <w:t>сн</w:t>
      </w:r>
      <w:r w:rsidR="00E14F51">
        <w:rPr>
          <w:lang w:val="bg-BG"/>
        </w:rPr>
        <w:t>овен аспект з</w:t>
      </w:r>
      <w:r w:rsidR="00D36BAC" w:rsidRPr="008849C3">
        <w:rPr>
          <w:lang w:val="bg-BG"/>
        </w:rPr>
        <w:t xml:space="preserve">а ефективно разследване е неговата своевременност </w:t>
      </w:r>
      <w:r w:rsidRPr="008849C3">
        <w:rPr>
          <w:lang w:val="bg-BG"/>
        </w:rPr>
        <w:t xml:space="preserve">– </w:t>
      </w:r>
      <w:r w:rsidR="00D36BAC" w:rsidRPr="008849C3">
        <w:rPr>
          <w:lang w:val="bg-BG"/>
        </w:rPr>
        <w:t>държавните органи са длъжни да започнат разследване веднага щом научат за наличието на достатъчно точни</w:t>
      </w:r>
      <w:r w:rsidRPr="008849C3">
        <w:rPr>
          <w:lang w:val="bg-BG"/>
        </w:rPr>
        <w:t xml:space="preserve"> </w:t>
      </w:r>
      <w:r w:rsidR="00D36BAC" w:rsidRPr="008849C3">
        <w:rPr>
          <w:lang w:val="bg-BG"/>
        </w:rPr>
        <w:t>данни, навеждащи на мисълта, че е налице слу</w:t>
      </w:r>
      <w:r w:rsidR="00EE2791" w:rsidRPr="008849C3">
        <w:rPr>
          <w:lang w:val="bg-BG"/>
        </w:rPr>
        <w:t xml:space="preserve">чай на изтезание или малтретиране, </w:t>
      </w:r>
      <w:r w:rsidR="00D36BAC" w:rsidRPr="008849C3">
        <w:rPr>
          <w:lang w:val="bg-BG"/>
        </w:rPr>
        <w:t xml:space="preserve">дори и без </w:t>
      </w:r>
      <w:r w:rsidR="00EE2791" w:rsidRPr="008849C3">
        <w:rPr>
          <w:lang w:val="bg-BG"/>
        </w:rPr>
        <w:t>действителна</w:t>
      </w:r>
      <w:r w:rsidR="00D36BAC" w:rsidRPr="008849C3">
        <w:rPr>
          <w:lang w:val="bg-BG"/>
        </w:rPr>
        <w:t xml:space="preserve"> </w:t>
      </w:r>
      <w:r w:rsidR="00EE2791" w:rsidRPr="008849C3">
        <w:rPr>
          <w:lang w:val="bg-BG"/>
        </w:rPr>
        <w:t xml:space="preserve">жалба от заинтересованите лица </w:t>
      </w:r>
      <w:r w:rsidRPr="008849C3">
        <w:rPr>
          <w:lang w:val="bg-BG"/>
        </w:rPr>
        <w:t>(</w:t>
      </w:r>
      <w:r w:rsidR="00EE2791" w:rsidRPr="008849C3">
        <w:rPr>
          <w:lang w:val="bg-BG"/>
        </w:rPr>
        <w:t>в</w:t>
      </w:r>
      <w:r w:rsidR="00E14F51">
        <w:rPr>
          <w:lang w:val="bg-BG"/>
        </w:rPr>
        <w:t>ж.</w:t>
      </w:r>
      <w:r w:rsidR="000C39B8" w:rsidRPr="008849C3">
        <w:rPr>
          <w:lang w:val="bg-BG"/>
        </w:rPr>
        <w:t>,</w:t>
      </w:r>
      <w:r w:rsidRPr="008849C3">
        <w:rPr>
          <w:lang w:val="bg-BG"/>
        </w:rPr>
        <w:t xml:space="preserve"> </w:t>
      </w:r>
      <w:r w:rsidR="00EE2791" w:rsidRPr="008849C3">
        <w:rPr>
          <w:lang w:val="bg-BG"/>
        </w:rPr>
        <w:t>нап</w:t>
      </w:r>
      <w:r w:rsidR="00E14F51">
        <w:rPr>
          <w:lang w:val="bg-BG"/>
        </w:rPr>
        <w:t>р.</w:t>
      </w:r>
      <w:r w:rsidR="000C39B8" w:rsidRPr="008849C3">
        <w:rPr>
          <w:lang w:val="bg-BG"/>
        </w:rPr>
        <w:t>,</w:t>
      </w:r>
      <w:r w:rsidRPr="008849C3">
        <w:rPr>
          <w:lang w:val="bg-BG"/>
        </w:rPr>
        <w:t xml:space="preserve"> </w:t>
      </w:r>
      <w:proofErr w:type="spellStart"/>
      <w:r w:rsidR="00EE2791" w:rsidRPr="008849C3">
        <w:rPr>
          <w:i/>
          <w:lang w:val="bg-BG"/>
        </w:rPr>
        <w:t>Батъ</w:t>
      </w:r>
      <w:proofErr w:type="spellEnd"/>
      <w:r w:rsidR="00EE2791" w:rsidRPr="008849C3">
        <w:rPr>
          <w:i/>
          <w:lang w:val="bg-BG"/>
        </w:rPr>
        <w:t xml:space="preserve"> и други срещу Турция (</w:t>
      </w:r>
      <w:proofErr w:type="spellStart"/>
      <w:r w:rsidRPr="008849C3">
        <w:rPr>
          <w:i/>
          <w:lang w:val="bg-BG"/>
        </w:rPr>
        <w:t>Batı</w:t>
      </w:r>
      <w:proofErr w:type="spellEnd"/>
      <w:r w:rsidRPr="008849C3">
        <w:rPr>
          <w:i/>
          <w:lang w:val="bg-BG"/>
        </w:rPr>
        <w:t xml:space="preserve"> </w:t>
      </w:r>
      <w:proofErr w:type="spellStart"/>
      <w:r w:rsidRPr="008849C3">
        <w:rPr>
          <w:i/>
          <w:lang w:val="bg-BG"/>
        </w:rPr>
        <w:t>et</w:t>
      </w:r>
      <w:proofErr w:type="spellEnd"/>
      <w:r w:rsidRPr="008849C3">
        <w:rPr>
          <w:i/>
          <w:lang w:val="bg-BG"/>
        </w:rPr>
        <w:t xml:space="preserve"> </w:t>
      </w:r>
      <w:proofErr w:type="spellStart"/>
      <w:r w:rsidRPr="008849C3">
        <w:rPr>
          <w:i/>
          <w:lang w:val="bg-BG"/>
        </w:rPr>
        <w:t>autres</w:t>
      </w:r>
      <w:proofErr w:type="spellEnd"/>
      <w:r w:rsidRPr="008849C3">
        <w:rPr>
          <w:i/>
          <w:lang w:val="bg-BG"/>
        </w:rPr>
        <w:t xml:space="preserve"> c. </w:t>
      </w:r>
      <w:proofErr w:type="spellStart"/>
      <w:r w:rsidRPr="008849C3">
        <w:rPr>
          <w:i/>
          <w:lang w:val="bg-BG"/>
        </w:rPr>
        <w:t>Turquie</w:t>
      </w:r>
      <w:proofErr w:type="spellEnd"/>
      <w:r w:rsidR="00EE2791" w:rsidRPr="008849C3">
        <w:rPr>
          <w:i/>
          <w:lang w:val="bg-BG"/>
        </w:rPr>
        <w:t>)</w:t>
      </w:r>
      <w:r w:rsidR="00EE2791" w:rsidRPr="008849C3">
        <w:rPr>
          <w:lang w:val="bg-BG"/>
        </w:rPr>
        <w:t xml:space="preserve">, № </w:t>
      </w:r>
      <w:r w:rsidRPr="008849C3">
        <w:rPr>
          <w:lang w:val="bg-BG"/>
        </w:rPr>
        <w:t xml:space="preserve">33097/96 </w:t>
      </w:r>
      <w:r w:rsidR="00EE2791" w:rsidRPr="008849C3">
        <w:rPr>
          <w:lang w:val="bg-BG"/>
        </w:rPr>
        <w:t>и №</w:t>
      </w:r>
      <w:r w:rsidRPr="008849C3">
        <w:rPr>
          <w:lang w:val="bg-BG"/>
        </w:rPr>
        <w:t xml:space="preserve"> 57834/00, § 133, </w:t>
      </w:r>
      <w:r w:rsidR="00EE2791" w:rsidRPr="008849C3">
        <w:rPr>
          <w:lang w:val="bg-BG"/>
        </w:rPr>
        <w:t>ЕСПЧ</w:t>
      </w:r>
      <w:r w:rsidR="0050654E" w:rsidRPr="008849C3">
        <w:rPr>
          <w:lang w:val="bg-BG"/>
        </w:rPr>
        <w:t> </w:t>
      </w:r>
      <w:r w:rsidRPr="008849C3">
        <w:rPr>
          <w:lang w:val="bg-BG"/>
        </w:rPr>
        <w:t>2004</w:t>
      </w:r>
      <w:r w:rsidRPr="008849C3">
        <w:rPr>
          <w:lang w:val="bg-BG"/>
        </w:rPr>
        <w:noBreakHyphen/>
        <w:t>IV (</w:t>
      </w:r>
      <w:r w:rsidR="00EE2791" w:rsidRPr="008849C3">
        <w:rPr>
          <w:lang w:val="bg-BG"/>
        </w:rPr>
        <w:t>извлечения</w:t>
      </w:r>
      <w:r w:rsidRPr="008849C3">
        <w:rPr>
          <w:lang w:val="bg-BG"/>
        </w:rPr>
        <w:t xml:space="preserve">)). </w:t>
      </w:r>
      <w:r w:rsidR="00E14F51">
        <w:rPr>
          <w:lang w:val="bg-BG"/>
        </w:rPr>
        <w:t>П същия начин, р</w:t>
      </w:r>
      <w:r w:rsidR="002862D8" w:rsidRPr="008849C3">
        <w:rPr>
          <w:lang w:val="bg-BG"/>
        </w:rPr>
        <w:t xml:space="preserve">азследващите органи трябва </w:t>
      </w:r>
      <w:r w:rsidR="00AB4B89" w:rsidRPr="008849C3">
        <w:rPr>
          <w:lang w:val="bg-BG"/>
        </w:rPr>
        <w:t xml:space="preserve">да </w:t>
      </w:r>
      <w:r w:rsidR="002862D8" w:rsidRPr="008849C3">
        <w:rPr>
          <w:lang w:val="bg-BG"/>
        </w:rPr>
        <w:t xml:space="preserve">проявят бързина при извършването на следствените действия </w:t>
      </w:r>
      <w:r w:rsidRPr="008849C3">
        <w:rPr>
          <w:lang w:val="bg-BG"/>
        </w:rPr>
        <w:t>(</w:t>
      </w:r>
      <w:r w:rsidR="002862D8" w:rsidRPr="008849C3">
        <w:rPr>
          <w:lang w:val="bg-BG"/>
        </w:rPr>
        <w:t>в</w:t>
      </w:r>
      <w:r w:rsidR="00E14F51">
        <w:rPr>
          <w:lang w:val="bg-BG"/>
        </w:rPr>
        <w:t>ж.</w:t>
      </w:r>
      <w:r w:rsidRPr="008849C3">
        <w:rPr>
          <w:lang w:val="bg-BG"/>
        </w:rPr>
        <w:t xml:space="preserve">, </w:t>
      </w:r>
      <w:r w:rsidR="002862D8" w:rsidRPr="008849C3">
        <w:rPr>
          <w:lang w:val="bg-BG"/>
        </w:rPr>
        <w:t>напр</w:t>
      </w:r>
      <w:r w:rsidR="00E14F51">
        <w:rPr>
          <w:lang w:val="bg-BG"/>
        </w:rPr>
        <w:t>.</w:t>
      </w:r>
      <w:r w:rsidR="000C39B8" w:rsidRPr="008849C3">
        <w:rPr>
          <w:lang w:val="bg-BG"/>
        </w:rPr>
        <w:t>,</w:t>
      </w:r>
      <w:r w:rsidRPr="008849C3">
        <w:rPr>
          <w:lang w:val="bg-BG"/>
        </w:rPr>
        <w:t xml:space="preserve"> </w:t>
      </w:r>
      <w:proofErr w:type="spellStart"/>
      <w:r w:rsidR="002862D8" w:rsidRPr="008849C3">
        <w:rPr>
          <w:i/>
          <w:lang w:val="bg-BG"/>
        </w:rPr>
        <w:t>Лабита</w:t>
      </w:r>
      <w:proofErr w:type="spellEnd"/>
      <w:r w:rsidRPr="008849C3">
        <w:rPr>
          <w:lang w:val="bg-BG"/>
        </w:rPr>
        <w:t xml:space="preserve">, </w:t>
      </w:r>
      <w:r w:rsidR="002862D8" w:rsidRPr="008849C3">
        <w:rPr>
          <w:lang w:val="bg-BG"/>
        </w:rPr>
        <w:t>цитирано по-горе</w:t>
      </w:r>
      <w:r w:rsidRPr="008849C3">
        <w:rPr>
          <w:lang w:val="bg-BG"/>
        </w:rPr>
        <w:t xml:space="preserve">, §§ 133 </w:t>
      </w:r>
      <w:r w:rsidR="002862D8" w:rsidRPr="008849C3">
        <w:rPr>
          <w:lang w:val="bg-BG"/>
        </w:rPr>
        <w:t>и</w:t>
      </w:r>
      <w:r w:rsidRPr="008849C3">
        <w:rPr>
          <w:lang w:val="bg-BG"/>
        </w:rPr>
        <w:t xml:space="preserve"> 134).</w:t>
      </w:r>
    </w:p>
    <w:p w:rsidR="006B7479" w:rsidRPr="008849C3" w:rsidRDefault="006B747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73</w:t>
      </w:r>
      <w:r w:rsidRPr="008849C3">
        <w:rPr>
          <w:lang w:val="bg-BG"/>
        </w:rPr>
        <w:fldChar w:fldCharType="end"/>
      </w:r>
      <w:r w:rsidRPr="008849C3">
        <w:rPr>
          <w:lang w:val="bg-BG"/>
        </w:rPr>
        <w:t>. </w:t>
      </w:r>
      <w:r w:rsidR="00E14F51">
        <w:rPr>
          <w:lang w:val="bg-BG"/>
        </w:rPr>
        <w:t>Освен това ч</w:t>
      </w:r>
      <w:r w:rsidR="00CA7BA4">
        <w:rPr>
          <w:lang w:val="bg-BG"/>
        </w:rPr>
        <w:t>л.</w:t>
      </w:r>
      <w:r w:rsidRPr="008849C3">
        <w:rPr>
          <w:lang w:val="bg-BG"/>
        </w:rPr>
        <w:t xml:space="preserve"> 3 </w:t>
      </w:r>
      <w:r w:rsidR="00CD3B92" w:rsidRPr="008849C3">
        <w:rPr>
          <w:lang w:val="bg-BG"/>
        </w:rPr>
        <w:t>от Конвенцията</w:t>
      </w:r>
      <w:r w:rsidR="000C39B8" w:rsidRPr="008849C3">
        <w:rPr>
          <w:lang w:val="bg-BG"/>
        </w:rPr>
        <w:t xml:space="preserve"> </w:t>
      </w:r>
      <w:r w:rsidR="007905D8" w:rsidRPr="008849C3">
        <w:rPr>
          <w:lang w:val="bg-BG"/>
        </w:rPr>
        <w:t>изисква въпросното разследване да бъде достатъчно „задълбочено“</w:t>
      </w:r>
      <w:r w:rsidR="00BB27C8" w:rsidRPr="008849C3">
        <w:rPr>
          <w:lang w:val="bg-BG"/>
        </w:rPr>
        <w:t>;</w:t>
      </w:r>
      <w:r w:rsidRPr="008849C3">
        <w:rPr>
          <w:lang w:val="bg-BG"/>
        </w:rPr>
        <w:t xml:space="preserve"> </w:t>
      </w:r>
      <w:r w:rsidR="007A679E" w:rsidRPr="008849C3">
        <w:rPr>
          <w:lang w:val="bg-BG"/>
        </w:rPr>
        <w:t xml:space="preserve">натоварените с разследването органи трябва да се опитат да установят добросъвестно обстоятелствата </w:t>
      </w:r>
      <w:r w:rsidR="007A679E" w:rsidRPr="008849C3">
        <w:rPr>
          <w:lang w:val="bg-BG"/>
        </w:rPr>
        <w:lastRenderedPageBreak/>
        <w:t xml:space="preserve">в конкретния случай, без да пренебрегват отнасящите се към делото доказателства и без да бързат да прекратят разследването, като се позовават на </w:t>
      </w:r>
      <w:r w:rsidR="00E27D7E" w:rsidRPr="008849C3">
        <w:rPr>
          <w:lang w:val="bg-BG"/>
        </w:rPr>
        <w:t>неоснователни</w:t>
      </w:r>
      <w:r w:rsidR="00AB4B89" w:rsidRPr="008849C3">
        <w:rPr>
          <w:lang w:val="bg-BG"/>
        </w:rPr>
        <w:t xml:space="preserve"> или прибързани заключения </w:t>
      </w:r>
      <w:r w:rsidRPr="008849C3">
        <w:rPr>
          <w:lang w:val="bg-BG"/>
        </w:rPr>
        <w:t>(</w:t>
      </w:r>
      <w:r w:rsidR="00E27D7E" w:rsidRPr="008849C3">
        <w:rPr>
          <w:lang w:val="bg-BG"/>
        </w:rPr>
        <w:t>в</w:t>
      </w:r>
      <w:r w:rsidR="0061008A">
        <w:rPr>
          <w:lang w:val="bg-BG"/>
        </w:rPr>
        <w:t>ж.</w:t>
      </w:r>
      <w:r w:rsidRPr="008849C3">
        <w:rPr>
          <w:lang w:val="bg-BG"/>
        </w:rPr>
        <w:t xml:space="preserve">, </w:t>
      </w:r>
      <w:r w:rsidR="00E27D7E" w:rsidRPr="008849C3">
        <w:rPr>
          <w:lang w:val="bg-BG"/>
        </w:rPr>
        <w:t>наред с други</w:t>
      </w:r>
      <w:r w:rsidRPr="008849C3">
        <w:rPr>
          <w:lang w:val="bg-BG"/>
        </w:rPr>
        <w:t xml:space="preserve">, </w:t>
      </w:r>
      <w:r w:rsidR="00E27D7E" w:rsidRPr="008849C3">
        <w:rPr>
          <w:lang w:val="bg-BG"/>
        </w:rPr>
        <w:t>решението</w:t>
      </w:r>
      <w:r w:rsidRPr="008849C3">
        <w:rPr>
          <w:lang w:val="bg-BG"/>
        </w:rPr>
        <w:t xml:space="preserve"> </w:t>
      </w:r>
      <w:r w:rsidR="00E27D7E" w:rsidRPr="008849C3">
        <w:rPr>
          <w:i/>
          <w:lang w:val="bg-BG"/>
        </w:rPr>
        <w:t>Асенов и други</w:t>
      </w:r>
      <w:r w:rsidRPr="008849C3">
        <w:rPr>
          <w:lang w:val="bg-BG"/>
        </w:rPr>
        <w:t xml:space="preserve">, </w:t>
      </w:r>
      <w:r w:rsidR="00E27D7E" w:rsidRPr="008849C3">
        <w:rPr>
          <w:lang w:val="bg-BG"/>
        </w:rPr>
        <w:t>цитирано по-горе</w:t>
      </w:r>
      <w:r w:rsidRPr="008849C3">
        <w:rPr>
          <w:lang w:val="bg-BG"/>
        </w:rPr>
        <w:t xml:space="preserve">, §§ 103-105). </w:t>
      </w:r>
      <w:r w:rsidR="00E27D7E" w:rsidRPr="008849C3">
        <w:rPr>
          <w:lang w:val="bg-BG"/>
        </w:rPr>
        <w:t>Властите са длъжни</w:t>
      </w:r>
      <w:r w:rsidR="0061008A">
        <w:rPr>
          <w:lang w:val="bg-BG"/>
        </w:rPr>
        <w:t>,</w:t>
      </w:r>
      <w:r w:rsidR="00E27D7E" w:rsidRPr="008849C3">
        <w:rPr>
          <w:lang w:val="bg-BG"/>
        </w:rPr>
        <w:t xml:space="preserve"> ос</w:t>
      </w:r>
      <w:r w:rsidR="00E26004">
        <w:rPr>
          <w:lang w:val="bg-BG"/>
        </w:rPr>
        <w:t>вен това</w:t>
      </w:r>
      <w:r w:rsidR="0061008A">
        <w:rPr>
          <w:lang w:val="bg-BG"/>
        </w:rPr>
        <w:t>,</w:t>
      </w:r>
      <w:r w:rsidR="00E26004">
        <w:rPr>
          <w:lang w:val="bg-BG"/>
        </w:rPr>
        <w:t xml:space="preserve"> да съхраняват и да съби</w:t>
      </w:r>
      <w:r w:rsidR="00E27D7E" w:rsidRPr="008849C3">
        <w:rPr>
          <w:lang w:val="bg-BG"/>
        </w:rPr>
        <w:t xml:space="preserve">рат необходимите доказателства за установяването на </w:t>
      </w:r>
      <w:r w:rsidR="00A55155">
        <w:rPr>
          <w:lang w:val="bg-BG"/>
        </w:rPr>
        <w:t>обстоятелствата</w:t>
      </w:r>
      <w:r w:rsidR="00E27D7E" w:rsidRPr="008849C3">
        <w:rPr>
          <w:lang w:val="bg-BG"/>
        </w:rPr>
        <w:t>, независимо да</w:t>
      </w:r>
      <w:r w:rsidR="00914E33" w:rsidRPr="008849C3">
        <w:rPr>
          <w:lang w:val="bg-BG"/>
        </w:rPr>
        <w:t>ли става дума</w:t>
      </w:r>
      <w:r w:rsidRPr="008849C3">
        <w:rPr>
          <w:lang w:val="bg-BG"/>
        </w:rPr>
        <w:t xml:space="preserve"> – </w:t>
      </w:r>
      <w:r w:rsidR="00E27D7E" w:rsidRPr="008849C3">
        <w:rPr>
          <w:lang w:val="bg-BG"/>
        </w:rPr>
        <w:t>например</w:t>
      </w:r>
      <w:r w:rsidRPr="008849C3">
        <w:rPr>
          <w:lang w:val="bg-BG"/>
        </w:rPr>
        <w:t xml:space="preserve"> – </w:t>
      </w:r>
      <w:r w:rsidR="00E27D7E" w:rsidRPr="008849C3">
        <w:rPr>
          <w:lang w:val="bg-BG"/>
        </w:rPr>
        <w:t>за свидетелските показания или за веществените доказателства</w:t>
      </w:r>
      <w:r w:rsidRPr="008849C3">
        <w:rPr>
          <w:lang w:val="bg-BG"/>
        </w:rPr>
        <w:t xml:space="preserve"> (</w:t>
      </w:r>
      <w:proofErr w:type="spellStart"/>
      <w:r w:rsidR="00914E33" w:rsidRPr="008849C3">
        <w:rPr>
          <w:i/>
          <w:lang w:val="bg-BG"/>
        </w:rPr>
        <w:t>Зелилоф</w:t>
      </w:r>
      <w:proofErr w:type="spellEnd"/>
      <w:r w:rsidRPr="008849C3">
        <w:rPr>
          <w:lang w:val="bg-BG"/>
        </w:rPr>
        <w:t xml:space="preserve">, </w:t>
      </w:r>
      <w:r w:rsidR="00E27D7E" w:rsidRPr="008849C3">
        <w:rPr>
          <w:lang w:val="bg-BG"/>
        </w:rPr>
        <w:t>цитирано по-горе</w:t>
      </w:r>
      <w:r w:rsidRPr="008849C3">
        <w:rPr>
          <w:lang w:val="bg-BG"/>
        </w:rPr>
        <w:t xml:space="preserve">, § 56). </w:t>
      </w:r>
      <w:r w:rsidR="00914E33" w:rsidRPr="008849C3">
        <w:rPr>
          <w:lang w:val="bg-BG"/>
        </w:rPr>
        <w:t>Всеки недостатък на разследването</w:t>
      </w:r>
      <w:r w:rsidR="009D4B79" w:rsidRPr="008849C3">
        <w:rPr>
          <w:lang w:val="bg-BG"/>
        </w:rPr>
        <w:t>,</w:t>
      </w:r>
      <w:r w:rsidRPr="008849C3">
        <w:rPr>
          <w:lang w:val="bg-BG"/>
        </w:rPr>
        <w:t xml:space="preserve"> </w:t>
      </w:r>
      <w:r w:rsidR="009D4B79" w:rsidRPr="008849C3">
        <w:rPr>
          <w:lang w:val="bg-BG"/>
        </w:rPr>
        <w:t xml:space="preserve">намаляващ способността му да установи причините за понесените вреди или </w:t>
      </w:r>
      <w:r w:rsidR="00FE1731" w:rsidRPr="008849C3">
        <w:rPr>
          <w:lang w:val="bg-BG"/>
        </w:rPr>
        <w:t xml:space="preserve">самоличността на отговорните лица може да доведе до заключението, че не отговаря на изискваната норма за ефективност </w:t>
      </w:r>
      <w:r w:rsidRPr="008849C3">
        <w:rPr>
          <w:lang w:val="bg-BG"/>
        </w:rPr>
        <w:t>(</w:t>
      </w:r>
      <w:proofErr w:type="spellStart"/>
      <w:r w:rsidR="00914E33" w:rsidRPr="008849C3">
        <w:rPr>
          <w:i/>
          <w:lang w:val="bg-BG"/>
        </w:rPr>
        <w:t>Бойченко</w:t>
      </w:r>
      <w:proofErr w:type="spellEnd"/>
      <w:r w:rsidR="00914E33" w:rsidRPr="008849C3">
        <w:rPr>
          <w:i/>
          <w:lang w:val="bg-BG"/>
        </w:rPr>
        <w:t xml:space="preserve"> срещу Молдова (</w:t>
      </w:r>
      <w:proofErr w:type="spellStart"/>
      <w:r w:rsidRPr="008849C3">
        <w:rPr>
          <w:i/>
          <w:lang w:val="bg-BG"/>
        </w:rPr>
        <w:t>Boicenco</w:t>
      </w:r>
      <w:proofErr w:type="spellEnd"/>
      <w:r w:rsidRPr="008849C3">
        <w:rPr>
          <w:i/>
          <w:lang w:val="bg-BG"/>
        </w:rPr>
        <w:t xml:space="preserve"> c. </w:t>
      </w:r>
      <w:proofErr w:type="spellStart"/>
      <w:r w:rsidRPr="008849C3">
        <w:rPr>
          <w:i/>
          <w:lang w:val="bg-BG"/>
        </w:rPr>
        <w:t>Moldova</w:t>
      </w:r>
      <w:proofErr w:type="spellEnd"/>
      <w:r w:rsidR="00914E33" w:rsidRPr="008849C3">
        <w:rPr>
          <w:i/>
          <w:lang w:val="bg-BG"/>
        </w:rPr>
        <w:t>)</w:t>
      </w:r>
      <w:r w:rsidR="00914E33" w:rsidRPr="008849C3">
        <w:rPr>
          <w:lang w:val="bg-BG"/>
        </w:rPr>
        <w:t>, №</w:t>
      </w:r>
      <w:r w:rsidRPr="008849C3">
        <w:rPr>
          <w:lang w:val="bg-BG"/>
        </w:rPr>
        <w:t xml:space="preserve"> 41088/05, § 123, 11</w:t>
      </w:r>
      <w:r w:rsidR="00276C60" w:rsidRPr="008849C3">
        <w:rPr>
          <w:lang w:val="bg-BG"/>
        </w:rPr>
        <w:t xml:space="preserve"> </w:t>
      </w:r>
      <w:r w:rsidR="00914E33" w:rsidRPr="008849C3">
        <w:rPr>
          <w:lang w:val="bg-BG"/>
        </w:rPr>
        <w:t>юли</w:t>
      </w:r>
      <w:r w:rsidR="00276C60" w:rsidRPr="008849C3">
        <w:rPr>
          <w:lang w:val="bg-BG"/>
        </w:rPr>
        <w:t xml:space="preserve"> </w:t>
      </w:r>
      <w:r w:rsidRPr="008849C3">
        <w:rPr>
          <w:lang w:val="bg-BG"/>
        </w:rPr>
        <w:t>2006</w:t>
      </w:r>
      <w:r w:rsidR="00914E33" w:rsidRPr="008849C3">
        <w:rPr>
          <w:lang w:val="bg-BG"/>
        </w:rPr>
        <w:t xml:space="preserve"> г.</w:t>
      </w:r>
      <w:r w:rsidRPr="008849C3">
        <w:rPr>
          <w:lang w:val="bg-BG"/>
        </w:rPr>
        <w:t>).</w:t>
      </w:r>
    </w:p>
    <w:p w:rsidR="00D12002" w:rsidRPr="008849C3" w:rsidRDefault="00FC034F"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74</w:t>
      </w:r>
      <w:r w:rsidRPr="008849C3">
        <w:rPr>
          <w:lang w:val="bg-BG"/>
        </w:rPr>
        <w:fldChar w:fldCharType="end"/>
      </w:r>
      <w:r w:rsidRPr="008849C3">
        <w:rPr>
          <w:lang w:val="bg-BG"/>
        </w:rPr>
        <w:t>.  </w:t>
      </w:r>
      <w:r w:rsidR="00A51EB8" w:rsidRPr="008849C3">
        <w:rPr>
          <w:lang w:val="bg-BG"/>
        </w:rPr>
        <w:t xml:space="preserve">Като се връща към </w:t>
      </w:r>
      <w:r w:rsidR="00A55155">
        <w:rPr>
          <w:lang w:val="bg-BG"/>
        </w:rPr>
        <w:t>обстоятелствата</w:t>
      </w:r>
      <w:r w:rsidR="00A51EB8" w:rsidRPr="008849C3">
        <w:rPr>
          <w:lang w:val="bg-BG"/>
        </w:rPr>
        <w:t xml:space="preserve"> по делото, Съдът отбелязва, че официално разследване </w:t>
      </w:r>
      <w:r w:rsidR="00A649C1" w:rsidRPr="008849C3">
        <w:rPr>
          <w:lang w:val="bg-BG"/>
        </w:rPr>
        <w:t>на събитията</w:t>
      </w:r>
      <w:r w:rsidR="00842BED" w:rsidRPr="008849C3">
        <w:rPr>
          <w:lang w:val="bg-BG"/>
        </w:rPr>
        <w:t>, съпътстващи</w:t>
      </w:r>
      <w:r w:rsidR="00A649C1" w:rsidRPr="008849C3">
        <w:rPr>
          <w:lang w:val="bg-BG"/>
        </w:rPr>
        <w:t xml:space="preserve"> </w:t>
      </w:r>
      <w:r w:rsidR="0061008A">
        <w:rPr>
          <w:lang w:val="bg-BG"/>
        </w:rPr>
        <w:t>задържането</w:t>
      </w:r>
      <w:r w:rsidR="0061008A" w:rsidRPr="008849C3">
        <w:rPr>
          <w:lang w:val="bg-BG"/>
        </w:rPr>
        <w:t xml:space="preserve"> </w:t>
      </w:r>
      <w:r w:rsidR="00A649C1" w:rsidRPr="008849C3">
        <w:rPr>
          <w:lang w:val="bg-BG"/>
        </w:rPr>
        <w:t>на жалбоподателя</w:t>
      </w:r>
      <w:r w:rsidR="00842BED" w:rsidRPr="008849C3">
        <w:rPr>
          <w:lang w:val="bg-BG"/>
        </w:rPr>
        <w:t>,</w:t>
      </w:r>
      <w:r w:rsidR="00A649C1" w:rsidRPr="008849C3">
        <w:rPr>
          <w:lang w:val="bg-BG"/>
        </w:rPr>
        <w:t xml:space="preserve"> </w:t>
      </w:r>
      <w:r w:rsidR="00842BED" w:rsidRPr="008849C3">
        <w:rPr>
          <w:lang w:val="bg-BG"/>
        </w:rPr>
        <w:t xml:space="preserve">е било открито от Софийска районна прокуратура. Прокуратурата </w:t>
      </w:r>
      <w:r w:rsidR="00561004" w:rsidRPr="008849C3">
        <w:rPr>
          <w:lang w:val="bg-BG"/>
        </w:rPr>
        <w:t>и органите на</w:t>
      </w:r>
      <w:r w:rsidR="007D0051" w:rsidRPr="008849C3">
        <w:rPr>
          <w:lang w:val="bg-BG"/>
        </w:rPr>
        <w:t xml:space="preserve"> наказателното разследване</w:t>
      </w:r>
      <w:r w:rsidR="00842BED" w:rsidRPr="008849C3">
        <w:rPr>
          <w:lang w:val="bg-BG"/>
        </w:rPr>
        <w:t xml:space="preserve"> </w:t>
      </w:r>
      <w:r w:rsidR="00D87490" w:rsidRPr="008849C3">
        <w:rPr>
          <w:lang w:val="bg-BG"/>
        </w:rPr>
        <w:t>са разследвали разглежданите събития между 9 май 2011 г. и 21 март 2014 г. Пред</w:t>
      </w:r>
      <w:r w:rsidR="00E26004">
        <w:rPr>
          <w:lang w:val="bg-BG"/>
        </w:rPr>
        <w:t>вид специфичните обстоятелства на</w:t>
      </w:r>
      <w:r w:rsidR="00D87490" w:rsidRPr="008849C3">
        <w:rPr>
          <w:lang w:val="bg-BG"/>
        </w:rPr>
        <w:t xml:space="preserve"> конкретния случай, този период изглежда </w:t>
      </w:r>
      <w:r w:rsidR="0061008A">
        <w:rPr>
          <w:lang w:val="bg-BG"/>
        </w:rPr>
        <w:t>неоправдано</w:t>
      </w:r>
      <w:r w:rsidR="0061008A" w:rsidRPr="008849C3">
        <w:rPr>
          <w:lang w:val="bg-BG"/>
        </w:rPr>
        <w:t xml:space="preserve"> </w:t>
      </w:r>
      <w:r w:rsidR="00D87490" w:rsidRPr="008849C3">
        <w:rPr>
          <w:lang w:val="bg-BG"/>
        </w:rPr>
        <w:t>дълъг. Съдът счита в тази връзка, че делото не е било особено сложно: конкретно е ставало дума да се идентифицира полиц</w:t>
      </w:r>
      <w:r w:rsidR="0061008A">
        <w:rPr>
          <w:lang w:val="bg-BG"/>
        </w:rPr>
        <w:t>ейският служител</w:t>
      </w:r>
      <w:r w:rsidR="003251F1" w:rsidRPr="008849C3">
        <w:rPr>
          <w:lang w:val="bg-BG"/>
        </w:rPr>
        <w:t xml:space="preserve">, който е </w:t>
      </w:r>
      <w:proofErr w:type="spellStart"/>
      <w:r w:rsidR="003251F1" w:rsidRPr="008849C3">
        <w:rPr>
          <w:lang w:val="bg-BG"/>
        </w:rPr>
        <w:t>обездвижил</w:t>
      </w:r>
      <w:proofErr w:type="spellEnd"/>
      <w:r w:rsidR="003251F1" w:rsidRPr="008849C3">
        <w:rPr>
          <w:lang w:val="bg-BG"/>
        </w:rPr>
        <w:t xml:space="preserve"> жалбоподателя, да се съберат медицински доказателства за нараняванията, причинени на последния, да се разпитат очевидците на </w:t>
      </w:r>
      <w:r w:rsidR="0061008A">
        <w:rPr>
          <w:lang w:val="bg-BG"/>
        </w:rPr>
        <w:t>задържането</w:t>
      </w:r>
      <w:r w:rsidR="0061008A" w:rsidRPr="008849C3">
        <w:rPr>
          <w:lang w:val="bg-BG"/>
        </w:rPr>
        <w:t xml:space="preserve"> </w:t>
      </w:r>
      <w:r w:rsidR="00A66671" w:rsidRPr="008849C3">
        <w:rPr>
          <w:lang w:val="bg-BG"/>
        </w:rPr>
        <w:t xml:space="preserve">и да се използват кадрите от видеозаписа на полицейската операция.  </w:t>
      </w:r>
      <w:r w:rsidR="003251F1" w:rsidRPr="008849C3">
        <w:rPr>
          <w:lang w:val="bg-BG"/>
        </w:rPr>
        <w:t xml:space="preserve"> </w:t>
      </w:r>
      <w:r w:rsidR="00D87490" w:rsidRPr="008849C3">
        <w:rPr>
          <w:lang w:val="bg-BG"/>
        </w:rPr>
        <w:t xml:space="preserve"> </w:t>
      </w:r>
    </w:p>
    <w:p w:rsidR="00471917" w:rsidRPr="008849C3" w:rsidRDefault="00326BA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75</w:t>
      </w:r>
      <w:r w:rsidRPr="008849C3">
        <w:rPr>
          <w:lang w:val="bg-BG"/>
        </w:rPr>
        <w:fldChar w:fldCharType="end"/>
      </w:r>
      <w:r w:rsidRPr="008849C3">
        <w:rPr>
          <w:lang w:val="bg-BG"/>
        </w:rPr>
        <w:t>.  </w:t>
      </w:r>
      <w:r w:rsidR="00A66671" w:rsidRPr="008849C3">
        <w:rPr>
          <w:lang w:val="bg-BG"/>
        </w:rPr>
        <w:t>Трябва да се отбележи, че в резултат на множеството процесуални поврати в разследването</w:t>
      </w:r>
      <w:r w:rsidR="005422D0" w:rsidRPr="008849C3">
        <w:rPr>
          <w:lang w:val="bg-BG"/>
        </w:rPr>
        <w:t xml:space="preserve"> </w:t>
      </w:r>
      <w:r w:rsidR="00D4326E" w:rsidRPr="008849C3">
        <w:rPr>
          <w:lang w:val="bg-BG"/>
        </w:rPr>
        <w:t>(</w:t>
      </w:r>
      <w:r w:rsidR="00E36154" w:rsidRPr="008849C3">
        <w:rPr>
          <w:lang w:val="bg-BG"/>
        </w:rPr>
        <w:t>постановление за прекратяване на делото</w:t>
      </w:r>
      <w:r w:rsidR="005422D0" w:rsidRPr="008849C3">
        <w:rPr>
          <w:lang w:val="bg-BG"/>
        </w:rPr>
        <w:t xml:space="preserve">, </w:t>
      </w:r>
      <w:r w:rsidR="00E36154" w:rsidRPr="008849C3">
        <w:rPr>
          <w:lang w:val="bg-BG"/>
        </w:rPr>
        <w:t>откриване на наказателно производство срещу Х, спиране и след това подновяване на разследванията по решение на районния съд</w:t>
      </w:r>
      <w:r w:rsidR="00D4326E" w:rsidRPr="008849C3">
        <w:rPr>
          <w:lang w:val="bg-BG"/>
        </w:rPr>
        <w:t>)</w:t>
      </w:r>
      <w:r w:rsidR="000E06A4" w:rsidRPr="008849C3">
        <w:rPr>
          <w:lang w:val="bg-BG"/>
        </w:rPr>
        <w:t xml:space="preserve">, </w:t>
      </w:r>
      <w:r w:rsidR="00E36154" w:rsidRPr="008849C3">
        <w:rPr>
          <w:lang w:val="bg-BG"/>
        </w:rPr>
        <w:t xml:space="preserve">разследването е прекратено поради изтичане на </w:t>
      </w:r>
      <w:proofErr w:type="spellStart"/>
      <w:r w:rsidR="00E36154" w:rsidRPr="008849C3">
        <w:rPr>
          <w:lang w:val="bg-BG"/>
        </w:rPr>
        <w:t>давностния</w:t>
      </w:r>
      <w:proofErr w:type="spellEnd"/>
      <w:r w:rsidR="00E36154" w:rsidRPr="008849C3">
        <w:rPr>
          <w:lang w:val="bg-BG"/>
        </w:rPr>
        <w:t xml:space="preserve"> срок </w:t>
      </w:r>
      <w:r w:rsidRPr="008849C3">
        <w:rPr>
          <w:lang w:val="bg-BG"/>
        </w:rPr>
        <w:t>(</w:t>
      </w:r>
      <w:r w:rsidR="00EC77E2" w:rsidRPr="008849C3">
        <w:rPr>
          <w:lang w:val="bg-BG"/>
        </w:rPr>
        <w:t>параграфи</w:t>
      </w:r>
      <w:r w:rsidRPr="008849C3">
        <w:rPr>
          <w:lang w:val="bg-BG"/>
        </w:rPr>
        <w:t xml:space="preserve"> </w:t>
      </w:r>
      <w:r w:rsidR="00CD3B06" w:rsidRPr="008849C3">
        <w:rPr>
          <w:lang w:val="bg-BG"/>
        </w:rPr>
        <w:t>31-46</w:t>
      </w:r>
      <w:r w:rsidRPr="008849C3">
        <w:rPr>
          <w:lang w:val="bg-BG"/>
        </w:rPr>
        <w:t xml:space="preserve"> </w:t>
      </w:r>
      <w:r w:rsidR="00EC77E2" w:rsidRPr="008849C3">
        <w:rPr>
          <w:lang w:val="bg-BG"/>
        </w:rPr>
        <w:t>по-горе</w:t>
      </w:r>
      <w:r w:rsidRPr="008849C3">
        <w:rPr>
          <w:lang w:val="bg-BG"/>
        </w:rPr>
        <w:t>)</w:t>
      </w:r>
      <w:r w:rsidR="000E06A4" w:rsidRPr="008849C3">
        <w:rPr>
          <w:lang w:val="bg-BG"/>
        </w:rPr>
        <w:t xml:space="preserve">. </w:t>
      </w:r>
      <w:r w:rsidR="00E36154" w:rsidRPr="008849C3">
        <w:rPr>
          <w:lang w:val="bg-BG"/>
        </w:rPr>
        <w:t xml:space="preserve">По този начин разследването не е позволило нито да се установят </w:t>
      </w:r>
      <w:r w:rsidR="00A55155">
        <w:rPr>
          <w:lang w:val="bg-BG"/>
        </w:rPr>
        <w:t>обстоятелствата</w:t>
      </w:r>
      <w:r w:rsidR="00E36154" w:rsidRPr="008849C3">
        <w:rPr>
          <w:lang w:val="bg-BG"/>
        </w:rPr>
        <w:t xml:space="preserve"> около </w:t>
      </w:r>
      <w:r w:rsidR="0061008A">
        <w:rPr>
          <w:lang w:val="bg-BG"/>
        </w:rPr>
        <w:t>задържането</w:t>
      </w:r>
      <w:r w:rsidR="0061008A" w:rsidRPr="008849C3">
        <w:rPr>
          <w:lang w:val="bg-BG"/>
        </w:rPr>
        <w:t xml:space="preserve"> </w:t>
      </w:r>
      <w:r w:rsidR="00E36154" w:rsidRPr="008849C3">
        <w:rPr>
          <w:lang w:val="bg-BG"/>
        </w:rPr>
        <w:t xml:space="preserve">на жалбоподателя, нито да се определи, </w:t>
      </w:r>
      <w:r w:rsidR="00757F33" w:rsidRPr="008849C3">
        <w:rPr>
          <w:lang w:val="bg-BG"/>
        </w:rPr>
        <w:t>ако е приложимо, отговорността на полиц</w:t>
      </w:r>
      <w:r w:rsidR="0061008A">
        <w:rPr>
          <w:lang w:val="bg-BG"/>
        </w:rPr>
        <w:t>ейските служители</w:t>
      </w:r>
      <w:r w:rsidR="00757F33" w:rsidRPr="008849C3">
        <w:rPr>
          <w:lang w:val="bg-BG"/>
        </w:rPr>
        <w:t xml:space="preserve">, срещу които последният е повдигнал обвинение. </w:t>
      </w:r>
      <w:r w:rsidR="00E36154" w:rsidRPr="008849C3">
        <w:rPr>
          <w:lang w:val="bg-BG"/>
        </w:rPr>
        <w:t xml:space="preserve"> </w:t>
      </w:r>
    </w:p>
    <w:p w:rsidR="004F7862" w:rsidRPr="008849C3" w:rsidRDefault="007D709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76</w:t>
      </w:r>
      <w:r w:rsidRPr="008849C3">
        <w:rPr>
          <w:lang w:val="bg-BG"/>
        </w:rPr>
        <w:fldChar w:fldCharType="end"/>
      </w:r>
      <w:r w:rsidRPr="008849C3">
        <w:rPr>
          <w:lang w:val="bg-BG"/>
        </w:rPr>
        <w:t>.  </w:t>
      </w:r>
      <w:r w:rsidR="00512851" w:rsidRPr="008849C3">
        <w:rPr>
          <w:lang w:val="bg-BG"/>
        </w:rPr>
        <w:t>С оглед на тези факти Съдът счита, че въпросното разследване не е било достатъчно бързо и че не е било водено с необходи</w:t>
      </w:r>
      <w:r w:rsidR="001637F0" w:rsidRPr="008849C3">
        <w:rPr>
          <w:lang w:val="bg-BG"/>
        </w:rPr>
        <w:t>м</w:t>
      </w:r>
      <w:r w:rsidR="0061008A">
        <w:rPr>
          <w:lang w:val="bg-BG"/>
        </w:rPr>
        <w:t>ото усърдие</w:t>
      </w:r>
      <w:r w:rsidR="001637F0" w:rsidRPr="008849C3">
        <w:rPr>
          <w:lang w:val="bg-BG"/>
        </w:rPr>
        <w:t xml:space="preserve">. Следователно е налице нарушение на </w:t>
      </w:r>
      <w:r w:rsidR="00CA7BA4">
        <w:rPr>
          <w:lang w:val="bg-BG"/>
        </w:rPr>
        <w:t>чл.</w:t>
      </w:r>
      <w:r w:rsidR="00106707" w:rsidRPr="008849C3">
        <w:rPr>
          <w:lang w:val="bg-BG"/>
        </w:rPr>
        <w:t xml:space="preserve"> 3 </w:t>
      </w:r>
      <w:r w:rsidR="00CD3B92" w:rsidRPr="008849C3">
        <w:rPr>
          <w:lang w:val="bg-BG"/>
        </w:rPr>
        <w:t>от Конвенцията</w:t>
      </w:r>
      <w:r w:rsidR="00106707" w:rsidRPr="008849C3">
        <w:rPr>
          <w:lang w:val="bg-BG"/>
        </w:rPr>
        <w:t xml:space="preserve"> </w:t>
      </w:r>
      <w:r w:rsidR="001637F0" w:rsidRPr="008849C3">
        <w:rPr>
          <w:lang w:val="bg-BG"/>
        </w:rPr>
        <w:t xml:space="preserve">в </w:t>
      </w:r>
      <w:r w:rsidR="0061008A">
        <w:rPr>
          <w:lang w:val="bg-BG"/>
        </w:rPr>
        <w:t>процесуалния</w:t>
      </w:r>
      <w:r w:rsidR="0061008A" w:rsidRPr="008849C3">
        <w:rPr>
          <w:lang w:val="bg-BG"/>
        </w:rPr>
        <w:t xml:space="preserve"> </w:t>
      </w:r>
      <w:r w:rsidR="001637F0" w:rsidRPr="008849C3">
        <w:rPr>
          <w:lang w:val="bg-BG"/>
        </w:rPr>
        <w:t xml:space="preserve">му аспект. </w:t>
      </w:r>
      <w:r w:rsidR="009A1D21" w:rsidRPr="008849C3">
        <w:rPr>
          <w:lang w:val="bg-BG"/>
        </w:rPr>
        <w:t xml:space="preserve"> </w:t>
      </w:r>
    </w:p>
    <w:p w:rsidR="00E77CB3" w:rsidRPr="008849C3" w:rsidRDefault="00EF7377" w:rsidP="006B0E9F">
      <w:pPr>
        <w:pStyle w:val="ECHRHeading1"/>
        <w:rPr>
          <w:lang w:val="bg-BG"/>
        </w:rPr>
      </w:pPr>
      <w:r w:rsidRPr="008849C3">
        <w:rPr>
          <w:lang w:val="bg-BG"/>
        </w:rPr>
        <w:t>II</w:t>
      </w:r>
      <w:r w:rsidR="00E77CB3" w:rsidRPr="008849C3">
        <w:rPr>
          <w:lang w:val="bg-BG"/>
        </w:rPr>
        <w:t>. </w:t>
      </w:r>
      <w:r w:rsidR="001637F0" w:rsidRPr="008849C3">
        <w:rPr>
          <w:lang w:val="bg-BG"/>
        </w:rPr>
        <w:t>ТВЪРДЯ</w:t>
      </w:r>
      <w:r w:rsidR="0061008A">
        <w:rPr>
          <w:lang w:val="bg-BG"/>
        </w:rPr>
        <w:t>НО</w:t>
      </w:r>
      <w:r w:rsidR="001637F0" w:rsidRPr="008849C3">
        <w:rPr>
          <w:lang w:val="bg-BG"/>
        </w:rPr>
        <w:t xml:space="preserve"> НАРУШЕНИЕ НА</w:t>
      </w:r>
      <w:r w:rsidR="00E77CB3" w:rsidRPr="008849C3">
        <w:rPr>
          <w:lang w:val="bg-BG"/>
        </w:rPr>
        <w:t xml:space="preserve"> </w:t>
      </w:r>
      <w:r w:rsidR="00CA7BA4">
        <w:rPr>
          <w:lang w:val="bg-BG"/>
        </w:rPr>
        <w:t>ЧЛ.</w:t>
      </w:r>
      <w:r w:rsidR="00E77CB3" w:rsidRPr="008849C3">
        <w:rPr>
          <w:lang w:val="bg-BG"/>
        </w:rPr>
        <w:t xml:space="preserve"> </w:t>
      </w:r>
      <w:r w:rsidRPr="008849C3">
        <w:rPr>
          <w:lang w:val="bg-BG"/>
        </w:rPr>
        <w:t>6 § 2</w:t>
      </w:r>
      <w:r w:rsidR="00E77CB3" w:rsidRPr="008849C3">
        <w:rPr>
          <w:lang w:val="bg-BG"/>
        </w:rPr>
        <w:t xml:space="preserve"> </w:t>
      </w:r>
      <w:r w:rsidR="00CD3B92" w:rsidRPr="008849C3">
        <w:rPr>
          <w:lang w:val="bg-BG"/>
        </w:rPr>
        <w:t>ОТ КОНВЕНЦИЯТА</w:t>
      </w:r>
    </w:p>
    <w:p w:rsidR="00471917"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77</w:t>
      </w:r>
      <w:r w:rsidRPr="008849C3">
        <w:rPr>
          <w:lang w:val="bg-BG"/>
        </w:rPr>
        <w:fldChar w:fldCharType="end"/>
      </w:r>
      <w:r w:rsidR="00E77CB3" w:rsidRPr="008849C3">
        <w:rPr>
          <w:lang w:val="bg-BG"/>
        </w:rPr>
        <w:t>.  </w:t>
      </w:r>
      <w:r w:rsidR="001637F0" w:rsidRPr="008849C3">
        <w:rPr>
          <w:lang w:val="bg-BG"/>
        </w:rPr>
        <w:t xml:space="preserve">Жалбоподателят твърди, че </w:t>
      </w:r>
      <w:r w:rsidR="00876266" w:rsidRPr="008849C3">
        <w:rPr>
          <w:lang w:val="bg-BG"/>
        </w:rPr>
        <w:t xml:space="preserve">с </w:t>
      </w:r>
      <w:r w:rsidR="001637F0" w:rsidRPr="008849C3">
        <w:rPr>
          <w:lang w:val="bg-BG"/>
        </w:rPr>
        <w:t>из</w:t>
      </w:r>
      <w:r w:rsidR="0061008A">
        <w:rPr>
          <w:lang w:val="bg-BG"/>
        </w:rPr>
        <w:t>явленията</w:t>
      </w:r>
      <w:r w:rsidR="00876266" w:rsidRPr="008849C3">
        <w:rPr>
          <w:lang w:val="bg-BG"/>
        </w:rPr>
        <w:t>,</w:t>
      </w:r>
      <w:r w:rsidR="001637F0" w:rsidRPr="008849C3">
        <w:rPr>
          <w:lang w:val="bg-BG"/>
        </w:rPr>
        <w:t xml:space="preserve"> </w:t>
      </w:r>
      <w:r w:rsidR="00876266" w:rsidRPr="008849C3">
        <w:rPr>
          <w:lang w:val="bg-BG"/>
        </w:rPr>
        <w:t xml:space="preserve">направени пред медиите по повод воденото срещу него наказателно производство, </w:t>
      </w:r>
      <w:r w:rsidR="001637F0" w:rsidRPr="008849C3">
        <w:rPr>
          <w:lang w:val="bg-BG"/>
        </w:rPr>
        <w:lastRenderedPageBreak/>
        <w:t>прокурор Р. В., министър-председателя</w:t>
      </w:r>
      <w:r w:rsidR="00876266" w:rsidRPr="008849C3">
        <w:rPr>
          <w:lang w:val="bg-BG"/>
        </w:rPr>
        <w:t>т</w:t>
      </w:r>
      <w:r w:rsidR="001637F0" w:rsidRPr="008849C3">
        <w:rPr>
          <w:lang w:val="bg-BG"/>
        </w:rPr>
        <w:t xml:space="preserve"> и </w:t>
      </w:r>
      <w:r w:rsidR="00876266" w:rsidRPr="008849C3">
        <w:rPr>
          <w:lang w:val="bg-BG"/>
        </w:rPr>
        <w:t xml:space="preserve">министърът на вътрешните работи са нарушили правото му </w:t>
      </w:r>
      <w:r w:rsidR="00F60269">
        <w:rPr>
          <w:lang w:val="bg-BG"/>
        </w:rPr>
        <w:t>на презумпцията за невиновност</w:t>
      </w:r>
      <w:r w:rsidR="00874D21" w:rsidRPr="008849C3">
        <w:rPr>
          <w:lang w:val="bg-BG"/>
        </w:rPr>
        <w:t xml:space="preserve">. Позовава се на </w:t>
      </w:r>
      <w:r w:rsidR="00CA7BA4">
        <w:rPr>
          <w:lang w:val="bg-BG"/>
        </w:rPr>
        <w:t>чл.</w:t>
      </w:r>
      <w:r w:rsidR="00C862FA" w:rsidRPr="008849C3">
        <w:rPr>
          <w:lang w:val="bg-BG"/>
        </w:rPr>
        <w:t xml:space="preserve"> 6 § 2 </w:t>
      </w:r>
      <w:r w:rsidR="00CD3B92" w:rsidRPr="008849C3">
        <w:rPr>
          <w:lang w:val="bg-BG"/>
        </w:rPr>
        <w:t>от Конвенцията</w:t>
      </w:r>
      <w:r w:rsidR="00C862FA" w:rsidRPr="008849C3">
        <w:rPr>
          <w:lang w:val="bg-BG"/>
        </w:rPr>
        <w:t xml:space="preserve">, </w:t>
      </w:r>
      <w:r w:rsidR="00874D21" w:rsidRPr="008849C3">
        <w:rPr>
          <w:lang w:val="bg-BG"/>
        </w:rPr>
        <w:t>който гласи следното</w:t>
      </w:r>
      <w:r w:rsidR="00C862FA" w:rsidRPr="008849C3">
        <w:rPr>
          <w:lang w:val="bg-BG"/>
        </w:rPr>
        <w:t>:</w:t>
      </w:r>
    </w:p>
    <w:p w:rsidR="00C862FA" w:rsidRPr="008849C3" w:rsidRDefault="00874D21" w:rsidP="006B0E9F">
      <w:pPr>
        <w:pStyle w:val="ECHRParaQuote"/>
        <w:rPr>
          <w:lang w:val="bg-BG"/>
        </w:rPr>
      </w:pPr>
      <w:r w:rsidRPr="008849C3">
        <w:rPr>
          <w:lang w:val="bg-BG"/>
        </w:rPr>
        <w:t>„</w:t>
      </w:r>
      <w:proofErr w:type="spellStart"/>
      <w:r w:rsidRPr="008849C3">
        <w:rPr>
          <w:lang w:val="bg-BG"/>
        </w:rPr>
        <w:t>Βсяко</w:t>
      </w:r>
      <w:proofErr w:type="spellEnd"/>
      <w:r w:rsidRPr="008849C3">
        <w:rPr>
          <w:lang w:val="bg-BG"/>
        </w:rPr>
        <w:t xml:space="preserve"> лице, обвинено в извършване на престъпление, се смята за невинно до доказване на вината му в съответствие със закона.“ </w:t>
      </w:r>
    </w:p>
    <w:p w:rsidR="006066EC" w:rsidRPr="008849C3" w:rsidRDefault="006066EC" w:rsidP="006B0E9F">
      <w:pPr>
        <w:pStyle w:val="ECHRHeading2"/>
        <w:rPr>
          <w:lang w:val="bg-BG"/>
        </w:rPr>
      </w:pPr>
      <w:r w:rsidRPr="008849C3">
        <w:rPr>
          <w:lang w:val="bg-BG"/>
        </w:rPr>
        <w:t>A.  </w:t>
      </w:r>
      <w:r w:rsidR="00F60269">
        <w:rPr>
          <w:lang w:val="bg-BG"/>
        </w:rPr>
        <w:t>Д</w:t>
      </w:r>
      <w:r w:rsidR="00874D21" w:rsidRPr="008849C3">
        <w:rPr>
          <w:lang w:val="bg-BG"/>
        </w:rPr>
        <w:t>опустимост</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78</w:t>
      </w:r>
      <w:r w:rsidRPr="008849C3">
        <w:rPr>
          <w:lang w:val="bg-BG"/>
        </w:rPr>
        <w:fldChar w:fldCharType="end"/>
      </w:r>
      <w:r w:rsidR="00E77CB3" w:rsidRPr="008849C3">
        <w:rPr>
          <w:lang w:val="bg-BG"/>
        </w:rPr>
        <w:t>.  </w:t>
      </w:r>
      <w:r w:rsidR="001D49E2" w:rsidRPr="008849C3">
        <w:rPr>
          <w:lang w:val="bg-BG"/>
        </w:rPr>
        <w:t xml:space="preserve">Правителството </w:t>
      </w:r>
      <w:r w:rsidR="00E26004">
        <w:rPr>
          <w:lang w:val="bg-BG"/>
        </w:rPr>
        <w:t>претендира за</w:t>
      </w:r>
      <w:r w:rsidR="001D49E2" w:rsidRPr="008849C3">
        <w:rPr>
          <w:lang w:val="bg-BG"/>
        </w:rPr>
        <w:t xml:space="preserve"> неизчерпването на вътрешноправните средства за защита. Обвинява жалбоподателя, че</w:t>
      </w:r>
      <w:r w:rsidR="00F60269">
        <w:rPr>
          <w:lang w:val="bg-BG"/>
        </w:rPr>
        <w:t xml:space="preserve"> </w:t>
      </w:r>
      <w:r w:rsidR="00F60269" w:rsidRPr="008849C3">
        <w:rPr>
          <w:lang w:val="bg-BG"/>
        </w:rPr>
        <w:t>след приключване на наказателното производство срещу него</w:t>
      </w:r>
      <w:r w:rsidR="00E26004">
        <w:rPr>
          <w:lang w:val="bg-BG"/>
        </w:rPr>
        <w:t xml:space="preserve"> не е </w:t>
      </w:r>
      <w:r w:rsidR="00F60269">
        <w:rPr>
          <w:lang w:val="bg-BG"/>
        </w:rPr>
        <w:t>предявил иск за</w:t>
      </w:r>
      <w:r w:rsidR="00E26004">
        <w:rPr>
          <w:lang w:val="bg-BG"/>
        </w:rPr>
        <w:t xml:space="preserve"> обезщетение</w:t>
      </w:r>
      <w:r w:rsidR="001D49E2" w:rsidRPr="008849C3">
        <w:rPr>
          <w:lang w:val="bg-BG"/>
        </w:rPr>
        <w:t xml:space="preserve"> </w:t>
      </w:r>
      <w:r w:rsidR="00E26004">
        <w:rPr>
          <w:lang w:val="bg-BG"/>
        </w:rPr>
        <w:t>по</w:t>
      </w:r>
      <w:r w:rsidR="001D49E2" w:rsidRPr="008849C3">
        <w:rPr>
          <w:lang w:val="bg-BG"/>
        </w:rPr>
        <w:t xml:space="preserve"> Закона за отговорността на държавата. </w:t>
      </w:r>
    </w:p>
    <w:p w:rsidR="00471917"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79</w:t>
      </w:r>
      <w:r w:rsidRPr="008849C3">
        <w:rPr>
          <w:lang w:val="bg-BG"/>
        </w:rPr>
        <w:fldChar w:fldCharType="end"/>
      </w:r>
      <w:r w:rsidR="00E77CB3" w:rsidRPr="008849C3">
        <w:rPr>
          <w:lang w:val="bg-BG"/>
        </w:rPr>
        <w:t>.  </w:t>
      </w:r>
      <w:r w:rsidR="001D49E2" w:rsidRPr="008849C3">
        <w:rPr>
          <w:lang w:val="bg-BG"/>
        </w:rPr>
        <w:t>Като се позовава на решението</w:t>
      </w:r>
      <w:r w:rsidR="00B66402" w:rsidRPr="008849C3">
        <w:rPr>
          <w:lang w:val="bg-BG"/>
        </w:rPr>
        <w:t xml:space="preserve"> </w:t>
      </w:r>
      <w:r w:rsidR="001D49E2" w:rsidRPr="008849C3">
        <w:rPr>
          <w:i/>
          <w:lang w:val="bg-BG"/>
        </w:rPr>
        <w:t>Гуцанови</w:t>
      </w:r>
      <w:r w:rsidR="00B66402" w:rsidRPr="008849C3">
        <w:rPr>
          <w:lang w:val="bg-BG"/>
        </w:rPr>
        <w:t xml:space="preserve"> </w:t>
      </w:r>
      <w:r w:rsidR="009A1D21" w:rsidRPr="008849C3">
        <w:rPr>
          <w:lang w:val="bg-BG"/>
        </w:rPr>
        <w:t>(</w:t>
      </w:r>
      <w:r w:rsidR="00E27D7E" w:rsidRPr="008849C3">
        <w:rPr>
          <w:lang w:val="bg-BG"/>
        </w:rPr>
        <w:t>цитирано по-горе</w:t>
      </w:r>
      <w:r w:rsidR="00B66402" w:rsidRPr="008849C3">
        <w:rPr>
          <w:lang w:val="bg-BG"/>
        </w:rPr>
        <w:t>, § 176</w:t>
      </w:r>
      <w:r w:rsidR="009A1D21" w:rsidRPr="008849C3">
        <w:rPr>
          <w:lang w:val="bg-BG"/>
        </w:rPr>
        <w:t>)</w:t>
      </w:r>
      <w:r w:rsidR="00B66402" w:rsidRPr="008849C3">
        <w:rPr>
          <w:lang w:val="bg-BG"/>
        </w:rPr>
        <w:t xml:space="preserve">, </w:t>
      </w:r>
      <w:r w:rsidR="001D49E2" w:rsidRPr="008849C3">
        <w:rPr>
          <w:lang w:val="bg-BG"/>
        </w:rPr>
        <w:t>жалбоподателят</w:t>
      </w:r>
      <w:r w:rsidR="009D105D" w:rsidRPr="008849C3">
        <w:rPr>
          <w:lang w:val="bg-BG"/>
        </w:rPr>
        <w:t xml:space="preserve"> отговаря, че въпросното вътрешноправно средство за защита нито е било достатъчно ефективно, нито е било налично по причина, че е могъл да се ползва с него едва след като наказателното производство срещу него е приключило с оправдаването му. </w:t>
      </w:r>
      <w:r w:rsidR="006066EC" w:rsidRPr="008849C3">
        <w:rPr>
          <w:lang w:val="bg-BG"/>
        </w:rPr>
        <w:t xml:space="preserve"> </w:t>
      </w:r>
    </w:p>
    <w:p w:rsidR="009D105D" w:rsidRPr="008849C3" w:rsidRDefault="00472D9E" w:rsidP="009D105D">
      <w:pPr>
        <w:pStyle w:val="ECHRPara"/>
        <w:rPr>
          <w:i/>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80</w:t>
      </w:r>
      <w:r w:rsidRPr="008849C3">
        <w:rPr>
          <w:lang w:val="bg-BG"/>
        </w:rPr>
        <w:fldChar w:fldCharType="end"/>
      </w:r>
      <w:r w:rsidR="00E77CB3" w:rsidRPr="008849C3">
        <w:rPr>
          <w:lang w:val="bg-BG"/>
        </w:rPr>
        <w:t>.  </w:t>
      </w:r>
      <w:r w:rsidR="00F60269">
        <w:rPr>
          <w:lang w:val="bg-BG"/>
        </w:rPr>
        <w:t xml:space="preserve">В самото начало </w:t>
      </w:r>
      <w:r w:rsidR="009D105D" w:rsidRPr="008849C3">
        <w:rPr>
          <w:lang w:val="bg-BG"/>
        </w:rPr>
        <w:t xml:space="preserve">Съдът припомня, че гаранцията, съдържаща се в </w:t>
      </w:r>
      <w:r w:rsidR="00CA7BA4">
        <w:rPr>
          <w:lang w:val="bg-BG"/>
        </w:rPr>
        <w:t>чл.</w:t>
      </w:r>
      <w:r w:rsidR="009D105D" w:rsidRPr="008849C3">
        <w:rPr>
          <w:lang w:val="bg-BG"/>
        </w:rPr>
        <w:t xml:space="preserve"> 6 § 2 от Конвенцията влиза в действие преди края на наказателното преследване, </w:t>
      </w:r>
      <w:r w:rsidR="00F60269">
        <w:rPr>
          <w:lang w:val="bg-BG"/>
        </w:rPr>
        <w:t>образувано</w:t>
      </w:r>
      <w:r w:rsidR="00F60269" w:rsidRPr="008849C3">
        <w:rPr>
          <w:lang w:val="bg-BG"/>
        </w:rPr>
        <w:t xml:space="preserve"> </w:t>
      </w:r>
      <w:r w:rsidR="009D105D" w:rsidRPr="008849C3">
        <w:rPr>
          <w:lang w:val="bg-BG"/>
        </w:rPr>
        <w:t xml:space="preserve">срещу </w:t>
      </w:r>
      <w:r w:rsidR="00F60269">
        <w:rPr>
          <w:lang w:val="bg-BG"/>
        </w:rPr>
        <w:t>жалбоподателя</w:t>
      </w:r>
      <w:r w:rsidR="009D105D" w:rsidRPr="008849C3">
        <w:rPr>
          <w:lang w:val="bg-BG"/>
        </w:rPr>
        <w:t xml:space="preserve"> </w:t>
      </w:r>
      <w:r w:rsidR="005C011A" w:rsidRPr="008849C3">
        <w:rPr>
          <w:lang w:val="bg-BG"/>
        </w:rPr>
        <w:t>(</w:t>
      </w:r>
      <w:proofErr w:type="spellStart"/>
      <w:r w:rsidR="009D105D" w:rsidRPr="008849C3">
        <w:rPr>
          <w:i/>
          <w:lang w:val="bg-BG"/>
        </w:rPr>
        <w:t>Алне</w:t>
      </w:r>
      <w:proofErr w:type="spellEnd"/>
      <w:r w:rsidR="009D105D" w:rsidRPr="008849C3">
        <w:rPr>
          <w:i/>
          <w:lang w:val="bg-BG"/>
        </w:rPr>
        <w:t xml:space="preserve"> дьо </w:t>
      </w:r>
      <w:proofErr w:type="spellStart"/>
      <w:r w:rsidR="009D105D" w:rsidRPr="008849C3">
        <w:rPr>
          <w:i/>
          <w:lang w:val="bg-BG"/>
        </w:rPr>
        <w:t>Рибмон</w:t>
      </w:r>
      <w:proofErr w:type="spellEnd"/>
      <w:r w:rsidR="009D105D" w:rsidRPr="008849C3">
        <w:rPr>
          <w:i/>
          <w:lang w:val="bg-BG"/>
        </w:rPr>
        <w:t xml:space="preserve"> срещу Франция (</w:t>
      </w:r>
      <w:proofErr w:type="spellStart"/>
      <w:r w:rsidR="005C011A" w:rsidRPr="008849C3">
        <w:rPr>
          <w:i/>
          <w:lang w:val="bg-BG"/>
        </w:rPr>
        <w:t>Allenet</w:t>
      </w:r>
      <w:proofErr w:type="spellEnd"/>
      <w:r w:rsidR="005C011A" w:rsidRPr="008849C3">
        <w:rPr>
          <w:i/>
          <w:lang w:val="bg-BG"/>
        </w:rPr>
        <w:t xml:space="preserve"> </w:t>
      </w:r>
      <w:proofErr w:type="spellStart"/>
      <w:r w:rsidR="005C011A" w:rsidRPr="008849C3">
        <w:rPr>
          <w:i/>
          <w:lang w:val="bg-BG"/>
        </w:rPr>
        <w:t>de</w:t>
      </w:r>
      <w:proofErr w:type="spellEnd"/>
      <w:r w:rsidR="005C011A" w:rsidRPr="008849C3">
        <w:rPr>
          <w:i/>
          <w:lang w:val="bg-BG"/>
        </w:rPr>
        <w:t xml:space="preserve"> </w:t>
      </w:r>
      <w:proofErr w:type="spellStart"/>
      <w:r w:rsidR="005C011A" w:rsidRPr="008849C3">
        <w:rPr>
          <w:i/>
          <w:lang w:val="bg-BG"/>
        </w:rPr>
        <w:t>Ribemont</w:t>
      </w:r>
      <w:proofErr w:type="spellEnd"/>
      <w:r w:rsidR="005C011A" w:rsidRPr="008849C3">
        <w:rPr>
          <w:i/>
          <w:lang w:val="bg-BG"/>
        </w:rPr>
        <w:t xml:space="preserve"> c. </w:t>
      </w:r>
      <w:proofErr w:type="spellStart"/>
      <w:r w:rsidR="005C011A" w:rsidRPr="008849C3">
        <w:rPr>
          <w:i/>
          <w:lang w:val="bg-BG"/>
        </w:rPr>
        <w:t>France</w:t>
      </w:r>
      <w:proofErr w:type="spellEnd"/>
      <w:r w:rsidR="009D105D" w:rsidRPr="008849C3">
        <w:rPr>
          <w:i/>
          <w:lang w:val="bg-BG"/>
        </w:rPr>
        <w:t>)</w:t>
      </w:r>
      <w:r w:rsidR="005C011A" w:rsidRPr="008849C3">
        <w:rPr>
          <w:lang w:val="bg-BG"/>
        </w:rPr>
        <w:t xml:space="preserve">, </w:t>
      </w:r>
      <w:r w:rsidR="009D105D" w:rsidRPr="008849C3">
        <w:rPr>
          <w:lang w:val="bg-BG"/>
        </w:rPr>
        <w:t xml:space="preserve">10 февруари 1995 г., §§ 32-37, серия A № 308 ; </w:t>
      </w:r>
      <w:proofErr w:type="spellStart"/>
      <w:r w:rsidR="009D105D" w:rsidRPr="008849C3">
        <w:rPr>
          <w:i/>
          <w:lang w:val="bg-BG"/>
        </w:rPr>
        <w:t>Констас</w:t>
      </w:r>
      <w:proofErr w:type="spellEnd"/>
      <w:r w:rsidR="009D105D" w:rsidRPr="008849C3">
        <w:rPr>
          <w:i/>
          <w:lang w:val="bg-BG"/>
        </w:rPr>
        <w:t xml:space="preserve"> срещу Гърция</w:t>
      </w:r>
      <w:r w:rsidR="009D105D" w:rsidRPr="008849C3">
        <w:rPr>
          <w:lang w:val="bg-BG"/>
        </w:rPr>
        <w:t xml:space="preserve"> (</w:t>
      </w:r>
      <w:proofErr w:type="spellStart"/>
      <w:r w:rsidR="009D105D" w:rsidRPr="008849C3">
        <w:rPr>
          <w:i/>
          <w:lang w:val="bg-BG"/>
        </w:rPr>
        <w:t>Konstas</w:t>
      </w:r>
      <w:proofErr w:type="spellEnd"/>
      <w:r w:rsidR="009D105D" w:rsidRPr="008849C3">
        <w:rPr>
          <w:i/>
          <w:lang w:val="bg-BG"/>
        </w:rPr>
        <w:t xml:space="preserve"> c. </w:t>
      </w:r>
      <w:proofErr w:type="spellStart"/>
      <w:r w:rsidR="009D105D" w:rsidRPr="008849C3">
        <w:rPr>
          <w:i/>
          <w:lang w:val="bg-BG"/>
        </w:rPr>
        <w:t>Grèce</w:t>
      </w:r>
      <w:proofErr w:type="spellEnd"/>
      <w:r w:rsidR="009D105D" w:rsidRPr="008849C3">
        <w:rPr>
          <w:i/>
          <w:lang w:val="bg-BG"/>
        </w:rPr>
        <w:t>)</w:t>
      </w:r>
      <w:r w:rsidR="009D105D" w:rsidRPr="008849C3">
        <w:rPr>
          <w:lang w:val="bg-BG"/>
        </w:rPr>
        <w:t xml:space="preserve">, № 53466/07, §§ 36 и 38, 24 май 2011 г.) и може да продължи и след края на наказателното производство в случаите на оправдателна присъда или прекратяване на </w:t>
      </w:r>
      <w:r w:rsidR="000966D7">
        <w:rPr>
          <w:lang w:val="bg-BG"/>
        </w:rPr>
        <w:t>наказателно</w:t>
      </w:r>
      <w:r w:rsidR="00F60269">
        <w:rPr>
          <w:lang w:val="bg-BG"/>
        </w:rPr>
        <w:t xml:space="preserve"> производство</w:t>
      </w:r>
      <w:r w:rsidR="009D105D" w:rsidRPr="008849C3">
        <w:rPr>
          <w:lang w:val="bg-BG"/>
        </w:rPr>
        <w:t xml:space="preserve"> (</w:t>
      </w:r>
      <w:proofErr w:type="spellStart"/>
      <w:r w:rsidR="009D105D" w:rsidRPr="008849C3">
        <w:rPr>
          <w:i/>
          <w:lang w:val="bg-BG"/>
        </w:rPr>
        <w:t>Алне</w:t>
      </w:r>
      <w:proofErr w:type="spellEnd"/>
      <w:r w:rsidR="009D105D" w:rsidRPr="008849C3">
        <w:rPr>
          <w:i/>
          <w:lang w:val="bg-BG"/>
        </w:rPr>
        <w:t xml:space="preserve"> дьо </w:t>
      </w:r>
      <w:proofErr w:type="spellStart"/>
      <w:r w:rsidR="009D105D" w:rsidRPr="008849C3">
        <w:rPr>
          <w:i/>
          <w:lang w:val="bg-BG"/>
        </w:rPr>
        <w:t>Рибмон</w:t>
      </w:r>
      <w:proofErr w:type="spellEnd"/>
      <w:r w:rsidR="009D105D" w:rsidRPr="008849C3">
        <w:rPr>
          <w:lang w:val="bg-BG"/>
        </w:rPr>
        <w:t>, цитирано по-горе, § 35).</w:t>
      </w:r>
    </w:p>
    <w:p w:rsidR="00E77CB3" w:rsidRPr="008849C3" w:rsidRDefault="009C0A35"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81</w:t>
      </w:r>
      <w:r w:rsidRPr="008849C3">
        <w:rPr>
          <w:lang w:val="bg-BG"/>
        </w:rPr>
        <w:fldChar w:fldCharType="end"/>
      </w:r>
      <w:r w:rsidRPr="008849C3">
        <w:rPr>
          <w:lang w:val="bg-BG"/>
        </w:rPr>
        <w:t>.  </w:t>
      </w:r>
      <w:r w:rsidR="009D105D" w:rsidRPr="008849C3">
        <w:rPr>
          <w:lang w:val="bg-BG"/>
        </w:rPr>
        <w:t xml:space="preserve">Съдът вече е имал възможността да се произнесе относно същото възражение за недопустимост, направено от Правителството в рамките на подобно дело срещу България. В действителност, в скорошното си решение </w:t>
      </w:r>
      <w:r w:rsidR="009D105D" w:rsidRPr="008849C3">
        <w:rPr>
          <w:i/>
          <w:lang w:val="bg-BG"/>
        </w:rPr>
        <w:t>Гуцанови</w:t>
      </w:r>
      <w:r w:rsidR="00AA49FE" w:rsidRPr="008849C3">
        <w:rPr>
          <w:lang w:val="bg-BG"/>
        </w:rPr>
        <w:t xml:space="preserve"> (</w:t>
      </w:r>
      <w:r w:rsidR="00E27D7E" w:rsidRPr="008849C3">
        <w:rPr>
          <w:lang w:val="bg-BG"/>
        </w:rPr>
        <w:t>цитирано по-горе</w:t>
      </w:r>
      <w:r w:rsidR="00AA49FE" w:rsidRPr="008849C3">
        <w:rPr>
          <w:lang w:val="bg-BG"/>
        </w:rPr>
        <w:t xml:space="preserve">, §§ 172-176), </w:t>
      </w:r>
      <w:r w:rsidR="009D105D" w:rsidRPr="008849C3">
        <w:rPr>
          <w:lang w:val="bg-BG"/>
        </w:rPr>
        <w:t>той отхвърли това възражение за недопустимост, повдигнато от Правителството.</w:t>
      </w:r>
      <w:r w:rsidR="006F4B3F" w:rsidRPr="008849C3">
        <w:rPr>
          <w:lang w:val="bg-BG"/>
        </w:rPr>
        <w:t xml:space="preserve"> По-конкретно Съдът отчете, че жалбоподателят не е бил длъжен да изчака края на наказателното </w:t>
      </w:r>
      <w:r w:rsidR="00F60269">
        <w:rPr>
          <w:lang w:val="bg-BG"/>
        </w:rPr>
        <w:t>производство</w:t>
      </w:r>
      <w:r w:rsidR="00F60269" w:rsidRPr="008849C3">
        <w:rPr>
          <w:lang w:val="bg-BG"/>
        </w:rPr>
        <w:t xml:space="preserve"> </w:t>
      </w:r>
      <w:r w:rsidR="006F4B3F" w:rsidRPr="008849C3">
        <w:rPr>
          <w:lang w:val="bg-BG"/>
        </w:rPr>
        <w:t>срещу него, за да потърси защита срещу из</w:t>
      </w:r>
      <w:r w:rsidR="00F60269">
        <w:rPr>
          <w:lang w:val="bg-BG"/>
        </w:rPr>
        <w:t>явленията</w:t>
      </w:r>
      <w:r w:rsidR="006F4B3F" w:rsidRPr="008849C3">
        <w:rPr>
          <w:lang w:val="bg-BG"/>
        </w:rPr>
        <w:t xml:space="preserve"> на</w:t>
      </w:r>
      <w:r w:rsidR="009D105D" w:rsidRPr="008849C3">
        <w:rPr>
          <w:lang w:val="bg-BG"/>
        </w:rPr>
        <w:t xml:space="preserve"> </w:t>
      </w:r>
      <w:r w:rsidR="006F4B3F" w:rsidRPr="008849C3">
        <w:rPr>
          <w:lang w:val="bg-BG"/>
        </w:rPr>
        <w:t xml:space="preserve">високопоставен политик, оспорващ презумпцията му за </w:t>
      </w:r>
      <w:proofErr w:type="spellStart"/>
      <w:r w:rsidR="006F4B3F" w:rsidRPr="008849C3">
        <w:rPr>
          <w:lang w:val="bg-BG"/>
        </w:rPr>
        <w:t>невиновност</w:t>
      </w:r>
      <w:proofErr w:type="spellEnd"/>
      <w:r w:rsidR="006F4B3F" w:rsidRPr="008849C3">
        <w:rPr>
          <w:lang w:val="bg-BG"/>
        </w:rPr>
        <w:t xml:space="preserve"> </w:t>
      </w:r>
      <w:r w:rsidR="00AA49FE" w:rsidRPr="008849C3">
        <w:rPr>
          <w:lang w:val="bg-BG"/>
        </w:rPr>
        <w:t>(</w:t>
      </w:r>
      <w:proofErr w:type="spellStart"/>
      <w:r w:rsidR="00AA49FE" w:rsidRPr="008849C3">
        <w:rPr>
          <w:i/>
          <w:lang w:val="bg-BG"/>
        </w:rPr>
        <w:t>ibidem</w:t>
      </w:r>
      <w:proofErr w:type="spellEnd"/>
      <w:r w:rsidR="00AA49FE" w:rsidRPr="008849C3">
        <w:rPr>
          <w:lang w:val="bg-BG"/>
        </w:rPr>
        <w:t xml:space="preserve">, § 176). </w:t>
      </w:r>
      <w:r w:rsidR="006F4B3F" w:rsidRPr="008849C3">
        <w:rPr>
          <w:lang w:val="bg-BG"/>
        </w:rPr>
        <w:t xml:space="preserve">Съдът счита, че същите предпоставки следва да бъдат приложени и в настоящия случай. Следователно </w:t>
      </w:r>
      <w:r w:rsidR="004F4886" w:rsidRPr="008849C3">
        <w:rPr>
          <w:lang w:val="bg-BG"/>
        </w:rPr>
        <w:t xml:space="preserve">налице е основание възражението за недопустимост на Правителството да бъде отхвърлено. </w:t>
      </w:r>
      <w:r w:rsidR="00AA49FE" w:rsidRPr="008849C3">
        <w:rPr>
          <w:lang w:val="bg-BG"/>
        </w:rPr>
        <w:t xml:space="preserve"> </w:t>
      </w:r>
    </w:p>
    <w:p w:rsidR="00792D57" w:rsidRPr="008849C3" w:rsidRDefault="00792D5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82</w:t>
      </w:r>
      <w:r w:rsidRPr="008849C3">
        <w:rPr>
          <w:lang w:val="bg-BG"/>
        </w:rPr>
        <w:fldChar w:fldCharType="end"/>
      </w:r>
      <w:r w:rsidRPr="008849C3">
        <w:rPr>
          <w:lang w:val="bg-BG"/>
        </w:rPr>
        <w:t>.  </w:t>
      </w:r>
      <w:r w:rsidR="004F4886" w:rsidRPr="008849C3">
        <w:rPr>
          <w:lang w:val="bg-BG"/>
        </w:rPr>
        <w:t xml:space="preserve">Като констатира </w:t>
      </w:r>
      <w:r w:rsidR="00F60269">
        <w:rPr>
          <w:lang w:val="bg-BG"/>
        </w:rPr>
        <w:t>още</w:t>
      </w:r>
      <w:r w:rsidR="004F4886" w:rsidRPr="008849C3">
        <w:rPr>
          <w:lang w:val="bg-BG"/>
        </w:rPr>
        <w:t xml:space="preserve">, че това оплакване на жалбоподателя не е явно необосновано </w:t>
      </w:r>
      <w:r w:rsidR="00F60269">
        <w:rPr>
          <w:lang w:val="bg-BG"/>
        </w:rPr>
        <w:t>по</w:t>
      </w:r>
      <w:r w:rsidR="004F4886" w:rsidRPr="008849C3">
        <w:rPr>
          <w:lang w:val="bg-BG"/>
        </w:rPr>
        <w:t xml:space="preserve"> </w:t>
      </w:r>
      <w:r w:rsidR="00CA7BA4">
        <w:rPr>
          <w:lang w:val="bg-BG"/>
        </w:rPr>
        <w:t>чл.</w:t>
      </w:r>
      <w:r w:rsidR="004F4886" w:rsidRPr="008849C3">
        <w:rPr>
          <w:lang w:val="bg-BG"/>
        </w:rPr>
        <w:t xml:space="preserve">  35 § 3 a) от Конвенцията и че </w:t>
      </w:r>
      <w:r w:rsidR="008A7C01" w:rsidRPr="008849C3">
        <w:rPr>
          <w:lang w:val="bg-BG"/>
        </w:rPr>
        <w:t xml:space="preserve">заедно с това не </w:t>
      </w:r>
      <w:r w:rsidR="008A7C01">
        <w:rPr>
          <w:lang w:val="bg-BG"/>
        </w:rPr>
        <w:t>се среща никакво друго основание за недопустимост</w:t>
      </w:r>
      <w:r w:rsidR="004F4886" w:rsidRPr="008849C3">
        <w:rPr>
          <w:lang w:val="bg-BG"/>
        </w:rPr>
        <w:t xml:space="preserve">, Съдът го обявява за допустимо. </w:t>
      </w:r>
    </w:p>
    <w:p w:rsidR="0059381C" w:rsidRPr="008849C3" w:rsidRDefault="001B5F59" w:rsidP="006B0E9F">
      <w:pPr>
        <w:pStyle w:val="ECHRHeading2"/>
        <w:rPr>
          <w:lang w:val="bg-BG"/>
        </w:rPr>
      </w:pPr>
      <w:r>
        <w:rPr>
          <w:lang w:val="bg-BG"/>
        </w:rPr>
        <w:lastRenderedPageBreak/>
        <w:t>Б</w:t>
      </w:r>
      <w:r w:rsidR="004878B2" w:rsidRPr="008849C3">
        <w:rPr>
          <w:lang w:val="bg-BG"/>
        </w:rPr>
        <w:t>.  </w:t>
      </w:r>
      <w:r w:rsidR="00101C88" w:rsidRPr="008849C3">
        <w:rPr>
          <w:lang w:val="bg-BG"/>
        </w:rPr>
        <w:t>По същество</w:t>
      </w:r>
    </w:p>
    <w:p w:rsidR="007B1863" w:rsidRPr="008849C3" w:rsidRDefault="007B186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83</w:t>
      </w:r>
      <w:r w:rsidRPr="008849C3">
        <w:rPr>
          <w:lang w:val="bg-BG"/>
        </w:rPr>
        <w:fldChar w:fldCharType="end"/>
      </w:r>
      <w:r w:rsidRPr="008849C3">
        <w:rPr>
          <w:lang w:val="bg-BG"/>
        </w:rPr>
        <w:t>.  </w:t>
      </w:r>
      <w:r w:rsidR="00896A4D" w:rsidRPr="008849C3">
        <w:rPr>
          <w:lang w:val="bg-BG"/>
        </w:rPr>
        <w:t>Жалбоподателят твърди, че с из</w:t>
      </w:r>
      <w:r w:rsidR="008A7C01">
        <w:rPr>
          <w:lang w:val="bg-BG"/>
        </w:rPr>
        <w:t>явленията</w:t>
      </w:r>
      <w:r w:rsidR="00896A4D" w:rsidRPr="008849C3">
        <w:rPr>
          <w:lang w:val="bg-BG"/>
        </w:rPr>
        <w:t xml:space="preserve"> си двама високопоставени политици, а именно министърът на вътрешните работи и министър-председателят, както и прокурор Р. В., са нарушили правото му </w:t>
      </w:r>
      <w:r w:rsidR="008A7C01">
        <w:rPr>
          <w:lang w:val="bg-BG"/>
        </w:rPr>
        <w:t>презумпция за невиновност</w:t>
      </w:r>
      <w:r w:rsidR="00896A4D" w:rsidRPr="008849C3">
        <w:rPr>
          <w:lang w:val="bg-BG"/>
        </w:rPr>
        <w:t xml:space="preserve">. </w:t>
      </w:r>
    </w:p>
    <w:p w:rsidR="00471917" w:rsidRPr="008849C3" w:rsidRDefault="006A11B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84</w:t>
      </w:r>
      <w:r w:rsidRPr="008849C3">
        <w:rPr>
          <w:lang w:val="bg-BG"/>
        </w:rPr>
        <w:fldChar w:fldCharType="end"/>
      </w:r>
      <w:r w:rsidRPr="008849C3">
        <w:rPr>
          <w:lang w:val="bg-BG"/>
        </w:rPr>
        <w:t>.  </w:t>
      </w:r>
      <w:r w:rsidR="008A7C01">
        <w:rPr>
          <w:lang w:val="bg-BG"/>
        </w:rPr>
        <w:t>В</w:t>
      </w:r>
      <w:r w:rsidR="008A7C01" w:rsidRPr="008849C3">
        <w:rPr>
          <w:lang w:val="bg-BG"/>
        </w:rPr>
        <w:t xml:space="preserve"> тази връзка </w:t>
      </w:r>
      <w:r w:rsidR="00896A4D" w:rsidRPr="008849C3">
        <w:rPr>
          <w:lang w:val="bg-BG"/>
        </w:rPr>
        <w:t>Правителството</w:t>
      </w:r>
      <w:r w:rsidRPr="008849C3">
        <w:rPr>
          <w:lang w:val="bg-BG"/>
        </w:rPr>
        <w:t xml:space="preserve"> </w:t>
      </w:r>
      <w:r w:rsidR="00896A4D" w:rsidRPr="008849C3">
        <w:rPr>
          <w:lang w:val="bg-BG"/>
        </w:rPr>
        <w:t xml:space="preserve">иска от Съда да отхвърли това оплакване, без да изрази становище по същество </w:t>
      </w:r>
      <w:r w:rsidR="008A7C01">
        <w:rPr>
          <w:lang w:val="bg-BG"/>
        </w:rPr>
        <w:t>в това отношение</w:t>
      </w:r>
      <w:r w:rsidR="00896A4D" w:rsidRPr="008849C3">
        <w:rPr>
          <w:lang w:val="bg-BG"/>
        </w:rPr>
        <w:t xml:space="preserve">. </w:t>
      </w:r>
    </w:p>
    <w:p w:rsidR="009A2C2C" w:rsidRPr="008849C3" w:rsidRDefault="009A2C2C"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85</w:t>
      </w:r>
      <w:r w:rsidRPr="008849C3">
        <w:rPr>
          <w:lang w:val="bg-BG"/>
        </w:rPr>
        <w:fldChar w:fldCharType="end"/>
      </w:r>
      <w:r w:rsidR="001F3592" w:rsidRPr="008849C3">
        <w:rPr>
          <w:lang w:val="bg-BG"/>
        </w:rPr>
        <w:t xml:space="preserve">. Съдът </w:t>
      </w:r>
      <w:r w:rsidR="008A7C01">
        <w:rPr>
          <w:lang w:val="bg-BG"/>
        </w:rPr>
        <w:t>отбелязва</w:t>
      </w:r>
      <w:r w:rsidR="001F3592" w:rsidRPr="008849C3">
        <w:rPr>
          <w:lang w:val="bg-BG"/>
        </w:rPr>
        <w:t xml:space="preserve">, че ако принципът на презумпцията за невиновност, разглеждана от параграф 2 на </w:t>
      </w:r>
      <w:r w:rsidR="00CA7BA4">
        <w:rPr>
          <w:lang w:val="bg-BG"/>
        </w:rPr>
        <w:t>чл.</w:t>
      </w:r>
      <w:r w:rsidR="001F3592" w:rsidRPr="008849C3">
        <w:rPr>
          <w:lang w:val="bg-BG"/>
        </w:rPr>
        <w:t xml:space="preserve"> 6 присъства сред елементите на справедливия наказателен процес, изискван </w:t>
      </w:r>
      <w:r w:rsidR="008A7C01">
        <w:rPr>
          <w:lang w:val="bg-BG"/>
        </w:rPr>
        <w:t>по</w:t>
      </w:r>
      <w:r w:rsidR="001F3592" w:rsidRPr="008849C3">
        <w:rPr>
          <w:lang w:val="bg-BG"/>
        </w:rPr>
        <w:t xml:space="preserve"> </w:t>
      </w:r>
      <w:r w:rsidR="00CA7BA4">
        <w:rPr>
          <w:lang w:val="bg-BG"/>
        </w:rPr>
        <w:t>чл.</w:t>
      </w:r>
      <w:r w:rsidR="001F3592" w:rsidRPr="008849C3">
        <w:rPr>
          <w:lang w:val="bg-BG"/>
        </w:rPr>
        <w:t xml:space="preserve">  6 § 1, то той не се ограничава до проста процедурна гаранция в наказателните дела: неговият обхват е по-обширен и изисква никой представител на държавата да не заявява, че дадено лице е виновно за престъпление преди вината му да е била установена в съда (в</w:t>
      </w:r>
      <w:r w:rsidR="008A7C01">
        <w:rPr>
          <w:lang w:val="bg-BG"/>
        </w:rPr>
        <w:t>ж.</w:t>
      </w:r>
      <w:r w:rsidR="001F3592" w:rsidRPr="008849C3">
        <w:rPr>
          <w:lang w:val="bg-BG"/>
        </w:rPr>
        <w:t xml:space="preserve"> </w:t>
      </w:r>
      <w:proofErr w:type="spellStart"/>
      <w:r w:rsidR="001F3592" w:rsidRPr="008849C3">
        <w:rPr>
          <w:i/>
          <w:lang w:val="bg-BG"/>
        </w:rPr>
        <w:t>Алне</w:t>
      </w:r>
      <w:proofErr w:type="spellEnd"/>
      <w:r w:rsidR="001F3592" w:rsidRPr="008849C3">
        <w:rPr>
          <w:i/>
          <w:lang w:val="bg-BG"/>
        </w:rPr>
        <w:t xml:space="preserve"> дьо </w:t>
      </w:r>
      <w:proofErr w:type="spellStart"/>
      <w:r w:rsidR="001F3592" w:rsidRPr="008849C3">
        <w:rPr>
          <w:i/>
          <w:lang w:val="bg-BG"/>
        </w:rPr>
        <w:t>Рибмон</w:t>
      </w:r>
      <w:proofErr w:type="spellEnd"/>
      <w:r w:rsidR="001F3592" w:rsidRPr="008849C3">
        <w:rPr>
          <w:lang w:val="bg-BG"/>
        </w:rPr>
        <w:t xml:space="preserve">, цитирано по-горе, параграфи 35-36 ; </w:t>
      </w:r>
      <w:proofErr w:type="spellStart"/>
      <w:r w:rsidR="001F3592" w:rsidRPr="008849C3">
        <w:rPr>
          <w:i/>
          <w:lang w:val="bg-BG"/>
        </w:rPr>
        <w:t>Виорел</w:t>
      </w:r>
      <w:proofErr w:type="spellEnd"/>
      <w:r w:rsidR="001F3592" w:rsidRPr="008849C3">
        <w:rPr>
          <w:i/>
          <w:lang w:val="bg-BG"/>
        </w:rPr>
        <w:t xml:space="preserve"> </w:t>
      </w:r>
      <w:proofErr w:type="spellStart"/>
      <w:r w:rsidR="001F3592" w:rsidRPr="008849C3">
        <w:rPr>
          <w:i/>
          <w:lang w:val="bg-BG"/>
        </w:rPr>
        <w:t>Бурзо</w:t>
      </w:r>
      <w:proofErr w:type="spellEnd"/>
      <w:r w:rsidR="001F3592" w:rsidRPr="008849C3">
        <w:rPr>
          <w:i/>
          <w:lang w:val="bg-BG"/>
        </w:rPr>
        <w:t xml:space="preserve"> срещу Румъния</w:t>
      </w:r>
      <w:r w:rsidR="001F3592" w:rsidRPr="008849C3">
        <w:rPr>
          <w:lang w:val="bg-BG"/>
        </w:rPr>
        <w:t xml:space="preserve"> (</w:t>
      </w:r>
      <w:proofErr w:type="spellStart"/>
      <w:r w:rsidR="001F3592" w:rsidRPr="008849C3">
        <w:rPr>
          <w:i/>
          <w:lang w:val="bg-BG"/>
        </w:rPr>
        <w:t>Viorel</w:t>
      </w:r>
      <w:proofErr w:type="spellEnd"/>
      <w:r w:rsidR="001F3592" w:rsidRPr="008849C3">
        <w:rPr>
          <w:i/>
          <w:lang w:val="bg-BG"/>
        </w:rPr>
        <w:t xml:space="preserve"> </w:t>
      </w:r>
      <w:proofErr w:type="spellStart"/>
      <w:r w:rsidR="001F3592" w:rsidRPr="008849C3">
        <w:rPr>
          <w:i/>
          <w:lang w:val="bg-BG"/>
        </w:rPr>
        <w:t>Burzo</w:t>
      </w:r>
      <w:proofErr w:type="spellEnd"/>
      <w:r w:rsidR="001F3592" w:rsidRPr="008849C3">
        <w:rPr>
          <w:i/>
          <w:lang w:val="bg-BG"/>
        </w:rPr>
        <w:t xml:space="preserve"> c. </w:t>
      </w:r>
      <w:proofErr w:type="spellStart"/>
      <w:r w:rsidR="001F3592" w:rsidRPr="008849C3">
        <w:rPr>
          <w:i/>
          <w:lang w:val="bg-BG"/>
        </w:rPr>
        <w:t>Roumanie</w:t>
      </w:r>
      <w:proofErr w:type="spellEnd"/>
      <w:r w:rsidR="001F3592" w:rsidRPr="008849C3">
        <w:rPr>
          <w:i/>
          <w:lang w:val="bg-BG"/>
        </w:rPr>
        <w:t>)</w:t>
      </w:r>
      <w:r w:rsidR="001F3592" w:rsidRPr="008849C3">
        <w:rPr>
          <w:lang w:val="bg-BG"/>
        </w:rPr>
        <w:t>, № 75109/01 и № 12639/02</w:t>
      </w:r>
      <w:r w:rsidR="001F3592" w:rsidRPr="008849C3">
        <w:rPr>
          <w:snapToGrid w:val="0"/>
          <w:lang w:val="bg-BG"/>
        </w:rPr>
        <w:t xml:space="preserve">, § 156, 30 </w:t>
      </w:r>
      <w:r w:rsidR="001F3592" w:rsidRPr="008849C3">
        <w:rPr>
          <w:lang w:val="bg-BG"/>
        </w:rPr>
        <w:t>юни</w:t>
      </w:r>
      <w:r w:rsidR="001F3592" w:rsidRPr="008849C3">
        <w:rPr>
          <w:snapToGrid w:val="0"/>
          <w:lang w:val="bg-BG"/>
        </w:rPr>
        <w:t xml:space="preserve"> 2009 г.; </w:t>
      </w:r>
      <w:proofErr w:type="spellStart"/>
      <w:r w:rsidR="001F3592" w:rsidRPr="008849C3">
        <w:rPr>
          <w:i/>
          <w:snapToGrid w:val="0"/>
          <w:lang w:val="bg-BG"/>
        </w:rPr>
        <w:t>Лисасо</w:t>
      </w:r>
      <w:proofErr w:type="spellEnd"/>
      <w:r w:rsidR="001F3592" w:rsidRPr="008849C3">
        <w:rPr>
          <w:i/>
          <w:snapToGrid w:val="0"/>
          <w:lang w:val="bg-BG"/>
        </w:rPr>
        <w:t xml:space="preserve"> </w:t>
      </w:r>
      <w:proofErr w:type="spellStart"/>
      <w:r w:rsidR="001F3592" w:rsidRPr="008849C3">
        <w:rPr>
          <w:i/>
          <w:snapToGrid w:val="0"/>
          <w:lang w:val="bg-BG"/>
        </w:rPr>
        <w:t>Асконобиета</w:t>
      </w:r>
      <w:proofErr w:type="spellEnd"/>
      <w:r w:rsidR="001F3592" w:rsidRPr="008849C3">
        <w:rPr>
          <w:i/>
          <w:snapToGrid w:val="0"/>
          <w:lang w:val="bg-BG"/>
        </w:rPr>
        <w:t xml:space="preserve"> срещу Испания</w:t>
      </w:r>
      <w:r w:rsidR="001F3592" w:rsidRPr="008849C3">
        <w:rPr>
          <w:snapToGrid w:val="0"/>
          <w:lang w:val="bg-BG"/>
        </w:rPr>
        <w:t xml:space="preserve"> </w:t>
      </w:r>
      <w:r w:rsidR="001F3592" w:rsidRPr="008849C3">
        <w:rPr>
          <w:i/>
          <w:lang w:val="bg-BG"/>
        </w:rPr>
        <w:t>(</w:t>
      </w:r>
      <w:proofErr w:type="spellStart"/>
      <w:r w:rsidR="001F3592" w:rsidRPr="008849C3">
        <w:rPr>
          <w:i/>
          <w:lang w:val="bg-BG"/>
        </w:rPr>
        <w:t>Lizaso</w:t>
      </w:r>
      <w:proofErr w:type="spellEnd"/>
      <w:r w:rsidR="001F3592" w:rsidRPr="008849C3">
        <w:rPr>
          <w:i/>
          <w:lang w:val="bg-BG"/>
        </w:rPr>
        <w:t xml:space="preserve"> </w:t>
      </w:r>
      <w:proofErr w:type="spellStart"/>
      <w:r w:rsidR="001F3592" w:rsidRPr="008849C3">
        <w:rPr>
          <w:i/>
          <w:lang w:val="bg-BG"/>
        </w:rPr>
        <w:t>Azconobieta</w:t>
      </w:r>
      <w:proofErr w:type="spellEnd"/>
      <w:r w:rsidR="001F3592" w:rsidRPr="008849C3">
        <w:rPr>
          <w:i/>
          <w:lang w:val="bg-BG"/>
        </w:rPr>
        <w:t xml:space="preserve"> c. </w:t>
      </w:r>
      <w:proofErr w:type="spellStart"/>
      <w:r w:rsidR="001F3592" w:rsidRPr="008849C3">
        <w:rPr>
          <w:i/>
          <w:lang w:val="bg-BG"/>
        </w:rPr>
        <w:t>Espagne</w:t>
      </w:r>
      <w:proofErr w:type="spellEnd"/>
      <w:r w:rsidR="001F3592" w:rsidRPr="008849C3">
        <w:rPr>
          <w:i/>
          <w:lang w:val="bg-BG"/>
        </w:rPr>
        <w:t>)</w:t>
      </w:r>
      <w:r w:rsidR="001F3592" w:rsidRPr="008849C3">
        <w:rPr>
          <w:lang w:val="bg-BG"/>
        </w:rPr>
        <w:t>, № 28834/08</w:t>
      </w:r>
      <w:r w:rsidR="001F3592" w:rsidRPr="008849C3">
        <w:rPr>
          <w:snapToGrid w:val="0"/>
          <w:szCs w:val="24"/>
          <w:lang w:val="bg-BG"/>
        </w:rPr>
        <w:t xml:space="preserve">, § 37, 28 </w:t>
      </w:r>
      <w:r w:rsidR="001F3592" w:rsidRPr="008849C3">
        <w:rPr>
          <w:szCs w:val="24"/>
          <w:lang w:val="bg-BG"/>
        </w:rPr>
        <w:t>юни</w:t>
      </w:r>
      <w:r w:rsidR="001F3592" w:rsidRPr="008849C3">
        <w:rPr>
          <w:snapToGrid w:val="0"/>
          <w:szCs w:val="24"/>
          <w:lang w:val="bg-BG"/>
        </w:rPr>
        <w:t xml:space="preserve"> 2011 г.</w:t>
      </w:r>
      <w:r w:rsidR="001F3592" w:rsidRPr="008849C3">
        <w:rPr>
          <w:lang w:val="bg-BG"/>
        </w:rPr>
        <w:t xml:space="preserve">). Нарушаването на презумпцията за невиновност може да стане не само от съдия, но също и от други </w:t>
      </w:r>
      <w:r w:rsidR="008A7C01">
        <w:rPr>
          <w:lang w:val="bg-BG"/>
        </w:rPr>
        <w:t>държавни</w:t>
      </w:r>
      <w:r w:rsidR="008A7C01" w:rsidRPr="008849C3">
        <w:rPr>
          <w:lang w:val="bg-BG"/>
        </w:rPr>
        <w:t xml:space="preserve"> </w:t>
      </w:r>
      <w:r w:rsidR="001F3592" w:rsidRPr="008849C3">
        <w:rPr>
          <w:lang w:val="bg-BG"/>
        </w:rPr>
        <w:t>органи: председател на парламента (</w:t>
      </w:r>
      <w:proofErr w:type="spellStart"/>
      <w:r w:rsidR="001F3592" w:rsidRPr="008849C3">
        <w:rPr>
          <w:i/>
          <w:lang w:val="bg-BG"/>
        </w:rPr>
        <w:t>Буткевичус</w:t>
      </w:r>
      <w:proofErr w:type="spellEnd"/>
      <w:r w:rsidR="001F3592" w:rsidRPr="008849C3">
        <w:rPr>
          <w:i/>
          <w:lang w:val="bg-BG"/>
        </w:rPr>
        <w:t xml:space="preserve"> срещу Литва</w:t>
      </w:r>
      <w:r w:rsidR="001F3592" w:rsidRPr="008849C3">
        <w:rPr>
          <w:lang w:val="bg-BG"/>
        </w:rPr>
        <w:t xml:space="preserve"> (</w:t>
      </w:r>
      <w:proofErr w:type="spellStart"/>
      <w:r w:rsidR="001F3592" w:rsidRPr="008849C3">
        <w:rPr>
          <w:i/>
          <w:iCs/>
          <w:lang w:val="bg-BG"/>
        </w:rPr>
        <w:t>Butkevičius</w:t>
      </w:r>
      <w:proofErr w:type="spellEnd"/>
      <w:r w:rsidR="001F3592" w:rsidRPr="008849C3">
        <w:rPr>
          <w:i/>
          <w:iCs/>
          <w:lang w:val="bg-BG"/>
        </w:rPr>
        <w:t xml:space="preserve"> c. </w:t>
      </w:r>
      <w:proofErr w:type="spellStart"/>
      <w:r w:rsidR="001F3592" w:rsidRPr="008849C3">
        <w:rPr>
          <w:i/>
          <w:iCs/>
          <w:lang w:val="bg-BG"/>
        </w:rPr>
        <w:t>Lituanie</w:t>
      </w:r>
      <w:proofErr w:type="spellEnd"/>
      <w:r w:rsidR="001F3592" w:rsidRPr="008849C3">
        <w:rPr>
          <w:i/>
          <w:iCs/>
          <w:lang w:val="bg-BG"/>
        </w:rPr>
        <w:t>)</w:t>
      </w:r>
      <w:r w:rsidR="001F3592" w:rsidRPr="008849C3">
        <w:rPr>
          <w:lang w:val="bg-BG"/>
        </w:rPr>
        <w:t>, № 48297/99, параграфи 50 и 53, ЕСПЧ 2002</w:t>
      </w:r>
      <w:r w:rsidR="001F3592" w:rsidRPr="008849C3">
        <w:rPr>
          <w:lang w:val="bg-BG"/>
        </w:rPr>
        <w:noBreakHyphen/>
        <w:t>II), прокурор (</w:t>
      </w:r>
      <w:proofErr w:type="spellStart"/>
      <w:r w:rsidR="001F3592" w:rsidRPr="008849C3">
        <w:rPr>
          <w:i/>
          <w:lang w:val="bg-BG"/>
        </w:rPr>
        <w:t>Дактарас</w:t>
      </w:r>
      <w:proofErr w:type="spellEnd"/>
      <w:r w:rsidR="001F3592" w:rsidRPr="008849C3">
        <w:rPr>
          <w:i/>
          <w:lang w:val="bg-BG"/>
        </w:rPr>
        <w:t xml:space="preserve"> срещу Литва</w:t>
      </w:r>
      <w:r w:rsidR="001F3592" w:rsidRPr="008849C3">
        <w:rPr>
          <w:lang w:val="bg-BG"/>
        </w:rPr>
        <w:t xml:space="preserve"> </w:t>
      </w:r>
      <w:r w:rsidR="001F3592" w:rsidRPr="008849C3">
        <w:rPr>
          <w:i/>
          <w:lang w:val="bg-BG"/>
        </w:rPr>
        <w:t>(</w:t>
      </w:r>
      <w:proofErr w:type="spellStart"/>
      <w:r w:rsidR="001F3592" w:rsidRPr="008849C3">
        <w:rPr>
          <w:i/>
          <w:lang w:val="bg-BG"/>
        </w:rPr>
        <w:t>Daktaras</w:t>
      </w:r>
      <w:proofErr w:type="spellEnd"/>
      <w:r w:rsidR="001F3592" w:rsidRPr="008849C3">
        <w:rPr>
          <w:i/>
          <w:lang w:val="bg-BG"/>
        </w:rPr>
        <w:t xml:space="preserve"> c. </w:t>
      </w:r>
      <w:proofErr w:type="spellStart"/>
      <w:r w:rsidR="001F3592" w:rsidRPr="008849C3">
        <w:rPr>
          <w:i/>
          <w:lang w:val="bg-BG"/>
        </w:rPr>
        <w:t>Lituanie</w:t>
      </w:r>
      <w:proofErr w:type="spellEnd"/>
      <w:r w:rsidR="001F3592" w:rsidRPr="008849C3">
        <w:rPr>
          <w:i/>
          <w:lang w:val="bg-BG"/>
        </w:rPr>
        <w:t>)</w:t>
      </w:r>
      <w:r w:rsidR="001F3592" w:rsidRPr="008849C3">
        <w:rPr>
          <w:lang w:val="bg-BG"/>
        </w:rPr>
        <w:t>, № 42095/98, § 44, ЕСПЧ 2000</w:t>
      </w:r>
      <w:r w:rsidR="001F3592" w:rsidRPr="008849C3">
        <w:rPr>
          <w:lang w:val="bg-BG"/>
        </w:rPr>
        <w:noBreakHyphen/>
        <w:t>X) ; министър на вътрешните работи или полицейски служители (</w:t>
      </w:r>
      <w:proofErr w:type="spellStart"/>
      <w:r w:rsidR="001F3592" w:rsidRPr="008849C3">
        <w:rPr>
          <w:i/>
          <w:iCs/>
          <w:lang w:val="bg-BG"/>
        </w:rPr>
        <w:t>Алне</w:t>
      </w:r>
      <w:proofErr w:type="spellEnd"/>
      <w:r w:rsidR="001F3592" w:rsidRPr="008849C3">
        <w:rPr>
          <w:i/>
          <w:iCs/>
          <w:lang w:val="bg-BG"/>
        </w:rPr>
        <w:t xml:space="preserve"> дьо </w:t>
      </w:r>
      <w:proofErr w:type="spellStart"/>
      <w:r w:rsidR="001F3592" w:rsidRPr="008849C3">
        <w:rPr>
          <w:i/>
          <w:iCs/>
          <w:lang w:val="bg-BG"/>
        </w:rPr>
        <w:t>Рибмон</w:t>
      </w:r>
      <w:proofErr w:type="spellEnd"/>
      <w:r w:rsidR="001F3592" w:rsidRPr="008849C3">
        <w:rPr>
          <w:lang w:val="bg-BG"/>
        </w:rPr>
        <w:t xml:space="preserve">, цитирано по-горе, параграфи 37 и 41). Според съдебната практика на Съда трябва да бъде правена разлика между изявленията, отразяващи мнението, че въпросното лице е виновно и тези, които се ограничават да опишат състояние на подозрение. Първите нарушават презумпцията за невиновност, докато вторите се считат за съответстващи на същността на </w:t>
      </w:r>
      <w:r w:rsidR="00CA7BA4">
        <w:rPr>
          <w:lang w:val="bg-BG"/>
        </w:rPr>
        <w:t>чл.</w:t>
      </w:r>
      <w:r w:rsidR="001F3592" w:rsidRPr="008849C3">
        <w:rPr>
          <w:lang w:val="bg-BG"/>
        </w:rPr>
        <w:t xml:space="preserve"> 6 от Конвенцията (в</w:t>
      </w:r>
      <w:r w:rsidR="008A7C01">
        <w:rPr>
          <w:lang w:val="bg-BG"/>
        </w:rPr>
        <w:t>ж.</w:t>
      </w:r>
      <w:r w:rsidR="001F3592" w:rsidRPr="008849C3">
        <w:rPr>
          <w:lang w:val="bg-BG"/>
        </w:rPr>
        <w:t xml:space="preserve">, наред с други, </w:t>
      </w:r>
      <w:proofErr w:type="spellStart"/>
      <w:r w:rsidR="001F3592" w:rsidRPr="008849C3">
        <w:rPr>
          <w:i/>
          <w:lang w:val="bg-BG"/>
        </w:rPr>
        <w:t>Марциано</w:t>
      </w:r>
      <w:proofErr w:type="spellEnd"/>
      <w:r w:rsidR="001F3592" w:rsidRPr="008849C3">
        <w:rPr>
          <w:i/>
          <w:lang w:val="bg-BG"/>
        </w:rPr>
        <w:t xml:space="preserve"> срещу Италия (</w:t>
      </w:r>
      <w:proofErr w:type="spellStart"/>
      <w:r w:rsidR="001F3592" w:rsidRPr="008849C3">
        <w:rPr>
          <w:i/>
          <w:iCs/>
          <w:lang w:val="bg-BG"/>
        </w:rPr>
        <w:t>Marziano</w:t>
      </w:r>
      <w:proofErr w:type="spellEnd"/>
      <w:r w:rsidR="001F3592" w:rsidRPr="008849C3">
        <w:rPr>
          <w:i/>
          <w:iCs/>
          <w:lang w:val="bg-BG"/>
        </w:rPr>
        <w:t xml:space="preserve"> c. </w:t>
      </w:r>
      <w:proofErr w:type="spellStart"/>
      <w:r w:rsidR="001F3592" w:rsidRPr="008849C3">
        <w:rPr>
          <w:i/>
          <w:iCs/>
          <w:lang w:val="bg-BG"/>
        </w:rPr>
        <w:t>Italie</w:t>
      </w:r>
      <w:proofErr w:type="spellEnd"/>
      <w:r w:rsidR="001F3592" w:rsidRPr="008849C3">
        <w:rPr>
          <w:i/>
          <w:iCs/>
          <w:lang w:val="bg-BG"/>
        </w:rPr>
        <w:t>)</w:t>
      </w:r>
      <w:r w:rsidR="001F3592" w:rsidRPr="008849C3">
        <w:rPr>
          <w:lang w:val="bg-BG"/>
        </w:rPr>
        <w:t xml:space="preserve">, № 45313/99, § 31, 28 ноември 2002 г.). В тази връзка Съдът подчертава важността на избора на думите от държавните служители в </w:t>
      </w:r>
      <w:r w:rsidR="008A7C01">
        <w:rPr>
          <w:lang w:val="bg-BG"/>
        </w:rPr>
        <w:t>изявленията</w:t>
      </w:r>
      <w:r w:rsidR="001F3592" w:rsidRPr="008849C3">
        <w:rPr>
          <w:lang w:val="bg-BG"/>
        </w:rPr>
        <w:t xml:space="preserve">, които правят преди едно лице да </w:t>
      </w:r>
      <w:r w:rsidR="008A7C01">
        <w:rPr>
          <w:lang w:val="bg-BG"/>
        </w:rPr>
        <w:t xml:space="preserve">бъде </w:t>
      </w:r>
      <w:r w:rsidR="001F3592" w:rsidRPr="008849C3">
        <w:rPr>
          <w:lang w:val="bg-BG"/>
        </w:rPr>
        <w:t xml:space="preserve">осъдено и признато за виновно за </w:t>
      </w:r>
      <w:r w:rsidR="008A7C01">
        <w:rPr>
          <w:lang w:val="bg-BG"/>
        </w:rPr>
        <w:t xml:space="preserve">извършване на </w:t>
      </w:r>
      <w:r w:rsidR="001F3592" w:rsidRPr="008849C3">
        <w:rPr>
          <w:lang w:val="bg-BG"/>
        </w:rPr>
        <w:t xml:space="preserve">престъпление. Той </w:t>
      </w:r>
      <w:r w:rsidR="008A7C01">
        <w:rPr>
          <w:lang w:val="bg-BG"/>
        </w:rPr>
        <w:t>смята</w:t>
      </w:r>
      <w:r w:rsidR="008A7C01" w:rsidRPr="008849C3">
        <w:rPr>
          <w:lang w:val="bg-BG"/>
        </w:rPr>
        <w:t xml:space="preserve"> </w:t>
      </w:r>
      <w:r w:rsidR="001F3592" w:rsidRPr="008849C3">
        <w:rPr>
          <w:lang w:val="bg-BG"/>
        </w:rPr>
        <w:t xml:space="preserve">също, че това, което е от значение за целите на приложението на горецитираната разпоредба, е действителният смисъл на въпросните </w:t>
      </w:r>
      <w:r w:rsidR="008A7C01">
        <w:rPr>
          <w:lang w:val="bg-BG"/>
        </w:rPr>
        <w:t>изявления</w:t>
      </w:r>
      <w:r w:rsidR="001F3592" w:rsidRPr="008849C3">
        <w:rPr>
          <w:lang w:val="bg-BG"/>
        </w:rPr>
        <w:t>, а не буквалната им форма (</w:t>
      </w:r>
      <w:proofErr w:type="spellStart"/>
      <w:r w:rsidR="001F3592" w:rsidRPr="008849C3">
        <w:rPr>
          <w:i/>
          <w:lang w:val="bg-BG"/>
        </w:rPr>
        <w:t>Лавентс</w:t>
      </w:r>
      <w:proofErr w:type="spellEnd"/>
      <w:r w:rsidR="001F3592" w:rsidRPr="008849C3">
        <w:rPr>
          <w:i/>
          <w:lang w:val="bg-BG"/>
        </w:rPr>
        <w:t xml:space="preserve"> срещу Латвия (</w:t>
      </w:r>
      <w:proofErr w:type="spellStart"/>
      <w:r w:rsidR="001F3592" w:rsidRPr="008849C3">
        <w:rPr>
          <w:i/>
          <w:lang w:val="bg-BG"/>
        </w:rPr>
        <w:t>Lavents</w:t>
      </w:r>
      <w:proofErr w:type="spellEnd"/>
      <w:r w:rsidR="001F3592" w:rsidRPr="008849C3">
        <w:rPr>
          <w:i/>
          <w:lang w:val="bg-BG"/>
        </w:rPr>
        <w:t xml:space="preserve"> c. </w:t>
      </w:r>
      <w:proofErr w:type="spellStart"/>
      <w:r w:rsidR="001F3592" w:rsidRPr="008849C3">
        <w:rPr>
          <w:i/>
          <w:lang w:val="bg-BG"/>
        </w:rPr>
        <w:t>Lettonie</w:t>
      </w:r>
      <w:proofErr w:type="spellEnd"/>
      <w:r w:rsidR="001F3592" w:rsidRPr="008849C3">
        <w:rPr>
          <w:i/>
          <w:lang w:val="bg-BG"/>
        </w:rPr>
        <w:t>)</w:t>
      </w:r>
      <w:r w:rsidR="001F3592" w:rsidRPr="008849C3">
        <w:rPr>
          <w:lang w:val="bg-BG"/>
        </w:rPr>
        <w:t xml:space="preserve">, № 58442/00, § 126, 28 ноември 2002 г.). Въпреки това въпросът дали </w:t>
      </w:r>
      <w:r w:rsidR="008A7C01">
        <w:rPr>
          <w:lang w:val="bg-BG"/>
        </w:rPr>
        <w:t>изявлението</w:t>
      </w:r>
      <w:r w:rsidR="008A7C01" w:rsidRPr="008849C3">
        <w:rPr>
          <w:lang w:val="bg-BG"/>
        </w:rPr>
        <w:t xml:space="preserve"> </w:t>
      </w:r>
      <w:r w:rsidR="001F3592" w:rsidRPr="008849C3">
        <w:rPr>
          <w:lang w:val="bg-BG"/>
        </w:rPr>
        <w:t xml:space="preserve">на длъжностно лице представлява нарушаване на принципа на презумпцията за невиновност трябва да бъде решен в контекста на конкретните обстоятелства, в които спорното </w:t>
      </w:r>
      <w:r w:rsidR="008A7C01">
        <w:rPr>
          <w:lang w:val="bg-BG"/>
        </w:rPr>
        <w:t>изявление</w:t>
      </w:r>
      <w:r w:rsidR="008A7C01" w:rsidRPr="008849C3">
        <w:rPr>
          <w:lang w:val="bg-BG"/>
        </w:rPr>
        <w:t xml:space="preserve"> </w:t>
      </w:r>
      <w:r w:rsidR="001F3592" w:rsidRPr="008849C3">
        <w:rPr>
          <w:lang w:val="bg-BG"/>
        </w:rPr>
        <w:t>е било направено (в</w:t>
      </w:r>
      <w:r w:rsidR="008A7C01">
        <w:rPr>
          <w:lang w:val="bg-BG"/>
        </w:rPr>
        <w:t>ж.</w:t>
      </w:r>
      <w:r w:rsidR="001F3592" w:rsidRPr="008849C3">
        <w:rPr>
          <w:lang w:val="bg-BG"/>
        </w:rPr>
        <w:t xml:space="preserve"> </w:t>
      </w:r>
      <w:r w:rsidR="001F3592" w:rsidRPr="008849C3">
        <w:rPr>
          <w:i/>
          <w:lang w:val="bg-BG"/>
        </w:rPr>
        <w:t>Адолф срещу Австрия (</w:t>
      </w:r>
      <w:proofErr w:type="spellStart"/>
      <w:r w:rsidR="001F3592" w:rsidRPr="008849C3">
        <w:rPr>
          <w:i/>
          <w:lang w:val="bg-BG"/>
        </w:rPr>
        <w:t>Adolf</w:t>
      </w:r>
      <w:proofErr w:type="spellEnd"/>
      <w:r w:rsidR="001F3592" w:rsidRPr="008849C3">
        <w:rPr>
          <w:i/>
          <w:lang w:val="bg-BG"/>
        </w:rPr>
        <w:t xml:space="preserve"> c. </w:t>
      </w:r>
      <w:proofErr w:type="spellStart"/>
      <w:r w:rsidR="001F3592" w:rsidRPr="008849C3">
        <w:rPr>
          <w:i/>
          <w:lang w:val="bg-BG"/>
        </w:rPr>
        <w:t>Autriche</w:t>
      </w:r>
      <w:proofErr w:type="spellEnd"/>
      <w:r w:rsidR="001F3592" w:rsidRPr="008849C3">
        <w:rPr>
          <w:i/>
          <w:lang w:val="bg-BG"/>
        </w:rPr>
        <w:t>)</w:t>
      </w:r>
      <w:r w:rsidR="001F3592" w:rsidRPr="008849C3">
        <w:rPr>
          <w:lang w:val="bg-BG"/>
        </w:rPr>
        <w:t xml:space="preserve">, 26 март 1982 г., параграфи 36-41, серия A № 49). </w:t>
      </w:r>
      <w:r w:rsidR="008A7C01">
        <w:rPr>
          <w:lang w:val="bg-BG"/>
        </w:rPr>
        <w:t>Безспорно е</w:t>
      </w:r>
      <w:r w:rsidR="001F3592" w:rsidRPr="008849C3">
        <w:rPr>
          <w:lang w:val="bg-BG"/>
        </w:rPr>
        <w:t>,</w:t>
      </w:r>
      <w:r w:rsidR="008A7C01">
        <w:rPr>
          <w:lang w:val="bg-BG"/>
        </w:rPr>
        <w:t xml:space="preserve"> че</w:t>
      </w:r>
      <w:r w:rsidR="001F3592" w:rsidRPr="008849C3">
        <w:rPr>
          <w:lang w:val="bg-BG"/>
        </w:rPr>
        <w:t xml:space="preserve"> Съдът признава, че </w:t>
      </w:r>
      <w:r w:rsidR="00CA7BA4">
        <w:rPr>
          <w:lang w:val="bg-BG"/>
        </w:rPr>
        <w:lastRenderedPageBreak/>
        <w:t>чл.</w:t>
      </w:r>
      <w:r w:rsidR="001F3592" w:rsidRPr="008849C3">
        <w:rPr>
          <w:lang w:val="bg-BG"/>
        </w:rPr>
        <w:t xml:space="preserve"> 6 § 2 не възпрепятства, по смисъла на </w:t>
      </w:r>
      <w:r w:rsidR="00CA7BA4">
        <w:rPr>
          <w:lang w:val="bg-BG"/>
        </w:rPr>
        <w:t>чл.</w:t>
      </w:r>
      <w:r w:rsidR="001F3592" w:rsidRPr="008849C3">
        <w:rPr>
          <w:lang w:val="bg-BG"/>
        </w:rPr>
        <w:t xml:space="preserve"> 10 от Конвенцията, властите да осведомяват обществото за провежданите наказателни </w:t>
      </w:r>
      <w:r w:rsidR="008A7C01">
        <w:rPr>
          <w:lang w:val="bg-BG"/>
        </w:rPr>
        <w:t>производства</w:t>
      </w:r>
      <w:r w:rsidR="001F3592" w:rsidRPr="008849C3">
        <w:rPr>
          <w:lang w:val="bg-BG"/>
        </w:rPr>
        <w:t xml:space="preserve">, но изисква да го правят с цялата дискретност и цялата сдържаност, които изисква спазването на презумпцията за </w:t>
      </w:r>
      <w:proofErr w:type="spellStart"/>
      <w:r w:rsidR="001F3592" w:rsidRPr="008849C3">
        <w:rPr>
          <w:lang w:val="bg-BG"/>
        </w:rPr>
        <w:t>невиновност</w:t>
      </w:r>
      <w:proofErr w:type="spellEnd"/>
      <w:r w:rsidR="001F3592" w:rsidRPr="008849C3">
        <w:rPr>
          <w:lang w:val="bg-BG"/>
        </w:rPr>
        <w:t xml:space="preserve"> (</w:t>
      </w:r>
      <w:proofErr w:type="spellStart"/>
      <w:r w:rsidR="001F3592" w:rsidRPr="008849C3">
        <w:rPr>
          <w:i/>
          <w:lang w:val="bg-BG"/>
        </w:rPr>
        <w:t>Алне</w:t>
      </w:r>
      <w:proofErr w:type="spellEnd"/>
      <w:r w:rsidR="001F3592" w:rsidRPr="008849C3">
        <w:rPr>
          <w:i/>
          <w:lang w:val="bg-BG"/>
        </w:rPr>
        <w:t xml:space="preserve"> дьо </w:t>
      </w:r>
      <w:proofErr w:type="spellStart"/>
      <w:r w:rsidR="001F3592" w:rsidRPr="008849C3">
        <w:rPr>
          <w:i/>
          <w:lang w:val="bg-BG"/>
        </w:rPr>
        <w:t>Рибмон</w:t>
      </w:r>
      <w:proofErr w:type="spellEnd"/>
      <w:r w:rsidR="001F3592" w:rsidRPr="008849C3">
        <w:rPr>
          <w:lang w:val="bg-BG"/>
        </w:rPr>
        <w:t xml:space="preserve">, цитирано по-горе, § 38, </w:t>
      </w:r>
      <w:proofErr w:type="spellStart"/>
      <w:r w:rsidR="001F3592" w:rsidRPr="008849C3">
        <w:rPr>
          <w:i/>
          <w:lang w:val="bg-BG"/>
        </w:rPr>
        <w:t>Лисасо</w:t>
      </w:r>
      <w:proofErr w:type="spellEnd"/>
      <w:r w:rsidR="001F3592" w:rsidRPr="008849C3">
        <w:rPr>
          <w:i/>
          <w:lang w:val="bg-BG"/>
        </w:rPr>
        <w:t xml:space="preserve"> </w:t>
      </w:r>
      <w:proofErr w:type="spellStart"/>
      <w:r w:rsidR="001F3592" w:rsidRPr="008849C3">
        <w:rPr>
          <w:i/>
          <w:lang w:val="bg-BG"/>
        </w:rPr>
        <w:t>Асконобиета</w:t>
      </w:r>
      <w:proofErr w:type="spellEnd"/>
      <w:r w:rsidR="001F3592" w:rsidRPr="008849C3">
        <w:rPr>
          <w:lang w:val="bg-BG"/>
        </w:rPr>
        <w:t>, цитирано по-горе, § 39).</w:t>
      </w:r>
    </w:p>
    <w:p w:rsidR="005C7E53" w:rsidRPr="008849C3" w:rsidRDefault="005C7E5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86</w:t>
      </w:r>
      <w:r w:rsidRPr="008849C3">
        <w:rPr>
          <w:lang w:val="bg-BG"/>
        </w:rPr>
        <w:fldChar w:fldCharType="end"/>
      </w:r>
      <w:r w:rsidRPr="008849C3">
        <w:rPr>
          <w:lang w:val="bg-BG"/>
        </w:rPr>
        <w:t>.  </w:t>
      </w:r>
      <w:r w:rsidR="008A7C01">
        <w:rPr>
          <w:lang w:val="bg-BG"/>
        </w:rPr>
        <w:t>Що се отнася до</w:t>
      </w:r>
      <w:r w:rsidR="00DB62D8" w:rsidRPr="008849C3">
        <w:rPr>
          <w:lang w:val="bg-BG"/>
        </w:rPr>
        <w:t xml:space="preserve"> </w:t>
      </w:r>
      <w:r w:rsidR="00A55155">
        <w:rPr>
          <w:lang w:val="bg-BG"/>
        </w:rPr>
        <w:t>обстоятелствата</w:t>
      </w:r>
      <w:r w:rsidR="00DB62D8" w:rsidRPr="008849C3">
        <w:rPr>
          <w:lang w:val="bg-BG"/>
        </w:rPr>
        <w:t xml:space="preserve"> по делото, Съдът отбелязва, че на 2 април 2010 г. медиите са публикували следните из</w:t>
      </w:r>
      <w:r w:rsidR="008A7C01">
        <w:rPr>
          <w:lang w:val="bg-BG"/>
        </w:rPr>
        <w:t>явления</w:t>
      </w:r>
      <w:r w:rsidR="00DB62D8" w:rsidRPr="008849C3">
        <w:rPr>
          <w:lang w:val="bg-BG"/>
        </w:rPr>
        <w:t xml:space="preserve"> на министъра на вътрешните работи, насочени към първия жалбоподател</w:t>
      </w:r>
      <w:r w:rsidR="004926CF" w:rsidRPr="008849C3">
        <w:rPr>
          <w:lang w:val="bg-BG"/>
        </w:rPr>
        <w:t xml:space="preserve">: </w:t>
      </w:r>
      <w:r w:rsidR="00203783" w:rsidRPr="008849C3">
        <w:rPr>
          <w:i/>
          <w:lang w:val="bg-BG"/>
        </w:rPr>
        <w:t>„Очевидно става въпрос за вече изградена схема за решаване на съдебно дело в предварително определена посока. Парите, които е носил в себе си Тенчо Попов, е трябвало да стигнат до съдията, за да бъде решено делото на бившия министър Николай Цонев по удобен за него начин.“</w:t>
      </w:r>
      <w:r w:rsidR="008273F1" w:rsidRPr="008849C3">
        <w:rPr>
          <w:i/>
          <w:lang w:val="bg-BG"/>
        </w:rPr>
        <w:t>.</w:t>
      </w:r>
      <w:r w:rsidR="00F327C3" w:rsidRPr="008849C3">
        <w:rPr>
          <w:lang w:val="bg-BG"/>
        </w:rPr>
        <w:t xml:space="preserve"> </w:t>
      </w:r>
      <w:r w:rsidR="00203783" w:rsidRPr="008849C3">
        <w:rPr>
          <w:lang w:val="bg-BG"/>
        </w:rPr>
        <w:t xml:space="preserve">Той посочва, че това изказване е направено пред медиите </w:t>
      </w:r>
      <w:r w:rsidR="001B37B9" w:rsidRPr="008849C3">
        <w:rPr>
          <w:lang w:val="bg-BG"/>
        </w:rPr>
        <w:t>в ден</w:t>
      </w:r>
      <w:r w:rsidR="003A5EBD" w:rsidRPr="008849C3">
        <w:rPr>
          <w:lang w:val="bg-BG"/>
        </w:rPr>
        <w:t>я</w:t>
      </w:r>
      <w:r w:rsidR="001B37B9" w:rsidRPr="008849C3">
        <w:rPr>
          <w:lang w:val="bg-BG"/>
        </w:rPr>
        <w:t xml:space="preserve"> на </w:t>
      </w:r>
      <w:r w:rsidR="008A7C01">
        <w:rPr>
          <w:lang w:val="bg-BG"/>
        </w:rPr>
        <w:t>арестът</w:t>
      </w:r>
      <w:r w:rsidR="008A7C01" w:rsidRPr="008849C3">
        <w:rPr>
          <w:lang w:val="bg-BG"/>
        </w:rPr>
        <w:t xml:space="preserve"> </w:t>
      </w:r>
      <w:r w:rsidR="001B37B9" w:rsidRPr="008849C3">
        <w:rPr>
          <w:lang w:val="bg-BG"/>
        </w:rPr>
        <w:t>на жалбоподателя и на други две лица</w:t>
      </w:r>
      <w:r w:rsidR="003A5EBD" w:rsidRPr="008849C3">
        <w:rPr>
          <w:lang w:val="bg-BG"/>
        </w:rPr>
        <w:t xml:space="preserve">, всички те заподозрени в даване на подкуп на следовател, и е било публикувано на следващия ден. </w:t>
      </w:r>
      <w:r w:rsidR="007C2939" w:rsidRPr="008849C3">
        <w:rPr>
          <w:lang w:val="bg-BG"/>
        </w:rPr>
        <w:t xml:space="preserve"> </w:t>
      </w:r>
    </w:p>
    <w:p w:rsidR="004F1CFC" w:rsidRPr="008849C3" w:rsidRDefault="00DD6B8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87</w:t>
      </w:r>
      <w:r w:rsidRPr="008849C3">
        <w:rPr>
          <w:lang w:val="bg-BG"/>
        </w:rPr>
        <w:fldChar w:fldCharType="end"/>
      </w:r>
      <w:r w:rsidRPr="008849C3">
        <w:rPr>
          <w:lang w:val="bg-BG"/>
        </w:rPr>
        <w:t>.  </w:t>
      </w:r>
      <w:r w:rsidR="00565626" w:rsidRPr="008849C3">
        <w:rPr>
          <w:lang w:val="bg-BG"/>
        </w:rPr>
        <w:t>Предвид тези обстоятелства и прекия смисъл на използваните от министъра думи Съдът счита, че въпросните из</w:t>
      </w:r>
      <w:r w:rsidR="00223658">
        <w:rPr>
          <w:lang w:val="bg-BG"/>
        </w:rPr>
        <w:t>явления</w:t>
      </w:r>
      <w:r w:rsidR="00565626" w:rsidRPr="008849C3">
        <w:rPr>
          <w:lang w:val="bg-BG"/>
        </w:rPr>
        <w:t xml:space="preserve"> са надхвърлили обикновеното съобщаване на информация за развитието на наказателното </w:t>
      </w:r>
      <w:r w:rsidR="00223658">
        <w:rPr>
          <w:lang w:val="bg-BG"/>
        </w:rPr>
        <w:t>производство</w:t>
      </w:r>
      <w:r w:rsidR="00223658" w:rsidRPr="008849C3">
        <w:rPr>
          <w:lang w:val="bg-BG"/>
        </w:rPr>
        <w:t xml:space="preserve"> </w:t>
      </w:r>
      <w:r w:rsidR="00565626" w:rsidRPr="008849C3">
        <w:rPr>
          <w:lang w:val="bg-BG"/>
        </w:rPr>
        <w:t xml:space="preserve">или описването на състояние на подозрение. Той счита, че те са </w:t>
      </w:r>
      <w:r w:rsidR="003178F3" w:rsidRPr="008849C3">
        <w:rPr>
          <w:lang w:val="bg-BG"/>
        </w:rPr>
        <w:t xml:space="preserve">създали представата, че жалбоподателят е играл ролята на посредник в дело за </w:t>
      </w:r>
      <w:r w:rsidR="00223658">
        <w:rPr>
          <w:lang w:val="bg-BG"/>
        </w:rPr>
        <w:t>подкуп</w:t>
      </w:r>
      <w:r w:rsidR="00223658" w:rsidRPr="008849C3">
        <w:rPr>
          <w:lang w:val="bg-BG"/>
        </w:rPr>
        <w:t xml:space="preserve"> </w:t>
      </w:r>
      <w:r w:rsidR="003178F3" w:rsidRPr="008849C3">
        <w:rPr>
          <w:lang w:val="bg-BG"/>
        </w:rPr>
        <w:t xml:space="preserve">и то преди наказателните съдилища да са имали възможността да се произнесат по основателността на направените срещу него наказателни обвинения. Съдът отбелязва, че след това жалбоподателят е оправдан от съдилищата </w:t>
      </w:r>
      <w:r w:rsidR="00E01054" w:rsidRPr="008849C3">
        <w:rPr>
          <w:lang w:val="bg-BG"/>
        </w:rPr>
        <w:t>(</w:t>
      </w:r>
      <w:r w:rsidR="00EC77E2" w:rsidRPr="008849C3">
        <w:rPr>
          <w:lang w:val="bg-BG"/>
        </w:rPr>
        <w:t>параграф</w:t>
      </w:r>
      <w:r w:rsidR="00E01054" w:rsidRPr="008849C3">
        <w:rPr>
          <w:lang w:val="bg-BG"/>
        </w:rPr>
        <w:t xml:space="preserve"> 25 </w:t>
      </w:r>
      <w:r w:rsidR="00EC77E2" w:rsidRPr="008849C3">
        <w:rPr>
          <w:lang w:val="bg-BG"/>
        </w:rPr>
        <w:t>по-горе</w:t>
      </w:r>
      <w:r w:rsidR="00E01054" w:rsidRPr="008849C3">
        <w:rPr>
          <w:lang w:val="bg-BG"/>
        </w:rPr>
        <w:t xml:space="preserve">). </w:t>
      </w:r>
      <w:r w:rsidR="003178F3" w:rsidRPr="008849C3">
        <w:rPr>
          <w:lang w:val="bg-BG"/>
        </w:rPr>
        <w:t xml:space="preserve">Следователно е налице нарушение на </w:t>
      </w:r>
      <w:r w:rsidR="00CA7BA4">
        <w:rPr>
          <w:lang w:val="bg-BG"/>
        </w:rPr>
        <w:t>чл.</w:t>
      </w:r>
      <w:r w:rsidRPr="008849C3">
        <w:rPr>
          <w:lang w:val="bg-BG"/>
        </w:rPr>
        <w:t xml:space="preserve"> 6 § 2 </w:t>
      </w:r>
      <w:r w:rsidR="00CD3B92" w:rsidRPr="008849C3">
        <w:rPr>
          <w:lang w:val="bg-BG"/>
        </w:rPr>
        <w:t>от Конвенцията</w:t>
      </w:r>
      <w:r w:rsidRPr="008849C3">
        <w:rPr>
          <w:lang w:val="bg-BG"/>
        </w:rPr>
        <w:t xml:space="preserve"> </w:t>
      </w:r>
      <w:r w:rsidR="00716232" w:rsidRPr="008849C3">
        <w:rPr>
          <w:lang w:val="bg-BG"/>
        </w:rPr>
        <w:t xml:space="preserve">по това </w:t>
      </w:r>
      <w:r w:rsidR="00223658">
        <w:rPr>
          <w:lang w:val="bg-BG"/>
        </w:rPr>
        <w:t>отношение</w:t>
      </w:r>
      <w:r w:rsidR="003178F3" w:rsidRPr="008849C3">
        <w:rPr>
          <w:lang w:val="bg-BG"/>
        </w:rPr>
        <w:t>.</w:t>
      </w:r>
      <w:r w:rsidR="00716232" w:rsidRPr="008849C3">
        <w:rPr>
          <w:lang w:val="bg-BG"/>
        </w:rPr>
        <w:t xml:space="preserve"> Затова Съдът счита, че не е необходимо да се произнася по другите разглеждани из</w:t>
      </w:r>
      <w:r w:rsidR="00223658">
        <w:rPr>
          <w:lang w:val="bg-BG"/>
        </w:rPr>
        <w:t>явления</w:t>
      </w:r>
      <w:r w:rsidR="003178F3" w:rsidRPr="008849C3">
        <w:rPr>
          <w:lang w:val="bg-BG"/>
        </w:rPr>
        <w:t xml:space="preserve"> </w:t>
      </w:r>
      <w:r w:rsidR="00716232" w:rsidRPr="008849C3">
        <w:rPr>
          <w:lang w:val="bg-BG"/>
        </w:rPr>
        <w:t xml:space="preserve">на министъра на вътрешните работи. </w:t>
      </w:r>
    </w:p>
    <w:p w:rsidR="00FF535F" w:rsidRPr="008849C3" w:rsidRDefault="00D238AF"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88</w:t>
      </w:r>
      <w:r w:rsidRPr="008849C3">
        <w:rPr>
          <w:lang w:val="bg-BG"/>
        </w:rPr>
        <w:fldChar w:fldCharType="end"/>
      </w:r>
      <w:r w:rsidRPr="008849C3">
        <w:rPr>
          <w:lang w:val="bg-BG"/>
        </w:rPr>
        <w:t>.  </w:t>
      </w:r>
      <w:r w:rsidR="00716232" w:rsidRPr="008849C3">
        <w:rPr>
          <w:lang w:val="bg-BG"/>
        </w:rPr>
        <w:t>По отношение на из</w:t>
      </w:r>
      <w:r w:rsidR="00223658">
        <w:rPr>
          <w:lang w:val="bg-BG"/>
        </w:rPr>
        <w:t>явленията</w:t>
      </w:r>
      <w:r w:rsidR="00716232" w:rsidRPr="008849C3">
        <w:rPr>
          <w:lang w:val="bg-BG"/>
        </w:rPr>
        <w:t xml:space="preserve"> на прокурор Р. В. и на министър-председателя </w:t>
      </w:r>
      <w:r w:rsidR="00D734F2" w:rsidRPr="008849C3">
        <w:rPr>
          <w:lang w:val="bg-BG"/>
        </w:rPr>
        <w:t>(</w:t>
      </w:r>
      <w:r w:rsidR="00EC77E2" w:rsidRPr="008849C3">
        <w:rPr>
          <w:lang w:val="bg-BG"/>
        </w:rPr>
        <w:t>параграфи</w:t>
      </w:r>
      <w:r w:rsidR="00D734F2" w:rsidRPr="008849C3">
        <w:rPr>
          <w:lang w:val="bg-BG"/>
        </w:rPr>
        <w:t xml:space="preserve"> </w:t>
      </w:r>
      <w:r w:rsidR="00554E4F" w:rsidRPr="008849C3">
        <w:rPr>
          <w:lang w:val="bg-BG"/>
        </w:rPr>
        <w:t xml:space="preserve">26 </w:t>
      </w:r>
      <w:r w:rsidR="00716232" w:rsidRPr="008849C3">
        <w:rPr>
          <w:lang w:val="bg-BG"/>
        </w:rPr>
        <w:t>и</w:t>
      </w:r>
      <w:r w:rsidR="00554E4F" w:rsidRPr="008849C3">
        <w:rPr>
          <w:lang w:val="bg-BG"/>
        </w:rPr>
        <w:t xml:space="preserve"> 28</w:t>
      </w:r>
      <w:r w:rsidR="00D734F2" w:rsidRPr="008849C3">
        <w:rPr>
          <w:lang w:val="bg-BG"/>
        </w:rPr>
        <w:t xml:space="preserve"> </w:t>
      </w:r>
      <w:r w:rsidR="00EC77E2" w:rsidRPr="008849C3">
        <w:rPr>
          <w:lang w:val="bg-BG"/>
        </w:rPr>
        <w:t>по-горе</w:t>
      </w:r>
      <w:r w:rsidR="00D734F2" w:rsidRPr="008849C3">
        <w:rPr>
          <w:lang w:val="bg-BG"/>
        </w:rPr>
        <w:t>)</w:t>
      </w:r>
      <w:r w:rsidR="001A12CB" w:rsidRPr="008849C3">
        <w:rPr>
          <w:lang w:val="bg-BG"/>
        </w:rPr>
        <w:t xml:space="preserve">, </w:t>
      </w:r>
      <w:r w:rsidR="00716232" w:rsidRPr="008849C3">
        <w:rPr>
          <w:lang w:val="bg-BG"/>
        </w:rPr>
        <w:t xml:space="preserve">Съдът намира, че те са трудни за разтълкуване и че </w:t>
      </w:r>
      <w:r w:rsidR="00A66869">
        <w:rPr>
          <w:lang w:val="bg-BG"/>
        </w:rPr>
        <w:t>се отнасят или общо погледнато</w:t>
      </w:r>
      <w:r w:rsidR="009A1D82" w:rsidRPr="008849C3">
        <w:rPr>
          <w:lang w:val="bg-BG"/>
        </w:rPr>
        <w:t xml:space="preserve"> до полицейската операция срещу тримата заподозрени, или до</w:t>
      </w:r>
      <w:r w:rsidR="007003A9" w:rsidRPr="008849C3">
        <w:rPr>
          <w:lang w:val="bg-BG"/>
        </w:rPr>
        <w:t xml:space="preserve"> подозренията, насочени срещу единия от предполагаемите съучастници на жалбоподателя, г-н Николай </w:t>
      </w:r>
      <w:r w:rsidR="000C0672" w:rsidRPr="008849C3">
        <w:rPr>
          <w:lang w:val="bg-BG"/>
        </w:rPr>
        <w:t xml:space="preserve">Цонев. </w:t>
      </w:r>
      <w:r w:rsidR="00223658">
        <w:rPr>
          <w:lang w:val="bg-BG"/>
        </w:rPr>
        <w:t>Безспорно</w:t>
      </w:r>
      <w:r w:rsidR="000C0672" w:rsidRPr="008849C3">
        <w:rPr>
          <w:lang w:val="bg-BG"/>
        </w:rPr>
        <w:t>, използваните изрази, по-конкретно препратката към голям религиозен празник, могат да</w:t>
      </w:r>
      <w:r w:rsidR="00274B5D" w:rsidRPr="008849C3">
        <w:rPr>
          <w:lang w:val="bg-BG"/>
        </w:rPr>
        <w:t xml:space="preserve"> предизвикат неприятни усещания у жалбоподателя и обществеността. Съдът обаче счита, че из</w:t>
      </w:r>
      <w:r w:rsidR="00223658">
        <w:rPr>
          <w:lang w:val="bg-BG"/>
        </w:rPr>
        <w:t>явленията</w:t>
      </w:r>
      <w:r w:rsidR="00274B5D" w:rsidRPr="008849C3">
        <w:rPr>
          <w:lang w:val="bg-BG"/>
        </w:rPr>
        <w:t xml:space="preserve"> на</w:t>
      </w:r>
      <w:r w:rsidR="000C0672" w:rsidRPr="008849C3">
        <w:rPr>
          <w:lang w:val="bg-BG"/>
        </w:rPr>
        <w:t xml:space="preserve"> </w:t>
      </w:r>
      <w:r w:rsidR="00274B5D" w:rsidRPr="008849C3">
        <w:rPr>
          <w:lang w:val="bg-BG"/>
        </w:rPr>
        <w:t xml:space="preserve">министър-председателя и на прокурора Р. В. не са нарушили презумпцията за невиновност, с която се ползва жалбоподателя. Следователно не е налице нарушение на </w:t>
      </w:r>
      <w:r w:rsidR="00CA7BA4">
        <w:rPr>
          <w:lang w:val="bg-BG"/>
        </w:rPr>
        <w:t>чл.</w:t>
      </w:r>
      <w:r w:rsidR="00274B5D" w:rsidRPr="008849C3">
        <w:rPr>
          <w:lang w:val="bg-BG"/>
        </w:rPr>
        <w:t xml:space="preserve"> 6 § 2 от Конвенцията </w:t>
      </w:r>
      <w:r w:rsidR="00223658">
        <w:rPr>
          <w:lang w:val="bg-BG"/>
        </w:rPr>
        <w:t>в</w:t>
      </w:r>
      <w:r w:rsidR="00223658" w:rsidRPr="008849C3">
        <w:rPr>
          <w:lang w:val="bg-BG"/>
        </w:rPr>
        <w:t xml:space="preserve"> </w:t>
      </w:r>
      <w:r w:rsidR="00274B5D" w:rsidRPr="008849C3">
        <w:rPr>
          <w:lang w:val="bg-BG"/>
        </w:rPr>
        <w:t xml:space="preserve">това </w:t>
      </w:r>
      <w:r w:rsidR="00223658">
        <w:rPr>
          <w:lang w:val="bg-BG"/>
        </w:rPr>
        <w:t>отношение</w:t>
      </w:r>
      <w:r w:rsidR="00274B5D" w:rsidRPr="008849C3">
        <w:rPr>
          <w:lang w:val="bg-BG"/>
        </w:rPr>
        <w:t xml:space="preserve">. </w:t>
      </w:r>
    </w:p>
    <w:p w:rsidR="00E77CB3" w:rsidRPr="008849C3" w:rsidRDefault="00A624CA" w:rsidP="006B0E9F">
      <w:pPr>
        <w:pStyle w:val="ECHRHeading1"/>
        <w:rPr>
          <w:lang w:val="bg-BG"/>
        </w:rPr>
      </w:pPr>
      <w:r w:rsidRPr="008849C3">
        <w:rPr>
          <w:lang w:val="bg-BG"/>
        </w:rPr>
        <w:lastRenderedPageBreak/>
        <w:t>III. </w:t>
      </w:r>
      <w:r w:rsidR="00DF1E8C" w:rsidRPr="008849C3">
        <w:rPr>
          <w:lang w:val="bg-BG"/>
        </w:rPr>
        <w:t>ТВЪРД</w:t>
      </w:r>
      <w:r w:rsidR="00223658">
        <w:rPr>
          <w:lang w:val="bg-BG"/>
        </w:rPr>
        <w:t>ЯНО</w:t>
      </w:r>
      <w:r w:rsidR="00DF1E8C" w:rsidRPr="008849C3">
        <w:rPr>
          <w:lang w:val="bg-BG"/>
        </w:rPr>
        <w:t xml:space="preserve"> НАРУШЕНИ</w:t>
      </w:r>
      <w:r w:rsidR="00223658">
        <w:rPr>
          <w:lang w:val="bg-BG"/>
        </w:rPr>
        <w:t>Е</w:t>
      </w:r>
      <w:r w:rsidR="00DF1E8C" w:rsidRPr="008849C3">
        <w:rPr>
          <w:lang w:val="bg-BG"/>
        </w:rPr>
        <w:t xml:space="preserve"> НА</w:t>
      </w:r>
      <w:r w:rsidRPr="008849C3">
        <w:rPr>
          <w:lang w:val="bg-BG"/>
        </w:rPr>
        <w:t xml:space="preserve"> </w:t>
      </w:r>
      <w:r w:rsidR="00CA7BA4">
        <w:rPr>
          <w:lang w:val="bg-BG"/>
        </w:rPr>
        <w:t>ЧЛ.</w:t>
      </w:r>
      <w:r w:rsidR="00E77CB3" w:rsidRPr="008849C3">
        <w:rPr>
          <w:lang w:val="bg-BG"/>
        </w:rPr>
        <w:t xml:space="preserve"> </w:t>
      </w:r>
      <w:r w:rsidRPr="008849C3">
        <w:rPr>
          <w:lang w:val="bg-BG"/>
        </w:rPr>
        <w:t>8</w:t>
      </w:r>
      <w:r w:rsidR="00E77CB3" w:rsidRPr="008849C3">
        <w:rPr>
          <w:lang w:val="bg-BG"/>
        </w:rPr>
        <w:t xml:space="preserve"> </w:t>
      </w:r>
      <w:r w:rsidR="00CD3B92" w:rsidRPr="008849C3">
        <w:rPr>
          <w:lang w:val="bg-BG"/>
        </w:rPr>
        <w:t>ОТ КОНВЕНЦИЯТА</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89</w:t>
      </w:r>
      <w:r w:rsidRPr="008849C3">
        <w:rPr>
          <w:lang w:val="bg-BG"/>
        </w:rPr>
        <w:fldChar w:fldCharType="end"/>
      </w:r>
      <w:r w:rsidR="00E77CB3" w:rsidRPr="008849C3">
        <w:rPr>
          <w:lang w:val="bg-BG"/>
        </w:rPr>
        <w:t>.  </w:t>
      </w:r>
      <w:r w:rsidR="00223658">
        <w:rPr>
          <w:lang w:val="bg-BG"/>
        </w:rPr>
        <w:t>Позовавайки се</w:t>
      </w:r>
      <w:r w:rsidR="00DF1E8C" w:rsidRPr="008849C3">
        <w:rPr>
          <w:lang w:val="bg-BG"/>
        </w:rPr>
        <w:t xml:space="preserve"> на </w:t>
      </w:r>
      <w:r w:rsidR="00CA7BA4">
        <w:rPr>
          <w:lang w:val="bg-BG"/>
        </w:rPr>
        <w:t>чл</w:t>
      </w:r>
      <w:r w:rsidR="00223658">
        <w:rPr>
          <w:lang w:val="bg-BG"/>
        </w:rPr>
        <w:t>.</w:t>
      </w:r>
      <w:r w:rsidR="00DF1E8C" w:rsidRPr="008849C3">
        <w:rPr>
          <w:lang w:val="bg-BG"/>
        </w:rPr>
        <w:t xml:space="preserve"> </w:t>
      </w:r>
      <w:r w:rsidR="00D23EE8" w:rsidRPr="008849C3">
        <w:rPr>
          <w:lang w:val="bg-BG"/>
        </w:rPr>
        <w:t xml:space="preserve">6 § 1 </w:t>
      </w:r>
      <w:r w:rsidR="00DF1E8C" w:rsidRPr="008849C3">
        <w:rPr>
          <w:lang w:val="bg-BG"/>
        </w:rPr>
        <w:t>и</w:t>
      </w:r>
      <w:r w:rsidR="00D23EE8" w:rsidRPr="008849C3">
        <w:rPr>
          <w:lang w:val="bg-BG"/>
        </w:rPr>
        <w:t xml:space="preserve"> 8 </w:t>
      </w:r>
      <w:r w:rsidR="00CD3B92" w:rsidRPr="008849C3">
        <w:rPr>
          <w:lang w:val="bg-BG"/>
        </w:rPr>
        <w:t>от Конвенцията</w:t>
      </w:r>
      <w:r w:rsidR="00D23EE8" w:rsidRPr="008849C3">
        <w:rPr>
          <w:lang w:val="bg-BG"/>
        </w:rPr>
        <w:t xml:space="preserve">, </w:t>
      </w:r>
      <w:r w:rsidR="001E1682" w:rsidRPr="008849C3">
        <w:rPr>
          <w:lang w:val="bg-BG"/>
        </w:rPr>
        <w:t xml:space="preserve">жалбоподателите твърдят, че претърсването на нотариалната кантора на жалбоподателката и изземването на лични вещи, собственост на жалбоподателя </w:t>
      </w:r>
      <w:r w:rsidR="00266428" w:rsidRPr="008849C3">
        <w:rPr>
          <w:lang w:val="bg-BG"/>
        </w:rPr>
        <w:t>–</w:t>
      </w:r>
      <w:r w:rsidR="00D23EE8" w:rsidRPr="008849C3">
        <w:rPr>
          <w:lang w:val="bg-BG"/>
        </w:rPr>
        <w:t xml:space="preserve"> </w:t>
      </w:r>
      <w:r w:rsidR="001E1682" w:rsidRPr="008849C3">
        <w:rPr>
          <w:lang w:val="bg-BG"/>
        </w:rPr>
        <w:t xml:space="preserve">действия, извършени при липсата на </w:t>
      </w:r>
      <w:r w:rsidR="00223658">
        <w:rPr>
          <w:lang w:val="bg-BG"/>
        </w:rPr>
        <w:t>какъвто и да е</w:t>
      </w:r>
      <w:r w:rsidR="00223658" w:rsidRPr="008849C3">
        <w:rPr>
          <w:lang w:val="bg-BG"/>
        </w:rPr>
        <w:t xml:space="preserve"> </w:t>
      </w:r>
      <w:r w:rsidR="001E1682" w:rsidRPr="008849C3">
        <w:rPr>
          <w:lang w:val="bg-BG"/>
        </w:rPr>
        <w:t xml:space="preserve">съдебен контрол </w:t>
      </w:r>
      <w:r w:rsidR="00266428" w:rsidRPr="008849C3">
        <w:rPr>
          <w:lang w:val="bg-BG"/>
        </w:rPr>
        <w:t>–</w:t>
      </w:r>
      <w:r w:rsidR="00D23EE8" w:rsidRPr="008849C3">
        <w:rPr>
          <w:lang w:val="bg-BG"/>
        </w:rPr>
        <w:t xml:space="preserve"> </w:t>
      </w:r>
      <w:r w:rsidR="001E1682" w:rsidRPr="008849C3">
        <w:rPr>
          <w:lang w:val="bg-BG"/>
        </w:rPr>
        <w:t xml:space="preserve">се разглеждат като неправомерна намеса в правото им на неприкосновеност на </w:t>
      </w:r>
      <w:r w:rsidR="002E610B" w:rsidRPr="008849C3">
        <w:rPr>
          <w:lang w:val="bg-BG"/>
        </w:rPr>
        <w:t xml:space="preserve">жилището и на личния живот. </w:t>
      </w:r>
      <w:r w:rsidR="00223658">
        <w:rPr>
          <w:lang w:val="bg-BG"/>
        </w:rPr>
        <w:t>Ж</w:t>
      </w:r>
      <w:r w:rsidR="002E610B" w:rsidRPr="008849C3">
        <w:rPr>
          <w:lang w:val="bg-BG"/>
        </w:rPr>
        <w:t>албоподателят се оплаква</w:t>
      </w:r>
      <w:r w:rsidR="00223658">
        <w:rPr>
          <w:lang w:val="bg-BG"/>
        </w:rPr>
        <w:t xml:space="preserve"> по чл.</w:t>
      </w:r>
      <w:r w:rsidR="00223658" w:rsidRPr="008849C3">
        <w:rPr>
          <w:lang w:val="bg-BG"/>
        </w:rPr>
        <w:t xml:space="preserve"> 8 от Конвенцията</w:t>
      </w:r>
      <w:r w:rsidR="002E610B" w:rsidRPr="008849C3">
        <w:rPr>
          <w:lang w:val="bg-BG"/>
        </w:rPr>
        <w:t xml:space="preserve">, че арестуването му е било заснето и че записът е бил предоставен на медиите от пресцентъра на МВР. </w:t>
      </w:r>
    </w:p>
    <w:p w:rsidR="00471917" w:rsidRPr="008849C3" w:rsidRDefault="002B35C6"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90</w:t>
      </w:r>
      <w:r w:rsidRPr="008849C3">
        <w:rPr>
          <w:lang w:val="bg-BG"/>
        </w:rPr>
        <w:fldChar w:fldCharType="end"/>
      </w:r>
      <w:r w:rsidRPr="008849C3">
        <w:rPr>
          <w:lang w:val="bg-BG"/>
        </w:rPr>
        <w:t>.  </w:t>
      </w:r>
      <w:r w:rsidR="00C83A64" w:rsidRPr="008849C3">
        <w:rPr>
          <w:lang w:val="bg-BG"/>
        </w:rPr>
        <w:t xml:space="preserve">Съдът </w:t>
      </w:r>
      <w:r w:rsidR="00B17A3A" w:rsidRPr="008849C3">
        <w:rPr>
          <w:lang w:val="bg-BG"/>
        </w:rPr>
        <w:t>намира за целесъобразно</w:t>
      </w:r>
      <w:r w:rsidR="00C83A64" w:rsidRPr="008849C3">
        <w:rPr>
          <w:lang w:val="bg-BG"/>
        </w:rPr>
        <w:t xml:space="preserve"> тези две оплаквания </w:t>
      </w:r>
      <w:r w:rsidR="00B17A3A" w:rsidRPr="008849C3">
        <w:rPr>
          <w:lang w:val="bg-BG"/>
        </w:rPr>
        <w:t xml:space="preserve">да бъдат разгледани </w:t>
      </w:r>
      <w:r w:rsidR="00C83A64" w:rsidRPr="008849C3">
        <w:rPr>
          <w:lang w:val="bg-BG"/>
        </w:rPr>
        <w:t xml:space="preserve">единствено от гледна точка на </w:t>
      </w:r>
      <w:r w:rsidR="00CA7BA4">
        <w:rPr>
          <w:lang w:val="bg-BG"/>
        </w:rPr>
        <w:t>чл.</w:t>
      </w:r>
      <w:r w:rsidRPr="008849C3">
        <w:rPr>
          <w:lang w:val="bg-BG"/>
        </w:rPr>
        <w:t xml:space="preserve"> 8 </w:t>
      </w:r>
      <w:r w:rsidR="00CD3B92" w:rsidRPr="008849C3">
        <w:rPr>
          <w:lang w:val="bg-BG"/>
        </w:rPr>
        <w:t>от Конвенцията</w:t>
      </w:r>
      <w:r w:rsidRPr="008849C3">
        <w:rPr>
          <w:lang w:val="bg-BG"/>
        </w:rPr>
        <w:t xml:space="preserve">, </w:t>
      </w:r>
      <w:r w:rsidR="00B17A3A" w:rsidRPr="008849C3">
        <w:rPr>
          <w:lang w:val="bg-BG"/>
        </w:rPr>
        <w:t xml:space="preserve">който гласи следното в </w:t>
      </w:r>
      <w:proofErr w:type="spellStart"/>
      <w:r w:rsidR="00B17A3A" w:rsidRPr="008849C3">
        <w:rPr>
          <w:lang w:val="bg-BG"/>
        </w:rPr>
        <w:t>относимите</w:t>
      </w:r>
      <w:proofErr w:type="spellEnd"/>
      <w:r w:rsidR="00B17A3A" w:rsidRPr="008849C3">
        <w:rPr>
          <w:lang w:val="bg-BG"/>
        </w:rPr>
        <w:t xml:space="preserve"> си </w:t>
      </w:r>
      <w:r w:rsidR="00223658">
        <w:rPr>
          <w:lang w:val="bg-BG"/>
        </w:rPr>
        <w:t xml:space="preserve">части </w:t>
      </w:r>
      <w:r w:rsidR="00B17A3A" w:rsidRPr="008849C3">
        <w:rPr>
          <w:lang w:val="bg-BG"/>
        </w:rPr>
        <w:t xml:space="preserve">към </w:t>
      </w:r>
      <w:r w:rsidR="007676C9" w:rsidRPr="008849C3">
        <w:rPr>
          <w:lang w:val="bg-BG"/>
        </w:rPr>
        <w:t xml:space="preserve">настоящото </w:t>
      </w:r>
      <w:r w:rsidR="00223658">
        <w:rPr>
          <w:lang w:val="bg-BG"/>
        </w:rPr>
        <w:t>случай</w:t>
      </w:r>
      <w:r w:rsidR="007676C9" w:rsidRPr="008849C3">
        <w:rPr>
          <w:lang w:val="bg-BG"/>
        </w:rPr>
        <w:t>:</w:t>
      </w:r>
      <w:r w:rsidRPr="008849C3">
        <w:rPr>
          <w:lang w:val="bg-BG"/>
        </w:rPr>
        <w:t xml:space="preserve"> </w:t>
      </w:r>
    </w:p>
    <w:p w:rsidR="004C2A5C" w:rsidRPr="008849C3" w:rsidRDefault="007676C9" w:rsidP="006B0E9F">
      <w:pPr>
        <w:pStyle w:val="ECHRParaQuote"/>
        <w:rPr>
          <w:lang w:val="bg-BG"/>
        </w:rPr>
      </w:pPr>
      <w:r w:rsidRPr="008849C3">
        <w:rPr>
          <w:lang w:val="bg-BG"/>
        </w:rPr>
        <w:t>„</w:t>
      </w:r>
      <w:r w:rsidR="004C2A5C" w:rsidRPr="008849C3">
        <w:rPr>
          <w:lang w:val="bg-BG"/>
        </w:rPr>
        <w:t>1.  </w:t>
      </w:r>
      <w:r w:rsidRPr="008849C3">
        <w:rPr>
          <w:lang w:val="bg-BG"/>
        </w:rPr>
        <w:t>Всеки има право на неприкосновеност на личния живот и</w:t>
      </w:r>
      <w:r w:rsidR="004C2A5C" w:rsidRPr="008849C3">
        <w:rPr>
          <w:lang w:val="bg-BG"/>
        </w:rPr>
        <w:t xml:space="preserve"> (</w:t>
      </w:r>
      <w:r w:rsidR="00471917" w:rsidRPr="008849C3">
        <w:rPr>
          <w:lang w:val="bg-BG"/>
        </w:rPr>
        <w:t>...</w:t>
      </w:r>
      <w:r w:rsidR="004C2A5C" w:rsidRPr="008849C3">
        <w:rPr>
          <w:lang w:val="bg-BG"/>
        </w:rPr>
        <w:t xml:space="preserve">) </w:t>
      </w:r>
      <w:r w:rsidRPr="008849C3">
        <w:rPr>
          <w:lang w:val="bg-BG"/>
        </w:rPr>
        <w:t>на жилището</w:t>
      </w:r>
      <w:r w:rsidR="004C2A5C" w:rsidRPr="008849C3">
        <w:rPr>
          <w:lang w:val="bg-BG"/>
        </w:rPr>
        <w:t xml:space="preserve"> (</w:t>
      </w:r>
      <w:r w:rsidR="00471917" w:rsidRPr="008849C3">
        <w:rPr>
          <w:lang w:val="bg-BG"/>
        </w:rPr>
        <w:t>...</w:t>
      </w:r>
      <w:r w:rsidR="004C2A5C" w:rsidRPr="008849C3">
        <w:rPr>
          <w:lang w:val="bg-BG"/>
        </w:rPr>
        <w:t>).</w:t>
      </w:r>
    </w:p>
    <w:p w:rsidR="002B35C6" w:rsidRPr="008849C3" w:rsidRDefault="004C2A5C" w:rsidP="006B0E9F">
      <w:pPr>
        <w:pStyle w:val="ECHRParaQuote"/>
        <w:rPr>
          <w:lang w:val="bg-BG"/>
        </w:rPr>
      </w:pPr>
      <w:r w:rsidRPr="008849C3">
        <w:rPr>
          <w:lang w:val="bg-BG"/>
        </w:rPr>
        <w:t>2.  </w:t>
      </w:r>
      <w:r w:rsidR="007676C9" w:rsidRPr="008849C3">
        <w:rPr>
          <w:lang w:val="bg-BG"/>
        </w:rPr>
        <w:t>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p>
    <w:p w:rsidR="00E80FAE" w:rsidRPr="008849C3" w:rsidRDefault="00796EC5" w:rsidP="006B0E9F">
      <w:pPr>
        <w:pStyle w:val="ECHRHeading2"/>
        <w:rPr>
          <w:lang w:val="bg-BG"/>
        </w:rPr>
      </w:pPr>
      <w:r w:rsidRPr="008849C3">
        <w:rPr>
          <w:lang w:val="bg-BG"/>
        </w:rPr>
        <w:t>A.  </w:t>
      </w:r>
      <w:r w:rsidR="00223658">
        <w:rPr>
          <w:lang w:val="bg-BG"/>
        </w:rPr>
        <w:t>Д</w:t>
      </w:r>
      <w:r w:rsidR="007676C9" w:rsidRPr="008849C3">
        <w:rPr>
          <w:lang w:val="bg-BG"/>
        </w:rPr>
        <w:t>опустимост</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91</w:t>
      </w:r>
      <w:r w:rsidRPr="008849C3">
        <w:rPr>
          <w:lang w:val="bg-BG"/>
        </w:rPr>
        <w:fldChar w:fldCharType="end"/>
      </w:r>
      <w:r w:rsidR="00E77CB3" w:rsidRPr="008849C3">
        <w:rPr>
          <w:lang w:val="bg-BG"/>
        </w:rPr>
        <w:t>.  </w:t>
      </w:r>
      <w:r w:rsidR="007676C9" w:rsidRPr="008849C3">
        <w:rPr>
          <w:lang w:val="bg-BG"/>
        </w:rPr>
        <w:t xml:space="preserve">Правителството претендира за неизчерпването на вътрешноправните средства за защита по отношение на оплакването, повдигнато от жалбоподателя за заснемането и медийното отразяване на </w:t>
      </w:r>
      <w:r w:rsidR="0079706B">
        <w:rPr>
          <w:lang w:val="bg-BG"/>
        </w:rPr>
        <w:t>задържането</w:t>
      </w:r>
      <w:r w:rsidR="0079706B" w:rsidRPr="008849C3">
        <w:rPr>
          <w:lang w:val="bg-BG"/>
        </w:rPr>
        <w:t xml:space="preserve"> </w:t>
      </w:r>
      <w:r w:rsidR="007676C9" w:rsidRPr="008849C3">
        <w:rPr>
          <w:lang w:val="bg-BG"/>
        </w:rPr>
        <w:t xml:space="preserve">му, като посочва, че </w:t>
      </w:r>
      <w:r w:rsidR="00406374" w:rsidRPr="008849C3">
        <w:rPr>
          <w:lang w:val="bg-BG"/>
        </w:rPr>
        <w:t xml:space="preserve">жалбоподателят не е </w:t>
      </w:r>
      <w:r w:rsidR="00920DB8" w:rsidRPr="008849C3">
        <w:rPr>
          <w:lang w:val="bg-BG"/>
        </w:rPr>
        <w:t xml:space="preserve">подал такава жалба пред националните съдилища. </w:t>
      </w:r>
      <w:r w:rsidR="00406374" w:rsidRPr="008849C3">
        <w:rPr>
          <w:lang w:val="bg-BG"/>
        </w:rPr>
        <w:t xml:space="preserve">  </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92</w:t>
      </w:r>
      <w:r w:rsidRPr="008849C3">
        <w:rPr>
          <w:lang w:val="bg-BG"/>
        </w:rPr>
        <w:fldChar w:fldCharType="end"/>
      </w:r>
      <w:r w:rsidR="00E77CB3" w:rsidRPr="008849C3">
        <w:rPr>
          <w:lang w:val="bg-BG"/>
        </w:rPr>
        <w:t>.  </w:t>
      </w:r>
      <w:r w:rsidR="00920DB8" w:rsidRPr="008849C3">
        <w:rPr>
          <w:lang w:val="bg-BG"/>
        </w:rPr>
        <w:t>Жалбоподателят отговаря, че Правителството изобщо не е подкрепило с доказателства това възражение за недопустимост.</w:t>
      </w:r>
      <w:r w:rsidR="00796EC5" w:rsidRPr="008849C3">
        <w:rPr>
          <w:lang w:val="bg-BG"/>
        </w:rPr>
        <w:t xml:space="preserve"> </w:t>
      </w:r>
      <w:r w:rsidR="00790C30" w:rsidRPr="008849C3">
        <w:rPr>
          <w:lang w:val="bg-BG"/>
        </w:rPr>
        <w:t xml:space="preserve">Той счита, че </w:t>
      </w:r>
      <w:r w:rsidR="004D2EB6" w:rsidRPr="008849C3">
        <w:rPr>
          <w:lang w:val="bg-BG"/>
        </w:rPr>
        <w:t xml:space="preserve">същото не </w:t>
      </w:r>
      <w:r w:rsidR="00323C52" w:rsidRPr="008849C3">
        <w:rPr>
          <w:lang w:val="bg-BG"/>
        </w:rPr>
        <w:t xml:space="preserve">е уточнило кое конкретно е вътрешноправното средство за защита, което той не е използвал. </w:t>
      </w:r>
    </w:p>
    <w:p w:rsidR="00E77CB3" w:rsidRPr="008849C3" w:rsidRDefault="00472D9E" w:rsidP="006B0E9F">
      <w:pPr>
        <w:pStyle w:val="ECHRPara"/>
        <w:rPr>
          <w:rFonts w:ascii="Times New Roman" w:eastAsia="Times New Roman" w:hAnsi="Times New Roman" w:cs="Times New Roman"/>
          <w:szCs w:val="20"/>
          <w:lang w:val="bg-BG" w:eastAsia="fr-FR"/>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93</w:t>
      </w:r>
      <w:r w:rsidRPr="008849C3">
        <w:rPr>
          <w:lang w:val="bg-BG"/>
        </w:rPr>
        <w:fldChar w:fldCharType="end"/>
      </w:r>
      <w:r w:rsidR="00E77CB3" w:rsidRPr="008849C3">
        <w:rPr>
          <w:lang w:val="bg-BG"/>
        </w:rPr>
        <w:t>.  </w:t>
      </w:r>
      <w:r w:rsidR="00323C52" w:rsidRPr="008849C3">
        <w:rPr>
          <w:lang w:val="bg-BG"/>
        </w:rPr>
        <w:t xml:space="preserve">Съдът припомня </w:t>
      </w:r>
      <w:r w:rsidR="0079706B">
        <w:rPr>
          <w:lang w:val="bg-BG"/>
        </w:rPr>
        <w:t>утвърдената</w:t>
      </w:r>
      <w:r w:rsidR="0079706B" w:rsidRPr="008849C3">
        <w:rPr>
          <w:lang w:val="bg-BG"/>
        </w:rPr>
        <w:t xml:space="preserve"> </w:t>
      </w:r>
      <w:r w:rsidR="00323C52" w:rsidRPr="008849C3">
        <w:rPr>
          <w:lang w:val="bg-BG"/>
        </w:rPr>
        <w:t xml:space="preserve">си съдебна практика, според която </w:t>
      </w:r>
      <w:r w:rsidR="00C41052" w:rsidRPr="008849C3">
        <w:rPr>
          <w:lang w:val="bg-BG"/>
        </w:rPr>
        <w:t xml:space="preserve">задължение на </w:t>
      </w:r>
      <w:r w:rsidR="00323C52" w:rsidRPr="008849C3">
        <w:rPr>
          <w:lang w:val="bg-BG"/>
        </w:rPr>
        <w:t xml:space="preserve">Правителството, </w:t>
      </w:r>
      <w:r w:rsidR="00C41052" w:rsidRPr="008849C3">
        <w:rPr>
          <w:lang w:val="bg-BG"/>
        </w:rPr>
        <w:t xml:space="preserve">отправящо възражение </w:t>
      </w:r>
      <w:r w:rsidR="00323C52" w:rsidRPr="008849C3">
        <w:rPr>
          <w:lang w:val="bg-BG"/>
        </w:rPr>
        <w:t xml:space="preserve">за </w:t>
      </w:r>
      <w:r w:rsidR="00C41052" w:rsidRPr="008849C3">
        <w:rPr>
          <w:lang w:val="bg-BG"/>
        </w:rPr>
        <w:t>неизчерпване на вътрешноправните средства за защита</w:t>
      </w:r>
      <w:r w:rsidR="00E7596E" w:rsidRPr="008849C3">
        <w:rPr>
          <w:lang w:val="bg-BG"/>
        </w:rPr>
        <w:t xml:space="preserve">, </w:t>
      </w:r>
      <w:r w:rsidR="00C41052" w:rsidRPr="008849C3">
        <w:rPr>
          <w:lang w:val="bg-BG"/>
        </w:rPr>
        <w:t>е</w:t>
      </w:r>
      <w:r w:rsidR="00E7596E" w:rsidRPr="008849C3">
        <w:rPr>
          <w:lang w:val="bg-BG"/>
        </w:rPr>
        <w:t xml:space="preserve"> да го убеди, че </w:t>
      </w:r>
      <w:r w:rsidR="00C41052" w:rsidRPr="008849C3">
        <w:rPr>
          <w:lang w:val="bg-BG"/>
        </w:rPr>
        <w:t xml:space="preserve">цитираното </w:t>
      </w:r>
      <w:r w:rsidR="00E7596E" w:rsidRPr="008849C3">
        <w:rPr>
          <w:lang w:val="bg-BG"/>
        </w:rPr>
        <w:t xml:space="preserve">средство е ефективно и налично както на теория, така и на практика. Прибавя, че след като това бъде </w:t>
      </w:r>
      <w:r w:rsidR="00C41052" w:rsidRPr="008849C3">
        <w:rPr>
          <w:lang w:val="bg-BG"/>
        </w:rPr>
        <w:t>направено,</w:t>
      </w:r>
      <w:r w:rsidR="00E7596E" w:rsidRPr="008849C3">
        <w:rPr>
          <w:lang w:val="bg-BG"/>
        </w:rPr>
        <w:t xml:space="preserve"> </w:t>
      </w:r>
      <w:r w:rsidR="00C41052" w:rsidRPr="008849C3">
        <w:rPr>
          <w:lang w:val="bg-BG"/>
        </w:rPr>
        <w:t>задължение на жалбоподателя е да докаже, че изтъкнатото от Правителството</w:t>
      </w:r>
      <w:r w:rsidR="00E7596E" w:rsidRPr="008849C3">
        <w:rPr>
          <w:lang w:val="bg-BG"/>
        </w:rPr>
        <w:t xml:space="preserve"> средство действително е било </w:t>
      </w:r>
      <w:r w:rsidR="00455AFE" w:rsidRPr="008849C3">
        <w:rPr>
          <w:lang w:val="bg-BG"/>
        </w:rPr>
        <w:t xml:space="preserve">използвано, </w:t>
      </w:r>
      <w:r w:rsidR="00455AFE" w:rsidRPr="008849C3">
        <w:rPr>
          <w:rFonts w:ascii="Times New Roman" w:eastAsia="Times New Roman" w:hAnsi="Times New Roman" w:cs="Times New Roman"/>
          <w:szCs w:val="20"/>
          <w:lang w:val="bg-BG" w:eastAsia="fr-FR"/>
        </w:rPr>
        <w:t>или че, независимо по каква причина, то не е било нито адекватно, нито ефективно от гледна точка на обстоятелствата по делото, или още, че специфични обстоятелства са го освобождавали от задължението да го упражни (</w:t>
      </w:r>
      <w:proofErr w:type="spellStart"/>
      <w:r w:rsidR="00455AFE" w:rsidRPr="008849C3">
        <w:rPr>
          <w:rFonts w:ascii="Times New Roman" w:eastAsia="Times New Roman" w:hAnsi="Times New Roman" w:cs="Times New Roman"/>
          <w:i/>
          <w:szCs w:val="20"/>
          <w:lang w:val="bg-BG" w:eastAsia="fr-FR"/>
        </w:rPr>
        <w:t>Акдивар</w:t>
      </w:r>
      <w:proofErr w:type="spellEnd"/>
      <w:r w:rsidR="00455AFE" w:rsidRPr="008849C3">
        <w:rPr>
          <w:rFonts w:ascii="Times New Roman" w:eastAsia="Times New Roman" w:hAnsi="Times New Roman" w:cs="Times New Roman"/>
          <w:i/>
          <w:szCs w:val="20"/>
          <w:lang w:val="bg-BG" w:eastAsia="fr-FR"/>
        </w:rPr>
        <w:t xml:space="preserve"> и други срещу </w:t>
      </w:r>
      <w:r w:rsidR="00455AFE" w:rsidRPr="008849C3">
        <w:rPr>
          <w:rFonts w:ascii="Times New Roman" w:eastAsia="Times New Roman" w:hAnsi="Times New Roman" w:cs="Times New Roman"/>
          <w:i/>
          <w:szCs w:val="20"/>
          <w:lang w:val="bg-BG" w:eastAsia="fr-FR"/>
        </w:rPr>
        <w:lastRenderedPageBreak/>
        <w:t>Турция (</w:t>
      </w:r>
      <w:proofErr w:type="spellStart"/>
      <w:r w:rsidR="00455AFE" w:rsidRPr="008849C3">
        <w:rPr>
          <w:rFonts w:ascii="Times New Roman" w:eastAsia="Times New Roman" w:hAnsi="Times New Roman" w:cs="Times New Roman"/>
          <w:i/>
          <w:szCs w:val="20"/>
          <w:lang w:val="bg-BG" w:eastAsia="fr-FR"/>
        </w:rPr>
        <w:t>Akdivar</w:t>
      </w:r>
      <w:proofErr w:type="spellEnd"/>
      <w:r w:rsidR="00455AFE" w:rsidRPr="008849C3">
        <w:rPr>
          <w:rFonts w:ascii="Times New Roman" w:eastAsia="Times New Roman" w:hAnsi="Times New Roman" w:cs="Times New Roman"/>
          <w:i/>
          <w:szCs w:val="20"/>
          <w:lang w:val="bg-BG" w:eastAsia="fr-FR"/>
        </w:rPr>
        <w:t xml:space="preserve"> </w:t>
      </w:r>
      <w:proofErr w:type="spellStart"/>
      <w:r w:rsidR="00455AFE" w:rsidRPr="008849C3">
        <w:rPr>
          <w:rFonts w:ascii="Times New Roman" w:eastAsia="Times New Roman" w:hAnsi="Times New Roman" w:cs="Times New Roman"/>
          <w:i/>
          <w:szCs w:val="20"/>
          <w:lang w:val="bg-BG" w:eastAsia="fr-FR"/>
        </w:rPr>
        <w:t>et</w:t>
      </w:r>
      <w:proofErr w:type="spellEnd"/>
      <w:r w:rsidR="00455AFE" w:rsidRPr="008849C3">
        <w:rPr>
          <w:rFonts w:ascii="Times New Roman" w:eastAsia="Times New Roman" w:hAnsi="Times New Roman" w:cs="Times New Roman"/>
          <w:i/>
          <w:szCs w:val="20"/>
          <w:lang w:val="bg-BG" w:eastAsia="fr-FR"/>
        </w:rPr>
        <w:t xml:space="preserve"> </w:t>
      </w:r>
      <w:proofErr w:type="spellStart"/>
      <w:r w:rsidR="00455AFE" w:rsidRPr="008849C3">
        <w:rPr>
          <w:rFonts w:ascii="Times New Roman" w:eastAsia="Times New Roman" w:hAnsi="Times New Roman" w:cs="Times New Roman"/>
          <w:i/>
          <w:szCs w:val="20"/>
          <w:lang w:val="bg-BG" w:eastAsia="fr-FR"/>
        </w:rPr>
        <w:t>autres</w:t>
      </w:r>
      <w:proofErr w:type="spellEnd"/>
      <w:r w:rsidR="00455AFE" w:rsidRPr="008849C3">
        <w:rPr>
          <w:rFonts w:ascii="Times New Roman" w:eastAsia="Times New Roman" w:hAnsi="Times New Roman" w:cs="Times New Roman"/>
          <w:i/>
          <w:szCs w:val="20"/>
          <w:lang w:val="bg-BG" w:eastAsia="fr-FR"/>
        </w:rPr>
        <w:t xml:space="preserve"> c. </w:t>
      </w:r>
      <w:proofErr w:type="spellStart"/>
      <w:r w:rsidR="00455AFE" w:rsidRPr="008849C3">
        <w:rPr>
          <w:rFonts w:ascii="Times New Roman" w:eastAsia="Times New Roman" w:hAnsi="Times New Roman" w:cs="Times New Roman"/>
          <w:i/>
          <w:szCs w:val="20"/>
          <w:lang w:val="bg-BG" w:eastAsia="fr-FR"/>
        </w:rPr>
        <w:t>Turquie</w:t>
      </w:r>
      <w:proofErr w:type="spellEnd"/>
      <w:r w:rsidR="00455AFE" w:rsidRPr="008849C3">
        <w:rPr>
          <w:rFonts w:ascii="Times New Roman" w:eastAsia="Times New Roman" w:hAnsi="Times New Roman" w:cs="Times New Roman"/>
          <w:i/>
          <w:szCs w:val="20"/>
          <w:lang w:val="bg-BG" w:eastAsia="fr-FR"/>
        </w:rPr>
        <w:t>)</w:t>
      </w:r>
      <w:r w:rsidR="00455AFE" w:rsidRPr="008849C3">
        <w:rPr>
          <w:rFonts w:ascii="Times New Roman" w:eastAsia="Times New Roman" w:hAnsi="Times New Roman" w:cs="Times New Roman"/>
          <w:szCs w:val="20"/>
          <w:lang w:val="bg-BG" w:eastAsia="fr-FR"/>
        </w:rPr>
        <w:t>, 16 септември 1996</w:t>
      </w:r>
      <w:r w:rsidR="003019A3" w:rsidRPr="008849C3">
        <w:rPr>
          <w:rFonts w:ascii="Times New Roman" w:eastAsia="Times New Roman" w:hAnsi="Times New Roman" w:cs="Times New Roman"/>
          <w:szCs w:val="20"/>
          <w:lang w:val="bg-BG" w:eastAsia="fr-FR"/>
        </w:rPr>
        <w:t xml:space="preserve"> г.</w:t>
      </w:r>
      <w:r w:rsidR="00455AFE" w:rsidRPr="008849C3">
        <w:rPr>
          <w:rFonts w:ascii="Times New Roman" w:eastAsia="Times New Roman" w:hAnsi="Times New Roman" w:cs="Times New Roman"/>
          <w:szCs w:val="20"/>
          <w:lang w:val="bg-BG" w:eastAsia="fr-FR"/>
        </w:rPr>
        <w:t xml:space="preserve">, § 68, </w:t>
      </w:r>
      <w:r w:rsidR="00455AFE" w:rsidRPr="008849C3">
        <w:rPr>
          <w:rFonts w:ascii="Times New Roman" w:eastAsia="Times New Roman" w:hAnsi="Times New Roman" w:cs="Times New Roman"/>
          <w:i/>
          <w:szCs w:val="20"/>
          <w:lang w:val="bg-BG" w:eastAsia="fr-FR"/>
        </w:rPr>
        <w:t>Сборник</w:t>
      </w:r>
      <w:r w:rsidR="00455AFE" w:rsidRPr="008849C3">
        <w:rPr>
          <w:rFonts w:ascii="Times New Roman" w:eastAsia="Times New Roman" w:hAnsi="Times New Roman" w:cs="Times New Roman"/>
          <w:szCs w:val="20"/>
          <w:lang w:val="bg-BG" w:eastAsia="fr-FR"/>
        </w:rPr>
        <w:t xml:space="preserve"> 1996</w:t>
      </w:r>
      <w:r w:rsidR="00455AFE" w:rsidRPr="008849C3">
        <w:rPr>
          <w:rFonts w:ascii="Times New Roman" w:eastAsia="Times New Roman" w:hAnsi="Times New Roman" w:cs="Times New Roman"/>
          <w:szCs w:val="20"/>
          <w:lang w:val="bg-BG" w:eastAsia="fr-FR"/>
        </w:rPr>
        <w:noBreakHyphen/>
        <w:t>IV).</w:t>
      </w:r>
    </w:p>
    <w:p w:rsidR="00E173A1"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94</w:t>
      </w:r>
      <w:r w:rsidRPr="008849C3">
        <w:rPr>
          <w:lang w:val="bg-BG"/>
        </w:rPr>
        <w:fldChar w:fldCharType="end"/>
      </w:r>
      <w:r w:rsidR="00E77CB3" w:rsidRPr="008849C3">
        <w:rPr>
          <w:lang w:val="bg-BG"/>
        </w:rPr>
        <w:t>.  </w:t>
      </w:r>
      <w:r w:rsidR="0027350A" w:rsidRPr="008849C3">
        <w:rPr>
          <w:lang w:val="bg-BG"/>
        </w:rPr>
        <w:t xml:space="preserve">В конкретния случай трябва да се отбележи, че Правителството се е ограничило до това да заяви, че жалбоподателят не е изчерпал вътрешноправните средства за защита, без да уточни какви са били вътрешните </w:t>
      </w:r>
      <w:r w:rsidR="0079706B">
        <w:rPr>
          <w:lang w:val="bg-BG"/>
        </w:rPr>
        <w:t>средства</w:t>
      </w:r>
      <w:r w:rsidR="0027350A" w:rsidRPr="008849C3">
        <w:rPr>
          <w:lang w:val="bg-BG"/>
        </w:rPr>
        <w:t xml:space="preserve">, които то счита за ефективни за </w:t>
      </w:r>
      <w:r w:rsidR="0079706B">
        <w:rPr>
          <w:lang w:val="bg-BG"/>
        </w:rPr>
        <w:t>отстраняване на нарушението</w:t>
      </w:r>
      <w:r w:rsidR="0027350A" w:rsidRPr="008849C3">
        <w:rPr>
          <w:lang w:val="bg-BG"/>
        </w:rPr>
        <w:t xml:space="preserve">. Следователно Съдът счита, че възражението за неизчерпване на </w:t>
      </w:r>
      <w:r w:rsidR="0079706B">
        <w:rPr>
          <w:lang w:val="bg-BG"/>
        </w:rPr>
        <w:t>вътрешно</w:t>
      </w:r>
      <w:r w:rsidR="0027350A" w:rsidRPr="008849C3">
        <w:rPr>
          <w:lang w:val="bg-BG"/>
        </w:rPr>
        <w:t xml:space="preserve">правните средства за защита не е достатъчно обосновано и го отхвърля.  </w:t>
      </w:r>
    </w:p>
    <w:p w:rsidR="00C25EDE" w:rsidRPr="008849C3" w:rsidRDefault="00E173A1"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95</w:t>
      </w:r>
      <w:r w:rsidRPr="008849C3">
        <w:rPr>
          <w:lang w:val="bg-BG"/>
        </w:rPr>
        <w:fldChar w:fldCharType="end"/>
      </w:r>
      <w:r w:rsidRPr="008849C3">
        <w:rPr>
          <w:lang w:val="bg-BG"/>
        </w:rPr>
        <w:t>.  </w:t>
      </w:r>
      <w:r w:rsidR="00540F79" w:rsidRPr="008849C3">
        <w:rPr>
          <w:lang w:val="bg-BG"/>
        </w:rPr>
        <w:t xml:space="preserve">Като отбелязва </w:t>
      </w:r>
      <w:r w:rsidR="0079706B">
        <w:rPr>
          <w:lang w:val="bg-BG"/>
        </w:rPr>
        <w:t>още</w:t>
      </w:r>
      <w:r w:rsidR="00540F79" w:rsidRPr="008849C3">
        <w:rPr>
          <w:lang w:val="bg-BG"/>
        </w:rPr>
        <w:t xml:space="preserve">, че оплакванията, повдигнати от жалбоподателите </w:t>
      </w:r>
      <w:r w:rsidR="0079706B">
        <w:rPr>
          <w:lang w:val="bg-BG"/>
        </w:rPr>
        <w:t>по</w:t>
      </w:r>
      <w:r w:rsidR="00540F79" w:rsidRPr="008849C3">
        <w:rPr>
          <w:lang w:val="bg-BG"/>
        </w:rPr>
        <w:t xml:space="preserve"> </w:t>
      </w:r>
      <w:r w:rsidR="00CA7BA4">
        <w:rPr>
          <w:lang w:val="bg-BG"/>
        </w:rPr>
        <w:t>чл.</w:t>
      </w:r>
      <w:r w:rsidR="00540F79" w:rsidRPr="008849C3">
        <w:rPr>
          <w:lang w:val="bg-BG"/>
        </w:rPr>
        <w:t xml:space="preserve"> 8 от Конвенцията не са явно необосновани по смисъла на </w:t>
      </w:r>
      <w:r w:rsidR="00CA7BA4">
        <w:rPr>
          <w:lang w:val="bg-BG"/>
        </w:rPr>
        <w:t>чл.</w:t>
      </w:r>
      <w:r w:rsidR="00540F79" w:rsidRPr="008849C3">
        <w:rPr>
          <w:lang w:val="bg-BG"/>
        </w:rPr>
        <w:t xml:space="preserve"> 35 § 3 a) от Конвенцията и че </w:t>
      </w:r>
      <w:r w:rsidR="0079706B" w:rsidRPr="008849C3">
        <w:rPr>
          <w:lang w:val="bg-BG"/>
        </w:rPr>
        <w:t xml:space="preserve">заедно с това не </w:t>
      </w:r>
      <w:r w:rsidR="0079706B">
        <w:rPr>
          <w:lang w:val="bg-BG"/>
        </w:rPr>
        <w:t>се среща никакво друго основание за недопустимост</w:t>
      </w:r>
      <w:r w:rsidR="00540F79" w:rsidRPr="008849C3">
        <w:rPr>
          <w:lang w:val="bg-BG"/>
        </w:rPr>
        <w:t xml:space="preserve">, Съдът ги обявява за допустими. </w:t>
      </w:r>
    </w:p>
    <w:p w:rsidR="00E77CB3" w:rsidRPr="008849C3" w:rsidRDefault="001B5F59" w:rsidP="006B0E9F">
      <w:pPr>
        <w:pStyle w:val="ECHRHeading2"/>
        <w:rPr>
          <w:lang w:val="bg-BG"/>
        </w:rPr>
      </w:pPr>
      <w:r>
        <w:rPr>
          <w:lang w:val="bg-BG"/>
        </w:rPr>
        <w:t>Б</w:t>
      </w:r>
      <w:r w:rsidR="00C25EDE" w:rsidRPr="008849C3">
        <w:rPr>
          <w:lang w:val="bg-BG"/>
        </w:rPr>
        <w:t>.  </w:t>
      </w:r>
      <w:r w:rsidR="00101C88" w:rsidRPr="008849C3">
        <w:rPr>
          <w:lang w:val="bg-BG"/>
        </w:rPr>
        <w:t>По същество</w:t>
      </w:r>
    </w:p>
    <w:p w:rsidR="00B4542D" w:rsidRPr="008849C3" w:rsidRDefault="00B4542D" w:rsidP="006B0E9F">
      <w:pPr>
        <w:pStyle w:val="ECHRHeading3"/>
        <w:rPr>
          <w:lang w:val="bg-BG"/>
        </w:rPr>
      </w:pPr>
      <w:r w:rsidRPr="008849C3">
        <w:rPr>
          <w:lang w:val="bg-BG"/>
        </w:rPr>
        <w:t>1.  </w:t>
      </w:r>
      <w:r w:rsidR="008A7213" w:rsidRPr="008849C3">
        <w:rPr>
          <w:lang w:val="bg-BG"/>
        </w:rPr>
        <w:t xml:space="preserve">Оплакване, отнасящо се до </w:t>
      </w:r>
      <w:r w:rsidR="00540F79" w:rsidRPr="008849C3">
        <w:rPr>
          <w:lang w:val="bg-BG"/>
        </w:rPr>
        <w:t xml:space="preserve">медийното отразяване на </w:t>
      </w:r>
      <w:r w:rsidR="0079706B">
        <w:rPr>
          <w:lang w:val="bg-BG"/>
        </w:rPr>
        <w:t>арестът</w:t>
      </w:r>
      <w:r w:rsidR="0079706B" w:rsidRPr="008849C3">
        <w:rPr>
          <w:lang w:val="bg-BG"/>
        </w:rPr>
        <w:t xml:space="preserve"> </w:t>
      </w:r>
      <w:r w:rsidR="00540F79" w:rsidRPr="008849C3">
        <w:rPr>
          <w:lang w:val="bg-BG"/>
        </w:rPr>
        <w:t xml:space="preserve">на жалбоподателя </w:t>
      </w:r>
    </w:p>
    <w:p w:rsidR="004B5C42" w:rsidRPr="008849C3" w:rsidRDefault="004B5C4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96</w:t>
      </w:r>
      <w:r w:rsidRPr="008849C3">
        <w:rPr>
          <w:lang w:val="bg-BG"/>
        </w:rPr>
        <w:fldChar w:fldCharType="end"/>
      </w:r>
      <w:r w:rsidRPr="008849C3">
        <w:rPr>
          <w:lang w:val="bg-BG"/>
        </w:rPr>
        <w:t>.  </w:t>
      </w:r>
      <w:r w:rsidR="005C66A2" w:rsidRPr="008849C3">
        <w:rPr>
          <w:lang w:val="bg-BG"/>
        </w:rPr>
        <w:t xml:space="preserve">Жалбоподателят се оплаква, че </w:t>
      </w:r>
      <w:r w:rsidR="0079706B">
        <w:rPr>
          <w:lang w:val="bg-BG"/>
        </w:rPr>
        <w:t>задържането</w:t>
      </w:r>
      <w:r w:rsidR="0079706B" w:rsidRPr="008849C3">
        <w:rPr>
          <w:lang w:val="bg-BG"/>
        </w:rPr>
        <w:t xml:space="preserve"> </w:t>
      </w:r>
      <w:r w:rsidR="005C66A2" w:rsidRPr="008849C3">
        <w:rPr>
          <w:lang w:val="bg-BG"/>
        </w:rPr>
        <w:t xml:space="preserve">му е било заснето и че записът е бил предоставен на медиите от пресцентъра на МВР. </w:t>
      </w:r>
      <w:r w:rsidR="0038766D" w:rsidRPr="008849C3">
        <w:rPr>
          <w:lang w:val="bg-BG"/>
        </w:rPr>
        <w:t xml:space="preserve">Уточнява, че някои кадри, взети от този запис, показващи го </w:t>
      </w:r>
      <w:r w:rsidR="00512915">
        <w:rPr>
          <w:lang w:val="bg-BG"/>
        </w:rPr>
        <w:t>блъснат</w:t>
      </w:r>
      <w:r w:rsidR="00512915" w:rsidRPr="008849C3">
        <w:rPr>
          <w:lang w:val="bg-BG"/>
        </w:rPr>
        <w:t xml:space="preserve"> </w:t>
      </w:r>
      <w:r w:rsidR="0038766D" w:rsidRPr="008849C3">
        <w:rPr>
          <w:lang w:val="bg-BG"/>
        </w:rPr>
        <w:t xml:space="preserve">на земята, с белезници зад гърба, са били широко разпространени от печатните издания и от другите медии. Твърди, че тази ситуация се разглежда като </w:t>
      </w:r>
      <w:r w:rsidR="00512915">
        <w:rPr>
          <w:lang w:val="bg-BG"/>
        </w:rPr>
        <w:t>необоснована намеса на</w:t>
      </w:r>
      <w:r w:rsidR="0038766D" w:rsidRPr="008849C3">
        <w:rPr>
          <w:lang w:val="bg-BG"/>
        </w:rPr>
        <w:t xml:space="preserve"> правото му на неприкосновеност на личния живот. Освен това, според него, тази намеса не е била предвидена от закона и не е била необходима </w:t>
      </w:r>
      <w:r w:rsidR="000A2A61" w:rsidRPr="008849C3">
        <w:rPr>
          <w:lang w:val="bg-BG"/>
        </w:rPr>
        <w:t>в едно демократично общество.</w:t>
      </w:r>
    </w:p>
    <w:p w:rsidR="004239E7" w:rsidRPr="008849C3" w:rsidRDefault="00404A4D"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97</w:t>
      </w:r>
      <w:r w:rsidRPr="008849C3">
        <w:rPr>
          <w:lang w:val="bg-BG"/>
        </w:rPr>
        <w:fldChar w:fldCharType="end"/>
      </w:r>
      <w:r w:rsidRPr="008849C3">
        <w:rPr>
          <w:lang w:val="bg-BG"/>
        </w:rPr>
        <w:t>.  </w:t>
      </w:r>
      <w:r w:rsidR="000A2A61" w:rsidRPr="008849C3">
        <w:rPr>
          <w:lang w:val="bg-BG"/>
        </w:rPr>
        <w:t xml:space="preserve">Правителството възразява, че жалбоподателят не се е противопоставил изрично на това </w:t>
      </w:r>
      <w:r w:rsidR="00512915">
        <w:rPr>
          <w:lang w:val="bg-BG"/>
        </w:rPr>
        <w:t>арестът</w:t>
      </w:r>
      <w:r w:rsidR="00512915" w:rsidRPr="008849C3">
        <w:rPr>
          <w:lang w:val="bg-BG"/>
        </w:rPr>
        <w:t xml:space="preserve"> </w:t>
      </w:r>
      <w:r w:rsidR="000A2A61" w:rsidRPr="008849C3">
        <w:rPr>
          <w:lang w:val="bg-BG"/>
        </w:rPr>
        <w:t xml:space="preserve">му да бъде сниман и отразено от медиите. Твърди, че при всички положения е ставало дума за мярка, предвидена от закона и която е имала за цел да осигури събирането на доказателства в рамките на наказателно </w:t>
      </w:r>
      <w:r w:rsidR="00512915">
        <w:rPr>
          <w:lang w:val="bg-BG"/>
        </w:rPr>
        <w:t>производство</w:t>
      </w:r>
      <w:r w:rsidR="00512915" w:rsidRPr="008849C3">
        <w:rPr>
          <w:lang w:val="bg-BG"/>
        </w:rPr>
        <w:t xml:space="preserve"> </w:t>
      </w:r>
      <w:r w:rsidR="000A2A61" w:rsidRPr="008849C3">
        <w:rPr>
          <w:lang w:val="bg-BG"/>
        </w:rPr>
        <w:t xml:space="preserve">и прозрачността на работата на службите на МВР. </w:t>
      </w:r>
    </w:p>
    <w:p w:rsidR="00404A4D" w:rsidRPr="008849C3" w:rsidRDefault="004239E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98</w:t>
      </w:r>
      <w:r w:rsidRPr="008849C3">
        <w:rPr>
          <w:lang w:val="bg-BG"/>
        </w:rPr>
        <w:fldChar w:fldCharType="end"/>
      </w:r>
      <w:r w:rsidRPr="008849C3">
        <w:rPr>
          <w:lang w:val="bg-BG"/>
        </w:rPr>
        <w:t>.  </w:t>
      </w:r>
      <w:r w:rsidR="000A2A61" w:rsidRPr="008849C3">
        <w:rPr>
          <w:lang w:val="bg-BG"/>
        </w:rPr>
        <w:t xml:space="preserve">Съдът отбелязва, че страните </w:t>
      </w:r>
      <w:r w:rsidR="00A66869">
        <w:rPr>
          <w:lang w:val="bg-BG"/>
        </w:rPr>
        <w:t>споделят мнението</w:t>
      </w:r>
      <w:r w:rsidR="000A2A61" w:rsidRPr="008849C3">
        <w:rPr>
          <w:lang w:val="bg-BG"/>
        </w:rPr>
        <w:t xml:space="preserve">, че записът от </w:t>
      </w:r>
      <w:r w:rsidR="00512915">
        <w:rPr>
          <w:lang w:val="bg-BG"/>
        </w:rPr>
        <w:t>арестът</w:t>
      </w:r>
      <w:r w:rsidR="00512915" w:rsidRPr="008849C3">
        <w:rPr>
          <w:lang w:val="bg-BG"/>
        </w:rPr>
        <w:t xml:space="preserve"> </w:t>
      </w:r>
      <w:r w:rsidR="000A2A61" w:rsidRPr="008849C3">
        <w:rPr>
          <w:lang w:val="bg-BG"/>
        </w:rPr>
        <w:t>на жалбоподателя</w:t>
      </w:r>
      <w:r w:rsidR="000B4A13" w:rsidRPr="008849C3">
        <w:rPr>
          <w:lang w:val="bg-BG"/>
        </w:rPr>
        <w:t>, както</w:t>
      </w:r>
      <w:r w:rsidR="000A2A61" w:rsidRPr="008849C3">
        <w:rPr>
          <w:lang w:val="bg-BG"/>
        </w:rPr>
        <w:t xml:space="preserve"> и разпространението на кадрите от него са извършени от </w:t>
      </w:r>
      <w:r w:rsidR="000B4A13" w:rsidRPr="008849C3">
        <w:rPr>
          <w:lang w:val="bg-BG"/>
        </w:rPr>
        <w:t>пресцентъра на Министерство на вътрешните работи. С оглед на съвкупността от обстоятелствата по делото той счита, че записът и разпространението на тези кадри е било извършено без съгласието на жалбоподателя.</w:t>
      </w:r>
      <w:r w:rsidR="00FD1B80" w:rsidRPr="008849C3">
        <w:rPr>
          <w:lang w:val="bg-BG"/>
        </w:rPr>
        <w:t xml:space="preserve"> Счита обаче</w:t>
      </w:r>
      <w:r w:rsidR="000B4A13" w:rsidRPr="008849C3">
        <w:rPr>
          <w:lang w:val="bg-BG"/>
        </w:rPr>
        <w:t xml:space="preserve">, че </w:t>
      </w:r>
      <w:r w:rsidR="00FD1B80" w:rsidRPr="008849C3">
        <w:rPr>
          <w:lang w:val="bg-BG"/>
        </w:rPr>
        <w:t xml:space="preserve">липсата на изрично </w:t>
      </w:r>
      <w:r w:rsidR="00512915">
        <w:rPr>
          <w:lang w:val="bg-BG"/>
        </w:rPr>
        <w:t>възражение</w:t>
      </w:r>
      <w:r w:rsidR="00512915" w:rsidRPr="008849C3">
        <w:rPr>
          <w:lang w:val="bg-BG"/>
        </w:rPr>
        <w:t xml:space="preserve"> </w:t>
      </w:r>
      <w:r w:rsidR="00FD1B80" w:rsidRPr="008849C3">
        <w:rPr>
          <w:lang w:val="bg-BG"/>
        </w:rPr>
        <w:t>от страна на</w:t>
      </w:r>
      <w:r w:rsidR="00A66869">
        <w:rPr>
          <w:lang w:val="bg-BG"/>
        </w:rPr>
        <w:t xml:space="preserve"> последния не трябва да повлияе</w:t>
      </w:r>
      <w:r w:rsidR="00FD1B80" w:rsidRPr="008849C3">
        <w:rPr>
          <w:lang w:val="bg-BG"/>
        </w:rPr>
        <w:t xml:space="preserve"> на заключението му. </w:t>
      </w:r>
      <w:r w:rsidR="0081059E" w:rsidRPr="008849C3">
        <w:rPr>
          <w:lang w:val="bg-BG"/>
        </w:rPr>
        <w:t xml:space="preserve">Според Съда в конкретния случай се касае за намеса в правото върху собствения образ, право, което е неразделна част от </w:t>
      </w:r>
      <w:r w:rsidR="0081059E" w:rsidRPr="008849C3">
        <w:rPr>
          <w:lang w:val="bg-BG"/>
        </w:rPr>
        <w:lastRenderedPageBreak/>
        <w:t xml:space="preserve">понятието личен живот </w:t>
      </w:r>
      <w:r w:rsidRPr="008849C3">
        <w:rPr>
          <w:lang w:val="bg-BG"/>
        </w:rPr>
        <w:t>(</w:t>
      </w:r>
      <w:r w:rsidR="0081059E" w:rsidRPr="008849C3">
        <w:rPr>
          <w:lang w:val="bg-BG"/>
        </w:rPr>
        <w:t>в</w:t>
      </w:r>
      <w:r w:rsidR="00512915">
        <w:rPr>
          <w:lang w:val="bg-BG"/>
        </w:rPr>
        <w:t>ж.</w:t>
      </w:r>
      <w:r w:rsidR="00902A6C" w:rsidRPr="008849C3">
        <w:rPr>
          <w:lang w:val="bg-BG"/>
        </w:rPr>
        <w:t xml:space="preserve">, </w:t>
      </w:r>
      <w:r w:rsidR="0081059E" w:rsidRPr="008849C3">
        <w:rPr>
          <w:lang w:val="bg-BG"/>
        </w:rPr>
        <w:t>например</w:t>
      </w:r>
      <w:r w:rsidR="00902A6C" w:rsidRPr="008849C3">
        <w:rPr>
          <w:lang w:val="bg-BG"/>
        </w:rPr>
        <w:t xml:space="preserve">, </w:t>
      </w:r>
      <w:r w:rsidR="0081059E" w:rsidRPr="008849C3">
        <w:rPr>
          <w:i/>
          <w:lang w:val="bg-BG"/>
        </w:rPr>
        <w:t>Фон Хановер срещу Германия</w:t>
      </w:r>
      <w:r w:rsidR="0081059E" w:rsidRPr="008849C3">
        <w:rPr>
          <w:lang w:val="bg-BG"/>
        </w:rPr>
        <w:t>, №</w:t>
      </w:r>
      <w:r w:rsidR="00276C60" w:rsidRPr="008849C3">
        <w:rPr>
          <w:lang w:val="bg-BG"/>
        </w:rPr>
        <w:t> </w:t>
      </w:r>
      <w:r w:rsidRPr="008849C3">
        <w:rPr>
          <w:lang w:val="bg-BG"/>
        </w:rPr>
        <w:t xml:space="preserve">59320/00, § 50, </w:t>
      </w:r>
      <w:r w:rsidR="0081059E" w:rsidRPr="008849C3">
        <w:rPr>
          <w:lang w:val="bg-BG"/>
        </w:rPr>
        <w:t>ЕСПЧ</w:t>
      </w:r>
      <w:r w:rsidRPr="008849C3">
        <w:rPr>
          <w:lang w:val="bg-BG"/>
        </w:rPr>
        <w:t xml:space="preserve"> 2004</w:t>
      </w:r>
      <w:r w:rsidRPr="008849C3">
        <w:rPr>
          <w:lang w:val="bg-BG"/>
        </w:rPr>
        <w:noBreakHyphen/>
        <w:t>VI).</w:t>
      </w:r>
    </w:p>
    <w:p w:rsidR="00312814" w:rsidRPr="008849C3" w:rsidRDefault="00312814" w:rsidP="006B0E9F">
      <w:pPr>
        <w:pStyle w:val="ECHRPara"/>
        <w:rPr>
          <w:i/>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99</w:t>
      </w:r>
      <w:r w:rsidRPr="008849C3">
        <w:rPr>
          <w:lang w:val="bg-BG"/>
        </w:rPr>
        <w:fldChar w:fldCharType="end"/>
      </w:r>
      <w:r w:rsidRPr="008849C3">
        <w:rPr>
          <w:lang w:val="bg-BG"/>
        </w:rPr>
        <w:t>.  </w:t>
      </w:r>
      <w:r w:rsidR="0081059E" w:rsidRPr="008849C3">
        <w:rPr>
          <w:lang w:val="bg-BG"/>
        </w:rPr>
        <w:t>Съгласно</w:t>
      </w:r>
      <w:r w:rsidRPr="008849C3">
        <w:rPr>
          <w:lang w:val="bg-BG"/>
        </w:rPr>
        <w:t xml:space="preserve"> </w:t>
      </w:r>
      <w:r w:rsidR="00EC77E2" w:rsidRPr="008849C3">
        <w:rPr>
          <w:lang w:val="bg-BG"/>
        </w:rPr>
        <w:t>параграф</w:t>
      </w:r>
      <w:r w:rsidR="00816947" w:rsidRPr="008849C3">
        <w:rPr>
          <w:lang w:val="bg-BG"/>
        </w:rPr>
        <w:t xml:space="preserve"> 2</w:t>
      </w:r>
      <w:r w:rsidRPr="008849C3">
        <w:rPr>
          <w:lang w:val="bg-BG"/>
        </w:rPr>
        <w:t xml:space="preserve"> </w:t>
      </w:r>
      <w:r w:rsidR="0081059E" w:rsidRPr="008849C3">
        <w:rPr>
          <w:lang w:val="bg-BG"/>
        </w:rPr>
        <w:t>от</w:t>
      </w:r>
      <w:r w:rsidRPr="008849C3">
        <w:rPr>
          <w:lang w:val="bg-BG"/>
        </w:rPr>
        <w:t xml:space="preserve"> </w:t>
      </w:r>
      <w:r w:rsidR="00CA7BA4">
        <w:rPr>
          <w:lang w:val="bg-BG"/>
        </w:rPr>
        <w:t>чл.</w:t>
      </w:r>
      <w:r w:rsidRPr="008849C3">
        <w:rPr>
          <w:lang w:val="bg-BG"/>
        </w:rPr>
        <w:t xml:space="preserve"> 8</w:t>
      </w:r>
      <w:r w:rsidR="00816947" w:rsidRPr="008849C3">
        <w:rPr>
          <w:lang w:val="bg-BG"/>
        </w:rPr>
        <w:t xml:space="preserve"> </w:t>
      </w:r>
      <w:r w:rsidR="00CD3B92" w:rsidRPr="008849C3">
        <w:rPr>
          <w:lang w:val="bg-BG"/>
        </w:rPr>
        <w:t>от Конвенцията</w:t>
      </w:r>
      <w:r w:rsidRPr="008849C3">
        <w:rPr>
          <w:lang w:val="bg-BG"/>
        </w:rPr>
        <w:t xml:space="preserve">, </w:t>
      </w:r>
      <w:r w:rsidR="0081059E" w:rsidRPr="008849C3">
        <w:rPr>
          <w:lang w:val="bg-BG"/>
        </w:rPr>
        <w:t xml:space="preserve">за да бъде оправдана една такава намеса, тя най-напред трябва да бъде „предвидена от закона“. Въз основа на </w:t>
      </w:r>
      <w:r w:rsidR="00FE2F53" w:rsidRPr="008849C3">
        <w:rPr>
          <w:lang w:val="bg-BG"/>
        </w:rPr>
        <w:t xml:space="preserve">информацията, с която разполага, Съдът счита, че въпросът не е бил уреден от „закон“, отговарящ на критериите, поставени от съдебната му практика, но че по-скоро се касае за практика на органите на министерство на вътрешните работи, съпътстваща операциите, </w:t>
      </w:r>
      <w:r w:rsidR="00A66869">
        <w:rPr>
          <w:lang w:val="bg-BG"/>
        </w:rPr>
        <w:t>които предизвикват</w:t>
      </w:r>
      <w:r w:rsidR="00FE2F53" w:rsidRPr="008849C3">
        <w:rPr>
          <w:lang w:val="bg-BG"/>
        </w:rPr>
        <w:t xml:space="preserve"> голям интерес от страна на обществото и медиите. Решението </w:t>
      </w:r>
      <w:r w:rsidR="00FE2F53" w:rsidRPr="008849C3">
        <w:rPr>
          <w:i/>
          <w:lang w:val="bg-BG"/>
        </w:rPr>
        <w:t>Славов и други срещу България</w:t>
      </w:r>
      <w:r w:rsidRPr="008849C3">
        <w:rPr>
          <w:lang w:val="bg-BG"/>
        </w:rPr>
        <w:t xml:space="preserve"> </w:t>
      </w:r>
      <w:r w:rsidR="00816947" w:rsidRPr="008849C3">
        <w:rPr>
          <w:lang w:val="bg-BG"/>
        </w:rPr>
        <w:t>(</w:t>
      </w:r>
      <w:r w:rsidR="00FE2F53" w:rsidRPr="008849C3">
        <w:rPr>
          <w:lang w:val="bg-BG"/>
        </w:rPr>
        <w:t>№</w:t>
      </w:r>
      <w:r w:rsidRPr="008849C3">
        <w:rPr>
          <w:lang w:val="bg-BG"/>
        </w:rPr>
        <w:t xml:space="preserve"> 58500/10, § 37, 10 </w:t>
      </w:r>
      <w:r w:rsidR="00FE2F53" w:rsidRPr="008849C3">
        <w:rPr>
          <w:lang w:val="bg-BG"/>
        </w:rPr>
        <w:t>ноември</w:t>
      </w:r>
      <w:r w:rsidRPr="008849C3">
        <w:rPr>
          <w:lang w:val="bg-BG"/>
        </w:rPr>
        <w:t xml:space="preserve"> 2015</w:t>
      </w:r>
      <w:r w:rsidR="00FE2F53" w:rsidRPr="008849C3">
        <w:rPr>
          <w:lang w:val="bg-BG"/>
        </w:rPr>
        <w:t xml:space="preserve"> г.</w:t>
      </w:r>
      <w:r w:rsidRPr="008849C3">
        <w:rPr>
          <w:lang w:val="bg-BG"/>
        </w:rPr>
        <w:t>)</w:t>
      </w:r>
      <w:r w:rsidR="00816947" w:rsidRPr="008849C3">
        <w:rPr>
          <w:lang w:val="bg-BG"/>
        </w:rPr>
        <w:t xml:space="preserve"> </w:t>
      </w:r>
      <w:r w:rsidR="00FE2F53" w:rsidRPr="008849C3">
        <w:rPr>
          <w:lang w:val="bg-BG"/>
        </w:rPr>
        <w:t>дава друг пример за тази практика. Съдът отбелязва също, че българският НПК предвижда възможността да се правят видеозаписи в рамките на наказателното производство, когато става дума за събиране на доказателства, например при огледа на местопрестъпление</w:t>
      </w:r>
      <w:r w:rsidR="00941DD8" w:rsidRPr="008849C3">
        <w:rPr>
          <w:lang w:val="bg-BG"/>
        </w:rPr>
        <w:t>, при претърсване или при разпит</w:t>
      </w:r>
      <w:r w:rsidR="00816947" w:rsidRPr="008849C3">
        <w:rPr>
          <w:lang w:val="bg-BG"/>
        </w:rPr>
        <w:t xml:space="preserve"> </w:t>
      </w:r>
      <w:r w:rsidR="00AA581D" w:rsidRPr="008849C3">
        <w:rPr>
          <w:lang w:val="bg-BG"/>
        </w:rPr>
        <w:t>(</w:t>
      </w:r>
      <w:r w:rsidR="00EC77E2" w:rsidRPr="008849C3">
        <w:rPr>
          <w:lang w:val="bg-BG"/>
        </w:rPr>
        <w:t>параграф</w:t>
      </w:r>
      <w:r w:rsidR="00AA581D" w:rsidRPr="008849C3">
        <w:rPr>
          <w:lang w:val="bg-BG"/>
        </w:rPr>
        <w:t xml:space="preserve"> </w:t>
      </w:r>
      <w:r w:rsidR="008064F8" w:rsidRPr="008849C3">
        <w:rPr>
          <w:lang w:val="bg-BG"/>
        </w:rPr>
        <w:t>54</w:t>
      </w:r>
      <w:r w:rsidR="00AA581D" w:rsidRPr="008849C3">
        <w:rPr>
          <w:lang w:val="bg-BG"/>
        </w:rPr>
        <w:t xml:space="preserve"> </w:t>
      </w:r>
      <w:r w:rsidR="00EC77E2" w:rsidRPr="008849C3">
        <w:rPr>
          <w:lang w:val="bg-BG"/>
        </w:rPr>
        <w:t>по-горе</w:t>
      </w:r>
      <w:r w:rsidR="00AA581D" w:rsidRPr="008849C3">
        <w:rPr>
          <w:lang w:val="bg-BG"/>
        </w:rPr>
        <w:t>)</w:t>
      </w:r>
      <w:r w:rsidRPr="008849C3">
        <w:rPr>
          <w:lang w:val="bg-BG"/>
        </w:rPr>
        <w:t xml:space="preserve">. </w:t>
      </w:r>
      <w:r w:rsidR="00941DD8" w:rsidRPr="008849C3">
        <w:rPr>
          <w:lang w:val="bg-BG"/>
        </w:rPr>
        <w:t xml:space="preserve">В конкретния случай обаче са заснети и разпространени не следствените действия, извършени в помещенията, където жалбоподателят е бил арестуван, а самото </w:t>
      </w:r>
      <w:r w:rsidR="00512915">
        <w:rPr>
          <w:lang w:val="bg-BG"/>
        </w:rPr>
        <w:t>задържане</w:t>
      </w:r>
      <w:r w:rsidR="00512915" w:rsidRPr="008849C3">
        <w:rPr>
          <w:lang w:val="bg-BG"/>
        </w:rPr>
        <w:t xml:space="preserve"> </w:t>
      </w:r>
      <w:r w:rsidR="00941DD8" w:rsidRPr="008849C3">
        <w:rPr>
          <w:lang w:val="bg-BG"/>
        </w:rPr>
        <w:t xml:space="preserve">на лицето. Съответно пред Съда не е доказано, че разглежданата намеса е била предвидена от закона. </w:t>
      </w:r>
    </w:p>
    <w:p w:rsidR="0045033C" w:rsidRPr="008849C3" w:rsidRDefault="0031281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100</w:t>
      </w:r>
      <w:r w:rsidRPr="008849C3">
        <w:rPr>
          <w:lang w:val="bg-BG"/>
        </w:rPr>
        <w:fldChar w:fldCharType="end"/>
      </w:r>
      <w:r w:rsidRPr="008849C3">
        <w:rPr>
          <w:lang w:val="bg-BG"/>
        </w:rPr>
        <w:t>.  </w:t>
      </w:r>
      <w:r w:rsidR="00146B16" w:rsidRPr="008849C3">
        <w:rPr>
          <w:lang w:val="bg-BG"/>
        </w:rPr>
        <w:t xml:space="preserve">Тази констатация е достатъчна за Съда да заключи, че е налице нарушение на </w:t>
      </w:r>
      <w:r w:rsidR="00CA7BA4">
        <w:rPr>
          <w:lang w:val="bg-BG"/>
        </w:rPr>
        <w:t>чл.</w:t>
      </w:r>
      <w:r w:rsidR="00146B16" w:rsidRPr="008849C3">
        <w:rPr>
          <w:lang w:val="bg-BG"/>
        </w:rPr>
        <w:t xml:space="preserve"> </w:t>
      </w:r>
      <w:r w:rsidRPr="008849C3">
        <w:rPr>
          <w:lang w:val="bg-BG"/>
        </w:rPr>
        <w:t xml:space="preserve">8 </w:t>
      </w:r>
      <w:r w:rsidR="00CD3B92" w:rsidRPr="008849C3">
        <w:rPr>
          <w:lang w:val="bg-BG"/>
        </w:rPr>
        <w:t>от Конвенцията</w:t>
      </w:r>
      <w:r w:rsidR="00F611B1" w:rsidRPr="008849C3">
        <w:rPr>
          <w:lang w:val="bg-BG"/>
        </w:rPr>
        <w:t xml:space="preserve"> </w:t>
      </w:r>
      <w:r w:rsidR="00146B16" w:rsidRPr="008849C3">
        <w:rPr>
          <w:lang w:val="bg-BG"/>
        </w:rPr>
        <w:t xml:space="preserve">по отношение на медийното отразяване на </w:t>
      </w:r>
      <w:r w:rsidR="00512915">
        <w:rPr>
          <w:lang w:val="bg-BG"/>
        </w:rPr>
        <w:t>арестът</w:t>
      </w:r>
      <w:r w:rsidR="00512915" w:rsidRPr="008849C3">
        <w:rPr>
          <w:lang w:val="bg-BG"/>
        </w:rPr>
        <w:t xml:space="preserve"> </w:t>
      </w:r>
      <w:r w:rsidR="00146B16" w:rsidRPr="008849C3">
        <w:rPr>
          <w:lang w:val="bg-BG"/>
        </w:rPr>
        <w:t xml:space="preserve">на жалбоподателя. </w:t>
      </w:r>
    </w:p>
    <w:p w:rsidR="00762D90" w:rsidRPr="008849C3" w:rsidRDefault="005D329D" w:rsidP="006B0E9F">
      <w:pPr>
        <w:pStyle w:val="ECHRHeading3"/>
        <w:rPr>
          <w:lang w:val="bg-BG"/>
        </w:rPr>
      </w:pPr>
      <w:r w:rsidRPr="008849C3">
        <w:rPr>
          <w:lang w:val="bg-BG"/>
        </w:rPr>
        <w:t>2.  </w:t>
      </w:r>
      <w:r w:rsidR="00C36696" w:rsidRPr="008849C3">
        <w:rPr>
          <w:lang w:val="bg-BG"/>
        </w:rPr>
        <w:t xml:space="preserve">Оплакване, отнасящо се до претърсването и изземването, извършени в помещенията на нотариалната кантора </w:t>
      </w:r>
    </w:p>
    <w:p w:rsidR="005D329D" w:rsidRPr="008849C3" w:rsidRDefault="00762D90"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101</w:t>
      </w:r>
      <w:r w:rsidRPr="008849C3">
        <w:rPr>
          <w:lang w:val="bg-BG"/>
        </w:rPr>
        <w:fldChar w:fldCharType="end"/>
      </w:r>
      <w:r w:rsidRPr="008849C3">
        <w:rPr>
          <w:lang w:val="bg-BG"/>
        </w:rPr>
        <w:t>.  </w:t>
      </w:r>
      <w:r w:rsidR="004E0197" w:rsidRPr="008849C3">
        <w:rPr>
          <w:lang w:val="bg-BG"/>
        </w:rPr>
        <w:t xml:space="preserve">Жалбоподателите се оплакват, че нотариалната кантора на жалбоподателката е била претърсена без </w:t>
      </w:r>
      <w:r w:rsidR="00512915">
        <w:rPr>
          <w:lang w:val="bg-BG"/>
        </w:rPr>
        <w:t>разрешение от съдия</w:t>
      </w:r>
      <w:r w:rsidR="004E0197" w:rsidRPr="008849C3">
        <w:rPr>
          <w:lang w:val="bg-BG"/>
        </w:rPr>
        <w:t xml:space="preserve"> и че полиц</w:t>
      </w:r>
      <w:r w:rsidR="00512915">
        <w:rPr>
          <w:lang w:val="bg-BG"/>
        </w:rPr>
        <w:t>ейските служители</w:t>
      </w:r>
      <w:r w:rsidR="004E0197" w:rsidRPr="008849C3">
        <w:rPr>
          <w:lang w:val="bg-BG"/>
        </w:rPr>
        <w:t xml:space="preserve"> са иззели от нея мобилни телефони, собственост на жалбоподателя. Твърдят, че тези факти се разглеждат като намеса в правото им на неприкосновеност на жилището и на личния им живот, намеса, която, според тях, не е била предвидена от националното законодателство</w:t>
      </w:r>
      <w:r w:rsidR="00154CB1" w:rsidRPr="008849C3">
        <w:rPr>
          <w:lang w:val="bg-BG"/>
        </w:rPr>
        <w:t>, не  е преследвала н</w:t>
      </w:r>
      <w:r w:rsidR="00F52CA2">
        <w:rPr>
          <w:lang w:val="bg-BG"/>
        </w:rPr>
        <w:t>икаква законосъобразна цел и не</w:t>
      </w:r>
      <w:r w:rsidR="00154CB1" w:rsidRPr="008849C3">
        <w:rPr>
          <w:lang w:val="bg-BG"/>
        </w:rPr>
        <w:t xml:space="preserve"> е била необходима в едно демократично общество. </w:t>
      </w:r>
      <w:r w:rsidR="004E0197" w:rsidRPr="008849C3">
        <w:rPr>
          <w:lang w:val="bg-BG"/>
        </w:rPr>
        <w:t xml:space="preserve"> </w:t>
      </w:r>
    </w:p>
    <w:p w:rsidR="00D16BE9" w:rsidRPr="008849C3" w:rsidRDefault="00D16BE9"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102</w:t>
      </w:r>
      <w:r w:rsidRPr="008849C3">
        <w:rPr>
          <w:lang w:val="bg-BG"/>
        </w:rPr>
        <w:fldChar w:fldCharType="end"/>
      </w:r>
      <w:r w:rsidRPr="008849C3">
        <w:rPr>
          <w:lang w:val="bg-BG"/>
        </w:rPr>
        <w:t>.  </w:t>
      </w:r>
      <w:r w:rsidR="00F52CA2">
        <w:rPr>
          <w:lang w:val="bg-BG"/>
        </w:rPr>
        <w:t>Правителството не оспорва</w:t>
      </w:r>
      <w:r w:rsidR="00154CB1" w:rsidRPr="008849C3">
        <w:rPr>
          <w:lang w:val="bg-BG"/>
        </w:rPr>
        <w:t xml:space="preserve"> </w:t>
      </w:r>
      <w:r w:rsidR="00A55155">
        <w:rPr>
          <w:lang w:val="bg-BG"/>
        </w:rPr>
        <w:t>обстоятелствата</w:t>
      </w:r>
      <w:r w:rsidR="00154CB1" w:rsidRPr="008849C3">
        <w:rPr>
          <w:lang w:val="bg-BG"/>
        </w:rPr>
        <w:t>, съпътствали разглежданото претърсване и изземване, каквито са изложени от жалбоподателите. То е на мнение, че</w:t>
      </w:r>
      <w:r w:rsidR="00501A8F" w:rsidRPr="008849C3">
        <w:rPr>
          <w:lang w:val="bg-BG"/>
        </w:rPr>
        <w:t xml:space="preserve"> цитираните действия са били предвидени от закона, че са преследвали законосъобразна цел и че са били </w:t>
      </w:r>
      <w:r w:rsidR="00512915">
        <w:rPr>
          <w:lang w:val="bg-BG"/>
        </w:rPr>
        <w:t>съразмерни</w:t>
      </w:r>
      <w:r w:rsidR="00512915" w:rsidRPr="008849C3">
        <w:rPr>
          <w:lang w:val="bg-BG"/>
        </w:rPr>
        <w:t xml:space="preserve"> </w:t>
      </w:r>
      <w:r w:rsidR="00501A8F" w:rsidRPr="008849C3">
        <w:rPr>
          <w:lang w:val="bg-BG"/>
        </w:rPr>
        <w:t xml:space="preserve">на тази цел. </w:t>
      </w:r>
      <w:r w:rsidR="00154CB1" w:rsidRPr="008849C3">
        <w:rPr>
          <w:lang w:val="bg-BG"/>
        </w:rPr>
        <w:t xml:space="preserve"> </w:t>
      </w:r>
      <w:r w:rsidRPr="008849C3">
        <w:rPr>
          <w:lang w:val="bg-BG"/>
        </w:rPr>
        <w:t xml:space="preserve"> </w:t>
      </w:r>
    </w:p>
    <w:p w:rsidR="00741122" w:rsidRPr="008849C3" w:rsidRDefault="00321EA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103</w:t>
      </w:r>
      <w:r w:rsidRPr="008849C3">
        <w:rPr>
          <w:lang w:val="bg-BG"/>
        </w:rPr>
        <w:fldChar w:fldCharType="end"/>
      </w:r>
      <w:r w:rsidRPr="008849C3">
        <w:rPr>
          <w:lang w:val="bg-BG"/>
        </w:rPr>
        <w:t>.  </w:t>
      </w:r>
      <w:r w:rsidR="004866C2" w:rsidRPr="008849C3">
        <w:rPr>
          <w:lang w:val="bg-BG"/>
        </w:rPr>
        <w:t>Съдът счита</w:t>
      </w:r>
      <w:r w:rsidR="0007592C" w:rsidRPr="008849C3">
        <w:rPr>
          <w:lang w:val="bg-BG"/>
        </w:rPr>
        <w:t xml:space="preserve"> преди всичко</w:t>
      </w:r>
      <w:r w:rsidR="004866C2" w:rsidRPr="008849C3">
        <w:rPr>
          <w:lang w:val="bg-BG"/>
        </w:rPr>
        <w:t>, че</w:t>
      </w:r>
      <w:r w:rsidR="0007592C" w:rsidRPr="008849C3">
        <w:rPr>
          <w:lang w:val="bg-BG"/>
        </w:rPr>
        <w:t xml:space="preserve"> е имало намеса в упражняването от страна на жалбоподателя на правото му на неприкосновеност на жилището и в изпълняването на правото му на личен живот: офисът на жалбоподателката е бил претърсен и отговарящите за наказателното </w:t>
      </w:r>
      <w:r w:rsidR="00EA402D">
        <w:rPr>
          <w:lang w:val="bg-BG"/>
        </w:rPr>
        <w:lastRenderedPageBreak/>
        <w:t>производство</w:t>
      </w:r>
      <w:r w:rsidR="00EA402D" w:rsidRPr="008849C3">
        <w:rPr>
          <w:lang w:val="bg-BG"/>
        </w:rPr>
        <w:t xml:space="preserve"> </w:t>
      </w:r>
      <w:r w:rsidR="0007592C" w:rsidRPr="008849C3">
        <w:rPr>
          <w:lang w:val="bg-BG"/>
        </w:rPr>
        <w:t xml:space="preserve">са иззели вещи, принадлежащи на жалбоподателя. Следователно има основание да се установи дали тази намеса е била целесъобразна от гледна точка на </w:t>
      </w:r>
      <w:r w:rsidR="00EC77E2" w:rsidRPr="008849C3">
        <w:rPr>
          <w:lang w:val="bg-BG"/>
        </w:rPr>
        <w:t>параграф</w:t>
      </w:r>
      <w:r w:rsidR="00741122" w:rsidRPr="008849C3">
        <w:rPr>
          <w:lang w:val="bg-BG"/>
        </w:rPr>
        <w:t xml:space="preserve"> 2 </w:t>
      </w:r>
      <w:r w:rsidR="001C1416" w:rsidRPr="008849C3">
        <w:rPr>
          <w:lang w:val="bg-BG"/>
        </w:rPr>
        <w:t>от</w:t>
      </w:r>
      <w:r w:rsidR="00741122" w:rsidRPr="008849C3">
        <w:rPr>
          <w:lang w:val="bg-BG"/>
        </w:rPr>
        <w:t xml:space="preserve"> </w:t>
      </w:r>
      <w:r w:rsidR="00CA7BA4">
        <w:rPr>
          <w:lang w:val="bg-BG"/>
        </w:rPr>
        <w:t>чл.</w:t>
      </w:r>
      <w:r w:rsidR="00741122" w:rsidRPr="008849C3">
        <w:rPr>
          <w:lang w:val="bg-BG"/>
        </w:rPr>
        <w:t xml:space="preserve"> 8 </w:t>
      </w:r>
      <w:r w:rsidR="00CD3B92" w:rsidRPr="008849C3">
        <w:rPr>
          <w:lang w:val="bg-BG"/>
        </w:rPr>
        <w:t>от Конвенцията</w:t>
      </w:r>
      <w:r w:rsidR="00741122" w:rsidRPr="008849C3">
        <w:rPr>
          <w:lang w:val="bg-BG"/>
        </w:rPr>
        <w:t xml:space="preserve">, </w:t>
      </w:r>
      <w:r w:rsidR="001C1416" w:rsidRPr="008849C3">
        <w:rPr>
          <w:lang w:val="bg-BG"/>
        </w:rPr>
        <w:t xml:space="preserve">с други думи дали е била „предвидена от закона“, дали е преследвала една или повече законосъобразни цели и дали е била „необходима“, „в едно демократично общество“, за </w:t>
      </w:r>
      <w:r w:rsidR="00EA402D">
        <w:rPr>
          <w:lang w:val="bg-BG"/>
        </w:rPr>
        <w:t>постигането</w:t>
      </w:r>
      <w:r w:rsidR="00EA402D" w:rsidRPr="008849C3">
        <w:rPr>
          <w:lang w:val="bg-BG"/>
        </w:rPr>
        <w:t xml:space="preserve"> </w:t>
      </w:r>
      <w:r w:rsidR="001C1416" w:rsidRPr="008849C3">
        <w:rPr>
          <w:lang w:val="bg-BG"/>
        </w:rPr>
        <w:t xml:space="preserve">на тази или тези цели. </w:t>
      </w:r>
    </w:p>
    <w:p w:rsidR="00741122" w:rsidRPr="008849C3" w:rsidRDefault="0074112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104</w:t>
      </w:r>
      <w:r w:rsidRPr="008849C3">
        <w:rPr>
          <w:lang w:val="bg-BG"/>
        </w:rPr>
        <w:fldChar w:fldCharType="end"/>
      </w:r>
      <w:r w:rsidRPr="008849C3">
        <w:rPr>
          <w:lang w:val="bg-BG"/>
        </w:rPr>
        <w:t>.  </w:t>
      </w:r>
      <w:r w:rsidR="009A5938" w:rsidRPr="008849C3">
        <w:rPr>
          <w:lang w:val="bg-BG"/>
        </w:rPr>
        <w:t xml:space="preserve">Съдът припомня, че съгласно </w:t>
      </w:r>
      <w:r w:rsidR="00EA402D">
        <w:rPr>
          <w:lang w:val="bg-BG"/>
        </w:rPr>
        <w:t>утвърдената</w:t>
      </w:r>
      <w:r w:rsidR="00EA402D" w:rsidRPr="008849C3">
        <w:rPr>
          <w:lang w:val="bg-BG"/>
        </w:rPr>
        <w:t xml:space="preserve"> </w:t>
      </w:r>
      <w:r w:rsidR="00084E79" w:rsidRPr="008849C3">
        <w:rPr>
          <w:lang w:val="bg-BG"/>
        </w:rPr>
        <w:t>му съдебна практика думите „предвидена от закона“ предполагат, че намесата</w:t>
      </w:r>
      <w:r w:rsidR="00EA402D">
        <w:rPr>
          <w:lang w:val="bg-BG"/>
        </w:rPr>
        <w:t xml:space="preserve"> в правата</w:t>
      </w:r>
      <w:r w:rsidR="00084E79" w:rsidRPr="008849C3">
        <w:rPr>
          <w:lang w:val="bg-BG"/>
        </w:rPr>
        <w:t xml:space="preserve"> </w:t>
      </w:r>
      <w:r w:rsidR="00EA402D">
        <w:rPr>
          <w:lang w:val="bg-BG"/>
        </w:rPr>
        <w:t xml:space="preserve">съгласно </w:t>
      </w:r>
      <w:r w:rsidR="00CA7BA4">
        <w:rPr>
          <w:lang w:val="bg-BG"/>
        </w:rPr>
        <w:t>чл.</w:t>
      </w:r>
      <w:r w:rsidR="00084E79" w:rsidRPr="008849C3">
        <w:rPr>
          <w:lang w:val="bg-BG"/>
        </w:rPr>
        <w:t xml:space="preserve"> 8</w:t>
      </w:r>
      <w:r w:rsidR="00EA402D">
        <w:rPr>
          <w:lang w:val="bg-BG"/>
        </w:rPr>
        <w:t xml:space="preserve"> от Конвенцията</w:t>
      </w:r>
      <w:r w:rsidR="00084E79" w:rsidRPr="008849C3">
        <w:rPr>
          <w:lang w:val="bg-BG"/>
        </w:rPr>
        <w:t xml:space="preserve"> следва да </w:t>
      </w:r>
      <w:r w:rsidR="00EA402D">
        <w:rPr>
          <w:lang w:val="bg-BG"/>
        </w:rPr>
        <w:t>се основава</w:t>
      </w:r>
      <w:r w:rsidR="00EA402D" w:rsidRPr="008849C3">
        <w:rPr>
          <w:lang w:val="bg-BG"/>
        </w:rPr>
        <w:t xml:space="preserve"> </w:t>
      </w:r>
      <w:r w:rsidR="00084E79" w:rsidRPr="008849C3">
        <w:rPr>
          <w:lang w:val="bg-BG"/>
        </w:rPr>
        <w:t>на вътрешн</w:t>
      </w:r>
      <w:r w:rsidR="00EA402D">
        <w:rPr>
          <w:lang w:val="bg-BG"/>
        </w:rPr>
        <w:t xml:space="preserve">оправно </w:t>
      </w:r>
      <w:r w:rsidR="00084E79" w:rsidRPr="008849C3">
        <w:rPr>
          <w:lang w:val="bg-BG"/>
        </w:rPr>
        <w:t>основа</w:t>
      </w:r>
      <w:r w:rsidR="00EA402D">
        <w:rPr>
          <w:lang w:val="bg-BG"/>
        </w:rPr>
        <w:t>ние</w:t>
      </w:r>
      <w:r w:rsidR="00084E79" w:rsidRPr="008849C3">
        <w:rPr>
          <w:lang w:val="bg-BG"/>
        </w:rPr>
        <w:t xml:space="preserve">, че въпросното законодателство трябва да бъде достатъчно достъпно и предвидимо, както и да отговаря на принципа за върховенство на правото </w:t>
      </w:r>
      <w:r w:rsidRPr="008849C3">
        <w:rPr>
          <w:lang w:val="bg-BG"/>
        </w:rPr>
        <w:t>(</w:t>
      </w:r>
      <w:r w:rsidR="00084E79" w:rsidRPr="008849C3">
        <w:rPr>
          <w:rFonts w:ascii="Times New Roman" w:eastAsia="Times New Roman" w:hAnsi="Times New Roman" w:cs="Times New Roman"/>
          <w:szCs w:val="20"/>
          <w:lang w:val="bg-BG"/>
        </w:rPr>
        <w:t>в</w:t>
      </w:r>
      <w:r w:rsidR="00EA402D">
        <w:rPr>
          <w:rFonts w:ascii="Times New Roman" w:eastAsia="Times New Roman" w:hAnsi="Times New Roman" w:cs="Times New Roman"/>
          <w:szCs w:val="20"/>
          <w:lang w:val="bg-BG"/>
        </w:rPr>
        <w:t>ж.</w:t>
      </w:r>
      <w:r w:rsidR="00084E79" w:rsidRPr="008849C3">
        <w:rPr>
          <w:rFonts w:ascii="Times New Roman" w:eastAsia="Times New Roman" w:hAnsi="Times New Roman" w:cs="Times New Roman"/>
          <w:szCs w:val="20"/>
          <w:lang w:val="bg-BG"/>
        </w:rPr>
        <w:t xml:space="preserve">, наред с много други, </w:t>
      </w:r>
      <w:proofErr w:type="spellStart"/>
      <w:r w:rsidR="00084E79" w:rsidRPr="008849C3">
        <w:rPr>
          <w:rFonts w:ascii="Times New Roman" w:eastAsia="Times New Roman" w:hAnsi="Times New Roman" w:cs="Times New Roman"/>
          <w:i/>
          <w:szCs w:val="20"/>
          <w:lang w:val="bg-BG"/>
        </w:rPr>
        <w:t>Ротару</w:t>
      </w:r>
      <w:proofErr w:type="spellEnd"/>
      <w:r w:rsidR="00084E79" w:rsidRPr="008849C3">
        <w:rPr>
          <w:rFonts w:ascii="Times New Roman" w:eastAsia="Times New Roman" w:hAnsi="Times New Roman" w:cs="Times New Roman"/>
          <w:i/>
          <w:szCs w:val="20"/>
          <w:lang w:val="bg-BG"/>
        </w:rPr>
        <w:t xml:space="preserve"> срещу Румъния</w:t>
      </w:r>
      <w:r w:rsidRPr="008849C3">
        <w:rPr>
          <w:lang w:val="bg-BG"/>
        </w:rPr>
        <w:t xml:space="preserve"> </w:t>
      </w:r>
      <w:r w:rsidR="00084E79" w:rsidRPr="008849C3">
        <w:rPr>
          <w:i/>
          <w:lang w:val="bg-BG"/>
        </w:rPr>
        <w:t>(</w:t>
      </w:r>
      <w:proofErr w:type="spellStart"/>
      <w:r w:rsidRPr="008849C3">
        <w:rPr>
          <w:i/>
          <w:lang w:val="bg-BG"/>
        </w:rPr>
        <w:t>Rotaru</w:t>
      </w:r>
      <w:proofErr w:type="spellEnd"/>
      <w:r w:rsidRPr="008849C3">
        <w:rPr>
          <w:i/>
          <w:lang w:val="bg-BG"/>
        </w:rPr>
        <w:t xml:space="preserve"> c. </w:t>
      </w:r>
      <w:proofErr w:type="spellStart"/>
      <w:r w:rsidRPr="008849C3">
        <w:rPr>
          <w:i/>
          <w:lang w:val="bg-BG"/>
        </w:rPr>
        <w:t>Roumanie</w:t>
      </w:r>
      <w:proofErr w:type="spellEnd"/>
      <w:r w:rsidR="00084E79" w:rsidRPr="008849C3">
        <w:rPr>
          <w:i/>
          <w:lang w:val="bg-BG"/>
        </w:rPr>
        <w:t>)</w:t>
      </w:r>
      <w:r w:rsidRPr="008849C3">
        <w:rPr>
          <w:lang w:val="bg-BG"/>
        </w:rPr>
        <w:t xml:space="preserve"> [</w:t>
      </w:r>
      <w:r w:rsidR="00084E79" w:rsidRPr="008849C3">
        <w:rPr>
          <w:lang w:val="bg-BG"/>
        </w:rPr>
        <w:t>ГК], №</w:t>
      </w:r>
      <w:r w:rsidR="00276C60" w:rsidRPr="008849C3">
        <w:rPr>
          <w:lang w:val="bg-BG"/>
        </w:rPr>
        <w:t xml:space="preserve"> 28341/95, § </w:t>
      </w:r>
      <w:r w:rsidR="0050654E" w:rsidRPr="008849C3">
        <w:rPr>
          <w:lang w:val="bg-BG"/>
        </w:rPr>
        <w:t xml:space="preserve">52, </w:t>
      </w:r>
      <w:r w:rsidR="00084E79" w:rsidRPr="008849C3">
        <w:rPr>
          <w:lang w:val="bg-BG"/>
        </w:rPr>
        <w:t>ЕСПЧ</w:t>
      </w:r>
      <w:r w:rsidR="0050654E" w:rsidRPr="008849C3">
        <w:rPr>
          <w:lang w:val="bg-BG"/>
        </w:rPr>
        <w:t> </w:t>
      </w:r>
      <w:r w:rsidRPr="008849C3">
        <w:rPr>
          <w:lang w:val="bg-BG"/>
        </w:rPr>
        <w:t>2000</w:t>
      </w:r>
      <w:r w:rsidRPr="008849C3">
        <w:rPr>
          <w:lang w:val="bg-BG"/>
        </w:rPr>
        <w:noBreakHyphen/>
        <w:t xml:space="preserve">V, </w:t>
      </w:r>
      <w:proofErr w:type="spellStart"/>
      <w:r w:rsidR="00084E79" w:rsidRPr="008849C3">
        <w:rPr>
          <w:rFonts w:ascii="Times New Roman" w:eastAsia="Times New Roman" w:hAnsi="Times New Roman" w:cs="Times New Roman"/>
          <w:i/>
          <w:szCs w:val="20"/>
          <w:lang w:val="bg-BG"/>
        </w:rPr>
        <w:t>Либърти</w:t>
      </w:r>
      <w:proofErr w:type="spellEnd"/>
      <w:r w:rsidR="00084E79" w:rsidRPr="008849C3">
        <w:rPr>
          <w:rFonts w:ascii="Times New Roman" w:eastAsia="Times New Roman" w:hAnsi="Times New Roman" w:cs="Times New Roman"/>
          <w:i/>
          <w:szCs w:val="20"/>
          <w:lang w:val="bg-BG"/>
        </w:rPr>
        <w:t xml:space="preserve"> и други срещу Обединеното кралство (</w:t>
      </w:r>
      <w:proofErr w:type="spellStart"/>
      <w:r w:rsidRPr="008849C3">
        <w:rPr>
          <w:i/>
          <w:lang w:val="bg-BG"/>
        </w:rPr>
        <w:t>Liberty</w:t>
      </w:r>
      <w:proofErr w:type="spellEnd"/>
      <w:r w:rsidRPr="008849C3">
        <w:rPr>
          <w:i/>
          <w:lang w:val="bg-BG"/>
        </w:rPr>
        <w:t xml:space="preserve"> </w:t>
      </w:r>
      <w:proofErr w:type="spellStart"/>
      <w:r w:rsidRPr="008849C3">
        <w:rPr>
          <w:i/>
          <w:lang w:val="bg-BG"/>
        </w:rPr>
        <w:t>et</w:t>
      </w:r>
      <w:proofErr w:type="spellEnd"/>
      <w:r w:rsidRPr="008849C3">
        <w:rPr>
          <w:i/>
          <w:lang w:val="bg-BG"/>
        </w:rPr>
        <w:t xml:space="preserve"> </w:t>
      </w:r>
      <w:proofErr w:type="spellStart"/>
      <w:r w:rsidRPr="008849C3">
        <w:rPr>
          <w:i/>
          <w:lang w:val="bg-BG"/>
        </w:rPr>
        <w:t>autres</w:t>
      </w:r>
      <w:proofErr w:type="spellEnd"/>
      <w:r w:rsidRPr="008849C3">
        <w:rPr>
          <w:i/>
          <w:lang w:val="bg-BG"/>
        </w:rPr>
        <w:t xml:space="preserve"> c. </w:t>
      </w:r>
      <w:proofErr w:type="spellStart"/>
      <w:r w:rsidRPr="008849C3">
        <w:rPr>
          <w:i/>
          <w:lang w:val="bg-BG"/>
        </w:rPr>
        <w:t>Royaume-Uni</w:t>
      </w:r>
      <w:proofErr w:type="spellEnd"/>
      <w:r w:rsidR="00084E79" w:rsidRPr="008849C3">
        <w:rPr>
          <w:i/>
          <w:lang w:val="bg-BG"/>
        </w:rPr>
        <w:t>)</w:t>
      </w:r>
      <w:r w:rsidR="00084E79" w:rsidRPr="008849C3">
        <w:rPr>
          <w:lang w:val="bg-BG"/>
        </w:rPr>
        <w:t xml:space="preserve">, № </w:t>
      </w:r>
      <w:r w:rsidRPr="008849C3">
        <w:rPr>
          <w:lang w:val="bg-BG"/>
        </w:rPr>
        <w:t xml:space="preserve">58243/00, § 59, </w:t>
      </w:r>
      <w:r w:rsidR="00084E79" w:rsidRPr="008849C3">
        <w:rPr>
          <w:lang w:val="bg-BG"/>
        </w:rPr>
        <w:t>1 юли</w:t>
      </w:r>
      <w:r w:rsidR="00276C60" w:rsidRPr="008849C3">
        <w:rPr>
          <w:lang w:val="bg-BG"/>
        </w:rPr>
        <w:t xml:space="preserve"> </w:t>
      </w:r>
      <w:r w:rsidRPr="008849C3">
        <w:rPr>
          <w:lang w:val="bg-BG"/>
        </w:rPr>
        <w:t>2008</w:t>
      </w:r>
      <w:r w:rsidR="00084E79" w:rsidRPr="008849C3">
        <w:rPr>
          <w:lang w:val="bg-BG"/>
        </w:rPr>
        <w:t xml:space="preserve"> г.</w:t>
      </w:r>
      <w:r w:rsidRPr="008849C3">
        <w:rPr>
          <w:lang w:val="bg-BG"/>
        </w:rPr>
        <w:t xml:space="preserve">, </w:t>
      </w:r>
      <w:r w:rsidR="00084E79" w:rsidRPr="008849C3">
        <w:rPr>
          <w:lang w:val="bg-BG"/>
        </w:rPr>
        <w:t>и</w:t>
      </w:r>
      <w:r w:rsidRPr="008849C3">
        <w:rPr>
          <w:lang w:val="bg-BG"/>
        </w:rPr>
        <w:t xml:space="preserve"> </w:t>
      </w:r>
      <w:proofErr w:type="spellStart"/>
      <w:r w:rsidR="00084E79" w:rsidRPr="008849C3">
        <w:rPr>
          <w:i/>
          <w:lang w:val="bg-BG"/>
        </w:rPr>
        <w:t>Хейно</w:t>
      </w:r>
      <w:proofErr w:type="spellEnd"/>
      <w:r w:rsidR="00084E79" w:rsidRPr="008849C3">
        <w:rPr>
          <w:i/>
          <w:lang w:val="bg-BG"/>
        </w:rPr>
        <w:t xml:space="preserve"> срещу Финландия (</w:t>
      </w:r>
      <w:proofErr w:type="spellStart"/>
      <w:r w:rsidRPr="008849C3">
        <w:rPr>
          <w:i/>
          <w:lang w:val="bg-BG"/>
        </w:rPr>
        <w:t>Heino</w:t>
      </w:r>
      <w:proofErr w:type="spellEnd"/>
      <w:r w:rsidRPr="008849C3">
        <w:rPr>
          <w:i/>
          <w:lang w:val="bg-BG"/>
        </w:rPr>
        <w:t xml:space="preserve"> c. </w:t>
      </w:r>
      <w:proofErr w:type="spellStart"/>
      <w:r w:rsidRPr="008849C3">
        <w:rPr>
          <w:i/>
          <w:lang w:val="bg-BG"/>
        </w:rPr>
        <w:t>Finlande</w:t>
      </w:r>
      <w:proofErr w:type="spellEnd"/>
      <w:r w:rsidR="00084E79" w:rsidRPr="008849C3">
        <w:rPr>
          <w:i/>
          <w:lang w:val="bg-BG"/>
        </w:rPr>
        <w:t>)</w:t>
      </w:r>
      <w:r w:rsidR="00084E79" w:rsidRPr="008849C3">
        <w:rPr>
          <w:lang w:val="bg-BG"/>
        </w:rPr>
        <w:t>, №</w:t>
      </w:r>
      <w:r w:rsidRPr="008849C3">
        <w:rPr>
          <w:lang w:val="bg-BG"/>
        </w:rPr>
        <w:t xml:space="preserve"> 56720/09, § 36, 15 </w:t>
      </w:r>
      <w:r w:rsidR="00084E79" w:rsidRPr="008849C3">
        <w:rPr>
          <w:lang w:val="bg-BG"/>
        </w:rPr>
        <w:t>февруари</w:t>
      </w:r>
      <w:r w:rsidRPr="008849C3">
        <w:rPr>
          <w:lang w:val="bg-BG"/>
        </w:rPr>
        <w:t xml:space="preserve"> 2011</w:t>
      </w:r>
      <w:r w:rsidR="00084E79" w:rsidRPr="008849C3">
        <w:rPr>
          <w:lang w:val="bg-BG"/>
        </w:rPr>
        <w:t xml:space="preserve"> г.</w:t>
      </w:r>
      <w:r w:rsidR="006F4032" w:rsidRPr="008849C3">
        <w:rPr>
          <w:lang w:val="bg-BG"/>
        </w:rPr>
        <w:t>)</w:t>
      </w:r>
      <w:r w:rsidRPr="008849C3">
        <w:rPr>
          <w:lang w:val="bg-BG"/>
        </w:rPr>
        <w:t>.</w:t>
      </w:r>
    </w:p>
    <w:p w:rsidR="00C6178D" w:rsidRPr="008849C3" w:rsidRDefault="00741122"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105</w:t>
      </w:r>
      <w:r w:rsidRPr="008849C3">
        <w:rPr>
          <w:lang w:val="bg-BG"/>
        </w:rPr>
        <w:fldChar w:fldCharType="end"/>
      </w:r>
      <w:r w:rsidRPr="008849C3">
        <w:rPr>
          <w:lang w:val="bg-BG"/>
        </w:rPr>
        <w:t>.  </w:t>
      </w:r>
      <w:r w:rsidR="00EA402D">
        <w:rPr>
          <w:lang w:val="bg-BG"/>
        </w:rPr>
        <w:t>Що се отнася до</w:t>
      </w:r>
      <w:r w:rsidR="00084E79" w:rsidRPr="008849C3">
        <w:rPr>
          <w:lang w:val="bg-BG"/>
        </w:rPr>
        <w:t xml:space="preserve"> обстоятелствата по делото, Съдът отбелязва, че спорните претърсване и изземване </w:t>
      </w:r>
      <w:r w:rsidR="00EA402D">
        <w:rPr>
          <w:lang w:val="bg-BG"/>
        </w:rPr>
        <w:t>се основават</w:t>
      </w:r>
      <w:r w:rsidR="00084E79" w:rsidRPr="008849C3">
        <w:rPr>
          <w:lang w:val="bg-BG"/>
        </w:rPr>
        <w:t xml:space="preserve"> на </w:t>
      </w:r>
      <w:r w:rsidR="00CA7BA4">
        <w:rPr>
          <w:lang w:val="bg-BG"/>
        </w:rPr>
        <w:t>чл</w:t>
      </w:r>
      <w:r w:rsidR="00EA402D">
        <w:rPr>
          <w:lang w:val="bg-BG"/>
        </w:rPr>
        <w:t>.</w:t>
      </w:r>
      <w:r w:rsidR="00084E79" w:rsidRPr="008849C3">
        <w:rPr>
          <w:lang w:val="bg-BG"/>
        </w:rPr>
        <w:t xml:space="preserve"> 160 и 161 от НПК</w:t>
      </w:r>
      <w:r w:rsidR="00FC0841" w:rsidRPr="008849C3">
        <w:rPr>
          <w:lang w:val="bg-BG"/>
        </w:rPr>
        <w:t xml:space="preserve"> </w:t>
      </w:r>
      <w:r w:rsidRPr="008849C3">
        <w:rPr>
          <w:lang w:val="bg-BG"/>
        </w:rPr>
        <w:t>(</w:t>
      </w:r>
      <w:r w:rsidR="00EC77E2" w:rsidRPr="008849C3">
        <w:rPr>
          <w:lang w:val="bg-BG"/>
        </w:rPr>
        <w:t>параграф</w:t>
      </w:r>
      <w:r w:rsidRPr="008849C3">
        <w:rPr>
          <w:lang w:val="bg-BG"/>
        </w:rPr>
        <w:t xml:space="preserve"> </w:t>
      </w:r>
      <w:r w:rsidR="00975ECD" w:rsidRPr="008849C3">
        <w:rPr>
          <w:lang w:val="bg-BG"/>
        </w:rPr>
        <w:t>49</w:t>
      </w:r>
      <w:r w:rsidRPr="008849C3">
        <w:rPr>
          <w:lang w:val="bg-BG"/>
        </w:rPr>
        <w:t xml:space="preserve"> </w:t>
      </w:r>
      <w:r w:rsidR="00EC77E2" w:rsidRPr="008849C3">
        <w:rPr>
          <w:lang w:val="bg-BG"/>
        </w:rPr>
        <w:t>по-горе</w:t>
      </w:r>
      <w:r w:rsidRPr="008849C3">
        <w:rPr>
          <w:lang w:val="bg-BG"/>
        </w:rPr>
        <w:t>)</w:t>
      </w:r>
      <w:r w:rsidR="00FC0841" w:rsidRPr="008849C3">
        <w:rPr>
          <w:lang w:val="bg-BG"/>
        </w:rPr>
        <w:t>, които изискват или предварителното съгласие или последващото одобрение от съдия. Трябва да се отбележи, че Правителството не е представило нито разрешение от съдия, нито обосновано съдебно решение, одобряващо</w:t>
      </w:r>
      <w:r w:rsidRPr="008849C3">
        <w:rPr>
          <w:lang w:val="bg-BG"/>
        </w:rPr>
        <w:t xml:space="preserve"> </w:t>
      </w:r>
      <w:r w:rsidR="005C6914" w:rsidRPr="008849C3">
        <w:rPr>
          <w:i/>
          <w:lang w:val="bg-BG"/>
        </w:rPr>
        <w:t xml:space="preserve">a </w:t>
      </w:r>
      <w:proofErr w:type="spellStart"/>
      <w:r w:rsidR="005C6914" w:rsidRPr="008849C3">
        <w:rPr>
          <w:i/>
          <w:lang w:val="bg-BG"/>
        </w:rPr>
        <w:t>posteriori</w:t>
      </w:r>
      <w:proofErr w:type="spellEnd"/>
      <w:r w:rsidRPr="008849C3">
        <w:rPr>
          <w:lang w:val="bg-BG"/>
        </w:rPr>
        <w:t xml:space="preserve"> </w:t>
      </w:r>
      <w:r w:rsidR="00FC0841" w:rsidRPr="008849C3">
        <w:rPr>
          <w:lang w:val="bg-BG"/>
        </w:rPr>
        <w:t xml:space="preserve">разглежданите следствени </w:t>
      </w:r>
      <w:r w:rsidR="00EA402D">
        <w:rPr>
          <w:lang w:val="bg-BG"/>
        </w:rPr>
        <w:t>мерси</w:t>
      </w:r>
      <w:r w:rsidR="00FC0841" w:rsidRPr="008849C3">
        <w:rPr>
          <w:lang w:val="bg-BG"/>
        </w:rPr>
        <w:t xml:space="preserve">. Следователно Съдът счита, че не е доказано, че разглежданата намеса е била предвидена от закона </w:t>
      </w:r>
      <w:r w:rsidR="00EA402D">
        <w:rPr>
          <w:lang w:val="bg-BG"/>
        </w:rPr>
        <w:t>по</w:t>
      </w:r>
      <w:r w:rsidR="00EA402D" w:rsidRPr="008849C3">
        <w:rPr>
          <w:lang w:val="bg-BG"/>
        </w:rPr>
        <w:t xml:space="preserve"> </w:t>
      </w:r>
      <w:r w:rsidR="00CA7BA4">
        <w:rPr>
          <w:lang w:val="bg-BG"/>
        </w:rPr>
        <w:t>чл.</w:t>
      </w:r>
      <w:r w:rsidRPr="008849C3">
        <w:rPr>
          <w:lang w:val="bg-BG"/>
        </w:rPr>
        <w:t xml:space="preserve"> 8 § 2 </w:t>
      </w:r>
      <w:r w:rsidR="00CD3B92" w:rsidRPr="008849C3">
        <w:rPr>
          <w:lang w:val="bg-BG"/>
        </w:rPr>
        <w:t>от Конвенцията</w:t>
      </w:r>
      <w:r w:rsidR="00C75E75" w:rsidRPr="008849C3">
        <w:rPr>
          <w:lang w:val="bg-BG"/>
        </w:rPr>
        <w:t>.</w:t>
      </w:r>
    </w:p>
    <w:p w:rsidR="00C75E75" w:rsidRPr="008849C3" w:rsidRDefault="00C75E75"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106</w:t>
      </w:r>
      <w:r w:rsidRPr="008849C3">
        <w:rPr>
          <w:lang w:val="bg-BG"/>
        </w:rPr>
        <w:fldChar w:fldCharType="end"/>
      </w:r>
      <w:r w:rsidRPr="008849C3">
        <w:rPr>
          <w:lang w:val="bg-BG"/>
        </w:rPr>
        <w:t>.  </w:t>
      </w:r>
      <w:r w:rsidR="007605A3" w:rsidRPr="008849C3">
        <w:rPr>
          <w:lang w:val="bg-BG"/>
        </w:rPr>
        <w:t xml:space="preserve">Следователно налице е нарушение на </w:t>
      </w:r>
      <w:r w:rsidR="00CA7BA4">
        <w:rPr>
          <w:lang w:val="bg-BG"/>
        </w:rPr>
        <w:t>чл.</w:t>
      </w:r>
      <w:r w:rsidRPr="008849C3">
        <w:rPr>
          <w:lang w:val="bg-BG"/>
        </w:rPr>
        <w:t xml:space="preserve"> 8 </w:t>
      </w:r>
      <w:r w:rsidR="00CD3B92" w:rsidRPr="008849C3">
        <w:rPr>
          <w:lang w:val="bg-BG"/>
        </w:rPr>
        <w:t>от Конвенцията</w:t>
      </w:r>
      <w:r w:rsidR="007605A3" w:rsidRPr="008849C3">
        <w:rPr>
          <w:lang w:val="bg-BG"/>
        </w:rPr>
        <w:t xml:space="preserve"> по отношение на претърсването и изземването</w:t>
      </w:r>
      <w:r w:rsidR="00EA402D">
        <w:rPr>
          <w:lang w:val="bg-BG"/>
        </w:rPr>
        <w:t xml:space="preserve"> в помещенията </w:t>
      </w:r>
      <w:r w:rsidR="007605A3" w:rsidRPr="008849C3">
        <w:rPr>
          <w:lang w:val="bg-BG"/>
        </w:rPr>
        <w:t>на нотариалната кантора</w:t>
      </w:r>
      <w:r w:rsidRPr="008849C3">
        <w:rPr>
          <w:lang w:val="bg-BG"/>
        </w:rPr>
        <w:t>.</w:t>
      </w:r>
    </w:p>
    <w:p w:rsidR="00E77CB3" w:rsidRPr="008849C3" w:rsidRDefault="00057673" w:rsidP="006B0E9F">
      <w:pPr>
        <w:pStyle w:val="ECHRHeading1"/>
        <w:rPr>
          <w:lang w:val="bg-BG"/>
        </w:rPr>
      </w:pPr>
      <w:r w:rsidRPr="008849C3">
        <w:rPr>
          <w:lang w:val="bg-BG"/>
        </w:rPr>
        <w:t>IV</w:t>
      </w:r>
      <w:r w:rsidR="00E77CB3" w:rsidRPr="008849C3">
        <w:rPr>
          <w:lang w:val="bg-BG"/>
        </w:rPr>
        <w:t>. </w:t>
      </w:r>
      <w:r w:rsidR="007605A3" w:rsidRPr="008849C3">
        <w:rPr>
          <w:lang w:val="bg-BG"/>
        </w:rPr>
        <w:t>ТВЪРДЯН</w:t>
      </w:r>
      <w:r w:rsidR="0090646E">
        <w:rPr>
          <w:lang w:val="bg-BG"/>
        </w:rPr>
        <w:t>О</w:t>
      </w:r>
      <w:r w:rsidR="007605A3" w:rsidRPr="008849C3">
        <w:rPr>
          <w:lang w:val="bg-BG"/>
        </w:rPr>
        <w:t xml:space="preserve"> НАРУШЕНИЕ НА </w:t>
      </w:r>
      <w:r w:rsidR="00733B74" w:rsidRPr="008849C3">
        <w:rPr>
          <w:lang w:val="bg-BG"/>
        </w:rPr>
        <w:t>ЧЛ.</w:t>
      </w:r>
      <w:r w:rsidR="00E77CB3" w:rsidRPr="008849C3">
        <w:rPr>
          <w:lang w:val="bg-BG"/>
        </w:rPr>
        <w:t xml:space="preserve"> </w:t>
      </w:r>
      <w:r w:rsidR="002738EF" w:rsidRPr="008849C3">
        <w:rPr>
          <w:lang w:val="bg-BG"/>
        </w:rPr>
        <w:t xml:space="preserve">1 </w:t>
      </w:r>
      <w:r w:rsidR="007605A3" w:rsidRPr="008849C3">
        <w:rPr>
          <w:lang w:val="bg-BG"/>
        </w:rPr>
        <w:t>ОТ ПРОТОКОЛ №</w:t>
      </w:r>
      <w:r w:rsidR="002738EF" w:rsidRPr="008849C3">
        <w:rPr>
          <w:lang w:val="bg-BG"/>
        </w:rPr>
        <w:t xml:space="preserve"> 1</w:t>
      </w:r>
      <w:r w:rsidR="00E77CB3" w:rsidRPr="008849C3">
        <w:rPr>
          <w:lang w:val="bg-BG"/>
        </w:rPr>
        <w:t xml:space="preserve"> </w:t>
      </w:r>
      <w:r w:rsidR="007605A3" w:rsidRPr="008849C3">
        <w:rPr>
          <w:rFonts w:cstheme="majorHAnsi"/>
          <w:lang w:val="bg-BG"/>
        </w:rPr>
        <w:t>КЪМ КОНВЕНЦИЯТА</w:t>
      </w:r>
    </w:p>
    <w:p w:rsidR="00E25620"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107</w:t>
      </w:r>
      <w:r w:rsidRPr="008849C3">
        <w:rPr>
          <w:lang w:val="bg-BG"/>
        </w:rPr>
        <w:fldChar w:fldCharType="end"/>
      </w:r>
      <w:r w:rsidR="00E77CB3" w:rsidRPr="008849C3">
        <w:rPr>
          <w:lang w:val="bg-BG"/>
        </w:rPr>
        <w:t>.  </w:t>
      </w:r>
      <w:r w:rsidR="0090646E">
        <w:rPr>
          <w:lang w:val="bg-BG"/>
        </w:rPr>
        <w:t>Позовавайки се</w:t>
      </w:r>
      <w:r w:rsidR="007605A3" w:rsidRPr="008849C3">
        <w:rPr>
          <w:lang w:val="bg-BG"/>
        </w:rPr>
        <w:t xml:space="preserve"> на</w:t>
      </w:r>
      <w:r w:rsidR="00E25620" w:rsidRPr="008849C3">
        <w:rPr>
          <w:lang w:val="bg-BG"/>
        </w:rPr>
        <w:t xml:space="preserve"> </w:t>
      </w:r>
      <w:r w:rsidR="00CA7BA4">
        <w:rPr>
          <w:lang w:val="bg-BG"/>
        </w:rPr>
        <w:t>чл.</w:t>
      </w:r>
      <w:r w:rsidR="00E25620" w:rsidRPr="008849C3">
        <w:rPr>
          <w:lang w:val="bg-BG"/>
        </w:rPr>
        <w:t xml:space="preserve"> 6 § 1 </w:t>
      </w:r>
      <w:r w:rsidR="00CD3B92" w:rsidRPr="008849C3">
        <w:rPr>
          <w:lang w:val="bg-BG"/>
        </w:rPr>
        <w:t>от Конвенцията</w:t>
      </w:r>
      <w:r w:rsidR="00E25620" w:rsidRPr="008849C3">
        <w:rPr>
          <w:lang w:val="bg-BG"/>
        </w:rPr>
        <w:t xml:space="preserve"> </w:t>
      </w:r>
      <w:r w:rsidR="007605A3" w:rsidRPr="008849C3">
        <w:rPr>
          <w:lang w:val="bg-BG"/>
        </w:rPr>
        <w:t>и</w:t>
      </w:r>
      <w:r w:rsidR="00E25620" w:rsidRPr="008849C3">
        <w:rPr>
          <w:lang w:val="bg-BG"/>
        </w:rPr>
        <w:t xml:space="preserve"> </w:t>
      </w:r>
      <w:r w:rsidR="00733B74" w:rsidRPr="008849C3">
        <w:rPr>
          <w:lang w:val="bg-BG"/>
        </w:rPr>
        <w:t xml:space="preserve">на </w:t>
      </w:r>
      <w:r w:rsidR="00CA7BA4">
        <w:rPr>
          <w:lang w:val="bg-BG"/>
        </w:rPr>
        <w:t>чл.</w:t>
      </w:r>
      <w:r w:rsidR="00FE46F0" w:rsidRPr="008849C3">
        <w:rPr>
          <w:lang w:val="bg-BG"/>
        </w:rPr>
        <w:t xml:space="preserve"> 1 </w:t>
      </w:r>
      <w:r w:rsidR="007605A3" w:rsidRPr="008849C3">
        <w:rPr>
          <w:lang w:val="bg-BG"/>
        </w:rPr>
        <w:t>от</w:t>
      </w:r>
      <w:r w:rsidR="00FE46F0" w:rsidRPr="008849C3">
        <w:rPr>
          <w:lang w:val="bg-BG"/>
        </w:rPr>
        <w:t xml:space="preserve"> </w:t>
      </w:r>
      <w:r w:rsidR="00B26876" w:rsidRPr="008849C3">
        <w:rPr>
          <w:lang w:val="bg-BG"/>
        </w:rPr>
        <w:t xml:space="preserve">Протокол </w:t>
      </w:r>
      <w:r w:rsidR="00733B74" w:rsidRPr="008849C3">
        <w:rPr>
          <w:lang w:val="bg-BG"/>
        </w:rPr>
        <w:t xml:space="preserve">№1 към Конвенцията, жалбоподателите твърдят, че </w:t>
      </w:r>
      <w:r w:rsidR="0090646E">
        <w:rPr>
          <w:lang w:val="bg-BG"/>
        </w:rPr>
        <w:t>З</w:t>
      </w:r>
      <w:r w:rsidR="00733B74" w:rsidRPr="008849C3">
        <w:rPr>
          <w:lang w:val="bg-BG"/>
        </w:rPr>
        <w:t xml:space="preserve">аконът от 2005 г., послужил за правна основа за налагането на обезпечителни мерки спрямо имуществото им, не е бил достатъчно предвидим и че той не дава достатъчно гаранции срещу произвол, че налагането на спорните мерки върху имуществото им не е преследвало законна цел и че във всеки случай това налагане е имало неблагоприятни последици върху имуществото им, последици, които, според тях, са надхвърлили необходимото за да се осигури ефективността на </w:t>
      </w:r>
      <w:r w:rsidR="00A57CA8" w:rsidRPr="008849C3">
        <w:rPr>
          <w:lang w:val="bg-BG"/>
        </w:rPr>
        <w:t>евентуалн</w:t>
      </w:r>
      <w:r w:rsidR="00A57CA8">
        <w:rPr>
          <w:lang w:val="bg-BG"/>
        </w:rPr>
        <w:t>о производство за отнемане на имущество</w:t>
      </w:r>
      <w:r w:rsidR="00733B74" w:rsidRPr="008849C3">
        <w:rPr>
          <w:lang w:val="bg-BG"/>
        </w:rPr>
        <w:t xml:space="preserve">. </w:t>
      </w:r>
    </w:p>
    <w:p w:rsidR="00E25620" w:rsidRPr="008849C3" w:rsidRDefault="00E25620" w:rsidP="006B0E9F">
      <w:pPr>
        <w:pStyle w:val="ECHRPara"/>
        <w:rPr>
          <w:lang w:val="bg-BG"/>
        </w:rPr>
      </w:pPr>
      <w:r w:rsidRPr="008849C3">
        <w:rPr>
          <w:lang w:val="bg-BG"/>
        </w:rPr>
        <w:lastRenderedPageBreak/>
        <w:fldChar w:fldCharType="begin"/>
      </w:r>
      <w:r w:rsidRPr="008849C3">
        <w:rPr>
          <w:lang w:val="bg-BG"/>
        </w:rPr>
        <w:instrText xml:space="preserve"> SEQ level0 \*arabic </w:instrText>
      </w:r>
      <w:r w:rsidRPr="008849C3">
        <w:rPr>
          <w:lang w:val="bg-BG"/>
        </w:rPr>
        <w:fldChar w:fldCharType="separate"/>
      </w:r>
      <w:r w:rsidR="00134118">
        <w:rPr>
          <w:noProof/>
          <w:lang w:val="bg-BG"/>
        </w:rPr>
        <w:t>108</w:t>
      </w:r>
      <w:r w:rsidRPr="008849C3">
        <w:rPr>
          <w:lang w:val="bg-BG"/>
        </w:rPr>
        <w:fldChar w:fldCharType="end"/>
      </w:r>
      <w:r w:rsidRPr="008849C3">
        <w:rPr>
          <w:lang w:val="bg-BG"/>
        </w:rPr>
        <w:t>.  </w:t>
      </w:r>
      <w:r w:rsidR="00E75948" w:rsidRPr="008849C3">
        <w:rPr>
          <w:lang w:val="bg-BG"/>
        </w:rPr>
        <w:t xml:space="preserve">Съдът счита, че това оплакване следва да бъде разгледано единствено по </w:t>
      </w:r>
      <w:r w:rsidR="00CA7BA4">
        <w:rPr>
          <w:lang w:val="bg-BG"/>
        </w:rPr>
        <w:t>чл.</w:t>
      </w:r>
      <w:r w:rsidR="00E75948" w:rsidRPr="008849C3">
        <w:rPr>
          <w:lang w:val="bg-BG"/>
        </w:rPr>
        <w:t xml:space="preserve"> 1 от Протокол № 1 към Конвенцията, който гласи следното</w:t>
      </w:r>
      <w:r w:rsidRPr="008849C3">
        <w:rPr>
          <w:lang w:val="bg-BG"/>
        </w:rPr>
        <w:t>:</w:t>
      </w:r>
    </w:p>
    <w:p w:rsidR="003558C6" w:rsidRPr="008849C3" w:rsidRDefault="003558C6" w:rsidP="003558C6">
      <w:pPr>
        <w:pStyle w:val="ECHRParaQuote"/>
        <w:rPr>
          <w:lang w:val="bg-BG"/>
        </w:rPr>
      </w:pPr>
      <w:r w:rsidRPr="008849C3">
        <w:rPr>
          <w:lang w:val="bg-BG"/>
        </w:rPr>
        <w:t>„</w:t>
      </w:r>
      <w:proofErr w:type="spellStart"/>
      <w:r w:rsidRPr="008849C3">
        <w:rPr>
          <w:lang w:val="bg-BG"/>
        </w:rPr>
        <w:t>Βсяко</w:t>
      </w:r>
      <w:proofErr w:type="spellEnd"/>
      <w:r w:rsidRPr="008849C3">
        <w:rPr>
          <w:lang w:val="bg-BG"/>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E77CB3" w:rsidRPr="008849C3" w:rsidRDefault="003558C6" w:rsidP="003558C6">
      <w:pPr>
        <w:pStyle w:val="ECHRParaQuote"/>
        <w:rPr>
          <w:lang w:val="bg-BG"/>
        </w:rPr>
      </w:pPr>
      <w:r w:rsidRPr="008849C3">
        <w:rPr>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rsidR="00471917" w:rsidRPr="008849C3" w:rsidRDefault="009A7A37"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109</w:t>
      </w:r>
      <w:r w:rsidRPr="008849C3">
        <w:rPr>
          <w:lang w:val="bg-BG"/>
        </w:rPr>
        <w:fldChar w:fldCharType="end"/>
      </w:r>
      <w:r w:rsidRPr="008849C3">
        <w:rPr>
          <w:lang w:val="bg-BG"/>
        </w:rPr>
        <w:t>.  </w:t>
      </w:r>
      <w:r w:rsidR="003558C6" w:rsidRPr="008849C3">
        <w:rPr>
          <w:lang w:val="bg-BG"/>
        </w:rPr>
        <w:t xml:space="preserve">Правителството се позовава на неизчерпването на вътрешноправните средства за защита. То отбелязва, че наказателното производство срещу г-н Попов е приключило на 3 февруари 2015 г. с окончателна оправдателна присъда и че, считано от тази дата, жалбоподателите са могли да поискат отмяната на всички обезпечителни мерки, наложени на имуществото им и след това да заведат дело за обезщетение </w:t>
      </w:r>
      <w:r w:rsidR="00A57CA8">
        <w:rPr>
          <w:lang w:val="bg-BG"/>
        </w:rPr>
        <w:t>по</w:t>
      </w:r>
      <w:r w:rsidR="00A21E71" w:rsidRPr="008849C3">
        <w:rPr>
          <w:lang w:val="bg-BG"/>
        </w:rPr>
        <w:t xml:space="preserve"> </w:t>
      </w:r>
      <w:r w:rsidR="00CA7BA4">
        <w:rPr>
          <w:lang w:val="bg-BG"/>
        </w:rPr>
        <w:t>чл.</w:t>
      </w:r>
      <w:r w:rsidR="00932D6C" w:rsidRPr="008849C3">
        <w:rPr>
          <w:lang w:val="bg-BG"/>
        </w:rPr>
        <w:t xml:space="preserve"> 32 </w:t>
      </w:r>
      <w:r w:rsidR="003558C6" w:rsidRPr="008849C3">
        <w:rPr>
          <w:lang w:val="bg-BG"/>
        </w:rPr>
        <w:t xml:space="preserve">от </w:t>
      </w:r>
      <w:r w:rsidR="00297FD6">
        <w:rPr>
          <w:lang w:val="bg-BG"/>
        </w:rPr>
        <w:t>З</w:t>
      </w:r>
      <w:r w:rsidR="003558C6" w:rsidRPr="008849C3">
        <w:rPr>
          <w:lang w:val="bg-BG"/>
        </w:rPr>
        <w:t>акона от</w:t>
      </w:r>
      <w:r w:rsidR="00932D6C" w:rsidRPr="008849C3">
        <w:rPr>
          <w:lang w:val="bg-BG"/>
        </w:rPr>
        <w:t xml:space="preserve"> 2005</w:t>
      </w:r>
      <w:r w:rsidR="003558C6" w:rsidRPr="008849C3">
        <w:rPr>
          <w:lang w:val="bg-BG"/>
        </w:rPr>
        <w:t xml:space="preserve"> г.</w:t>
      </w:r>
      <w:r w:rsidR="004D6200" w:rsidRPr="008849C3">
        <w:rPr>
          <w:lang w:val="bg-BG"/>
        </w:rPr>
        <w:t>,</w:t>
      </w:r>
      <w:r w:rsidR="00932D6C" w:rsidRPr="008849C3">
        <w:rPr>
          <w:lang w:val="bg-BG"/>
        </w:rPr>
        <w:t xml:space="preserve"> </w:t>
      </w:r>
      <w:r w:rsidR="003558C6" w:rsidRPr="008849C3">
        <w:rPr>
          <w:lang w:val="bg-BG"/>
        </w:rPr>
        <w:t xml:space="preserve">който </w:t>
      </w:r>
      <w:r w:rsidR="008E1845">
        <w:rPr>
          <w:lang w:val="bg-BG"/>
        </w:rPr>
        <w:t>според него</w:t>
      </w:r>
      <w:r w:rsidR="003558C6" w:rsidRPr="008849C3">
        <w:rPr>
          <w:lang w:val="bg-BG"/>
        </w:rPr>
        <w:t xml:space="preserve"> препраща към приложимите разпоредби на Закона за отговорността на държавата. </w:t>
      </w:r>
    </w:p>
    <w:p w:rsidR="008B425E" w:rsidRPr="008849C3" w:rsidRDefault="008B425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110</w:t>
      </w:r>
      <w:r w:rsidRPr="008849C3">
        <w:rPr>
          <w:lang w:val="bg-BG"/>
        </w:rPr>
        <w:fldChar w:fldCharType="end"/>
      </w:r>
      <w:r w:rsidRPr="008849C3">
        <w:rPr>
          <w:lang w:val="bg-BG"/>
        </w:rPr>
        <w:t>.  </w:t>
      </w:r>
      <w:r w:rsidR="009B2345" w:rsidRPr="008849C3">
        <w:rPr>
          <w:lang w:val="bg-BG"/>
        </w:rPr>
        <w:t xml:space="preserve">Жалбоподателите оспорват становището на Правителството. Те посочват, че </w:t>
      </w:r>
      <w:r w:rsidR="00A57CA8">
        <w:rPr>
          <w:lang w:val="bg-BG"/>
        </w:rPr>
        <w:t>З</w:t>
      </w:r>
      <w:r w:rsidR="009B2345" w:rsidRPr="008849C3">
        <w:rPr>
          <w:lang w:val="bg-BG"/>
        </w:rPr>
        <w:t xml:space="preserve">аконът от 2005 г., служил за правно основание за налагането на спорните обезпечителни мерки, е отменен на 19 ноември 2012 г. и е заменен от </w:t>
      </w:r>
      <w:r w:rsidR="00A57CA8">
        <w:rPr>
          <w:lang w:val="bg-BG"/>
        </w:rPr>
        <w:t>З</w:t>
      </w:r>
      <w:r w:rsidR="009B2345" w:rsidRPr="008849C3">
        <w:rPr>
          <w:lang w:val="bg-BG"/>
        </w:rPr>
        <w:t xml:space="preserve">акона от 2012 г. Освен това жалбоподателите уточняват, че съгласно </w:t>
      </w:r>
      <w:r w:rsidR="00EC77E2" w:rsidRPr="008849C3">
        <w:rPr>
          <w:lang w:val="bg-BG"/>
        </w:rPr>
        <w:t>параграф</w:t>
      </w:r>
      <w:r w:rsidRPr="008849C3">
        <w:rPr>
          <w:lang w:val="bg-BG"/>
        </w:rPr>
        <w:t xml:space="preserve"> 5 </w:t>
      </w:r>
      <w:r w:rsidR="009B2345" w:rsidRPr="008849C3">
        <w:rPr>
          <w:lang w:val="bg-BG"/>
        </w:rPr>
        <w:t xml:space="preserve">от преходните разпоредби на </w:t>
      </w:r>
      <w:r w:rsidR="00A57CA8">
        <w:rPr>
          <w:lang w:val="bg-BG"/>
        </w:rPr>
        <w:t>З</w:t>
      </w:r>
      <w:r w:rsidR="009B2345" w:rsidRPr="008849C3">
        <w:rPr>
          <w:lang w:val="bg-BG"/>
        </w:rPr>
        <w:t xml:space="preserve">акона от </w:t>
      </w:r>
      <w:r w:rsidRPr="008849C3">
        <w:rPr>
          <w:lang w:val="bg-BG"/>
        </w:rPr>
        <w:t>2012</w:t>
      </w:r>
      <w:r w:rsidR="00B777C7" w:rsidRPr="008849C3">
        <w:rPr>
          <w:lang w:val="bg-BG"/>
        </w:rPr>
        <w:t xml:space="preserve"> г., висящите дела, заведени в съответствие със </w:t>
      </w:r>
      <w:r w:rsidR="00A57CA8">
        <w:rPr>
          <w:lang w:val="bg-BG"/>
        </w:rPr>
        <w:t>З</w:t>
      </w:r>
      <w:r w:rsidR="00B777C7" w:rsidRPr="008849C3">
        <w:rPr>
          <w:lang w:val="bg-BG"/>
        </w:rPr>
        <w:t xml:space="preserve">акона от 2005 г., продължават да бъдат </w:t>
      </w:r>
      <w:r w:rsidR="00A57CA8">
        <w:rPr>
          <w:lang w:val="bg-BG"/>
        </w:rPr>
        <w:t>уреждани</w:t>
      </w:r>
      <w:r w:rsidR="00A57CA8" w:rsidRPr="008849C3">
        <w:rPr>
          <w:lang w:val="bg-BG"/>
        </w:rPr>
        <w:t xml:space="preserve"> </w:t>
      </w:r>
      <w:r w:rsidR="00B777C7" w:rsidRPr="008849C3">
        <w:rPr>
          <w:lang w:val="bg-BG"/>
        </w:rPr>
        <w:t xml:space="preserve">от същия закон. За тях обаче </w:t>
      </w:r>
      <w:r w:rsidR="00297FD6">
        <w:rPr>
          <w:lang w:val="bg-BG"/>
        </w:rPr>
        <w:t>иска</w:t>
      </w:r>
      <w:r w:rsidR="00297FD6" w:rsidRPr="008849C3">
        <w:rPr>
          <w:lang w:val="bg-BG"/>
        </w:rPr>
        <w:t xml:space="preserve"> </w:t>
      </w:r>
      <w:r w:rsidR="00B777C7" w:rsidRPr="008849C3">
        <w:rPr>
          <w:lang w:val="bg-BG"/>
        </w:rPr>
        <w:t xml:space="preserve">за обезщетение, произтичащо от иска за отговорност срещу държавата, предвидено от </w:t>
      </w:r>
      <w:r w:rsidR="00CA7BA4">
        <w:rPr>
          <w:lang w:val="bg-BG"/>
        </w:rPr>
        <w:t>чл.</w:t>
      </w:r>
      <w:r w:rsidR="00B777C7" w:rsidRPr="008849C3">
        <w:rPr>
          <w:lang w:val="bg-BG"/>
        </w:rPr>
        <w:t xml:space="preserve"> 32 от </w:t>
      </w:r>
      <w:r w:rsidR="00297FD6">
        <w:rPr>
          <w:lang w:val="bg-BG"/>
        </w:rPr>
        <w:t>З</w:t>
      </w:r>
      <w:r w:rsidR="00B777C7" w:rsidRPr="008849C3">
        <w:rPr>
          <w:lang w:val="bg-BG"/>
        </w:rPr>
        <w:t xml:space="preserve">акона от 2005 г., не е било „висящо дело“ съгласно параграф 5 от преходните разпоредби на новия закон. Поради това, жалбоподателите считат, че не са можели да се позоват успешно на разпоредбите </w:t>
      </w:r>
      <w:r w:rsidR="00297FD6">
        <w:rPr>
          <w:lang w:val="bg-BG"/>
        </w:rPr>
        <w:t>по</w:t>
      </w:r>
      <w:r w:rsidR="00297FD6" w:rsidRPr="008849C3">
        <w:rPr>
          <w:lang w:val="bg-BG"/>
        </w:rPr>
        <w:t xml:space="preserve"> </w:t>
      </w:r>
      <w:r w:rsidR="00CA7BA4">
        <w:rPr>
          <w:lang w:val="bg-BG"/>
        </w:rPr>
        <w:t>чл.</w:t>
      </w:r>
      <w:r w:rsidR="00B777C7" w:rsidRPr="008849C3">
        <w:rPr>
          <w:lang w:val="bg-BG"/>
        </w:rPr>
        <w:t xml:space="preserve"> 32 от стария закон, отменен през 2012 г. </w:t>
      </w:r>
    </w:p>
    <w:p w:rsidR="00E77CB3" w:rsidRPr="008849C3" w:rsidRDefault="008B425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111</w:t>
      </w:r>
      <w:r w:rsidRPr="008849C3">
        <w:rPr>
          <w:lang w:val="bg-BG"/>
        </w:rPr>
        <w:fldChar w:fldCharType="end"/>
      </w:r>
      <w:r w:rsidRPr="008849C3">
        <w:rPr>
          <w:lang w:val="bg-BG"/>
        </w:rPr>
        <w:t>.  </w:t>
      </w:r>
      <w:r w:rsidR="00FF753F" w:rsidRPr="008849C3">
        <w:rPr>
          <w:lang w:val="bg-BG"/>
        </w:rPr>
        <w:t>Те твърдят, че на последна</w:t>
      </w:r>
      <w:r w:rsidR="0045011E" w:rsidRPr="008849C3">
        <w:rPr>
          <w:lang w:val="bg-BG"/>
        </w:rPr>
        <w:t>та</w:t>
      </w:r>
      <w:r w:rsidR="00FF753F" w:rsidRPr="008849C3">
        <w:rPr>
          <w:lang w:val="bg-BG"/>
        </w:rPr>
        <w:t xml:space="preserve"> дата са можели да се позоват единствено на новата </w:t>
      </w:r>
      <w:r w:rsidR="00297FD6">
        <w:rPr>
          <w:lang w:val="bg-BG"/>
        </w:rPr>
        <w:t>формулировка</w:t>
      </w:r>
      <w:r w:rsidR="00297FD6" w:rsidRPr="008849C3">
        <w:rPr>
          <w:lang w:val="bg-BG"/>
        </w:rPr>
        <w:t xml:space="preserve"> </w:t>
      </w:r>
      <w:r w:rsidR="00FF753F" w:rsidRPr="008849C3">
        <w:rPr>
          <w:lang w:val="bg-BG"/>
        </w:rPr>
        <w:t xml:space="preserve">на </w:t>
      </w:r>
      <w:r w:rsidR="00CA7BA4">
        <w:rPr>
          <w:lang w:val="bg-BG"/>
        </w:rPr>
        <w:t>чл.</w:t>
      </w:r>
      <w:r w:rsidRPr="008849C3">
        <w:rPr>
          <w:lang w:val="bg-BG"/>
        </w:rPr>
        <w:t xml:space="preserve"> 2 </w:t>
      </w:r>
      <w:r w:rsidR="00FF753F" w:rsidRPr="008849C3">
        <w:rPr>
          <w:lang w:val="bg-BG"/>
        </w:rPr>
        <w:t xml:space="preserve">от Закона за отговорността на държавата и на новия чл. 2а от същия закон, </w:t>
      </w:r>
      <w:r w:rsidR="0045011E" w:rsidRPr="008849C3">
        <w:rPr>
          <w:lang w:val="bg-BG"/>
        </w:rPr>
        <w:t>отнасящи се</w:t>
      </w:r>
      <w:r w:rsidR="00FF753F" w:rsidRPr="008849C3">
        <w:rPr>
          <w:lang w:val="bg-BG"/>
        </w:rPr>
        <w:t xml:space="preserve"> </w:t>
      </w:r>
      <w:r w:rsidR="0045011E" w:rsidRPr="008849C3">
        <w:rPr>
          <w:lang w:val="bg-BG"/>
        </w:rPr>
        <w:t>до</w:t>
      </w:r>
      <w:r w:rsidR="00FF753F" w:rsidRPr="008849C3">
        <w:rPr>
          <w:lang w:val="bg-BG"/>
        </w:rPr>
        <w:t xml:space="preserve"> </w:t>
      </w:r>
      <w:r w:rsidR="00297FD6">
        <w:rPr>
          <w:lang w:val="bg-BG"/>
        </w:rPr>
        <w:t>З</w:t>
      </w:r>
      <w:r w:rsidR="00FF753F" w:rsidRPr="008849C3">
        <w:rPr>
          <w:lang w:val="bg-BG"/>
        </w:rPr>
        <w:t xml:space="preserve">акона </w:t>
      </w:r>
      <w:r w:rsidR="0045011E" w:rsidRPr="008849C3">
        <w:rPr>
          <w:lang w:val="bg-BG"/>
        </w:rPr>
        <w:t>от</w:t>
      </w:r>
      <w:r w:rsidR="00FF753F" w:rsidRPr="008849C3">
        <w:rPr>
          <w:lang w:val="bg-BG"/>
        </w:rPr>
        <w:t xml:space="preserve"> </w:t>
      </w:r>
      <w:r w:rsidRPr="008849C3">
        <w:rPr>
          <w:lang w:val="bg-BG"/>
        </w:rPr>
        <w:t>2012</w:t>
      </w:r>
      <w:r w:rsidR="0045011E" w:rsidRPr="008849C3">
        <w:rPr>
          <w:lang w:val="bg-BG"/>
        </w:rPr>
        <w:t xml:space="preserve"> г</w:t>
      </w:r>
      <w:r w:rsidRPr="008849C3">
        <w:rPr>
          <w:lang w:val="bg-BG"/>
        </w:rPr>
        <w:t xml:space="preserve">. </w:t>
      </w:r>
      <w:r w:rsidR="00297FD6">
        <w:rPr>
          <w:lang w:val="bg-BG"/>
        </w:rPr>
        <w:t>Добавят</w:t>
      </w:r>
      <w:r w:rsidR="0004013B" w:rsidRPr="008849C3">
        <w:rPr>
          <w:lang w:val="bg-BG"/>
        </w:rPr>
        <w:t>, че последният закон не е бил правнот</w:t>
      </w:r>
      <w:r w:rsidR="00297FD6">
        <w:rPr>
          <w:lang w:val="bg-BG"/>
        </w:rPr>
        <w:t>о</w:t>
      </w:r>
      <w:r w:rsidR="0004013B" w:rsidRPr="008849C3">
        <w:rPr>
          <w:lang w:val="bg-BG"/>
        </w:rPr>
        <w:t xml:space="preserve"> основание за </w:t>
      </w:r>
      <w:r w:rsidR="00297FD6">
        <w:rPr>
          <w:lang w:val="bg-BG"/>
        </w:rPr>
        <w:t>мерките</w:t>
      </w:r>
      <w:r w:rsidR="0004013B" w:rsidRPr="008849C3">
        <w:rPr>
          <w:lang w:val="bg-BG"/>
        </w:rPr>
        <w:t xml:space="preserve">, от които се оплакват и че в резултат на </w:t>
      </w:r>
      <w:r w:rsidR="008E1845">
        <w:rPr>
          <w:lang w:val="bg-BG"/>
        </w:rPr>
        <w:t>това</w:t>
      </w:r>
      <w:r w:rsidR="0004013B" w:rsidRPr="008849C3">
        <w:rPr>
          <w:lang w:val="bg-BG"/>
        </w:rPr>
        <w:t xml:space="preserve"> предложеното от тези текстове средство за защита на практика </w:t>
      </w:r>
      <w:r w:rsidR="00297FD6">
        <w:rPr>
          <w:lang w:val="bg-BG"/>
        </w:rPr>
        <w:t xml:space="preserve">също </w:t>
      </w:r>
      <w:r w:rsidR="0004013B" w:rsidRPr="008849C3">
        <w:rPr>
          <w:lang w:val="bg-BG"/>
        </w:rPr>
        <w:t xml:space="preserve">е било недостъпно за тях. </w:t>
      </w:r>
    </w:p>
    <w:p w:rsidR="00471917"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112</w:t>
      </w:r>
      <w:r w:rsidRPr="008849C3">
        <w:rPr>
          <w:lang w:val="bg-BG"/>
        </w:rPr>
        <w:fldChar w:fldCharType="end"/>
      </w:r>
      <w:r w:rsidR="00E77CB3" w:rsidRPr="008849C3">
        <w:rPr>
          <w:lang w:val="bg-BG"/>
        </w:rPr>
        <w:t>.  </w:t>
      </w:r>
      <w:r w:rsidR="00850F3D" w:rsidRPr="008849C3">
        <w:rPr>
          <w:lang w:val="bg-BG"/>
        </w:rPr>
        <w:t xml:space="preserve">Съдът припомня, че в скорошното си решение </w:t>
      </w:r>
      <w:r w:rsidR="00850F3D" w:rsidRPr="008849C3">
        <w:rPr>
          <w:i/>
          <w:lang w:val="bg-BG"/>
        </w:rPr>
        <w:t xml:space="preserve">Недялков и други </w:t>
      </w:r>
      <w:r w:rsidR="008B425E" w:rsidRPr="008849C3">
        <w:rPr>
          <w:lang w:val="bg-BG"/>
        </w:rPr>
        <w:t>(</w:t>
      </w:r>
      <w:r w:rsidR="00E27D7E" w:rsidRPr="008849C3">
        <w:rPr>
          <w:lang w:val="bg-BG"/>
        </w:rPr>
        <w:t>цитирано по-горе</w:t>
      </w:r>
      <w:r w:rsidR="008B425E" w:rsidRPr="008849C3">
        <w:rPr>
          <w:lang w:val="bg-BG"/>
        </w:rPr>
        <w:t xml:space="preserve">, §§ 92-97), </w:t>
      </w:r>
      <w:r w:rsidR="00850F3D" w:rsidRPr="008849C3">
        <w:rPr>
          <w:lang w:val="bg-BG"/>
        </w:rPr>
        <w:t xml:space="preserve">вече се е произнесъл по въпроса дали комбинираните разпоредби на </w:t>
      </w:r>
      <w:r w:rsidR="00CA7BA4">
        <w:rPr>
          <w:lang w:val="bg-BG"/>
        </w:rPr>
        <w:t>чл.</w:t>
      </w:r>
      <w:r w:rsidR="00850F3D" w:rsidRPr="008849C3">
        <w:rPr>
          <w:lang w:val="bg-BG"/>
        </w:rPr>
        <w:t xml:space="preserve"> 32 от </w:t>
      </w:r>
      <w:r w:rsidR="00297FD6">
        <w:rPr>
          <w:lang w:val="bg-BG"/>
        </w:rPr>
        <w:t>З</w:t>
      </w:r>
      <w:r w:rsidR="00850F3D" w:rsidRPr="008849C3">
        <w:rPr>
          <w:lang w:val="bg-BG"/>
        </w:rPr>
        <w:t xml:space="preserve">акона от 2005 г. и на Закона за отговорността на държавата предлагат ефективно вътрешноправно </w:t>
      </w:r>
      <w:r w:rsidR="00850F3D" w:rsidRPr="008849C3">
        <w:rPr>
          <w:lang w:val="bg-BG"/>
        </w:rPr>
        <w:lastRenderedPageBreak/>
        <w:t>средство за защита</w:t>
      </w:r>
      <w:r w:rsidR="00364310" w:rsidRPr="008849C3">
        <w:rPr>
          <w:lang w:val="bg-BG"/>
        </w:rPr>
        <w:t xml:space="preserve"> за</w:t>
      </w:r>
      <w:r w:rsidR="00850F3D" w:rsidRPr="008849C3">
        <w:rPr>
          <w:lang w:val="bg-BG"/>
        </w:rPr>
        <w:t xml:space="preserve"> поправяне на твърдяното нарушение </w:t>
      </w:r>
      <w:r w:rsidR="00297FD6">
        <w:rPr>
          <w:lang w:val="bg-BG"/>
        </w:rPr>
        <w:t>по</w:t>
      </w:r>
      <w:r w:rsidR="00297FD6" w:rsidRPr="008849C3">
        <w:rPr>
          <w:lang w:val="bg-BG"/>
        </w:rPr>
        <w:t xml:space="preserve"> </w:t>
      </w:r>
      <w:r w:rsidR="00CA7BA4">
        <w:rPr>
          <w:lang w:val="bg-BG"/>
        </w:rPr>
        <w:t>чл.</w:t>
      </w:r>
      <w:r w:rsidR="00850F3D" w:rsidRPr="008849C3">
        <w:rPr>
          <w:lang w:val="bg-BG"/>
        </w:rPr>
        <w:t xml:space="preserve"> 1 от Протокол № 1 към Конвенцията при обстоятелства</w:t>
      </w:r>
      <w:r w:rsidR="00364310" w:rsidRPr="008849C3">
        <w:rPr>
          <w:lang w:val="bg-BG"/>
        </w:rPr>
        <w:t>,</w:t>
      </w:r>
      <w:r w:rsidR="00850F3D" w:rsidRPr="008849C3">
        <w:rPr>
          <w:lang w:val="bg-BG"/>
        </w:rPr>
        <w:t xml:space="preserve"> </w:t>
      </w:r>
      <w:r w:rsidR="00364310" w:rsidRPr="008849C3">
        <w:rPr>
          <w:lang w:val="bg-BG"/>
        </w:rPr>
        <w:t xml:space="preserve">сходни </w:t>
      </w:r>
      <w:r w:rsidR="00850F3D" w:rsidRPr="008849C3">
        <w:rPr>
          <w:lang w:val="bg-BG"/>
        </w:rPr>
        <w:t>на тези по настоящ</w:t>
      </w:r>
      <w:r w:rsidR="00297FD6">
        <w:rPr>
          <w:lang w:val="bg-BG"/>
        </w:rPr>
        <w:t>ия случай</w:t>
      </w:r>
      <w:r w:rsidR="00364310" w:rsidRPr="008849C3">
        <w:rPr>
          <w:lang w:val="bg-BG"/>
        </w:rPr>
        <w:t xml:space="preserve">. По-конкретно Съдът приема, че тези законодателни разпоредби позволяват на лицата, пострадали от налагането на обезпечителните мерки, постановени в приложение на </w:t>
      </w:r>
      <w:r w:rsidR="00DB3067">
        <w:rPr>
          <w:lang w:val="bg-BG"/>
        </w:rPr>
        <w:t>З</w:t>
      </w:r>
      <w:r w:rsidR="00364310" w:rsidRPr="008849C3">
        <w:rPr>
          <w:lang w:val="bg-BG"/>
        </w:rPr>
        <w:t xml:space="preserve">акона от </w:t>
      </w:r>
      <w:r w:rsidR="008B425E" w:rsidRPr="008849C3">
        <w:rPr>
          <w:lang w:val="bg-BG"/>
        </w:rPr>
        <w:t xml:space="preserve">2005 </w:t>
      </w:r>
      <w:r w:rsidR="00364310" w:rsidRPr="008849C3">
        <w:rPr>
          <w:lang w:val="bg-BG"/>
        </w:rPr>
        <w:t xml:space="preserve">г., да изискат </w:t>
      </w:r>
      <w:r w:rsidR="00DE4687" w:rsidRPr="008849C3">
        <w:rPr>
          <w:lang w:val="bg-BG"/>
        </w:rPr>
        <w:t xml:space="preserve">парично обезщетение за понесената вреда в случай на последваща отмяна на тези мерки </w:t>
      </w:r>
      <w:r w:rsidR="008B425E" w:rsidRPr="008849C3">
        <w:rPr>
          <w:lang w:val="bg-BG"/>
        </w:rPr>
        <w:t>(</w:t>
      </w:r>
      <w:proofErr w:type="spellStart"/>
      <w:r w:rsidR="008B425E" w:rsidRPr="008849C3">
        <w:rPr>
          <w:i/>
          <w:lang w:val="bg-BG"/>
        </w:rPr>
        <w:t>ibidem</w:t>
      </w:r>
      <w:proofErr w:type="spellEnd"/>
      <w:r w:rsidR="008B425E" w:rsidRPr="008849C3">
        <w:rPr>
          <w:lang w:val="bg-BG"/>
        </w:rPr>
        <w:t xml:space="preserve">). </w:t>
      </w:r>
      <w:r w:rsidR="00DE4687" w:rsidRPr="008849C3">
        <w:rPr>
          <w:lang w:val="bg-BG"/>
        </w:rPr>
        <w:t xml:space="preserve">В тази връзка той отбелязва, че скорошната съдебна практика на българския Върховен касационен съд е в същата насока </w:t>
      </w:r>
      <w:r w:rsidR="00237122" w:rsidRPr="008849C3">
        <w:rPr>
          <w:lang w:val="bg-BG"/>
        </w:rPr>
        <w:t>(</w:t>
      </w:r>
      <w:r w:rsidR="00EC77E2" w:rsidRPr="008849C3">
        <w:rPr>
          <w:lang w:val="bg-BG"/>
        </w:rPr>
        <w:t>параграф</w:t>
      </w:r>
      <w:r w:rsidR="00237122" w:rsidRPr="008849C3">
        <w:rPr>
          <w:lang w:val="bg-BG"/>
        </w:rPr>
        <w:t xml:space="preserve"> </w:t>
      </w:r>
      <w:r w:rsidR="0048184C" w:rsidRPr="008849C3">
        <w:rPr>
          <w:lang w:val="bg-BG"/>
        </w:rPr>
        <w:t>51</w:t>
      </w:r>
      <w:r w:rsidR="00276C60" w:rsidRPr="008849C3">
        <w:rPr>
          <w:lang w:val="bg-BG"/>
        </w:rPr>
        <w:t xml:space="preserve"> </w:t>
      </w:r>
      <w:r w:rsidR="00EC77E2" w:rsidRPr="008849C3">
        <w:rPr>
          <w:lang w:val="bg-BG"/>
        </w:rPr>
        <w:t>по-горе</w:t>
      </w:r>
      <w:r w:rsidR="00237122" w:rsidRPr="008849C3">
        <w:rPr>
          <w:lang w:val="bg-BG"/>
        </w:rPr>
        <w:t xml:space="preserve">). </w:t>
      </w:r>
      <w:r w:rsidR="00DE4687" w:rsidRPr="008849C3">
        <w:rPr>
          <w:lang w:val="bg-BG"/>
        </w:rPr>
        <w:t xml:space="preserve">Счита, че същото заключение се налага </w:t>
      </w:r>
      <w:proofErr w:type="spellStart"/>
      <w:r w:rsidR="008B425E" w:rsidRPr="008849C3">
        <w:rPr>
          <w:i/>
          <w:lang w:val="bg-BG"/>
        </w:rPr>
        <w:t>mutatis</w:t>
      </w:r>
      <w:proofErr w:type="spellEnd"/>
      <w:r w:rsidR="008B425E" w:rsidRPr="008849C3">
        <w:rPr>
          <w:i/>
          <w:lang w:val="bg-BG"/>
        </w:rPr>
        <w:t xml:space="preserve"> </w:t>
      </w:r>
      <w:proofErr w:type="spellStart"/>
      <w:r w:rsidR="008B425E" w:rsidRPr="008849C3">
        <w:rPr>
          <w:i/>
          <w:lang w:val="bg-BG"/>
        </w:rPr>
        <w:t>mutandis</w:t>
      </w:r>
      <w:proofErr w:type="spellEnd"/>
      <w:r w:rsidR="008B425E" w:rsidRPr="008849C3">
        <w:rPr>
          <w:lang w:val="bg-BG"/>
        </w:rPr>
        <w:t xml:space="preserve"> </w:t>
      </w:r>
      <w:r w:rsidR="00DE4687" w:rsidRPr="008849C3">
        <w:rPr>
          <w:lang w:val="bg-BG"/>
        </w:rPr>
        <w:t>и в настоящия случай, доколкото жалбоподателите са могли да поискат отмяната на обезпечителните мерки</w:t>
      </w:r>
      <w:r w:rsidR="009354E7">
        <w:rPr>
          <w:lang w:val="bg-BG"/>
        </w:rPr>
        <w:t>,</w:t>
      </w:r>
      <w:r w:rsidR="00DE4687" w:rsidRPr="008849C3">
        <w:rPr>
          <w:lang w:val="bg-BG"/>
        </w:rPr>
        <w:t xml:space="preserve"> след оправдателната присъда на г-н Попов. </w:t>
      </w:r>
      <w:r w:rsidR="008B425E" w:rsidRPr="008849C3">
        <w:rPr>
          <w:lang w:val="bg-BG"/>
        </w:rPr>
        <w:t xml:space="preserve"> </w:t>
      </w:r>
    </w:p>
    <w:p w:rsidR="008B425E" w:rsidRPr="008849C3" w:rsidRDefault="008B425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113</w:t>
      </w:r>
      <w:r w:rsidRPr="008849C3">
        <w:rPr>
          <w:lang w:val="bg-BG"/>
        </w:rPr>
        <w:fldChar w:fldCharType="end"/>
      </w:r>
      <w:r w:rsidRPr="008849C3">
        <w:rPr>
          <w:lang w:val="bg-BG"/>
        </w:rPr>
        <w:t>.  </w:t>
      </w:r>
      <w:r w:rsidR="00BE1D79" w:rsidRPr="008849C3">
        <w:rPr>
          <w:lang w:val="bg-BG"/>
        </w:rPr>
        <w:t>Освен това</w:t>
      </w:r>
      <w:r w:rsidR="009354E7">
        <w:rPr>
          <w:lang w:val="bg-BG"/>
        </w:rPr>
        <w:t>,</w:t>
      </w:r>
      <w:r w:rsidR="00BE1D79" w:rsidRPr="008849C3">
        <w:rPr>
          <w:lang w:val="bg-BG"/>
        </w:rPr>
        <w:t xml:space="preserve"> по отношение на жалбоподателя </w:t>
      </w:r>
      <w:r w:rsidR="00332E22" w:rsidRPr="008849C3">
        <w:rPr>
          <w:lang w:val="bg-BG"/>
        </w:rPr>
        <w:t xml:space="preserve">Съдът </w:t>
      </w:r>
      <w:r w:rsidR="00EA6061" w:rsidRPr="008849C3">
        <w:rPr>
          <w:lang w:val="bg-BG"/>
        </w:rPr>
        <w:t>отбелязва</w:t>
      </w:r>
      <w:r w:rsidR="00332E22" w:rsidRPr="008849C3">
        <w:rPr>
          <w:lang w:val="bg-BG"/>
        </w:rPr>
        <w:t>, че след прекратяването на наказателното производство срещу него, той може да поиска обезщетение за „</w:t>
      </w:r>
      <w:r w:rsidR="009354E7" w:rsidRPr="008849C3">
        <w:rPr>
          <w:lang w:val="bg-BG"/>
        </w:rPr>
        <w:t>незаконос</w:t>
      </w:r>
      <w:r w:rsidR="009354E7">
        <w:rPr>
          <w:lang w:val="bg-BG"/>
        </w:rPr>
        <w:t>ъобразно</w:t>
      </w:r>
      <w:r w:rsidR="00332E22" w:rsidRPr="008849C3">
        <w:rPr>
          <w:lang w:val="bg-BG"/>
        </w:rPr>
        <w:t xml:space="preserve"> обвинение“ съгласно </w:t>
      </w:r>
      <w:r w:rsidR="00CA7BA4">
        <w:rPr>
          <w:lang w:val="bg-BG"/>
        </w:rPr>
        <w:t>чл.</w:t>
      </w:r>
      <w:r w:rsidR="0050654E" w:rsidRPr="008849C3">
        <w:rPr>
          <w:lang w:val="bg-BG"/>
        </w:rPr>
        <w:t> </w:t>
      </w:r>
      <w:r w:rsidRPr="008849C3">
        <w:rPr>
          <w:lang w:val="bg-BG"/>
        </w:rPr>
        <w:t>2</w:t>
      </w:r>
      <w:r w:rsidR="00743343" w:rsidRPr="008849C3">
        <w:rPr>
          <w:lang w:val="bg-BG"/>
        </w:rPr>
        <w:t>,</w:t>
      </w:r>
      <w:r w:rsidRPr="008849C3">
        <w:rPr>
          <w:lang w:val="bg-BG"/>
        </w:rPr>
        <w:t xml:space="preserve"> </w:t>
      </w:r>
      <w:r w:rsidR="00332E22" w:rsidRPr="008849C3">
        <w:rPr>
          <w:lang w:val="bg-BG"/>
        </w:rPr>
        <w:t>ал.</w:t>
      </w:r>
      <w:r w:rsidRPr="008849C3">
        <w:rPr>
          <w:lang w:val="bg-BG"/>
        </w:rPr>
        <w:t xml:space="preserve"> 1</w:t>
      </w:r>
      <w:r w:rsidR="00332E22" w:rsidRPr="008849C3">
        <w:rPr>
          <w:lang w:val="bg-BG"/>
        </w:rPr>
        <w:t xml:space="preserve"> от Закона за отговорността на държавата, на основание една от възможностите, предвидени от тази разпоредба, и че това обезщетение може да покрие вредите, нанесени от обезпечителните мерки</w:t>
      </w:r>
      <w:r w:rsidR="00EA6061" w:rsidRPr="008849C3">
        <w:rPr>
          <w:lang w:val="bg-BG"/>
        </w:rPr>
        <w:t xml:space="preserve">, приети в приложение на </w:t>
      </w:r>
      <w:r w:rsidR="009354E7">
        <w:rPr>
          <w:lang w:val="bg-BG"/>
        </w:rPr>
        <w:t>З</w:t>
      </w:r>
      <w:r w:rsidR="00EA6061" w:rsidRPr="008849C3">
        <w:rPr>
          <w:lang w:val="bg-BG"/>
        </w:rPr>
        <w:t>акона от</w:t>
      </w:r>
      <w:r w:rsidR="00332E22" w:rsidRPr="008849C3">
        <w:rPr>
          <w:lang w:val="bg-BG"/>
        </w:rPr>
        <w:t xml:space="preserve"> </w:t>
      </w:r>
      <w:r w:rsidRPr="008849C3">
        <w:rPr>
          <w:lang w:val="bg-BG"/>
        </w:rPr>
        <w:t>2005</w:t>
      </w:r>
      <w:r w:rsidR="00EA6061" w:rsidRPr="008849C3">
        <w:rPr>
          <w:lang w:val="bg-BG"/>
        </w:rPr>
        <w:t xml:space="preserve"> г.</w:t>
      </w:r>
      <w:r w:rsidRPr="008849C3">
        <w:rPr>
          <w:lang w:val="bg-BG"/>
        </w:rPr>
        <w:t xml:space="preserve"> (</w:t>
      </w:r>
      <w:r w:rsidR="00EA6061" w:rsidRPr="008849C3">
        <w:rPr>
          <w:lang w:val="bg-BG"/>
        </w:rPr>
        <w:t xml:space="preserve">решение </w:t>
      </w:r>
      <w:r w:rsidR="00EA6061" w:rsidRPr="008849C3">
        <w:rPr>
          <w:i/>
          <w:lang w:val="bg-BG"/>
        </w:rPr>
        <w:t>Недялков и други</w:t>
      </w:r>
      <w:r w:rsidRPr="008849C3">
        <w:rPr>
          <w:lang w:val="bg-BG"/>
        </w:rPr>
        <w:t xml:space="preserve">, </w:t>
      </w:r>
      <w:r w:rsidR="00E27D7E" w:rsidRPr="008849C3">
        <w:rPr>
          <w:lang w:val="bg-BG"/>
        </w:rPr>
        <w:t>цитирано по-горе</w:t>
      </w:r>
      <w:r w:rsidRPr="008849C3">
        <w:rPr>
          <w:lang w:val="bg-BG"/>
        </w:rPr>
        <w:t xml:space="preserve">, §§ 64 </w:t>
      </w:r>
      <w:r w:rsidR="00EA6061" w:rsidRPr="008849C3">
        <w:rPr>
          <w:lang w:val="bg-BG"/>
        </w:rPr>
        <w:t>и</w:t>
      </w:r>
      <w:r w:rsidRPr="008849C3">
        <w:rPr>
          <w:lang w:val="bg-BG"/>
        </w:rPr>
        <w:t xml:space="preserve"> 98).</w:t>
      </w:r>
    </w:p>
    <w:p w:rsidR="008B425E" w:rsidRPr="008849C3" w:rsidRDefault="008B425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114</w:t>
      </w:r>
      <w:r w:rsidRPr="008849C3">
        <w:rPr>
          <w:lang w:val="bg-BG"/>
        </w:rPr>
        <w:fldChar w:fldCharType="end"/>
      </w:r>
      <w:r w:rsidRPr="008849C3">
        <w:rPr>
          <w:lang w:val="bg-BG"/>
        </w:rPr>
        <w:t>.  </w:t>
      </w:r>
      <w:r w:rsidR="001D0547" w:rsidRPr="008849C3">
        <w:rPr>
          <w:lang w:val="bg-BG"/>
        </w:rPr>
        <w:t>Съдът отчита също, че двете гореспоменати правни средства за защита</w:t>
      </w:r>
      <w:r w:rsidRPr="008849C3">
        <w:rPr>
          <w:lang w:val="bg-BG"/>
        </w:rPr>
        <w:t xml:space="preserve"> </w:t>
      </w:r>
      <w:r w:rsidR="001D0547" w:rsidRPr="008849C3">
        <w:rPr>
          <w:lang w:val="bg-BG"/>
        </w:rPr>
        <w:t xml:space="preserve">са станали достъпни през 2015 г., след приключването на наказателното производство, </w:t>
      </w:r>
      <w:r w:rsidR="009354E7">
        <w:rPr>
          <w:lang w:val="bg-BG"/>
        </w:rPr>
        <w:t>образувано</w:t>
      </w:r>
      <w:r w:rsidR="009354E7" w:rsidRPr="008849C3">
        <w:rPr>
          <w:lang w:val="bg-BG"/>
        </w:rPr>
        <w:t xml:space="preserve"> </w:t>
      </w:r>
      <w:r w:rsidR="001D0547" w:rsidRPr="008849C3">
        <w:rPr>
          <w:lang w:val="bg-BG"/>
        </w:rPr>
        <w:t xml:space="preserve">срещу жалбоподателя. </w:t>
      </w:r>
      <w:r w:rsidR="00F86D9E" w:rsidRPr="008849C3">
        <w:rPr>
          <w:lang w:val="bg-BG"/>
        </w:rPr>
        <w:t xml:space="preserve">Въпреки това, както и в делото </w:t>
      </w:r>
      <w:r w:rsidR="00F86D9E" w:rsidRPr="008849C3">
        <w:rPr>
          <w:i/>
          <w:lang w:val="bg-BG"/>
        </w:rPr>
        <w:t xml:space="preserve">Недялков и други </w:t>
      </w:r>
      <w:r w:rsidRPr="008849C3">
        <w:rPr>
          <w:lang w:val="bg-BG"/>
        </w:rPr>
        <w:t>(</w:t>
      </w:r>
      <w:r w:rsidR="00E27D7E" w:rsidRPr="008849C3">
        <w:rPr>
          <w:lang w:val="bg-BG"/>
        </w:rPr>
        <w:t>цитирано</w:t>
      </w:r>
      <w:r w:rsidR="00F86D9E" w:rsidRPr="008849C3">
        <w:rPr>
          <w:lang w:val="bg-BG"/>
        </w:rPr>
        <w:t>то</w:t>
      </w:r>
      <w:r w:rsidR="00E27D7E" w:rsidRPr="008849C3">
        <w:rPr>
          <w:lang w:val="bg-BG"/>
        </w:rPr>
        <w:t xml:space="preserve"> по-горе</w:t>
      </w:r>
      <w:r w:rsidR="00F86D9E" w:rsidRPr="008849C3">
        <w:rPr>
          <w:lang w:val="bg-BG"/>
        </w:rPr>
        <w:t xml:space="preserve"> решение</w:t>
      </w:r>
      <w:r w:rsidR="00276C60" w:rsidRPr="008849C3">
        <w:rPr>
          <w:lang w:val="bg-BG"/>
        </w:rPr>
        <w:t xml:space="preserve">, § </w:t>
      </w:r>
      <w:r w:rsidRPr="008849C3">
        <w:rPr>
          <w:lang w:val="bg-BG"/>
        </w:rPr>
        <w:t xml:space="preserve">100), </w:t>
      </w:r>
      <w:r w:rsidR="00F86D9E" w:rsidRPr="008849C3">
        <w:rPr>
          <w:lang w:val="bg-BG"/>
        </w:rPr>
        <w:t xml:space="preserve">счита, че специфичните обстоятелства на настоящия случай обосновават изключение от правилото, съгласно което изчерпването на вътрешноправните средства за защита се отчита към момента на подаване на жалбата. Той в действителност установява, че пред жалбоподателите явно не е имало никакви пречки да </w:t>
      </w:r>
      <w:r w:rsidR="0001193B" w:rsidRPr="008849C3">
        <w:rPr>
          <w:lang w:val="bg-BG"/>
        </w:rPr>
        <w:t>се възползват от възможностите, предостав</w:t>
      </w:r>
      <w:r w:rsidR="009354E7">
        <w:rPr>
          <w:lang w:val="bg-BG"/>
        </w:rPr>
        <w:t>е</w:t>
      </w:r>
      <w:r w:rsidR="0001193B" w:rsidRPr="008849C3">
        <w:rPr>
          <w:lang w:val="bg-BG"/>
        </w:rPr>
        <w:t>ни им от</w:t>
      </w:r>
      <w:r w:rsidRPr="008849C3">
        <w:rPr>
          <w:lang w:val="bg-BG"/>
        </w:rPr>
        <w:t xml:space="preserve"> </w:t>
      </w:r>
      <w:r w:rsidR="00CA7BA4">
        <w:rPr>
          <w:lang w:val="bg-BG"/>
        </w:rPr>
        <w:t>чл.</w:t>
      </w:r>
      <w:r w:rsidRPr="008849C3">
        <w:rPr>
          <w:lang w:val="bg-BG"/>
        </w:rPr>
        <w:t xml:space="preserve"> 32 </w:t>
      </w:r>
      <w:r w:rsidR="0001193B" w:rsidRPr="008849C3">
        <w:rPr>
          <w:lang w:val="bg-BG"/>
        </w:rPr>
        <w:t xml:space="preserve">от </w:t>
      </w:r>
      <w:r w:rsidR="009354E7">
        <w:rPr>
          <w:lang w:val="bg-BG"/>
        </w:rPr>
        <w:t>З</w:t>
      </w:r>
      <w:r w:rsidR="0001193B" w:rsidRPr="008849C3">
        <w:rPr>
          <w:lang w:val="bg-BG"/>
        </w:rPr>
        <w:t>акона от</w:t>
      </w:r>
      <w:r w:rsidRPr="008849C3">
        <w:rPr>
          <w:lang w:val="bg-BG"/>
        </w:rPr>
        <w:t xml:space="preserve"> 2005 </w:t>
      </w:r>
      <w:r w:rsidR="0001193B" w:rsidRPr="008849C3">
        <w:rPr>
          <w:lang w:val="bg-BG"/>
        </w:rPr>
        <w:t>г. и от Закона за отговорността на държавата</w:t>
      </w:r>
      <w:r w:rsidR="00D049D0" w:rsidRPr="008849C3">
        <w:rPr>
          <w:lang w:val="bg-BG"/>
        </w:rPr>
        <w:t xml:space="preserve">, за да </w:t>
      </w:r>
      <w:r w:rsidR="009354E7">
        <w:rPr>
          <w:lang w:val="bg-BG"/>
        </w:rPr>
        <w:t>предявят иск за</w:t>
      </w:r>
      <w:r w:rsidR="009354E7" w:rsidRPr="008849C3">
        <w:rPr>
          <w:lang w:val="bg-BG"/>
        </w:rPr>
        <w:t xml:space="preserve"> </w:t>
      </w:r>
      <w:r w:rsidR="00D049D0" w:rsidRPr="008849C3">
        <w:rPr>
          <w:lang w:val="bg-BG"/>
        </w:rPr>
        <w:t>обезщетение за понесените вреди във връзка с продълж</w:t>
      </w:r>
      <w:r w:rsidR="009354E7">
        <w:rPr>
          <w:lang w:val="bg-BG"/>
        </w:rPr>
        <w:t>ителното</w:t>
      </w:r>
      <w:r w:rsidR="00D049D0" w:rsidRPr="008849C3">
        <w:rPr>
          <w:lang w:val="bg-BG"/>
        </w:rPr>
        <w:t xml:space="preserve"> налагане на обезпечителни мерки върху движимото и недвижимото им имущество. </w:t>
      </w:r>
      <w:r w:rsidR="0001193B" w:rsidRPr="008849C3">
        <w:rPr>
          <w:lang w:val="bg-BG"/>
        </w:rPr>
        <w:t xml:space="preserve"> </w:t>
      </w:r>
    </w:p>
    <w:p w:rsidR="00237122" w:rsidRPr="008849C3" w:rsidRDefault="008B425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115</w:t>
      </w:r>
      <w:r w:rsidRPr="008849C3">
        <w:rPr>
          <w:lang w:val="bg-BG"/>
        </w:rPr>
        <w:fldChar w:fldCharType="end"/>
      </w:r>
      <w:r w:rsidRPr="008849C3">
        <w:rPr>
          <w:lang w:val="bg-BG"/>
        </w:rPr>
        <w:t>.  </w:t>
      </w:r>
      <w:r w:rsidR="00D049D0" w:rsidRPr="008849C3">
        <w:rPr>
          <w:lang w:val="bg-BG"/>
        </w:rPr>
        <w:t xml:space="preserve">В резултат на това </w:t>
      </w:r>
      <w:r w:rsidR="009E2F88">
        <w:rPr>
          <w:lang w:val="bg-BG"/>
        </w:rPr>
        <w:t xml:space="preserve">в </w:t>
      </w:r>
      <w:r w:rsidR="00D049D0" w:rsidRPr="008849C3">
        <w:rPr>
          <w:lang w:val="bg-BG"/>
        </w:rPr>
        <w:t xml:space="preserve">тази </w:t>
      </w:r>
      <w:r w:rsidR="009E2F88">
        <w:rPr>
          <w:lang w:val="bg-BG"/>
        </w:rPr>
        <w:t xml:space="preserve">си </w:t>
      </w:r>
      <w:r w:rsidR="00D049D0" w:rsidRPr="008849C3">
        <w:rPr>
          <w:lang w:val="bg-BG"/>
        </w:rPr>
        <w:t>част жалбата следва да бъде отхвърлена поради неизчерпване на вътрешноправните средства за защита</w:t>
      </w:r>
      <w:r w:rsidR="009E2F88">
        <w:rPr>
          <w:lang w:val="bg-BG"/>
        </w:rPr>
        <w:t xml:space="preserve"> съгласно</w:t>
      </w:r>
      <w:r w:rsidR="00D049D0" w:rsidRPr="008849C3">
        <w:rPr>
          <w:lang w:val="bg-BG"/>
        </w:rPr>
        <w:t xml:space="preserve"> </w:t>
      </w:r>
      <w:r w:rsidR="00CA7BA4">
        <w:rPr>
          <w:lang w:val="bg-BG"/>
        </w:rPr>
        <w:t>чл.</w:t>
      </w:r>
      <w:r w:rsidR="008B7F7F" w:rsidRPr="008849C3">
        <w:rPr>
          <w:lang w:val="bg-BG"/>
        </w:rPr>
        <w:t> </w:t>
      </w:r>
      <w:r w:rsidR="00276C60" w:rsidRPr="008849C3">
        <w:rPr>
          <w:lang w:val="bg-BG"/>
        </w:rPr>
        <w:t xml:space="preserve">35 §§ 1 </w:t>
      </w:r>
      <w:r w:rsidR="00D049D0" w:rsidRPr="008849C3">
        <w:rPr>
          <w:lang w:val="bg-BG"/>
        </w:rPr>
        <w:t>и</w:t>
      </w:r>
      <w:r w:rsidR="00276C60" w:rsidRPr="008849C3">
        <w:rPr>
          <w:lang w:val="bg-BG"/>
        </w:rPr>
        <w:t xml:space="preserve"> </w:t>
      </w:r>
      <w:r w:rsidRPr="008849C3">
        <w:rPr>
          <w:lang w:val="bg-BG"/>
        </w:rPr>
        <w:t xml:space="preserve">4 </w:t>
      </w:r>
      <w:r w:rsidR="00CD3B92" w:rsidRPr="008849C3">
        <w:rPr>
          <w:lang w:val="bg-BG"/>
        </w:rPr>
        <w:t>от Конвенцията</w:t>
      </w:r>
      <w:r w:rsidRPr="008849C3">
        <w:rPr>
          <w:lang w:val="bg-BG"/>
        </w:rPr>
        <w:t>.</w:t>
      </w:r>
    </w:p>
    <w:p w:rsidR="00E77CB3" w:rsidRPr="008849C3" w:rsidRDefault="00A02FEE" w:rsidP="006B0E9F">
      <w:pPr>
        <w:pStyle w:val="ECHRHeading1"/>
        <w:rPr>
          <w:lang w:val="bg-BG"/>
        </w:rPr>
      </w:pPr>
      <w:r w:rsidRPr="008849C3">
        <w:rPr>
          <w:lang w:val="bg-BG"/>
        </w:rPr>
        <w:t>V</w:t>
      </w:r>
      <w:r w:rsidR="00E77CB3" w:rsidRPr="008849C3">
        <w:rPr>
          <w:lang w:val="bg-BG"/>
        </w:rPr>
        <w:t>.  </w:t>
      </w:r>
      <w:r w:rsidR="005D79AA" w:rsidRPr="008849C3">
        <w:rPr>
          <w:lang w:val="bg-BG"/>
        </w:rPr>
        <w:t>ТВЪРДЕНИ НАРУШЕНИЯ НА</w:t>
      </w:r>
      <w:r w:rsidR="00E77CB3" w:rsidRPr="008849C3">
        <w:rPr>
          <w:lang w:val="bg-BG"/>
        </w:rPr>
        <w:t xml:space="preserve"> </w:t>
      </w:r>
      <w:r w:rsidR="00CA7BA4">
        <w:rPr>
          <w:lang w:val="bg-BG"/>
        </w:rPr>
        <w:t>ЧЛ.</w:t>
      </w:r>
      <w:r w:rsidRPr="008849C3">
        <w:rPr>
          <w:lang w:val="bg-BG"/>
        </w:rPr>
        <w:t xml:space="preserve"> 13 </w:t>
      </w:r>
      <w:r w:rsidR="00CD3B92" w:rsidRPr="008849C3">
        <w:rPr>
          <w:lang w:val="bg-BG"/>
        </w:rPr>
        <w:t>ОТ КОНВЕНЦИЯТА</w:t>
      </w:r>
    </w:p>
    <w:p w:rsidR="000B1D3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116</w:t>
      </w:r>
      <w:r w:rsidRPr="008849C3">
        <w:rPr>
          <w:lang w:val="bg-BG"/>
        </w:rPr>
        <w:fldChar w:fldCharType="end"/>
      </w:r>
      <w:r w:rsidRPr="008849C3">
        <w:rPr>
          <w:lang w:val="bg-BG"/>
        </w:rPr>
        <w:t>.  </w:t>
      </w:r>
      <w:r w:rsidR="00CA0FBB">
        <w:rPr>
          <w:lang w:val="bg-BG"/>
        </w:rPr>
        <w:t>Ж</w:t>
      </w:r>
      <w:r w:rsidR="00A365F2" w:rsidRPr="008849C3">
        <w:rPr>
          <w:lang w:val="bg-BG"/>
        </w:rPr>
        <w:t xml:space="preserve">албоподателите </w:t>
      </w:r>
      <w:r w:rsidR="00CA0FBB">
        <w:rPr>
          <w:lang w:val="bg-BG"/>
        </w:rPr>
        <w:t xml:space="preserve">на последно място </w:t>
      </w:r>
      <w:r w:rsidR="00A365F2" w:rsidRPr="008849C3">
        <w:rPr>
          <w:lang w:val="bg-BG"/>
        </w:rPr>
        <w:t>смятат, че не са разполагали с ефективни въ</w:t>
      </w:r>
      <w:r w:rsidR="0081154D" w:rsidRPr="008849C3">
        <w:rPr>
          <w:lang w:val="bg-BG"/>
        </w:rPr>
        <w:t xml:space="preserve">трешноправни средства за защита, които са в състояние да </w:t>
      </w:r>
      <w:r w:rsidR="009E2F88">
        <w:rPr>
          <w:lang w:val="bg-BG"/>
        </w:rPr>
        <w:t>отстранят</w:t>
      </w:r>
      <w:r w:rsidR="009E2F88" w:rsidRPr="008849C3">
        <w:rPr>
          <w:lang w:val="bg-BG"/>
        </w:rPr>
        <w:t xml:space="preserve"> </w:t>
      </w:r>
      <w:r w:rsidR="0081154D" w:rsidRPr="008849C3">
        <w:rPr>
          <w:lang w:val="bg-BG"/>
        </w:rPr>
        <w:t xml:space="preserve">твърдените нарушения на правата им </w:t>
      </w:r>
      <w:r w:rsidR="009E2F88">
        <w:rPr>
          <w:lang w:val="bg-BG"/>
        </w:rPr>
        <w:t>по</w:t>
      </w:r>
      <w:r w:rsidR="009E2F88" w:rsidRPr="008849C3">
        <w:rPr>
          <w:lang w:val="bg-BG"/>
        </w:rPr>
        <w:t xml:space="preserve"> </w:t>
      </w:r>
      <w:r w:rsidR="00CA7BA4">
        <w:rPr>
          <w:lang w:val="bg-BG"/>
        </w:rPr>
        <w:t>чл</w:t>
      </w:r>
      <w:r w:rsidR="009E2F88">
        <w:rPr>
          <w:lang w:val="bg-BG"/>
        </w:rPr>
        <w:t>.</w:t>
      </w:r>
      <w:r w:rsidR="0081154D" w:rsidRPr="008849C3">
        <w:rPr>
          <w:lang w:val="bg-BG"/>
        </w:rPr>
        <w:t xml:space="preserve"> </w:t>
      </w:r>
      <w:r w:rsidRPr="008849C3">
        <w:rPr>
          <w:lang w:val="bg-BG"/>
        </w:rPr>
        <w:t xml:space="preserve">3, 6 § 2 </w:t>
      </w:r>
      <w:r w:rsidR="0081154D" w:rsidRPr="008849C3">
        <w:rPr>
          <w:lang w:val="bg-BG"/>
        </w:rPr>
        <w:t>и</w:t>
      </w:r>
      <w:r w:rsidRPr="008849C3">
        <w:rPr>
          <w:lang w:val="bg-BG"/>
        </w:rPr>
        <w:t xml:space="preserve"> 8 </w:t>
      </w:r>
      <w:r w:rsidR="00CD3B92" w:rsidRPr="008849C3">
        <w:rPr>
          <w:lang w:val="bg-BG"/>
        </w:rPr>
        <w:t>от Конвенцията</w:t>
      </w:r>
      <w:r w:rsidRPr="008849C3">
        <w:rPr>
          <w:lang w:val="bg-BG"/>
        </w:rPr>
        <w:t xml:space="preserve"> </w:t>
      </w:r>
      <w:r w:rsidR="0081154D" w:rsidRPr="008849C3">
        <w:rPr>
          <w:lang w:val="bg-BG"/>
        </w:rPr>
        <w:t xml:space="preserve">и </w:t>
      </w:r>
      <w:r w:rsidR="00CA7BA4">
        <w:rPr>
          <w:lang w:val="bg-BG"/>
        </w:rPr>
        <w:t>чл.</w:t>
      </w:r>
      <w:r w:rsidRPr="008849C3">
        <w:rPr>
          <w:lang w:val="bg-BG"/>
        </w:rPr>
        <w:t xml:space="preserve"> 1 </w:t>
      </w:r>
      <w:r w:rsidR="0081154D" w:rsidRPr="008849C3">
        <w:rPr>
          <w:lang w:val="bg-BG"/>
        </w:rPr>
        <w:t>от Протокол №1</w:t>
      </w:r>
      <w:r w:rsidRPr="008849C3">
        <w:rPr>
          <w:lang w:val="bg-BG"/>
        </w:rPr>
        <w:t xml:space="preserve">. </w:t>
      </w:r>
      <w:r w:rsidR="0081154D" w:rsidRPr="008849C3">
        <w:rPr>
          <w:lang w:val="bg-BG"/>
        </w:rPr>
        <w:t xml:space="preserve">Позовават се на </w:t>
      </w:r>
      <w:r w:rsidR="00CA7BA4">
        <w:rPr>
          <w:lang w:val="bg-BG"/>
        </w:rPr>
        <w:t>чл.</w:t>
      </w:r>
      <w:r w:rsidRPr="008849C3">
        <w:rPr>
          <w:lang w:val="bg-BG"/>
        </w:rPr>
        <w:t xml:space="preserve"> 13 </w:t>
      </w:r>
      <w:r w:rsidR="00CD3B92" w:rsidRPr="008849C3">
        <w:rPr>
          <w:lang w:val="bg-BG"/>
        </w:rPr>
        <w:lastRenderedPageBreak/>
        <w:t>от Конвенцията</w:t>
      </w:r>
      <w:r w:rsidRPr="008849C3">
        <w:rPr>
          <w:lang w:val="bg-BG"/>
        </w:rPr>
        <w:t xml:space="preserve">, </w:t>
      </w:r>
      <w:r w:rsidR="0081154D" w:rsidRPr="008849C3">
        <w:rPr>
          <w:lang w:val="bg-BG"/>
        </w:rPr>
        <w:t xml:space="preserve">който гласи следното в </w:t>
      </w:r>
      <w:proofErr w:type="spellStart"/>
      <w:r w:rsidR="0081154D" w:rsidRPr="008849C3">
        <w:rPr>
          <w:lang w:val="bg-BG"/>
        </w:rPr>
        <w:t>относимите</w:t>
      </w:r>
      <w:proofErr w:type="spellEnd"/>
      <w:r w:rsidR="0081154D" w:rsidRPr="008849C3">
        <w:rPr>
          <w:lang w:val="bg-BG"/>
        </w:rPr>
        <w:t xml:space="preserve"> си към </w:t>
      </w:r>
      <w:r w:rsidR="009E2F88">
        <w:rPr>
          <w:lang w:val="bg-BG"/>
        </w:rPr>
        <w:t>случая</w:t>
      </w:r>
      <w:r w:rsidR="009E2F88" w:rsidRPr="008849C3">
        <w:rPr>
          <w:lang w:val="bg-BG"/>
        </w:rPr>
        <w:t xml:space="preserve"> </w:t>
      </w:r>
      <w:r w:rsidR="0081154D" w:rsidRPr="008849C3">
        <w:rPr>
          <w:lang w:val="bg-BG"/>
        </w:rPr>
        <w:t>части</w:t>
      </w:r>
      <w:r w:rsidRPr="008849C3">
        <w:rPr>
          <w:lang w:val="bg-BG"/>
        </w:rPr>
        <w:t>:</w:t>
      </w:r>
    </w:p>
    <w:p w:rsidR="000B1D33" w:rsidRPr="008849C3" w:rsidRDefault="0081154D" w:rsidP="006B0E9F">
      <w:pPr>
        <w:pStyle w:val="ECHRParaQuote"/>
        <w:rPr>
          <w:lang w:val="bg-BG"/>
        </w:rPr>
      </w:pPr>
      <w:r w:rsidRPr="008849C3">
        <w:rPr>
          <w:lang w:val="bg-BG"/>
        </w:rPr>
        <w:t>„</w:t>
      </w:r>
      <w:proofErr w:type="spellStart"/>
      <w:r w:rsidRPr="008849C3">
        <w:rPr>
          <w:lang w:val="bg-BG"/>
        </w:rPr>
        <w:t>Βсеки</w:t>
      </w:r>
      <w:proofErr w:type="spellEnd"/>
      <w:r w:rsidRPr="008849C3">
        <w:rPr>
          <w:lang w:val="bg-BG"/>
        </w:rPr>
        <w:t xml:space="preserve">, чиито права и свободи, провъзгласени в </w:t>
      </w:r>
      <w:r w:rsidR="000B1D33" w:rsidRPr="008849C3">
        <w:rPr>
          <w:lang w:val="bg-BG"/>
        </w:rPr>
        <w:t xml:space="preserve">(...) </w:t>
      </w:r>
      <w:r w:rsidRPr="008849C3">
        <w:rPr>
          <w:lang w:val="bg-BG"/>
        </w:rPr>
        <w:t>Конвенцията,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rsidR="000B1D33" w:rsidRPr="008849C3">
        <w:rPr>
          <w:lang w:val="bg-BG"/>
        </w:rPr>
        <w:t xml:space="preserve"> </w:t>
      </w:r>
    </w:p>
    <w:p w:rsidR="000B1D3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117</w:t>
      </w:r>
      <w:r w:rsidRPr="008849C3">
        <w:rPr>
          <w:lang w:val="bg-BG"/>
        </w:rPr>
        <w:fldChar w:fldCharType="end"/>
      </w:r>
      <w:r w:rsidRPr="008849C3">
        <w:rPr>
          <w:lang w:val="bg-BG"/>
        </w:rPr>
        <w:t>.  </w:t>
      </w:r>
      <w:r w:rsidR="003B1E4C" w:rsidRPr="008849C3">
        <w:rPr>
          <w:lang w:val="bg-BG"/>
        </w:rPr>
        <w:t xml:space="preserve">Правителството счита, че </w:t>
      </w:r>
      <w:r w:rsidR="009E2F88">
        <w:rPr>
          <w:lang w:val="bg-BG"/>
        </w:rPr>
        <w:t>жалбоподателите</w:t>
      </w:r>
      <w:r w:rsidR="009E2F88" w:rsidRPr="008849C3">
        <w:rPr>
          <w:lang w:val="bg-BG"/>
        </w:rPr>
        <w:t xml:space="preserve"> </w:t>
      </w:r>
      <w:r w:rsidR="009E2F88">
        <w:rPr>
          <w:lang w:val="bg-BG"/>
        </w:rPr>
        <w:t>са</w:t>
      </w:r>
      <w:r w:rsidR="009E2F88" w:rsidRPr="008849C3">
        <w:rPr>
          <w:lang w:val="bg-BG"/>
        </w:rPr>
        <w:t xml:space="preserve"> </w:t>
      </w:r>
      <w:r w:rsidR="003B1E4C" w:rsidRPr="008849C3">
        <w:rPr>
          <w:lang w:val="bg-BG"/>
        </w:rPr>
        <w:t xml:space="preserve">могли да </w:t>
      </w:r>
      <w:r w:rsidR="009E2F88">
        <w:rPr>
          <w:lang w:val="bg-BG"/>
        </w:rPr>
        <w:t>предявят</w:t>
      </w:r>
      <w:r w:rsidR="009E2F88" w:rsidRPr="008849C3">
        <w:rPr>
          <w:lang w:val="bg-BG"/>
        </w:rPr>
        <w:t xml:space="preserve"> </w:t>
      </w:r>
      <w:r w:rsidR="009E2F88">
        <w:rPr>
          <w:lang w:val="bg-BG"/>
        </w:rPr>
        <w:t xml:space="preserve">иск за </w:t>
      </w:r>
      <w:r w:rsidR="003B1E4C" w:rsidRPr="008849C3">
        <w:rPr>
          <w:lang w:val="bg-BG"/>
        </w:rPr>
        <w:t xml:space="preserve">парично обезщетение по Закона за отговорността на държавата. </w:t>
      </w:r>
    </w:p>
    <w:p w:rsidR="000B1D33" w:rsidRPr="008849C3" w:rsidRDefault="000B1D33" w:rsidP="006B0E9F">
      <w:pPr>
        <w:pStyle w:val="ECHRHeading2"/>
        <w:rPr>
          <w:lang w:val="bg-BG"/>
        </w:rPr>
      </w:pPr>
      <w:r w:rsidRPr="008849C3">
        <w:rPr>
          <w:lang w:val="bg-BG"/>
        </w:rPr>
        <w:t>A.  </w:t>
      </w:r>
      <w:r w:rsidR="009E2F88">
        <w:rPr>
          <w:lang w:val="bg-BG"/>
        </w:rPr>
        <w:t>Д</w:t>
      </w:r>
      <w:r w:rsidR="00782A10" w:rsidRPr="008849C3">
        <w:rPr>
          <w:lang w:val="bg-BG"/>
        </w:rPr>
        <w:t xml:space="preserve">опустимостта  </w:t>
      </w:r>
    </w:p>
    <w:p w:rsidR="005C1BF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118</w:t>
      </w:r>
      <w:r w:rsidRPr="008849C3">
        <w:rPr>
          <w:lang w:val="bg-BG"/>
        </w:rPr>
        <w:fldChar w:fldCharType="end"/>
      </w:r>
      <w:r w:rsidRPr="008849C3">
        <w:rPr>
          <w:lang w:val="bg-BG"/>
        </w:rPr>
        <w:t>.  </w:t>
      </w:r>
      <w:r w:rsidR="00782A10" w:rsidRPr="008849C3">
        <w:rPr>
          <w:lang w:val="bg-BG"/>
        </w:rPr>
        <w:t xml:space="preserve">Съдът </w:t>
      </w:r>
      <w:r w:rsidR="00CA0FBB">
        <w:rPr>
          <w:lang w:val="bg-BG"/>
        </w:rPr>
        <w:t>напомня</w:t>
      </w:r>
      <w:r w:rsidR="00782A10" w:rsidRPr="008849C3">
        <w:rPr>
          <w:lang w:val="bg-BG"/>
        </w:rPr>
        <w:t>, че е отхвърлил оплакването на жалбоподателите, подадено по чл. 1 от Протокол № 1 към Конвенцията за неизчерпване на вътрешноправните средства за защита</w:t>
      </w:r>
      <w:r w:rsidR="005C1BF3" w:rsidRPr="008849C3">
        <w:rPr>
          <w:lang w:val="bg-BG"/>
        </w:rPr>
        <w:t xml:space="preserve"> (</w:t>
      </w:r>
      <w:r w:rsidR="00EC77E2" w:rsidRPr="008849C3">
        <w:rPr>
          <w:lang w:val="bg-BG"/>
        </w:rPr>
        <w:t>параграфи</w:t>
      </w:r>
      <w:r w:rsidR="005C1BF3" w:rsidRPr="008849C3">
        <w:rPr>
          <w:lang w:val="bg-BG"/>
        </w:rPr>
        <w:t xml:space="preserve"> </w:t>
      </w:r>
      <w:r w:rsidR="00A96BFE" w:rsidRPr="008849C3">
        <w:rPr>
          <w:lang w:val="bg-BG"/>
        </w:rPr>
        <w:t>107-115</w:t>
      </w:r>
      <w:r w:rsidR="005C1BF3" w:rsidRPr="008849C3">
        <w:rPr>
          <w:lang w:val="bg-BG"/>
        </w:rPr>
        <w:t xml:space="preserve"> </w:t>
      </w:r>
      <w:r w:rsidR="00EC77E2" w:rsidRPr="008849C3">
        <w:rPr>
          <w:lang w:val="bg-BG"/>
        </w:rPr>
        <w:t>по-горе</w:t>
      </w:r>
      <w:r w:rsidR="005C1BF3" w:rsidRPr="008849C3">
        <w:rPr>
          <w:lang w:val="bg-BG"/>
        </w:rPr>
        <w:t xml:space="preserve">). </w:t>
      </w:r>
      <w:r w:rsidR="002D1BBB" w:rsidRPr="008849C3">
        <w:rPr>
          <w:lang w:val="bg-BG"/>
        </w:rPr>
        <w:t xml:space="preserve">От </w:t>
      </w:r>
      <w:r w:rsidR="009E2F88">
        <w:rPr>
          <w:lang w:val="bg-BG"/>
        </w:rPr>
        <w:t>тук</w:t>
      </w:r>
      <w:r w:rsidR="009E2F88" w:rsidRPr="008849C3">
        <w:rPr>
          <w:lang w:val="bg-BG"/>
        </w:rPr>
        <w:t xml:space="preserve"> </w:t>
      </w:r>
      <w:r w:rsidR="002D1BBB" w:rsidRPr="008849C3">
        <w:rPr>
          <w:lang w:val="bg-BG"/>
        </w:rPr>
        <w:t xml:space="preserve">следва, че при липса на защитимо оплакване по тази разпоредба, оплакването </w:t>
      </w:r>
      <w:r w:rsidR="009E2F88">
        <w:rPr>
          <w:lang w:val="bg-BG"/>
        </w:rPr>
        <w:t>по</w:t>
      </w:r>
      <w:r w:rsidR="002D1BBB" w:rsidRPr="008849C3">
        <w:rPr>
          <w:lang w:val="bg-BG"/>
        </w:rPr>
        <w:t xml:space="preserve"> </w:t>
      </w:r>
      <w:r w:rsidR="00CA7BA4">
        <w:rPr>
          <w:lang w:val="bg-BG"/>
        </w:rPr>
        <w:t>чл.</w:t>
      </w:r>
      <w:r w:rsidR="002D1BBB" w:rsidRPr="008849C3">
        <w:rPr>
          <w:lang w:val="bg-BG"/>
        </w:rPr>
        <w:t xml:space="preserve"> 13 от Конвенцията, свързано с него, е явно необосновано и следва да бъде отхвърлено </w:t>
      </w:r>
      <w:r w:rsidR="009E2F88">
        <w:rPr>
          <w:lang w:val="bg-BG"/>
        </w:rPr>
        <w:t>съгласно</w:t>
      </w:r>
      <w:r w:rsidR="002D1BBB" w:rsidRPr="008849C3">
        <w:rPr>
          <w:lang w:val="bg-BG"/>
        </w:rPr>
        <w:t xml:space="preserve"> </w:t>
      </w:r>
      <w:r w:rsidR="00CA7BA4">
        <w:rPr>
          <w:lang w:val="bg-BG"/>
        </w:rPr>
        <w:t>чл.</w:t>
      </w:r>
      <w:r w:rsidR="002D1BBB" w:rsidRPr="008849C3">
        <w:rPr>
          <w:lang w:val="bg-BG"/>
        </w:rPr>
        <w:t xml:space="preserve"> </w:t>
      </w:r>
      <w:r w:rsidR="002D1BBB" w:rsidRPr="008849C3">
        <w:rPr>
          <w:snapToGrid w:val="0"/>
          <w:lang w:val="bg-BG"/>
        </w:rPr>
        <w:t>35, параграфи 3 </w:t>
      </w:r>
      <w:r w:rsidR="002D1BBB" w:rsidRPr="008849C3">
        <w:rPr>
          <w:lang w:val="bg-BG"/>
        </w:rPr>
        <w:t>a) и</w:t>
      </w:r>
      <w:r w:rsidR="002D1BBB" w:rsidRPr="008849C3">
        <w:rPr>
          <w:snapToGrid w:val="0"/>
          <w:lang w:val="bg-BG"/>
        </w:rPr>
        <w:t xml:space="preserve"> 4 от Конвенцията. </w:t>
      </w:r>
    </w:p>
    <w:p w:rsidR="000859B6" w:rsidRPr="008849C3" w:rsidRDefault="005C1BF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119</w:t>
      </w:r>
      <w:r w:rsidRPr="008849C3">
        <w:rPr>
          <w:lang w:val="bg-BG"/>
        </w:rPr>
        <w:fldChar w:fldCharType="end"/>
      </w:r>
      <w:r w:rsidRPr="008849C3">
        <w:rPr>
          <w:lang w:val="bg-BG"/>
        </w:rPr>
        <w:t>.  </w:t>
      </w:r>
      <w:r w:rsidR="002D1BBB" w:rsidRPr="008849C3">
        <w:rPr>
          <w:lang w:val="bg-BG"/>
        </w:rPr>
        <w:t xml:space="preserve">Като счита </w:t>
      </w:r>
      <w:r w:rsidR="00B97016">
        <w:rPr>
          <w:lang w:val="bg-BG"/>
        </w:rPr>
        <w:t>обаче</w:t>
      </w:r>
      <w:r w:rsidR="002D1BBB" w:rsidRPr="008849C3">
        <w:rPr>
          <w:lang w:val="bg-BG"/>
        </w:rPr>
        <w:t>, че оплакванията</w:t>
      </w:r>
      <w:r w:rsidR="00CA0FBB">
        <w:rPr>
          <w:lang w:val="bg-BG"/>
        </w:rPr>
        <w:t xml:space="preserve"> на </w:t>
      </w:r>
      <w:r w:rsidR="002D1BBB" w:rsidRPr="008849C3">
        <w:rPr>
          <w:lang w:val="bg-BG"/>
        </w:rPr>
        <w:t xml:space="preserve">жалбоподателите по </w:t>
      </w:r>
      <w:r w:rsidR="00CA7BA4">
        <w:rPr>
          <w:lang w:val="bg-BG"/>
        </w:rPr>
        <w:t>чл.</w:t>
      </w:r>
      <w:r w:rsidR="00E1526D" w:rsidRPr="008849C3">
        <w:rPr>
          <w:lang w:val="bg-BG"/>
        </w:rPr>
        <w:t xml:space="preserve"> 13 </w:t>
      </w:r>
      <w:r w:rsidR="002D1BBB" w:rsidRPr="008849C3">
        <w:rPr>
          <w:lang w:val="bg-BG"/>
        </w:rPr>
        <w:t xml:space="preserve">във връзка с </w:t>
      </w:r>
      <w:r w:rsidR="00CA7BA4">
        <w:rPr>
          <w:lang w:val="bg-BG"/>
        </w:rPr>
        <w:t>чл</w:t>
      </w:r>
      <w:r w:rsidR="00B97016">
        <w:rPr>
          <w:lang w:val="bg-BG"/>
        </w:rPr>
        <w:t>.</w:t>
      </w:r>
      <w:r w:rsidR="00E1526D" w:rsidRPr="008849C3">
        <w:rPr>
          <w:lang w:val="bg-BG"/>
        </w:rPr>
        <w:t xml:space="preserve"> 3, 6 § 2 </w:t>
      </w:r>
      <w:r w:rsidR="002D1BBB" w:rsidRPr="008849C3">
        <w:rPr>
          <w:lang w:val="bg-BG"/>
        </w:rPr>
        <w:t>и</w:t>
      </w:r>
      <w:r w:rsidR="00E1526D" w:rsidRPr="008849C3">
        <w:rPr>
          <w:lang w:val="bg-BG"/>
        </w:rPr>
        <w:t xml:space="preserve"> 8 </w:t>
      </w:r>
      <w:r w:rsidR="00CD3B92" w:rsidRPr="008849C3">
        <w:rPr>
          <w:lang w:val="bg-BG"/>
        </w:rPr>
        <w:t>от Конвенцията</w:t>
      </w:r>
      <w:r w:rsidR="00E1526D" w:rsidRPr="008849C3">
        <w:rPr>
          <w:lang w:val="bg-BG"/>
        </w:rPr>
        <w:t xml:space="preserve"> </w:t>
      </w:r>
      <w:r w:rsidR="002D1BBB" w:rsidRPr="008849C3">
        <w:rPr>
          <w:lang w:val="bg-BG"/>
        </w:rPr>
        <w:t xml:space="preserve">не са </w:t>
      </w:r>
      <w:r w:rsidR="00B97016">
        <w:rPr>
          <w:lang w:val="bg-BG"/>
        </w:rPr>
        <w:t>явно</w:t>
      </w:r>
      <w:r w:rsidR="00B97016" w:rsidRPr="008849C3">
        <w:rPr>
          <w:lang w:val="bg-BG"/>
        </w:rPr>
        <w:t xml:space="preserve"> </w:t>
      </w:r>
      <w:r w:rsidR="002D1BBB" w:rsidRPr="008849C3">
        <w:rPr>
          <w:lang w:val="bg-BG"/>
        </w:rPr>
        <w:t xml:space="preserve">необосновани </w:t>
      </w:r>
      <w:r w:rsidR="00B97016">
        <w:rPr>
          <w:lang w:val="bg-BG"/>
        </w:rPr>
        <w:t>по</w:t>
      </w:r>
      <w:r w:rsidR="00E1526D" w:rsidRPr="008849C3">
        <w:rPr>
          <w:lang w:val="bg-BG"/>
        </w:rPr>
        <w:t xml:space="preserve"> </w:t>
      </w:r>
      <w:r w:rsidR="00CA7BA4">
        <w:rPr>
          <w:lang w:val="bg-BG"/>
        </w:rPr>
        <w:t>чл.</w:t>
      </w:r>
      <w:r w:rsidR="00902A6C" w:rsidRPr="008849C3">
        <w:rPr>
          <w:lang w:val="bg-BG"/>
        </w:rPr>
        <w:t> </w:t>
      </w:r>
      <w:r w:rsidR="00E1526D" w:rsidRPr="008849C3">
        <w:rPr>
          <w:lang w:val="bg-BG"/>
        </w:rPr>
        <w:t>35</w:t>
      </w:r>
      <w:r w:rsidR="00276C60" w:rsidRPr="008849C3">
        <w:rPr>
          <w:lang w:val="bg-BG"/>
        </w:rPr>
        <w:t xml:space="preserve"> </w:t>
      </w:r>
      <w:r w:rsidR="00E1526D" w:rsidRPr="008849C3">
        <w:rPr>
          <w:lang w:val="bg-BG"/>
        </w:rPr>
        <w:t>§</w:t>
      </w:r>
      <w:r w:rsidR="00902A6C" w:rsidRPr="008849C3">
        <w:rPr>
          <w:lang w:val="bg-BG"/>
        </w:rPr>
        <w:t> </w:t>
      </w:r>
      <w:r w:rsidR="00E1526D" w:rsidRPr="008849C3">
        <w:rPr>
          <w:lang w:val="bg-BG"/>
        </w:rPr>
        <w:t xml:space="preserve">3 a) </w:t>
      </w:r>
      <w:r w:rsidR="00CD3B92" w:rsidRPr="008849C3">
        <w:rPr>
          <w:lang w:val="bg-BG"/>
        </w:rPr>
        <w:t>от Конвенцията</w:t>
      </w:r>
      <w:r w:rsidR="00E1526D" w:rsidRPr="008849C3">
        <w:rPr>
          <w:lang w:val="bg-BG"/>
        </w:rPr>
        <w:t xml:space="preserve">, </w:t>
      </w:r>
      <w:r w:rsidR="003720A7" w:rsidRPr="008849C3">
        <w:rPr>
          <w:lang w:val="bg-BG"/>
        </w:rPr>
        <w:t xml:space="preserve">и че </w:t>
      </w:r>
      <w:r w:rsidR="00B97016" w:rsidRPr="008849C3">
        <w:rPr>
          <w:lang w:val="bg-BG"/>
        </w:rPr>
        <w:t xml:space="preserve">заедно с това не </w:t>
      </w:r>
      <w:r w:rsidR="00B97016">
        <w:rPr>
          <w:lang w:val="bg-BG"/>
        </w:rPr>
        <w:t>се среща никакво друго основание за недопустимост</w:t>
      </w:r>
      <w:r w:rsidR="003720A7" w:rsidRPr="008849C3">
        <w:rPr>
          <w:lang w:val="bg-BG"/>
        </w:rPr>
        <w:t xml:space="preserve">, Съдът ги обявява за допустими. </w:t>
      </w:r>
    </w:p>
    <w:p w:rsidR="000B1D33" w:rsidRPr="008849C3" w:rsidRDefault="00EC4990" w:rsidP="006B0E9F">
      <w:pPr>
        <w:pStyle w:val="ECHRHeading2"/>
        <w:rPr>
          <w:lang w:val="bg-BG"/>
        </w:rPr>
      </w:pPr>
      <w:r>
        <w:rPr>
          <w:lang w:val="bg-BG"/>
        </w:rPr>
        <w:t>Б</w:t>
      </w:r>
      <w:r w:rsidR="000B1D33" w:rsidRPr="008849C3">
        <w:rPr>
          <w:lang w:val="bg-BG"/>
        </w:rPr>
        <w:t>.  </w:t>
      </w:r>
      <w:r w:rsidR="00101C88" w:rsidRPr="008849C3">
        <w:rPr>
          <w:lang w:val="bg-BG"/>
        </w:rPr>
        <w:t>По същество</w:t>
      </w:r>
    </w:p>
    <w:p w:rsidR="000B1D3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120</w:t>
      </w:r>
      <w:r w:rsidRPr="008849C3">
        <w:rPr>
          <w:lang w:val="bg-BG"/>
        </w:rPr>
        <w:fldChar w:fldCharType="end"/>
      </w:r>
      <w:r w:rsidRPr="008849C3">
        <w:rPr>
          <w:lang w:val="bg-BG"/>
        </w:rPr>
        <w:t>.  </w:t>
      </w:r>
      <w:r w:rsidR="00073704" w:rsidRPr="008849C3">
        <w:rPr>
          <w:lang w:val="bg-BG"/>
        </w:rPr>
        <w:t xml:space="preserve">Съдът </w:t>
      </w:r>
      <w:r w:rsidR="00645D0F">
        <w:rPr>
          <w:lang w:val="bg-BG"/>
        </w:rPr>
        <w:t>напомня</w:t>
      </w:r>
      <w:r w:rsidR="00073704" w:rsidRPr="008849C3">
        <w:rPr>
          <w:lang w:val="bg-BG"/>
        </w:rPr>
        <w:t xml:space="preserve">, че в решението си </w:t>
      </w:r>
      <w:r w:rsidR="00073704" w:rsidRPr="008849C3">
        <w:rPr>
          <w:i/>
          <w:lang w:val="bg-BG"/>
        </w:rPr>
        <w:t>Гуцанови</w:t>
      </w:r>
      <w:r w:rsidR="0038607B" w:rsidRPr="008849C3">
        <w:rPr>
          <w:lang w:val="bg-BG"/>
        </w:rPr>
        <w:t xml:space="preserve"> (</w:t>
      </w:r>
      <w:r w:rsidR="00E27D7E" w:rsidRPr="008849C3">
        <w:rPr>
          <w:lang w:val="bg-BG"/>
        </w:rPr>
        <w:t>цитирано по-горе</w:t>
      </w:r>
      <w:r w:rsidR="0038607B" w:rsidRPr="008849C3">
        <w:rPr>
          <w:lang w:val="bg-BG"/>
        </w:rPr>
        <w:t>, § 233)</w:t>
      </w:r>
      <w:r w:rsidR="00A4238B" w:rsidRPr="008849C3">
        <w:rPr>
          <w:lang w:val="bg-BG"/>
        </w:rPr>
        <w:t>,</w:t>
      </w:r>
      <w:r w:rsidR="0038607B" w:rsidRPr="008849C3">
        <w:rPr>
          <w:lang w:val="bg-BG"/>
        </w:rPr>
        <w:t xml:space="preserve"> </w:t>
      </w:r>
      <w:r w:rsidR="00073704" w:rsidRPr="008849C3">
        <w:rPr>
          <w:lang w:val="bg-BG"/>
        </w:rPr>
        <w:t xml:space="preserve">е установил, че искът за обезщетение </w:t>
      </w:r>
      <w:r w:rsidR="00645D0F">
        <w:rPr>
          <w:lang w:val="bg-BG"/>
        </w:rPr>
        <w:t>н</w:t>
      </w:r>
      <w:r w:rsidR="00073704" w:rsidRPr="008849C3">
        <w:rPr>
          <w:lang w:val="bg-BG"/>
        </w:rPr>
        <w:t xml:space="preserve">а вреди по Закона за отговорността на държавата не е бил средство за защита, достатъчно ефективно за </w:t>
      </w:r>
      <w:r w:rsidR="00645D0F">
        <w:rPr>
          <w:lang w:val="bg-BG"/>
        </w:rPr>
        <w:t>отстраняване</w:t>
      </w:r>
      <w:r w:rsidR="00645D0F" w:rsidRPr="008849C3">
        <w:rPr>
          <w:lang w:val="bg-BG"/>
        </w:rPr>
        <w:t xml:space="preserve"> </w:t>
      </w:r>
      <w:r w:rsidR="00073704" w:rsidRPr="008849C3">
        <w:rPr>
          <w:lang w:val="bg-BG"/>
        </w:rPr>
        <w:t>на твърдените нарушения на</w:t>
      </w:r>
      <w:r w:rsidR="0038607B" w:rsidRPr="008849C3">
        <w:rPr>
          <w:lang w:val="bg-BG"/>
        </w:rPr>
        <w:t xml:space="preserve"> </w:t>
      </w:r>
      <w:r w:rsidR="00CA7BA4">
        <w:rPr>
          <w:lang w:val="bg-BG"/>
        </w:rPr>
        <w:t>чл.</w:t>
      </w:r>
      <w:r w:rsidR="0038607B" w:rsidRPr="008849C3">
        <w:rPr>
          <w:lang w:val="bg-BG"/>
        </w:rPr>
        <w:t xml:space="preserve"> 3 </w:t>
      </w:r>
      <w:r w:rsidR="00CD3B92" w:rsidRPr="008849C3">
        <w:rPr>
          <w:lang w:val="bg-BG"/>
        </w:rPr>
        <w:t>от Конвенцията</w:t>
      </w:r>
      <w:r w:rsidR="0038607B" w:rsidRPr="008849C3">
        <w:rPr>
          <w:lang w:val="bg-BG"/>
        </w:rPr>
        <w:t xml:space="preserve">. </w:t>
      </w:r>
      <w:r w:rsidR="00073704" w:rsidRPr="008849C3">
        <w:rPr>
          <w:lang w:val="bg-BG"/>
        </w:rPr>
        <w:t xml:space="preserve">Трябва също да се отбележи, че Правителството не е посочило никакво друго средство за защита, което би позволило на жалбоподателя да упражни правото си да не бъде подложен на унизително отношение. </w:t>
      </w:r>
    </w:p>
    <w:p w:rsidR="00424B63" w:rsidRPr="008849C3" w:rsidRDefault="00424B6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121</w:t>
      </w:r>
      <w:r w:rsidRPr="008849C3">
        <w:rPr>
          <w:lang w:val="bg-BG"/>
        </w:rPr>
        <w:fldChar w:fldCharType="end"/>
      </w:r>
      <w:r w:rsidRPr="008849C3">
        <w:rPr>
          <w:lang w:val="bg-BG"/>
        </w:rPr>
        <w:t>.  </w:t>
      </w:r>
      <w:r w:rsidR="00BF61DC" w:rsidRPr="008849C3">
        <w:rPr>
          <w:lang w:val="bg-BG"/>
        </w:rPr>
        <w:t xml:space="preserve">Като разгледа оплакването на жалбоподателя </w:t>
      </w:r>
      <w:r w:rsidR="00645D0F">
        <w:rPr>
          <w:lang w:val="bg-BG"/>
        </w:rPr>
        <w:t>съгласно</w:t>
      </w:r>
      <w:r w:rsidR="00BF61DC" w:rsidRPr="008849C3">
        <w:rPr>
          <w:lang w:val="bg-BG"/>
        </w:rPr>
        <w:t xml:space="preserve"> </w:t>
      </w:r>
      <w:r w:rsidRPr="008849C3">
        <w:rPr>
          <w:lang w:val="bg-BG"/>
        </w:rPr>
        <w:t xml:space="preserve"> </w:t>
      </w:r>
      <w:r w:rsidR="00CA7BA4">
        <w:rPr>
          <w:lang w:val="bg-BG"/>
        </w:rPr>
        <w:t>чл.</w:t>
      </w:r>
      <w:r w:rsidRPr="008849C3">
        <w:rPr>
          <w:lang w:val="bg-BG"/>
        </w:rPr>
        <w:t xml:space="preserve"> 6 § 2 </w:t>
      </w:r>
      <w:r w:rsidR="00CD3B92" w:rsidRPr="008849C3">
        <w:rPr>
          <w:lang w:val="bg-BG"/>
        </w:rPr>
        <w:t>от Конвенцията</w:t>
      </w:r>
      <w:r w:rsidRPr="008849C3">
        <w:rPr>
          <w:lang w:val="bg-BG"/>
        </w:rPr>
        <w:t xml:space="preserve">, </w:t>
      </w:r>
      <w:r w:rsidR="00BF61DC" w:rsidRPr="008849C3">
        <w:rPr>
          <w:lang w:val="bg-BG"/>
        </w:rPr>
        <w:t xml:space="preserve">Съдът </w:t>
      </w:r>
      <w:r w:rsidR="00645D0F">
        <w:rPr>
          <w:lang w:val="bg-BG"/>
        </w:rPr>
        <w:t>приема</w:t>
      </w:r>
      <w:r w:rsidR="00BF61DC" w:rsidRPr="008849C3">
        <w:rPr>
          <w:lang w:val="bg-BG"/>
        </w:rPr>
        <w:t xml:space="preserve">, че този иск за обезщетение </w:t>
      </w:r>
      <w:r w:rsidR="00645D0F">
        <w:rPr>
          <w:lang w:val="bg-BG"/>
        </w:rPr>
        <w:t>н</w:t>
      </w:r>
      <w:r w:rsidR="00BF61DC" w:rsidRPr="008849C3">
        <w:rPr>
          <w:lang w:val="bg-BG"/>
        </w:rPr>
        <w:t xml:space="preserve">а вреди не е бил ефективно вътрешноправно средство за защита, което е в състояние да </w:t>
      </w:r>
      <w:r w:rsidR="00645D0F">
        <w:rPr>
          <w:lang w:val="bg-BG"/>
        </w:rPr>
        <w:t>отстрани</w:t>
      </w:r>
      <w:r w:rsidR="00645D0F" w:rsidRPr="008849C3">
        <w:rPr>
          <w:lang w:val="bg-BG"/>
        </w:rPr>
        <w:t xml:space="preserve"> </w:t>
      </w:r>
      <w:r w:rsidR="00BF61DC" w:rsidRPr="008849C3">
        <w:rPr>
          <w:lang w:val="bg-BG"/>
        </w:rPr>
        <w:t>твърдяното нарушение на правото</w:t>
      </w:r>
      <w:r w:rsidR="00645D0F">
        <w:rPr>
          <w:lang w:val="bg-BG"/>
        </w:rPr>
        <w:t xml:space="preserve"> за презумпцията за невиновност</w:t>
      </w:r>
      <w:r w:rsidR="00BF61DC" w:rsidRPr="008849C3">
        <w:rPr>
          <w:lang w:val="bg-BG"/>
        </w:rPr>
        <w:t xml:space="preserve"> на жалбоподателя </w:t>
      </w:r>
      <w:r w:rsidR="00A03095" w:rsidRPr="008849C3">
        <w:rPr>
          <w:lang w:val="bg-BG"/>
        </w:rPr>
        <w:t>(</w:t>
      </w:r>
      <w:r w:rsidR="00EC77E2" w:rsidRPr="008849C3">
        <w:rPr>
          <w:lang w:val="bg-BG"/>
        </w:rPr>
        <w:t>параграф</w:t>
      </w:r>
      <w:r w:rsidR="0079485D" w:rsidRPr="008849C3">
        <w:rPr>
          <w:lang w:val="bg-BG"/>
        </w:rPr>
        <w:t xml:space="preserve"> </w:t>
      </w:r>
      <w:r w:rsidR="00C77DF6" w:rsidRPr="008849C3">
        <w:rPr>
          <w:lang w:val="bg-BG"/>
        </w:rPr>
        <w:t>81</w:t>
      </w:r>
      <w:r w:rsidR="0079485D" w:rsidRPr="008849C3">
        <w:rPr>
          <w:lang w:val="bg-BG"/>
        </w:rPr>
        <w:t xml:space="preserve"> </w:t>
      </w:r>
      <w:r w:rsidR="00EC77E2" w:rsidRPr="008849C3">
        <w:rPr>
          <w:lang w:val="bg-BG"/>
        </w:rPr>
        <w:t>по-горе</w:t>
      </w:r>
      <w:r w:rsidR="0079485D" w:rsidRPr="008849C3">
        <w:rPr>
          <w:lang w:val="bg-BG"/>
        </w:rPr>
        <w:t>)</w:t>
      </w:r>
      <w:r w:rsidRPr="008849C3">
        <w:rPr>
          <w:lang w:val="bg-BG"/>
        </w:rPr>
        <w:t>.</w:t>
      </w:r>
    </w:p>
    <w:p w:rsidR="000B1D33" w:rsidRPr="008849C3" w:rsidRDefault="000B1D33" w:rsidP="006B0E9F">
      <w:pPr>
        <w:pStyle w:val="ECHRPara"/>
        <w:rPr>
          <w:i/>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122</w:t>
      </w:r>
      <w:r w:rsidRPr="008849C3">
        <w:rPr>
          <w:lang w:val="bg-BG"/>
        </w:rPr>
        <w:fldChar w:fldCharType="end"/>
      </w:r>
      <w:r w:rsidRPr="008849C3">
        <w:rPr>
          <w:lang w:val="bg-BG"/>
        </w:rPr>
        <w:t>.  </w:t>
      </w:r>
      <w:r w:rsidR="00BF61DC" w:rsidRPr="008849C3">
        <w:rPr>
          <w:lang w:val="bg-BG"/>
        </w:rPr>
        <w:t xml:space="preserve">Съдът отбелязва също така, че Правителството не е </w:t>
      </w:r>
      <w:proofErr w:type="spellStart"/>
      <w:r w:rsidR="00645D0F">
        <w:rPr>
          <w:lang w:val="bg-BG"/>
        </w:rPr>
        <w:t>обосновил</w:t>
      </w:r>
      <w:proofErr w:type="spellEnd"/>
      <w:r w:rsidR="00645D0F" w:rsidRPr="008849C3">
        <w:rPr>
          <w:lang w:val="bg-BG"/>
        </w:rPr>
        <w:t xml:space="preserve"> </w:t>
      </w:r>
      <w:r w:rsidR="00645D0F">
        <w:rPr>
          <w:lang w:val="bg-BG"/>
        </w:rPr>
        <w:t>аргумента си</w:t>
      </w:r>
      <w:r w:rsidR="00BF61DC" w:rsidRPr="008849C3">
        <w:rPr>
          <w:lang w:val="bg-BG"/>
        </w:rPr>
        <w:t>, според</w:t>
      </w:r>
      <w:r w:rsidR="002563AE" w:rsidRPr="008849C3">
        <w:rPr>
          <w:lang w:val="bg-BG"/>
        </w:rPr>
        <w:t xml:space="preserve"> ко</w:t>
      </w:r>
      <w:r w:rsidR="00645D0F">
        <w:rPr>
          <w:lang w:val="bg-BG"/>
        </w:rPr>
        <w:t>й</w:t>
      </w:r>
      <w:r w:rsidR="00BF61DC" w:rsidRPr="008849C3">
        <w:rPr>
          <w:lang w:val="bg-BG"/>
        </w:rPr>
        <w:t xml:space="preserve">то </w:t>
      </w:r>
      <w:r w:rsidR="005F25F4" w:rsidRPr="008849C3">
        <w:rPr>
          <w:lang w:val="bg-BG"/>
        </w:rPr>
        <w:t>граждански иск по Закона за отговорността на държавата</w:t>
      </w:r>
      <w:r w:rsidRPr="008849C3">
        <w:rPr>
          <w:lang w:val="bg-BG"/>
        </w:rPr>
        <w:t xml:space="preserve"> </w:t>
      </w:r>
      <w:r w:rsidR="00244025" w:rsidRPr="008849C3">
        <w:rPr>
          <w:lang w:val="bg-BG"/>
        </w:rPr>
        <w:t xml:space="preserve">е достатъчно установено </w:t>
      </w:r>
      <w:r w:rsidR="00645D0F">
        <w:rPr>
          <w:lang w:val="bg-BG"/>
        </w:rPr>
        <w:t>като</w:t>
      </w:r>
      <w:r w:rsidR="00645D0F" w:rsidRPr="008849C3">
        <w:rPr>
          <w:lang w:val="bg-BG"/>
        </w:rPr>
        <w:t xml:space="preserve"> </w:t>
      </w:r>
      <w:r w:rsidR="00244025" w:rsidRPr="008849C3">
        <w:rPr>
          <w:lang w:val="bg-BG"/>
        </w:rPr>
        <w:t xml:space="preserve">вътрешното право средство за защита за </w:t>
      </w:r>
      <w:r w:rsidR="00645D0F">
        <w:rPr>
          <w:lang w:val="bg-BG"/>
        </w:rPr>
        <w:t>отстраняване</w:t>
      </w:r>
      <w:r w:rsidR="00645D0F" w:rsidRPr="008849C3">
        <w:rPr>
          <w:lang w:val="bg-BG"/>
        </w:rPr>
        <w:t xml:space="preserve"> </w:t>
      </w:r>
      <w:r w:rsidR="00244025" w:rsidRPr="008849C3">
        <w:rPr>
          <w:lang w:val="bg-BG"/>
        </w:rPr>
        <w:t xml:space="preserve">на твърдените нарушения на правото на </w:t>
      </w:r>
      <w:r w:rsidR="00244025" w:rsidRPr="008849C3">
        <w:rPr>
          <w:lang w:val="bg-BG"/>
        </w:rPr>
        <w:lastRenderedPageBreak/>
        <w:t xml:space="preserve">неприкосновеност на жилището на жалбоподателите и на правото на неприкосновеност </w:t>
      </w:r>
      <w:r w:rsidR="00B37B59" w:rsidRPr="008849C3">
        <w:rPr>
          <w:lang w:val="bg-BG"/>
        </w:rPr>
        <w:t>на личния живот</w:t>
      </w:r>
      <w:r w:rsidR="00645D0F">
        <w:rPr>
          <w:lang w:val="bg-BG"/>
        </w:rPr>
        <w:t xml:space="preserve"> на жалбоподателя</w:t>
      </w:r>
      <w:r w:rsidR="00B37B59" w:rsidRPr="008849C3">
        <w:rPr>
          <w:lang w:val="bg-BG"/>
        </w:rPr>
        <w:t>. Освен тов</w:t>
      </w:r>
      <w:r w:rsidR="00244025" w:rsidRPr="008849C3">
        <w:rPr>
          <w:lang w:val="bg-BG"/>
        </w:rPr>
        <w:t xml:space="preserve">а </w:t>
      </w:r>
      <w:r w:rsidR="00D54CA7" w:rsidRPr="008849C3">
        <w:rPr>
          <w:lang w:val="bg-BG"/>
        </w:rPr>
        <w:t xml:space="preserve">никоя разпоредба на вътрешното </w:t>
      </w:r>
      <w:r w:rsidR="00645D0F">
        <w:rPr>
          <w:lang w:val="bg-BG"/>
        </w:rPr>
        <w:t>законодателство</w:t>
      </w:r>
      <w:r w:rsidR="00645D0F" w:rsidRPr="008849C3">
        <w:rPr>
          <w:lang w:val="bg-BG"/>
        </w:rPr>
        <w:t xml:space="preserve"> </w:t>
      </w:r>
      <w:r w:rsidR="00D54CA7" w:rsidRPr="008849C3">
        <w:rPr>
          <w:lang w:val="bg-BG"/>
        </w:rPr>
        <w:t xml:space="preserve">не </w:t>
      </w:r>
      <w:r w:rsidR="00CA0FBB">
        <w:rPr>
          <w:lang w:val="bg-BG"/>
        </w:rPr>
        <w:t>дава възможност</w:t>
      </w:r>
      <w:r w:rsidR="00D54CA7" w:rsidRPr="008849C3">
        <w:rPr>
          <w:lang w:val="bg-BG"/>
        </w:rPr>
        <w:t xml:space="preserve"> на жалбоподателката да оспори </w:t>
      </w:r>
      <w:r w:rsidR="00CA0FBB">
        <w:rPr>
          <w:lang w:val="bg-BG"/>
        </w:rPr>
        <w:t>законосъобразността</w:t>
      </w:r>
      <w:r w:rsidR="00CA0FBB" w:rsidRPr="008849C3">
        <w:rPr>
          <w:lang w:val="bg-BG"/>
        </w:rPr>
        <w:t xml:space="preserve"> </w:t>
      </w:r>
      <w:r w:rsidR="00D54CA7" w:rsidRPr="008849C3">
        <w:rPr>
          <w:lang w:val="bg-BG"/>
        </w:rPr>
        <w:t>и необходимостта от претърсването на офиса й (</w:t>
      </w:r>
      <w:r w:rsidR="00D54CA7" w:rsidRPr="008849C3">
        <w:rPr>
          <w:i/>
          <w:lang w:val="bg-BG"/>
        </w:rPr>
        <w:t>Илия Стефанов срещу България</w:t>
      </w:r>
      <w:r w:rsidR="00D54CA7" w:rsidRPr="008849C3">
        <w:rPr>
          <w:lang w:val="bg-BG"/>
        </w:rPr>
        <w:t xml:space="preserve">, № 65755/01, § 44, 22 май 2008 г.), а Правителството не е посочило друго средство за защита в тази връзка.  </w:t>
      </w:r>
    </w:p>
    <w:p w:rsidR="000B1D3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123</w:t>
      </w:r>
      <w:r w:rsidRPr="008849C3">
        <w:rPr>
          <w:lang w:val="bg-BG"/>
        </w:rPr>
        <w:fldChar w:fldCharType="end"/>
      </w:r>
      <w:r w:rsidRPr="008849C3">
        <w:rPr>
          <w:lang w:val="bg-BG"/>
        </w:rPr>
        <w:t>.  </w:t>
      </w:r>
      <w:r w:rsidR="00D54CA7" w:rsidRPr="008849C3">
        <w:rPr>
          <w:lang w:val="bg-BG"/>
        </w:rPr>
        <w:t xml:space="preserve">Съдът счита, че същите тези мотиви могат да бъдат изтъкнати и при разглеждането на защитимите оплаквания, повдигнати от гледна точка на </w:t>
      </w:r>
      <w:r w:rsidR="00CA7BA4">
        <w:rPr>
          <w:lang w:val="bg-BG"/>
        </w:rPr>
        <w:t>чл.</w:t>
      </w:r>
      <w:r w:rsidR="00D54CA7" w:rsidRPr="008849C3">
        <w:rPr>
          <w:lang w:val="bg-BG"/>
        </w:rPr>
        <w:t xml:space="preserve"> 13, във връзка с </w:t>
      </w:r>
      <w:r w:rsidR="00CA7BA4">
        <w:rPr>
          <w:lang w:val="bg-BG"/>
        </w:rPr>
        <w:t>чл</w:t>
      </w:r>
      <w:r w:rsidR="00CA0FBB">
        <w:rPr>
          <w:lang w:val="bg-BG"/>
        </w:rPr>
        <w:t>.</w:t>
      </w:r>
      <w:r w:rsidR="00D54CA7" w:rsidRPr="008849C3">
        <w:rPr>
          <w:lang w:val="bg-BG"/>
        </w:rPr>
        <w:t xml:space="preserve"> 3, 6 § 2 и 8 от Конвенцията, и че те са достатъчни, за да се заключи, че жалбоподателите не са разполагали с вътрешноправно средство, което да им позволи да защитят съответните си права по гореспоменатите </w:t>
      </w:r>
      <w:r w:rsidR="00CA7BA4">
        <w:rPr>
          <w:lang w:val="bg-BG"/>
        </w:rPr>
        <w:t>членове</w:t>
      </w:r>
      <w:r w:rsidR="00D54CA7" w:rsidRPr="008849C3">
        <w:rPr>
          <w:lang w:val="bg-BG"/>
        </w:rPr>
        <w:t xml:space="preserve">.  </w:t>
      </w:r>
    </w:p>
    <w:p w:rsidR="000B1D33" w:rsidRPr="008849C3" w:rsidRDefault="000B1D3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124</w:t>
      </w:r>
      <w:r w:rsidRPr="008849C3">
        <w:rPr>
          <w:lang w:val="bg-BG"/>
        </w:rPr>
        <w:fldChar w:fldCharType="end"/>
      </w:r>
      <w:r w:rsidR="00D54CA7" w:rsidRPr="008849C3">
        <w:rPr>
          <w:lang w:val="bg-BG"/>
        </w:rPr>
        <w:t xml:space="preserve">.  Следователно е налице нарушение на </w:t>
      </w:r>
      <w:r w:rsidR="00CA7BA4">
        <w:rPr>
          <w:lang w:val="bg-BG"/>
        </w:rPr>
        <w:t>чл.</w:t>
      </w:r>
      <w:r w:rsidRPr="008849C3">
        <w:rPr>
          <w:lang w:val="bg-BG"/>
        </w:rPr>
        <w:t xml:space="preserve"> 13 </w:t>
      </w:r>
      <w:r w:rsidR="00D54CA7" w:rsidRPr="008849C3">
        <w:rPr>
          <w:lang w:val="bg-BG"/>
        </w:rPr>
        <w:t xml:space="preserve">във връзка с </w:t>
      </w:r>
      <w:r w:rsidR="00CA7BA4">
        <w:rPr>
          <w:lang w:val="bg-BG"/>
        </w:rPr>
        <w:t>чл</w:t>
      </w:r>
      <w:r w:rsidR="00CA0FBB">
        <w:rPr>
          <w:lang w:val="bg-BG"/>
        </w:rPr>
        <w:t>.</w:t>
      </w:r>
      <w:r w:rsidR="00D54CA7" w:rsidRPr="008849C3">
        <w:rPr>
          <w:lang w:val="bg-BG"/>
        </w:rPr>
        <w:t xml:space="preserve"> </w:t>
      </w:r>
      <w:r w:rsidRPr="008849C3">
        <w:rPr>
          <w:lang w:val="bg-BG"/>
        </w:rPr>
        <w:t>3</w:t>
      </w:r>
      <w:r w:rsidR="00FE49E3" w:rsidRPr="008849C3">
        <w:rPr>
          <w:lang w:val="bg-BG"/>
        </w:rPr>
        <w:t>,</w:t>
      </w:r>
      <w:r w:rsidR="0079485D" w:rsidRPr="008849C3">
        <w:rPr>
          <w:lang w:val="bg-BG"/>
        </w:rPr>
        <w:t xml:space="preserve"> 6</w:t>
      </w:r>
      <w:r w:rsidR="00276C60" w:rsidRPr="008849C3">
        <w:rPr>
          <w:lang w:val="bg-BG"/>
        </w:rPr>
        <w:t xml:space="preserve"> </w:t>
      </w:r>
      <w:r w:rsidR="0079485D" w:rsidRPr="008849C3">
        <w:rPr>
          <w:lang w:val="bg-BG"/>
        </w:rPr>
        <w:t>§ 2</w:t>
      </w:r>
      <w:r w:rsidRPr="008849C3">
        <w:rPr>
          <w:lang w:val="bg-BG"/>
        </w:rPr>
        <w:t xml:space="preserve"> </w:t>
      </w:r>
      <w:r w:rsidR="00D54CA7" w:rsidRPr="008849C3">
        <w:rPr>
          <w:lang w:val="bg-BG"/>
        </w:rPr>
        <w:t>и</w:t>
      </w:r>
      <w:r w:rsidR="00FE49E3" w:rsidRPr="008849C3">
        <w:rPr>
          <w:lang w:val="bg-BG"/>
        </w:rPr>
        <w:t xml:space="preserve"> </w:t>
      </w:r>
      <w:r w:rsidRPr="008849C3">
        <w:rPr>
          <w:lang w:val="bg-BG"/>
        </w:rPr>
        <w:t xml:space="preserve">8 </w:t>
      </w:r>
      <w:r w:rsidR="00CD3B92" w:rsidRPr="008849C3">
        <w:rPr>
          <w:lang w:val="bg-BG"/>
        </w:rPr>
        <w:t>от Конвенцията</w:t>
      </w:r>
      <w:r w:rsidRPr="008849C3">
        <w:rPr>
          <w:lang w:val="bg-BG"/>
        </w:rPr>
        <w:t>.</w:t>
      </w:r>
    </w:p>
    <w:p w:rsidR="00E77CB3" w:rsidRPr="008849C3" w:rsidRDefault="00F17313" w:rsidP="006B0E9F">
      <w:pPr>
        <w:pStyle w:val="ECHRHeading1"/>
        <w:rPr>
          <w:lang w:val="bg-BG"/>
        </w:rPr>
      </w:pPr>
      <w:r w:rsidRPr="008849C3">
        <w:rPr>
          <w:lang w:val="bg-BG"/>
        </w:rPr>
        <w:t>VI</w:t>
      </w:r>
      <w:r w:rsidR="00E77CB3" w:rsidRPr="008849C3">
        <w:rPr>
          <w:lang w:val="bg-BG"/>
        </w:rPr>
        <w:t>.  </w:t>
      </w:r>
      <w:r w:rsidR="00AD3C70">
        <w:rPr>
          <w:lang w:val="bg-BG"/>
        </w:rPr>
        <w:t>ОТНОСНО</w:t>
      </w:r>
      <w:r w:rsidR="008316FE" w:rsidRPr="008849C3">
        <w:rPr>
          <w:lang w:val="bg-BG"/>
        </w:rPr>
        <w:t xml:space="preserve"> ПРИЛОЖЕНИЕТО НА</w:t>
      </w:r>
      <w:r w:rsidR="00E77CB3" w:rsidRPr="008849C3">
        <w:rPr>
          <w:lang w:val="bg-BG"/>
        </w:rPr>
        <w:t xml:space="preserve"> </w:t>
      </w:r>
      <w:r w:rsidR="00CA7BA4">
        <w:rPr>
          <w:lang w:val="bg-BG"/>
        </w:rPr>
        <w:t>ЧЛ.</w:t>
      </w:r>
      <w:r w:rsidR="00E77CB3" w:rsidRPr="008849C3">
        <w:rPr>
          <w:lang w:val="bg-BG"/>
        </w:rPr>
        <w:t xml:space="preserve"> 41 </w:t>
      </w:r>
      <w:r w:rsidR="00CD3B92" w:rsidRPr="008849C3">
        <w:rPr>
          <w:lang w:val="bg-BG"/>
        </w:rPr>
        <w:t>ОТ КОНВЕНЦИЯТА</w:t>
      </w:r>
    </w:p>
    <w:p w:rsidR="00E77CB3" w:rsidRPr="008849C3" w:rsidRDefault="00472D9E" w:rsidP="006B0E9F">
      <w:pPr>
        <w:pStyle w:val="ECHRPara"/>
        <w:spacing w:line="276" w:lineRule="auto"/>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125</w:t>
      </w:r>
      <w:r w:rsidRPr="008849C3">
        <w:rPr>
          <w:lang w:val="bg-BG"/>
        </w:rPr>
        <w:fldChar w:fldCharType="end"/>
      </w:r>
      <w:r w:rsidR="00E77CB3" w:rsidRPr="008849C3">
        <w:rPr>
          <w:lang w:val="bg-BG"/>
        </w:rPr>
        <w:t>.  </w:t>
      </w:r>
      <w:r w:rsidR="008316FE" w:rsidRPr="008849C3">
        <w:rPr>
          <w:lang w:val="bg-BG"/>
        </w:rPr>
        <w:t>Съгласно</w:t>
      </w:r>
      <w:r w:rsidR="00E77CB3" w:rsidRPr="008849C3">
        <w:rPr>
          <w:lang w:val="bg-BG"/>
        </w:rPr>
        <w:t xml:space="preserve"> </w:t>
      </w:r>
      <w:r w:rsidR="00CA7BA4">
        <w:rPr>
          <w:lang w:val="bg-BG"/>
        </w:rPr>
        <w:t>чл.</w:t>
      </w:r>
      <w:r w:rsidR="00E77CB3" w:rsidRPr="008849C3">
        <w:rPr>
          <w:lang w:val="bg-BG"/>
        </w:rPr>
        <w:t xml:space="preserve"> 41 </w:t>
      </w:r>
      <w:r w:rsidR="00CD3B92" w:rsidRPr="008849C3">
        <w:rPr>
          <w:lang w:val="bg-BG"/>
        </w:rPr>
        <w:t>от Конвенцията</w:t>
      </w:r>
      <w:r w:rsidR="00E77CB3" w:rsidRPr="008849C3">
        <w:rPr>
          <w:lang w:val="bg-BG"/>
        </w:rPr>
        <w:t>,</w:t>
      </w:r>
    </w:p>
    <w:p w:rsidR="00E77CB3" w:rsidRPr="008849C3" w:rsidRDefault="00160482" w:rsidP="006B0E9F">
      <w:pPr>
        <w:pStyle w:val="ECHRParaQuote"/>
        <w:rPr>
          <w:lang w:val="bg-BG"/>
        </w:rPr>
      </w:pPr>
      <w:r w:rsidRPr="008849C3">
        <w:rPr>
          <w:lang w:val="bg-BG"/>
        </w:rPr>
        <w:t xml:space="preserve">„Ако Съдът установи нарушение на Конвенцията или на Протоколите към нея и ако вътрешното право на съответната </w:t>
      </w:r>
      <w:proofErr w:type="spellStart"/>
      <w:r w:rsidRPr="008849C3">
        <w:rPr>
          <w:lang w:val="bg-BG"/>
        </w:rPr>
        <w:t>Βисокодоговаряща</w:t>
      </w:r>
      <w:proofErr w:type="spellEnd"/>
      <w:r w:rsidRPr="008849C3">
        <w:rPr>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E77CB3" w:rsidRPr="008849C3" w:rsidRDefault="00E77CB3" w:rsidP="006B0E9F">
      <w:pPr>
        <w:pStyle w:val="ECHRHeading2"/>
        <w:rPr>
          <w:lang w:val="bg-BG"/>
        </w:rPr>
      </w:pPr>
      <w:r w:rsidRPr="008849C3">
        <w:rPr>
          <w:lang w:val="bg-BG"/>
        </w:rPr>
        <w:t>A.  </w:t>
      </w:r>
      <w:r w:rsidR="00160482" w:rsidRPr="008849C3">
        <w:rPr>
          <w:lang w:val="bg-BG"/>
        </w:rPr>
        <w:t>Вреди</w:t>
      </w:r>
    </w:p>
    <w:p w:rsidR="00FD43A4"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126</w:t>
      </w:r>
      <w:r w:rsidRPr="008849C3">
        <w:rPr>
          <w:lang w:val="bg-BG"/>
        </w:rPr>
        <w:fldChar w:fldCharType="end"/>
      </w:r>
      <w:r w:rsidR="00E77CB3" w:rsidRPr="008849C3">
        <w:rPr>
          <w:lang w:val="bg-BG"/>
        </w:rPr>
        <w:t>.  </w:t>
      </w:r>
      <w:r w:rsidR="00160482" w:rsidRPr="008849C3">
        <w:rPr>
          <w:lang w:val="bg-BG"/>
        </w:rPr>
        <w:t xml:space="preserve">Жалбоподателите претендират за сумата от </w:t>
      </w:r>
      <w:r w:rsidR="00276C60" w:rsidRPr="008849C3">
        <w:rPr>
          <w:lang w:val="bg-BG"/>
        </w:rPr>
        <w:t>110 </w:t>
      </w:r>
      <w:r w:rsidR="00491481" w:rsidRPr="008849C3">
        <w:rPr>
          <w:lang w:val="bg-BG"/>
        </w:rPr>
        <w:t>000</w:t>
      </w:r>
      <w:r w:rsidR="00FD43A4" w:rsidRPr="008849C3">
        <w:rPr>
          <w:lang w:val="bg-BG"/>
        </w:rPr>
        <w:t xml:space="preserve"> </w:t>
      </w:r>
      <w:r w:rsidR="00AD3C70">
        <w:rPr>
          <w:lang w:val="bg-BG"/>
        </w:rPr>
        <w:t>евро</w:t>
      </w:r>
      <w:r w:rsidR="00FD43A4" w:rsidRPr="008849C3">
        <w:rPr>
          <w:lang w:val="bg-BG"/>
        </w:rPr>
        <w:t xml:space="preserve"> </w:t>
      </w:r>
      <w:r w:rsidR="00160482" w:rsidRPr="008849C3">
        <w:rPr>
          <w:lang w:val="bg-BG"/>
        </w:rPr>
        <w:t>за неимуществените вреди, които смятат, че са понесли по</w:t>
      </w:r>
      <w:r w:rsidR="009621E1">
        <w:rPr>
          <w:lang w:val="bg-BG"/>
        </w:rPr>
        <w:t xml:space="preserve">ради </w:t>
      </w:r>
      <w:r w:rsidR="00160482" w:rsidRPr="008849C3">
        <w:rPr>
          <w:lang w:val="bg-BG"/>
        </w:rPr>
        <w:t>твърдените нарушения на правата си</w:t>
      </w:r>
      <w:r w:rsidR="00AD3C70">
        <w:rPr>
          <w:lang w:val="bg-BG"/>
        </w:rPr>
        <w:t xml:space="preserve"> по</w:t>
      </w:r>
      <w:r w:rsidR="00160482" w:rsidRPr="008849C3">
        <w:rPr>
          <w:lang w:val="bg-BG"/>
        </w:rPr>
        <w:t xml:space="preserve"> </w:t>
      </w:r>
      <w:r w:rsidR="00CA7BA4">
        <w:rPr>
          <w:lang w:val="bg-BG"/>
        </w:rPr>
        <w:t>чл</w:t>
      </w:r>
      <w:r w:rsidR="00AD3C70">
        <w:rPr>
          <w:lang w:val="bg-BG"/>
        </w:rPr>
        <w:t>.</w:t>
      </w:r>
      <w:r w:rsidR="00160482" w:rsidRPr="008849C3">
        <w:rPr>
          <w:lang w:val="bg-BG"/>
        </w:rPr>
        <w:t xml:space="preserve"> </w:t>
      </w:r>
      <w:r w:rsidR="00FD43A4" w:rsidRPr="008849C3">
        <w:rPr>
          <w:lang w:val="bg-BG"/>
        </w:rPr>
        <w:t xml:space="preserve">3, 6, 8 </w:t>
      </w:r>
      <w:r w:rsidR="00160482" w:rsidRPr="008849C3">
        <w:rPr>
          <w:lang w:val="bg-BG"/>
        </w:rPr>
        <w:t>и</w:t>
      </w:r>
      <w:r w:rsidR="00FD43A4" w:rsidRPr="008849C3">
        <w:rPr>
          <w:lang w:val="bg-BG"/>
        </w:rPr>
        <w:t xml:space="preserve"> 13 </w:t>
      </w:r>
      <w:r w:rsidR="00CD3B92" w:rsidRPr="008849C3">
        <w:rPr>
          <w:lang w:val="bg-BG"/>
        </w:rPr>
        <w:t>от Конвенцията</w:t>
      </w:r>
      <w:r w:rsidR="00FD43A4" w:rsidRPr="008849C3">
        <w:rPr>
          <w:lang w:val="bg-BG"/>
        </w:rPr>
        <w:t xml:space="preserve"> </w:t>
      </w:r>
      <w:r w:rsidR="00160482" w:rsidRPr="008849C3">
        <w:rPr>
          <w:lang w:val="bg-BG"/>
        </w:rPr>
        <w:t>и</w:t>
      </w:r>
      <w:r w:rsidR="00FD43A4" w:rsidRPr="008849C3">
        <w:rPr>
          <w:lang w:val="bg-BG"/>
        </w:rPr>
        <w:t xml:space="preserve"> </w:t>
      </w:r>
      <w:r w:rsidR="00CA7BA4">
        <w:rPr>
          <w:lang w:val="bg-BG"/>
        </w:rPr>
        <w:t>чл.</w:t>
      </w:r>
      <w:r w:rsidR="00FD43A4" w:rsidRPr="008849C3">
        <w:rPr>
          <w:lang w:val="bg-BG"/>
        </w:rPr>
        <w:t xml:space="preserve"> 1 </w:t>
      </w:r>
      <w:r w:rsidR="00160482" w:rsidRPr="008849C3">
        <w:rPr>
          <w:lang w:val="bg-BG"/>
        </w:rPr>
        <w:t xml:space="preserve">от Протокол №1 към Конвенцията. Те претендират още и за сумата от </w:t>
      </w:r>
      <w:r w:rsidR="008E63BB" w:rsidRPr="008849C3">
        <w:rPr>
          <w:lang w:val="bg-BG"/>
        </w:rPr>
        <w:t>203 952,98</w:t>
      </w:r>
      <w:r w:rsidR="00FD43A4" w:rsidRPr="008849C3">
        <w:rPr>
          <w:lang w:val="bg-BG"/>
        </w:rPr>
        <w:t xml:space="preserve"> </w:t>
      </w:r>
      <w:r w:rsidR="00AD3C70">
        <w:rPr>
          <w:lang w:val="bg-BG"/>
        </w:rPr>
        <w:t>евро</w:t>
      </w:r>
      <w:r w:rsidR="00160482" w:rsidRPr="008849C3">
        <w:rPr>
          <w:lang w:val="bg-BG"/>
        </w:rPr>
        <w:t xml:space="preserve"> за имуществените вреди, които смятат, че са понесли по повод налагането на обезпечителни </w:t>
      </w:r>
      <w:r w:rsidR="00BA0389" w:rsidRPr="008849C3">
        <w:rPr>
          <w:lang w:val="bg-BG"/>
        </w:rPr>
        <w:t>мерки спрямо имуществото им, кои</w:t>
      </w:r>
      <w:r w:rsidR="00160482" w:rsidRPr="008849C3">
        <w:rPr>
          <w:lang w:val="bg-BG"/>
        </w:rPr>
        <w:t xml:space="preserve">то според тях </w:t>
      </w:r>
      <w:r w:rsidR="00BA0389" w:rsidRPr="008849C3">
        <w:rPr>
          <w:lang w:val="bg-BG"/>
        </w:rPr>
        <w:t>са в противовес</w:t>
      </w:r>
      <w:r w:rsidR="00160482" w:rsidRPr="008849C3">
        <w:rPr>
          <w:lang w:val="bg-BG"/>
        </w:rPr>
        <w:t xml:space="preserve"> на </w:t>
      </w:r>
      <w:r w:rsidR="00CA7BA4">
        <w:rPr>
          <w:lang w:val="bg-BG"/>
        </w:rPr>
        <w:t>чл.</w:t>
      </w:r>
      <w:r w:rsidR="00160482" w:rsidRPr="008849C3">
        <w:rPr>
          <w:lang w:val="bg-BG"/>
        </w:rPr>
        <w:t xml:space="preserve"> 1 от Протокол № 1 към Конвенцията.</w:t>
      </w:r>
      <w:r w:rsidR="00FD43A4" w:rsidRPr="008849C3">
        <w:rPr>
          <w:lang w:val="bg-BG"/>
        </w:rPr>
        <w:t xml:space="preserve"> </w:t>
      </w:r>
    </w:p>
    <w:p w:rsidR="00471917" w:rsidRPr="008849C3" w:rsidRDefault="00FD43A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127</w:t>
      </w:r>
      <w:r w:rsidRPr="008849C3">
        <w:rPr>
          <w:lang w:val="bg-BG"/>
        </w:rPr>
        <w:fldChar w:fldCharType="end"/>
      </w:r>
      <w:r w:rsidRPr="008849C3">
        <w:rPr>
          <w:lang w:val="bg-BG"/>
        </w:rPr>
        <w:t>.  </w:t>
      </w:r>
      <w:r w:rsidR="00AD3C70">
        <w:rPr>
          <w:lang w:val="bg-BG"/>
        </w:rPr>
        <w:t>Правителството оспорва тези претенции и счита, че те са прекомерни</w:t>
      </w:r>
      <w:r w:rsidR="009621E1">
        <w:rPr>
          <w:lang w:val="bg-BG"/>
        </w:rPr>
        <w:t xml:space="preserve"> и неоснователни</w:t>
      </w:r>
      <w:r w:rsidR="00463383" w:rsidRPr="008849C3">
        <w:rPr>
          <w:lang w:val="bg-BG"/>
        </w:rPr>
        <w:t xml:space="preserve">. </w:t>
      </w:r>
      <w:r w:rsidRPr="008849C3">
        <w:rPr>
          <w:lang w:val="bg-BG"/>
        </w:rPr>
        <w:t xml:space="preserve"> </w:t>
      </w:r>
    </w:p>
    <w:p w:rsidR="00FD43A4" w:rsidRPr="008849C3" w:rsidRDefault="00FD43A4"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128</w:t>
      </w:r>
      <w:r w:rsidRPr="008849C3">
        <w:rPr>
          <w:lang w:val="bg-BG"/>
        </w:rPr>
        <w:fldChar w:fldCharType="end"/>
      </w:r>
      <w:r w:rsidRPr="008849C3">
        <w:rPr>
          <w:lang w:val="bg-BG"/>
        </w:rPr>
        <w:t>.  </w:t>
      </w:r>
      <w:r w:rsidR="00463383" w:rsidRPr="008849C3">
        <w:rPr>
          <w:lang w:val="bg-BG"/>
        </w:rPr>
        <w:t xml:space="preserve">Съдът </w:t>
      </w:r>
      <w:r w:rsidR="00AD3C70">
        <w:rPr>
          <w:lang w:val="bg-BG"/>
        </w:rPr>
        <w:t>счита</w:t>
      </w:r>
      <w:r w:rsidR="00463383" w:rsidRPr="008849C3">
        <w:rPr>
          <w:lang w:val="bg-BG"/>
        </w:rPr>
        <w:t xml:space="preserve">, че </w:t>
      </w:r>
      <w:r w:rsidR="009621E1">
        <w:rPr>
          <w:lang w:val="bg-BG"/>
        </w:rPr>
        <w:t>оплакването</w:t>
      </w:r>
      <w:r w:rsidR="009621E1" w:rsidRPr="008849C3">
        <w:rPr>
          <w:lang w:val="bg-BG"/>
        </w:rPr>
        <w:t xml:space="preserve"> </w:t>
      </w:r>
      <w:r w:rsidR="00463383" w:rsidRPr="008849C3">
        <w:rPr>
          <w:lang w:val="bg-BG"/>
        </w:rPr>
        <w:t>на жалбоподателите за имуществените вреди е изцяло свързана с твърдяното нарушение на правото им</w:t>
      </w:r>
      <w:r w:rsidR="00AD3C70">
        <w:rPr>
          <w:lang w:val="bg-BG"/>
        </w:rPr>
        <w:t xml:space="preserve"> по</w:t>
      </w:r>
      <w:r w:rsidR="00463383" w:rsidRPr="008849C3">
        <w:rPr>
          <w:lang w:val="bg-BG"/>
        </w:rPr>
        <w:t xml:space="preserve"> </w:t>
      </w:r>
      <w:r w:rsidR="00CA7BA4">
        <w:rPr>
          <w:lang w:val="bg-BG"/>
        </w:rPr>
        <w:t>чл.</w:t>
      </w:r>
      <w:r w:rsidR="00463383" w:rsidRPr="008849C3">
        <w:rPr>
          <w:lang w:val="bg-BG"/>
        </w:rPr>
        <w:t xml:space="preserve"> 1 от Протокол № 1 към Конвенцията, а именно налагането на обезпечителни мерки върху движимото и недвижимото им имущество в приложение на </w:t>
      </w:r>
      <w:r w:rsidR="00AD3C70">
        <w:rPr>
          <w:lang w:val="bg-BG"/>
        </w:rPr>
        <w:t>З</w:t>
      </w:r>
      <w:r w:rsidR="00463383" w:rsidRPr="008849C3">
        <w:rPr>
          <w:lang w:val="bg-BG"/>
        </w:rPr>
        <w:t xml:space="preserve">акона от 2005 г. Съдът </w:t>
      </w:r>
      <w:r w:rsidR="00AD3C70">
        <w:rPr>
          <w:lang w:val="bg-BG"/>
        </w:rPr>
        <w:t>напомня</w:t>
      </w:r>
      <w:r w:rsidR="00463383" w:rsidRPr="008849C3">
        <w:rPr>
          <w:lang w:val="bg-BG"/>
        </w:rPr>
        <w:t xml:space="preserve">, че е разгледал и отхвърлил </w:t>
      </w:r>
      <w:r w:rsidR="009621E1">
        <w:rPr>
          <w:lang w:val="bg-BG"/>
        </w:rPr>
        <w:t>оплакването</w:t>
      </w:r>
      <w:r w:rsidR="00463383" w:rsidRPr="008849C3">
        <w:rPr>
          <w:lang w:val="bg-BG"/>
        </w:rPr>
        <w:t xml:space="preserve"> поради неизчерпване на вътрешноправните средства за защита </w:t>
      </w:r>
      <w:r w:rsidRPr="008849C3">
        <w:rPr>
          <w:lang w:val="bg-BG"/>
        </w:rPr>
        <w:t>(</w:t>
      </w:r>
      <w:r w:rsidR="00EC77E2" w:rsidRPr="008849C3">
        <w:rPr>
          <w:lang w:val="bg-BG"/>
        </w:rPr>
        <w:t>параграфи</w:t>
      </w:r>
      <w:r w:rsidRPr="008849C3">
        <w:rPr>
          <w:lang w:val="bg-BG"/>
        </w:rPr>
        <w:t xml:space="preserve"> </w:t>
      </w:r>
      <w:r w:rsidR="00501F07" w:rsidRPr="008849C3">
        <w:rPr>
          <w:lang w:val="bg-BG"/>
        </w:rPr>
        <w:t>107</w:t>
      </w:r>
      <w:r w:rsidR="00191B9B" w:rsidRPr="008849C3">
        <w:rPr>
          <w:lang w:val="bg-BG"/>
        </w:rPr>
        <w:t>-11</w:t>
      </w:r>
      <w:r w:rsidR="00501F07" w:rsidRPr="008849C3">
        <w:rPr>
          <w:lang w:val="bg-BG"/>
        </w:rPr>
        <w:t>5</w:t>
      </w:r>
      <w:r w:rsidRPr="008849C3">
        <w:rPr>
          <w:lang w:val="bg-BG"/>
        </w:rPr>
        <w:t xml:space="preserve"> </w:t>
      </w:r>
      <w:r w:rsidR="00EC77E2" w:rsidRPr="008849C3">
        <w:rPr>
          <w:lang w:val="bg-BG"/>
        </w:rPr>
        <w:t>по-горе</w:t>
      </w:r>
      <w:r w:rsidRPr="008849C3">
        <w:rPr>
          <w:lang w:val="bg-BG"/>
        </w:rPr>
        <w:t xml:space="preserve">). </w:t>
      </w:r>
      <w:r w:rsidR="00463383" w:rsidRPr="008849C3">
        <w:rPr>
          <w:lang w:val="bg-BG"/>
        </w:rPr>
        <w:t xml:space="preserve">Следователно, при липсата на </w:t>
      </w:r>
      <w:r w:rsidR="009621E1">
        <w:rPr>
          <w:lang w:val="bg-BG"/>
        </w:rPr>
        <w:t>установени</w:t>
      </w:r>
      <w:r w:rsidR="00463383" w:rsidRPr="008849C3">
        <w:rPr>
          <w:lang w:val="bg-BG"/>
        </w:rPr>
        <w:t xml:space="preserve"> нарушение на </w:t>
      </w:r>
      <w:r w:rsidR="00CA7BA4">
        <w:rPr>
          <w:lang w:val="bg-BG"/>
        </w:rPr>
        <w:t>чл.</w:t>
      </w:r>
      <w:r w:rsidR="00463383" w:rsidRPr="008849C3">
        <w:rPr>
          <w:lang w:val="bg-BG"/>
        </w:rPr>
        <w:t xml:space="preserve"> 1 от </w:t>
      </w:r>
      <w:r w:rsidR="00463383" w:rsidRPr="008849C3">
        <w:rPr>
          <w:lang w:val="bg-BG"/>
        </w:rPr>
        <w:lastRenderedPageBreak/>
        <w:t xml:space="preserve">Протокол № 1 към Конвенцията счита, че претенцията за обезщетение на имуществените вреди следва да бъде отхвърлена. </w:t>
      </w:r>
    </w:p>
    <w:p w:rsidR="00491481" w:rsidRPr="008849C3" w:rsidRDefault="00491481"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129</w:t>
      </w:r>
      <w:r w:rsidRPr="008849C3">
        <w:rPr>
          <w:lang w:val="bg-BG"/>
        </w:rPr>
        <w:fldChar w:fldCharType="end"/>
      </w:r>
      <w:r w:rsidRPr="008849C3">
        <w:rPr>
          <w:lang w:val="bg-BG"/>
        </w:rPr>
        <w:t>.  </w:t>
      </w:r>
      <w:r w:rsidR="00495991" w:rsidRPr="008849C3">
        <w:rPr>
          <w:lang w:val="bg-BG"/>
        </w:rPr>
        <w:t xml:space="preserve">Съдът счита обаче, че жалбоподателите са понесли известни имуществени вреди вследствие на </w:t>
      </w:r>
      <w:r w:rsidR="009621E1">
        <w:rPr>
          <w:lang w:val="bg-BG"/>
        </w:rPr>
        <w:t>установените</w:t>
      </w:r>
      <w:r w:rsidR="009621E1" w:rsidRPr="008849C3">
        <w:rPr>
          <w:lang w:val="bg-BG"/>
        </w:rPr>
        <w:t xml:space="preserve"> </w:t>
      </w:r>
      <w:r w:rsidR="00495991" w:rsidRPr="008849C3">
        <w:rPr>
          <w:lang w:val="bg-BG"/>
        </w:rPr>
        <w:t>нарушения на права</w:t>
      </w:r>
      <w:r w:rsidR="009621E1">
        <w:rPr>
          <w:lang w:val="bg-BG"/>
        </w:rPr>
        <w:t>та им</w:t>
      </w:r>
      <w:r w:rsidR="00AD3C70">
        <w:rPr>
          <w:lang w:val="bg-BG"/>
        </w:rPr>
        <w:t xml:space="preserve"> съгласно</w:t>
      </w:r>
      <w:r w:rsidR="00495991" w:rsidRPr="008849C3">
        <w:rPr>
          <w:lang w:val="bg-BG"/>
        </w:rPr>
        <w:t xml:space="preserve"> </w:t>
      </w:r>
      <w:r w:rsidR="00CA7BA4">
        <w:rPr>
          <w:lang w:val="bg-BG"/>
        </w:rPr>
        <w:t>чл</w:t>
      </w:r>
      <w:r w:rsidR="00AD3C70">
        <w:rPr>
          <w:lang w:val="bg-BG"/>
        </w:rPr>
        <w:t>.</w:t>
      </w:r>
      <w:r w:rsidR="00495991" w:rsidRPr="008849C3">
        <w:rPr>
          <w:lang w:val="bg-BG"/>
        </w:rPr>
        <w:t xml:space="preserve"> </w:t>
      </w:r>
      <w:r w:rsidR="006E5BCC" w:rsidRPr="008849C3">
        <w:rPr>
          <w:lang w:val="bg-BG"/>
        </w:rPr>
        <w:t xml:space="preserve">3, 6 § 2, 8 </w:t>
      </w:r>
      <w:r w:rsidR="00495991" w:rsidRPr="008849C3">
        <w:rPr>
          <w:lang w:val="bg-BG"/>
        </w:rPr>
        <w:t>и</w:t>
      </w:r>
      <w:r w:rsidR="006E5BCC" w:rsidRPr="008849C3">
        <w:rPr>
          <w:lang w:val="bg-BG"/>
        </w:rPr>
        <w:t xml:space="preserve"> 13 </w:t>
      </w:r>
      <w:r w:rsidR="00CD3B92" w:rsidRPr="008849C3">
        <w:rPr>
          <w:lang w:val="bg-BG"/>
        </w:rPr>
        <w:t>от Конвенцията</w:t>
      </w:r>
      <w:r w:rsidR="006E5BCC" w:rsidRPr="008849C3">
        <w:rPr>
          <w:lang w:val="bg-BG"/>
        </w:rPr>
        <w:t xml:space="preserve">. </w:t>
      </w:r>
      <w:r w:rsidR="00AD3C70">
        <w:rPr>
          <w:lang w:val="bg-BG"/>
        </w:rPr>
        <w:t>Т</w:t>
      </w:r>
      <w:r w:rsidR="00495991" w:rsidRPr="008849C3">
        <w:rPr>
          <w:lang w:val="bg-BG"/>
        </w:rPr>
        <w:t xml:space="preserve">ой </w:t>
      </w:r>
      <w:r w:rsidR="009621E1">
        <w:rPr>
          <w:lang w:val="bg-BG"/>
        </w:rPr>
        <w:t>смята</w:t>
      </w:r>
      <w:r w:rsidR="00495991" w:rsidRPr="008849C3">
        <w:rPr>
          <w:lang w:val="bg-BG"/>
        </w:rPr>
        <w:t xml:space="preserve">, че  е </w:t>
      </w:r>
      <w:r w:rsidR="009621E1">
        <w:rPr>
          <w:lang w:val="bg-BG"/>
        </w:rPr>
        <w:t>целесъобразно</w:t>
      </w:r>
      <w:r w:rsidR="009621E1" w:rsidRPr="008849C3">
        <w:rPr>
          <w:lang w:val="bg-BG"/>
        </w:rPr>
        <w:t xml:space="preserve"> </w:t>
      </w:r>
      <w:r w:rsidR="00495991" w:rsidRPr="008849C3">
        <w:rPr>
          <w:lang w:val="bg-BG"/>
        </w:rPr>
        <w:t xml:space="preserve">като обезщетение за тези вреди на жалбоподателя да бъде присъдена сумата от </w:t>
      </w:r>
      <w:r w:rsidR="006E5BCC" w:rsidRPr="008849C3">
        <w:rPr>
          <w:lang w:val="bg-BG"/>
        </w:rPr>
        <w:t>1</w:t>
      </w:r>
      <w:r w:rsidR="004B5D2C" w:rsidRPr="008849C3">
        <w:rPr>
          <w:lang w:val="bg-BG"/>
        </w:rPr>
        <w:t>0</w:t>
      </w:r>
      <w:r w:rsidR="0010074F" w:rsidRPr="008849C3">
        <w:rPr>
          <w:lang w:val="bg-BG"/>
        </w:rPr>
        <w:t> </w:t>
      </w:r>
      <w:r w:rsidR="006E5BCC" w:rsidRPr="008849C3">
        <w:rPr>
          <w:lang w:val="bg-BG"/>
        </w:rPr>
        <w:t xml:space="preserve">000 </w:t>
      </w:r>
      <w:r w:rsidR="00AD3C70">
        <w:rPr>
          <w:lang w:val="bg-BG"/>
        </w:rPr>
        <w:t>евро</w:t>
      </w:r>
      <w:r w:rsidR="006E5BCC" w:rsidRPr="008849C3">
        <w:rPr>
          <w:lang w:val="bg-BG"/>
        </w:rPr>
        <w:t xml:space="preserve"> </w:t>
      </w:r>
      <w:r w:rsidR="00495991" w:rsidRPr="008849C3">
        <w:rPr>
          <w:lang w:val="bg-BG"/>
        </w:rPr>
        <w:t xml:space="preserve">и </w:t>
      </w:r>
      <w:r w:rsidR="00FF13A6" w:rsidRPr="008849C3">
        <w:rPr>
          <w:lang w:val="bg-BG"/>
        </w:rPr>
        <w:t>4</w:t>
      </w:r>
      <w:r w:rsidR="00495991" w:rsidRPr="008849C3">
        <w:rPr>
          <w:lang w:val="bg-BG"/>
        </w:rPr>
        <w:t xml:space="preserve"> 000 </w:t>
      </w:r>
      <w:r w:rsidR="00AD3C70">
        <w:rPr>
          <w:lang w:val="bg-BG"/>
        </w:rPr>
        <w:t>евро</w:t>
      </w:r>
      <w:r w:rsidR="00495991" w:rsidRPr="008849C3">
        <w:rPr>
          <w:lang w:val="bg-BG"/>
        </w:rPr>
        <w:t xml:space="preserve"> на жалбоподателката</w:t>
      </w:r>
      <w:r w:rsidR="006E5BCC" w:rsidRPr="008849C3">
        <w:rPr>
          <w:lang w:val="bg-BG"/>
        </w:rPr>
        <w:t>.</w:t>
      </w:r>
    </w:p>
    <w:p w:rsidR="00E77CB3" w:rsidRPr="008849C3" w:rsidRDefault="001B5F59" w:rsidP="006B0E9F">
      <w:pPr>
        <w:pStyle w:val="ECHRHeading2"/>
        <w:rPr>
          <w:lang w:val="bg-BG"/>
        </w:rPr>
      </w:pPr>
      <w:r>
        <w:rPr>
          <w:lang w:val="bg-BG"/>
        </w:rPr>
        <w:t>Б</w:t>
      </w:r>
      <w:r w:rsidR="00E77CB3" w:rsidRPr="008849C3">
        <w:rPr>
          <w:lang w:val="bg-BG"/>
        </w:rPr>
        <w:t>.  </w:t>
      </w:r>
      <w:r w:rsidR="00495991" w:rsidRPr="008849C3">
        <w:rPr>
          <w:lang w:val="bg-BG"/>
        </w:rPr>
        <w:t>Р</w:t>
      </w:r>
      <w:r w:rsidR="00AD3C70">
        <w:rPr>
          <w:lang w:val="bg-BG"/>
        </w:rPr>
        <w:t>азходи и р</w:t>
      </w:r>
      <w:r w:rsidR="00495991" w:rsidRPr="008849C3">
        <w:rPr>
          <w:lang w:val="bg-BG"/>
        </w:rPr>
        <w:t>азноски</w:t>
      </w:r>
    </w:p>
    <w:p w:rsidR="002140D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130</w:t>
      </w:r>
      <w:r w:rsidRPr="008849C3">
        <w:rPr>
          <w:lang w:val="bg-BG"/>
        </w:rPr>
        <w:fldChar w:fldCharType="end"/>
      </w:r>
      <w:r w:rsidR="00E77CB3" w:rsidRPr="008849C3">
        <w:rPr>
          <w:lang w:val="bg-BG"/>
        </w:rPr>
        <w:t>.  </w:t>
      </w:r>
      <w:r w:rsidR="00495991" w:rsidRPr="008849C3">
        <w:rPr>
          <w:lang w:val="bg-BG"/>
        </w:rPr>
        <w:t xml:space="preserve">Жалбоподателите претендират също и за сумата от </w:t>
      </w:r>
      <w:r w:rsidR="002140D3" w:rsidRPr="008849C3">
        <w:rPr>
          <w:lang w:val="bg-BG"/>
        </w:rPr>
        <w:t>7</w:t>
      </w:r>
      <w:r w:rsidR="0010074F" w:rsidRPr="008849C3">
        <w:rPr>
          <w:lang w:val="bg-BG"/>
        </w:rPr>
        <w:t> </w:t>
      </w:r>
      <w:r w:rsidR="002140D3" w:rsidRPr="008849C3">
        <w:rPr>
          <w:lang w:val="bg-BG"/>
        </w:rPr>
        <w:t xml:space="preserve">458,77 </w:t>
      </w:r>
      <w:r w:rsidR="00AD3C70">
        <w:rPr>
          <w:lang w:val="bg-BG"/>
        </w:rPr>
        <w:t>евро</w:t>
      </w:r>
      <w:r w:rsidR="00E23AC5" w:rsidRPr="008849C3">
        <w:rPr>
          <w:lang w:val="bg-BG"/>
        </w:rPr>
        <w:t xml:space="preserve"> за </w:t>
      </w:r>
      <w:r w:rsidR="00AD3C70">
        <w:rPr>
          <w:lang w:val="bg-BG"/>
        </w:rPr>
        <w:t xml:space="preserve">разходи и </w:t>
      </w:r>
      <w:r w:rsidR="00E23AC5" w:rsidRPr="008849C3">
        <w:rPr>
          <w:lang w:val="bg-BG"/>
        </w:rPr>
        <w:t xml:space="preserve">разноски, направени пред Съда, като правят следната разбивка на </w:t>
      </w:r>
      <w:r w:rsidR="005B2CEA" w:rsidRPr="008849C3">
        <w:rPr>
          <w:lang w:val="bg-BG"/>
        </w:rPr>
        <w:t xml:space="preserve">искането: </w:t>
      </w:r>
      <w:r w:rsidR="002140D3" w:rsidRPr="008849C3">
        <w:rPr>
          <w:lang w:val="bg-BG"/>
        </w:rPr>
        <w:t xml:space="preserve">7 200 </w:t>
      </w:r>
      <w:r w:rsidR="00AD3C70">
        <w:rPr>
          <w:lang w:val="bg-BG"/>
        </w:rPr>
        <w:t>евро</w:t>
      </w:r>
      <w:r w:rsidR="002140D3" w:rsidRPr="008849C3">
        <w:rPr>
          <w:lang w:val="bg-BG"/>
        </w:rPr>
        <w:t xml:space="preserve"> </w:t>
      </w:r>
      <w:r w:rsidR="005B2CEA" w:rsidRPr="008849C3">
        <w:rPr>
          <w:lang w:val="bg-BG"/>
        </w:rPr>
        <w:t xml:space="preserve">за адвокатски хонорари </w:t>
      </w:r>
      <w:r w:rsidR="00D75947" w:rsidRPr="008849C3">
        <w:rPr>
          <w:lang w:val="bg-BG"/>
        </w:rPr>
        <w:t>и</w:t>
      </w:r>
      <w:r w:rsidR="002140D3" w:rsidRPr="008849C3">
        <w:rPr>
          <w:lang w:val="bg-BG"/>
        </w:rPr>
        <w:t xml:space="preserve"> 258,77</w:t>
      </w:r>
      <w:r w:rsidR="00A4238B" w:rsidRPr="008849C3">
        <w:rPr>
          <w:lang w:val="bg-BG"/>
        </w:rPr>
        <w:t> </w:t>
      </w:r>
      <w:r w:rsidR="00AD3C70">
        <w:rPr>
          <w:lang w:val="bg-BG"/>
        </w:rPr>
        <w:t>евро</w:t>
      </w:r>
      <w:r w:rsidR="002140D3" w:rsidRPr="008849C3">
        <w:rPr>
          <w:lang w:val="bg-BG"/>
        </w:rPr>
        <w:t xml:space="preserve"> </w:t>
      </w:r>
      <w:r w:rsidR="00D75947" w:rsidRPr="008849C3">
        <w:rPr>
          <w:lang w:val="bg-BG"/>
        </w:rPr>
        <w:t xml:space="preserve">за пощенски и канцеларски разходи и за разходи </w:t>
      </w:r>
      <w:r w:rsidR="00AD3C70">
        <w:rPr>
          <w:lang w:val="bg-BG"/>
        </w:rPr>
        <w:t>по</w:t>
      </w:r>
      <w:r w:rsidR="00D75947" w:rsidRPr="008849C3">
        <w:rPr>
          <w:lang w:val="bg-BG"/>
        </w:rPr>
        <w:t xml:space="preserve"> преводачески услуги. Жалбоподателите искат </w:t>
      </w:r>
      <w:r w:rsidR="00E23AC5" w:rsidRPr="008849C3">
        <w:rPr>
          <w:lang w:val="bg-BG"/>
        </w:rPr>
        <w:t>възстановената сума за пощенски и канцеларски разходи и за разходи за преводи да бъде преведена директно по сметката на адвокатско дружество „</w:t>
      </w:r>
      <w:proofErr w:type="spellStart"/>
      <w:r w:rsidR="00E23AC5" w:rsidRPr="008849C3">
        <w:rPr>
          <w:lang w:val="bg-BG"/>
        </w:rPr>
        <w:t>Екимджиев</w:t>
      </w:r>
      <w:proofErr w:type="spellEnd"/>
      <w:r w:rsidR="00E23AC5" w:rsidRPr="008849C3">
        <w:rPr>
          <w:lang w:val="bg-BG"/>
        </w:rPr>
        <w:t xml:space="preserve">, Бончева и </w:t>
      </w:r>
      <w:proofErr w:type="spellStart"/>
      <w:r w:rsidR="00E23AC5" w:rsidRPr="008849C3">
        <w:rPr>
          <w:lang w:val="bg-BG"/>
        </w:rPr>
        <w:t>Черничерска</w:t>
      </w:r>
      <w:proofErr w:type="spellEnd"/>
      <w:r w:rsidR="00E23AC5" w:rsidRPr="008849C3">
        <w:rPr>
          <w:lang w:val="bg-BG"/>
        </w:rPr>
        <w:t xml:space="preserve">“. </w:t>
      </w:r>
    </w:p>
    <w:p w:rsidR="002140D3" w:rsidRPr="008849C3" w:rsidRDefault="002140D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131</w:t>
      </w:r>
      <w:r w:rsidRPr="008849C3">
        <w:rPr>
          <w:lang w:val="bg-BG"/>
        </w:rPr>
        <w:fldChar w:fldCharType="end"/>
      </w:r>
      <w:r w:rsidRPr="008849C3">
        <w:rPr>
          <w:lang w:val="bg-BG"/>
        </w:rPr>
        <w:t>.  </w:t>
      </w:r>
      <w:r w:rsidR="00AD3C70">
        <w:rPr>
          <w:lang w:val="bg-BG"/>
        </w:rPr>
        <w:t xml:space="preserve">Правителството оспорва тези претенции и счита, че те са прекомерни </w:t>
      </w:r>
      <w:r w:rsidR="00E23AC5" w:rsidRPr="008849C3">
        <w:rPr>
          <w:lang w:val="bg-BG"/>
        </w:rPr>
        <w:t>и недоказан</w:t>
      </w:r>
      <w:r w:rsidR="00AD3C70">
        <w:rPr>
          <w:lang w:val="bg-BG"/>
        </w:rPr>
        <w:t>и</w:t>
      </w:r>
      <w:r w:rsidR="00E23AC5" w:rsidRPr="008849C3">
        <w:rPr>
          <w:lang w:val="bg-BG"/>
        </w:rPr>
        <w:t xml:space="preserve">. </w:t>
      </w:r>
      <w:r w:rsidRPr="008849C3">
        <w:rPr>
          <w:lang w:val="bg-BG"/>
        </w:rPr>
        <w:t xml:space="preserve"> </w:t>
      </w:r>
    </w:p>
    <w:p w:rsidR="00E77CB3" w:rsidRPr="008849C3" w:rsidRDefault="002140D3"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132</w:t>
      </w:r>
      <w:r w:rsidRPr="008849C3">
        <w:rPr>
          <w:lang w:val="bg-BG"/>
        </w:rPr>
        <w:fldChar w:fldCharType="end"/>
      </w:r>
      <w:r w:rsidRPr="008849C3">
        <w:rPr>
          <w:lang w:val="bg-BG"/>
        </w:rPr>
        <w:t>.  </w:t>
      </w:r>
      <w:r w:rsidR="00E23AC5" w:rsidRPr="008849C3">
        <w:rPr>
          <w:lang w:val="bg-BG"/>
        </w:rPr>
        <w:t xml:space="preserve">Съгласно практиката на Съда, всеки жалбоподател има право на възстановяване на </w:t>
      </w:r>
      <w:r w:rsidR="005521F2">
        <w:rPr>
          <w:lang w:val="bg-BG"/>
        </w:rPr>
        <w:t xml:space="preserve">разходите и </w:t>
      </w:r>
      <w:r w:rsidR="00E23AC5" w:rsidRPr="008849C3">
        <w:rPr>
          <w:lang w:val="bg-BG"/>
        </w:rPr>
        <w:t xml:space="preserve">разноските само </w:t>
      </w:r>
      <w:r w:rsidR="005521F2">
        <w:rPr>
          <w:lang w:val="bg-BG"/>
        </w:rPr>
        <w:t>в случай</w:t>
      </w:r>
      <w:r w:rsidR="00E23AC5" w:rsidRPr="008849C3">
        <w:rPr>
          <w:lang w:val="bg-BG"/>
        </w:rPr>
        <w:t xml:space="preserve">, </w:t>
      </w:r>
      <w:r w:rsidR="005521F2">
        <w:rPr>
          <w:lang w:val="bg-BG"/>
        </w:rPr>
        <w:t>че може да бъде</w:t>
      </w:r>
      <w:r w:rsidR="00E23AC5" w:rsidRPr="008849C3">
        <w:rPr>
          <w:lang w:val="bg-BG"/>
        </w:rPr>
        <w:t xml:space="preserve"> доказа</w:t>
      </w:r>
      <w:r w:rsidR="005521F2">
        <w:rPr>
          <w:lang w:val="bg-BG"/>
        </w:rPr>
        <w:t>но</w:t>
      </w:r>
      <w:r w:rsidR="00E23AC5" w:rsidRPr="008849C3">
        <w:rPr>
          <w:lang w:val="bg-BG"/>
        </w:rPr>
        <w:t xml:space="preserve">, че те са </w:t>
      </w:r>
      <w:r w:rsidR="005521F2">
        <w:rPr>
          <w:lang w:val="bg-BG"/>
        </w:rPr>
        <w:t>били</w:t>
      </w:r>
      <w:r w:rsidR="005521F2" w:rsidRPr="008849C3">
        <w:rPr>
          <w:lang w:val="bg-BG"/>
        </w:rPr>
        <w:t xml:space="preserve"> </w:t>
      </w:r>
      <w:r w:rsidR="00E23AC5" w:rsidRPr="008849C3">
        <w:rPr>
          <w:lang w:val="bg-BG"/>
        </w:rPr>
        <w:t>действително</w:t>
      </w:r>
      <w:r w:rsidR="005521F2">
        <w:rPr>
          <w:lang w:val="bg-BG"/>
        </w:rPr>
        <w:t xml:space="preserve"> направени, нужни</w:t>
      </w:r>
      <w:r w:rsidR="00E23AC5" w:rsidRPr="008849C3">
        <w:rPr>
          <w:lang w:val="bg-BG"/>
        </w:rPr>
        <w:t xml:space="preserve"> и разумни </w:t>
      </w:r>
      <w:r w:rsidR="005521F2">
        <w:rPr>
          <w:lang w:val="bg-BG"/>
        </w:rPr>
        <w:t>като размер</w:t>
      </w:r>
      <w:r w:rsidR="00E23AC5" w:rsidRPr="008849C3">
        <w:rPr>
          <w:lang w:val="bg-BG"/>
        </w:rPr>
        <w:t xml:space="preserve">. </w:t>
      </w:r>
      <w:r w:rsidR="00075781" w:rsidRPr="008849C3">
        <w:rPr>
          <w:lang w:val="bg-BG"/>
        </w:rPr>
        <w:t xml:space="preserve">В </w:t>
      </w:r>
      <w:r w:rsidR="005521F2">
        <w:rPr>
          <w:lang w:val="bg-BG"/>
        </w:rPr>
        <w:t xml:space="preserve">настоящият </w:t>
      </w:r>
      <w:r w:rsidR="00075781" w:rsidRPr="008849C3">
        <w:rPr>
          <w:lang w:val="bg-BG"/>
        </w:rPr>
        <w:t>случая</w:t>
      </w:r>
      <w:r w:rsidR="005521F2">
        <w:rPr>
          <w:lang w:val="bg-BG"/>
        </w:rPr>
        <w:t xml:space="preserve">, </w:t>
      </w:r>
      <w:r w:rsidR="00075781" w:rsidRPr="008849C3">
        <w:rPr>
          <w:lang w:val="bg-BG"/>
        </w:rPr>
        <w:t>като се имат предвид документите, с които разполага, и съдебната му практика, Съдът счита</w:t>
      </w:r>
      <w:r w:rsidR="005521F2">
        <w:rPr>
          <w:lang w:val="bg-BG"/>
        </w:rPr>
        <w:t>, че за всички разходи и разноски</w:t>
      </w:r>
      <w:r w:rsidR="00075781" w:rsidRPr="008849C3">
        <w:rPr>
          <w:lang w:val="bg-BG"/>
        </w:rPr>
        <w:t xml:space="preserve"> </w:t>
      </w:r>
      <w:r w:rsidR="005521F2">
        <w:rPr>
          <w:lang w:val="bg-BG"/>
        </w:rPr>
        <w:t>е</w:t>
      </w:r>
      <w:r w:rsidR="00075781" w:rsidRPr="008849C3">
        <w:rPr>
          <w:lang w:val="bg-BG"/>
        </w:rPr>
        <w:t xml:space="preserve"> разумн</w:t>
      </w:r>
      <w:r w:rsidR="005521F2">
        <w:rPr>
          <w:lang w:val="bg-BG"/>
        </w:rPr>
        <w:t>о</w:t>
      </w:r>
      <w:r w:rsidR="00075781" w:rsidRPr="008849C3">
        <w:rPr>
          <w:lang w:val="bg-BG"/>
        </w:rPr>
        <w:t xml:space="preserve"> и присъжда на жалбоподателите сумата от </w:t>
      </w:r>
      <w:r w:rsidRPr="008849C3">
        <w:rPr>
          <w:lang w:val="bg-BG"/>
        </w:rPr>
        <w:t>5</w:t>
      </w:r>
      <w:r w:rsidR="0010074F" w:rsidRPr="008849C3">
        <w:rPr>
          <w:lang w:val="bg-BG"/>
        </w:rPr>
        <w:t> </w:t>
      </w:r>
      <w:r w:rsidRPr="008849C3">
        <w:rPr>
          <w:lang w:val="bg-BG"/>
        </w:rPr>
        <w:t xml:space="preserve">000 </w:t>
      </w:r>
      <w:r w:rsidR="00AD3C70">
        <w:rPr>
          <w:lang w:val="bg-BG"/>
        </w:rPr>
        <w:t>евро</w:t>
      </w:r>
      <w:r w:rsidR="00075781" w:rsidRPr="008849C3">
        <w:rPr>
          <w:lang w:val="bg-BG"/>
        </w:rPr>
        <w:t>, от които</w:t>
      </w:r>
      <w:r w:rsidRPr="008849C3">
        <w:rPr>
          <w:lang w:val="bg-BG"/>
        </w:rPr>
        <w:t xml:space="preserve"> 258,77 </w:t>
      </w:r>
      <w:r w:rsidR="00AD3C70">
        <w:rPr>
          <w:lang w:val="bg-BG"/>
        </w:rPr>
        <w:t>евро</w:t>
      </w:r>
      <w:r w:rsidRPr="008849C3">
        <w:rPr>
          <w:lang w:val="bg-BG"/>
        </w:rPr>
        <w:t xml:space="preserve"> </w:t>
      </w:r>
      <w:r w:rsidR="00075781" w:rsidRPr="008849C3">
        <w:rPr>
          <w:lang w:val="bg-BG"/>
        </w:rPr>
        <w:t>да бъдат внесени директно по сметката на адвокатско дружество „</w:t>
      </w:r>
      <w:proofErr w:type="spellStart"/>
      <w:r w:rsidR="00075781" w:rsidRPr="008849C3">
        <w:rPr>
          <w:lang w:val="bg-BG"/>
        </w:rPr>
        <w:t>Екимджиев</w:t>
      </w:r>
      <w:proofErr w:type="spellEnd"/>
      <w:r w:rsidR="00075781" w:rsidRPr="008849C3">
        <w:rPr>
          <w:lang w:val="bg-BG"/>
        </w:rPr>
        <w:t xml:space="preserve">, Бончева и </w:t>
      </w:r>
      <w:proofErr w:type="spellStart"/>
      <w:r w:rsidR="00075781" w:rsidRPr="008849C3">
        <w:rPr>
          <w:lang w:val="bg-BG"/>
        </w:rPr>
        <w:t>Черничерска</w:t>
      </w:r>
      <w:proofErr w:type="spellEnd"/>
      <w:r w:rsidR="00075781" w:rsidRPr="008849C3">
        <w:rPr>
          <w:lang w:val="bg-BG"/>
        </w:rPr>
        <w:t xml:space="preserve">“. </w:t>
      </w:r>
    </w:p>
    <w:p w:rsidR="00E77CB3" w:rsidRPr="008849C3" w:rsidRDefault="001B5F59" w:rsidP="006B0E9F">
      <w:pPr>
        <w:pStyle w:val="ECHRHeading2"/>
        <w:rPr>
          <w:lang w:val="bg-BG"/>
        </w:rPr>
      </w:pPr>
      <w:r>
        <w:rPr>
          <w:lang w:val="bg-BG"/>
        </w:rPr>
        <w:t>В</w:t>
      </w:r>
      <w:r w:rsidR="00E77CB3" w:rsidRPr="008849C3">
        <w:rPr>
          <w:lang w:val="bg-BG"/>
        </w:rPr>
        <w:t>.  </w:t>
      </w:r>
      <w:r w:rsidR="00302EAC" w:rsidRPr="008849C3">
        <w:rPr>
          <w:lang w:val="bg-BG"/>
        </w:rPr>
        <w:t>Лихва за забава</w:t>
      </w:r>
    </w:p>
    <w:p w:rsidR="00E77CB3" w:rsidRPr="008849C3" w:rsidRDefault="00472D9E" w:rsidP="006B0E9F">
      <w:pPr>
        <w:pStyle w:val="ECHRPara"/>
        <w:rPr>
          <w:lang w:val="bg-BG"/>
        </w:rPr>
      </w:pPr>
      <w:r w:rsidRPr="008849C3">
        <w:rPr>
          <w:lang w:val="bg-BG"/>
        </w:rPr>
        <w:fldChar w:fldCharType="begin"/>
      </w:r>
      <w:r w:rsidRPr="008849C3">
        <w:rPr>
          <w:lang w:val="bg-BG"/>
        </w:rPr>
        <w:instrText xml:space="preserve"> SEQ level0 \*arabic </w:instrText>
      </w:r>
      <w:r w:rsidRPr="008849C3">
        <w:rPr>
          <w:lang w:val="bg-BG"/>
        </w:rPr>
        <w:fldChar w:fldCharType="separate"/>
      </w:r>
      <w:r w:rsidR="00134118">
        <w:rPr>
          <w:noProof/>
          <w:lang w:val="bg-BG"/>
        </w:rPr>
        <w:t>133</w:t>
      </w:r>
      <w:r w:rsidRPr="008849C3">
        <w:rPr>
          <w:lang w:val="bg-BG"/>
        </w:rPr>
        <w:fldChar w:fldCharType="end"/>
      </w:r>
      <w:r w:rsidR="00E77CB3" w:rsidRPr="008849C3">
        <w:rPr>
          <w:lang w:val="bg-BG"/>
        </w:rPr>
        <w:t>.  </w:t>
      </w:r>
      <w:r w:rsidR="00302EAC" w:rsidRPr="008849C3">
        <w:rPr>
          <w:rFonts w:ascii="Times New Roman" w:eastAsia="Times New Roman" w:hAnsi="Times New Roman" w:cs="Times New Roman"/>
          <w:szCs w:val="20"/>
          <w:lang w:val="bg-BG" w:eastAsia="fr-FR"/>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r w:rsidR="00E77CB3" w:rsidRPr="008849C3">
        <w:rPr>
          <w:lang w:val="bg-BG"/>
        </w:rPr>
        <w:t>.</w:t>
      </w:r>
      <w:r w:rsidR="00302EAC" w:rsidRPr="008849C3">
        <w:rPr>
          <w:lang w:val="bg-BG"/>
        </w:rPr>
        <w:t xml:space="preserve"> </w:t>
      </w:r>
    </w:p>
    <w:p w:rsidR="00E77CB3" w:rsidRPr="008849C3" w:rsidRDefault="00302EAC" w:rsidP="006B0E9F">
      <w:pPr>
        <w:pStyle w:val="ECHRTitle1"/>
        <w:rPr>
          <w:lang w:val="bg-BG"/>
        </w:rPr>
      </w:pPr>
      <w:r w:rsidRPr="008849C3">
        <w:rPr>
          <w:lang w:val="bg-BG"/>
        </w:rPr>
        <w:t>ПО ТЕЗИ СЪОБРАЖЕНИЯ</w:t>
      </w:r>
      <w:r w:rsidR="00AD3C70">
        <w:rPr>
          <w:lang w:val="bg-BG"/>
        </w:rPr>
        <w:t>,</w:t>
      </w:r>
      <w:r w:rsidRPr="008849C3">
        <w:rPr>
          <w:lang w:val="bg-BG"/>
        </w:rPr>
        <w:t xml:space="preserve"> СЪДЪТ ЕДИНОДУШНО</w:t>
      </w:r>
      <w:r w:rsidR="00472D9E" w:rsidRPr="008849C3">
        <w:rPr>
          <w:lang w:val="bg-BG"/>
        </w:rPr>
        <w:t>,</w:t>
      </w:r>
    </w:p>
    <w:p w:rsidR="00E77CB3" w:rsidRPr="008849C3" w:rsidRDefault="00FB2B45" w:rsidP="006B0E9F">
      <w:pPr>
        <w:pStyle w:val="JuList"/>
        <w:rPr>
          <w:b/>
          <w:lang w:val="bg-BG"/>
        </w:rPr>
      </w:pPr>
      <w:r w:rsidRPr="008849C3">
        <w:rPr>
          <w:lang w:val="bg-BG"/>
        </w:rPr>
        <w:t>1.  </w:t>
      </w:r>
      <w:r w:rsidR="007D3A2D" w:rsidRPr="008849C3">
        <w:rPr>
          <w:i/>
          <w:lang w:val="bg-BG"/>
        </w:rPr>
        <w:t>Обявява</w:t>
      </w:r>
      <w:r w:rsidRPr="008849C3">
        <w:rPr>
          <w:lang w:val="bg-BG"/>
        </w:rPr>
        <w:t xml:space="preserve"> </w:t>
      </w:r>
      <w:r w:rsidR="007D3A2D" w:rsidRPr="008849C3">
        <w:rPr>
          <w:lang w:val="bg-BG"/>
        </w:rPr>
        <w:t>жалбата за допустима</w:t>
      </w:r>
      <w:r w:rsidR="00472D9E" w:rsidRPr="008849C3">
        <w:rPr>
          <w:lang w:val="bg-BG"/>
        </w:rPr>
        <w:t xml:space="preserve"> </w:t>
      </w:r>
      <w:r w:rsidR="00302EAC" w:rsidRPr="008849C3">
        <w:rPr>
          <w:lang w:val="bg-BG"/>
        </w:rPr>
        <w:t>по отношение на оплакванията</w:t>
      </w:r>
      <w:r w:rsidR="00AD3C70">
        <w:rPr>
          <w:lang w:val="bg-BG"/>
        </w:rPr>
        <w:t xml:space="preserve"> по </w:t>
      </w:r>
      <w:r w:rsidR="00CA7BA4">
        <w:rPr>
          <w:lang w:val="bg-BG"/>
        </w:rPr>
        <w:t>чл</w:t>
      </w:r>
      <w:r w:rsidR="00AD3C70">
        <w:rPr>
          <w:lang w:val="bg-BG"/>
        </w:rPr>
        <w:t>.</w:t>
      </w:r>
      <w:r w:rsidR="00302EAC" w:rsidRPr="008849C3">
        <w:rPr>
          <w:lang w:val="bg-BG"/>
        </w:rPr>
        <w:t xml:space="preserve"> </w:t>
      </w:r>
      <w:r w:rsidR="00B35A36" w:rsidRPr="008849C3">
        <w:rPr>
          <w:lang w:val="bg-BG"/>
        </w:rPr>
        <w:t>3, 6</w:t>
      </w:r>
      <w:r w:rsidR="001A4A6A" w:rsidRPr="008849C3">
        <w:rPr>
          <w:lang w:val="bg-BG"/>
        </w:rPr>
        <w:t xml:space="preserve"> § 2</w:t>
      </w:r>
      <w:r w:rsidR="00B35A36" w:rsidRPr="008849C3">
        <w:rPr>
          <w:lang w:val="bg-BG"/>
        </w:rPr>
        <w:t xml:space="preserve">, 8 </w:t>
      </w:r>
      <w:r w:rsidR="00302EAC" w:rsidRPr="008849C3">
        <w:rPr>
          <w:lang w:val="bg-BG"/>
        </w:rPr>
        <w:t>и</w:t>
      </w:r>
      <w:r w:rsidR="00B35A36" w:rsidRPr="008849C3">
        <w:rPr>
          <w:lang w:val="bg-BG"/>
        </w:rPr>
        <w:t xml:space="preserve"> 13 </w:t>
      </w:r>
      <w:r w:rsidR="00CD3B92" w:rsidRPr="008849C3">
        <w:rPr>
          <w:lang w:val="bg-BG"/>
        </w:rPr>
        <w:t>от Конвенцията</w:t>
      </w:r>
      <w:r w:rsidR="00B35A36" w:rsidRPr="008849C3">
        <w:rPr>
          <w:lang w:val="bg-BG"/>
        </w:rPr>
        <w:t xml:space="preserve"> </w:t>
      </w:r>
      <w:r w:rsidR="00302EAC" w:rsidRPr="008849C3">
        <w:rPr>
          <w:lang w:val="bg-BG"/>
        </w:rPr>
        <w:t>и недопустима в останалата й част</w:t>
      </w:r>
      <w:r w:rsidRPr="008849C3">
        <w:rPr>
          <w:lang w:val="bg-BG"/>
        </w:rPr>
        <w:t>;</w:t>
      </w:r>
    </w:p>
    <w:p w:rsidR="00E77CB3" w:rsidRPr="008849C3" w:rsidRDefault="00E77CB3" w:rsidP="006B0E9F">
      <w:pPr>
        <w:pStyle w:val="JuList"/>
        <w:rPr>
          <w:lang w:val="bg-BG"/>
        </w:rPr>
      </w:pPr>
    </w:p>
    <w:p w:rsidR="00E77CB3" w:rsidRPr="008849C3" w:rsidRDefault="00B35A36" w:rsidP="006B0E9F">
      <w:pPr>
        <w:pStyle w:val="JuList"/>
        <w:rPr>
          <w:lang w:val="bg-BG"/>
        </w:rPr>
      </w:pPr>
      <w:r w:rsidRPr="008849C3">
        <w:rPr>
          <w:lang w:val="bg-BG"/>
        </w:rPr>
        <w:lastRenderedPageBreak/>
        <w:t>2</w:t>
      </w:r>
      <w:r w:rsidR="00E77CB3" w:rsidRPr="008849C3">
        <w:rPr>
          <w:lang w:val="bg-BG"/>
        </w:rPr>
        <w:t>.  </w:t>
      </w:r>
      <w:r w:rsidR="00FB1E83" w:rsidRPr="008849C3">
        <w:rPr>
          <w:i/>
          <w:lang w:val="bg-BG"/>
        </w:rPr>
        <w:t>Приема,</w:t>
      </w:r>
      <w:r w:rsidR="00E77CB3" w:rsidRPr="008849C3">
        <w:rPr>
          <w:lang w:val="bg-BG"/>
        </w:rPr>
        <w:t xml:space="preserve"> </w:t>
      </w:r>
      <w:r w:rsidR="00FB1E83" w:rsidRPr="008849C3">
        <w:rPr>
          <w:lang w:val="bg-BG"/>
        </w:rPr>
        <w:t>че е налице нарушение на</w:t>
      </w:r>
      <w:r w:rsidR="00E77CB3" w:rsidRPr="008849C3">
        <w:rPr>
          <w:lang w:val="bg-BG"/>
        </w:rPr>
        <w:t xml:space="preserve"> </w:t>
      </w:r>
      <w:r w:rsidR="00CA7BA4">
        <w:rPr>
          <w:lang w:val="bg-BG"/>
        </w:rPr>
        <w:t>чл.</w:t>
      </w:r>
      <w:r w:rsidR="00E77CB3" w:rsidRPr="008849C3">
        <w:rPr>
          <w:lang w:val="bg-BG"/>
        </w:rPr>
        <w:t xml:space="preserve"> </w:t>
      </w:r>
      <w:r w:rsidRPr="008849C3">
        <w:rPr>
          <w:lang w:val="bg-BG"/>
        </w:rPr>
        <w:t>3</w:t>
      </w:r>
      <w:r w:rsidR="00E77CB3" w:rsidRPr="008849C3">
        <w:rPr>
          <w:lang w:val="bg-BG"/>
        </w:rPr>
        <w:t xml:space="preserve"> </w:t>
      </w:r>
      <w:r w:rsidR="00CD3B92" w:rsidRPr="008849C3">
        <w:rPr>
          <w:lang w:val="bg-BG"/>
        </w:rPr>
        <w:t>от Конвенцията</w:t>
      </w:r>
      <w:r w:rsidR="00FB1E83" w:rsidRPr="008849C3">
        <w:rPr>
          <w:lang w:val="bg-BG"/>
        </w:rPr>
        <w:t xml:space="preserve"> в материалния му аспект</w:t>
      </w:r>
      <w:r w:rsidR="00E77CB3" w:rsidRPr="008849C3">
        <w:rPr>
          <w:lang w:val="bg-BG"/>
        </w:rPr>
        <w:t>;</w:t>
      </w:r>
    </w:p>
    <w:p w:rsidR="00E77CB3" w:rsidRPr="008849C3" w:rsidRDefault="00E77CB3" w:rsidP="006B0E9F">
      <w:pPr>
        <w:pStyle w:val="JuList"/>
        <w:rPr>
          <w:lang w:val="bg-BG"/>
        </w:rPr>
      </w:pPr>
    </w:p>
    <w:p w:rsidR="00E77CB3" w:rsidRPr="008849C3" w:rsidRDefault="00B35A36" w:rsidP="006B0E9F">
      <w:pPr>
        <w:pStyle w:val="JuList"/>
        <w:rPr>
          <w:lang w:val="bg-BG"/>
        </w:rPr>
      </w:pPr>
      <w:r w:rsidRPr="008849C3">
        <w:rPr>
          <w:lang w:val="bg-BG"/>
        </w:rPr>
        <w:t>3</w:t>
      </w:r>
      <w:r w:rsidR="00E77CB3" w:rsidRPr="008849C3">
        <w:rPr>
          <w:lang w:val="bg-BG"/>
        </w:rPr>
        <w:t>.  </w:t>
      </w:r>
      <w:r w:rsidR="007D3A2D" w:rsidRPr="008849C3">
        <w:rPr>
          <w:i/>
          <w:lang w:val="bg-BG"/>
        </w:rPr>
        <w:t xml:space="preserve">Приема, </w:t>
      </w:r>
      <w:r w:rsidR="00302EAC" w:rsidRPr="008849C3">
        <w:rPr>
          <w:lang w:val="bg-BG"/>
        </w:rPr>
        <w:t xml:space="preserve">че е налице нарушение на </w:t>
      </w:r>
      <w:r w:rsidR="00CA7BA4">
        <w:rPr>
          <w:lang w:val="bg-BG"/>
        </w:rPr>
        <w:t>чл.</w:t>
      </w:r>
      <w:r w:rsidRPr="008849C3">
        <w:rPr>
          <w:lang w:val="bg-BG"/>
        </w:rPr>
        <w:t xml:space="preserve"> 3 </w:t>
      </w:r>
      <w:r w:rsidR="00CD3B92" w:rsidRPr="008849C3">
        <w:rPr>
          <w:lang w:val="bg-BG"/>
        </w:rPr>
        <w:t>от Конвенцията</w:t>
      </w:r>
      <w:r w:rsidRPr="008849C3">
        <w:rPr>
          <w:lang w:val="bg-BG"/>
        </w:rPr>
        <w:t xml:space="preserve"> </w:t>
      </w:r>
      <w:r w:rsidR="00302EAC" w:rsidRPr="008849C3">
        <w:rPr>
          <w:lang w:val="bg-BG"/>
        </w:rPr>
        <w:t>в процесуалния му аспект</w:t>
      </w:r>
      <w:r w:rsidR="00E77CB3" w:rsidRPr="008849C3">
        <w:rPr>
          <w:lang w:val="bg-BG"/>
        </w:rPr>
        <w:t>;</w:t>
      </w:r>
    </w:p>
    <w:p w:rsidR="00E77CB3" w:rsidRPr="008849C3" w:rsidRDefault="00E77CB3" w:rsidP="006B0E9F">
      <w:pPr>
        <w:pStyle w:val="JuList"/>
        <w:rPr>
          <w:lang w:val="bg-BG"/>
        </w:rPr>
      </w:pPr>
    </w:p>
    <w:p w:rsidR="00E77CB3" w:rsidRPr="008849C3" w:rsidRDefault="00B35A36" w:rsidP="006B0E9F">
      <w:pPr>
        <w:pStyle w:val="JuList"/>
        <w:rPr>
          <w:lang w:val="bg-BG"/>
        </w:rPr>
      </w:pPr>
      <w:r w:rsidRPr="008849C3">
        <w:rPr>
          <w:lang w:val="bg-BG"/>
        </w:rPr>
        <w:t>4</w:t>
      </w:r>
      <w:r w:rsidR="00E77CB3" w:rsidRPr="008849C3">
        <w:rPr>
          <w:lang w:val="bg-BG"/>
        </w:rPr>
        <w:t>.  </w:t>
      </w:r>
      <w:r w:rsidR="00302EAC" w:rsidRPr="008849C3">
        <w:rPr>
          <w:i/>
          <w:lang w:val="bg-BG"/>
        </w:rPr>
        <w:t xml:space="preserve">Приема, </w:t>
      </w:r>
      <w:r w:rsidR="00302EAC" w:rsidRPr="008849C3">
        <w:rPr>
          <w:lang w:val="bg-BG"/>
        </w:rPr>
        <w:t xml:space="preserve">че е налице нарушение на </w:t>
      </w:r>
      <w:r w:rsidR="00CA7BA4">
        <w:rPr>
          <w:lang w:val="bg-BG"/>
        </w:rPr>
        <w:t>чл.</w:t>
      </w:r>
      <w:r w:rsidR="00E77CB3" w:rsidRPr="008849C3">
        <w:rPr>
          <w:lang w:val="bg-BG"/>
        </w:rPr>
        <w:t xml:space="preserve"> </w:t>
      </w:r>
      <w:r w:rsidR="00E002AD" w:rsidRPr="008849C3">
        <w:rPr>
          <w:lang w:val="bg-BG"/>
        </w:rPr>
        <w:t>6 § 2</w:t>
      </w:r>
      <w:r w:rsidR="00E77CB3" w:rsidRPr="008849C3">
        <w:rPr>
          <w:lang w:val="bg-BG"/>
        </w:rPr>
        <w:t xml:space="preserve"> </w:t>
      </w:r>
      <w:r w:rsidR="00CD3B92" w:rsidRPr="008849C3">
        <w:rPr>
          <w:lang w:val="bg-BG"/>
        </w:rPr>
        <w:t>от Конвенцията</w:t>
      </w:r>
      <w:r w:rsidR="0011618A" w:rsidRPr="008849C3">
        <w:rPr>
          <w:lang w:val="bg-BG"/>
        </w:rPr>
        <w:t xml:space="preserve"> </w:t>
      </w:r>
      <w:r w:rsidR="00302EAC" w:rsidRPr="008849C3">
        <w:rPr>
          <w:lang w:val="bg-BG"/>
        </w:rPr>
        <w:t>по отношение на из</w:t>
      </w:r>
      <w:r w:rsidR="00AD3C70">
        <w:rPr>
          <w:lang w:val="bg-BG"/>
        </w:rPr>
        <w:t>явленията</w:t>
      </w:r>
      <w:r w:rsidR="00302EAC" w:rsidRPr="008849C3">
        <w:rPr>
          <w:lang w:val="bg-BG"/>
        </w:rPr>
        <w:t xml:space="preserve"> на министъра на вътрешните работи и че не е налице нарушение на </w:t>
      </w:r>
      <w:r w:rsidR="00CA7BA4">
        <w:rPr>
          <w:lang w:val="bg-BG"/>
        </w:rPr>
        <w:t>чл.</w:t>
      </w:r>
      <w:r w:rsidR="0011618A" w:rsidRPr="008849C3">
        <w:rPr>
          <w:lang w:val="bg-BG"/>
        </w:rPr>
        <w:t xml:space="preserve"> 6 § 2 </w:t>
      </w:r>
      <w:r w:rsidR="00CD3B92" w:rsidRPr="008849C3">
        <w:rPr>
          <w:lang w:val="bg-BG"/>
        </w:rPr>
        <w:t>от Конвенцията</w:t>
      </w:r>
      <w:r w:rsidR="0011618A" w:rsidRPr="008849C3">
        <w:rPr>
          <w:lang w:val="bg-BG"/>
        </w:rPr>
        <w:t xml:space="preserve"> </w:t>
      </w:r>
      <w:r w:rsidR="00302EAC" w:rsidRPr="008849C3">
        <w:rPr>
          <w:lang w:val="bg-BG"/>
        </w:rPr>
        <w:t>по отношение на из</w:t>
      </w:r>
      <w:r w:rsidR="00AD3C70">
        <w:rPr>
          <w:lang w:val="bg-BG"/>
        </w:rPr>
        <w:t>явленията</w:t>
      </w:r>
      <w:r w:rsidR="00302EAC" w:rsidRPr="008849C3">
        <w:rPr>
          <w:lang w:val="bg-BG"/>
        </w:rPr>
        <w:t xml:space="preserve"> на министър-председателя и на прокурор Р. В.</w:t>
      </w:r>
      <w:r w:rsidR="00E77CB3" w:rsidRPr="008849C3">
        <w:rPr>
          <w:lang w:val="bg-BG"/>
        </w:rPr>
        <w:t>;</w:t>
      </w:r>
    </w:p>
    <w:p w:rsidR="00E77CB3" w:rsidRPr="008849C3" w:rsidRDefault="00E77CB3" w:rsidP="006B0E9F">
      <w:pPr>
        <w:pStyle w:val="JuList"/>
        <w:rPr>
          <w:lang w:val="bg-BG"/>
        </w:rPr>
      </w:pPr>
    </w:p>
    <w:p w:rsidR="00471917" w:rsidRPr="008849C3" w:rsidRDefault="00746931" w:rsidP="006B0E9F">
      <w:pPr>
        <w:pStyle w:val="JuList"/>
        <w:rPr>
          <w:lang w:val="bg-BG"/>
        </w:rPr>
      </w:pPr>
      <w:r w:rsidRPr="008849C3">
        <w:rPr>
          <w:lang w:val="bg-BG"/>
        </w:rPr>
        <w:t>5</w:t>
      </w:r>
      <w:r w:rsidR="00E77CB3" w:rsidRPr="008849C3">
        <w:rPr>
          <w:lang w:val="bg-BG"/>
        </w:rPr>
        <w:t>.  </w:t>
      </w:r>
      <w:r w:rsidR="00302EAC" w:rsidRPr="008849C3">
        <w:rPr>
          <w:i/>
          <w:lang w:val="bg-BG"/>
        </w:rPr>
        <w:t xml:space="preserve">Приема, </w:t>
      </w:r>
      <w:r w:rsidR="00302EAC" w:rsidRPr="008849C3">
        <w:rPr>
          <w:lang w:val="bg-BG"/>
        </w:rPr>
        <w:t xml:space="preserve">че е налице нарушение на </w:t>
      </w:r>
      <w:r w:rsidR="00CA7BA4">
        <w:rPr>
          <w:lang w:val="bg-BG"/>
        </w:rPr>
        <w:t>чл.</w:t>
      </w:r>
      <w:r w:rsidRPr="008849C3">
        <w:rPr>
          <w:lang w:val="bg-BG"/>
        </w:rPr>
        <w:t xml:space="preserve"> 8 </w:t>
      </w:r>
      <w:r w:rsidR="00CD3B92" w:rsidRPr="008849C3">
        <w:rPr>
          <w:lang w:val="bg-BG"/>
        </w:rPr>
        <w:t>от Конвенцията</w:t>
      </w:r>
      <w:r w:rsidRPr="008849C3">
        <w:rPr>
          <w:lang w:val="bg-BG"/>
        </w:rPr>
        <w:t xml:space="preserve"> </w:t>
      </w:r>
      <w:r w:rsidR="00302EAC" w:rsidRPr="008849C3">
        <w:rPr>
          <w:lang w:val="bg-BG"/>
        </w:rPr>
        <w:t xml:space="preserve">по отношение на медийното отразяване на </w:t>
      </w:r>
      <w:r w:rsidR="00AD3C70">
        <w:rPr>
          <w:lang w:val="bg-BG"/>
        </w:rPr>
        <w:t>арестът</w:t>
      </w:r>
      <w:r w:rsidR="00AD3C70" w:rsidRPr="008849C3">
        <w:rPr>
          <w:lang w:val="bg-BG"/>
        </w:rPr>
        <w:t xml:space="preserve"> </w:t>
      </w:r>
      <w:r w:rsidR="00302EAC" w:rsidRPr="008849C3">
        <w:rPr>
          <w:lang w:val="bg-BG"/>
        </w:rPr>
        <w:t>на г-н Попов</w:t>
      </w:r>
      <w:r w:rsidRPr="008849C3">
        <w:rPr>
          <w:lang w:val="bg-BG"/>
        </w:rPr>
        <w:t>;</w:t>
      </w:r>
    </w:p>
    <w:p w:rsidR="00746931" w:rsidRPr="008849C3" w:rsidRDefault="00746931" w:rsidP="006B0E9F">
      <w:pPr>
        <w:pStyle w:val="JuList"/>
        <w:rPr>
          <w:lang w:val="bg-BG"/>
        </w:rPr>
      </w:pPr>
    </w:p>
    <w:p w:rsidR="00472D9E" w:rsidRPr="008849C3" w:rsidRDefault="00746931" w:rsidP="006B0E9F">
      <w:pPr>
        <w:pStyle w:val="JuList"/>
        <w:rPr>
          <w:lang w:val="bg-BG"/>
        </w:rPr>
      </w:pPr>
      <w:r w:rsidRPr="008849C3">
        <w:rPr>
          <w:lang w:val="bg-BG"/>
        </w:rPr>
        <w:t>6.  </w:t>
      </w:r>
      <w:r w:rsidR="00783B4C" w:rsidRPr="008849C3">
        <w:rPr>
          <w:i/>
          <w:lang w:val="bg-BG"/>
        </w:rPr>
        <w:t xml:space="preserve">Приема, </w:t>
      </w:r>
      <w:r w:rsidR="00783B4C" w:rsidRPr="008849C3">
        <w:rPr>
          <w:lang w:val="bg-BG"/>
        </w:rPr>
        <w:t xml:space="preserve">че е налице нарушение на </w:t>
      </w:r>
      <w:r w:rsidR="00CA7BA4">
        <w:rPr>
          <w:lang w:val="bg-BG"/>
        </w:rPr>
        <w:t>чл.</w:t>
      </w:r>
      <w:r w:rsidRPr="008849C3">
        <w:rPr>
          <w:lang w:val="bg-BG"/>
        </w:rPr>
        <w:t xml:space="preserve"> 8 </w:t>
      </w:r>
      <w:r w:rsidR="00CD3B92" w:rsidRPr="008849C3">
        <w:rPr>
          <w:lang w:val="bg-BG"/>
        </w:rPr>
        <w:t>от Конвенцията</w:t>
      </w:r>
      <w:r w:rsidRPr="008849C3">
        <w:rPr>
          <w:lang w:val="bg-BG"/>
        </w:rPr>
        <w:t xml:space="preserve"> </w:t>
      </w:r>
      <w:r w:rsidR="00783B4C" w:rsidRPr="008849C3">
        <w:rPr>
          <w:lang w:val="bg-BG"/>
        </w:rPr>
        <w:t>по отношение на претърсването и изземването, извършен</w:t>
      </w:r>
      <w:r w:rsidR="005521F2">
        <w:rPr>
          <w:lang w:val="bg-BG"/>
        </w:rPr>
        <w:t>о</w:t>
      </w:r>
      <w:r w:rsidR="00783B4C" w:rsidRPr="008849C3">
        <w:rPr>
          <w:lang w:val="bg-BG"/>
        </w:rPr>
        <w:t xml:space="preserve"> в офиса на г-жа Попова</w:t>
      </w:r>
      <w:r w:rsidR="00E77CB3" w:rsidRPr="008849C3">
        <w:rPr>
          <w:lang w:val="bg-BG"/>
        </w:rPr>
        <w:t>;</w:t>
      </w:r>
    </w:p>
    <w:p w:rsidR="00472D9E" w:rsidRPr="008849C3" w:rsidRDefault="00472D9E" w:rsidP="006B0E9F">
      <w:pPr>
        <w:pStyle w:val="JuList"/>
        <w:rPr>
          <w:lang w:val="bg-BG"/>
        </w:rPr>
      </w:pPr>
    </w:p>
    <w:p w:rsidR="00471917" w:rsidRPr="008849C3" w:rsidRDefault="003F7FF3" w:rsidP="006B0E9F">
      <w:pPr>
        <w:pStyle w:val="JuList"/>
        <w:rPr>
          <w:lang w:val="bg-BG"/>
        </w:rPr>
      </w:pPr>
      <w:r w:rsidRPr="008849C3">
        <w:rPr>
          <w:lang w:val="bg-BG"/>
        </w:rPr>
        <w:t>7.  </w:t>
      </w:r>
      <w:r w:rsidR="00783B4C" w:rsidRPr="008849C3">
        <w:rPr>
          <w:i/>
          <w:lang w:val="bg-BG"/>
        </w:rPr>
        <w:t xml:space="preserve">Приема, </w:t>
      </w:r>
      <w:r w:rsidR="00783B4C" w:rsidRPr="008849C3">
        <w:rPr>
          <w:lang w:val="bg-BG"/>
        </w:rPr>
        <w:t xml:space="preserve">че е налице нарушение на </w:t>
      </w:r>
      <w:r w:rsidR="00CA7BA4">
        <w:rPr>
          <w:lang w:val="bg-BG"/>
        </w:rPr>
        <w:t>чл.</w:t>
      </w:r>
      <w:r w:rsidRPr="008849C3">
        <w:rPr>
          <w:lang w:val="bg-BG"/>
        </w:rPr>
        <w:t xml:space="preserve"> 13 </w:t>
      </w:r>
      <w:r w:rsidR="00783B4C" w:rsidRPr="008849C3">
        <w:rPr>
          <w:lang w:val="bg-BG"/>
        </w:rPr>
        <w:t xml:space="preserve">във връзка с </w:t>
      </w:r>
      <w:r w:rsidR="00CA7BA4">
        <w:rPr>
          <w:lang w:val="bg-BG"/>
        </w:rPr>
        <w:t>чл</w:t>
      </w:r>
      <w:r w:rsidR="00AD3C70">
        <w:rPr>
          <w:lang w:val="bg-BG"/>
        </w:rPr>
        <w:t>.</w:t>
      </w:r>
      <w:r w:rsidR="00783B4C" w:rsidRPr="008849C3">
        <w:rPr>
          <w:lang w:val="bg-BG"/>
        </w:rPr>
        <w:t xml:space="preserve"> </w:t>
      </w:r>
      <w:r w:rsidRPr="008849C3">
        <w:rPr>
          <w:lang w:val="bg-BG"/>
        </w:rPr>
        <w:t>3</w:t>
      </w:r>
      <w:r w:rsidR="00A4238B" w:rsidRPr="008849C3">
        <w:rPr>
          <w:lang w:val="bg-BG"/>
        </w:rPr>
        <w:t>,</w:t>
      </w:r>
      <w:r w:rsidRPr="008849C3">
        <w:rPr>
          <w:lang w:val="bg-BG"/>
        </w:rPr>
        <w:t xml:space="preserve"> 6 § 2 </w:t>
      </w:r>
      <w:r w:rsidR="00783B4C" w:rsidRPr="008849C3">
        <w:rPr>
          <w:lang w:val="bg-BG"/>
        </w:rPr>
        <w:t>и</w:t>
      </w:r>
      <w:r w:rsidRPr="008849C3">
        <w:rPr>
          <w:lang w:val="bg-BG"/>
        </w:rPr>
        <w:t xml:space="preserve"> 8 </w:t>
      </w:r>
      <w:r w:rsidR="00CD3B92" w:rsidRPr="008849C3">
        <w:rPr>
          <w:lang w:val="bg-BG"/>
        </w:rPr>
        <w:t>от Конвенцията</w:t>
      </w:r>
      <w:r w:rsidRPr="008849C3">
        <w:rPr>
          <w:lang w:val="bg-BG"/>
        </w:rPr>
        <w:t> ;</w:t>
      </w:r>
    </w:p>
    <w:p w:rsidR="00E77CB3" w:rsidRPr="008849C3" w:rsidRDefault="00E77CB3" w:rsidP="006B0E9F">
      <w:pPr>
        <w:pStyle w:val="JuList"/>
        <w:rPr>
          <w:lang w:val="bg-BG"/>
        </w:rPr>
      </w:pPr>
    </w:p>
    <w:p w:rsidR="001A40C9" w:rsidRPr="008849C3" w:rsidRDefault="003F7FF3" w:rsidP="006B0E9F">
      <w:pPr>
        <w:pStyle w:val="JuList"/>
        <w:rPr>
          <w:i/>
          <w:lang w:val="bg-BG"/>
        </w:rPr>
      </w:pPr>
      <w:r w:rsidRPr="008849C3">
        <w:rPr>
          <w:lang w:val="bg-BG"/>
        </w:rPr>
        <w:t>8</w:t>
      </w:r>
      <w:r w:rsidR="00E77CB3" w:rsidRPr="008849C3">
        <w:rPr>
          <w:lang w:val="bg-BG"/>
        </w:rPr>
        <w:t>.  </w:t>
      </w:r>
      <w:r w:rsidR="00783B4C" w:rsidRPr="008849C3">
        <w:rPr>
          <w:i/>
          <w:lang w:val="bg-BG"/>
        </w:rPr>
        <w:t>Приема,</w:t>
      </w:r>
    </w:p>
    <w:p w:rsidR="004A5893" w:rsidRPr="008849C3" w:rsidRDefault="004A5893" w:rsidP="006B0E9F">
      <w:pPr>
        <w:pStyle w:val="JuLista"/>
        <w:rPr>
          <w:lang w:val="bg-BG"/>
        </w:rPr>
      </w:pPr>
      <w:r w:rsidRPr="008849C3">
        <w:rPr>
          <w:lang w:val="bg-BG"/>
        </w:rPr>
        <w:t>a)  </w:t>
      </w:r>
      <w:r w:rsidR="00783B4C" w:rsidRPr="008849C3">
        <w:rPr>
          <w:lang w:val="bg-BG"/>
        </w:rPr>
        <w:t xml:space="preserve">че държавата-ответник </w:t>
      </w:r>
      <w:r w:rsidR="00AD3C70">
        <w:rPr>
          <w:lang w:val="bg-BG"/>
        </w:rPr>
        <w:t>следва</w:t>
      </w:r>
      <w:r w:rsidR="00AD3C70" w:rsidRPr="008849C3">
        <w:rPr>
          <w:lang w:val="bg-BG"/>
        </w:rPr>
        <w:t xml:space="preserve"> </w:t>
      </w:r>
      <w:r w:rsidR="00783B4C" w:rsidRPr="008849C3">
        <w:rPr>
          <w:lang w:val="bg-BG"/>
        </w:rPr>
        <w:t xml:space="preserve">да заплати на жалбоподателите </w:t>
      </w:r>
      <w:r w:rsidR="00AD3C70" w:rsidRPr="00746512">
        <w:rPr>
          <w:rFonts w:ascii="Times New Roman" w:eastAsia="Times New Roman" w:hAnsi="Times New Roman" w:cs="Times New Roman"/>
          <w:szCs w:val="20"/>
          <w:lang w:val="bg-BG" w:eastAsia="fr-FR"/>
        </w:rPr>
        <w:t xml:space="preserve">в </w:t>
      </w:r>
      <w:r w:rsidR="00AD3C70">
        <w:rPr>
          <w:rFonts w:ascii="Times New Roman" w:eastAsia="Times New Roman" w:hAnsi="Times New Roman" w:cs="Times New Roman"/>
          <w:szCs w:val="20"/>
          <w:lang w:val="bg-BG" w:eastAsia="fr-FR"/>
        </w:rPr>
        <w:t>тримесечен срок</w:t>
      </w:r>
      <w:r w:rsidR="00AD3C70" w:rsidRPr="00746512">
        <w:rPr>
          <w:rFonts w:ascii="Times New Roman" w:eastAsia="Times New Roman" w:hAnsi="Times New Roman" w:cs="Times New Roman"/>
          <w:szCs w:val="20"/>
          <w:lang w:val="bg-BG" w:eastAsia="fr-FR"/>
        </w:rPr>
        <w:t xml:space="preserve">, </w:t>
      </w:r>
      <w:r w:rsidR="00AD3C70">
        <w:rPr>
          <w:rFonts w:ascii="Times New Roman" w:eastAsia="Times New Roman" w:hAnsi="Times New Roman" w:cs="Times New Roman"/>
          <w:szCs w:val="20"/>
          <w:lang w:val="bg-BG" w:eastAsia="fr-FR"/>
        </w:rPr>
        <w:t>считано от датата, в</w:t>
      </w:r>
      <w:r w:rsidR="00AD3C70" w:rsidRPr="00746512">
        <w:rPr>
          <w:rFonts w:ascii="Times New Roman" w:eastAsia="Times New Roman" w:hAnsi="Times New Roman" w:cs="Times New Roman"/>
          <w:szCs w:val="20"/>
          <w:lang w:val="bg-BG" w:eastAsia="fr-FR"/>
        </w:rPr>
        <w:t xml:space="preserve"> която решението </w:t>
      </w:r>
      <w:r w:rsidR="00AD3C70">
        <w:rPr>
          <w:rFonts w:ascii="Times New Roman" w:eastAsia="Times New Roman" w:hAnsi="Times New Roman" w:cs="Times New Roman"/>
          <w:szCs w:val="20"/>
          <w:lang w:val="bg-BG" w:eastAsia="fr-FR"/>
        </w:rPr>
        <w:t>е станало окончателно,</w:t>
      </w:r>
      <w:r w:rsidR="00AD3C70" w:rsidRPr="00746512">
        <w:rPr>
          <w:rFonts w:ascii="Times New Roman" w:eastAsia="Times New Roman" w:hAnsi="Times New Roman" w:cs="Times New Roman"/>
          <w:szCs w:val="20"/>
          <w:lang w:val="bg-BG" w:eastAsia="fr-FR"/>
        </w:rPr>
        <w:t xml:space="preserve"> в съответствие с ч</w:t>
      </w:r>
      <w:r w:rsidR="00AD3C70">
        <w:rPr>
          <w:rFonts w:ascii="Times New Roman" w:eastAsia="Times New Roman" w:hAnsi="Times New Roman" w:cs="Times New Roman"/>
          <w:szCs w:val="20"/>
          <w:lang w:val="bg-BG" w:eastAsia="fr-FR"/>
        </w:rPr>
        <w:t>л.</w:t>
      </w:r>
      <w:r w:rsidR="00AD3C70" w:rsidRPr="00746512">
        <w:rPr>
          <w:rFonts w:ascii="Times New Roman" w:eastAsia="Times New Roman" w:hAnsi="Times New Roman" w:cs="Times New Roman"/>
          <w:szCs w:val="20"/>
          <w:lang w:val="bg-BG" w:eastAsia="fr-FR"/>
        </w:rPr>
        <w:t xml:space="preserve"> 44 § 2 от Конвенцията, следните суми, които да бъдат обърнати в български лева по курса, приложим към датата на плащането им</w:t>
      </w:r>
      <w:r w:rsidR="00783B4C" w:rsidRPr="008849C3">
        <w:rPr>
          <w:lang w:val="bg-BG"/>
        </w:rPr>
        <w:t xml:space="preserve">: </w:t>
      </w:r>
      <w:r w:rsidRPr="008849C3">
        <w:rPr>
          <w:lang w:val="bg-BG"/>
        </w:rPr>
        <w:t xml:space="preserve"> </w:t>
      </w:r>
    </w:p>
    <w:p w:rsidR="004A5893" w:rsidRPr="008849C3" w:rsidRDefault="004A5893" w:rsidP="006B0E9F">
      <w:pPr>
        <w:pStyle w:val="JuListi"/>
        <w:rPr>
          <w:lang w:val="bg-BG"/>
        </w:rPr>
      </w:pPr>
      <w:r w:rsidRPr="008849C3">
        <w:rPr>
          <w:lang w:val="bg-BG"/>
        </w:rPr>
        <w:t>i</w:t>
      </w:r>
      <w:r w:rsidR="00D957C1" w:rsidRPr="008849C3">
        <w:rPr>
          <w:lang w:val="bg-BG"/>
        </w:rPr>
        <w:t>.</w:t>
      </w:r>
      <w:r w:rsidRPr="008849C3">
        <w:rPr>
          <w:lang w:val="bg-BG"/>
        </w:rPr>
        <w:t>  1</w:t>
      </w:r>
      <w:r w:rsidR="00A069AB" w:rsidRPr="008849C3">
        <w:rPr>
          <w:lang w:val="bg-BG"/>
        </w:rPr>
        <w:t>0</w:t>
      </w:r>
      <w:r w:rsidR="00DE3D67" w:rsidRPr="008849C3">
        <w:rPr>
          <w:lang w:val="bg-BG"/>
        </w:rPr>
        <w:t> </w:t>
      </w:r>
      <w:r w:rsidRPr="008849C3">
        <w:rPr>
          <w:lang w:val="bg-BG"/>
        </w:rPr>
        <w:t xml:space="preserve">000 </w:t>
      </w:r>
      <w:r w:rsidR="00AD3C70">
        <w:rPr>
          <w:lang w:val="bg-BG"/>
        </w:rPr>
        <w:t>евро</w:t>
      </w:r>
      <w:r w:rsidRPr="008849C3">
        <w:rPr>
          <w:lang w:val="bg-BG"/>
        </w:rPr>
        <w:t xml:space="preserve"> (</w:t>
      </w:r>
      <w:r w:rsidR="00783B4C" w:rsidRPr="008849C3">
        <w:rPr>
          <w:lang w:val="bg-BG"/>
        </w:rPr>
        <w:t>десет хиляди евро) на г-н Попов и</w:t>
      </w:r>
      <w:r w:rsidRPr="008849C3">
        <w:rPr>
          <w:lang w:val="bg-BG"/>
        </w:rPr>
        <w:t xml:space="preserve"> </w:t>
      </w:r>
      <w:r w:rsidR="00AA6034" w:rsidRPr="008849C3">
        <w:rPr>
          <w:lang w:val="bg-BG"/>
        </w:rPr>
        <w:t>4</w:t>
      </w:r>
      <w:r w:rsidRPr="008849C3">
        <w:rPr>
          <w:lang w:val="bg-BG"/>
        </w:rPr>
        <w:t xml:space="preserve"> 000 </w:t>
      </w:r>
      <w:r w:rsidR="002D1BC0">
        <w:rPr>
          <w:lang w:val="bg-BG"/>
        </w:rPr>
        <w:t>евро</w:t>
      </w:r>
      <w:r w:rsidRPr="008849C3">
        <w:rPr>
          <w:lang w:val="bg-BG"/>
        </w:rPr>
        <w:t xml:space="preserve"> (</w:t>
      </w:r>
      <w:r w:rsidR="00783B4C" w:rsidRPr="008849C3">
        <w:rPr>
          <w:lang w:val="bg-BG"/>
        </w:rPr>
        <w:t>четири хиляди евро</w:t>
      </w:r>
      <w:r w:rsidRPr="008849C3">
        <w:rPr>
          <w:lang w:val="bg-BG"/>
        </w:rPr>
        <w:t xml:space="preserve">) </w:t>
      </w:r>
      <w:r w:rsidR="00783B4C" w:rsidRPr="008849C3">
        <w:rPr>
          <w:lang w:val="bg-BG"/>
        </w:rPr>
        <w:t xml:space="preserve">на г-жа Попова, плюс всички данъци, които могат да бъдат наложени, за неимуществени вреди, </w:t>
      </w:r>
    </w:p>
    <w:p w:rsidR="004A5893" w:rsidRPr="008849C3" w:rsidRDefault="004A5893" w:rsidP="006B0E9F">
      <w:pPr>
        <w:pStyle w:val="JuListi"/>
        <w:rPr>
          <w:lang w:val="bg-BG"/>
        </w:rPr>
      </w:pPr>
      <w:r w:rsidRPr="008849C3">
        <w:rPr>
          <w:lang w:val="bg-BG"/>
        </w:rPr>
        <w:t>ii</w:t>
      </w:r>
      <w:r w:rsidR="00D957C1" w:rsidRPr="008849C3">
        <w:rPr>
          <w:lang w:val="bg-BG"/>
        </w:rPr>
        <w:t>.</w:t>
      </w:r>
      <w:r w:rsidRPr="008849C3">
        <w:rPr>
          <w:lang w:val="bg-BG"/>
        </w:rPr>
        <w:t xml:space="preserve">  5 000 </w:t>
      </w:r>
      <w:r w:rsidR="002D1BC0">
        <w:rPr>
          <w:lang w:val="bg-BG"/>
        </w:rPr>
        <w:t>евро</w:t>
      </w:r>
      <w:r w:rsidRPr="008849C3">
        <w:rPr>
          <w:lang w:val="bg-BG"/>
        </w:rPr>
        <w:t xml:space="preserve"> (</w:t>
      </w:r>
      <w:r w:rsidR="00783B4C" w:rsidRPr="008849C3">
        <w:rPr>
          <w:lang w:val="bg-BG"/>
        </w:rPr>
        <w:t>пет хиляди евро</w:t>
      </w:r>
      <w:r w:rsidRPr="008849C3">
        <w:rPr>
          <w:lang w:val="bg-BG"/>
        </w:rPr>
        <w:t xml:space="preserve">), </w:t>
      </w:r>
      <w:r w:rsidR="00783B4C" w:rsidRPr="008849C3">
        <w:rPr>
          <w:lang w:val="bg-BG"/>
        </w:rPr>
        <w:t xml:space="preserve">плюс всички данъци, които могат да бъдат наложени на жалбоподателите върху тази сума, за </w:t>
      </w:r>
      <w:r w:rsidR="002D1BC0">
        <w:rPr>
          <w:lang w:val="bg-BG"/>
        </w:rPr>
        <w:t xml:space="preserve">разходи и </w:t>
      </w:r>
      <w:r w:rsidR="00783B4C" w:rsidRPr="008849C3">
        <w:rPr>
          <w:lang w:val="bg-BG"/>
        </w:rPr>
        <w:t>разноски, от които</w:t>
      </w:r>
      <w:r w:rsidRPr="008849C3">
        <w:rPr>
          <w:lang w:val="bg-BG"/>
        </w:rPr>
        <w:t xml:space="preserve"> 258,77 </w:t>
      </w:r>
      <w:r w:rsidR="002D1BC0">
        <w:rPr>
          <w:lang w:val="bg-BG"/>
        </w:rPr>
        <w:t>евро</w:t>
      </w:r>
      <w:r w:rsidRPr="008849C3">
        <w:rPr>
          <w:lang w:val="bg-BG"/>
        </w:rPr>
        <w:t xml:space="preserve"> (</w:t>
      </w:r>
      <w:r w:rsidR="00210EB3" w:rsidRPr="008849C3">
        <w:rPr>
          <w:lang w:val="bg-BG"/>
        </w:rPr>
        <w:t xml:space="preserve">двеста петдесет и осем евро и седемдесет </w:t>
      </w:r>
      <w:r w:rsidR="00E023FA" w:rsidRPr="008849C3">
        <w:rPr>
          <w:lang w:val="bg-BG"/>
        </w:rPr>
        <w:t>и седем цента</w:t>
      </w:r>
      <w:r w:rsidRPr="008849C3">
        <w:rPr>
          <w:lang w:val="bg-BG"/>
        </w:rPr>
        <w:t>)</w:t>
      </w:r>
      <w:r w:rsidR="00E023FA" w:rsidRPr="008849C3">
        <w:rPr>
          <w:lang w:val="bg-BG"/>
        </w:rPr>
        <w:t xml:space="preserve">, които да се изплатят директно по банковата сметка на </w:t>
      </w:r>
      <w:r w:rsidR="002403C3" w:rsidRPr="008849C3">
        <w:rPr>
          <w:lang w:val="bg-BG"/>
        </w:rPr>
        <w:t>адвокатско дружество „</w:t>
      </w:r>
      <w:proofErr w:type="spellStart"/>
      <w:r w:rsidR="002403C3" w:rsidRPr="008849C3">
        <w:rPr>
          <w:lang w:val="bg-BG"/>
        </w:rPr>
        <w:t>Екимджиев</w:t>
      </w:r>
      <w:proofErr w:type="spellEnd"/>
      <w:r w:rsidR="002403C3" w:rsidRPr="008849C3">
        <w:rPr>
          <w:lang w:val="bg-BG"/>
        </w:rPr>
        <w:t xml:space="preserve">, Бончева и </w:t>
      </w:r>
      <w:proofErr w:type="spellStart"/>
      <w:r w:rsidR="002403C3" w:rsidRPr="008849C3">
        <w:rPr>
          <w:lang w:val="bg-BG"/>
        </w:rPr>
        <w:t>Черничерска</w:t>
      </w:r>
      <w:proofErr w:type="spellEnd"/>
      <w:r w:rsidR="002403C3" w:rsidRPr="008849C3">
        <w:rPr>
          <w:lang w:val="bg-BG"/>
        </w:rPr>
        <w:t>“</w:t>
      </w:r>
      <w:r w:rsidRPr="008849C3">
        <w:rPr>
          <w:lang w:val="bg-BG"/>
        </w:rPr>
        <w:t>;</w:t>
      </w:r>
    </w:p>
    <w:p w:rsidR="004A5893" w:rsidRPr="008849C3" w:rsidRDefault="004A5893" w:rsidP="006B0E9F">
      <w:pPr>
        <w:pStyle w:val="JuLista"/>
        <w:rPr>
          <w:lang w:val="bg-BG"/>
        </w:rPr>
      </w:pPr>
      <w:r w:rsidRPr="008849C3">
        <w:rPr>
          <w:lang w:val="bg-BG"/>
        </w:rPr>
        <w:t>b)  </w:t>
      </w:r>
      <w:r w:rsidR="00491548" w:rsidRPr="008849C3">
        <w:rPr>
          <w:lang w:val="bg-BG"/>
        </w:rPr>
        <w:t>че от датата на изтичане на споменатия срок до изплащането върху посочените суми се дължи проста лихва в размер, равен на ставката на пределното кредитно улеснение на Европейската централна банка, приложима за този период, плюс три процентни пункта</w:t>
      </w:r>
      <w:r w:rsidRPr="008849C3">
        <w:rPr>
          <w:lang w:val="bg-BG"/>
        </w:rPr>
        <w:t>;</w:t>
      </w:r>
    </w:p>
    <w:p w:rsidR="00E77CB3" w:rsidRPr="008849C3" w:rsidRDefault="00E77CB3" w:rsidP="006B0E9F">
      <w:pPr>
        <w:pStyle w:val="JuLista"/>
        <w:rPr>
          <w:lang w:val="bg-BG"/>
        </w:rPr>
      </w:pPr>
    </w:p>
    <w:p w:rsidR="00E77CB3" w:rsidRPr="008849C3" w:rsidRDefault="007713EE" w:rsidP="006B0E9F">
      <w:pPr>
        <w:pStyle w:val="JuList"/>
        <w:rPr>
          <w:lang w:val="bg-BG"/>
        </w:rPr>
      </w:pPr>
      <w:r w:rsidRPr="008849C3">
        <w:rPr>
          <w:lang w:val="bg-BG"/>
        </w:rPr>
        <w:t>9</w:t>
      </w:r>
      <w:r w:rsidR="00E77CB3" w:rsidRPr="008849C3">
        <w:rPr>
          <w:lang w:val="bg-BG"/>
        </w:rPr>
        <w:t>.  </w:t>
      </w:r>
      <w:r w:rsidR="00491548" w:rsidRPr="008849C3">
        <w:rPr>
          <w:i/>
          <w:lang w:val="bg-BG"/>
        </w:rPr>
        <w:t>Отхвърля</w:t>
      </w:r>
      <w:r w:rsidR="00472D9E" w:rsidRPr="008849C3">
        <w:rPr>
          <w:lang w:val="bg-BG"/>
        </w:rPr>
        <w:t xml:space="preserve"> </w:t>
      </w:r>
      <w:r w:rsidR="00672846" w:rsidRPr="008849C3">
        <w:rPr>
          <w:lang w:val="bg-BG"/>
        </w:rPr>
        <w:t xml:space="preserve">останалата част от </w:t>
      </w:r>
      <w:r w:rsidR="000966D7">
        <w:rPr>
          <w:lang w:val="bg-BG"/>
        </w:rPr>
        <w:t>иска</w:t>
      </w:r>
      <w:r w:rsidR="002D1BC0" w:rsidRPr="008849C3">
        <w:rPr>
          <w:lang w:val="bg-BG"/>
        </w:rPr>
        <w:t xml:space="preserve"> </w:t>
      </w:r>
      <w:r w:rsidR="00672846" w:rsidRPr="008849C3">
        <w:rPr>
          <w:lang w:val="bg-BG"/>
        </w:rPr>
        <w:t>за справедливо обезщетение</w:t>
      </w:r>
      <w:r w:rsidR="00E77CB3" w:rsidRPr="008849C3">
        <w:rPr>
          <w:lang w:val="bg-BG"/>
        </w:rPr>
        <w:t>.</w:t>
      </w:r>
    </w:p>
    <w:p w:rsidR="00E77CB3" w:rsidRPr="008849C3" w:rsidRDefault="00672846" w:rsidP="006B0E9F">
      <w:pPr>
        <w:pStyle w:val="JuParaLast"/>
        <w:rPr>
          <w:lang w:val="bg-BG"/>
        </w:rPr>
      </w:pPr>
      <w:r w:rsidRPr="008849C3">
        <w:rPr>
          <w:lang w:val="bg-BG"/>
        </w:rPr>
        <w:lastRenderedPageBreak/>
        <w:t xml:space="preserve">Изготвено на френски език и оповестено писмено на </w:t>
      </w:r>
      <w:r w:rsidR="00E7684E" w:rsidRPr="008849C3">
        <w:rPr>
          <w:lang w:val="bg-BG"/>
        </w:rPr>
        <w:t xml:space="preserve">9 </w:t>
      </w:r>
      <w:r w:rsidRPr="008849C3">
        <w:rPr>
          <w:lang w:val="bg-BG"/>
        </w:rPr>
        <w:t>юни</w:t>
      </w:r>
      <w:r w:rsidR="00E7684E" w:rsidRPr="008849C3">
        <w:rPr>
          <w:lang w:val="bg-BG"/>
        </w:rPr>
        <w:t xml:space="preserve"> 2016</w:t>
      </w:r>
      <w:r w:rsidRPr="008849C3">
        <w:rPr>
          <w:lang w:val="bg-BG"/>
        </w:rPr>
        <w:t xml:space="preserve"> г.</w:t>
      </w:r>
      <w:r w:rsidR="00E77CB3" w:rsidRPr="008849C3">
        <w:rPr>
          <w:lang w:val="bg-BG"/>
        </w:rPr>
        <w:t xml:space="preserve">, </w:t>
      </w:r>
      <w:r w:rsidRPr="008849C3">
        <w:rPr>
          <w:lang w:val="bg-BG"/>
        </w:rPr>
        <w:t xml:space="preserve">в съответствие с </w:t>
      </w:r>
      <w:r w:rsidR="002D1BC0">
        <w:rPr>
          <w:lang w:val="bg-BG"/>
        </w:rPr>
        <w:t>правило</w:t>
      </w:r>
      <w:r w:rsidR="00E77CB3" w:rsidRPr="008849C3">
        <w:rPr>
          <w:lang w:val="bg-BG"/>
        </w:rPr>
        <w:t xml:space="preserve"> 77 §§ 2 </w:t>
      </w:r>
      <w:r w:rsidRPr="008849C3">
        <w:rPr>
          <w:lang w:val="bg-BG"/>
        </w:rPr>
        <w:t>и</w:t>
      </w:r>
      <w:r w:rsidR="00E77CB3" w:rsidRPr="008849C3">
        <w:rPr>
          <w:lang w:val="bg-BG"/>
        </w:rPr>
        <w:t xml:space="preserve"> 3 </w:t>
      </w:r>
      <w:r w:rsidRPr="008849C3">
        <w:rPr>
          <w:lang w:val="bg-BG"/>
        </w:rPr>
        <w:t xml:space="preserve">от Правилника на Съда. </w:t>
      </w:r>
      <w:r w:rsidR="00E77CB3" w:rsidRPr="008849C3">
        <w:rPr>
          <w:lang w:val="bg-BG"/>
        </w:rPr>
        <w:t xml:space="preserve"> </w:t>
      </w:r>
    </w:p>
    <w:p w:rsidR="00170F4D" w:rsidRPr="008849C3" w:rsidRDefault="00170F4D" w:rsidP="006B0E9F">
      <w:pPr>
        <w:pStyle w:val="JuSigned"/>
        <w:rPr>
          <w:lang w:val="bg-BG"/>
        </w:rPr>
      </w:pPr>
      <w:r w:rsidRPr="008849C3">
        <w:rPr>
          <w:lang w:val="bg-BG"/>
        </w:rPr>
        <w:tab/>
      </w:r>
      <w:proofErr w:type="spellStart"/>
      <w:r w:rsidR="00672846" w:rsidRPr="008849C3">
        <w:rPr>
          <w:lang w:val="bg-BG"/>
        </w:rPr>
        <w:t>Клаудия</w:t>
      </w:r>
      <w:proofErr w:type="spellEnd"/>
      <w:r w:rsidR="00672846" w:rsidRPr="008849C3">
        <w:rPr>
          <w:lang w:val="bg-BG"/>
        </w:rPr>
        <w:t xml:space="preserve"> </w:t>
      </w:r>
      <w:proofErr w:type="spellStart"/>
      <w:r w:rsidR="00672846" w:rsidRPr="008849C3">
        <w:rPr>
          <w:lang w:val="bg-BG"/>
        </w:rPr>
        <w:t>Вестердик</w:t>
      </w:r>
      <w:proofErr w:type="spellEnd"/>
      <w:r w:rsidRPr="008849C3">
        <w:rPr>
          <w:lang w:val="bg-BG"/>
        </w:rPr>
        <w:tab/>
      </w:r>
      <w:proofErr w:type="spellStart"/>
      <w:r w:rsidR="00672846" w:rsidRPr="008849C3">
        <w:rPr>
          <w:lang w:val="bg-BG"/>
        </w:rPr>
        <w:t>Ганна</w:t>
      </w:r>
      <w:proofErr w:type="spellEnd"/>
      <w:r w:rsidR="00672846" w:rsidRPr="008849C3">
        <w:rPr>
          <w:lang w:val="bg-BG"/>
        </w:rPr>
        <w:t xml:space="preserve"> </w:t>
      </w:r>
      <w:proofErr w:type="spellStart"/>
      <w:r w:rsidR="00672846" w:rsidRPr="008849C3">
        <w:rPr>
          <w:lang w:val="bg-BG"/>
        </w:rPr>
        <w:t>Юдкивска</w:t>
      </w:r>
      <w:proofErr w:type="spellEnd"/>
      <w:r w:rsidRPr="008849C3">
        <w:rPr>
          <w:lang w:val="bg-BG"/>
        </w:rPr>
        <w:br/>
      </w:r>
      <w:r w:rsidRPr="008849C3">
        <w:rPr>
          <w:lang w:val="bg-BG"/>
        </w:rPr>
        <w:tab/>
      </w:r>
      <w:r w:rsidR="00672846" w:rsidRPr="008849C3">
        <w:rPr>
          <w:lang w:val="bg-BG"/>
        </w:rPr>
        <w:t>Секретар</w:t>
      </w:r>
      <w:r w:rsidRPr="008849C3">
        <w:rPr>
          <w:lang w:val="bg-BG"/>
        </w:rPr>
        <w:tab/>
      </w:r>
      <w:r w:rsidR="00672846" w:rsidRPr="008849C3">
        <w:rPr>
          <w:lang w:val="bg-BG"/>
        </w:rPr>
        <w:t>Председател</w:t>
      </w:r>
    </w:p>
    <w:sectPr w:rsidR="00170F4D" w:rsidRPr="008849C3" w:rsidSect="00444F1F">
      <w:headerReference w:type="even" r:id="rId13"/>
      <w:headerReference w:type="default" r:id="rId14"/>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F5" w:rsidRPr="0045067D" w:rsidRDefault="006A43F5" w:rsidP="00E77CB3">
      <w:pPr>
        <w:rPr>
          <w:lang w:val="fr-FR"/>
        </w:rPr>
      </w:pPr>
      <w:r w:rsidRPr="0045067D">
        <w:rPr>
          <w:lang w:val="fr-FR"/>
        </w:rPr>
        <w:separator/>
      </w:r>
    </w:p>
  </w:endnote>
  <w:endnote w:type="continuationSeparator" w:id="0">
    <w:p w:rsidR="006A43F5" w:rsidRPr="0045067D" w:rsidRDefault="006A43F5" w:rsidP="00E77CB3">
      <w:pPr>
        <w:rPr>
          <w:lang w:val="fr-FR"/>
        </w:rPr>
      </w:pPr>
      <w:r w:rsidRPr="0045067D">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AC" w:rsidRDefault="00F86D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AC" w:rsidRDefault="00F86D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8" w:rsidRPr="00150BFA" w:rsidRDefault="00223658" w:rsidP="00444F1F">
    <w:pPr>
      <w:jc w:val="center"/>
    </w:pPr>
    <w:r>
      <w:rPr>
        <w:noProof/>
      </w:rPr>
      <w:drawing>
        <wp:inline distT="0" distB="0" distL="0" distR="0" wp14:anchorId="1791A7B0" wp14:editId="49DAB98B">
          <wp:extent cx="771525" cy="619125"/>
          <wp:effectExtent l="0" t="0" r="9525" b="9525"/>
          <wp:docPr id="31" name="Picture 3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223658" w:rsidRDefault="002236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F5" w:rsidRPr="0045067D" w:rsidRDefault="006A43F5" w:rsidP="00E77CB3">
      <w:pPr>
        <w:rPr>
          <w:lang w:val="fr-FR"/>
        </w:rPr>
      </w:pPr>
      <w:r w:rsidRPr="0045067D">
        <w:rPr>
          <w:lang w:val="fr-FR"/>
        </w:rPr>
        <w:separator/>
      </w:r>
    </w:p>
  </w:footnote>
  <w:footnote w:type="continuationSeparator" w:id="0">
    <w:p w:rsidR="006A43F5" w:rsidRPr="0045067D" w:rsidRDefault="006A43F5" w:rsidP="00E77CB3">
      <w:pPr>
        <w:rPr>
          <w:lang w:val="fr-FR"/>
        </w:rPr>
      </w:pPr>
      <w:r w:rsidRPr="0045067D">
        <w:rPr>
          <w:lang w:val="fr-FR"/>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AC" w:rsidRDefault="00F86D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8" w:rsidRPr="00444F1F" w:rsidRDefault="00223658" w:rsidP="00444F1F">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8" w:rsidRPr="00A45145" w:rsidRDefault="00223658" w:rsidP="00444F1F">
    <w:pPr>
      <w:jc w:val="center"/>
    </w:pPr>
    <w:r>
      <w:rPr>
        <w:noProof/>
      </w:rPr>
      <w:drawing>
        <wp:inline distT="0" distB="0" distL="0" distR="0" wp14:anchorId="1C1E3B69" wp14:editId="4ED9E0CB">
          <wp:extent cx="2962275" cy="1219200"/>
          <wp:effectExtent l="0" t="0" r="9525" b="0"/>
          <wp:docPr id="16" name="Picture 16"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223658" w:rsidRDefault="0022365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8" w:rsidRPr="00EF0A2E" w:rsidRDefault="00223658" w:rsidP="00C611D8">
    <w:pPr>
      <w:pStyle w:val="ECHRHeader"/>
    </w:pPr>
    <w:r>
      <w:rPr>
        <w:rStyle w:val="PageNumber"/>
      </w:rPr>
      <w:fldChar w:fldCharType="begin"/>
    </w:r>
    <w:r>
      <w:rPr>
        <w:rStyle w:val="PageNumber"/>
      </w:rPr>
      <w:instrText xml:space="preserve"> PAGE </w:instrText>
    </w:r>
    <w:r>
      <w:rPr>
        <w:rStyle w:val="PageNumber"/>
      </w:rPr>
      <w:fldChar w:fldCharType="separate"/>
    </w:r>
    <w:r w:rsidR="00F86DAC">
      <w:rPr>
        <w:rStyle w:val="PageNumber"/>
        <w:noProof/>
      </w:rPr>
      <w:t>18</w:t>
    </w:r>
    <w:r>
      <w:rPr>
        <w:rStyle w:val="PageNumber"/>
      </w:rPr>
      <w:fldChar w:fldCharType="end"/>
    </w:r>
    <w:r w:rsidRPr="00EF0A2E">
      <w:rPr>
        <w:rStyle w:val="PageNumber"/>
      </w:rPr>
      <w:tab/>
    </w:r>
    <w:r>
      <w:rPr>
        <w:noProof/>
        <w:lang w:val="bg-BG"/>
      </w:rPr>
      <w:t>РЕШЕНИЕ ПОПОВИ СРЕЩУ БЪЛГАРИЯ</w:t>
    </w:r>
    <w:r w:rsidRPr="00EF0A2E">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658" w:rsidRPr="0045067D" w:rsidRDefault="00223658" w:rsidP="00C63990">
    <w:pPr>
      <w:pStyle w:val="ECHRHeader"/>
      <w:rPr>
        <w:lang w:val="fr-FR"/>
      </w:rPr>
    </w:pPr>
    <w:r w:rsidRPr="0045067D">
      <w:rPr>
        <w:lang w:val="fr-FR"/>
      </w:rPr>
      <w:tab/>
    </w:r>
    <w:r>
      <w:rPr>
        <w:noProof/>
        <w:lang w:val="bg-BG"/>
      </w:rPr>
      <w:t>РЕШЕНИЕ ПОПОВИ срещу БЪЛГАРИЯ</w:t>
    </w:r>
    <w:r w:rsidRPr="00EF0A2E">
      <w:tab/>
    </w:r>
    <w:r>
      <w:rPr>
        <w:rStyle w:val="PageNumber"/>
        <w:lang w:val="fr-FR"/>
      </w:rPr>
      <w:fldChar w:fldCharType="begin"/>
    </w:r>
    <w:r>
      <w:rPr>
        <w:rStyle w:val="PageNumber"/>
        <w:lang w:val="fr-FR"/>
      </w:rPr>
      <w:instrText xml:space="preserve"> PAGE </w:instrText>
    </w:r>
    <w:r>
      <w:rPr>
        <w:rStyle w:val="PageNumber"/>
        <w:lang w:val="fr-FR"/>
      </w:rPr>
      <w:fldChar w:fldCharType="separate"/>
    </w:r>
    <w:r w:rsidR="00F86DAC">
      <w:rPr>
        <w:rStyle w:val="PageNumber"/>
        <w:noProof/>
        <w:lang w:val="fr-FR"/>
      </w:rPr>
      <w:t>19</w:t>
    </w:r>
    <w:r>
      <w:rPr>
        <w:rStyle w:val="PageNumber"/>
        <w:lang w:val="fr-F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9" w15:restartNumberingAfterBreak="0">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1"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1"/>
  </w:num>
  <w:num w:numId="3">
    <w:abstractNumId w:val="10"/>
  </w:num>
  <w:num w:numId="4">
    <w:abstractNumId w:val="4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6"/>
  </w:num>
  <w:num w:numId="16">
    <w:abstractNumId w:val="45"/>
  </w:num>
  <w:num w:numId="17">
    <w:abstractNumId w:val="40"/>
  </w:num>
  <w:num w:numId="18">
    <w:abstractNumId w:val="35"/>
  </w:num>
  <w:num w:numId="19">
    <w:abstractNumId w:val="36"/>
  </w:num>
  <w:num w:numId="20">
    <w:abstractNumId w:val="25"/>
  </w:num>
  <w:num w:numId="21">
    <w:abstractNumId w:val="15"/>
  </w:num>
  <w:num w:numId="22">
    <w:abstractNumId w:val="19"/>
  </w:num>
  <w:num w:numId="23">
    <w:abstractNumId w:val="38"/>
  </w:num>
  <w:num w:numId="24">
    <w:abstractNumId w:val="34"/>
  </w:num>
  <w:num w:numId="25">
    <w:abstractNumId w:val="37"/>
  </w:num>
  <w:num w:numId="26">
    <w:abstractNumId w:val="43"/>
  </w:num>
  <w:num w:numId="27">
    <w:abstractNumId w:val="23"/>
  </w:num>
  <w:num w:numId="28">
    <w:abstractNumId w:val="11"/>
  </w:num>
  <w:num w:numId="29">
    <w:abstractNumId w:val="31"/>
  </w:num>
  <w:num w:numId="30">
    <w:abstractNumId w:val="16"/>
  </w:num>
  <w:num w:numId="31">
    <w:abstractNumId w:val="3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12"/>
  </w:num>
  <w:num w:numId="35">
    <w:abstractNumId w:val="32"/>
  </w:num>
  <w:num w:numId="36">
    <w:abstractNumId w:val="28"/>
  </w:num>
  <w:num w:numId="37">
    <w:abstractNumId w:val="29"/>
  </w:num>
  <w:num w:numId="38">
    <w:abstractNumId w:val="1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3"/>
  </w:num>
  <w:num w:numId="42">
    <w:abstractNumId w:val="24"/>
  </w:num>
  <w:num w:numId="43">
    <w:abstractNumId w:val="33"/>
  </w:num>
  <w:num w:numId="44">
    <w:abstractNumId w:val="30"/>
  </w:num>
  <w:num w:numId="45">
    <w:abstractNumId w:val="27"/>
  </w:num>
  <w:num w:numId="46">
    <w:abstractNumId w:val="42"/>
  </w:num>
  <w:num w:numId="47">
    <w:abstractNumId w:val="2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1"/>
    <w:docVar w:name="EMM" w:val="0"/>
    <w:docVar w:name="ETRANSMISSION" w:val="PAR VOIE ÉLECTRONIQUE UNIQUEMENT"/>
    <w:docVar w:name="L4_1Annex" w:val="0"/>
    <w:docVar w:name="L4_1Anonymity" w:val="0"/>
    <w:docVar w:name="NBEMMDOC" w:val="0"/>
    <w:docVar w:name="SignForeName" w:val="0"/>
  </w:docVars>
  <w:rsids>
    <w:rsidRoot w:val="00472D9E"/>
    <w:rsid w:val="00000141"/>
    <w:rsid w:val="000041F8"/>
    <w:rsid w:val="000042A8"/>
    <w:rsid w:val="00004308"/>
    <w:rsid w:val="00005BF0"/>
    <w:rsid w:val="00007154"/>
    <w:rsid w:val="000072EC"/>
    <w:rsid w:val="000103AE"/>
    <w:rsid w:val="0001064C"/>
    <w:rsid w:val="0001193B"/>
    <w:rsid w:val="00011D69"/>
    <w:rsid w:val="00012AD3"/>
    <w:rsid w:val="00015C2D"/>
    <w:rsid w:val="00015F00"/>
    <w:rsid w:val="0001756A"/>
    <w:rsid w:val="00021DFB"/>
    <w:rsid w:val="00022C1D"/>
    <w:rsid w:val="00026242"/>
    <w:rsid w:val="0002633D"/>
    <w:rsid w:val="00031B1F"/>
    <w:rsid w:val="00034987"/>
    <w:rsid w:val="000360E9"/>
    <w:rsid w:val="00037F3E"/>
    <w:rsid w:val="0004013B"/>
    <w:rsid w:val="0004046C"/>
    <w:rsid w:val="00043271"/>
    <w:rsid w:val="00043309"/>
    <w:rsid w:val="00043B3F"/>
    <w:rsid w:val="00044321"/>
    <w:rsid w:val="00046168"/>
    <w:rsid w:val="0005356D"/>
    <w:rsid w:val="00056FEF"/>
    <w:rsid w:val="00057673"/>
    <w:rsid w:val="000602DF"/>
    <w:rsid w:val="00060FFC"/>
    <w:rsid w:val="000615A7"/>
    <w:rsid w:val="00061B05"/>
    <w:rsid w:val="000632D5"/>
    <w:rsid w:val="00063FD4"/>
    <w:rsid w:val="000644EE"/>
    <w:rsid w:val="00064921"/>
    <w:rsid w:val="000658C5"/>
    <w:rsid w:val="00066944"/>
    <w:rsid w:val="00066A71"/>
    <w:rsid w:val="00066F93"/>
    <w:rsid w:val="00072673"/>
    <w:rsid w:val="00073704"/>
    <w:rsid w:val="00075781"/>
    <w:rsid w:val="0007592C"/>
    <w:rsid w:val="0008043F"/>
    <w:rsid w:val="00080447"/>
    <w:rsid w:val="00080E84"/>
    <w:rsid w:val="00082C19"/>
    <w:rsid w:val="00084E79"/>
    <w:rsid w:val="0008523C"/>
    <w:rsid w:val="000859B6"/>
    <w:rsid w:val="00085D6D"/>
    <w:rsid w:val="00091DA1"/>
    <w:rsid w:val="000925AD"/>
    <w:rsid w:val="000931D3"/>
    <w:rsid w:val="000949E9"/>
    <w:rsid w:val="000966D7"/>
    <w:rsid w:val="000A102B"/>
    <w:rsid w:val="000A1035"/>
    <w:rsid w:val="000A24EB"/>
    <w:rsid w:val="000A2A61"/>
    <w:rsid w:val="000A3F88"/>
    <w:rsid w:val="000A4D42"/>
    <w:rsid w:val="000A75E6"/>
    <w:rsid w:val="000A775E"/>
    <w:rsid w:val="000B0443"/>
    <w:rsid w:val="000B1D33"/>
    <w:rsid w:val="000B28B4"/>
    <w:rsid w:val="000B48C2"/>
    <w:rsid w:val="000B4A13"/>
    <w:rsid w:val="000B58A8"/>
    <w:rsid w:val="000B5CAF"/>
    <w:rsid w:val="000B6923"/>
    <w:rsid w:val="000C0672"/>
    <w:rsid w:val="000C1174"/>
    <w:rsid w:val="000C2498"/>
    <w:rsid w:val="000C3934"/>
    <w:rsid w:val="000C39B8"/>
    <w:rsid w:val="000C4955"/>
    <w:rsid w:val="000C5F3C"/>
    <w:rsid w:val="000C6DCC"/>
    <w:rsid w:val="000D2A0D"/>
    <w:rsid w:val="000D47AA"/>
    <w:rsid w:val="000D721F"/>
    <w:rsid w:val="000D733E"/>
    <w:rsid w:val="000E069B"/>
    <w:rsid w:val="000E06A0"/>
    <w:rsid w:val="000E06A4"/>
    <w:rsid w:val="000E0C20"/>
    <w:rsid w:val="000E0E82"/>
    <w:rsid w:val="000E1DC5"/>
    <w:rsid w:val="000E223F"/>
    <w:rsid w:val="000E3671"/>
    <w:rsid w:val="000E3AE2"/>
    <w:rsid w:val="000E683B"/>
    <w:rsid w:val="000E6885"/>
    <w:rsid w:val="000E6B75"/>
    <w:rsid w:val="000E7D45"/>
    <w:rsid w:val="000F00EF"/>
    <w:rsid w:val="000F049F"/>
    <w:rsid w:val="000F0798"/>
    <w:rsid w:val="000F1F97"/>
    <w:rsid w:val="000F57E7"/>
    <w:rsid w:val="000F7851"/>
    <w:rsid w:val="0010074F"/>
    <w:rsid w:val="00101C88"/>
    <w:rsid w:val="00104E23"/>
    <w:rsid w:val="00106707"/>
    <w:rsid w:val="00111A7D"/>
    <w:rsid w:val="00111B0C"/>
    <w:rsid w:val="00111BB9"/>
    <w:rsid w:val="00111C20"/>
    <w:rsid w:val="0011618A"/>
    <w:rsid w:val="001167F9"/>
    <w:rsid w:val="00117989"/>
    <w:rsid w:val="0012049F"/>
    <w:rsid w:val="00120D6C"/>
    <w:rsid w:val="00122748"/>
    <w:rsid w:val="001239B2"/>
    <w:rsid w:val="00124ABB"/>
    <w:rsid w:val="001257EC"/>
    <w:rsid w:val="00125AF7"/>
    <w:rsid w:val="001268FB"/>
    <w:rsid w:val="001315E0"/>
    <w:rsid w:val="00131C6C"/>
    <w:rsid w:val="00132B43"/>
    <w:rsid w:val="00133D33"/>
    <w:rsid w:val="00134118"/>
    <w:rsid w:val="00134D64"/>
    <w:rsid w:val="001354EF"/>
    <w:rsid w:val="00135A30"/>
    <w:rsid w:val="0013612C"/>
    <w:rsid w:val="00136546"/>
    <w:rsid w:val="001367E1"/>
    <w:rsid w:val="0013716E"/>
    <w:rsid w:val="00137949"/>
    <w:rsid w:val="00137FF6"/>
    <w:rsid w:val="00141650"/>
    <w:rsid w:val="00145C4E"/>
    <w:rsid w:val="001461B1"/>
    <w:rsid w:val="00146B16"/>
    <w:rsid w:val="001479C6"/>
    <w:rsid w:val="0015099D"/>
    <w:rsid w:val="001516A3"/>
    <w:rsid w:val="00151D53"/>
    <w:rsid w:val="00154CB1"/>
    <w:rsid w:val="00160482"/>
    <w:rsid w:val="001611AD"/>
    <w:rsid w:val="0016174F"/>
    <w:rsid w:val="00162A12"/>
    <w:rsid w:val="001637F0"/>
    <w:rsid w:val="0016576A"/>
    <w:rsid w:val="00165D23"/>
    <w:rsid w:val="00166530"/>
    <w:rsid w:val="00170B66"/>
    <w:rsid w:val="00170F4D"/>
    <w:rsid w:val="00171FB4"/>
    <w:rsid w:val="00173389"/>
    <w:rsid w:val="00173973"/>
    <w:rsid w:val="00174623"/>
    <w:rsid w:val="00174CAD"/>
    <w:rsid w:val="00177677"/>
    <w:rsid w:val="001832BD"/>
    <w:rsid w:val="00183540"/>
    <w:rsid w:val="00184D0E"/>
    <w:rsid w:val="00186FE7"/>
    <w:rsid w:val="00187438"/>
    <w:rsid w:val="00191A71"/>
    <w:rsid w:val="00191B9B"/>
    <w:rsid w:val="00192154"/>
    <w:rsid w:val="00192358"/>
    <w:rsid w:val="001943B5"/>
    <w:rsid w:val="00195134"/>
    <w:rsid w:val="00197400"/>
    <w:rsid w:val="001A12CB"/>
    <w:rsid w:val="001A145B"/>
    <w:rsid w:val="001A4074"/>
    <w:rsid w:val="001A40C9"/>
    <w:rsid w:val="001A4A6A"/>
    <w:rsid w:val="001A674C"/>
    <w:rsid w:val="001B00D2"/>
    <w:rsid w:val="001B37B9"/>
    <w:rsid w:val="001B3B24"/>
    <w:rsid w:val="001B3DF1"/>
    <w:rsid w:val="001B5F59"/>
    <w:rsid w:val="001C0F98"/>
    <w:rsid w:val="001C1416"/>
    <w:rsid w:val="001C2A42"/>
    <w:rsid w:val="001C36BD"/>
    <w:rsid w:val="001C41FA"/>
    <w:rsid w:val="001C6A1A"/>
    <w:rsid w:val="001D0547"/>
    <w:rsid w:val="001D1D77"/>
    <w:rsid w:val="001D26D2"/>
    <w:rsid w:val="001D3E0B"/>
    <w:rsid w:val="001D44F5"/>
    <w:rsid w:val="001D49E2"/>
    <w:rsid w:val="001D4F2D"/>
    <w:rsid w:val="001D554E"/>
    <w:rsid w:val="001D6269"/>
    <w:rsid w:val="001D63ED"/>
    <w:rsid w:val="001D7348"/>
    <w:rsid w:val="001D7782"/>
    <w:rsid w:val="001E035B"/>
    <w:rsid w:val="001E0961"/>
    <w:rsid w:val="001E1682"/>
    <w:rsid w:val="001E1772"/>
    <w:rsid w:val="001E3EAE"/>
    <w:rsid w:val="001E4B79"/>
    <w:rsid w:val="001E6F32"/>
    <w:rsid w:val="001F0C24"/>
    <w:rsid w:val="001F1A27"/>
    <w:rsid w:val="001F2145"/>
    <w:rsid w:val="001F3592"/>
    <w:rsid w:val="001F4E43"/>
    <w:rsid w:val="001F6262"/>
    <w:rsid w:val="001F67B0"/>
    <w:rsid w:val="001F7B3D"/>
    <w:rsid w:val="00201D8D"/>
    <w:rsid w:val="002022A0"/>
    <w:rsid w:val="00203783"/>
    <w:rsid w:val="002047C1"/>
    <w:rsid w:val="00205F2B"/>
    <w:rsid w:val="00205F43"/>
    <w:rsid w:val="00205F9F"/>
    <w:rsid w:val="002064F5"/>
    <w:rsid w:val="00207F0E"/>
    <w:rsid w:val="00207F7B"/>
    <w:rsid w:val="00210338"/>
    <w:rsid w:val="00210EB3"/>
    <w:rsid w:val="002115FC"/>
    <w:rsid w:val="00211E87"/>
    <w:rsid w:val="002140D3"/>
    <w:rsid w:val="0021423C"/>
    <w:rsid w:val="002160F0"/>
    <w:rsid w:val="00220278"/>
    <w:rsid w:val="0022062F"/>
    <w:rsid w:val="00221156"/>
    <w:rsid w:val="002213C3"/>
    <w:rsid w:val="0022211C"/>
    <w:rsid w:val="0022232B"/>
    <w:rsid w:val="00223658"/>
    <w:rsid w:val="0022418F"/>
    <w:rsid w:val="00225FFC"/>
    <w:rsid w:val="002305BF"/>
    <w:rsid w:val="00230D00"/>
    <w:rsid w:val="00231337"/>
    <w:rsid w:val="00231D12"/>
    <w:rsid w:val="00231DF7"/>
    <w:rsid w:val="00231F12"/>
    <w:rsid w:val="00231FD1"/>
    <w:rsid w:val="00232AA9"/>
    <w:rsid w:val="002330A2"/>
    <w:rsid w:val="00233419"/>
    <w:rsid w:val="002339E0"/>
    <w:rsid w:val="00233CF8"/>
    <w:rsid w:val="0023575D"/>
    <w:rsid w:val="00236A77"/>
    <w:rsid w:val="00236BE9"/>
    <w:rsid w:val="00237065"/>
    <w:rsid w:val="00237122"/>
    <w:rsid w:val="00237148"/>
    <w:rsid w:val="0023749D"/>
    <w:rsid w:val="00240374"/>
    <w:rsid w:val="002403C3"/>
    <w:rsid w:val="0024222D"/>
    <w:rsid w:val="00243396"/>
    <w:rsid w:val="00244025"/>
    <w:rsid w:val="00244B0E"/>
    <w:rsid w:val="00244F6C"/>
    <w:rsid w:val="00245038"/>
    <w:rsid w:val="00246AB4"/>
    <w:rsid w:val="00246CA1"/>
    <w:rsid w:val="002475C2"/>
    <w:rsid w:val="002505D0"/>
    <w:rsid w:val="00251B1C"/>
    <w:rsid w:val="00253195"/>
    <w:rsid w:val="002532C5"/>
    <w:rsid w:val="0025343C"/>
    <w:rsid w:val="002544F2"/>
    <w:rsid w:val="002546CE"/>
    <w:rsid w:val="00255456"/>
    <w:rsid w:val="002563AE"/>
    <w:rsid w:val="00260C03"/>
    <w:rsid w:val="00260DB6"/>
    <w:rsid w:val="0026147D"/>
    <w:rsid w:val="0026242D"/>
    <w:rsid w:val="00263D32"/>
    <w:rsid w:val="00264EA9"/>
    <w:rsid w:val="00265408"/>
    <w:rsid w:val="0026540E"/>
    <w:rsid w:val="00266428"/>
    <w:rsid w:val="002679D7"/>
    <w:rsid w:val="00270EEC"/>
    <w:rsid w:val="0027188B"/>
    <w:rsid w:val="0027350A"/>
    <w:rsid w:val="002738EF"/>
    <w:rsid w:val="00274B5D"/>
    <w:rsid w:val="00275123"/>
    <w:rsid w:val="002759A9"/>
    <w:rsid w:val="00276C60"/>
    <w:rsid w:val="00280595"/>
    <w:rsid w:val="0028066B"/>
    <w:rsid w:val="00282240"/>
    <w:rsid w:val="002838B6"/>
    <w:rsid w:val="00283D37"/>
    <w:rsid w:val="0028621F"/>
    <w:rsid w:val="002862D8"/>
    <w:rsid w:val="00290887"/>
    <w:rsid w:val="00291379"/>
    <w:rsid w:val="00291B31"/>
    <w:rsid w:val="0029347B"/>
    <w:rsid w:val="00294733"/>
    <w:rsid w:val="002948AD"/>
    <w:rsid w:val="00294ACB"/>
    <w:rsid w:val="002956B1"/>
    <w:rsid w:val="00297DE1"/>
    <w:rsid w:val="00297FD6"/>
    <w:rsid w:val="002A01CC"/>
    <w:rsid w:val="002A02BC"/>
    <w:rsid w:val="002A30F1"/>
    <w:rsid w:val="002A61B1"/>
    <w:rsid w:val="002A663C"/>
    <w:rsid w:val="002B0225"/>
    <w:rsid w:val="002B316C"/>
    <w:rsid w:val="002B35C6"/>
    <w:rsid w:val="002B4179"/>
    <w:rsid w:val="002B444B"/>
    <w:rsid w:val="002B5887"/>
    <w:rsid w:val="002B5CA4"/>
    <w:rsid w:val="002C0E27"/>
    <w:rsid w:val="002C1C7E"/>
    <w:rsid w:val="002C3040"/>
    <w:rsid w:val="002C5037"/>
    <w:rsid w:val="002C67F2"/>
    <w:rsid w:val="002D022D"/>
    <w:rsid w:val="002D0ECA"/>
    <w:rsid w:val="002D0EE9"/>
    <w:rsid w:val="002D1BBB"/>
    <w:rsid w:val="002D1BC0"/>
    <w:rsid w:val="002D2228"/>
    <w:rsid w:val="002D23B6"/>
    <w:rsid w:val="002D24BB"/>
    <w:rsid w:val="002D447A"/>
    <w:rsid w:val="002D5CAF"/>
    <w:rsid w:val="002E02CB"/>
    <w:rsid w:val="002E190E"/>
    <w:rsid w:val="002E1D26"/>
    <w:rsid w:val="002E6061"/>
    <w:rsid w:val="002E610B"/>
    <w:rsid w:val="002F0C8B"/>
    <w:rsid w:val="002F2AF7"/>
    <w:rsid w:val="002F2C6F"/>
    <w:rsid w:val="002F4401"/>
    <w:rsid w:val="002F7E1C"/>
    <w:rsid w:val="00300489"/>
    <w:rsid w:val="00300B95"/>
    <w:rsid w:val="003019A3"/>
    <w:rsid w:val="00301A75"/>
    <w:rsid w:val="00302EAC"/>
    <w:rsid w:val="00302F70"/>
    <w:rsid w:val="0030336F"/>
    <w:rsid w:val="0030375E"/>
    <w:rsid w:val="00303EE0"/>
    <w:rsid w:val="003049D7"/>
    <w:rsid w:val="00312814"/>
    <w:rsid w:val="00312A30"/>
    <w:rsid w:val="00312B8B"/>
    <w:rsid w:val="0031367D"/>
    <w:rsid w:val="00314B22"/>
    <w:rsid w:val="00314F17"/>
    <w:rsid w:val="00315ACE"/>
    <w:rsid w:val="003171AB"/>
    <w:rsid w:val="003178F3"/>
    <w:rsid w:val="00320930"/>
    <w:rsid w:val="00320F72"/>
    <w:rsid w:val="00321256"/>
    <w:rsid w:val="0032139C"/>
    <w:rsid w:val="00321EAE"/>
    <w:rsid w:val="00322785"/>
    <w:rsid w:val="003230BF"/>
    <w:rsid w:val="0032372E"/>
    <w:rsid w:val="00323C52"/>
    <w:rsid w:val="0032463E"/>
    <w:rsid w:val="003251F1"/>
    <w:rsid w:val="00325370"/>
    <w:rsid w:val="00325E5B"/>
    <w:rsid w:val="00326224"/>
    <w:rsid w:val="00326BAC"/>
    <w:rsid w:val="00332E22"/>
    <w:rsid w:val="003373D4"/>
    <w:rsid w:val="00337657"/>
    <w:rsid w:val="00337EE4"/>
    <w:rsid w:val="003408D2"/>
    <w:rsid w:val="00340FF8"/>
    <w:rsid w:val="00340FFD"/>
    <w:rsid w:val="00342D2B"/>
    <w:rsid w:val="00342EC3"/>
    <w:rsid w:val="003444B0"/>
    <w:rsid w:val="00344869"/>
    <w:rsid w:val="0034682B"/>
    <w:rsid w:val="00346FE7"/>
    <w:rsid w:val="003474C6"/>
    <w:rsid w:val="003506B1"/>
    <w:rsid w:val="00350D7A"/>
    <w:rsid w:val="0035207D"/>
    <w:rsid w:val="00352509"/>
    <w:rsid w:val="00354F8C"/>
    <w:rsid w:val="0035517F"/>
    <w:rsid w:val="003558A7"/>
    <w:rsid w:val="003558C6"/>
    <w:rsid w:val="00356860"/>
    <w:rsid w:val="00356AC7"/>
    <w:rsid w:val="00357D9F"/>
    <w:rsid w:val="003609FA"/>
    <w:rsid w:val="0036409A"/>
    <w:rsid w:val="00364310"/>
    <w:rsid w:val="003710C8"/>
    <w:rsid w:val="003720A7"/>
    <w:rsid w:val="00372AD4"/>
    <w:rsid w:val="00373C1B"/>
    <w:rsid w:val="003750BE"/>
    <w:rsid w:val="0037660F"/>
    <w:rsid w:val="003766C3"/>
    <w:rsid w:val="00376E83"/>
    <w:rsid w:val="003847C9"/>
    <w:rsid w:val="0038607B"/>
    <w:rsid w:val="00386AF8"/>
    <w:rsid w:val="0038766D"/>
    <w:rsid w:val="00387872"/>
    <w:rsid w:val="00387B9D"/>
    <w:rsid w:val="003906D7"/>
    <w:rsid w:val="00390D46"/>
    <w:rsid w:val="0039364F"/>
    <w:rsid w:val="00396686"/>
    <w:rsid w:val="0039680C"/>
    <w:rsid w:val="0039778E"/>
    <w:rsid w:val="003A16A5"/>
    <w:rsid w:val="003A1BF4"/>
    <w:rsid w:val="003A2049"/>
    <w:rsid w:val="003A2293"/>
    <w:rsid w:val="003A383B"/>
    <w:rsid w:val="003A5B41"/>
    <w:rsid w:val="003A5EBD"/>
    <w:rsid w:val="003B1E4C"/>
    <w:rsid w:val="003B2814"/>
    <w:rsid w:val="003B3B1E"/>
    <w:rsid w:val="003B4941"/>
    <w:rsid w:val="003B52AE"/>
    <w:rsid w:val="003B6E6A"/>
    <w:rsid w:val="003B770D"/>
    <w:rsid w:val="003B7B69"/>
    <w:rsid w:val="003C0602"/>
    <w:rsid w:val="003C5714"/>
    <w:rsid w:val="003C5CF4"/>
    <w:rsid w:val="003C6557"/>
    <w:rsid w:val="003C6B9F"/>
    <w:rsid w:val="003C6E2A"/>
    <w:rsid w:val="003D0299"/>
    <w:rsid w:val="003D13E6"/>
    <w:rsid w:val="003D477F"/>
    <w:rsid w:val="003D4C03"/>
    <w:rsid w:val="003D5155"/>
    <w:rsid w:val="003E10D3"/>
    <w:rsid w:val="003E1756"/>
    <w:rsid w:val="003E31D7"/>
    <w:rsid w:val="003E6D80"/>
    <w:rsid w:val="003E7912"/>
    <w:rsid w:val="003F05FA"/>
    <w:rsid w:val="003F23BC"/>
    <w:rsid w:val="003F244A"/>
    <w:rsid w:val="003F30B8"/>
    <w:rsid w:val="003F45BA"/>
    <w:rsid w:val="003F4C45"/>
    <w:rsid w:val="003F5F7B"/>
    <w:rsid w:val="003F63B2"/>
    <w:rsid w:val="003F7D64"/>
    <w:rsid w:val="003F7FF3"/>
    <w:rsid w:val="0040019A"/>
    <w:rsid w:val="00400A2E"/>
    <w:rsid w:val="00400AC5"/>
    <w:rsid w:val="00404A4D"/>
    <w:rsid w:val="00405308"/>
    <w:rsid w:val="00406374"/>
    <w:rsid w:val="004111AF"/>
    <w:rsid w:val="0041357C"/>
    <w:rsid w:val="00414300"/>
    <w:rsid w:val="004147EA"/>
    <w:rsid w:val="00414F07"/>
    <w:rsid w:val="004165FB"/>
    <w:rsid w:val="00417331"/>
    <w:rsid w:val="004237AE"/>
    <w:rsid w:val="004239E7"/>
    <w:rsid w:val="00424524"/>
    <w:rsid w:val="00424719"/>
    <w:rsid w:val="00424B63"/>
    <w:rsid w:val="00425316"/>
    <w:rsid w:val="00425C67"/>
    <w:rsid w:val="00427E7A"/>
    <w:rsid w:val="00432EC3"/>
    <w:rsid w:val="00433446"/>
    <w:rsid w:val="0043351D"/>
    <w:rsid w:val="00434EC4"/>
    <w:rsid w:val="00436C49"/>
    <w:rsid w:val="00442201"/>
    <w:rsid w:val="00444F1F"/>
    <w:rsid w:val="00444FAE"/>
    <w:rsid w:val="00445366"/>
    <w:rsid w:val="004476A7"/>
    <w:rsid w:val="00447F5B"/>
    <w:rsid w:val="004500A0"/>
    <w:rsid w:val="0045011E"/>
    <w:rsid w:val="0045033C"/>
    <w:rsid w:val="0045067D"/>
    <w:rsid w:val="00451DE4"/>
    <w:rsid w:val="0045509E"/>
    <w:rsid w:val="00455AFE"/>
    <w:rsid w:val="0045725D"/>
    <w:rsid w:val="004608E2"/>
    <w:rsid w:val="00460FCC"/>
    <w:rsid w:val="00461DB0"/>
    <w:rsid w:val="00463383"/>
    <w:rsid w:val="00463926"/>
    <w:rsid w:val="00464C9A"/>
    <w:rsid w:val="0046668C"/>
    <w:rsid w:val="00470529"/>
    <w:rsid w:val="00470AF6"/>
    <w:rsid w:val="00471917"/>
    <w:rsid w:val="00472D9E"/>
    <w:rsid w:val="00473E5D"/>
    <w:rsid w:val="004741F5"/>
    <w:rsid w:val="00474F3D"/>
    <w:rsid w:val="00476A2D"/>
    <w:rsid w:val="00477E3A"/>
    <w:rsid w:val="00480B12"/>
    <w:rsid w:val="00480DD1"/>
    <w:rsid w:val="00481098"/>
    <w:rsid w:val="004812AB"/>
    <w:rsid w:val="0048184C"/>
    <w:rsid w:val="00483E5F"/>
    <w:rsid w:val="00485FF9"/>
    <w:rsid w:val="004866C2"/>
    <w:rsid w:val="00486E4B"/>
    <w:rsid w:val="004878B2"/>
    <w:rsid w:val="00487AF1"/>
    <w:rsid w:val="004907F0"/>
    <w:rsid w:val="00490882"/>
    <w:rsid w:val="0049140B"/>
    <w:rsid w:val="00491481"/>
    <w:rsid w:val="00491548"/>
    <w:rsid w:val="004923A5"/>
    <w:rsid w:val="004926CF"/>
    <w:rsid w:val="00494A21"/>
    <w:rsid w:val="00495991"/>
    <w:rsid w:val="00496BFB"/>
    <w:rsid w:val="004970F3"/>
    <w:rsid w:val="004A15C7"/>
    <w:rsid w:val="004A1609"/>
    <w:rsid w:val="004A27AC"/>
    <w:rsid w:val="004A3088"/>
    <w:rsid w:val="004A5893"/>
    <w:rsid w:val="004A6CC4"/>
    <w:rsid w:val="004B013B"/>
    <w:rsid w:val="004B112B"/>
    <w:rsid w:val="004B5C42"/>
    <w:rsid w:val="004B5D2C"/>
    <w:rsid w:val="004C01E4"/>
    <w:rsid w:val="004C086C"/>
    <w:rsid w:val="004C0D09"/>
    <w:rsid w:val="004C1F56"/>
    <w:rsid w:val="004C270C"/>
    <w:rsid w:val="004C27BC"/>
    <w:rsid w:val="004C2A5C"/>
    <w:rsid w:val="004C5793"/>
    <w:rsid w:val="004C7690"/>
    <w:rsid w:val="004C7A0F"/>
    <w:rsid w:val="004D15F3"/>
    <w:rsid w:val="004D260B"/>
    <w:rsid w:val="004D2EB6"/>
    <w:rsid w:val="004D47ED"/>
    <w:rsid w:val="004D5311"/>
    <w:rsid w:val="004D5DCC"/>
    <w:rsid w:val="004D6200"/>
    <w:rsid w:val="004D6722"/>
    <w:rsid w:val="004D78AE"/>
    <w:rsid w:val="004E0197"/>
    <w:rsid w:val="004E0492"/>
    <w:rsid w:val="004E0826"/>
    <w:rsid w:val="004E257E"/>
    <w:rsid w:val="004E3883"/>
    <w:rsid w:val="004E3EB5"/>
    <w:rsid w:val="004E49C1"/>
    <w:rsid w:val="004E61E4"/>
    <w:rsid w:val="004E62E9"/>
    <w:rsid w:val="004E6715"/>
    <w:rsid w:val="004E6DD0"/>
    <w:rsid w:val="004F0FC9"/>
    <w:rsid w:val="004F10AF"/>
    <w:rsid w:val="004F11A4"/>
    <w:rsid w:val="004F1CFC"/>
    <w:rsid w:val="004F2389"/>
    <w:rsid w:val="004F2923"/>
    <w:rsid w:val="004F2979"/>
    <w:rsid w:val="004F2C3F"/>
    <w:rsid w:val="004F2FDE"/>
    <w:rsid w:val="004F304D"/>
    <w:rsid w:val="004F430A"/>
    <w:rsid w:val="004F4886"/>
    <w:rsid w:val="004F49B5"/>
    <w:rsid w:val="004F61BE"/>
    <w:rsid w:val="004F66B1"/>
    <w:rsid w:val="004F7862"/>
    <w:rsid w:val="004F78A2"/>
    <w:rsid w:val="004F7908"/>
    <w:rsid w:val="005016B1"/>
    <w:rsid w:val="00501A8F"/>
    <w:rsid w:val="00501F07"/>
    <w:rsid w:val="0050538F"/>
    <w:rsid w:val="005059EA"/>
    <w:rsid w:val="00505B01"/>
    <w:rsid w:val="0050654E"/>
    <w:rsid w:val="005100F3"/>
    <w:rsid w:val="00511142"/>
    <w:rsid w:val="00511C07"/>
    <w:rsid w:val="00512851"/>
    <w:rsid w:val="00512915"/>
    <w:rsid w:val="005139B4"/>
    <w:rsid w:val="00515328"/>
    <w:rsid w:val="005173A6"/>
    <w:rsid w:val="00517C8B"/>
    <w:rsid w:val="00520BAA"/>
    <w:rsid w:val="005210F0"/>
    <w:rsid w:val="00525208"/>
    <w:rsid w:val="005257A5"/>
    <w:rsid w:val="00525CC2"/>
    <w:rsid w:val="005264C0"/>
    <w:rsid w:val="005265EA"/>
    <w:rsid w:val="00526A8A"/>
    <w:rsid w:val="00531DF2"/>
    <w:rsid w:val="005334E2"/>
    <w:rsid w:val="005368D9"/>
    <w:rsid w:val="00540F79"/>
    <w:rsid w:val="00541C28"/>
    <w:rsid w:val="0054213B"/>
    <w:rsid w:val="005422D0"/>
    <w:rsid w:val="00542402"/>
    <w:rsid w:val="005442EE"/>
    <w:rsid w:val="00547353"/>
    <w:rsid w:val="005474E7"/>
    <w:rsid w:val="005512A3"/>
    <w:rsid w:val="00551B16"/>
    <w:rsid w:val="005521F2"/>
    <w:rsid w:val="00552DAB"/>
    <w:rsid w:val="00553570"/>
    <w:rsid w:val="00554E4F"/>
    <w:rsid w:val="00555E77"/>
    <w:rsid w:val="005578CE"/>
    <w:rsid w:val="00561004"/>
    <w:rsid w:val="0056186E"/>
    <w:rsid w:val="00562781"/>
    <w:rsid w:val="00563896"/>
    <w:rsid w:val="00565626"/>
    <w:rsid w:val="00565E61"/>
    <w:rsid w:val="005661DF"/>
    <w:rsid w:val="00566CA0"/>
    <w:rsid w:val="00566E8B"/>
    <w:rsid w:val="0057271C"/>
    <w:rsid w:val="00572845"/>
    <w:rsid w:val="00572AFE"/>
    <w:rsid w:val="0057474A"/>
    <w:rsid w:val="00574C83"/>
    <w:rsid w:val="00574F97"/>
    <w:rsid w:val="00581199"/>
    <w:rsid w:val="00581B1F"/>
    <w:rsid w:val="00583328"/>
    <w:rsid w:val="00583AC6"/>
    <w:rsid w:val="00583E7D"/>
    <w:rsid w:val="00585C08"/>
    <w:rsid w:val="00586F12"/>
    <w:rsid w:val="00587B95"/>
    <w:rsid w:val="00590276"/>
    <w:rsid w:val="005902DA"/>
    <w:rsid w:val="00591D68"/>
    <w:rsid w:val="00592772"/>
    <w:rsid w:val="00592AD7"/>
    <w:rsid w:val="005936BB"/>
    <w:rsid w:val="0059381C"/>
    <w:rsid w:val="00593DF6"/>
    <w:rsid w:val="00594858"/>
    <w:rsid w:val="00594F86"/>
    <w:rsid w:val="0059574A"/>
    <w:rsid w:val="00596468"/>
    <w:rsid w:val="00597A88"/>
    <w:rsid w:val="005A02CB"/>
    <w:rsid w:val="005A18D7"/>
    <w:rsid w:val="005A1B9B"/>
    <w:rsid w:val="005A257A"/>
    <w:rsid w:val="005A2FC9"/>
    <w:rsid w:val="005A56D5"/>
    <w:rsid w:val="005A6751"/>
    <w:rsid w:val="005B092E"/>
    <w:rsid w:val="005B152C"/>
    <w:rsid w:val="005B1EE0"/>
    <w:rsid w:val="005B21D2"/>
    <w:rsid w:val="005B2B24"/>
    <w:rsid w:val="005B2CEA"/>
    <w:rsid w:val="005B4425"/>
    <w:rsid w:val="005B44B3"/>
    <w:rsid w:val="005B4B94"/>
    <w:rsid w:val="005B616D"/>
    <w:rsid w:val="005B709A"/>
    <w:rsid w:val="005C011A"/>
    <w:rsid w:val="005C1BF3"/>
    <w:rsid w:val="005C1D1D"/>
    <w:rsid w:val="005C1F11"/>
    <w:rsid w:val="005C3EE8"/>
    <w:rsid w:val="005C66A2"/>
    <w:rsid w:val="005C6914"/>
    <w:rsid w:val="005C6952"/>
    <w:rsid w:val="005C7E53"/>
    <w:rsid w:val="005D19A9"/>
    <w:rsid w:val="005D329D"/>
    <w:rsid w:val="005D34F9"/>
    <w:rsid w:val="005D4190"/>
    <w:rsid w:val="005D53BB"/>
    <w:rsid w:val="005D67A3"/>
    <w:rsid w:val="005D79AA"/>
    <w:rsid w:val="005D79FD"/>
    <w:rsid w:val="005E187C"/>
    <w:rsid w:val="005E2988"/>
    <w:rsid w:val="005E3085"/>
    <w:rsid w:val="005E37C6"/>
    <w:rsid w:val="005E3A08"/>
    <w:rsid w:val="005E4B8E"/>
    <w:rsid w:val="005E67C8"/>
    <w:rsid w:val="005E797A"/>
    <w:rsid w:val="005F0735"/>
    <w:rsid w:val="005F25F4"/>
    <w:rsid w:val="005F51E1"/>
    <w:rsid w:val="005F6E0A"/>
    <w:rsid w:val="00601058"/>
    <w:rsid w:val="006019E1"/>
    <w:rsid w:val="006038F1"/>
    <w:rsid w:val="00606011"/>
    <w:rsid w:val="00606500"/>
    <w:rsid w:val="006066EC"/>
    <w:rsid w:val="00607B5B"/>
    <w:rsid w:val="0061008A"/>
    <w:rsid w:val="00611C80"/>
    <w:rsid w:val="0061335F"/>
    <w:rsid w:val="006151A0"/>
    <w:rsid w:val="006179C0"/>
    <w:rsid w:val="00620692"/>
    <w:rsid w:val="006231AA"/>
    <w:rsid w:val="00623395"/>
    <w:rsid w:val="006242CA"/>
    <w:rsid w:val="00626CC7"/>
    <w:rsid w:val="00627507"/>
    <w:rsid w:val="00630A00"/>
    <w:rsid w:val="00633717"/>
    <w:rsid w:val="006344E1"/>
    <w:rsid w:val="00634547"/>
    <w:rsid w:val="006364F4"/>
    <w:rsid w:val="00641A26"/>
    <w:rsid w:val="0064358A"/>
    <w:rsid w:val="00645D0F"/>
    <w:rsid w:val="00645E9A"/>
    <w:rsid w:val="00646546"/>
    <w:rsid w:val="006507A6"/>
    <w:rsid w:val="0065145E"/>
    <w:rsid w:val="0065298D"/>
    <w:rsid w:val="006545C4"/>
    <w:rsid w:val="0065694E"/>
    <w:rsid w:val="00661971"/>
    <w:rsid w:val="00661CE8"/>
    <w:rsid w:val="006623D9"/>
    <w:rsid w:val="0066550C"/>
    <w:rsid w:val="00666C57"/>
    <w:rsid w:val="00667B26"/>
    <w:rsid w:val="006716F2"/>
    <w:rsid w:val="00672846"/>
    <w:rsid w:val="00682BF2"/>
    <w:rsid w:val="006859CE"/>
    <w:rsid w:val="00687CAA"/>
    <w:rsid w:val="00691270"/>
    <w:rsid w:val="006940EC"/>
    <w:rsid w:val="00694A2E"/>
    <w:rsid w:val="00694BA8"/>
    <w:rsid w:val="006956A5"/>
    <w:rsid w:val="00696A9F"/>
    <w:rsid w:val="006A037C"/>
    <w:rsid w:val="006A07E5"/>
    <w:rsid w:val="006A111C"/>
    <w:rsid w:val="006A11B4"/>
    <w:rsid w:val="006A263E"/>
    <w:rsid w:val="006A2858"/>
    <w:rsid w:val="006A36F4"/>
    <w:rsid w:val="006A393C"/>
    <w:rsid w:val="006A406F"/>
    <w:rsid w:val="006A43F5"/>
    <w:rsid w:val="006A5D3A"/>
    <w:rsid w:val="006A677C"/>
    <w:rsid w:val="006B0E9F"/>
    <w:rsid w:val="006B12A9"/>
    <w:rsid w:val="006B393C"/>
    <w:rsid w:val="006B45F4"/>
    <w:rsid w:val="006B7479"/>
    <w:rsid w:val="006C129D"/>
    <w:rsid w:val="006C1BCB"/>
    <w:rsid w:val="006C23D4"/>
    <w:rsid w:val="006C4971"/>
    <w:rsid w:val="006C64BE"/>
    <w:rsid w:val="006C65EE"/>
    <w:rsid w:val="006C7BB0"/>
    <w:rsid w:val="006D3237"/>
    <w:rsid w:val="006D5329"/>
    <w:rsid w:val="006D6840"/>
    <w:rsid w:val="006E1CE2"/>
    <w:rsid w:val="006E2E37"/>
    <w:rsid w:val="006E31E1"/>
    <w:rsid w:val="006E3CF1"/>
    <w:rsid w:val="006E47F8"/>
    <w:rsid w:val="006E5BCC"/>
    <w:rsid w:val="006E6F75"/>
    <w:rsid w:val="006E7E80"/>
    <w:rsid w:val="006F0AC9"/>
    <w:rsid w:val="006F3AD3"/>
    <w:rsid w:val="006F4032"/>
    <w:rsid w:val="006F48CA"/>
    <w:rsid w:val="006F4B3F"/>
    <w:rsid w:val="006F4F1E"/>
    <w:rsid w:val="006F64DD"/>
    <w:rsid w:val="007003A9"/>
    <w:rsid w:val="0070142C"/>
    <w:rsid w:val="007017F4"/>
    <w:rsid w:val="00704BAC"/>
    <w:rsid w:val="00706AC4"/>
    <w:rsid w:val="00710752"/>
    <w:rsid w:val="00711B9F"/>
    <w:rsid w:val="0071278A"/>
    <w:rsid w:val="00712861"/>
    <w:rsid w:val="0071291F"/>
    <w:rsid w:val="00713473"/>
    <w:rsid w:val="00713890"/>
    <w:rsid w:val="007142F2"/>
    <w:rsid w:val="00715127"/>
    <w:rsid w:val="00715A01"/>
    <w:rsid w:val="00715C4D"/>
    <w:rsid w:val="00715E8E"/>
    <w:rsid w:val="00716232"/>
    <w:rsid w:val="00716942"/>
    <w:rsid w:val="00722EA8"/>
    <w:rsid w:val="007230F2"/>
    <w:rsid w:val="00723580"/>
    <w:rsid w:val="00723755"/>
    <w:rsid w:val="00724062"/>
    <w:rsid w:val="00727254"/>
    <w:rsid w:val="00727482"/>
    <w:rsid w:val="00727FB8"/>
    <w:rsid w:val="007306DB"/>
    <w:rsid w:val="0073135F"/>
    <w:rsid w:val="0073136C"/>
    <w:rsid w:val="00731F0F"/>
    <w:rsid w:val="00731F55"/>
    <w:rsid w:val="00733063"/>
    <w:rsid w:val="00733250"/>
    <w:rsid w:val="00733B74"/>
    <w:rsid w:val="00734116"/>
    <w:rsid w:val="00736C95"/>
    <w:rsid w:val="00741122"/>
    <w:rsid w:val="00741404"/>
    <w:rsid w:val="00743343"/>
    <w:rsid w:val="007442C4"/>
    <w:rsid w:val="007449E5"/>
    <w:rsid w:val="0074683E"/>
    <w:rsid w:val="00746931"/>
    <w:rsid w:val="00746E12"/>
    <w:rsid w:val="00747FF0"/>
    <w:rsid w:val="007528E5"/>
    <w:rsid w:val="0075406C"/>
    <w:rsid w:val="0075487C"/>
    <w:rsid w:val="00754F5C"/>
    <w:rsid w:val="0075558A"/>
    <w:rsid w:val="00757F33"/>
    <w:rsid w:val="007605A3"/>
    <w:rsid w:val="00760B18"/>
    <w:rsid w:val="00762CA7"/>
    <w:rsid w:val="00762D90"/>
    <w:rsid w:val="00764D4E"/>
    <w:rsid w:val="00765A1F"/>
    <w:rsid w:val="007667CF"/>
    <w:rsid w:val="007676C9"/>
    <w:rsid w:val="007713EE"/>
    <w:rsid w:val="00771407"/>
    <w:rsid w:val="007715A3"/>
    <w:rsid w:val="00772157"/>
    <w:rsid w:val="00775B6D"/>
    <w:rsid w:val="00776D68"/>
    <w:rsid w:val="00781906"/>
    <w:rsid w:val="00782A10"/>
    <w:rsid w:val="00783B4C"/>
    <w:rsid w:val="007850EE"/>
    <w:rsid w:val="0078587C"/>
    <w:rsid w:val="00785B95"/>
    <w:rsid w:val="007905D8"/>
    <w:rsid w:val="00790C30"/>
    <w:rsid w:val="00790E96"/>
    <w:rsid w:val="0079294C"/>
    <w:rsid w:val="00792D57"/>
    <w:rsid w:val="00793366"/>
    <w:rsid w:val="007937CE"/>
    <w:rsid w:val="0079485D"/>
    <w:rsid w:val="007952DA"/>
    <w:rsid w:val="00795B42"/>
    <w:rsid w:val="007966EC"/>
    <w:rsid w:val="00796EC5"/>
    <w:rsid w:val="0079706B"/>
    <w:rsid w:val="0079733A"/>
    <w:rsid w:val="0079744A"/>
    <w:rsid w:val="007A2B72"/>
    <w:rsid w:val="007A49FE"/>
    <w:rsid w:val="007A53BF"/>
    <w:rsid w:val="007A679E"/>
    <w:rsid w:val="007A716F"/>
    <w:rsid w:val="007A78BA"/>
    <w:rsid w:val="007A7F14"/>
    <w:rsid w:val="007B1863"/>
    <w:rsid w:val="007B270A"/>
    <w:rsid w:val="007B2AC5"/>
    <w:rsid w:val="007B4B56"/>
    <w:rsid w:val="007B63B5"/>
    <w:rsid w:val="007B64CB"/>
    <w:rsid w:val="007B7E41"/>
    <w:rsid w:val="007C0695"/>
    <w:rsid w:val="007C24DF"/>
    <w:rsid w:val="007C2939"/>
    <w:rsid w:val="007C3661"/>
    <w:rsid w:val="007C419A"/>
    <w:rsid w:val="007C4CC8"/>
    <w:rsid w:val="007C5426"/>
    <w:rsid w:val="007C5798"/>
    <w:rsid w:val="007D0051"/>
    <w:rsid w:val="007D03F2"/>
    <w:rsid w:val="007D1EFA"/>
    <w:rsid w:val="007D3A2D"/>
    <w:rsid w:val="007D41B6"/>
    <w:rsid w:val="007D4832"/>
    <w:rsid w:val="007D5D34"/>
    <w:rsid w:val="007D7097"/>
    <w:rsid w:val="007E0AC7"/>
    <w:rsid w:val="007E21B2"/>
    <w:rsid w:val="007E2C4E"/>
    <w:rsid w:val="007E3ED4"/>
    <w:rsid w:val="007E48C2"/>
    <w:rsid w:val="007E55A9"/>
    <w:rsid w:val="007E6AC7"/>
    <w:rsid w:val="007E70D7"/>
    <w:rsid w:val="007E7D0C"/>
    <w:rsid w:val="007F0046"/>
    <w:rsid w:val="007F0F8B"/>
    <w:rsid w:val="007F1905"/>
    <w:rsid w:val="007F1FDE"/>
    <w:rsid w:val="007F46DD"/>
    <w:rsid w:val="00801300"/>
    <w:rsid w:val="00802C64"/>
    <w:rsid w:val="0080444C"/>
    <w:rsid w:val="00805E52"/>
    <w:rsid w:val="008061D0"/>
    <w:rsid w:val="008064F8"/>
    <w:rsid w:val="00807FBE"/>
    <w:rsid w:val="0081059E"/>
    <w:rsid w:val="00810B38"/>
    <w:rsid w:val="0081154D"/>
    <w:rsid w:val="008126E3"/>
    <w:rsid w:val="008135BE"/>
    <w:rsid w:val="00816947"/>
    <w:rsid w:val="008171F8"/>
    <w:rsid w:val="008204C7"/>
    <w:rsid w:val="00820992"/>
    <w:rsid w:val="00820CF1"/>
    <w:rsid w:val="008223A1"/>
    <w:rsid w:val="00823559"/>
    <w:rsid w:val="00823602"/>
    <w:rsid w:val="008255F5"/>
    <w:rsid w:val="008264C0"/>
    <w:rsid w:val="008268AB"/>
    <w:rsid w:val="008273F1"/>
    <w:rsid w:val="0083014E"/>
    <w:rsid w:val="008316FE"/>
    <w:rsid w:val="0083214A"/>
    <w:rsid w:val="0083273C"/>
    <w:rsid w:val="00834220"/>
    <w:rsid w:val="00835270"/>
    <w:rsid w:val="00837CF2"/>
    <w:rsid w:val="00842BED"/>
    <w:rsid w:val="0084351A"/>
    <w:rsid w:val="00845723"/>
    <w:rsid w:val="0084573F"/>
    <w:rsid w:val="00845F30"/>
    <w:rsid w:val="008478A9"/>
    <w:rsid w:val="008501BD"/>
    <w:rsid w:val="00850F3D"/>
    <w:rsid w:val="00851EF9"/>
    <w:rsid w:val="00852DD8"/>
    <w:rsid w:val="00855B41"/>
    <w:rsid w:val="00856B53"/>
    <w:rsid w:val="008577FD"/>
    <w:rsid w:val="00860B03"/>
    <w:rsid w:val="00863229"/>
    <w:rsid w:val="0086497A"/>
    <w:rsid w:val="008713A1"/>
    <w:rsid w:val="00874D21"/>
    <w:rsid w:val="008754AB"/>
    <w:rsid w:val="00875AB3"/>
    <w:rsid w:val="00876266"/>
    <w:rsid w:val="0088060C"/>
    <w:rsid w:val="00881A0D"/>
    <w:rsid w:val="00881B74"/>
    <w:rsid w:val="0088254A"/>
    <w:rsid w:val="00884414"/>
    <w:rsid w:val="0088492E"/>
    <w:rsid w:val="008849C3"/>
    <w:rsid w:val="00884A2E"/>
    <w:rsid w:val="00886E59"/>
    <w:rsid w:val="00886F46"/>
    <w:rsid w:val="00890909"/>
    <w:rsid w:val="00891182"/>
    <w:rsid w:val="008925FD"/>
    <w:rsid w:val="00893576"/>
    <w:rsid w:val="0089398B"/>
    <w:rsid w:val="00893E73"/>
    <w:rsid w:val="0089612E"/>
    <w:rsid w:val="00896A4D"/>
    <w:rsid w:val="00896E61"/>
    <w:rsid w:val="008A123B"/>
    <w:rsid w:val="008A18A2"/>
    <w:rsid w:val="008A26EE"/>
    <w:rsid w:val="008A3D06"/>
    <w:rsid w:val="008A514B"/>
    <w:rsid w:val="008A7213"/>
    <w:rsid w:val="008A7C01"/>
    <w:rsid w:val="008B02DC"/>
    <w:rsid w:val="008B0553"/>
    <w:rsid w:val="008B07B2"/>
    <w:rsid w:val="008B09B4"/>
    <w:rsid w:val="008B425E"/>
    <w:rsid w:val="008B4378"/>
    <w:rsid w:val="008B4AA6"/>
    <w:rsid w:val="008B52A4"/>
    <w:rsid w:val="008B57CE"/>
    <w:rsid w:val="008B747E"/>
    <w:rsid w:val="008B7F7F"/>
    <w:rsid w:val="008C108E"/>
    <w:rsid w:val="008C26DE"/>
    <w:rsid w:val="008C429C"/>
    <w:rsid w:val="008C65C1"/>
    <w:rsid w:val="008D2225"/>
    <w:rsid w:val="008D4752"/>
    <w:rsid w:val="008D4B1B"/>
    <w:rsid w:val="008D613D"/>
    <w:rsid w:val="008D7298"/>
    <w:rsid w:val="008E1845"/>
    <w:rsid w:val="008E271C"/>
    <w:rsid w:val="008E362F"/>
    <w:rsid w:val="008E418E"/>
    <w:rsid w:val="008E5BC6"/>
    <w:rsid w:val="008E63BB"/>
    <w:rsid w:val="008E6A25"/>
    <w:rsid w:val="008F5193"/>
    <w:rsid w:val="008F54BF"/>
    <w:rsid w:val="008F6570"/>
    <w:rsid w:val="008F7E85"/>
    <w:rsid w:val="008F7FF5"/>
    <w:rsid w:val="009008B3"/>
    <w:rsid w:val="009013A7"/>
    <w:rsid w:val="009017FB"/>
    <w:rsid w:val="009017FC"/>
    <w:rsid w:val="00901ACD"/>
    <w:rsid w:val="00902A6C"/>
    <w:rsid w:val="00904CE7"/>
    <w:rsid w:val="0090506B"/>
    <w:rsid w:val="009050C9"/>
    <w:rsid w:val="00905BDC"/>
    <w:rsid w:val="0090646E"/>
    <w:rsid w:val="009066FC"/>
    <w:rsid w:val="00907F9A"/>
    <w:rsid w:val="00910846"/>
    <w:rsid w:val="00911ECA"/>
    <w:rsid w:val="00913646"/>
    <w:rsid w:val="00913802"/>
    <w:rsid w:val="009140A3"/>
    <w:rsid w:val="009144A2"/>
    <w:rsid w:val="009148C5"/>
    <w:rsid w:val="00914E33"/>
    <w:rsid w:val="0091510C"/>
    <w:rsid w:val="00915BCA"/>
    <w:rsid w:val="00915F75"/>
    <w:rsid w:val="00917173"/>
    <w:rsid w:val="009171CB"/>
    <w:rsid w:val="00920DB8"/>
    <w:rsid w:val="00920F36"/>
    <w:rsid w:val="00922AC1"/>
    <w:rsid w:val="0092565A"/>
    <w:rsid w:val="009259AC"/>
    <w:rsid w:val="00926AD5"/>
    <w:rsid w:val="00926F38"/>
    <w:rsid w:val="00931E76"/>
    <w:rsid w:val="00932AF1"/>
    <w:rsid w:val="00932D6C"/>
    <w:rsid w:val="00932F92"/>
    <w:rsid w:val="009333D5"/>
    <w:rsid w:val="00934110"/>
    <w:rsid w:val="00934301"/>
    <w:rsid w:val="00934B22"/>
    <w:rsid w:val="009354E7"/>
    <w:rsid w:val="009366A9"/>
    <w:rsid w:val="009368C9"/>
    <w:rsid w:val="009369BB"/>
    <w:rsid w:val="00936C2D"/>
    <w:rsid w:val="00936CD1"/>
    <w:rsid w:val="00941747"/>
    <w:rsid w:val="00941DD8"/>
    <w:rsid w:val="00941EFB"/>
    <w:rsid w:val="009443B9"/>
    <w:rsid w:val="0094457F"/>
    <w:rsid w:val="009460EF"/>
    <w:rsid w:val="0094740B"/>
    <w:rsid w:val="00947AFB"/>
    <w:rsid w:val="009510D4"/>
    <w:rsid w:val="009511FB"/>
    <w:rsid w:val="00951D7D"/>
    <w:rsid w:val="009548EF"/>
    <w:rsid w:val="00954A15"/>
    <w:rsid w:val="009579C5"/>
    <w:rsid w:val="00957AD9"/>
    <w:rsid w:val="009621E1"/>
    <w:rsid w:val="009628FA"/>
    <w:rsid w:val="009630C7"/>
    <w:rsid w:val="00963DBD"/>
    <w:rsid w:val="009648D7"/>
    <w:rsid w:val="00964BBC"/>
    <w:rsid w:val="00965E8C"/>
    <w:rsid w:val="0096615E"/>
    <w:rsid w:val="00966965"/>
    <w:rsid w:val="00967F17"/>
    <w:rsid w:val="009703DB"/>
    <w:rsid w:val="00971AE8"/>
    <w:rsid w:val="00971B96"/>
    <w:rsid w:val="00972B55"/>
    <w:rsid w:val="009743B7"/>
    <w:rsid w:val="00974A5B"/>
    <w:rsid w:val="009755B4"/>
    <w:rsid w:val="00975ECD"/>
    <w:rsid w:val="009760DC"/>
    <w:rsid w:val="0098028B"/>
    <w:rsid w:val="00981188"/>
    <w:rsid w:val="0098228B"/>
    <w:rsid w:val="009828DA"/>
    <w:rsid w:val="00982AB9"/>
    <w:rsid w:val="00982CBC"/>
    <w:rsid w:val="0098361E"/>
    <w:rsid w:val="009843D5"/>
    <w:rsid w:val="0098527F"/>
    <w:rsid w:val="00985BAB"/>
    <w:rsid w:val="009909FE"/>
    <w:rsid w:val="00993E0E"/>
    <w:rsid w:val="00996A77"/>
    <w:rsid w:val="00997DFD"/>
    <w:rsid w:val="009A0854"/>
    <w:rsid w:val="009A10DA"/>
    <w:rsid w:val="009A1D21"/>
    <w:rsid w:val="009A1D82"/>
    <w:rsid w:val="009A2807"/>
    <w:rsid w:val="009A2C2C"/>
    <w:rsid w:val="009A4DA8"/>
    <w:rsid w:val="009A58AD"/>
    <w:rsid w:val="009A5938"/>
    <w:rsid w:val="009A7A37"/>
    <w:rsid w:val="009B0CF0"/>
    <w:rsid w:val="009B1B5F"/>
    <w:rsid w:val="009B215C"/>
    <w:rsid w:val="009B2345"/>
    <w:rsid w:val="009B2938"/>
    <w:rsid w:val="009B3570"/>
    <w:rsid w:val="009B5116"/>
    <w:rsid w:val="009B6673"/>
    <w:rsid w:val="009C0A35"/>
    <w:rsid w:val="009C191B"/>
    <w:rsid w:val="009C20C9"/>
    <w:rsid w:val="009C2818"/>
    <w:rsid w:val="009C2BD6"/>
    <w:rsid w:val="009C47F6"/>
    <w:rsid w:val="009C51F2"/>
    <w:rsid w:val="009D105D"/>
    <w:rsid w:val="009D4B79"/>
    <w:rsid w:val="009D5A86"/>
    <w:rsid w:val="009D7CCD"/>
    <w:rsid w:val="009E08EB"/>
    <w:rsid w:val="009E17AE"/>
    <w:rsid w:val="009E1F32"/>
    <w:rsid w:val="009E2ADF"/>
    <w:rsid w:val="009E2F88"/>
    <w:rsid w:val="009E5E26"/>
    <w:rsid w:val="009E776C"/>
    <w:rsid w:val="009F0F76"/>
    <w:rsid w:val="009F2778"/>
    <w:rsid w:val="009F54B1"/>
    <w:rsid w:val="009F6777"/>
    <w:rsid w:val="00A00144"/>
    <w:rsid w:val="00A01D75"/>
    <w:rsid w:val="00A02FEE"/>
    <w:rsid w:val="00A03095"/>
    <w:rsid w:val="00A032B4"/>
    <w:rsid w:val="00A05137"/>
    <w:rsid w:val="00A069AB"/>
    <w:rsid w:val="00A07C2D"/>
    <w:rsid w:val="00A16F5E"/>
    <w:rsid w:val="00A17210"/>
    <w:rsid w:val="00A1726E"/>
    <w:rsid w:val="00A174C3"/>
    <w:rsid w:val="00A204CF"/>
    <w:rsid w:val="00A21E71"/>
    <w:rsid w:val="00A23795"/>
    <w:rsid w:val="00A23D49"/>
    <w:rsid w:val="00A27004"/>
    <w:rsid w:val="00A27DED"/>
    <w:rsid w:val="00A30815"/>
    <w:rsid w:val="00A30C29"/>
    <w:rsid w:val="00A3116B"/>
    <w:rsid w:val="00A31718"/>
    <w:rsid w:val="00A33094"/>
    <w:rsid w:val="00A349BC"/>
    <w:rsid w:val="00A34DD6"/>
    <w:rsid w:val="00A35765"/>
    <w:rsid w:val="00A35A54"/>
    <w:rsid w:val="00A365AC"/>
    <w:rsid w:val="00A365F2"/>
    <w:rsid w:val="00A36819"/>
    <w:rsid w:val="00A36989"/>
    <w:rsid w:val="00A41DB0"/>
    <w:rsid w:val="00A4238B"/>
    <w:rsid w:val="00A42760"/>
    <w:rsid w:val="00A43308"/>
    <w:rsid w:val="00A43628"/>
    <w:rsid w:val="00A45618"/>
    <w:rsid w:val="00A468DF"/>
    <w:rsid w:val="00A51EB8"/>
    <w:rsid w:val="00A52832"/>
    <w:rsid w:val="00A54192"/>
    <w:rsid w:val="00A55155"/>
    <w:rsid w:val="00A56457"/>
    <w:rsid w:val="00A57CA8"/>
    <w:rsid w:val="00A6035E"/>
    <w:rsid w:val="00A61078"/>
    <w:rsid w:val="00A6144C"/>
    <w:rsid w:val="00A624CA"/>
    <w:rsid w:val="00A628D9"/>
    <w:rsid w:val="00A649C1"/>
    <w:rsid w:val="00A652FF"/>
    <w:rsid w:val="00A65526"/>
    <w:rsid w:val="00A656EF"/>
    <w:rsid w:val="00A65742"/>
    <w:rsid w:val="00A65D29"/>
    <w:rsid w:val="00A66617"/>
    <w:rsid w:val="00A66671"/>
    <w:rsid w:val="00A66869"/>
    <w:rsid w:val="00A66E4B"/>
    <w:rsid w:val="00A671F8"/>
    <w:rsid w:val="00A673A4"/>
    <w:rsid w:val="00A67531"/>
    <w:rsid w:val="00A724AE"/>
    <w:rsid w:val="00A73329"/>
    <w:rsid w:val="00A74BC1"/>
    <w:rsid w:val="00A74E65"/>
    <w:rsid w:val="00A7505F"/>
    <w:rsid w:val="00A766DB"/>
    <w:rsid w:val="00A76D7B"/>
    <w:rsid w:val="00A77E82"/>
    <w:rsid w:val="00A81896"/>
    <w:rsid w:val="00A82359"/>
    <w:rsid w:val="00A82D2B"/>
    <w:rsid w:val="00A832A4"/>
    <w:rsid w:val="00A845D3"/>
    <w:rsid w:val="00A852D7"/>
    <w:rsid w:val="00A85F1F"/>
    <w:rsid w:val="00A865D2"/>
    <w:rsid w:val="00A876ED"/>
    <w:rsid w:val="00A90F6D"/>
    <w:rsid w:val="00A910C9"/>
    <w:rsid w:val="00A93353"/>
    <w:rsid w:val="00A94621"/>
    <w:rsid w:val="00A94C20"/>
    <w:rsid w:val="00A95CA5"/>
    <w:rsid w:val="00A96BFE"/>
    <w:rsid w:val="00A97022"/>
    <w:rsid w:val="00AA072C"/>
    <w:rsid w:val="00AA0B8F"/>
    <w:rsid w:val="00AA227F"/>
    <w:rsid w:val="00AA28EE"/>
    <w:rsid w:val="00AA3BC7"/>
    <w:rsid w:val="00AA49FE"/>
    <w:rsid w:val="00AA581D"/>
    <w:rsid w:val="00AA6034"/>
    <w:rsid w:val="00AA754A"/>
    <w:rsid w:val="00AB0005"/>
    <w:rsid w:val="00AB099E"/>
    <w:rsid w:val="00AB0CF1"/>
    <w:rsid w:val="00AB4328"/>
    <w:rsid w:val="00AB4B89"/>
    <w:rsid w:val="00AB5742"/>
    <w:rsid w:val="00AC0824"/>
    <w:rsid w:val="00AC15AC"/>
    <w:rsid w:val="00AC19B5"/>
    <w:rsid w:val="00AC306C"/>
    <w:rsid w:val="00AC36AD"/>
    <w:rsid w:val="00AC4BD8"/>
    <w:rsid w:val="00AC4CB4"/>
    <w:rsid w:val="00AC4EBF"/>
    <w:rsid w:val="00AC6339"/>
    <w:rsid w:val="00AC734C"/>
    <w:rsid w:val="00AD0348"/>
    <w:rsid w:val="00AD2329"/>
    <w:rsid w:val="00AD321E"/>
    <w:rsid w:val="00AD3C70"/>
    <w:rsid w:val="00AD412E"/>
    <w:rsid w:val="00AD4945"/>
    <w:rsid w:val="00AD57EB"/>
    <w:rsid w:val="00AD5840"/>
    <w:rsid w:val="00AD6026"/>
    <w:rsid w:val="00AE0A2E"/>
    <w:rsid w:val="00AE239E"/>
    <w:rsid w:val="00AE354C"/>
    <w:rsid w:val="00AE4255"/>
    <w:rsid w:val="00AE4848"/>
    <w:rsid w:val="00AE582B"/>
    <w:rsid w:val="00AE6D8F"/>
    <w:rsid w:val="00AF0ABE"/>
    <w:rsid w:val="00AF0D61"/>
    <w:rsid w:val="00AF3571"/>
    <w:rsid w:val="00AF4B07"/>
    <w:rsid w:val="00AF5CC8"/>
    <w:rsid w:val="00AF6186"/>
    <w:rsid w:val="00AF72E6"/>
    <w:rsid w:val="00AF7A3A"/>
    <w:rsid w:val="00B03A49"/>
    <w:rsid w:val="00B0496E"/>
    <w:rsid w:val="00B04BEB"/>
    <w:rsid w:val="00B076F6"/>
    <w:rsid w:val="00B129B7"/>
    <w:rsid w:val="00B14B4F"/>
    <w:rsid w:val="00B15E06"/>
    <w:rsid w:val="00B160DB"/>
    <w:rsid w:val="00B17A3A"/>
    <w:rsid w:val="00B20836"/>
    <w:rsid w:val="00B208F8"/>
    <w:rsid w:val="00B22B6C"/>
    <w:rsid w:val="00B22C43"/>
    <w:rsid w:val="00B235BB"/>
    <w:rsid w:val="00B24899"/>
    <w:rsid w:val="00B25727"/>
    <w:rsid w:val="00B26876"/>
    <w:rsid w:val="00B26C75"/>
    <w:rsid w:val="00B2751A"/>
    <w:rsid w:val="00B27A44"/>
    <w:rsid w:val="00B30BBF"/>
    <w:rsid w:val="00B31536"/>
    <w:rsid w:val="00B31EBD"/>
    <w:rsid w:val="00B33C03"/>
    <w:rsid w:val="00B34913"/>
    <w:rsid w:val="00B35A36"/>
    <w:rsid w:val="00B37B59"/>
    <w:rsid w:val="00B40B05"/>
    <w:rsid w:val="00B43757"/>
    <w:rsid w:val="00B44B4A"/>
    <w:rsid w:val="00B44E56"/>
    <w:rsid w:val="00B4542D"/>
    <w:rsid w:val="00B45B39"/>
    <w:rsid w:val="00B46543"/>
    <w:rsid w:val="00B47D33"/>
    <w:rsid w:val="00B47E82"/>
    <w:rsid w:val="00B501BB"/>
    <w:rsid w:val="00B50853"/>
    <w:rsid w:val="00B51694"/>
    <w:rsid w:val="00B5271E"/>
    <w:rsid w:val="00B52B95"/>
    <w:rsid w:val="00B52BE0"/>
    <w:rsid w:val="00B54133"/>
    <w:rsid w:val="00B554AD"/>
    <w:rsid w:val="00B5606C"/>
    <w:rsid w:val="00B60D8D"/>
    <w:rsid w:val="00B616D4"/>
    <w:rsid w:val="00B64B7D"/>
    <w:rsid w:val="00B6544D"/>
    <w:rsid w:val="00B66402"/>
    <w:rsid w:val="00B67314"/>
    <w:rsid w:val="00B701ED"/>
    <w:rsid w:val="00B72AF4"/>
    <w:rsid w:val="00B777C7"/>
    <w:rsid w:val="00B8086C"/>
    <w:rsid w:val="00B83BFA"/>
    <w:rsid w:val="00B8583E"/>
    <w:rsid w:val="00B861B4"/>
    <w:rsid w:val="00B86DFE"/>
    <w:rsid w:val="00B9068A"/>
    <w:rsid w:val="00B90990"/>
    <w:rsid w:val="00B922FF"/>
    <w:rsid w:val="00B92370"/>
    <w:rsid w:val="00B9281E"/>
    <w:rsid w:val="00B93797"/>
    <w:rsid w:val="00B93925"/>
    <w:rsid w:val="00B93ECF"/>
    <w:rsid w:val="00B942E4"/>
    <w:rsid w:val="00B95187"/>
    <w:rsid w:val="00B97016"/>
    <w:rsid w:val="00B97229"/>
    <w:rsid w:val="00B9776F"/>
    <w:rsid w:val="00BA0389"/>
    <w:rsid w:val="00BA244E"/>
    <w:rsid w:val="00BA2D55"/>
    <w:rsid w:val="00BA2D79"/>
    <w:rsid w:val="00BA6799"/>
    <w:rsid w:val="00BA7089"/>
    <w:rsid w:val="00BA71B1"/>
    <w:rsid w:val="00BB05B5"/>
    <w:rsid w:val="00BB0637"/>
    <w:rsid w:val="00BB21CE"/>
    <w:rsid w:val="00BB27C8"/>
    <w:rsid w:val="00BB345F"/>
    <w:rsid w:val="00BB4515"/>
    <w:rsid w:val="00BB68EA"/>
    <w:rsid w:val="00BC0728"/>
    <w:rsid w:val="00BC1C27"/>
    <w:rsid w:val="00BC37DD"/>
    <w:rsid w:val="00BC3A3C"/>
    <w:rsid w:val="00BC3E56"/>
    <w:rsid w:val="00BC4A8F"/>
    <w:rsid w:val="00BC5236"/>
    <w:rsid w:val="00BC6A28"/>
    <w:rsid w:val="00BC6BBF"/>
    <w:rsid w:val="00BC7C93"/>
    <w:rsid w:val="00BD11AC"/>
    <w:rsid w:val="00BD1572"/>
    <w:rsid w:val="00BD249E"/>
    <w:rsid w:val="00BD48B2"/>
    <w:rsid w:val="00BD70B3"/>
    <w:rsid w:val="00BE0069"/>
    <w:rsid w:val="00BE14E3"/>
    <w:rsid w:val="00BE1593"/>
    <w:rsid w:val="00BE1D79"/>
    <w:rsid w:val="00BE32AE"/>
    <w:rsid w:val="00BE3774"/>
    <w:rsid w:val="00BE398D"/>
    <w:rsid w:val="00BE41E5"/>
    <w:rsid w:val="00BE6435"/>
    <w:rsid w:val="00BE66E6"/>
    <w:rsid w:val="00BE6DDA"/>
    <w:rsid w:val="00BF0198"/>
    <w:rsid w:val="00BF14D7"/>
    <w:rsid w:val="00BF4065"/>
    <w:rsid w:val="00BF4109"/>
    <w:rsid w:val="00BF4CC3"/>
    <w:rsid w:val="00BF5020"/>
    <w:rsid w:val="00BF61DC"/>
    <w:rsid w:val="00BF6370"/>
    <w:rsid w:val="00BF7393"/>
    <w:rsid w:val="00C01A15"/>
    <w:rsid w:val="00C03EE3"/>
    <w:rsid w:val="00C054C7"/>
    <w:rsid w:val="00C057B5"/>
    <w:rsid w:val="00C05B6B"/>
    <w:rsid w:val="00C066C0"/>
    <w:rsid w:val="00C06E15"/>
    <w:rsid w:val="00C0709F"/>
    <w:rsid w:val="00C123CA"/>
    <w:rsid w:val="00C1262B"/>
    <w:rsid w:val="00C14E56"/>
    <w:rsid w:val="00C16620"/>
    <w:rsid w:val="00C17389"/>
    <w:rsid w:val="00C17953"/>
    <w:rsid w:val="00C20FB9"/>
    <w:rsid w:val="00C22687"/>
    <w:rsid w:val="00C24EBB"/>
    <w:rsid w:val="00C25EDE"/>
    <w:rsid w:val="00C260D3"/>
    <w:rsid w:val="00C32E4D"/>
    <w:rsid w:val="00C33397"/>
    <w:rsid w:val="00C333A0"/>
    <w:rsid w:val="00C33EC4"/>
    <w:rsid w:val="00C35955"/>
    <w:rsid w:val="00C36408"/>
    <w:rsid w:val="00C36696"/>
    <w:rsid w:val="00C36A81"/>
    <w:rsid w:val="00C37201"/>
    <w:rsid w:val="00C41052"/>
    <w:rsid w:val="00C41218"/>
    <w:rsid w:val="00C41974"/>
    <w:rsid w:val="00C42787"/>
    <w:rsid w:val="00C44F14"/>
    <w:rsid w:val="00C4600F"/>
    <w:rsid w:val="00C4638B"/>
    <w:rsid w:val="00C470C5"/>
    <w:rsid w:val="00C47391"/>
    <w:rsid w:val="00C51A49"/>
    <w:rsid w:val="00C51C31"/>
    <w:rsid w:val="00C52244"/>
    <w:rsid w:val="00C524C7"/>
    <w:rsid w:val="00C536E4"/>
    <w:rsid w:val="00C53F4A"/>
    <w:rsid w:val="00C53F8F"/>
    <w:rsid w:val="00C54125"/>
    <w:rsid w:val="00C546E5"/>
    <w:rsid w:val="00C55B54"/>
    <w:rsid w:val="00C5689D"/>
    <w:rsid w:val="00C57B74"/>
    <w:rsid w:val="00C6098E"/>
    <w:rsid w:val="00C611D8"/>
    <w:rsid w:val="00C6123E"/>
    <w:rsid w:val="00C6152C"/>
    <w:rsid w:val="00C6178D"/>
    <w:rsid w:val="00C62585"/>
    <w:rsid w:val="00C63990"/>
    <w:rsid w:val="00C64EF6"/>
    <w:rsid w:val="00C65050"/>
    <w:rsid w:val="00C745B1"/>
    <w:rsid w:val="00C74810"/>
    <w:rsid w:val="00C75152"/>
    <w:rsid w:val="00C75E75"/>
    <w:rsid w:val="00C77424"/>
    <w:rsid w:val="00C776BF"/>
    <w:rsid w:val="00C77B1A"/>
    <w:rsid w:val="00C77DF6"/>
    <w:rsid w:val="00C800F2"/>
    <w:rsid w:val="00C81FCE"/>
    <w:rsid w:val="00C83A64"/>
    <w:rsid w:val="00C8402D"/>
    <w:rsid w:val="00C85467"/>
    <w:rsid w:val="00C861B5"/>
    <w:rsid w:val="00C862FA"/>
    <w:rsid w:val="00C866A6"/>
    <w:rsid w:val="00C87522"/>
    <w:rsid w:val="00C90992"/>
    <w:rsid w:val="00C90CFA"/>
    <w:rsid w:val="00C90D68"/>
    <w:rsid w:val="00C939FE"/>
    <w:rsid w:val="00C94E77"/>
    <w:rsid w:val="00CA0FBB"/>
    <w:rsid w:val="00CA1B2E"/>
    <w:rsid w:val="00CA393E"/>
    <w:rsid w:val="00CA3F5F"/>
    <w:rsid w:val="00CA4BDA"/>
    <w:rsid w:val="00CA7BA4"/>
    <w:rsid w:val="00CB19D4"/>
    <w:rsid w:val="00CB1F66"/>
    <w:rsid w:val="00CB2951"/>
    <w:rsid w:val="00CB386F"/>
    <w:rsid w:val="00CB3872"/>
    <w:rsid w:val="00CB557A"/>
    <w:rsid w:val="00CB699A"/>
    <w:rsid w:val="00CB6F34"/>
    <w:rsid w:val="00CB722B"/>
    <w:rsid w:val="00CB72BD"/>
    <w:rsid w:val="00CB73EE"/>
    <w:rsid w:val="00CC19F8"/>
    <w:rsid w:val="00CC1E16"/>
    <w:rsid w:val="00CC37E3"/>
    <w:rsid w:val="00CC3FE5"/>
    <w:rsid w:val="00CC4062"/>
    <w:rsid w:val="00CC506F"/>
    <w:rsid w:val="00CC5FB8"/>
    <w:rsid w:val="00CC71E6"/>
    <w:rsid w:val="00CC7DEC"/>
    <w:rsid w:val="00CD282B"/>
    <w:rsid w:val="00CD3B06"/>
    <w:rsid w:val="00CD3B92"/>
    <w:rsid w:val="00CD3CA0"/>
    <w:rsid w:val="00CD3D87"/>
    <w:rsid w:val="00CD4C35"/>
    <w:rsid w:val="00CD5BEE"/>
    <w:rsid w:val="00CD7369"/>
    <w:rsid w:val="00CD7CDF"/>
    <w:rsid w:val="00CE0B0E"/>
    <w:rsid w:val="00CE0FC5"/>
    <w:rsid w:val="00CE31A8"/>
    <w:rsid w:val="00CE3831"/>
    <w:rsid w:val="00CF3329"/>
    <w:rsid w:val="00CF34EF"/>
    <w:rsid w:val="00CF6FAE"/>
    <w:rsid w:val="00D00ABB"/>
    <w:rsid w:val="00D01BBB"/>
    <w:rsid w:val="00D01D78"/>
    <w:rsid w:val="00D02EEC"/>
    <w:rsid w:val="00D03551"/>
    <w:rsid w:val="00D03F32"/>
    <w:rsid w:val="00D049D0"/>
    <w:rsid w:val="00D06A63"/>
    <w:rsid w:val="00D0723A"/>
    <w:rsid w:val="00D07E0E"/>
    <w:rsid w:val="00D100D2"/>
    <w:rsid w:val="00D10F43"/>
    <w:rsid w:val="00D11478"/>
    <w:rsid w:val="00D11DE5"/>
    <w:rsid w:val="00D12002"/>
    <w:rsid w:val="00D159B3"/>
    <w:rsid w:val="00D15ED0"/>
    <w:rsid w:val="00D16306"/>
    <w:rsid w:val="00D16BE9"/>
    <w:rsid w:val="00D20ACF"/>
    <w:rsid w:val="00D218D8"/>
    <w:rsid w:val="00D21B3E"/>
    <w:rsid w:val="00D21FED"/>
    <w:rsid w:val="00D235D6"/>
    <w:rsid w:val="00D238AF"/>
    <w:rsid w:val="00D23EE8"/>
    <w:rsid w:val="00D24251"/>
    <w:rsid w:val="00D250D7"/>
    <w:rsid w:val="00D3163B"/>
    <w:rsid w:val="00D320EB"/>
    <w:rsid w:val="00D32858"/>
    <w:rsid w:val="00D32FA6"/>
    <w:rsid w:val="00D343E2"/>
    <w:rsid w:val="00D35BC5"/>
    <w:rsid w:val="00D361A2"/>
    <w:rsid w:val="00D36BAC"/>
    <w:rsid w:val="00D37C1F"/>
    <w:rsid w:val="00D400D6"/>
    <w:rsid w:val="00D4016F"/>
    <w:rsid w:val="00D42AFF"/>
    <w:rsid w:val="00D4326E"/>
    <w:rsid w:val="00D43AD1"/>
    <w:rsid w:val="00D43D11"/>
    <w:rsid w:val="00D44C2E"/>
    <w:rsid w:val="00D45205"/>
    <w:rsid w:val="00D45414"/>
    <w:rsid w:val="00D4694E"/>
    <w:rsid w:val="00D475D6"/>
    <w:rsid w:val="00D47BDE"/>
    <w:rsid w:val="00D54CA7"/>
    <w:rsid w:val="00D54FC9"/>
    <w:rsid w:val="00D553C8"/>
    <w:rsid w:val="00D554AD"/>
    <w:rsid w:val="00D566BD"/>
    <w:rsid w:val="00D56F98"/>
    <w:rsid w:val="00D576CF"/>
    <w:rsid w:val="00D57A4D"/>
    <w:rsid w:val="00D602C2"/>
    <w:rsid w:val="00D60AA7"/>
    <w:rsid w:val="00D60CD9"/>
    <w:rsid w:val="00D621A8"/>
    <w:rsid w:val="00D6301F"/>
    <w:rsid w:val="00D63C1C"/>
    <w:rsid w:val="00D6435F"/>
    <w:rsid w:val="00D646ED"/>
    <w:rsid w:val="00D6478D"/>
    <w:rsid w:val="00D65C60"/>
    <w:rsid w:val="00D66C2E"/>
    <w:rsid w:val="00D70476"/>
    <w:rsid w:val="00D7332E"/>
    <w:rsid w:val="00D734F2"/>
    <w:rsid w:val="00D742BE"/>
    <w:rsid w:val="00D74B7B"/>
    <w:rsid w:val="00D75947"/>
    <w:rsid w:val="00D75E28"/>
    <w:rsid w:val="00D772C2"/>
    <w:rsid w:val="00D8008E"/>
    <w:rsid w:val="00D80826"/>
    <w:rsid w:val="00D82C45"/>
    <w:rsid w:val="00D8313A"/>
    <w:rsid w:val="00D87490"/>
    <w:rsid w:val="00D876FC"/>
    <w:rsid w:val="00D90121"/>
    <w:rsid w:val="00D908A8"/>
    <w:rsid w:val="00D91431"/>
    <w:rsid w:val="00D94010"/>
    <w:rsid w:val="00D957C1"/>
    <w:rsid w:val="00D95B03"/>
    <w:rsid w:val="00D963EA"/>
    <w:rsid w:val="00D977B6"/>
    <w:rsid w:val="00D97D26"/>
    <w:rsid w:val="00DA0045"/>
    <w:rsid w:val="00DA01FA"/>
    <w:rsid w:val="00DA28C0"/>
    <w:rsid w:val="00DA32D2"/>
    <w:rsid w:val="00DA33FB"/>
    <w:rsid w:val="00DA4A31"/>
    <w:rsid w:val="00DA4B0B"/>
    <w:rsid w:val="00DA6B0C"/>
    <w:rsid w:val="00DA7B04"/>
    <w:rsid w:val="00DB24FF"/>
    <w:rsid w:val="00DB2AD0"/>
    <w:rsid w:val="00DB3067"/>
    <w:rsid w:val="00DB31BA"/>
    <w:rsid w:val="00DB36C2"/>
    <w:rsid w:val="00DB3F24"/>
    <w:rsid w:val="00DB42D1"/>
    <w:rsid w:val="00DB62D8"/>
    <w:rsid w:val="00DC0DA8"/>
    <w:rsid w:val="00DC169B"/>
    <w:rsid w:val="00DC264B"/>
    <w:rsid w:val="00DC2AB9"/>
    <w:rsid w:val="00DC2F1D"/>
    <w:rsid w:val="00DC3EE1"/>
    <w:rsid w:val="00DC48C0"/>
    <w:rsid w:val="00DC4F14"/>
    <w:rsid w:val="00DC5D0A"/>
    <w:rsid w:val="00DC62E7"/>
    <w:rsid w:val="00DC63F0"/>
    <w:rsid w:val="00DD3628"/>
    <w:rsid w:val="00DD4AAB"/>
    <w:rsid w:val="00DD5146"/>
    <w:rsid w:val="00DD6B84"/>
    <w:rsid w:val="00DD6EE5"/>
    <w:rsid w:val="00DE194E"/>
    <w:rsid w:val="00DE1C58"/>
    <w:rsid w:val="00DE21AE"/>
    <w:rsid w:val="00DE386C"/>
    <w:rsid w:val="00DE3D67"/>
    <w:rsid w:val="00DE4687"/>
    <w:rsid w:val="00DE4D35"/>
    <w:rsid w:val="00DE7359"/>
    <w:rsid w:val="00DF098B"/>
    <w:rsid w:val="00DF11C4"/>
    <w:rsid w:val="00DF1E8C"/>
    <w:rsid w:val="00DF210C"/>
    <w:rsid w:val="00DF2B53"/>
    <w:rsid w:val="00DF4A44"/>
    <w:rsid w:val="00DF4B6A"/>
    <w:rsid w:val="00DF7202"/>
    <w:rsid w:val="00DF77EF"/>
    <w:rsid w:val="00DF7C4F"/>
    <w:rsid w:val="00DF7D19"/>
    <w:rsid w:val="00E00288"/>
    <w:rsid w:val="00E002AD"/>
    <w:rsid w:val="00E0032B"/>
    <w:rsid w:val="00E01054"/>
    <w:rsid w:val="00E01E65"/>
    <w:rsid w:val="00E023FA"/>
    <w:rsid w:val="00E02C09"/>
    <w:rsid w:val="00E04D59"/>
    <w:rsid w:val="00E07DA1"/>
    <w:rsid w:val="00E123CB"/>
    <w:rsid w:val="00E14F51"/>
    <w:rsid w:val="00E1526D"/>
    <w:rsid w:val="00E173A1"/>
    <w:rsid w:val="00E17E9D"/>
    <w:rsid w:val="00E20E13"/>
    <w:rsid w:val="00E21DBC"/>
    <w:rsid w:val="00E21F49"/>
    <w:rsid w:val="00E21FCC"/>
    <w:rsid w:val="00E23AC5"/>
    <w:rsid w:val="00E24B06"/>
    <w:rsid w:val="00E25620"/>
    <w:rsid w:val="00E25652"/>
    <w:rsid w:val="00E26004"/>
    <w:rsid w:val="00E264BE"/>
    <w:rsid w:val="00E275D7"/>
    <w:rsid w:val="00E27D7E"/>
    <w:rsid w:val="00E27DBE"/>
    <w:rsid w:val="00E325B4"/>
    <w:rsid w:val="00E32AAE"/>
    <w:rsid w:val="00E32AB1"/>
    <w:rsid w:val="00E34DAD"/>
    <w:rsid w:val="00E35F2D"/>
    <w:rsid w:val="00E36154"/>
    <w:rsid w:val="00E363D7"/>
    <w:rsid w:val="00E365DA"/>
    <w:rsid w:val="00E366C4"/>
    <w:rsid w:val="00E36C71"/>
    <w:rsid w:val="00E4026F"/>
    <w:rsid w:val="00E40404"/>
    <w:rsid w:val="00E40595"/>
    <w:rsid w:val="00E44E32"/>
    <w:rsid w:val="00E4529A"/>
    <w:rsid w:val="00E45301"/>
    <w:rsid w:val="00E459C6"/>
    <w:rsid w:val="00E460D0"/>
    <w:rsid w:val="00E47589"/>
    <w:rsid w:val="00E51517"/>
    <w:rsid w:val="00E51970"/>
    <w:rsid w:val="00E52AC3"/>
    <w:rsid w:val="00E52D18"/>
    <w:rsid w:val="00E54A8A"/>
    <w:rsid w:val="00E550CC"/>
    <w:rsid w:val="00E5520C"/>
    <w:rsid w:val="00E55A32"/>
    <w:rsid w:val="00E55AF8"/>
    <w:rsid w:val="00E57BA0"/>
    <w:rsid w:val="00E6416D"/>
    <w:rsid w:val="00E64915"/>
    <w:rsid w:val="00E661D4"/>
    <w:rsid w:val="00E6672A"/>
    <w:rsid w:val="00E67093"/>
    <w:rsid w:val="00E70091"/>
    <w:rsid w:val="00E720F5"/>
    <w:rsid w:val="00E737BF"/>
    <w:rsid w:val="00E74E59"/>
    <w:rsid w:val="00E75948"/>
    <w:rsid w:val="00E7596E"/>
    <w:rsid w:val="00E7684E"/>
    <w:rsid w:val="00E76D47"/>
    <w:rsid w:val="00E771EA"/>
    <w:rsid w:val="00E77B74"/>
    <w:rsid w:val="00E77CB3"/>
    <w:rsid w:val="00E80727"/>
    <w:rsid w:val="00E80D88"/>
    <w:rsid w:val="00E80F9F"/>
    <w:rsid w:val="00E80FAE"/>
    <w:rsid w:val="00E81278"/>
    <w:rsid w:val="00E815DC"/>
    <w:rsid w:val="00E83A4D"/>
    <w:rsid w:val="00E84032"/>
    <w:rsid w:val="00E8455C"/>
    <w:rsid w:val="00E849F7"/>
    <w:rsid w:val="00E85B68"/>
    <w:rsid w:val="00E90302"/>
    <w:rsid w:val="00E95A3E"/>
    <w:rsid w:val="00E9664B"/>
    <w:rsid w:val="00E9674D"/>
    <w:rsid w:val="00E97396"/>
    <w:rsid w:val="00E97CB0"/>
    <w:rsid w:val="00EA185E"/>
    <w:rsid w:val="00EA2B4A"/>
    <w:rsid w:val="00EA2C73"/>
    <w:rsid w:val="00EA32F8"/>
    <w:rsid w:val="00EA3F63"/>
    <w:rsid w:val="00EA402D"/>
    <w:rsid w:val="00EA592A"/>
    <w:rsid w:val="00EA6061"/>
    <w:rsid w:val="00EA6742"/>
    <w:rsid w:val="00EB14E4"/>
    <w:rsid w:val="00EB21FA"/>
    <w:rsid w:val="00EB2F05"/>
    <w:rsid w:val="00EB32A5"/>
    <w:rsid w:val="00EB32C8"/>
    <w:rsid w:val="00EB34ED"/>
    <w:rsid w:val="00EB4E5C"/>
    <w:rsid w:val="00EB7BE0"/>
    <w:rsid w:val="00EB7E63"/>
    <w:rsid w:val="00EC1599"/>
    <w:rsid w:val="00EC306D"/>
    <w:rsid w:val="00EC315E"/>
    <w:rsid w:val="00EC4990"/>
    <w:rsid w:val="00EC5DE0"/>
    <w:rsid w:val="00EC6D2D"/>
    <w:rsid w:val="00EC77E2"/>
    <w:rsid w:val="00ED077C"/>
    <w:rsid w:val="00ED0984"/>
    <w:rsid w:val="00ED1190"/>
    <w:rsid w:val="00ED2456"/>
    <w:rsid w:val="00ED4DC6"/>
    <w:rsid w:val="00ED5166"/>
    <w:rsid w:val="00ED5A04"/>
    <w:rsid w:val="00ED6544"/>
    <w:rsid w:val="00ED6C5E"/>
    <w:rsid w:val="00ED7A10"/>
    <w:rsid w:val="00EE0277"/>
    <w:rsid w:val="00EE0AC2"/>
    <w:rsid w:val="00EE2369"/>
    <w:rsid w:val="00EE2791"/>
    <w:rsid w:val="00EE3E00"/>
    <w:rsid w:val="00EE5DD2"/>
    <w:rsid w:val="00EF0A2E"/>
    <w:rsid w:val="00EF16D5"/>
    <w:rsid w:val="00EF506A"/>
    <w:rsid w:val="00EF5E91"/>
    <w:rsid w:val="00EF63C2"/>
    <w:rsid w:val="00EF7377"/>
    <w:rsid w:val="00F00A79"/>
    <w:rsid w:val="00F00D59"/>
    <w:rsid w:val="00F00E86"/>
    <w:rsid w:val="00F04217"/>
    <w:rsid w:val="00F04D0B"/>
    <w:rsid w:val="00F05312"/>
    <w:rsid w:val="00F05348"/>
    <w:rsid w:val="00F06850"/>
    <w:rsid w:val="00F07C1E"/>
    <w:rsid w:val="00F105DB"/>
    <w:rsid w:val="00F1181F"/>
    <w:rsid w:val="00F12292"/>
    <w:rsid w:val="00F12A5B"/>
    <w:rsid w:val="00F132BC"/>
    <w:rsid w:val="00F13D80"/>
    <w:rsid w:val="00F162A1"/>
    <w:rsid w:val="00F16AAA"/>
    <w:rsid w:val="00F17313"/>
    <w:rsid w:val="00F2042D"/>
    <w:rsid w:val="00F21161"/>
    <w:rsid w:val="00F218EF"/>
    <w:rsid w:val="00F21BC7"/>
    <w:rsid w:val="00F22B7A"/>
    <w:rsid w:val="00F255C3"/>
    <w:rsid w:val="00F25CCF"/>
    <w:rsid w:val="00F266A2"/>
    <w:rsid w:val="00F26773"/>
    <w:rsid w:val="00F2691C"/>
    <w:rsid w:val="00F319FB"/>
    <w:rsid w:val="00F32269"/>
    <w:rsid w:val="00F327C3"/>
    <w:rsid w:val="00F32839"/>
    <w:rsid w:val="00F32D92"/>
    <w:rsid w:val="00F338E6"/>
    <w:rsid w:val="00F41A90"/>
    <w:rsid w:val="00F41B57"/>
    <w:rsid w:val="00F42F11"/>
    <w:rsid w:val="00F434B9"/>
    <w:rsid w:val="00F436B9"/>
    <w:rsid w:val="00F43886"/>
    <w:rsid w:val="00F45550"/>
    <w:rsid w:val="00F45EC2"/>
    <w:rsid w:val="00F51314"/>
    <w:rsid w:val="00F52CA2"/>
    <w:rsid w:val="00F54211"/>
    <w:rsid w:val="00F56A6F"/>
    <w:rsid w:val="00F5709C"/>
    <w:rsid w:val="00F60269"/>
    <w:rsid w:val="00F611B1"/>
    <w:rsid w:val="00F62828"/>
    <w:rsid w:val="00F63E93"/>
    <w:rsid w:val="00F64EF1"/>
    <w:rsid w:val="00F666F3"/>
    <w:rsid w:val="00F672CC"/>
    <w:rsid w:val="00F73946"/>
    <w:rsid w:val="00F73B5D"/>
    <w:rsid w:val="00F75434"/>
    <w:rsid w:val="00F75854"/>
    <w:rsid w:val="00F758A2"/>
    <w:rsid w:val="00F75CE9"/>
    <w:rsid w:val="00F766EC"/>
    <w:rsid w:val="00F76FA3"/>
    <w:rsid w:val="00F80DD5"/>
    <w:rsid w:val="00F841EE"/>
    <w:rsid w:val="00F86D9E"/>
    <w:rsid w:val="00F86DAC"/>
    <w:rsid w:val="00F873AF"/>
    <w:rsid w:val="00F8765F"/>
    <w:rsid w:val="00F90767"/>
    <w:rsid w:val="00F93EF7"/>
    <w:rsid w:val="00F96241"/>
    <w:rsid w:val="00FA1E8B"/>
    <w:rsid w:val="00FA362E"/>
    <w:rsid w:val="00FA4B0F"/>
    <w:rsid w:val="00FA53CF"/>
    <w:rsid w:val="00FA685B"/>
    <w:rsid w:val="00FB0C01"/>
    <w:rsid w:val="00FB146C"/>
    <w:rsid w:val="00FB1E83"/>
    <w:rsid w:val="00FB2B45"/>
    <w:rsid w:val="00FB52E5"/>
    <w:rsid w:val="00FB5711"/>
    <w:rsid w:val="00FC034F"/>
    <w:rsid w:val="00FC0841"/>
    <w:rsid w:val="00FC18F2"/>
    <w:rsid w:val="00FC1C98"/>
    <w:rsid w:val="00FC1CB6"/>
    <w:rsid w:val="00FC2B87"/>
    <w:rsid w:val="00FC33E0"/>
    <w:rsid w:val="00FC39E5"/>
    <w:rsid w:val="00FC3A78"/>
    <w:rsid w:val="00FC4C9D"/>
    <w:rsid w:val="00FD1005"/>
    <w:rsid w:val="00FD1B80"/>
    <w:rsid w:val="00FD212C"/>
    <w:rsid w:val="00FD43A4"/>
    <w:rsid w:val="00FD683C"/>
    <w:rsid w:val="00FD6C75"/>
    <w:rsid w:val="00FE0962"/>
    <w:rsid w:val="00FE1731"/>
    <w:rsid w:val="00FE1F21"/>
    <w:rsid w:val="00FE2F53"/>
    <w:rsid w:val="00FE46F0"/>
    <w:rsid w:val="00FE49E3"/>
    <w:rsid w:val="00FE6A8F"/>
    <w:rsid w:val="00FE71B3"/>
    <w:rsid w:val="00FE7B93"/>
    <w:rsid w:val="00FF0073"/>
    <w:rsid w:val="00FF13A6"/>
    <w:rsid w:val="00FF1780"/>
    <w:rsid w:val="00FF245F"/>
    <w:rsid w:val="00FF27D8"/>
    <w:rsid w:val="00FF2AE9"/>
    <w:rsid w:val="00FF42C5"/>
    <w:rsid w:val="00FF535F"/>
    <w:rsid w:val="00FF6C8B"/>
    <w:rsid w:val="00FF753F"/>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76C60"/>
    <w:pPr>
      <w:jc w:val="both"/>
    </w:pPr>
    <w:rPr>
      <w:rFonts w:eastAsiaTheme="minorEastAsia"/>
      <w:sz w:val="24"/>
    </w:rPr>
  </w:style>
  <w:style w:type="paragraph" w:styleId="Heading1">
    <w:name w:val="heading 1"/>
    <w:basedOn w:val="Normal"/>
    <w:next w:val="Normal"/>
    <w:link w:val="Heading1Char"/>
    <w:uiPriority w:val="99"/>
    <w:semiHidden/>
    <w:rsid w:val="00276C6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76C6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76C6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76C6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76C60"/>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276C6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76C60"/>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276C6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276C6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6C60"/>
    <w:rPr>
      <w:rFonts w:ascii="Tahoma" w:hAnsi="Tahoma" w:cs="Tahoma"/>
      <w:sz w:val="16"/>
      <w:szCs w:val="16"/>
    </w:rPr>
  </w:style>
  <w:style w:type="character" w:customStyle="1" w:styleId="BalloonTextChar">
    <w:name w:val="Balloon Text Char"/>
    <w:basedOn w:val="DefaultParagraphFont"/>
    <w:link w:val="BalloonText"/>
    <w:uiPriority w:val="99"/>
    <w:semiHidden/>
    <w:rsid w:val="00276C60"/>
    <w:rPr>
      <w:rFonts w:ascii="Tahoma" w:eastAsiaTheme="minorEastAsia" w:hAnsi="Tahoma" w:cs="Tahoma"/>
      <w:sz w:val="16"/>
      <w:szCs w:val="16"/>
    </w:rPr>
  </w:style>
  <w:style w:type="character" w:styleId="BookTitle">
    <w:name w:val="Book Title"/>
    <w:uiPriority w:val="99"/>
    <w:semiHidden/>
    <w:qFormat/>
    <w:rsid w:val="00276C60"/>
    <w:rPr>
      <w:i/>
      <w:iCs/>
      <w:smallCaps/>
      <w:spacing w:val="5"/>
    </w:rPr>
  </w:style>
  <w:style w:type="paragraph" w:customStyle="1" w:styleId="ECHRHeader">
    <w:name w:val="ECHR_Header"/>
    <w:aliases w:val="Ju_Header"/>
    <w:basedOn w:val="Header"/>
    <w:uiPriority w:val="4"/>
    <w:qFormat/>
    <w:rsid w:val="00276C60"/>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276C60"/>
    <w:pPr>
      <w:jc w:val="left"/>
    </w:pPr>
    <w:rPr>
      <w:sz w:val="8"/>
    </w:rPr>
  </w:style>
  <w:style w:type="character" w:styleId="Strong">
    <w:name w:val="Strong"/>
    <w:uiPriority w:val="99"/>
    <w:semiHidden/>
    <w:qFormat/>
    <w:rsid w:val="00276C60"/>
    <w:rPr>
      <w:b/>
      <w:bCs/>
    </w:rPr>
  </w:style>
  <w:style w:type="paragraph" w:styleId="NoSpacing">
    <w:name w:val="No Spacing"/>
    <w:basedOn w:val="Normal"/>
    <w:link w:val="NoSpacingChar"/>
    <w:semiHidden/>
    <w:qFormat/>
    <w:rsid w:val="00276C60"/>
  </w:style>
  <w:style w:type="character" w:customStyle="1" w:styleId="NoSpacingChar">
    <w:name w:val="No Spacing Char"/>
    <w:basedOn w:val="DefaultParagraphFont"/>
    <w:link w:val="NoSpacing"/>
    <w:semiHidden/>
    <w:rsid w:val="00276C60"/>
    <w:rPr>
      <w:rFonts w:eastAsiaTheme="minorEastAsia"/>
      <w:sz w:val="24"/>
    </w:rPr>
  </w:style>
  <w:style w:type="paragraph" w:customStyle="1" w:styleId="ECHRFooterLine">
    <w:name w:val="ECHR_Footer_Line"/>
    <w:aliases w:val="Footer_Line"/>
    <w:basedOn w:val="Normal"/>
    <w:next w:val="ECHRFooter"/>
    <w:uiPriority w:val="57"/>
    <w:semiHidden/>
    <w:rsid w:val="00276C6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276C60"/>
    <w:pPr>
      <w:numPr>
        <w:numId w:val="16"/>
      </w:numPr>
      <w:jc w:val="left"/>
    </w:pPr>
    <w:rPr>
      <w:b/>
    </w:rPr>
  </w:style>
  <w:style w:type="paragraph" w:customStyle="1" w:styleId="OpiPara">
    <w:name w:val="Opi_Para"/>
    <w:basedOn w:val="ECHRPara"/>
    <w:uiPriority w:val="46"/>
    <w:semiHidden/>
    <w:qFormat/>
    <w:rsid w:val="00276C60"/>
  </w:style>
  <w:style w:type="paragraph" w:customStyle="1" w:styleId="JuParaSub">
    <w:name w:val="Ju_Para_Sub"/>
    <w:basedOn w:val="ECHRPara"/>
    <w:uiPriority w:val="13"/>
    <w:qFormat/>
    <w:rsid w:val="00276C60"/>
    <w:pPr>
      <w:ind w:left="284"/>
    </w:pPr>
  </w:style>
  <w:style w:type="paragraph" w:customStyle="1" w:styleId="ECHRTitleCentre3">
    <w:name w:val="ECHR_Title_Centre_3"/>
    <w:aliases w:val="Ju_H_Article"/>
    <w:basedOn w:val="Normal"/>
    <w:next w:val="ECHRParaQuote"/>
    <w:uiPriority w:val="27"/>
    <w:qFormat/>
    <w:rsid w:val="00276C6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276C60"/>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276C60"/>
  </w:style>
  <w:style w:type="paragraph" w:customStyle="1" w:styleId="OpiQuot">
    <w:name w:val="Opi_Quot"/>
    <w:basedOn w:val="ECHRParaQuote"/>
    <w:uiPriority w:val="48"/>
    <w:semiHidden/>
    <w:qFormat/>
    <w:rsid w:val="00276C60"/>
  </w:style>
  <w:style w:type="paragraph" w:customStyle="1" w:styleId="OpiQuotSub">
    <w:name w:val="Opi_Quot_Sub"/>
    <w:basedOn w:val="JuQuotSub"/>
    <w:uiPriority w:val="49"/>
    <w:semiHidden/>
    <w:qFormat/>
    <w:rsid w:val="00276C60"/>
  </w:style>
  <w:style w:type="paragraph" w:customStyle="1" w:styleId="ECHRTitleCentre2">
    <w:name w:val="ECHR_Title_Centre_2"/>
    <w:aliases w:val="Dec_H_Case"/>
    <w:basedOn w:val="Normal"/>
    <w:next w:val="ECHRPara"/>
    <w:uiPriority w:val="8"/>
    <w:qFormat/>
    <w:rsid w:val="00276C60"/>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276C60"/>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276C6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276C60"/>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276C60"/>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276C60"/>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276C60"/>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76C60"/>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276C60"/>
    <w:pPr>
      <w:keepNext/>
      <w:keepLines/>
      <w:spacing w:before="240" w:after="120"/>
      <w:ind w:left="1236"/>
    </w:pPr>
    <w:rPr>
      <w:sz w:val="20"/>
    </w:rPr>
  </w:style>
  <w:style w:type="paragraph" w:customStyle="1" w:styleId="JuQuotSub">
    <w:name w:val="Ju_Quot_Sub"/>
    <w:basedOn w:val="ECHRParaQuote"/>
    <w:uiPriority w:val="15"/>
    <w:qFormat/>
    <w:rsid w:val="00276C60"/>
    <w:pPr>
      <w:ind w:left="567"/>
    </w:pPr>
  </w:style>
  <w:style w:type="paragraph" w:customStyle="1" w:styleId="JuInitialled">
    <w:name w:val="Ju_Initialled"/>
    <w:basedOn w:val="Normal"/>
    <w:uiPriority w:val="31"/>
    <w:qFormat/>
    <w:rsid w:val="00276C60"/>
    <w:pPr>
      <w:tabs>
        <w:tab w:val="center" w:pos="6407"/>
      </w:tabs>
      <w:spacing w:before="720"/>
      <w:jc w:val="right"/>
    </w:pPr>
  </w:style>
  <w:style w:type="paragraph" w:customStyle="1" w:styleId="OpiHA">
    <w:name w:val="Opi_H_A"/>
    <w:basedOn w:val="ECHRHeading1"/>
    <w:next w:val="OpiPara"/>
    <w:uiPriority w:val="41"/>
    <w:semiHidden/>
    <w:qFormat/>
    <w:rsid w:val="00276C60"/>
    <w:pPr>
      <w:tabs>
        <w:tab w:val="clear" w:pos="357"/>
      </w:tabs>
      <w:outlineLvl w:val="1"/>
    </w:pPr>
    <w:rPr>
      <w:b/>
    </w:rPr>
  </w:style>
  <w:style w:type="paragraph" w:styleId="Header">
    <w:name w:val="header"/>
    <w:basedOn w:val="Normal"/>
    <w:link w:val="HeaderChar"/>
    <w:uiPriority w:val="57"/>
    <w:semiHidden/>
    <w:rsid w:val="00276C60"/>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276C60"/>
    <w:rPr>
      <w:sz w:val="24"/>
    </w:rPr>
  </w:style>
  <w:style w:type="character" w:customStyle="1" w:styleId="Heading1Char">
    <w:name w:val="Heading 1 Char"/>
    <w:basedOn w:val="DefaultParagraphFont"/>
    <w:link w:val="Heading1"/>
    <w:uiPriority w:val="99"/>
    <w:semiHidden/>
    <w:rsid w:val="00276C60"/>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276C60"/>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uiPriority w:val="20"/>
    <w:qFormat/>
    <w:rsid w:val="00276C60"/>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276C60"/>
    <w:rPr>
      <w:rFonts w:asciiTheme="majorHAnsi" w:eastAsiaTheme="majorEastAsia" w:hAnsiTheme="majorHAnsi" w:cstheme="majorBidi"/>
      <w:b/>
      <w:bCs/>
      <w:color w:val="4D4D4D"/>
      <w:sz w:val="26"/>
      <w:szCs w:val="26"/>
    </w:rPr>
  </w:style>
  <w:style w:type="character" w:customStyle="1" w:styleId="JUNAMES">
    <w:name w:val="JU_NAMES"/>
    <w:uiPriority w:val="17"/>
    <w:qFormat/>
    <w:rsid w:val="00276C60"/>
    <w:rPr>
      <w:caps w:val="0"/>
      <w:smallCaps/>
    </w:rPr>
  </w:style>
  <w:style w:type="paragraph" w:customStyle="1" w:styleId="ECHRDecisionBody">
    <w:name w:val="ECHR_Decision_Body"/>
    <w:aliases w:val="Ju_Judges"/>
    <w:basedOn w:val="Normal"/>
    <w:uiPriority w:val="11"/>
    <w:qFormat/>
    <w:rsid w:val="00276C60"/>
    <w:pPr>
      <w:tabs>
        <w:tab w:val="left" w:pos="567"/>
        <w:tab w:val="left" w:pos="1134"/>
      </w:tabs>
      <w:jc w:val="left"/>
    </w:pPr>
  </w:style>
  <w:style w:type="character" w:customStyle="1" w:styleId="Heading3Char">
    <w:name w:val="Heading 3 Char"/>
    <w:basedOn w:val="DefaultParagraphFont"/>
    <w:link w:val="Heading3"/>
    <w:uiPriority w:val="99"/>
    <w:semiHidden/>
    <w:rsid w:val="00276C60"/>
    <w:rPr>
      <w:rFonts w:asciiTheme="majorHAnsi" w:eastAsiaTheme="majorEastAsia" w:hAnsiTheme="majorHAnsi" w:cstheme="majorBidi"/>
      <w:b/>
      <w:bCs/>
      <w:color w:val="5F5F5F"/>
      <w:sz w:val="24"/>
    </w:rPr>
  </w:style>
  <w:style w:type="paragraph" w:customStyle="1" w:styleId="ECHRPara">
    <w:name w:val="ECHR_Para"/>
    <w:aliases w:val="Ju_Para,Left,First line:  0 cm"/>
    <w:basedOn w:val="Normal"/>
    <w:link w:val="ECHRParaChar"/>
    <w:qFormat/>
    <w:rsid w:val="00276C60"/>
    <w:pPr>
      <w:ind w:firstLine="284"/>
    </w:pPr>
  </w:style>
  <w:style w:type="character" w:customStyle="1" w:styleId="Heading4Char">
    <w:name w:val="Heading 4 Char"/>
    <w:basedOn w:val="DefaultParagraphFont"/>
    <w:link w:val="Heading4"/>
    <w:uiPriority w:val="99"/>
    <w:semiHidden/>
    <w:rsid w:val="00276C60"/>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276C60"/>
    <w:rPr>
      <w:rFonts w:asciiTheme="majorHAnsi" w:eastAsiaTheme="majorEastAsia" w:hAnsiTheme="majorHAnsi" w:cstheme="majorBidi"/>
      <w:b/>
      <w:bCs/>
      <w:color w:val="808080"/>
      <w:sz w:val="24"/>
    </w:rPr>
  </w:style>
  <w:style w:type="character" w:styleId="SubtleEmphasis">
    <w:name w:val="Subtle Emphasis"/>
    <w:uiPriority w:val="99"/>
    <w:semiHidden/>
    <w:qFormat/>
    <w:rsid w:val="00276C60"/>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Title_L_1"/>
    <w:basedOn w:val="Normal"/>
    <w:next w:val="ECHRPara"/>
    <w:uiPriority w:val="18"/>
    <w:qFormat/>
    <w:rsid w:val="00276C60"/>
    <w:pPr>
      <w:keepNext/>
      <w:keepLines/>
      <w:spacing w:before="720" w:after="240"/>
      <w:outlineLvl w:val="0"/>
    </w:pPr>
    <w:rPr>
      <w:rFonts w:asciiTheme="majorHAnsi" w:hAnsiTheme="majorHAnsi"/>
      <w:sz w:val="28"/>
    </w:rPr>
  </w:style>
  <w:style w:type="character" w:styleId="Emphasis">
    <w:name w:val="Emphasis"/>
    <w:uiPriority w:val="99"/>
    <w:semiHidden/>
    <w:qFormat/>
    <w:rsid w:val="00276C60"/>
    <w:rPr>
      <w:b/>
      <w:bCs/>
      <w:i/>
      <w:iCs/>
      <w:spacing w:val="10"/>
      <w:bdr w:val="none" w:sz="0" w:space="0" w:color="auto"/>
      <w:shd w:val="clear" w:color="auto" w:fill="auto"/>
    </w:rPr>
  </w:style>
  <w:style w:type="paragraph" w:styleId="Footer">
    <w:name w:val="footer"/>
    <w:basedOn w:val="Normal"/>
    <w:link w:val="FooterChar"/>
    <w:uiPriority w:val="57"/>
    <w:semiHidden/>
    <w:rsid w:val="00276C6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276C60"/>
    <w:rPr>
      <w:sz w:val="24"/>
    </w:rPr>
  </w:style>
  <w:style w:type="character" w:styleId="FootnoteReference">
    <w:name w:val="footnote reference"/>
    <w:basedOn w:val="DefaultParagraphFont"/>
    <w:uiPriority w:val="99"/>
    <w:semiHidden/>
    <w:rsid w:val="00276C60"/>
    <w:rPr>
      <w:vertAlign w:val="superscript"/>
    </w:rPr>
  </w:style>
  <w:style w:type="paragraph" w:styleId="FootnoteText">
    <w:name w:val="footnote text"/>
    <w:basedOn w:val="Normal"/>
    <w:link w:val="FootnoteTextChar"/>
    <w:uiPriority w:val="99"/>
    <w:semiHidden/>
    <w:rsid w:val="00276C60"/>
    <w:rPr>
      <w:sz w:val="20"/>
      <w:szCs w:val="20"/>
    </w:rPr>
  </w:style>
  <w:style w:type="character" w:customStyle="1" w:styleId="FootnoteTextChar">
    <w:name w:val="Footnote Text Char"/>
    <w:basedOn w:val="DefaultParagraphFont"/>
    <w:link w:val="FootnoteText"/>
    <w:uiPriority w:val="99"/>
    <w:semiHidden/>
    <w:rsid w:val="00276C60"/>
    <w:rPr>
      <w:rFonts w:eastAsiaTheme="minorEastAsia"/>
      <w:sz w:val="20"/>
      <w:szCs w:val="20"/>
    </w:rPr>
  </w:style>
  <w:style w:type="character" w:customStyle="1" w:styleId="Heading6Char">
    <w:name w:val="Heading 6 Char"/>
    <w:basedOn w:val="DefaultParagraphFont"/>
    <w:link w:val="Heading6"/>
    <w:uiPriority w:val="99"/>
    <w:semiHidden/>
    <w:rsid w:val="00276C60"/>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276C60"/>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276C6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276C60"/>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276C60"/>
    <w:rPr>
      <w:color w:val="0072BC" w:themeColor="hyperlink"/>
      <w:u w:val="single"/>
    </w:rPr>
  </w:style>
  <w:style w:type="character" w:styleId="IntenseEmphasis">
    <w:name w:val="Intense Emphasis"/>
    <w:uiPriority w:val="99"/>
    <w:semiHidden/>
    <w:qFormat/>
    <w:rsid w:val="00276C60"/>
    <w:rPr>
      <w:b/>
      <w:bCs/>
    </w:rPr>
  </w:style>
  <w:style w:type="paragraph" w:styleId="IntenseQuote">
    <w:name w:val="Intense Quote"/>
    <w:basedOn w:val="Normal"/>
    <w:next w:val="Normal"/>
    <w:link w:val="IntenseQuoteChar"/>
    <w:uiPriority w:val="99"/>
    <w:semiHidden/>
    <w:qFormat/>
    <w:rsid w:val="00276C6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276C60"/>
    <w:rPr>
      <w:rFonts w:eastAsiaTheme="minorEastAsia"/>
      <w:b/>
      <w:bCs/>
      <w:i/>
      <w:iCs/>
      <w:sz w:val="24"/>
      <w:lang w:bidi="en-US"/>
    </w:rPr>
  </w:style>
  <w:style w:type="character" w:styleId="IntenseReference">
    <w:name w:val="Intense Reference"/>
    <w:uiPriority w:val="99"/>
    <w:semiHidden/>
    <w:qFormat/>
    <w:rsid w:val="00276C60"/>
    <w:rPr>
      <w:smallCaps/>
      <w:spacing w:val="5"/>
      <w:u w:val="single"/>
    </w:rPr>
  </w:style>
  <w:style w:type="paragraph" w:styleId="ListParagraph">
    <w:name w:val="List Paragraph"/>
    <w:basedOn w:val="Normal"/>
    <w:uiPriority w:val="99"/>
    <w:semiHidden/>
    <w:qFormat/>
    <w:rsid w:val="00276C60"/>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276C60"/>
    <w:pPr>
      <w:spacing w:before="200"/>
      <w:ind w:left="360" w:right="360"/>
    </w:pPr>
    <w:rPr>
      <w:i/>
      <w:iCs/>
      <w:lang w:bidi="en-US"/>
    </w:rPr>
  </w:style>
  <w:style w:type="character" w:customStyle="1" w:styleId="QuoteChar">
    <w:name w:val="Quote Char"/>
    <w:basedOn w:val="DefaultParagraphFont"/>
    <w:link w:val="Quote"/>
    <w:uiPriority w:val="99"/>
    <w:semiHidden/>
    <w:rsid w:val="00276C60"/>
    <w:rPr>
      <w:rFonts w:eastAsiaTheme="minorEastAsia"/>
      <w:i/>
      <w:iCs/>
      <w:sz w:val="24"/>
      <w:lang w:bidi="en-US"/>
    </w:rPr>
  </w:style>
  <w:style w:type="character" w:styleId="SubtleReference">
    <w:name w:val="Subtle Reference"/>
    <w:uiPriority w:val="99"/>
    <w:semiHidden/>
    <w:qFormat/>
    <w:rsid w:val="00276C60"/>
    <w:rPr>
      <w:smallCaps/>
    </w:rPr>
  </w:style>
  <w:style w:type="table" w:styleId="TableGrid">
    <w:name w:val="Table Grid"/>
    <w:basedOn w:val="TableNormal"/>
    <w:uiPriority w:val="59"/>
    <w:rsid w:val="00276C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276C60"/>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276C60"/>
    <w:pPr>
      <w:spacing w:after="60"/>
      <w:ind w:left="680" w:right="340" w:hanging="340"/>
    </w:pPr>
  </w:style>
  <w:style w:type="paragraph" w:styleId="TOC3">
    <w:name w:val="toc 3"/>
    <w:basedOn w:val="Normal"/>
    <w:next w:val="Normal"/>
    <w:autoRedefine/>
    <w:uiPriority w:val="99"/>
    <w:semiHidden/>
    <w:rsid w:val="00276C60"/>
    <w:pPr>
      <w:spacing w:after="60"/>
      <w:ind w:left="1020" w:right="340" w:hanging="340"/>
    </w:pPr>
  </w:style>
  <w:style w:type="paragraph" w:styleId="TOC4">
    <w:name w:val="toc 4"/>
    <w:basedOn w:val="Normal"/>
    <w:next w:val="Normal"/>
    <w:autoRedefine/>
    <w:uiPriority w:val="99"/>
    <w:semiHidden/>
    <w:rsid w:val="00276C60"/>
    <w:pPr>
      <w:tabs>
        <w:tab w:val="right" w:leader="dot" w:pos="9017"/>
      </w:tabs>
      <w:spacing w:after="60"/>
      <w:ind w:left="1361" w:right="340" w:hanging="340"/>
    </w:pPr>
  </w:style>
  <w:style w:type="paragraph" w:styleId="TOC5">
    <w:name w:val="toc 5"/>
    <w:basedOn w:val="Normal"/>
    <w:next w:val="Normal"/>
    <w:autoRedefine/>
    <w:uiPriority w:val="99"/>
    <w:semiHidden/>
    <w:rsid w:val="00276C60"/>
    <w:pPr>
      <w:spacing w:after="60"/>
      <w:ind w:left="1701" w:right="340" w:hanging="340"/>
    </w:pPr>
  </w:style>
  <w:style w:type="paragraph" w:styleId="TOCHeading">
    <w:name w:val="TOC Heading"/>
    <w:basedOn w:val="Heading1"/>
    <w:next w:val="Normal"/>
    <w:uiPriority w:val="99"/>
    <w:semiHidden/>
    <w:qFormat/>
    <w:rsid w:val="00276C60"/>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276C6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Para_Quote"/>
    <w:basedOn w:val="Normal"/>
    <w:uiPriority w:val="14"/>
    <w:qFormat/>
    <w:rsid w:val="00276C60"/>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76C6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276C60"/>
    <w:pPr>
      <w:tabs>
        <w:tab w:val="center" w:pos="851"/>
        <w:tab w:val="center" w:pos="6407"/>
      </w:tabs>
      <w:spacing w:before="720"/>
      <w:jc w:val="left"/>
    </w:pPr>
  </w:style>
  <w:style w:type="paragraph" w:customStyle="1" w:styleId="JuParaLast">
    <w:name w:val="Ju_Para_Last"/>
    <w:basedOn w:val="Normal"/>
    <w:next w:val="ECHRPara"/>
    <w:uiPriority w:val="30"/>
    <w:qFormat/>
    <w:rsid w:val="00276C60"/>
    <w:pPr>
      <w:keepNext/>
      <w:keepLines/>
      <w:spacing w:before="240"/>
      <w:ind w:firstLine="284"/>
    </w:pPr>
  </w:style>
  <w:style w:type="paragraph" w:customStyle="1" w:styleId="JuCase">
    <w:name w:val="Ju_Case"/>
    <w:basedOn w:val="Normal"/>
    <w:next w:val="ECHRPara"/>
    <w:uiPriority w:val="10"/>
    <w:rsid w:val="00276C60"/>
    <w:pPr>
      <w:ind w:firstLine="284"/>
    </w:pPr>
    <w:rPr>
      <w:b/>
    </w:rPr>
  </w:style>
  <w:style w:type="paragraph" w:customStyle="1" w:styleId="JuList">
    <w:name w:val="Ju_List"/>
    <w:basedOn w:val="Normal"/>
    <w:uiPriority w:val="28"/>
    <w:qFormat/>
    <w:rsid w:val="00276C60"/>
    <w:pPr>
      <w:ind w:left="340" w:hanging="340"/>
    </w:pPr>
  </w:style>
  <w:style w:type="character" w:customStyle="1" w:styleId="JuITMark">
    <w:name w:val="Ju_ITMark"/>
    <w:basedOn w:val="DefaultParagraphFont"/>
    <w:uiPriority w:val="38"/>
    <w:qFormat/>
    <w:rsid w:val="00276C60"/>
    <w:rPr>
      <w:vanish w:val="0"/>
      <w:color w:val="auto"/>
      <w:sz w:val="14"/>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276C60"/>
    <w:pPr>
      <w:ind w:left="346" w:firstLine="0"/>
    </w:pPr>
  </w:style>
  <w:style w:type="paragraph" w:customStyle="1" w:styleId="JuListi">
    <w:name w:val="Ju_List_i"/>
    <w:basedOn w:val="Normal"/>
    <w:next w:val="JuLista"/>
    <w:uiPriority w:val="28"/>
    <w:qFormat/>
    <w:rsid w:val="00276C60"/>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Translation">
    <w:name w:val="Opi_Translation"/>
    <w:basedOn w:val="Normal"/>
    <w:next w:val="OpiPara"/>
    <w:uiPriority w:val="40"/>
    <w:semiHidden/>
    <w:qFormat/>
    <w:rsid w:val="00276C60"/>
    <w:pPr>
      <w:jc w:val="center"/>
      <w:outlineLvl w:val="0"/>
    </w:pPr>
    <w:rPr>
      <w:i/>
    </w:r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DecHTitle">
    <w:name w:val="Dec_H_Title"/>
    <w:basedOn w:val="ECHRTitleCentre1"/>
    <w:uiPriority w:val="7"/>
    <w:qFormat/>
    <w:rsid w:val="00276C60"/>
  </w:style>
  <w:style w:type="paragraph" w:styleId="Subtitle">
    <w:name w:val="Subtitle"/>
    <w:basedOn w:val="Normal"/>
    <w:next w:val="Normal"/>
    <w:link w:val="SubtitleChar"/>
    <w:uiPriority w:val="99"/>
    <w:semiHidden/>
    <w:qFormat/>
    <w:rsid w:val="00276C60"/>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276C60"/>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E77CB3"/>
    <w:rPr>
      <w:color w:val="808080"/>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E77CB3"/>
    <w:pPr>
      <w:spacing w:after="100"/>
      <w:ind w:left="1200"/>
    </w:pPr>
  </w:style>
  <w:style w:type="paragraph" w:styleId="TOC7">
    <w:name w:val="toc 7"/>
    <w:basedOn w:val="Normal"/>
    <w:next w:val="Normal"/>
    <w:autoRedefine/>
    <w:uiPriority w:val="99"/>
    <w:semiHidden/>
    <w:rsid w:val="00E77CB3"/>
    <w:pPr>
      <w:spacing w:after="100"/>
      <w:ind w:left="1440"/>
    </w:p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JuCourt">
    <w:name w:val="Ju_Court"/>
    <w:basedOn w:val="Normal"/>
    <w:next w:val="Normal"/>
    <w:uiPriority w:val="16"/>
    <w:qFormat/>
    <w:rsid w:val="00276C60"/>
    <w:pPr>
      <w:tabs>
        <w:tab w:val="left" w:pos="907"/>
        <w:tab w:val="left" w:pos="1701"/>
        <w:tab w:val="right" w:pos="7371"/>
      </w:tabs>
      <w:spacing w:before="240"/>
      <w:ind w:left="397" w:hanging="397"/>
      <w:jc w:val="left"/>
    </w:pPr>
    <w:rPr>
      <w:lang w:bidi="en-US"/>
    </w:rPr>
  </w:style>
  <w:style w:type="paragraph" w:customStyle="1" w:styleId="DecList">
    <w:name w:val="Dec_List"/>
    <w:basedOn w:val="Normal"/>
    <w:uiPriority w:val="9"/>
    <w:qFormat/>
    <w:rsid w:val="00276C60"/>
    <w:pPr>
      <w:spacing w:before="240"/>
      <w:ind w:left="284"/>
    </w:pPr>
  </w:style>
  <w:style w:type="paragraph" w:customStyle="1" w:styleId="OpiH1">
    <w:name w:val="Opi_H_1"/>
    <w:basedOn w:val="ECHRHeading2"/>
    <w:uiPriority w:val="42"/>
    <w:semiHidden/>
    <w:qFormat/>
    <w:rsid w:val="00276C60"/>
    <w:pPr>
      <w:ind w:left="635" w:hanging="357"/>
      <w:outlineLvl w:val="2"/>
    </w:pPr>
  </w:style>
  <w:style w:type="paragraph" w:customStyle="1" w:styleId="OpiHa0">
    <w:name w:val="Opi_H_a"/>
    <w:basedOn w:val="ECHRHeading3"/>
    <w:uiPriority w:val="43"/>
    <w:semiHidden/>
    <w:qFormat/>
    <w:rsid w:val="00276C60"/>
    <w:pPr>
      <w:ind w:left="833" w:hanging="357"/>
      <w:outlineLvl w:val="3"/>
    </w:pPr>
    <w:rPr>
      <w:b/>
      <w:i w:val="0"/>
      <w:sz w:val="20"/>
    </w:rPr>
  </w:style>
  <w:style w:type="paragraph" w:customStyle="1" w:styleId="OpiHi">
    <w:name w:val="Opi_H_i"/>
    <w:basedOn w:val="ECHRHeading4"/>
    <w:uiPriority w:val="44"/>
    <w:semiHidden/>
    <w:qFormat/>
    <w:rsid w:val="00276C60"/>
    <w:pPr>
      <w:ind w:left="1037" w:hanging="357"/>
      <w:outlineLvl w:val="4"/>
    </w:pPr>
    <w:rPr>
      <w:b w:val="0"/>
      <w:i/>
    </w:rPr>
  </w:style>
  <w:style w:type="paragraph" w:customStyle="1" w:styleId="DummyStyle">
    <w:name w:val="Dummy_Style"/>
    <w:basedOn w:val="Normal"/>
    <w:semiHidden/>
    <w:qFormat/>
    <w:rsid w:val="00276C60"/>
    <w:rPr>
      <w:color w:val="00B050"/>
      <w:lang w:bidi="en-US"/>
    </w:rPr>
  </w:style>
  <w:style w:type="character" w:customStyle="1" w:styleId="ECHRParaChar">
    <w:name w:val="ECHR_Para Char"/>
    <w:aliases w:val="Ju_Para Char"/>
    <w:link w:val="ECHRPara"/>
    <w:uiPriority w:val="12"/>
    <w:rsid w:val="00D20ACF"/>
    <w:rPr>
      <w:rFonts w:eastAsiaTheme="minorEastAsia"/>
      <w:sz w:val="24"/>
    </w:rPr>
  </w:style>
  <w:style w:type="paragraph" w:styleId="Revision">
    <w:name w:val="Revision"/>
    <w:hidden/>
    <w:uiPriority w:val="99"/>
    <w:semiHidden/>
    <w:rsid w:val="00A42760"/>
    <w:rPr>
      <w:rFonts w:eastAsiaTheme="minorEastAsia"/>
      <w:sz w:val="24"/>
    </w:rPr>
  </w:style>
  <w:style w:type="character" w:customStyle="1" w:styleId="JuParaCar">
    <w:name w:val="Ju_Para Car"/>
    <w:rsid w:val="00455AFE"/>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573">
      <w:bodyDiv w:val="1"/>
      <w:marLeft w:val="0"/>
      <w:marRight w:val="0"/>
      <w:marTop w:val="0"/>
      <w:marBottom w:val="0"/>
      <w:divBdr>
        <w:top w:val="none" w:sz="0" w:space="0" w:color="auto"/>
        <w:left w:val="none" w:sz="0" w:space="0" w:color="auto"/>
        <w:bottom w:val="none" w:sz="0" w:space="0" w:color="auto"/>
        <w:right w:val="none" w:sz="0" w:space="0" w:color="auto"/>
      </w:divBdr>
      <w:divsChild>
        <w:div w:id="876160740">
          <w:marLeft w:val="0"/>
          <w:marRight w:val="0"/>
          <w:marTop w:val="0"/>
          <w:marBottom w:val="0"/>
          <w:divBdr>
            <w:top w:val="none" w:sz="0" w:space="0" w:color="auto"/>
            <w:left w:val="none" w:sz="0" w:space="0" w:color="auto"/>
            <w:bottom w:val="none" w:sz="0" w:space="0" w:color="auto"/>
            <w:right w:val="none" w:sz="0" w:space="0" w:color="auto"/>
          </w:divBdr>
          <w:divsChild>
            <w:div w:id="325985447">
              <w:marLeft w:val="0"/>
              <w:marRight w:val="0"/>
              <w:marTop w:val="0"/>
              <w:marBottom w:val="0"/>
              <w:divBdr>
                <w:top w:val="none" w:sz="0" w:space="0" w:color="auto"/>
                <w:left w:val="none" w:sz="0" w:space="0" w:color="auto"/>
                <w:bottom w:val="none" w:sz="0" w:space="0" w:color="auto"/>
                <w:right w:val="none" w:sz="0" w:space="0" w:color="auto"/>
              </w:divBdr>
              <w:divsChild>
                <w:div w:id="1834367928">
                  <w:marLeft w:val="0"/>
                  <w:marRight w:val="0"/>
                  <w:marTop w:val="0"/>
                  <w:marBottom w:val="0"/>
                  <w:divBdr>
                    <w:top w:val="none" w:sz="0" w:space="0" w:color="auto"/>
                    <w:left w:val="none" w:sz="0" w:space="0" w:color="auto"/>
                    <w:bottom w:val="none" w:sz="0" w:space="0" w:color="auto"/>
                    <w:right w:val="none" w:sz="0" w:space="0" w:color="auto"/>
                  </w:divBdr>
                  <w:divsChild>
                    <w:div w:id="1310986738">
                      <w:marLeft w:val="0"/>
                      <w:marRight w:val="0"/>
                      <w:marTop w:val="0"/>
                      <w:marBottom w:val="0"/>
                      <w:divBdr>
                        <w:top w:val="none" w:sz="0" w:space="0" w:color="auto"/>
                        <w:left w:val="none" w:sz="0" w:space="0" w:color="auto"/>
                        <w:bottom w:val="none" w:sz="0" w:space="0" w:color="auto"/>
                        <w:right w:val="none" w:sz="0" w:space="0" w:color="auto"/>
                      </w:divBdr>
                      <w:divsChild>
                        <w:div w:id="1968581750">
                          <w:marLeft w:val="0"/>
                          <w:marRight w:val="0"/>
                          <w:marTop w:val="0"/>
                          <w:marBottom w:val="0"/>
                          <w:divBdr>
                            <w:top w:val="none" w:sz="0" w:space="0" w:color="auto"/>
                            <w:left w:val="none" w:sz="0" w:space="0" w:color="auto"/>
                            <w:bottom w:val="none" w:sz="0" w:space="0" w:color="auto"/>
                            <w:right w:val="none" w:sz="0" w:space="0" w:color="auto"/>
                          </w:divBdr>
                          <w:divsChild>
                            <w:div w:id="14636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10623</Words>
  <Characters>60553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2016-10-05T06:23:00Z</dcterms:created>
  <dcterms:modified xsi:type="dcterms:W3CDTF">2016-10-05T06:23:00Z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