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B3" w:rsidRPr="00441BF1" w:rsidRDefault="00E77CB3" w:rsidP="00D46A4B">
      <w:pPr>
        <w:jc w:val="center"/>
        <w:rPr>
          <w:lang w:val="en-US"/>
        </w:rPr>
      </w:pPr>
    </w:p>
    <w:p w:rsidR="00555FDE" w:rsidRPr="00464AD3" w:rsidRDefault="00555FDE" w:rsidP="00D46A4B">
      <w:pPr>
        <w:jc w:val="center"/>
        <w:rPr>
          <w:lang w:val="bg-BG"/>
        </w:rPr>
      </w:pPr>
    </w:p>
    <w:p w:rsidR="00555FDE" w:rsidRPr="00464AD3" w:rsidRDefault="00555FDE" w:rsidP="00D46A4B">
      <w:pPr>
        <w:jc w:val="center"/>
        <w:rPr>
          <w:lang w:val="bg-BG"/>
        </w:rPr>
      </w:pPr>
    </w:p>
    <w:p w:rsidR="00B6581A" w:rsidRPr="00464AD3" w:rsidRDefault="00B6581A" w:rsidP="00B6581A">
      <w:pPr>
        <w:jc w:val="center"/>
        <w:rPr>
          <w:lang w:val="bg-BG"/>
        </w:rPr>
      </w:pPr>
    </w:p>
    <w:p w:rsidR="00555FDE" w:rsidRPr="00464AD3" w:rsidRDefault="00B6581A" w:rsidP="00A935C2">
      <w:pPr>
        <w:pStyle w:val="DecHTitle"/>
        <w:rPr>
          <w:szCs w:val="24"/>
          <w:lang w:val="bg-BG"/>
        </w:rPr>
      </w:pPr>
      <w:r w:rsidRPr="00464AD3">
        <w:rPr>
          <w:szCs w:val="24"/>
          <w:lang w:val="bg-BG"/>
        </w:rPr>
        <w:t>ПЕТО ОТДЕЛЕНИЕ</w:t>
      </w:r>
    </w:p>
    <w:p w:rsidR="00555FDE" w:rsidRPr="00464AD3" w:rsidRDefault="00555FDE" w:rsidP="00D46A4B">
      <w:pPr>
        <w:jc w:val="center"/>
        <w:rPr>
          <w:lang w:val="bg-BG"/>
        </w:rPr>
      </w:pPr>
    </w:p>
    <w:p w:rsidR="00555FDE" w:rsidRPr="00464AD3" w:rsidRDefault="00555FDE" w:rsidP="00D46A4B">
      <w:pPr>
        <w:jc w:val="center"/>
        <w:rPr>
          <w:lang w:val="bg-BG"/>
        </w:rPr>
      </w:pPr>
    </w:p>
    <w:p w:rsidR="00555FDE" w:rsidRPr="00464AD3" w:rsidRDefault="00555FDE" w:rsidP="00D46A4B">
      <w:pPr>
        <w:jc w:val="center"/>
        <w:rPr>
          <w:lang w:val="bg-BG"/>
        </w:rPr>
      </w:pPr>
    </w:p>
    <w:p w:rsidR="00555FDE" w:rsidRPr="00464AD3" w:rsidRDefault="00555FDE" w:rsidP="00D46A4B">
      <w:pPr>
        <w:jc w:val="center"/>
        <w:rPr>
          <w:lang w:val="bg-BG"/>
        </w:rPr>
      </w:pPr>
    </w:p>
    <w:p w:rsidR="00E77CB3" w:rsidRPr="00464AD3" w:rsidRDefault="00A935C2" w:rsidP="00D46A4B">
      <w:pPr>
        <w:jc w:val="center"/>
        <w:rPr>
          <w:b/>
          <w:lang w:val="bg-BG"/>
        </w:rPr>
      </w:pPr>
      <w:bookmarkStart w:id="0" w:name="To"/>
      <w:r w:rsidRPr="00464AD3">
        <w:rPr>
          <w:b/>
          <w:lang w:val="bg-BG"/>
        </w:rPr>
        <w:t>ДЕЛО МАРИЙКА ПОПОВА И АСЕН ПОПОВ срещу БЪЛГАРИЯ</w:t>
      </w:r>
      <w:bookmarkEnd w:id="0"/>
    </w:p>
    <w:p w:rsidR="00E77CB3" w:rsidRPr="00464AD3" w:rsidRDefault="00E77CB3" w:rsidP="00D46A4B">
      <w:pPr>
        <w:jc w:val="center"/>
        <w:rPr>
          <w:lang w:val="bg-BG"/>
        </w:rPr>
      </w:pPr>
    </w:p>
    <w:p w:rsidR="00555FDE" w:rsidRPr="00464AD3" w:rsidRDefault="00E77CB3" w:rsidP="00D46A4B">
      <w:pPr>
        <w:jc w:val="center"/>
        <w:rPr>
          <w:lang w:val="bg-BG"/>
        </w:rPr>
      </w:pPr>
      <w:r w:rsidRPr="00464AD3">
        <w:rPr>
          <w:i/>
          <w:lang w:val="bg-BG"/>
        </w:rPr>
        <w:t>(</w:t>
      </w:r>
      <w:r w:rsidR="00A935C2" w:rsidRPr="00464AD3">
        <w:rPr>
          <w:i/>
          <w:lang w:val="bg-BG"/>
        </w:rPr>
        <w:t xml:space="preserve">Жалба № </w:t>
      </w:r>
      <w:r w:rsidR="002A0F8C" w:rsidRPr="00464AD3">
        <w:rPr>
          <w:i/>
          <w:lang w:val="bg-BG"/>
        </w:rPr>
        <w:t>11260/10</w:t>
      </w:r>
      <w:r w:rsidRPr="00464AD3">
        <w:rPr>
          <w:i/>
          <w:lang w:val="bg-BG"/>
        </w:rPr>
        <w:t>)</w:t>
      </w:r>
    </w:p>
    <w:p w:rsidR="00555FDE" w:rsidRPr="00464AD3" w:rsidRDefault="00555FDE" w:rsidP="00D46A4B">
      <w:pPr>
        <w:jc w:val="center"/>
        <w:rPr>
          <w:lang w:val="bg-BG"/>
        </w:rPr>
      </w:pPr>
    </w:p>
    <w:p w:rsidR="00555FDE" w:rsidRPr="00441BF1" w:rsidRDefault="00555FDE" w:rsidP="00D46A4B">
      <w:pPr>
        <w:jc w:val="center"/>
        <w:rPr>
          <w:lang w:val="en-US"/>
        </w:rPr>
      </w:pPr>
    </w:p>
    <w:p w:rsidR="00555FDE" w:rsidRPr="00464AD3" w:rsidRDefault="00555FDE" w:rsidP="00D46A4B">
      <w:pPr>
        <w:jc w:val="center"/>
        <w:rPr>
          <w:lang w:val="bg-BG"/>
        </w:rPr>
      </w:pPr>
    </w:p>
    <w:p w:rsidR="00555FDE" w:rsidRPr="00464AD3" w:rsidRDefault="00555FDE" w:rsidP="00D46A4B">
      <w:pPr>
        <w:jc w:val="center"/>
        <w:rPr>
          <w:lang w:val="bg-BG"/>
        </w:rPr>
      </w:pPr>
    </w:p>
    <w:p w:rsidR="00555FDE" w:rsidRPr="00464AD3" w:rsidRDefault="00555FDE" w:rsidP="00D46A4B">
      <w:pPr>
        <w:jc w:val="center"/>
        <w:rPr>
          <w:lang w:val="bg-BG"/>
        </w:rPr>
      </w:pPr>
    </w:p>
    <w:p w:rsidR="00555FDE" w:rsidRPr="00464AD3" w:rsidRDefault="00555FDE" w:rsidP="00D46A4B">
      <w:pPr>
        <w:jc w:val="center"/>
        <w:rPr>
          <w:lang w:val="bg-BG"/>
        </w:rPr>
      </w:pPr>
    </w:p>
    <w:p w:rsidR="00555FDE" w:rsidRPr="00464AD3" w:rsidRDefault="00555FDE" w:rsidP="00D46A4B">
      <w:pPr>
        <w:jc w:val="center"/>
        <w:rPr>
          <w:lang w:val="bg-BG"/>
        </w:rPr>
      </w:pPr>
    </w:p>
    <w:p w:rsidR="00953902" w:rsidRPr="00464AD3" w:rsidRDefault="00953902" w:rsidP="00D46A4B">
      <w:pPr>
        <w:jc w:val="center"/>
        <w:rPr>
          <w:lang w:val="bg-BG"/>
        </w:rPr>
      </w:pPr>
    </w:p>
    <w:p w:rsidR="00953902" w:rsidRPr="00464AD3" w:rsidRDefault="00953902" w:rsidP="00D46A4B">
      <w:pPr>
        <w:jc w:val="center"/>
        <w:rPr>
          <w:lang w:val="bg-BG"/>
        </w:rPr>
      </w:pPr>
    </w:p>
    <w:p w:rsidR="00555FDE" w:rsidRPr="00464AD3" w:rsidRDefault="00555FDE" w:rsidP="00D46A4B">
      <w:pPr>
        <w:jc w:val="center"/>
        <w:rPr>
          <w:lang w:val="bg-BG"/>
        </w:rPr>
      </w:pPr>
    </w:p>
    <w:p w:rsidR="00555FDE" w:rsidRPr="00464AD3" w:rsidRDefault="00555FDE" w:rsidP="00D46A4B">
      <w:pPr>
        <w:jc w:val="center"/>
        <w:rPr>
          <w:lang w:val="bg-BG"/>
        </w:rPr>
      </w:pPr>
      <w:bookmarkStart w:id="1" w:name="_GoBack"/>
      <w:bookmarkEnd w:id="1"/>
    </w:p>
    <w:p w:rsidR="00772691" w:rsidRPr="00464AD3" w:rsidRDefault="00772691" w:rsidP="00D46A4B">
      <w:pPr>
        <w:jc w:val="center"/>
        <w:rPr>
          <w:lang w:val="bg-BG"/>
        </w:rPr>
      </w:pPr>
    </w:p>
    <w:p w:rsidR="00555FDE" w:rsidRPr="00464AD3" w:rsidRDefault="00A935C2" w:rsidP="00D46A4B">
      <w:pPr>
        <w:jc w:val="center"/>
        <w:rPr>
          <w:lang w:val="bg-BG"/>
        </w:rPr>
      </w:pPr>
      <w:r w:rsidRPr="00464AD3">
        <w:rPr>
          <w:lang w:val="bg-BG"/>
        </w:rPr>
        <w:t>РЕШЕНИЕ</w:t>
      </w:r>
    </w:p>
    <w:p w:rsidR="00555FDE" w:rsidRPr="00464AD3" w:rsidRDefault="00555FDE" w:rsidP="00D46A4B">
      <w:pPr>
        <w:jc w:val="center"/>
        <w:rPr>
          <w:lang w:val="bg-BG"/>
        </w:rPr>
      </w:pPr>
    </w:p>
    <w:p w:rsidR="00555FDE" w:rsidRPr="00464AD3" w:rsidRDefault="00555FDE" w:rsidP="00D46A4B">
      <w:pPr>
        <w:jc w:val="center"/>
        <w:rPr>
          <w:lang w:val="bg-BG"/>
        </w:rPr>
      </w:pPr>
    </w:p>
    <w:p w:rsidR="00953902" w:rsidRPr="00464AD3" w:rsidRDefault="00953902" w:rsidP="00D46A4B">
      <w:pPr>
        <w:jc w:val="center"/>
        <w:rPr>
          <w:lang w:val="bg-BG"/>
        </w:rPr>
      </w:pPr>
    </w:p>
    <w:p w:rsidR="00555FDE" w:rsidRPr="00464AD3" w:rsidRDefault="00555FDE" w:rsidP="00D46A4B">
      <w:pPr>
        <w:jc w:val="center"/>
        <w:rPr>
          <w:lang w:val="bg-BG"/>
        </w:rPr>
      </w:pPr>
    </w:p>
    <w:p w:rsidR="00555FDE" w:rsidRPr="00464AD3" w:rsidRDefault="00A935C2" w:rsidP="00D46A4B">
      <w:pPr>
        <w:jc w:val="center"/>
        <w:rPr>
          <w:lang w:val="bg-BG"/>
        </w:rPr>
      </w:pPr>
      <w:r w:rsidRPr="00464AD3">
        <w:rPr>
          <w:lang w:val="bg-BG"/>
        </w:rPr>
        <w:t>СТРАСБУРГ</w:t>
      </w:r>
    </w:p>
    <w:p w:rsidR="00555FDE" w:rsidRPr="00464AD3" w:rsidRDefault="00555FDE" w:rsidP="00D46A4B">
      <w:pPr>
        <w:jc w:val="center"/>
        <w:rPr>
          <w:lang w:val="bg-BG"/>
        </w:rPr>
      </w:pPr>
    </w:p>
    <w:p w:rsidR="00555FDE" w:rsidRPr="00464AD3" w:rsidRDefault="00772691" w:rsidP="00D46A4B">
      <w:pPr>
        <w:jc w:val="center"/>
        <w:rPr>
          <w:lang w:val="bg-BG"/>
        </w:rPr>
      </w:pPr>
      <w:r w:rsidRPr="00464AD3">
        <w:rPr>
          <w:lang w:val="bg-BG"/>
        </w:rPr>
        <w:t xml:space="preserve">11 </w:t>
      </w:r>
      <w:r w:rsidR="00A935C2" w:rsidRPr="00464AD3">
        <w:rPr>
          <w:lang w:val="bg-BG"/>
        </w:rPr>
        <w:t>април</w:t>
      </w:r>
      <w:r w:rsidRPr="00464AD3">
        <w:rPr>
          <w:lang w:val="bg-BG"/>
        </w:rPr>
        <w:t xml:space="preserve"> 2019</w:t>
      </w:r>
      <w:r w:rsidR="00A935C2" w:rsidRPr="00464AD3">
        <w:rPr>
          <w:lang w:val="bg-BG"/>
        </w:rPr>
        <w:t xml:space="preserve"> г.</w:t>
      </w:r>
    </w:p>
    <w:p w:rsidR="00555FDE" w:rsidRPr="00464AD3" w:rsidRDefault="00555FDE" w:rsidP="00D46A4B">
      <w:pPr>
        <w:jc w:val="center"/>
        <w:rPr>
          <w:lang w:val="bg-BG"/>
        </w:rPr>
      </w:pPr>
    </w:p>
    <w:p w:rsidR="00772691" w:rsidRPr="00464AD3" w:rsidRDefault="00772691" w:rsidP="00D46A4B">
      <w:pPr>
        <w:jc w:val="center"/>
        <w:rPr>
          <w:lang w:val="bg-BG"/>
        </w:rPr>
      </w:pPr>
    </w:p>
    <w:p w:rsidR="00772691" w:rsidRPr="00464AD3" w:rsidRDefault="00772691" w:rsidP="00D46A4B">
      <w:pPr>
        <w:jc w:val="center"/>
        <w:rPr>
          <w:lang w:val="bg-BG"/>
        </w:rPr>
      </w:pPr>
    </w:p>
    <w:p w:rsidR="00555FDE" w:rsidRPr="00464AD3" w:rsidRDefault="00A935C2" w:rsidP="00D46A4B">
      <w:pPr>
        <w:rPr>
          <w:i/>
          <w:sz w:val="22"/>
          <w:lang w:val="bg-BG"/>
        </w:rPr>
      </w:pPr>
      <w:r w:rsidRPr="00464AD3">
        <w:rPr>
          <w:rFonts w:ascii="Times New Roman" w:eastAsiaTheme="minorHAnsi" w:hAnsi="Times New Roman" w:cs="Times New Roman"/>
          <w:i/>
          <w:color w:val="000000"/>
          <w:sz w:val="22"/>
          <w:szCs w:val="24"/>
          <w:lang w:val="bg-BG"/>
        </w:rPr>
        <w:t>Това решение ще стане окончателно при условията на чл. 44 § 2 от Конвенцията. Може да бъде предмет на редакционни промени</w:t>
      </w:r>
      <w:r w:rsidR="00555FDE" w:rsidRPr="00464AD3">
        <w:rPr>
          <w:i/>
          <w:sz w:val="22"/>
          <w:lang w:val="bg-BG"/>
        </w:rPr>
        <w:t>.</w:t>
      </w:r>
    </w:p>
    <w:p w:rsidR="00772691" w:rsidRPr="00464AD3" w:rsidRDefault="00772691" w:rsidP="00D46A4B">
      <w:pPr>
        <w:rPr>
          <w:lang w:val="bg-BG"/>
        </w:rPr>
        <w:sectPr w:rsidR="00772691" w:rsidRPr="00464AD3" w:rsidSect="00555F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E77CB3" w:rsidRPr="00464AD3" w:rsidRDefault="00A935C2" w:rsidP="00D46A4B">
      <w:pPr>
        <w:pStyle w:val="JuCase"/>
        <w:rPr>
          <w:lang w:val="bg-BG"/>
        </w:rPr>
      </w:pPr>
      <w:r w:rsidRPr="00464AD3">
        <w:rPr>
          <w:lang w:val="bg-BG"/>
        </w:rPr>
        <w:lastRenderedPageBreak/>
        <w:t>По делото Марийка Попова и Асен Попов срещу България,</w:t>
      </w:r>
    </w:p>
    <w:p w:rsidR="00A935C2" w:rsidRPr="00464AD3" w:rsidRDefault="00A935C2" w:rsidP="00A935C2">
      <w:pPr>
        <w:pStyle w:val="ECHRPara"/>
        <w:rPr>
          <w:lang w:val="bg-BG"/>
        </w:rPr>
      </w:pPr>
      <w:r w:rsidRPr="00464AD3">
        <w:rPr>
          <w:lang w:val="bg-BG"/>
        </w:rPr>
        <w:t>Европейският съд по правата на човека (Пето отделение), заседаващ</w:t>
      </w:r>
    </w:p>
    <w:p w:rsidR="00A935C2" w:rsidRPr="00464AD3" w:rsidRDefault="00A935C2" w:rsidP="00A935C2">
      <w:pPr>
        <w:pStyle w:val="ECHRDecisionBody"/>
        <w:rPr>
          <w:lang w:val="bg-BG"/>
        </w:rPr>
      </w:pPr>
      <w:r w:rsidRPr="00464AD3">
        <w:rPr>
          <w:lang w:val="bg-BG"/>
        </w:rPr>
        <w:t>в състав:</w:t>
      </w:r>
    </w:p>
    <w:p w:rsidR="00A935C2" w:rsidRPr="00464AD3" w:rsidRDefault="00772691" w:rsidP="00D46A4B">
      <w:pPr>
        <w:pStyle w:val="ECHRDecisionBody"/>
        <w:rPr>
          <w:lang w:val="bg-BG"/>
        </w:rPr>
      </w:pPr>
      <w:r w:rsidRPr="00464AD3">
        <w:rPr>
          <w:lang w:val="bg-BG"/>
        </w:rPr>
        <w:tab/>
      </w:r>
      <w:proofErr w:type="spellStart"/>
      <w:r w:rsidR="00A935C2" w:rsidRPr="00464AD3">
        <w:rPr>
          <w:lang w:val="bg-BG"/>
        </w:rPr>
        <w:t>Ангелика</w:t>
      </w:r>
      <w:proofErr w:type="spellEnd"/>
      <w:r w:rsidR="00A935C2" w:rsidRPr="00464AD3">
        <w:rPr>
          <w:lang w:val="bg-BG"/>
        </w:rPr>
        <w:t xml:space="preserve"> </w:t>
      </w:r>
      <w:proofErr w:type="spellStart"/>
      <w:r w:rsidR="00A935C2" w:rsidRPr="00464AD3">
        <w:rPr>
          <w:lang w:val="bg-BG"/>
        </w:rPr>
        <w:t>Нусбергер</w:t>
      </w:r>
      <w:proofErr w:type="spellEnd"/>
      <w:r w:rsidR="00A935C2" w:rsidRPr="00464AD3">
        <w:rPr>
          <w:lang w:val="bg-BG"/>
        </w:rPr>
        <w:t xml:space="preserve"> (</w:t>
      </w:r>
      <w:proofErr w:type="spellStart"/>
      <w:r w:rsidR="00A935C2" w:rsidRPr="00464AD3">
        <w:rPr>
          <w:lang w:val="bg-BG"/>
        </w:rPr>
        <w:t>Аngelika</w:t>
      </w:r>
      <w:proofErr w:type="spellEnd"/>
      <w:r w:rsidR="00A935C2" w:rsidRPr="00464AD3">
        <w:rPr>
          <w:lang w:val="bg-BG"/>
        </w:rPr>
        <w:t xml:space="preserve"> </w:t>
      </w:r>
      <w:proofErr w:type="spellStart"/>
      <w:r w:rsidR="00A935C2" w:rsidRPr="00464AD3">
        <w:rPr>
          <w:lang w:val="bg-BG"/>
        </w:rPr>
        <w:t>Nußberger</w:t>
      </w:r>
      <w:proofErr w:type="spellEnd"/>
      <w:r w:rsidR="00A935C2" w:rsidRPr="00464AD3">
        <w:rPr>
          <w:lang w:val="bg-BG"/>
        </w:rPr>
        <w:t xml:space="preserve">), </w:t>
      </w:r>
      <w:r w:rsidR="00A935C2" w:rsidRPr="00464AD3">
        <w:rPr>
          <w:i/>
          <w:lang w:val="bg-BG"/>
        </w:rPr>
        <w:t>председател,</w:t>
      </w:r>
      <w:r w:rsidR="00A935C2" w:rsidRPr="00464AD3">
        <w:rPr>
          <w:i/>
          <w:lang w:val="bg-BG"/>
        </w:rPr>
        <w:br/>
      </w:r>
      <w:r w:rsidR="00A935C2" w:rsidRPr="00464AD3">
        <w:rPr>
          <w:lang w:val="bg-BG"/>
        </w:rPr>
        <w:tab/>
        <w:t>Йонко Грозев (Yonko Grozev),</w:t>
      </w:r>
      <w:r w:rsidR="00A935C2" w:rsidRPr="00464AD3">
        <w:rPr>
          <w:i/>
          <w:lang w:val="bg-BG"/>
        </w:rPr>
        <w:br/>
      </w:r>
      <w:r w:rsidR="00A935C2" w:rsidRPr="00464AD3">
        <w:rPr>
          <w:lang w:val="bg-BG"/>
        </w:rPr>
        <w:tab/>
        <w:t xml:space="preserve">Андре </w:t>
      </w:r>
      <w:proofErr w:type="spellStart"/>
      <w:r w:rsidR="00A935C2" w:rsidRPr="00464AD3">
        <w:rPr>
          <w:lang w:val="bg-BG"/>
        </w:rPr>
        <w:t>Потоцки</w:t>
      </w:r>
      <w:proofErr w:type="spellEnd"/>
      <w:r w:rsidR="00A935C2" w:rsidRPr="00464AD3">
        <w:rPr>
          <w:lang w:val="bg-BG"/>
        </w:rPr>
        <w:t xml:space="preserve"> (</w:t>
      </w:r>
      <w:proofErr w:type="spellStart"/>
      <w:r w:rsidR="00A935C2" w:rsidRPr="00464AD3">
        <w:rPr>
          <w:lang w:val="bg-BG"/>
        </w:rPr>
        <w:t>André</w:t>
      </w:r>
      <w:proofErr w:type="spellEnd"/>
      <w:r w:rsidR="00A935C2" w:rsidRPr="00464AD3">
        <w:rPr>
          <w:lang w:val="bg-BG"/>
        </w:rPr>
        <w:t xml:space="preserve"> </w:t>
      </w:r>
      <w:proofErr w:type="spellStart"/>
      <w:r w:rsidR="00A935C2" w:rsidRPr="00464AD3">
        <w:rPr>
          <w:lang w:val="bg-BG"/>
        </w:rPr>
        <w:t>Potocki</w:t>
      </w:r>
      <w:proofErr w:type="spellEnd"/>
      <w:r w:rsidR="00A935C2" w:rsidRPr="00464AD3">
        <w:rPr>
          <w:lang w:val="bg-BG"/>
        </w:rPr>
        <w:t>),</w:t>
      </w:r>
      <w:r w:rsidR="00A935C2" w:rsidRPr="00464AD3">
        <w:rPr>
          <w:i/>
          <w:lang w:val="bg-BG"/>
        </w:rPr>
        <w:br/>
      </w:r>
      <w:r w:rsidR="00A935C2" w:rsidRPr="00464AD3">
        <w:rPr>
          <w:lang w:val="bg-BG"/>
        </w:rPr>
        <w:tab/>
      </w:r>
      <w:proofErr w:type="spellStart"/>
      <w:r w:rsidR="00A935C2" w:rsidRPr="00464AD3">
        <w:rPr>
          <w:lang w:val="bg-BG"/>
        </w:rPr>
        <w:t>Шифра</w:t>
      </w:r>
      <w:proofErr w:type="spellEnd"/>
      <w:r w:rsidR="00A935C2" w:rsidRPr="00464AD3">
        <w:rPr>
          <w:lang w:val="bg-BG"/>
        </w:rPr>
        <w:t xml:space="preserve"> </w:t>
      </w:r>
      <w:proofErr w:type="spellStart"/>
      <w:r w:rsidR="00A935C2" w:rsidRPr="00464AD3">
        <w:rPr>
          <w:lang w:val="bg-BG"/>
        </w:rPr>
        <w:t>O’Лийри</w:t>
      </w:r>
      <w:proofErr w:type="spellEnd"/>
      <w:r w:rsidR="00A935C2" w:rsidRPr="00464AD3">
        <w:rPr>
          <w:lang w:val="bg-BG"/>
        </w:rPr>
        <w:t xml:space="preserve"> (</w:t>
      </w:r>
      <w:proofErr w:type="spellStart"/>
      <w:r w:rsidR="00A935C2" w:rsidRPr="00464AD3">
        <w:rPr>
          <w:lang w:val="bg-BG"/>
        </w:rPr>
        <w:t>Síofra</w:t>
      </w:r>
      <w:proofErr w:type="spellEnd"/>
      <w:r w:rsidR="00A935C2" w:rsidRPr="00464AD3">
        <w:rPr>
          <w:lang w:val="bg-BG"/>
        </w:rPr>
        <w:t xml:space="preserve"> </w:t>
      </w:r>
      <w:proofErr w:type="spellStart"/>
      <w:r w:rsidR="00A935C2" w:rsidRPr="00464AD3">
        <w:rPr>
          <w:lang w:val="bg-BG"/>
        </w:rPr>
        <w:t>O’Leary</w:t>
      </w:r>
      <w:proofErr w:type="spellEnd"/>
      <w:r w:rsidR="00A935C2" w:rsidRPr="00464AD3">
        <w:rPr>
          <w:lang w:val="bg-BG"/>
        </w:rPr>
        <w:t>),</w:t>
      </w:r>
    </w:p>
    <w:p w:rsidR="00E77CB3" w:rsidRPr="00464AD3" w:rsidRDefault="00772691" w:rsidP="00D46A4B">
      <w:pPr>
        <w:pStyle w:val="ECHRDecisionBody"/>
        <w:rPr>
          <w:lang w:val="bg-BG"/>
        </w:rPr>
      </w:pPr>
      <w:r w:rsidRPr="00464AD3">
        <w:rPr>
          <w:lang w:val="bg-BG"/>
        </w:rPr>
        <w:tab/>
      </w:r>
      <w:r w:rsidR="00A935C2" w:rsidRPr="00464AD3">
        <w:rPr>
          <w:lang w:val="bg-BG"/>
        </w:rPr>
        <w:t xml:space="preserve">Габриеле </w:t>
      </w:r>
      <w:proofErr w:type="spellStart"/>
      <w:r w:rsidR="00A935C2" w:rsidRPr="00464AD3">
        <w:rPr>
          <w:lang w:val="bg-BG"/>
        </w:rPr>
        <w:t>Куцко-Щадлмайер</w:t>
      </w:r>
      <w:proofErr w:type="spellEnd"/>
      <w:r w:rsidR="00A935C2" w:rsidRPr="00464AD3">
        <w:rPr>
          <w:lang w:val="bg-BG"/>
        </w:rPr>
        <w:t xml:space="preserve"> (</w:t>
      </w:r>
      <w:proofErr w:type="spellStart"/>
      <w:r w:rsidR="00A935C2" w:rsidRPr="00464AD3">
        <w:rPr>
          <w:lang w:val="bg-BG"/>
        </w:rPr>
        <w:t>Gabriele</w:t>
      </w:r>
      <w:proofErr w:type="spellEnd"/>
      <w:r w:rsidR="00A935C2" w:rsidRPr="00464AD3">
        <w:rPr>
          <w:lang w:val="bg-BG"/>
        </w:rPr>
        <w:t xml:space="preserve"> </w:t>
      </w:r>
      <w:proofErr w:type="spellStart"/>
      <w:r w:rsidR="00A935C2" w:rsidRPr="00464AD3">
        <w:rPr>
          <w:lang w:val="bg-BG"/>
        </w:rPr>
        <w:t>Kucsko-Stadlmayer</w:t>
      </w:r>
      <w:proofErr w:type="spellEnd"/>
      <w:r w:rsidR="00A935C2" w:rsidRPr="00464AD3">
        <w:rPr>
          <w:lang w:val="bg-BG"/>
        </w:rPr>
        <w:t>)</w:t>
      </w:r>
      <w:r w:rsidRPr="00464AD3">
        <w:rPr>
          <w:lang w:val="bg-BG"/>
        </w:rPr>
        <w:t>,</w:t>
      </w:r>
      <w:r w:rsidRPr="00464AD3">
        <w:rPr>
          <w:i/>
          <w:lang w:val="bg-BG"/>
        </w:rPr>
        <w:br/>
      </w:r>
      <w:r w:rsidRPr="00464AD3">
        <w:rPr>
          <w:lang w:val="bg-BG"/>
        </w:rPr>
        <w:tab/>
      </w:r>
      <w:proofErr w:type="spellStart"/>
      <w:r w:rsidR="00A935C2" w:rsidRPr="00464AD3">
        <w:rPr>
          <w:lang w:val="bg-BG"/>
        </w:rPr>
        <w:t>Латиф</w:t>
      </w:r>
      <w:proofErr w:type="spellEnd"/>
      <w:r w:rsidR="00A935C2" w:rsidRPr="00464AD3">
        <w:rPr>
          <w:lang w:val="bg-BG"/>
        </w:rPr>
        <w:t xml:space="preserve"> </w:t>
      </w:r>
      <w:proofErr w:type="spellStart"/>
      <w:r w:rsidR="00A935C2" w:rsidRPr="00464AD3">
        <w:rPr>
          <w:lang w:val="bg-BG"/>
        </w:rPr>
        <w:t>Хюсейнов</w:t>
      </w:r>
      <w:proofErr w:type="spellEnd"/>
      <w:r w:rsidR="00A935C2" w:rsidRPr="00464AD3">
        <w:rPr>
          <w:lang w:val="bg-BG"/>
        </w:rPr>
        <w:t xml:space="preserve"> (</w:t>
      </w:r>
      <w:proofErr w:type="spellStart"/>
      <w:r w:rsidR="00A935C2" w:rsidRPr="00464AD3">
        <w:rPr>
          <w:lang w:val="bg-BG"/>
        </w:rPr>
        <w:t>Lәtif</w:t>
      </w:r>
      <w:proofErr w:type="spellEnd"/>
      <w:r w:rsidR="00A935C2" w:rsidRPr="00464AD3">
        <w:rPr>
          <w:lang w:val="bg-BG"/>
        </w:rPr>
        <w:t xml:space="preserve"> </w:t>
      </w:r>
      <w:proofErr w:type="spellStart"/>
      <w:r w:rsidR="00A935C2" w:rsidRPr="00464AD3">
        <w:rPr>
          <w:lang w:val="bg-BG"/>
        </w:rPr>
        <w:t>Hüseynov</w:t>
      </w:r>
      <w:proofErr w:type="spellEnd"/>
      <w:r w:rsidR="00A935C2" w:rsidRPr="00464AD3">
        <w:rPr>
          <w:lang w:val="bg-BG"/>
        </w:rPr>
        <w:t>),</w:t>
      </w:r>
      <w:r w:rsidR="00A935C2" w:rsidRPr="00464AD3">
        <w:rPr>
          <w:i/>
          <w:lang w:val="bg-BG"/>
        </w:rPr>
        <w:br/>
      </w:r>
      <w:r w:rsidR="00A935C2" w:rsidRPr="00464AD3">
        <w:rPr>
          <w:lang w:val="bg-BG"/>
        </w:rPr>
        <w:tab/>
      </w:r>
      <w:proofErr w:type="spellStart"/>
      <w:r w:rsidR="00A935C2" w:rsidRPr="00464AD3">
        <w:rPr>
          <w:lang w:val="bg-BG"/>
        </w:rPr>
        <w:t>Ладо</w:t>
      </w:r>
      <w:proofErr w:type="spellEnd"/>
      <w:r w:rsidR="00A935C2" w:rsidRPr="00464AD3">
        <w:rPr>
          <w:lang w:val="bg-BG"/>
        </w:rPr>
        <w:t xml:space="preserve"> </w:t>
      </w:r>
      <w:proofErr w:type="spellStart"/>
      <w:r w:rsidR="00A935C2" w:rsidRPr="00464AD3">
        <w:rPr>
          <w:lang w:val="bg-BG"/>
        </w:rPr>
        <w:t>Чантурия</w:t>
      </w:r>
      <w:proofErr w:type="spellEnd"/>
      <w:r w:rsidR="00A935C2" w:rsidRPr="00464AD3">
        <w:rPr>
          <w:lang w:val="bg-BG"/>
        </w:rPr>
        <w:t xml:space="preserve"> (</w:t>
      </w:r>
      <w:proofErr w:type="spellStart"/>
      <w:r w:rsidR="00A935C2" w:rsidRPr="00464AD3">
        <w:rPr>
          <w:lang w:val="bg-BG"/>
        </w:rPr>
        <w:t>Lado</w:t>
      </w:r>
      <w:proofErr w:type="spellEnd"/>
      <w:r w:rsidR="00A935C2" w:rsidRPr="00464AD3">
        <w:rPr>
          <w:lang w:val="bg-BG"/>
        </w:rPr>
        <w:t xml:space="preserve"> </w:t>
      </w:r>
      <w:proofErr w:type="spellStart"/>
      <w:r w:rsidR="00A935C2" w:rsidRPr="00464AD3">
        <w:rPr>
          <w:lang w:val="bg-BG"/>
        </w:rPr>
        <w:t>Chanturia</w:t>
      </w:r>
      <w:proofErr w:type="spellEnd"/>
      <w:r w:rsidR="00A935C2" w:rsidRPr="00464AD3">
        <w:rPr>
          <w:lang w:val="bg-BG"/>
        </w:rPr>
        <w:t>),</w:t>
      </w:r>
      <w:r w:rsidR="00A935C2" w:rsidRPr="00464AD3">
        <w:rPr>
          <w:i/>
          <w:lang w:val="bg-BG"/>
        </w:rPr>
        <w:t xml:space="preserve"> съдии,</w:t>
      </w:r>
      <w:r w:rsidR="00E77CB3" w:rsidRPr="00464AD3">
        <w:rPr>
          <w:lang w:val="bg-BG"/>
        </w:rPr>
        <w:br/>
      </w:r>
      <w:r w:rsidR="00A935C2" w:rsidRPr="00464AD3">
        <w:rPr>
          <w:lang w:val="bg-BG"/>
        </w:rPr>
        <w:t xml:space="preserve">и </w:t>
      </w:r>
      <w:proofErr w:type="spellStart"/>
      <w:r w:rsidR="00A935C2" w:rsidRPr="00464AD3">
        <w:rPr>
          <w:lang w:val="bg-BG"/>
        </w:rPr>
        <w:t>Клаудия</w:t>
      </w:r>
      <w:proofErr w:type="spellEnd"/>
      <w:r w:rsidR="00A935C2" w:rsidRPr="00464AD3">
        <w:rPr>
          <w:lang w:val="bg-BG"/>
        </w:rPr>
        <w:t xml:space="preserve"> </w:t>
      </w:r>
      <w:proofErr w:type="spellStart"/>
      <w:r w:rsidR="00A935C2" w:rsidRPr="00464AD3">
        <w:rPr>
          <w:lang w:val="bg-BG"/>
        </w:rPr>
        <w:t>Вестердик</w:t>
      </w:r>
      <w:proofErr w:type="spellEnd"/>
      <w:r w:rsidR="00A935C2" w:rsidRPr="00464AD3">
        <w:rPr>
          <w:lang w:val="bg-BG"/>
        </w:rPr>
        <w:t xml:space="preserve"> (</w:t>
      </w:r>
      <w:proofErr w:type="spellStart"/>
      <w:r w:rsidR="00A935C2" w:rsidRPr="00464AD3">
        <w:rPr>
          <w:lang w:val="bg-BG"/>
        </w:rPr>
        <w:t>Claudia</w:t>
      </w:r>
      <w:proofErr w:type="spellEnd"/>
      <w:r w:rsidR="00A935C2" w:rsidRPr="00464AD3">
        <w:rPr>
          <w:lang w:val="bg-BG"/>
        </w:rPr>
        <w:t xml:space="preserve"> </w:t>
      </w:r>
      <w:proofErr w:type="spellStart"/>
      <w:r w:rsidR="00A935C2" w:rsidRPr="00464AD3">
        <w:rPr>
          <w:lang w:val="bg-BG"/>
        </w:rPr>
        <w:t>Westerdiek</w:t>
      </w:r>
      <w:proofErr w:type="spellEnd"/>
      <w:r w:rsidR="00A935C2" w:rsidRPr="00464AD3">
        <w:rPr>
          <w:lang w:val="bg-BG"/>
        </w:rPr>
        <w:t xml:space="preserve">), </w:t>
      </w:r>
      <w:r w:rsidR="00A935C2" w:rsidRPr="00464AD3">
        <w:rPr>
          <w:i/>
          <w:lang w:val="bg-BG"/>
        </w:rPr>
        <w:t>секретар на отделението</w:t>
      </w:r>
      <w:r w:rsidR="00E77CB3" w:rsidRPr="00464AD3">
        <w:rPr>
          <w:lang w:val="bg-BG"/>
        </w:rPr>
        <w:t>,</w:t>
      </w:r>
    </w:p>
    <w:p w:rsidR="00E77CB3" w:rsidRPr="00464AD3" w:rsidRDefault="00A935C2" w:rsidP="00D46A4B">
      <w:pPr>
        <w:pStyle w:val="ECHRPara"/>
        <w:rPr>
          <w:lang w:val="bg-BG"/>
        </w:rPr>
      </w:pPr>
      <w:r w:rsidRPr="00464AD3">
        <w:rPr>
          <w:lang w:val="bg-BG"/>
        </w:rPr>
        <w:t>След закрито заседание, проведено на 19 март 2019 г.</w:t>
      </w:r>
      <w:r w:rsidR="00022E3B" w:rsidRPr="00464AD3">
        <w:rPr>
          <w:lang w:val="bg-BG"/>
        </w:rPr>
        <w:t>,</w:t>
      </w:r>
    </w:p>
    <w:p w:rsidR="00E77CB3" w:rsidRPr="00464AD3" w:rsidRDefault="00A935C2" w:rsidP="00D46A4B">
      <w:pPr>
        <w:pStyle w:val="ECHRPara"/>
        <w:rPr>
          <w:lang w:val="bg-BG"/>
        </w:rPr>
      </w:pPr>
      <w:r w:rsidRPr="00464AD3">
        <w:rPr>
          <w:lang w:val="bg-BG"/>
        </w:rPr>
        <w:t>Постановява следното решение, прието на същата дата</w:t>
      </w:r>
      <w:r w:rsidR="00E77CB3" w:rsidRPr="00464AD3">
        <w:rPr>
          <w:lang w:val="bg-BG"/>
        </w:rPr>
        <w:t>:</w:t>
      </w:r>
    </w:p>
    <w:p w:rsidR="00E77CB3" w:rsidRPr="00464AD3" w:rsidRDefault="00A935C2" w:rsidP="00D46A4B">
      <w:pPr>
        <w:pStyle w:val="ECHRTitle1"/>
        <w:rPr>
          <w:lang w:val="bg-BG"/>
        </w:rPr>
      </w:pPr>
      <w:r w:rsidRPr="00464AD3">
        <w:rPr>
          <w:lang w:val="bg-BG"/>
        </w:rPr>
        <w:t>ПРОЦЕДУРА</w:t>
      </w:r>
    </w:p>
    <w:p w:rsidR="00E77CB3" w:rsidRPr="00464AD3" w:rsidRDefault="002A0F8C" w:rsidP="00D46A4B">
      <w:pPr>
        <w:pStyle w:val="ECHRPara"/>
        <w:rPr>
          <w:lang w:val="bg-BG"/>
        </w:rPr>
      </w:pPr>
      <w:r w:rsidRPr="00696858">
        <w:rPr>
          <w:lang w:val="bg-BG"/>
        </w:rPr>
        <w:fldChar w:fldCharType="begin"/>
      </w:r>
      <w:r w:rsidRPr="00696858">
        <w:rPr>
          <w:lang w:val="bg-BG"/>
        </w:rPr>
        <w:instrText xml:space="preserve"> SEQ level0 \*arabic </w:instrText>
      </w:r>
      <w:r w:rsidRPr="00696858">
        <w:rPr>
          <w:lang w:val="bg-BG"/>
        </w:rPr>
        <w:fldChar w:fldCharType="separate"/>
      </w:r>
      <w:r w:rsidR="00D46A4B" w:rsidRPr="00696858">
        <w:rPr>
          <w:noProof/>
          <w:lang w:val="bg-BG"/>
        </w:rPr>
        <w:t>1</w:t>
      </w:r>
      <w:r w:rsidRPr="00696858">
        <w:rPr>
          <w:lang w:val="bg-BG"/>
        </w:rPr>
        <w:fldChar w:fldCharType="end"/>
      </w:r>
      <w:r w:rsidR="00E77CB3" w:rsidRPr="00696858">
        <w:rPr>
          <w:lang w:val="bg-BG"/>
        </w:rPr>
        <w:t>.  </w:t>
      </w:r>
      <w:r w:rsidR="00431BBC" w:rsidRPr="00696858">
        <w:rPr>
          <w:lang w:val="bg-BG"/>
        </w:rPr>
        <w:t xml:space="preserve">Делото е образувано по жалба (№ 11260/10) срещу Република България, подадена в Съда </w:t>
      </w:r>
      <w:r w:rsidR="00BA55C1" w:rsidRPr="004B4BEB">
        <w:rPr>
          <w:lang w:val="bg-BG"/>
        </w:rPr>
        <w:t>на 25 януари 2010 г</w:t>
      </w:r>
      <w:r w:rsidR="00BA55C1" w:rsidRPr="00696858">
        <w:rPr>
          <w:lang w:val="bg-BG"/>
        </w:rPr>
        <w:t>.</w:t>
      </w:r>
      <w:r w:rsidR="00431BBC" w:rsidRPr="004B4BEB">
        <w:rPr>
          <w:lang w:val="bg-BG"/>
        </w:rPr>
        <w:t xml:space="preserve">на основание чл. 34 от Конвенцията за защита на правата на човека и основните свободи („Конвенцията“) от </w:t>
      </w:r>
      <w:r w:rsidR="009871CD" w:rsidRPr="004B4BEB">
        <w:rPr>
          <w:lang w:val="bg-BG"/>
        </w:rPr>
        <w:t>български</w:t>
      </w:r>
      <w:r w:rsidR="00BA55C1">
        <w:rPr>
          <w:lang w:val="bg-BG"/>
        </w:rPr>
        <w:t>те</w:t>
      </w:r>
      <w:r w:rsidR="009871CD" w:rsidRPr="004B4BEB">
        <w:rPr>
          <w:lang w:val="bg-BG"/>
        </w:rPr>
        <w:t xml:space="preserve"> граждани</w:t>
      </w:r>
      <w:r w:rsidR="00431BBC" w:rsidRPr="004B4BEB">
        <w:rPr>
          <w:lang w:val="bg-BG"/>
        </w:rPr>
        <w:t>, г-</w:t>
      </w:r>
      <w:r w:rsidR="009871CD" w:rsidRPr="004B4BEB">
        <w:rPr>
          <w:lang w:val="bg-BG"/>
        </w:rPr>
        <w:t xml:space="preserve">жа Марийка </w:t>
      </w:r>
      <w:r w:rsidR="004C44CB" w:rsidRPr="004B4BEB">
        <w:rPr>
          <w:lang w:val="bg-BG"/>
        </w:rPr>
        <w:t xml:space="preserve">Тодорова </w:t>
      </w:r>
      <w:r w:rsidR="009871CD" w:rsidRPr="004B4BEB">
        <w:rPr>
          <w:lang w:val="bg-BG"/>
        </w:rPr>
        <w:t xml:space="preserve">Попова и г-н </w:t>
      </w:r>
      <w:r w:rsidR="004C44CB" w:rsidRPr="004B4BEB">
        <w:rPr>
          <w:lang w:val="bg-BG"/>
        </w:rPr>
        <w:t>Асен Аспарухов Попов</w:t>
      </w:r>
      <w:r w:rsidR="00431BBC" w:rsidRPr="004B4BEB">
        <w:rPr>
          <w:lang w:val="bg-BG"/>
        </w:rPr>
        <w:t xml:space="preserve"> („жалбоподател</w:t>
      </w:r>
      <w:r w:rsidR="004C44CB" w:rsidRPr="004B4BEB">
        <w:rPr>
          <w:lang w:val="bg-BG"/>
        </w:rPr>
        <w:t>ите</w:t>
      </w:r>
      <w:r w:rsidR="00431BBC" w:rsidRPr="004B4BEB">
        <w:rPr>
          <w:lang w:val="bg-BG"/>
        </w:rPr>
        <w:t>“)</w:t>
      </w:r>
      <w:r w:rsidR="00BA55C1">
        <w:rPr>
          <w:lang w:val="bg-BG"/>
        </w:rPr>
        <w:t>.</w:t>
      </w:r>
      <w:r w:rsidR="00696858" w:rsidRPr="004B4BEB">
        <w:rPr>
          <w:lang w:val="bg-BG"/>
        </w:rPr>
        <w:t xml:space="preserve"> </w:t>
      </w:r>
    </w:p>
    <w:p w:rsidR="002A0F8C" w:rsidRPr="00464AD3" w:rsidRDefault="002A0F8C" w:rsidP="00D46A4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="00D46A4B" w:rsidRPr="00464AD3">
        <w:rPr>
          <w:noProof/>
          <w:lang w:val="bg-BG"/>
        </w:rPr>
        <w:t>2</w:t>
      </w:r>
      <w:r w:rsidRPr="00464AD3">
        <w:rPr>
          <w:lang w:val="bg-BG"/>
        </w:rPr>
        <w:fldChar w:fldCharType="end"/>
      </w:r>
      <w:r w:rsidR="00E77CB3" w:rsidRPr="00464AD3">
        <w:rPr>
          <w:lang w:val="bg-BG"/>
        </w:rPr>
        <w:t>.  </w:t>
      </w:r>
      <w:r w:rsidR="00081309" w:rsidRPr="00464AD3">
        <w:rPr>
          <w:lang w:val="bg-BG"/>
        </w:rPr>
        <w:t>Жалбоподателите се представляват от г-н С. Щерев, адвокат, практикуващ в София. Българското правителство („Правителството“) се представлява от правителствения агент г-жа М. Димитрова от Министерството на правосъдието.</w:t>
      </w:r>
    </w:p>
    <w:p w:rsidR="008567B9" w:rsidRPr="00464AD3" w:rsidRDefault="002A0F8C" w:rsidP="00D46A4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="00D46A4B" w:rsidRPr="00464AD3">
        <w:rPr>
          <w:noProof/>
          <w:lang w:val="bg-BG"/>
        </w:rPr>
        <w:t>3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</w:t>
      </w:r>
      <w:r w:rsidR="00081309" w:rsidRPr="00464AD3">
        <w:rPr>
          <w:lang w:val="bg-BG"/>
        </w:rPr>
        <w:t xml:space="preserve">Жалбоподателите се оплакват от </w:t>
      </w:r>
      <w:r w:rsidR="00696858">
        <w:rPr>
          <w:lang w:val="bg-BG"/>
        </w:rPr>
        <w:t xml:space="preserve">наличието на </w:t>
      </w:r>
      <w:r w:rsidR="00BA55C1">
        <w:rPr>
          <w:lang w:val="bg-BG"/>
        </w:rPr>
        <w:t>противоречива</w:t>
      </w:r>
      <w:r w:rsidR="00081309" w:rsidRPr="00464AD3">
        <w:rPr>
          <w:lang w:val="bg-BG"/>
        </w:rPr>
        <w:t xml:space="preserve"> </w:t>
      </w:r>
      <w:r w:rsidR="00BA55C1">
        <w:rPr>
          <w:lang w:val="bg-BG"/>
        </w:rPr>
        <w:t>съдебна</w:t>
      </w:r>
      <w:r w:rsidR="00464AD3" w:rsidRPr="00464AD3">
        <w:rPr>
          <w:lang w:val="bg-BG"/>
        </w:rPr>
        <w:t xml:space="preserve"> </w:t>
      </w:r>
      <w:r w:rsidR="00081309" w:rsidRPr="00464AD3">
        <w:rPr>
          <w:lang w:val="bg-BG"/>
        </w:rPr>
        <w:t xml:space="preserve">практика на българския Върховен </w:t>
      </w:r>
      <w:r w:rsidR="00081309" w:rsidRPr="00696858">
        <w:rPr>
          <w:lang w:val="bg-BG"/>
        </w:rPr>
        <w:t xml:space="preserve">касационен съд, което </w:t>
      </w:r>
      <w:r w:rsidR="00696858" w:rsidRPr="00442A9A">
        <w:rPr>
          <w:lang w:val="bg-BG"/>
        </w:rPr>
        <w:t xml:space="preserve">води </w:t>
      </w:r>
      <w:r w:rsidR="00081309" w:rsidRPr="004B4BEB">
        <w:rPr>
          <w:lang w:val="bg-BG"/>
        </w:rPr>
        <w:t xml:space="preserve">до отхвърляне </w:t>
      </w:r>
      <w:r w:rsidR="00BA55C1" w:rsidRPr="004B4BEB">
        <w:rPr>
          <w:lang w:val="bg-BG"/>
        </w:rPr>
        <w:t xml:space="preserve">от тази съдебна инстанция </w:t>
      </w:r>
      <w:r w:rsidR="00464AD3" w:rsidRPr="004B4BEB">
        <w:rPr>
          <w:lang w:val="bg-BG"/>
        </w:rPr>
        <w:t xml:space="preserve">на </w:t>
      </w:r>
      <w:r w:rsidR="00696858" w:rsidRPr="004B4BEB">
        <w:rPr>
          <w:lang w:val="bg-BG"/>
        </w:rPr>
        <w:t xml:space="preserve">предявените </w:t>
      </w:r>
      <w:r w:rsidR="00464AD3" w:rsidRPr="004B4BEB">
        <w:rPr>
          <w:lang w:val="bg-BG"/>
        </w:rPr>
        <w:t>от тях искове</w:t>
      </w:r>
      <w:r w:rsidR="00242237" w:rsidRPr="004B4BEB">
        <w:rPr>
          <w:lang w:val="bg-BG"/>
        </w:rPr>
        <w:t xml:space="preserve">. Същите твърдят, че това положение противоречи на принципа </w:t>
      </w:r>
      <w:r w:rsidR="00464AD3" w:rsidRPr="004B4BEB">
        <w:rPr>
          <w:lang w:val="bg-BG"/>
        </w:rPr>
        <w:t>з</w:t>
      </w:r>
      <w:r w:rsidR="00242237" w:rsidRPr="004B4BEB">
        <w:rPr>
          <w:lang w:val="bg-BG"/>
        </w:rPr>
        <w:t>а правна сигурност</w:t>
      </w:r>
      <w:r w:rsidR="00242237" w:rsidRPr="00696858">
        <w:rPr>
          <w:lang w:val="bg-BG"/>
        </w:rPr>
        <w:t>, гарантиран от</w:t>
      </w:r>
      <w:r w:rsidR="00242237" w:rsidRPr="00464AD3">
        <w:rPr>
          <w:lang w:val="bg-BG"/>
        </w:rPr>
        <w:t xml:space="preserve"> чл. 6</w:t>
      </w:r>
      <w:r w:rsidR="00464AD3">
        <w:rPr>
          <w:lang w:val="bg-BG"/>
        </w:rPr>
        <w:t xml:space="preserve"> </w:t>
      </w:r>
      <w:r w:rsidR="00464AD3" w:rsidRPr="00464AD3">
        <w:rPr>
          <w:lang w:val="bg-BG"/>
        </w:rPr>
        <w:t>§</w:t>
      </w:r>
      <w:r w:rsidR="00464AD3">
        <w:rPr>
          <w:lang w:val="bg-BG"/>
        </w:rPr>
        <w:t xml:space="preserve"> </w:t>
      </w:r>
      <w:r w:rsidR="00242237" w:rsidRPr="00464AD3">
        <w:rPr>
          <w:lang w:val="bg-BG"/>
        </w:rPr>
        <w:t xml:space="preserve">1 </w:t>
      </w:r>
      <w:r w:rsidR="00464AD3">
        <w:rPr>
          <w:lang w:val="bg-BG"/>
        </w:rPr>
        <w:t>от</w:t>
      </w:r>
      <w:r w:rsidR="00242237" w:rsidRPr="00464AD3">
        <w:rPr>
          <w:lang w:val="bg-BG"/>
        </w:rPr>
        <w:t xml:space="preserve"> Конвенцията.</w:t>
      </w:r>
    </w:p>
    <w:p w:rsidR="00E77CB3" w:rsidRPr="00464AD3" w:rsidRDefault="002A0F8C" w:rsidP="00D46A4B">
      <w:pPr>
        <w:pStyle w:val="ECHRPara"/>
        <w:rPr>
          <w:szCs w:val="24"/>
          <w:lang w:val="bg-BG" w:eastAsia="en-GB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="00D46A4B" w:rsidRPr="00464AD3">
        <w:rPr>
          <w:noProof/>
          <w:lang w:val="bg-BG"/>
        </w:rPr>
        <w:t>4</w:t>
      </w:r>
      <w:r w:rsidRPr="00464AD3">
        <w:rPr>
          <w:lang w:val="bg-BG"/>
        </w:rPr>
        <w:fldChar w:fldCharType="end"/>
      </w:r>
      <w:r w:rsidR="00E77CB3" w:rsidRPr="00464AD3">
        <w:rPr>
          <w:lang w:val="bg-BG"/>
        </w:rPr>
        <w:t>.  </w:t>
      </w:r>
      <w:r w:rsidR="00242237" w:rsidRPr="00464AD3">
        <w:rPr>
          <w:lang w:val="bg-BG"/>
        </w:rPr>
        <w:t xml:space="preserve">На 5 септември 2017 г. Правителството </w:t>
      </w:r>
      <w:r w:rsidR="00242237" w:rsidRPr="00696858">
        <w:rPr>
          <w:lang w:val="bg-BG"/>
        </w:rPr>
        <w:t xml:space="preserve">е уведомено за </w:t>
      </w:r>
      <w:r w:rsidR="00BA55C1">
        <w:rPr>
          <w:lang w:val="bg-BG"/>
        </w:rPr>
        <w:t>жалбата</w:t>
      </w:r>
      <w:r w:rsidR="00242237" w:rsidRPr="00696858">
        <w:rPr>
          <w:lang w:val="bg-BG"/>
        </w:rPr>
        <w:t>.</w:t>
      </w:r>
    </w:p>
    <w:p w:rsidR="00E77CB3" w:rsidRPr="00464AD3" w:rsidRDefault="00242237" w:rsidP="00D46A4B">
      <w:pPr>
        <w:pStyle w:val="ECHRTitle1"/>
        <w:tabs>
          <w:tab w:val="left" w:pos="5387"/>
        </w:tabs>
        <w:rPr>
          <w:lang w:val="bg-BG"/>
        </w:rPr>
      </w:pPr>
      <w:r w:rsidRPr="00464AD3">
        <w:rPr>
          <w:lang w:val="bg-BG"/>
        </w:rPr>
        <w:lastRenderedPageBreak/>
        <w:t>ФАКТИТЕ</w:t>
      </w:r>
    </w:p>
    <w:p w:rsidR="00E77CB3" w:rsidRPr="00464AD3" w:rsidRDefault="00E77CB3" w:rsidP="00D46A4B">
      <w:pPr>
        <w:pStyle w:val="ECHRHeading1"/>
        <w:rPr>
          <w:lang w:val="bg-BG"/>
        </w:rPr>
      </w:pPr>
      <w:r w:rsidRPr="00464AD3">
        <w:rPr>
          <w:lang w:val="bg-BG"/>
        </w:rPr>
        <w:t>I.  </w:t>
      </w:r>
      <w:r w:rsidR="00242237" w:rsidRPr="00464AD3">
        <w:rPr>
          <w:lang w:val="bg-BG"/>
        </w:rPr>
        <w:t>ОБСТОЯТЕЛСТВАТА ПО ДЕЛОТО</w:t>
      </w:r>
    </w:p>
    <w:p w:rsidR="00E77CB3" w:rsidRPr="00464AD3" w:rsidRDefault="002A0F8C" w:rsidP="00D46A4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="00D46A4B" w:rsidRPr="00464AD3">
        <w:rPr>
          <w:noProof/>
          <w:lang w:val="bg-BG"/>
        </w:rPr>
        <w:t>5</w:t>
      </w:r>
      <w:r w:rsidRPr="00464AD3">
        <w:rPr>
          <w:lang w:val="bg-BG"/>
        </w:rPr>
        <w:fldChar w:fldCharType="end"/>
      </w:r>
      <w:r w:rsidR="00E77CB3" w:rsidRPr="00464AD3">
        <w:rPr>
          <w:lang w:val="bg-BG"/>
        </w:rPr>
        <w:t>.  </w:t>
      </w:r>
      <w:r w:rsidR="00406DE6" w:rsidRPr="00464AD3">
        <w:rPr>
          <w:lang w:val="bg-BG"/>
        </w:rPr>
        <w:t xml:space="preserve">Жалбоподателите са родени съответно през 1941 г. и 1936 г. и живеят в село Дорково. </w:t>
      </w:r>
      <w:r w:rsidR="00464AD3">
        <w:rPr>
          <w:lang w:val="bg-BG"/>
        </w:rPr>
        <w:t>Те</w:t>
      </w:r>
      <w:r w:rsidR="00406DE6" w:rsidRPr="00464AD3">
        <w:rPr>
          <w:lang w:val="bg-BG"/>
        </w:rPr>
        <w:t xml:space="preserve"> са женени.</w:t>
      </w:r>
    </w:p>
    <w:p w:rsidR="008D4B68" w:rsidRPr="00464AD3" w:rsidRDefault="002A0F8C" w:rsidP="00D46A4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="00D46A4B" w:rsidRPr="00464AD3">
        <w:rPr>
          <w:noProof/>
          <w:lang w:val="bg-BG"/>
        </w:rPr>
        <w:t>6</w:t>
      </w:r>
      <w:r w:rsidRPr="00464AD3">
        <w:rPr>
          <w:lang w:val="bg-BG"/>
        </w:rPr>
        <w:fldChar w:fldCharType="end"/>
      </w:r>
      <w:r w:rsidR="00E77CB3" w:rsidRPr="00464AD3">
        <w:rPr>
          <w:lang w:val="bg-BG"/>
        </w:rPr>
        <w:t>.  </w:t>
      </w:r>
      <w:r w:rsidR="00BA55C1">
        <w:rPr>
          <w:lang w:val="bg-BG"/>
        </w:rPr>
        <w:t>На 16 май 2004 г.</w:t>
      </w:r>
      <w:r w:rsidR="00E81422" w:rsidRPr="00464AD3">
        <w:rPr>
          <w:lang w:val="bg-BG"/>
        </w:rPr>
        <w:t xml:space="preserve"> дъщеря им К.Д. загива в автомобилна катастрофа. Образувано е наказателно производство срещу С.В., водача на автомобила, </w:t>
      </w:r>
      <w:r w:rsidR="00E81422" w:rsidRPr="00242290">
        <w:rPr>
          <w:lang w:val="bg-BG"/>
        </w:rPr>
        <w:t>причинил инцидента. Жалбоподателите, синът и съпругът на К.Д., както и дру</w:t>
      </w:r>
      <w:r w:rsidR="00E81422" w:rsidRPr="00442A9A">
        <w:rPr>
          <w:lang w:val="bg-BG"/>
        </w:rPr>
        <w:t>г</w:t>
      </w:r>
      <w:r w:rsidR="00160A79" w:rsidRPr="00442A9A">
        <w:rPr>
          <w:lang w:val="bg-BG"/>
        </w:rPr>
        <w:t>ият пострадал при</w:t>
      </w:r>
      <w:r w:rsidR="00E81422" w:rsidRPr="004B4BEB">
        <w:rPr>
          <w:lang w:val="bg-BG"/>
        </w:rPr>
        <w:t xml:space="preserve"> катастрофата, Т.Б., са конституирани като граждански ищци.</w:t>
      </w:r>
    </w:p>
    <w:p w:rsidR="008D4B68" w:rsidRPr="004B4BEB" w:rsidRDefault="008D4B68" w:rsidP="00D46A4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="00D46A4B" w:rsidRPr="00464AD3">
        <w:rPr>
          <w:noProof/>
          <w:lang w:val="bg-BG"/>
        </w:rPr>
        <w:t>7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</w:t>
      </w:r>
      <w:r w:rsidR="00FB61CE" w:rsidRPr="00464AD3">
        <w:rPr>
          <w:lang w:val="bg-BG"/>
        </w:rPr>
        <w:t>С окончателно решение от 18 ноември 2004 г., постановено след установяването на фактите, Окръж</w:t>
      </w:r>
      <w:r w:rsidR="007E10C1">
        <w:rPr>
          <w:lang w:val="bg-BG"/>
        </w:rPr>
        <w:t>е</w:t>
      </w:r>
      <w:r w:rsidR="00BA55C1">
        <w:rPr>
          <w:lang w:val="bg-BG"/>
        </w:rPr>
        <w:t xml:space="preserve">н съд - </w:t>
      </w:r>
      <w:r w:rsidR="00FB61CE" w:rsidRPr="00464AD3">
        <w:rPr>
          <w:lang w:val="bg-BG"/>
        </w:rPr>
        <w:t xml:space="preserve">Пазарджик признава С.В. за виновен </w:t>
      </w:r>
      <w:r w:rsidR="00567387" w:rsidRPr="00464AD3">
        <w:rPr>
          <w:lang w:val="bg-BG"/>
        </w:rPr>
        <w:t xml:space="preserve">за това, че по непредпазливост </w:t>
      </w:r>
      <w:r w:rsidR="007E10C1">
        <w:rPr>
          <w:lang w:val="bg-BG"/>
        </w:rPr>
        <w:t xml:space="preserve">е </w:t>
      </w:r>
      <w:r w:rsidR="00567387" w:rsidRPr="00464AD3">
        <w:rPr>
          <w:lang w:val="bg-BG"/>
        </w:rPr>
        <w:t>причин</w:t>
      </w:r>
      <w:r w:rsidR="00BA2393">
        <w:rPr>
          <w:lang w:val="bg-BG"/>
        </w:rPr>
        <w:t>ил</w:t>
      </w:r>
      <w:r w:rsidR="00567387" w:rsidRPr="00464AD3">
        <w:rPr>
          <w:lang w:val="bg-BG"/>
        </w:rPr>
        <w:t xml:space="preserve"> смъртта на дъщерята на жалбоподателите</w:t>
      </w:r>
      <w:r w:rsidR="00B3158A">
        <w:rPr>
          <w:lang w:val="bg-BG"/>
        </w:rPr>
        <w:t>, както и</w:t>
      </w:r>
      <w:r w:rsidR="00567387" w:rsidRPr="00464AD3">
        <w:rPr>
          <w:lang w:val="bg-BG"/>
        </w:rPr>
        <w:t xml:space="preserve"> физически</w:t>
      </w:r>
      <w:r w:rsidR="00BA55C1">
        <w:rPr>
          <w:lang w:val="bg-BG"/>
        </w:rPr>
        <w:t xml:space="preserve"> наранявания на Т.Б. Освен това съдът</w:t>
      </w:r>
      <w:r w:rsidR="00567387" w:rsidRPr="00464AD3">
        <w:rPr>
          <w:lang w:val="bg-BG"/>
        </w:rPr>
        <w:t xml:space="preserve"> осъжда С.В. да заплати следните суми </w:t>
      </w:r>
      <w:r w:rsidR="00085467" w:rsidRPr="00464AD3">
        <w:rPr>
          <w:lang w:val="bg-BG"/>
        </w:rPr>
        <w:t>като</w:t>
      </w:r>
      <w:r w:rsidR="00567387" w:rsidRPr="00464AD3">
        <w:rPr>
          <w:lang w:val="bg-BG"/>
        </w:rPr>
        <w:t xml:space="preserve"> обезщетения </w:t>
      </w:r>
      <w:r w:rsidR="00085467" w:rsidRPr="00464AD3">
        <w:rPr>
          <w:lang w:val="bg-BG"/>
        </w:rPr>
        <w:t>за вреди</w:t>
      </w:r>
      <w:r w:rsidR="00567387" w:rsidRPr="00464AD3">
        <w:rPr>
          <w:lang w:val="bg-BG"/>
        </w:rPr>
        <w:t xml:space="preserve">: </w:t>
      </w:r>
      <w:r w:rsidRPr="00464AD3">
        <w:rPr>
          <w:lang w:val="bg-BG"/>
        </w:rPr>
        <w:t>35</w:t>
      </w:r>
      <w:r w:rsidR="00BB739E" w:rsidRPr="00464AD3">
        <w:rPr>
          <w:lang w:val="bg-BG"/>
        </w:rPr>
        <w:t> </w:t>
      </w:r>
      <w:r w:rsidRPr="00464AD3">
        <w:rPr>
          <w:lang w:val="bg-BG"/>
        </w:rPr>
        <w:t>000</w:t>
      </w:r>
      <w:r w:rsidR="00567387" w:rsidRPr="00464AD3">
        <w:rPr>
          <w:lang w:val="bg-BG"/>
        </w:rPr>
        <w:t xml:space="preserve"> </w:t>
      </w:r>
      <w:r w:rsidR="007E10C1">
        <w:rPr>
          <w:lang w:val="bg-BG"/>
        </w:rPr>
        <w:t>лв.</w:t>
      </w:r>
      <w:r w:rsidRPr="00242290">
        <w:rPr>
          <w:lang w:val="bg-BG"/>
        </w:rPr>
        <w:t xml:space="preserve"> </w:t>
      </w:r>
      <w:r w:rsidR="00567387" w:rsidRPr="00242290">
        <w:rPr>
          <w:lang w:val="bg-BG"/>
        </w:rPr>
        <w:t>на всеки от жалбоподателите</w:t>
      </w:r>
      <w:r w:rsidRPr="00242290">
        <w:rPr>
          <w:lang w:val="bg-BG"/>
        </w:rPr>
        <w:t xml:space="preserve">, 100 000 </w:t>
      </w:r>
      <w:r w:rsidR="00242290" w:rsidRPr="004B4BEB">
        <w:rPr>
          <w:lang w:val="bg-BG"/>
        </w:rPr>
        <w:t xml:space="preserve">лв. </w:t>
      </w:r>
      <w:r w:rsidR="00567387" w:rsidRPr="004B4BEB">
        <w:rPr>
          <w:lang w:val="bg-BG"/>
        </w:rPr>
        <w:t>на съпруга на К.Д.</w:t>
      </w:r>
      <w:r w:rsidRPr="004B4BEB">
        <w:rPr>
          <w:lang w:val="bg-BG"/>
        </w:rPr>
        <w:t xml:space="preserve">, 50 000 </w:t>
      </w:r>
      <w:r w:rsidR="00242290" w:rsidRPr="004B4BEB">
        <w:rPr>
          <w:lang w:val="bg-BG"/>
        </w:rPr>
        <w:t xml:space="preserve">лв. </w:t>
      </w:r>
      <w:r w:rsidR="00567387" w:rsidRPr="004B4BEB">
        <w:rPr>
          <w:lang w:val="bg-BG"/>
        </w:rPr>
        <w:t xml:space="preserve">на сина на К.Д. и </w:t>
      </w:r>
      <w:r w:rsidRPr="004B4BEB">
        <w:rPr>
          <w:lang w:val="bg-BG"/>
        </w:rPr>
        <w:t xml:space="preserve">20 000 </w:t>
      </w:r>
      <w:r w:rsidR="00242290" w:rsidRPr="004B4BEB">
        <w:rPr>
          <w:lang w:val="bg-BG"/>
        </w:rPr>
        <w:t xml:space="preserve">лв. </w:t>
      </w:r>
      <w:r w:rsidR="00567387" w:rsidRPr="004B4BEB">
        <w:rPr>
          <w:lang w:val="bg-BG"/>
        </w:rPr>
        <w:t>на Т.Б.</w:t>
      </w:r>
    </w:p>
    <w:p w:rsidR="008D4B68" w:rsidRPr="00464AD3" w:rsidRDefault="008D4B68" w:rsidP="00D46A4B">
      <w:pPr>
        <w:pStyle w:val="ECHRPara"/>
        <w:rPr>
          <w:lang w:val="bg-BG"/>
        </w:rPr>
      </w:pPr>
      <w:r w:rsidRPr="004B4BEB">
        <w:rPr>
          <w:lang w:val="bg-BG"/>
        </w:rPr>
        <w:fldChar w:fldCharType="begin"/>
      </w:r>
      <w:r w:rsidRPr="004B4BEB">
        <w:rPr>
          <w:lang w:val="bg-BG"/>
        </w:rPr>
        <w:instrText xml:space="preserve"> SEQ level0 \*arabic </w:instrText>
      </w:r>
      <w:r w:rsidRPr="004B4BEB">
        <w:rPr>
          <w:lang w:val="bg-BG"/>
        </w:rPr>
        <w:fldChar w:fldCharType="separate"/>
      </w:r>
      <w:r w:rsidR="00D46A4B" w:rsidRPr="004B4BEB">
        <w:rPr>
          <w:noProof/>
          <w:lang w:val="bg-BG"/>
        </w:rPr>
        <w:t>8</w:t>
      </w:r>
      <w:r w:rsidRPr="004B4BEB">
        <w:rPr>
          <w:lang w:val="bg-BG"/>
        </w:rPr>
        <w:fldChar w:fldCharType="end"/>
      </w:r>
      <w:r w:rsidRPr="004B4BEB">
        <w:rPr>
          <w:lang w:val="bg-BG"/>
        </w:rPr>
        <w:t>.  </w:t>
      </w:r>
      <w:r w:rsidR="00242290">
        <w:rPr>
          <w:lang w:val="bg-BG"/>
        </w:rPr>
        <w:t>На ж</w:t>
      </w:r>
      <w:r w:rsidR="00C018E2" w:rsidRPr="00242290">
        <w:rPr>
          <w:lang w:val="bg-BG"/>
        </w:rPr>
        <w:t>албоподателите и тримата други граждански</w:t>
      </w:r>
      <w:r w:rsidR="00C018E2" w:rsidRPr="00464AD3">
        <w:rPr>
          <w:lang w:val="bg-BG"/>
        </w:rPr>
        <w:t xml:space="preserve"> ищци </w:t>
      </w:r>
      <w:r w:rsidR="00242290">
        <w:rPr>
          <w:lang w:val="bg-BG"/>
        </w:rPr>
        <w:t>са</w:t>
      </w:r>
      <w:r w:rsidR="00242290" w:rsidRPr="00464AD3">
        <w:rPr>
          <w:lang w:val="bg-BG"/>
        </w:rPr>
        <w:t xml:space="preserve"> </w:t>
      </w:r>
      <w:r w:rsidR="00242290">
        <w:rPr>
          <w:lang w:val="bg-BG"/>
        </w:rPr>
        <w:t>издадени</w:t>
      </w:r>
      <w:r w:rsidR="00400EAB" w:rsidRPr="00464AD3">
        <w:rPr>
          <w:lang w:val="bg-BG"/>
        </w:rPr>
        <w:t xml:space="preserve"> изпълнителни листове, но </w:t>
      </w:r>
      <w:r w:rsidR="00242290">
        <w:rPr>
          <w:lang w:val="bg-BG"/>
        </w:rPr>
        <w:t xml:space="preserve">те </w:t>
      </w:r>
      <w:r w:rsidR="00400EAB" w:rsidRPr="00464AD3">
        <w:rPr>
          <w:lang w:val="bg-BG"/>
        </w:rPr>
        <w:t>не успяват да получат присъдените суми поради неплатежоспособността на С.В. През 2005 г. всеки от тях предявява самостоятелно иск срещу застрахователната компания, с която С.В. има сключен</w:t>
      </w:r>
      <w:r w:rsidR="00BA55C1">
        <w:rPr>
          <w:lang w:val="bg-BG"/>
        </w:rPr>
        <w:t xml:space="preserve"> застрахователен договор за</w:t>
      </w:r>
      <w:r w:rsidR="003C6552">
        <w:rPr>
          <w:lang w:val="bg-BG"/>
        </w:rPr>
        <w:t xml:space="preserve"> гражданска</w:t>
      </w:r>
      <w:r w:rsidR="00BA55C1">
        <w:rPr>
          <w:lang w:val="bg-BG"/>
        </w:rPr>
        <w:t xml:space="preserve"> отговорност</w:t>
      </w:r>
      <w:r w:rsidR="00400EAB" w:rsidRPr="00464AD3">
        <w:rPr>
          <w:lang w:val="bg-BG"/>
        </w:rPr>
        <w:t>. Те ис</w:t>
      </w:r>
      <w:r w:rsidR="00BA55C1">
        <w:rPr>
          <w:lang w:val="bg-BG"/>
        </w:rPr>
        <w:t>кат да им бъдат платени</w:t>
      </w:r>
      <w:r w:rsidR="00400EAB" w:rsidRPr="00464AD3">
        <w:rPr>
          <w:lang w:val="bg-BG"/>
        </w:rPr>
        <w:t xml:space="preserve"> присъдените суми за обезщетения </w:t>
      </w:r>
      <w:r w:rsidR="00085467" w:rsidRPr="00464AD3">
        <w:rPr>
          <w:lang w:val="bg-BG"/>
        </w:rPr>
        <w:t>за вреди</w:t>
      </w:r>
      <w:r w:rsidR="00400EAB" w:rsidRPr="00464AD3">
        <w:rPr>
          <w:lang w:val="bg-BG"/>
        </w:rPr>
        <w:t xml:space="preserve"> </w:t>
      </w:r>
      <w:r w:rsidR="007E10C1">
        <w:rPr>
          <w:lang w:val="bg-BG"/>
        </w:rPr>
        <w:t>съгласно</w:t>
      </w:r>
      <w:r w:rsidR="00400EAB" w:rsidRPr="00464AD3">
        <w:rPr>
          <w:lang w:val="bg-BG"/>
        </w:rPr>
        <w:t xml:space="preserve"> чл. 407, ал. 1 от Търговския закон.</w:t>
      </w:r>
    </w:p>
    <w:p w:rsidR="008D4B68" w:rsidRPr="00464AD3" w:rsidRDefault="008D4B68" w:rsidP="00D46A4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="00D46A4B" w:rsidRPr="00464AD3">
        <w:rPr>
          <w:noProof/>
          <w:lang w:val="bg-BG"/>
        </w:rPr>
        <w:t>9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</w:t>
      </w:r>
      <w:r w:rsidR="00D40D68" w:rsidRPr="00464AD3">
        <w:rPr>
          <w:lang w:val="bg-BG"/>
        </w:rPr>
        <w:t>С две решения от 17 юли 2006 г. Софийс</w:t>
      </w:r>
      <w:r w:rsidR="00BA55C1">
        <w:rPr>
          <w:lang w:val="bg-BG"/>
        </w:rPr>
        <w:t>ки градски съд уважава исковете</w:t>
      </w:r>
      <w:r w:rsidR="00D40D68" w:rsidRPr="00464AD3">
        <w:rPr>
          <w:lang w:val="bg-BG"/>
        </w:rPr>
        <w:t xml:space="preserve"> на съпруга и на сина на К.Д. за 20 000 </w:t>
      </w:r>
      <w:r w:rsidR="007E10C1">
        <w:rPr>
          <w:lang w:val="bg-BG"/>
        </w:rPr>
        <w:t>лв.</w:t>
      </w:r>
      <w:r w:rsidR="007E10C1" w:rsidRPr="00464AD3">
        <w:rPr>
          <w:lang w:val="bg-BG"/>
        </w:rPr>
        <w:t xml:space="preserve"> </w:t>
      </w:r>
      <w:r w:rsidR="00D40D68" w:rsidRPr="00464AD3">
        <w:rPr>
          <w:lang w:val="bg-BG"/>
        </w:rPr>
        <w:t>и</w:t>
      </w:r>
      <w:r w:rsidRPr="00464AD3">
        <w:rPr>
          <w:lang w:val="bg-BG"/>
        </w:rPr>
        <w:t xml:space="preserve"> 25</w:t>
      </w:r>
      <w:r w:rsidR="00D40D68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000 </w:t>
      </w:r>
      <w:r w:rsidR="007E10C1">
        <w:rPr>
          <w:lang w:val="bg-BG"/>
        </w:rPr>
        <w:t>лв.</w:t>
      </w:r>
      <w:r w:rsidR="007E10C1" w:rsidRPr="007E10C1">
        <w:rPr>
          <w:lang w:val="bg-BG"/>
        </w:rPr>
        <w:t xml:space="preserve"> </w:t>
      </w:r>
      <w:r w:rsidR="007E10C1" w:rsidRPr="00464AD3">
        <w:rPr>
          <w:lang w:val="bg-BG"/>
        </w:rPr>
        <w:t>съответно</w:t>
      </w:r>
      <w:r w:rsidRPr="00464AD3">
        <w:rPr>
          <w:lang w:val="bg-BG"/>
        </w:rPr>
        <w:t xml:space="preserve">, </w:t>
      </w:r>
      <w:r w:rsidR="001D2E5D">
        <w:rPr>
          <w:lang w:val="bg-BG"/>
        </w:rPr>
        <w:t>а</w:t>
      </w:r>
      <w:r w:rsidR="00D40D68" w:rsidRPr="00464AD3">
        <w:rPr>
          <w:lang w:val="bg-BG"/>
        </w:rPr>
        <w:t xml:space="preserve"> на другия пострадал при катастрофата, Т.Б., сумата от 16 000 </w:t>
      </w:r>
      <w:r w:rsidR="007E10C1">
        <w:rPr>
          <w:lang w:val="bg-BG"/>
        </w:rPr>
        <w:t>лв</w:t>
      </w:r>
      <w:r w:rsidRPr="00464AD3">
        <w:rPr>
          <w:lang w:val="bg-BG"/>
        </w:rPr>
        <w:t xml:space="preserve">. </w:t>
      </w:r>
      <w:r w:rsidR="00D40D68" w:rsidRPr="00464AD3">
        <w:rPr>
          <w:lang w:val="bg-BG"/>
        </w:rPr>
        <w:t xml:space="preserve">С решение от 2 февруари 2007 г., потвърдено на 1 август 2007 г. от Върховния касационен съд, </w:t>
      </w:r>
      <w:r w:rsidR="00FC35CD">
        <w:rPr>
          <w:lang w:val="bg-BG"/>
        </w:rPr>
        <w:t>Апелативен</w:t>
      </w:r>
      <w:r w:rsidR="00FC35CD" w:rsidRPr="00464AD3">
        <w:rPr>
          <w:lang w:val="bg-BG"/>
        </w:rPr>
        <w:t xml:space="preserve"> </w:t>
      </w:r>
      <w:r w:rsidR="00D40D68" w:rsidRPr="00464AD3">
        <w:rPr>
          <w:lang w:val="bg-BG"/>
        </w:rPr>
        <w:t xml:space="preserve">съд </w:t>
      </w:r>
      <w:r w:rsidR="00FC35CD">
        <w:rPr>
          <w:lang w:val="bg-BG"/>
        </w:rPr>
        <w:t xml:space="preserve">- </w:t>
      </w:r>
      <w:r w:rsidR="00D40D68" w:rsidRPr="00464AD3">
        <w:rPr>
          <w:lang w:val="bg-BG"/>
        </w:rPr>
        <w:t xml:space="preserve">София </w:t>
      </w:r>
      <w:r w:rsidR="00FC35CD">
        <w:rPr>
          <w:lang w:val="bg-BG"/>
        </w:rPr>
        <w:t>присъжда</w:t>
      </w:r>
      <w:r w:rsidR="00FC35CD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40 000 </w:t>
      </w:r>
      <w:r w:rsidR="00FC35CD">
        <w:rPr>
          <w:lang w:val="bg-BG"/>
        </w:rPr>
        <w:t>лв.</w:t>
      </w:r>
      <w:r w:rsidR="00FC35CD" w:rsidRPr="00464AD3">
        <w:rPr>
          <w:lang w:val="bg-BG"/>
        </w:rPr>
        <w:t xml:space="preserve"> </w:t>
      </w:r>
      <w:r w:rsidR="00D40D68" w:rsidRPr="00464AD3">
        <w:rPr>
          <w:lang w:val="bg-BG"/>
        </w:rPr>
        <w:t xml:space="preserve">на съпруга на К.Д. и още 40 000 </w:t>
      </w:r>
      <w:r w:rsidR="00FC35CD">
        <w:rPr>
          <w:lang w:val="bg-BG"/>
        </w:rPr>
        <w:t>лв.</w:t>
      </w:r>
      <w:r w:rsidR="00FC35CD" w:rsidRPr="00464AD3">
        <w:rPr>
          <w:lang w:val="bg-BG"/>
        </w:rPr>
        <w:t xml:space="preserve"> </w:t>
      </w:r>
      <w:r w:rsidR="00D40D68" w:rsidRPr="00464AD3">
        <w:rPr>
          <w:lang w:val="bg-BG"/>
        </w:rPr>
        <w:t>на сина на К.Д., а с решение от 18 юли 2007 г., потвърдено на 30 април 2008 г. от по-висшата съдебна инстанция, същ</w:t>
      </w:r>
      <w:r w:rsidR="001D2E5D">
        <w:rPr>
          <w:lang w:val="bg-BG"/>
        </w:rPr>
        <w:t>ият</w:t>
      </w:r>
      <w:r w:rsidR="00D40D68" w:rsidRPr="00464AD3">
        <w:rPr>
          <w:lang w:val="bg-BG"/>
        </w:rPr>
        <w:t xml:space="preserve"> потвърждава изцяло решението на</w:t>
      </w:r>
      <w:r w:rsidR="00BA55C1">
        <w:rPr>
          <w:lang w:val="bg-BG"/>
        </w:rPr>
        <w:t xml:space="preserve"> Софийски градски съд по делото</w:t>
      </w:r>
      <w:r w:rsidR="00D40D68" w:rsidRPr="00464AD3">
        <w:rPr>
          <w:lang w:val="bg-BG"/>
        </w:rPr>
        <w:t xml:space="preserve"> </w:t>
      </w:r>
      <w:r w:rsidR="00FC35CD">
        <w:rPr>
          <w:lang w:val="bg-BG"/>
        </w:rPr>
        <w:t>относно</w:t>
      </w:r>
      <w:r w:rsidR="00FC35CD" w:rsidRPr="00464AD3">
        <w:rPr>
          <w:lang w:val="bg-BG"/>
        </w:rPr>
        <w:t xml:space="preserve"> </w:t>
      </w:r>
      <w:r w:rsidR="00D40D68" w:rsidRPr="00464AD3">
        <w:rPr>
          <w:lang w:val="bg-BG"/>
        </w:rPr>
        <w:t>Т.Б.</w:t>
      </w:r>
    </w:p>
    <w:p w:rsidR="008D4B68" w:rsidRPr="00464AD3" w:rsidRDefault="008D4B68" w:rsidP="00D46A4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="00D46A4B" w:rsidRPr="00464AD3">
        <w:rPr>
          <w:noProof/>
          <w:lang w:val="bg-BG"/>
        </w:rPr>
        <w:t>10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</w:t>
      </w:r>
      <w:r w:rsidR="00D40D68" w:rsidRPr="00464AD3">
        <w:rPr>
          <w:lang w:val="bg-BG"/>
        </w:rPr>
        <w:t>В</w:t>
      </w:r>
      <w:r w:rsidR="00BA55C1">
        <w:rPr>
          <w:lang w:val="bg-BG"/>
        </w:rPr>
        <w:t xml:space="preserve"> тези съдебни решения съдът</w:t>
      </w:r>
      <w:r w:rsidR="00D40D68" w:rsidRPr="00464AD3">
        <w:rPr>
          <w:lang w:val="bg-BG"/>
        </w:rPr>
        <w:t xml:space="preserve"> </w:t>
      </w:r>
      <w:r w:rsidR="00BA55C1">
        <w:rPr>
          <w:lang w:val="bg-BG"/>
        </w:rPr>
        <w:t>постановява</w:t>
      </w:r>
      <w:r w:rsidR="00D40D68" w:rsidRPr="00464AD3">
        <w:rPr>
          <w:lang w:val="bg-BG"/>
        </w:rPr>
        <w:t>, че ищци</w:t>
      </w:r>
      <w:r w:rsidR="00BA55C1">
        <w:rPr>
          <w:lang w:val="bg-BG"/>
        </w:rPr>
        <w:t>те имат право на иск</w:t>
      </w:r>
      <w:r w:rsidR="00D40D68" w:rsidRPr="00464AD3">
        <w:rPr>
          <w:lang w:val="bg-BG"/>
        </w:rPr>
        <w:t xml:space="preserve"> срещу застрахователя на причинителя на катастрофата</w:t>
      </w:r>
      <w:r w:rsidR="00BA55C1">
        <w:rPr>
          <w:lang w:val="bg-BG"/>
        </w:rPr>
        <w:t>, независимо от факта, че последният</w:t>
      </w:r>
      <w:r w:rsidR="00D40D68" w:rsidRPr="00464AD3">
        <w:rPr>
          <w:lang w:val="bg-BG"/>
        </w:rPr>
        <w:t xml:space="preserve"> вече е осъден да плати обезщетени</w:t>
      </w:r>
      <w:r w:rsidR="001D2E5D">
        <w:rPr>
          <w:lang w:val="bg-BG"/>
        </w:rPr>
        <w:t>е за вреди</w:t>
      </w:r>
      <w:r w:rsidR="00D40D68" w:rsidRPr="00464AD3">
        <w:rPr>
          <w:lang w:val="bg-BG"/>
        </w:rPr>
        <w:t xml:space="preserve">, тъй като </w:t>
      </w:r>
      <w:r w:rsidR="00BA55C1">
        <w:rPr>
          <w:lang w:val="bg-BG"/>
        </w:rPr>
        <w:t>пострадалите</w:t>
      </w:r>
      <w:r w:rsidR="00FC35CD">
        <w:rPr>
          <w:lang w:val="bg-BG"/>
        </w:rPr>
        <w:t xml:space="preserve"> </w:t>
      </w:r>
      <w:r w:rsidR="00D40D68" w:rsidRPr="00464AD3">
        <w:rPr>
          <w:lang w:val="bg-BG"/>
        </w:rPr>
        <w:t xml:space="preserve">не </w:t>
      </w:r>
      <w:r w:rsidR="00BA55C1">
        <w:rPr>
          <w:lang w:val="bg-BG"/>
        </w:rPr>
        <w:t>са успели</w:t>
      </w:r>
      <w:r w:rsidR="00D40D68" w:rsidRPr="00464AD3">
        <w:rPr>
          <w:lang w:val="bg-BG"/>
        </w:rPr>
        <w:t xml:space="preserve"> да си получат присъдените суми.</w:t>
      </w:r>
    </w:p>
    <w:p w:rsidR="008D4B68" w:rsidRPr="00464AD3" w:rsidRDefault="008D4B68" w:rsidP="00D46A4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="00D46A4B" w:rsidRPr="00464AD3">
        <w:rPr>
          <w:noProof/>
          <w:lang w:val="bg-BG"/>
        </w:rPr>
        <w:t>11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</w:t>
      </w:r>
      <w:r w:rsidR="00160A79" w:rsidRPr="00464AD3">
        <w:rPr>
          <w:lang w:val="bg-BG"/>
        </w:rPr>
        <w:t xml:space="preserve">Освен това, с </w:t>
      </w:r>
      <w:r w:rsidR="00160A79" w:rsidRPr="00242290">
        <w:rPr>
          <w:lang w:val="bg-BG"/>
        </w:rPr>
        <w:t>решение от 21 февруари 2008 г. Софийски градски съд уважава иск</w:t>
      </w:r>
      <w:r w:rsidR="00242290" w:rsidRPr="004B4BEB">
        <w:rPr>
          <w:lang w:val="bg-BG"/>
        </w:rPr>
        <w:t>овете</w:t>
      </w:r>
      <w:r w:rsidR="00160A79" w:rsidRPr="00464AD3">
        <w:rPr>
          <w:lang w:val="bg-BG"/>
        </w:rPr>
        <w:t xml:space="preserve"> на жалбоподателите и осъжда същата застрахователна компания да изплати на всеки един от тях </w:t>
      </w:r>
      <w:r w:rsidR="00160A79" w:rsidRPr="00464AD3">
        <w:rPr>
          <w:lang w:val="bg-BG"/>
        </w:rPr>
        <w:lastRenderedPageBreak/>
        <w:t xml:space="preserve">обезщетение в размер на 20 000 </w:t>
      </w:r>
      <w:r w:rsidR="00FC35CD">
        <w:rPr>
          <w:lang w:val="bg-BG"/>
        </w:rPr>
        <w:t>лв.</w:t>
      </w:r>
      <w:r w:rsidR="00FC35CD" w:rsidRPr="00464AD3">
        <w:rPr>
          <w:lang w:val="bg-BG"/>
        </w:rPr>
        <w:t xml:space="preserve"> </w:t>
      </w:r>
      <w:r w:rsidR="00160A79" w:rsidRPr="00464AD3">
        <w:rPr>
          <w:lang w:val="bg-BG"/>
        </w:rPr>
        <w:t xml:space="preserve">заради загубата на дъщеря им при автомобилната катастрофа, причинена от С.В. </w:t>
      </w:r>
      <w:r w:rsidR="00BA55C1">
        <w:rPr>
          <w:lang w:val="bg-BG"/>
        </w:rPr>
        <w:t>Дружеството -</w:t>
      </w:r>
      <w:r w:rsidR="00160A79" w:rsidRPr="00464AD3">
        <w:rPr>
          <w:lang w:val="bg-BG"/>
        </w:rPr>
        <w:t xml:space="preserve"> ответник обжалва решението.</w:t>
      </w:r>
    </w:p>
    <w:p w:rsidR="007C665F" w:rsidRPr="00464AD3" w:rsidRDefault="008D4B68" w:rsidP="00D46A4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="00D46A4B" w:rsidRPr="00464AD3">
        <w:rPr>
          <w:noProof/>
          <w:lang w:val="bg-BG"/>
        </w:rPr>
        <w:t>12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</w:t>
      </w:r>
      <w:r w:rsidR="00E82B52" w:rsidRPr="00464AD3">
        <w:rPr>
          <w:lang w:val="bg-BG"/>
        </w:rPr>
        <w:t xml:space="preserve">С решение от 26 февруари 2009 г. </w:t>
      </w:r>
      <w:r w:rsidR="00FC35CD">
        <w:rPr>
          <w:lang w:val="bg-BG"/>
        </w:rPr>
        <w:t>Апелативен съд - София</w:t>
      </w:r>
      <w:r w:rsidR="00BA55C1">
        <w:rPr>
          <w:lang w:val="bg-BG"/>
        </w:rPr>
        <w:t xml:space="preserve"> отменя</w:t>
      </w:r>
      <w:r w:rsidR="00E82B52" w:rsidRPr="00464AD3">
        <w:rPr>
          <w:lang w:val="bg-BG"/>
        </w:rPr>
        <w:t xml:space="preserve"> решението на първоинстанционния съд с мотива, че </w:t>
      </w:r>
      <w:r w:rsidR="00EE5760">
        <w:rPr>
          <w:lang w:val="bg-BG"/>
        </w:rPr>
        <w:t>исковете на жалбоподателите са недопустими</w:t>
      </w:r>
      <w:r w:rsidR="00E82B52" w:rsidRPr="00464AD3">
        <w:rPr>
          <w:lang w:val="bg-BG"/>
        </w:rPr>
        <w:t xml:space="preserve"> </w:t>
      </w:r>
      <w:r w:rsidR="00FC35CD">
        <w:rPr>
          <w:lang w:val="bg-BG"/>
        </w:rPr>
        <w:t>съгласно националнот</w:t>
      </w:r>
      <w:r w:rsidR="008E7A9F">
        <w:rPr>
          <w:lang w:val="bg-BG"/>
        </w:rPr>
        <w:t>о</w:t>
      </w:r>
      <w:r w:rsidR="00E82B52" w:rsidRPr="00464AD3">
        <w:rPr>
          <w:lang w:val="bg-BG"/>
        </w:rPr>
        <w:t xml:space="preserve"> законодателство</w:t>
      </w:r>
      <w:r w:rsidRPr="00464AD3">
        <w:rPr>
          <w:lang w:val="bg-BG"/>
        </w:rPr>
        <w:t xml:space="preserve">. </w:t>
      </w:r>
      <w:r w:rsidR="00907B8F" w:rsidRPr="00464AD3">
        <w:rPr>
          <w:lang w:val="bg-BG"/>
        </w:rPr>
        <w:t xml:space="preserve">За да се произнесе така, съдът </w:t>
      </w:r>
      <w:r w:rsidR="008E7A9F">
        <w:rPr>
          <w:lang w:val="bg-BG"/>
        </w:rPr>
        <w:t>намира</w:t>
      </w:r>
      <w:r w:rsidR="00907B8F" w:rsidRPr="00464AD3">
        <w:rPr>
          <w:lang w:val="bg-BG"/>
        </w:rPr>
        <w:t xml:space="preserve">, че жалбоподателите </w:t>
      </w:r>
      <w:r w:rsidR="008E7A9F">
        <w:rPr>
          <w:lang w:val="bg-BG"/>
        </w:rPr>
        <w:t>не са и</w:t>
      </w:r>
      <w:r w:rsidR="00907B8F" w:rsidRPr="00464AD3">
        <w:rPr>
          <w:lang w:val="bg-BG"/>
        </w:rPr>
        <w:t xml:space="preserve">мали право да </w:t>
      </w:r>
      <w:r w:rsidR="00EE5760">
        <w:rPr>
          <w:lang w:val="bg-BG"/>
        </w:rPr>
        <w:t>съдят застрахователното дружество</w:t>
      </w:r>
      <w:r w:rsidR="00907B8F" w:rsidRPr="00464AD3">
        <w:rPr>
          <w:lang w:val="bg-BG"/>
        </w:rPr>
        <w:t xml:space="preserve">, за да получат </w:t>
      </w:r>
      <w:r w:rsidR="00E44025" w:rsidRPr="00464AD3">
        <w:rPr>
          <w:lang w:val="bg-BG"/>
        </w:rPr>
        <w:t xml:space="preserve">присъдените </w:t>
      </w:r>
      <w:r w:rsidR="008E7A9F">
        <w:rPr>
          <w:lang w:val="bg-BG"/>
        </w:rPr>
        <w:t xml:space="preserve">им </w:t>
      </w:r>
      <w:r w:rsidR="00E44025" w:rsidRPr="00464AD3">
        <w:rPr>
          <w:lang w:val="bg-BG"/>
        </w:rPr>
        <w:t xml:space="preserve">суми за обезщетения </w:t>
      </w:r>
      <w:r w:rsidR="00085467" w:rsidRPr="00464AD3">
        <w:rPr>
          <w:lang w:val="bg-BG"/>
        </w:rPr>
        <w:t>за вреди</w:t>
      </w:r>
      <w:r w:rsidR="00E44025" w:rsidRPr="00464AD3">
        <w:rPr>
          <w:lang w:val="bg-BG"/>
        </w:rPr>
        <w:t>, след като вече са постигнали осъдителна присъда</w:t>
      </w:r>
      <w:r w:rsidR="001821C2" w:rsidRPr="00464AD3">
        <w:rPr>
          <w:lang w:val="bg-BG"/>
        </w:rPr>
        <w:t xml:space="preserve"> за същите суми и за същото събитие, а именно за смъртта на дъщеря им. Решението на апелативния съд е постановено от съдебен състав, част от който са и съдиите, които отсъждат в полза на съпруга и на сина на К.Д. на 2 февруари 2007 г.</w:t>
      </w:r>
    </w:p>
    <w:p w:rsidR="007270F5" w:rsidRPr="00464AD3" w:rsidRDefault="008D4B68" w:rsidP="00D46A4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="00D46A4B" w:rsidRPr="00464AD3">
        <w:rPr>
          <w:noProof/>
          <w:lang w:val="bg-BG"/>
        </w:rPr>
        <w:t>13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</w:t>
      </w:r>
      <w:r w:rsidR="00DF2FB4" w:rsidRPr="00464AD3">
        <w:rPr>
          <w:lang w:val="bg-BG"/>
        </w:rPr>
        <w:t>Като се позовава</w:t>
      </w:r>
      <w:r w:rsidR="008E7A9F">
        <w:rPr>
          <w:lang w:val="bg-BG"/>
        </w:rPr>
        <w:t>т</w:t>
      </w:r>
      <w:r w:rsidR="00DF2FB4" w:rsidRPr="00464AD3">
        <w:rPr>
          <w:lang w:val="bg-BG"/>
        </w:rPr>
        <w:t xml:space="preserve"> на чл. </w:t>
      </w:r>
      <w:r w:rsidR="00AE4C52" w:rsidRPr="00464AD3">
        <w:rPr>
          <w:lang w:val="bg-BG"/>
        </w:rPr>
        <w:t>280 (1)</w:t>
      </w:r>
      <w:r w:rsidR="00AA09CC" w:rsidRPr="00464AD3">
        <w:rPr>
          <w:lang w:val="bg-BG"/>
        </w:rPr>
        <w:t xml:space="preserve"> </w:t>
      </w:r>
      <w:r w:rsidR="00DF2FB4" w:rsidRPr="00464AD3">
        <w:rPr>
          <w:lang w:val="bg-BG"/>
        </w:rPr>
        <w:t xml:space="preserve">от новия Гражданско-процесуален кодекс, жалбоподателите подават </w:t>
      </w:r>
      <w:r w:rsidR="00C02C17" w:rsidRPr="00464AD3">
        <w:rPr>
          <w:lang w:val="bg-BG"/>
        </w:rPr>
        <w:t>касационна</w:t>
      </w:r>
      <w:r w:rsidR="00DF2FB4" w:rsidRPr="00464AD3">
        <w:rPr>
          <w:lang w:val="bg-BG"/>
        </w:rPr>
        <w:t xml:space="preserve"> жалба. Като правно основание те </w:t>
      </w:r>
      <w:r w:rsidR="00EE5760">
        <w:rPr>
          <w:lang w:val="bg-BG"/>
        </w:rPr>
        <w:t>посочват</w:t>
      </w:r>
      <w:r w:rsidR="00DF2FB4" w:rsidRPr="00464AD3">
        <w:rPr>
          <w:lang w:val="bg-BG"/>
        </w:rPr>
        <w:t xml:space="preserve"> противоречие</w:t>
      </w:r>
      <w:r w:rsidR="00EE5760">
        <w:rPr>
          <w:lang w:val="bg-BG"/>
        </w:rPr>
        <w:t>то</w:t>
      </w:r>
      <w:r w:rsidR="00DF2FB4" w:rsidRPr="00464AD3">
        <w:rPr>
          <w:lang w:val="bg-BG"/>
        </w:rPr>
        <w:t xml:space="preserve"> между </w:t>
      </w:r>
      <w:r w:rsidR="00EE5760">
        <w:rPr>
          <w:lang w:val="bg-BG"/>
        </w:rPr>
        <w:t>решението на апелативния съд по прилагането</w:t>
      </w:r>
      <w:r w:rsidR="00DF2FB4" w:rsidRPr="00464AD3">
        <w:rPr>
          <w:lang w:val="bg-BG"/>
        </w:rPr>
        <w:t xml:space="preserve"> на чл. 407, ал. 1</w:t>
      </w:r>
      <w:r w:rsidR="00EE5760">
        <w:rPr>
          <w:lang w:val="bg-BG"/>
        </w:rPr>
        <w:t xml:space="preserve"> от Търговския закон и практика на</w:t>
      </w:r>
      <w:r w:rsidR="00DF2FB4" w:rsidRPr="00464AD3">
        <w:rPr>
          <w:lang w:val="bg-BG"/>
        </w:rPr>
        <w:t xml:space="preserve"> Върховния</w:t>
      </w:r>
      <w:r w:rsidR="00EE5760">
        <w:rPr>
          <w:lang w:val="bg-BG"/>
        </w:rPr>
        <w:t>т</w:t>
      </w:r>
      <w:r w:rsidR="00DF2FB4" w:rsidRPr="00464AD3">
        <w:rPr>
          <w:lang w:val="bg-BG"/>
        </w:rPr>
        <w:t xml:space="preserve"> касационен съд </w:t>
      </w:r>
      <w:r w:rsidR="008E7A9F">
        <w:rPr>
          <w:lang w:val="bg-BG"/>
        </w:rPr>
        <w:t xml:space="preserve">прави </w:t>
      </w:r>
      <w:r w:rsidR="00DF2FB4" w:rsidRPr="00464AD3">
        <w:rPr>
          <w:lang w:val="bg-BG"/>
        </w:rPr>
        <w:t xml:space="preserve">в подобни случаи. От предоставените по случая </w:t>
      </w:r>
      <w:r w:rsidR="00EE5760">
        <w:rPr>
          <w:lang w:val="bg-BG"/>
        </w:rPr>
        <w:t>доказателства се вижда</w:t>
      </w:r>
      <w:r w:rsidR="00DF2FB4" w:rsidRPr="00464AD3">
        <w:rPr>
          <w:lang w:val="bg-BG"/>
        </w:rPr>
        <w:t>, че жалбоподателите подкреп</w:t>
      </w:r>
      <w:r w:rsidR="008E7A9F">
        <w:rPr>
          <w:lang w:val="bg-BG"/>
        </w:rPr>
        <w:t>ят</w:t>
      </w:r>
      <w:r w:rsidR="00DF2FB4" w:rsidRPr="00464AD3">
        <w:rPr>
          <w:lang w:val="bg-BG"/>
        </w:rPr>
        <w:t xml:space="preserve"> тезата си </w:t>
      </w:r>
      <w:r w:rsidR="00EE5760">
        <w:rPr>
          <w:lang w:val="bg-BG"/>
        </w:rPr>
        <w:t>с няколко решения на касационната инстанция</w:t>
      </w:r>
      <w:r w:rsidR="00DF2FB4" w:rsidRPr="00464AD3">
        <w:rPr>
          <w:lang w:val="bg-BG"/>
        </w:rPr>
        <w:t xml:space="preserve">, постановени </w:t>
      </w:r>
      <w:r w:rsidR="00EE5760">
        <w:rPr>
          <w:lang w:val="bg-BG"/>
        </w:rPr>
        <w:t xml:space="preserve">преди влизането в сила на новия </w:t>
      </w:r>
      <w:r w:rsidR="00DF2FB4" w:rsidRPr="00464AD3">
        <w:rPr>
          <w:lang w:val="bg-BG"/>
        </w:rPr>
        <w:t xml:space="preserve">Гражданско-процесуален кодекс. </w:t>
      </w:r>
      <w:r w:rsidR="00C2658E" w:rsidRPr="00464AD3">
        <w:rPr>
          <w:lang w:val="bg-BG"/>
        </w:rPr>
        <w:t>Те твърдят, че апелативният съд погрешно тълкува и прил</w:t>
      </w:r>
      <w:r w:rsidR="008E7A9F">
        <w:rPr>
          <w:lang w:val="bg-BG"/>
        </w:rPr>
        <w:t>ага</w:t>
      </w:r>
      <w:r w:rsidR="00C2658E" w:rsidRPr="00464AD3">
        <w:rPr>
          <w:lang w:val="bg-BG"/>
        </w:rPr>
        <w:t xml:space="preserve"> материалното право и че не е мотивирал в достатъчна степен решението си.</w:t>
      </w:r>
    </w:p>
    <w:p w:rsidR="00E77CB3" w:rsidRPr="00464AD3" w:rsidRDefault="008D4B68" w:rsidP="00D46A4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="00D46A4B" w:rsidRPr="00464AD3">
        <w:rPr>
          <w:noProof/>
          <w:lang w:val="bg-BG"/>
        </w:rPr>
        <w:t>14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</w:t>
      </w:r>
      <w:r w:rsidR="00201F0F" w:rsidRPr="00464AD3">
        <w:rPr>
          <w:lang w:val="bg-BG"/>
        </w:rPr>
        <w:t xml:space="preserve">С решение от 4 декември 2009 г. Върховният касационен съд отхвърля жалбата като недопустима. </w:t>
      </w:r>
      <w:r w:rsidR="00062776">
        <w:rPr>
          <w:lang w:val="bg-BG"/>
        </w:rPr>
        <w:t>Той</w:t>
      </w:r>
      <w:r w:rsidR="00201F0F" w:rsidRPr="00464AD3">
        <w:rPr>
          <w:lang w:val="bg-BG"/>
        </w:rPr>
        <w:t xml:space="preserve"> </w:t>
      </w:r>
      <w:r w:rsidR="00201F0F" w:rsidRPr="00242290">
        <w:rPr>
          <w:lang w:val="bg-BG"/>
        </w:rPr>
        <w:t>установява</w:t>
      </w:r>
      <w:r w:rsidR="00201F0F" w:rsidRPr="00464AD3">
        <w:rPr>
          <w:lang w:val="bg-BG"/>
        </w:rPr>
        <w:t xml:space="preserve">, че </w:t>
      </w:r>
      <w:r w:rsidR="0090716E">
        <w:rPr>
          <w:lang w:val="bg-BG"/>
        </w:rPr>
        <w:t xml:space="preserve">правният </w:t>
      </w:r>
      <w:r w:rsidR="00201F0F" w:rsidRPr="00242290">
        <w:rPr>
          <w:lang w:val="bg-BG"/>
        </w:rPr>
        <w:t>въпрос, за ко</w:t>
      </w:r>
      <w:r w:rsidR="0090716E" w:rsidRPr="00442A9A">
        <w:rPr>
          <w:lang w:val="bg-BG"/>
        </w:rPr>
        <w:t>й</w:t>
      </w:r>
      <w:r w:rsidR="00201F0F" w:rsidRPr="00442A9A">
        <w:rPr>
          <w:lang w:val="bg-BG"/>
        </w:rPr>
        <w:t>то се отнася оспорваното решение на</w:t>
      </w:r>
      <w:r w:rsidR="00201F0F" w:rsidRPr="004B4BEB">
        <w:rPr>
          <w:lang w:val="bg-BG"/>
        </w:rPr>
        <w:t xml:space="preserve"> апелативния съд</w:t>
      </w:r>
      <w:r w:rsidR="00062776" w:rsidRPr="004B4BEB">
        <w:rPr>
          <w:lang w:val="bg-BG"/>
        </w:rPr>
        <w:t>,</w:t>
      </w:r>
      <w:r w:rsidR="00201F0F" w:rsidRPr="004B4BEB">
        <w:rPr>
          <w:lang w:val="bg-BG"/>
        </w:rPr>
        <w:t xml:space="preserve"> е допустимостта</w:t>
      </w:r>
      <w:r w:rsidR="00201F0F" w:rsidRPr="00464AD3">
        <w:rPr>
          <w:lang w:val="bg-BG"/>
        </w:rPr>
        <w:t xml:space="preserve"> на </w:t>
      </w:r>
      <w:r w:rsidR="00CF38B5" w:rsidRPr="00464AD3">
        <w:rPr>
          <w:lang w:val="bg-BG"/>
        </w:rPr>
        <w:t xml:space="preserve">иск за обезщетение </w:t>
      </w:r>
      <w:r w:rsidR="00BD46CB">
        <w:rPr>
          <w:lang w:val="bg-BG"/>
        </w:rPr>
        <w:t>предявен на основание</w:t>
      </w:r>
      <w:r w:rsidR="00CF38B5" w:rsidRPr="00464AD3">
        <w:rPr>
          <w:lang w:val="bg-BG"/>
        </w:rPr>
        <w:t xml:space="preserve"> чл. 40</w:t>
      </w:r>
      <w:r w:rsidR="000C5D30">
        <w:rPr>
          <w:lang w:val="bg-BG"/>
        </w:rPr>
        <w:t>7, ал. 1 от Търговския закон в</w:t>
      </w:r>
      <w:r w:rsidR="00CF38B5" w:rsidRPr="00464AD3">
        <w:rPr>
          <w:lang w:val="bg-BG"/>
        </w:rPr>
        <w:t xml:space="preserve"> специфичните обстоятелства в случая</w:t>
      </w:r>
      <w:r w:rsidR="00D87A99" w:rsidRPr="00464AD3">
        <w:rPr>
          <w:lang w:val="bg-BG"/>
        </w:rPr>
        <w:t xml:space="preserve">. </w:t>
      </w:r>
      <w:r w:rsidR="00CF38B5" w:rsidRPr="00464AD3">
        <w:rPr>
          <w:lang w:val="bg-BG"/>
        </w:rPr>
        <w:t xml:space="preserve">Той счита, че взетото решение от апелативния съд </w:t>
      </w:r>
      <w:r w:rsidR="000C5D30">
        <w:rPr>
          <w:lang w:val="bg-BG"/>
        </w:rPr>
        <w:t>не противоречи на</w:t>
      </w:r>
      <w:r w:rsidR="00CF38B5" w:rsidRPr="00464AD3">
        <w:rPr>
          <w:lang w:val="bg-BG"/>
        </w:rPr>
        <w:t xml:space="preserve"> съдебна</w:t>
      </w:r>
      <w:r w:rsidR="000C5D30">
        <w:rPr>
          <w:lang w:val="bg-BG"/>
        </w:rPr>
        <w:t>та</w:t>
      </w:r>
      <w:r w:rsidR="00CF38B5" w:rsidRPr="00464AD3">
        <w:rPr>
          <w:lang w:val="bg-BG"/>
        </w:rPr>
        <w:t xml:space="preserve"> практика в </w:t>
      </w:r>
      <w:r w:rsidR="00062776">
        <w:rPr>
          <w:lang w:val="bg-BG"/>
        </w:rPr>
        <w:t xml:space="preserve">тази </w:t>
      </w:r>
      <w:r w:rsidR="00CF38B5" w:rsidRPr="00464AD3">
        <w:rPr>
          <w:lang w:val="bg-BG"/>
        </w:rPr>
        <w:t xml:space="preserve">област. </w:t>
      </w:r>
      <w:r w:rsidR="00062776">
        <w:rPr>
          <w:lang w:val="bg-BG"/>
        </w:rPr>
        <w:t>В тази връзка</w:t>
      </w:r>
      <w:r w:rsidR="00CF38B5" w:rsidRPr="00464AD3">
        <w:rPr>
          <w:lang w:val="bg-BG"/>
        </w:rPr>
        <w:t xml:space="preserve"> същият цитира две от взетите от него съдебни решения през 2009 г.</w:t>
      </w:r>
      <w:r w:rsidR="00D87A99" w:rsidRPr="00464AD3">
        <w:rPr>
          <w:lang w:val="bg-BG"/>
        </w:rPr>
        <w:t xml:space="preserve"> (</w:t>
      </w:r>
      <w:r w:rsidR="00D87A99" w:rsidRPr="00464AD3">
        <w:rPr>
          <w:i/>
          <w:lang w:val="bg-BG"/>
        </w:rPr>
        <w:t>Решение № 82 от 07.07.2009г. по т.д.</w:t>
      </w:r>
      <w:r w:rsidR="000601A1" w:rsidRPr="00464AD3">
        <w:rPr>
          <w:i/>
          <w:lang w:val="bg-BG"/>
        </w:rPr>
        <w:t> </w:t>
      </w:r>
      <w:r w:rsidR="00D87A99" w:rsidRPr="00464AD3">
        <w:rPr>
          <w:i/>
          <w:lang w:val="bg-BG"/>
        </w:rPr>
        <w:t>№ 28/2009г. на ВКС, Т.К., I т.о.</w:t>
      </w:r>
      <w:r w:rsidR="00D87A99" w:rsidRPr="00464AD3">
        <w:rPr>
          <w:lang w:val="bg-BG"/>
        </w:rPr>
        <w:t xml:space="preserve">, </w:t>
      </w:r>
      <w:r w:rsidR="00D87A99" w:rsidRPr="00464AD3">
        <w:rPr>
          <w:i/>
          <w:lang w:val="bg-BG"/>
        </w:rPr>
        <w:t>Решение № 197 от 30.11.2009г. по т.д. № 352/2009г. на ВКС, Т.К., II т.о.)</w:t>
      </w:r>
      <w:r w:rsidR="00CF38B5" w:rsidRPr="00464AD3">
        <w:rPr>
          <w:i/>
          <w:lang w:val="bg-BG"/>
        </w:rPr>
        <w:t xml:space="preserve">, </w:t>
      </w:r>
      <w:r w:rsidR="00CF38B5" w:rsidRPr="00464AD3">
        <w:rPr>
          <w:lang w:val="bg-BG"/>
        </w:rPr>
        <w:t xml:space="preserve">в които </w:t>
      </w:r>
      <w:r w:rsidR="00AF6FDC" w:rsidRPr="00464AD3">
        <w:rPr>
          <w:lang w:val="bg-BG"/>
        </w:rPr>
        <w:t>съдът заключ</w:t>
      </w:r>
      <w:r w:rsidR="00062776">
        <w:rPr>
          <w:lang w:val="bg-BG"/>
        </w:rPr>
        <w:t>ва</w:t>
      </w:r>
      <w:r w:rsidR="00362689" w:rsidRPr="00464AD3">
        <w:rPr>
          <w:lang w:val="bg-BG"/>
        </w:rPr>
        <w:t xml:space="preserve">, че ищецът не може да </w:t>
      </w:r>
      <w:r w:rsidR="00062776">
        <w:rPr>
          <w:lang w:val="bg-BG"/>
        </w:rPr>
        <w:t>предяви</w:t>
      </w:r>
      <w:r w:rsidR="00062776" w:rsidRPr="00464AD3">
        <w:rPr>
          <w:lang w:val="bg-BG"/>
        </w:rPr>
        <w:t xml:space="preserve"> </w:t>
      </w:r>
      <w:r w:rsidR="00362689" w:rsidRPr="00464AD3">
        <w:rPr>
          <w:lang w:val="bg-BG"/>
        </w:rPr>
        <w:t xml:space="preserve">иск </w:t>
      </w:r>
      <w:r w:rsidR="000C5D30" w:rsidRPr="00464AD3">
        <w:rPr>
          <w:lang w:val="bg-BG"/>
        </w:rPr>
        <w:t xml:space="preserve">за обезщетение за причинените </w:t>
      </w:r>
      <w:r w:rsidR="000C5D30">
        <w:rPr>
          <w:lang w:val="bg-BG"/>
        </w:rPr>
        <w:t>вреди</w:t>
      </w:r>
      <w:r w:rsidR="000C5D30" w:rsidRPr="00464AD3">
        <w:rPr>
          <w:lang w:val="bg-BG"/>
        </w:rPr>
        <w:t xml:space="preserve"> </w:t>
      </w:r>
      <w:r w:rsidR="00362689" w:rsidRPr="00464AD3">
        <w:rPr>
          <w:lang w:val="bg-BG"/>
        </w:rPr>
        <w:t xml:space="preserve">срещу застрахователя на </w:t>
      </w:r>
      <w:r w:rsidR="000C5D30">
        <w:rPr>
          <w:lang w:val="bg-BG"/>
        </w:rPr>
        <w:t>причинителя,</w:t>
      </w:r>
      <w:r w:rsidR="00362689" w:rsidRPr="00464AD3">
        <w:rPr>
          <w:lang w:val="bg-BG"/>
        </w:rPr>
        <w:t xml:space="preserve"> ако </w:t>
      </w:r>
      <w:r w:rsidR="00062776">
        <w:rPr>
          <w:lang w:val="bg-BG"/>
        </w:rPr>
        <w:t>предявен</w:t>
      </w:r>
      <w:r w:rsidR="000C5D30">
        <w:rPr>
          <w:lang w:val="bg-BG"/>
        </w:rPr>
        <w:t>ият преди това от него</w:t>
      </w:r>
      <w:r w:rsidR="00062776" w:rsidRPr="00464AD3">
        <w:rPr>
          <w:lang w:val="bg-BG"/>
        </w:rPr>
        <w:t xml:space="preserve"> </w:t>
      </w:r>
      <w:r w:rsidR="00362689" w:rsidRPr="00464AD3">
        <w:rPr>
          <w:lang w:val="bg-BG"/>
        </w:rPr>
        <w:t xml:space="preserve">иск </w:t>
      </w:r>
      <w:r w:rsidR="00085467" w:rsidRPr="00464AD3">
        <w:rPr>
          <w:lang w:val="bg-BG"/>
        </w:rPr>
        <w:t>за вреди</w:t>
      </w:r>
      <w:r w:rsidR="00B7578A" w:rsidRPr="00464AD3">
        <w:rPr>
          <w:lang w:val="bg-BG"/>
        </w:rPr>
        <w:t xml:space="preserve"> сре</w:t>
      </w:r>
      <w:r w:rsidR="000C5D30">
        <w:rPr>
          <w:lang w:val="bg-BG"/>
        </w:rPr>
        <w:t>щу причинителя е бил уважен</w:t>
      </w:r>
      <w:r w:rsidR="00B7578A" w:rsidRPr="00464AD3">
        <w:rPr>
          <w:lang w:val="bg-BG"/>
        </w:rPr>
        <w:t xml:space="preserve">. </w:t>
      </w:r>
      <w:r w:rsidR="00057CC1">
        <w:rPr>
          <w:lang w:val="bg-BG"/>
        </w:rPr>
        <w:t>На следващо място</w:t>
      </w:r>
      <w:r w:rsidR="00B7578A" w:rsidRPr="00464AD3">
        <w:rPr>
          <w:lang w:val="bg-BG"/>
        </w:rPr>
        <w:t xml:space="preserve"> Върховният касационен съд </w:t>
      </w:r>
      <w:r w:rsidR="000C5D30">
        <w:rPr>
          <w:lang w:val="bg-BG"/>
        </w:rPr>
        <w:t>посочва</w:t>
      </w:r>
      <w:r w:rsidR="00B7578A" w:rsidRPr="00464AD3">
        <w:rPr>
          <w:lang w:val="bg-BG"/>
        </w:rPr>
        <w:t xml:space="preserve">, че </w:t>
      </w:r>
      <w:r w:rsidR="00062776">
        <w:rPr>
          <w:lang w:val="bg-BG"/>
        </w:rPr>
        <w:t>съгласно</w:t>
      </w:r>
      <w:r w:rsidR="00B7578A" w:rsidRPr="00464AD3">
        <w:rPr>
          <w:lang w:val="bg-BG"/>
        </w:rPr>
        <w:t xml:space="preserve"> разпоредбите на новия Гражданско-процесуален кодекс, двете горепосочени решения от 2009 г. </w:t>
      </w:r>
      <w:r w:rsidR="00062776">
        <w:rPr>
          <w:lang w:val="bg-BG"/>
        </w:rPr>
        <w:t>са обвързващи</w:t>
      </w:r>
      <w:r w:rsidR="00B7578A" w:rsidRPr="00464AD3">
        <w:rPr>
          <w:lang w:val="bg-BG"/>
        </w:rPr>
        <w:t xml:space="preserve"> за по-</w:t>
      </w:r>
      <w:r w:rsidR="00062776">
        <w:rPr>
          <w:lang w:val="bg-BG"/>
        </w:rPr>
        <w:t>долните</w:t>
      </w:r>
      <w:r w:rsidR="00062776" w:rsidRPr="00464AD3">
        <w:rPr>
          <w:lang w:val="bg-BG"/>
        </w:rPr>
        <w:t xml:space="preserve"> </w:t>
      </w:r>
      <w:r w:rsidR="00B7578A" w:rsidRPr="00464AD3">
        <w:rPr>
          <w:lang w:val="bg-BG"/>
        </w:rPr>
        <w:t xml:space="preserve">съдебни инстанции, </w:t>
      </w:r>
      <w:r w:rsidR="00062776">
        <w:rPr>
          <w:lang w:val="bg-BG"/>
        </w:rPr>
        <w:t>но</w:t>
      </w:r>
      <w:r w:rsidR="00B7578A" w:rsidRPr="00464AD3">
        <w:rPr>
          <w:lang w:val="bg-BG"/>
        </w:rPr>
        <w:t xml:space="preserve"> </w:t>
      </w:r>
      <w:r w:rsidR="00062776">
        <w:rPr>
          <w:lang w:val="bg-BG"/>
        </w:rPr>
        <w:t xml:space="preserve">това </w:t>
      </w:r>
      <w:r w:rsidR="000C5D30">
        <w:rPr>
          <w:lang w:val="bg-BG"/>
        </w:rPr>
        <w:t>не</w:t>
      </w:r>
      <w:r w:rsidR="00B7578A" w:rsidRPr="00464AD3">
        <w:rPr>
          <w:lang w:val="bg-BG"/>
        </w:rPr>
        <w:t xml:space="preserve"> е </w:t>
      </w:r>
      <w:r w:rsidR="00062776">
        <w:rPr>
          <w:lang w:val="bg-BG"/>
        </w:rPr>
        <w:t>приложимо</w:t>
      </w:r>
      <w:r w:rsidR="00062776" w:rsidRPr="00464AD3">
        <w:rPr>
          <w:lang w:val="bg-BG"/>
        </w:rPr>
        <w:t xml:space="preserve"> </w:t>
      </w:r>
      <w:r w:rsidR="00B7578A" w:rsidRPr="00464AD3">
        <w:rPr>
          <w:lang w:val="bg-BG"/>
        </w:rPr>
        <w:t>за представените от жалбоподателите съдебни решения (вж. параграф 13 по-горе)</w:t>
      </w:r>
      <w:r w:rsidR="00B44235" w:rsidRPr="00464AD3">
        <w:rPr>
          <w:lang w:val="bg-BG"/>
        </w:rPr>
        <w:t xml:space="preserve">, постановени </w:t>
      </w:r>
      <w:r w:rsidR="000C5D30">
        <w:rPr>
          <w:lang w:val="bg-BG"/>
        </w:rPr>
        <w:t>по реда на</w:t>
      </w:r>
      <w:r w:rsidR="00B44235" w:rsidRPr="00464AD3">
        <w:rPr>
          <w:lang w:val="bg-BG"/>
        </w:rPr>
        <w:t xml:space="preserve"> стария Гражданско</w:t>
      </w:r>
      <w:r w:rsidR="000C5D30">
        <w:rPr>
          <w:lang w:val="bg-BG"/>
        </w:rPr>
        <w:t>-</w:t>
      </w:r>
      <w:r w:rsidR="00B44235" w:rsidRPr="00464AD3">
        <w:rPr>
          <w:lang w:val="bg-BG"/>
        </w:rPr>
        <w:t xml:space="preserve">процесуален </w:t>
      </w:r>
      <w:r w:rsidR="00B44235" w:rsidRPr="00464AD3">
        <w:rPr>
          <w:lang w:val="bg-BG"/>
        </w:rPr>
        <w:lastRenderedPageBreak/>
        <w:t xml:space="preserve">кодекс. Следователно, условията за разглеждане на </w:t>
      </w:r>
      <w:r w:rsidR="00C02C17" w:rsidRPr="00464AD3">
        <w:rPr>
          <w:lang w:val="bg-BG"/>
        </w:rPr>
        <w:t>касационна</w:t>
      </w:r>
      <w:r w:rsidR="00B44235" w:rsidRPr="00464AD3">
        <w:rPr>
          <w:lang w:val="bg-BG"/>
        </w:rPr>
        <w:t>та жалба на жалбоподателите по същество не са изпълнени</w:t>
      </w:r>
      <w:r w:rsidR="000800AE" w:rsidRPr="00464AD3">
        <w:rPr>
          <w:lang w:val="bg-BG"/>
        </w:rPr>
        <w:t>.</w:t>
      </w:r>
    </w:p>
    <w:p w:rsidR="00E77CB3" w:rsidRPr="00464AD3" w:rsidRDefault="00E77CB3" w:rsidP="00D46A4B">
      <w:pPr>
        <w:pStyle w:val="ECHRHeading1"/>
        <w:rPr>
          <w:lang w:val="bg-BG"/>
        </w:rPr>
      </w:pPr>
      <w:r w:rsidRPr="00464AD3">
        <w:rPr>
          <w:lang w:val="bg-BG"/>
        </w:rPr>
        <w:t>II.  </w:t>
      </w:r>
      <w:r w:rsidR="00992F91" w:rsidRPr="00464AD3">
        <w:rPr>
          <w:lang w:val="bg-BG"/>
        </w:rPr>
        <w:t>ПРИЛОЖИМО ВЪТРЕШНО ПРАВО И ПРАКТИКА</w:t>
      </w:r>
    </w:p>
    <w:p w:rsidR="00E95F94" w:rsidRPr="00464AD3" w:rsidRDefault="00E95F94" w:rsidP="00D46A4B">
      <w:pPr>
        <w:pStyle w:val="ECHRHeading2"/>
        <w:rPr>
          <w:lang w:val="bg-BG"/>
        </w:rPr>
      </w:pPr>
      <w:r w:rsidRPr="00464AD3">
        <w:rPr>
          <w:lang w:val="bg-BG"/>
        </w:rPr>
        <w:t>A.  </w:t>
      </w:r>
      <w:r w:rsidR="00B44235" w:rsidRPr="00464AD3">
        <w:rPr>
          <w:lang w:val="bg-BG"/>
        </w:rPr>
        <w:t>Чл. 407, ал. 1 от Търговския закон</w:t>
      </w:r>
    </w:p>
    <w:p w:rsidR="008D4B68" w:rsidRPr="004B4BEB" w:rsidRDefault="00472883" w:rsidP="00D46A4B">
      <w:pPr>
        <w:pStyle w:val="ECHRPara"/>
        <w:rPr>
          <w:lang w:val="bg-BG"/>
        </w:rPr>
      </w:pPr>
      <w:r w:rsidRPr="004B4BEB">
        <w:rPr>
          <w:lang w:val="bg-BG"/>
        </w:rPr>
        <w:fldChar w:fldCharType="begin"/>
      </w:r>
      <w:r w:rsidRPr="004B4BEB">
        <w:rPr>
          <w:lang w:val="bg-BG"/>
        </w:rPr>
        <w:instrText xml:space="preserve"> SEQ level0 \*arabic </w:instrText>
      </w:r>
      <w:r w:rsidRPr="004B4BEB">
        <w:rPr>
          <w:lang w:val="bg-BG"/>
        </w:rPr>
        <w:fldChar w:fldCharType="separate"/>
      </w:r>
      <w:r w:rsidR="00D46A4B" w:rsidRPr="004B4BEB">
        <w:rPr>
          <w:noProof/>
          <w:lang w:val="bg-BG"/>
        </w:rPr>
        <w:t>15</w:t>
      </w:r>
      <w:r w:rsidRPr="004B4BEB">
        <w:rPr>
          <w:lang w:val="bg-BG"/>
        </w:rPr>
        <w:fldChar w:fldCharType="end"/>
      </w:r>
      <w:r w:rsidRPr="004B4BEB">
        <w:rPr>
          <w:lang w:val="bg-BG"/>
        </w:rPr>
        <w:t>.  </w:t>
      </w:r>
      <w:r w:rsidR="00817EF9" w:rsidRPr="004B4BEB">
        <w:rPr>
          <w:lang w:val="bg-BG"/>
        </w:rPr>
        <w:t>Чл. 407, ал. 1 от Търговския закон, в сила към момента на събитията,</w:t>
      </w:r>
      <w:r w:rsidR="008D4B68" w:rsidRPr="004B4BEB">
        <w:rPr>
          <w:lang w:val="bg-BG"/>
        </w:rPr>
        <w:t xml:space="preserve"> </w:t>
      </w:r>
      <w:r w:rsidR="004C6A3D" w:rsidRPr="004B4BEB">
        <w:rPr>
          <w:lang w:val="bg-BG"/>
        </w:rPr>
        <w:t>гласи</w:t>
      </w:r>
      <w:r w:rsidR="008D4B68" w:rsidRPr="004B4BEB">
        <w:rPr>
          <w:lang w:val="bg-BG"/>
        </w:rPr>
        <w:t>:</w:t>
      </w:r>
    </w:p>
    <w:p w:rsidR="008D4B68" w:rsidRPr="00464AD3" w:rsidRDefault="00E20C88" w:rsidP="004E72F7">
      <w:pPr>
        <w:pStyle w:val="ECHRParaQuote"/>
        <w:ind w:left="360"/>
        <w:rPr>
          <w:lang w:val="bg-BG"/>
        </w:rPr>
      </w:pPr>
      <w:r w:rsidRPr="004B4BEB">
        <w:rPr>
          <w:lang w:val="bg-BG"/>
        </w:rPr>
        <w:t>„</w:t>
      </w:r>
      <w:r w:rsidR="004E72F7">
        <w:rPr>
          <w:lang w:val="bg-BG"/>
        </w:rPr>
        <w:t xml:space="preserve">Увреденият, спрямо който </w:t>
      </w:r>
      <w:r w:rsidR="004E72F7" w:rsidRPr="004E72F7">
        <w:rPr>
          <w:lang w:val="bg-BG"/>
        </w:rPr>
        <w:t>застрахованият е отговорен, има право</w:t>
      </w:r>
      <w:r w:rsidR="004E72F7">
        <w:rPr>
          <w:lang w:val="bg-BG"/>
        </w:rPr>
        <w:t xml:space="preserve"> да иска обезщетението пряко от </w:t>
      </w:r>
      <w:r w:rsidR="004E72F7" w:rsidRPr="004E72F7">
        <w:rPr>
          <w:lang w:val="bg-BG"/>
        </w:rPr>
        <w:t>застрахователя.</w:t>
      </w:r>
      <w:r w:rsidR="00FE7B5D" w:rsidRPr="00242290">
        <w:rPr>
          <w:lang w:val="bg-BG"/>
        </w:rPr>
        <w:t>“</w:t>
      </w:r>
    </w:p>
    <w:p w:rsidR="008D4B68" w:rsidRPr="00464AD3" w:rsidRDefault="008D4B68" w:rsidP="00D46A4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="00D46A4B" w:rsidRPr="00464AD3">
        <w:rPr>
          <w:noProof/>
          <w:lang w:val="bg-BG"/>
        </w:rPr>
        <w:t>16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</w:t>
      </w:r>
      <w:r w:rsidR="004E72F7">
        <w:rPr>
          <w:lang w:val="bg-BG"/>
        </w:rPr>
        <w:t>По този вид дела</w:t>
      </w:r>
      <w:r w:rsidR="006E4312" w:rsidRPr="00442A9A">
        <w:rPr>
          <w:lang w:val="bg-BG"/>
        </w:rPr>
        <w:t xml:space="preserve"> </w:t>
      </w:r>
      <w:r w:rsidR="004C6A3D" w:rsidRPr="004B4BEB">
        <w:rPr>
          <w:lang w:val="bg-BG"/>
        </w:rPr>
        <w:t xml:space="preserve">националните </w:t>
      </w:r>
      <w:r w:rsidR="006E4312" w:rsidRPr="004B4BEB">
        <w:rPr>
          <w:lang w:val="bg-BG"/>
        </w:rPr>
        <w:t>съдилища</w:t>
      </w:r>
      <w:r w:rsidR="006E4312" w:rsidRPr="00242290">
        <w:rPr>
          <w:lang w:val="bg-BG"/>
        </w:rPr>
        <w:t xml:space="preserve"> </w:t>
      </w:r>
      <w:r w:rsidR="004C6A3D" w:rsidRPr="00442A9A">
        <w:rPr>
          <w:lang w:val="bg-BG"/>
        </w:rPr>
        <w:t>трябва</w:t>
      </w:r>
      <w:r w:rsidR="006E4312" w:rsidRPr="004B4BEB">
        <w:rPr>
          <w:lang w:val="bg-BG"/>
        </w:rPr>
        <w:t xml:space="preserve"> да </w:t>
      </w:r>
      <w:r w:rsidR="004E72F7">
        <w:rPr>
          <w:lang w:val="bg-BG"/>
        </w:rPr>
        <w:t>отговорят</w:t>
      </w:r>
      <w:r w:rsidR="006E4312" w:rsidRPr="00442A9A">
        <w:rPr>
          <w:lang w:val="bg-BG"/>
        </w:rPr>
        <w:t xml:space="preserve"> на въпроса дали </w:t>
      </w:r>
      <w:r w:rsidR="004E72F7">
        <w:rPr>
          <w:lang w:val="bg-BG"/>
        </w:rPr>
        <w:t>уважаването на</w:t>
      </w:r>
      <w:r w:rsidR="006E4312" w:rsidRPr="00442A9A">
        <w:rPr>
          <w:lang w:val="bg-BG"/>
        </w:rPr>
        <w:t xml:space="preserve"> граждански иск срещу </w:t>
      </w:r>
      <w:r w:rsidR="004E72F7">
        <w:rPr>
          <w:lang w:val="bg-BG"/>
        </w:rPr>
        <w:t>причинителя</w:t>
      </w:r>
      <w:r w:rsidR="006E4312" w:rsidRPr="00442A9A">
        <w:rPr>
          <w:lang w:val="bg-BG"/>
        </w:rPr>
        <w:t xml:space="preserve"> </w:t>
      </w:r>
      <w:r w:rsidR="004E72F7">
        <w:rPr>
          <w:lang w:val="bg-BG"/>
        </w:rPr>
        <w:t>е пречка за предявяване на иск за</w:t>
      </w:r>
      <w:r w:rsidR="008B4EF6" w:rsidRPr="004B4BEB">
        <w:rPr>
          <w:lang w:val="bg-BG"/>
        </w:rPr>
        <w:t xml:space="preserve"> </w:t>
      </w:r>
      <w:r w:rsidR="004E72F7">
        <w:rPr>
          <w:lang w:val="bg-BG"/>
        </w:rPr>
        <w:t>вреди срещу</w:t>
      </w:r>
      <w:r w:rsidR="008B4EF6" w:rsidRPr="004B4BEB">
        <w:rPr>
          <w:lang w:val="bg-BG"/>
        </w:rPr>
        <w:t xml:space="preserve"> застрахователя на извършителя</w:t>
      </w:r>
      <w:r w:rsidR="004E72F7">
        <w:rPr>
          <w:lang w:val="bg-BG"/>
        </w:rPr>
        <w:t>,</w:t>
      </w:r>
      <w:r w:rsidR="008B4EF6" w:rsidRPr="004B4BEB">
        <w:rPr>
          <w:lang w:val="bg-BG"/>
        </w:rPr>
        <w:t xml:space="preserve"> </w:t>
      </w:r>
      <w:r w:rsidR="004C6A3D" w:rsidRPr="004B4BEB">
        <w:rPr>
          <w:lang w:val="bg-BG"/>
        </w:rPr>
        <w:t>съгласно</w:t>
      </w:r>
      <w:r w:rsidR="008B4EF6" w:rsidRPr="004B4BEB">
        <w:rPr>
          <w:lang w:val="bg-BG"/>
        </w:rPr>
        <w:t xml:space="preserve"> чл. 407, ал. 1 от Търговския закон.</w:t>
      </w:r>
    </w:p>
    <w:p w:rsidR="008D4B68" w:rsidRPr="00464AD3" w:rsidRDefault="008D4B68" w:rsidP="00D46A4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="00D46A4B" w:rsidRPr="00464AD3">
        <w:rPr>
          <w:noProof/>
          <w:lang w:val="bg-BG"/>
        </w:rPr>
        <w:t>17</w:t>
      </w:r>
      <w:r w:rsidRPr="00464AD3">
        <w:rPr>
          <w:lang w:val="bg-BG"/>
        </w:rPr>
        <w:fldChar w:fldCharType="end"/>
      </w:r>
      <w:r w:rsidR="004E72F7">
        <w:rPr>
          <w:lang w:val="bg-BG"/>
        </w:rPr>
        <w:t>. </w:t>
      </w:r>
      <w:r w:rsidR="008B4EF6" w:rsidRPr="00464AD3">
        <w:rPr>
          <w:lang w:val="bg-BG"/>
        </w:rPr>
        <w:t>Обособ</w:t>
      </w:r>
      <w:r w:rsidR="00A74AAF">
        <w:rPr>
          <w:lang w:val="bg-BG"/>
        </w:rPr>
        <w:t>яват</w:t>
      </w:r>
      <w:r w:rsidR="008B4EF6" w:rsidRPr="00464AD3">
        <w:rPr>
          <w:lang w:val="bg-BG"/>
        </w:rPr>
        <w:t xml:space="preserve"> се два подхода </w:t>
      </w:r>
      <w:r w:rsidR="003C155B">
        <w:rPr>
          <w:lang w:val="bg-BG"/>
        </w:rPr>
        <w:t>в</w:t>
      </w:r>
      <w:r w:rsidR="003C155B" w:rsidRPr="00464AD3">
        <w:rPr>
          <w:lang w:val="bg-BG"/>
        </w:rPr>
        <w:t xml:space="preserve"> </w:t>
      </w:r>
      <w:r w:rsidR="008B4EF6" w:rsidRPr="00464AD3">
        <w:rPr>
          <w:lang w:val="bg-BG"/>
        </w:rPr>
        <w:t xml:space="preserve">съдебната практика на гражданските съдилища, включително и </w:t>
      </w:r>
      <w:r w:rsidR="004E72F7">
        <w:rPr>
          <w:lang w:val="bg-BG"/>
        </w:rPr>
        <w:t>на</w:t>
      </w:r>
      <w:r w:rsidR="00B31110">
        <w:rPr>
          <w:lang w:val="bg-BG"/>
        </w:rPr>
        <w:t xml:space="preserve"> самия</w:t>
      </w:r>
      <w:r w:rsidR="008B4EF6" w:rsidRPr="00464AD3">
        <w:rPr>
          <w:lang w:val="bg-BG"/>
        </w:rPr>
        <w:t xml:space="preserve"> Върхов</w:t>
      </w:r>
      <w:r w:rsidR="002179F7">
        <w:rPr>
          <w:lang w:val="bg-BG"/>
        </w:rPr>
        <w:t>ен</w:t>
      </w:r>
      <w:r w:rsidR="008B4EF6" w:rsidRPr="00464AD3">
        <w:rPr>
          <w:lang w:val="bg-BG"/>
        </w:rPr>
        <w:t xml:space="preserve"> касационен съд.</w:t>
      </w:r>
    </w:p>
    <w:p w:rsidR="003C155B" w:rsidRPr="00464AD3" w:rsidRDefault="003C155B" w:rsidP="003C155B">
      <w:pPr>
        <w:pStyle w:val="ECHRPara"/>
        <w:rPr>
          <w:lang w:val="bg-BG"/>
        </w:rPr>
      </w:pPr>
      <w:r w:rsidRPr="00D44F23">
        <w:rPr>
          <w:color w:val="000000" w:themeColor="text1"/>
          <w:lang w:val="bg-BG"/>
        </w:rPr>
        <w:fldChar w:fldCharType="begin"/>
      </w:r>
      <w:r w:rsidRPr="00D44F23">
        <w:rPr>
          <w:color w:val="000000" w:themeColor="text1"/>
          <w:lang w:val="bg-BG"/>
        </w:rPr>
        <w:instrText xml:space="preserve"> SEQ level0 \*arabic </w:instrText>
      </w:r>
      <w:r w:rsidRPr="00D44F23">
        <w:rPr>
          <w:color w:val="000000" w:themeColor="text1"/>
          <w:lang w:val="bg-BG"/>
        </w:rPr>
        <w:fldChar w:fldCharType="separate"/>
      </w:r>
      <w:r w:rsidRPr="00D44F23">
        <w:rPr>
          <w:noProof/>
          <w:color w:val="000000" w:themeColor="text1"/>
          <w:lang w:val="bg-BG"/>
        </w:rPr>
        <w:t>18</w:t>
      </w:r>
      <w:r w:rsidRPr="00D44F23">
        <w:rPr>
          <w:color w:val="000000" w:themeColor="text1"/>
          <w:lang w:val="bg-BG"/>
        </w:rPr>
        <w:fldChar w:fldCharType="end"/>
      </w:r>
      <w:r w:rsidR="004E72F7">
        <w:rPr>
          <w:color w:val="000000" w:themeColor="text1"/>
          <w:lang w:val="bg-BG"/>
        </w:rPr>
        <w:t>.</w:t>
      </w:r>
      <w:r w:rsidRPr="00D44F23">
        <w:rPr>
          <w:color w:val="000000" w:themeColor="text1"/>
          <w:lang w:val="bg-BG"/>
        </w:rPr>
        <w:t> </w:t>
      </w:r>
      <w:r w:rsidR="005475AA">
        <w:rPr>
          <w:color w:val="000000" w:themeColor="text1"/>
          <w:lang w:val="bg-BG"/>
        </w:rPr>
        <w:t>При п</w:t>
      </w:r>
      <w:r w:rsidRPr="00D44F23">
        <w:rPr>
          <w:color w:val="000000" w:themeColor="text1"/>
          <w:lang w:val="bg-BG"/>
        </w:rPr>
        <w:t xml:space="preserve">ървия подход пострадалото лице </w:t>
      </w:r>
      <w:r w:rsidR="009B7AA3">
        <w:rPr>
          <w:color w:val="000000" w:themeColor="text1"/>
          <w:lang w:val="bg-BG"/>
        </w:rPr>
        <w:t xml:space="preserve">може да предяви иск срещу </w:t>
      </w:r>
      <w:r w:rsidRPr="00464AD3">
        <w:rPr>
          <w:lang w:val="bg-BG"/>
        </w:rPr>
        <w:t xml:space="preserve">застрахователя, </w:t>
      </w:r>
      <w:r>
        <w:rPr>
          <w:lang w:val="bg-BG"/>
        </w:rPr>
        <w:t>ако</w:t>
      </w:r>
      <w:r w:rsidRPr="00464AD3">
        <w:rPr>
          <w:lang w:val="bg-BG"/>
        </w:rPr>
        <w:t xml:space="preserve"> осъденият извършител не е платил сумата, присъдена като обезщетение за вреди (</w:t>
      </w:r>
      <w:r w:rsidRPr="00464AD3">
        <w:rPr>
          <w:i/>
          <w:lang w:val="bg-BG"/>
        </w:rPr>
        <w:t>Решение № 623 от 01.08.2007г. по т.д. № 270/2007г. на ВКС, Т.К., II т.о., Решение № 236 от 30.04.2008г. по т.д. № 917/2007г. на ВКС, Т.К., II т.о.</w:t>
      </w:r>
      <w:r w:rsidRPr="00464AD3">
        <w:rPr>
          <w:lang w:val="bg-BG"/>
        </w:rPr>
        <w:t>).</w:t>
      </w:r>
    </w:p>
    <w:p w:rsidR="003F5A86" w:rsidRDefault="003C155B" w:rsidP="003C155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19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</w:t>
      </w:r>
      <w:r w:rsidR="005475AA">
        <w:rPr>
          <w:lang w:val="bg-BG"/>
        </w:rPr>
        <w:t>Що се отнася до</w:t>
      </w:r>
      <w:r w:rsidR="005475AA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втория подход, </w:t>
      </w:r>
      <w:r w:rsidR="005475AA">
        <w:rPr>
          <w:lang w:val="bg-BG"/>
        </w:rPr>
        <w:t xml:space="preserve">при него се </w:t>
      </w:r>
      <w:r w:rsidRPr="00464AD3">
        <w:rPr>
          <w:lang w:val="bg-BG"/>
        </w:rPr>
        <w:t>прием</w:t>
      </w:r>
      <w:r w:rsidR="005475AA">
        <w:rPr>
          <w:lang w:val="bg-BG"/>
        </w:rPr>
        <w:t>а</w:t>
      </w:r>
      <w:r w:rsidRPr="00464AD3">
        <w:rPr>
          <w:lang w:val="bg-BG"/>
        </w:rPr>
        <w:t xml:space="preserve">, че ако съдът вече е присъдил на ищеца обезщетение от </w:t>
      </w:r>
      <w:r w:rsidR="009B7AA3">
        <w:rPr>
          <w:lang w:val="bg-BG"/>
        </w:rPr>
        <w:t>причинителя на вредата</w:t>
      </w:r>
      <w:r w:rsidRPr="00464AD3">
        <w:rPr>
          <w:lang w:val="bg-BG"/>
        </w:rPr>
        <w:t xml:space="preserve">, впоследствие той няма право да заведе </w:t>
      </w:r>
      <w:r w:rsidR="009B7AA3">
        <w:rPr>
          <w:lang w:val="bg-BG"/>
        </w:rPr>
        <w:t>иск</w:t>
      </w:r>
      <w:r w:rsidRPr="00464AD3">
        <w:rPr>
          <w:lang w:val="bg-BG"/>
        </w:rPr>
        <w:t xml:space="preserve"> срещу застрахователя и да </w:t>
      </w:r>
      <w:r w:rsidR="005475AA">
        <w:rPr>
          <w:lang w:val="bg-BG"/>
        </w:rPr>
        <w:t>търси</w:t>
      </w:r>
      <w:r w:rsidR="005475AA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същото обезщетение, дори и присъдената сума да не е изплатена от </w:t>
      </w:r>
      <w:r w:rsidR="009B7AA3">
        <w:rPr>
          <w:lang w:val="bg-BG"/>
        </w:rPr>
        <w:t>причинителя</w:t>
      </w:r>
      <w:r w:rsidRPr="00464AD3">
        <w:rPr>
          <w:lang w:val="bg-BG"/>
        </w:rPr>
        <w:t xml:space="preserve">. При това положение съдилищата </w:t>
      </w:r>
      <w:r w:rsidR="009B7AA3">
        <w:rPr>
          <w:lang w:val="bg-BG"/>
        </w:rPr>
        <w:t>отхвърлят като</w:t>
      </w:r>
      <w:r w:rsidRPr="00464AD3">
        <w:rPr>
          <w:lang w:val="bg-BG"/>
        </w:rPr>
        <w:t xml:space="preserve"> недопустим </w:t>
      </w:r>
      <w:r w:rsidR="005475AA">
        <w:rPr>
          <w:lang w:val="bg-BG"/>
        </w:rPr>
        <w:t>предявения</w:t>
      </w:r>
      <w:r w:rsidR="005475AA" w:rsidRPr="00464AD3">
        <w:rPr>
          <w:lang w:val="bg-BG"/>
        </w:rPr>
        <w:t xml:space="preserve"> </w:t>
      </w:r>
      <w:r w:rsidRPr="00464AD3">
        <w:rPr>
          <w:lang w:val="bg-BG"/>
        </w:rPr>
        <w:t>иск срещу застрахователя (</w:t>
      </w:r>
      <w:r w:rsidRPr="00464AD3">
        <w:rPr>
          <w:i/>
          <w:lang w:val="bg-BG"/>
        </w:rPr>
        <w:t>Решение № 1126 от 10.01.2006г. по т.д. № 331/2005г. на ВКС, Т.К., II т.о., Решение № 82 от 07.07.2009г. по т.д. № 28/2009г. на ВКС, Т.К., I т.о.</w:t>
      </w:r>
      <w:r w:rsidRPr="00464AD3">
        <w:rPr>
          <w:lang w:val="bg-BG"/>
        </w:rPr>
        <w:t xml:space="preserve">, </w:t>
      </w:r>
      <w:r w:rsidRPr="00464AD3">
        <w:rPr>
          <w:i/>
          <w:lang w:val="bg-BG"/>
        </w:rPr>
        <w:t>Решение № 197 от 30.11.2009г. по т.д. № 352/2009г. на ВКС, Т.К., II т.о.</w:t>
      </w:r>
      <w:r w:rsidRPr="00464AD3">
        <w:rPr>
          <w:lang w:val="bg-BG"/>
        </w:rPr>
        <w:t>).</w:t>
      </w:r>
      <w:r w:rsidR="003F5A86" w:rsidRPr="003F5A86">
        <w:rPr>
          <w:lang w:val="bg-BG"/>
        </w:rPr>
        <w:t xml:space="preserve"> </w:t>
      </w:r>
    </w:p>
    <w:p w:rsidR="003C155B" w:rsidRPr="00464AD3" w:rsidRDefault="003C155B" w:rsidP="003C155B">
      <w:pPr>
        <w:pStyle w:val="ECHRPara"/>
        <w:rPr>
          <w:lang w:val="bg-BG"/>
        </w:rPr>
      </w:pPr>
      <w:r w:rsidRPr="003F5A86">
        <w:rPr>
          <w:lang w:val="bg-BG"/>
        </w:rPr>
        <w:fldChar w:fldCharType="begin"/>
      </w:r>
      <w:r w:rsidRPr="003F5A86">
        <w:rPr>
          <w:lang w:val="bg-BG"/>
        </w:rPr>
        <w:instrText xml:space="preserve"> SEQ level0 \*arabic </w:instrText>
      </w:r>
      <w:r w:rsidRPr="003F5A86">
        <w:rPr>
          <w:lang w:val="bg-BG"/>
        </w:rPr>
        <w:fldChar w:fldCharType="separate"/>
      </w:r>
      <w:r w:rsidRPr="003F5A86">
        <w:rPr>
          <w:noProof/>
          <w:lang w:val="bg-BG"/>
        </w:rPr>
        <w:t>20</w:t>
      </w:r>
      <w:r w:rsidRPr="003F5A86">
        <w:rPr>
          <w:lang w:val="bg-BG"/>
        </w:rPr>
        <w:fldChar w:fldCharType="end"/>
      </w:r>
      <w:r w:rsidRPr="00464AD3">
        <w:rPr>
          <w:lang w:val="bg-BG"/>
        </w:rPr>
        <w:t>.  Съгл</w:t>
      </w:r>
      <w:r w:rsidR="003F5A86">
        <w:rPr>
          <w:lang w:val="bg-BG"/>
        </w:rPr>
        <w:t xml:space="preserve">асно чл. 292 от новия Граждански </w:t>
      </w:r>
      <w:r w:rsidRPr="00464AD3">
        <w:rPr>
          <w:lang w:val="bg-BG"/>
        </w:rPr>
        <w:t>процесуален кодекс</w:t>
      </w:r>
      <w:r>
        <w:rPr>
          <w:lang w:val="bg-BG"/>
        </w:rPr>
        <w:t>,</w:t>
      </w:r>
      <w:r w:rsidRPr="00464AD3">
        <w:rPr>
          <w:lang w:val="bg-BG"/>
        </w:rPr>
        <w:t xml:space="preserve"> когато при разглеждане</w:t>
      </w:r>
      <w:r w:rsidR="005475AA">
        <w:rPr>
          <w:lang w:val="bg-BG"/>
        </w:rPr>
        <w:t>то</w:t>
      </w:r>
      <w:r w:rsidRPr="00464AD3">
        <w:rPr>
          <w:lang w:val="bg-BG"/>
        </w:rPr>
        <w:t xml:space="preserve"> на касационна жалба, </w:t>
      </w:r>
      <w:r w:rsidR="003F5A86">
        <w:rPr>
          <w:lang w:val="bg-BG"/>
        </w:rPr>
        <w:t>състав</w:t>
      </w:r>
      <w:r w:rsidRPr="00464AD3">
        <w:rPr>
          <w:lang w:val="bg-BG"/>
        </w:rPr>
        <w:t xml:space="preserve"> на Върховния касационен съд </w:t>
      </w:r>
      <w:r w:rsidR="003F5A86">
        <w:rPr>
          <w:lang w:val="bg-BG"/>
        </w:rPr>
        <w:t>установи наличие на</w:t>
      </w:r>
      <w:r w:rsidRPr="00464AD3">
        <w:rPr>
          <w:lang w:val="bg-BG"/>
        </w:rPr>
        <w:t xml:space="preserve"> </w:t>
      </w:r>
      <w:r>
        <w:rPr>
          <w:lang w:val="bg-BG"/>
        </w:rPr>
        <w:t>противоречие</w:t>
      </w:r>
      <w:r w:rsidRPr="00464AD3">
        <w:rPr>
          <w:lang w:val="bg-BG"/>
        </w:rPr>
        <w:t xml:space="preserve"> в съдебната практика на тази съдебна инстанция, </w:t>
      </w:r>
      <w:r>
        <w:rPr>
          <w:lang w:val="bg-BG"/>
        </w:rPr>
        <w:t>той</w:t>
      </w:r>
      <w:r w:rsidRPr="00464AD3">
        <w:rPr>
          <w:lang w:val="bg-BG"/>
        </w:rPr>
        <w:t xml:space="preserve"> е длъжен да предложи на</w:t>
      </w:r>
      <w:r w:rsidR="003F5A86">
        <w:rPr>
          <w:lang w:val="bg-BG"/>
        </w:rPr>
        <w:t xml:space="preserve"> общото събрание на</w:t>
      </w:r>
      <w:r w:rsidRPr="00464AD3">
        <w:rPr>
          <w:lang w:val="bg-BG"/>
        </w:rPr>
        <w:t xml:space="preserve"> съответн</w:t>
      </w:r>
      <w:r>
        <w:rPr>
          <w:lang w:val="bg-BG"/>
        </w:rPr>
        <w:t>ата колегия</w:t>
      </w:r>
      <w:r w:rsidRPr="00464AD3">
        <w:rPr>
          <w:lang w:val="bg-BG"/>
        </w:rPr>
        <w:t xml:space="preserve"> да постанови тъ</w:t>
      </w:r>
      <w:r w:rsidR="003F5A86">
        <w:rPr>
          <w:lang w:val="bg-BG"/>
        </w:rPr>
        <w:t>лкувателно решение по въпроса, като</w:t>
      </w:r>
      <w:r w:rsidRPr="00464AD3">
        <w:rPr>
          <w:lang w:val="bg-BG"/>
        </w:rPr>
        <w:t xml:space="preserve"> </w:t>
      </w:r>
      <w:r w:rsidR="003F5A86">
        <w:rPr>
          <w:lang w:val="bg-BG"/>
        </w:rPr>
        <w:t>спира</w:t>
      </w:r>
      <w:r w:rsidRPr="00464AD3">
        <w:rPr>
          <w:lang w:val="bg-BG"/>
        </w:rPr>
        <w:t xml:space="preserve"> разглеждането на висящото пред него дело. В постоянната си съдебна практика българският </w:t>
      </w:r>
      <w:r w:rsidR="005475AA">
        <w:rPr>
          <w:lang w:val="bg-BG"/>
        </w:rPr>
        <w:t>В</w:t>
      </w:r>
      <w:r w:rsidRPr="00464AD3">
        <w:rPr>
          <w:lang w:val="bg-BG"/>
        </w:rPr>
        <w:t xml:space="preserve">ърховен съд счита, че </w:t>
      </w:r>
      <w:r>
        <w:rPr>
          <w:lang w:val="bg-BG"/>
        </w:rPr>
        <w:t>е налице противоречие</w:t>
      </w:r>
      <w:r w:rsidRPr="00464AD3">
        <w:rPr>
          <w:lang w:val="bg-BG"/>
        </w:rPr>
        <w:t>, когато същият правен въпрос се разрешава по различни начини в поне две негови съдебни решения (</w:t>
      </w:r>
      <w:r w:rsidRPr="00464AD3">
        <w:rPr>
          <w:i/>
          <w:iCs/>
          <w:lang w:val="bg-BG"/>
        </w:rPr>
        <w:t xml:space="preserve">Тълкувателно решение № 2 от 28.09.2011 г. на ВКС по т. д. № 2/2010 г., ОСГК и ОСТК). </w:t>
      </w:r>
      <w:r w:rsidR="005475AA" w:rsidRPr="003F5A86">
        <w:rPr>
          <w:iCs/>
          <w:lang w:val="bg-BG"/>
        </w:rPr>
        <w:t>Съгласно</w:t>
      </w:r>
      <w:r w:rsidRPr="00464AD3">
        <w:rPr>
          <w:iCs/>
          <w:lang w:val="bg-BG"/>
        </w:rPr>
        <w:t xml:space="preserve"> чл. 130, ал. 2 от Закона за съдебната власт постановените от Върховния касационен съд тълкувателни решения </w:t>
      </w:r>
      <w:r w:rsidR="005475AA">
        <w:rPr>
          <w:iCs/>
          <w:lang w:val="bg-BG"/>
        </w:rPr>
        <w:t>са обвързващи</w:t>
      </w:r>
      <w:r w:rsidRPr="00464AD3">
        <w:rPr>
          <w:iCs/>
          <w:lang w:val="bg-BG"/>
        </w:rPr>
        <w:t xml:space="preserve"> за органите на съдебната власт, изпълнителната власт и местната власт.</w:t>
      </w:r>
    </w:p>
    <w:p w:rsidR="003C155B" w:rsidRPr="00464AD3" w:rsidRDefault="003C155B" w:rsidP="003C155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21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На 17 март 2010 г., при разглеждането на касацион</w:t>
      </w:r>
      <w:r w:rsidR="003F5A86">
        <w:rPr>
          <w:lang w:val="bg-BG"/>
        </w:rPr>
        <w:t>на жалба, подадена от три лица</w:t>
      </w:r>
      <w:r w:rsidRPr="00464AD3">
        <w:rPr>
          <w:lang w:val="bg-BG"/>
        </w:rPr>
        <w:t xml:space="preserve"> срещу решение на Софийски апелативен съд, който обяв</w:t>
      </w:r>
      <w:r w:rsidR="005475AA">
        <w:rPr>
          <w:lang w:val="bg-BG"/>
        </w:rPr>
        <w:t>ява</w:t>
      </w:r>
      <w:r w:rsidRPr="00464AD3">
        <w:rPr>
          <w:lang w:val="bg-BG"/>
        </w:rPr>
        <w:t xml:space="preserve"> за недопустим </w:t>
      </w:r>
      <w:r w:rsidR="005475AA">
        <w:rPr>
          <w:lang w:val="bg-BG"/>
        </w:rPr>
        <w:t>предявен</w:t>
      </w:r>
      <w:r w:rsidR="005475AA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от тях иск </w:t>
      </w:r>
      <w:r w:rsidR="003F5A86">
        <w:rPr>
          <w:lang w:val="bg-BG"/>
        </w:rPr>
        <w:t>на основание</w:t>
      </w:r>
      <w:r w:rsidRPr="00464AD3">
        <w:rPr>
          <w:lang w:val="bg-BG"/>
        </w:rPr>
        <w:t xml:space="preserve"> чл. 407, ал. 1 от Търговския закон, един от съдебните състави на Върховния касационен съд установява наличието на </w:t>
      </w:r>
      <w:r w:rsidR="003F5A86">
        <w:rPr>
          <w:lang w:val="bg-BG"/>
        </w:rPr>
        <w:t>противоречива</w:t>
      </w:r>
      <w:r w:rsidRPr="00464AD3">
        <w:rPr>
          <w:lang w:val="bg-BG"/>
        </w:rPr>
        <w:t xml:space="preserve"> съдебната практика относно тълкуването на тази разпоредба. Този състав решава да сезира </w:t>
      </w:r>
      <w:r w:rsidR="005475AA">
        <w:rPr>
          <w:lang w:val="bg-BG"/>
        </w:rPr>
        <w:t>Т</w:t>
      </w:r>
      <w:r w:rsidRPr="00464AD3">
        <w:rPr>
          <w:lang w:val="bg-BG"/>
        </w:rPr>
        <w:t>ърговската колегия на Върховния касационен съд (</w:t>
      </w:r>
      <w:r w:rsidRPr="00464AD3">
        <w:rPr>
          <w:i/>
          <w:lang w:val="bg-BG"/>
        </w:rPr>
        <w:t>общо събрание на Търговската колегия на ВКС</w:t>
      </w:r>
      <w:r w:rsidRPr="00464AD3">
        <w:rPr>
          <w:lang w:val="bg-BG"/>
        </w:rPr>
        <w:t xml:space="preserve">) с </w:t>
      </w:r>
      <w:r w:rsidR="005475AA">
        <w:rPr>
          <w:lang w:val="bg-BG"/>
        </w:rPr>
        <w:t>искане</w:t>
      </w:r>
      <w:r w:rsidR="005475AA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за постановяване на тълкувателно решение </w:t>
      </w:r>
      <w:r w:rsidR="005475AA">
        <w:rPr>
          <w:lang w:val="bg-BG"/>
        </w:rPr>
        <w:t>съгласно</w:t>
      </w:r>
      <w:r w:rsidR="003F5A86">
        <w:rPr>
          <w:lang w:val="bg-BG"/>
        </w:rPr>
        <w:t xml:space="preserve"> чл. 292 от новия Граждански </w:t>
      </w:r>
      <w:r w:rsidRPr="00464AD3">
        <w:rPr>
          <w:lang w:val="bg-BG"/>
        </w:rPr>
        <w:t xml:space="preserve">процесуален кодекс и </w:t>
      </w:r>
      <w:r w:rsidR="003F5A86">
        <w:rPr>
          <w:lang w:val="bg-BG"/>
        </w:rPr>
        <w:t>спира</w:t>
      </w:r>
      <w:r w:rsidRPr="00464AD3">
        <w:rPr>
          <w:lang w:val="bg-BG"/>
        </w:rPr>
        <w:t xml:space="preserve"> разглеждането на висящото пред него дело до произнасянето на тълкувателното решение от страна на гореспоменатата колегия (</w:t>
      </w:r>
      <w:r w:rsidRPr="00464AD3">
        <w:rPr>
          <w:i/>
          <w:lang w:val="bg-BG"/>
        </w:rPr>
        <w:t>Определение № 149 от 17.03.2010г. по т.д. № 925/2009г. на ВКС, Т.К., II т.о</w:t>
      </w:r>
      <w:r w:rsidRPr="00464AD3">
        <w:rPr>
          <w:lang w:val="bg-BG"/>
        </w:rPr>
        <w:t xml:space="preserve">.). В периода от 2010 г. до 2012 г. различни съдебни състави на Върховния касационен съд </w:t>
      </w:r>
      <w:r w:rsidR="003F5A86">
        <w:rPr>
          <w:lang w:val="bg-BG"/>
        </w:rPr>
        <w:t>спират</w:t>
      </w:r>
      <w:r w:rsidRPr="00464AD3">
        <w:rPr>
          <w:lang w:val="bg-BG"/>
        </w:rPr>
        <w:t xml:space="preserve"> разглеждането на няколко подобни дела докато чакат постановяването на въпросното тълкувателно решение (</w:t>
      </w:r>
      <w:r w:rsidRPr="00464AD3">
        <w:rPr>
          <w:i/>
          <w:lang w:val="bg-BG"/>
        </w:rPr>
        <w:t>Определение № 225 от 27.04.2010г. по т.д. № 16/2010г. на ВКС, Т.К., II т.о</w:t>
      </w:r>
      <w:r w:rsidRPr="00464AD3">
        <w:rPr>
          <w:lang w:val="bg-BG"/>
        </w:rPr>
        <w:t xml:space="preserve">., </w:t>
      </w:r>
      <w:r w:rsidRPr="00464AD3">
        <w:rPr>
          <w:i/>
          <w:lang w:val="bg-BG"/>
        </w:rPr>
        <w:t>Определение № 128 от 28.02.2011г. по т.д. № 482/2010г. на ВКС, Т.К., I т.о</w:t>
      </w:r>
      <w:r w:rsidRPr="00464AD3">
        <w:rPr>
          <w:lang w:val="bg-BG"/>
        </w:rPr>
        <w:t xml:space="preserve">., </w:t>
      </w:r>
      <w:r w:rsidRPr="00464AD3">
        <w:rPr>
          <w:i/>
          <w:lang w:val="bg-BG"/>
        </w:rPr>
        <w:t>Определение № 153 от 07.03.2012г. по т.д. № 881/2011г. на ВКС, Т.К., II т.о</w:t>
      </w:r>
      <w:r w:rsidRPr="00464AD3">
        <w:rPr>
          <w:lang w:val="bg-BG"/>
        </w:rPr>
        <w:t>.).</w:t>
      </w:r>
    </w:p>
    <w:p w:rsidR="003C155B" w:rsidRPr="00464AD3" w:rsidRDefault="003C155B" w:rsidP="003C155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22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На 6 юни 2012 г. Върховният касационен съд постановява тълкувателното си решение относно приложението на чл. 407, ал. 1 от Търговския закон (</w:t>
      </w:r>
      <w:r w:rsidRPr="00464AD3">
        <w:rPr>
          <w:i/>
          <w:lang w:val="bg-BG"/>
        </w:rPr>
        <w:t>Тълкувателно решение № 2 от 06.06.2012г. на ВКС по т.д. № 1/2010г., ОСТК</w:t>
      </w:r>
      <w:r w:rsidRPr="00464AD3">
        <w:rPr>
          <w:lang w:val="bg-BG"/>
        </w:rPr>
        <w:t>).</w:t>
      </w:r>
      <w:r w:rsidR="003F5A86">
        <w:rPr>
          <w:lang w:val="bg-BG"/>
        </w:rPr>
        <w:t xml:space="preserve"> В него</w:t>
      </w:r>
      <w:r w:rsidRPr="00464AD3">
        <w:rPr>
          <w:i/>
          <w:lang w:val="bg-BG"/>
        </w:rPr>
        <w:t xml:space="preserve"> </w:t>
      </w:r>
      <w:r w:rsidR="003F5A86">
        <w:rPr>
          <w:lang w:val="bg-BG"/>
        </w:rPr>
        <w:t>съдът установява</w:t>
      </w:r>
      <w:r w:rsidRPr="00464AD3">
        <w:rPr>
          <w:lang w:val="bg-BG"/>
        </w:rPr>
        <w:t xml:space="preserve">, че съдебната практика на гражданските съдилища е противоречива и че съществуват две различни </w:t>
      </w:r>
      <w:r w:rsidR="003F5A86">
        <w:rPr>
          <w:lang w:val="bg-BG"/>
        </w:rPr>
        <w:t>становища относно това</w:t>
      </w:r>
      <w:r w:rsidRPr="00464AD3">
        <w:rPr>
          <w:lang w:val="bg-BG"/>
        </w:rPr>
        <w:t xml:space="preserve"> дали пострадалото лице може да предяви иск срещу застрахователя, след като е спечелило дело срещу извършителя. Върховният касационен съд приема подхода, при който това лице има право да </w:t>
      </w:r>
      <w:r w:rsidR="00F63E55">
        <w:rPr>
          <w:lang w:val="bg-BG"/>
        </w:rPr>
        <w:t>предяви иск срещу застрахователя, в случай</w:t>
      </w:r>
      <w:r w:rsidRPr="00464AD3">
        <w:rPr>
          <w:lang w:val="bg-BG"/>
        </w:rPr>
        <w:t xml:space="preserve"> че осъденият извършител не е изплатил присъденото от съда обезщетение.</w:t>
      </w:r>
    </w:p>
    <w:p w:rsidR="003C155B" w:rsidRPr="00464AD3" w:rsidRDefault="003C155B" w:rsidP="003C155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23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 xml:space="preserve">.  След </w:t>
      </w:r>
      <w:r w:rsidR="00C37992">
        <w:rPr>
          <w:lang w:val="bg-BG"/>
        </w:rPr>
        <w:t>постановяването</w:t>
      </w:r>
      <w:r w:rsidR="00C37992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на тълкувателното решение от 6 юни 2012 г., </w:t>
      </w:r>
      <w:r w:rsidR="00F63E55">
        <w:rPr>
          <w:lang w:val="bg-BG"/>
        </w:rPr>
        <w:t xml:space="preserve">съответните </w:t>
      </w:r>
      <w:r w:rsidRPr="00464AD3">
        <w:rPr>
          <w:lang w:val="bg-BG"/>
        </w:rPr>
        <w:t xml:space="preserve">състави на Върховния касационен съд възобновяват разглеждането на висящите пред тях дела, които са били </w:t>
      </w:r>
      <w:r w:rsidR="00F63E55">
        <w:rPr>
          <w:lang w:val="bg-BG"/>
        </w:rPr>
        <w:t>спрени</w:t>
      </w:r>
      <w:r w:rsidRPr="00464AD3">
        <w:rPr>
          <w:lang w:val="bg-BG"/>
        </w:rPr>
        <w:t xml:space="preserve">, като </w:t>
      </w:r>
      <w:r w:rsidR="00F63E55">
        <w:rPr>
          <w:lang w:val="bg-BG"/>
        </w:rPr>
        <w:t>последователно</w:t>
      </w:r>
      <w:r w:rsidRPr="00464AD3">
        <w:rPr>
          <w:lang w:val="bg-BG"/>
        </w:rPr>
        <w:t xml:space="preserve"> прилагат подхода, </w:t>
      </w:r>
      <w:r w:rsidR="00C37992">
        <w:rPr>
          <w:lang w:val="bg-BG"/>
        </w:rPr>
        <w:t>приет</w:t>
      </w:r>
      <w:r w:rsidR="00C37992" w:rsidRPr="00464AD3">
        <w:rPr>
          <w:lang w:val="bg-BG"/>
        </w:rPr>
        <w:t xml:space="preserve"> </w:t>
      </w:r>
      <w:r w:rsidRPr="00464AD3">
        <w:rPr>
          <w:lang w:val="bg-BG"/>
        </w:rPr>
        <w:t>в това съдебно решение, по отношение на тълкуването на чл. 407, ал. 1 от Търговския закон (</w:t>
      </w:r>
      <w:r w:rsidRPr="00464AD3">
        <w:rPr>
          <w:i/>
          <w:lang w:val="bg-BG"/>
        </w:rPr>
        <w:t>Решение</w:t>
      </w:r>
      <w:r w:rsidRPr="00464AD3">
        <w:rPr>
          <w:lang w:val="bg-BG"/>
        </w:rPr>
        <w:t> </w:t>
      </w:r>
      <w:r w:rsidRPr="00464AD3">
        <w:rPr>
          <w:i/>
          <w:lang w:val="bg-BG"/>
        </w:rPr>
        <w:t>№ 184 от 21.11.2012г. по т.д. № 16/2010г. на ВКС, Т.К., II т.о</w:t>
      </w:r>
      <w:r w:rsidRPr="00464AD3">
        <w:rPr>
          <w:lang w:val="bg-BG"/>
        </w:rPr>
        <w:t xml:space="preserve">., </w:t>
      </w:r>
      <w:r w:rsidRPr="00464AD3">
        <w:rPr>
          <w:i/>
          <w:lang w:val="bg-BG"/>
        </w:rPr>
        <w:t>Решение № 126 от 03.02.2012г. по т.д. № 482/2010г. на ВКС, Т.К., I т.о</w:t>
      </w:r>
      <w:r w:rsidRPr="00464AD3">
        <w:rPr>
          <w:lang w:val="bg-BG"/>
        </w:rPr>
        <w:t xml:space="preserve">., </w:t>
      </w:r>
      <w:r w:rsidRPr="00464AD3">
        <w:rPr>
          <w:i/>
          <w:lang w:val="bg-BG"/>
        </w:rPr>
        <w:t>Решение № 146 от 03.12.2012г. по т.д. № 881/2011г. на ВКС, Т.К., II т.о</w:t>
      </w:r>
      <w:r w:rsidRPr="00464AD3">
        <w:rPr>
          <w:lang w:val="bg-BG"/>
        </w:rPr>
        <w:t>.).</w:t>
      </w:r>
    </w:p>
    <w:p w:rsidR="003C155B" w:rsidRPr="00464AD3" w:rsidRDefault="003C155B" w:rsidP="003C155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24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</w:t>
      </w:r>
      <w:r w:rsidR="00C37992">
        <w:rPr>
          <w:lang w:val="bg-BG"/>
        </w:rPr>
        <w:t>По същия начин</w:t>
      </w:r>
      <w:r w:rsidRPr="00464AD3">
        <w:rPr>
          <w:lang w:val="bg-BG"/>
        </w:rPr>
        <w:t xml:space="preserve">, различните съдебни състави на Върховния касационен съд продължават да следват подхода, </w:t>
      </w:r>
      <w:r w:rsidR="00F63E55">
        <w:rPr>
          <w:lang w:val="bg-BG"/>
        </w:rPr>
        <w:t>въз</w:t>
      </w:r>
      <w:r w:rsidR="00C37992">
        <w:rPr>
          <w:lang w:val="bg-BG"/>
        </w:rPr>
        <w:t>приет</w:t>
      </w:r>
      <w:r w:rsidR="00C37992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в тълкувателното решение от 6 юни 2012 г. при разглеждането на нови </w:t>
      </w:r>
      <w:r w:rsidR="00F63E55">
        <w:rPr>
          <w:lang w:val="bg-BG"/>
        </w:rPr>
        <w:t xml:space="preserve">касационни </w:t>
      </w:r>
      <w:r w:rsidRPr="00464AD3">
        <w:rPr>
          <w:lang w:val="bg-BG"/>
        </w:rPr>
        <w:t xml:space="preserve">жалби, </w:t>
      </w:r>
      <w:r w:rsidR="00F63E55">
        <w:rPr>
          <w:lang w:val="bg-BG"/>
        </w:rPr>
        <w:t>подадени</w:t>
      </w:r>
      <w:r w:rsidRPr="00464AD3">
        <w:rPr>
          <w:lang w:val="bg-BG"/>
        </w:rPr>
        <w:t xml:space="preserve"> пред </w:t>
      </w:r>
      <w:r w:rsidR="00C37992">
        <w:rPr>
          <w:lang w:val="bg-BG"/>
        </w:rPr>
        <w:t>Върховния касационен съд</w:t>
      </w:r>
      <w:r w:rsidRPr="00464AD3">
        <w:rPr>
          <w:lang w:val="bg-BG"/>
        </w:rPr>
        <w:t xml:space="preserve"> (</w:t>
      </w:r>
      <w:r w:rsidRPr="00464AD3">
        <w:rPr>
          <w:i/>
          <w:lang w:val="bg-BG"/>
        </w:rPr>
        <w:t>Решение</w:t>
      </w:r>
      <w:r w:rsidRPr="00464AD3">
        <w:rPr>
          <w:lang w:val="bg-BG"/>
        </w:rPr>
        <w:t xml:space="preserve"> </w:t>
      </w:r>
      <w:r w:rsidRPr="00464AD3">
        <w:rPr>
          <w:i/>
          <w:lang w:val="bg-BG"/>
        </w:rPr>
        <w:t>№ 237 от 16.05.2013г. по т.д. № 872/2011г. на ВКС, Т.К., II т.о</w:t>
      </w:r>
      <w:r w:rsidRPr="00464AD3">
        <w:rPr>
          <w:lang w:val="bg-BG"/>
        </w:rPr>
        <w:t xml:space="preserve">., </w:t>
      </w:r>
      <w:r w:rsidRPr="00464AD3">
        <w:rPr>
          <w:i/>
          <w:lang w:val="bg-BG"/>
        </w:rPr>
        <w:t>Определение № 675 от 10.09.2012г. по т.д. № 872/2011г. на ВКС, Т.К., II т.о</w:t>
      </w:r>
      <w:r w:rsidRPr="00464AD3">
        <w:rPr>
          <w:lang w:val="bg-BG"/>
        </w:rPr>
        <w:t xml:space="preserve">., </w:t>
      </w:r>
      <w:r w:rsidRPr="00464AD3">
        <w:rPr>
          <w:i/>
          <w:lang w:val="bg-BG"/>
        </w:rPr>
        <w:t>Определение № 459 от 22.05.2013. по т.д. № 327/2012г. на ВКС, Т.К., I т.о</w:t>
      </w:r>
      <w:r w:rsidRPr="00464AD3">
        <w:rPr>
          <w:lang w:val="bg-BG"/>
        </w:rPr>
        <w:t xml:space="preserve">., </w:t>
      </w:r>
      <w:r w:rsidRPr="00464AD3">
        <w:rPr>
          <w:i/>
          <w:lang w:val="bg-BG"/>
        </w:rPr>
        <w:t>Определение № 802 от 10.12.2013. по т.д. № 1799/2013г. на ВКС, Т.К., II т.о</w:t>
      </w:r>
      <w:r w:rsidRPr="00464AD3">
        <w:rPr>
          <w:lang w:val="bg-BG"/>
        </w:rPr>
        <w:t>.).</w:t>
      </w:r>
    </w:p>
    <w:p w:rsidR="003C155B" w:rsidRPr="00464AD3" w:rsidRDefault="003C155B" w:rsidP="003C155B">
      <w:pPr>
        <w:pStyle w:val="ECHRHeading2"/>
        <w:rPr>
          <w:lang w:val="bg-BG"/>
        </w:rPr>
      </w:pPr>
      <w:r w:rsidRPr="00464AD3">
        <w:rPr>
          <w:lang w:val="bg-BG"/>
        </w:rPr>
        <w:t xml:space="preserve">Б.  Касационната жалба </w:t>
      </w:r>
      <w:r w:rsidR="00C37992">
        <w:rPr>
          <w:lang w:val="bg-BG"/>
        </w:rPr>
        <w:t>съгласно</w:t>
      </w:r>
      <w:r w:rsidR="00F63E55">
        <w:rPr>
          <w:lang w:val="bg-BG"/>
        </w:rPr>
        <w:t xml:space="preserve"> новия Граждански </w:t>
      </w:r>
      <w:r w:rsidRPr="00464AD3">
        <w:rPr>
          <w:lang w:val="bg-BG"/>
        </w:rPr>
        <w:t>процесуален кодекс</w:t>
      </w:r>
    </w:p>
    <w:p w:rsidR="003C155B" w:rsidRPr="00464AD3" w:rsidRDefault="003C155B" w:rsidP="003C155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25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На 1 март 2008 г</w:t>
      </w:r>
      <w:r w:rsidR="00F63E55">
        <w:rPr>
          <w:lang w:val="bg-BG"/>
        </w:rPr>
        <w:t xml:space="preserve">. влиза в сила новият Граждански </w:t>
      </w:r>
      <w:r w:rsidRPr="00464AD3">
        <w:rPr>
          <w:lang w:val="bg-BG"/>
        </w:rPr>
        <w:t xml:space="preserve">процесуален кодекс (новият ГПК), който </w:t>
      </w:r>
      <w:r w:rsidR="00F63E55">
        <w:rPr>
          <w:lang w:val="bg-BG"/>
        </w:rPr>
        <w:t xml:space="preserve">отменя Гражданския </w:t>
      </w:r>
      <w:r w:rsidRPr="00464AD3">
        <w:rPr>
          <w:lang w:val="bg-BG"/>
        </w:rPr>
        <w:t>процесуал</w:t>
      </w:r>
      <w:r w:rsidR="00F63E55">
        <w:rPr>
          <w:lang w:val="bg-BG"/>
        </w:rPr>
        <w:t>ен</w:t>
      </w:r>
      <w:r w:rsidRPr="00464AD3">
        <w:rPr>
          <w:lang w:val="bg-BG"/>
        </w:rPr>
        <w:t xml:space="preserve"> кодекс от 1952 г. С него се въвеждат нови правила за упражняването, допустимостта и разглеждането на </w:t>
      </w:r>
      <w:r w:rsidR="00F63E55">
        <w:rPr>
          <w:lang w:val="bg-BG"/>
        </w:rPr>
        <w:t>касационните</w:t>
      </w:r>
      <w:r w:rsidRPr="00464AD3">
        <w:rPr>
          <w:lang w:val="bg-BG"/>
        </w:rPr>
        <w:t xml:space="preserve"> жалби и се засилва ролята на Върховния касационен съд като върховен гарант за </w:t>
      </w:r>
      <w:r w:rsidR="00F63E55">
        <w:rPr>
          <w:lang w:val="bg-BG"/>
        </w:rPr>
        <w:t>еднаквото</w:t>
      </w:r>
      <w:r w:rsidRPr="00464AD3">
        <w:rPr>
          <w:lang w:val="bg-BG"/>
        </w:rPr>
        <w:t xml:space="preserve"> и </w:t>
      </w:r>
      <w:r w:rsidR="00F63E55">
        <w:rPr>
          <w:lang w:val="bg-BG"/>
        </w:rPr>
        <w:t>последователно тълкуване</w:t>
      </w:r>
      <w:r w:rsidRPr="00464AD3">
        <w:rPr>
          <w:lang w:val="bg-BG"/>
        </w:rPr>
        <w:t xml:space="preserve"> на </w:t>
      </w:r>
      <w:r w:rsidR="00C37992">
        <w:rPr>
          <w:lang w:val="bg-BG"/>
        </w:rPr>
        <w:t>националното</w:t>
      </w:r>
      <w:r w:rsidR="00C37992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законодателство по гражданскоправни и </w:t>
      </w:r>
      <w:proofErr w:type="spellStart"/>
      <w:r w:rsidRPr="00464AD3">
        <w:rPr>
          <w:lang w:val="bg-BG"/>
        </w:rPr>
        <w:t>търговскоправни</w:t>
      </w:r>
      <w:proofErr w:type="spellEnd"/>
      <w:r w:rsidRPr="00464AD3">
        <w:rPr>
          <w:lang w:val="bg-BG"/>
        </w:rPr>
        <w:t xml:space="preserve"> въпроси от съдилищата.</w:t>
      </w:r>
    </w:p>
    <w:p w:rsidR="003C155B" w:rsidRPr="00464AD3" w:rsidRDefault="003C155B" w:rsidP="003C155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26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Производствата пред Върховния касационен съд започват да се разглеждат на два етапа: първият етап е посветен на допустимостта на касационната жалба, а вторият – на разглеждането й по същество.</w:t>
      </w:r>
    </w:p>
    <w:p w:rsidR="003C155B" w:rsidRPr="00464AD3" w:rsidRDefault="003C155B" w:rsidP="003C155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27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 xml:space="preserve">.  Чл. 280 от новия ГПК, с който се регламентира обхватът на </w:t>
      </w:r>
      <w:r w:rsidR="00F63E55">
        <w:rPr>
          <w:lang w:val="bg-BG"/>
        </w:rPr>
        <w:t>правото на касационна</w:t>
      </w:r>
      <w:r w:rsidRPr="00464AD3">
        <w:rPr>
          <w:lang w:val="bg-BG"/>
        </w:rPr>
        <w:t xml:space="preserve"> жалба, а следователно и нейната допустимост, гласи следното в относимата </w:t>
      </w:r>
      <w:r w:rsidR="00C37992" w:rsidRPr="00464AD3">
        <w:rPr>
          <w:lang w:val="bg-BG"/>
        </w:rPr>
        <w:t xml:space="preserve"> </w:t>
      </w:r>
      <w:r w:rsidRPr="00464AD3">
        <w:rPr>
          <w:lang w:val="bg-BG"/>
        </w:rPr>
        <w:t>си част:</w:t>
      </w:r>
    </w:p>
    <w:p w:rsidR="003C155B" w:rsidRPr="00464AD3" w:rsidRDefault="003C155B" w:rsidP="003C155B">
      <w:pPr>
        <w:pStyle w:val="ECHRTitleCentre3"/>
        <w:rPr>
          <w:lang w:val="bg-BG"/>
        </w:rPr>
      </w:pPr>
      <w:r w:rsidRPr="00464AD3">
        <w:rPr>
          <w:lang w:val="bg-BG"/>
        </w:rPr>
        <w:t>Чл. 280</w:t>
      </w:r>
    </w:p>
    <w:p w:rsidR="003C155B" w:rsidRPr="00464AD3" w:rsidRDefault="003C155B" w:rsidP="003C155B">
      <w:pPr>
        <w:pStyle w:val="ECHRParaQuote"/>
        <w:rPr>
          <w:lang w:val="bg-BG" w:bidi="en-US"/>
        </w:rPr>
      </w:pPr>
      <w:r w:rsidRPr="00464AD3">
        <w:rPr>
          <w:lang w:val="bg-BG" w:bidi="en-US"/>
        </w:rPr>
        <w:t>« (1)  </w:t>
      </w:r>
      <w:r w:rsidRPr="00464AD3">
        <w:rPr>
          <w:lang w:val="bg-BG"/>
        </w:rPr>
        <w:t xml:space="preserve">На касационно обжалване пред Върховния касационен съд подлежат въззивните решения, в които съдът се е произнесъл по </w:t>
      </w:r>
      <w:proofErr w:type="spellStart"/>
      <w:r w:rsidRPr="00464AD3">
        <w:rPr>
          <w:lang w:val="bg-BG"/>
        </w:rPr>
        <w:t>материалноправен</w:t>
      </w:r>
      <w:proofErr w:type="spellEnd"/>
      <w:r w:rsidRPr="00464AD3">
        <w:rPr>
          <w:lang w:val="bg-BG"/>
        </w:rPr>
        <w:t xml:space="preserve"> или процесуалноправен въпрос, който е:</w:t>
      </w:r>
    </w:p>
    <w:p w:rsidR="003C155B" w:rsidRPr="00464AD3" w:rsidRDefault="003C155B" w:rsidP="003C155B">
      <w:pPr>
        <w:pStyle w:val="ECHRParaQuote"/>
        <w:rPr>
          <w:lang w:val="bg-BG" w:bidi="en-US"/>
        </w:rPr>
      </w:pPr>
      <w:r w:rsidRPr="00464AD3">
        <w:rPr>
          <w:lang w:val="bg-BG" w:bidi="en-US"/>
        </w:rPr>
        <w:t>1.  решен в противоречие с практиката на Върховния касационен съд;</w:t>
      </w:r>
    </w:p>
    <w:p w:rsidR="003C155B" w:rsidRPr="00464AD3" w:rsidRDefault="003C155B" w:rsidP="003C155B">
      <w:pPr>
        <w:pStyle w:val="ECHRParaQuote"/>
        <w:rPr>
          <w:lang w:val="bg-BG" w:bidi="en-US"/>
        </w:rPr>
      </w:pPr>
      <w:r w:rsidRPr="00464AD3">
        <w:rPr>
          <w:lang w:val="bg-BG" w:bidi="en-US"/>
        </w:rPr>
        <w:t>2.  </w:t>
      </w:r>
      <w:r w:rsidRPr="00464AD3">
        <w:rPr>
          <w:lang w:val="bg-BG"/>
        </w:rPr>
        <w:t>решаван противоречиво от съдилищата</w:t>
      </w:r>
      <w:r w:rsidRPr="00464AD3">
        <w:rPr>
          <w:lang w:val="bg-BG" w:bidi="en-US"/>
        </w:rPr>
        <w:t>;</w:t>
      </w:r>
    </w:p>
    <w:p w:rsidR="003C155B" w:rsidRPr="00464AD3" w:rsidRDefault="003C155B" w:rsidP="003C155B">
      <w:pPr>
        <w:pStyle w:val="ECHRParaQuote"/>
        <w:rPr>
          <w:lang w:val="bg-BG" w:bidi="en-US"/>
        </w:rPr>
      </w:pPr>
      <w:r w:rsidRPr="00464AD3">
        <w:rPr>
          <w:lang w:val="bg-BG" w:bidi="en-US"/>
        </w:rPr>
        <w:t>3.  </w:t>
      </w:r>
      <w:r w:rsidRPr="00464AD3">
        <w:rPr>
          <w:lang w:val="bg-BG"/>
        </w:rPr>
        <w:t>от значение за точното прилагане на закона, както и за развитието на правото</w:t>
      </w:r>
      <w:r w:rsidRPr="00464AD3">
        <w:rPr>
          <w:lang w:val="bg-BG" w:bidi="en-US"/>
        </w:rPr>
        <w:t>. »</w:t>
      </w:r>
    </w:p>
    <w:p w:rsidR="003C155B" w:rsidRPr="00464AD3" w:rsidRDefault="003C155B" w:rsidP="003C155B">
      <w:pPr>
        <w:pStyle w:val="ECHRPara"/>
        <w:rPr>
          <w:lang w:val="bg-BG" w:bidi="en-US"/>
        </w:rPr>
      </w:pPr>
      <w:r w:rsidRPr="00464AD3">
        <w:rPr>
          <w:lang w:val="bg-BG" w:bidi="en-US"/>
        </w:rPr>
        <w:fldChar w:fldCharType="begin"/>
      </w:r>
      <w:r w:rsidRPr="00464AD3">
        <w:rPr>
          <w:lang w:val="bg-BG" w:bidi="en-US"/>
        </w:rPr>
        <w:instrText xml:space="preserve"> SEQ level0 \*arabic </w:instrText>
      </w:r>
      <w:r w:rsidRPr="00464AD3">
        <w:rPr>
          <w:lang w:val="bg-BG" w:bidi="en-US"/>
        </w:rPr>
        <w:fldChar w:fldCharType="separate"/>
      </w:r>
      <w:r w:rsidRPr="00464AD3">
        <w:rPr>
          <w:noProof/>
          <w:lang w:val="bg-BG" w:bidi="en-US"/>
        </w:rPr>
        <w:t>28</w:t>
      </w:r>
      <w:r w:rsidRPr="00464AD3">
        <w:rPr>
          <w:lang w:val="bg-BG" w:bidi="en-US"/>
        </w:rPr>
        <w:fldChar w:fldCharType="end"/>
      </w:r>
      <w:r w:rsidRPr="00464AD3">
        <w:rPr>
          <w:lang w:val="bg-BG" w:bidi="en-US"/>
        </w:rPr>
        <w:t xml:space="preserve">.  В тълкувателно решение от 19 февруари 2010 г. </w:t>
      </w:r>
      <w:r w:rsidRPr="00464AD3">
        <w:rPr>
          <w:i/>
          <w:lang w:val="bg-BG" w:bidi="en-US"/>
        </w:rPr>
        <w:t>(Тълкувателно решение от 19.02.2010 г. на ВКС по т. д. № 1/2009 г., ОСГТК)</w:t>
      </w:r>
      <w:r w:rsidR="00F63E55">
        <w:rPr>
          <w:lang w:val="bg-BG" w:bidi="en-US"/>
        </w:rPr>
        <w:t>, посветено на новата уредба на касационното производство</w:t>
      </w:r>
      <w:r w:rsidRPr="00464AD3">
        <w:rPr>
          <w:lang w:val="bg-BG" w:bidi="en-US"/>
        </w:rPr>
        <w:t xml:space="preserve">, Върховният касационен съд уточнява, че терминът „практика“, споменат в чл. 280, ал. 1, т. 1 от новия ГПК, следва да се тълкува </w:t>
      </w:r>
      <w:r w:rsidR="008F481C">
        <w:rPr>
          <w:lang w:val="bg-BG" w:bidi="en-US"/>
        </w:rPr>
        <w:t xml:space="preserve">в смисъл, че </w:t>
      </w:r>
      <w:r w:rsidRPr="00464AD3">
        <w:rPr>
          <w:lang w:val="bg-BG" w:bidi="en-US"/>
        </w:rPr>
        <w:t>се включват тълкувателните решения на стар</w:t>
      </w:r>
      <w:r w:rsidR="008F481C">
        <w:rPr>
          <w:lang w:val="bg-BG" w:bidi="en-US"/>
        </w:rPr>
        <w:t xml:space="preserve">ия Върховен съд, </w:t>
      </w:r>
      <w:r w:rsidRPr="00464AD3">
        <w:rPr>
          <w:lang w:val="bg-BG" w:bidi="en-US"/>
        </w:rPr>
        <w:t>тълкувателни</w:t>
      </w:r>
      <w:r w:rsidR="008F481C">
        <w:rPr>
          <w:lang w:val="bg-BG" w:bidi="en-US"/>
        </w:rPr>
        <w:t>те</w:t>
      </w:r>
      <w:r w:rsidRPr="00464AD3">
        <w:rPr>
          <w:lang w:val="bg-BG" w:bidi="en-US"/>
        </w:rPr>
        <w:t xml:space="preserve"> решения</w:t>
      </w:r>
      <w:r w:rsidR="008F481C">
        <w:rPr>
          <w:lang w:val="bg-BG" w:bidi="en-US"/>
        </w:rPr>
        <w:t xml:space="preserve"> на самия ВКС, както и решенията</w:t>
      </w:r>
      <w:r w:rsidRPr="00464AD3">
        <w:rPr>
          <w:lang w:val="bg-BG" w:bidi="en-US"/>
        </w:rPr>
        <w:t xml:space="preserve">, </w:t>
      </w:r>
      <w:r w:rsidR="009F6243">
        <w:rPr>
          <w:lang w:val="bg-BG" w:bidi="en-US"/>
        </w:rPr>
        <w:t>постановени</w:t>
      </w:r>
      <w:r w:rsidR="009F6243" w:rsidRPr="00464AD3">
        <w:rPr>
          <w:lang w:val="bg-BG" w:bidi="en-US"/>
        </w:rPr>
        <w:t xml:space="preserve"> </w:t>
      </w:r>
      <w:r w:rsidRPr="00464AD3">
        <w:rPr>
          <w:lang w:val="bg-BG" w:bidi="en-US"/>
        </w:rPr>
        <w:t xml:space="preserve">след разглеждането на касационни жалби </w:t>
      </w:r>
      <w:r w:rsidR="009F6243">
        <w:rPr>
          <w:lang w:val="bg-BG" w:bidi="en-US"/>
        </w:rPr>
        <w:t>съгласно</w:t>
      </w:r>
      <w:r w:rsidRPr="00464AD3">
        <w:rPr>
          <w:lang w:val="bg-BG" w:bidi="en-US"/>
        </w:rPr>
        <w:t xml:space="preserve"> новия Г</w:t>
      </w:r>
      <w:r w:rsidR="008F481C">
        <w:rPr>
          <w:lang w:val="bg-BG" w:bidi="en-US"/>
        </w:rPr>
        <w:t xml:space="preserve">раждански </w:t>
      </w:r>
      <w:r w:rsidRPr="00464AD3">
        <w:rPr>
          <w:lang w:val="bg-BG" w:bidi="en-US"/>
        </w:rPr>
        <w:t xml:space="preserve">процесуален кодекс. </w:t>
      </w:r>
      <w:r w:rsidR="009F6243">
        <w:rPr>
          <w:lang w:val="bg-BG" w:bidi="en-US"/>
        </w:rPr>
        <w:t>Съдът</w:t>
      </w:r>
      <w:r w:rsidRPr="00464AD3">
        <w:rPr>
          <w:lang w:val="bg-BG" w:bidi="en-US"/>
        </w:rPr>
        <w:t xml:space="preserve"> </w:t>
      </w:r>
      <w:r w:rsidR="008F481C">
        <w:rPr>
          <w:lang w:val="bg-BG" w:bidi="en-US"/>
        </w:rPr>
        <w:t>постановява</w:t>
      </w:r>
      <w:r w:rsidRPr="00464AD3">
        <w:rPr>
          <w:lang w:val="bg-BG" w:bidi="en-US"/>
        </w:rPr>
        <w:t xml:space="preserve">, че постановените от </w:t>
      </w:r>
      <w:r w:rsidR="009F6243">
        <w:rPr>
          <w:lang w:val="bg-BG" w:bidi="en-US"/>
        </w:rPr>
        <w:t>него</w:t>
      </w:r>
      <w:r w:rsidR="009F6243" w:rsidRPr="00464AD3">
        <w:rPr>
          <w:lang w:val="bg-BG" w:bidi="en-US"/>
        </w:rPr>
        <w:t xml:space="preserve"> </w:t>
      </w:r>
      <w:r w:rsidRPr="00464AD3">
        <w:rPr>
          <w:lang w:val="bg-BG" w:bidi="en-US"/>
        </w:rPr>
        <w:t xml:space="preserve">съдебни решения по индивидуални касационни жалби </w:t>
      </w:r>
      <w:r w:rsidR="009F6243">
        <w:rPr>
          <w:lang w:val="bg-BG" w:bidi="en-US"/>
        </w:rPr>
        <w:t>съгласно</w:t>
      </w:r>
      <w:r w:rsidR="008F481C">
        <w:rPr>
          <w:lang w:val="bg-BG" w:bidi="en-US"/>
        </w:rPr>
        <w:t xml:space="preserve"> стария Граждански </w:t>
      </w:r>
      <w:r w:rsidRPr="00464AD3">
        <w:rPr>
          <w:lang w:val="bg-BG" w:bidi="en-US"/>
        </w:rPr>
        <w:t>процесуален кодекс не са част от задължителната му за по-</w:t>
      </w:r>
      <w:r w:rsidR="009F6243">
        <w:rPr>
          <w:lang w:val="bg-BG" w:bidi="en-US"/>
        </w:rPr>
        <w:t>долните</w:t>
      </w:r>
      <w:r w:rsidR="009F6243" w:rsidRPr="00464AD3">
        <w:rPr>
          <w:lang w:val="bg-BG" w:bidi="en-US"/>
        </w:rPr>
        <w:t xml:space="preserve"> </w:t>
      </w:r>
      <w:r w:rsidRPr="00464AD3">
        <w:rPr>
          <w:lang w:val="bg-BG" w:bidi="en-US"/>
        </w:rPr>
        <w:t xml:space="preserve">съдилища практика, а </w:t>
      </w:r>
      <w:r w:rsidR="008F481C">
        <w:rPr>
          <w:lang w:val="bg-BG" w:bidi="en-US"/>
        </w:rPr>
        <w:t>представляват прилагане</w:t>
      </w:r>
      <w:r w:rsidRPr="00464AD3">
        <w:rPr>
          <w:lang w:val="bg-BG" w:bidi="en-US"/>
        </w:rPr>
        <w:t xml:space="preserve"> на закона </w:t>
      </w:r>
      <w:r w:rsidR="008F481C">
        <w:rPr>
          <w:lang w:val="bg-BG" w:bidi="en-US"/>
        </w:rPr>
        <w:t>в</w:t>
      </w:r>
      <w:r w:rsidRPr="00464AD3">
        <w:rPr>
          <w:lang w:val="bg-BG" w:bidi="en-US"/>
        </w:rPr>
        <w:t xml:space="preserve"> специфичните обстоятелства на разгле</w:t>
      </w:r>
      <w:r w:rsidR="008F481C">
        <w:rPr>
          <w:lang w:val="bg-BG" w:bidi="en-US"/>
        </w:rPr>
        <w:t>ж</w:t>
      </w:r>
      <w:r w:rsidRPr="00464AD3">
        <w:rPr>
          <w:lang w:val="bg-BG" w:bidi="en-US"/>
        </w:rPr>
        <w:t>даните индивидуални жалби.</w:t>
      </w:r>
    </w:p>
    <w:p w:rsidR="003C155B" w:rsidRPr="00464AD3" w:rsidRDefault="003C155B" w:rsidP="003C155B">
      <w:pPr>
        <w:pStyle w:val="ECHRPara"/>
        <w:rPr>
          <w:lang w:val="bg-BG" w:bidi="en-US"/>
        </w:rPr>
      </w:pPr>
      <w:r w:rsidRPr="00464AD3">
        <w:rPr>
          <w:lang w:val="bg-BG" w:bidi="en-US"/>
        </w:rPr>
        <w:fldChar w:fldCharType="begin"/>
      </w:r>
      <w:r w:rsidRPr="00464AD3">
        <w:rPr>
          <w:lang w:val="bg-BG" w:bidi="en-US"/>
        </w:rPr>
        <w:instrText xml:space="preserve"> SEQ level0 \*arabic </w:instrText>
      </w:r>
      <w:r w:rsidRPr="00464AD3">
        <w:rPr>
          <w:lang w:val="bg-BG" w:bidi="en-US"/>
        </w:rPr>
        <w:fldChar w:fldCharType="separate"/>
      </w:r>
      <w:r w:rsidRPr="00464AD3">
        <w:rPr>
          <w:noProof/>
          <w:lang w:val="bg-BG" w:bidi="en-US"/>
        </w:rPr>
        <w:t>29</w:t>
      </w:r>
      <w:r w:rsidRPr="00464AD3">
        <w:rPr>
          <w:lang w:val="bg-BG" w:bidi="en-US"/>
        </w:rPr>
        <w:fldChar w:fldCharType="end"/>
      </w:r>
      <w:r w:rsidRPr="00464AD3">
        <w:rPr>
          <w:lang w:val="bg-BG" w:bidi="en-US"/>
        </w:rPr>
        <w:t>.  </w:t>
      </w:r>
      <w:r w:rsidR="009F6243">
        <w:rPr>
          <w:lang w:val="bg-BG" w:bidi="en-US"/>
        </w:rPr>
        <w:t>Съгласно</w:t>
      </w:r>
      <w:r w:rsidRPr="00464AD3">
        <w:rPr>
          <w:lang w:val="bg-BG" w:bidi="en-US"/>
        </w:rPr>
        <w:t xml:space="preserve"> чл. 288 от новия ГПК, след разглеждане на допустимостта на касационната жалба от съдебен състав, Върховният касационен съд взема мотивирано решение. </w:t>
      </w:r>
      <w:r>
        <w:rPr>
          <w:lang w:val="bg-BG" w:bidi="en-US"/>
        </w:rPr>
        <w:t xml:space="preserve">Ако съдът я обяви за недопустима, решението му е окончателно. </w:t>
      </w:r>
      <w:r w:rsidRPr="00464AD3">
        <w:rPr>
          <w:lang w:val="bg-BG" w:bidi="en-US"/>
        </w:rPr>
        <w:t>Ако я обяви за допустима, пристъпва към разг</w:t>
      </w:r>
      <w:r w:rsidR="008F481C">
        <w:rPr>
          <w:lang w:val="bg-BG" w:bidi="en-US"/>
        </w:rPr>
        <w:t>леждането на делото в</w:t>
      </w:r>
      <w:r w:rsidRPr="00464AD3">
        <w:rPr>
          <w:lang w:val="bg-BG" w:bidi="en-US"/>
        </w:rPr>
        <w:t xml:space="preserve"> открито заседание и може да уважи жалбата, ако установи, че оспорваното решение на въззивния съд е нищожно, недопустимо или че е </w:t>
      </w:r>
      <w:r w:rsidR="009F6243">
        <w:rPr>
          <w:lang w:val="bg-BG" w:bidi="en-US"/>
        </w:rPr>
        <w:t>постановено</w:t>
      </w:r>
      <w:r w:rsidR="009F6243" w:rsidRPr="00464AD3">
        <w:rPr>
          <w:lang w:val="bg-BG" w:bidi="en-US"/>
        </w:rPr>
        <w:t xml:space="preserve"> </w:t>
      </w:r>
      <w:r w:rsidRPr="00464AD3">
        <w:rPr>
          <w:lang w:val="bg-BG" w:bidi="en-US"/>
        </w:rPr>
        <w:t xml:space="preserve">при </w:t>
      </w:r>
      <w:r w:rsidR="008F481C">
        <w:rPr>
          <w:lang w:val="bg-BG" w:bidi="en-US"/>
        </w:rPr>
        <w:t xml:space="preserve">нарушение на материалния закон или на </w:t>
      </w:r>
      <w:r w:rsidR="008F481C" w:rsidRPr="008F481C">
        <w:rPr>
          <w:lang w:val="bg-BG" w:bidi="en-US"/>
        </w:rPr>
        <w:t>съдопроизводствените правила или решението е необосновано</w:t>
      </w:r>
      <w:r w:rsidR="008F481C" w:rsidRPr="00464AD3">
        <w:rPr>
          <w:lang w:val="bg-BG" w:bidi="en-US"/>
        </w:rPr>
        <w:t xml:space="preserve"> </w:t>
      </w:r>
      <w:r w:rsidRPr="00464AD3">
        <w:rPr>
          <w:lang w:val="bg-BG" w:bidi="en-US"/>
        </w:rPr>
        <w:t>(вж. чл. 293 от същия кодекс).</w:t>
      </w:r>
      <w:r w:rsidR="008F481C" w:rsidRPr="008F481C">
        <w:rPr>
          <w:lang w:val="bg-BG"/>
        </w:rPr>
        <w:t xml:space="preserve"> </w:t>
      </w:r>
    </w:p>
    <w:p w:rsidR="003C155B" w:rsidRPr="00464AD3" w:rsidRDefault="003C155B" w:rsidP="003C155B">
      <w:pPr>
        <w:pStyle w:val="ECHRTitle1"/>
        <w:rPr>
          <w:lang w:val="bg-BG"/>
        </w:rPr>
      </w:pPr>
      <w:r w:rsidRPr="00464AD3">
        <w:rPr>
          <w:lang w:val="bg-BG"/>
        </w:rPr>
        <w:t>ПРАВОТО</w:t>
      </w:r>
    </w:p>
    <w:p w:rsidR="003C155B" w:rsidRPr="00464AD3" w:rsidRDefault="003C155B" w:rsidP="003C155B">
      <w:pPr>
        <w:pStyle w:val="ECHRHeading1"/>
        <w:rPr>
          <w:lang w:val="bg-BG"/>
        </w:rPr>
      </w:pPr>
      <w:r w:rsidRPr="00464AD3">
        <w:rPr>
          <w:lang w:val="bg-BG"/>
        </w:rPr>
        <w:t>ТВЪРДЯНО НАРУШЕНИЕ НА ЧЛ. 6 § 1 ОТ КОНВЕНЦИЯТА</w:t>
      </w:r>
    </w:p>
    <w:p w:rsidR="003C155B" w:rsidRPr="00464AD3" w:rsidRDefault="003C155B" w:rsidP="003C155B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30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Жалбоподателите се оплакват от отхвърлянето на иска им</w:t>
      </w:r>
      <w:r w:rsidR="009F6243">
        <w:rPr>
          <w:lang w:val="bg-BG"/>
        </w:rPr>
        <w:t xml:space="preserve"> по</w:t>
      </w:r>
      <w:r w:rsidRPr="00464AD3">
        <w:rPr>
          <w:lang w:val="bg-BG"/>
        </w:rPr>
        <w:t xml:space="preserve"> чл. 407, ал. </w:t>
      </w:r>
      <w:r w:rsidR="00AE18A1">
        <w:rPr>
          <w:lang w:val="bg-BG"/>
        </w:rPr>
        <w:t>1 от Търговския закон, тъй като</w:t>
      </w:r>
      <w:r w:rsidRPr="00464AD3">
        <w:rPr>
          <w:lang w:val="bg-BG"/>
        </w:rPr>
        <w:t xml:space="preserve"> наличието на </w:t>
      </w:r>
      <w:r w:rsidR="00702804">
        <w:rPr>
          <w:lang w:val="bg-BG"/>
        </w:rPr>
        <w:t>противоречива съдебна</w:t>
      </w:r>
      <w:r w:rsidRPr="00464AD3">
        <w:rPr>
          <w:lang w:val="bg-BG"/>
        </w:rPr>
        <w:t xml:space="preserve"> практика на българския Върховен касационен съд при тълкуването на тази разпоредба наруш</w:t>
      </w:r>
      <w:r w:rsidR="00AE18A1">
        <w:rPr>
          <w:lang w:val="bg-BG"/>
        </w:rPr>
        <w:t>ава</w:t>
      </w:r>
      <w:r w:rsidRPr="00464AD3">
        <w:rPr>
          <w:lang w:val="bg-BG"/>
        </w:rPr>
        <w:t xml:space="preserve"> правото им на справедлив граждански процес. Позовават се на чл. 6 § 1 от Конвенцията, който в приложимата си към случая част</w:t>
      </w:r>
      <w:r>
        <w:rPr>
          <w:lang w:val="bg-BG"/>
        </w:rPr>
        <w:t xml:space="preserve"> гласи</w:t>
      </w:r>
      <w:r w:rsidRPr="00464AD3">
        <w:rPr>
          <w:lang w:val="bg-BG"/>
        </w:rPr>
        <w:t>:</w:t>
      </w:r>
    </w:p>
    <w:p w:rsidR="003C155B" w:rsidRPr="00464AD3" w:rsidRDefault="003C155B" w:rsidP="003C155B">
      <w:pPr>
        <w:pStyle w:val="ECHRParaQuote"/>
        <w:rPr>
          <w:lang w:val="bg-BG"/>
        </w:rPr>
      </w:pPr>
      <w:r w:rsidRPr="00464AD3">
        <w:rPr>
          <w:lang w:val="bg-BG"/>
        </w:rPr>
        <w:t>“Всяко лице (…) има право на справедливо (…) гледане на неговото дело (…) от (…) съд, (...) при решаването на правен спор относно неговите граждански права и задължения (…).“</w:t>
      </w:r>
    </w:p>
    <w:p w:rsidR="003C155B" w:rsidRPr="00442A9A" w:rsidRDefault="003C155B" w:rsidP="003C155B">
      <w:pPr>
        <w:pStyle w:val="ECHRHeading2"/>
        <w:rPr>
          <w:lang w:val="bg-BG"/>
        </w:rPr>
      </w:pPr>
      <w:r w:rsidRPr="00464AD3">
        <w:rPr>
          <w:lang w:val="bg-BG"/>
        </w:rPr>
        <w:t>A</w:t>
      </w:r>
      <w:r w:rsidRPr="00242290">
        <w:rPr>
          <w:lang w:val="bg-BG"/>
        </w:rPr>
        <w:t>.  Допуст</w:t>
      </w:r>
      <w:r w:rsidRPr="00442A9A">
        <w:rPr>
          <w:lang w:val="bg-BG"/>
        </w:rPr>
        <w:t>имост</w:t>
      </w:r>
    </w:p>
    <w:p w:rsidR="003C155B" w:rsidRPr="00464AD3" w:rsidRDefault="003C155B" w:rsidP="003C155B">
      <w:pPr>
        <w:pStyle w:val="ECHRPara"/>
        <w:rPr>
          <w:lang w:val="bg-BG"/>
        </w:rPr>
      </w:pPr>
      <w:r w:rsidRPr="004B4BEB">
        <w:rPr>
          <w:lang w:val="bg-BG"/>
        </w:rPr>
        <w:fldChar w:fldCharType="begin"/>
      </w:r>
      <w:r w:rsidRPr="004B4BEB">
        <w:rPr>
          <w:lang w:val="bg-BG"/>
        </w:rPr>
        <w:instrText xml:space="preserve"> SEQ level0 \*arabic </w:instrText>
      </w:r>
      <w:r w:rsidRPr="004B4BEB">
        <w:rPr>
          <w:lang w:val="bg-BG"/>
        </w:rPr>
        <w:fldChar w:fldCharType="separate"/>
      </w:r>
      <w:r w:rsidRPr="004B4BEB">
        <w:rPr>
          <w:noProof/>
          <w:lang w:val="bg-BG"/>
        </w:rPr>
        <w:t>31</w:t>
      </w:r>
      <w:r w:rsidRPr="004B4BEB">
        <w:rPr>
          <w:lang w:val="bg-BG"/>
        </w:rPr>
        <w:fldChar w:fldCharType="end"/>
      </w:r>
      <w:r w:rsidRPr="004B4BEB">
        <w:rPr>
          <w:lang w:val="bg-BG"/>
        </w:rPr>
        <w:t xml:space="preserve">.  Като </w:t>
      </w:r>
      <w:r w:rsidR="009F6243" w:rsidRPr="004B4BEB">
        <w:rPr>
          <w:lang w:val="bg-BG"/>
        </w:rPr>
        <w:t>отбелязва</w:t>
      </w:r>
      <w:r w:rsidRPr="004B4BEB">
        <w:rPr>
          <w:lang w:val="bg-BG"/>
        </w:rPr>
        <w:t xml:space="preserve">, че </w:t>
      </w:r>
      <w:r w:rsidR="00242290" w:rsidRPr="004B4BEB">
        <w:rPr>
          <w:lang w:val="bg-BG"/>
        </w:rPr>
        <w:t>оплакването</w:t>
      </w:r>
      <w:r w:rsidR="00242290" w:rsidRPr="00242290">
        <w:rPr>
          <w:lang w:val="bg-BG"/>
        </w:rPr>
        <w:t xml:space="preserve"> </w:t>
      </w:r>
      <w:r w:rsidRPr="00442A9A">
        <w:rPr>
          <w:lang w:val="bg-BG"/>
        </w:rPr>
        <w:t xml:space="preserve">не е явно </w:t>
      </w:r>
      <w:r w:rsidR="009F6243" w:rsidRPr="004B4BEB">
        <w:rPr>
          <w:lang w:val="bg-BG"/>
        </w:rPr>
        <w:t>необоснова</w:t>
      </w:r>
      <w:r w:rsidR="00C06B3B" w:rsidRPr="004B4BEB">
        <w:rPr>
          <w:lang w:val="bg-BG"/>
        </w:rPr>
        <w:t>н</w:t>
      </w:r>
      <w:r w:rsidR="00242290" w:rsidRPr="004B4BEB">
        <w:rPr>
          <w:lang w:val="bg-BG"/>
        </w:rPr>
        <w:t>о</w:t>
      </w:r>
      <w:r w:rsidR="009F6243" w:rsidRPr="00242290">
        <w:rPr>
          <w:lang w:val="bg-BG"/>
        </w:rPr>
        <w:t xml:space="preserve"> </w:t>
      </w:r>
      <w:r w:rsidRPr="00442A9A">
        <w:rPr>
          <w:lang w:val="bg-BG"/>
        </w:rPr>
        <w:t>по смисъла на чл. 35 § 3 a) от Конвенцият</w:t>
      </w:r>
      <w:r w:rsidR="009F6243" w:rsidRPr="004B4BEB">
        <w:rPr>
          <w:lang w:val="bg-BG"/>
        </w:rPr>
        <w:t>а</w:t>
      </w:r>
      <w:r w:rsidRPr="004B4BEB">
        <w:rPr>
          <w:lang w:val="bg-BG"/>
        </w:rPr>
        <w:t xml:space="preserve"> и</w:t>
      </w:r>
      <w:r w:rsidR="009F6243" w:rsidRPr="004B4BEB">
        <w:rPr>
          <w:lang w:val="bg-BG"/>
        </w:rPr>
        <w:t>ли недопустим</w:t>
      </w:r>
      <w:r w:rsidR="00242290" w:rsidRPr="004B4BEB">
        <w:rPr>
          <w:lang w:val="bg-BG"/>
        </w:rPr>
        <w:t>о</w:t>
      </w:r>
      <w:r w:rsidR="009F6243" w:rsidRPr="00442A9A">
        <w:rPr>
          <w:lang w:val="bg-BG"/>
        </w:rPr>
        <w:t xml:space="preserve"> на друг</w:t>
      </w:r>
      <w:r w:rsidR="00242290" w:rsidRPr="004B4BEB">
        <w:rPr>
          <w:lang w:val="bg-BG"/>
        </w:rPr>
        <w:t>и</w:t>
      </w:r>
      <w:r w:rsidR="009F6243" w:rsidRPr="00442A9A">
        <w:rPr>
          <w:lang w:val="bg-BG"/>
        </w:rPr>
        <w:t xml:space="preserve"> основани</w:t>
      </w:r>
      <w:r w:rsidR="00242290" w:rsidRPr="004B4BEB">
        <w:rPr>
          <w:lang w:val="bg-BG"/>
        </w:rPr>
        <w:t>я</w:t>
      </w:r>
      <w:r w:rsidRPr="004B4BEB">
        <w:rPr>
          <w:lang w:val="bg-BG"/>
        </w:rPr>
        <w:t xml:space="preserve">, Съдът </w:t>
      </w:r>
      <w:r w:rsidR="00242290" w:rsidRPr="004B4BEB">
        <w:rPr>
          <w:lang w:val="bg-BG"/>
        </w:rPr>
        <w:t xml:space="preserve">го </w:t>
      </w:r>
      <w:r w:rsidRPr="004B4BEB">
        <w:rPr>
          <w:lang w:val="bg-BG"/>
        </w:rPr>
        <w:t>обявява за допустим</w:t>
      </w:r>
      <w:r w:rsidR="00242290" w:rsidRPr="004B4BEB">
        <w:rPr>
          <w:lang w:val="bg-BG"/>
        </w:rPr>
        <w:t>о</w:t>
      </w:r>
      <w:r w:rsidRPr="004B4BEB">
        <w:rPr>
          <w:lang w:val="bg-BG"/>
        </w:rPr>
        <w:t>.</w:t>
      </w:r>
    </w:p>
    <w:p w:rsidR="003C155B" w:rsidRPr="00464AD3" w:rsidRDefault="003C155B" w:rsidP="003C155B">
      <w:pPr>
        <w:pStyle w:val="ECHRHeading2"/>
        <w:rPr>
          <w:lang w:val="bg-BG"/>
        </w:rPr>
      </w:pPr>
      <w:r w:rsidRPr="00464AD3">
        <w:rPr>
          <w:lang w:val="bg-BG"/>
        </w:rPr>
        <w:t>Б.  По същество</w:t>
      </w:r>
    </w:p>
    <w:p w:rsidR="003C155B" w:rsidRPr="00464AD3" w:rsidRDefault="003C155B" w:rsidP="003C155B">
      <w:pPr>
        <w:pStyle w:val="ECHRHeading3"/>
        <w:rPr>
          <w:lang w:val="bg-BG"/>
        </w:rPr>
      </w:pPr>
      <w:r w:rsidRPr="00464AD3">
        <w:rPr>
          <w:lang w:val="bg-BG"/>
        </w:rPr>
        <w:t>1.  Аргументи на страните</w:t>
      </w:r>
    </w:p>
    <w:p w:rsidR="003C155B" w:rsidRPr="00464AD3" w:rsidRDefault="003C155B" w:rsidP="003C155B">
      <w:pPr>
        <w:pStyle w:val="ECHRHeading4"/>
        <w:rPr>
          <w:lang w:val="bg-BG"/>
        </w:rPr>
      </w:pPr>
      <w:r w:rsidRPr="00464AD3">
        <w:rPr>
          <w:lang w:val="bg-BG"/>
        </w:rPr>
        <w:t>a)  Жалбоподателите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53F4C">
        <w:rPr>
          <w:lang w:val="bg-BG"/>
        </w:rPr>
        <w:fldChar w:fldCharType="begin"/>
      </w:r>
      <w:r w:rsidRPr="00453F4C">
        <w:rPr>
          <w:lang w:val="bg-BG"/>
        </w:rPr>
        <w:instrText xml:space="preserve"> SEQ level0 \*arabic </w:instrText>
      </w:r>
      <w:r w:rsidRPr="00453F4C">
        <w:rPr>
          <w:lang w:val="bg-BG"/>
        </w:rPr>
        <w:fldChar w:fldCharType="separate"/>
      </w:r>
      <w:r w:rsidRPr="00453F4C">
        <w:rPr>
          <w:noProof/>
          <w:lang w:val="bg-BG"/>
        </w:rPr>
        <w:t>32</w:t>
      </w:r>
      <w:r w:rsidRPr="00453F4C">
        <w:rPr>
          <w:lang w:val="bg-BG"/>
        </w:rPr>
        <w:fldChar w:fldCharType="end"/>
      </w:r>
      <w:r w:rsidRPr="00453F4C">
        <w:rPr>
          <w:lang w:val="bg-BG"/>
        </w:rPr>
        <w:t>.  Жалбоподателите посоч</w:t>
      </w:r>
      <w:r w:rsidR="00AE18A1">
        <w:rPr>
          <w:lang w:val="bg-BG"/>
        </w:rPr>
        <w:t xml:space="preserve">ват, че след смъртта на дъщеря </w:t>
      </w:r>
      <w:r w:rsidRPr="00453F4C">
        <w:rPr>
          <w:lang w:val="bg-BG"/>
        </w:rPr>
        <w:t>и</w:t>
      </w:r>
      <w:r w:rsidR="00AE18A1">
        <w:rPr>
          <w:lang w:val="bg-BG"/>
        </w:rPr>
        <w:t>м</w:t>
      </w:r>
      <w:r w:rsidRPr="00453F4C">
        <w:rPr>
          <w:lang w:val="bg-BG"/>
        </w:rPr>
        <w:t xml:space="preserve"> в </w:t>
      </w:r>
      <w:r w:rsidRPr="00464AD3">
        <w:rPr>
          <w:lang w:val="bg-BG"/>
        </w:rPr>
        <w:t xml:space="preserve">автомобилната катастрофа, първо се опитват, заедно с другите пострадали лица, да получат обезщетение за понесените от </w:t>
      </w:r>
      <w:r>
        <w:rPr>
          <w:lang w:val="bg-BG"/>
        </w:rPr>
        <w:t xml:space="preserve">тях </w:t>
      </w:r>
      <w:r w:rsidRPr="00464AD3">
        <w:rPr>
          <w:lang w:val="bg-BG"/>
        </w:rPr>
        <w:t xml:space="preserve">вреди от водача, причинил катастрофата. </w:t>
      </w:r>
      <w:r>
        <w:rPr>
          <w:lang w:val="en-US"/>
        </w:rPr>
        <w:t>T</w:t>
      </w:r>
      <w:proofErr w:type="spellStart"/>
      <w:r w:rsidRPr="00464AD3">
        <w:rPr>
          <w:lang w:val="bg-BG"/>
        </w:rPr>
        <w:t>ъй</w:t>
      </w:r>
      <w:proofErr w:type="spellEnd"/>
      <w:r w:rsidRPr="00464AD3">
        <w:rPr>
          <w:lang w:val="bg-BG"/>
        </w:rPr>
        <w:t xml:space="preserve"> като той не разполага с необходимите средства, за да изплати присъдените суми, всички засегнати лица се обръщат към неговия застраховател и </w:t>
      </w:r>
      <w:r w:rsidRPr="00BA55C1">
        <w:rPr>
          <w:lang w:val="bg-BG"/>
        </w:rPr>
        <w:t>предявяват</w:t>
      </w:r>
      <w:r w:rsidRPr="00464AD3">
        <w:rPr>
          <w:lang w:val="bg-BG"/>
        </w:rPr>
        <w:t xml:space="preserve"> искове срещу него. В това отношение жалбоподателите у</w:t>
      </w:r>
      <w:r w:rsidR="00014596">
        <w:rPr>
          <w:lang w:val="bg-BG"/>
        </w:rPr>
        <w:t>точняват, че исковете на техните зет и</w:t>
      </w:r>
      <w:r w:rsidRPr="00464AD3">
        <w:rPr>
          <w:lang w:val="bg-BG"/>
        </w:rPr>
        <w:t xml:space="preserve"> внук и на другия пострадал при катастрофата са били допуснати от </w:t>
      </w:r>
      <w:r>
        <w:rPr>
          <w:lang w:val="bg-BG"/>
        </w:rPr>
        <w:t>националните</w:t>
      </w:r>
      <w:r w:rsidRPr="00464AD3">
        <w:rPr>
          <w:lang w:val="bg-BG"/>
        </w:rPr>
        <w:t xml:space="preserve"> съдилища, докато техният е обявен за недопустим с мотива, че нямат право да </w:t>
      </w:r>
      <w:r>
        <w:rPr>
          <w:lang w:val="bg-BG"/>
        </w:rPr>
        <w:t>търсят</w:t>
      </w:r>
      <w:r w:rsidRPr="00464AD3">
        <w:rPr>
          <w:lang w:val="bg-BG"/>
        </w:rPr>
        <w:t xml:space="preserve"> обезщетение от застрахователя след като виновният водач на МПС е осъден по </w:t>
      </w:r>
      <w:r w:rsidR="00014596">
        <w:rPr>
          <w:lang w:val="bg-BG"/>
        </w:rPr>
        <w:t xml:space="preserve">предявен </w:t>
      </w:r>
      <w:r w:rsidRPr="00464AD3">
        <w:rPr>
          <w:lang w:val="bg-BG"/>
        </w:rPr>
        <w:t>граждански иск.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33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 xml:space="preserve">.  Освен това жалбоподателите </w:t>
      </w:r>
      <w:r>
        <w:rPr>
          <w:lang w:val="bg-BG"/>
        </w:rPr>
        <w:t>посочват</w:t>
      </w:r>
      <w:r w:rsidRPr="00464AD3">
        <w:rPr>
          <w:lang w:val="bg-BG"/>
        </w:rPr>
        <w:t xml:space="preserve">, че най-висшата съдебна инстанция в страната </w:t>
      </w:r>
      <w:r>
        <w:rPr>
          <w:lang w:val="bg-BG"/>
        </w:rPr>
        <w:t>има</w:t>
      </w:r>
      <w:r w:rsidRPr="00464AD3">
        <w:rPr>
          <w:lang w:val="bg-BG"/>
        </w:rPr>
        <w:t xml:space="preserve"> противоречи</w:t>
      </w:r>
      <w:r>
        <w:rPr>
          <w:lang w:val="bg-BG"/>
        </w:rPr>
        <w:t>ва</w:t>
      </w:r>
      <w:r w:rsidRPr="00464AD3">
        <w:rPr>
          <w:lang w:val="bg-BG"/>
        </w:rPr>
        <w:t xml:space="preserve"> съдебна практика относно допустимостта на исковете, основаващи се на чл. 407, ал. 1 от Търговския закон. Те твърдят, че са налице значителни </w:t>
      </w:r>
      <w:r>
        <w:rPr>
          <w:lang w:val="bg-BG"/>
        </w:rPr>
        <w:t>противоречия</w:t>
      </w:r>
      <w:r w:rsidRPr="00464AD3">
        <w:rPr>
          <w:lang w:val="bg-BG"/>
        </w:rPr>
        <w:t xml:space="preserve">, съществуващи вече тридесет години, и че предвиденият от </w:t>
      </w:r>
      <w:r>
        <w:rPr>
          <w:lang w:val="bg-BG"/>
        </w:rPr>
        <w:t>националното</w:t>
      </w:r>
      <w:r w:rsidRPr="00464AD3">
        <w:rPr>
          <w:lang w:val="bg-BG"/>
        </w:rPr>
        <w:t xml:space="preserve"> законодателство механизъм за уеднаквяване на съдебната практика на Върховния касационен съд е задействан твърде късно. Те посочват, че избраният от висшата съдебна инстанция подход в тълкувателното </w:t>
      </w:r>
      <w:r>
        <w:rPr>
          <w:lang w:val="bg-BG"/>
        </w:rPr>
        <w:t>му</w:t>
      </w:r>
      <w:r w:rsidRPr="00464AD3">
        <w:rPr>
          <w:lang w:val="bg-BG"/>
        </w:rPr>
        <w:t xml:space="preserve"> решение от 2012 г. съответства на логиката на аргументите им, изложени в отхвърления преди това от същата тази съдебна инстанция граждански иск.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34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 xml:space="preserve">.  Те считат, че </w:t>
      </w:r>
      <w:r>
        <w:rPr>
          <w:lang w:val="bg-BG"/>
        </w:rPr>
        <w:t>тази ситуация</w:t>
      </w:r>
      <w:r w:rsidRPr="00464AD3">
        <w:rPr>
          <w:lang w:val="bg-BG"/>
        </w:rPr>
        <w:t xml:space="preserve"> е нарушил</w:t>
      </w:r>
      <w:r>
        <w:rPr>
          <w:lang w:val="bg-BG"/>
        </w:rPr>
        <w:t>а</w:t>
      </w:r>
      <w:r w:rsidRPr="00464AD3">
        <w:rPr>
          <w:lang w:val="bg-BG"/>
        </w:rPr>
        <w:t xml:space="preserve"> принципа </w:t>
      </w:r>
      <w:r w:rsidR="00014596">
        <w:rPr>
          <w:lang w:val="bg-BG"/>
        </w:rPr>
        <w:t>н</w:t>
      </w:r>
      <w:r w:rsidRPr="00464AD3">
        <w:rPr>
          <w:lang w:val="bg-BG"/>
        </w:rPr>
        <w:t xml:space="preserve">а правна сигурност, който според тях е един от основните аспекти на справедливостта на гражданския процес. </w:t>
      </w:r>
      <w:r>
        <w:rPr>
          <w:lang w:val="bg-BG"/>
        </w:rPr>
        <w:t>Те молят</w:t>
      </w:r>
      <w:r w:rsidRPr="00464AD3">
        <w:rPr>
          <w:lang w:val="bg-BG"/>
        </w:rPr>
        <w:t xml:space="preserve"> Съда да се произнесе, че вследствие на това е налице нарушение на чл. 6 § 1 от Конвенцията.</w:t>
      </w:r>
    </w:p>
    <w:p w:rsidR="00F54753" w:rsidRPr="00464AD3" w:rsidRDefault="00F54753" w:rsidP="00F54753">
      <w:pPr>
        <w:pStyle w:val="ECHRHeading4"/>
        <w:rPr>
          <w:lang w:val="bg-BG"/>
        </w:rPr>
      </w:pPr>
      <w:r w:rsidRPr="00464AD3">
        <w:rPr>
          <w:lang w:val="bg-BG"/>
        </w:rPr>
        <w:t>б)  Правителството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35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 xml:space="preserve">.  Правителството оспорва аргументите на жалбоподателите. То признава, че съществуват </w:t>
      </w:r>
      <w:r>
        <w:rPr>
          <w:lang w:val="bg-BG"/>
        </w:rPr>
        <w:t>противоре</w:t>
      </w:r>
      <w:r w:rsidRPr="00464AD3">
        <w:rPr>
          <w:lang w:val="bg-BG"/>
        </w:rPr>
        <w:t>чия в съдебната практика на съдили</w:t>
      </w:r>
      <w:r w:rsidR="00014596">
        <w:rPr>
          <w:lang w:val="bg-BG"/>
        </w:rPr>
        <w:t>щата, включително и в тази на самия Върховен касационен съд</w:t>
      </w:r>
      <w:r w:rsidRPr="00464AD3">
        <w:rPr>
          <w:lang w:val="bg-BG"/>
        </w:rPr>
        <w:t xml:space="preserve"> относно допустимостта на исковете, основаващи се на чл. 407, ал. 1 от Търговския закон. </w:t>
      </w:r>
      <w:r>
        <w:rPr>
          <w:lang w:val="bg-BG"/>
        </w:rPr>
        <w:t>То у</w:t>
      </w:r>
      <w:r w:rsidRPr="00464AD3">
        <w:rPr>
          <w:lang w:val="bg-BG"/>
        </w:rPr>
        <w:t xml:space="preserve">точнява, че традиционното тълкуване на тази разпоредба наистина е в полза на жалбоподателите, но </w:t>
      </w:r>
      <w:r>
        <w:rPr>
          <w:lang w:val="bg-BG"/>
        </w:rPr>
        <w:t>противоречието</w:t>
      </w:r>
      <w:r w:rsidRPr="00464AD3">
        <w:rPr>
          <w:lang w:val="bg-BG"/>
        </w:rPr>
        <w:t xml:space="preserve"> в съдебната практика на Върховния касационен съд, ко</w:t>
      </w:r>
      <w:r>
        <w:rPr>
          <w:lang w:val="bg-BG"/>
        </w:rPr>
        <w:t>е</w:t>
      </w:r>
      <w:r w:rsidRPr="00464AD3">
        <w:rPr>
          <w:lang w:val="bg-BG"/>
        </w:rPr>
        <w:t>то твърдят, че ги е засегнал</w:t>
      </w:r>
      <w:r>
        <w:rPr>
          <w:lang w:val="bg-BG"/>
        </w:rPr>
        <w:t>о</w:t>
      </w:r>
      <w:r w:rsidRPr="00464AD3">
        <w:rPr>
          <w:lang w:val="bg-BG"/>
        </w:rPr>
        <w:t>, се появява след 2006 г.</w:t>
      </w:r>
      <w:r>
        <w:rPr>
          <w:lang w:val="bg-BG"/>
        </w:rPr>
        <w:t xml:space="preserve"> </w:t>
      </w:r>
      <w:r w:rsidRPr="00464AD3">
        <w:rPr>
          <w:lang w:val="bg-BG"/>
        </w:rPr>
        <w:t>и по-точно в периода от 2009 г. до 2010 г. Ето защо т</w:t>
      </w:r>
      <w:r>
        <w:rPr>
          <w:lang w:val="bg-BG"/>
        </w:rPr>
        <w:t>ова противоречие</w:t>
      </w:r>
      <w:r w:rsidRPr="00464AD3">
        <w:rPr>
          <w:lang w:val="bg-BG"/>
        </w:rPr>
        <w:t xml:space="preserve"> не би могл</w:t>
      </w:r>
      <w:r>
        <w:rPr>
          <w:lang w:val="bg-BG"/>
        </w:rPr>
        <w:t>о</w:t>
      </w:r>
      <w:r w:rsidRPr="00464AD3">
        <w:rPr>
          <w:lang w:val="bg-BG"/>
        </w:rPr>
        <w:t xml:space="preserve"> да </w:t>
      </w:r>
      <w:r w:rsidR="00014596">
        <w:rPr>
          <w:lang w:val="bg-BG"/>
        </w:rPr>
        <w:t xml:space="preserve">се възприеме като такова </w:t>
      </w:r>
      <w:r>
        <w:rPr>
          <w:lang w:val="bg-BG"/>
        </w:rPr>
        <w:t>с траен характер</w:t>
      </w:r>
      <w:r w:rsidRPr="00464AD3">
        <w:rPr>
          <w:lang w:val="bg-BG"/>
        </w:rPr>
        <w:t>.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36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 xml:space="preserve">.  Правителството </w:t>
      </w:r>
      <w:r>
        <w:rPr>
          <w:lang w:val="bg-BG"/>
        </w:rPr>
        <w:t>посочва</w:t>
      </w:r>
      <w:r w:rsidRPr="00464AD3">
        <w:rPr>
          <w:lang w:val="bg-BG"/>
        </w:rPr>
        <w:t xml:space="preserve">, че </w:t>
      </w:r>
      <w:r>
        <w:rPr>
          <w:lang w:val="bg-BG"/>
        </w:rPr>
        <w:t>националното законодателство</w:t>
      </w:r>
      <w:r w:rsidRPr="00464AD3">
        <w:rPr>
          <w:lang w:val="bg-BG"/>
        </w:rPr>
        <w:t xml:space="preserve"> предвижда средство за уеднаквяване на практиката на съдилищата, а именно иск</w:t>
      </w:r>
      <w:r w:rsidR="00014596">
        <w:rPr>
          <w:lang w:val="bg-BG"/>
        </w:rPr>
        <w:t>ане</w:t>
      </w:r>
      <w:r w:rsidRPr="00464AD3">
        <w:rPr>
          <w:lang w:val="bg-BG"/>
        </w:rPr>
        <w:t xml:space="preserve"> за постановяване на тълкувателно решение. Т</w:t>
      </w:r>
      <w:r>
        <w:rPr>
          <w:lang w:val="bg-BG"/>
        </w:rPr>
        <w:t>о т</w:t>
      </w:r>
      <w:r w:rsidRPr="00464AD3">
        <w:rPr>
          <w:lang w:val="bg-BG"/>
        </w:rPr>
        <w:t>върди, че този механизъм е за</w:t>
      </w:r>
      <w:r>
        <w:rPr>
          <w:lang w:val="bg-BG"/>
        </w:rPr>
        <w:t>действан</w:t>
      </w:r>
      <w:r w:rsidRPr="00464AD3">
        <w:rPr>
          <w:lang w:val="bg-BG"/>
        </w:rPr>
        <w:t xml:space="preserve"> през 2010 г. по инициатива на самия Върховен касационен съд, че висша</w:t>
      </w:r>
      <w:r>
        <w:rPr>
          <w:lang w:val="bg-BG"/>
        </w:rPr>
        <w:t>та</w:t>
      </w:r>
      <w:r w:rsidRPr="00464AD3">
        <w:rPr>
          <w:lang w:val="bg-BG"/>
        </w:rPr>
        <w:t xml:space="preserve"> съдебна инстанция </w:t>
      </w:r>
      <w:r w:rsidR="00014596">
        <w:rPr>
          <w:lang w:val="bg-BG"/>
        </w:rPr>
        <w:t>спира</w:t>
      </w:r>
      <w:r w:rsidRPr="00464AD3">
        <w:rPr>
          <w:lang w:val="bg-BG"/>
        </w:rPr>
        <w:t xml:space="preserve"> разглеждането на сходните висящи пред нея дела, че </w:t>
      </w:r>
      <w:r w:rsidR="00A92C0B">
        <w:rPr>
          <w:lang w:val="bg-BG"/>
        </w:rPr>
        <w:t>постановява</w:t>
      </w:r>
      <w:r w:rsidR="00A92C0B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тълкувателното си решение през 2012 г. и че след </w:t>
      </w:r>
      <w:r w:rsidR="00A92C0B">
        <w:rPr>
          <w:lang w:val="bg-BG"/>
        </w:rPr>
        <w:t>постановяването</w:t>
      </w:r>
      <w:r w:rsidR="00A92C0B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на това решение собствената й съдебна практика </w:t>
      </w:r>
      <w:r w:rsidR="00A92C0B">
        <w:rPr>
          <w:lang w:val="bg-BG"/>
        </w:rPr>
        <w:t>по този въпрос е</w:t>
      </w:r>
      <w:r w:rsidRPr="00464AD3">
        <w:rPr>
          <w:lang w:val="bg-BG"/>
        </w:rPr>
        <w:t xml:space="preserve"> уеднакв</w:t>
      </w:r>
      <w:r w:rsidR="00A92C0B">
        <w:rPr>
          <w:lang w:val="bg-BG"/>
        </w:rPr>
        <w:t>ена</w:t>
      </w:r>
      <w:r w:rsidRPr="00464AD3">
        <w:rPr>
          <w:lang w:val="bg-BG"/>
        </w:rPr>
        <w:t>.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37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 xml:space="preserve">.  Правителството посочва, като се </w:t>
      </w:r>
      <w:r w:rsidR="00C71A69">
        <w:rPr>
          <w:lang w:val="bg-BG"/>
        </w:rPr>
        <w:t>позовава</w:t>
      </w:r>
      <w:r w:rsidR="00C71A69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на съдебната практика на Съда, че </w:t>
      </w:r>
      <w:r w:rsidR="00C71A69">
        <w:rPr>
          <w:lang w:val="bg-BG"/>
        </w:rPr>
        <w:t>националните</w:t>
      </w:r>
      <w:r w:rsidR="00C71A69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съдилища са длъжни да прилагат националното </w:t>
      </w:r>
      <w:r w:rsidR="00C71A69">
        <w:rPr>
          <w:lang w:val="bg-BG"/>
        </w:rPr>
        <w:t>законодателство, а</w:t>
      </w:r>
      <w:r w:rsidRPr="00464AD3">
        <w:rPr>
          <w:lang w:val="bg-BG"/>
        </w:rPr>
        <w:t xml:space="preserve"> Съдът може да се намесва в това отношение само ако </w:t>
      </w:r>
      <w:r w:rsidR="00C71A69">
        <w:rPr>
          <w:lang w:val="bg-BG"/>
        </w:rPr>
        <w:t>съдилищата са постановили</w:t>
      </w:r>
      <w:r w:rsidRPr="00464AD3">
        <w:rPr>
          <w:lang w:val="bg-BG"/>
        </w:rPr>
        <w:t xml:space="preserve"> </w:t>
      </w:r>
      <w:r w:rsidR="00C71A69">
        <w:rPr>
          <w:lang w:val="bg-BG"/>
        </w:rPr>
        <w:t>произволни</w:t>
      </w:r>
      <w:r w:rsidR="00C71A69" w:rsidRPr="00464AD3">
        <w:rPr>
          <w:lang w:val="bg-BG"/>
        </w:rPr>
        <w:t xml:space="preserve"> </w:t>
      </w:r>
      <w:r w:rsidRPr="00464AD3">
        <w:rPr>
          <w:lang w:val="bg-BG"/>
        </w:rPr>
        <w:t>решения (</w:t>
      </w:r>
      <w:proofErr w:type="spellStart"/>
      <w:r w:rsidRPr="00464AD3">
        <w:rPr>
          <w:i/>
          <w:lang w:val="bg-BG"/>
        </w:rPr>
        <w:t>Ādamsons</w:t>
      </w:r>
      <w:proofErr w:type="spellEnd"/>
      <w:r w:rsidRPr="00464AD3">
        <w:rPr>
          <w:i/>
          <w:lang w:val="bg-BG"/>
        </w:rPr>
        <w:t xml:space="preserve"> c. </w:t>
      </w:r>
      <w:proofErr w:type="spellStart"/>
      <w:r w:rsidRPr="00464AD3">
        <w:rPr>
          <w:i/>
          <w:lang w:val="bg-BG"/>
        </w:rPr>
        <w:t>Lettonie</w:t>
      </w:r>
      <w:proofErr w:type="spellEnd"/>
      <w:r w:rsidRPr="00464AD3">
        <w:rPr>
          <w:lang w:val="bg-BG"/>
        </w:rPr>
        <w:t xml:space="preserve">, </w:t>
      </w:r>
      <w:proofErr w:type="spellStart"/>
      <w:r w:rsidRPr="00464AD3">
        <w:rPr>
          <w:lang w:val="bg-BG"/>
        </w:rPr>
        <w:t>n</w:t>
      </w:r>
      <w:r w:rsidRPr="00464AD3">
        <w:rPr>
          <w:vertAlign w:val="superscript"/>
          <w:lang w:val="bg-BG"/>
        </w:rPr>
        <w:t>o</w:t>
      </w:r>
      <w:proofErr w:type="spellEnd"/>
      <w:r w:rsidRPr="00464AD3">
        <w:rPr>
          <w:lang w:val="bg-BG"/>
        </w:rPr>
        <w:t xml:space="preserve"> 3669/03, § 118, 24 юни 2008 г.). То </w:t>
      </w:r>
      <w:r w:rsidR="00C71A69">
        <w:rPr>
          <w:lang w:val="bg-BG"/>
        </w:rPr>
        <w:t>отрича случаят да е</w:t>
      </w:r>
      <w:r w:rsidRPr="00464AD3">
        <w:rPr>
          <w:lang w:val="bg-BG"/>
        </w:rPr>
        <w:t xml:space="preserve"> такъв, тъй като, според него, постановените съдебни решения от съдилищата в този случай са добре мотивирани и начинът, по който те тълкува</w:t>
      </w:r>
      <w:r>
        <w:rPr>
          <w:lang w:val="bg-BG"/>
        </w:rPr>
        <w:t>т</w:t>
      </w:r>
      <w:r w:rsidRPr="00464AD3">
        <w:rPr>
          <w:lang w:val="bg-BG"/>
        </w:rPr>
        <w:t xml:space="preserve"> чл. 407, ал. 1 от Търговския закон не е </w:t>
      </w:r>
      <w:r w:rsidR="00C71A69">
        <w:rPr>
          <w:lang w:val="bg-BG"/>
        </w:rPr>
        <w:t>произволен</w:t>
      </w:r>
      <w:r w:rsidRPr="00464AD3">
        <w:rPr>
          <w:lang w:val="bg-BG"/>
        </w:rPr>
        <w:t xml:space="preserve">. Освен това Правителството посочва, като отново се позовава на съдебната практика на Съда, че изискванията </w:t>
      </w:r>
      <w:r w:rsidR="00014596">
        <w:rPr>
          <w:lang w:val="bg-BG"/>
        </w:rPr>
        <w:t>за правна сигурност и за</w:t>
      </w:r>
      <w:r w:rsidR="0087377B">
        <w:rPr>
          <w:lang w:val="bg-BG"/>
        </w:rPr>
        <w:t xml:space="preserve"> защита на</w:t>
      </w:r>
      <w:r w:rsidR="00014596">
        <w:rPr>
          <w:lang w:val="bg-BG"/>
        </w:rPr>
        <w:t xml:space="preserve"> доверие</w:t>
      </w:r>
      <w:r w:rsidR="0087377B">
        <w:rPr>
          <w:lang w:val="bg-BG"/>
        </w:rPr>
        <w:t>то в системата</w:t>
      </w:r>
      <w:r w:rsidRPr="00464AD3">
        <w:rPr>
          <w:lang w:val="bg-BG"/>
        </w:rPr>
        <w:t xml:space="preserve"> </w:t>
      </w:r>
      <w:r w:rsidRPr="004B4BEB">
        <w:rPr>
          <w:lang w:val="bg-BG"/>
        </w:rPr>
        <w:t>не предоставят придобито право на постоянна съдебна практика (</w:t>
      </w:r>
      <w:proofErr w:type="spellStart"/>
      <w:r w:rsidRPr="004B4BEB">
        <w:rPr>
          <w:i/>
          <w:lang w:val="bg-BG"/>
        </w:rPr>
        <w:t>Unédic</w:t>
      </w:r>
      <w:proofErr w:type="spellEnd"/>
      <w:r w:rsidRPr="00464AD3">
        <w:rPr>
          <w:i/>
          <w:lang w:val="bg-BG"/>
        </w:rPr>
        <w:t xml:space="preserve"> c. </w:t>
      </w:r>
      <w:proofErr w:type="spellStart"/>
      <w:r w:rsidRPr="00464AD3">
        <w:rPr>
          <w:i/>
          <w:lang w:val="bg-BG"/>
        </w:rPr>
        <w:t>France</w:t>
      </w:r>
      <w:proofErr w:type="spellEnd"/>
      <w:r w:rsidRPr="00464AD3">
        <w:rPr>
          <w:lang w:val="bg-BG"/>
        </w:rPr>
        <w:t xml:space="preserve">, </w:t>
      </w:r>
      <w:proofErr w:type="spellStart"/>
      <w:r w:rsidRPr="00464AD3">
        <w:rPr>
          <w:lang w:val="bg-BG"/>
        </w:rPr>
        <w:t>n</w:t>
      </w:r>
      <w:r w:rsidRPr="00464AD3">
        <w:rPr>
          <w:vertAlign w:val="superscript"/>
          <w:lang w:val="bg-BG"/>
        </w:rPr>
        <w:t>o</w:t>
      </w:r>
      <w:proofErr w:type="spellEnd"/>
      <w:r w:rsidRPr="00464AD3">
        <w:rPr>
          <w:lang w:val="bg-BG"/>
        </w:rPr>
        <w:t xml:space="preserve"> 20153/04, § 74, 18 декември 2008 г.) и че само по себе си развитието на съдебната практика на </w:t>
      </w:r>
      <w:r w:rsidR="00C71A69">
        <w:rPr>
          <w:lang w:val="bg-BG"/>
        </w:rPr>
        <w:t>националните</w:t>
      </w:r>
      <w:r w:rsidR="00C71A69" w:rsidRPr="00464AD3">
        <w:rPr>
          <w:lang w:val="bg-BG"/>
        </w:rPr>
        <w:t xml:space="preserve"> </w:t>
      </w:r>
      <w:r w:rsidRPr="00464AD3">
        <w:rPr>
          <w:lang w:val="bg-BG"/>
        </w:rPr>
        <w:t>съдилища не противоречи на доброто правораздаване (</w:t>
      </w:r>
      <w:proofErr w:type="spellStart"/>
      <w:r w:rsidRPr="00464AD3">
        <w:rPr>
          <w:i/>
          <w:lang w:val="bg-BG"/>
        </w:rPr>
        <w:t>Albu</w:t>
      </w:r>
      <w:proofErr w:type="spellEnd"/>
      <w:r w:rsidRPr="00464AD3">
        <w:rPr>
          <w:i/>
          <w:lang w:val="bg-BG"/>
        </w:rPr>
        <w:t xml:space="preserve"> </w:t>
      </w:r>
      <w:proofErr w:type="spellStart"/>
      <w:r w:rsidRPr="00464AD3">
        <w:rPr>
          <w:i/>
          <w:lang w:val="bg-BG"/>
        </w:rPr>
        <w:t>et</w:t>
      </w:r>
      <w:proofErr w:type="spellEnd"/>
      <w:r w:rsidRPr="00464AD3">
        <w:rPr>
          <w:i/>
          <w:lang w:val="bg-BG"/>
        </w:rPr>
        <w:t xml:space="preserve"> </w:t>
      </w:r>
      <w:proofErr w:type="spellStart"/>
      <w:r w:rsidRPr="00464AD3">
        <w:rPr>
          <w:i/>
          <w:lang w:val="bg-BG"/>
        </w:rPr>
        <w:t>autres</w:t>
      </w:r>
      <w:proofErr w:type="spellEnd"/>
      <w:r w:rsidRPr="00464AD3">
        <w:rPr>
          <w:i/>
          <w:lang w:val="bg-BG"/>
        </w:rPr>
        <w:t xml:space="preserve"> c. </w:t>
      </w:r>
      <w:proofErr w:type="spellStart"/>
      <w:r w:rsidRPr="00464AD3">
        <w:rPr>
          <w:i/>
          <w:lang w:val="bg-BG"/>
        </w:rPr>
        <w:t>Roumanie</w:t>
      </w:r>
      <w:proofErr w:type="spellEnd"/>
      <w:r w:rsidRPr="00464AD3">
        <w:rPr>
          <w:lang w:val="bg-BG"/>
        </w:rPr>
        <w:t xml:space="preserve">, </w:t>
      </w:r>
      <w:proofErr w:type="spellStart"/>
      <w:r w:rsidRPr="00464AD3">
        <w:rPr>
          <w:lang w:val="bg-BG"/>
        </w:rPr>
        <w:t>n</w:t>
      </w:r>
      <w:r w:rsidRPr="00464AD3">
        <w:rPr>
          <w:vertAlign w:val="superscript"/>
          <w:lang w:val="bg-BG"/>
        </w:rPr>
        <w:t>os</w:t>
      </w:r>
      <w:proofErr w:type="spellEnd"/>
      <w:r w:rsidRPr="00464AD3">
        <w:rPr>
          <w:lang w:val="bg-BG"/>
        </w:rPr>
        <w:t xml:space="preserve"> 34796/09 и 63 други, § 34, 10 май 2012 г.).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38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</w:t>
      </w:r>
      <w:r w:rsidR="00C71A69">
        <w:rPr>
          <w:lang w:val="bg-BG"/>
        </w:rPr>
        <w:t>Н</w:t>
      </w:r>
      <w:r w:rsidRPr="00464AD3">
        <w:rPr>
          <w:lang w:val="bg-BG"/>
        </w:rPr>
        <w:t>акрая, Правителството твърди, че настоящ</w:t>
      </w:r>
      <w:r w:rsidR="00C71A69">
        <w:rPr>
          <w:lang w:val="bg-BG"/>
        </w:rPr>
        <w:t>ият случай следва да се разграничи от</w:t>
      </w:r>
      <w:r w:rsidRPr="00464AD3">
        <w:rPr>
          <w:lang w:val="bg-BG"/>
        </w:rPr>
        <w:t xml:space="preserve"> </w:t>
      </w:r>
      <w:r w:rsidRPr="00464AD3">
        <w:rPr>
          <w:i/>
          <w:lang w:val="bg-BG"/>
        </w:rPr>
        <w:t>Йордан Йорданов</w:t>
      </w:r>
      <w:r>
        <w:rPr>
          <w:i/>
          <w:lang w:val="bg-BG"/>
        </w:rPr>
        <w:t xml:space="preserve"> и други</w:t>
      </w:r>
      <w:r w:rsidRPr="00464AD3">
        <w:rPr>
          <w:i/>
          <w:lang w:val="bg-BG"/>
        </w:rPr>
        <w:t xml:space="preserve"> срещу България</w:t>
      </w:r>
      <w:r w:rsidRPr="00464AD3">
        <w:rPr>
          <w:lang w:val="bg-BG"/>
        </w:rPr>
        <w:t xml:space="preserve"> (</w:t>
      </w:r>
      <w:proofErr w:type="spellStart"/>
      <w:r w:rsidRPr="00464AD3">
        <w:rPr>
          <w:lang w:val="bg-BG"/>
        </w:rPr>
        <w:t>n</w:t>
      </w:r>
      <w:r w:rsidRPr="00464AD3">
        <w:rPr>
          <w:vertAlign w:val="superscript"/>
          <w:lang w:val="bg-BG"/>
        </w:rPr>
        <w:t>o</w:t>
      </w:r>
      <w:proofErr w:type="spellEnd"/>
      <w:r w:rsidRPr="00464AD3">
        <w:rPr>
          <w:lang w:val="bg-BG"/>
        </w:rPr>
        <w:t> 23530/02</w:t>
      </w:r>
      <w:r w:rsidRPr="00464AD3">
        <w:rPr>
          <w:snapToGrid w:val="0"/>
          <w:lang w:val="bg-BG"/>
        </w:rPr>
        <w:t xml:space="preserve">, 2 </w:t>
      </w:r>
      <w:r w:rsidRPr="00464AD3">
        <w:rPr>
          <w:lang w:val="bg-BG"/>
        </w:rPr>
        <w:t>юли</w:t>
      </w:r>
      <w:r w:rsidRPr="00464AD3">
        <w:rPr>
          <w:snapToGrid w:val="0"/>
          <w:lang w:val="bg-BG"/>
        </w:rPr>
        <w:t xml:space="preserve"> 2009 г.)</w:t>
      </w:r>
      <w:r>
        <w:rPr>
          <w:snapToGrid w:val="0"/>
          <w:lang w:val="bg-BG"/>
        </w:rPr>
        <w:t xml:space="preserve">, </w:t>
      </w:r>
      <w:r w:rsidR="00442A9A">
        <w:rPr>
          <w:snapToGrid w:val="0"/>
          <w:lang w:val="bg-BG"/>
        </w:rPr>
        <w:t>тъй като</w:t>
      </w:r>
      <w:r w:rsidRPr="00464AD3">
        <w:rPr>
          <w:snapToGrid w:val="0"/>
          <w:lang w:val="bg-BG"/>
        </w:rPr>
        <w:t xml:space="preserve"> в случая, за </w:t>
      </w:r>
      <w:r w:rsidRPr="00442A9A">
        <w:rPr>
          <w:snapToGrid w:val="0"/>
          <w:lang w:val="bg-BG"/>
        </w:rPr>
        <w:t xml:space="preserve">разлика от горепосоченото дело, вътрешният механизъм, позволяващ </w:t>
      </w:r>
      <w:r w:rsidR="00442A9A" w:rsidRPr="004B4BEB">
        <w:rPr>
          <w:snapToGrid w:val="0"/>
          <w:lang w:val="bg-BG"/>
        </w:rPr>
        <w:t>премахването</w:t>
      </w:r>
      <w:r w:rsidR="00442A9A" w:rsidRPr="00442A9A">
        <w:rPr>
          <w:snapToGrid w:val="0"/>
          <w:lang w:val="bg-BG"/>
        </w:rPr>
        <w:t xml:space="preserve"> </w:t>
      </w:r>
      <w:r w:rsidRPr="00442A9A">
        <w:rPr>
          <w:snapToGrid w:val="0"/>
          <w:lang w:val="bg-BG"/>
        </w:rPr>
        <w:t>на противоречия</w:t>
      </w:r>
      <w:r w:rsidR="00C71A69" w:rsidRPr="00442A9A">
        <w:rPr>
          <w:snapToGrid w:val="0"/>
          <w:lang w:val="bg-BG"/>
        </w:rPr>
        <w:t xml:space="preserve"> </w:t>
      </w:r>
      <w:r w:rsidRPr="004B4BEB">
        <w:rPr>
          <w:snapToGrid w:val="0"/>
          <w:lang w:val="bg-BG"/>
        </w:rPr>
        <w:t xml:space="preserve">в </w:t>
      </w:r>
      <w:r w:rsidR="00C71A69" w:rsidRPr="004B4BEB">
        <w:rPr>
          <w:snapToGrid w:val="0"/>
          <w:lang w:val="bg-BG"/>
        </w:rPr>
        <w:t xml:space="preserve">националната </w:t>
      </w:r>
      <w:r w:rsidRPr="004B4BEB">
        <w:rPr>
          <w:snapToGrid w:val="0"/>
          <w:lang w:val="bg-BG"/>
        </w:rPr>
        <w:t>съдебна практика, е постигнал успех.</w:t>
      </w:r>
    </w:p>
    <w:p w:rsidR="00F54753" w:rsidRPr="00464AD3" w:rsidRDefault="00F54753" w:rsidP="00F54753">
      <w:pPr>
        <w:pStyle w:val="ECHRHeading3"/>
        <w:rPr>
          <w:lang w:val="bg-BG"/>
        </w:rPr>
      </w:pPr>
      <w:r w:rsidRPr="00464AD3">
        <w:rPr>
          <w:lang w:val="bg-BG"/>
        </w:rPr>
        <w:t>2.  </w:t>
      </w:r>
      <w:r w:rsidR="00827911">
        <w:rPr>
          <w:lang w:val="bg-BG"/>
        </w:rPr>
        <w:t>О</w:t>
      </w:r>
      <w:r w:rsidRPr="00464AD3">
        <w:rPr>
          <w:lang w:val="bg-BG"/>
        </w:rPr>
        <w:t>ценката на Съда</w:t>
      </w:r>
    </w:p>
    <w:p w:rsidR="00F54753" w:rsidRPr="00464AD3" w:rsidRDefault="00F54753" w:rsidP="00F54753">
      <w:pPr>
        <w:pStyle w:val="ECHRHeading4"/>
        <w:rPr>
          <w:lang w:val="bg-BG"/>
        </w:rPr>
      </w:pPr>
      <w:r w:rsidRPr="00464AD3">
        <w:rPr>
          <w:lang w:val="bg-BG"/>
        </w:rPr>
        <w:t>a)  Общи принципи</w:t>
      </w:r>
    </w:p>
    <w:p w:rsidR="00F54753" w:rsidRPr="00464AD3" w:rsidRDefault="00F54753" w:rsidP="00F54753">
      <w:pPr>
        <w:pStyle w:val="ECHRPara"/>
        <w:rPr>
          <w:i/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39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 xml:space="preserve">.  Съдът </w:t>
      </w:r>
      <w:r w:rsidR="00926A80">
        <w:rPr>
          <w:lang w:val="bg-BG"/>
        </w:rPr>
        <w:t>при</w:t>
      </w:r>
      <w:r w:rsidRPr="00464AD3">
        <w:rPr>
          <w:lang w:val="bg-BG"/>
        </w:rPr>
        <w:t xml:space="preserve">помня, че принципите, произтичащи от чл. </w:t>
      </w:r>
      <w:r w:rsidRPr="00464AD3">
        <w:rPr>
          <w:rFonts w:ascii="Times New Roman" w:eastAsia="Times New Roman" w:hAnsi="Times New Roman" w:cs="Times New Roman"/>
          <w:szCs w:val="24"/>
          <w:lang w:val="bg-BG"/>
        </w:rPr>
        <w:t xml:space="preserve">6 § 1 от Конвенцията, приложими към </w:t>
      </w:r>
      <w:r w:rsidR="00926A80">
        <w:rPr>
          <w:rFonts w:ascii="Times New Roman" w:eastAsia="Times New Roman" w:hAnsi="Times New Roman" w:cs="Times New Roman"/>
          <w:szCs w:val="24"/>
          <w:lang w:val="bg-BG"/>
        </w:rPr>
        <w:t>случаите относно</w:t>
      </w:r>
      <w:r w:rsidRPr="00464AD3">
        <w:rPr>
          <w:rFonts w:ascii="Times New Roman" w:eastAsia="Times New Roman" w:hAnsi="Times New Roman" w:cs="Times New Roman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bg-BG"/>
        </w:rPr>
        <w:t>противоречия</w:t>
      </w:r>
      <w:r w:rsidRPr="00464AD3">
        <w:rPr>
          <w:rFonts w:ascii="Times New Roman" w:eastAsia="Times New Roman" w:hAnsi="Times New Roman" w:cs="Times New Roman"/>
          <w:szCs w:val="24"/>
          <w:lang w:val="bg-BG"/>
        </w:rPr>
        <w:t xml:space="preserve"> в съдебната практика на най-висшата национална съдебна инстанция, са обобщени в </w:t>
      </w:r>
      <w:r w:rsidR="00926A80">
        <w:rPr>
          <w:rFonts w:ascii="Times New Roman" w:eastAsia="Times New Roman" w:hAnsi="Times New Roman" w:cs="Times New Roman"/>
          <w:szCs w:val="24"/>
          <w:lang w:val="bg-BG"/>
        </w:rPr>
        <w:t>скорошното решение по</w:t>
      </w:r>
      <w:r w:rsidRPr="00464AD3">
        <w:rPr>
          <w:rFonts w:ascii="Times New Roman" w:eastAsia="Times New Roman" w:hAnsi="Times New Roman" w:cs="Times New Roman"/>
          <w:szCs w:val="24"/>
          <w:lang w:val="bg-BG"/>
        </w:rPr>
        <w:t xml:space="preserve"> </w:t>
      </w:r>
      <w:r w:rsidR="008C4319">
        <w:rPr>
          <w:rFonts w:ascii="Times New Roman" w:eastAsia="Times New Roman" w:hAnsi="Times New Roman" w:cs="Times New Roman"/>
          <w:szCs w:val="24"/>
          <w:lang w:val="bg-BG"/>
        </w:rPr>
        <w:t xml:space="preserve">делото </w:t>
      </w:r>
      <w:proofErr w:type="spellStart"/>
      <w:r w:rsidRPr="00464AD3">
        <w:rPr>
          <w:i/>
          <w:lang w:val="bg-BG"/>
        </w:rPr>
        <w:t>Paroisse</w:t>
      </w:r>
      <w:proofErr w:type="spellEnd"/>
      <w:r w:rsidRPr="00464AD3">
        <w:rPr>
          <w:i/>
          <w:lang w:val="bg-BG"/>
        </w:rPr>
        <w:t xml:space="preserve"> </w:t>
      </w:r>
      <w:proofErr w:type="spellStart"/>
      <w:r w:rsidRPr="00464AD3">
        <w:rPr>
          <w:i/>
          <w:lang w:val="bg-BG"/>
        </w:rPr>
        <w:t>gréco-catholique</w:t>
      </w:r>
      <w:proofErr w:type="spellEnd"/>
      <w:r w:rsidRPr="00464AD3">
        <w:rPr>
          <w:i/>
          <w:lang w:val="bg-BG"/>
        </w:rPr>
        <w:t xml:space="preserve"> </w:t>
      </w:r>
      <w:proofErr w:type="spellStart"/>
      <w:r w:rsidRPr="00464AD3">
        <w:rPr>
          <w:i/>
          <w:lang w:val="bg-BG"/>
        </w:rPr>
        <w:t>Lupeni</w:t>
      </w:r>
      <w:proofErr w:type="spellEnd"/>
      <w:r w:rsidRPr="00464AD3">
        <w:rPr>
          <w:i/>
          <w:lang w:val="bg-BG"/>
        </w:rPr>
        <w:t xml:space="preserve"> </w:t>
      </w:r>
      <w:proofErr w:type="spellStart"/>
      <w:r w:rsidRPr="00464AD3">
        <w:rPr>
          <w:i/>
          <w:lang w:val="bg-BG"/>
        </w:rPr>
        <w:t>et</w:t>
      </w:r>
      <w:proofErr w:type="spellEnd"/>
      <w:r w:rsidRPr="00464AD3">
        <w:rPr>
          <w:i/>
          <w:lang w:val="bg-BG"/>
        </w:rPr>
        <w:t xml:space="preserve"> </w:t>
      </w:r>
      <w:proofErr w:type="spellStart"/>
      <w:r w:rsidRPr="00464AD3">
        <w:rPr>
          <w:i/>
          <w:lang w:val="bg-BG"/>
        </w:rPr>
        <w:t>autres</w:t>
      </w:r>
      <w:proofErr w:type="spellEnd"/>
      <w:r w:rsidRPr="00464AD3">
        <w:rPr>
          <w:i/>
          <w:lang w:val="bg-BG"/>
        </w:rPr>
        <w:t xml:space="preserve"> c. </w:t>
      </w:r>
      <w:proofErr w:type="spellStart"/>
      <w:r w:rsidRPr="00464AD3">
        <w:rPr>
          <w:i/>
          <w:lang w:val="bg-BG"/>
        </w:rPr>
        <w:t>Roumanie</w:t>
      </w:r>
      <w:proofErr w:type="spellEnd"/>
      <w:r w:rsidRPr="00464AD3">
        <w:rPr>
          <w:lang w:val="bg-BG"/>
        </w:rPr>
        <w:t xml:space="preserve"> ([ГК], </w:t>
      </w:r>
      <w:proofErr w:type="spellStart"/>
      <w:r w:rsidRPr="00464AD3">
        <w:rPr>
          <w:lang w:val="bg-BG"/>
        </w:rPr>
        <w:t>n</w:t>
      </w:r>
      <w:r w:rsidRPr="00464AD3">
        <w:rPr>
          <w:vertAlign w:val="superscript"/>
          <w:lang w:val="bg-BG"/>
        </w:rPr>
        <w:t>o</w:t>
      </w:r>
      <w:proofErr w:type="spellEnd"/>
      <w:r w:rsidRPr="00464AD3">
        <w:rPr>
          <w:lang w:val="bg-BG"/>
        </w:rPr>
        <w:t xml:space="preserve"> 76943/11, §§ 116-118, 29 ноември 2016 г.), както следва:</w:t>
      </w:r>
    </w:p>
    <w:p w:rsidR="00F54753" w:rsidRPr="00464AD3" w:rsidRDefault="008C4319" w:rsidP="00F54753">
      <w:pPr>
        <w:pStyle w:val="ECHRPara"/>
        <w:rPr>
          <w:lang w:val="bg-BG"/>
        </w:rPr>
      </w:pPr>
      <w:r>
        <w:rPr>
          <w:lang w:val="bg-BG"/>
        </w:rPr>
        <w:t>a)  При този вид дела, пре</w:t>
      </w:r>
      <w:r w:rsidR="00F54753" w:rsidRPr="00464AD3">
        <w:rPr>
          <w:lang w:val="bg-BG"/>
        </w:rPr>
        <w:t xml:space="preserve">ценката на Съда </w:t>
      </w:r>
      <w:r w:rsidR="00926A80">
        <w:rPr>
          <w:lang w:val="bg-BG"/>
        </w:rPr>
        <w:t>винаги</w:t>
      </w:r>
      <w:r w:rsidR="00926A80" w:rsidRPr="00464AD3">
        <w:rPr>
          <w:lang w:val="bg-BG"/>
        </w:rPr>
        <w:t xml:space="preserve"> </w:t>
      </w:r>
      <w:r w:rsidR="00F54753" w:rsidRPr="00464AD3">
        <w:rPr>
          <w:lang w:val="bg-BG"/>
        </w:rPr>
        <w:t xml:space="preserve">се основава на принципа за правна сигурност, който </w:t>
      </w:r>
      <w:r>
        <w:rPr>
          <w:lang w:val="bg-BG"/>
        </w:rPr>
        <w:t>е в основата</w:t>
      </w:r>
      <w:r w:rsidR="00F54753" w:rsidRPr="00464AD3">
        <w:rPr>
          <w:lang w:val="bg-BG"/>
        </w:rPr>
        <w:t xml:space="preserve"> на</w:t>
      </w:r>
      <w:r>
        <w:rPr>
          <w:lang w:val="bg-BG"/>
        </w:rPr>
        <w:t xml:space="preserve"> всички разпоредби на</w:t>
      </w:r>
      <w:r w:rsidR="00F54753" w:rsidRPr="00464AD3">
        <w:rPr>
          <w:lang w:val="bg-BG"/>
        </w:rPr>
        <w:t xml:space="preserve"> Конвенцията и който представлява един от основните елементи на правовата държава. Този принцип гарантира стабилност </w:t>
      </w:r>
      <w:r w:rsidR="00926A80">
        <w:rPr>
          <w:lang w:val="bg-BG"/>
        </w:rPr>
        <w:t>в</w:t>
      </w:r>
      <w:r w:rsidR="00926A80" w:rsidRPr="00464AD3">
        <w:rPr>
          <w:lang w:val="bg-BG"/>
        </w:rPr>
        <w:t xml:space="preserve"> </w:t>
      </w:r>
      <w:r w:rsidR="00F54753" w:rsidRPr="00464AD3">
        <w:rPr>
          <w:lang w:val="bg-BG"/>
        </w:rPr>
        <w:t xml:space="preserve">правните </w:t>
      </w:r>
      <w:r w:rsidR="00926A80">
        <w:rPr>
          <w:lang w:val="bg-BG"/>
        </w:rPr>
        <w:t>ситуации</w:t>
      </w:r>
      <w:r w:rsidR="00926A80" w:rsidRPr="00464AD3">
        <w:rPr>
          <w:lang w:val="bg-BG"/>
        </w:rPr>
        <w:t xml:space="preserve"> </w:t>
      </w:r>
      <w:r w:rsidR="00F54753" w:rsidRPr="00464AD3">
        <w:rPr>
          <w:lang w:val="bg-BG"/>
        </w:rPr>
        <w:t xml:space="preserve">и </w:t>
      </w:r>
      <w:r w:rsidR="00926A80">
        <w:rPr>
          <w:lang w:val="bg-BG"/>
        </w:rPr>
        <w:t>допринася за публичното</w:t>
      </w:r>
      <w:r w:rsidR="00F54753" w:rsidRPr="00464AD3">
        <w:rPr>
          <w:lang w:val="bg-BG"/>
        </w:rPr>
        <w:t xml:space="preserve"> доверие в съдебната система. </w:t>
      </w:r>
      <w:r w:rsidR="00926A80">
        <w:rPr>
          <w:lang w:val="bg-BG"/>
        </w:rPr>
        <w:t>Продължителното наличие на</w:t>
      </w:r>
      <w:r w:rsidR="00F54753" w:rsidRPr="00464AD3">
        <w:rPr>
          <w:lang w:val="bg-BG"/>
        </w:rPr>
        <w:t xml:space="preserve"> противоречия в съдебната практика</w:t>
      </w:r>
      <w:r w:rsidR="003B1359">
        <w:rPr>
          <w:lang w:val="bg-BG"/>
        </w:rPr>
        <w:t xml:space="preserve"> може</w:t>
      </w:r>
      <w:r w:rsidR="00F54753" w:rsidRPr="00464AD3">
        <w:rPr>
          <w:lang w:val="bg-BG"/>
        </w:rPr>
        <w:t xml:space="preserve"> да породи състояние на правна несигурност, която би могла да намали доверието на гражданите в съдебната система, </w:t>
      </w:r>
      <w:r>
        <w:rPr>
          <w:lang w:val="bg-BG"/>
        </w:rPr>
        <w:t>а именно това доверие е един</w:t>
      </w:r>
      <w:r w:rsidR="00F54753" w:rsidRPr="00464AD3">
        <w:rPr>
          <w:lang w:val="bg-BG"/>
        </w:rPr>
        <w:t xml:space="preserve"> от основните </w:t>
      </w:r>
      <w:r w:rsidR="003B1359">
        <w:rPr>
          <w:lang w:val="bg-BG"/>
        </w:rPr>
        <w:t>компоненти</w:t>
      </w:r>
      <w:r w:rsidR="003B1359" w:rsidRPr="00464AD3">
        <w:rPr>
          <w:lang w:val="bg-BG"/>
        </w:rPr>
        <w:t xml:space="preserve"> </w:t>
      </w:r>
      <w:r w:rsidR="00F54753" w:rsidRPr="00464AD3">
        <w:rPr>
          <w:lang w:val="bg-BG"/>
        </w:rPr>
        <w:t>на правовата държава.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64AD3">
        <w:rPr>
          <w:lang w:val="bg-BG"/>
        </w:rPr>
        <w:t xml:space="preserve">б)  И все пак, </w:t>
      </w:r>
      <w:r w:rsidR="008C4319">
        <w:rPr>
          <w:lang w:val="bg-BG"/>
        </w:rPr>
        <w:t>наличието на</w:t>
      </w:r>
      <w:r w:rsidRPr="00464AD3">
        <w:rPr>
          <w:lang w:val="bg-BG"/>
        </w:rPr>
        <w:t xml:space="preserve"> </w:t>
      </w:r>
      <w:r>
        <w:rPr>
          <w:lang w:val="bg-BG"/>
        </w:rPr>
        <w:t>противоречия</w:t>
      </w:r>
      <w:r w:rsidRPr="00464AD3">
        <w:rPr>
          <w:lang w:val="bg-BG"/>
        </w:rPr>
        <w:t xml:space="preserve"> в съдебната практ</w:t>
      </w:r>
      <w:r w:rsidR="008C4319">
        <w:rPr>
          <w:lang w:val="bg-BG"/>
        </w:rPr>
        <w:t>ика напълно естествено е присъщо</w:t>
      </w:r>
      <w:r w:rsidRPr="00464AD3">
        <w:rPr>
          <w:lang w:val="bg-BG"/>
        </w:rPr>
        <w:t xml:space="preserve"> на всяка правораздавателна система, основаваща се на множество по-нисши съдебни инстанции, чиято </w:t>
      </w:r>
      <w:r w:rsidR="003B1359">
        <w:rPr>
          <w:lang w:val="bg-BG"/>
        </w:rPr>
        <w:t>компетентност</w:t>
      </w:r>
      <w:r w:rsidR="003B1359" w:rsidRPr="00464AD3">
        <w:rPr>
          <w:lang w:val="bg-BG"/>
        </w:rPr>
        <w:t xml:space="preserve"> </w:t>
      </w:r>
      <w:r w:rsidR="008C4319">
        <w:rPr>
          <w:lang w:val="bg-BG"/>
        </w:rPr>
        <w:t>е териториално определена</w:t>
      </w:r>
      <w:r w:rsidRPr="00464AD3">
        <w:rPr>
          <w:lang w:val="bg-BG"/>
        </w:rPr>
        <w:t>. Подобн</w:t>
      </w:r>
      <w:r>
        <w:rPr>
          <w:lang w:val="bg-BG"/>
        </w:rPr>
        <w:t>и</w:t>
      </w:r>
      <w:r w:rsidRPr="00464AD3">
        <w:rPr>
          <w:lang w:val="bg-BG"/>
        </w:rPr>
        <w:t xml:space="preserve"> </w:t>
      </w:r>
      <w:r>
        <w:rPr>
          <w:lang w:val="bg-BG"/>
        </w:rPr>
        <w:t>противоречия</w:t>
      </w:r>
      <w:r w:rsidRPr="00464AD3">
        <w:rPr>
          <w:lang w:val="bg-BG"/>
        </w:rPr>
        <w:t xml:space="preserve"> могат да се появят и в рамките на една-единствена съдебна инстанция. Само по себе си това не </w:t>
      </w:r>
      <w:r w:rsidR="003B1359">
        <w:rPr>
          <w:lang w:val="bg-BG"/>
        </w:rPr>
        <w:t>може да счита за</w:t>
      </w:r>
      <w:r w:rsidRPr="00464AD3">
        <w:rPr>
          <w:lang w:val="bg-BG"/>
        </w:rPr>
        <w:t xml:space="preserve"> противоречащо на Конвенцията.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64AD3">
        <w:rPr>
          <w:lang w:val="bg-BG"/>
        </w:rPr>
        <w:t xml:space="preserve">в)  Изискванията за правна </w:t>
      </w:r>
      <w:r w:rsidRPr="00442A9A">
        <w:rPr>
          <w:lang w:val="bg-BG"/>
        </w:rPr>
        <w:t>сигурност и за защита на оправданите правни о</w:t>
      </w:r>
      <w:r w:rsidRPr="004B4BEB">
        <w:rPr>
          <w:lang w:val="bg-BG"/>
        </w:rPr>
        <w:t>чаквания не предоставят придобито право на постоянна съдебна практика. В действителност</w:t>
      </w:r>
      <w:r w:rsidRPr="00464AD3">
        <w:rPr>
          <w:lang w:val="bg-BG"/>
        </w:rPr>
        <w:t>, само по себе си развитието на съдебната практика не противоречи на доброто правораздава</w:t>
      </w:r>
      <w:r w:rsidR="003B1359">
        <w:rPr>
          <w:lang w:val="bg-BG"/>
        </w:rPr>
        <w:t>не</w:t>
      </w:r>
      <w:r w:rsidRPr="00464AD3">
        <w:rPr>
          <w:lang w:val="bg-BG"/>
        </w:rPr>
        <w:t>, тъй като отказът от един динамичен и еволюционен подход може да създаде пречки пред всяко бъдещо подобрение или реформа.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64AD3">
        <w:rPr>
          <w:lang w:val="bg-BG"/>
        </w:rPr>
        <w:t xml:space="preserve">г)  По принцип не </w:t>
      </w:r>
      <w:r w:rsidR="003B1359">
        <w:rPr>
          <w:lang w:val="bg-BG"/>
        </w:rPr>
        <w:t xml:space="preserve">е задача на </w:t>
      </w:r>
      <w:r w:rsidRPr="00464AD3">
        <w:rPr>
          <w:lang w:val="bg-BG"/>
        </w:rPr>
        <w:t>Съд</w:t>
      </w:r>
      <w:r w:rsidR="003B1359">
        <w:rPr>
          <w:lang w:val="bg-BG"/>
        </w:rPr>
        <w:t>а да</w:t>
      </w:r>
      <w:r w:rsidRPr="00464AD3">
        <w:rPr>
          <w:lang w:val="bg-BG"/>
        </w:rPr>
        <w:t xml:space="preserve"> сравнява различните решения – дори и в случай на жалби, които на пръв поглед изглеждат сходни или свързани</w:t>
      </w:r>
      <w:r w:rsidR="008C4319">
        <w:rPr>
          <w:lang w:val="bg-BG"/>
        </w:rPr>
        <w:t xml:space="preserve"> -</w:t>
      </w:r>
      <w:r w:rsidRPr="00464AD3">
        <w:rPr>
          <w:lang w:val="bg-BG"/>
        </w:rPr>
        <w:t xml:space="preserve"> постановени от съдилища, чиято независимост </w:t>
      </w:r>
      <w:r w:rsidR="003B1359">
        <w:rPr>
          <w:lang w:val="bg-BG"/>
        </w:rPr>
        <w:t xml:space="preserve">е </w:t>
      </w:r>
      <w:r w:rsidR="008C4319">
        <w:rPr>
          <w:lang w:val="bg-BG"/>
        </w:rPr>
        <w:t>несъмнена</w:t>
      </w:r>
      <w:r w:rsidR="003B1359">
        <w:rPr>
          <w:lang w:val="bg-BG"/>
        </w:rPr>
        <w:t xml:space="preserve"> за него</w:t>
      </w:r>
      <w:r w:rsidRPr="00464AD3">
        <w:rPr>
          <w:lang w:val="bg-BG"/>
        </w:rPr>
        <w:t xml:space="preserve">. Освен това, </w:t>
      </w:r>
      <w:r w:rsidR="008C4319">
        <w:rPr>
          <w:lang w:val="bg-BG"/>
        </w:rPr>
        <w:t>различният подход</w:t>
      </w:r>
      <w:r w:rsidRPr="00464AD3">
        <w:rPr>
          <w:lang w:val="bg-BG"/>
        </w:rPr>
        <w:t xml:space="preserve"> при разглеждането на два спора не </w:t>
      </w:r>
      <w:r w:rsidR="008C4319">
        <w:rPr>
          <w:lang w:val="bg-BG"/>
        </w:rPr>
        <w:t xml:space="preserve">може винаги </w:t>
      </w:r>
      <w:r w:rsidRPr="00464AD3">
        <w:rPr>
          <w:lang w:val="bg-BG"/>
        </w:rPr>
        <w:t xml:space="preserve">да се разглежда като </w:t>
      </w:r>
      <w:r>
        <w:rPr>
          <w:lang w:val="bg-BG"/>
        </w:rPr>
        <w:t>противоречие</w:t>
      </w:r>
      <w:r w:rsidRPr="00464AD3">
        <w:rPr>
          <w:lang w:val="bg-BG"/>
        </w:rPr>
        <w:t xml:space="preserve"> в съдебната прак</w:t>
      </w:r>
      <w:r w:rsidR="008C4319">
        <w:rPr>
          <w:lang w:val="bg-BG"/>
        </w:rPr>
        <w:t>тика, ако е оправдана от различия</w:t>
      </w:r>
      <w:r w:rsidRPr="00464AD3">
        <w:rPr>
          <w:lang w:val="bg-BG"/>
        </w:rPr>
        <w:t xml:space="preserve"> в разглежданите фактически положения.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64AD3">
        <w:rPr>
          <w:lang w:val="bg-BG"/>
        </w:rPr>
        <w:t xml:space="preserve">д)  Критериите, от които се ръководи Съдът при </w:t>
      </w:r>
      <w:r w:rsidR="008C4319">
        <w:rPr>
          <w:lang w:val="bg-BG"/>
        </w:rPr>
        <w:t>преце</w:t>
      </w:r>
      <w:r w:rsidR="003B1359">
        <w:rPr>
          <w:lang w:val="bg-BG"/>
        </w:rPr>
        <w:t>нката</w:t>
      </w:r>
      <w:r w:rsidR="003B1359" w:rsidRPr="00464AD3">
        <w:rPr>
          <w:lang w:val="bg-BG"/>
        </w:rPr>
        <w:t xml:space="preserve"> </w:t>
      </w:r>
      <w:r w:rsidR="008C4319">
        <w:rPr>
          <w:lang w:val="bg-BG"/>
        </w:rPr>
        <w:t>на това дали</w:t>
      </w:r>
      <w:r w:rsidRPr="00464AD3">
        <w:rPr>
          <w:lang w:val="bg-BG"/>
        </w:rPr>
        <w:t xml:space="preserve"> противоречиви решения на различни </w:t>
      </w:r>
      <w:r w:rsidR="003B1359">
        <w:rPr>
          <w:lang w:val="bg-BG"/>
        </w:rPr>
        <w:t>национални</w:t>
      </w:r>
      <w:r w:rsidR="003B1359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съдилища, произнасящи се като последна инстанция, нарушават правото на справедлив процес, </w:t>
      </w:r>
      <w:r w:rsidR="002950E7">
        <w:rPr>
          <w:lang w:val="bg-BG"/>
        </w:rPr>
        <w:t>залегнало в</w:t>
      </w:r>
      <w:r w:rsidRPr="00464AD3">
        <w:rPr>
          <w:lang w:val="bg-BG"/>
        </w:rPr>
        <w:t xml:space="preserve"> чл. 6 § 1 от Конвенцията, целят да се установи</w:t>
      </w:r>
      <w:r w:rsidR="008C4319">
        <w:rPr>
          <w:lang w:val="bg-BG"/>
        </w:rPr>
        <w:t xml:space="preserve"> следното. П</w:t>
      </w:r>
      <w:r w:rsidRPr="00464AD3">
        <w:rPr>
          <w:lang w:val="bg-BG"/>
        </w:rPr>
        <w:t xml:space="preserve">ърво, дали в съдебната практика на </w:t>
      </w:r>
      <w:r w:rsidR="002950E7">
        <w:rPr>
          <w:lang w:val="bg-BG"/>
        </w:rPr>
        <w:t>националните</w:t>
      </w:r>
      <w:r w:rsidR="002950E7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съдилища съществуват „дълбоки и </w:t>
      </w:r>
      <w:r>
        <w:rPr>
          <w:lang w:val="bg-BG"/>
        </w:rPr>
        <w:t>трайни противоречи</w:t>
      </w:r>
      <w:r w:rsidRPr="00464AD3">
        <w:rPr>
          <w:lang w:val="bg-BG"/>
        </w:rPr>
        <w:t xml:space="preserve">я“; второ, дали </w:t>
      </w:r>
      <w:r w:rsidR="002950E7">
        <w:rPr>
          <w:lang w:val="bg-BG"/>
        </w:rPr>
        <w:t>националното законодателство</w:t>
      </w:r>
      <w:r w:rsidRPr="00464AD3">
        <w:rPr>
          <w:lang w:val="bg-BG"/>
        </w:rPr>
        <w:t xml:space="preserve"> предвижда механизми за премахване на тези несъответствия</w:t>
      </w:r>
      <w:r>
        <w:rPr>
          <w:lang w:val="bg-BG"/>
        </w:rPr>
        <w:t>;</w:t>
      </w:r>
      <w:r w:rsidRPr="00464AD3">
        <w:rPr>
          <w:lang w:val="bg-BG"/>
        </w:rPr>
        <w:t xml:space="preserve"> и, трето, дали тези механизми са били приложени и, ако случаят е такъв, какъв е ефектът от тяхното приложение.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40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Съдът добавя, че съдилищата и по-</w:t>
      </w:r>
      <w:r w:rsidR="002950E7">
        <w:rPr>
          <w:lang w:val="bg-BG"/>
        </w:rPr>
        <w:t>конкретно</w:t>
      </w:r>
      <w:r w:rsidR="008C4319">
        <w:rPr>
          <w:lang w:val="bg-BG"/>
        </w:rPr>
        <w:t xml:space="preserve"> висшите съдебни инстанции</w:t>
      </w:r>
      <w:r w:rsidRPr="00464AD3">
        <w:rPr>
          <w:lang w:val="bg-BG"/>
        </w:rPr>
        <w:t xml:space="preserve"> трябва да </w:t>
      </w:r>
      <w:r w:rsidR="002950E7">
        <w:rPr>
          <w:lang w:val="bg-BG"/>
        </w:rPr>
        <w:t>бъдат</w:t>
      </w:r>
      <w:r w:rsidR="002950E7" w:rsidRPr="00464AD3">
        <w:rPr>
          <w:lang w:val="bg-BG"/>
        </w:rPr>
        <w:t xml:space="preserve"> </w:t>
      </w:r>
      <w:r w:rsidR="002950E7">
        <w:rPr>
          <w:lang w:val="bg-BG"/>
        </w:rPr>
        <w:t>бдителни, за да</w:t>
      </w:r>
      <w:r w:rsidRPr="00464AD3">
        <w:rPr>
          <w:lang w:val="bg-BG"/>
        </w:rPr>
        <w:t xml:space="preserve"> откри</w:t>
      </w:r>
      <w:r w:rsidR="002950E7">
        <w:rPr>
          <w:lang w:val="bg-BG"/>
        </w:rPr>
        <w:t>ват</w:t>
      </w:r>
      <w:r w:rsidR="008C4319">
        <w:rPr>
          <w:lang w:val="bg-BG"/>
        </w:rPr>
        <w:t xml:space="preserve"> и отстраняват</w:t>
      </w:r>
      <w:r w:rsidR="002950E7">
        <w:rPr>
          <w:lang w:val="bg-BG"/>
        </w:rPr>
        <w:t xml:space="preserve"> своевременно</w:t>
      </w:r>
      <w:r w:rsidRPr="00464AD3">
        <w:rPr>
          <w:lang w:val="bg-BG"/>
        </w:rPr>
        <w:t xml:space="preserve"> </w:t>
      </w:r>
      <w:r>
        <w:rPr>
          <w:lang w:val="bg-BG"/>
        </w:rPr>
        <w:t>противоречията</w:t>
      </w:r>
      <w:r w:rsidRPr="00464AD3">
        <w:rPr>
          <w:lang w:val="bg-BG"/>
        </w:rPr>
        <w:t xml:space="preserve"> в съдебната </w:t>
      </w:r>
      <w:r>
        <w:rPr>
          <w:lang w:val="bg-BG"/>
        </w:rPr>
        <w:t xml:space="preserve">си </w:t>
      </w:r>
      <w:r w:rsidRPr="00464AD3">
        <w:rPr>
          <w:lang w:val="bg-BG"/>
        </w:rPr>
        <w:t>практика.</w:t>
      </w:r>
    </w:p>
    <w:p w:rsidR="00F54753" w:rsidRPr="00464AD3" w:rsidRDefault="00F54753" w:rsidP="00F54753">
      <w:pPr>
        <w:pStyle w:val="ECHRHeading4"/>
        <w:rPr>
          <w:lang w:val="bg-BG"/>
        </w:rPr>
      </w:pPr>
      <w:r w:rsidRPr="00464AD3">
        <w:rPr>
          <w:lang w:val="bg-BG"/>
        </w:rPr>
        <w:t>б)  Приложение на тези принципи в конкретния случай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DA3765">
        <w:rPr>
          <w:color w:val="000000" w:themeColor="text1"/>
          <w:lang w:val="bg-BG"/>
        </w:rPr>
        <w:fldChar w:fldCharType="begin"/>
      </w:r>
      <w:r w:rsidRPr="00DA3765">
        <w:rPr>
          <w:color w:val="000000" w:themeColor="text1"/>
          <w:lang w:val="bg-BG"/>
        </w:rPr>
        <w:instrText xml:space="preserve"> SEQ level0 \*arabic </w:instrText>
      </w:r>
      <w:r w:rsidRPr="00DA3765">
        <w:rPr>
          <w:color w:val="000000" w:themeColor="text1"/>
          <w:lang w:val="bg-BG"/>
        </w:rPr>
        <w:fldChar w:fldCharType="separate"/>
      </w:r>
      <w:r w:rsidRPr="00DA3765">
        <w:rPr>
          <w:noProof/>
          <w:color w:val="000000" w:themeColor="text1"/>
          <w:lang w:val="bg-BG"/>
        </w:rPr>
        <w:t>41</w:t>
      </w:r>
      <w:r w:rsidRPr="00DA3765">
        <w:rPr>
          <w:color w:val="000000" w:themeColor="text1"/>
          <w:lang w:val="bg-BG"/>
        </w:rPr>
        <w:fldChar w:fldCharType="end"/>
      </w:r>
      <w:r w:rsidRPr="00DA3765">
        <w:rPr>
          <w:color w:val="000000" w:themeColor="text1"/>
          <w:lang w:val="bg-BG"/>
        </w:rPr>
        <w:t xml:space="preserve">.  От гледна точка на съдебната </w:t>
      </w:r>
      <w:r>
        <w:rPr>
          <w:color w:val="000000" w:themeColor="text1"/>
          <w:lang w:val="bg-BG"/>
        </w:rPr>
        <w:t xml:space="preserve">си </w:t>
      </w:r>
      <w:r w:rsidRPr="00DA3765">
        <w:rPr>
          <w:color w:val="000000" w:themeColor="text1"/>
          <w:lang w:val="bg-BG"/>
        </w:rPr>
        <w:t xml:space="preserve">практика </w:t>
      </w:r>
      <w:r w:rsidR="006E3D14">
        <w:rPr>
          <w:color w:val="000000" w:themeColor="text1"/>
          <w:lang w:val="bg-BG"/>
        </w:rPr>
        <w:t>по този въпрос</w:t>
      </w:r>
      <w:r w:rsidRPr="00DA3765">
        <w:rPr>
          <w:color w:val="000000" w:themeColor="text1"/>
          <w:lang w:val="bg-BG"/>
        </w:rPr>
        <w:t xml:space="preserve"> (вж. параграф </w:t>
      </w:r>
      <w:r w:rsidRPr="00464AD3">
        <w:rPr>
          <w:lang w:val="bg-BG"/>
        </w:rPr>
        <w:t xml:space="preserve">39 по-горе), Съдът последователно ще прецени дали в конкретния случай в съдебната практика на </w:t>
      </w:r>
      <w:r w:rsidR="006E3D14">
        <w:rPr>
          <w:lang w:val="bg-BG"/>
        </w:rPr>
        <w:t>националните</w:t>
      </w:r>
      <w:r w:rsidR="006E3D14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съдилища са налице „дълбоки и </w:t>
      </w:r>
      <w:r>
        <w:rPr>
          <w:lang w:val="bg-BG"/>
        </w:rPr>
        <w:t>трайни противореч</w:t>
      </w:r>
      <w:r w:rsidRPr="00464AD3">
        <w:rPr>
          <w:lang w:val="bg-BG"/>
        </w:rPr>
        <w:t xml:space="preserve">ия“, дали </w:t>
      </w:r>
      <w:r w:rsidR="006E3D14">
        <w:rPr>
          <w:lang w:val="bg-BG"/>
        </w:rPr>
        <w:t>националното законодателство</w:t>
      </w:r>
      <w:r w:rsidRPr="00464AD3">
        <w:rPr>
          <w:lang w:val="bg-BG"/>
        </w:rPr>
        <w:t xml:space="preserve"> предвижда механизми за премахването на тези несъответствия, дали тези механизми са приложени и, ако случаят е такъв, какъв е ефектът от тяхното приложение.</w:t>
      </w:r>
    </w:p>
    <w:p w:rsidR="00F54753" w:rsidRPr="00464AD3" w:rsidRDefault="00F54753" w:rsidP="00F54753">
      <w:pPr>
        <w:pStyle w:val="ECHRHeading5"/>
        <w:rPr>
          <w:lang w:val="bg-BG"/>
        </w:rPr>
      </w:pPr>
      <w:r w:rsidRPr="00464AD3">
        <w:rPr>
          <w:lang w:val="bg-BG"/>
        </w:rPr>
        <w:t xml:space="preserve">i.  Относно </w:t>
      </w:r>
      <w:r w:rsidR="006E3D14">
        <w:rPr>
          <w:lang w:val="bg-BG"/>
        </w:rPr>
        <w:t>наличието</w:t>
      </w:r>
      <w:r w:rsidR="006E3D14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на „дълбоки и </w:t>
      </w:r>
      <w:r>
        <w:rPr>
          <w:lang w:val="bg-BG"/>
        </w:rPr>
        <w:t>трайни противоре</w:t>
      </w:r>
      <w:r w:rsidRPr="00464AD3">
        <w:rPr>
          <w:lang w:val="bg-BG"/>
        </w:rPr>
        <w:t>чия в съдебната практика“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42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Съдът отбелязва, че Върховният касационен съд разгле</w:t>
      </w:r>
      <w:r w:rsidR="00850B78">
        <w:rPr>
          <w:lang w:val="bg-BG"/>
        </w:rPr>
        <w:t>ж</w:t>
      </w:r>
      <w:r w:rsidRPr="00464AD3">
        <w:rPr>
          <w:lang w:val="bg-BG"/>
        </w:rPr>
        <w:t xml:space="preserve">да гражданското дело на жалбоподателите две години и четири месеца след като се е произнесъл по делата на останалите лица, засегнати от катастрофата, причинила смъртта на дъщеря им (вж. параграфи 9 и 14 по-горе). В случая на жалбоподателите, съдебният състав на Върховния касационен съд тълкува </w:t>
      </w:r>
      <w:r w:rsidR="00850B78">
        <w:rPr>
          <w:lang w:val="bg-BG"/>
        </w:rPr>
        <w:t>националното</w:t>
      </w:r>
      <w:r w:rsidR="00850B78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законодателство по такъв начин, че същите се оказват лишени от възможността да ангажират отговорността на застрахователя на осъдения извършител (вж. параграфи 12 и 14 по-горе), докато други съдебни състави на същия съд </w:t>
      </w:r>
      <w:r w:rsidR="00850B78">
        <w:rPr>
          <w:lang w:val="bg-BG"/>
        </w:rPr>
        <w:t>приемат</w:t>
      </w:r>
      <w:r w:rsidR="00850B78" w:rsidRPr="00464AD3">
        <w:rPr>
          <w:lang w:val="bg-BG"/>
        </w:rPr>
        <w:t xml:space="preserve"> </w:t>
      </w:r>
      <w:r w:rsidRPr="00464AD3">
        <w:rPr>
          <w:lang w:val="bg-BG"/>
        </w:rPr>
        <w:t>точно обратната позиция след разглеждането на делата на другите трима граждански ищци (вж. параграфи 9 и 10 по-горе).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43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 xml:space="preserve">.  От прегледа на </w:t>
      </w:r>
      <w:r w:rsidR="00850B78">
        <w:rPr>
          <w:lang w:val="bg-BG"/>
        </w:rPr>
        <w:t>приложимата</w:t>
      </w:r>
      <w:r w:rsidR="00850B78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към случая съдебна практика на Върховния касационен съд </w:t>
      </w:r>
      <w:r w:rsidR="00850B78">
        <w:rPr>
          <w:lang w:val="bg-BG"/>
        </w:rPr>
        <w:t>следва</w:t>
      </w:r>
      <w:r w:rsidRPr="00464AD3">
        <w:rPr>
          <w:lang w:val="bg-BG"/>
        </w:rPr>
        <w:t xml:space="preserve">, че съществуват два различни подхода при тълкуването на чл. 407, ал. 1 от Търговския закон, в който се определят </w:t>
      </w:r>
      <w:r w:rsidR="00944679">
        <w:rPr>
          <w:lang w:val="bg-BG"/>
        </w:rPr>
        <w:t>предпоставките</w:t>
      </w:r>
      <w:r w:rsidRPr="00464AD3">
        <w:rPr>
          <w:lang w:val="bg-BG"/>
        </w:rPr>
        <w:t xml:space="preserve"> за </w:t>
      </w:r>
      <w:r w:rsidR="00850B78">
        <w:rPr>
          <w:lang w:val="bg-BG"/>
        </w:rPr>
        <w:t>предявяване</w:t>
      </w:r>
      <w:r w:rsidR="00850B78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на иск за обезщетение </w:t>
      </w:r>
      <w:r>
        <w:rPr>
          <w:lang w:val="bg-BG"/>
        </w:rPr>
        <w:t>срещу</w:t>
      </w:r>
      <w:r w:rsidRPr="00464AD3">
        <w:rPr>
          <w:lang w:val="bg-BG"/>
        </w:rPr>
        <w:t xml:space="preserve"> застрахователя (вж. параграфи 15-19 по-горе). И макар вътрешните съдилища да се насоч</w:t>
      </w:r>
      <w:r>
        <w:rPr>
          <w:lang w:val="bg-BG"/>
        </w:rPr>
        <w:t>ват</w:t>
      </w:r>
      <w:r w:rsidRPr="00464AD3">
        <w:rPr>
          <w:lang w:val="bg-BG"/>
        </w:rPr>
        <w:t xml:space="preserve"> в </w:t>
      </w:r>
      <w:r w:rsidR="00944679">
        <w:rPr>
          <w:lang w:val="bg-BG"/>
        </w:rPr>
        <w:t>мотивите</w:t>
      </w:r>
      <w:r w:rsidRPr="00464AD3">
        <w:rPr>
          <w:lang w:val="bg-BG"/>
        </w:rPr>
        <w:t xml:space="preserve"> си към техническия въпрос </w:t>
      </w:r>
      <w:r w:rsidR="00944679">
        <w:rPr>
          <w:lang w:val="bg-BG"/>
        </w:rPr>
        <w:t>да установят коя практика</w:t>
      </w:r>
      <w:r w:rsidRPr="00464AD3">
        <w:rPr>
          <w:lang w:val="bg-BG"/>
        </w:rPr>
        <w:t xml:space="preserve"> тр</w:t>
      </w:r>
      <w:r w:rsidR="00944679">
        <w:rPr>
          <w:lang w:val="bg-BG"/>
        </w:rPr>
        <w:t>ябва да се счита за задължителна</w:t>
      </w:r>
      <w:r w:rsidRPr="00464AD3">
        <w:rPr>
          <w:lang w:val="bg-BG"/>
        </w:rPr>
        <w:t>, изглежда, че двата алтернативни подхода имат значител</w:t>
      </w:r>
      <w:r w:rsidR="00850B78">
        <w:rPr>
          <w:lang w:val="bg-BG"/>
        </w:rPr>
        <w:t>но въздействие</w:t>
      </w:r>
      <w:r w:rsidRPr="00464AD3">
        <w:rPr>
          <w:lang w:val="bg-BG"/>
        </w:rPr>
        <w:t xml:space="preserve"> върху правото на справедлив процес както на жертвите на автомобилни катастрофи, така и на застрахователните компании, чието право на защита при граждански иск неизбежно се оказва ограничено. </w:t>
      </w:r>
      <w:r w:rsidR="00850B78">
        <w:rPr>
          <w:lang w:val="bg-BG"/>
        </w:rPr>
        <w:t>Това</w:t>
      </w:r>
      <w:r w:rsidR="00850B78" w:rsidRPr="00464AD3">
        <w:rPr>
          <w:lang w:val="bg-BG"/>
        </w:rPr>
        <w:t xml:space="preserve"> </w:t>
      </w:r>
      <w:r w:rsidRPr="00464AD3">
        <w:rPr>
          <w:lang w:val="bg-BG"/>
        </w:rPr>
        <w:t>е въпрос за допустимостта на този вид искове, ко</w:t>
      </w:r>
      <w:r w:rsidR="00944679">
        <w:rPr>
          <w:lang w:val="bg-BG"/>
        </w:rPr>
        <w:t>й</w:t>
      </w:r>
      <w:r w:rsidRPr="00464AD3">
        <w:rPr>
          <w:lang w:val="bg-BG"/>
        </w:rPr>
        <w:t xml:space="preserve">то е от определящо значение за изхода на този вид </w:t>
      </w:r>
      <w:r w:rsidR="00944679">
        <w:rPr>
          <w:lang w:val="bg-BG"/>
        </w:rPr>
        <w:t>дела и кой</w:t>
      </w:r>
      <w:r w:rsidRPr="00464AD3">
        <w:rPr>
          <w:lang w:val="bg-BG"/>
        </w:rPr>
        <w:t>то би мог</w:t>
      </w:r>
      <w:r w:rsidR="00944679">
        <w:rPr>
          <w:lang w:val="bg-BG"/>
        </w:rPr>
        <w:t>ъл</w:t>
      </w:r>
      <w:r w:rsidRPr="00464AD3">
        <w:rPr>
          <w:lang w:val="bg-BG"/>
        </w:rPr>
        <w:t xml:space="preserve"> да засегне голям брой дела. Също така изглежда, че т</w:t>
      </w:r>
      <w:r>
        <w:rPr>
          <w:lang w:val="bg-BG"/>
        </w:rPr>
        <w:t>ова противоречие</w:t>
      </w:r>
      <w:r w:rsidRPr="00464AD3">
        <w:rPr>
          <w:lang w:val="bg-BG"/>
        </w:rPr>
        <w:t xml:space="preserve"> в съдебната практика засяга и решения на съдилища</w:t>
      </w:r>
      <w:r w:rsidR="00850B78">
        <w:rPr>
          <w:lang w:val="bg-BG"/>
        </w:rPr>
        <w:t>та от по-долна инстанция</w:t>
      </w:r>
      <w:r w:rsidRPr="00464AD3">
        <w:rPr>
          <w:lang w:val="bg-BG"/>
        </w:rPr>
        <w:t xml:space="preserve"> (вж. параграфи 9, 11, 12 и 22 по-горе). Съдът </w:t>
      </w:r>
      <w:r w:rsidR="00850B78">
        <w:rPr>
          <w:lang w:val="bg-BG"/>
        </w:rPr>
        <w:t>отбелязва също</w:t>
      </w:r>
      <w:r w:rsidRPr="00464AD3">
        <w:rPr>
          <w:lang w:val="bg-BG"/>
        </w:rPr>
        <w:t xml:space="preserve">, че не са налице достатъчно </w:t>
      </w:r>
      <w:r w:rsidR="007E50C4">
        <w:rPr>
          <w:lang w:val="bg-BG"/>
        </w:rPr>
        <w:t>доказателства</w:t>
      </w:r>
      <w:r w:rsidRPr="00464AD3">
        <w:rPr>
          <w:lang w:val="bg-BG"/>
        </w:rPr>
        <w:t xml:space="preserve"> в подкрепа на твърдението на жалбоподателите, според които това положение продължава вече тридесет години (вж. параграф 33 по-горе). В това отношение той установява, че първото съдебно решение</w:t>
      </w:r>
      <w:r w:rsidR="00944679">
        <w:rPr>
          <w:lang w:val="bg-BG"/>
        </w:rPr>
        <w:t xml:space="preserve"> в обратния смисъл</w:t>
      </w:r>
      <w:r w:rsidRPr="00464AD3">
        <w:rPr>
          <w:lang w:val="bg-BG"/>
        </w:rPr>
        <w:t xml:space="preserve"> е от 2006 г.</w:t>
      </w:r>
      <w:r w:rsidR="00944679">
        <w:rPr>
          <w:lang w:val="bg-BG"/>
        </w:rPr>
        <w:t>, че по-голям брой такива</w:t>
      </w:r>
      <w:r w:rsidRPr="00464AD3">
        <w:rPr>
          <w:lang w:val="bg-BG"/>
        </w:rPr>
        <w:t xml:space="preserve"> решения се появява</w:t>
      </w:r>
      <w:r>
        <w:rPr>
          <w:lang w:val="bg-BG"/>
        </w:rPr>
        <w:t>т</w:t>
      </w:r>
      <w:r w:rsidRPr="00464AD3">
        <w:rPr>
          <w:lang w:val="bg-BG"/>
        </w:rPr>
        <w:t xml:space="preserve"> през 2009 г. и че това положение продължава до 2010 г. (вж. параграфи 17-21 по-горе). Съдът счита, че този времеви отрязък, който сам по себе си не изглежда </w:t>
      </w:r>
      <w:r>
        <w:rPr>
          <w:lang w:val="bg-BG"/>
        </w:rPr>
        <w:t>твърде</w:t>
      </w:r>
      <w:r w:rsidRPr="00464AD3">
        <w:rPr>
          <w:lang w:val="bg-BG"/>
        </w:rPr>
        <w:t xml:space="preserve"> голям, все пак трябва да бъде оценен през призмата</w:t>
      </w:r>
      <w:r w:rsidR="00944679">
        <w:rPr>
          <w:lang w:val="bg-BG"/>
        </w:rPr>
        <w:t xml:space="preserve"> на специфичните обстоятелства по</w:t>
      </w:r>
      <w:r w:rsidRPr="00464AD3">
        <w:rPr>
          <w:lang w:val="bg-BG"/>
        </w:rPr>
        <w:t xml:space="preserve"> случая. </w:t>
      </w:r>
      <w:r w:rsidR="007E50C4">
        <w:rPr>
          <w:lang w:val="bg-BG"/>
        </w:rPr>
        <w:t>П</w:t>
      </w:r>
      <w:r w:rsidRPr="00464AD3">
        <w:rPr>
          <w:lang w:val="bg-BG"/>
        </w:rPr>
        <w:t xml:space="preserve">о-конкретно, Съдът отчита потенциално големия брой искове, подадени след автомобилни катастрофи. </w:t>
      </w:r>
      <w:r w:rsidR="007E50C4">
        <w:rPr>
          <w:lang w:val="bg-BG"/>
        </w:rPr>
        <w:t>Следователно</w:t>
      </w:r>
      <w:r w:rsidRPr="00464AD3">
        <w:rPr>
          <w:lang w:val="bg-BG"/>
        </w:rPr>
        <w:t xml:space="preserve"> Съдът счита, че са налице „дълбоки и </w:t>
      </w:r>
      <w:r>
        <w:rPr>
          <w:lang w:val="bg-BG"/>
        </w:rPr>
        <w:t>трайни противоре</w:t>
      </w:r>
      <w:r w:rsidRPr="00464AD3">
        <w:rPr>
          <w:lang w:val="bg-BG"/>
        </w:rPr>
        <w:t>чия“ при тълкуването на чл. 407, ал. 1 от Търговския закон в съдебната практика на гражданските съдилища, включително и в рамките на най-висшата българска съдебна инстанция по граждански спорове.</w:t>
      </w:r>
    </w:p>
    <w:p w:rsidR="00F54753" w:rsidRPr="00464AD3" w:rsidRDefault="00F54753" w:rsidP="00F54753">
      <w:pPr>
        <w:pStyle w:val="ECHRHeading5"/>
        <w:rPr>
          <w:lang w:val="bg-BG"/>
        </w:rPr>
      </w:pPr>
      <w:r w:rsidRPr="00464AD3">
        <w:rPr>
          <w:lang w:val="bg-BG"/>
        </w:rPr>
        <w:t>ii.  Относно наличи</w:t>
      </w:r>
      <w:r w:rsidR="000971C3">
        <w:rPr>
          <w:lang w:val="bg-BG"/>
        </w:rPr>
        <w:t>ето и употребата на механизъм в</w:t>
      </w:r>
      <w:r w:rsidRPr="00464AD3">
        <w:rPr>
          <w:lang w:val="bg-BG"/>
        </w:rPr>
        <w:t xml:space="preserve"> </w:t>
      </w:r>
      <w:r w:rsidR="0016255D">
        <w:rPr>
          <w:lang w:val="bg-BG"/>
        </w:rPr>
        <w:t>националното законодателство</w:t>
      </w:r>
      <w:r w:rsidRPr="00464AD3">
        <w:rPr>
          <w:lang w:val="bg-BG"/>
        </w:rPr>
        <w:t xml:space="preserve"> за премахване на </w:t>
      </w:r>
      <w:r>
        <w:rPr>
          <w:lang w:val="bg-BG"/>
        </w:rPr>
        <w:t>несъответствията</w:t>
      </w:r>
      <w:r w:rsidRPr="00464AD3">
        <w:rPr>
          <w:lang w:val="bg-BG"/>
        </w:rPr>
        <w:t xml:space="preserve"> в съдебната практика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44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 xml:space="preserve">.  На следващо място Съдът отбелязва, че в </w:t>
      </w:r>
      <w:r w:rsidR="002B4FC7">
        <w:rPr>
          <w:lang w:val="bg-BG"/>
        </w:rPr>
        <w:t>националното законодателство</w:t>
      </w:r>
      <w:r w:rsidRPr="00464AD3">
        <w:rPr>
          <w:lang w:val="bg-BG"/>
        </w:rPr>
        <w:t xml:space="preserve"> съществува механизъм, който може да коригира това положение, а именно предвидена</w:t>
      </w:r>
      <w:r w:rsidR="000971C3">
        <w:rPr>
          <w:lang w:val="bg-BG"/>
        </w:rPr>
        <w:t xml:space="preserve">та в чл. 292 от новия Граждански </w:t>
      </w:r>
      <w:r w:rsidRPr="00464AD3">
        <w:rPr>
          <w:lang w:val="bg-BG"/>
        </w:rPr>
        <w:t xml:space="preserve">процесуален кодекс процедура, според която висшата съдебна инстанция може да бъде сезирана от някой </w:t>
      </w:r>
      <w:r w:rsidR="000971C3">
        <w:rPr>
          <w:lang w:val="bg-BG"/>
        </w:rPr>
        <w:t xml:space="preserve">от </w:t>
      </w:r>
      <w:r w:rsidRPr="00464AD3">
        <w:rPr>
          <w:lang w:val="bg-BG"/>
        </w:rPr>
        <w:t>състави</w:t>
      </w:r>
      <w:r w:rsidR="000971C3">
        <w:rPr>
          <w:lang w:val="bg-BG"/>
        </w:rPr>
        <w:t>те си с искане</w:t>
      </w:r>
      <w:r w:rsidRPr="00464AD3">
        <w:rPr>
          <w:lang w:val="bg-BG"/>
        </w:rPr>
        <w:t xml:space="preserve"> за тълкуване на </w:t>
      </w:r>
      <w:r w:rsidR="002B4FC7">
        <w:rPr>
          <w:lang w:val="bg-BG"/>
        </w:rPr>
        <w:t>приложимите</w:t>
      </w:r>
      <w:r w:rsidR="002B4FC7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разпоредби на </w:t>
      </w:r>
      <w:r w:rsidR="002B4FC7">
        <w:rPr>
          <w:lang w:val="bg-BG"/>
        </w:rPr>
        <w:t>националното законодателство</w:t>
      </w:r>
      <w:r w:rsidRPr="00464AD3">
        <w:rPr>
          <w:lang w:val="bg-BG"/>
        </w:rPr>
        <w:t xml:space="preserve"> (вж. параграф 20 по-горе).</w:t>
      </w:r>
    </w:p>
    <w:p w:rsidR="00F54753" w:rsidRPr="00464AD3" w:rsidRDefault="00F54753" w:rsidP="002B4FC7">
      <w:pPr>
        <w:pStyle w:val="ECHRPara"/>
        <w:tabs>
          <w:tab w:val="left" w:pos="1276"/>
        </w:tabs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45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 xml:space="preserve">.  На 17 март 2010 г., при разглеждането на сходно дело, един от съдебните състави на Върховния касационен съд установява наличието на </w:t>
      </w:r>
      <w:r>
        <w:rPr>
          <w:lang w:val="bg-BG"/>
        </w:rPr>
        <w:t>противоречи</w:t>
      </w:r>
      <w:r w:rsidR="002B4FC7">
        <w:rPr>
          <w:lang w:val="bg-BG"/>
        </w:rPr>
        <w:t>ва</w:t>
      </w:r>
      <w:r w:rsidRPr="00464AD3">
        <w:rPr>
          <w:lang w:val="bg-BG"/>
        </w:rPr>
        <w:t xml:space="preserve"> съдебна практика на висшата съдебна инстанция по повод тълкуването на чл. 407, ал. 1 от Търговския закон и сезира </w:t>
      </w:r>
      <w:r w:rsidR="002B4FC7">
        <w:rPr>
          <w:lang w:val="bg-BG"/>
        </w:rPr>
        <w:t>Т</w:t>
      </w:r>
      <w:r w:rsidRPr="00464AD3">
        <w:rPr>
          <w:lang w:val="bg-BG"/>
        </w:rPr>
        <w:t xml:space="preserve">ърговската колегия на Върховния касационен съд с </w:t>
      </w:r>
      <w:r w:rsidR="002B4FC7">
        <w:rPr>
          <w:lang w:val="bg-BG"/>
        </w:rPr>
        <w:t>искане</w:t>
      </w:r>
      <w:r w:rsidR="002B4FC7" w:rsidRPr="00464AD3">
        <w:rPr>
          <w:lang w:val="bg-BG"/>
        </w:rPr>
        <w:t xml:space="preserve"> </w:t>
      </w:r>
      <w:r w:rsidRPr="00464AD3">
        <w:rPr>
          <w:lang w:val="bg-BG"/>
        </w:rPr>
        <w:t>за постановяването на тълкувателно решение (вж. параграф 21 по-горе).</w:t>
      </w:r>
      <w:r w:rsidR="000971C3">
        <w:rPr>
          <w:lang w:val="bg-BG"/>
        </w:rPr>
        <w:t xml:space="preserve"> </w:t>
      </w:r>
      <w:r w:rsidR="002B4FC7">
        <w:rPr>
          <w:lang w:val="bg-BG"/>
        </w:rPr>
        <w:t>Т</w:t>
      </w:r>
      <w:r w:rsidRPr="00464AD3">
        <w:rPr>
          <w:lang w:val="bg-BG"/>
        </w:rPr>
        <w:t xml:space="preserve">ози механизъм е задействан малко след постановяване на решението на Върховния касационен съд по случая на жалбоподателите. Вярно е, че </w:t>
      </w:r>
      <w:r>
        <w:rPr>
          <w:lang w:val="bg-BG"/>
        </w:rPr>
        <w:t>противоречието</w:t>
      </w:r>
      <w:r w:rsidRPr="00464AD3">
        <w:rPr>
          <w:lang w:val="bg-BG"/>
        </w:rPr>
        <w:t xml:space="preserve"> в случая започва да </w:t>
      </w:r>
      <w:r>
        <w:rPr>
          <w:lang w:val="bg-BG"/>
        </w:rPr>
        <w:t>се появява</w:t>
      </w:r>
      <w:r w:rsidRPr="00464AD3">
        <w:rPr>
          <w:lang w:val="bg-BG"/>
        </w:rPr>
        <w:t xml:space="preserve"> </w:t>
      </w:r>
      <w:r>
        <w:rPr>
          <w:lang w:val="bg-BG"/>
        </w:rPr>
        <w:t xml:space="preserve">още </w:t>
      </w:r>
      <w:r w:rsidRPr="00464AD3">
        <w:rPr>
          <w:lang w:val="bg-BG"/>
        </w:rPr>
        <w:t xml:space="preserve">през 2006 г., като това положение продължава и през 2009 г. </w:t>
      </w:r>
      <w:r w:rsidR="002B4FC7">
        <w:rPr>
          <w:lang w:val="bg-BG"/>
        </w:rPr>
        <w:t>Т</w:t>
      </w:r>
      <w:r w:rsidRPr="00464AD3">
        <w:rPr>
          <w:lang w:val="bg-BG"/>
        </w:rPr>
        <w:t xml:space="preserve">ози период </w:t>
      </w:r>
      <w:r w:rsidR="002B4FC7">
        <w:rPr>
          <w:lang w:val="bg-BG"/>
        </w:rPr>
        <w:t xml:space="preserve">обаче </w:t>
      </w:r>
      <w:r w:rsidRPr="00464AD3">
        <w:rPr>
          <w:lang w:val="bg-BG"/>
        </w:rPr>
        <w:t>частично съвпада с влизането в сила и първоначално</w:t>
      </w:r>
      <w:r w:rsidR="000971C3">
        <w:rPr>
          <w:lang w:val="bg-BG"/>
        </w:rPr>
        <w:t xml:space="preserve">то прилагане на новия Граждански </w:t>
      </w:r>
      <w:r w:rsidRPr="00464AD3">
        <w:rPr>
          <w:lang w:val="bg-BG"/>
        </w:rPr>
        <w:t xml:space="preserve">процесуален кодекс, с който се налагат нови правила за определяне на допустимостта и за разглеждане </w:t>
      </w:r>
      <w:r>
        <w:rPr>
          <w:lang w:val="bg-BG"/>
        </w:rPr>
        <w:t xml:space="preserve">на </w:t>
      </w:r>
      <w:r w:rsidRPr="00464AD3">
        <w:rPr>
          <w:lang w:val="bg-BG"/>
        </w:rPr>
        <w:t>касационните жалби (вж. параграфи 25-29 по-горе). В този контекст, при който Върховният касационен съд трябва да приспособи начина</w:t>
      </w:r>
      <w:r w:rsidR="002B4FC7">
        <w:rPr>
          <w:lang w:val="bg-BG"/>
        </w:rPr>
        <w:t xml:space="preserve"> си на</w:t>
      </w:r>
      <w:r w:rsidRPr="00464AD3">
        <w:rPr>
          <w:lang w:val="bg-BG"/>
        </w:rPr>
        <w:t xml:space="preserve"> работ</w:t>
      </w:r>
      <w:r w:rsidR="002B4FC7">
        <w:rPr>
          <w:lang w:val="bg-BG"/>
        </w:rPr>
        <w:t>а</w:t>
      </w:r>
      <w:r w:rsidRPr="00464AD3">
        <w:rPr>
          <w:lang w:val="bg-BG"/>
        </w:rPr>
        <w:t xml:space="preserve"> към новото процесуално законодателство (вж. по този въпрос и като пример параграф 28 по-горе), </w:t>
      </w:r>
      <w:r w:rsidR="000971C3">
        <w:rPr>
          <w:lang w:val="bg-BG"/>
        </w:rPr>
        <w:t>периодът</w:t>
      </w:r>
      <w:r w:rsidRPr="00464AD3">
        <w:rPr>
          <w:lang w:val="bg-BG"/>
        </w:rPr>
        <w:t xml:space="preserve"> между появата на въпросната </w:t>
      </w:r>
      <w:r>
        <w:rPr>
          <w:lang w:val="bg-BG"/>
        </w:rPr>
        <w:t>противоречива</w:t>
      </w:r>
      <w:r w:rsidRPr="00464AD3">
        <w:rPr>
          <w:lang w:val="bg-BG"/>
        </w:rPr>
        <w:t xml:space="preserve"> съдебна практика и момента на </w:t>
      </w:r>
      <w:r>
        <w:rPr>
          <w:lang w:val="bg-BG"/>
        </w:rPr>
        <w:t>задействане</w:t>
      </w:r>
      <w:r w:rsidRPr="00464AD3">
        <w:rPr>
          <w:lang w:val="bg-BG"/>
        </w:rPr>
        <w:t xml:space="preserve"> на вътрешния механизъм, който я преустановява, не може да се счита за прекомерно дъл</w:t>
      </w:r>
      <w:r w:rsidR="000971C3">
        <w:rPr>
          <w:lang w:val="bg-BG"/>
        </w:rPr>
        <w:t>ъг</w:t>
      </w:r>
      <w:r w:rsidRPr="00464AD3">
        <w:rPr>
          <w:lang w:val="bg-BG"/>
        </w:rPr>
        <w:t xml:space="preserve">. Освен това, за разлика от </w:t>
      </w:r>
      <w:r w:rsidRPr="00464AD3">
        <w:rPr>
          <w:i/>
          <w:lang w:val="bg-BG"/>
        </w:rPr>
        <w:t>Йордан Йорданов и други</w:t>
      </w:r>
      <w:r w:rsidRPr="00464AD3">
        <w:rPr>
          <w:lang w:val="bg-BG"/>
        </w:rPr>
        <w:t xml:space="preserve"> (цитирано по-горе, параграф 50), нито едно доказателство </w:t>
      </w:r>
      <w:r w:rsidR="000971C3">
        <w:rPr>
          <w:lang w:val="bg-BG"/>
        </w:rPr>
        <w:t>по делото</w:t>
      </w:r>
      <w:r w:rsidRPr="00464AD3">
        <w:rPr>
          <w:lang w:val="bg-BG"/>
        </w:rPr>
        <w:t xml:space="preserve"> не показва, че в периода на съществуване на въпросн</w:t>
      </w:r>
      <w:r>
        <w:rPr>
          <w:lang w:val="bg-BG"/>
        </w:rPr>
        <w:t>ото противоречие</w:t>
      </w:r>
      <w:r w:rsidR="000971C3">
        <w:rPr>
          <w:lang w:val="bg-BG"/>
        </w:rPr>
        <w:t>, едни и същи</w:t>
      </w:r>
      <w:r w:rsidRPr="00464AD3">
        <w:rPr>
          <w:lang w:val="bg-BG"/>
        </w:rPr>
        <w:t xml:space="preserve"> съдебни състави на Върховния касационен съд постановява</w:t>
      </w:r>
      <w:r>
        <w:rPr>
          <w:lang w:val="bg-BG"/>
        </w:rPr>
        <w:t>т</w:t>
      </w:r>
      <w:r w:rsidRPr="00464AD3">
        <w:rPr>
          <w:lang w:val="bg-BG"/>
        </w:rPr>
        <w:t xml:space="preserve"> противоречиви съдебни решения п</w:t>
      </w:r>
      <w:r>
        <w:rPr>
          <w:lang w:val="bg-BG"/>
        </w:rPr>
        <w:t>о</w:t>
      </w:r>
      <w:r w:rsidRPr="00464AD3">
        <w:rPr>
          <w:lang w:val="bg-BG"/>
        </w:rPr>
        <w:t xml:space="preserve"> сходни дела.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46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По време на последвал</w:t>
      </w:r>
      <w:r>
        <w:rPr>
          <w:lang w:val="bg-BG"/>
        </w:rPr>
        <w:t>ата процедура</w:t>
      </w:r>
      <w:r w:rsidRPr="00464AD3">
        <w:rPr>
          <w:lang w:val="bg-BG"/>
        </w:rPr>
        <w:t xml:space="preserve">, висшата съдебна инстанция </w:t>
      </w:r>
      <w:r w:rsidR="000971C3">
        <w:rPr>
          <w:lang w:val="bg-BG"/>
        </w:rPr>
        <w:t>спира</w:t>
      </w:r>
      <w:r w:rsidRPr="00464AD3">
        <w:rPr>
          <w:lang w:val="bg-BG"/>
        </w:rPr>
        <w:t xml:space="preserve"> разглеждането на известен брой висящи пред нея подобни съдебни дела (вж. параграф 21 по-горе).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47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 xml:space="preserve">.  На 6 юни 2012 г. Върховният касационен съд постановява тълкувателното си решение по поставения </w:t>
      </w:r>
      <w:r>
        <w:rPr>
          <w:lang w:val="bg-BG"/>
        </w:rPr>
        <w:t>му</w:t>
      </w:r>
      <w:r w:rsidRPr="00464AD3">
        <w:rPr>
          <w:lang w:val="bg-BG"/>
        </w:rPr>
        <w:t xml:space="preserve"> въпрос (вж. параграф 22 по-горе), което води до уеднаквяване на съдебната </w:t>
      </w:r>
      <w:r>
        <w:rPr>
          <w:lang w:val="bg-BG"/>
        </w:rPr>
        <w:t>му</w:t>
      </w:r>
      <w:r w:rsidRPr="00464AD3">
        <w:rPr>
          <w:lang w:val="bg-BG"/>
        </w:rPr>
        <w:t xml:space="preserve"> практика: делата, чието разглеждане е </w:t>
      </w:r>
      <w:r w:rsidR="000971C3">
        <w:rPr>
          <w:lang w:val="bg-BG"/>
        </w:rPr>
        <w:t>спряно</w:t>
      </w:r>
      <w:r w:rsidR="002B4FC7">
        <w:rPr>
          <w:lang w:val="bg-BG"/>
        </w:rPr>
        <w:t>,</w:t>
      </w:r>
      <w:r w:rsidRPr="00464AD3">
        <w:rPr>
          <w:lang w:val="bg-BG"/>
        </w:rPr>
        <w:t xml:space="preserve"> докато се чака произнасянето на тълкувателното решение, са приключени </w:t>
      </w:r>
      <w:r w:rsidR="000971C3">
        <w:rPr>
          <w:lang w:val="bg-BG"/>
        </w:rPr>
        <w:t>в съответствие с тълкувателното решение</w:t>
      </w:r>
      <w:r w:rsidRPr="00464AD3">
        <w:rPr>
          <w:lang w:val="bg-BG"/>
        </w:rPr>
        <w:t xml:space="preserve"> (вж. параграф 23 по-горе), като </w:t>
      </w:r>
      <w:r>
        <w:rPr>
          <w:lang w:val="bg-BG"/>
        </w:rPr>
        <w:t xml:space="preserve">и </w:t>
      </w:r>
      <w:r w:rsidRPr="00464AD3">
        <w:rPr>
          <w:lang w:val="bg-BG"/>
        </w:rPr>
        <w:t>впоследствие Върховният касационен съд се п</w:t>
      </w:r>
      <w:r w:rsidR="000971C3">
        <w:rPr>
          <w:lang w:val="bg-BG"/>
        </w:rPr>
        <w:t>озовава на същото това тълкуван</w:t>
      </w:r>
      <w:r w:rsidRPr="00464AD3">
        <w:rPr>
          <w:lang w:val="bg-BG"/>
        </w:rPr>
        <w:t>е на чл. 407, ал. 1 от Търговския закон при други сходни дела (вж. параграф 24 по-горе).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48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 xml:space="preserve">.  Съдът не </w:t>
      </w:r>
      <w:r>
        <w:rPr>
          <w:lang w:val="bg-BG"/>
        </w:rPr>
        <w:t>пренебрегва</w:t>
      </w:r>
      <w:r w:rsidR="000971C3">
        <w:rPr>
          <w:lang w:val="bg-BG"/>
        </w:rPr>
        <w:t xml:space="preserve"> факта, че тълкуван</w:t>
      </w:r>
      <w:r w:rsidRPr="00464AD3">
        <w:rPr>
          <w:lang w:val="bg-BG"/>
        </w:rPr>
        <w:t>ето</w:t>
      </w:r>
      <w:r w:rsidR="000971C3">
        <w:rPr>
          <w:lang w:val="bg-BG"/>
        </w:rPr>
        <w:t>, дадено от</w:t>
      </w:r>
      <w:r w:rsidRPr="00464AD3">
        <w:rPr>
          <w:lang w:val="bg-BG"/>
        </w:rPr>
        <w:t xml:space="preserve"> висшата съдебн</w:t>
      </w:r>
      <w:r w:rsidR="000971C3">
        <w:rPr>
          <w:lang w:val="bg-BG"/>
        </w:rPr>
        <w:t>а инстанция щеше да е в полза на</w:t>
      </w:r>
      <w:r w:rsidRPr="00464AD3">
        <w:rPr>
          <w:lang w:val="bg-BG"/>
        </w:rPr>
        <w:t xml:space="preserve"> жалбоподателите, ако подадената от тях касационна жалба е разгледана след 2010 г. Съдът </w:t>
      </w:r>
      <w:r w:rsidR="002B4FC7">
        <w:rPr>
          <w:lang w:val="bg-BG"/>
        </w:rPr>
        <w:t>при</w:t>
      </w:r>
      <w:r w:rsidRPr="00464AD3">
        <w:rPr>
          <w:lang w:val="bg-BG"/>
        </w:rPr>
        <w:t>помня</w:t>
      </w:r>
      <w:r w:rsidR="002B4FC7">
        <w:rPr>
          <w:lang w:val="bg-BG"/>
        </w:rPr>
        <w:t xml:space="preserve"> обаче</w:t>
      </w:r>
      <w:r w:rsidRPr="00464AD3">
        <w:rPr>
          <w:lang w:val="bg-BG"/>
        </w:rPr>
        <w:t xml:space="preserve">, че изискванията за правна сигурност и за защита на оправданите правни </w:t>
      </w:r>
      <w:r w:rsidRPr="00442A9A">
        <w:rPr>
          <w:lang w:val="bg-BG"/>
        </w:rPr>
        <w:t xml:space="preserve">очаквания </w:t>
      </w:r>
      <w:r w:rsidRPr="004B4BEB">
        <w:rPr>
          <w:lang w:val="bg-BG"/>
        </w:rPr>
        <w:t>не предоставят придобито право на по</w:t>
      </w:r>
      <w:r w:rsidRPr="00464AD3">
        <w:rPr>
          <w:lang w:val="bg-BG"/>
        </w:rPr>
        <w:t xml:space="preserve">стоянна съдебна практика (вж. параграф 39 по-горе). Освен това, трябва да се има предвид, че макар и постановените съдебни решения да са неблагоприятни за жалбоподателите, същите са надлежно мотивирани и не са произволни (вж. параграфи 12 и 14 по-горе). Ето защо Съдът не </w:t>
      </w:r>
      <w:r w:rsidR="008F1BDB">
        <w:rPr>
          <w:lang w:val="bg-BG"/>
        </w:rPr>
        <w:t>може</w:t>
      </w:r>
      <w:r w:rsidRPr="00464AD3">
        <w:rPr>
          <w:lang w:val="bg-BG"/>
        </w:rPr>
        <w:t xml:space="preserve"> да упрек</w:t>
      </w:r>
      <w:r>
        <w:rPr>
          <w:lang w:val="bg-BG"/>
        </w:rPr>
        <w:t>не</w:t>
      </w:r>
      <w:r w:rsidRPr="00464AD3">
        <w:rPr>
          <w:lang w:val="bg-BG"/>
        </w:rPr>
        <w:t xml:space="preserve"> </w:t>
      </w:r>
      <w:r w:rsidR="008F1BDB">
        <w:rPr>
          <w:lang w:val="bg-BG"/>
        </w:rPr>
        <w:t>националните</w:t>
      </w:r>
      <w:r w:rsidR="008F1BDB" w:rsidRPr="00464AD3">
        <w:rPr>
          <w:lang w:val="bg-BG"/>
        </w:rPr>
        <w:t xml:space="preserve"> </w:t>
      </w:r>
      <w:r w:rsidR="008F1BDB">
        <w:rPr>
          <w:lang w:val="bg-BG"/>
        </w:rPr>
        <w:t>съдилища</w:t>
      </w:r>
      <w:r w:rsidRPr="00464AD3">
        <w:rPr>
          <w:lang w:val="bg-BG"/>
        </w:rPr>
        <w:t>, че са постановили решения</w:t>
      </w:r>
      <w:r>
        <w:rPr>
          <w:lang w:val="bg-BG"/>
        </w:rPr>
        <w:t>та</w:t>
      </w:r>
      <w:r w:rsidRPr="00464AD3">
        <w:rPr>
          <w:lang w:val="bg-BG"/>
        </w:rPr>
        <w:t xml:space="preserve">, от </w:t>
      </w:r>
      <w:r w:rsidR="008F1BDB">
        <w:rPr>
          <w:lang w:val="bg-BG"/>
        </w:rPr>
        <w:t xml:space="preserve">които се оплакват </w:t>
      </w:r>
      <w:r w:rsidRPr="00464AD3">
        <w:rPr>
          <w:lang w:val="bg-BG"/>
        </w:rPr>
        <w:t>жалбоподателите.</w:t>
      </w:r>
    </w:p>
    <w:p w:rsidR="00F54753" w:rsidRPr="00464AD3" w:rsidRDefault="00F54753" w:rsidP="00F54753">
      <w:pPr>
        <w:pStyle w:val="ECHRHeading5"/>
        <w:rPr>
          <w:lang w:val="bg-BG"/>
        </w:rPr>
      </w:pPr>
      <w:r w:rsidRPr="00464AD3">
        <w:rPr>
          <w:lang w:val="bg-BG"/>
        </w:rPr>
        <w:t>iii.  Заключение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49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В заключение Съдът счита, че е налице „дълбок</w:t>
      </w:r>
      <w:r>
        <w:rPr>
          <w:lang w:val="bg-BG"/>
        </w:rPr>
        <w:t>о</w:t>
      </w:r>
      <w:r w:rsidRPr="00464AD3">
        <w:rPr>
          <w:lang w:val="bg-BG"/>
        </w:rPr>
        <w:t xml:space="preserve"> и </w:t>
      </w:r>
      <w:r>
        <w:rPr>
          <w:lang w:val="bg-BG"/>
        </w:rPr>
        <w:t>трайно противоречие</w:t>
      </w:r>
      <w:r w:rsidRPr="00464AD3">
        <w:rPr>
          <w:lang w:val="bg-BG"/>
        </w:rPr>
        <w:t>“ при тълкуването на чл. 407, ал. 1 от Търговския закон от страна на българския Върховен касационен съд, ко</w:t>
      </w:r>
      <w:r>
        <w:rPr>
          <w:lang w:val="bg-BG"/>
        </w:rPr>
        <w:t>е</w:t>
      </w:r>
      <w:r w:rsidRPr="00464AD3">
        <w:rPr>
          <w:lang w:val="bg-BG"/>
        </w:rPr>
        <w:t>то е засегнал</w:t>
      </w:r>
      <w:r>
        <w:rPr>
          <w:lang w:val="bg-BG"/>
        </w:rPr>
        <w:t>о</w:t>
      </w:r>
      <w:r w:rsidR="000971C3">
        <w:rPr>
          <w:lang w:val="bg-BG"/>
        </w:rPr>
        <w:t xml:space="preserve"> жалбоподателите. </w:t>
      </w:r>
      <w:r w:rsidR="00884C61">
        <w:rPr>
          <w:lang w:val="bg-BG"/>
        </w:rPr>
        <w:t>Националното законодателство</w:t>
      </w:r>
      <w:r w:rsidRPr="00464AD3">
        <w:rPr>
          <w:lang w:val="bg-BG"/>
        </w:rPr>
        <w:t xml:space="preserve"> предвижда механизъм, с който да бъде коригирано това положение, а именно предвидената в чл. 292 </w:t>
      </w:r>
      <w:r w:rsidR="000971C3">
        <w:rPr>
          <w:lang w:val="bg-BG"/>
        </w:rPr>
        <w:t xml:space="preserve">от Гражданския </w:t>
      </w:r>
      <w:r w:rsidRPr="00464AD3">
        <w:rPr>
          <w:lang w:val="bg-BG"/>
        </w:rPr>
        <w:t>процесуал</w:t>
      </w:r>
      <w:r w:rsidR="000971C3">
        <w:rPr>
          <w:lang w:val="bg-BG"/>
        </w:rPr>
        <w:t>ен</w:t>
      </w:r>
      <w:r w:rsidRPr="00464AD3">
        <w:rPr>
          <w:lang w:val="bg-BG"/>
        </w:rPr>
        <w:t xml:space="preserve"> кодекс процедура. Това средство е използвано малко след постановяването на съдебните решения в случая на жалбоподателите и в разумен срок, считано от момента, в който т</w:t>
      </w:r>
      <w:r>
        <w:rPr>
          <w:lang w:val="bg-BG"/>
        </w:rPr>
        <w:t>ова</w:t>
      </w:r>
      <w:r w:rsidRPr="00464AD3">
        <w:rPr>
          <w:lang w:val="bg-BG"/>
        </w:rPr>
        <w:t xml:space="preserve"> </w:t>
      </w:r>
      <w:r>
        <w:rPr>
          <w:lang w:val="bg-BG"/>
        </w:rPr>
        <w:t>противоречие</w:t>
      </w:r>
      <w:r w:rsidRPr="00464AD3">
        <w:rPr>
          <w:lang w:val="bg-BG"/>
        </w:rPr>
        <w:t xml:space="preserve"> </w:t>
      </w:r>
      <w:r w:rsidR="00884C61">
        <w:rPr>
          <w:lang w:val="bg-BG"/>
        </w:rPr>
        <w:t>се появява</w:t>
      </w:r>
      <w:r w:rsidRPr="00464AD3">
        <w:rPr>
          <w:lang w:val="bg-BG"/>
        </w:rPr>
        <w:t xml:space="preserve">. То води до уеднаквяване на </w:t>
      </w:r>
      <w:r w:rsidR="00884C61">
        <w:rPr>
          <w:lang w:val="bg-BG"/>
        </w:rPr>
        <w:t>националната</w:t>
      </w:r>
      <w:r w:rsidR="00884C61" w:rsidRPr="00464AD3">
        <w:rPr>
          <w:lang w:val="bg-BG"/>
        </w:rPr>
        <w:t xml:space="preserve"> </w:t>
      </w:r>
      <w:r w:rsidRPr="00464AD3">
        <w:rPr>
          <w:lang w:val="bg-BG"/>
        </w:rPr>
        <w:t xml:space="preserve">съдебна практика </w:t>
      </w:r>
      <w:r w:rsidR="000971C3">
        <w:rPr>
          <w:lang w:val="bg-BG"/>
        </w:rPr>
        <w:t>по въпроса</w:t>
      </w:r>
      <w:r w:rsidRPr="00464AD3">
        <w:rPr>
          <w:lang w:val="bg-BG"/>
        </w:rPr>
        <w:t xml:space="preserve">. В това отношение, </w:t>
      </w:r>
      <w:r>
        <w:rPr>
          <w:lang w:val="bg-BG"/>
        </w:rPr>
        <w:t>настоящ</w:t>
      </w:r>
      <w:r w:rsidR="00884C61">
        <w:rPr>
          <w:lang w:val="bg-BG"/>
        </w:rPr>
        <w:t xml:space="preserve">ият случай трябва да се разграничи от тези в </w:t>
      </w:r>
      <w:r w:rsidRPr="00464AD3">
        <w:rPr>
          <w:lang w:val="bg-BG"/>
        </w:rPr>
        <w:t xml:space="preserve"> </w:t>
      </w:r>
      <w:r w:rsidRPr="00464AD3">
        <w:rPr>
          <w:i/>
          <w:lang w:val="bg-BG"/>
        </w:rPr>
        <w:t>Йордан Йорданов и други</w:t>
      </w:r>
      <w:r w:rsidRPr="00464AD3">
        <w:rPr>
          <w:lang w:val="bg-BG"/>
        </w:rPr>
        <w:t xml:space="preserve"> (цитиран</w:t>
      </w:r>
      <w:r>
        <w:rPr>
          <w:lang w:val="bg-BG"/>
        </w:rPr>
        <w:t>о</w:t>
      </w:r>
      <w:r w:rsidRPr="00464AD3">
        <w:rPr>
          <w:lang w:val="bg-BG"/>
        </w:rPr>
        <w:t xml:space="preserve"> по-горе §§ 50-53), и </w:t>
      </w:r>
      <w:proofErr w:type="spellStart"/>
      <w:r w:rsidRPr="00464AD3">
        <w:rPr>
          <w:i/>
          <w:lang w:val="bg-BG"/>
        </w:rPr>
        <w:t>Paroisse</w:t>
      </w:r>
      <w:proofErr w:type="spellEnd"/>
      <w:r w:rsidRPr="00464AD3">
        <w:rPr>
          <w:i/>
          <w:lang w:val="bg-BG"/>
        </w:rPr>
        <w:t xml:space="preserve"> </w:t>
      </w:r>
      <w:proofErr w:type="spellStart"/>
      <w:r w:rsidRPr="00464AD3">
        <w:rPr>
          <w:i/>
          <w:lang w:val="bg-BG"/>
        </w:rPr>
        <w:t>gréco-catholique</w:t>
      </w:r>
      <w:proofErr w:type="spellEnd"/>
      <w:r w:rsidRPr="00464AD3">
        <w:rPr>
          <w:i/>
          <w:lang w:val="bg-BG"/>
        </w:rPr>
        <w:t xml:space="preserve"> </w:t>
      </w:r>
      <w:proofErr w:type="spellStart"/>
      <w:r w:rsidRPr="00464AD3">
        <w:rPr>
          <w:i/>
          <w:lang w:val="bg-BG"/>
        </w:rPr>
        <w:t>Lupeni</w:t>
      </w:r>
      <w:proofErr w:type="spellEnd"/>
      <w:r w:rsidRPr="00464AD3">
        <w:rPr>
          <w:i/>
          <w:lang w:val="bg-BG"/>
        </w:rPr>
        <w:t xml:space="preserve"> </w:t>
      </w:r>
      <w:proofErr w:type="spellStart"/>
      <w:r w:rsidRPr="00464AD3">
        <w:rPr>
          <w:i/>
          <w:lang w:val="bg-BG"/>
        </w:rPr>
        <w:t>et</w:t>
      </w:r>
      <w:proofErr w:type="spellEnd"/>
      <w:r w:rsidRPr="00464AD3">
        <w:rPr>
          <w:i/>
          <w:lang w:val="bg-BG"/>
        </w:rPr>
        <w:t xml:space="preserve"> </w:t>
      </w:r>
      <w:proofErr w:type="spellStart"/>
      <w:r w:rsidRPr="00464AD3">
        <w:rPr>
          <w:i/>
          <w:lang w:val="bg-BG"/>
        </w:rPr>
        <w:t>autres</w:t>
      </w:r>
      <w:proofErr w:type="spellEnd"/>
      <w:r w:rsidRPr="00464AD3">
        <w:rPr>
          <w:i/>
          <w:lang w:val="bg-BG"/>
        </w:rPr>
        <w:t xml:space="preserve"> </w:t>
      </w:r>
      <w:r w:rsidRPr="00464AD3">
        <w:rPr>
          <w:lang w:val="bg-BG"/>
        </w:rPr>
        <w:t>(цитиран</w:t>
      </w:r>
      <w:r>
        <w:rPr>
          <w:lang w:val="bg-BG"/>
        </w:rPr>
        <w:t>о</w:t>
      </w:r>
      <w:r w:rsidRPr="00464AD3">
        <w:rPr>
          <w:lang w:val="bg-BG"/>
        </w:rPr>
        <w:t xml:space="preserve"> по-горе §§ 129-133),</w:t>
      </w:r>
      <w:r w:rsidRPr="00464AD3">
        <w:rPr>
          <w:i/>
          <w:lang w:val="bg-BG"/>
        </w:rPr>
        <w:t xml:space="preserve"> </w:t>
      </w:r>
      <w:r w:rsidR="00884C61">
        <w:rPr>
          <w:lang w:val="bg-BG"/>
        </w:rPr>
        <w:t xml:space="preserve">където за разлика от </w:t>
      </w:r>
      <w:r w:rsidRPr="00464AD3">
        <w:rPr>
          <w:lang w:val="bg-BG"/>
        </w:rPr>
        <w:t xml:space="preserve">случилото се </w:t>
      </w:r>
      <w:r>
        <w:rPr>
          <w:lang w:val="bg-BG"/>
        </w:rPr>
        <w:t>в конкретния случай</w:t>
      </w:r>
      <w:r w:rsidRPr="00464AD3">
        <w:rPr>
          <w:lang w:val="bg-BG"/>
        </w:rPr>
        <w:t xml:space="preserve">, вътрешните механизми за разрешаването на противоречията в рамките на </w:t>
      </w:r>
      <w:r w:rsidR="00884C61">
        <w:rPr>
          <w:lang w:val="bg-BG"/>
        </w:rPr>
        <w:t>националната</w:t>
      </w:r>
      <w:r w:rsidR="00884C61" w:rsidRPr="00464AD3">
        <w:rPr>
          <w:lang w:val="bg-BG"/>
        </w:rPr>
        <w:t xml:space="preserve"> </w:t>
      </w:r>
      <w:r w:rsidRPr="00464AD3">
        <w:rPr>
          <w:lang w:val="bg-BG"/>
        </w:rPr>
        <w:t>съдебна практика, не са използвани достатъчно бързо.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50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Т</w:t>
      </w:r>
      <w:r w:rsidR="00884C61">
        <w:rPr>
          <w:lang w:val="bg-BG"/>
        </w:rPr>
        <w:t>ова е</w:t>
      </w:r>
      <w:r w:rsidRPr="00464AD3">
        <w:rPr>
          <w:lang w:val="bg-BG"/>
        </w:rPr>
        <w:t xml:space="preserve"> достатъчн</w:t>
      </w:r>
      <w:r w:rsidR="00884C61">
        <w:rPr>
          <w:lang w:val="bg-BG"/>
        </w:rPr>
        <w:t>о за</w:t>
      </w:r>
      <w:r w:rsidRPr="00464AD3">
        <w:rPr>
          <w:lang w:val="bg-BG"/>
        </w:rPr>
        <w:t xml:space="preserve"> Съда, за да заключи</w:t>
      </w:r>
      <w:r>
        <w:rPr>
          <w:lang w:val="bg-BG"/>
        </w:rPr>
        <w:t>, ч</w:t>
      </w:r>
      <w:r w:rsidRPr="00464AD3">
        <w:rPr>
          <w:lang w:val="bg-BG"/>
        </w:rPr>
        <w:t xml:space="preserve">е </w:t>
      </w:r>
      <w:r>
        <w:rPr>
          <w:lang w:val="bg-BG"/>
        </w:rPr>
        <w:t xml:space="preserve">в случая </w:t>
      </w:r>
      <w:r w:rsidRPr="00464AD3">
        <w:rPr>
          <w:lang w:val="bg-BG"/>
        </w:rPr>
        <w:t xml:space="preserve">принципът </w:t>
      </w:r>
      <w:r>
        <w:rPr>
          <w:lang w:val="bg-BG"/>
        </w:rPr>
        <w:t>з</w:t>
      </w:r>
      <w:r w:rsidRPr="00464AD3">
        <w:rPr>
          <w:lang w:val="bg-BG"/>
        </w:rPr>
        <w:t>а правна сигурност не е бил нарушен.</w:t>
      </w:r>
    </w:p>
    <w:p w:rsidR="00F54753" w:rsidRPr="00464AD3" w:rsidRDefault="00F54753" w:rsidP="00F54753">
      <w:pPr>
        <w:pStyle w:val="ECHRPara"/>
        <w:rPr>
          <w:lang w:val="bg-BG"/>
        </w:rPr>
      </w:pPr>
      <w:r w:rsidRPr="00464AD3">
        <w:rPr>
          <w:lang w:val="bg-BG"/>
        </w:rPr>
        <w:fldChar w:fldCharType="begin"/>
      </w:r>
      <w:r w:rsidRPr="00464AD3">
        <w:rPr>
          <w:lang w:val="bg-BG"/>
        </w:rPr>
        <w:instrText xml:space="preserve"> SEQ level0 \*arabic </w:instrText>
      </w:r>
      <w:r w:rsidRPr="00464AD3">
        <w:rPr>
          <w:lang w:val="bg-BG"/>
        </w:rPr>
        <w:fldChar w:fldCharType="separate"/>
      </w:r>
      <w:r w:rsidRPr="00464AD3">
        <w:rPr>
          <w:noProof/>
          <w:lang w:val="bg-BG"/>
        </w:rPr>
        <w:t>51</w:t>
      </w:r>
      <w:r w:rsidRPr="00464AD3">
        <w:rPr>
          <w:lang w:val="bg-BG"/>
        </w:rPr>
        <w:fldChar w:fldCharType="end"/>
      </w:r>
      <w:r w:rsidRPr="00464AD3">
        <w:rPr>
          <w:lang w:val="bg-BG"/>
        </w:rPr>
        <w:t>.  Ето защо не е налице нарушение на чл. 6 § 1 от Конвенцията.</w:t>
      </w:r>
    </w:p>
    <w:p w:rsidR="00F54753" w:rsidRPr="00464AD3" w:rsidRDefault="00F54753" w:rsidP="00F54753">
      <w:pPr>
        <w:pStyle w:val="ECHRTitle1"/>
        <w:rPr>
          <w:lang w:val="bg-BG"/>
        </w:rPr>
      </w:pPr>
      <w:r w:rsidRPr="00464AD3">
        <w:rPr>
          <w:lang w:val="bg-BG"/>
        </w:rPr>
        <w:t>ПО ТЕЗИ СЪОБРАЖЕНИЯ, СЪДЪТ ЕДИНОДУШНО,</w:t>
      </w:r>
    </w:p>
    <w:p w:rsidR="00F54753" w:rsidRPr="00464AD3" w:rsidRDefault="00F54753" w:rsidP="00F54753">
      <w:pPr>
        <w:pStyle w:val="JuList"/>
        <w:rPr>
          <w:lang w:val="bg-BG"/>
        </w:rPr>
      </w:pPr>
      <w:r w:rsidRPr="00464AD3">
        <w:rPr>
          <w:lang w:val="bg-BG"/>
        </w:rPr>
        <w:t>1.  </w:t>
      </w:r>
      <w:r w:rsidRPr="00464AD3">
        <w:rPr>
          <w:i/>
          <w:lang w:val="bg-BG"/>
        </w:rPr>
        <w:t>Обявява</w:t>
      </w:r>
      <w:r w:rsidRPr="00464AD3">
        <w:rPr>
          <w:lang w:val="bg-BG"/>
        </w:rPr>
        <w:t xml:space="preserve"> жалбата за допустима;</w:t>
      </w:r>
    </w:p>
    <w:p w:rsidR="00F54753" w:rsidRPr="00464AD3" w:rsidRDefault="00F54753" w:rsidP="00F54753">
      <w:pPr>
        <w:pStyle w:val="JuList"/>
        <w:rPr>
          <w:lang w:val="bg-BG"/>
        </w:rPr>
      </w:pPr>
    </w:p>
    <w:p w:rsidR="00F54753" w:rsidRPr="00464AD3" w:rsidRDefault="00F54753" w:rsidP="00F54753">
      <w:pPr>
        <w:pStyle w:val="JuList"/>
        <w:rPr>
          <w:lang w:val="bg-BG"/>
        </w:rPr>
      </w:pPr>
      <w:r w:rsidRPr="00464AD3">
        <w:rPr>
          <w:lang w:val="bg-BG"/>
        </w:rPr>
        <w:t>2.  </w:t>
      </w:r>
      <w:r w:rsidRPr="00464AD3">
        <w:rPr>
          <w:i/>
          <w:lang w:val="bg-BG"/>
        </w:rPr>
        <w:t>Приема,</w:t>
      </w:r>
      <w:r w:rsidRPr="00464AD3">
        <w:rPr>
          <w:lang w:val="bg-BG"/>
        </w:rPr>
        <w:t xml:space="preserve"> че не е налице нарушение на чл. 6 § 1 от Конвенцията.</w:t>
      </w:r>
    </w:p>
    <w:p w:rsidR="00F54753" w:rsidRPr="00464AD3" w:rsidRDefault="00F54753" w:rsidP="00F54753">
      <w:pPr>
        <w:pStyle w:val="JuParaLast"/>
        <w:suppressLineNumbers/>
        <w:rPr>
          <w:lang w:val="bg-BG"/>
        </w:rPr>
      </w:pPr>
      <w:r w:rsidRPr="00464AD3">
        <w:rPr>
          <w:lang w:val="bg-BG"/>
        </w:rPr>
        <w:t>Изготвено на френски език и оповестено писмено на 11 април 2019 г. в съответствие с правило 77 §§ 2 и 3 от Правилника на Съда.</w:t>
      </w:r>
    </w:p>
    <w:p w:rsidR="004D15F3" w:rsidRPr="00464AD3" w:rsidRDefault="002A0F8C" w:rsidP="00D46A4B">
      <w:pPr>
        <w:pStyle w:val="JuSigned"/>
        <w:rPr>
          <w:lang w:val="bg-BG"/>
        </w:rPr>
      </w:pPr>
      <w:r w:rsidRPr="00464AD3">
        <w:rPr>
          <w:lang w:val="bg-BG"/>
        </w:rPr>
        <w:tab/>
      </w:r>
      <w:proofErr w:type="spellStart"/>
      <w:r w:rsidR="003B4A42" w:rsidRPr="00464AD3">
        <w:rPr>
          <w:lang w:val="bg-BG"/>
        </w:rPr>
        <w:t>Клаудия</w:t>
      </w:r>
      <w:proofErr w:type="spellEnd"/>
      <w:r w:rsidR="003B4A42" w:rsidRPr="00464AD3">
        <w:rPr>
          <w:lang w:val="bg-BG"/>
        </w:rPr>
        <w:t xml:space="preserve"> </w:t>
      </w:r>
      <w:proofErr w:type="spellStart"/>
      <w:r w:rsidR="003B4A42" w:rsidRPr="00464AD3">
        <w:rPr>
          <w:lang w:val="bg-BG"/>
        </w:rPr>
        <w:t>Вестердик</w:t>
      </w:r>
      <w:proofErr w:type="spellEnd"/>
      <w:r w:rsidR="00E77CB3" w:rsidRPr="00464AD3">
        <w:rPr>
          <w:lang w:val="bg-BG"/>
        </w:rPr>
        <w:tab/>
      </w:r>
      <w:proofErr w:type="spellStart"/>
      <w:r w:rsidR="00976D4E" w:rsidRPr="00464AD3">
        <w:rPr>
          <w:lang w:val="bg-BG"/>
        </w:rPr>
        <w:t>Ангелика</w:t>
      </w:r>
      <w:proofErr w:type="spellEnd"/>
      <w:r w:rsidR="00976D4E" w:rsidRPr="00464AD3">
        <w:rPr>
          <w:lang w:val="bg-BG"/>
        </w:rPr>
        <w:t xml:space="preserve"> </w:t>
      </w:r>
      <w:proofErr w:type="spellStart"/>
      <w:r w:rsidR="00976D4E" w:rsidRPr="00464AD3">
        <w:rPr>
          <w:lang w:val="bg-BG"/>
        </w:rPr>
        <w:t>Нусбергер</w:t>
      </w:r>
      <w:proofErr w:type="spellEnd"/>
      <w:r w:rsidR="00E77CB3" w:rsidRPr="00464AD3">
        <w:rPr>
          <w:lang w:val="bg-BG"/>
        </w:rPr>
        <w:br/>
      </w:r>
      <w:r w:rsidR="00E77CB3" w:rsidRPr="00464AD3">
        <w:rPr>
          <w:lang w:val="bg-BG"/>
        </w:rPr>
        <w:tab/>
      </w:r>
      <w:r w:rsidR="00976D4E" w:rsidRPr="00464AD3">
        <w:rPr>
          <w:lang w:val="bg-BG"/>
        </w:rPr>
        <w:t>заместник-секретар</w:t>
      </w:r>
      <w:r w:rsidR="00E77CB3" w:rsidRPr="00464AD3">
        <w:rPr>
          <w:lang w:val="bg-BG"/>
        </w:rPr>
        <w:tab/>
      </w:r>
      <w:r w:rsidR="00884C61">
        <w:rPr>
          <w:lang w:val="bg-BG"/>
        </w:rPr>
        <w:t>п</w:t>
      </w:r>
      <w:r w:rsidR="00976D4E" w:rsidRPr="00464AD3">
        <w:rPr>
          <w:lang w:val="bg-BG"/>
        </w:rPr>
        <w:t>редседател</w:t>
      </w:r>
    </w:p>
    <w:sectPr w:rsidR="004D15F3" w:rsidRPr="00464AD3" w:rsidSect="00555FDE">
      <w:headerReference w:type="even" r:id="rId14"/>
      <w:head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80" w:rsidRPr="001C3AE1" w:rsidRDefault="000F2E80" w:rsidP="00E77CB3">
      <w:pPr>
        <w:rPr>
          <w:lang w:val="fr-FR"/>
        </w:rPr>
      </w:pPr>
      <w:r w:rsidRPr="001C3AE1">
        <w:rPr>
          <w:lang w:val="fr-FR"/>
        </w:rPr>
        <w:separator/>
      </w:r>
    </w:p>
  </w:endnote>
  <w:endnote w:type="continuationSeparator" w:id="0">
    <w:p w:rsidR="000F2E80" w:rsidRPr="001C3AE1" w:rsidRDefault="000F2E80" w:rsidP="00E77CB3">
      <w:pPr>
        <w:rPr>
          <w:lang w:val="fr-FR"/>
        </w:rPr>
      </w:pPr>
      <w:r w:rsidRPr="001C3AE1">
        <w:rPr>
          <w:lang w:val="fr-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E8" w:rsidRDefault="00CB4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E8" w:rsidRDefault="00CB4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53" w:rsidRPr="00150BFA" w:rsidRDefault="00F54753" w:rsidP="00F54753">
    <w:pPr>
      <w:jc w:val="center"/>
    </w:pPr>
    <w:r>
      <w:rPr>
        <w:noProof/>
        <w:lang w:val="en-US"/>
      </w:rPr>
      <w:drawing>
        <wp:inline distT="0" distB="0" distL="0" distR="0" wp14:anchorId="1927B563" wp14:editId="2366457F">
          <wp:extent cx="771525" cy="619125"/>
          <wp:effectExtent l="0" t="0" r="9525" b="9525"/>
          <wp:docPr id="8" name="Picture 8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753" w:rsidRDefault="00F54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80" w:rsidRPr="001C3AE1" w:rsidRDefault="000F2E80" w:rsidP="00E77CB3">
      <w:pPr>
        <w:rPr>
          <w:lang w:val="fr-FR"/>
        </w:rPr>
      </w:pPr>
      <w:r w:rsidRPr="001C3AE1">
        <w:rPr>
          <w:lang w:val="fr-FR"/>
        </w:rPr>
        <w:separator/>
      </w:r>
    </w:p>
  </w:footnote>
  <w:footnote w:type="continuationSeparator" w:id="0">
    <w:p w:rsidR="000F2E80" w:rsidRPr="001C3AE1" w:rsidRDefault="000F2E80" w:rsidP="00E77CB3">
      <w:pPr>
        <w:rPr>
          <w:lang w:val="fr-FR"/>
        </w:rPr>
      </w:pPr>
      <w:r w:rsidRPr="001C3AE1">
        <w:rPr>
          <w:lang w:val="fr-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E8" w:rsidRDefault="00CB4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53" w:rsidRPr="00555FDE" w:rsidRDefault="00F54753" w:rsidP="00555FD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53" w:rsidRPr="00A45145" w:rsidRDefault="00F54753" w:rsidP="00F54753">
    <w:pPr>
      <w:jc w:val="center"/>
    </w:pPr>
    <w:r>
      <w:rPr>
        <w:noProof/>
        <w:lang w:val="en-US"/>
      </w:rPr>
      <w:drawing>
        <wp:inline distT="0" distB="0" distL="0" distR="0" wp14:anchorId="21762B8D" wp14:editId="4D71932B">
          <wp:extent cx="2962275" cy="1219200"/>
          <wp:effectExtent l="0" t="0" r="9525" b="0"/>
          <wp:docPr id="7" name="Picture 7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753" w:rsidRDefault="00F5475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53" w:rsidRPr="00555FDE" w:rsidRDefault="00F54753" w:rsidP="00C611D8">
    <w:pPr>
      <w:pStyle w:val="ECHRHeader"/>
      <w:rPr>
        <w:lang w:val="fr-FR"/>
      </w:rPr>
    </w:pPr>
    <w:r>
      <w:rPr>
        <w:rStyle w:val="PageNumber"/>
        <w:lang w:val="en-US"/>
      </w:rPr>
      <w:fldChar w:fldCharType="begin"/>
    </w:r>
    <w:r w:rsidRPr="00555FDE">
      <w:rPr>
        <w:rStyle w:val="PageNumber"/>
        <w:lang w:val="fr-FR"/>
      </w:rPr>
      <w:instrText xml:space="preserve"> PAGE </w:instrText>
    </w:r>
    <w:r>
      <w:rPr>
        <w:rStyle w:val="PageNumber"/>
        <w:lang w:val="en-US"/>
      </w:rPr>
      <w:fldChar w:fldCharType="separate"/>
    </w:r>
    <w:r w:rsidR="00CB43E8">
      <w:rPr>
        <w:rStyle w:val="PageNumber"/>
        <w:noProof/>
        <w:lang w:val="fr-FR"/>
      </w:rPr>
      <w:t>2</w:t>
    </w:r>
    <w:r>
      <w:rPr>
        <w:rStyle w:val="PageNumber"/>
        <w:lang w:val="en-US"/>
      </w:rPr>
      <w:fldChar w:fldCharType="end"/>
    </w:r>
    <w:r w:rsidRPr="00555FDE">
      <w:rPr>
        <w:rStyle w:val="PageNumber"/>
        <w:lang w:val="fr-FR"/>
      </w:rPr>
      <w:tab/>
    </w:r>
    <w:r w:rsidR="00362756">
      <w:rPr>
        <w:noProof/>
        <w:lang w:val="bg-BG"/>
      </w:rPr>
      <w:t>РЕШЕНИЕ МАРИЙКА ПОПОВА И АСЕН ПОПОВ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53" w:rsidRPr="001C3AE1" w:rsidRDefault="00F54753" w:rsidP="00C63990">
    <w:pPr>
      <w:pStyle w:val="ECHRHeader"/>
      <w:rPr>
        <w:lang w:val="fr-FR"/>
      </w:rPr>
    </w:pPr>
    <w:r w:rsidRPr="001C3AE1">
      <w:rPr>
        <w:lang w:val="fr-FR"/>
      </w:rPr>
      <w:tab/>
    </w:r>
    <w:r>
      <w:rPr>
        <w:lang w:val="bg-BG"/>
      </w:rPr>
      <w:t>РЕШЕНИЕ МАРИЙКА ПОПОВА И АСЕН ПОПОВ срещу БЪЛГАРИЯ</w:t>
    </w:r>
    <w:r w:rsidRPr="00555FDE">
      <w:rPr>
        <w:lang w:val="fr-FR"/>
      </w:rPr>
      <w:tab/>
    </w:r>
    <w:r>
      <w:rPr>
        <w:rStyle w:val="PageNumber"/>
        <w:lang w:val="fr-FR"/>
      </w:rPr>
      <w:fldChar w:fldCharType="begin"/>
    </w:r>
    <w:r>
      <w:rPr>
        <w:rStyle w:val="PageNumber"/>
        <w:lang w:val="fr-FR"/>
      </w:rPr>
      <w:instrText xml:space="preserve"> PAGE </w:instrText>
    </w:r>
    <w:r>
      <w:rPr>
        <w:rStyle w:val="PageNumber"/>
        <w:lang w:val="fr-FR"/>
      </w:rPr>
      <w:fldChar w:fldCharType="separate"/>
    </w:r>
    <w:r w:rsidR="00CB43E8">
      <w:rPr>
        <w:rStyle w:val="PageNumber"/>
        <w:noProof/>
        <w:lang w:val="fr-FR"/>
      </w:rPr>
      <w:t>1</w:t>
    </w:r>
    <w:r>
      <w:rPr>
        <w:rStyle w:val="PageNumber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AA22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189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C430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268F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A0A7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3829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8AD3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501D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43E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EA0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8750E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063F06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8D47DE"/>
    <w:multiLevelType w:val="multilevel"/>
    <w:tmpl w:val="8012C870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5D7306C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MM" w:val="0"/>
    <w:docVar w:name="NBEMMDOC" w:val="0"/>
  </w:docVars>
  <w:rsids>
    <w:rsidRoot w:val="002A0F8C"/>
    <w:rsid w:val="0000163F"/>
    <w:rsid w:val="00001854"/>
    <w:rsid w:val="00003C76"/>
    <w:rsid w:val="000041F8"/>
    <w:rsid w:val="000042A8"/>
    <w:rsid w:val="00004308"/>
    <w:rsid w:val="00005BF0"/>
    <w:rsid w:val="000065A1"/>
    <w:rsid w:val="00007154"/>
    <w:rsid w:val="000103AE"/>
    <w:rsid w:val="00011D69"/>
    <w:rsid w:val="00012AD3"/>
    <w:rsid w:val="00013423"/>
    <w:rsid w:val="00014596"/>
    <w:rsid w:val="00015C2D"/>
    <w:rsid w:val="00015F00"/>
    <w:rsid w:val="00016811"/>
    <w:rsid w:val="00020718"/>
    <w:rsid w:val="0002195D"/>
    <w:rsid w:val="00022C1D"/>
    <w:rsid w:val="00022E3B"/>
    <w:rsid w:val="00025879"/>
    <w:rsid w:val="00026B3E"/>
    <w:rsid w:val="00027500"/>
    <w:rsid w:val="000277A4"/>
    <w:rsid w:val="00027AF4"/>
    <w:rsid w:val="0003014D"/>
    <w:rsid w:val="00031347"/>
    <w:rsid w:val="00032B55"/>
    <w:rsid w:val="0003435E"/>
    <w:rsid w:val="00034987"/>
    <w:rsid w:val="00035334"/>
    <w:rsid w:val="00043A74"/>
    <w:rsid w:val="000442C8"/>
    <w:rsid w:val="00046E13"/>
    <w:rsid w:val="00053350"/>
    <w:rsid w:val="00055C44"/>
    <w:rsid w:val="00057CC1"/>
    <w:rsid w:val="000601A1"/>
    <w:rsid w:val="000602DF"/>
    <w:rsid w:val="00060790"/>
    <w:rsid w:val="00061B05"/>
    <w:rsid w:val="00062776"/>
    <w:rsid w:val="000632D5"/>
    <w:rsid w:val="00063C50"/>
    <w:rsid w:val="000644EE"/>
    <w:rsid w:val="000658AD"/>
    <w:rsid w:val="00065B26"/>
    <w:rsid w:val="00066087"/>
    <w:rsid w:val="00066A71"/>
    <w:rsid w:val="0007069E"/>
    <w:rsid w:val="00071A31"/>
    <w:rsid w:val="0007222F"/>
    <w:rsid w:val="00075FF5"/>
    <w:rsid w:val="000800AE"/>
    <w:rsid w:val="00081309"/>
    <w:rsid w:val="00083507"/>
    <w:rsid w:val="00085467"/>
    <w:rsid w:val="00090263"/>
    <w:rsid w:val="00091458"/>
    <w:rsid w:val="000925AD"/>
    <w:rsid w:val="0009528C"/>
    <w:rsid w:val="000971C3"/>
    <w:rsid w:val="000A0AD7"/>
    <w:rsid w:val="000A0F93"/>
    <w:rsid w:val="000A1374"/>
    <w:rsid w:val="000A24EB"/>
    <w:rsid w:val="000A591E"/>
    <w:rsid w:val="000B01C4"/>
    <w:rsid w:val="000B0911"/>
    <w:rsid w:val="000B1130"/>
    <w:rsid w:val="000B4466"/>
    <w:rsid w:val="000B4778"/>
    <w:rsid w:val="000B48C7"/>
    <w:rsid w:val="000B4BDA"/>
    <w:rsid w:val="000B633D"/>
    <w:rsid w:val="000B6923"/>
    <w:rsid w:val="000B69EA"/>
    <w:rsid w:val="000B6BE5"/>
    <w:rsid w:val="000B79D0"/>
    <w:rsid w:val="000C0C84"/>
    <w:rsid w:val="000C0F9E"/>
    <w:rsid w:val="000C3C2C"/>
    <w:rsid w:val="000C5D30"/>
    <w:rsid w:val="000C5F3C"/>
    <w:rsid w:val="000C6786"/>
    <w:rsid w:val="000C6DCC"/>
    <w:rsid w:val="000C7B55"/>
    <w:rsid w:val="000D38C7"/>
    <w:rsid w:val="000D47AA"/>
    <w:rsid w:val="000D58C3"/>
    <w:rsid w:val="000D65D3"/>
    <w:rsid w:val="000D721F"/>
    <w:rsid w:val="000D795E"/>
    <w:rsid w:val="000E069B"/>
    <w:rsid w:val="000E0E82"/>
    <w:rsid w:val="000E1DC5"/>
    <w:rsid w:val="000E223F"/>
    <w:rsid w:val="000E5A6B"/>
    <w:rsid w:val="000E7B91"/>
    <w:rsid w:val="000E7D45"/>
    <w:rsid w:val="000F00EF"/>
    <w:rsid w:val="000F00F2"/>
    <w:rsid w:val="000F1D48"/>
    <w:rsid w:val="000F2814"/>
    <w:rsid w:val="000F2E80"/>
    <w:rsid w:val="000F532C"/>
    <w:rsid w:val="000F616B"/>
    <w:rsid w:val="000F7832"/>
    <w:rsid w:val="000F7851"/>
    <w:rsid w:val="00100EAF"/>
    <w:rsid w:val="00104E23"/>
    <w:rsid w:val="001061E0"/>
    <w:rsid w:val="001071CB"/>
    <w:rsid w:val="00111A58"/>
    <w:rsid w:val="00111B0C"/>
    <w:rsid w:val="0011201C"/>
    <w:rsid w:val="00116DC2"/>
    <w:rsid w:val="00117273"/>
    <w:rsid w:val="00117F48"/>
    <w:rsid w:val="00120D6C"/>
    <w:rsid w:val="001239CB"/>
    <w:rsid w:val="00125197"/>
    <w:rsid w:val="001257EC"/>
    <w:rsid w:val="00126AF8"/>
    <w:rsid w:val="00132695"/>
    <w:rsid w:val="00133D33"/>
    <w:rsid w:val="00134D64"/>
    <w:rsid w:val="00135A30"/>
    <w:rsid w:val="0013612C"/>
    <w:rsid w:val="00137FF6"/>
    <w:rsid w:val="00141650"/>
    <w:rsid w:val="00141CFC"/>
    <w:rsid w:val="0014344F"/>
    <w:rsid w:val="00147517"/>
    <w:rsid w:val="0014768A"/>
    <w:rsid w:val="001516A3"/>
    <w:rsid w:val="00151925"/>
    <w:rsid w:val="00152F2F"/>
    <w:rsid w:val="00154EFA"/>
    <w:rsid w:val="00156DF5"/>
    <w:rsid w:val="0015721B"/>
    <w:rsid w:val="00157337"/>
    <w:rsid w:val="00160A79"/>
    <w:rsid w:val="0016174F"/>
    <w:rsid w:val="001619D7"/>
    <w:rsid w:val="00162013"/>
    <w:rsid w:val="0016230E"/>
    <w:rsid w:val="0016255D"/>
    <w:rsid w:val="00162A12"/>
    <w:rsid w:val="00163CB4"/>
    <w:rsid w:val="00166530"/>
    <w:rsid w:val="00180A9B"/>
    <w:rsid w:val="00182007"/>
    <w:rsid w:val="001821C2"/>
    <w:rsid w:val="001832BD"/>
    <w:rsid w:val="00184412"/>
    <w:rsid w:val="00184D21"/>
    <w:rsid w:val="00185F2D"/>
    <w:rsid w:val="00186498"/>
    <w:rsid w:val="00190317"/>
    <w:rsid w:val="001943B5"/>
    <w:rsid w:val="00195134"/>
    <w:rsid w:val="0019598C"/>
    <w:rsid w:val="0019607A"/>
    <w:rsid w:val="00197765"/>
    <w:rsid w:val="00197D8E"/>
    <w:rsid w:val="001A003D"/>
    <w:rsid w:val="001A145B"/>
    <w:rsid w:val="001A3EF2"/>
    <w:rsid w:val="001A674C"/>
    <w:rsid w:val="001A7351"/>
    <w:rsid w:val="001A7C4F"/>
    <w:rsid w:val="001B0462"/>
    <w:rsid w:val="001B3B24"/>
    <w:rsid w:val="001B3DA2"/>
    <w:rsid w:val="001B6AA6"/>
    <w:rsid w:val="001B7851"/>
    <w:rsid w:val="001C0CEF"/>
    <w:rsid w:val="001C0F98"/>
    <w:rsid w:val="001C240D"/>
    <w:rsid w:val="001C2A42"/>
    <w:rsid w:val="001C3531"/>
    <w:rsid w:val="001C3AE1"/>
    <w:rsid w:val="001C3C79"/>
    <w:rsid w:val="001C400F"/>
    <w:rsid w:val="001C41D3"/>
    <w:rsid w:val="001C41FA"/>
    <w:rsid w:val="001C5538"/>
    <w:rsid w:val="001D2E5D"/>
    <w:rsid w:val="001D452B"/>
    <w:rsid w:val="001D61FD"/>
    <w:rsid w:val="001D63ED"/>
    <w:rsid w:val="001D6F3F"/>
    <w:rsid w:val="001D7348"/>
    <w:rsid w:val="001E035B"/>
    <w:rsid w:val="001E0961"/>
    <w:rsid w:val="001E0B6D"/>
    <w:rsid w:val="001E0F5B"/>
    <w:rsid w:val="001E1FEC"/>
    <w:rsid w:val="001E3131"/>
    <w:rsid w:val="001E3EAE"/>
    <w:rsid w:val="001E49E3"/>
    <w:rsid w:val="001E6F32"/>
    <w:rsid w:val="001F2145"/>
    <w:rsid w:val="001F2DA1"/>
    <w:rsid w:val="001F4E43"/>
    <w:rsid w:val="001F6262"/>
    <w:rsid w:val="001F67B0"/>
    <w:rsid w:val="001F6F11"/>
    <w:rsid w:val="001F7B3D"/>
    <w:rsid w:val="00201F0F"/>
    <w:rsid w:val="00203C80"/>
    <w:rsid w:val="00205F9F"/>
    <w:rsid w:val="002062E7"/>
    <w:rsid w:val="00210326"/>
    <w:rsid w:val="00210338"/>
    <w:rsid w:val="002115FC"/>
    <w:rsid w:val="00213A89"/>
    <w:rsid w:val="0021423C"/>
    <w:rsid w:val="00217772"/>
    <w:rsid w:val="002179F7"/>
    <w:rsid w:val="00217B29"/>
    <w:rsid w:val="00220C49"/>
    <w:rsid w:val="002252BD"/>
    <w:rsid w:val="00225E62"/>
    <w:rsid w:val="0022692C"/>
    <w:rsid w:val="00230D00"/>
    <w:rsid w:val="00231030"/>
    <w:rsid w:val="00231356"/>
    <w:rsid w:val="00231DF7"/>
    <w:rsid w:val="00231FD1"/>
    <w:rsid w:val="00233897"/>
    <w:rsid w:val="002339E0"/>
    <w:rsid w:val="00233CF8"/>
    <w:rsid w:val="0023465A"/>
    <w:rsid w:val="00234D29"/>
    <w:rsid w:val="0023575D"/>
    <w:rsid w:val="00235C39"/>
    <w:rsid w:val="0023681C"/>
    <w:rsid w:val="00237148"/>
    <w:rsid w:val="00240B76"/>
    <w:rsid w:val="0024222D"/>
    <w:rsid w:val="00242237"/>
    <w:rsid w:val="00242290"/>
    <w:rsid w:val="00243432"/>
    <w:rsid w:val="00244B0E"/>
    <w:rsid w:val="00244F6C"/>
    <w:rsid w:val="00245764"/>
    <w:rsid w:val="00246ABB"/>
    <w:rsid w:val="00246F79"/>
    <w:rsid w:val="0024729E"/>
    <w:rsid w:val="00251434"/>
    <w:rsid w:val="002532C5"/>
    <w:rsid w:val="002541B3"/>
    <w:rsid w:val="00254C8C"/>
    <w:rsid w:val="0025604D"/>
    <w:rsid w:val="00257D0C"/>
    <w:rsid w:val="00260C03"/>
    <w:rsid w:val="00263BFC"/>
    <w:rsid w:val="002646A6"/>
    <w:rsid w:val="0026540E"/>
    <w:rsid w:val="00272802"/>
    <w:rsid w:val="00272F82"/>
    <w:rsid w:val="00274610"/>
    <w:rsid w:val="00275123"/>
    <w:rsid w:val="00275F77"/>
    <w:rsid w:val="00281052"/>
    <w:rsid w:val="002818E9"/>
    <w:rsid w:val="00281C74"/>
    <w:rsid w:val="00282240"/>
    <w:rsid w:val="00283A25"/>
    <w:rsid w:val="0028438A"/>
    <w:rsid w:val="002849E9"/>
    <w:rsid w:val="002868D8"/>
    <w:rsid w:val="002874CC"/>
    <w:rsid w:val="00291379"/>
    <w:rsid w:val="00294187"/>
    <w:rsid w:val="002942BD"/>
    <w:rsid w:val="002948AD"/>
    <w:rsid w:val="002950E7"/>
    <w:rsid w:val="00295D1C"/>
    <w:rsid w:val="002A01CC"/>
    <w:rsid w:val="002A043F"/>
    <w:rsid w:val="002A0F8C"/>
    <w:rsid w:val="002A1C4A"/>
    <w:rsid w:val="002A4D5E"/>
    <w:rsid w:val="002A4DC0"/>
    <w:rsid w:val="002A61B1"/>
    <w:rsid w:val="002A663C"/>
    <w:rsid w:val="002A75B5"/>
    <w:rsid w:val="002A7953"/>
    <w:rsid w:val="002B444B"/>
    <w:rsid w:val="002B450F"/>
    <w:rsid w:val="002B4FC7"/>
    <w:rsid w:val="002B5887"/>
    <w:rsid w:val="002C0E27"/>
    <w:rsid w:val="002C1684"/>
    <w:rsid w:val="002C1E83"/>
    <w:rsid w:val="002C22DC"/>
    <w:rsid w:val="002C2617"/>
    <w:rsid w:val="002C3040"/>
    <w:rsid w:val="002C41E7"/>
    <w:rsid w:val="002C6209"/>
    <w:rsid w:val="002D022D"/>
    <w:rsid w:val="002D037B"/>
    <w:rsid w:val="002D23B6"/>
    <w:rsid w:val="002D24BB"/>
    <w:rsid w:val="002D27D1"/>
    <w:rsid w:val="002D29A8"/>
    <w:rsid w:val="002D3F33"/>
    <w:rsid w:val="002D3FD1"/>
    <w:rsid w:val="002D767A"/>
    <w:rsid w:val="002D7845"/>
    <w:rsid w:val="002D7A90"/>
    <w:rsid w:val="002E02CB"/>
    <w:rsid w:val="002E0C87"/>
    <w:rsid w:val="002E177C"/>
    <w:rsid w:val="002E22F6"/>
    <w:rsid w:val="002E2461"/>
    <w:rsid w:val="002E3DAB"/>
    <w:rsid w:val="002E3FBB"/>
    <w:rsid w:val="002E5F8A"/>
    <w:rsid w:val="002F0972"/>
    <w:rsid w:val="002F2AF7"/>
    <w:rsid w:val="002F7E1C"/>
    <w:rsid w:val="00301A75"/>
    <w:rsid w:val="00302F70"/>
    <w:rsid w:val="0030336F"/>
    <w:rsid w:val="0030375E"/>
    <w:rsid w:val="00303834"/>
    <w:rsid w:val="00303F5B"/>
    <w:rsid w:val="0030766D"/>
    <w:rsid w:val="00307B97"/>
    <w:rsid w:val="00310526"/>
    <w:rsid w:val="00312A30"/>
    <w:rsid w:val="00312FAA"/>
    <w:rsid w:val="003149CF"/>
    <w:rsid w:val="003175BA"/>
    <w:rsid w:val="00320F72"/>
    <w:rsid w:val="00321515"/>
    <w:rsid w:val="0032174C"/>
    <w:rsid w:val="003224E5"/>
    <w:rsid w:val="0032463E"/>
    <w:rsid w:val="003252F0"/>
    <w:rsid w:val="00326224"/>
    <w:rsid w:val="00331FC3"/>
    <w:rsid w:val="003375F3"/>
    <w:rsid w:val="0033764E"/>
    <w:rsid w:val="00337EE4"/>
    <w:rsid w:val="0034041E"/>
    <w:rsid w:val="00340FFD"/>
    <w:rsid w:val="00342A0B"/>
    <w:rsid w:val="00344E71"/>
    <w:rsid w:val="00347339"/>
    <w:rsid w:val="003506B1"/>
    <w:rsid w:val="00351592"/>
    <w:rsid w:val="003539E1"/>
    <w:rsid w:val="00354F8C"/>
    <w:rsid w:val="00356AC7"/>
    <w:rsid w:val="0035745E"/>
    <w:rsid w:val="00360179"/>
    <w:rsid w:val="003609FA"/>
    <w:rsid w:val="00362689"/>
    <w:rsid w:val="00362756"/>
    <w:rsid w:val="003632BE"/>
    <w:rsid w:val="00365DFF"/>
    <w:rsid w:val="003675F2"/>
    <w:rsid w:val="00370063"/>
    <w:rsid w:val="00370EDF"/>
    <w:rsid w:val="003710C8"/>
    <w:rsid w:val="003728D8"/>
    <w:rsid w:val="003750BE"/>
    <w:rsid w:val="00375423"/>
    <w:rsid w:val="003805A9"/>
    <w:rsid w:val="00384BD1"/>
    <w:rsid w:val="00384D70"/>
    <w:rsid w:val="00386AA5"/>
    <w:rsid w:val="00387B9D"/>
    <w:rsid w:val="00390D39"/>
    <w:rsid w:val="0039364F"/>
    <w:rsid w:val="0039498D"/>
    <w:rsid w:val="00394AFF"/>
    <w:rsid w:val="00396106"/>
    <w:rsid w:val="0039645D"/>
    <w:rsid w:val="00396686"/>
    <w:rsid w:val="0039778E"/>
    <w:rsid w:val="003A24AA"/>
    <w:rsid w:val="003A55C8"/>
    <w:rsid w:val="003A63D4"/>
    <w:rsid w:val="003A6CBB"/>
    <w:rsid w:val="003B1359"/>
    <w:rsid w:val="003B1CD0"/>
    <w:rsid w:val="003B257F"/>
    <w:rsid w:val="003B2814"/>
    <w:rsid w:val="003B4941"/>
    <w:rsid w:val="003B4A42"/>
    <w:rsid w:val="003B50F8"/>
    <w:rsid w:val="003C155B"/>
    <w:rsid w:val="003C1C5B"/>
    <w:rsid w:val="003C1E58"/>
    <w:rsid w:val="003C1FFB"/>
    <w:rsid w:val="003C5714"/>
    <w:rsid w:val="003C5EBC"/>
    <w:rsid w:val="003C6552"/>
    <w:rsid w:val="003C6B9F"/>
    <w:rsid w:val="003C6E2A"/>
    <w:rsid w:val="003D0299"/>
    <w:rsid w:val="003D05D8"/>
    <w:rsid w:val="003D33FB"/>
    <w:rsid w:val="003E0568"/>
    <w:rsid w:val="003E119F"/>
    <w:rsid w:val="003E1649"/>
    <w:rsid w:val="003E5362"/>
    <w:rsid w:val="003E6D80"/>
    <w:rsid w:val="003F05FA"/>
    <w:rsid w:val="003F244A"/>
    <w:rsid w:val="003F2D7F"/>
    <w:rsid w:val="003F2F0A"/>
    <w:rsid w:val="003F30B8"/>
    <w:rsid w:val="003F4C23"/>
    <w:rsid w:val="003F4C45"/>
    <w:rsid w:val="003F5A86"/>
    <w:rsid w:val="003F5F7B"/>
    <w:rsid w:val="003F73F3"/>
    <w:rsid w:val="003F78B2"/>
    <w:rsid w:val="003F7D64"/>
    <w:rsid w:val="00400EAB"/>
    <w:rsid w:val="00402135"/>
    <w:rsid w:val="00403306"/>
    <w:rsid w:val="004046BA"/>
    <w:rsid w:val="004059B9"/>
    <w:rsid w:val="00406DE6"/>
    <w:rsid w:val="00412313"/>
    <w:rsid w:val="00412521"/>
    <w:rsid w:val="00413235"/>
    <w:rsid w:val="00414300"/>
    <w:rsid w:val="004147EA"/>
    <w:rsid w:val="00415264"/>
    <w:rsid w:val="004169F1"/>
    <w:rsid w:val="00423F1B"/>
    <w:rsid w:val="004259AC"/>
    <w:rsid w:val="00425C67"/>
    <w:rsid w:val="00426E07"/>
    <w:rsid w:val="00427E7A"/>
    <w:rsid w:val="004303D2"/>
    <w:rsid w:val="00431BBC"/>
    <w:rsid w:val="0043231C"/>
    <w:rsid w:val="00434A4E"/>
    <w:rsid w:val="00434EC4"/>
    <w:rsid w:val="00436217"/>
    <w:rsid w:val="00436BC1"/>
    <w:rsid w:val="00436C49"/>
    <w:rsid w:val="00441BF1"/>
    <w:rsid w:val="00441D8D"/>
    <w:rsid w:val="00442A9A"/>
    <w:rsid w:val="00445366"/>
    <w:rsid w:val="004465B0"/>
    <w:rsid w:val="00447F5B"/>
    <w:rsid w:val="0045067D"/>
    <w:rsid w:val="00456C63"/>
    <w:rsid w:val="00461DB0"/>
    <w:rsid w:val="00463794"/>
    <w:rsid w:val="00463926"/>
    <w:rsid w:val="00464A5A"/>
    <w:rsid w:val="00464AD3"/>
    <w:rsid w:val="00464C9A"/>
    <w:rsid w:val="00471870"/>
    <w:rsid w:val="00472883"/>
    <w:rsid w:val="00472F3B"/>
    <w:rsid w:val="004734D5"/>
    <w:rsid w:val="004735BB"/>
    <w:rsid w:val="004741F5"/>
    <w:rsid w:val="00474239"/>
    <w:rsid w:val="00474C79"/>
    <w:rsid w:val="00474F3D"/>
    <w:rsid w:val="004763E8"/>
    <w:rsid w:val="00477E3A"/>
    <w:rsid w:val="00483716"/>
    <w:rsid w:val="00483E5F"/>
    <w:rsid w:val="004849A5"/>
    <w:rsid w:val="004853E9"/>
    <w:rsid w:val="00485FF9"/>
    <w:rsid w:val="00490771"/>
    <w:rsid w:val="004907F0"/>
    <w:rsid w:val="00491201"/>
    <w:rsid w:val="0049140B"/>
    <w:rsid w:val="0049205F"/>
    <w:rsid w:val="004923A5"/>
    <w:rsid w:val="0049386C"/>
    <w:rsid w:val="00496BFB"/>
    <w:rsid w:val="004A08A2"/>
    <w:rsid w:val="004A15C7"/>
    <w:rsid w:val="004A3B84"/>
    <w:rsid w:val="004A4E35"/>
    <w:rsid w:val="004A6EA3"/>
    <w:rsid w:val="004B013B"/>
    <w:rsid w:val="004B112B"/>
    <w:rsid w:val="004B4BEB"/>
    <w:rsid w:val="004B5BDF"/>
    <w:rsid w:val="004B702D"/>
    <w:rsid w:val="004C01E4"/>
    <w:rsid w:val="004C086C"/>
    <w:rsid w:val="004C1F56"/>
    <w:rsid w:val="004C27BC"/>
    <w:rsid w:val="004C2E01"/>
    <w:rsid w:val="004C36A0"/>
    <w:rsid w:val="004C44CB"/>
    <w:rsid w:val="004C4698"/>
    <w:rsid w:val="004C4C36"/>
    <w:rsid w:val="004C5BC3"/>
    <w:rsid w:val="004C636D"/>
    <w:rsid w:val="004C6559"/>
    <w:rsid w:val="004C6A3D"/>
    <w:rsid w:val="004C7386"/>
    <w:rsid w:val="004D13CC"/>
    <w:rsid w:val="004D15F3"/>
    <w:rsid w:val="004D175B"/>
    <w:rsid w:val="004D5287"/>
    <w:rsid w:val="004D5311"/>
    <w:rsid w:val="004D5DCC"/>
    <w:rsid w:val="004D6C6A"/>
    <w:rsid w:val="004E1396"/>
    <w:rsid w:val="004E1738"/>
    <w:rsid w:val="004E1E70"/>
    <w:rsid w:val="004E2516"/>
    <w:rsid w:val="004E72F7"/>
    <w:rsid w:val="004E7929"/>
    <w:rsid w:val="004E7C7C"/>
    <w:rsid w:val="004F10AF"/>
    <w:rsid w:val="004F11A4"/>
    <w:rsid w:val="004F19A0"/>
    <w:rsid w:val="004F1C7C"/>
    <w:rsid w:val="004F2389"/>
    <w:rsid w:val="004F2979"/>
    <w:rsid w:val="004F304D"/>
    <w:rsid w:val="004F3ECF"/>
    <w:rsid w:val="004F61BE"/>
    <w:rsid w:val="004F65CB"/>
    <w:rsid w:val="004F66B1"/>
    <w:rsid w:val="004F6999"/>
    <w:rsid w:val="004F713A"/>
    <w:rsid w:val="004F798D"/>
    <w:rsid w:val="00500F35"/>
    <w:rsid w:val="00501496"/>
    <w:rsid w:val="005029CE"/>
    <w:rsid w:val="005058A5"/>
    <w:rsid w:val="00511AEC"/>
    <w:rsid w:val="00511C07"/>
    <w:rsid w:val="00513E4B"/>
    <w:rsid w:val="00514B4A"/>
    <w:rsid w:val="00516630"/>
    <w:rsid w:val="005173A6"/>
    <w:rsid w:val="00520BAA"/>
    <w:rsid w:val="00521E87"/>
    <w:rsid w:val="00523452"/>
    <w:rsid w:val="00525208"/>
    <w:rsid w:val="0052560F"/>
    <w:rsid w:val="005257A5"/>
    <w:rsid w:val="005259A0"/>
    <w:rsid w:val="005264C0"/>
    <w:rsid w:val="005266D9"/>
    <w:rsid w:val="00526A8A"/>
    <w:rsid w:val="00531DF2"/>
    <w:rsid w:val="00532EC4"/>
    <w:rsid w:val="0053441C"/>
    <w:rsid w:val="00542E49"/>
    <w:rsid w:val="005442EE"/>
    <w:rsid w:val="00545C17"/>
    <w:rsid w:val="00545D68"/>
    <w:rsid w:val="00545EC9"/>
    <w:rsid w:val="00547353"/>
    <w:rsid w:val="005474E7"/>
    <w:rsid w:val="005475AA"/>
    <w:rsid w:val="00547A39"/>
    <w:rsid w:val="00550FDF"/>
    <w:rsid w:val="005512A3"/>
    <w:rsid w:val="00553181"/>
    <w:rsid w:val="00553DE5"/>
    <w:rsid w:val="00553E3F"/>
    <w:rsid w:val="00555FDE"/>
    <w:rsid w:val="0055641C"/>
    <w:rsid w:val="005578CE"/>
    <w:rsid w:val="00561875"/>
    <w:rsid w:val="00562781"/>
    <w:rsid w:val="00562AB0"/>
    <w:rsid w:val="00566E67"/>
    <w:rsid w:val="005672C0"/>
    <w:rsid w:val="00567387"/>
    <w:rsid w:val="005719FA"/>
    <w:rsid w:val="00571A4D"/>
    <w:rsid w:val="0057271C"/>
    <w:rsid w:val="00572845"/>
    <w:rsid w:val="00574C83"/>
    <w:rsid w:val="0058146C"/>
    <w:rsid w:val="00582501"/>
    <w:rsid w:val="00582993"/>
    <w:rsid w:val="00582CF3"/>
    <w:rsid w:val="00583FC5"/>
    <w:rsid w:val="0058589A"/>
    <w:rsid w:val="00590A68"/>
    <w:rsid w:val="005912CC"/>
    <w:rsid w:val="005913AA"/>
    <w:rsid w:val="00592772"/>
    <w:rsid w:val="005954AF"/>
    <w:rsid w:val="0059574A"/>
    <w:rsid w:val="00596468"/>
    <w:rsid w:val="00596B49"/>
    <w:rsid w:val="00597689"/>
    <w:rsid w:val="005A02CB"/>
    <w:rsid w:val="005A0D22"/>
    <w:rsid w:val="005A1B9B"/>
    <w:rsid w:val="005A5A29"/>
    <w:rsid w:val="005A6751"/>
    <w:rsid w:val="005A770B"/>
    <w:rsid w:val="005A7A9F"/>
    <w:rsid w:val="005B092E"/>
    <w:rsid w:val="005B152C"/>
    <w:rsid w:val="005B181D"/>
    <w:rsid w:val="005B1EE0"/>
    <w:rsid w:val="005B2B24"/>
    <w:rsid w:val="005B3156"/>
    <w:rsid w:val="005B4425"/>
    <w:rsid w:val="005B4B94"/>
    <w:rsid w:val="005B52DA"/>
    <w:rsid w:val="005B534C"/>
    <w:rsid w:val="005B6636"/>
    <w:rsid w:val="005C1483"/>
    <w:rsid w:val="005C1BC1"/>
    <w:rsid w:val="005C3EE8"/>
    <w:rsid w:val="005C41CA"/>
    <w:rsid w:val="005C442E"/>
    <w:rsid w:val="005D1CFE"/>
    <w:rsid w:val="005D34F9"/>
    <w:rsid w:val="005D4190"/>
    <w:rsid w:val="005D5549"/>
    <w:rsid w:val="005D67A3"/>
    <w:rsid w:val="005E08B5"/>
    <w:rsid w:val="005E162F"/>
    <w:rsid w:val="005E2988"/>
    <w:rsid w:val="005E2DC5"/>
    <w:rsid w:val="005E3085"/>
    <w:rsid w:val="005E3331"/>
    <w:rsid w:val="005E3412"/>
    <w:rsid w:val="005E37C6"/>
    <w:rsid w:val="005F0356"/>
    <w:rsid w:val="005F42D7"/>
    <w:rsid w:val="005F4B71"/>
    <w:rsid w:val="005F51E1"/>
    <w:rsid w:val="005F51F8"/>
    <w:rsid w:val="005F6D5F"/>
    <w:rsid w:val="006009B1"/>
    <w:rsid w:val="00600C5F"/>
    <w:rsid w:val="00601373"/>
    <w:rsid w:val="00602733"/>
    <w:rsid w:val="006050DB"/>
    <w:rsid w:val="00610845"/>
    <w:rsid w:val="00611140"/>
    <w:rsid w:val="0061183D"/>
    <w:rsid w:val="00611BCD"/>
    <w:rsid w:val="00611C80"/>
    <w:rsid w:val="006137E4"/>
    <w:rsid w:val="00613BB9"/>
    <w:rsid w:val="00614542"/>
    <w:rsid w:val="00616275"/>
    <w:rsid w:val="00617E0D"/>
    <w:rsid w:val="00620692"/>
    <w:rsid w:val="006233AA"/>
    <w:rsid w:val="00623E7B"/>
    <w:rsid w:val="006242CA"/>
    <w:rsid w:val="00625E26"/>
    <w:rsid w:val="0062613D"/>
    <w:rsid w:val="006263F3"/>
    <w:rsid w:val="00627507"/>
    <w:rsid w:val="00633717"/>
    <w:rsid w:val="006344E1"/>
    <w:rsid w:val="00635BEC"/>
    <w:rsid w:val="0063652F"/>
    <w:rsid w:val="00637445"/>
    <w:rsid w:val="00640D3B"/>
    <w:rsid w:val="006411B6"/>
    <w:rsid w:val="00646454"/>
    <w:rsid w:val="006519B5"/>
    <w:rsid w:val="0065298D"/>
    <w:rsid w:val="00652D27"/>
    <w:rsid w:val="00653417"/>
    <w:rsid w:val="006545C4"/>
    <w:rsid w:val="0065562D"/>
    <w:rsid w:val="0066157F"/>
    <w:rsid w:val="00661971"/>
    <w:rsid w:val="00661CE8"/>
    <w:rsid w:val="0066222A"/>
    <w:rsid w:val="006623D9"/>
    <w:rsid w:val="00664CCC"/>
    <w:rsid w:val="0066550C"/>
    <w:rsid w:val="006657E3"/>
    <w:rsid w:val="0066587B"/>
    <w:rsid w:val="00667B26"/>
    <w:rsid w:val="00667EFE"/>
    <w:rsid w:val="006713DF"/>
    <w:rsid w:val="006716F2"/>
    <w:rsid w:val="00675393"/>
    <w:rsid w:val="00682BF2"/>
    <w:rsid w:val="006848F0"/>
    <w:rsid w:val="006859CE"/>
    <w:rsid w:val="00691270"/>
    <w:rsid w:val="00694A2E"/>
    <w:rsid w:val="00694BA8"/>
    <w:rsid w:val="00696858"/>
    <w:rsid w:val="0069687A"/>
    <w:rsid w:val="0069792B"/>
    <w:rsid w:val="006A021B"/>
    <w:rsid w:val="006A037C"/>
    <w:rsid w:val="006A0E9D"/>
    <w:rsid w:val="006A14EA"/>
    <w:rsid w:val="006A2878"/>
    <w:rsid w:val="006A36F4"/>
    <w:rsid w:val="006A3850"/>
    <w:rsid w:val="006A406F"/>
    <w:rsid w:val="006A44EB"/>
    <w:rsid w:val="006A477D"/>
    <w:rsid w:val="006A527B"/>
    <w:rsid w:val="006A5D3A"/>
    <w:rsid w:val="006A7DBE"/>
    <w:rsid w:val="006B26FD"/>
    <w:rsid w:val="006B355B"/>
    <w:rsid w:val="006B5356"/>
    <w:rsid w:val="006B542E"/>
    <w:rsid w:val="006B7976"/>
    <w:rsid w:val="006C01DC"/>
    <w:rsid w:val="006C1925"/>
    <w:rsid w:val="006C1BCB"/>
    <w:rsid w:val="006C23D4"/>
    <w:rsid w:val="006C2EDA"/>
    <w:rsid w:val="006C4C9E"/>
    <w:rsid w:val="006C4D5A"/>
    <w:rsid w:val="006C64BE"/>
    <w:rsid w:val="006C7BB0"/>
    <w:rsid w:val="006D0C6D"/>
    <w:rsid w:val="006D1596"/>
    <w:rsid w:val="006D1854"/>
    <w:rsid w:val="006D3237"/>
    <w:rsid w:val="006D3362"/>
    <w:rsid w:val="006D3E29"/>
    <w:rsid w:val="006D640A"/>
    <w:rsid w:val="006D6976"/>
    <w:rsid w:val="006E2E37"/>
    <w:rsid w:val="006E3CF1"/>
    <w:rsid w:val="006E3D14"/>
    <w:rsid w:val="006E4312"/>
    <w:rsid w:val="006E473E"/>
    <w:rsid w:val="006E57C2"/>
    <w:rsid w:val="006E6219"/>
    <w:rsid w:val="006E7E80"/>
    <w:rsid w:val="006F00B9"/>
    <w:rsid w:val="006F1236"/>
    <w:rsid w:val="006F189F"/>
    <w:rsid w:val="006F48CA"/>
    <w:rsid w:val="006F64DD"/>
    <w:rsid w:val="00700139"/>
    <w:rsid w:val="00700E45"/>
    <w:rsid w:val="00702804"/>
    <w:rsid w:val="00704DC6"/>
    <w:rsid w:val="00707345"/>
    <w:rsid w:val="00711B9F"/>
    <w:rsid w:val="00715127"/>
    <w:rsid w:val="0071567C"/>
    <w:rsid w:val="00715E8E"/>
    <w:rsid w:val="00716454"/>
    <w:rsid w:val="00720EF8"/>
    <w:rsid w:val="007219A6"/>
    <w:rsid w:val="00723580"/>
    <w:rsid w:val="0072371F"/>
    <w:rsid w:val="00723755"/>
    <w:rsid w:val="00723CB3"/>
    <w:rsid w:val="00725FF6"/>
    <w:rsid w:val="007270F5"/>
    <w:rsid w:val="00730466"/>
    <w:rsid w:val="0073136C"/>
    <w:rsid w:val="00731F0F"/>
    <w:rsid w:val="00732B4E"/>
    <w:rsid w:val="00733250"/>
    <w:rsid w:val="00740490"/>
    <w:rsid w:val="00741404"/>
    <w:rsid w:val="00743216"/>
    <w:rsid w:val="007449E5"/>
    <w:rsid w:val="00744D02"/>
    <w:rsid w:val="00744ED9"/>
    <w:rsid w:val="00747196"/>
    <w:rsid w:val="00747D8A"/>
    <w:rsid w:val="00747FF0"/>
    <w:rsid w:val="007513B3"/>
    <w:rsid w:val="00751D32"/>
    <w:rsid w:val="00753D31"/>
    <w:rsid w:val="007647CB"/>
    <w:rsid w:val="00764D4E"/>
    <w:rsid w:val="007657BC"/>
    <w:rsid w:val="00765A1F"/>
    <w:rsid w:val="00770AFB"/>
    <w:rsid w:val="007723BD"/>
    <w:rsid w:val="00772691"/>
    <w:rsid w:val="007732D0"/>
    <w:rsid w:val="00775B6D"/>
    <w:rsid w:val="00776BDB"/>
    <w:rsid w:val="00776D68"/>
    <w:rsid w:val="00777FDB"/>
    <w:rsid w:val="0078098A"/>
    <w:rsid w:val="00781EEF"/>
    <w:rsid w:val="00782FCD"/>
    <w:rsid w:val="00783192"/>
    <w:rsid w:val="007850EE"/>
    <w:rsid w:val="00785B95"/>
    <w:rsid w:val="00786340"/>
    <w:rsid w:val="00790E96"/>
    <w:rsid w:val="00791D7C"/>
    <w:rsid w:val="00792BB5"/>
    <w:rsid w:val="00792D25"/>
    <w:rsid w:val="007930B6"/>
    <w:rsid w:val="00793366"/>
    <w:rsid w:val="007933E6"/>
    <w:rsid w:val="007952DA"/>
    <w:rsid w:val="007A0725"/>
    <w:rsid w:val="007A2AAF"/>
    <w:rsid w:val="007A53BB"/>
    <w:rsid w:val="007A716F"/>
    <w:rsid w:val="007A74E9"/>
    <w:rsid w:val="007B0397"/>
    <w:rsid w:val="007B0889"/>
    <w:rsid w:val="007B20A7"/>
    <w:rsid w:val="007B270A"/>
    <w:rsid w:val="007B4B56"/>
    <w:rsid w:val="007B51FB"/>
    <w:rsid w:val="007C0695"/>
    <w:rsid w:val="007C1C7F"/>
    <w:rsid w:val="007C3CF7"/>
    <w:rsid w:val="007C419A"/>
    <w:rsid w:val="007C4CC8"/>
    <w:rsid w:val="007C5300"/>
    <w:rsid w:val="007C5426"/>
    <w:rsid w:val="007C5798"/>
    <w:rsid w:val="007C665F"/>
    <w:rsid w:val="007D00F3"/>
    <w:rsid w:val="007D4832"/>
    <w:rsid w:val="007E0A7A"/>
    <w:rsid w:val="007E10C1"/>
    <w:rsid w:val="007E20B1"/>
    <w:rsid w:val="007E21B2"/>
    <w:rsid w:val="007E2C4E"/>
    <w:rsid w:val="007E3A40"/>
    <w:rsid w:val="007E3ED4"/>
    <w:rsid w:val="007E4148"/>
    <w:rsid w:val="007E429E"/>
    <w:rsid w:val="007E48C2"/>
    <w:rsid w:val="007E50C4"/>
    <w:rsid w:val="007E5FBE"/>
    <w:rsid w:val="007E6A86"/>
    <w:rsid w:val="007F1905"/>
    <w:rsid w:val="007F2750"/>
    <w:rsid w:val="007F3481"/>
    <w:rsid w:val="007F4F51"/>
    <w:rsid w:val="007F6245"/>
    <w:rsid w:val="00800B02"/>
    <w:rsid w:val="00801300"/>
    <w:rsid w:val="00801892"/>
    <w:rsid w:val="00802C64"/>
    <w:rsid w:val="00805E52"/>
    <w:rsid w:val="008061D0"/>
    <w:rsid w:val="00806871"/>
    <w:rsid w:val="00806A2E"/>
    <w:rsid w:val="00810B38"/>
    <w:rsid w:val="008118B1"/>
    <w:rsid w:val="00811CB1"/>
    <w:rsid w:val="0081337B"/>
    <w:rsid w:val="00817EF9"/>
    <w:rsid w:val="008204C7"/>
    <w:rsid w:val="00820992"/>
    <w:rsid w:val="00821F64"/>
    <w:rsid w:val="00822EE7"/>
    <w:rsid w:val="00823602"/>
    <w:rsid w:val="00823755"/>
    <w:rsid w:val="008246DC"/>
    <w:rsid w:val="008249A4"/>
    <w:rsid w:val="008255F5"/>
    <w:rsid w:val="00827911"/>
    <w:rsid w:val="0083014E"/>
    <w:rsid w:val="0083214A"/>
    <w:rsid w:val="008323C4"/>
    <w:rsid w:val="00832C2B"/>
    <w:rsid w:val="0083355A"/>
    <w:rsid w:val="00833ED6"/>
    <w:rsid w:val="00834220"/>
    <w:rsid w:val="0083587D"/>
    <w:rsid w:val="00835F7D"/>
    <w:rsid w:val="00837D7E"/>
    <w:rsid w:val="00837FD5"/>
    <w:rsid w:val="0084351A"/>
    <w:rsid w:val="00843B24"/>
    <w:rsid w:val="00843DFB"/>
    <w:rsid w:val="00844C8F"/>
    <w:rsid w:val="00845723"/>
    <w:rsid w:val="008463B8"/>
    <w:rsid w:val="00850B78"/>
    <w:rsid w:val="00851EF9"/>
    <w:rsid w:val="00852254"/>
    <w:rsid w:val="008567B9"/>
    <w:rsid w:val="008577FD"/>
    <w:rsid w:val="00860B03"/>
    <w:rsid w:val="00861175"/>
    <w:rsid w:val="00861B8C"/>
    <w:rsid w:val="0086497A"/>
    <w:rsid w:val="00864B54"/>
    <w:rsid w:val="00865B96"/>
    <w:rsid w:val="008669DA"/>
    <w:rsid w:val="00870C95"/>
    <w:rsid w:val="008713A1"/>
    <w:rsid w:val="0087293F"/>
    <w:rsid w:val="0087302D"/>
    <w:rsid w:val="0087377B"/>
    <w:rsid w:val="008751DE"/>
    <w:rsid w:val="008754AB"/>
    <w:rsid w:val="00875AB3"/>
    <w:rsid w:val="00877B0A"/>
    <w:rsid w:val="0088060C"/>
    <w:rsid w:val="00880BB9"/>
    <w:rsid w:val="00882776"/>
    <w:rsid w:val="00883E06"/>
    <w:rsid w:val="00884C61"/>
    <w:rsid w:val="008851E6"/>
    <w:rsid w:val="00885DFE"/>
    <w:rsid w:val="00886F68"/>
    <w:rsid w:val="00891CD3"/>
    <w:rsid w:val="00893576"/>
    <w:rsid w:val="00893E73"/>
    <w:rsid w:val="00896FFD"/>
    <w:rsid w:val="008A2C31"/>
    <w:rsid w:val="008A54BE"/>
    <w:rsid w:val="008A54F0"/>
    <w:rsid w:val="008A6536"/>
    <w:rsid w:val="008B02DC"/>
    <w:rsid w:val="008B145F"/>
    <w:rsid w:val="008B255D"/>
    <w:rsid w:val="008B4EF6"/>
    <w:rsid w:val="008B541E"/>
    <w:rsid w:val="008B57CE"/>
    <w:rsid w:val="008B609B"/>
    <w:rsid w:val="008B62F8"/>
    <w:rsid w:val="008B6FED"/>
    <w:rsid w:val="008B79A1"/>
    <w:rsid w:val="008C26DE"/>
    <w:rsid w:val="008C2E1D"/>
    <w:rsid w:val="008C4319"/>
    <w:rsid w:val="008C4FD8"/>
    <w:rsid w:val="008D0E36"/>
    <w:rsid w:val="008D1E7D"/>
    <w:rsid w:val="008D2057"/>
    <w:rsid w:val="008D2225"/>
    <w:rsid w:val="008D4752"/>
    <w:rsid w:val="008D4B68"/>
    <w:rsid w:val="008D4CD4"/>
    <w:rsid w:val="008D57C0"/>
    <w:rsid w:val="008D7298"/>
    <w:rsid w:val="008D74B1"/>
    <w:rsid w:val="008D7D7A"/>
    <w:rsid w:val="008E25D5"/>
    <w:rsid w:val="008E271C"/>
    <w:rsid w:val="008E30C2"/>
    <w:rsid w:val="008E3D05"/>
    <w:rsid w:val="008E418E"/>
    <w:rsid w:val="008E46F0"/>
    <w:rsid w:val="008E4877"/>
    <w:rsid w:val="008E5BC6"/>
    <w:rsid w:val="008E5C36"/>
    <w:rsid w:val="008E6039"/>
    <w:rsid w:val="008E6A25"/>
    <w:rsid w:val="008E6C12"/>
    <w:rsid w:val="008E7A9F"/>
    <w:rsid w:val="008F1BDB"/>
    <w:rsid w:val="008F2637"/>
    <w:rsid w:val="008F481C"/>
    <w:rsid w:val="008F5193"/>
    <w:rsid w:val="008F57B4"/>
    <w:rsid w:val="008F59F7"/>
    <w:rsid w:val="009013A7"/>
    <w:rsid w:val="009017FB"/>
    <w:rsid w:val="009017FC"/>
    <w:rsid w:val="0090184E"/>
    <w:rsid w:val="00901F7F"/>
    <w:rsid w:val="00903E4E"/>
    <w:rsid w:val="0090506B"/>
    <w:rsid w:val="009050C9"/>
    <w:rsid w:val="009060E8"/>
    <w:rsid w:val="009066FC"/>
    <w:rsid w:val="00906A0B"/>
    <w:rsid w:val="00906D95"/>
    <w:rsid w:val="0090716E"/>
    <w:rsid w:val="00907B8F"/>
    <w:rsid w:val="00911450"/>
    <w:rsid w:val="00912938"/>
    <w:rsid w:val="00913FE1"/>
    <w:rsid w:val="009140A3"/>
    <w:rsid w:val="009144A2"/>
    <w:rsid w:val="0091510C"/>
    <w:rsid w:val="00915286"/>
    <w:rsid w:val="0091608E"/>
    <w:rsid w:val="00917044"/>
    <w:rsid w:val="00920FB8"/>
    <w:rsid w:val="0092413C"/>
    <w:rsid w:val="009259AC"/>
    <w:rsid w:val="00926A80"/>
    <w:rsid w:val="00926AD5"/>
    <w:rsid w:val="00926F38"/>
    <w:rsid w:val="00934301"/>
    <w:rsid w:val="00934844"/>
    <w:rsid w:val="00934A55"/>
    <w:rsid w:val="00936C2D"/>
    <w:rsid w:val="00936CD1"/>
    <w:rsid w:val="009411BA"/>
    <w:rsid w:val="00941747"/>
    <w:rsid w:val="00941EFB"/>
    <w:rsid w:val="0094368E"/>
    <w:rsid w:val="00944548"/>
    <w:rsid w:val="00944679"/>
    <w:rsid w:val="00947AFB"/>
    <w:rsid w:val="00950142"/>
    <w:rsid w:val="00950949"/>
    <w:rsid w:val="00951D7D"/>
    <w:rsid w:val="0095282E"/>
    <w:rsid w:val="009536D3"/>
    <w:rsid w:val="00953902"/>
    <w:rsid w:val="009551E0"/>
    <w:rsid w:val="009554C5"/>
    <w:rsid w:val="00955644"/>
    <w:rsid w:val="00956F1A"/>
    <w:rsid w:val="0095724D"/>
    <w:rsid w:val="009627E6"/>
    <w:rsid w:val="009630C7"/>
    <w:rsid w:val="009658B6"/>
    <w:rsid w:val="00966096"/>
    <w:rsid w:val="009677B6"/>
    <w:rsid w:val="00970213"/>
    <w:rsid w:val="00971817"/>
    <w:rsid w:val="00972083"/>
    <w:rsid w:val="00972B55"/>
    <w:rsid w:val="009743B7"/>
    <w:rsid w:val="00974406"/>
    <w:rsid w:val="00975D46"/>
    <w:rsid w:val="00976BC8"/>
    <w:rsid w:val="00976D4E"/>
    <w:rsid w:val="009776A2"/>
    <w:rsid w:val="0098228B"/>
    <w:rsid w:val="009828DA"/>
    <w:rsid w:val="00983105"/>
    <w:rsid w:val="00985BAB"/>
    <w:rsid w:val="009864C1"/>
    <w:rsid w:val="009871CD"/>
    <w:rsid w:val="00987AA7"/>
    <w:rsid w:val="00992F91"/>
    <w:rsid w:val="00994397"/>
    <w:rsid w:val="00994DDE"/>
    <w:rsid w:val="0099603C"/>
    <w:rsid w:val="009A682E"/>
    <w:rsid w:val="009A789F"/>
    <w:rsid w:val="009B18D9"/>
    <w:rsid w:val="009B1B5F"/>
    <w:rsid w:val="009B24DA"/>
    <w:rsid w:val="009B38F3"/>
    <w:rsid w:val="009B56EE"/>
    <w:rsid w:val="009B6673"/>
    <w:rsid w:val="009B7AA3"/>
    <w:rsid w:val="009C191B"/>
    <w:rsid w:val="009C1F1B"/>
    <w:rsid w:val="009C2316"/>
    <w:rsid w:val="009C2BD6"/>
    <w:rsid w:val="009C31E5"/>
    <w:rsid w:val="009C42C4"/>
    <w:rsid w:val="009C5881"/>
    <w:rsid w:val="009D16B0"/>
    <w:rsid w:val="009D62B3"/>
    <w:rsid w:val="009E07E3"/>
    <w:rsid w:val="009E1F32"/>
    <w:rsid w:val="009E59AA"/>
    <w:rsid w:val="009E5C83"/>
    <w:rsid w:val="009E776C"/>
    <w:rsid w:val="009F2E6F"/>
    <w:rsid w:val="009F3B5F"/>
    <w:rsid w:val="009F6243"/>
    <w:rsid w:val="009F6329"/>
    <w:rsid w:val="009F65B6"/>
    <w:rsid w:val="00A00144"/>
    <w:rsid w:val="00A033F1"/>
    <w:rsid w:val="00A06954"/>
    <w:rsid w:val="00A11109"/>
    <w:rsid w:val="00A136D1"/>
    <w:rsid w:val="00A171D1"/>
    <w:rsid w:val="00A1726E"/>
    <w:rsid w:val="00A17BA2"/>
    <w:rsid w:val="00A204CF"/>
    <w:rsid w:val="00A209F5"/>
    <w:rsid w:val="00A22D00"/>
    <w:rsid w:val="00A23D49"/>
    <w:rsid w:val="00A257D9"/>
    <w:rsid w:val="00A26049"/>
    <w:rsid w:val="00A27004"/>
    <w:rsid w:val="00A27DA6"/>
    <w:rsid w:val="00A30C29"/>
    <w:rsid w:val="00A30D9C"/>
    <w:rsid w:val="00A33742"/>
    <w:rsid w:val="00A34A32"/>
    <w:rsid w:val="00A34DD6"/>
    <w:rsid w:val="00A35316"/>
    <w:rsid w:val="00A36819"/>
    <w:rsid w:val="00A36989"/>
    <w:rsid w:val="00A37333"/>
    <w:rsid w:val="00A43308"/>
    <w:rsid w:val="00A43509"/>
    <w:rsid w:val="00A43628"/>
    <w:rsid w:val="00A43E9C"/>
    <w:rsid w:val="00A44B02"/>
    <w:rsid w:val="00A479E2"/>
    <w:rsid w:val="00A47E87"/>
    <w:rsid w:val="00A51225"/>
    <w:rsid w:val="00A52386"/>
    <w:rsid w:val="00A527A6"/>
    <w:rsid w:val="00A54192"/>
    <w:rsid w:val="00A55F01"/>
    <w:rsid w:val="00A57675"/>
    <w:rsid w:val="00A6035E"/>
    <w:rsid w:val="00A6144C"/>
    <w:rsid w:val="00A66617"/>
    <w:rsid w:val="00A671F8"/>
    <w:rsid w:val="00A673A4"/>
    <w:rsid w:val="00A67531"/>
    <w:rsid w:val="00A70812"/>
    <w:rsid w:val="00A70923"/>
    <w:rsid w:val="00A7223B"/>
    <w:rsid w:val="00A724AE"/>
    <w:rsid w:val="00A725FD"/>
    <w:rsid w:val="00A73329"/>
    <w:rsid w:val="00A74AAF"/>
    <w:rsid w:val="00A74BC1"/>
    <w:rsid w:val="00A75929"/>
    <w:rsid w:val="00A75943"/>
    <w:rsid w:val="00A76653"/>
    <w:rsid w:val="00A80184"/>
    <w:rsid w:val="00A81A41"/>
    <w:rsid w:val="00A82359"/>
    <w:rsid w:val="00A82B6D"/>
    <w:rsid w:val="00A832DD"/>
    <w:rsid w:val="00A8486D"/>
    <w:rsid w:val="00A85EFE"/>
    <w:rsid w:val="00A85F5F"/>
    <w:rsid w:val="00A865D2"/>
    <w:rsid w:val="00A900B9"/>
    <w:rsid w:val="00A9136B"/>
    <w:rsid w:val="00A92C0B"/>
    <w:rsid w:val="00A935C2"/>
    <w:rsid w:val="00A93A72"/>
    <w:rsid w:val="00A94C20"/>
    <w:rsid w:val="00AA09CC"/>
    <w:rsid w:val="00AA1B05"/>
    <w:rsid w:val="00AA1B37"/>
    <w:rsid w:val="00AA227F"/>
    <w:rsid w:val="00AA3030"/>
    <w:rsid w:val="00AA349E"/>
    <w:rsid w:val="00AA36B1"/>
    <w:rsid w:val="00AA3BC7"/>
    <w:rsid w:val="00AA694D"/>
    <w:rsid w:val="00AA754A"/>
    <w:rsid w:val="00AA755B"/>
    <w:rsid w:val="00AA7D50"/>
    <w:rsid w:val="00AA7F9D"/>
    <w:rsid w:val="00AB099E"/>
    <w:rsid w:val="00AB1793"/>
    <w:rsid w:val="00AB4328"/>
    <w:rsid w:val="00AB5957"/>
    <w:rsid w:val="00AB6C29"/>
    <w:rsid w:val="00AB71BE"/>
    <w:rsid w:val="00AC0824"/>
    <w:rsid w:val="00AC3B69"/>
    <w:rsid w:val="00AC458D"/>
    <w:rsid w:val="00AC4EBF"/>
    <w:rsid w:val="00AD213D"/>
    <w:rsid w:val="00AD412E"/>
    <w:rsid w:val="00AE0A2E"/>
    <w:rsid w:val="00AE18A1"/>
    <w:rsid w:val="00AE2CA5"/>
    <w:rsid w:val="00AE354C"/>
    <w:rsid w:val="00AE3737"/>
    <w:rsid w:val="00AE4C52"/>
    <w:rsid w:val="00AE57C7"/>
    <w:rsid w:val="00AE58EA"/>
    <w:rsid w:val="00AE6809"/>
    <w:rsid w:val="00AF1D5E"/>
    <w:rsid w:val="00AF4272"/>
    <w:rsid w:val="00AF4B07"/>
    <w:rsid w:val="00AF4E85"/>
    <w:rsid w:val="00AF52BB"/>
    <w:rsid w:val="00AF5CC8"/>
    <w:rsid w:val="00AF6186"/>
    <w:rsid w:val="00AF6FDC"/>
    <w:rsid w:val="00AF7A3A"/>
    <w:rsid w:val="00B03194"/>
    <w:rsid w:val="00B037A5"/>
    <w:rsid w:val="00B05654"/>
    <w:rsid w:val="00B074F3"/>
    <w:rsid w:val="00B10657"/>
    <w:rsid w:val="00B12B35"/>
    <w:rsid w:val="00B13015"/>
    <w:rsid w:val="00B14403"/>
    <w:rsid w:val="00B1452F"/>
    <w:rsid w:val="00B152B9"/>
    <w:rsid w:val="00B154E7"/>
    <w:rsid w:val="00B160DB"/>
    <w:rsid w:val="00B205F1"/>
    <w:rsid w:val="00B20836"/>
    <w:rsid w:val="00B21494"/>
    <w:rsid w:val="00B21E02"/>
    <w:rsid w:val="00B2314F"/>
    <w:rsid w:val="00B235BB"/>
    <w:rsid w:val="00B238D8"/>
    <w:rsid w:val="00B257AC"/>
    <w:rsid w:val="00B269CD"/>
    <w:rsid w:val="00B27878"/>
    <w:rsid w:val="00B27A44"/>
    <w:rsid w:val="00B3001A"/>
    <w:rsid w:val="00B30BBF"/>
    <w:rsid w:val="00B31110"/>
    <w:rsid w:val="00B3158A"/>
    <w:rsid w:val="00B31A8E"/>
    <w:rsid w:val="00B31EC7"/>
    <w:rsid w:val="00B3382C"/>
    <w:rsid w:val="00B33C03"/>
    <w:rsid w:val="00B3452D"/>
    <w:rsid w:val="00B4319F"/>
    <w:rsid w:val="00B441EE"/>
    <w:rsid w:val="00B44235"/>
    <w:rsid w:val="00B44E56"/>
    <w:rsid w:val="00B46543"/>
    <w:rsid w:val="00B47D33"/>
    <w:rsid w:val="00B50D2A"/>
    <w:rsid w:val="00B50EF3"/>
    <w:rsid w:val="00B52BE0"/>
    <w:rsid w:val="00B54133"/>
    <w:rsid w:val="00B54D81"/>
    <w:rsid w:val="00B56187"/>
    <w:rsid w:val="00B561B0"/>
    <w:rsid w:val="00B65187"/>
    <w:rsid w:val="00B6581A"/>
    <w:rsid w:val="00B701ED"/>
    <w:rsid w:val="00B73506"/>
    <w:rsid w:val="00B73992"/>
    <w:rsid w:val="00B74E72"/>
    <w:rsid w:val="00B753E7"/>
    <w:rsid w:val="00B7578A"/>
    <w:rsid w:val="00B757BA"/>
    <w:rsid w:val="00B77A42"/>
    <w:rsid w:val="00B8086C"/>
    <w:rsid w:val="00B8212E"/>
    <w:rsid w:val="00B84FF5"/>
    <w:rsid w:val="00B85A04"/>
    <w:rsid w:val="00B861B4"/>
    <w:rsid w:val="00B86DFE"/>
    <w:rsid w:val="00B90297"/>
    <w:rsid w:val="00B904C4"/>
    <w:rsid w:val="00B90582"/>
    <w:rsid w:val="00B90990"/>
    <w:rsid w:val="00B9151D"/>
    <w:rsid w:val="00B9159D"/>
    <w:rsid w:val="00B922FF"/>
    <w:rsid w:val="00B9281E"/>
    <w:rsid w:val="00B93925"/>
    <w:rsid w:val="00B93C3E"/>
    <w:rsid w:val="00B93E8E"/>
    <w:rsid w:val="00B93ECF"/>
    <w:rsid w:val="00B94BB8"/>
    <w:rsid w:val="00B95187"/>
    <w:rsid w:val="00B9651F"/>
    <w:rsid w:val="00B9776F"/>
    <w:rsid w:val="00B97D47"/>
    <w:rsid w:val="00BA09E4"/>
    <w:rsid w:val="00BA1D24"/>
    <w:rsid w:val="00BA227E"/>
    <w:rsid w:val="00BA2393"/>
    <w:rsid w:val="00BA29D7"/>
    <w:rsid w:val="00BA2D55"/>
    <w:rsid w:val="00BA3B69"/>
    <w:rsid w:val="00BA55C1"/>
    <w:rsid w:val="00BA5DF6"/>
    <w:rsid w:val="00BA71B1"/>
    <w:rsid w:val="00BB0637"/>
    <w:rsid w:val="00BB19C5"/>
    <w:rsid w:val="00BB345F"/>
    <w:rsid w:val="00BB3B22"/>
    <w:rsid w:val="00BB4F75"/>
    <w:rsid w:val="00BB599C"/>
    <w:rsid w:val="00BB68EA"/>
    <w:rsid w:val="00BB739E"/>
    <w:rsid w:val="00BC1868"/>
    <w:rsid w:val="00BC1B66"/>
    <w:rsid w:val="00BC1C27"/>
    <w:rsid w:val="00BC21ED"/>
    <w:rsid w:val="00BC47F6"/>
    <w:rsid w:val="00BC4A8F"/>
    <w:rsid w:val="00BC599D"/>
    <w:rsid w:val="00BC6BBF"/>
    <w:rsid w:val="00BC7BBB"/>
    <w:rsid w:val="00BD0653"/>
    <w:rsid w:val="00BD1572"/>
    <w:rsid w:val="00BD1CEC"/>
    <w:rsid w:val="00BD3A98"/>
    <w:rsid w:val="00BD46CB"/>
    <w:rsid w:val="00BD529E"/>
    <w:rsid w:val="00BD6D80"/>
    <w:rsid w:val="00BD7297"/>
    <w:rsid w:val="00BE02DA"/>
    <w:rsid w:val="00BE14E3"/>
    <w:rsid w:val="00BE1A3E"/>
    <w:rsid w:val="00BE1AC6"/>
    <w:rsid w:val="00BE3774"/>
    <w:rsid w:val="00BE41E5"/>
    <w:rsid w:val="00BE4CCD"/>
    <w:rsid w:val="00BE5616"/>
    <w:rsid w:val="00BE74B2"/>
    <w:rsid w:val="00BF135A"/>
    <w:rsid w:val="00BF404B"/>
    <w:rsid w:val="00BF4109"/>
    <w:rsid w:val="00BF4CC3"/>
    <w:rsid w:val="00BF67CA"/>
    <w:rsid w:val="00C01418"/>
    <w:rsid w:val="00C018E2"/>
    <w:rsid w:val="00C02C17"/>
    <w:rsid w:val="00C034D6"/>
    <w:rsid w:val="00C042D3"/>
    <w:rsid w:val="00C054C7"/>
    <w:rsid w:val="00C057B5"/>
    <w:rsid w:val="00C06B3B"/>
    <w:rsid w:val="00C06E15"/>
    <w:rsid w:val="00C06F0D"/>
    <w:rsid w:val="00C1262B"/>
    <w:rsid w:val="00C175F5"/>
    <w:rsid w:val="00C20B78"/>
    <w:rsid w:val="00C222AC"/>
    <w:rsid w:val="00C222EB"/>
    <w:rsid w:val="00C22687"/>
    <w:rsid w:val="00C2344C"/>
    <w:rsid w:val="00C23C11"/>
    <w:rsid w:val="00C24185"/>
    <w:rsid w:val="00C25AAC"/>
    <w:rsid w:val="00C2658E"/>
    <w:rsid w:val="00C26A3A"/>
    <w:rsid w:val="00C32B3A"/>
    <w:rsid w:val="00C32E4D"/>
    <w:rsid w:val="00C32EC9"/>
    <w:rsid w:val="00C333A0"/>
    <w:rsid w:val="00C36408"/>
    <w:rsid w:val="00C36A81"/>
    <w:rsid w:val="00C37992"/>
    <w:rsid w:val="00C37A42"/>
    <w:rsid w:val="00C41974"/>
    <w:rsid w:val="00C421FF"/>
    <w:rsid w:val="00C47117"/>
    <w:rsid w:val="00C53A3A"/>
    <w:rsid w:val="00C53F4A"/>
    <w:rsid w:val="00C54125"/>
    <w:rsid w:val="00C55B54"/>
    <w:rsid w:val="00C60035"/>
    <w:rsid w:val="00C6098E"/>
    <w:rsid w:val="00C611D8"/>
    <w:rsid w:val="00C6152C"/>
    <w:rsid w:val="00C63990"/>
    <w:rsid w:val="00C63B73"/>
    <w:rsid w:val="00C64907"/>
    <w:rsid w:val="00C64EF6"/>
    <w:rsid w:val="00C65050"/>
    <w:rsid w:val="00C65EBB"/>
    <w:rsid w:val="00C679AF"/>
    <w:rsid w:val="00C67D15"/>
    <w:rsid w:val="00C71A69"/>
    <w:rsid w:val="00C74810"/>
    <w:rsid w:val="00C76BDA"/>
    <w:rsid w:val="00C81A22"/>
    <w:rsid w:val="00C82290"/>
    <w:rsid w:val="00C83BB4"/>
    <w:rsid w:val="00C90D68"/>
    <w:rsid w:val="00C91601"/>
    <w:rsid w:val="00C939FE"/>
    <w:rsid w:val="00C95AFB"/>
    <w:rsid w:val="00CA16F7"/>
    <w:rsid w:val="00CA4BDA"/>
    <w:rsid w:val="00CA4D85"/>
    <w:rsid w:val="00CA66DF"/>
    <w:rsid w:val="00CB19B8"/>
    <w:rsid w:val="00CB1A12"/>
    <w:rsid w:val="00CB1F66"/>
    <w:rsid w:val="00CB221E"/>
    <w:rsid w:val="00CB2951"/>
    <w:rsid w:val="00CB43E8"/>
    <w:rsid w:val="00CC191D"/>
    <w:rsid w:val="00CC199A"/>
    <w:rsid w:val="00CC2EE9"/>
    <w:rsid w:val="00CC38B6"/>
    <w:rsid w:val="00CC3FE5"/>
    <w:rsid w:val="00CC61B6"/>
    <w:rsid w:val="00CC71E6"/>
    <w:rsid w:val="00CD16F8"/>
    <w:rsid w:val="00CD17B0"/>
    <w:rsid w:val="00CD282B"/>
    <w:rsid w:val="00CD4B0C"/>
    <w:rsid w:val="00CD4C35"/>
    <w:rsid w:val="00CD5BEE"/>
    <w:rsid w:val="00CD7369"/>
    <w:rsid w:val="00CE01EF"/>
    <w:rsid w:val="00CE0B0E"/>
    <w:rsid w:val="00CE1CD4"/>
    <w:rsid w:val="00CE3831"/>
    <w:rsid w:val="00CE7ACA"/>
    <w:rsid w:val="00CF38B5"/>
    <w:rsid w:val="00CF7347"/>
    <w:rsid w:val="00CF73D2"/>
    <w:rsid w:val="00D006B5"/>
    <w:rsid w:val="00D00ABB"/>
    <w:rsid w:val="00D01A9C"/>
    <w:rsid w:val="00D02EEC"/>
    <w:rsid w:val="00D03551"/>
    <w:rsid w:val="00D06A63"/>
    <w:rsid w:val="00D07E0E"/>
    <w:rsid w:val="00D11478"/>
    <w:rsid w:val="00D142EE"/>
    <w:rsid w:val="00D154C8"/>
    <w:rsid w:val="00D15CD3"/>
    <w:rsid w:val="00D15ED0"/>
    <w:rsid w:val="00D1691F"/>
    <w:rsid w:val="00D21B3E"/>
    <w:rsid w:val="00D21FED"/>
    <w:rsid w:val="00D228EA"/>
    <w:rsid w:val="00D23960"/>
    <w:rsid w:val="00D24251"/>
    <w:rsid w:val="00D243C1"/>
    <w:rsid w:val="00D250D7"/>
    <w:rsid w:val="00D278AB"/>
    <w:rsid w:val="00D27DA9"/>
    <w:rsid w:val="00D332F5"/>
    <w:rsid w:val="00D343E2"/>
    <w:rsid w:val="00D34946"/>
    <w:rsid w:val="00D35186"/>
    <w:rsid w:val="00D359AA"/>
    <w:rsid w:val="00D35AE5"/>
    <w:rsid w:val="00D35E16"/>
    <w:rsid w:val="00D361A2"/>
    <w:rsid w:val="00D36202"/>
    <w:rsid w:val="00D37AE1"/>
    <w:rsid w:val="00D37C1F"/>
    <w:rsid w:val="00D4075E"/>
    <w:rsid w:val="00D40D68"/>
    <w:rsid w:val="00D41986"/>
    <w:rsid w:val="00D425C3"/>
    <w:rsid w:val="00D42AFF"/>
    <w:rsid w:val="00D44C2E"/>
    <w:rsid w:val="00D45414"/>
    <w:rsid w:val="00D4645A"/>
    <w:rsid w:val="00D46A4B"/>
    <w:rsid w:val="00D513DC"/>
    <w:rsid w:val="00D51426"/>
    <w:rsid w:val="00D51803"/>
    <w:rsid w:val="00D51CB7"/>
    <w:rsid w:val="00D52E56"/>
    <w:rsid w:val="00D53AE7"/>
    <w:rsid w:val="00D5445E"/>
    <w:rsid w:val="00D566BD"/>
    <w:rsid w:val="00D576CF"/>
    <w:rsid w:val="00D57A4D"/>
    <w:rsid w:val="00D60783"/>
    <w:rsid w:val="00D60AA7"/>
    <w:rsid w:val="00D61517"/>
    <w:rsid w:val="00D62838"/>
    <w:rsid w:val="00D628E2"/>
    <w:rsid w:val="00D6435F"/>
    <w:rsid w:val="00D64E3A"/>
    <w:rsid w:val="00D7056B"/>
    <w:rsid w:val="00D7187A"/>
    <w:rsid w:val="00D71D33"/>
    <w:rsid w:val="00D75E28"/>
    <w:rsid w:val="00D77001"/>
    <w:rsid w:val="00D772C2"/>
    <w:rsid w:val="00D8008E"/>
    <w:rsid w:val="00D82C45"/>
    <w:rsid w:val="00D83239"/>
    <w:rsid w:val="00D86518"/>
    <w:rsid w:val="00D86D5A"/>
    <w:rsid w:val="00D87A99"/>
    <w:rsid w:val="00D908A8"/>
    <w:rsid w:val="00D924BB"/>
    <w:rsid w:val="00D94BDC"/>
    <w:rsid w:val="00D95000"/>
    <w:rsid w:val="00D9567D"/>
    <w:rsid w:val="00D977B6"/>
    <w:rsid w:val="00D97EAD"/>
    <w:rsid w:val="00DA09C7"/>
    <w:rsid w:val="00DA25E6"/>
    <w:rsid w:val="00DA4A31"/>
    <w:rsid w:val="00DA4AD4"/>
    <w:rsid w:val="00DA58BA"/>
    <w:rsid w:val="00DA7B04"/>
    <w:rsid w:val="00DB0D57"/>
    <w:rsid w:val="00DB2300"/>
    <w:rsid w:val="00DB24BB"/>
    <w:rsid w:val="00DB3494"/>
    <w:rsid w:val="00DB36C2"/>
    <w:rsid w:val="00DB38F2"/>
    <w:rsid w:val="00DB6153"/>
    <w:rsid w:val="00DC169B"/>
    <w:rsid w:val="00DC2AB9"/>
    <w:rsid w:val="00DC512F"/>
    <w:rsid w:val="00DC63F0"/>
    <w:rsid w:val="00DC757E"/>
    <w:rsid w:val="00DD1DAE"/>
    <w:rsid w:val="00DD4AAB"/>
    <w:rsid w:val="00DD5146"/>
    <w:rsid w:val="00DD6EE5"/>
    <w:rsid w:val="00DE0B02"/>
    <w:rsid w:val="00DE0CDA"/>
    <w:rsid w:val="00DE1EB2"/>
    <w:rsid w:val="00DE2DA5"/>
    <w:rsid w:val="00DE386C"/>
    <w:rsid w:val="00DE3C50"/>
    <w:rsid w:val="00DE3D23"/>
    <w:rsid w:val="00DE4D35"/>
    <w:rsid w:val="00DE572F"/>
    <w:rsid w:val="00DF098B"/>
    <w:rsid w:val="00DF11C4"/>
    <w:rsid w:val="00DF19A9"/>
    <w:rsid w:val="00DF210C"/>
    <w:rsid w:val="00DF2FB4"/>
    <w:rsid w:val="00DF36E2"/>
    <w:rsid w:val="00DF4B6A"/>
    <w:rsid w:val="00DF7998"/>
    <w:rsid w:val="00DF7E59"/>
    <w:rsid w:val="00E00F55"/>
    <w:rsid w:val="00E01E65"/>
    <w:rsid w:val="00E02C09"/>
    <w:rsid w:val="00E03688"/>
    <w:rsid w:val="00E04156"/>
    <w:rsid w:val="00E04D59"/>
    <w:rsid w:val="00E05336"/>
    <w:rsid w:val="00E05DA8"/>
    <w:rsid w:val="00E0706C"/>
    <w:rsid w:val="00E07DA1"/>
    <w:rsid w:val="00E123CB"/>
    <w:rsid w:val="00E12AF2"/>
    <w:rsid w:val="00E14E82"/>
    <w:rsid w:val="00E177B5"/>
    <w:rsid w:val="00E20C88"/>
    <w:rsid w:val="00E20E13"/>
    <w:rsid w:val="00E21DBC"/>
    <w:rsid w:val="00E25032"/>
    <w:rsid w:val="00E2615D"/>
    <w:rsid w:val="00E275D7"/>
    <w:rsid w:val="00E2798D"/>
    <w:rsid w:val="00E27DBE"/>
    <w:rsid w:val="00E31471"/>
    <w:rsid w:val="00E3242D"/>
    <w:rsid w:val="00E32AB1"/>
    <w:rsid w:val="00E32E6C"/>
    <w:rsid w:val="00E34E5F"/>
    <w:rsid w:val="00E36C71"/>
    <w:rsid w:val="00E36E8D"/>
    <w:rsid w:val="00E373F5"/>
    <w:rsid w:val="00E37C32"/>
    <w:rsid w:val="00E40404"/>
    <w:rsid w:val="00E40595"/>
    <w:rsid w:val="00E408DF"/>
    <w:rsid w:val="00E427E4"/>
    <w:rsid w:val="00E43094"/>
    <w:rsid w:val="00E44025"/>
    <w:rsid w:val="00E4529A"/>
    <w:rsid w:val="00E45317"/>
    <w:rsid w:val="00E45923"/>
    <w:rsid w:val="00E459C6"/>
    <w:rsid w:val="00E47589"/>
    <w:rsid w:val="00E50D0E"/>
    <w:rsid w:val="00E52156"/>
    <w:rsid w:val="00E5219A"/>
    <w:rsid w:val="00E54FF1"/>
    <w:rsid w:val="00E57585"/>
    <w:rsid w:val="00E64915"/>
    <w:rsid w:val="00E661D4"/>
    <w:rsid w:val="00E67D92"/>
    <w:rsid w:val="00E70091"/>
    <w:rsid w:val="00E720F5"/>
    <w:rsid w:val="00E7217E"/>
    <w:rsid w:val="00E7637D"/>
    <w:rsid w:val="00E76D47"/>
    <w:rsid w:val="00E77702"/>
    <w:rsid w:val="00E77CB3"/>
    <w:rsid w:val="00E80B81"/>
    <w:rsid w:val="00E81422"/>
    <w:rsid w:val="00E82B52"/>
    <w:rsid w:val="00E839C3"/>
    <w:rsid w:val="00E849F7"/>
    <w:rsid w:val="00E85CB8"/>
    <w:rsid w:val="00E90302"/>
    <w:rsid w:val="00E90670"/>
    <w:rsid w:val="00E9336A"/>
    <w:rsid w:val="00E9517B"/>
    <w:rsid w:val="00E95F94"/>
    <w:rsid w:val="00E967D1"/>
    <w:rsid w:val="00E97396"/>
    <w:rsid w:val="00EA185E"/>
    <w:rsid w:val="00EA26E7"/>
    <w:rsid w:val="00EA4800"/>
    <w:rsid w:val="00EA592A"/>
    <w:rsid w:val="00EA6379"/>
    <w:rsid w:val="00EB08FF"/>
    <w:rsid w:val="00EB0CA1"/>
    <w:rsid w:val="00EB14E4"/>
    <w:rsid w:val="00EB22E0"/>
    <w:rsid w:val="00EB32A5"/>
    <w:rsid w:val="00EB34ED"/>
    <w:rsid w:val="00EB3B6D"/>
    <w:rsid w:val="00EB55F6"/>
    <w:rsid w:val="00EB6198"/>
    <w:rsid w:val="00EB7BE0"/>
    <w:rsid w:val="00EB7E63"/>
    <w:rsid w:val="00EC1971"/>
    <w:rsid w:val="00EC315E"/>
    <w:rsid w:val="00EC4CEB"/>
    <w:rsid w:val="00EC6609"/>
    <w:rsid w:val="00EC762A"/>
    <w:rsid w:val="00ED077C"/>
    <w:rsid w:val="00ED1190"/>
    <w:rsid w:val="00ED1A82"/>
    <w:rsid w:val="00ED35CA"/>
    <w:rsid w:val="00ED416B"/>
    <w:rsid w:val="00ED516A"/>
    <w:rsid w:val="00ED582F"/>
    <w:rsid w:val="00ED6544"/>
    <w:rsid w:val="00ED6DF4"/>
    <w:rsid w:val="00EE0277"/>
    <w:rsid w:val="00EE1D67"/>
    <w:rsid w:val="00EE3441"/>
    <w:rsid w:val="00EE3E00"/>
    <w:rsid w:val="00EE52CF"/>
    <w:rsid w:val="00EE5760"/>
    <w:rsid w:val="00EE5D72"/>
    <w:rsid w:val="00EE5DD2"/>
    <w:rsid w:val="00EE669F"/>
    <w:rsid w:val="00EE76FA"/>
    <w:rsid w:val="00EF0A2E"/>
    <w:rsid w:val="00EF63C2"/>
    <w:rsid w:val="00F005A8"/>
    <w:rsid w:val="00F00A2C"/>
    <w:rsid w:val="00F00A79"/>
    <w:rsid w:val="00F00E86"/>
    <w:rsid w:val="00F056E9"/>
    <w:rsid w:val="00F0704D"/>
    <w:rsid w:val="00F0715F"/>
    <w:rsid w:val="00F0734C"/>
    <w:rsid w:val="00F07A66"/>
    <w:rsid w:val="00F07C1E"/>
    <w:rsid w:val="00F105DB"/>
    <w:rsid w:val="00F11651"/>
    <w:rsid w:val="00F132BC"/>
    <w:rsid w:val="00F13D80"/>
    <w:rsid w:val="00F144C8"/>
    <w:rsid w:val="00F1460E"/>
    <w:rsid w:val="00F14DFD"/>
    <w:rsid w:val="00F16AAA"/>
    <w:rsid w:val="00F20CE7"/>
    <w:rsid w:val="00F21161"/>
    <w:rsid w:val="00F218EF"/>
    <w:rsid w:val="00F21BC7"/>
    <w:rsid w:val="00F21D48"/>
    <w:rsid w:val="00F23DA5"/>
    <w:rsid w:val="00F24119"/>
    <w:rsid w:val="00F25D05"/>
    <w:rsid w:val="00F266A2"/>
    <w:rsid w:val="00F271FA"/>
    <w:rsid w:val="00F31DEC"/>
    <w:rsid w:val="00F32269"/>
    <w:rsid w:val="00F330C6"/>
    <w:rsid w:val="00F351DD"/>
    <w:rsid w:val="00F368BC"/>
    <w:rsid w:val="00F36AEB"/>
    <w:rsid w:val="00F37F5A"/>
    <w:rsid w:val="00F45373"/>
    <w:rsid w:val="00F466B8"/>
    <w:rsid w:val="00F46BD2"/>
    <w:rsid w:val="00F511FE"/>
    <w:rsid w:val="00F51BD4"/>
    <w:rsid w:val="00F52CFD"/>
    <w:rsid w:val="00F54753"/>
    <w:rsid w:val="00F5666D"/>
    <w:rsid w:val="00F56A25"/>
    <w:rsid w:val="00F56A6F"/>
    <w:rsid w:val="00F5709C"/>
    <w:rsid w:val="00F60084"/>
    <w:rsid w:val="00F61F4D"/>
    <w:rsid w:val="00F62896"/>
    <w:rsid w:val="00F63E55"/>
    <w:rsid w:val="00F644E3"/>
    <w:rsid w:val="00F64EF1"/>
    <w:rsid w:val="00F65418"/>
    <w:rsid w:val="00F66464"/>
    <w:rsid w:val="00F66E35"/>
    <w:rsid w:val="00F66FD0"/>
    <w:rsid w:val="00F72456"/>
    <w:rsid w:val="00F73AA7"/>
    <w:rsid w:val="00F73C13"/>
    <w:rsid w:val="00F827AB"/>
    <w:rsid w:val="00F86D18"/>
    <w:rsid w:val="00F8765F"/>
    <w:rsid w:val="00F8794E"/>
    <w:rsid w:val="00F903B7"/>
    <w:rsid w:val="00F90767"/>
    <w:rsid w:val="00F9086C"/>
    <w:rsid w:val="00F9540D"/>
    <w:rsid w:val="00FA3C96"/>
    <w:rsid w:val="00FA51E9"/>
    <w:rsid w:val="00FA685B"/>
    <w:rsid w:val="00FB0C01"/>
    <w:rsid w:val="00FB0E26"/>
    <w:rsid w:val="00FB14A3"/>
    <w:rsid w:val="00FB2B45"/>
    <w:rsid w:val="00FB4F3F"/>
    <w:rsid w:val="00FB61CE"/>
    <w:rsid w:val="00FB7749"/>
    <w:rsid w:val="00FB7D2C"/>
    <w:rsid w:val="00FC081A"/>
    <w:rsid w:val="00FC18F2"/>
    <w:rsid w:val="00FC35CD"/>
    <w:rsid w:val="00FC39E5"/>
    <w:rsid w:val="00FC3A78"/>
    <w:rsid w:val="00FC7FAE"/>
    <w:rsid w:val="00FD0263"/>
    <w:rsid w:val="00FD0A69"/>
    <w:rsid w:val="00FD1005"/>
    <w:rsid w:val="00FD21FA"/>
    <w:rsid w:val="00FD224E"/>
    <w:rsid w:val="00FD2B53"/>
    <w:rsid w:val="00FD2E30"/>
    <w:rsid w:val="00FD4672"/>
    <w:rsid w:val="00FD6C75"/>
    <w:rsid w:val="00FE03E7"/>
    <w:rsid w:val="00FE1BE5"/>
    <w:rsid w:val="00FE2A8B"/>
    <w:rsid w:val="00FE3D14"/>
    <w:rsid w:val="00FE6B0C"/>
    <w:rsid w:val="00FE71B3"/>
    <w:rsid w:val="00FE7B5D"/>
    <w:rsid w:val="00FF0E86"/>
    <w:rsid w:val="00FF245F"/>
    <w:rsid w:val="00FF368B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93F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F0734C"/>
    <w:pPr>
      <w:jc w:val="both"/>
    </w:pPr>
    <w:rPr>
      <w:rFonts w:eastAsiaTheme="minorEastAsi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555FD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555FDE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555FD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555FD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555FD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555FD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55FDE"/>
    <w:pPr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55FDE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55FD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5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DE"/>
    <w:rPr>
      <w:rFonts w:ascii="Tahoma" w:eastAsiaTheme="minorEastAsia" w:hAnsi="Tahoma" w:cs="Tahom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555FDE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555FDE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555FDE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555FDE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555FDE"/>
    <w:rPr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semiHidden/>
    <w:rsid w:val="00555FDE"/>
    <w:rPr>
      <w:rFonts w:eastAsiaTheme="minorEastAsia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555FDE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qFormat/>
    <w:rsid w:val="00555FDE"/>
  </w:style>
  <w:style w:type="paragraph" w:customStyle="1" w:styleId="DecList">
    <w:name w:val="Dec_List"/>
    <w:basedOn w:val="Normal"/>
    <w:uiPriority w:val="9"/>
    <w:semiHidden/>
    <w:qFormat/>
    <w:rsid w:val="00555FDE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555FDE"/>
    <w:rPr>
      <w:color w:val="00B050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555FDE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555FDE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AppQuestion">
    <w:name w:val="Ju_App_Question"/>
    <w:basedOn w:val="Normal"/>
    <w:uiPriority w:val="5"/>
    <w:semiHidden/>
    <w:qFormat/>
    <w:rsid w:val="00555FDE"/>
    <w:pPr>
      <w:numPr>
        <w:numId w:val="21"/>
      </w:numPr>
      <w:jc w:val="left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555FDE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JuInitialled">
    <w:name w:val="Ju_Initialled"/>
    <w:basedOn w:val="Normal"/>
    <w:uiPriority w:val="31"/>
    <w:qFormat/>
    <w:rsid w:val="00555FDE"/>
    <w:pPr>
      <w:tabs>
        <w:tab w:val="center" w:pos="6407"/>
      </w:tabs>
      <w:spacing w:before="720"/>
      <w:jc w:val="right"/>
    </w:p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555FDE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Lista">
    <w:name w:val="Ju_List_a"/>
    <w:basedOn w:val="JuList"/>
    <w:uiPriority w:val="28"/>
    <w:qFormat/>
    <w:rsid w:val="00555FDE"/>
    <w:pPr>
      <w:ind w:left="346" w:firstLine="0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555FD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555FDE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555FDE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555FDE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555FDE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  <w:lang w:val="en-GB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555FDE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555FDE"/>
    <w:pPr>
      <w:keepNext/>
      <w:keepLines/>
      <w:spacing w:before="240" w:after="120"/>
      <w:ind w:left="1236"/>
    </w:pPr>
    <w:rPr>
      <w:sz w:val="20"/>
      <w:lang w:val="en-GB"/>
    </w:rPr>
  </w:style>
  <w:style w:type="paragraph" w:customStyle="1" w:styleId="JuListi">
    <w:name w:val="Ju_List_i"/>
    <w:basedOn w:val="Normal"/>
    <w:next w:val="JuLista"/>
    <w:uiPriority w:val="28"/>
    <w:qFormat/>
    <w:rsid w:val="00555FDE"/>
    <w:pPr>
      <w:ind w:left="794"/>
    </w:pPr>
  </w:style>
  <w:style w:type="character" w:customStyle="1" w:styleId="JUNAMES">
    <w:name w:val="JU_NAMES"/>
    <w:uiPriority w:val="17"/>
    <w:qFormat/>
    <w:rsid w:val="00555FDE"/>
    <w:rPr>
      <w:caps w:val="0"/>
      <w:smallCaps/>
    </w:rPr>
  </w:style>
  <w:style w:type="paragraph" w:customStyle="1" w:styleId="JuParaSub">
    <w:name w:val="Ju_Para_Sub"/>
    <w:basedOn w:val="ECHRPara"/>
    <w:uiPriority w:val="13"/>
    <w:qFormat/>
    <w:rsid w:val="00555FDE"/>
    <w:pPr>
      <w:ind w:left="284"/>
    </w:pPr>
  </w:style>
  <w:style w:type="paragraph" w:styleId="Header">
    <w:name w:val="header"/>
    <w:basedOn w:val="Normal"/>
    <w:link w:val="HeaderChar"/>
    <w:uiPriority w:val="57"/>
    <w:semiHidden/>
    <w:rsid w:val="00555FDE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555FDE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555FDE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555FDE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555FDE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55FDE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QuotSub">
    <w:name w:val="Ju_Quot_Sub"/>
    <w:basedOn w:val="ECHRParaQuote"/>
    <w:uiPriority w:val="15"/>
    <w:qFormat/>
    <w:rsid w:val="00555FDE"/>
    <w:pPr>
      <w:ind w:left="567"/>
    </w:pPr>
  </w:style>
  <w:style w:type="paragraph" w:customStyle="1" w:styleId="ECHRDecisionBody">
    <w:name w:val="ECHR_Decision_Body"/>
    <w:aliases w:val="Ju_Judges"/>
    <w:basedOn w:val="Normal"/>
    <w:uiPriority w:val="11"/>
    <w:qFormat/>
    <w:rsid w:val="00555FDE"/>
    <w:pPr>
      <w:tabs>
        <w:tab w:val="left" w:pos="567"/>
        <w:tab w:val="left" w:pos="1134"/>
      </w:tabs>
      <w:jc w:val="left"/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555FDE"/>
    <w:rPr>
      <w:rFonts w:asciiTheme="majorHAnsi" w:eastAsiaTheme="majorEastAsia" w:hAnsiTheme="majorHAnsi" w:cstheme="majorBidi"/>
      <w:b/>
      <w:bCs/>
      <w:color w:val="5F5F5F"/>
      <w:sz w:val="24"/>
      <w:lang w:val="en-GB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555FDE"/>
    <w:pPr>
      <w:ind w:firstLine="284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555FDE"/>
    <w:rPr>
      <w:rFonts w:asciiTheme="majorHAnsi" w:eastAsiaTheme="majorEastAsia" w:hAnsiTheme="majorHAnsi" w:cstheme="majorBidi"/>
      <w:b/>
      <w:bCs/>
      <w:i/>
      <w:iCs/>
      <w:color w:val="777777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55FDE"/>
    <w:rPr>
      <w:rFonts w:asciiTheme="majorHAnsi" w:eastAsiaTheme="majorEastAsia" w:hAnsiTheme="majorHAnsi" w:cstheme="majorBidi"/>
      <w:b/>
      <w:bCs/>
      <w:color w:val="808080"/>
    </w:rPr>
  </w:style>
  <w:style w:type="character" w:styleId="SubtleEmphasis">
    <w:name w:val="Subtle Emphasis"/>
    <w:uiPriority w:val="99"/>
    <w:semiHidden/>
    <w:qFormat/>
    <w:rsid w:val="00555FDE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555FDE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Emphasis">
    <w:name w:val="Emphasis"/>
    <w:uiPriority w:val="99"/>
    <w:semiHidden/>
    <w:qFormat/>
    <w:rsid w:val="00555FD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555FDE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555FDE"/>
    <w:rPr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555F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55F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FDE"/>
    <w:rPr>
      <w:rFonts w:eastAsiaTheme="minorEastAsia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55FDE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5FDE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55FDE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55FDE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555FDE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555FDE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555FD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55FDE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555FDE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555FDE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555FDE"/>
    <w:pPr>
      <w:spacing w:before="200"/>
      <w:ind w:left="360" w:right="360"/>
    </w:pPr>
    <w:rPr>
      <w:i/>
      <w:iCs/>
      <w:sz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55FDE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555FDE"/>
    <w:rPr>
      <w:smallCaps/>
    </w:rPr>
  </w:style>
  <w:style w:type="table" w:styleId="TableGrid">
    <w:name w:val="Table Grid"/>
    <w:basedOn w:val="TableNormal"/>
    <w:uiPriority w:val="59"/>
    <w:semiHidden/>
    <w:rsid w:val="00555FDE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555FDE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555FDE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555FDE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555FDE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555FDE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555FDE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555FDE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555FDE"/>
    <w:pPr>
      <w:spacing w:before="120" w:after="120"/>
      <w:ind w:left="425" w:firstLine="142"/>
    </w:pPr>
    <w:rPr>
      <w:sz w:val="20"/>
    </w:r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555FDE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Signed">
    <w:name w:val="Ju_Signed"/>
    <w:basedOn w:val="Normal"/>
    <w:next w:val="JuParaLast"/>
    <w:uiPriority w:val="32"/>
    <w:qFormat/>
    <w:rsid w:val="00555FDE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555FDE"/>
    <w:pPr>
      <w:keepNext/>
      <w:keepLines/>
      <w:spacing w:before="240"/>
      <w:ind w:firstLine="284"/>
    </w:pPr>
  </w:style>
  <w:style w:type="paragraph" w:customStyle="1" w:styleId="JuCase">
    <w:name w:val="Ju_Case"/>
    <w:basedOn w:val="Normal"/>
    <w:next w:val="ECHRPara"/>
    <w:uiPriority w:val="10"/>
    <w:rsid w:val="00555FDE"/>
    <w:pPr>
      <w:ind w:firstLine="284"/>
    </w:pPr>
    <w:rPr>
      <w:b/>
    </w:rPr>
  </w:style>
  <w:style w:type="paragraph" w:customStyle="1" w:styleId="JuList">
    <w:name w:val="Ju_List"/>
    <w:basedOn w:val="Normal"/>
    <w:uiPriority w:val="28"/>
    <w:qFormat/>
    <w:rsid w:val="00555FDE"/>
    <w:pPr>
      <w:ind w:left="340" w:hanging="340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555FDE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character" w:styleId="PageNumber">
    <w:name w:val="page number"/>
    <w:uiPriority w:val="99"/>
    <w:semiHidden/>
    <w:rsid w:val="00E77CB3"/>
    <w:rPr>
      <w:rFonts w:ascii="Times New Roman" w:hAnsi="Times New Roman" w:cs="Times New Roman"/>
      <w:sz w:val="18"/>
    </w:rPr>
  </w:style>
  <w:style w:type="paragraph" w:customStyle="1" w:styleId="OpiH1">
    <w:name w:val="Opi_H_1"/>
    <w:basedOn w:val="ECHRHeading2"/>
    <w:uiPriority w:val="42"/>
    <w:qFormat/>
    <w:rsid w:val="00555FDE"/>
    <w:pPr>
      <w:ind w:left="635" w:hanging="357"/>
      <w:outlineLvl w:val="2"/>
    </w:pPr>
  </w:style>
  <w:style w:type="paragraph" w:customStyle="1" w:styleId="OpiHa">
    <w:name w:val="Opi_H_a"/>
    <w:basedOn w:val="ECHRHeading3"/>
    <w:uiPriority w:val="43"/>
    <w:qFormat/>
    <w:rsid w:val="00555FDE"/>
    <w:pPr>
      <w:ind w:left="833" w:hanging="357"/>
      <w:outlineLvl w:val="3"/>
    </w:pPr>
    <w:rPr>
      <w:b/>
      <w:i w:val="0"/>
      <w:sz w:val="20"/>
    </w:rPr>
  </w:style>
  <w:style w:type="character" w:styleId="CommentReference">
    <w:name w:val="annotation reference"/>
    <w:uiPriority w:val="99"/>
    <w:semiHidden/>
    <w:rsid w:val="00E77CB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77C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CB3"/>
    <w:rPr>
      <w:rFonts w:eastAsiaTheme="minorEastAsia"/>
      <w:sz w:val="20"/>
    </w:rPr>
  </w:style>
  <w:style w:type="character" w:styleId="EndnoteReference">
    <w:name w:val="endnote reference"/>
    <w:basedOn w:val="DefaultParagraphFont"/>
    <w:uiPriority w:val="99"/>
    <w:semiHidden/>
    <w:rsid w:val="00555F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55FD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5FDE"/>
    <w:rPr>
      <w:rFonts w:eastAsiaTheme="minorEastAsia"/>
      <w:sz w:val="20"/>
      <w:szCs w:val="20"/>
      <w:lang w:val="en-GB"/>
    </w:rPr>
  </w:style>
  <w:style w:type="character" w:styleId="FollowedHyperlink">
    <w:name w:val="FollowedHyperlink"/>
    <w:uiPriority w:val="99"/>
    <w:semiHidden/>
    <w:rsid w:val="00E77CB3"/>
    <w:rPr>
      <w:rFonts w:ascii="Times New Roman" w:hAnsi="Times New Roman" w:cs="Times New Roman"/>
      <w:color w:val="800080"/>
      <w:u w:val="single"/>
    </w:rPr>
  </w:style>
  <w:style w:type="paragraph" w:styleId="ListBullet">
    <w:name w:val="List Bullet"/>
    <w:basedOn w:val="Normal"/>
    <w:uiPriority w:val="99"/>
    <w:semiHidden/>
    <w:rsid w:val="00E77CB3"/>
    <w:pPr>
      <w:numPr>
        <w:numId w:val="1"/>
      </w:numPr>
    </w:pPr>
  </w:style>
  <w:style w:type="paragraph" w:customStyle="1" w:styleId="OpiHA0">
    <w:name w:val="Opi_H_A"/>
    <w:basedOn w:val="ECHRHeading1"/>
    <w:next w:val="OpiPara"/>
    <w:uiPriority w:val="41"/>
    <w:qFormat/>
    <w:rsid w:val="00555FDE"/>
    <w:pPr>
      <w:tabs>
        <w:tab w:val="clear" w:pos="357"/>
      </w:tabs>
      <w:outlineLvl w:val="1"/>
    </w:pPr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CB3"/>
    <w:rPr>
      <w:rFonts w:eastAsiaTheme="minorEastAsia"/>
      <w:b/>
      <w:bCs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E77CB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7CB3"/>
    <w:rPr>
      <w:rFonts w:ascii="Tahoma" w:eastAsiaTheme="minorEastAsia" w:hAnsi="Tahoma" w:cs="Tahoma"/>
      <w:sz w:val="20"/>
      <w:shd w:val="clear" w:color="auto" w:fill="000080"/>
    </w:rPr>
  </w:style>
  <w:style w:type="character" w:customStyle="1" w:styleId="JuITMark">
    <w:name w:val="Ju_ITMark"/>
    <w:basedOn w:val="DefaultParagraphFont"/>
    <w:uiPriority w:val="38"/>
    <w:qFormat/>
    <w:rsid w:val="00555FDE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555FD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55FDE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rsid w:val="00E77CB3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E77CB3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E77CB3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E77CB3"/>
  </w:style>
  <w:style w:type="paragraph" w:styleId="BlockText">
    <w:name w:val="Block Text"/>
    <w:basedOn w:val="Normal"/>
    <w:uiPriority w:val="99"/>
    <w:semiHidden/>
    <w:rsid w:val="00E77CB3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rsid w:val="00E77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7CB3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E77C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7CB3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E77C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7CB3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77CB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77CB3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E77C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7CB3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77CB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77CB3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E77C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7CB3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E77C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7CB3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E77CB3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E77CB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77CB3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E77CB3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E77CB3"/>
  </w:style>
  <w:style w:type="character" w:customStyle="1" w:styleId="DateChar">
    <w:name w:val="Date Char"/>
    <w:basedOn w:val="DefaultParagraphFont"/>
    <w:link w:val="Date"/>
    <w:uiPriority w:val="99"/>
    <w:semiHidden/>
    <w:rsid w:val="00E77CB3"/>
    <w:rPr>
      <w:rFonts w:eastAsiaTheme="minorEastAsia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E77CB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77CB3"/>
    <w:rPr>
      <w:rFonts w:eastAsiaTheme="minorEastAsia"/>
      <w:sz w:val="24"/>
    </w:rPr>
  </w:style>
  <w:style w:type="paragraph" w:styleId="EnvelopeAddress">
    <w:name w:val="envelope address"/>
    <w:basedOn w:val="Normal"/>
    <w:uiPriority w:val="99"/>
    <w:semiHidden/>
    <w:rsid w:val="00E77CB3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E77CB3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77CB3"/>
  </w:style>
  <w:style w:type="paragraph" w:styleId="HTMLAddress">
    <w:name w:val="HTML Address"/>
    <w:basedOn w:val="Normal"/>
    <w:link w:val="HTMLAddressChar"/>
    <w:uiPriority w:val="99"/>
    <w:semiHidden/>
    <w:rsid w:val="00E77CB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77CB3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E77CB3"/>
    <w:rPr>
      <w:i/>
      <w:iCs/>
    </w:rPr>
  </w:style>
  <w:style w:type="character" w:styleId="HTMLCode">
    <w:name w:val="HTML Code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E77CB3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7CB3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E77CB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E77CB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77CB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E77CB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E77CB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E77CB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E77CB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E77CB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E77CB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E77CB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E77CB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E77CB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E77CB3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E77CB3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E77CB3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E77CB3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E77CB3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E77CB3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E77CB3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E77CB3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E77CB3"/>
  </w:style>
  <w:style w:type="paragraph" w:styleId="List">
    <w:name w:val="List"/>
    <w:basedOn w:val="Normal"/>
    <w:uiPriority w:val="99"/>
    <w:semiHidden/>
    <w:rsid w:val="00E77CB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77CB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77CB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77CB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77CB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E77CB3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E77CB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E77CB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E77CB3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E77CB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77CB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77CB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77CB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77CB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E77CB3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E77CB3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E77CB3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E77CB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E77CB3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E77C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77CB3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E77CB3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E77CB3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E77CB3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E77C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7C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77CB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E77C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77CB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77CB3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555FDE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E77CB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7CB3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77C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77CB3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E77CB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77CB3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rsid w:val="00E77CB3"/>
    <w:pPr>
      <w:jc w:val="both"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E77CB3"/>
    <w:pPr>
      <w:jc w:val="both"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E77CB3"/>
    <w:pPr>
      <w:jc w:val="both"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E77CB3"/>
    <w:pPr>
      <w:jc w:val="both"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77CB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E77CB3"/>
  </w:style>
  <w:style w:type="table" w:styleId="TableProfessional">
    <w:name w:val="Table Professional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E77CB3"/>
    <w:pPr>
      <w:jc w:val="both"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E77CB3"/>
    <w:pPr>
      <w:jc w:val="both"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E77CB3"/>
    <w:pPr>
      <w:jc w:val="both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E77CB3"/>
    <w:pPr>
      <w:jc w:val="both"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555FDE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555FDE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E77CB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E77CB3"/>
    <w:pPr>
      <w:spacing w:after="100"/>
      <w:ind w:left="1920"/>
    </w:pPr>
  </w:style>
  <w:style w:type="paragraph" w:customStyle="1" w:styleId="OpiHi">
    <w:name w:val="Opi_H_i"/>
    <w:basedOn w:val="ECHRHeading4"/>
    <w:uiPriority w:val="44"/>
    <w:qFormat/>
    <w:rsid w:val="00555FDE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555FDE"/>
  </w:style>
  <w:style w:type="paragraph" w:customStyle="1" w:styleId="OpiParaSub">
    <w:name w:val="Opi_Para_Sub"/>
    <w:basedOn w:val="JuParaSub"/>
    <w:uiPriority w:val="47"/>
    <w:qFormat/>
    <w:rsid w:val="00555FDE"/>
  </w:style>
  <w:style w:type="paragraph" w:customStyle="1" w:styleId="OpiQuot">
    <w:name w:val="Opi_Quot"/>
    <w:basedOn w:val="ECHRParaQuote"/>
    <w:uiPriority w:val="48"/>
    <w:qFormat/>
    <w:rsid w:val="00555FDE"/>
  </w:style>
  <w:style w:type="paragraph" w:customStyle="1" w:styleId="OpiQuotSub">
    <w:name w:val="Opi_Quot_Sub"/>
    <w:basedOn w:val="JuQuotSub"/>
    <w:uiPriority w:val="49"/>
    <w:qFormat/>
    <w:rsid w:val="00555FDE"/>
  </w:style>
  <w:style w:type="paragraph" w:customStyle="1" w:styleId="OpiTranslation">
    <w:name w:val="Opi_Translation"/>
    <w:basedOn w:val="Normal"/>
    <w:next w:val="OpiPara"/>
    <w:uiPriority w:val="40"/>
    <w:qFormat/>
    <w:rsid w:val="00555FDE"/>
    <w:pPr>
      <w:jc w:val="center"/>
      <w:outlineLvl w:val="0"/>
    </w:pPr>
    <w:rPr>
      <w:i/>
    </w:rPr>
  </w:style>
  <w:style w:type="paragraph" w:customStyle="1" w:styleId="JuHeaderLandscape">
    <w:name w:val="Ju_Header_Landscape"/>
    <w:basedOn w:val="ECHRHeader"/>
    <w:uiPriority w:val="4"/>
    <w:qFormat/>
    <w:rsid w:val="00555FDE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Spacer">
    <w:name w:val="ECHR_Spacer"/>
    <w:basedOn w:val="Normal"/>
    <w:uiPriority w:val="45"/>
    <w:rsid w:val="00AA755B"/>
    <w:pPr>
      <w:jc w:val="left"/>
    </w:pPr>
    <w:rPr>
      <w:rFonts w:eastAsiaTheme="minorHAnsi"/>
      <w:sz w:val="4"/>
    </w:rPr>
  </w:style>
  <w:style w:type="character" w:customStyle="1" w:styleId="ECHRParaChar">
    <w:name w:val="ECHR_Para Char"/>
    <w:aliases w:val="Ju_Para Char"/>
    <w:link w:val="ECHRPara"/>
    <w:uiPriority w:val="12"/>
    <w:rsid w:val="00A935C2"/>
    <w:rPr>
      <w:rFonts w:eastAsiaTheme="minorEastAsi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8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DF66-6908-4512-B339-F292F02A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4852</Words>
  <Characters>27660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2019-06-03T07:03:00Z</dcterms:created>
  <dcterms:modified xsi:type="dcterms:W3CDTF">2019-06-03T07:03:00Z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