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9" w:rsidRPr="00275293" w:rsidRDefault="00275293">
      <w:pPr>
        <w:jc w:val="center"/>
        <w:rPr>
          <w:b/>
          <w:lang w:val="bg-BG"/>
        </w:rPr>
      </w:pPr>
      <w:r w:rsidRPr="00275293">
        <w:rPr>
          <w:b/>
          <w:lang w:val="bg-BG"/>
        </w:rPr>
        <w:t>ЕВРОПЕЙСКИ СЪД ПО ПРАВАТА НА ЧОВЕКА</w:t>
      </w:r>
    </w:p>
    <w:p w:rsidR="00925A19" w:rsidRPr="003E1C30" w:rsidRDefault="00925A19">
      <w:pPr>
        <w:jc w:val="center"/>
        <w:rPr>
          <w:lang w:val="bg-BG"/>
        </w:rPr>
      </w:pPr>
    </w:p>
    <w:p w:rsidR="00925A19" w:rsidRPr="003E1C30" w:rsidRDefault="00925A19">
      <w:pPr>
        <w:jc w:val="center"/>
        <w:rPr>
          <w:lang w:val="bg-BG"/>
        </w:rPr>
      </w:pPr>
    </w:p>
    <w:p w:rsidR="00925A19" w:rsidRPr="003E1C30" w:rsidRDefault="00961074">
      <w:pPr>
        <w:jc w:val="center"/>
        <w:rPr>
          <w:lang w:val="bg-BG"/>
        </w:rPr>
      </w:pPr>
      <w:r w:rsidRPr="003E1C30">
        <w:rPr>
          <w:lang w:val="bg-BG"/>
        </w:rPr>
        <w:t>ПЕТО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ОТДЕЛЕНИЕ</w:t>
      </w:r>
    </w:p>
    <w:p w:rsidR="00925A19" w:rsidRPr="003E1C30" w:rsidRDefault="00925A19">
      <w:pPr>
        <w:jc w:val="center"/>
        <w:rPr>
          <w:lang w:val="bg-BG"/>
        </w:rPr>
      </w:pPr>
    </w:p>
    <w:p w:rsidR="00925A19" w:rsidRPr="003E1C30" w:rsidRDefault="00925A19">
      <w:pPr>
        <w:jc w:val="center"/>
        <w:rPr>
          <w:lang w:val="bg-BG"/>
        </w:rPr>
      </w:pPr>
    </w:p>
    <w:p w:rsidR="00925A19" w:rsidRPr="003E1C30" w:rsidRDefault="00925A19" w:rsidP="00275293">
      <w:pPr>
        <w:rPr>
          <w:lang w:val="bg-BG"/>
        </w:rPr>
      </w:pPr>
    </w:p>
    <w:p w:rsidR="00925A19" w:rsidRPr="003E1C30" w:rsidRDefault="00961074">
      <w:pPr>
        <w:jc w:val="center"/>
        <w:rPr>
          <w:b/>
          <w:lang w:val="bg-BG"/>
        </w:rPr>
      </w:pPr>
      <w:r w:rsidRPr="003E1C30">
        <w:rPr>
          <w:b/>
          <w:lang w:val="bg-BG"/>
        </w:rPr>
        <w:t>ДЕЛО</w:t>
      </w:r>
      <w:r w:rsidR="00BC2F33">
        <w:rPr>
          <w:b/>
          <w:lang w:val="bg-BG"/>
        </w:rPr>
        <w:t xml:space="preserve"> </w:t>
      </w:r>
      <w:r w:rsidRPr="003E1C30">
        <w:rPr>
          <w:b/>
          <w:lang w:val="bg-BG"/>
        </w:rPr>
        <w:t>ЗАШЕВИ</w:t>
      </w:r>
      <w:r w:rsidR="00BC2F33">
        <w:rPr>
          <w:b/>
          <w:lang w:val="bg-BG"/>
        </w:rPr>
        <w:t xml:space="preserve"> </w:t>
      </w:r>
      <w:r w:rsidRPr="003E1C30">
        <w:rPr>
          <w:b/>
          <w:lang w:val="bg-BG"/>
        </w:rPr>
        <w:t>срещу</w:t>
      </w:r>
      <w:r w:rsidR="00BC2F33">
        <w:rPr>
          <w:b/>
          <w:lang w:val="bg-BG"/>
        </w:rPr>
        <w:t xml:space="preserve"> </w:t>
      </w:r>
      <w:r w:rsidRPr="003E1C30">
        <w:rPr>
          <w:b/>
          <w:lang w:val="bg-BG"/>
        </w:rPr>
        <w:t>БЪЛГАРИЯ</w:t>
      </w:r>
    </w:p>
    <w:p w:rsidR="00925A19" w:rsidRPr="003E1C30" w:rsidRDefault="00925A19">
      <w:pPr>
        <w:jc w:val="center"/>
        <w:rPr>
          <w:lang w:val="bg-BG"/>
        </w:rPr>
      </w:pPr>
    </w:p>
    <w:p w:rsidR="00925A19" w:rsidRPr="003E1C30" w:rsidRDefault="00925A19">
      <w:pPr>
        <w:jc w:val="center"/>
        <w:rPr>
          <w:i/>
          <w:lang w:val="bg-BG"/>
        </w:rPr>
      </w:pPr>
      <w:r w:rsidRPr="003E1C30">
        <w:rPr>
          <w:i/>
          <w:lang w:val="bg-BG"/>
        </w:rPr>
        <w:t>(</w:t>
      </w:r>
      <w:r w:rsidR="00961074" w:rsidRPr="003E1C30">
        <w:rPr>
          <w:i/>
          <w:lang w:val="bg-BG"/>
        </w:rPr>
        <w:t>Жалба</w:t>
      </w:r>
      <w:r w:rsidR="00BC2F33">
        <w:rPr>
          <w:i/>
          <w:lang w:val="bg-BG"/>
        </w:rPr>
        <w:t xml:space="preserve"> </w:t>
      </w:r>
      <w:r w:rsidR="00961074" w:rsidRPr="003E1C30">
        <w:rPr>
          <w:i/>
          <w:lang w:val="bg-BG"/>
        </w:rPr>
        <w:t>№</w:t>
      </w:r>
      <w:r w:rsidR="00BC2F33">
        <w:rPr>
          <w:i/>
          <w:lang w:val="bg-BG"/>
        </w:rPr>
        <w:t xml:space="preserve"> </w:t>
      </w:r>
      <w:r w:rsidRPr="003E1C30">
        <w:rPr>
          <w:i/>
          <w:lang w:val="bg-BG"/>
        </w:rPr>
        <w:t>19406/05)</w:t>
      </w: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25A19" w:rsidP="00275293">
      <w:pPr>
        <w:rPr>
          <w:szCs w:val="24"/>
          <w:lang w:val="bg-BG"/>
        </w:rPr>
      </w:pPr>
    </w:p>
    <w:p w:rsidR="00925A19" w:rsidRPr="003E1C30" w:rsidRDefault="00961074" w:rsidP="00FF10F2">
      <w:pPr>
        <w:jc w:val="center"/>
        <w:rPr>
          <w:szCs w:val="24"/>
          <w:lang w:val="bg-BG"/>
        </w:rPr>
      </w:pPr>
      <w:r w:rsidRPr="003E1C30">
        <w:rPr>
          <w:szCs w:val="24"/>
          <w:lang w:val="bg-BG"/>
        </w:rPr>
        <w:t>РЕШЕНИЕ</w:t>
      </w: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61074" w:rsidP="00FF10F2">
      <w:pPr>
        <w:jc w:val="center"/>
        <w:rPr>
          <w:szCs w:val="24"/>
          <w:lang w:val="bg-BG"/>
        </w:rPr>
      </w:pPr>
      <w:r w:rsidRPr="003E1C30">
        <w:rPr>
          <w:szCs w:val="24"/>
          <w:lang w:val="bg-BG"/>
        </w:rPr>
        <w:t>РЕШЕНИЕ</w:t>
      </w: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25A19" w:rsidP="00FF10F2">
      <w:pPr>
        <w:jc w:val="center"/>
        <w:rPr>
          <w:szCs w:val="24"/>
          <w:lang w:val="bg-BG"/>
        </w:rPr>
      </w:pPr>
      <w:r w:rsidRPr="003E1C30">
        <w:rPr>
          <w:szCs w:val="24"/>
          <w:lang w:val="bg-BG"/>
        </w:rPr>
        <w:t>2</w:t>
      </w:r>
      <w:r w:rsidR="00BC2F33">
        <w:rPr>
          <w:szCs w:val="24"/>
          <w:lang w:val="bg-BG"/>
        </w:rPr>
        <w:t xml:space="preserve"> </w:t>
      </w:r>
      <w:r w:rsidR="00961074" w:rsidRPr="003E1C30">
        <w:rPr>
          <w:szCs w:val="24"/>
          <w:lang w:val="bg-BG"/>
        </w:rPr>
        <w:t>декември</w:t>
      </w:r>
      <w:r w:rsidR="00BC2F33">
        <w:rPr>
          <w:szCs w:val="24"/>
          <w:lang w:val="bg-BG"/>
        </w:rPr>
        <w:t xml:space="preserve"> </w:t>
      </w:r>
      <w:r w:rsidRPr="003E1C30">
        <w:rPr>
          <w:szCs w:val="24"/>
          <w:lang w:val="bg-BG"/>
        </w:rPr>
        <w:t>2010</w:t>
      </w:r>
      <w:r w:rsidR="00BC2F33">
        <w:rPr>
          <w:szCs w:val="24"/>
          <w:lang w:val="bg-BG"/>
        </w:rPr>
        <w:t> г.</w:t>
      </w: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25A19" w:rsidP="00FF10F2">
      <w:pPr>
        <w:jc w:val="center"/>
        <w:rPr>
          <w:szCs w:val="24"/>
          <w:lang w:val="bg-BG"/>
        </w:rPr>
      </w:pPr>
    </w:p>
    <w:p w:rsidR="00925A19" w:rsidRPr="003E1C30" w:rsidRDefault="00961074" w:rsidP="00FF10F2">
      <w:pPr>
        <w:jc w:val="both"/>
        <w:rPr>
          <w:szCs w:val="22"/>
          <w:lang w:val="bg-BG"/>
        </w:rPr>
      </w:pPr>
      <w:r w:rsidRPr="003E1C30">
        <w:rPr>
          <w:i/>
          <w:sz w:val="22"/>
          <w:szCs w:val="22"/>
          <w:lang w:val="bg-BG"/>
        </w:rPr>
        <w:t>Решението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става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окончателно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при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обстоятелствата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по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член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44,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§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2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на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Конвенцията.</w:t>
      </w:r>
      <w:r w:rsidR="00BC2F33">
        <w:rPr>
          <w:i/>
          <w:sz w:val="22"/>
          <w:szCs w:val="22"/>
          <w:lang w:val="bg-BG"/>
        </w:rPr>
        <w:t xml:space="preserve"> </w:t>
      </w:r>
      <w:r w:rsidR="00DC3E8B">
        <w:rPr>
          <w:i/>
          <w:sz w:val="22"/>
          <w:szCs w:val="22"/>
          <w:lang w:val="bg-BG"/>
        </w:rPr>
        <w:t xml:space="preserve">То може 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да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бъде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предмет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на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редакторска</w:t>
      </w:r>
      <w:r w:rsidR="00BC2F33">
        <w:rPr>
          <w:i/>
          <w:sz w:val="22"/>
          <w:szCs w:val="22"/>
          <w:lang w:val="bg-BG"/>
        </w:rPr>
        <w:t xml:space="preserve"> </w:t>
      </w:r>
      <w:r w:rsidRPr="003E1C30">
        <w:rPr>
          <w:i/>
          <w:sz w:val="22"/>
          <w:szCs w:val="22"/>
          <w:lang w:val="bg-BG"/>
        </w:rPr>
        <w:t>преработка.</w:t>
      </w:r>
    </w:p>
    <w:p w:rsidR="00925A19" w:rsidRPr="003E1C30" w:rsidRDefault="00925A19" w:rsidP="00B921A8">
      <w:pPr>
        <w:pStyle w:val="JuCase"/>
        <w:rPr>
          <w:lang w:val="bg-BG"/>
        </w:rPr>
        <w:sectPr w:rsidR="00925A19" w:rsidRPr="003E1C30" w:rsidSect="00FF10F2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titlePg/>
          <w:docGrid w:linePitch="254"/>
        </w:sectPr>
      </w:pPr>
    </w:p>
    <w:p w:rsidR="00925A19" w:rsidRPr="003E1C30" w:rsidRDefault="00842822" w:rsidP="00B921A8">
      <w:pPr>
        <w:pStyle w:val="JuCase"/>
        <w:rPr>
          <w:lang w:val="bg-BG"/>
        </w:rPr>
      </w:pPr>
      <w:r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делото</w:t>
      </w:r>
      <w:r w:rsidR="00BC2F33">
        <w:rPr>
          <w:lang w:val="bg-BG"/>
        </w:rPr>
        <w:t xml:space="preserve"> </w:t>
      </w:r>
      <w:r w:rsidRPr="003E1C30">
        <w:rPr>
          <w:b w:val="0"/>
          <w:lang w:val="bg-BG"/>
        </w:rPr>
        <w:t>„Зашеви</w:t>
      </w:r>
      <w:r w:rsidR="00BC2F33">
        <w:rPr>
          <w:b w:val="0"/>
          <w:lang w:val="bg-BG"/>
        </w:rPr>
        <w:t xml:space="preserve"> </w:t>
      </w:r>
      <w:r w:rsidRPr="003E1C30">
        <w:rPr>
          <w:b w:val="0"/>
          <w:lang w:val="bg-BG"/>
        </w:rPr>
        <w:t>срещу</w:t>
      </w:r>
      <w:r w:rsidR="00BC2F33">
        <w:rPr>
          <w:b w:val="0"/>
          <w:lang w:val="bg-BG"/>
        </w:rPr>
        <w:t xml:space="preserve"> </w:t>
      </w:r>
      <w:r w:rsidRPr="003E1C30">
        <w:rPr>
          <w:b w:val="0"/>
          <w:lang w:val="bg-BG"/>
        </w:rPr>
        <w:t>България</w:t>
      </w:r>
      <w:r w:rsidR="00DC3E8B">
        <w:rPr>
          <w:b w:val="0"/>
          <w:lang w:val="bg-BG"/>
        </w:rPr>
        <w:t>“</w:t>
      </w:r>
      <w:r w:rsidR="00925A19" w:rsidRPr="00DC3E8B">
        <w:rPr>
          <w:b w:val="0"/>
          <w:lang w:val="bg-BG"/>
        </w:rPr>
        <w:t>,</w:t>
      </w:r>
    </w:p>
    <w:p w:rsidR="00925A19" w:rsidRPr="003E1C30" w:rsidRDefault="00842822" w:rsidP="00730433">
      <w:pPr>
        <w:pStyle w:val="JuPara"/>
        <w:rPr>
          <w:lang w:val="bg-BG"/>
        </w:rPr>
      </w:pPr>
      <w:r w:rsidRPr="003E1C30">
        <w:rPr>
          <w:lang w:val="bg-BG"/>
        </w:rPr>
        <w:t>Европейският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човека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(Пето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отделение),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заседание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състав:</w:t>
      </w:r>
    </w:p>
    <w:p w:rsidR="00842822" w:rsidRPr="003E1C30" w:rsidRDefault="00842822" w:rsidP="00842822">
      <w:pPr>
        <w:pStyle w:val="JuJudges"/>
        <w:rPr>
          <w:lang w:val="bg-BG"/>
        </w:rPr>
      </w:pPr>
      <w:r w:rsidRPr="003E1C30">
        <w:rPr>
          <w:lang w:val="bg-BG"/>
        </w:rPr>
        <w:tab/>
      </w:r>
      <w:proofErr w:type="spellStart"/>
      <w:r w:rsidRPr="003E1C30">
        <w:rPr>
          <w:lang w:val="bg-BG"/>
        </w:rPr>
        <w:t>Пеер</w:t>
      </w:r>
      <w:proofErr w:type="spellEnd"/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Лоренцен</w:t>
      </w:r>
      <w:proofErr w:type="spellEnd"/>
      <w:r w:rsidRPr="003E1C30">
        <w:rPr>
          <w:lang w:val="bg-BG"/>
        </w:rPr>
        <w:t>,</w:t>
      </w:r>
      <w:r w:rsidR="00BC2F33">
        <w:rPr>
          <w:i/>
          <w:lang w:val="bg-BG"/>
        </w:rPr>
        <w:t xml:space="preserve"> </w:t>
      </w:r>
      <w:r w:rsidRPr="003E1C30">
        <w:rPr>
          <w:i/>
          <w:lang w:val="bg-BG"/>
        </w:rPr>
        <w:t>Председател,</w:t>
      </w:r>
      <w:r w:rsidRPr="003E1C30">
        <w:rPr>
          <w:i/>
          <w:lang w:val="bg-BG"/>
        </w:rPr>
        <w:br/>
      </w:r>
      <w:r w:rsidRPr="003E1C30">
        <w:rPr>
          <w:lang w:val="bg-BG"/>
        </w:rPr>
        <w:tab/>
      </w:r>
      <w:proofErr w:type="spellStart"/>
      <w:r w:rsidRPr="003E1C30">
        <w:rPr>
          <w:lang w:val="bg-BG"/>
        </w:rPr>
        <w:t>Ренате</w:t>
      </w:r>
      <w:proofErr w:type="spellEnd"/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Йегер</w:t>
      </w:r>
      <w:proofErr w:type="spellEnd"/>
      <w:r w:rsidRPr="003E1C30">
        <w:rPr>
          <w:lang w:val="bg-BG"/>
        </w:rPr>
        <w:t>,</w:t>
      </w:r>
      <w:r w:rsidRPr="003E1C30">
        <w:rPr>
          <w:i/>
          <w:lang w:val="bg-BG"/>
        </w:rPr>
        <w:br/>
      </w:r>
      <w:r w:rsidRPr="003E1C30">
        <w:rPr>
          <w:lang w:val="bg-BG"/>
        </w:rPr>
        <w:tab/>
        <w:t>Карел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Юнгвирт</w:t>
      </w:r>
      <w:proofErr w:type="spellEnd"/>
      <w:r w:rsidRPr="003E1C30">
        <w:rPr>
          <w:lang w:val="bg-BG"/>
        </w:rPr>
        <w:t>,</w:t>
      </w:r>
    </w:p>
    <w:p w:rsidR="00842822" w:rsidRPr="003E1C30" w:rsidRDefault="00842822" w:rsidP="00842822">
      <w:pPr>
        <w:pStyle w:val="JuJudges"/>
        <w:rPr>
          <w:lang w:val="bg-BG"/>
        </w:rPr>
      </w:pPr>
      <w:r w:rsidRPr="003E1C30">
        <w:rPr>
          <w:lang w:val="bg-BG"/>
        </w:rPr>
        <w:tab/>
        <w:t>Марк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Вилиджър</w:t>
      </w:r>
      <w:proofErr w:type="spellEnd"/>
      <w:r w:rsidRPr="003E1C30">
        <w:rPr>
          <w:lang w:val="bg-BG"/>
        </w:rPr>
        <w:t>,</w:t>
      </w:r>
      <w:r w:rsidRPr="003E1C30">
        <w:rPr>
          <w:i/>
          <w:lang w:val="bg-BG"/>
        </w:rPr>
        <w:br/>
      </w:r>
      <w:r w:rsidRPr="003E1C30">
        <w:rPr>
          <w:lang w:val="bg-BG"/>
        </w:rPr>
        <w:tab/>
        <w:t>Миряна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Лазарова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Трайковска</w:t>
      </w:r>
      <w:proofErr w:type="spellEnd"/>
      <w:r w:rsidRPr="003E1C30">
        <w:rPr>
          <w:lang w:val="bg-BG"/>
        </w:rPr>
        <w:t>,</w:t>
      </w:r>
      <w:r w:rsidRPr="003E1C30">
        <w:rPr>
          <w:i/>
          <w:lang w:val="bg-BG"/>
        </w:rPr>
        <w:br/>
      </w:r>
      <w:r w:rsidRPr="003E1C30">
        <w:rPr>
          <w:lang w:val="bg-BG"/>
        </w:rPr>
        <w:tab/>
        <w:t>Здравка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Калайджиева,</w:t>
      </w:r>
      <w:r w:rsidR="00BC2F33">
        <w:rPr>
          <w:i/>
          <w:lang w:val="bg-BG"/>
        </w:rPr>
        <w:t xml:space="preserve"> </w:t>
      </w:r>
      <w:r w:rsidRPr="003E1C30">
        <w:rPr>
          <w:i/>
          <w:lang w:val="bg-BG"/>
        </w:rPr>
        <w:br/>
      </w:r>
      <w:r w:rsidRPr="003E1C30">
        <w:rPr>
          <w:rStyle w:val="JuJudgesChar"/>
          <w:lang w:val="bg-BG"/>
        </w:rPr>
        <w:tab/>
        <w:t>Гана</w:t>
      </w:r>
      <w:r w:rsidR="00BC2F33">
        <w:rPr>
          <w:rStyle w:val="JuJudgesChar"/>
          <w:lang w:val="bg-BG"/>
        </w:rPr>
        <w:t xml:space="preserve"> </w:t>
      </w:r>
      <w:proofErr w:type="spellStart"/>
      <w:r w:rsidRPr="003E1C30">
        <w:rPr>
          <w:rStyle w:val="JuJudgesChar"/>
          <w:lang w:val="bg-BG"/>
        </w:rPr>
        <w:t>Юдкивска</w:t>
      </w:r>
      <w:proofErr w:type="spellEnd"/>
      <w:r w:rsidRPr="003E1C30">
        <w:rPr>
          <w:lang w:val="bg-BG"/>
        </w:rPr>
        <w:t>,</w:t>
      </w:r>
      <w:r w:rsidR="00BC2F33">
        <w:rPr>
          <w:i/>
          <w:lang w:val="bg-BG"/>
        </w:rPr>
        <w:t xml:space="preserve"> </w:t>
      </w:r>
      <w:r w:rsidRPr="003E1C30">
        <w:rPr>
          <w:i/>
          <w:lang w:val="bg-BG"/>
        </w:rPr>
        <w:t>съдии,</w:t>
      </w:r>
      <w:r w:rsidR="00BC2F33">
        <w:rPr>
          <w:lang w:val="bg-BG"/>
        </w:rPr>
        <w:t xml:space="preserve"> </w:t>
      </w:r>
    </w:p>
    <w:p w:rsidR="00842822" w:rsidRPr="003E1C30" w:rsidRDefault="00275293" w:rsidP="00842822">
      <w:pPr>
        <w:pStyle w:val="JuJudges"/>
        <w:rPr>
          <w:lang w:val="bg-BG"/>
        </w:rPr>
      </w:pPr>
      <w:r>
        <w:rPr>
          <w:lang w:val="bg-BG"/>
        </w:rPr>
        <w:tab/>
      </w:r>
      <w:bookmarkStart w:id="0" w:name="_GoBack"/>
      <w:bookmarkEnd w:id="0"/>
      <w:r w:rsidR="0084282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proofErr w:type="spellStart"/>
      <w:r w:rsidR="00842822" w:rsidRPr="003E1C30">
        <w:rPr>
          <w:lang w:val="bg-BG"/>
        </w:rPr>
        <w:t>Клаудия</w:t>
      </w:r>
      <w:proofErr w:type="spellEnd"/>
      <w:r w:rsidR="00BC2F33">
        <w:rPr>
          <w:lang w:val="bg-BG"/>
        </w:rPr>
        <w:t xml:space="preserve"> </w:t>
      </w:r>
      <w:proofErr w:type="spellStart"/>
      <w:r w:rsidR="00842822" w:rsidRPr="003E1C30">
        <w:rPr>
          <w:lang w:val="bg-BG"/>
        </w:rPr>
        <w:t>Вестердийк</w:t>
      </w:r>
      <w:proofErr w:type="spellEnd"/>
      <w:r w:rsidR="00842822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42822" w:rsidRPr="003E1C30">
        <w:rPr>
          <w:i/>
          <w:lang w:val="bg-BG"/>
        </w:rPr>
        <w:t>Секретар</w:t>
      </w:r>
      <w:r w:rsidR="00BC2F33">
        <w:rPr>
          <w:i/>
          <w:lang w:val="bg-BG"/>
        </w:rPr>
        <w:t xml:space="preserve"> </w:t>
      </w:r>
      <w:r w:rsidR="00842822" w:rsidRPr="003E1C30">
        <w:rPr>
          <w:i/>
          <w:lang w:val="bg-BG"/>
        </w:rPr>
        <w:t>на</w:t>
      </w:r>
      <w:r w:rsidR="00BC2F33">
        <w:rPr>
          <w:i/>
          <w:lang w:val="bg-BG"/>
        </w:rPr>
        <w:t xml:space="preserve"> </w:t>
      </w:r>
      <w:r w:rsidR="00842822" w:rsidRPr="003E1C30">
        <w:rPr>
          <w:i/>
          <w:lang w:val="bg-BG"/>
        </w:rPr>
        <w:t>отделението</w:t>
      </w:r>
      <w:r w:rsidR="00842822" w:rsidRPr="003E1C30">
        <w:rPr>
          <w:lang w:val="bg-BG"/>
        </w:rPr>
        <w:t>,</w:t>
      </w:r>
    </w:p>
    <w:p w:rsidR="00842822" w:rsidRPr="003E1C30" w:rsidRDefault="00842822" w:rsidP="00842822">
      <w:pPr>
        <w:pStyle w:val="JuPara"/>
        <w:rPr>
          <w:lang w:val="bg-BG"/>
        </w:rPr>
      </w:pPr>
      <w:r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заседава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закрити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врата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9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ноември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2010</w:t>
      </w:r>
      <w:r w:rsidR="00BC2F33">
        <w:rPr>
          <w:lang w:val="bg-BG"/>
        </w:rPr>
        <w:t> г.</w:t>
      </w:r>
      <w:r w:rsidRPr="003E1C30">
        <w:rPr>
          <w:lang w:val="bg-BG"/>
        </w:rPr>
        <w:t>,</w:t>
      </w:r>
    </w:p>
    <w:p w:rsidR="00842822" w:rsidRPr="003E1C30" w:rsidRDefault="00842822" w:rsidP="00842822">
      <w:pPr>
        <w:pStyle w:val="JuPara"/>
        <w:rPr>
          <w:lang w:val="bg-BG"/>
        </w:rPr>
      </w:pPr>
      <w:r w:rsidRPr="003E1C30">
        <w:rPr>
          <w:lang w:val="bg-BG"/>
        </w:rPr>
        <w:t>постанови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следното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решение,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прието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указаната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по-горе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дата:</w:t>
      </w:r>
    </w:p>
    <w:p w:rsidR="00925A19" w:rsidRPr="003E1C30" w:rsidRDefault="00842822">
      <w:pPr>
        <w:pStyle w:val="JuHHead"/>
        <w:rPr>
          <w:lang w:val="bg-BG"/>
        </w:rPr>
      </w:pPr>
      <w:r w:rsidRPr="003E1C30">
        <w:rPr>
          <w:bCs/>
          <w:lang w:val="bg-BG"/>
        </w:rPr>
        <w:t>ПРОЦЕДУРА</w:t>
      </w:r>
    </w:p>
    <w:p w:rsidR="00925A19" w:rsidRPr="003E1C30" w:rsidRDefault="00373C23" w:rsidP="00AE2F4F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 w:eastAsia="zh-CN"/>
        </w:rPr>
        <w:t>Делото</w:t>
      </w:r>
      <w:r w:rsidR="00BC2F33">
        <w:rPr>
          <w:lang w:val="bg-BG" w:eastAsia="zh-CN"/>
        </w:rPr>
        <w:t xml:space="preserve"> </w:t>
      </w:r>
      <w:r w:rsidR="00811038" w:rsidRPr="003E1C30">
        <w:rPr>
          <w:lang w:val="bg-BG" w:eastAsia="zh-CN"/>
        </w:rPr>
        <w:t>е</w:t>
      </w:r>
      <w:r w:rsidR="00BC2F33">
        <w:rPr>
          <w:lang w:val="bg-BG" w:eastAsia="zh-CN"/>
        </w:rPr>
        <w:t xml:space="preserve"> </w:t>
      </w:r>
      <w:r w:rsidR="00811038" w:rsidRPr="003E1C30">
        <w:rPr>
          <w:lang w:val="bg-BG" w:eastAsia="zh-CN"/>
        </w:rPr>
        <w:t>заведено</w:t>
      </w:r>
      <w:r w:rsidR="00BC2F33">
        <w:rPr>
          <w:lang w:val="bg-BG" w:eastAsia="zh-CN"/>
        </w:rPr>
        <w:t xml:space="preserve"> </w:t>
      </w:r>
      <w:r w:rsidR="00811038" w:rsidRPr="003E1C30">
        <w:rPr>
          <w:lang w:val="bg-BG" w:eastAsia="zh-CN"/>
        </w:rPr>
        <w:t>по</w:t>
      </w:r>
      <w:r w:rsidR="00BC2F33">
        <w:rPr>
          <w:lang w:val="bg-BG" w:eastAsia="zh-CN"/>
        </w:rPr>
        <w:t xml:space="preserve"> </w:t>
      </w:r>
      <w:r w:rsidR="00811038" w:rsidRPr="003E1C30">
        <w:rPr>
          <w:lang w:val="bg-BG" w:eastAsia="zh-CN"/>
        </w:rPr>
        <w:t>жалба</w:t>
      </w:r>
      <w:r w:rsidR="00BC2F33">
        <w:rPr>
          <w:lang w:val="bg-BG" w:eastAsia="zh-CN"/>
        </w:rPr>
        <w:t xml:space="preserve"> </w:t>
      </w:r>
      <w:r w:rsidR="00811038" w:rsidRPr="003E1C30">
        <w:rPr>
          <w:rStyle w:val="JuParaCar"/>
          <w:lang w:val="bg-BG" w:eastAsia="zh-CN"/>
        </w:rPr>
        <w:t>(№</w:t>
      </w:r>
      <w:r w:rsidR="00BC2F33">
        <w:rPr>
          <w:rStyle w:val="JuParaCar"/>
          <w:lang w:val="bg-BG" w:eastAsia="zh-CN"/>
        </w:rPr>
        <w:t xml:space="preserve"> </w:t>
      </w:r>
      <w:r w:rsidR="00925A19" w:rsidRPr="003E1C30">
        <w:rPr>
          <w:lang w:val="bg-BG"/>
        </w:rPr>
        <w:t>19406/05)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Република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България,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подадена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основание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34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Конвенцията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защита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правата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човека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основните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свободи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(„Конвенцията</w:t>
      </w:r>
      <w:r w:rsidR="00DC3E8B">
        <w:rPr>
          <w:lang w:val="bg-BG"/>
        </w:rPr>
        <w:t>“</w:t>
      </w:r>
      <w:r w:rsidR="00811038" w:rsidRPr="003E1C30">
        <w:rPr>
          <w:lang w:val="bg-BG"/>
        </w:rPr>
        <w:t>)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двама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български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граждани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Генка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Иванова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Зашева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Методи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Димитров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(“</w:t>
      </w:r>
      <w:r w:rsidR="00811038" w:rsidRPr="003E1C30">
        <w:rPr>
          <w:lang w:val="bg-BG"/>
        </w:rPr>
        <w:t>жалбоподателите</w:t>
      </w:r>
      <w:r w:rsidR="00DC3E8B">
        <w:rPr>
          <w:lang w:val="bg-BG"/>
        </w:rPr>
        <w:t>“</w:t>
      </w:r>
      <w:r w:rsidR="00925A19" w:rsidRPr="003E1C30">
        <w:rPr>
          <w:lang w:val="bg-BG"/>
        </w:rPr>
        <w:t>),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26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април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2005</w:t>
      </w:r>
      <w:r w:rsidR="00BC2F33">
        <w:rPr>
          <w:lang w:val="bg-BG"/>
        </w:rPr>
        <w:t> г.</w:t>
      </w:r>
    </w:p>
    <w:p w:rsidR="00925A19" w:rsidRPr="003E1C30" w:rsidRDefault="00373C23" w:rsidP="00B8119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представлявани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Й.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Грозев,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адвокат,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практикуващ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София</w:t>
      </w:r>
      <w:r w:rsidR="00DC3E8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Б.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Боев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635AF">
        <w:rPr>
          <w:lang w:val="bg-BG"/>
        </w:rPr>
        <w:t>по-рано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адвокат,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практикуващ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София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2008</w:t>
      </w:r>
      <w:r w:rsidR="00BC2F33">
        <w:rPr>
          <w:lang w:val="bg-BG"/>
        </w:rPr>
        <w:t xml:space="preserve"> г. </w:t>
      </w:r>
      <w:r w:rsidR="00811038" w:rsidRPr="003E1C30">
        <w:rPr>
          <w:lang w:val="bg-BG"/>
        </w:rPr>
        <w:t>получава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разрешение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съгласно</w:t>
      </w:r>
      <w:r w:rsidR="00BC2F33">
        <w:rPr>
          <w:lang w:val="bg-BG"/>
        </w:rPr>
        <w:t xml:space="preserve"> </w:t>
      </w:r>
      <w:r w:rsidR="00D635AF" w:rsidRPr="003E1C30">
        <w:rPr>
          <w:lang w:val="bg-BG"/>
        </w:rPr>
        <w:t>член</w:t>
      </w:r>
      <w:r w:rsidR="00D635AF">
        <w:rPr>
          <w:lang w:val="bg-BG"/>
        </w:rPr>
        <w:t xml:space="preserve"> </w:t>
      </w:r>
      <w:r w:rsidR="00925A19" w:rsidRPr="003E1C30">
        <w:rPr>
          <w:lang w:val="bg-BG"/>
        </w:rPr>
        <w:t>36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D635AF">
        <w:rPr>
          <w:lang w:val="bg-BG"/>
        </w:rPr>
        <w:t xml:space="preserve">, буква </w:t>
      </w:r>
      <w:r w:rsidR="00925A19" w:rsidRPr="003E1C30">
        <w:rPr>
          <w:lang w:val="bg-BG"/>
        </w:rPr>
        <w:t>a)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in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fine</w:t>
      </w:r>
      <w:proofErr w:type="spellEnd"/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Правилника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продължи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представлява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Българското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правителство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D635AF">
        <w:rPr>
          <w:lang w:val="bg-BG"/>
        </w:rPr>
        <w:t>„</w:t>
      </w:r>
      <w:r w:rsidR="00811038" w:rsidRPr="003E1C30">
        <w:rPr>
          <w:lang w:val="bg-BG"/>
        </w:rPr>
        <w:t>Правителството</w:t>
      </w:r>
      <w:r w:rsidR="00D635AF">
        <w:rPr>
          <w:lang w:val="bg-BG"/>
        </w:rPr>
        <w:t>“</w:t>
      </w:r>
      <w:r w:rsidR="00925A19" w:rsidRPr="003E1C30">
        <w:rPr>
          <w:lang w:val="bg-BG"/>
        </w:rPr>
        <w:t>)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представлявано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своя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Агент,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М.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Димова,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Министерство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правосъдието</w:t>
      </w:r>
      <w:r w:rsidR="00925A19" w:rsidRPr="003E1C30">
        <w:rPr>
          <w:lang w:val="bg-BG"/>
        </w:rPr>
        <w:t>.</w:t>
      </w:r>
    </w:p>
    <w:p w:rsidR="00925A19" w:rsidRPr="003E1C30" w:rsidRDefault="00373C23" w:rsidP="00B8119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твърдят,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извършили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сина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02609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разполагали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еф</w:t>
      </w:r>
      <w:r w:rsidR="003D77D1">
        <w:rPr>
          <w:lang w:val="bg-BG"/>
        </w:rPr>
        <w:t>ективни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правни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средства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защита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връзка</w:t>
      </w:r>
      <w:r w:rsidR="00925A19" w:rsidRPr="003E1C30">
        <w:rPr>
          <w:lang w:val="bg-BG"/>
        </w:rPr>
        <w:t>.</w:t>
      </w:r>
    </w:p>
    <w:p w:rsidR="00925A19" w:rsidRPr="003E1C30" w:rsidRDefault="00373C23" w:rsidP="00A80135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септември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2009</w:t>
      </w:r>
      <w:r w:rsidR="00BC2F33">
        <w:rPr>
          <w:lang w:val="bg-BG"/>
        </w:rPr>
        <w:t xml:space="preserve"> г. </w:t>
      </w:r>
      <w:r w:rsidR="00141F1E" w:rsidRPr="003E1C30">
        <w:rPr>
          <w:lang w:val="bg-BG"/>
        </w:rPr>
        <w:t>Председателят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Пето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отделение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решава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D77D1">
        <w:rPr>
          <w:lang w:val="bg-BG"/>
        </w:rPr>
        <w:t xml:space="preserve">уведоми </w:t>
      </w:r>
      <w:r w:rsidR="00811038" w:rsidRPr="003E1C30">
        <w:rPr>
          <w:lang w:val="bg-BG"/>
        </w:rPr>
        <w:t>Правителството</w:t>
      </w:r>
      <w:r w:rsidR="003D77D1">
        <w:rPr>
          <w:lang w:val="bg-BG"/>
        </w:rPr>
        <w:t xml:space="preserve"> относно жалбата</w:t>
      </w:r>
      <w:r w:rsidR="00925A19" w:rsidRPr="003E1C30">
        <w:rPr>
          <w:lang w:val="bg-BG"/>
        </w:rPr>
        <w:t>.</w:t>
      </w:r>
    </w:p>
    <w:p w:rsidR="00925A19" w:rsidRPr="003E1C30" w:rsidRDefault="00141F1E">
      <w:pPr>
        <w:pStyle w:val="JuHHead"/>
        <w:rPr>
          <w:lang w:val="bg-BG"/>
        </w:rPr>
      </w:pPr>
      <w:r w:rsidRPr="003E1C30">
        <w:rPr>
          <w:lang w:val="bg-BG"/>
        </w:rPr>
        <w:t>ОТНОСНО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ФАКТИТЕ</w:t>
      </w:r>
    </w:p>
    <w:p w:rsidR="00925A19" w:rsidRPr="003E1C30" w:rsidRDefault="00925A19" w:rsidP="00D353F4">
      <w:pPr>
        <w:pStyle w:val="JuHIRoman"/>
        <w:rPr>
          <w:lang w:val="bg-BG"/>
        </w:rPr>
      </w:pPr>
      <w:r w:rsidRPr="003E1C30">
        <w:rPr>
          <w:lang w:val="bg-BG"/>
        </w:rPr>
        <w:t>I.</w:t>
      </w:r>
      <w:r w:rsidR="00BC2F33">
        <w:rPr>
          <w:lang w:val="bg-BG"/>
        </w:rPr>
        <w:t>  </w:t>
      </w:r>
      <w:r w:rsidR="00141F1E" w:rsidRPr="003E1C30">
        <w:rPr>
          <w:lang w:val="bg-BG"/>
        </w:rPr>
        <w:t>ОБСТОЯТЕЛСТВА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ДЕЛОТО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родени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съответно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1939</w:t>
      </w:r>
      <w:r w:rsidR="00BC2F33">
        <w:rPr>
          <w:lang w:val="bg-BG"/>
        </w:rPr>
        <w:t xml:space="preserve"> г. </w:t>
      </w:r>
      <w:r w:rsidR="00141F1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1933</w:t>
      </w:r>
      <w:r w:rsidR="00BC2F33">
        <w:rPr>
          <w:lang w:val="bg-BG"/>
        </w:rPr>
        <w:t xml:space="preserve"> г. </w:t>
      </w:r>
      <w:r w:rsidR="00141F1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живеят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София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141F1E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родители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Зашев,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прострелян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убит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лица,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опитват</w:t>
      </w:r>
      <w:r w:rsidR="00BC2F33">
        <w:rPr>
          <w:lang w:val="bg-BG"/>
        </w:rPr>
        <w:t xml:space="preserve"> </w:t>
      </w:r>
      <w:r w:rsidR="00141F1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ограбят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къщата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леля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село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Ставерци</w:t>
      </w:r>
      <w:r w:rsidR="00902609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окръг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Плевен</w:t>
      </w:r>
      <w:r w:rsidR="003D77D1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късните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часове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3D77D1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ранните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часове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1997</w:t>
      </w:r>
      <w:r w:rsidR="00BC2F33">
        <w:rPr>
          <w:lang w:val="bg-BG"/>
        </w:rPr>
        <w:t> г.</w:t>
      </w:r>
    </w:p>
    <w:p w:rsidR="00925A19" w:rsidRPr="003E1C30" w:rsidRDefault="00925A19" w:rsidP="00FB1622">
      <w:pPr>
        <w:pStyle w:val="JuHA"/>
        <w:rPr>
          <w:lang w:val="bg-BG"/>
        </w:rPr>
      </w:pPr>
      <w:r w:rsidRPr="003E1C30">
        <w:rPr>
          <w:lang w:val="bg-BG"/>
        </w:rPr>
        <w:t>A.</w:t>
      </w:r>
      <w:r w:rsidR="00BC2F33">
        <w:rPr>
          <w:lang w:val="bg-BG"/>
        </w:rPr>
        <w:t>  </w:t>
      </w:r>
      <w:r w:rsidR="004337B8" w:rsidRPr="003E1C30">
        <w:rPr>
          <w:lang w:val="bg-BG"/>
        </w:rPr>
        <w:t>Събитията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> г.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07F3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сутринта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неговия</w:t>
      </w:r>
      <w:r w:rsidR="00902609">
        <w:rPr>
          <w:lang w:val="bg-BG"/>
        </w:rPr>
        <w:t>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брат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C56F3">
        <w:rPr>
          <w:lang w:val="bg-BG"/>
        </w:rPr>
        <w:t>дошл</w:t>
      </w:r>
      <w:r w:rsidR="00957252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Ставерци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работа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отиват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съседно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село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C56F3">
        <w:rPr>
          <w:lang w:val="bg-BG"/>
        </w:rPr>
        <w:t>проверят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могат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купят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добитък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По-късно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този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ден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отиват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Плевен,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обменят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9C56F3">
        <w:rPr>
          <w:lang w:val="bg-BG"/>
        </w:rPr>
        <w:t> </w:t>
      </w:r>
      <w:r w:rsidR="00925A19"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германски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марки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</w:t>
      </w:r>
      <w:r w:rsidR="009C56F3">
        <w:rPr>
          <w:lang w:val="bg-BG"/>
        </w:rPr>
        <w:t> </w:t>
      </w:r>
      <w:r w:rsidR="00925A19"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щатски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долара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носят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</w:t>
      </w:r>
      <w:r w:rsidR="009C56F3">
        <w:rPr>
          <w:lang w:val="bg-BG"/>
        </w:rPr>
        <w:t> </w:t>
      </w:r>
      <w:r w:rsidR="00925A19"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български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лева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обменят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парит</w:t>
      </w:r>
      <w:r w:rsidR="00CA3A46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вечерта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връщат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Ставерци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около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22:</w:t>
      </w:r>
      <w:r w:rsidR="00925A19" w:rsidRPr="003E1C30">
        <w:rPr>
          <w:lang w:val="bg-BG"/>
        </w:rPr>
        <w:t>45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ч.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лягат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спят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Леля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им,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Т.</w:t>
      </w:r>
      <w:r w:rsidR="00FD6B9A">
        <w:rPr>
          <w:lang w:val="bg-BG"/>
        </w:rPr>
        <w:t xml:space="preserve"> </w:t>
      </w:r>
      <w:r w:rsidR="00307F3A" w:rsidRPr="003E1C30">
        <w:rPr>
          <w:lang w:val="bg-BG"/>
        </w:rPr>
        <w:t>Л.</w:t>
      </w:r>
      <w:r w:rsidR="009C56F3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спи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съседната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стая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8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07F3A" w:rsidRPr="003E1C30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полунощ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двамата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братя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събуждат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виждат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стаята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трима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мъже,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носещи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маски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ръкавици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Един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тях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носи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ловна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пушка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друг</w:t>
      </w:r>
      <w:r w:rsidR="00542CFE">
        <w:rPr>
          <w:lang w:val="bg-BG"/>
        </w:rPr>
        <w:t>и</w:t>
      </w:r>
      <w:r w:rsidR="00307F3A" w:rsidRPr="003E1C30">
        <w:rPr>
          <w:lang w:val="bg-BG"/>
        </w:rPr>
        <w:t>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метална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тръба,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третият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невъоръжен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Двамата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въоръжени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нападатели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започват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борба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невъоръженият</w:t>
      </w:r>
      <w:r w:rsidR="00BC2F33">
        <w:rPr>
          <w:lang w:val="bg-BG"/>
        </w:rPr>
        <w:t xml:space="preserve"> </w:t>
      </w:r>
      <w:r w:rsidR="00D80BFF">
        <w:rPr>
          <w:lang w:val="bg-BG"/>
        </w:rPr>
        <w:t xml:space="preserve">претърсва </w:t>
      </w:r>
      <w:r w:rsidR="00307F3A" w:rsidRPr="003E1C30">
        <w:rPr>
          <w:lang w:val="bg-BG"/>
        </w:rPr>
        <w:t>стаята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нападателят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тръбата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удря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опитва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предпази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верига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D6B9A">
        <w:rPr>
          <w:lang w:val="bg-BG"/>
        </w:rPr>
        <w:t>мъжа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ловната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пушка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нареждат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братята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предадат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парите,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имат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</w:t>
      </w:r>
      <w:r w:rsidR="00307F3A" w:rsidRPr="003E1C30">
        <w:rPr>
          <w:lang w:val="bg-BG"/>
        </w:rPr>
        <w:t>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отговаря,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панталоните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претърсват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успява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тайно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пъхне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торбата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парите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леглото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този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момент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стаята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влиза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Т.</w:t>
      </w:r>
      <w:r w:rsidR="00FD6B9A">
        <w:rPr>
          <w:lang w:val="bg-BG"/>
        </w:rPr>
        <w:t xml:space="preserve"> </w:t>
      </w:r>
      <w:r w:rsidR="00ED735E" w:rsidRPr="003E1C30">
        <w:rPr>
          <w:lang w:val="bg-BG"/>
        </w:rPr>
        <w:t>Л.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FD6B9A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D6B9A">
        <w:rPr>
          <w:lang w:val="bg-BG"/>
        </w:rPr>
        <w:t>стряскат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Един</w:t>
      </w:r>
      <w:r w:rsidR="00FD6B9A">
        <w:rPr>
          <w:lang w:val="bg-BG"/>
        </w:rPr>
        <w:t>ият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тях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казва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D6B9A">
        <w:rPr>
          <w:lang w:val="bg-BG"/>
        </w:rPr>
        <w:t>мъжа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ловната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пушка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стреля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дръпва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спусъка,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оръжието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засича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обаче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произвежда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изстрела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вторият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уцелва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гърдите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пронизва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сърцето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белите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дробове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около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минута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по-късно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умира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блъсват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Т.</w:t>
      </w:r>
      <w:r w:rsidR="00FD6B9A">
        <w:rPr>
          <w:lang w:val="bg-BG"/>
        </w:rPr>
        <w:t xml:space="preserve"> </w:t>
      </w:r>
      <w:r w:rsidR="00ED735E" w:rsidRPr="003E1C30">
        <w:rPr>
          <w:lang w:val="bg-BG"/>
        </w:rPr>
        <w:t>Л.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земята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7590D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77590D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77590D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77590D">
        <w:rPr>
          <w:lang w:val="bg-BG"/>
        </w:rPr>
        <w:t>пода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напускат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къщата</w:t>
      </w:r>
      <w:r w:rsidR="00FD6B9A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въпреки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опитите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спре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стигат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колата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си,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паркирана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наблизо</w:t>
      </w:r>
      <w:r w:rsidR="00FD6B9A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напускат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селото</w:t>
      </w:r>
      <w:r w:rsidR="00925A19" w:rsidRPr="003E1C30">
        <w:rPr>
          <w:lang w:val="bg-BG"/>
        </w:rPr>
        <w:t>.</w:t>
      </w:r>
    </w:p>
    <w:p w:rsidR="00925A19" w:rsidRPr="003E1C30" w:rsidRDefault="00ED735E" w:rsidP="00FB1622">
      <w:pPr>
        <w:pStyle w:val="JuHA"/>
        <w:rPr>
          <w:lang w:val="bg-BG"/>
        </w:rPr>
      </w:pPr>
      <w:r w:rsidRPr="003E1C30">
        <w:rPr>
          <w:lang w:val="bg-BG"/>
        </w:rPr>
        <w:t>Б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Pr="003E1C30">
        <w:rPr>
          <w:lang w:val="bg-BG"/>
        </w:rPr>
        <w:t>Процесът</w:t>
      </w:r>
    </w:p>
    <w:p w:rsidR="00925A19" w:rsidRPr="003E1C30" w:rsidRDefault="00925A19" w:rsidP="00FB1622">
      <w:pPr>
        <w:pStyle w:val="JuH1"/>
        <w:rPr>
          <w:lang w:val="bg-BG"/>
        </w:rPr>
      </w:pPr>
      <w:r w:rsidRPr="003E1C30">
        <w:rPr>
          <w:lang w:val="bg-BG"/>
        </w:rPr>
        <w:t>1.</w:t>
      </w:r>
      <w:r w:rsidR="00BC2F33">
        <w:rPr>
          <w:lang w:val="bg-BG"/>
        </w:rPr>
        <w:t>  </w:t>
      </w:r>
      <w:r w:rsidR="00ED735E" w:rsidRPr="003E1C30">
        <w:rPr>
          <w:lang w:val="bg-BG"/>
        </w:rPr>
        <w:t>Досъдебното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разследване</w:t>
      </w:r>
    </w:p>
    <w:bookmarkStart w:id="1" w:name="investigation_start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9</w:t>
      </w:r>
      <w:r w:rsidRPr="003E1C30">
        <w:rPr>
          <w:lang w:val="bg-BG"/>
        </w:rPr>
        <w:fldChar w:fldCharType="end"/>
      </w:r>
      <w:bookmarkEnd w:id="1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ED735E" w:rsidRPr="003E1C30">
        <w:rPr>
          <w:lang w:val="bg-BG"/>
        </w:rPr>
        <w:t>Приблизително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часа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събитията,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0</w:t>
      </w:r>
      <w:r w:rsidR="00925A19" w:rsidRPr="003E1C30">
        <w:rPr>
          <w:lang w:val="bg-BG"/>
        </w:rPr>
        <w:t>1</w:t>
      </w:r>
      <w:r w:rsidR="00ED735E" w:rsidRPr="003E1C30">
        <w:rPr>
          <w:lang w:val="bg-BG"/>
        </w:rPr>
        <w:t>:</w:t>
      </w:r>
      <w:r w:rsidR="00925A19" w:rsidRPr="003E1C30">
        <w:rPr>
          <w:lang w:val="bg-BG"/>
        </w:rPr>
        <w:t>55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ч.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следовател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Плевенска</w:t>
      </w:r>
      <w:r w:rsidR="000E3A64">
        <w:rPr>
          <w:lang w:val="bg-BG"/>
        </w:rPr>
        <w:t>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следствена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служба</w:t>
      </w:r>
      <w:r w:rsidR="00BC2F33">
        <w:rPr>
          <w:lang w:val="bg-BG"/>
        </w:rPr>
        <w:t xml:space="preserve"> </w:t>
      </w:r>
      <w:r w:rsidR="007043FA">
        <w:rPr>
          <w:lang w:val="bg-BG"/>
        </w:rPr>
        <w:t>оглежда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местопрестъплението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двама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полицейски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служители,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вещо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съдебен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лекар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намира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изземва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ловен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патрон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ловна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гилза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ED735E" w:rsidRPr="003E1C30">
        <w:rPr>
          <w:lang w:val="bg-BG"/>
        </w:rPr>
        <w:t>гилза</w:t>
      </w:r>
      <w:proofErr w:type="spellEnd"/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пистолет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четири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гумени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куршума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две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капсули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ловни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патрони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10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ED735E" w:rsidRPr="003E1C30">
        <w:rPr>
          <w:lang w:val="bg-BG"/>
        </w:rPr>
        <w:t>По-късно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същия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ден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иска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вещото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изрази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становище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степента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уврежданията,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претърпени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Т.</w:t>
      </w:r>
      <w:r w:rsidR="000E3A64">
        <w:rPr>
          <w:lang w:val="bg-BG"/>
        </w:rPr>
        <w:t xml:space="preserve"> </w:t>
      </w:r>
      <w:r w:rsidR="00ED735E" w:rsidRPr="003E1C30">
        <w:rPr>
          <w:lang w:val="bg-BG"/>
        </w:rPr>
        <w:t>Л.</w:t>
      </w:r>
      <w:r w:rsidR="000E3A64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начина,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нанесени</w:t>
      </w:r>
      <w:r w:rsidR="00BC2F33">
        <w:rPr>
          <w:lang w:val="bg-BG"/>
        </w:rPr>
        <w:t xml:space="preserve"> </w:t>
      </w:r>
      <w:r w:rsidR="00ED735E" w:rsidRPr="003E1C30">
        <w:rPr>
          <w:lang w:val="bg-BG"/>
        </w:rPr>
        <w:t>същите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обръща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клиника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Плевен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разясни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точната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причина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разстоянието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позицията,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произведен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изстрелът</w:t>
      </w:r>
      <w:r w:rsidR="000E3A64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относителните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позиции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жертвата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стрелеца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7D2D8D" w:rsidRPr="003E1C30">
        <w:rPr>
          <w:lang w:val="bg-BG"/>
        </w:rPr>
        <w:t>Между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12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края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разпитва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Т.</w:t>
      </w:r>
      <w:r w:rsidR="003C5381">
        <w:rPr>
          <w:lang w:val="bg-BG"/>
        </w:rPr>
        <w:t xml:space="preserve"> </w:t>
      </w:r>
      <w:r w:rsidR="007D2D8D" w:rsidRPr="003E1C30">
        <w:rPr>
          <w:lang w:val="bg-BG"/>
        </w:rPr>
        <w:t>Л.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редица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свидетели</w:t>
      </w:r>
      <w:r w:rsidR="00925A19" w:rsidRPr="003E1C30">
        <w:rPr>
          <w:lang w:val="bg-BG"/>
        </w:rPr>
        <w:t>.</w:t>
      </w:r>
    </w:p>
    <w:bookmarkStart w:id="2" w:name="country_house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12</w:t>
      </w:r>
      <w:r w:rsidRPr="003E1C30">
        <w:rPr>
          <w:lang w:val="bg-BG"/>
        </w:rPr>
        <w:fldChar w:fldCharType="end"/>
      </w:r>
      <w:bookmarkEnd w:id="2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E7B63" w:rsidRPr="003E1C30">
        <w:rPr>
          <w:lang w:val="bg-BG"/>
        </w:rPr>
        <w:t>Един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свидетели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В.</w:t>
      </w:r>
      <w:r w:rsidR="003C5381">
        <w:rPr>
          <w:lang w:val="bg-BG"/>
        </w:rPr>
        <w:t xml:space="preserve"> </w:t>
      </w:r>
      <w:r w:rsidR="00BE7B63" w:rsidRPr="003E1C30">
        <w:rPr>
          <w:lang w:val="bg-BG"/>
        </w:rPr>
        <w:t>К.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личният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шофьор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П.</w:t>
      </w:r>
      <w:r w:rsidR="003C5381">
        <w:rPr>
          <w:lang w:val="bg-BG"/>
        </w:rPr>
        <w:t xml:space="preserve"> </w:t>
      </w:r>
      <w:r w:rsidR="00BE7B63" w:rsidRPr="003E1C30">
        <w:rPr>
          <w:lang w:val="bg-BG"/>
        </w:rPr>
        <w:t>Т.,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местен</w:t>
      </w:r>
      <w:r w:rsidR="00BC2F33">
        <w:rPr>
          <w:lang w:val="bg-BG"/>
        </w:rPr>
        <w:t xml:space="preserve"> </w:t>
      </w:r>
      <w:r w:rsidR="001B752F" w:rsidRPr="003E1C30">
        <w:rPr>
          <w:lang w:val="bg-BG"/>
        </w:rPr>
        <w:t>бизнесмен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арестуван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8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BE7B63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750D1C" w:rsidRPr="003E1C30">
        <w:rPr>
          <w:lang w:val="bg-BG"/>
        </w:rPr>
        <w:t>за</w:t>
      </w:r>
      <w:r w:rsidR="00750D1C">
        <w:rPr>
          <w:lang w:val="bg-BG"/>
        </w:rPr>
        <w:t xml:space="preserve"> </w:t>
      </w:r>
      <w:r w:rsidR="00750D1C" w:rsidRPr="003E1C30">
        <w:rPr>
          <w:lang w:val="bg-BG"/>
        </w:rPr>
        <w:t>няколко</w:t>
      </w:r>
      <w:r w:rsidR="00750D1C">
        <w:rPr>
          <w:lang w:val="bg-BG"/>
        </w:rPr>
        <w:t xml:space="preserve"> </w:t>
      </w:r>
      <w:r w:rsidR="00750D1C" w:rsidRPr="003E1C30">
        <w:rPr>
          <w:lang w:val="bg-BG"/>
        </w:rPr>
        <w:t>дни</w:t>
      </w:r>
      <w:r w:rsidR="00750D1C">
        <w:rPr>
          <w:lang w:val="bg-BG"/>
        </w:rPr>
        <w:t xml:space="preserve"> </w:t>
      </w:r>
      <w:r w:rsidR="003C5381">
        <w:rPr>
          <w:lang w:val="bg-BG"/>
        </w:rPr>
        <w:t xml:space="preserve">е </w:t>
      </w:r>
      <w:r w:rsidR="00BE7B63" w:rsidRPr="003E1C30">
        <w:rPr>
          <w:lang w:val="bg-BG"/>
        </w:rPr>
        <w:t>задържан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стража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E7B63" w:rsidRPr="003E1C30">
        <w:rPr>
          <w:lang w:val="bg-BG"/>
        </w:rPr>
        <w:t>къща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извън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града</w:t>
      </w:r>
      <w:r w:rsidR="00750D1C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близо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Плевен</w:t>
      </w:r>
      <w:r w:rsidR="00750D1C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многократно</w:t>
      </w:r>
      <w:r w:rsidR="00BC2F33">
        <w:rPr>
          <w:lang w:val="bg-BG"/>
        </w:rPr>
        <w:t xml:space="preserve"> </w:t>
      </w:r>
      <w:r w:rsidR="00750D1C">
        <w:rPr>
          <w:lang w:val="bg-BG"/>
        </w:rPr>
        <w:t xml:space="preserve">е </w:t>
      </w:r>
      <w:r w:rsidR="0032319A" w:rsidRPr="003E1C30">
        <w:rPr>
          <w:lang w:val="bg-BG"/>
        </w:rPr>
        <w:t>разпитван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Според</w:t>
      </w:r>
      <w:r w:rsidR="00BC2F33">
        <w:rPr>
          <w:lang w:val="bg-BG"/>
        </w:rPr>
        <w:t xml:space="preserve"> </w:t>
      </w:r>
      <w:proofErr w:type="spellStart"/>
      <w:r w:rsidR="0032319A" w:rsidRPr="003E1C30">
        <w:rPr>
          <w:lang w:val="bg-BG"/>
        </w:rPr>
        <w:t>последващите</w:t>
      </w:r>
      <w:proofErr w:type="spellEnd"/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твърдения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малтретиран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притискан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дава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показания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съответствие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указанията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полицията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идентифицира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конкретни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лица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предмети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разпознаванията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отрича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твърдения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В.</w:t>
      </w:r>
      <w:r w:rsidR="00750D1C">
        <w:rPr>
          <w:lang w:val="bg-BG"/>
        </w:rPr>
        <w:t xml:space="preserve"> </w:t>
      </w:r>
      <w:r w:rsidR="0032319A" w:rsidRPr="003E1C30">
        <w:rPr>
          <w:lang w:val="bg-BG"/>
        </w:rPr>
        <w:t>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дал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всичките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показания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своя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воля</w:t>
      </w:r>
      <w:r w:rsidR="00925A19" w:rsidRPr="003E1C30">
        <w:rPr>
          <w:lang w:val="bg-BG"/>
        </w:rPr>
        <w:t>.</w:t>
      </w:r>
    </w:p>
    <w:bookmarkStart w:id="3" w:name="V_K_first_interviews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13</w:t>
      </w:r>
      <w:r w:rsidRPr="003E1C30">
        <w:rPr>
          <w:lang w:val="bg-BG"/>
        </w:rPr>
        <w:fldChar w:fldCharType="end"/>
      </w:r>
      <w:bookmarkEnd w:id="3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разпитан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13,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16,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18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казва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наред с другото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вечерта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proofErr w:type="gramStart"/>
      <w:r w:rsidR="00E3280F">
        <w:rPr>
          <w:lang w:val="en-US"/>
        </w:rPr>
        <w:t>e</w:t>
      </w:r>
      <w:proofErr w:type="gramEnd"/>
      <w:r w:rsidR="00E3280F">
        <w:rPr>
          <w:lang w:val="en-US"/>
        </w:rPr>
        <w:t xml:space="preserve"> </w:t>
      </w:r>
      <w:r w:rsidR="0032319A" w:rsidRPr="003E1C30">
        <w:rPr>
          <w:lang w:val="bg-BG"/>
        </w:rPr>
        <w:t>видял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своя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шеф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32319A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двама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мъже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Т.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наредил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отиде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Ставерци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другите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двама</w:t>
      </w:r>
      <w:r w:rsidR="00D77AF3">
        <w:rPr>
          <w:lang w:val="en-US"/>
        </w:rPr>
        <w:t xml:space="preserve"> </w:t>
      </w:r>
      <w:r w:rsidR="00957252">
        <w:rPr>
          <w:lang w:val="bg-BG"/>
        </w:rPr>
        <w:t xml:space="preserve">мъже </w:t>
      </w:r>
      <w:r w:rsidR="0032319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автомобил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Audi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Когато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слезли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колата,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тримата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мъже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сложили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маски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ръкавици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изчакал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няколко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минути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77AF3">
        <w:rPr>
          <w:lang w:val="bg-BG"/>
        </w:rPr>
        <w:t xml:space="preserve">като </w:t>
      </w:r>
      <w:r w:rsidR="0032319A"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="00D77AF3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чул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два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изстрела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тримата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върнали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колата,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носели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ловна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пушка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напуснали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селото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казали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В.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К.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излезе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колата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Г</w:t>
      </w:r>
      <w:r w:rsidR="0032319A" w:rsidRPr="003E1C30">
        <w:rPr>
          <w:lang w:val="bg-BG"/>
        </w:rPr>
        <w:t>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върнал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3E684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къщата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където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П.</w:t>
      </w:r>
      <w:r w:rsidR="00A50630">
        <w:rPr>
          <w:lang w:val="bg-BG"/>
        </w:rPr>
        <w:t xml:space="preserve"> </w:t>
      </w:r>
      <w:r w:rsidR="0032319A" w:rsidRPr="003E1C30">
        <w:rPr>
          <w:lang w:val="bg-BG"/>
        </w:rPr>
        <w:t>Т.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D77AF3">
        <w:rPr>
          <w:lang w:val="bg-BG"/>
        </w:rPr>
        <w:t>по</w:t>
      </w:r>
      <w:r w:rsidR="000C7B70" w:rsidRPr="003E1C30">
        <w:rPr>
          <w:lang w:val="bg-BG"/>
        </w:rPr>
        <w:t>питал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тримата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мъже</w:t>
      </w:r>
      <w:r w:rsidR="00BC2F33">
        <w:rPr>
          <w:lang w:val="bg-BG"/>
        </w:rPr>
        <w:t xml:space="preserve"> </w:t>
      </w:r>
      <w:r w:rsidR="00D77AF3">
        <w:rPr>
          <w:lang w:val="bg-BG"/>
        </w:rPr>
        <w:t xml:space="preserve">са </w:t>
      </w:r>
      <w:r w:rsidR="000C7B70" w:rsidRPr="003E1C30">
        <w:rPr>
          <w:lang w:val="bg-BG"/>
        </w:rPr>
        <w:t>носели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някакви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щатски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долари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казал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забрави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събитията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нощ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следващия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ден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чул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обсъждат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инцидента,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споменал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тръба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счупен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суматохата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стол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казал,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210821" w:rsidRPr="003E1C30">
        <w:rPr>
          <w:lang w:val="bg-BG"/>
        </w:rPr>
        <w:t>била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влязла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възрастна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жена,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объркала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плановете</w:t>
      </w:r>
      <w:r w:rsidR="00BC2F33">
        <w:rPr>
          <w:lang w:val="bg-BG"/>
        </w:rPr>
        <w:t xml:space="preserve"> </w:t>
      </w:r>
      <w:r w:rsidR="000C7B70" w:rsidRPr="003E1C30">
        <w:rPr>
          <w:lang w:val="bg-BG"/>
        </w:rPr>
        <w:t>им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14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550816" w:rsidRPr="003E1C30">
        <w:rPr>
          <w:lang w:val="bg-BG"/>
        </w:rPr>
        <w:t>Междувременно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15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> г.</w:t>
      </w:r>
      <w:r w:rsidR="00755A6A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изземва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автомобил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Audi</w:t>
      </w:r>
      <w:proofErr w:type="spellEnd"/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подозира,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автомобилът,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използван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бягство</w:t>
      </w:r>
      <w:r w:rsidR="00755A6A">
        <w:rPr>
          <w:lang w:val="bg-BG"/>
        </w:rPr>
        <w:t>то им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проверен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55081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задната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седалка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намерено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тъмно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петно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размер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четири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милиметра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диаметър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Същия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ден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изисква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вещото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определи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петното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D791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кръв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да,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коя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група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Вещото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потвърждава,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петното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D791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човешка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кръв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определи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групата,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тъй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достатъчно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материал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2D7910">
        <w:rPr>
          <w:lang w:val="bg-BG"/>
        </w:rPr>
        <w:t>изследване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5508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15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55081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арестувани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П.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16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освободен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извършва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разпознаване,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2F4A2C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посочва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П.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обвинени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задържани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</w:t>
      </w:r>
      <w:r w:rsidR="001B0139">
        <w:rPr>
          <w:lang w:val="bg-BG"/>
        </w:rPr>
        <w:t>д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стража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Остават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стража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април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1998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когато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освободени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гаранция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16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21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AD7923">
        <w:rPr>
          <w:lang w:val="bg-BG"/>
        </w:rPr>
        <w:t>даден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анцуг,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иззет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дома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F515CD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B5455">
        <w:rPr>
          <w:lang w:val="bg-BG"/>
        </w:rPr>
        <w:t xml:space="preserve">за </w:t>
      </w:r>
      <w:r w:rsidR="00F515CD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тв</w:t>
      </w:r>
      <w:r w:rsidR="001B0139">
        <w:rPr>
          <w:lang w:val="bg-BG"/>
        </w:rPr>
        <w:t>ъ</w:t>
      </w:r>
      <w:r w:rsidR="00F515CD" w:rsidRPr="003E1C30">
        <w:rPr>
          <w:lang w:val="bg-BG"/>
        </w:rPr>
        <w:t>рди,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B5455">
        <w:rPr>
          <w:lang w:val="bg-BG"/>
        </w:rPr>
        <w:t xml:space="preserve">е </w:t>
      </w:r>
      <w:r w:rsidR="00F515CD" w:rsidRPr="003E1C30">
        <w:rPr>
          <w:lang w:val="bg-BG"/>
        </w:rPr>
        <w:t>носен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него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момента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разпознава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25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F515C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арестуван</w:t>
      </w:r>
      <w:r w:rsidR="00A50630">
        <w:rPr>
          <w:lang w:val="bg-BG"/>
        </w:rPr>
        <w:t xml:space="preserve"> </w:t>
      </w:r>
      <w:r w:rsidR="00F515CD" w:rsidRPr="003E1C30">
        <w:rPr>
          <w:lang w:val="bg-BG"/>
        </w:rPr>
        <w:t>г-н</w:t>
      </w:r>
      <w:r w:rsidR="00A50630">
        <w:rPr>
          <w:lang w:val="bg-BG"/>
        </w:rPr>
        <w:t xml:space="preserve"> Г</w:t>
      </w:r>
      <w:r w:rsidR="00BC2F33">
        <w:rPr>
          <w:lang w:val="bg-BG"/>
        </w:rPr>
        <w:t>.</w:t>
      </w:r>
      <w:r w:rsidR="00A50630">
        <w:rPr>
          <w:lang w:val="bg-BG"/>
        </w:rPr>
        <w:t xml:space="preserve"> </w:t>
      </w:r>
      <w:r w:rsidR="00F515CD" w:rsidRPr="003E1C30">
        <w:rPr>
          <w:lang w:val="bg-BG"/>
        </w:rPr>
        <w:t>Г.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28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F515C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също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обвинен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участие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B0139">
        <w:rPr>
          <w:lang w:val="bg-BG"/>
        </w:rPr>
        <w:t>грабежа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18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8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април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изпраща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балистичните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иззети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местопрестъплението</w:t>
      </w:r>
      <w:r w:rsidR="00C90A78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изследване</w:t>
      </w:r>
      <w:r w:rsidR="00925A19" w:rsidRPr="003E1C30">
        <w:rPr>
          <w:lang w:val="bg-BG"/>
        </w:rPr>
        <w:t>.</w:t>
      </w:r>
    </w:p>
    <w:bookmarkStart w:id="4" w:name="V_K_second_interview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19</w:t>
      </w:r>
      <w:r w:rsidRPr="003E1C30">
        <w:rPr>
          <w:lang w:val="bg-BG"/>
        </w:rPr>
        <w:fldChar w:fldCharType="end"/>
      </w:r>
      <w:bookmarkEnd w:id="4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515CD" w:rsidRPr="003E1C30">
        <w:rPr>
          <w:lang w:val="bg-BG"/>
        </w:rPr>
        <w:t>Г</w:t>
      </w:r>
      <w:r w:rsidR="0032319A" w:rsidRPr="003E1C30">
        <w:rPr>
          <w:lang w:val="bg-BG"/>
        </w:rPr>
        <w:t>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разпитан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12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F515C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оттегля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по-ранните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показания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принуден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даде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неверни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показания</w:t>
      </w:r>
      <w:r w:rsidR="00925A19" w:rsidRPr="003E1C30">
        <w:rPr>
          <w:lang w:val="bg-BG"/>
        </w:rPr>
        <w:t>.</w:t>
      </w:r>
    </w:p>
    <w:bookmarkStart w:id="5" w:name="PRPO_7_August_1997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20</w:t>
      </w:r>
      <w:r w:rsidRPr="003E1C30">
        <w:rPr>
          <w:lang w:val="bg-BG"/>
        </w:rPr>
        <w:fldChar w:fldCharType="end"/>
      </w:r>
      <w:bookmarkEnd w:id="5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515C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4421D9">
        <w:rPr>
          <w:lang w:val="bg-BG"/>
        </w:rPr>
        <w:t>Плевенска</w:t>
      </w:r>
      <w:r w:rsidR="00BC2F33">
        <w:rPr>
          <w:lang w:val="bg-BG"/>
        </w:rPr>
        <w:t xml:space="preserve"> </w:t>
      </w:r>
      <w:r w:rsidR="004421D9">
        <w:rPr>
          <w:lang w:val="bg-BG"/>
        </w:rPr>
        <w:t>окръжна</w:t>
      </w:r>
      <w:r w:rsidR="00BC2F33">
        <w:rPr>
          <w:lang w:val="bg-BG"/>
        </w:rPr>
        <w:t xml:space="preserve"> </w:t>
      </w:r>
      <w:r w:rsidR="004421D9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сменя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следователя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предприети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следствени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продължение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няколко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месеца</w:t>
      </w:r>
      <w:r w:rsidR="00925A19" w:rsidRPr="003E1C30">
        <w:rPr>
          <w:lang w:val="bg-BG"/>
        </w:rPr>
        <w:t>.</w:t>
      </w:r>
    </w:p>
    <w:bookmarkStart w:id="6" w:name="Interview_13_August_1997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21</w:t>
      </w:r>
      <w:r w:rsidRPr="003E1C30">
        <w:rPr>
          <w:lang w:val="bg-BG"/>
        </w:rPr>
        <w:fldChar w:fldCharType="end"/>
      </w:r>
      <w:bookmarkEnd w:id="6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C0AD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разпит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13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BC0ADA" w:rsidRPr="003E1C30">
        <w:rPr>
          <w:lang w:val="bg-BG"/>
        </w:rPr>
        <w:t>лице,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задържано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една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килия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г-н Г. Г.</w:t>
      </w:r>
      <w:r w:rsidR="00BC0ADA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заявява,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искал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него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убие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разпит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същата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дата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двама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служители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вилата,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4421D9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държан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BC0ADA" w:rsidRPr="003E1C30">
        <w:rPr>
          <w:lang w:val="bg-BG"/>
        </w:rPr>
        <w:t>вж</w:t>
      </w:r>
      <w:r w:rsidR="001D7DE1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country_house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12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казват,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421D9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там,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0D3AD7">
        <w:rPr>
          <w:lang w:val="bg-BG"/>
        </w:rPr>
        <w:t xml:space="preserve">е </w:t>
      </w:r>
      <w:r w:rsidR="00BC0ADA" w:rsidRPr="003E1C30">
        <w:rPr>
          <w:lang w:val="bg-BG"/>
        </w:rPr>
        <w:t>доверил,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опасява,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0D3AD7">
        <w:rPr>
          <w:lang w:val="bg-BG"/>
        </w:rPr>
        <w:t>е възможно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шефът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му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убие,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тъй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свидетелствал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него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г</w:t>
      </w:r>
      <w:r w:rsidR="0032319A" w:rsidRPr="003E1C30">
        <w:rPr>
          <w:lang w:val="bg-BG"/>
        </w:rPr>
        <w:t>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0D3AD7">
        <w:rPr>
          <w:lang w:val="bg-BG"/>
        </w:rPr>
        <w:t>не е имало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следи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малтретиране</w:t>
      </w:r>
      <w:r w:rsidR="00925A19" w:rsidRPr="003E1C30">
        <w:rPr>
          <w:lang w:val="bg-BG"/>
        </w:rPr>
        <w:t>.</w:t>
      </w:r>
    </w:p>
    <w:bookmarkStart w:id="7" w:name="PRPO_August_1997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22</w:t>
      </w:r>
      <w:r w:rsidRPr="003E1C30">
        <w:rPr>
          <w:lang w:val="bg-BG"/>
        </w:rPr>
        <w:fldChar w:fldCharType="end"/>
      </w:r>
      <w:bookmarkEnd w:id="7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C0ADA"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4421D9" w:rsidRPr="004421D9">
        <w:rPr>
          <w:lang w:val="bg-BG"/>
        </w:rPr>
        <w:t>Плевенска</w:t>
      </w:r>
      <w:r w:rsidR="00BC2F33">
        <w:rPr>
          <w:lang w:val="bg-BG"/>
        </w:rPr>
        <w:t xml:space="preserve"> </w:t>
      </w:r>
      <w:r w:rsidR="004421D9" w:rsidRPr="004421D9">
        <w:rPr>
          <w:lang w:val="bg-BG"/>
        </w:rPr>
        <w:t>окръжна</w:t>
      </w:r>
      <w:r w:rsidR="00BC2F33">
        <w:rPr>
          <w:lang w:val="bg-BG"/>
        </w:rPr>
        <w:t xml:space="preserve"> </w:t>
      </w:r>
      <w:r w:rsidR="004421D9" w:rsidRPr="004421D9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следва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останат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стража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оглед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00D0A" w:rsidRPr="003E1C30">
        <w:rPr>
          <w:lang w:val="bg-BG"/>
        </w:rPr>
        <w:t>очевидната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реши</w:t>
      </w:r>
      <w:r w:rsidR="000D3AD7">
        <w:rPr>
          <w:lang w:val="bg-BG"/>
        </w:rPr>
        <w:t>м</w:t>
      </w:r>
      <w:r w:rsidR="00BC0ADA" w:rsidRPr="003E1C30">
        <w:rPr>
          <w:lang w:val="bg-BG"/>
        </w:rPr>
        <w:t>ост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ликвидират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свидетелите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23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25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септември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издава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заповед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задържането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Известно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арестуван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28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BC0AD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повдигнато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обвинение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него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остава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стража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18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1998</w:t>
      </w:r>
      <w:r w:rsidR="00BC2F33">
        <w:rPr>
          <w:lang w:val="bg-BG"/>
        </w:rPr>
        <w:t> г.</w:t>
      </w:r>
    </w:p>
    <w:bookmarkStart w:id="8" w:name="V_K_interviews_November_1997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24</w:t>
      </w:r>
      <w:r w:rsidRPr="003E1C30">
        <w:rPr>
          <w:lang w:val="bg-BG"/>
        </w:rPr>
        <w:fldChar w:fldCharType="end"/>
      </w:r>
      <w:bookmarkEnd w:id="8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C0AD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6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ноември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разпитва</w:t>
      </w:r>
      <w:r w:rsidR="001D7DE1">
        <w:rPr>
          <w:lang w:val="bg-BG"/>
        </w:rPr>
        <w:t xml:space="preserve"> </w:t>
      </w:r>
      <w:r w:rsidR="00BC0ADA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променя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позицията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връща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925A19" w:rsidRPr="003E1C30">
        <w:rPr>
          <w:lang w:val="bg-BG"/>
        </w:rPr>
        <w:t>(</w:t>
      </w:r>
      <w:r w:rsidR="00BC0ADA" w:rsidRPr="003E1C30">
        <w:rPr>
          <w:lang w:val="bg-BG"/>
        </w:rPr>
        <w:t>вж</w:t>
      </w:r>
      <w:r w:rsidR="001D7DE1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V_K_first_interviews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13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оттегля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12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V_K_second_interview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19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дадени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натиск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отвлякъл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лишил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свобода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един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месец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разпитан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отново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1997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разпознаване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лица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разпознава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г-н Г. Г.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26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4338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докладна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записка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септември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1998</w:t>
      </w:r>
      <w:r w:rsidR="00BC2F33">
        <w:rPr>
          <w:lang w:val="bg-BG"/>
        </w:rPr>
        <w:t xml:space="preserve"> г. </w:t>
      </w:r>
      <w:r w:rsidR="0094338D" w:rsidRPr="003E1C30">
        <w:rPr>
          <w:lang w:val="bg-BG"/>
        </w:rPr>
        <w:t>началникът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техническия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отдел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плевенската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полиция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балистичните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иззети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местопрестъплението,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загубени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прехвърлянето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между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различни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отдели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без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изискуемите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документи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невъзможно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изследвани</w:t>
      </w:r>
      <w:r w:rsidR="00925A19" w:rsidRPr="003E1C30">
        <w:rPr>
          <w:lang w:val="bg-BG"/>
        </w:rPr>
        <w:t>.</w:t>
      </w:r>
    </w:p>
    <w:bookmarkStart w:id="9" w:name="steps_1998_2000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27</w:t>
      </w:r>
      <w:r w:rsidRPr="003E1C30">
        <w:rPr>
          <w:lang w:val="bg-BG"/>
        </w:rPr>
        <w:fldChar w:fldCharType="end"/>
      </w:r>
      <w:bookmarkEnd w:id="9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4338D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предприети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никакви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следствени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1998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1999</w:t>
      </w:r>
      <w:r w:rsidR="00BC2F33">
        <w:rPr>
          <w:lang w:val="bg-BG"/>
        </w:rPr>
        <w:t xml:space="preserve"> г. </w:t>
      </w:r>
      <w:r w:rsidR="0094338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2000</w:t>
      </w:r>
      <w:r w:rsidR="00BC2F33">
        <w:rPr>
          <w:lang w:val="bg-BG"/>
        </w:rPr>
        <w:t> г.</w:t>
      </w:r>
    </w:p>
    <w:bookmarkStart w:id="10" w:name="VTAPO_5_August_1999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28</w:t>
      </w:r>
      <w:r w:rsidRPr="003E1C30">
        <w:rPr>
          <w:lang w:val="bg-BG"/>
        </w:rPr>
        <w:fldChar w:fldCharType="end"/>
      </w:r>
      <w:bookmarkEnd w:id="10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786A5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5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1999</w:t>
      </w:r>
      <w:r w:rsidR="00BC2F33">
        <w:rPr>
          <w:lang w:val="bg-BG"/>
        </w:rPr>
        <w:t xml:space="preserve"> г. </w:t>
      </w:r>
      <w:r w:rsidR="003F6278">
        <w:rPr>
          <w:lang w:val="bg-BG"/>
        </w:rPr>
        <w:t xml:space="preserve">Апелативна </w:t>
      </w:r>
      <w:r w:rsidR="0085574D">
        <w:rPr>
          <w:lang w:val="bg-BG"/>
        </w:rPr>
        <w:t>прокуратура</w:t>
      </w:r>
      <w:r w:rsidR="003F6278">
        <w:rPr>
          <w:lang w:val="bg-BG"/>
        </w:rPr>
        <w:t xml:space="preserve"> – Бургас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страда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сериозни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пороци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достатъчно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изясни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как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защо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изгубено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липсващото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веществено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доказателство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29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12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2000</w:t>
      </w:r>
      <w:r w:rsidR="00BC2F33">
        <w:rPr>
          <w:lang w:val="bg-BG"/>
        </w:rPr>
        <w:t xml:space="preserve"> г. </w:t>
      </w:r>
      <w:r w:rsidR="00395CF0" w:rsidRPr="003E1C30">
        <w:rPr>
          <w:lang w:val="bg-BG"/>
        </w:rPr>
        <w:t>умира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Г</w:t>
      </w:r>
      <w:r w:rsidR="007D2D8D" w:rsidRPr="003E1C30">
        <w:rPr>
          <w:lang w:val="bg-BG"/>
        </w:rPr>
        <w:t>-жа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Т. Л.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също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умира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2000</w:t>
      </w:r>
      <w:r w:rsidR="00BC2F33">
        <w:rPr>
          <w:lang w:val="bg-BG"/>
        </w:rPr>
        <w:t> г.</w:t>
      </w:r>
    </w:p>
    <w:bookmarkStart w:id="11" w:name="VTAPO_20_March_2001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30</w:t>
      </w:r>
      <w:r w:rsidRPr="003E1C30">
        <w:rPr>
          <w:lang w:val="bg-BG"/>
        </w:rPr>
        <w:fldChar w:fldCharType="end"/>
      </w:r>
      <w:bookmarkEnd w:id="11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2001</w:t>
      </w:r>
      <w:r w:rsidR="00BC2F33">
        <w:rPr>
          <w:lang w:val="bg-BG"/>
        </w:rPr>
        <w:t xml:space="preserve"> г. </w:t>
      </w:r>
      <w:r w:rsidR="0085574D">
        <w:rPr>
          <w:lang w:val="bg-BG"/>
        </w:rPr>
        <w:t>Великотърновска</w:t>
      </w:r>
      <w:r w:rsidR="00BC2F33">
        <w:rPr>
          <w:lang w:val="bg-BG"/>
        </w:rPr>
        <w:t xml:space="preserve"> </w:t>
      </w:r>
      <w:r w:rsidR="0085574D">
        <w:rPr>
          <w:lang w:val="bg-BG"/>
        </w:rPr>
        <w:t>апелативна</w:t>
      </w:r>
      <w:r w:rsidR="00BC2F33">
        <w:rPr>
          <w:lang w:val="bg-BG"/>
        </w:rPr>
        <w:t xml:space="preserve"> </w:t>
      </w:r>
      <w:r w:rsidR="0085574D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че,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без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никаква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видима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причина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предприети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никакви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следствени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18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1998</w:t>
      </w:r>
      <w:r w:rsidR="00BC2F33">
        <w:rPr>
          <w:lang w:val="bg-BG"/>
        </w:rPr>
        <w:t xml:space="preserve"> г. </w:t>
      </w:r>
      <w:r w:rsidR="00395CF0" w:rsidRPr="003E1C30">
        <w:rPr>
          <w:lang w:val="bg-BG"/>
        </w:rPr>
        <w:t>Тя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отбелязва</w:t>
      </w:r>
      <w:r w:rsidR="00BC2F33">
        <w:rPr>
          <w:lang w:val="bg-BG"/>
        </w:rPr>
        <w:t xml:space="preserve"> </w:t>
      </w:r>
      <w:r w:rsidR="003F6278">
        <w:rPr>
          <w:lang w:val="bg-BG"/>
        </w:rPr>
        <w:t>също така</w:t>
      </w:r>
      <w:r w:rsidR="00395CF0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преписката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подвързана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подредена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правилно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затруднява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проверката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хода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развитието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следствието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Тя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препоръчва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установи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защо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делото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приключено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продължение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повече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четири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години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наказани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отговорните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лица,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предприети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приключване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случая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близко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бъдеще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Съответно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26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2001</w:t>
      </w:r>
      <w:r w:rsidR="00BC2F33">
        <w:rPr>
          <w:lang w:val="bg-BG"/>
        </w:rPr>
        <w:t xml:space="preserve"> г. </w:t>
      </w:r>
      <w:r w:rsidR="00395CF0" w:rsidRPr="003E1C30">
        <w:rPr>
          <w:lang w:val="bg-BG"/>
        </w:rPr>
        <w:t>Плевенска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окръжна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нарежда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следователя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поднови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работа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делото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23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април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2001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1C2E69">
        <w:rPr>
          <w:lang w:val="bg-BG"/>
        </w:rPr>
        <w:t>препоръчва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обвиненията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свалени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липса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Органите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прокуратурата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съгласяват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юли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2001</w:t>
      </w:r>
      <w:r w:rsidR="00BC2F33">
        <w:rPr>
          <w:lang w:val="bg-BG"/>
        </w:rPr>
        <w:t xml:space="preserve"> г. </w:t>
      </w:r>
      <w:r w:rsidR="00A87637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разпореждат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разпита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нареди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допълнителна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експертиза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Междувременно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обаче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август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2001</w:t>
      </w:r>
      <w:r w:rsidR="00BC2F33">
        <w:rPr>
          <w:lang w:val="bg-BG"/>
        </w:rPr>
        <w:t> г.</w:t>
      </w:r>
      <w:r w:rsidR="001C2E69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напуска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работа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1C2E69">
        <w:rPr>
          <w:lang w:val="bg-BG"/>
        </w:rPr>
        <w:t>се налага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сменен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32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22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януари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6D7B7C" w:rsidRPr="003E1C30">
        <w:rPr>
          <w:lang w:val="bg-BG"/>
        </w:rPr>
        <w:t>новият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следовател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назначава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ДНК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експертиза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петното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кръв,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намерено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задната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седалка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иззетия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автомобил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Audi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30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януари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6D7B7C" w:rsidRPr="003E1C30">
        <w:rPr>
          <w:lang w:val="bg-BG"/>
        </w:rPr>
        <w:t>вещото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заявява,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намерена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кръв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седалката</w:t>
      </w:r>
      <w:r w:rsidR="00925A19" w:rsidRPr="003E1C30">
        <w:rPr>
          <w:lang w:val="bg-BG"/>
        </w:rPr>
        <w:t>.</w:t>
      </w:r>
    </w:p>
    <w:bookmarkStart w:id="12" w:name="V_K_first_court_interview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33</w:t>
      </w:r>
      <w:r w:rsidRPr="003E1C30">
        <w:rPr>
          <w:lang w:val="bg-BG"/>
        </w:rPr>
        <w:fldChar w:fldCharType="end"/>
      </w:r>
      <w:bookmarkEnd w:id="12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28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разпитан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открито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заседание,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проведено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Плевенски</w:t>
      </w:r>
      <w:r w:rsidR="00472E7B">
        <w:rPr>
          <w:lang w:val="bg-BG"/>
        </w:rPr>
        <w:t>я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съд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Г</w:t>
      </w:r>
      <w:r w:rsidR="0032319A" w:rsidRPr="003E1C30">
        <w:rPr>
          <w:lang w:val="bg-BG"/>
        </w:rPr>
        <w:t>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заяв</w:t>
      </w:r>
      <w:r w:rsidR="0047632E">
        <w:rPr>
          <w:lang w:val="bg-BG"/>
        </w:rPr>
        <w:t>ява,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даде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свидетелски</w:t>
      </w:r>
      <w:r w:rsidR="00BC2F33">
        <w:rPr>
          <w:lang w:val="bg-BG"/>
        </w:rPr>
        <w:t xml:space="preserve"> </w:t>
      </w:r>
      <w:r w:rsidR="0047632E">
        <w:rPr>
          <w:lang w:val="bg-BG"/>
        </w:rPr>
        <w:t>показания</w:t>
      </w:r>
      <w:r w:rsidR="00472E7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взети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мерки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закрилата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му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тъй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получил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заплахи,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отправени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името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D7B7C" w:rsidRPr="003E1C30">
        <w:rPr>
          <w:lang w:val="bg-BG"/>
        </w:rPr>
        <w:t>обвиняемия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Съответно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30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иска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взети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мерки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закрила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свидетеля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осъществява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контакт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18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12604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следващия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ден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> г.</w:t>
      </w:r>
      <w:r w:rsidR="00472E7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призован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полицейското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управление,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където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72E7B">
        <w:rPr>
          <w:lang w:val="bg-BG"/>
        </w:rPr>
        <w:t xml:space="preserve">към момента </w:t>
      </w:r>
      <w:r w:rsidR="0012604E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иска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закрила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ще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свърже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полицията,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заплашен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бъдеще</w:t>
      </w:r>
      <w:r w:rsidR="00925A19" w:rsidRPr="003E1C30">
        <w:rPr>
          <w:lang w:val="bg-BG"/>
        </w:rPr>
        <w:t>.</w:t>
      </w:r>
    </w:p>
    <w:bookmarkStart w:id="13" w:name="V_K_second_court_interview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34</w:t>
      </w:r>
      <w:r w:rsidRPr="003E1C30">
        <w:rPr>
          <w:lang w:val="bg-BG"/>
        </w:rPr>
        <w:fldChar w:fldCharType="end"/>
      </w:r>
      <w:bookmarkEnd w:id="13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16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2002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разпитан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открито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заседание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пред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Плевенски</w:t>
      </w:r>
      <w:r w:rsidR="00472E7B">
        <w:rPr>
          <w:lang w:val="bg-BG"/>
        </w:rPr>
        <w:t>я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съд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посочва,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малтретиран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притискан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свидетелства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определен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начин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относно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обира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разпознае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конкретно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лице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разпознаванията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познава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никой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11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2003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препоръчва</w:t>
      </w:r>
      <w:r w:rsidR="00BC2F33">
        <w:rPr>
          <w:lang w:val="bg-BG"/>
        </w:rPr>
        <w:t xml:space="preserve"> </w:t>
      </w:r>
      <w:r w:rsidR="00324A7C">
        <w:rPr>
          <w:lang w:val="bg-BG"/>
        </w:rPr>
        <w:t>о</w:t>
      </w:r>
      <w:r w:rsidR="00DD76D7" w:rsidRPr="003E1C30">
        <w:rPr>
          <w:lang w:val="bg-BG"/>
        </w:rPr>
        <w:t>бвиненията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свалени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24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2003</w:t>
      </w:r>
      <w:r w:rsidR="00BC2F33">
        <w:rPr>
          <w:lang w:val="bg-BG"/>
        </w:rPr>
        <w:t xml:space="preserve"> г. </w:t>
      </w:r>
      <w:r w:rsidR="00DD76D7" w:rsidRPr="003E1C30">
        <w:rPr>
          <w:lang w:val="bg-BG"/>
        </w:rPr>
        <w:t>Плевенска</w:t>
      </w:r>
      <w:r w:rsidR="0048501B">
        <w:rPr>
          <w:lang w:val="bg-BG"/>
        </w:rPr>
        <w:t>та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окръжна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решава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съобрази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препоръка</w:t>
      </w:r>
      <w:r w:rsidR="00925A19" w:rsidRPr="003E1C30">
        <w:rPr>
          <w:lang w:val="bg-BG"/>
        </w:rPr>
        <w:t>.</w:t>
      </w:r>
    </w:p>
    <w:bookmarkStart w:id="14" w:name="Pleven_Regional_Court_dec_16_July_2003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36</w:t>
      </w:r>
      <w:r w:rsidRPr="003E1C30">
        <w:rPr>
          <w:lang w:val="bg-BG"/>
        </w:rPr>
        <w:fldChar w:fldCharType="end"/>
      </w:r>
      <w:bookmarkEnd w:id="14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DD76D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основание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жалба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16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юли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2003</w:t>
      </w:r>
      <w:r w:rsidR="00BC2F33">
        <w:rPr>
          <w:lang w:val="bg-BG"/>
        </w:rPr>
        <w:t xml:space="preserve"> г. </w:t>
      </w:r>
      <w:r w:rsidR="0012604E" w:rsidRPr="003E1C30">
        <w:rPr>
          <w:lang w:val="bg-BG"/>
        </w:rPr>
        <w:t>Плевенски</w:t>
      </w:r>
      <w:r w:rsidR="0048501B">
        <w:rPr>
          <w:lang w:val="bg-BG"/>
        </w:rPr>
        <w:t>ят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съд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отхвърля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решение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установява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наред с другото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8501B">
        <w:rPr>
          <w:lang w:val="bg-BG"/>
        </w:rPr>
        <w:t>н</w:t>
      </w:r>
      <w:r w:rsidR="00DD76D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8501B">
        <w:rPr>
          <w:lang w:val="bg-BG"/>
        </w:rPr>
        <w:t xml:space="preserve">е </w:t>
      </w:r>
      <w:r w:rsidR="00DD76D7" w:rsidRPr="003E1C30">
        <w:rPr>
          <w:lang w:val="bg-BG"/>
        </w:rPr>
        <w:t>ясно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дал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своите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уличаващи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показания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натиск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полицията</w:t>
      </w:r>
      <w:r w:rsidR="0048501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отказал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тях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под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влияние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заплахи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D76D7" w:rsidRPr="003E1C30">
        <w:rPr>
          <w:lang w:val="bg-BG"/>
        </w:rPr>
        <w:t>обвиняемите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Преписката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съдържа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обемен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материал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подкрепа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двете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версии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сторили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нищо</w:t>
      </w:r>
      <w:r w:rsidR="0048501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8501B">
        <w:rPr>
          <w:lang w:val="bg-BG"/>
        </w:rPr>
        <w:t xml:space="preserve">за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8501B">
        <w:rPr>
          <w:lang w:val="bg-BG"/>
        </w:rPr>
        <w:t>осигурят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закрила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свидетеля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48501B" w:rsidRPr="003E1C30">
        <w:rPr>
          <w:lang w:val="bg-BG"/>
        </w:rPr>
        <w:t>Накрая</w:t>
      </w:r>
      <w:r w:rsidR="0048501B">
        <w:rPr>
          <w:lang w:val="bg-BG"/>
        </w:rPr>
        <w:t xml:space="preserve"> </w:t>
      </w:r>
      <w:r w:rsidR="0048501B" w:rsidRPr="003E1C30">
        <w:rPr>
          <w:lang w:val="bg-BG"/>
        </w:rPr>
        <w:t>това</w:t>
      </w:r>
      <w:r w:rsidR="0048501B">
        <w:rPr>
          <w:lang w:val="bg-BG"/>
        </w:rPr>
        <w:t xml:space="preserve"> </w:t>
      </w:r>
      <w:r w:rsidR="00B419E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довело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отказа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свидетелства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Въпреки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анализът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неговите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показания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показва,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преди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момента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извършване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продължава,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положени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достатъчно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усилия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намерят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загубените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балистични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указва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следствените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органи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наред с другото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проверят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твърденията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полицейско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насилие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него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</w:t>
      </w:r>
      <w:r w:rsidR="005917D9">
        <w:rPr>
          <w:lang w:val="bg-BG"/>
        </w:rPr>
        <w:t>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вземат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мерки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закрилата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разпитат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отново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необходимо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присъствието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съдия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изясни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кои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действителни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посочва</w:t>
      </w:r>
      <w:r w:rsidR="00BC2F33">
        <w:rPr>
          <w:lang w:val="bg-BG"/>
        </w:rPr>
        <w:t xml:space="preserve"> </w:t>
      </w:r>
      <w:r w:rsidR="005917D9">
        <w:rPr>
          <w:lang w:val="bg-BG"/>
        </w:rPr>
        <w:t>също</w:t>
      </w:r>
      <w:r w:rsidR="00887FF1">
        <w:rPr>
          <w:lang w:val="bg-BG"/>
        </w:rPr>
        <w:t xml:space="preserve"> така</w:t>
      </w:r>
      <w:r w:rsidR="00B419E6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следва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положени</w:t>
      </w:r>
      <w:r w:rsidR="00BC2F33">
        <w:rPr>
          <w:lang w:val="bg-BG"/>
        </w:rPr>
        <w:t xml:space="preserve"> </w:t>
      </w:r>
      <w:r w:rsidR="00887FF1">
        <w:rPr>
          <w:lang w:val="bg-BG"/>
        </w:rPr>
        <w:t>допълнителни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усилия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намиране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липсващото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балистично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доказателство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419E6" w:rsidRPr="003E1C30">
        <w:rPr>
          <w:lang w:val="bg-BG"/>
        </w:rPr>
        <w:t>Между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2003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разпитва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седем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полицейски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служители,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участвали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19E6" w:rsidRPr="003E1C30">
        <w:rPr>
          <w:lang w:val="bg-BG"/>
        </w:rPr>
        <w:t>разследването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Всички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казват,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дал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своя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воля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състояние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посочат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ясни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следи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във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връзка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изчезването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балистичните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</w:p>
    <w:bookmarkStart w:id="15" w:name="V_K_last_interview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38</w:t>
      </w:r>
      <w:r w:rsidRPr="003E1C30">
        <w:rPr>
          <w:lang w:val="bg-BG"/>
        </w:rPr>
        <w:fldChar w:fldCharType="end"/>
      </w:r>
      <w:bookmarkEnd w:id="15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42DC7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разпита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15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2003</w:t>
      </w:r>
      <w:r w:rsidR="00BC2F33">
        <w:rPr>
          <w:lang w:val="bg-BG"/>
        </w:rPr>
        <w:t xml:space="preserve"> г.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казва,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малтретиран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притискан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свидетелства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указан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тях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начин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39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26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2004</w:t>
      </w:r>
      <w:r w:rsidR="00BC2F33">
        <w:rPr>
          <w:lang w:val="bg-BG"/>
        </w:rPr>
        <w:t xml:space="preserve"> г.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отново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препоръчва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обвиненията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г-н Г. 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П.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свалени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Плевенска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окръжна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прокуратура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обаче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приема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14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април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2004</w:t>
      </w:r>
      <w:r w:rsidR="00BC2F33">
        <w:rPr>
          <w:lang w:val="bg-BG"/>
        </w:rPr>
        <w:t xml:space="preserve"> г. </w:t>
      </w:r>
      <w:r w:rsidR="00B42DC7" w:rsidRPr="003E1C30">
        <w:rPr>
          <w:lang w:val="bg-BG"/>
        </w:rPr>
        <w:t>внася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обвинителен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акт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Тя</w:t>
      </w:r>
      <w:r w:rsidR="00BC2F33">
        <w:rPr>
          <w:lang w:val="bg-BG"/>
        </w:rPr>
        <w:t xml:space="preserve"> </w:t>
      </w:r>
      <w:r w:rsidR="00402527" w:rsidRPr="003E1C30">
        <w:rPr>
          <w:lang w:val="bg-BG"/>
        </w:rPr>
        <w:t>твърди</w:t>
      </w:r>
      <w:r w:rsidR="00B42DC7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подбудил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останалите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ограбят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твърди,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другите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трима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извършили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въоръжен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грабеж</w:t>
      </w:r>
      <w:r w:rsidR="003F2B6A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хода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убили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.</w:t>
      </w:r>
    </w:p>
    <w:p w:rsidR="00925A19" w:rsidRPr="003E1C30" w:rsidRDefault="00925A19" w:rsidP="00FB1622">
      <w:pPr>
        <w:pStyle w:val="JuH1"/>
        <w:rPr>
          <w:lang w:val="bg-BG"/>
        </w:rPr>
      </w:pPr>
      <w:r w:rsidRPr="003E1C30">
        <w:rPr>
          <w:lang w:val="bg-BG"/>
        </w:rPr>
        <w:t>2.</w:t>
      </w:r>
      <w:r w:rsidR="00BC2F33">
        <w:rPr>
          <w:lang w:val="bg-BG"/>
        </w:rPr>
        <w:t>  </w:t>
      </w:r>
      <w:r w:rsidR="005A0667">
        <w:rPr>
          <w:lang w:val="bg-BG"/>
        </w:rPr>
        <w:t>Процесът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40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5A0667">
        <w:rPr>
          <w:lang w:val="bg-BG"/>
        </w:rPr>
        <w:t>Процесът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провежда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пред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Плевенски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12604E" w:rsidRPr="003E1C30">
        <w:rPr>
          <w:lang w:val="bg-BG"/>
        </w:rPr>
        <w:t>съд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15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2004</w:t>
      </w:r>
      <w:r w:rsidR="00BC2F33">
        <w:rPr>
          <w:lang w:val="bg-BG"/>
        </w:rPr>
        <w:t xml:space="preserve"> г.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17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2006</w:t>
      </w:r>
      <w:r w:rsidR="00BC2F33">
        <w:rPr>
          <w:lang w:val="bg-BG"/>
        </w:rPr>
        <w:t xml:space="preserve"> г. 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призовани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участват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него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изслушва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множество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свидетели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допуска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различни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документи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</w:p>
    <w:bookmarkStart w:id="16" w:name="Pleven_Regional_Court_17_March_2006_jud1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41</w:t>
      </w:r>
      <w:r w:rsidRPr="003E1C30">
        <w:rPr>
          <w:lang w:val="bg-BG"/>
        </w:rPr>
        <w:fldChar w:fldCharType="end"/>
      </w:r>
      <w:bookmarkEnd w:id="16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42D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решение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17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2006</w:t>
      </w:r>
      <w:r w:rsidR="00BC2F33">
        <w:rPr>
          <w:lang w:val="bg-BG"/>
        </w:rPr>
        <w:t xml:space="preserve"> г. </w:t>
      </w:r>
      <w:r w:rsidR="00B42DC7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оправдава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П. Т.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г-н Г. 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50816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П.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обвиненията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</w:p>
    <w:bookmarkStart w:id="17" w:name="Pleven_Regional_Court_17_March_2006_jud2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42</w:t>
      </w:r>
      <w:r w:rsidRPr="003E1C30">
        <w:rPr>
          <w:lang w:val="bg-BG"/>
        </w:rPr>
        <w:fldChar w:fldCharType="end"/>
      </w:r>
      <w:bookmarkEnd w:id="17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B42DC7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установява,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F2B6A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извършили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Ловната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пушка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F2B6A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намерена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установена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Също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така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куршумите,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причинили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42DC7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F2B6A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категорично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идентифицирани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Балис</w:t>
      </w:r>
      <w:r w:rsidR="004D2562">
        <w:rPr>
          <w:lang w:val="bg-BG"/>
        </w:rPr>
        <w:t>тичните</w:t>
      </w:r>
      <w:r w:rsidR="00BC2F33">
        <w:rPr>
          <w:lang w:val="bg-BG"/>
        </w:rPr>
        <w:t xml:space="preserve"> </w:t>
      </w:r>
      <w:r w:rsidR="004D2562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4D2562">
        <w:rPr>
          <w:lang w:val="bg-BG"/>
        </w:rPr>
        <w:t>намерени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местопрестъплението,</w:t>
      </w:r>
      <w:r w:rsidR="00BC2F33">
        <w:rPr>
          <w:lang w:val="bg-BG"/>
        </w:rPr>
        <w:t xml:space="preserve"> </w:t>
      </w:r>
      <w:r w:rsidR="003F2B6A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изгубени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proofErr w:type="spellStart"/>
      <w:r w:rsidR="00B42DC7" w:rsidRPr="003E1C30">
        <w:rPr>
          <w:lang w:val="bg-BG"/>
        </w:rPr>
        <w:t>последващ</w:t>
      </w:r>
      <w:proofErr w:type="spellEnd"/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момент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неспазване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процедурите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съхраняване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превоз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веществени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поради това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така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 xml:space="preserve">са </w:t>
      </w:r>
      <w:r w:rsidR="00B42DC7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анализирани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невъзможно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направят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каквито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констатации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относно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оръжието,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използвано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престъплението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неговия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собственик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следователят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взел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никакви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мостри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веществени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местопрестъплението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гума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отпечатъци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обувки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пръстови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отпечатъци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вещи,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подкрепят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предположение</w:t>
      </w:r>
      <w:r w:rsidR="00241553">
        <w:rPr>
          <w:lang w:val="bg-BG"/>
        </w:rPr>
        <w:t>,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някой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41553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близо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местопрестъплението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извършена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проверка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извън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къщата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Т. Л.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следи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автомобила,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използвали,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избягат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D24718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свидетели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изключение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брата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починалия</w:t>
      </w:r>
      <w:r w:rsidR="009350B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350B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Т. Л.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видели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автомобила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Наличните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показвали,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братята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Зашеви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>нито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срещали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някое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близко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тях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лиц</w:t>
      </w:r>
      <w:r w:rsidR="00241553">
        <w:rPr>
          <w:lang w:val="bg-BG"/>
        </w:rPr>
        <w:t>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нито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казвали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някой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тях,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носят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пари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себе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Анализът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Валери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г-жа</w:t>
      </w:r>
      <w:r w:rsidR="00BC2F33">
        <w:rPr>
          <w:lang w:val="bg-BG"/>
        </w:rPr>
        <w:t xml:space="preserve"> </w:t>
      </w:r>
      <w:r w:rsidR="00C76063">
        <w:rPr>
          <w:lang w:val="bg-BG"/>
        </w:rPr>
        <w:t>Т. Л.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показват,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видели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добре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нападателите,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нито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 xml:space="preserve">са </w:t>
      </w:r>
      <w:r w:rsidR="001330F2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идентифицирали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350B0">
        <w:rPr>
          <w:lang w:val="bg-BG"/>
        </w:rPr>
        <w:t xml:space="preserve">Също така </w:t>
      </w:r>
      <w:r w:rsidR="00062940">
        <w:rPr>
          <w:lang w:val="bg-BG"/>
        </w:rPr>
        <w:t xml:space="preserve">те </w:t>
      </w:r>
      <w:r w:rsidR="009350B0">
        <w:rPr>
          <w:lang w:val="bg-BG"/>
        </w:rPr>
        <w:t>не са видели</w:t>
      </w:r>
      <w:r w:rsidR="00BC2F33">
        <w:rPr>
          <w:lang w:val="bg-BG"/>
        </w:rPr>
        <w:t xml:space="preserve"> </w:t>
      </w:r>
      <w:r w:rsidR="00062940" w:rsidRPr="003E1C30">
        <w:rPr>
          <w:lang w:val="bg-BG"/>
        </w:rPr>
        <w:t>добре</w:t>
      </w:r>
      <w:r w:rsidR="00062940">
        <w:rPr>
          <w:lang w:val="bg-BG"/>
        </w:rPr>
        <w:t xml:space="preserve"> </w:t>
      </w:r>
      <w:r w:rsidR="001330F2" w:rsidRPr="003E1C30">
        <w:rPr>
          <w:lang w:val="bg-BG"/>
        </w:rPr>
        <w:t>колата</w:t>
      </w:r>
      <w:r w:rsidR="00925A19" w:rsidRPr="003E1C30">
        <w:rPr>
          <w:lang w:val="bg-BG"/>
        </w:rPr>
        <w:t>.</w:t>
      </w:r>
    </w:p>
    <w:bookmarkStart w:id="18" w:name="Pleven_Regional_Court_17_March_2006_jud3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43</w:t>
      </w:r>
      <w:r w:rsidRPr="003E1C30">
        <w:rPr>
          <w:lang w:val="bg-BG"/>
        </w:rPr>
        <w:fldChar w:fldCharType="end"/>
      </w:r>
      <w:bookmarkEnd w:id="18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062940">
        <w:rPr>
          <w:lang w:val="bg-BG"/>
        </w:rPr>
        <w:t xml:space="preserve">Няма </w:t>
      </w:r>
      <w:r w:rsidR="001330F2" w:rsidRPr="003E1C30">
        <w:rPr>
          <w:lang w:val="bg-BG"/>
        </w:rPr>
        <w:t>достатъчно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автомобилът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Audi</w:t>
      </w:r>
      <w:proofErr w:type="spellEnd"/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062940">
        <w:rPr>
          <w:lang w:val="bg-BG"/>
        </w:rPr>
        <w:t xml:space="preserve">е </w:t>
      </w:r>
      <w:r w:rsidR="001330F2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иззет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едва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062940">
        <w:rPr>
          <w:lang w:val="bg-BG"/>
        </w:rPr>
        <w:t xml:space="preserve">са </w:t>
      </w:r>
      <w:r w:rsidR="001330F2" w:rsidRPr="003E1C30">
        <w:rPr>
          <w:lang w:val="bg-BG"/>
        </w:rPr>
        <w:t>изтекли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петнадесет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дни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1330F2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използваният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нападателите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062940">
        <w:rPr>
          <w:lang w:val="bg-BG"/>
        </w:rPr>
        <w:t xml:space="preserve">е </w:t>
      </w:r>
      <w:r w:rsidR="00603216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измит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отвътре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отвън</w:t>
      </w:r>
      <w:r w:rsidR="0006294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преди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предаден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полицията</w:t>
      </w:r>
      <w:r w:rsidR="0006294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и</w:t>
      </w:r>
      <w:r w:rsidR="00062940">
        <w:rPr>
          <w:lang w:val="bg-BG"/>
        </w:rPr>
        <w:t xml:space="preserve"> е </w:t>
      </w:r>
      <w:r w:rsidR="00603216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оставен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незаключен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включително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докато</w:t>
      </w:r>
      <w:r w:rsidR="00BC2F33">
        <w:rPr>
          <w:lang w:val="bg-BG"/>
        </w:rPr>
        <w:t xml:space="preserve"> </w:t>
      </w:r>
      <w:r w:rsidR="00E00690">
        <w:rPr>
          <w:lang w:val="bg-BG"/>
        </w:rPr>
        <w:t xml:space="preserve">е </w:t>
      </w:r>
      <w:r w:rsidR="00603216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съхраняван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двора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полицейското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управление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E0069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могло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установи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със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сигурност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малкото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тъмно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кърваво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петно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задната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седалка</w:t>
      </w:r>
      <w:r w:rsidR="00BC2F33">
        <w:rPr>
          <w:lang w:val="bg-BG"/>
        </w:rPr>
        <w:t xml:space="preserve"> </w:t>
      </w:r>
      <w:r w:rsidR="00E0069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свързано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Първата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експертиза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този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въпрос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E0069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E00690">
        <w:rPr>
          <w:lang w:val="bg-BG"/>
        </w:rPr>
        <w:t>можело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допусната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доказателство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тъй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решението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следователя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я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назначи,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 xml:space="preserve">е </w:t>
      </w:r>
      <w:r w:rsidR="00603216" w:rsidRPr="003E1C30">
        <w:rPr>
          <w:lang w:val="bg-BG"/>
        </w:rPr>
        <w:t>съдържало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никакво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описание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автомобила,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трябва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анализиран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Що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отнася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второто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вещо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лице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 xml:space="preserve">е </w:t>
      </w:r>
      <w:r w:rsidR="00603216" w:rsidRPr="003E1C30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състояние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стигне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каквото и да било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заключение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относно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кръвната</w:t>
      </w:r>
      <w:r w:rsidR="00BC2F33">
        <w:rPr>
          <w:lang w:val="bg-BG"/>
        </w:rPr>
        <w:t xml:space="preserve"> </w:t>
      </w:r>
      <w:r w:rsidR="00603216" w:rsidRPr="003E1C30">
        <w:rPr>
          <w:lang w:val="bg-BG"/>
        </w:rPr>
        <w:t>група</w:t>
      </w:r>
      <w:r w:rsidR="00925A19" w:rsidRPr="003E1C30">
        <w:rPr>
          <w:lang w:val="bg-BG"/>
        </w:rPr>
        <w:t>.</w:t>
      </w:r>
    </w:p>
    <w:bookmarkStart w:id="19" w:name="Pleven_Regional_Court_17_March_2006_jud4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44</w:t>
      </w:r>
      <w:r w:rsidRPr="003E1C30">
        <w:rPr>
          <w:lang w:val="bg-BG"/>
        </w:rPr>
        <w:fldChar w:fldCharType="end"/>
      </w:r>
      <w:bookmarkEnd w:id="19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D0D81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продължава,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уличаващите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изявления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могат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считат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надеждни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подробен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анализ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обстоятелствата,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направени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установил,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ясно,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притискан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полицията,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задържала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незаконосъобразно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свидетелства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начин,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указан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нея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</w:t>
      </w:r>
      <w:r w:rsidR="00B42DC7" w:rsidRPr="003E1C30">
        <w:rPr>
          <w:lang w:val="bg-BG"/>
        </w:rPr>
        <w:t>ъдът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0E5">
        <w:rPr>
          <w:lang w:val="bg-BG"/>
        </w:rPr>
        <w:t>счита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надеждни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разпознаванията,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извършвани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участието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разрез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процесуалните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правила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запитан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някакви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отличителни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характеристики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лицата,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 xml:space="preserve">е </w:t>
      </w:r>
      <w:r w:rsidR="009D0D81" w:rsidRPr="003E1C30">
        <w:rPr>
          <w:lang w:val="bg-BG"/>
        </w:rPr>
        <w:t>трябвало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разпознавани,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преди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разпознаването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нито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лица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 xml:space="preserve">са </w:t>
      </w:r>
      <w:r w:rsidR="009D0D81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подредени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сред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лица,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приличат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дадени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указания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кого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разпознае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въз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основа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какви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физически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белези</w:t>
      </w:r>
      <w:r w:rsidR="00925A19" w:rsidRPr="003E1C30">
        <w:rPr>
          <w:lang w:val="bg-BG"/>
        </w:rPr>
        <w:t>.</w:t>
      </w:r>
    </w:p>
    <w:bookmarkStart w:id="20" w:name="Pleven_Regional_Court_17_March_2006_jud5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45</w:t>
      </w:r>
      <w:r w:rsidRPr="003E1C30">
        <w:rPr>
          <w:lang w:val="bg-BG"/>
        </w:rPr>
        <w:fldChar w:fldCharType="end"/>
      </w:r>
      <w:bookmarkEnd w:id="20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D0D81" w:rsidRPr="003E1C30">
        <w:rPr>
          <w:lang w:val="bg-BG"/>
        </w:rPr>
        <w:t>Накрая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експертизата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дрехите,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иззети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дома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И. К.</w:t>
      </w:r>
      <w:r w:rsidR="009D0D81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показва,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следи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кръв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тях</w:t>
      </w:r>
      <w:r w:rsidR="00925A19" w:rsidRPr="003E1C30">
        <w:rPr>
          <w:lang w:val="bg-BG"/>
        </w:rPr>
        <w:t>.</w:t>
      </w:r>
    </w:p>
    <w:bookmarkStart w:id="21" w:name="Pleven_Regional_Court_17_March_2006_jud6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46</w:t>
      </w:r>
      <w:r w:rsidRPr="003E1C30">
        <w:rPr>
          <w:lang w:val="bg-BG"/>
        </w:rPr>
        <w:fldChar w:fldCharType="end"/>
      </w:r>
      <w:bookmarkEnd w:id="21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D0D81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2E6742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представени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обвинението,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свържат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някой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D0D81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</w:p>
    <w:p w:rsidR="00925A19" w:rsidRPr="003E1C30" w:rsidRDefault="00925A19" w:rsidP="00FB1622">
      <w:pPr>
        <w:pStyle w:val="JuH1"/>
        <w:rPr>
          <w:lang w:val="bg-BG"/>
        </w:rPr>
      </w:pPr>
      <w:r w:rsidRPr="003E1C30">
        <w:rPr>
          <w:lang w:val="bg-BG"/>
        </w:rPr>
        <w:t>3.</w:t>
      </w:r>
      <w:r w:rsidR="00BC2F33">
        <w:rPr>
          <w:lang w:val="bg-BG"/>
        </w:rPr>
        <w:t>  </w:t>
      </w:r>
      <w:r w:rsidR="009D0D81" w:rsidRPr="003E1C30">
        <w:rPr>
          <w:lang w:val="bg-BG"/>
        </w:rPr>
        <w:t>Жалбата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7278DC" w:rsidRPr="003E1C30">
        <w:rPr>
          <w:lang w:val="bg-BG"/>
        </w:rPr>
        <w:t>Прокуратурата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внася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протест</w:t>
      </w:r>
      <w:r w:rsidR="002E6742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твърди,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оправдателната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присъда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7278DC" w:rsidRPr="003E1C30">
        <w:rPr>
          <w:lang w:val="bg-BG"/>
        </w:rPr>
        <w:t>необоснована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48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95CF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30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2006</w:t>
      </w:r>
      <w:r w:rsidR="00BC2F33">
        <w:rPr>
          <w:lang w:val="bg-BG"/>
        </w:rPr>
        <w:t xml:space="preserve"> г. </w:t>
      </w:r>
      <w:r w:rsidR="002E6742" w:rsidRPr="003E1C30">
        <w:rPr>
          <w:lang w:val="bg-BG"/>
        </w:rPr>
        <w:t>Апелативен</w:t>
      </w:r>
      <w:r w:rsidR="002E6742">
        <w:rPr>
          <w:lang w:val="bg-BG"/>
        </w:rPr>
        <w:t xml:space="preserve"> </w:t>
      </w:r>
      <w:r w:rsidR="00925A19" w:rsidRPr="003E1C30">
        <w:rPr>
          <w:lang w:val="bg-BG"/>
        </w:rPr>
        <w:t>съд</w:t>
      </w:r>
      <w:r w:rsidR="002E6742">
        <w:rPr>
          <w:lang w:val="bg-BG"/>
        </w:rPr>
        <w:t xml:space="preserve"> – Велико Търново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насрочва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делото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гледане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протестът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посочва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конкретни</w:t>
      </w:r>
      <w:r w:rsidR="00BC2F33">
        <w:rPr>
          <w:lang w:val="bg-BG"/>
        </w:rPr>
        <w:t xml:space="preserve"> </w:t>
      </w:r>
      <w:proofErr w:type="spellStart"/>
      <w:r w:rsidR="00FA448A" w:rsidRPr="003E1C30">
        <w:rPr>
          <w:lang w:val="bg-BG"/>
        </w:rPr>
        <w:t>нередовности</w:t>
      </w:r>
      <w:proofErr w:type="spellEnd"/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решението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по-долна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инстанция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искане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събиране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допълнителни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</w:p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49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заседанието,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провежда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18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септември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2006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прокурорът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протеста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неохотно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потвърждава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протеста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иска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допълнителни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</w:p>
    <w:bookmarkStart w:id="22" w:name="VT_Court_of_Appeal_4_October_2006_jud"/>
    <w:p w:rsidR="00925A19" w:rsidRPr="003E1C30" w:rsidRDefault="00373C23" w:rsidP="00FB162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50</w:t>
      </w:r>
      <w:r w:rsidRPr="003E1C30">
        <w:rPr>
          <w:lang w:val="bg-BG"/>
        </w:rPr>
        <w:fldChar w:fldCharType="end"/>
      </w:r>
      <w:bookmarkEnd w:id="22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решение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B42DC7" w:rsidRPr="003E1C30">
        <w:rPr>
          <w:lang w:val="bg-BG"/>
        </w:rPr>
        <w:t>2006</w:t>
      </w:r>
      <w:r w:rsidR="00BC2F33">
        <w:rPr>
          <w:lang w:val="bg-BG"/>
        </w:rPr>
        <w:t xml:space="preserve"> г. </w:t>
      </w:r>
      <w:r w:rsidR="0044277D">
        <w:rPr>
          <w:lang w:val="bg-BG"/>
        </w:rPr>
        <w:t xml:space="preserve">Апелативен съд – Велико Търново </w:t>
      </w:r>
      <w:r w:rsidR="00FA448A" w:rsidRPr="003E1C30">
        <w:rPr>
          <w:lang w:val="bg-BG"/>
        </w:rPr>
        <w:t>потвърждава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оправдателната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присъда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намира,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по-долна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инстанция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правилно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анализирал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съвкупността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наличните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материали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считайки</w:t>
      </w:r>
      <w:r w:rsidR="006B47F9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основни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загубени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повредени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Заключението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му,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наведените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могат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свържат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престъплението</w:t>
      </w:r>
      <w:r w:rsidR="006B47F9">
        <w:rPr>
          <w:lang w:val="bg-BG"/>
        </w:rPr>
        <w:t>,</w:t>
      </w:r>
      <w:r w:rsidR="00BC2F33">
        <w:rPr>
          <w:lang w:val="bg-BG"/>
        </w:rPr>
        <w:t xml:space="preserve"> </w:t>
      </w:r>
      <w:r w:rsidR="006B47F9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напълно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основателно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6B47F9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представени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доводи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обвинението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производството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жалбата,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хвърлят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съмнение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констатация</w:t>
      </w:r>
      <w:r w:rsidR="00925A19" w:rsidRPr="003E1C30">
        <w:rPr>
          <w:lang w:val="bg-BG"/>
        </w:rPr>
        <w:t>.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Обвинението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внася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нов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протест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решението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става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окончателно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24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октомври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2006</w:t>
      </w:r>
      <w:r w:rsidR="00BC2F33">
        <w:rPr>
          <w:lang w:val="bg-BG"/>
        </w:rPr>
        <w:t> г.</w:t>
      </w:r>
    </w:p>
    <w:p w:rsidR="00925A19" w:rsidRPr="003E1C30" w:rsidRDefault="00FA448A" w:rsidP="00090C82">
      <w:pPr>
        <w:pStyle w:val="JuHHead"/>
        <w:rPr>
          <w:lang w:val="bg-BG"/>
        </w:rPr>
      </w:pPr>
      <w:r w:rsidRPr="003E1C30">
        <w:rPr>
          <w:lang w:val="bg-BG"/>
        </w:rPr>
        <w:t>ПРАВНИ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ИЗВОДИ</w:t>
      </w:r>
    </w:p>
    <w:p w:rsidR="00925A19" w:rsidRPr="003E1C30" w:rsidRDefault="00925A19">
      <w:pPr>
        <w:pStyle w:val="JuHIRoman"/>
        <w:rPr>
          <w:lang w:val="bg-BG"/>
        </w:rPr>
      </w:pPr>
      <w:r w:rsidRPr="003E1C30">
        <w:rPr>
          <w:lang w:val="bg-BG"/>
        </w:rPr>
        <w:t>I.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ТВЪРДЯНО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52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оплакват,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извършили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сина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им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позовават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B47F9" w:rsidRPr="003E1C30">
        <w:rPr>
          <w:lang w:val="bg-BG"/>
        </w:rPr>
        <w:t>член</w:t>
      </w:r>
      <w:r w:rsidR="006B47F9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предвижда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следното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релевантната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част</w:t>
      </w:r>
      <w:r w:rsidR="00925A19" w:rsidRPr="003E1C30">
        <w:rPr>
          <w:lang w:val="bg-BG"/>
        </w:rPr>
        <w:t>:</w:t>
      </w:r>
    </w:p>
    <w:p w:rsidR="00925A19" w:rsidRPr="003E1C30" w:rsidRDefault="006B47F9">
      <w:pPr>
        <w:pStyle w:val="JuQuot"/>
        <w:rPr>
          <w:lang w:val="bg-BG"/>
        </w:rPr>
      </w:pPr>
      <w:r>
        <w:rPr>
          <w:lang w:val="bg-BG"/>
        </w:rPr>
        <w:t>„</w:t>
      </w:r>
      <w:r w:rsidR="00925A19" w:rsidRPr="003E1C30">
        <w:rPr>
          <w:lang w:val="bg-BG"/>
        </w:rPr>
        <w:t>1.</w:t>
      </w:r>
      <w:r w:rsidR="00BC2F33">
        <w:rPr>
          <w:lang w:val="bg-BG"/>
        </w:rPr>
        <w:t>  </w:t>
      </w:r>
      <w:r w:rsidR="00CE67E6" w:rsidRPr="003E1C30">
        <w:rPr>
          <w:lang w:val="bg-BG"/>
        </w:rPr>
        <w:t>Правото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живот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всеки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защищава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закона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>
        <w:rPr>
          <w:lang w:val="bg-BG"/>
        </w:rPr>
        <w:t>...“</w:t>
      </w:r>
    </w:p>
    <w:p w:rsidR="00925A19" w:rsidRPr="003E1C30" w:rsidRDefault="00925A19">
      <w:pPr>
        <w:pStyle w:val="JuHA"/>
        <w:rPr>
          <w:lang w:val="bg-BG"/>
        </w:rPr>
      </w:pPr>
      <w:r w:rsidRPr="003E1C30">
        <w:rPr>
          <w:lang w:val="bg-BG"/>
        </w:rPr>
        <w:t>A.</w:t>
      </w:r>
      <w:r w:rsidR="00BC2F33">
        <w:rPr>
          <w:lang w:val="bg-BG"/>
        </w:rPr>
        <w:t>  </w:t>
      </w:r>
      <w:r w:rsidR="00CE67E6" w:rsidRPr="003E1C30">
        <w:rPr>
          <w:lang w:val="bg-BG"/>
        </w:rPr>
        <w:t>Доводи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E67E6" w:rsidRPr="003E1C30">
        <w:rPr>
          <w:lang w:val="bg-BG"/>
        </w:rPr>
        <w:t>страните</w:t>
      </w:r>
    </w:p>
    <w:bookmarkStart w:id="23" w:name="Gov_obs"/>
    <w:p w:rsidR="00925A19" w:rsidRPr="003E1C30" w:rsidRDefault="00373C23" w:rsidP="003462D7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53</w:t>
      </w:r>
      <w:r w:rsidRPr="003E1C30">
        <w:rPr>
          <w:lang w:val="bg-BG"/>
        </w:rPr>
        <w:fldChar w:fldCharType="end"/>
      </w:r>
      <w:bookmarkEnd w:id="23"/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твърди,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съмнения,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България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създала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правна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уредба,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пази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правото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живот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посочва,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незабавно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започнали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официално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предприели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съберат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доказателствата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фактите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Първоначално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461087">
        <w:rPr>
          <w:lang w:val="bg-BG"/>
        </w:rPr>
        <w:t xml:space="preserve">е </w:t>
      </w:r>
      <w:r w:rsidR="00461087" w:rsidRPr="003E1C30">
        <w:rPr>
          <w:lang w:val="bg-BG"/>
        </w:rPr>
        <w:t>вървяло</w:t>
      </w:r>
      <w:r w:rsidR="00461087">
        <w:rPr>
          <w:lang w:val="bg-BG"/>
        </w:rPr>
        <w:t xml:space="preserve"> </w:t>
      </w:r>
      <w:r w:rsidR="00517765" w:rsidRPr="003E1C30">
        <w:rPr>
          <w:lang w:val="bg-BG"/>
        </w:rPr>
        <w:t>добре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Множеството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следствени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461087">
        <w:rPr>
          <w:lang w:val="bg-BG"/>
        </w:rPr>
        <w:t xml:space="preserve">са </w:t>
      </w:r>
      <w:r w:rsidR="00517765" w:rsidRPr="003E1C30">
        <w:rPr>
          <w:lang w:val="bg-BG"/>
        </w:rPr>
        <w:t>били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показателни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решимостта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извършителите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потърсена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отговорност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Същевременно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61087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подминат</w:t>
      </w:r>
      <w:r w:rsidR="00461087">
        <w:rPr>
          <w:lang w:val="bg-BG"/>
        </w:rPr>
        <w:t xml:space="preserve"> фактът</w:t>
      </w:r>
      <w:r w:rsidR="00517765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отбелязано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националните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съдилища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следствените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органи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нарушили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процесуалните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правила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допуснали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грешки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49091F">
        <w:rPr>
          <w:lang w:val="bg-BG"/>
        </w:rPr>
        <w:t>са</w:t>
      </w:r>
      <w:r w:rsidR="00AD3D1C">
        <w:rPr>
          <w:lang w:val="bg-BG"/>
        </w:rPr>
        <w:t xml:space="preserve"> </w:t>
      </w:r>
      <w:r w:rsidR="00517765" w:rsidRPr="003E1C30">
        <w:rPr>
          <w:lang w:val="bg-BG"/>
        </w:rPr>
        <w:t>спазвали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строго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правилата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събиране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9091F">
        <w:rPr>
          <w:lang w:val="bg-BG"/>
        </w:rPr>
        <w:t xml:space="preserve">е </w:t>
      </w:r>
      <w:r w:rsidR="001935D2">
        <w:rPr>
          <w:lang w:val="bg-BG"/>
        </w:rPr>
        <w:t>щяло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има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много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по-голям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шанс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установяване</w:t>
      </w:r>
      <w:r w:rsidR="00BC2F33">
        <w:rPr>
          <w:lang w:val="bg-BG"/>
        </w:rPr>
        <w:t xml:space="preserve"> </w:t>
      </w:r>
      <w:r w:rsidR="0051776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proofErr w:type="spellStart"/>
      <w:r w:rsidR="00517765" w:rsidRPr="003E1C30">
        <w:rPr>
          <w:lang w:val="bg-BG"/>
        </w:rPr>
        <w:t>виновниците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Фактът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обаче,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нападателите</w:t>
      </w:r>
      <w:r w:rsidR="00BC2F33">
        <w:rPr>
          <w:lang w:val="bg-BG"/>
        </w:rPr>
        <w:t xml:space="preserve"> </w:t>
      </w:r>
      <w:r w:rsidR="00AD3D1C">
        <w:rPr>
          <w:lang w:val="bg-BG"/>
        </w:rPr>
        <w:t xml:space="preserve">са </w:t>
      </w:r>
      <w:r w:rsidR="003C7CA9" w:rsidRPr="003E1C30">
        <w:rPr>
          <w:lang w:val="bg-BG"/>
        </w:rPr>
        <w:t>носели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маски,</w:t>
      </w:r>
      <w:r w:rsidR="00BC2F33">
        <w:rPr>
          <w:lang w:val="bg-BG"/>
        </w:rPr>
        <w:t xml:space="preserve"> </w:t>
      </w:r>
      <w:r w:rsidR="00AD3D1C">
        <w:rPr>
          <w:lang w:val="bg-BG"/>
        </w:rPr>
        <w:t xml:space="preserve">е </w:t>
      </w:r>
      <w:r w:rsidR="003C7CA9" w:rsidRPr="003E1C30">
        <w:rPr>
          <w:lang w:val="bg-BG"/>
        </w:rPr>
        <w:t>създа</w:t>
      </w:r>
      <w:r w:rsidR="00AD3D1C">
        <w:rPr>
          <w:lang w:val="bg-BG"/>
        </w:rPr>
        <w:t>л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сериозни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затруднения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отношение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Друг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проблем</w:t>
      </w:r>
      <w:r w:rsidR="00BC2F33">
        <w:rPr>
          <w:lang w:val="bg-BG"/>
        </w:rPr>
        <w:t xml:space="preserve"> </w:t>
      </w:r>
      <w:r w:rsidR="0049091F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оскъдните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свидетелски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показания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Независимо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това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фактът,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61C65">
        <w:rPr>
          <w:lang w:val="bg-BG"/>
        </w:rPr>
        <w:t xml:space="preserve">са </w:t>
      </w:r>
      <w:r w:rsidR="003C7CA9" w:rsidRPr="003E1C30">
        <w:rPr>
          <w:lang w:val="bg-BG"/>
        </w:rPr>
        <w:t>успели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отговорните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престъплението,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61C65">
        <w:rPr>
          <w:lang w:val="bg-BG"/>
        </w:rPr>
        <w:t>води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автоматично</w:t>
      </w:r>
      <w:r w:rsidR="00BC2F33">
        <w:rPr>
          <w:lang w:val="bg-BG"/>
        </w:rPr>
        <w:t xml:space="preserve"> </w:t>
      </w:r>
      <w:r w:rsidR="00561C65">
        <w:rPr>
          <w:lang w:val="bg-BG"/>
        </w:rPr>
        <w:t xml:space="preserve">до </w:t>
      </w:r>
      <w:r w:rsidR="003C7CA9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техните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процесуални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задължения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561C65" w:rsidRPr="003E1C30">
        <w:rPr>
          <w:lang w:val="bg-BG"/>
        </w:rPr>
        <w:t>член</w:t>
      </w:r>
      <w:r w:rsidR="00561C65">
        <w:rPr>
          <w:lang w:val="bg-BG"/>
        </w:rPr>
        <w:t xml:space="preserve"> </w:t>
      </w:r>
      <w:r w:rsidR="00925A19" w:rsidRPr="003E1C30">
        <w:rPr>
          <w:lang w:val="bg-BG"/>
        </w:rPr>
        <w:t>2.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61C65">
        <w:rPr>
          <w:lang w:val="bg-BG"/>
        </w:rPr>
        <w:t>могат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обвин</w:t>
      </w:r>
      <w:r w:rsidR="00561C65">
        <w:rPr>
          <w:lang w:val="bg-BG"/>
        </w:rPr>
        <w:t>явани</w:t>
      </w:r>
      <w:r w:rsidR="003C7CA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ако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въпреки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провеждането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разследване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могли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самоличността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отговорните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лица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накажат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Разследваното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продължава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продължи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изтичането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давността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457FFA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тридесет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години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C7CA9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Накрая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Закон</w:t>
      </w:r>
      <w:r w:rsidR="00457FFA">
        <w:rPr>
          <w:lang w:val="bg-BG"/>
        </w:rPr>
        <w:t>ът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подпомагане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финансова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компенсация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пострадали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престъпления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прилага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спрямо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престъпления,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извършени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30</w:t>
      </w:r>
      <w:r w:rsidR="00BC2F33">
        <w:rPr>
          <w:lang w:val="bg-BG"/>
        </w:rPr>
        <w:t xml:space="preserve"> </w:t>
      </w:r>
      <w:r w:rsidR="00F515CD" w:rsidRPr="003E1C30">
        <w:rPr>
          <w:lang w:val="bg-BG"/>
        </w:rPr>
        <w:t>юни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2005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влязъл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сила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януари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2007</w:t>
      </w:r>
      <w:r w:rsidR="00BC2F33">
        <w:rPr>
          <w:lang w:val="bg-BG"/>
        </w:rPr>
        <w:t> г.</w:t>
      </w:r>
    </w:p>
    <w:p w:rsidR="00925A19" w:rsidRPr="003E1C30" w:rsidRDefault="00373C23" w:rsidP="003462D7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54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025D2F" w:rsidRPr="003E1C30">
        <w:rPr>
          <w:lang w:val="bg-BG"/>
        </w:rPr>
        <w:t>твърдят</w:t>
      </w:r>
      <w:r w:rsidR="00C031B4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спази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своите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позитивни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задължения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57FFA" w:rsidRPr="003E1C30">
        <w:rPr>
          <w:lang w:val="bg-BG"/>
        </w:rPr>
        <w:t>член</w:t>
      </w:r>
      <w:r w:rsidR="00457FFA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C031B4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457FFA">
        <w:rPr>
          <w:lang w:val="bg-BG"/>
        </w:rPr>
        <w:t xml:space="preserve">е </w:t>
      </w:r>
      <w:r w:rsidR="00C031B4" w:rsidRPr="003E1C30">
        <w:rPr>
          <w:lang w:val="bg-BG"/>
        </w:rPr>
        <w:t>трябвало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направи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повече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просто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приеме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закони,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възлагат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наказването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убийства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Тя</w:t>
      </w:r>
      <w:r w:rsidR="00BC2F33">
        <w:rPr>
          <w:lang w:val="bg-BG"/>
        </w:rPr>
        <w:t xml:space="preserve"> </w:t>
      </w:r>
      <w:r w:rsidR="00457FFA">
        <w:rPr>
          <w:lang w:val="bg-BG"/>
        </w:rPr>
        <w:t xml:space="preserve">е </w:t>
      </w:r>
      <w:r w:rsidR="00C031B4" w:rsidRPr="003E1C30">
        <w:rPr>
          <w:lang w:val="bg-BG"/>
        </w:rPr>
        <w:t>трябвало</w:t>
      </w:r>
      <w:r w:rsidR="00BC2F33">
        <w:rPr>
          <w:lang w:val="bg-BG"/>
        </w:rPr>
        <w:t xml:space="preserve"> </w:t>
      </w:r>
      <w:r w:rsidR="00457FFA">
        <w:rPr>
          <w:lang w:val="bg-BG"/>
        </w:rPr>
        <w:t>също така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извърши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ефективни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официални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разследвания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всички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случаи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убийство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настоящото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дело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457FFA">
        <w:rPr>
          <w:lang w:val="bg-BG"/>
        </w:rPr>
        <w:t xml:space="preserve">е </w:t>
      </w:r>
      <w:r w:rsidR="008025D3">
        <w:rPr>
          <w:lang w:val="bg-BG"/>
        </w:rPr>
        <w:t xml:space="preserve">било </w:t>
      </w:r>
      <w:r w:rsidR="00C031B4" w:rsidRPr="003E1C30">
        <w:rPr>
          <w:lang w:val="bg-BG"/>
        </w:rPr>
        <w:t>ефективно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точно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обратното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8025D3">
        <w:rPr>
          <w:lang w:val="bg-BG"/>
        </w:rPr>
        <w:t xml:space="preserve">е </w:t>
      </w:r>
      <w:r w:rsidR="00C031B4" w:rsidRPr="003E1C30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опорочено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редица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тежки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пропуски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напълно</w:t>
      </w:r>
      <w:r w:rsidR="00BC2F33">
        <w:rPr>
          <w:lang w:val="bg-BG"/>
        </w:rPr>
        <w:t xml:space="preserve"> </w:t>
      </w:r>
      <w:r w:rsidR="008025D3">
        <w:rPr>
          <w:lang w:val="bg-BG"/>
        </w:rPr>
        <w:t xml:space="preserve">са </w:t>
      </w:r>
      <w:r w:rsidR="00C031B4" w:rsidRPr="003E1C30">
        <w:rPr>
          <w:lang w:val="bg-BG"/>
        </w:rPr>
        <w:t>подкопали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способността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установи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точните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обстоятелства,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убит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C031B4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така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самоличността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лицата,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отговорни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му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Най-сериозната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грешка</w:t>
      </w:r>
      <w:r w:rsidR="00BC2F33">
        <w:rPr>
          <w:lang w:val="bg-BG"/>
        </w:rPr>
        <w:t xml:space="preserve"> </w:t>
      </w:r>
      <w:r w:rsidR="008025D3">
        <w:rPr>
          <w:lang w:val="bg-BG"/>
        </w:rPr>
        <w:t xml:space="preserve">е </w:t>
      </w:r>
      <w:r w:rsidR="00C031B4" w:rsidRPr="003E1C30">
        <w:rPr>
          <w:lang w:val="bg-BG"/>
        </w:rPr>
        <w:t>бил</w:t>
      </w:r>
      <w:r w:rsidR="008025D3">
        <w:rPr>
          <w:lang w:val="bg-BG"/>
        </w:rPr>
        <w:t>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загубването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гилзите,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събрани</w:t>
      </w:r>
      <w:r w:rsidR="00BC2F33">
        <w:rPr>
          <w:lang w:val="bg-BG"/>
        </w:rPr>
        <w:t xml:space="preserve"> </w:t>
      </w:r>
      <w:r w:rsidR="00C031B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местопрестъплението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неосигуряването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закрила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32319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A50630">
        <w:rPr>
          <w:lang w:val="bg-BG"/>
        </w:rPr>
        <w:t>В. К.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8025D3">
        <w:rPr>
          <w:lang w:val="bg-BG"/>
        </w:rPr>
        <w:t xml:space="preserve">е </w:t>
      </w:r>
      <w:r w:rsidR="00C10EBD" w:rsidRPr="003E1C30">
        <w:rPr>
          <w:lang w:val="bg-BG"/>
        </w:rPr>
        <w:t>била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възможна</w:t>
      </w:r>
      <w:r w:rsidR="008025D3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крайно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необходима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липсата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8025D3">
        <w:rPr>
          <w:lang w:val="bg-BG"/>
        </w:rPr>
        <w:t xml:space="preserve">е </w:t>
      </w:r>
      <w:r w:rsidR="00C10EBD" w:rsidRPr="003E1C30">
        <w:rPr>
          <w:lang w:val="bg-BG"/>
        </w:rPr>
        <w:t>довел</w:t>
      </w:r>
      <w:r w:rsidR="008025D3">
        <w:rPr>
          <w:lang w:val="bg-BG"/>
        </w:rPr>
        <w:t>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proofErr w:type="spellStart"/>
      <w:r w:rsidR="00C10EBD" w:rsidRPr="003E1C30">
        <w:rPr>
          <w:lang w:val="bg-BG"/>
        </w:rPr>
        <w:t>неколкократна</w:t>
      </w:r>
      <w:proofErr w:type="spellEnd"/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промяна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показанията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му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пороци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>според тях са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неадекватната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проверка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местопрестъплението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закъснялото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провеждане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разпити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съседите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закъснялото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възлагане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ДНК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балистична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експертизи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цяло,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прекомерната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продължителност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следствието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 xml:space="preserve">е </w:t>
      </w:r>
      <w:r w:rsidR="00C10EBD" w:rsidRPr="003E1C30">
        <w:rPr>
          <w:lang w:val="bg-BG"/>
        </w:rPr>
        <w:t>продължило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почти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осем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години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критикуват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пасивното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поведение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прокуратурата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процеса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хода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тя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 xml:space="preserve">е </w:t>
      </w:r>
      <w:r w:rsidR="00C10EBD" w:rsidRPr="003E1C30">
        <w:rPr>
          <w:lang w:val="bg-BG"/>
        </w:rPr>
        <w:t>отправила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само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едно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зле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обосновано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искане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събиране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допълнителн</w:t>
      </w:r>
      <w:r w:rsidR="00A861C5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доказателства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>Освен това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протеста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оправдателната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присъда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обвинението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 xml:space="preserve">е </w:t>
      </w:r>
      <w:r w:rsidR="00C10EBD" w:rsidRPr="003E1C30">
        <w:rPr>
          <w:lang w:val="bg-BG"/>
        </w:rPr>
        <w:t>представило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>каквито и да било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допълнителни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доводи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 xml:space="preserve">е </w:t>
      </w:r>
      <w:r w:rsidR="00C10EBD" w:rsidRPr="003E1C30">
        <w:rPr>
          <w:lang w:val="bg-BG"/>
        </w:rPr>
        <w:t>повдигнало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proofErr w:type="spellStart"/>
      <w:r w:rsidR="00C10EBD" w:rsidRPr="003E1C30">
        <w:rPr>
          <w:lang w:val="bg-BG"/>
        </w:rPr>
        <w:t>доказателствени</w:t>
      </w:r>
      <w:proofErr w:type="spellEnd"/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искания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нито</w:t>
      </w:r>
      <w:r w:rsidR="00BC2F33">
        <w:rPr>
          <w:lang w:val="bg-BG"/>
        </w:rPr>
        <w:t xml:space="preserve"> </w:t>
      </w:r>
      <w:r w:rsidR="002C3A72">
        <w:rPr>
          <w:lang w:val="bg-BG"/>
        </w:rPr>
        <w:t xml:space="preserve">по-късно </w:t>
      </w:r>
      <w:r w:rsidR="00C10EBD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737633">
        <w:rPr>
          <w:lang w:val="bg-BG"/>
        </w:rPr>
        <w:t xml:space="preserve">е </w:t>
      </w:r>
      <w:r w:rsidR="00C10EBD" w:rsidRPr="003E1C30">
        <w:rPr>
          <w:lang w:val="bg-BG"/>
        </w:rPr>
        <w:t>опитало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обжалва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правно</w:t>
      </w:r>
      <w:r w:rsidR="00BC2F33">
        <w:rPr>
          <w:lang w:val="bg-BG"/>
        </w:rPr>
        <w:t xml:space="preserve"> </w:t>
      </w:r>
      <w:r w:rsidR="00C10EBD" w:rsidRPr="003E1C30">
        <w:rPr>
          <w:lang w:val="bg-BG"/>
        </w:rPr>
        <w:t>основание</w:t>
      </w:r>
      <w:r w:rsidR="00925A19" w:rsidRPr="003E1C30">
        <w:rPr>
          <w:lang w:val="bg-BG"/>
        </w:rPr>
        <w:t>.</w:t>
      </w:r>
    </w:p>
    <w:p w:rsidR="00925A19" w:rsidRPr="003E1C30" w:rsidRDefault="00C10EBD">
      <w:pPr>
        <w:pStyle w:val="JuHA"/>
        <w:rPr>
          <w:lang w:val="bg-BG"/>
        </w:rPr>
      </w:pPr>
      <w:r w:rsidRPr="003E1C30">
        <w:rPr>
          <w:lang w:val="bg-BG"/>
        </w:rPr>
        <w:t>Б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Pr="003E1C30">
        <w:rPr>
          <w:lang w:val="bg-BG"/>
        </w:rPr>
        <w:t>Оценка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Съда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EA50D4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оплакване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явно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необосновано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смисъла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C3A72" w:rsidRPr="003E1C30">
        <w:rPr>
          <w:lang w:val="bg-BG"/>
        </w:rPr>
        <w:t>член</w:t>
      </w:r>
      <w:r w:rsidR="002C3A72">
        <w:rPr>
          <w:lang w:val="bg-BG"/>
        </w:rPr>
        <w:t xml:space="preserve"> </w:t>
      </w:r>
      <w:r w:rsidR="00925A19" w:rsidRPr="003E1C30">
        <w:rPr>
          <w:lang w:val="bg-BG"/>
        </w:rPr>
        <w:t>35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недопустимо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каквото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2C3A72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друго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основание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трябва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обявено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допустимо</w:t>
      </w:r>
      <w:r w:rsidR="00925A19" w:rsidRPr="003E1C30">
        <w:rPr>
          <w:lang w:val="bg-BG"/>
        </w:rPr>
        <w:t>.</w:t>
      </w:r>
    </w:p>
    <w:p w:rsidR="00925A19" w:rsidRPr="003E1C30" w:rsidRDefault="00373C23" w:rsidP="00A84CB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56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EA50D4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въпреки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липсата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участие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представители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убийството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имат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проведат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обстоятелствата,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той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губи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живота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налага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обезпечи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правото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живот</w:t>
      </w:r>
      <w:r w:rsidR="002C3A72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въведе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ефективни</w:t>
      </w:r>
      <w:r w:rsidR="00BC2F33">
        <w:rPr>
          <w:lang w:val="bg-BG"/>
        </w:rPr>
        <w:t xml:space="preserve"> </w:t>
      </w:r>
      <w:proofErr w:type="spellStart"/>
      <w:r w:rsidR="00EA50D4" w:rsidRPr="003E1C30">
        <w:rPr>
          <w:lang w:val="bg-BG"/>
        </w:rPr>
        <w:t>наказателноправни</w:t>
      </w:r>
      <w:proofErr w:type="spellEnd"/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разпоредби,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възпират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престъпления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личността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2C3A72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подкрепяни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proofErr w:type="spellStart"/>
      <w:r w:rsidR="00EA50D4" w:rsidRPr="003E1C30">
        <w:rPr>
          <w:lang w:val="bg-BG"/>
        </w:rPr>
        <w:t>правоохранителен</w:t>
      </w:r>
      <w:proofErr w:type="spellEnd"/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механизъм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предотвратяване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потискане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санкциониране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нарушенията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разпоредби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proofErr w:type="spellStart"/>
      <w:r w:rsidR="00925A19" w:rsidRPr="003E1C30">
        <w:rPr>
          <w:i/>
          <w:lang w:val="bg-BG" w:eastAsia="en-US"/>
        </w:rPr>
        <w:t>Osman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the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United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Kingdom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28</w:t>
      </w:r>
      <w:r w:rsidR="00BC2F33">
        <w:rPr>
          <w:lang w:val="bg-BG" w:eastAsia="en-US"/>
        </w:rPr>
        <w:t xml:space="preserve"> </w:t>
      </w:r>
      <w:r w:rsidR="00BC0ADA" w:rsidRPr="003E1C30">
        <w:rPr>
          <w:lang w:val="bg-BG" w:eastAsia="en-US"/>
        </w:rPr>
        <w:t>октомври</w:t>
      </w:r>
      <w:r w:rsidR="00BC2F33">
        <w:rPr>
          <w:lang w:val="bg-BG" w:eastAsia="en-US"/>
        </w:rPr>
        <w:t xml:space="preserve"> </w:t>
      </w:r>
      <w:r w:rsidR="00BC0ADA" w:rsidRPr="003E1C30">
        <w:rPr>
          <w:lang w:val="bg-BG" w:eastAsia="en-US"/>
        </w:rPr>
        <w:t>1998</w:t>
      </w:r>
      <w:r w:rsidR="00BC2F33">
        <w:rPr>
          <w:lang w:val="bg-BG" w:eastAsia="en-US"/>
        </w:rPr>
        <w:t> г.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115,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Reports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of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Judgments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and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Decisions</w:t>
      </w:r>
      <w:proofErr w:type="spellEnd"/>
      <w:r w:rsidR="00BC2F33">
        <w:rPr>
          <w:lang w:val="bg-BG" w:eastAsia="en-US"/>
        </w:rPr>
        <w:t xml:space="preserve"> </w:t>
      </w:r>
      <w:r w:rsidR="00BC0ADA" w:rsidRPr="003E1C30">
        <w:rPr>
          <w:lang w:val="bg-BG" w:eastAsia="en-US"/>
        </w:rPr>
        <w:t>1998</w:t>
      </w:r>
      <w:r w:rsidR="00925A19" w:rsidRPr="003E1C30">
        <w:rPr>
          <w:lang w:val="bg-BG" w:eastAsia="en-US"/>
        </w:rPr>
        <w:noBreakHyphen/>
        <w:t>VIII</w:t>
      </w:r>
      <w:r w:rsidR="00925A19" w:rsidRPr="003E1C30">
        <w:rPr>
          <w:lang w:val="bg-BG"/>
        </w:rPr>
        <w:t>).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изисква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подразбиране</w:t>
      </w:r>
      <w:r w:rsidR="00BC2F33">
        <w:rPr>
          <w:lang w:val="bg-BG"/>
        </w:rPr>
        <w:t xml:space="preserve"> </w:t>
      </w:r>
      <w:r w:rsidR="00EA50D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съществува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някаква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форма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официално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разследване,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когато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насилствени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подозрителни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обстоятелства</w:t>
      </w:r>
      <w:r w:rsidR="00F96EB4">
        <w:rPr>
          <w:lang w:val="bg-BG"/>
        </w:rPr>
        <w:t xml:space="preserve"> </w:t>
      </w:r>
      <w:r w:rsidR="00F96EB4" w:rsidRPr="003E1C30">
        <w:rPr>
          <w:lang w:val="bg-BG"/>
        </w:rPr>
        <w:t>са</w:t>
      </w:r>
      <w:r w:rsidR="00F96EB4">
        <w:rPr>
          <w:lang w:val="bg-BG"/>
        </w:rPr>
        <w:t xml:space="preserve"> </w:t>
      </w:r>
      <w:r w:rsidR="00F96EB4" w:rsidRPr="003E1C30">
        <w:rPr>
          <w:lang w:val="bg-BG"/>
        </w:rPr>
        <w:t>починали</w:t>
      </w:r>
      <w:r w:rsidR="00F96EB4">
        <w:rPr>
          <w:lang w:val="bg-BG"/>
        </w:rPr>
        <w:t xml:space="preserve"> </w:t>
      </w:r>
      <w:r w:rsidR="00F96EB4" w:rsidRPr="003E1C30">
        <w:rPr>
          <w:lang w:val="bg-BG"/>
        </w:rPr>
        <w:t>лица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индикация,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дължи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действие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D86C32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отношение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насилие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между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затворници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Paul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and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Audrey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Edwards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the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United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Kingdom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46477/99,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69,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395CF0" w:rsidRPr="003E1C30">
        <w:rPr>
          <w:lang w:val="bg-BG" w:eastAsia="en-US"/>
        </w:rPr>
        <w:t>2002</w:t>
      </w:r>
      <w:r w:rsidR="00925A19" w:rsidRPr="003E1C30">
        <w:rPr>
          <w:lang w:val="bg-BG" w:eastAsia="en-US"/>
        </w:rPr>
        <w:noBreakHyphen/>
        <w:t>II;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/>
        </w:rPr>
        <w:t>убийства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затворници,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ползват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схеми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предсрочно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освобождаване</w:t>
      </w:r>
      <w:r w:rsidR="00BC2F33">
        <w:rPr>
          <w:lang w:val="bg-BG"/>
        </w:rPr>
        <w:t xml:space="preserve"> </w:t>
      </w:r>
      <w:r w:rsidR="00D86C32" w:rsidRPr="003E1C30">
        <w:rPr>
          <w:lang w:val="bg-BG" w:eastAsia="en-US"/>
        </w:rPr>
        <w:t>или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социална</w:t>
      </w:r>
      <w:r w:rsidR="00BC2F33">
        <w:rPr>
          <w:lang w:val="bg-BG" w:eastAsia="en-US"/>
        </w:rPr>
        <w:t xml:space="preserve"> </w:t>
      </w:r>
      <w:proofErr w:type="spellStart"/>
      <w:r w:rsidR="00D86C32" w:rsidRPr="003E1C30">
        <w:rPr>
          <w:lang w:val="bg-BG" w:eastAsia="en-US"/>
        </w:rPr>
        <w:t>реинтеграция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Mastromatteo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Italy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lang w:val="bg-BG" w:eastAsia="en-US"/>
        </w:rPr>
        <w:t>[GC],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37703/97,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89,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92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и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93,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395CF0" w:rsidRPr="003E1C30">
        <w:rPr>
          <w:lang w:val="bg-BG" w:eastAsia="en-US"/>
        </w:rPr>
        <w:t>2002</w:t>
      </w:r>
      <w:r w:rsidR="00925A19" w:rsidRPr="003E1C30">
        <w:rPr>
          <w:lang w:val="bg-BG" w:eastAsia="en-US"/>
        </w:rPr>
        <w:noBreakHyphen/>
        <w:t>VIII,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и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Maiorano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and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Others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Italy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28634/06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§§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123</w:t>
      </w:r>
      <w:r w:rsidR="00925A19" w:rsidRPr="003E1C30">
        <w:rPr>
          <w:snapToGrid w:val="0"/>
          <w:lang w:val="bg-BG" w:eastAsia="en-US"/>
        </w:rPr>
        <w:noBreakHyphen/>
        <w:t>26,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15</w:t>
      </w:r>
      <w:r w:rsidR="00BC2F33">
        <w:rPr>
          <w:snapToGrid w:val="0"/>
          <w:lang w:val="bg-BG" w:eastAsia="en-US"/>
        </w:rPr>
        <w:t xml:space="preserve"> </w:t>
      </w:r>
      <w:r w:rsidR="0094338D" w:rsidRPr="003E1C30">
        <w:rPr>
          <w:snapToGrid w:val="0"/>
          <w:lang w:val="bg-BG" w:eastAsia="en-US"/>
        </w:rPr>
        <w:t>декември</w:t>
      </w:r>
      <w:r w:rsidR="00BC2F33">
        <w:rPr>
          <w:snapToGrid w:val="0"/>
          <w:lang w:val="bg-BG" w:eastAsia="en-US"/>
        </w:rPr>
        <w:t xml:space="preserve"> </w:t>
      </w:r>
      <w:r w:rsidR="00811038" w:rsidRPr="003E1C30">
        <w:rPr>
          <w:snapToGrid w:val="0"/>
          <w:lang w:val="bg-BG" w:eastAsia="en-US"/>
        </w:rPr>
        <w:t>2009</w:t>
      </w:r>
      <w:r w:rsidR="00BC2F33">
        <w:rPr>
          <w:snapToGrid w:val="0"/>
          <w:lang w:val="bg-BG" w:eastAsia="en-US"/>
        </w:rPr>
        <w:t> г.</w:t>
      </w:r>
      <w:r w:rsidR="00925A19" w:rsidRPr="003E1C30">
        <w:rPr>
          <w:snapToGrid w:val="0"/>
          <w:lang w:val="bg-BG" w:eastAsia="en-US"/>
        </w:rPr>
        <w:t>;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нападения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расова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основа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Menson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the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United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Kingdom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lang w:val="bg-BG" w:eastAsia="en-US"/>
        </w:rPr>
        <w:t>(</w:t>
      </w:r>
      <w:proofErr w:type="spellStart"/>
      <w:r w:rsidR="00925A19" w:rsidRPr="003E1C30">
        <w:rPr>
          <w:lang w:val="bg-BG" w:eastAsia="en-US"/>
        </w:rPr>
        <w:t>dec</w:t>
      </w:r>
      <w:proofErr w:type="spellEnd"/>
      <w:r w:rsidR="00925A19" w:rsidRPr="003E1C30">
        <w:rPr>
          <w:lang w:val="bg-BG" w:eastAsia="en-US"/>
        </w:rPr>
        <w:t>.),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47916/99</w:t>
      </w:r>
      <w:r w:rsidR="00925A19" w:rsidRPr="003E1C30">
        <w:rPr>
          <w:szCs w:val="24"/>
          <w:lang w:val="bg-BG" w:eastAsia="en-US"/>
        </w:rPr>
        <w:t>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395CF0" w:rsidRPr="003E1C30">
        <w:rPr>
          <w:lang w:val="bg-BG" w:eastAsia="en-US"/>
        </w:rPr>
        <w:t>2003</w:t>
      </w:r>
      <w:r w:rsidR="00925A19" w:rsidRPr="003E1C30">
        <w:rPr>
          <w:lang w:val="bg-BG" w:eastAsia="en-US"/>
        </w:rPr>
        <w:noBreakHyphen/>
        <w:t>V,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и</w:t>
      </w:r>
      <w:r w:rsidR="00BC2F33">
        <w:rPr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Ангелова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и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Илиев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срещу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България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№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55523/00,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91</w:t>
      </w:r>
      <w:r w:rsidR="00925A19" w:rsidRPr="003E1C30">
        <w:rPr>
          <w:lang w:val="bg-BG" w:eastAsia="en-US"/>
        </w:rPr>
        <w:noBreakHyphen/>
        <w:t>105,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2007</w:t>
      </w:r>
      <w:r w:rsidR="00925A19" w:rsidRPr="003E1C30">
        <w:rPr>
          <w:lang w:val="bg-BG" w:eastAsia="en-US"/>
        </w:rPr>
        <w:noBreakHyphen/>
        <w:t>IX;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убийства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известни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личности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Колеви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срещу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България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№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lang w:val="bg-BG" w:eastAsia="en-US"/>
        </w:rPr>
        <w:t>1108/02,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191-215,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5</w:t>
      </w:r>
      <w:r w:rsidR="00BC2F33">
        <w:rPr>
          <w:lang w:val="bg-BG" w:eastAsia="en-US"/>
        </w:rPr>
        <w:t xml:space="preserve"> </w:t>
      </w:r>
      <w:r w:rsidR="00BC0ADA" w:rsidRPr="003E1C30">
        <w:rPr>
          <w:lang w:val="bg-BG" w:eastAsia="en-US"/>
        </w:rPr>
        <w:t>ноември</w:t>
      </w:r>
      <w:r w:rsidR="00BC2F33">
        <w:rPr>
          <w:lang w:val="bg-BG" w:eastAsia="en-US"/>
        </w:rPr>
        <w:t xml:space="preserve"> </w:t>
      </w:r>
      <w:r w:rsidR="00811038" w:rsidRPr="003E1C30">
        <w:rPr>
          <w:lang w:val="bg-BG" w:eastAsia="en-US"/>
        </w:rPr>
        <w:t>2009</w:t>
      </w:r>
      <w:r w:rsidR="00BC2F33">
        <w:rPr>
          <w:lang w:val="bg-BG" w:eastAsia="en-US"/>
        </w:rPr>
        <w:t> г.</w:t>
      </w:r>
      <w:r w:rsidR="00925A19" w:rsidRPr="003E1C30">
        <w:rPr>
          <w:lang w:val="bg-BG" w:eastAsia="en-US"/>
        </w:rPr>
        <w:t>;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домашно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насилие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Opuz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Turkey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33401/02,</w:t>
      </w:r>
      <w:r w:rsidR="00BC2F33">
        <w:rPr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§§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150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и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151,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811038" w:rsidRPr="003E1C30">
        <w:rPr>
          <w:lang w:val="bg-BG" w:eastAsia="en-US"/>
        </w:rPr>
        <w:t>2009</w:t>
      </w:r>
      <w:r w:rsidR="00BC2F33">
        <w:rPr>
          <w:lang w:val="bg-BG" w:eastAsia="en-US"/>
        </w:rPr>
        <w:t> г.</w:t>
      </w:r>
      <w:r w:rsidR="00925A19" w:rsidRPr="003E1C30">
        <w:rPr>
          <w:lang w:val="bg-BG" w:eastAsia="en-US"/>
        </w:rPr>
        <w:noBreakHyphen/>
        <w:t>...;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пътно-транспортни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произшествия</w:t>
      </w:r>
      <w:r w:rsidR="00925A19" w:rsidRPr="003E1C30">
        <w:rPr>
          <w:lang w:val="bg-BG" w:eastAsia="en-US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Al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Fayed</w:t>
      </w:r>
      <w:proofErr w:type="spellEnd"/>
      <w:r w:rsidR="00BC2F33">
        <w:rPr>
          <w:i/>
          <w:lang w:val="bg-BG"/>
        </w:rPr>
        <w:t xml:space="preserve"> </w:t>
      </w:r>
      <w:r w:rsidR="00925A19" w:rsidRPr="003E1C30">
        <w:rPr>
          <w:i/>
          <w:lang w:val="bg-BG"/>
        </w:rPr>
        <w:t>v.</w:t>
      </w:r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France</w:t>
      </w:r>
      <w:proofErr w:type="spellEnd"/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proofErr w:type="spellStart"/>
      <w:r w:rsidR="00925A19" w:rsidRPr="003E1C30">
        <w:rPr>
          <w:lang w:val="bg-BG"/>
        </w:rPr>
        <w:t>dec</w:t>
      </w:r>
      <w:proofErr w:type="spellEnd"/>
      <w:r w:rsidR="00925A19" w:rsidRPr="003E1C30">
        <w:rPr>
          <w:lang w:val="bg-BG"/>
        </w:rPr>
        <w:t>.),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no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38501/02,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73</w:t>
      </w:r>
      <w:r w:rsidR="00925A19" w:rsidRPr="003E1C30">
        <w:rPr>
          <w:lang w:val="bg-BG"/>
        </w:rPr>
        <w:noBreakHyphen/>
        <w:t>78,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27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септември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2007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Rajkowska</w:t>
      </w:r>
      <w:proofErr w:type="spellEnd"/>
      <w:r w:rsidR="00BC2F33">
        <w:rPr>
          <w:i/>
          <w:lang w:val="bg-BG"/>
        </w:rPr>
        <w:t xml:space="preserve"> </w:t>
      </w:r>
      <w:r w:rsidR="00925A19" w:rsidRPr="003E1C30">
        <w:rPr>
          <w:i/>
          <w:lang w:val="bg-BG"/>
        </w:rPr>
        <w:t>v.</w:t>
      </w:r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Poland</w:t>
      </w:r>
      <w:proofErr w:type="spellEnd"/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proofErr w:type="spellStart"/>
      <w:r w:rsidR="00925A19" w:rsidRPr="003E1C30">
        <w:rPr>
          <w:lang w:val="bg-BG"/>
        </w:rPr>
        <w:t>dec</w:t>
      </w:r>
      <w:proofErr w:type="spellEnd"/>
      <w:r w:rsidR="00925A19" w:rsidRPr="003E1C30">
        <w:rPr>
          <w:lang w:val="bg-BG"/>
        </w:rPr>
        <w:t>.),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no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37393/02,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27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ноември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2007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Railean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Moldova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23401/04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§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28,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5</w:t>
      </w:r>
      <w:r w:rsidR="00BC2F33">
        <w:rPr>
          <w:snapToGrid w:val="0"/>
          <w:lang w:val="bg-BG" w:eastAsia="en-US"/>
        </w:rPr>
        <w:t xml:space="preserve"> </w:t>
      </w:r>
      <w:r w:rsidR="00A87637" w:rsidRPr="003E1C30">
        <w:rPr>
          <w:snapToGrid w:val="0"/>
          <w:lang w:val="bg-BG" w:eastAsia="en-US"/>
        </w:rPr>
        <w:t>януари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2010</w:t>
      </w:r>
      <w:r w:rsidR="00BC2F33">
        <w:rPr>
          <w:snapToGrid w:val="0"/>
          <w:lang w:val="bg-BG" w:eastAsia="en-US"/>
        </w:rPr>
        <w:t> г.</w:t>
      </w:r>
      <w:r w:rsidR="00925A19" w:rsidRPr="003E1C30">
        <w:rPr>
          <w:snapToGrid w:val="0"/>
          <w:lang w:val="bg-BG" w:eastAsia="en-US"/>
        </w:rPr>
        <w:t>;</w:t>
      </w:r>
      <w:r w:rsidR="00BC2F33">
        <w:rPr>
          <w:snapToGrid w:val="0"/>
          <w:lang w:val="bg-BG" w:eastAsia="en-US"/>
        </w:rPr>
        <w:t xml:space="preserve"> </w:t>
      </w:r>
      <w:r w:rsidR="001F2310" w:rsidRPr="003E1C30">
        <w:rPr>
          <w:lang w:val="bg-BG" w:eastAsia="en-US"/>
        </w:rPr>
        <w:t>по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отношение</w:t>
      </w:r>
      <w:r w:rsidR="00BC2F33">
        <w:rPr>
          <w:lang w:val="bg-BG" w:eastAsia="en-US"/>
        </w:rPr>
        <w:t xml:space="preserve"> </w:t>
      </w:r>
      <w:r w:rsidR="001F2310" w:rsidRPr="003E1C30">
        <w:rPr>
          <w:lang w:val="bg-BG" w:eastAsia="en-US"/>
        </w:rPr>
        <w:t>на</w:t>
      </w:r>
      <w:r w:rsidR="00BC2F33">
        <w:rPr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смъртоносни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злополуки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на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строителни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обекти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proofErr w:type="spellStart"/>
      <w:r w:rsidR="00925A19" w:rsidRPr="003E1C30">
        <w:rPr>
          <w:i/>
          <w:szCs w:val="24"/>
          <w:lang w:val="bg-BG" w:eastAsia="en-US"/>
        </w:rPr>
        <w:t>Pereira</w:t>
      </w:r>
      <w:proofErr w:type="spellEnd"/>
      <w:r w:rsidR="00BC2F33">
        <w:rPr>
          <w:i/>
          <w:szCs w:val="24"/>
          <w:lang w:val="bg-BG" w:eastAsia="en-US"/>
        </w:rPr>
        <w:t xml:space="preserve"> </w:t>
      </w:r>
      <w:proofErr w:type="spellStart"/>
      <w:r w:rsidR="00925A19" w:rsidRPr="003E1C30">
        <w:rPr>
          <w:i/>
          <w:szCs w:val="24"/>
          <w:lang w:val="bg-BG" w:eastAsia="en-US"/>
        </w:rPr>
        <w:t>Henriques</w:t>
      </w:r>
      <w:proofErr w:type="spellEnd"/>
      <w:r w:rsidR="00BC2F33">
        <w:rPr>
          <w:i/>
          <w:szCs w:val="24"/>
          <w:lang w:val="bg-BG" w:eastAsia="en-US"/>
        </w:rPr>
        <w:t xml:space="preserve"> </w:t>
      </w:r>
      <w:r w:rsidR="00925A19" w:rsidRPr="003E1C30">
        <w:rPr>
          <w:i/>
          <w:szCs w:val="24"/>
          <w:lang w:val="bg-BG" w:eastAsia="en-US"/>
        </w:rPr>
        <w:t>v.</w:t>
      </w:r>
      <w:r w:rsidR="00BC2F33">
        <w:rPr>
          <w:i/>
          <w:szCs w:val="24"/>
          <w:lang w:val="bg-BG" w:eastAsia="en-US"/>
        </w:rPr>
        <w:t xml:space="preserve"> </w:t>
      </w:r>
      <w:proofErr w:type="spellStart"/>
      <w:r w:rsidR="00925A19" w:rsidRPr="003E1C30">
        <w:rPr>
          <w:i/>
          <w:szCs w:val="24"/>
          <w:lang w:val="bg-BG" w:eastAsia="en-US"/>
        </w:rPr>
        <w:t>Luxembourg</w:t>
      </w:r>
      <w:proofErr w:type="spellEnd"/>
      <w:r w:rsidR="00925A19" w:rsidRPr="003E1C30">
        <w:rPr>
          <w:szCs w:val="24"/>
          <w:lang w:val="bg-BG" w:eastAsia="en-US"/>
        </w:rPr>
        <w:t>,</w:t>
      </w:r>
      <w:r w:rsidR="00BC2F33">
        <w:rPr>
          <w:szCs w:val="24"/>
          <w:lang w:val="bg-BG" w:eastAsia="en-US"/>
        </w:rPr>
        <w:t xml:space="preserve"> </w:t>
      </w:r>
      <w:proofErr w:type="spellStart"/>
      <w:r w:rsidR="00925A19" w:rsidRPr="003E1C30">
        <w:rPr>
          <w:szCs w:val="24"/>
          <w:lang w:val="bg-BG" w:eastAsia="en-US"/>
        </w:rPr>
        <w:t>no</w:t>
      </w:r>
      <w:proofErr w:type="spellEnd"/>
      <w:r w:rsidR="00925A19" w:rsidRPr="003E1C30">
        <w:rPr>
          <w:szCs w:val="24"/>
          <w:lang w:val="bg-BG" w:eastAsia="en-US"/>
        </w:rPr>
        <w:t>.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60255/00,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§§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12</w:t>
      </w:r>
      <w:r w:rsidR="00BC2F33">
        <w:rPr>
          <w:szCs w:val="24"/>
          <w:lang w:val="bg-BG" w:eastAsia="en-US"/>
        </w:rPr>
        <w:t xml:space="preserve"> </w:t>
      </w:r>
      <w:r w:rsidR="00D86C32" w:rsidRPr="003E1C30">
        <w:rPr>
          <w:szCs w:val="24"/>
          <w:lang w:val="bg-BG" w:eastAsia="en-US"/>
        </w:rPr>
        <w:t>и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54</w:t>
      </w:r>
      <w:r w:rsidR="00925A19" w:rsidRPr="003E1C30">
        <w:rPr>
          <w:szCs w:val="24"/>
          <w:lang w:val="bg-BG" w:eastAsia="en-US"/>
        </w:rPr>
        <w:noBreakHyphen/>
        <w:t>63,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9</w:t>
      </w:r>
      <w:r w:rsidR="00BC2F33">
        <w:rPr>
          <w:szCs w:val="24"/>
          <w:lang w:val="bg-BG" w:eastAsia="en-US"/>
        </w:rPr>
        <w:t xml:space="preserve"> </w:t>
      </w:r>
      <w:r w:rsidR="00BC0ADA" w:rsidRPr="003E1C30">
        <w:rPr>
          <w:szCs w:val="24"/>
          <w:lang w:val="bg-BG" w:eastAsia="en-US"/>
        </w:rPr>
        <w:t>май</w:t>
      </w:r>
      <w:r w:rsidR="00BC2F33">
        <w:rPr>
          <w:szCs w:val="24"/>
          <w:lang w:val="bg-BG" w:eastAsia="en-US"/>
        </w:rPr>
        <w:t xml:space="preserve"> </w:t>
      </w:r>
      <w:r w:rsidR="00B42DC7" w:rsidRPr="003E1C30">
        <w:rPr>
          <w:szCs w:val="24"/>
          <w:lang w:val="bg-BG" w:eastAsia="en-US"/>
        </w:rPr>
        <w:t>2006</w:t>
      </w:r>
      <w:r w:rsidR="00BC2F33">
        <w:rPr>
          <w:szCs w:val="24"/>
          <w:lang w:val="bg-BG" w:eastAsia="en-US"/>
        </w:rPr>
        <w:t> г.</w:t>
      </w:r>
      <w:r w:rsidR="00925A19" w:rsidRPr="003E1C30">
        <w:rPr>
          <w:szCs w:val="24"/>
          <w:lang w:val="bg-BG" w:eastAsia="en-US"/>
        </w:rPr>
        <w:t>;</w:t>
      </w:r>
      <w:r w:rsidR="00BC2F33">
        <w:rPr>
          <w:szCs w:val="24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и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по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отношение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на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съмнителни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смъртни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snapToGrid w:val="0"/>
          <w:lang w:val="bg-BG" w:eastAsia="en-US"/>
        </w:rPr>
        <w:t>случаи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proofErr w:type="spellStart"/>
      <w:r w:rsidR="00D86C32" w:rsidRPr="003E1C30">
        <w:rPr>
          <w:i/>
          <w:lang w:val="bg-BG" w:eastAsia="en-US"/>
        </w:rPr>
        <w:t>Ранцев</w:t>
      </w:r>
      <w:proofErr w:type="spellEnd"/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срещу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Кипър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и</w:t>
      </w:r>
      <w:r w:rsidR="00BC2F33">
        <w:rPr>
          <w:i/>
          <w:lang w:val="bg-BG" w:eastAsia="en-US"/>
        </w:rPr>
        <w:t xml:space="preserve"> </w:t>
      </w:r>
      <w:r w:rsidR="00D86C32" w:rsidRPr="003E1C30">
        <w:rPr>
          <w:i/>
          <w:lang w:val="bg-BG" w:eastAsia="en-US"/>
        </w:rPr>
        <w:t>Русия</w:t>
      </w:r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r w:rsidR="00D86C32" w:rsidRPr="003E1C30">
        <w:rPr>
          <w:lang w:val="bg-BG" w:eastAsia="en-US"/>
        </w:rPr>
        <w:t>№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25965/04</w:t>
      </w:r>
      <w:r w:rsidR="00925A19" w:rsidRPr="003E1C30">
        <w:rPr>
          <w:szCs w:val="24"/>
          <w:lang w:val="bg-BG" w:eastAsia="en-US"/>
        </w:rPr>
        <w:t>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§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234,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lang w:val="bg-BG"/>
        </w:rPr>
        <w:t>7</w:t>
      </w:r>
      <w:r w:rsidR="00BC2F33">
        <w:rPr>
          <w:lang w:val="bg-BG"/>
        </w:rPr>
        <w:t xml:space="preserve"> </w:t>
      </w:r>
      <w:r w:rsidR="00A87637" w:rsidRPr="003E1C30">
        <w:rPr>
          <w:lang w:val="bg-BG"/>
        </w:rPr>
        <w:t>януари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2010</w:t>
      </w:r>
      <w:r w:rsidR="00BC2F33">
        <w:rPr>
          <w:lang w:val="bg-BG"/>
        </w:rPr>
        <w:t xml:space="preserve"> г. </w:t>
      </w:r>
      <w:r w:rsidR="00D86C3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Iorga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Moldova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12219/05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§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26,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23</w:t>
      </w:r>
      <w:r w:rsidR="00BC2F33">
        <w:rPr>
          <w:snapToGrid w:val="0"/>
          <w:lang w:val="bg-BG" w:eastAsia="en-US"/>
        </w:rPr>
        <w:t xml:space="preserve"> </w:t>
      </w:r>
      <w:r w:rsidR="007D2D8D" w:rsidRPr="003E1C30">
        <w:rPr>
          <w:snapToGrid w:val="0"/>
          <w:lang w:val="bg-BG" w:eastAsia="en-US"/>
        </w:rPr>
        <w:t>март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2010</w:t>
      </w:r>
      <w:r w:rsidR="00BC2F33">
        <w:rPr>
          <w:snapToGrid w:val="0"/>
          <w:lang w:val="bg-BG" w:eastAsia="en-US"/>
        </w:rPr>
        <w:t> г.</w:t>
      </w:r>
      <w:r w:rsidR="00925A19" w:rsidRPr="003E1C30">
        <w:rPr>
          <w:lang w:val="bg-BG"/>
        </w:rPr>
        <w:t>).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наскоро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описа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развило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„отделно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автономно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задължение</w:t>
      </w:r>
      <w:r w:rsidR="00F96EB4">
        <w:rPr>
          <w:lang w:val="bg-BG"/>
        </w:rPr>
        <w:t>“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proofErr w:type="spellStart"/>
      <w:r w:rsidR="00925A19" w:rsidRPr="003E1C30">
        <w:rPr>
          <w:i/>
          <w:lang w:val="bg-BG" w:eastAsia="en-US"/>
        </w:rPr>
        <w:t>Šilih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Slovenia</w:t>
      </w:r>
      <w:proofErr w:type="spellEnd"/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[GC],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71463/01,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159,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9</w:t>
      </w:r>
      <w:r w:rsidR="00BC2F33">
        <w:rPr>
          <w:snapToGrid w:val="0"/>
          <w:lang w:val="bg-BG" w:eastAsia="en-US"/>
        </w:rPr>
        <w:t xml:space="preserve"> </w:t>
      </w:r>
      <w:r w:rsidR="00811038" w:rsidRPr="003E1C30">
        <w:rPr>
          <w:snapToGrid w:val="0"/>
          <w:lang w:val="bg-BG" w:eastAsia="en-US"/>
        </w:rPr>
        <w:t>април</w:t>
      </w:r>
      <w:r w:rsidR="00BC2F33">
        <w:rPr>
          <w:snapToGrid w:val="0"/>
          <w:lang w:val="bg-BG" w:eastAsia="en-US"/>
        </w:rPr>
        <w:t xml:space="preserve"> </w:t>
      </w:r>
      <w:r w:rsidR="00811038" w:rsidRPr="003E1C30">
        <w:rPr>
          <w:snapToGrid w:val="0"/>
          <w:lang w:val="bg-BG" w:eastAsia="en-US"/>
        </w:rPr>
        <w:t>2009</w:t>
      </w:r>
      <w:r w:rsidR="00BC2F33">
        <w:rPr>
          <w:snapToGrid w:val="0"/>
          <w:lang w:val="bg-BG" w:eastAsia="en-US"/>
        </w:rPr>
        <w:t> г.</w:t>
      </w:r>
      <w:r w:rsidR="00925A19" w:rsidRPr="003E1C30">
        <w:rPr>
          <w:snapToGrid w:val="0"/>
          <w:lang w:val="bg-BG" w:eastAsia="en-US"/>
        </w:rPr>
        <w:t>).</w:t>
      </w:r>
      <w:r w:rsidR="00BC2F33">
        <w:rPr>
          <w:snapToGrid w:val="0"/>
          <w:lang w:val="bg-BG" w:eastAsia="en-US"/>
        </w:rPr>
        <w:t xml:space="preserve"> </w:t>
      </w:r>
      <w:r w:rsidR="00D86C32" w:rsidRPr="003E1C30">
        <w:rPr>
          <w:lang w:val="bg-BG"/>
        </w:rPr>
        <w:t>Действително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нужда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проверка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призната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националните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власти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започват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непосредствено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D86C32" w:rsidRPr="003E1C30">
        <w:rPr>
          <w:lang w:val="bg-BG"/>
        </w:rPr>
        <w:t>злополуката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investigation_start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9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</w:p>
    <w:p w:rsidR="00925A19" w:rsidRPr="003E1C30" w:rsidRDefault="00373C23" w:rsidP="00A84CB2">
      <w:pPr>
        <w:pStyle w:val="JuPara"/>
        <w:rPr>
          <w:szCs w:val="24"/>
          <w:lang w:val="bg-BG" w:eastAsia="en-US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96EB4">
        <w:rPr>
          <w:snapToGrid w:val="0"/>
          <w:lang w:val="bg-BG" w:eastAsia="en-US"/>
        </w:rPr>
        <w:t>Въпреки че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това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задължение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може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да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се</w:t>
      </w:r>
      <w:r w:rsidR="00BC2F33">
        <w:rPr>
          <w:snapToGrid w:val="0"/>
          <w:lang w:val="bg-BG" w:eastAsia="en-US"/>
        </w:rPr>
        <w:t xml:space="preserve"> </w:t>
      </w:r>
      <w:r w:rsidR="00F4116E" w:rsidRPr="003E1C30">
        <w:rPr>
          <w:snapToGrid w:val="0"/>
          <w:lang w:val="bg-BG" w:eastAsia="en-US"/>
        </w:rPr>
        <w:t>различава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както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съдържание,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така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гледна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точка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обосновката</w:t>
      </w:r>
      <w:r w:rsidR="00BC2F33">
        <w:rPr>
          <w:lang w:val="bg-BG"/>
        </w:rPr>
        <w:t xml:space="preserve"> </w:t>
      </w:r>
      <w:r w:rsidR="00F4116E" w:rsidRPr="003E1C30">
        <w:rPr>
          <w:lang w:val="bg-BG"/>
        </w:rPr>
        <w:t>му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зависимост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конкретната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ситуация,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го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задвижила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proofErr w:type="spellStart"/>
      <w:r w:rsidR="00925A19" w:rsidRPr="003E1C30">
        <w:rPr>
          <w:i/>
          <w:lang w:val="bg-BG"/>
        </w:rPr>
        <w:t>Banks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and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Others</w:t>
      </w:r>
      <w:proofErr w:type="spellEnd"/>
      <w:r w:rsidR="00BC2F33">
        <w:rPr>
          <w:i/>
          <w:lang w:val="bg-BG"/>
        </w:rPr>
        <w:t xml:space="preserve"> </w:t>
      </w:r>
      <w:r w:rsidR="00925A19" w:rsidRPr="003E1C30">
        <w:rPr>
          <w:i/>
          <w:lang w:val="bg-BG"/>
        </w:rPr>
        <w:t>v.</w:t>
      </w:r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the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United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Kingdom</w:t>
      </w:r>
      <w:proofErr w:type="spellEnd"/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proofErr w:type="spellStart"/>
      <w:r w:rsidR="00925A19" w:rsidRPr="003E1C30">
        <w:rPr>
          <w:lang w:val="bg-BG"/>
        </w:rPr>
        <w:t>dec</w:t>
      </w:r>
      <w:proofErr w:type="spellEnd"/>
      <w:r w:rsidR="00925A19" w:rsidRPr="003E1C30">
        <w:rPr>
          <w:lang w:val="bg-BG"/>
        </w:rPr>
        <w:t>.),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lang w:val="bg-BG"/>
        </w:rPr>
        <w:t>no</w:t>
      </w:r>
      <w:proofErr w:type="spellEnd"/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21387/05,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6</w:t>
      </w:r>
      <w:r w:rsidR="00BC2F33">
        <w:rPr>
          <w:lang w:val="bg-BG"/>
        </w:rPr>
        <w:t xml:space="preserve"> </w:t>
      </w:r>
      <w:r w:rsidR="004337B8" w:rsidRPr="003E1C30">
        <w:rPr>
          <w:lang w:val="bg-BG"/>
        </w:rPr>
        <w:t>февруари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2007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mutatis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mutandis</w:t>
      </w:r>
      <w:proofErr w:type="spellEnd"/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Beganović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Croatia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46423/06</w:t>
      </w:r>
      <w:r w:rsidR="00925A19" w:rsidRPr="003E1C30">
        <w:rPr>
          <w:snapToGrid w:val="0"/>
          <w:lang w:val="bg-BG" w:eastAsia="en-US"/>
        </w:rPr>
        <w:t>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§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snapToGrid w:val="0"/>
          <w:lang w:val="bg-BG" w:eastAsia="en-US"/>
        </w:rPr>
        <w:t>69,</w:t>
      </w:r>
      <w:r w:rsidR="00BC2F33">
        <w:rPr>
          <w:snapToGrid w:val="0"/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0119C7" w:rsidRPr="003E1C30">
        <w:rPr>
          <w:lang w:val="bg-BG" w:eastAsia="en-US"/>
        </w:rPr>
        <w:t>2009</w:t>
      </w:r>
      <w:r w:rsidR="00925A19" w:rsidRPr="003E1C30">
        <w:rPr>
          <w:lang w:val="bg-BG" w:eastAsia="en-US"/>
        </w:rPr>
        <w:noBreakHyphen/>
        <w:t>...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(</w:t>
      </w:r>
      <w:r w:rsidR="000119C7" w:rsidRPr="003E1C30">
        <w:rPr>
          <w:lang w:val="bg-BG" w:eastAsia="en-US"/>
        </w:rPr>
        <w:t>извлечения</w:t>
      </w:r>
      <w:r w:rsidR="00925A19" w:rsidRPr="003E1C30">
        <w:rPr>
          <w:lang w:val="bg-BG" w:eastAsia="en-US"/>
        </w:rPr>
        <w:t>)</w:t>
      </w:r>
      <w:r w:rsidR="00925A19" w:rsidRPr="003E1C30">
        <w:rPr>
          <w:lang w:val="bg-BG"/>
        </w:rPr>
        <w:t>),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всяко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такова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трябва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отговаря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определени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минимални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изисквания,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4B0EB4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посочени</w:t>
      </w:r>
      <w:r w:rsidR="004B0EB4">
        <w:rPr>
          <w:lang w:val="bg-BG"/>
        </w:rPr>
        <w:t xml:space="preserve"> </w:t>
      </w:r>
      <w:r w:rsidR="004B0EB4" w:rsidRPr="003E1C30">
        <w:rPr>
          <w:lang w:val="bg-BG"/>
        </w:rPr>
        <w:t>наскоро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отношение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смъртни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случаи,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замесено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действие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на</w:t>
      </w:r>
      <w:r w:rsidR="004B0EB4">
        <w:rPr>
          <w:lang w:val="bg-BG"/>
        </w:rPr>
        <w:t xml:space="preserve"> </w:t>
      </w:r>
      <w:r w:rsidR="000119C7" w:rsidRPr="003E1C30">
        <w:rPr>
          <w:lang w:val="bg-BG"/>
        </w:rPr>
        <w:t>държавата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параграфи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192</w:t>
      </w:r>
      <w:r w:rsidR="004B0EB4">
        <w:rPr>
          <w:lang w:val="bg-BG"/>
        </w:rPr>
        <w:t xml:space="preserve"> – </w:t>
      </w:r>
      <w:r w:rsidR="00925A19" w:rsidRPr="003E1C30">
        <w:rPr>
          <w:lang w:val="bg-BG"/>
        </w:rPr>
        <w:t>94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решението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0119C7" w:rsidRPr="003E1C30">
        <w:rPr>
          <w:lang w:val="bg-BG"/>
        </w:rPr>
        <w:t>делото</w:t>
      </w:r>
      <w:r w:rsidR="00BC2F33">
        <w:rPr>
          <w:lang w:val="bg-BG"/>
        </w:rPr>
        <w:t xml:space="preserve"> </w:t>
      </w:r>
      <w:r w:rsidR="000119C7" w:rsidRPr="003E1C30">
        <w:rPr>
          <w:i/>
          <w:lang w:val="bg-BG"/>
        </w:rPr>
        <w:t>Колеви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0119C7" w:rsidRPr="003E1C30">
        <w:rPr>
          <w:lang w:val="bg-BG"/>
        </w:rPr>
        <w:t>цитирано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би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добавил,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характерът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степента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C1ACD">
        <w:rPr>
          <w:lang w:val="bg-BG"/>
        </w:rPr>
        <w:t>внимателна</w:t>
      </w:r>
      <w:r w:rsidR="00BC2F33">
        <w:rPr>
          <w:lang w:val="bg-BG"/>
        </w:rPr>
        <w:t xml:space="preserve"> </w:t>
      </w:r>
      <w:r w:rsidR="002C1ACD">
        <w:rPr>
          <w:lang w:val="bg-BG"/>
        </w:rPr>
        <w:t>проверка</w:t>
      </w:r>
      <w:r w:rsidR="00D16C95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удовлетворяват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минималния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праг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ефективност,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зависят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обстоятелствата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всяко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конкретно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дело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трябва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преценени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въз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основа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всички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релевантни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факти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отношение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практическите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реалности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следователската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работа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>вж.</w:t>
      </w:r>
      <w:r w:rsidR="004B0EB4">
        <w:rPr>
          <w:lang w:val="bg-BG"/>
        </w:rPr>
        <w:t>,</w:t>
      </w:r>
      <w:r w:rsidR="001D7DE1">
        <w:rPr>
          <w:lang w:val="bg-BG"/>
        </w:rPr>
        <w:t xml:space="preserve"> </w:t>
      </w:r>
      <w:r w:rsidR="00D16C95" w:rsidRPr="003E1C30">
        <w:rPr>
          <w:lang w:val="bg-BG"/>
        </w:rPr>
        <w:t>наред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източници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16C95" w:rsidRPr="003E1C30">
        <w:rPr>
          <w:i/>
          <w:lang w:val="bg-BG"/>
        </w:rPr>
        <w:t>Великова</w:t>
      </w:r>
      <w:r w:rsidR="00BC2F33">
        <w:rPr>
          <w:i/>
          <w:lang w:val="bg-BG"/>
        </w:rPr>
        <w:t xml:space="preserve"> </w:t>
      </w:r>
      <w:r w:rsidR="00D86C32" w:rsidRPr="003E1C30">
        <w:rPr>
          <w:i/>
          <w:lang w:val="bg-BG"/>
        </w:rPr>
        <w:t>срещу</w:t>
      </w:r>
      <w:r w:rsidR="00BC2F33">
        <w:rPr>
          <w:i/>
          <w:lang w:val="bg-BG"/>
        </w:rPr>
        <w:t xml:space="preserve"> </w:t>
      </w:r>
      <w:r w:rsidR="00D86C32" w:rsidRPr="003E1C30">
        <w:rPr>
          <w:i/>
          <w:lang w:val="bg-BG"/>
        </w:rPr>
        <w:t>България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№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41488/98,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80,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ECHR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2000</w:t>
      </w:r>
      <w:r w:rsidR="00925A19" w:rsidRPr="003E1C30">
        <w:rPr>
          <w:lang w:val="bg-BG"/>
        </w:rPr>
        <w:noBreakHyphen/>
        <w:t>VI</w:t>
      </w:r>
      <w:r w:rsidR="00BC2F33">
        <w:rPr>
          <w:lang w:val="bg-BG"/>
        </w:rPr>
        <w:t xml:space="preserve"> </w:t>
      </w:r>
      <w:r w:rsidR="00D16C95" w:rsidRPr="003E1C30">
        <w:rPr>
          <w:lang w:val="bg-BG" w:eastAsia="en-US"/>
        </w:rPr>
        <w:t>и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Ülkü</w:t>
      </w:r>
      <w:proofErr w:type="spellEnd"/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Ekinci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Turkey</w:t>
      </w:r>
      <w:proofErr w:type="spellEnd"/>
      <w:r w:rsidR="00925A19" w:rsidRPr="003E1C30">
        <w:rPr>
          <w:lang w:val="bg-BG" w:eastAsia="en-US"/>
        </w:rPr>
        <w:t>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27602/95,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144,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16</w:t>
      </w:r>
      <w:r w:rsidR="00BC2F33">
        <w:rPr>
          <w:lang w:val="bg-BG" w:eastAsia="en-US"/>
        </w:rPr>
        <w:t xml:space="preserve"> </w:t>
      </w:r>
      <w:r w:rsidR="00A87637" w:rsidRPr="003E1C30">
        <w:rPr>
          <w:lang w:val="bg-BG" w:eastAsia="en-US"/>
        </w:rPr>
        <w:t>юли</w:t>
      </w:r>
      <w:r w:rsidR="00BC2F33">
        <w:rPr>
          <w:lang w:val="bg-BG" w:eastAsia="en-US"/>
        </w:rPr>
        <w:t xml:space="preserve"> </w:t>
      </w:r>
      <w:r w:rsidR="00395CF0" w:rsidRPr="003E1C30">
        <w:rPr>
          <w:lang w:val="bg-BG" w:eastAsia="en-US"/>
        </w:rPr>
        <w:t>2002</w:t>
      </w:r>
      <w:r w:rsidR="00BC2F33">
        <w:rPr>
          <w:lang w:val="bg-BG" w:eastAsia="en-US"/>
        </w:rPr>
        <w:t> г.</w:t>
      </w:r>
      <w:r w:rsidR="00925A19" w:rsidRPr="003E1C30">
        <w:rPr>
          <w:lang w:val="bg-BG" w:eastAsia="en-US"/>
        </w:rPr>
        <w:t>).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Освен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става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дума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резултат,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само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средства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>вж.</w:t>
      </w:r>
      <w:r w:rsidR="00E15BF5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наред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източници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Paul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and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Audrey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Edwards</w:t>
      </w:r>
      <w:proofErr w:type="spellEnd"/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цитирано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по-горе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71).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E15BF5">
        <w:rPr>
          <w:lang w:val="bg-BG"/>
        </w:rPr>
        <w:t>налага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правото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преследвани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осъждани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други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лица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престъпление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абсолютно</w:t>
      </w:r>
      <w:r w:rsidR="00E15BF5">
        <w:rPr>
          <w:lang w:val="bg-BG"/>
        </w:rPr>
        <w:t>то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задължение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всички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наказателни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производства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завършват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осъдителна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конкретна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присъда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proofErr w:type="spellStart"/>
      <w:r w:rsidR="00925A19" w:rsidRPr="003E1C30">
        <w:rPr>
          <w:i/>
          <w:szCs w:val="24"/>
          <w:lang w:val="bg-BG" w:eastAsia="en-US"/>
        </w:rPr>
        <w:t>Öneryıldız</w:t>
      </w:r>
      <w:proofErr w:type="spellEnd"/>
      <w:r w:rsidR="00BC2F33">
        <w:rPr>
          <w:i/>
          <w:szCs w:val="24"/>
          <w:lang w:val="bg-BG" w:eastAsia="en-US"/>
        </w:rPr>
        <w:t xml:space="preserve"> </w:t>
      </w:r>
      <w:r w:rsidR="00925A19" w:rsidRPr="003E1C30">
        <w:rPr>
          <w:i/>
          <w:szCs w:val="24"/>
          <w:lang w:val="bg-BG" w:eastAsia="en-US"/>
        </w:rPr>
        <w:t>v.</w:t>
      </w:r>
      <w:r w:rsidR="00BC2F33">
        <w:rPr>
          <w:i/>
          <w:szCs w:val="24"/>
          <w:lang w:val="bg-BG" w:eastAsia="en-US"/>
        </w:rPr>
        <w:t xml:space="preserve"> </w:t>
      </w:r>
      <w:proofErr w:type="spellStart"/>
      <w:r w:rsidR="00925A19" w:rsidRPr="003E1C30">
        <w:rPr>
          <w:i/>
          <w:szCs w:val="24"/>
          <w:lang w:val="bg-BG" w:eastAsia="en-US"/>
        </w:rPr>
        <w:t>Turkey</w:t>
      </w:r>
      <w:proofErr w:type="spellEnd"/>
      <w:r w:rsidR="00BC2F33">
        <w:rPr>
          <w:i/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[GC],</w:t>
      </w:r>
      <w:r w:rsidR="00BC2F33">
        <w:rPr>
          <w:szCs w:val="24"/>
          <w:lang w:val="bg-BG" w:eastAsia="en-US"/>
        </w:rPr>
        <w:t xml:space="preserve"> </w:t>
      </w:r>
      <w:proofErr w:type="spellStart"/>
      <w:r w:rsidR="00925A19" w:rsidRPr="003E1C30">
        <w:rPr>
          <w:szCs w:val="24"/>
          <w:lang w:val="bg-BG" w:eastAsia="en-US"/>
        </w:rPr>
        <w:t>no</w:t>
      </w:r>
      <w:proofErr w:type="spellEnd"/>
      <w:r w:rsidR="00925A19" w:rsidRPr="003E1C30">
        <w:rPr>
          <w:szCs w:val="24"/>
          <w:lang w:val="bg-BG" w:eastAsia="en-US"/>
        </w:rPr>
        <w:t>.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48939/99,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§§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94</w:t>
      </w:r>
      <w:r w:rsidR="00BC2F33">
        <w:rPr>
          <w:szCs w:val="24"/>
          <w:lang w:val="bg-BG" w:eastAsia="en-US"/>
        </w:rPr>
        <w:t xml:space="preserve"> </w:t>
      </w:r>
      <w:r w:rsidR="00D16C95" w:rsidRPr="003E1C30">
        <w:rPr>
          <w:szCs w:val="24"/>
          <w:lang w:val="bg-BG" w:eastAsia="en-US"/>
        </w:rPr>
        <w:t>и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szCs w:val="24"/>
          <w:lang w:val="bg-BG" w:eastAsia="en-US"/>
        </w:rPr>
        <w:t>96,</w:t>
      </w:r>
      <w:r w:rsidR="00BC2F33">
        <w:rPr>
          <w:szCs w:val="24"/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D16C95" w:rsidRPr="003E1C30">
        <w:rPr>
          <w:lang w:val="bg-BG" w:eastAsia="en-US"/>
        </w:rPr>
        <w:t>2004</w:t>
      </w:r>
      <w:r w:rsidR="00925A19" w:rsidRPr="003E1C30">
        <w:rPr>
          <w:lang w:val="bg-BG" w:eastAsia="en-US"/>
        </w:rPr>
        <w:noBreakHyphen/>
        <w:t>XII).</w:t>
      </w:r>
    </w:p>
    <w:p w:rsidR="00925A19" w:rsidRPr="003E1C30" w:rsidRDefault="00373C23" w:rsidP="00A84CB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58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412A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настоящия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случай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провели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следствие,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води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процеса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срещу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твърдените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извършители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Този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процес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обаче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приключва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оправдателна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присъда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причината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липсата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доказателства,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престъплението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извършено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обвинените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>вж.</w:t>
      </w:r>
      <w:r w:rsidR="0049226C">
        <w:rPr>
          <w:lang w:val="bg-BG"/>
        </w:rPr>
        <w:t xml:space="preserve">, </w:t>
      </w:r>
      <w:proofErr w:type="spellStart"/>
      <w:r w:rsidR="00925A19" w:rsidRPr="003E1C30">
        <w:rPr>
          <w:i/>
          <w:lang w:val="bg-BG"/>
        </w:rPr>
        <w:t>mutatis</w:t>
      </w:r>
      <w:proofErr w:type="spellEnd"/>
      <w:r w:rsidR="00BC2F33">
        <w:rPr>
          <w:i/>
          <w:lang w:val="bg-BG"/>
        </w:rPr>
        <w:t xml:space="preserve"> </w:t>
      </w:r>
      <w:proofErr w:type="spellStart"/>
      <w:r w:rsidR="00925A19" w:rsidRPr="003E1C30">
        <w:rPr>
          <w:i/>
          <w:lang w:val="bg-BG"/>
        </w:rPr>
        <w:t>mutandis</w:t>
      </w:r>
      <w:proofErr w:type="spellEnd"/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Makaratzis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i/>
          <w:lang w:val="bg-BG" w:eastAsia="en-US"/>
        </w:rPr>
        <w:t>v.</w:t>
      </w:r>
      <w:r w:rsidR="00BC2F33">
        <w:rPr>
          <w:i/>
          <w:lang w:val="bg-BG" w:eastAsia="en-US"/>
        </w:rPr>
        <w:t xml:space="preserve"> </w:t>
      </w:r>
      <w:proofErr w:type="spellStart"/>
      <w:r w:rsidR="00925A19" w:rsidRPr="003E1C30">
        <w:rPr>
          <w:i/>
          <w:lang w:val="bg-BG" w:eastAsia="en-US"/>
        </w:rPr>
        <w:t>Greece</w:t>
      </w:r>
      <w:proofErr w:type="spellEnd"/>
      <w:r w:rsidR="00BC2F33">
        <w:rPr>
          <w:i/>
          <w:lang w:val="bg-BG" w:eastAsia="en-US"/>
        </w:rPr>
        <w:t xml:space="preserve"> </w:t>
      </w:r>
      <w:r w:rsidR="00925A19" w:rsidRPr="003E1C30">
        <w:rPr>
          <w:lang w:val="bg-BG" w:eastAsia="en-US"/>
        </w:rPr>
        <w:t>[GC],</w:t>
      </w:r>
      <w:r w:rsidR="00BC2F33">
        <w:rPr>
          <w:lang w:val="bg-BG" w:eastAsia="en-US"/>
        </w:rPr>
        <w:t xml:space="preserve"> </w:t>
      </w:r>
      <w:proofErr w:type="spellStart"/>
      <w:r w:rsidR="00925A19" w:rsidRPr="003E1C30">
        <w:rPr>
          <w:lang w:val="bg-BG" w:eastAsia="en-US"/>
        </w:rPr>
        <w:t>no</w:t>
      </w:r>
      <w:proofErr w:type="spellEnd"/>
      <w:r w:rsidR="00925A19" w:rsidRPr="003E1C30">
        <w:rPr>
          <w:lang w:val="bg-BG" w:eastAsia="en-US"/>
        </w:rPr>
        <w:t>.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50385/99,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§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77,</w:t>
      </w:r>
      <w:r w:rsidR="00BC2F33">
        <w:rPr>
          <w:lang w:val="bg-BG" w:eastAsia="en-US"/>
        </w:rPr>
        <w:t xml:space="preserve"> </w:t>
      </w:r>
      <w:r w:rsidR="00925A19" w:rsidRPr="003E1C30">
        <w:rPr>
          <w:lang w:val="bg-BG" w:eastAsia="en-US"/>
        </w:rPr>
        <w:t>ECHR</w:t>
      </w:r>
      <w:r w:rsidR="00BC2F33">
        <w:rPr>
          <w:lang w:val="bg-BG" w:eastAsia="en-US"/>
        </w:rPr>
        <w:t xml:space="preserve"> </w:t>
      </w:r>
      <w:r w:rsidR="00395CF0" w:rsidRPr="003E1C30">
        <w:rPr>
          <w:lang w:val="bg-BG" w:eastAsia="en-US"/>
        </w:rPr>
        <w:t>2004</w:t>
      </w:r>
      <w:r w:rsidR="00BC2F33">
        <w:rPr>
          <w:lang w:val="bg-BG" w:eastAsia="en-US"/>
        </w:rPr>
        <w:t> г.</w:t>
      </w:r>
      <w:r w:rsidR="00925A19" w:rsidRPr="003E1C30">
        <w:rPr>
          <w:lang w:val="bg-BG" w:eastAsia="en-US"/>
        </w:rPr>
        <w:noBreakHyphen/>
        <w:t>XI</w:t>
      </w:r>
      <w:r w:rsidR="00925A19" w:rsidRPr="003E1C30">
        <w:rPr>
          <w:lang w:val="bg-BG"/>
        </w:rPr>
        <w:t>).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Плевенски</w:t>
      </w:r>
      <w:r w:rsidR="0049226C">
        <w:rPr>
          <w:lang w:val="bg-BG"/>
        </w:rPr>
        <w:t>ят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съд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анализира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подробно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материалите,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представени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обвинението</w:t>
      </w:r>
      <w:r w:rsidR="0049226C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констатира,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редица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пропуски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време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едно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доказателство,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свърже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обвиняемите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извършването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престъплението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49226C">
        <w:rPr>
          <w:lang w:val="bg-BG"/>
        </w:rPr>
        <w:t>По-специално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иззети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проби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веществени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доказателства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B154E3" w:rsidRPr="003E1C30">
        <w:rPr>
          <w:lang w:val="bg-BG"/>
        </w:rPr>
        <w:t>местопрестъплението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куршумите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гилзите,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намерени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там,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загубени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преди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изследвани</w:t>
      </w:r>
      <w:r w:rsidR="0049226C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неспазване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надлежните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процедури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иззетият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автомобил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изследван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навреме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ключов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свидетел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обвинението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бил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незаконосъобразно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притискан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полицията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даде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определени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показания</w:t>
      </w:r>
      <w:r w:rsidR="00925A19" w:rsidRPr="003E1C30">
        <w:rPr>
          <w:lang w:val="bg-BG"/>
        </w:rPr>
        <w:t>;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разпознаванията,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присъствал,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проведени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надлежния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ред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412AB8" w:rsidRPr="003E1C30">
        <w:rPr>
          <w:lang w:val="bg-BG"/>
        </w:rPr>
        <w:t>параграфи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Pleven_Regional_Court_17_March_2006_jud1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41</w:t>
      </w:r>
      <w:r w:rsidRPr="003E1C30">
        <w:rPr>
          <w:lang w:val="bg-BG"/>
        </w:rPr>
        <w:fldChar w:fldCharType="end"/>
      </w:r>
      <w:r w:rsidR="0049226C">
        <w:rPr>
          <w:lang w:val="bg-BG"/>
        </w:rPr>
        <w:t xml:space="preserve"> </w:t>
      </w:r>
      <w:r w:rsidR="00925A19" w:rsidRPr="003E1C30">
        <w:rPr>
          <w:lang w:val="bg-BG"/>
        </w:rPr>
        <w:noBreakHyphen/>
      </w:r>
      <w:r w:rsidR="0049226C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Pleven_Regional_Court_17_March_2006_jud6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46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внасянето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протест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4277D">
        <w:rPr>
          <w:lang w:val="bg-BG"/>
        </w:rPr>
        <w:t xml:space="preserve">Апелативен съд – Велико Търново </w:t>
      </w:r>
      <w:r w:rsidR="00412AB8" w:rsidRPr="003E1C30">
        <w:rPr>
          <w:lang w:val="bg-BG"/>
        </w:rPr>
        <w:t>изцяло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потвърждава</w:t>
      </w:r>
      <w:r w:rsidR="00BC2F33">
        <w:rPr>
          <w:lang w:val="bg-BG"/>
        </w:rPr>
        <w:t xml:space="preserve"> </w:t>
      </w:r>
      <w:r w:rsidR="003B1175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констатации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VT_Court_of_Appeal_4_October_2006_jud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50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Една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допълнителна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слабост,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също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критикувана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Плевенски</w:t>
      </w:r>
      <w:r w:rsidR="00B4364C">
        <w:rPr>
          <w:lang w:val="bg-BG"/>
        </w:rPr>
        <w:t>я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окръжен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съд,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неотстранена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ефективно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неосигуряването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ефективна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закрила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този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ключов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свидетел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получавал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заплахи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накрая</w:t>
      </w:r>
      <w:r w:rsidR="00BC2F33">
        <w:rPr>
          <w:lang w:val="bg-BG"/>
        </w:rPr>
        <w:t xml:space="preserve"> </w:t>
      </w:r>
      <w:r w:rsidR="00B4364C">
        <w:rPr>
          <w:lang w:val="bg-BG"/>
        </w:rPr>
        <w:t xml:space="preserve">е </w:t>
      </w:r>
      <w:r w:rsidR="00412AB8" w:rsidRPr="003E1C30">
        <w:rPr>
          <w:lang w:val="bg-BG"/>
        </w:rPr>
        <w:t>оттегл</w:t>
      </w:r>
      <w:r w:rsidR="00B4364C">
        <w:rPr>
          <w:lang w:val="bg-BG"/>
        </w:rPr>
        <w:t>ил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всичките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си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уличаващи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показания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вероятно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резултат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заплахи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412AB8" w:rsidRPr="003E1C30">
        <w:rPr>
          <w:lang w:val="bg-BG"/>
        </w:rPr>
        <w:t>параграфи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Interview_13_August_1997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21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PRPO_August_1997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22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V_K_interviews_November_1997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24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V_K_first_court_interview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33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V_K_second_court_interview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34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Pleven_Regional_Court_dec_16_July_2003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36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412AB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V_K_last_interview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38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</w:p>
    <w:p w:rsidR="00925A19" w:rsidRPr="003E1C30" w:rsidRDefault="00373C23" w:rsidP="00A84CB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59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085D9E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оглед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пороци,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описани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подробно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националните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съдилища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B4364C">
        <w:rPr>
          <w:lang w:val="bg-BG"/>
        </w:rPr>
        <w:t>трудно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счита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смисъла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практиката</w:t>
      </w:r>
      <w:r w:rsidR="00BC2F33">
        <w:rPr>
          <w:lang w:val="bg-BG"/>
        </w:rPr>
        <w:t xml:space="preserve"> </w:t>
      </w:r>
      <w:r w:rsidR="00085D9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Съда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B4364C">
        <w:rPr>
          <w:lang w:val="bg-BG"/>
        </w:rPr>
        <w:t>гласи</w:t>
      </w:r>
      <w:r w:rsidR="00C44524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всеки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недостатък,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подкопава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способността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следователя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установи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извършителите,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разрез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със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съответната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мярка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ефективност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C44524" w:rsidRPr="003E1C30">
        <w:rPr>
          <w:i/>
          <w:lang w:val="bg-BG"/>
        </w:rPr>
        <w:t>Колеви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цитирано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по-горе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192).</w:t>
      </w:r>
      <w:r w:rsidR="00BC2F33">
        <w:rPr>
          <w:lang w:val="bg-BG"/>
        </w:rPr>
        <w:t xml:space="preserve"> </w:t>
      </w:r>
      <w:r w:rsidR="00343C71">
        <w:rPr>
          <w:lang w:val="bg-BG"/>
        </w:rPr>
        <w:t>Въпреки че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посочва,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продължава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343C71">
        <w:rPr>
          <w:lang w:val="bg-BG"/>
        </w:rPr>
        <w:t>може да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продължи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изтичането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приложимата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давност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BC0ADA" w:rsidRPr="003E1C30">
        <w:rPr>
          <w:lang w:val="bg-BG"/>
        </w:rPr>
        <w:t>параграф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Gov_obs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53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няма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индикации,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предприемат</w:t>
      </w:r>
      <w:r w:rsidR="00BC2F33">
        <w:rPr>
          <w:lang w:val="bg-BG"/>
        </w:rPr>
        <w:t xml:space="preserve"> </w:t>
      </w:r>
      <w:r w:rsidR="00343C71">
        <w:rPr>
          <w:lang w:val="bg-BG"/>
        </w:rPr>
        <w:t>каквито и да било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реални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действия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установяване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самоличността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отговорните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1175C2">
        <w:rPr>
          <w:lang w:val="bg-BG"/>
        </w:rPr>
        <w:t>лица</w:t>
      </w:r>
      <w:r w:rsidR="00925A19" w:rsidRPr="003E1C30">
        <w:rPr>
          <w:lang w:val="bg-BG"/>
        </w:rPr>
        <w:t>.</w:t>
      </w:r>
    </w:p>
    <w:p w:rsidR="00925A19" w:rsidRPr="003E1C30" w:rsidRDefault="00373C23" w:rsidP="00A84CB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60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343C71">
        <w:rPr>
          <w:lang w:val="bg-BG"/>
        </w:rPr>
        <w:t>Освен това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следва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посочено,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343C71">
        <w:rPr>
          <w:lang w:val="bg-BG"/>
        </w:rPr>
        <w:t>независимо от факта, че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започва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бързо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след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страда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продължителни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забавяния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необяснимата</w:t>
      </w:r>
      <w:r w:rsidR="00BC2F33">
        <w:rPr>
          <w:lang w:val="bg-BG"/>
        </w:rPr>
        <w:t xml:space="preserve"> </w:t>
      </w:r>
      <w:r w:rsidR="00343C71">
        <w:rPr>
          <w:lang w:val="bg-BG"/>
        </w:rPr>
        <w:t>пауза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между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май</w:t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1998</w:t>
      </w:r>
      <w:r w:rsidR="00BC2F33">
        <w:rPr>
          <w:lang w:val="bg-BG"/>
        </w:rPr>
        <w:t xml:space="preserve"> г. </w:t>
      </w:r>
      <w:r w:rsidR="00C44524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D2D8D" w:rsidRPr="003E1C30">
        <w:rPr>
          <w:lang w:val="bg-BG"/>
        </w:rPr>
        <w:t>март</w:t>
      </w:r>
      <w:r w:rsidR="00BC2F33">
        <w:rPr>
          <w:lang w:val="bg-BG"/>
        </w:rPr>
        <w:t xml:space="preserve"> </w:t>
      </w:r>
      <w:r w:rsidR="00395CF0" w:rsidRPr="003E1C30">
        <w:rPr>
          <w:lang w:val="bg-BG"/>
        </w:rPr>
        <w:t>2001</w:t>
      </w:r>
      <w:r w:rsidR="00BC2F33">
        <w:rPr>
          <w:lang w:val="bg-BG"/>
        </w:rPr>
        <w:t xml:space="preserve"> г. </w:t>
      </w:r>
      <w:r w:rsidR="00925A19" w:rsidRPr="003E1C30">
        <w:rPr>
          <w:lang w:val="bg-BG"/>
        </w:rPr>
        <w:t>–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критикувани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органите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прокуратурата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C44524" w:rsidRPr="003E1C30">
        <w:rPr>
          <w:lang w:val="bg-BG"/>
        </w:rPr>
        <w:t>параграфи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PRPO_7_August_1997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20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steps_1998_2000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27</w:t>
      </w:r>
      <w:r w:rsidRPr="003E1C30">
        <w:rPr>
          <w:lang w:val="bg-BG"/>
        </w:rPr>
        <w:fldChar w:fldCharType="end"/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VTAPO_5_August_1999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28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1175C2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fldChar w:fldCharType="begin"/>
      </w:r>
      <w:r w:rsidR="00925A19" w:rsidRPr="003E1C30">
        <w:rPr>
          <w:lang w:val="bg-BG"/>
        </w:rPr>
        <w:instrText xml:space="preserve"> REF VTAPO_20_March_2001 \h </w:instrText>
      </w:r>
      <w:r w:rsidRPr="003E1C30">
        <w:rPr>
          <w:lang w:val="bg-BG"/>
        </w:rPr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30</w:t>
      </w:r>
      <w:r w:rsidRPr="003E1C30">
        <w:rPr>
          <w:lang w:val="bg-BG"/>
        </w:rPr>
        <w:fldChar w:fldCharType="end"/>
      </w:r>
      <w:r w:rsidR="00BC2F33">
        <w:rPr>
          <w:lang w:val="bg-BG"/>
        </w:rPr>
        <w:t xml:space="preserve"> </w:t>
      </w:r>
      <w:r w:rsidR="00BC0ADA" w:rsidRPr="003E1C30">
        <w:rPr>
          <w:lang w:val="bg-BG"/>
        </w:rPr>
        <w:t>по-горе)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това</w:t>
      </w:r>
      <w:r w:rsidR="00343C71">
        <w:rPr>
          <w:lang w:val="bg-BG"/>
        </w:rPr>
        <w:t xml:space="preserve"> </w:t>
      </w:r>
      <w:r w:rsidR="00C44524" w:rsidRPr="003E1C30">
        <w:rPr>
          <w:lang w:val="bg-BG"/>
        </w:rPr>
        <w:t>общата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му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продължителност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повече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седем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години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внасяне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делото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може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1C787C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счита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C44524" w:rsidRPr="003E1C30">
        <w:rPr>
          <w:lang w:val="bg-BG"/>
        </w:rPr>
        <w:t>проблематична</w:t>
      </w:r>
      <w:r w:rsidR="00925A19" w:rsidRPr="003E1C30">
        <w:rPr>
          <w:lang w:val="bg-BG"/>
        </w:rPr>
        <w:t>.</w:t>
      </w:r>
    </w:p>
    <w:p w:rsidR="00925A19" w:rsidRPr="003E1C30" w:rsidRDefault="00373C23" w:rsidP="00A84CB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22208D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оглед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предходното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отговаря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изискванията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43C71" w:rsidRPr="003E1C30">
        <w:rPr>
          <w:lang w:val="bg-BG"/>
        </w:rPr>
        <w:t>член</w:t>
      </w:r>
      <w:r w:rsidR="00343C71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9431B">
        <w:rPr>
          <w:lang w:val="bg-BG"/>
        </w:rPr>
        <w:t xml:space="preserve">Следователно </w:t>
      </w:r>
      <w:r w:rsidR="0022208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налице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разпоредба</w:t>
      </w:r>
      <w:r w:rsidR="00925A19" w:rsidRPr="003E1C30">
        <w:rPr>
          <w:lang w:val="bg-BG"/>
        </w:rPr>
        <w:t>.</w:t>
      </w:r>
    </w:p>
    <w:p w:rsidR="00925A19" w:rsidRPr="003E1C30" w:rsidRDefault="00925A19">
      <w:pPr>
        <w:pStyle w:val="JuHIRoman"/>
        <w:rPr>
          <w:lang w:val="bg-BG"/>
        </w:rPr>
      </w:pPr>
      <w:r w:rsidRPr="003E1C30">
        <w:rPr>
          <w:lang w:val="bg-BG"/>
        </w:rPr>
        <w:t>II.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ТВЪРДЯНО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13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62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оплакват,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липсата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лишила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ефективни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правни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средства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защита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отношение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техния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син,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9431B" w:rsidRPr="003E1C30">
        <w:rPr>
          <w:lang w:val="bg-BG"/>
        </w:rPr>
        <w:t>член</w:t>
      </w:r>
      <w:r w:rsidR="0059431B">
        <w:rPr>
          <w:lang w:val="bg-BG"/>
        </w:rPr>
        <w:t xml:space="preserve"> </w:t>
      </w:r>
      <w:r w:rsidR="00925A19" w:rsidRPr="003E1C30">
        <w:rPr>
          <w:lang w:val="bg-BG"/>
        </w:rPr>
        <w:t>13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гласи</w:t>
      </w:r>
      <w:r w:rsidR="00BC2F33">
        <w:rPr>
          <w:lang w:val="bg-BG"/>
        </w:rPr>
        <w:t xml:space="preserve"> </w:t>
      </w:r>
      <w:r w:rsidR="0022208D" w:rsidRPr="003E1C30">
        <w:rPr>
          <w:lang w:val="bg-BG"/>
        </w:rPr>
        <w:t>следното</w:t>
      </w:r>
      <w:r w:rsidR="00925A19" w:rsidRPr="003E1C30">
        <w:rPr>
          <w:lang w:val="bg-BG"/>
        </w:rPr>
        <w:t>:</w:t>
      </w:r>
    </w:p>
    <w:p w:rsidR="00925A19" w:rsidRPr="003E1C30" w:rsidRDefault="00201CEF" w:rsidP="003462D7">
      <w:pPr>
        <w:pStyle w:val="JuQuot"/>
        <w:rPr>
          <w:lang w:val="bg-BG"/>
        </w:rPr>
      </w:pPr>
      <w:r w:rsidRPr="003E1C30">
        <w:rPr>
          <w:lang w:val="bg-BG"/>
        </w:rPr>
        <w:t>„</w:t>
      </w:r>
      <w:r w:rsidR="00BE4F3F" w:rsidRPr="003E1C30">
        <w:rPr>
          <w:lang w:val="bg-BG"/>
        </w:rPr>
        <w:t>Всеки,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чиито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свободи,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провъзгласени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Конвенция,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нарушени,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има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ефикасни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средства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тяхната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защита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пред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съответните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национални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власти,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дори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нарушението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извършено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лица,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действуващи</w:t>
      </w:r>
      <w:proofErr w:type="spellEnd"/>
      <w:r w:rsidR="00BC2F33">
        <w:rPr>
          <w:lang w:val="bg-BG"/>
        </w:rPr>
        <w:t xml:space="preserve"> </w:t>
      </w:r>
      <w:r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упражняване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служебни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функции.</w:t>
      </w:r>
      <w:r w:rsidR="0059431B">
        <w:rPr>
          <w:lang w:val="bg-BG"/>
        </w:rPr>
        <w:t>“</w:t>
      </w:r>
    </w:p>
    <w:p w:rsidR="00925A19" w:rsidRPr="003E1C30" w:rsidRDefault="00373C23" w:rsidP="003462D7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63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коментира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оплакване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своето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становище</w:t>
      </w:r>
      <w:r w:rsidR="00925A19" w:rsidRPr="003E1C30">
        <w:rPr>
          <w:lang w:val="bg-BG"/>
        </w:rPr>
        <w:t>.</w:t>
      </w:r>
    </w:p>
    <w:p w:rsidR="00925A19" w:rsidRPr="003E1C30" w:rsidRDefault="00373C23" w:rsidP="003462D7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64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твърдят,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неразкриването</w:t>
      </w:r>
      <w:r w:rsidR="00BC2F33">
        <w:rPr>
          <w:lang w:val="bg-BG"/>
        </w:rPr>
        <w:t xml:space="preserve"> </w:t>
      </w:r>
      <w:r w:rsidR="0087694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7694E" w:rsidRPr="003E1C30">
        <w:rPr>
          <w:lang w:val="bg-BG"/>
        </w:rPr>
        <w:t>разследването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самоличността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лицата,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отговорни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DA03A8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попречило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да</w:t>
      </w:r>
      <w:r w:rsidR="0059431B">
        <w:rPr>
          <w:lang w:val="bg-BG"/>
        </w:rPr>
        <w:t xml:space="preserve"> по</w:t>
      </w:r>
      <w:r w:rsidR="00DA03A8" w:rsidRPr="003E1C30">
        <w:rPr>
          <w:lang w:val="bg-BG"/>
        </w:rPr>
        <w:t>търсят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каквото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9431B">
        <w:rPr>
          <w:lang w:val="bg-BG"/>
        </w:rPr>
        <w:t>било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обезщетение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връзка</w:t>
      </w:r>
      <w:r w:rsidR="00925A19" w:rsidRPr="003E1C30">
        <w:rPr>
          <w:lang w:val="bg-BG"/>
        </w:rPr>
        <w:t>.</w:t>
      </w:r>
    </w:p>
    <w:p w:rsidR="00925A19" w:rsidRPr="003E1C30" w:rsidRDefault="00373C23">
      <w:pPr>
        <w:pStyle w:val="JuPara"/>
        <w:rPr>
          <w:szCs w:val="24"/>
          <w:lang w:val="bg-BG" w:eastAsia="en-US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65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оплакване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свързано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оплакването,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разгледано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по-горе</w:t>
      </w:r>
      <w:r w:rsidR="0059431B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също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трябва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обявено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допустимо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9431B">
        <w:rPr>
          <w:lang w:val="bg-BG"/>
        </w:rPr>
        <w:t xml:space="preserve">Въпреки това, </w:t>
      </w:r>
      <w:r w:rsidR="0059431B" w:rsidRPr="003E1C30">
        <w:rPr>
          <w:lang w:val="bg-BG"/>
        </w:rPr>
        <w:t>с</w:t>
      </w:r>
      <w:r w:rsidR="0059431B">
        <w:rPr>
          <w:lang w:val="bg-BG"/>
        </w:rPr>
        <w:t xml:space="preserve"> </w:t>
      </w:r>
      <w:r w:rsidR="00DA03A8" w:rsidRPr="003E1C30">
        <w:rPr>
          <w:lang w:val="bg-BG"/>
        </w:rPr>
        <w:t>оглед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причините,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установява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процесуалните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нарушения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59431B" w:rsidRPr="003E1C30">
        <w:rPr>
          <w:lang w:val="bg-BG"/>
        </w:rPr>
        <w:t>член</w:t>
      </w:r>
      <w:r w:rsidR="0059431B">
        <w:rPr>
          <w:lang w:val="bg-BG"/>
        </w:rPr>
        <w:t xml:space="preserve"> </w:t>
      </w:r>
      <w:r w:rsidR="00925A19" w:rsidRPr="003E1C30">
        <w:rPr>
          <w:lang w:val="bg-BG"/>
        </w:rPr>
        <w:t>2,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необходимо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разглежда</w:t>
      </w:r>
      <w:r w:rsidR="00BC2F33">
        <w:rPr>
          <w:lang w:val="bg-BG"/>
        </w:rPr>
        <w:t xml:space="preserve"> </w:t>
      </w:r>
      <w:r w:rsidR="0059431B">
        <w:rPr>
          <w:lang w:val="bg-BG"/>
        </w:rPr>
        <w:t xml:space="preserve">въпроса </w:t>
      </w:r>
      <w:r w:rsidR="00DA03A8" w:rsidRPr="003E1C30">
        <w:rPr>
          <w:lang w:val="bg-BG"/>
        </w:rPr>
        <w:t>дали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имало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BC26E0">
        <w:rPr>
          <w:lang w:val="bg-BG"/>
        </w:rPr>
        <w:t xml:space="preserve">и </w:t>
      </w:r>
      <w:r w:rsidR="00DA03A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BC26E0" w:rsidRPr="003E1C30">
        <w:rPr>
          <w:lang w:val="bg-BG"/>
        </w:rPr>
        <w:t>член</w:t>
      </w:r>
      <w:r w:rsidR="00BC26E0">
        <w:rPr>
          <w:lang w:val="bg-BG"/>
        </w:rPr>
        <w:t xml:space="preserve"> </w:t>
      </w:r>
      <w:r w:rsidR="00925A19" w:rsidRPr="003E1C30">
        <w:rPr>
          <w:lang w:val="bg-BG"/>
        </w:rPr>
        <w:t>13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</w:t>
      </w:r>
      <w:r w:rsidR="001D7DE1">
        <w:rPr>
          <w:lang w:val="bg-BG"/>
        </w:rPr>
        <w:t xml:space="preserve">вж. </w:t>
      </w:r>
      <w:r w:rsidR="00DA03A8" w:rsidRPr="003E1C30">
        <w:rPr>
          <w:i/>
          <w:lang w:val="bg-BG"/>
        </w:rPr>
        <w:t>Ангелова</w:t>
      </w:r>
      <w:r w:rsidR="00BC2F33">
        <w:rPr>
          <w:i/>
          <w:lang w:val="bg-BG"/>
        </w:rPr>
        <w:t xml:space="preserve"> </w:t>
      </w:r>
      <w:r w:rsidR="00DA03A8" w:rsidRPr="003E1C30">
        <w:rPr>
          <w:i/>
          <w:lang w:val="bg-BG"/>
        </w:rPr>
        <w:t>и</w:t>
      </w:r>
      <w:r w:rsidR="00BC2F33">
        <w:rPr>
          <w:i/>
          <w:lang w:val="bg-BG"/>
        </w:rPr>
        <w:t xml:space="preserve"> </w:t>
      </w:r>
      <w:r w:rsidR="00DA03A8" w:rsidRPr="003E1C30">
        <w:rPr>
          <w:i/>
          <w:lang w:val="bg-BG"/>
        </w:rPr>
        <w:t>Илиев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цитирано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по-горе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106,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допълнителни</w:t>
      </w:r>
      <w:r w:rsidR="00BC2F33">
        <w:rPr>
          <w:lang w:val="bg-BG"/>
        </w:rPr>
        <w:t xml:space="preserve"> </w:t>
      </w:r>
      <w:r w:rsidR="00DA03A8" w:rsidRPr="003E1C30">
        <w:rPr>
          <w:lang w:val="bg-BG"/>
        </w:rPr>
        <w:t>препращания</w:t>
      </w:r>
      <w:r w:rsidR="00925A19" w:rsidRPr="003E1C30">
        <w:rPr>
          <w:lang w:val="bg-BG"/>
        </w:rPr>
        <w:t>).</w:t>
      </w:r>
    </w:p>
    <w:p w:rsidR="00925A19" w:rsidRPr="003E1C30" w:rsidRDefault="00925A19">
      <w:pPr>
        <w:pStyle w:val="JuHIRoman"/>
        <w:rPr>
          <w:lang w:val="bg-BG"/>
        </w:rPr>
      </w:pPr>
      <w:r w:rsidRPr="003E1C30">
        <w:rPr>
          <w:lang w:val="bg-BG"/>
        </w:rPr>
        <w:t>III.</w:t>
      </w:r>
      <w:r w:rsidR="00BC2F33">
        <w:rPr>
          <w:lang w:val="bg-BG"/>
        </w:rPr>
        <w:t>  </w:t>
      </w:r>
      <w:r w:rsidR="00651D32" w:rsidRPr="003E1C30">
        <w:rPr>
          <w:lang w:val="bg-BG"/>
        </w:rPr>
        <w:t>ПРИЛОЖЕНИЕ</w:t>
      </w:r>
      <w:r w:rsidR="00BC2F33">
        <w:rPr>
          <w:lang w:val="bg-BG"/>
        </w:rPr>
        <w:t xml:space="preserve"> </w:t>
      </w:r>
      <w:r w:rsidR="00651D32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41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</w:p>
    <w:p w:rsidR="00925A19" w:rsidRPr="003E1C30" w:rsidRDefault="00373C23">
      <w:pPr>
        <w:pStyle w:val="JuPara"/>
        <w:keepNext/>
        <w:keepLines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66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FA448A"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41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="00BC2F33">
        <w:rPr>
          <w:lang w:val="bg-BG"/>
        </w:rPr>
        <w:t xml:space="preserve"> </w:t>
      </w:r>
      <w:r w:rsidR="00651D32" w:rsidRPr="003E1C30">
        <w:rPr>
          <w:lang w:val="bg-BG"/>
        </w:rPr>
        <w:t>предвижда</w:t>
      </w:r>
      <w:r w:rsidR="00925A19" w:rsidRPr="003E1C30">
        <w:rPr>
          <w:lang w:val="bg-BG"/>
        </w:rPr>
        <w:t>:</w:t>
      </w:r>
    </w:p>
    <w:p w:rsidR="00925A19" w:rsidRPr="003E1C30" w:rsidRDefault="00651D32">
      <w:pPr>
        <w:pStyle w:val="JuQuot"/>
        <w:keepNext/>
        <w:keepLines/>
        <w:rPr>
          <w:lang w:val="bg-BG"/>
        </w:rPr>
      </w:pPr>
      <w:r w:rsidRPr="003E1C30">
        <w:rPr>
          <w:lang w:val="bg-BG"/>
        </w:rPr>
        <w:t>„Ако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установи,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имало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Конвенцията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или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Протоколите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нея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вътрешното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съответната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Βисокодоговаряща</w:t>
      </w:r>
      <w:proofErr w:type="spellEnd"/>
      <w:r w:rsidR="00BC2F33">
        <w:rPr>
          <w:lang w:val="bg-BG"/>
        </w:rPr>
        <w:t xml:space="preserve"> </w:t>
      </w:r>
      <w:r w:rsidRPr="003E1C30">
        <w:rPr>
          <w:lang w:val="bg-BG"/>
        </w:rPr>
        <w:t>страна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допуска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само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частично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обезщетение,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Съдът,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необходимо,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постановява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предоставянето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справедливо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обезщетение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потърпевшата</w:t>
      </w:r>
      <w:r w:rsidR="00BC2F33">
        <w:rPr>
          <w:lang w:val="bg-BG"/>
        </w:rPr>
        <w:t xml:space="preserve"> </w:t>
      </w:r>
      <w:r w:rsidR="00BC26E0">
        <w:rPr>
          <w:lang w:val="bg-BG"/>
        </w:rPr>
        <w:t>страна.“</w:t>
      </w:r>
    </w:p>
    <w:p w:rsidR="00925A19" w:rsidRPr="003E1C30" w:rsidRDefault="00925A19" w:rsidP="00522362">
      <w:pPr>
        <w:pStyle w:val="JuHA"/>
        <w:keepLines w:val="0"/>
        <w:rPr>
          <w:lang w:val="bg-BG"/>
        </w:rPr>
      </w:pPr>
      <w:r w:rsidRPr="003E1C30">
        <w:rPr>
          <w:lang w:val="bg-BG"/>
        </w:rPr>
        <w:t>A.</w:t>
      </w:r>
      <w:r w:rsidR="00BC2F33">
        <w:rPr>
          <w:lang w:val="bg-BG"/>
        </w:rPr>
        <w:t>  </w:t>
      </w:r>
      <w:r w:rsidR="00651D32" w:rsidRPr="003E1C30">
        <w:rPr>
          <w:lang w:val="bg-BG"/>
        </w:rPr>
        <w:t>Вреди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67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заедно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претендират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40</w:t>
      </w:r>
      <w:r w:rsidR="00BC26E0">
        <w:rPr>
          <w:lang w:val="bg-BG"/>
        </w:rPr>
        <w:t> </w:t>
      </w:r>
      <w:r w:rsidR="00925A19"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евро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(EUR)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не</w:t>
      </w:r>
      <w:r w:rsidR="00BC26E0">
        <w:rPr>
          <w:lang w:val="bg-BG"/>
        </w:rPr>
        <w:t xml:space="preserve">имуществени </w:t>
      </w:r>
      <w:r w:rsidR="00810976" w:rsidRPr="003E1C30">
        <w:rPr>
          <w:lang w:val="bg-BG"/>
        </w:rPr>
        <w:t>вреди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твърдят,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претърпели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емоционална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болка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страдание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резултат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това,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успели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разследват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смъртта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отговорните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лица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Това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подкопало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вярата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способността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българската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съдебна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система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предотвратява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наказва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нарушения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правото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живот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Всяко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обезщетение,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което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присъдено,</w:t>
      </w:r>
      <w:r w:rsidR="00BC2F33">
        <w:rPr>
          <w:lang w:val="bg-BG"/>
        </w:rPr>
        <w:t xml:space="preserve"> </w:t>
      </w:r>
      <w:r w:rsidR="00BC26E0" w:rsidRPr="003E1C30">
        <w:rPr>
          <w:lang w:val="bg-BG"/>
        </w:rPr>
        <w:t>всъщност</w:t>
      </w:r>
      <w:r w:rsidR="00BC26E0">
        <w:rPr>
          <w:lang w:val="bg-BG"/>
        </w:rPr>
        <w:t xml:space="preserve"> </w:t>
      </w:r>
      <w:r w:rsidR="00810976" w:rsidRPr="003E1C30">
        <w:rPr>
          <w:lang w:val="bg-BG"/>
        </w:rPr>
        <w:t>би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обезщетило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дъщерята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нейната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майка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получават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издръжка</w:t>
      </w:r>
      <w:r w:rsidR="00BC2F33">
        <w:rPr>
          <w:lang w:val="bg-BG"/>
        </w:rPr>
        <w:t xml:space="preserve"> </w:t>
      </w:r>
      <w:r w:rsidR="00810976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925A19" w:rsidRPr="003E1C30">
        <w:rPr>
          <w:lang w:val="bg-BG"/>
        </w:rPr>
        <w:t>.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68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представя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коментар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иска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925A19" w:rsidRPr="003E1C30">
        <w:rPr>
          <w:lang w:val="bg-BG"/>
        </w:rPr>
        <w:t>.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69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отбелязва,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установена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отговорност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държавата</w:t>
      </w:r>
      <w:r w:rsidR="00BC2F33">
        <w:rPr>
          <w:lang w:val="bg-BG"/>
        </w:rPr>
        <w:t xml:space="preserve"> </w:t>
      </w:r>
      <w:r w:rsidR="008129BC">
        <w:rPr>
          <w:lang w:val="bg-BG"/>
        </w:rPr>
        <w:t>единствено</w:t>
      </w:r>
      <w:r w:rsidR="00BC2F33">
        <w:rPr>
          <w:lang w:val="bg-BG"/>
        </w:rPr>
        <w:t xml:space="preserve"> </w:t>
      </w:r>
      <w:r w:rsidR="008129BC">
        <w:rPr>
          <w:lang w:val="bg-BG"/>
        </w:rPr>
        <w:t>относно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липсата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ефективно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разследване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обстоятелствата,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умъртвен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Ивайло</w:t>
      </w:r>
      <w:r w:rsidR="00BC2F33">
        <w:rPr>
          <w:lang w:val="bg-BG"/>
        </w:rPr>
        <w:t xml:space="preserve"> </w:t>
      </w:r>
      <w:r w:rsidR="00307F3A" w:rsidRPr="003E1C30">
        <w:rPr>
          <w:lang w:val="bg-BG"/>
        </w:rPr>
        <w:t>Зашев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8129BC">
        <w:rPr>
          <w:lang w:val="bg-BG"/>
        </w:rPr>
        <w:t xml:space="preserve">Въпреки това 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счита,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8129BC">
        <w:rPr>
          <w:lang w:val="bg-BG"/>
        </w:rPr>
        <w:t>вероятно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преживели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огромно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страдание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proofErr w:type="spellStart"/>
      <w:r w:rsidR="006608BE" w:rsidRPr="003E1C30">
        <w:rPr>
          <w:lang w:val="bg-BG"/>
        </w:rPr>
        <w:t>фрустрация</w:t>
      </w:r>
      <w:proofErr w:type="spellEnd"/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поради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неспособността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властите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установят</w:t>
      </w:r>
      <w:r w:rsidR="00BC2F33">
        <w:rPr>
          <w:lang w:val="bg-BG"/>
        </w:rPr>
        <w:t xml:space="preserve"> </w:t>
      </w:r>
      <w:r w:rsidR="00781CB3">
        <w:rPr>
          <w:lang w:val="bg-BG"/>
        </w:rPr>
        <w:t xml:space="preserve">кои са </w:t>
      </w:r>
      <w:r w:rsidR="006608BE" w:rsidRPr="003E1C30">
        <w:rPr>
          <w:lang w:val="bg-BG"/>
        </w:rPr>
        <w:t>неговите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нападатели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ги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изправят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пред</w:t>
      </w:r>
      <w:r w:rsidR="00BC2F33">
        <w:rPr>
          <w:lang w:val="bg-BG"/>
        </w:rPr>
        <w:t xml:space="preserve"> </w:t>
      </w:r>
      <w:r w:rsidR="006608BE" w:rsidRPr="003E1C30">
        <w:rPr>
          <w:lang w:val="bg-BG"/>
        </w:rPr>
        <w:t>съда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произнася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справедливост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съгласно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изискванията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29BC" w:rsidRPr="003E1C30">
        <w:rPr>
          <w:lang w:val="bg-BG"/>
        </w:rPr>
        <w:t>член</w:t>
      </w:r>
      <w:r w:rsidR="008129BC">
        <w:rPr>
          <w:lang w:val="bg-BG"/>
        </w:rPr>
        <w:t xml:space="preserve"> </w:t>
      </w:r>
      <w:r w:rsidR="00925A19" w:rsidRPr="003E1C30">
        <w:rPr>
          <w:lang w:val="bg-BG"/>
        </w:rPr>
        <w:t>41,</w:t>
      </w:r>
      <w:r w:rsidR="00BC2F33">
        <w:rPr>
          <w:lang w:val="bg-BG"/>
        </w:rPr>
        <w:t xml:space="preserve"> 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присъжда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двамата</w:t>
      </w:r>
      <w:r w:rsidR="00BC2F33">
        <w:rPr>
          <w:lang w:val="bg-BG"/>
        </w:rPr>
        <w:t xml:space="preserve"> </w:t>
      </w:r>
      <w:r w:rsidR="00965B21" w:rsidRPr="003E1C30">
        <w:rPr>
          <w:lang w:val="bg-BG"/>
        </w:rPr>
        <w:t>жалбоподатели</w:t>
      </w:r>
      <w:r w:rsidR="00BC2F33">
        <w:rPr>
          <w:lang w:val="bg-BG"/>
        </w:rPr>
        <w:t xml:space="preserve"> </w:t>
      </w:r>
      <w:r w:rsidR="008129BC">
        <w:rPr>
          <w:lang w:val="bg-BG"/>
        </w:rPr>
        <w:t>общо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</w:t>
      </w:r>
      <w:r w:rsidR="008129BC">
        <w:rPr>
          <w:lang w:val="bg-BG"/>
        </w:rPr>
        <w:t> </w:t>
      </w:r>
      <w:r w:rsidR="00925A19" w:rsidRPr="003E1C30">
        <w:rPr>
          <w:lang w:val="bg-BG"/>
        </w:rPr>
        <w:t>000,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плюс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всякакви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данъци,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биха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могли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наложени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горната</w:t>
      </w:r>
      <w:r w:rsidR="00BC2F33">
        <w:rPr>
          <w:lang w:val="bg-BG"/>
        </w:rPr>
        <w:t xml:space="preserve"> </w:t>
      </w:r>
      <w:r w:rsidR="00CE1952" w:rsidRPr="003E1C30">
        <w:rPr>
          <w:lang w:val="bg-BG"/>
        </w:rPr>
        <w:t>сума</w:t>
      </w:r>
      <w:r w:rsidR="00925A19" w:rsidRPr="003E1C30">
        <w:rPr>
          <w:lang w:val="bg-BG"/>
        </w:rPr>
        <w:t>.</w:t>
      </w:r>
    </w:p>
    <w:p w:rsidR="00925A19" w:rsidRPr="003E1C30" w:rsidRDefault="00651D32">
      <w:pPr>
        <w:pStyle w:val="JuHA"/>
        <w:rPr>
          <w:lang w:val="bg-BG"/>
        </w:rPr>
      </w:pPr>
      <w:r w:rsidRPr="003E1C30">
        <w:rPr>
          <w:lang w:val="bg-BG"/>
        </w:rPr>
        <w:t>Б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Pr="003E1C30">
        <w:rPr>
          <w:lang w:val="bg-BG"/>
        </w:rPr>
        <w:t>Разходи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разноски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70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искат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възстановени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5</w:t>
      </w:r>
      <w:r w:rsidR="00781CB3">
        <w:rPr>
          <w:lang w:val="bg-BG"/>
        </w:rPr>
        <w:t> </w:t>
      </w:r>
      <w:r w:rsidR="00925A19" w:rsidRPr="003E1C30">
        <w:rPr>
          <w:lang w:val="bg-BG"/>
        </w:rPr>
        <w:t>840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87694E">
        <w:rPr>
          <w:lang w:val="bg-BG"/>
        </w:rPr>
        <w:t>възнаграждение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седемдесет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три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часа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работа</w:t>
      </w:r>
      <w:r w:rsidR="00BC2F33">
        <w:rPr>
          <w:lang w:val="bg-BG"/>
        </w:rPr>
        <w:t xml:space="preserve"> </w:t>
      </w:r>
      <w:r w:rsidR="0087694E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техните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адвокати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производството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пред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Съда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80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час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представят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споразумение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плащане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възнаграждение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график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искат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всяка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присъдена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сума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платима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директно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Й.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Грозев</w:t>
      </w:r>
      <w:r w:rsidR="00925A19" w:rsidRPr="003E1C30">
        <w:rPr>
          <w:lang w:val="bg-BG"/>
        </w:rPr>
        <w:t>.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71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811038" w:rsidRPr="003E1C30">
        <w:rPr>
          <w:lang w:val="bg-BG"/>
        </w:rPr>
        <w:t>Правителството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представя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коментар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претенцията</w:t>
      </w:r>
      <w:r w:rsidR="00BC2F33">
        <w:rPr>
          <w:lang w:val="bg-BG"/>
        </w:rPr>
        <w:t xml:space="preserve"> </w:t>
      </w:r>
      <w:r w:rsidR="00543F18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</w:t>
      </w:r>
      <w:r w:rsidR="00543F18" w:rsidRPr="003E1C30">
        <w:rPr>
          <w:lang w:val="bg-BG"/>
        </w:rPr>
        <w:t>те</w:t>
      </w:r>
      <w:r w:rsidR="00925A19" w:rsidRPr="003E1C30">
        <w:rPr>
          <w:lang w:val="bg-BG"/>
        </w:rPr>
        <w:t>.</w:t>
      </w:r>
    </w:p>
    <w:p w:rsidR="00925A19" w:rsidRPr="003E1C30" w:rsidRDefault="00373C23" w:rsidP="00E61CD2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72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982B77" w:rsidRPr="003E1C30">
        <w:rPr>
          <w:lang w:val="bg-BG"/>
        </w:rPr>
        <w:t>Съгласно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практиката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Съда,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разходи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разноски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могат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присъждани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7E4A88" w:rsidRPr="003E1C30">
        <w:rPr>
          <w:lang w:val="bg-BG"/>
        </w:rPr>
        <w:t>член</w:t>
      </w:r>
      <w:r w:rsidR="007E4A88">
        <w:rPr>
          <w:lang w:val="bg-BG"/>
        </w:rPr>
        <w:t xml:space="preserve"> 41</w:t>
      </w:r>
      <w:r w:rsidR="00BC2F33">
        <w:rPr>
          <w:lang w:val="bg-BG"/>
        </w:rPr>
        <w:t xml:space="preserve"> </w:t>
      </w:r>
      <w:r w:rsidR="007E4A88">
        <w:rPr>
          <w:lang w:val="bg-BG"/>
        </w:rPr>
        <w:t>единствено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ако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бъде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установено,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те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са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действително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необходимост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направени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разумни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като</w:t>
      </w:r>
      <w:r w:rsidR="00BC2F33">
        <w:rPr>
          <w:lang w:val="bg-BG"/>
        </w:rPr>
        <w:t xml:space="preserve"> </w:t>
      </w:r>
      <w:r w:rsidR="00982B77" w:rsidRPr="003E1C30">
        <w:rPr>
          <w:lang w:val="bg-BG"/>
        </w:rPr>
        <w:t>количество.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настоящия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случай,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предвид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притежаваната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Съда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информация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гореспоменатите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критерии,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счита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разумно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присъди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сумата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4</w:t>
      </w:r>
      <w:r w:rsidR="007E4A88">
        <w:rPr>
          <w:lang w:val="bg-BG"/>
        </w:rPr>
        <w:t> </w:t>
      </w:r>
      <w:r w:rsidR="00925A19" w:rsidRPr="003E1C30">
        <w:rPr>
          <w:lang w:val="bg-BG"/>
        </w:rPr>
        <w:t>000,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плюс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всякакви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данъци,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биха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могли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им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наложени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горната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сума</w:t>
      </w:r>
      <w:r w:rsidR="00925A19" w:rsidRPr="003E1C30">
        <w:rPr>
          <w:lang w:val="bg-BG"/>
        </w:rPr>
        <w:t>.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Тази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сума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подлежи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плащане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банковата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сметка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техния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процесуален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представител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Й.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Грозев</w:t>
      </w:r>
      <w:r w:rsidR="00925A19" w:rsidRPr="003E1C30">
        <w:rPr>
          <w:lang w:val="bg-BG"/>
        </w:rPr>
        <w:t>.</w:t>
      </w:r>
    </w:p>
    <w:p w:rsidR="00925A19" w:rsidRPr="003E1C30" w:rsidRDefault="00766DAE">
      <w:pPr>
        <w:pStyle w:val="JuHA"/>
        <w:rPr>
          <w:lang w:val="bg-BG"/>
        </w:rPr>
      </w:pPr>
      <w:r w:rsidRPr="003E1C30">
        <w:rPr>
          <w:lang w:val="bg-BG"/>
        </w:rPr>
        <w:t>В.</w:t>
      </w:r>
      <w:r w:rsidR="00BC2F33">
        <w:rPr>
          <w:lang w:val="bg-BG"/>
        </w:rPr>
        <w:t>  </w:t>
      </w:r>
      <w:r w:rsidRPr="003E1C30">
        <w:rPr>
          <w:lang w:val="bg-BG"/>
        </w:rPr>
        <w:t>Лихва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забава</w:t>
      </w:r>
    </w:p>
    <w:p w:rsidR="00925A19" w:rsidRPr="003E1C30" w:rsidRDefault="00373C23">
      <w:pPr>
        <w:pStyle w:val="JuPara"/>
        <w:rPr>
          <w:lang w:val="bg-BG"/>
        </w:rPr>
      </w:pPr>
      <w:r w:rsidRPr="003E1C30">
        <w:rPr>
          <w:lang w:val="bg-BG"/>
        </w:rPr>
        <w:fldChar w:fldCharType="begin"/>
      </w:r>
      <w:r w:rsidR="00ED735E" w:rsidRPr="003E1C30">
        <w:rPr>
          <w:lang w:val="bg-BG"/>
        </w:rPr>
        <w:instrText xml:space="preserve"> SEQ level0 \*arabic </w:instrText>
      </w:r>
      <w:r w:rsidRPr="003E1C30">
        <w:rPr>
          <w:lang w:val="bg-BG"/>
        </w:rPr>
        <w:fldChar w:fldCharType="separate"/>
      </w:r>
      <w:r w:rsidR="00925A19" w:rsidRPr="003E1C30">
        <w:rPr>
          <w:noProof/>
          <w:lang w:val="bg-BG"/>
        </w:rPr>
        <w:t>73</w:t>
      </w:r>
      <w:r w:rsidRPr="003E1C30">
        <w:rPr>
          <w:noProof/>
          <w:lang w:val="bg-BG"/>
        </w:rPr>
        <w:fldChar w:fldCharType="end"/>
      </w:r>
      <w:r w:rsidR="00925A19" w:rsidRPr="003E1C30">
        <w:rPr>
          <w:lang w:val="bg-BG"/>
        </w:rPr>
        <w:t>.</w:t>
      </w:r>
      <w:r w:rsidR="00BC2F33">
        <w:rPr>
          <w:lang w:val="bg-BG"/>
        </w:rPr>
        <w:t>  </w:t>
      </w:r>
      <w:r w:rsidR="00D16C95"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намира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уместно,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лихвата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просрочване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базирана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пределната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лихва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заеми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Европейската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централна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банка,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следва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добавят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три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процентни</w:t>
      </w:r>
      <w:r w:rsidR="00BC2F33">
        <w:rPr>
          <w:lang w:val="bg-BG"/>
        </w:rPr>
        <w:t xml:space="preserve"> </w:t>
      </w:r>
      <w:r w:rsidR="00766DAE" w:rsidRPr="003E1C30">
        <w:rPr>
          <w:lang w:val="bg-BG"/>
        </w:rPr>
        <w:t>пункта</w:t>
      </w:r>
      <w:r w:rsidR="00925A19" w:rsidRPr="003E1C30">
        <w:rPr>
          <w:lang w:val="bg-BG"/>
        </w:rPr>
        <w:t>.</w:t>
      </w:r>
    </w:p>
    <w:p w:rsidR="00925A19" w:rsidRPr="003E1C30" w:rsidRDefault="00475BA9">
      <w:pPr>
        <w:pStyle w:val="JuHHead"/>
        <w:rPr>
          <w:lang w:val="bg-BG"/>
        </w:rPr>
      </w:pPr>
      <w:r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ТЕЗИ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СЪОБРАЖЕНИЯ,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СЪДЪТ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ЕДИНОДУШНО</w:t>
      </w:r>
    </w:p>
    <w:p w:rsidR="00925A19" w:rsidRPr="003E1C30" w:rsidRDefault="00925A19">
      <w:pPr>
        <w:pStyle w:val="JuList"/>
        <w:rPr>
          <w:lang w:val="bg-BG"/>
        </w:rPr>
      </w:pPr>
      <w:r w:rsidRPr="003E1C30">
        <w:rPr>
          <w:lang w:val="bg-BG"/>
        </w:rPr>
        <w:t>1.</w:t>
      </w:r>
      <w:r w:rsidR="00BC2F33">
        <w:rPr>
          <w:lang w:val="bg-BG"/>
        </w:rPr>
        <w:t>  </w:t>
      </w:r>
      <w:r w:rsidR="00475BA9" w:rsidRPr="003E1C30">
        <w:rPr>
          <w:i/>
          <w:lang w:val="bg-BG"/>
        </w:rPr>
        <w:t>Обявява</w:t>
      </w:r>
      <w:r w:rsidR="00BC2F33">
        <w:rPr>
          <w:i/>
          <w:lang w:val="bg-BG"/>
        </w:rPr>
        <w:t xml:space="preserve"> </w:t>
      </w:r>
      <w:r w:rsidR="00475BA9" w:rsidRPr="003E1C30">
        <w:rPr>
          <w:lang w:val="bg-BG"/>
        </w:rPr>
        <w:t>жалбата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допустима</w:t>
      </w:r>
      <w:r w:rsidRPr="003E1C30">
        <w:rPr>
          <w:lang w:val="bg-BG"/>
        </w:rPr>
        <w:t>;</w:t>
      </w:r>
    </w:p>
    <w:p w:rsidR="00925A19" w:rsidRPr="003E1C30" w:rsidRDefault="00925A19">
      <w:pPr>
        <w:pStyle w:val="JuList"/>
        <w:rPr>
          <w:lang w:val="bg-BG"/>
        </w:rPr>
      </w:pPr>
    </w:p>
    <w:p w:rsidR="00925A19" w:rsidRPr="003E1C30" w:rsidRDefault="00925A19">
      <w:pPr>
        <w:pStyle w:val="JuList"/>
        <w:rPr>
          <w:lang w:val="bg-BG"/>
        </w:rPr>
      </w:pPr>
      <w:r w:rsidRPr="003E1C30">
        <w:rPr>
          <w:lang w:val="bg-BG"/>
        </w:rPr>
        <w:t>2.</w:t>
      </w:r>
      <w:r w:rsidR="00BC2F33">
        <w:rPr>
          <w:lang w:val="bg-BG"/>
        </w:rPr>
        <w:t>  </w:t>
      </w:r>
      <w:r w:rsidR="00475BA9" w:rsidRPr="003E1C30">
        <w:rPr>
          <w:i/>
          <w:lang w:val="bg-BG"/>
        </w:rPr>
        <w:t>Приема,</w:t>
      </w:r>
      <w:r w:rsidR="00BC2F33">
        <w:rPr>
          <w:i/>
          <w:lang w:val="bg-BG"/>
        </w:rPr>
        <w:t xml:space="preserve"> </w:t>
      </w:r>
      <w:r w:rsidR="00475BA9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налице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нарушение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E4A88" w:rsidRPr="003E1C30">
        <w:rPr>
          <w:lang w:val="bg-BG"/>
        </w:rPr>
        <w:t>член</w:t>
      </w:r>
      <w:r w:rsidR="007E4A88">
        <w:rPr>
          <w:lang w:val="bg-BG"/>
        </w:rPr>
        <w:t xml:space="preserve"> </w:t>
      </w:r>
      <w:r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Pr="003E1C30">
        <w:rPr>
          <w:lang w:val="bg-BG"/>
        </w:rPr>
        <w:t>;</w:t>
      </w:r>
    </w:p>
    <w:p w:rsidR="00925A19" w:rsidRPr="003E1C30" w:rsidRDefault="00925A19">
      <w:pPr>
        <w:pStyle w:val="JuList"/>
        <w:rPr>
          <w:lang w:val="bg-BG"/>
        </w:rPr>
      </w:pPr>
    </w:p>
    <w:p w:rsidR="00925A19" w:rsidRPr="003E1C30" w:rsidRDefault="00925A19">
      <w:pPr>
        <w:pStyle w:val="JuList"/>
        <w:rPr>
          <w:lang w:val="bg-BG"/>
        </w:rPr>
      </w:pPr>
      <w:r w:rsidRPr="003E1C30">
        <w:rPr>
          <w:lang w:val="bg-BG"/>
        </w:rPr>
        <w:t>3.</w:t>
      </w:r>
      <w:r w:rsidR="00BC2F33">
        <w:rPr>
          <w:lang w:val="bg-BG"/>
        </w:rPr>
        <w:t>  </w:t>
      </w:r>
      <w:r w:rsidR="00475BA9" w:rsidRPr="003E1C30">
        <w:rPr>
          <w:i/>
          <w:lang w:val="bg-BG"/>
        </w:rPr>
        <w:t>Приема,</w:t>
      </w:r>
      <w:r w:rsidR="00BC2F33">
        <w:rPr>
          <w:i/>
          <w:lang w:val="bg-BG"/>
        </w:rPr>
        <w:t xml:space="preserve"> </w:t>
      </w:r>
      <w:r w:rsidR="00475BA9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необходимо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разглежда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отделно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оплакването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7E4A88" w:rsidRPr="003E1C30">
        <w:rPr>
          <w:lang w:val="bg-BG"/>
        </w:rPr>
        <w:t>член</w:t>
      </w:r>
      <w:r w:rsidR="007E4A88">
        <w:rPr>
          <w:lang w:val="bg-BG"/>
        </w:rPr>
        <w:t xml:space="preserve"> </w:t>
      </w:r>
      <w:r w:rsidRPr="003E1C30">
        <w:rPr>
          <w:lang w:val="bg-BG"/>
        </w:rPr>
        <w:t>13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FA448A" w:rsidRPr="003E1C30">
        <w:rPr>
          <w:lang w:val="bg-BG"/>
        </w:rPr>
        <w:t>Конвенцията</w:t>
      </w:r>
      <w:r w:rsidRPr="003E1C30">
        <w:rPr>
          <w:lang w:val="bg-BG"/>
        </w:rPr>
        <w:t>;</w:t>
      </w:r>
    </w:p>
    <w:p w:rsidR="00925A19" w:rsidRPr="003E1C30" w:rsidRDefault="00925A19">
      <w:pPr>
        <w:pStyle w:val="JuList"/>
        <w:rPr>
          <w:lang w:val="bg-BG"/>
        </w:rPr>
      </w:pPr>
    </w:p>
    <w:p w:rsidR="00925A19" w:rsidRPr="003E1C30" w:rsidRDefault="00925A19">
      <w:pPr>
        <w:pStyle w:val="JuList"/>
        <w:rPr>
          <w:lang w:val="bg-BG"/>
        </w:rPr>
      </w:pPr>
      <w:r w:rsidRPr="003E1C30">
        <w:rPr>
          <w:lang w:val="bg-BG"/>
        </w:rPr>
        <w:t>4.</w:t>
      </w:r>
      <w:r w:rsidR="00BC2F33">
        <w:rPr>
          <w:lang w:val="bg-BG"/>
        </w:rPr>
        <w:t>  </w:t>
      </w:r>
      <w:r w:rsidR="00475BA9" w:rsidRPr="003E1C30">
        <w:rPr>
          <w:i/>
          <w:lang w:val="bg-BG"/>
        </w:rPr>
        <w:t>Приема,</w:t>
      </w:r>
    </w:p>
    <w:p w:rsidR="00925A19" w:rsidRPr="003E1C30" w:rsidRDefault="00925A19" w:rsidP="00E61CD2">
      <w:pPr>
        <w:pStyle w:val="JuLista"/>
        <w:rPr>
          <w:lang w:val="bg-BG"/>
        </w:rPr>
      </w:pPr>
      <w:r w:rsidRPr="003E1C30">
        <w:rPr>
          <w:lang w:val="bg-BG"/>
        </w:rPr>
        <w:t>a)</w:t>
      </w:r>
      <w:r w:rsidR="00BC2F33">
        <w:rPr>
          <w:lang w:val="bg-BG"/>
        </w:rPr>
        <w:t>  </w:t>
      </w:r>
      <w:r w:rsidR="00475BA9"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държавата</w:t>
      </w:r>
      <w:r w:rsidR="007E4A88">
        <w:rPr>
          <w:lang w:val="bg-BG"/>
        </w:rPr>
        <w:t xml:space="preserve"> </w:t>
      </w:r>
      <w:r w:rsidR="00475BA9" w:rsidRPr="003E1C30">
        <w:rPr>
          <w:lang w:val="bg-BG"/>
        </w:rPr>
        <w:t>ответник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следва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плати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жалбоподателите,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срок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три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месеца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считано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датата,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която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решението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стане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окончателно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смисъла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7E4A88" w:rsidRPr="003E1C30">
        <w:rPr>
          <w:lang w:val="bg-BG"/>
        </w:rPr>
        <w:t>член</w:t>
      </w:r>
      <w:r w:rsidR="007E4A88">
        <w:rPr>
          <w:lang w:val="bg-BG"/>
        </w:rPr>
        <w:t xml:space="preserve"> </w:t>
      </w:r>
      <w:r w:rsidR="00475BA9" w:rsidRPr="003E1C30">
        <w:rPr>
          <w:lang w:val="bg-BG"/>
        </w:rPr>
        <w:t>44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§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Конвенцията,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следните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суми,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конвертират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български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лева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курса,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който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сила</w:t>
      </w:r>
      <w:r w:rsidR="00BC2F33">
        <w:rPr>
          <w:lang w:val="bg-BG"/>
        </w:rPr>
        <w:t xml:space="preserve"> </w:t>
      </w:r>
      <w:r w:rsidR="007E4A88">
        <w:rPr>
          <w:lang w:val="bg-BG"/>
        </w:rPr>
        <w:t>към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датата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плащане:</w:t>
      </w:r>
    </w:p>
    <w:p w:rsidR="00925A19" w:rsidRPr="003E1C30" w:rsidRDefault="00925A19" w:rsidP="00E61CD2">
      <w:pPr>
        <w:pStyle w:val="JuListi"/>
        <w:rPr>
          <w:lang w:val="bg-BG"/>
        </w:rPr>
      </w:pPr>
      <w:r w:rsidRPr="003E1C30">
        <w:rPr>
          <w:lang w:val="bg-BG"/>
        </w:rPr>
        <w:t>(i)</w:t>
      </w:r>
      <w:r w:rsidR="00BC2F33">
        <w:rPr>
          <w:lang w:val="bg-BG"/>
        </w:rPr>
        <w:t>  </w:t>
      </w:r>
      <w:r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="007E4A88">
        <w:rPr>
          <w:lang w:val="bg-BG"/>
        </w:rPr>
        <w:t>20 </w:t>
      </w:r>
      <w:r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(</w:t>
      </w:r>
      <w:r w:rsidR="00475BA9" w:rsidRPr="003E1C30">
        <w:rPr>
          <w:lang w:val="bg-BG"/>
        </w:rPr>
        <w:t>двадесет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хиляди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евро</w:t>
      </w:r>
      <w:r w:rsidRPr="003E1C30">
        <w:rPr>
          <w:lang w:val="bg-BG"/>
        </w:rPr>
        <w:t>),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плюс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всякакви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данъци,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биха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могли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наложени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горната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сума,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не</w:t>
      </w:r>
      <w:r w:rsidR="007E4A88">
        <w:rPr>
          <w:lang w:val="bg-BG"/>
        </w:rPr>
        <w:t xml:space="preserve">имуществени 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вреди</w:t>
      </w:r>
      <w:r w:rsidRPr="003E1C30">
        <w:rPr>
          <w:lang w:val="bg-BG"/>
        </w:rPr>
        <w:t>;</w:t>
      </w:r>
    </w:p>
    <w:p w:rsidR="00925A19" w:rsidRPr="003E1C30" w:rsidRDefault="00925A19" w:rsidP="00540F48">
      <w:pPr>
        <w:pStyle w:val="JuListi"/>
        <w:keepLines/>
        <w:rPr>
          <w:lang w:val="bg-BG"/>
        </w:rPr>
      </w:pPr>
      <w:r w:rsidRPr="003E1C30">
        <w:rPr>
          <w:lang w:val="bg-BG"/>
        </w:rPr>
        <w:t>(ii)</w:t>
      </w:r>
      <w:r w:rsidR="00BC2F33">
        <w:rPr>
          <w:lang w:val="bg-BG"/>
        </w:rPr>
        <w:t>  </w:t>
      </w:r>
      <w:r w:rsidRPr="003E1C30">
        <w:rPr>
          <w:lang w:val="bg-BG"/>
        </w:rPr>
        <w:t>EUR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4</w:t>
      </w:r>
      <w:r w:rsidR="007E4A88">
        <w:rPr>
          <w:lang w:val="bg-BG"/>
        </w:rPr>
        <w:t> </w:t>
      </w:r>
      <w:r w:rsidRPr="003E1C30">
        <w:rPr>
          <w:lang w:val="bg-BG"/>
        </w:rPr>
        <w:t>000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(</w:t>
      </w:r>
      <w:r w:rsidR="00475BA9" w:rsidRPr="003E1C30">
        <w:rPr>
          <w:lang w:val="bg-BG"/>
        </w:rPr>
        <w:t>четири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хиляди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евро</w:t>
      </w:r>
      <w:r w:rsidRPr="003E1C30">
        <w:rPr>
          <w:lang w:val="bg-BG"/>
        </w:rPr>
        <w:t>),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плюс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всякакви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данъци,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които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биха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могли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бъдат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наложени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горната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сума,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разходи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разноски,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платими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директно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банковата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сметка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процесуалния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представител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811038" w:rsidRPr="003E1C30">
        <w:rPr>
          <w:lang w:val="bg-BG"/>
        </w:rPr>
        <w:t>жалбоподателите</w:t>
      </w:r>
      <w:r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г-н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Й.</w:t>
      </w:r>
      <w:r w:rsidR="00BC2F33">
        <w:rPr>
          <w:lang w:val="bg-BG"/>
        </w:rPr>
        <w:t xml:space="preserve"> </w:t>
      </w:r>
      <w:r w:rsidR="00475BA9" w:rsidRPr="003E1C30">
        <w:rPr>
          <w:lang w:val="bg-BG"/>
        </w:rPr>
        <w:t>Грозев</w:t>
      </w:r>
      <w:r w:rsidRPr="003E1C30">
        <w:rPr>
          <w:lang w:val="bg-BG"/>
        </w:rPr>
        <w:t>;</w:t>
      </w:r>
    </w:p>
    <w:p w:rsidR="00925A19" w:rsidRPr="003E1C30" w:rsidRDefault="003E1C30" w:rsidP="00E61CD2">
      <w:pPr>
        <w:pStyle w:val="JuLista"/>
        <w:rPr>
          <w:lang w:val="bg-BG"/>
        </w:rPr>
      </w:pPr>
      <w:r w:rsidRPr="003E1C30">
        <w:rPr>
          <w:lang w:val="bg-BG"/>
        </w:rPr>
        <w:t>б</w:t>
      </w:r>
      <w:r w:rsidR="00925A19" w:rsidRPr="003E1C30">
        <w:rPr>
          <w:lang w:val="bg-BG"/>
        </w:rPr>
        <w:t>)</w:t>
      </w:r>
      <w:r w:rsidR="00BC2F33">
        <w:rPr>
          <w:lang w:val="bg-BG"/>
        </w:rPr>
        <w:t>  </w:t>
      </w:r>
      <w:r w:rsidRPr="003E1C30">
        <w:rPr>
          <w:lang w:val="bg-BG"/>
        </w:rPr>
        <w:t>че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изтичането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57252">
        <w:rPr>
          <w:lang w:val="bg-BG"/>
        </w:rPr>
        <w:t>посочения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по-горе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тримесечен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срок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плащането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дължи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проста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лихва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върху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горепосочените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суми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размер,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равен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пределната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ставка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заеми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Европейската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централна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банка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през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периода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proofErr w:type="spellStart"/>
      <w:r w:rsidRPr="003E1C30">
        <w:rPr>
          <w:lang w:val="bg-BG"/>
        </w:rPr>
        <w:t>просрочие</w:t>
      </w:r>
      <w:proofErr w:type="spellEnd"/>
      <w:r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плюс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три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процентни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пункта</w:t>
      </w:r>
      <w:r w:rsidR="00925A19" w:rsidRPr="003E1C30">
        <w:rPr>
          <w:lang w:val="bg-BG"/>
        </w:rPr>
        <w:t>;</w:t>
      </w:r>
    </w:p>
    <w:p w:rsidR="00925A19" w:rsidRPr="003E1C30" w:rsidRDefault="00925A19">
      <w:pPr>
        <w:pStyle w:val="JuList"/>
        <w:rPr>
          <w:lang w:val="bg-BG"/>
        </w:rPr>
      </w:pPr>
    </w:p>
    <w:p w:rsidR="00925A19" w:rsidRPr="003E1C30" w:rsidRDefault="00925A19">
      <w:pPr>
        <w:pStyle w:val="JuList"/>
        <w:rPr>
          <w:lang w:val="bg-BG"/>
        </w:rPr>
      </w:pPr>
      <w:r w:rsidRPr="003E1C30">
        <w:rPr>
          <w:lang w:val="bg-BG"/>
        </w:rPr>
        <w:t>5.</w:t>
      </w:r>
      <w:r w:rsidR="00BC2F33">
        <w:rPr>
          <w:lang w:val="bg-BG"/>
        </w:rPr>
        <w:t>  </w:t>
      </w:r>
      <w:r w:rsidR="003E1C30" w:rsidRPr="003E1C30">
        <w:rPr>
          <w:i/>
          <w:lang w:val="bg-BG"/>
        </w:rPr>
        <w:t>Отхвърля</w:t>
      </w:r>
      <w:r w:rsidR="00BC2F33">
        <w:rPr>
          <w:i/>
          <w:lang w:val="bg-BG"/>
        </w:rPr>
        <w:t xml:space="preserve"> </w:t>
      </w:r>
      <w:r w:rsidR="003E1C30" w:rsidRPr="003E1C30">
        <w:rPr>
          <w:lang w:val="bg-BG"/>
        </w:rPr>
        <w:t>останалата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част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претенцията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жалбоподателите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за</w:t>
      </w:r>
      <w:r w:rsidR="00BC2F33">
        <w:rPr>
          <w:lang w:val="bg-BG"/>
        </w:rPr>
        <w:t xml:space="preserve"> </w:t>
      </w:r>
      <w:r w:rsidR="003E1C30" w:rsidRPr="003E1C30">
        <w:rPr>
          <w:lang w:val="bg-BG"/>
        </w:rPr>
        <w:t>справедливо</w:t>
      </w:r>
      <w:r w:rsidR="00BC2F33">
        <w:rPr>
          <w:lang w:val="bg-BG"/>
        </w:rPr>
        <w:t xml:space="preserve"> </w:t>
      </w:r>
      <w:r w:rsidR="00957252">
        <w:rPr>
          <w:lang w:val="bg-BG"/>
        </w:rPr>
        <w:t>удовлетворение</w:t>
      </w:r>
      <w:r w:rsidRPr="003E1C30">
        <w:rPr>
          <w:lang w:val="bg-BG"/>
        </w:rPr>
        <w:t>.</w:t>
      </w:r>
    </w:p>
    <w:p w:rsidR="00925A19" w:rsidRPr="003E1C30" w:rsidRDefault="003E1C30" w:rsidP="00325C2B">
      <w:pPr>
        <w:pStyle w:val="JuParaLast"/>
        <w:rPr>
          <w:lang w:val="bg-BG"/>
        </w:rPr>
      </w:pPr>
      <w:r w:rsidRPr="003E1C30">
        <w:rPr>
          <w:lang w:val="bg-BG"/>
        </w:rPr>
        <w:t>Изготвено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английски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език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съобщено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писмено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="0094338D" w:rsidRPr="003E1C30">
        <w:rPr>
          <w:lang w:val="bg-BG"/>
        </w:rPr>
        <w:t>декември</w:t>
      </w:r>
      <w:r w:rsidR="00BC2F33">
        <w:rPr>
          <w:lang w:val="bg-BG"/>
        </w:rPr>
        <w:t xml:space="preserve"> </w:t>
      </w:r>
      <w:r w:rsidR="00925A19" w:rsidRPr="003E1C30">
        <w:rPr>
          <w:lang w:val="bg-BG"/>
        </w:rPr>
        <w:t>2010</w:t>
      </w:r>
      <w:r w:rsidR="00BC2F33">
        <w:rPr>
          <w:lang w:val="bg-BG"/>
        </w:rPr>
        <w:t> г.</w:t>
      </w:r>
      <w:r w:rsidR="00925A19" w:rsidRPr="003E1C30">
        <w:rPr>
          <w:lang w:val="bg-BG"/>
        </w:rPr>
        <w:t>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в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съответствие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член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77,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§§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2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и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3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от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Правилника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на</w:t>
      </w:r>
      <w:r w:rsidR="00BC2F33">
        <w:rPr>
          <w:lang w:val="bg-BG"/>
        </w:rPr>
        <w:t xml:space="preserve"> </w:t>
      </w:r>
      <w:r w:rsidRPr="003E1C30">
        <w:rPr>
          <w:lang w:val="bg-BG"/>
        </w:rPr>
        <w:t>Съда</w:t>
      </w:r>
      <w:r w:rsidR="00925A19" w:rsidRPr="003E1C30">
        <w:rPr>
          <w:lang w:val="bg-BG"/>
        </w:rPr>
        <w:t>.</w:t>
      </w:r>
    </w:p>
    <w:p w:rsidR="003E1C30" w:rsidRPr="003E1C30" w:rsidRDefault="00925A19" w:rsidP="003E1C30">
      <w:pPr>
        <w:pStyle w:val="JuSigned"/>
        <w:keepNext/>
        <w:keepLines/>
        <w:rPr>
          <w:lang w:val="bg-BG"/>
        </w:rPr>
      </w:pPr>
      <w:r w:rsidRPr="003E1C30">
        <w:rPr>
          <w:lang w:val="bg-BG"/>
        </w:rPr>
        <w:tab/>
      </w:r>
      <w:proofErr w:type="spellStart"/>
      <w:r w:rsidR="003E1C30" w:rsidRPr="003E1C30">
        <w:rPr>
          <w:lang w:val="bg-BG"/>
        </w:rPr>
        <w:t>Клаудия</w:t>
      </w:r>
      <w:proofErr w:type="spellEnd"/>
      <w:r w:rsidR="00BC2F33">
        <w:rPr>
          <w:lang w:val="bg-BG"/>
        </w:rPr>
        <w:t xml:space="preserve"> </w:t>
      </w:r>
      <w:proofErr w:type="spellStart"/>
      <w:r w:rsidR="003E1C30" w:rsidRPr="003E1C30">
        <w:rPr>
          <w:lang w:val="bg-BG"/>
        </w:rPr>
        <w:t>Вестердийк</w:t>
      </w:r>
      <w:proofErr w:type="spellEnd"/>
      <w:r w:rsidR="003E1C30" w:rsidRPr="003E1C30">
        <w:rPr>
          <w:lang w:val="bg-BG"/>
        </w:rPr>
        <w:tab/>
      </w:r>
      <w:proofErr w:type="spellStart"/>
      <w:r w:rsidR="003E1C30" w:rsidRPr="003E1C30">
        <w:rPr>
          <w:lang w:val="bg-BG"/>
        </w:rPr>
        <w:t>Пеер</w:t>
      </w:r>
      <w:proofErr w:type="spellEnd"/>
      <w:r w:rsidR="00BC2F33">
        <w:rPr>
          <w:lang w:val="bg-BG"/>
        </w:rPr>
        <w:t xml:space="preserve"> </w:t>
      </w:r>
      <w:proofErr w:type="spellStart"/>
      <w:r w:rsidR="003E1C30" w:rsidRPr="003E1C30">
        <w:rPr>
          <w:lang w:val="bg-BG"/>
        </w:rPr>
        <w:t>Лоренцен</w:t>
      </w:r>
      <w:proofErr w:type="spellEnd"/>
      <w:r w:rsidR="003E1C30" w:rsidRPr="003E1C30">
        <w:rPr>
          <w:lang w:val="bg-BG"/>
        </w:rPr>
        <w:br/>
      </w:r>
      <w:r w:rsidR="003E1C30" w:rsidRPr="003E1C30">
        <w:rPr>
          <w:lang w:val="bg-BG"/>
        </w:rPr>
        <w:tab/>
        <w:t>Секретар</w:t>
      </w:r>
      <w:r w:rsidR="003E1C30" w:rsidRPr="003E1C30">
        <w:rPr>
          <w:lang w:val="bg-BG"/>
        </w:rPr>
        <w:tab/>
        <w:t>Председател</w:t>
      </w:r>
    </w:p>
    <w:sectPr w:rsidR="003E1C30" w:rsidRPr="003E1C30" w:rsidSect="00FF10F2">
      <w:headerReference w:type="even" r:id="rId11"/>
      <w:headerReference w:type="default" r:id="rId12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E5" w:rsidRDefault="00C762E5">
      <w:r>
        <w:separator/>
      </w:r>
    </w:p>
  </w:endnote>
  <w:endnote w:type="continuationSeparator" w:id="0">
    <w:p w:rsidR="00C762E5" w:rsidRDefault="00C7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8" w:rsidRPr="00150BFA" w:rsidRDefault="007E4A88" w:rsidP="00FF10F2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79450" cy="4127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88" w:rsidRDefault="007E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E5" w:rsidRDefault="00C762E5">
      <w:r>
        <w:separator/>
      </w:r>
    </w:p>
  </w:footnote>
  <w:footnote w:type="continuationSeparator" w:id="0">
    <w:p w:rsidR="00C762E5" w:rsidRDefault="00C7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8" w:rsidRPr="00FF10F2" w:rsidRDefault="007E4A88" w:rsidP="00FF10F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8" w:rsidRPr="00C00F0F" w:rsidRDefault="007E4A88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88" w:rsidRDefault="007E4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8" w:rsidRDefault="007E4A88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tab/>
    </w:r>
    <w:r>
      <w:rPr>
        <w:lang w:val="bg-BG"/>
      </w:rPr>
      <w:t xml:space="preserve">РЕШЕНИЕ ПО ДЕЛОТО </w:t>
    </w:r>
    <w:r w:rsidRPr="00842822">
      <w:rPr>
        <w:lang w:val="bg-BG"/>
      </w:rPr>
      <w:t>ЗАШЕВИ</w:t>
    </w:r>
    <w:r>
      <w:rPr>
        <w:lang w:val="bg-BG"/>
      </w:rPr>
      <w:t xml:space="preserve"> </w:t>
    </w:r>
    <w:r w:rsidRPr="00842822">
      <w:rPr>
        <w:lang w:val="bg-BG"/>
      </w:rPr>
      <w:t>срещу</w:t>
    </w:r>
    <w:r>
      <w:rPr>
        <w:lang w:val="bg-BG"/>
      </w:rPr>
      <w:t xml:space="preserve"> </w:t>
    </w:r>
    <w:r w:rsidRPr="00842822"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8" w:rsidRDefault="007E4A88">
    <w:pPr>
      <w:pStyle w:val="JuHeader"/>
    </w:pPr>
    <w:r>
      <w:tab/>
    </w:r>
    <w:r>
      <w:rPr>
        <w:lang w:val="bg-BG"/>
      </w:rPr>
      <w:t xml:space="preserve">РЕШЕНИЕ ПО ДЕЛОТО </w:t>
    </w:r>
    <w:r w:rsidRPr="00842822">
      <w:rPr>
        <w:lang w:val="bg-BG"/>
      </w:rPr>
      <w:t>ЗАШЕВИ</w:t>
    </w:r>
    <w:r>
      <w:rPr>
        <w:lang w:val="bg-BG"/>
      </w:rPr>
      <w:t xml:space="preserve"> </w:t>
    </w:r>
    <w:r w:rsidRPr="00842822">
      <w:rPr>
        <w:lang w:val="bg-BG"/>
      </w:rPr>
      <w:t>срещу</w:t>
    </w:r>
    <w:r>
      <w:rPr>
        <w:lang w:val="bg-BG"/>
      </w:rPr>
      <w:t xml:space="preserve"> </w:t>
    </w:r>
    <w:r w:rsidRPr="00842822">
      <w:rPr>
        <w:lang w:val="bg-BG"/>
      </w:rPr>
      <w:t>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ETRANSMISSION" w:val=" "/>
    <w:docVar w:name="L4_1Annex" w:val="0"/>
    <w:docVar w:name="L4_1Anonymity" w:val="0"/>
    <w:docVar w:name="SignForeName" w:val="0"/>
  </w:docVars>
  <w:rsids>
    <w:rsidRoot w:val="009D266C"/>
    <w:rsid w:val="00002C63"/>
    <w:rsid w:val="000119C7"/>
    <w:rsid w:val="0001745C"/>
    <w:rsid w:val="0002028F"/>
    <w:rsid w:val="000202CF"/>
    <w:rsid w:val="000206FE"/>
    <w:rsid w:val="00021CF1"/>
    <w:rsid w:val="00025D2F"/>
    <w:rsid w:val="00032BBA"/>
    <w:rsid w:val="0003679E"/>
    <w:rsid w:val="00047C8D"/>
    <w:rsid w:val="00055AC1"/>
    <w:rsid w:val="00056877"/>
    <w:rsid w:val="00056B76"/>
    <w:rsid w:val="00057738"/>
    <w:rsid w:val="000602B8"/>
    <w:rsid w:val="00061F40"/>
    <w:rsid w:val="00062940"/>
    <w:rsid w:val="000726F6"/>
    <w:rsid w:val="000747DE"/>
    <w:rsid w:val="00076A67"/>
    <w:rsid w:val="00084D18"/>
    <w:rsid w:val="000851F2"/>
    <w:rsid w:val="00085837"/>
    <w:rsid w:val="00085B3A"/>
    <w:rsid w:val="00085D9E"/>
    <w:rsid w:val="00087C3E"/>
    <w:rsid w:val="00087D5C"/>
    <w:rsid w:val="00090C82"/>
    <w:rsid w:val="00093B35"/>
    <w:rsid w:val="000A512E"/>
    <w:rsid w:val="000B2076"/>
    <w:rsid w:val="000C7B70"/>
    <w:rsid w:val="000D0463"/>
    <w:rsid w:val="000D374B"/>
    <w:rsid w:val="000D3A73"/>
    <w:rsid w:val="000D3AD7"/>
    <w:rsid w:val="000D46E3"/>
    <w:rsid w:val="000D6108"/>
    <w:rsid w:val="000E1449"/>
    <w:rsid w:val="000E2B92"/>
    <w:rsid w:val="000E3A64"/>
    <w:rsid w:val="000E3DAB"/>
    <w:rsid w:val="000E7321"/>
    <w:rsid w:val="000F0BFD"/>
    <w:rsid w:val="000F699D"/>
    <w:rsid w:val="00101332"/>
    <w:rsid w:val="001023EA"/>
    <w:rsid w:val="00102E32"/>
    <w:rsid w:val="00104AD1"/>
    <w:rsid w:val="00107EFB"/>
    <w:rsid w:val="00111D99"/>
    <w:rsid w:val="0011665B"/>
    <w:rsid w:val="001175C2"/>
    <w:rsid w:val="0012604E"/>
    <w:rsid w:val="00126213"/>
    <w:rsid w:val="00132421"/>
    <w:rsid w:val="001330F2"/>
    <w:rsid w:val="00141F1E"/>
    <w:rsid w:val="00150BFA"/>
    <w:rsid w:val="0015434C"/>
    <w:rsid w:val="00161A31"/>
    <w:rsid w:val="00172973"/>
    <w:rsid w:val="001730D8"/>
    <w:rsid w:val="00175BEE"/>
    <w:rsid w:val="001812B2"/>
    <w:rsid w:val="001812CB"/>
    <w:rsid w:val="001935D2"/>
    <w:rsid w:val="00197C29"/>
    <w:rsid w:val="001A0EBE"/>
    <w:rsid w:val="001A6EA7"/>
    <w:rsid w:val="001B0139"/>
    <w:rsid w:val="001B1B53"/>
    <w:rsid w:val="001B62B1"/>
    <w:rsid w:val="001B74F7"/>
    <w:rsid w:val="001B752F"/>
    <w:rsid w:val="001B7A32"/>
    <w:rsid w:val="001C2E69"/>
    <w:rsid w:val="001C787C"/>
    <w:rsid w:val="001D39A8"/>
    <w:rsid w:val="001D7DE1"/>
    <w:rsid w:val="001E4378"/>
    <w:rsid w:val="001E691C"/>
    <w:rsid w:val="001E7B9F"/>
    <w:rsid w:val="001F2310"/>
    <w:rsid w:val="001F501C"/>
    <w:rsid w:val="001F5586"/>
    <w:rsid w:val="001F75F3"/>
    <w:rsid w:val="00201CEF"/>
    <w:rsid w:val="00207520"/>
    <w:rsid w:val="002101BA"/>
    <w:rsid w:val="00210821"/>
    <w:rsid w:val="00211622"/>
    <w:rsid w:val="0022208D"/>
    <w:rsid w:val="00225BE5"/>
    <w:rsid w:val="002266CD"/>
    <w:rsid w:val="002354EC"/>
    <w:rsid w:val="00241553"/>
    <w:rsid w:val="00242022"/>
    <w:rsid w:val="0024325D"/>
    <w:rsid w:val="002478D9"/>
    <w:rsid w:val="00251FDF"/>
    <w:rsid w:val="00252B31"/>
    <w:rsid w:val="002558C4"/>
    <w:rsid w:val="00275293"/>
    <w:rsid w:val="00276111"/>
    <w:rsid w:val="0028406E"/>
    <w:rsid w:val="00285A0B"/>
    <w:rsid w:val="00285A93"/>
    <w:rsid w:val="0028697E"/>
    <w:rsid w:val="00287389"/>
    <w:rsid w:val="00292C89"/>
    <w:rsid w:val="00296B32"/>
    <w:rsid w:val="002972E2"/>
    <w:rsid w:val="00297942"/>
    <w:rsid w:val="002A4FAD"/>
    <w:rsid w:val="002A6B6D"/>
    <w:rsid w:val="002B123E"/>
    <w:rsid w:val="002C1ACD"/>
    <w:rsid w:val="002C3A72"/>
    <w:rsid w:val="002C4627"/>
    <w:rsid w:val="002D02F0"/>
    <w:rsid w:val="002D7910"/>
    <w:rsid w:val="002D7E88"/>
    <w:rsid w:val="002E6742"/>
    <w:rsid w:val="002E6CC2"/>
    <w:rsid w:val="002F219D"/>
    <w:rsid w:val="002F4A2C"/>
    <w:rsid w:val="002F6FE9"/>
    <w:rsid w:val="00303D3E"/>
    <w:rsid w:val="003066F8"/>
    <w:rsid w:val="00307F3A"/>
    <w:rsid w:val="0031573C"/>
    <w:rsid w:val="00315B7B"/>
    <w:rsid w:val="0032093A"/>
    <w:rsid w:val="0032319A"/>
    <w:rsid w:val="00324A7C"/>
    <w:rsid w:val="00325C2B"/>
    <w:rsid w:val="00332547"/>
    <w:rsid w:val="00334C0B"/>
    <w:rsid w:val="00336887"/>
    <w:rsid w:val="00337600"/>
    <w:rsid w:val="0033794F"/>
    <w:rsid w:val="00342F9C"/>
    <w:rsid w:val="00343C71"/>
    <w:rsid w:val="00344008"/>
    <w:rsid w:val="00345E01"/>
    <w:rsid w:val="003462D7"/>
    <w:rsid w:val="0035283C"/>
    <w:rsid w:val="003550C7"/>
    <w:rsid w:val="00357305"/>
    <w:rsid w:val="0037083C"/>
    <w:rsid w:val="00371277"/>
    <w:rsid w:val="00373C23"/>
    <w:rsid w:val="003743BC"/>
    <w:rsid w:val="00376837"/>
    <w:rsid w:val="003865F5"/>
    <w:rsid w:val="00387978"/>
    <w:rsid w:val="003918DD"/>
    <w:rsid w:val="0039385C"/>
    <w:rsid w:val="00395CF0"/>
    <w:rsid w:val="003A1D51"/>
    <w:rsid w:val="003A5008"/>
    <w:rsid w:val="003A7021"/>
    <w:rsid w:val="003B1175"/>
    <w:rsid w:val="003B3F34"/>
    <w:rsid w:val="003B50D7"/>
    <w:rsid w:val="003B74D0"/>
    <w:rsid w:val="003C2480"/>
    <w:rsid w:val="003C5381"/>
    <w:rsid w:val="003C7CA9"/>
    <w:rsid w:val="003D17E1"/>
    <w:rsid w:val="003D77B5"/>
    <w:rsid w:val="003D77D1"/>
    <w:rsid w:val="003E1C30"/>
    <w:rsid w:val="003E2006"/>
    <w:rsid w:val="003E319C"/>
    <w:rsid w:val="003E6847"/>
    <w:rsid w:val="003F151B"/>
    <w:rsid w:val="003F2B6A"/>
    <w:rsid w:val="003F3BFD"/>
    <w:rsid w:val="003F6278"/>
    <w:rsid w:val="00400DF2"/>
    <w:rsid w:val="00401C5B"/>
    <w:rsid w:val="00402527"/>
    <w:rsid w:val="00412AB8"/>
    <w:rsid w:val="0043279C"/>
    <w:rsid w:val="004337B8"/>
    <w:rsid w:val="00441536"/>
    <w:rsid w:val="004421D9"/>
    <w:rsid w:val="0044277D"/>
    <w:rsid w:val="00450655"/>
    <w:rsid w:val="00457A18"/>
    <w:rsid w:val="00457FFA"/>
    <w:rsid w:val="00460BB1"/>
    <w:rsid w:val="00460FAD"/>
    <w:rsid w:val="00461087"/>
    <w:rsid w:val="004660DA"/>
    <w:rsid w:val="004719A4"/>
    <w:rsid w:val="00472E7B"/>
    <w:rsid w:val="00475BA9"/>
    <w:rsid w:val="0047632E"/>
    <w:rsid w:val="004843A1"/>
    <w:rsid w:val="0048501B"/>
    <w:rsid w:val="00485A6F"/>
    <w:rsid w:val="0049091F"/>
    <w:rsid w:val="004920B1"/>
    <w:rsid w:val="0049226C"/>
    <w:rsid w:val="00496094"/>
    <w:rsid w:val="00496652"/>
    <w:rsid w:val="004A5C2A"/>
    <w:rsid w:val="004B0EB4"/>
    <w:rsid w:val="004B177F"/>
    <w:rsid w:val="004C0E25"/>
    <w:rsid w:val="004C41CF"/>
    <w:rsid w:val="004C6B59"/>
    <w:rsid w:val="004D2562"/>
    <w:rsid w:val="004D3C51"/>
    <w:rsid w:val="004D7CBB"/>
    <w:rsid w:val="004E5DFC"/>
    <w:rsid w:val="004F0FDF"/>
    <w:rsid w:val="004F40BA"/>
    <w:rsid w:val="0050096C"/>
    <w:rsid w:val="00501119"/>
    <w:rsid w:val="00507B89"/>
    <w:rsid w:val="00510FBE"/>
    <w:rsid w:val="005140D3"/>
    <w:rsid w:val="00516EBF"/>
    <w:rsid w:val="00517765"/>
    <w:rsid w:val="00522362"/>
    <w:rsid w:val="00523651"/>
    <w:rsid w:val="00525D1C"/>
    <w:rsid w:val="00540F48"/>
    <w:rsid w:val="005417A4"/>
    <w:rsid w:val="005419B6"/>
    <w:rsid w:val="00541AC8"/>
    <w:rsid w:val="00542CFE"/>
    <w:rsid w:val="00543438"/>
    <w:rsid w:val="00543F18"/>
    <w:rsid w:val="00546F49"/>
    <w:rsid w:val="00550816"/>
    <w:rsid w:val="0055092D"/>
    <w:rsid w:val="00552455"/>
    <w:rsid w:val="00555484"/>
    <w:rsid w:val="00555A4A"/>
    <w:rsid w:val="00561C65"/>
    <w:rsid w:val="0056771C"/>
    <w:rsid w:val="00570D68"/>
    <w:rsid w:val="0057198F"/>
    <w:rsid w:val="00574F42"/>
    <w:rsid w:val="00576C88"/>
    <w:rsid w:val="00576D12"/>
    <w:rsid w:val="005777BA"/>
    <w:rsid w:val="00577E6A"/>
    <w:rsid w:val="005821EB"/>
    <w:rsid w:val="005917D9"/>
    <w:rsid w:val="005919D8"/>
    <w:rsid w:val="0059431B"/>
    <w:rsid w:val="005A0667"/>
    <w:rsid w:val="005A16AC"/>
    <w:rsid w:val="005B16A8"/>
    <w:rsid w:val="005B2CD8"/>
    <w:rsid w:val="005B4233"/>
    <w:rsid w:val="005B48D1"/>
    <w:rsid w:val="005C1929"/>
    <w:rsid w:val="005C1956"/>
    <w:rsid w:val="005C23E5"/>
    <w:rsid w:val="005C2C88"/>
    <w:rsid w:val="005C41CB"/>
    <w:rsid w:val="005C661A"/>
    <w:rsid w:val="005D01A6"/>
    <w:rsid w:val="005D6EEE"/>
    <w:rsid w:val="005E29C9"/>
    <w:rsid w:val="005E384F"/>
    <w:rsid w:val="005E5501"/>
    <w:rsid w:val="005F1FBB"/>
    <w:rsid w:val="005F4327"/>
    <w:rsid w:val="005F6A64"/>
    <w:rsid w:val="005F7A10"/>
    <w:rsid w:val="00603216"/>
    <w:rsid w:val="00605738"/>
    <w:rsid w:val="00610646"/>
    <w:rsid w:val="006111FF"/>
    <w:rsid w:val="006140B5"/>
    <w:rsid w:val="006160F0"/>
    <w:rsid w:val="00616601"/>
    <w:rsid w:val="00616949"/>
    <w:rsid w:val="0062787C"/>
    <w:rsid w:val="00630780"/>
    <w:rsid w:val="00634662"/>
    <w:rsid w:val="00635F64"/>
    <w:rsid w:val="00640B82"/>
    <w:rsid w:val="00640D2B"/>
    <w:rsid w:val="006421B6"/>
    <w:rsid w:val="00644425"/>
    <w:rsid w:val="00645FBF"/>
    <w:rsid w:val="00651D32"/>
    <w:rsid w:val="0065202B"/>
    <w:rsid w:val="0065242A"/>
    <w:rsid w:val="00652B11"/>
    <w:rsid w:val="00655126"/>
    <w:rsid w:val="006608BE"/>
    <w:rsid w:val="006609AF"/>
    <w:rsid w:val="00663025"/>
    <w:rsid w:val="0066327F"/>
    <w:rsid w:val="006639B6"/>
    <w:rsid w:val="006775EE"/>
    <w:rsid w:val="00682570"/>
    <w:rsid w:val="00682C1B"/>
    <w:rsid w:val="006911C8"/>
    <w:rsid w:val="00692562"/>
    <w:rsid w:val="00697B14"/>
    <w:rsid w:val="00697F14"/>
    <w:rsid w:val="006A1EC2"/>
    <w:rsid w:val="006A25A0"/>
    <w:rsid w:val="006A3D9D"/>
    <w:rsid w:val="006B43E4"/>
    <w:rsid w:val="006B47F9"/>
    <w:rsid w:val="006C2B52"/>
    <w:rsid w:val="006C35C5"/>
    <w:rsid w:val="006C43D1"/>
    <w:rsid w:val="006C51F7"/>
    <w:rsid w:val="006C7F85"/>
    <w:rsid w:val="006D1748"/>
    <w:rsid w:val="006D36EC"/>
    <w:rsid w:val="006D7B7C"/>
    <w:rsid w:val="006E2888"/>
    <w:rsid w:val="006E4D42"/>
    <w:rsid w:val="006E5262"/>
    <w:rsid w:val="006E6D33"/>
    <w:rsid w:val="006F73EF"/>
    <w:rsid w:val="0070229D"/>
    <w:rsid w:val="007043FA"/>
    <w:rsid w:val="00711788"/>
    <w:rsid w:val="00712AEA"/>
    <w:rsid w:val="007156E0"/>
    <w:rsid w:val="00721983"/>
    <w:rsid w:val="00725DC9"/>
    <w:rsid w:val="007278DC"/>
    <w:rsid w:val="00730053"/>
    <w:rsid w:val="00730433"/>
    <w:rsid w:val="007352DD"/>
    <w:rsid w:val="007354A3"/>
    <w:rsid w:val="007368D2"/>
    <w:rsid w:val="00737633"/>
    <w:rsid w:val="00744211"/>
    <w:rsid w:val="00750D1C"/>
    <w:rsid w:val="00750E5E"/>
    <w:rsid w:val="00755748"/>
    <w:rsid w:val="00755A6A"/>
    <w:rsid w:val="00756D5B"/>
    <w:rsid w:val="00765E12"/>
    <w:rsid w:val="00766DAE"/>
    <w:rsid w:val="00772246"/>
    <w:rsid w:val="00772A92"/>
    <w:rsid w:val="0077590D"/>
    <w:rsid w:val="0077789B"/>
    <w:rsid w:val="0078062F"/>
    <w:rsid w:val="00781CB3"/>
    <w:rsid w:val="007827E7"/>
    <w:rsid w:val="00784D28"/>
    <w:rsid w:val="00786A54"/>
    <w:rsid w:val="0079187F"/>
    <w:rsid w:val="007A1ADC"/>
    <w:rsid w:val="007A357A"/>
    <w:rsid w:val="007A3646"/>
    <w:rsid w:val="007A6DBA"/>
    <w:rsid w:val="007B2AC2"/>
    <w:rsid w:val="007C156E"/>
    <w:rsid w:val="007C1CE3"/>
    <w:rsid w:val="007C5F44"/>
    <w:rsid w:val="007D0D75"/>
    <w:rsid w:val="007D2D8D"/>
    <w:rsid w:val="007D4009"/>
    <w:rsid w:val="007D7ACF"/>
    <w:rsid w:val="007E0C06"/>
    <w:rsid w:val="007E4A88"/>
    <w:rsid w:val="007F50A5"/>
    <w:rsid w:val="00801837"/>
    <w:rsid w:val="008025D3"/>
    <w:rsid w:val="00803D4C"/>
    <w:rsid w:val="00806E5F"/>
    <w:rsid w:val="00810976"/>
    <w:rsid w:val="00811038"/>
    <w:rsid w:val="008129BC"/>
    <w:rsid w:val="00832095"/>
    <w:rsid w:val="00833158"/>
    <w:rsid w:val="008334E3"/>
    <w:rsid w:val="008374B6"/>
    <w:rsid w:val="008422CE"/>
    <w:rsid w:val="00842822"/>
    <w:rsid w:val="00842AED"/>
    <w:rsid w:val="00845BBA"/>
    <w:rsid w:val="00846698"/>
    <w:rsid w:val="00846856"/>
    <w:rsid w:val="00847780"/>
    <w:rsid w:val="00847A6B"/>
    <w:rsid w:val="00853345"/>
    <w:rsid w:val="00854950"/>
    <w:rsid w:val="0085574D"/>
    <w:rsid w:val="00871A63"/>
    <w:rsid w:val="0087209C"/>
    <w:rsid w:val="0087694E"/>
    <w:rsid w:val="00880177"/>
    <w:rsid w:val="00881991"/>
    <w:rsid w:val="0088315D"/>
    <w:rsid w:val="00886BB5"/>
    <w:rsid w:val="00887FF1"/>
    <w:rsid w:val="00890E96"/>
    <w:rsid w:val="008A4346"/>
    <w:rsid w:val="008A5F85"/>
    <w:rsid w:val="008A6306"/>
    <w:rsid w:val="008A7343"/>
    <w:rsid w:val="008B0A0B"/>
    <w:rsid w:val="008B2F2A"/>
    <w:rsid w:val="008B34CA"/>
    <w:rsid w:val="008C3D4A"/>
    <w:rsid w:val="008C527E"/>
    <w:rsid w:val="008C6F68"/>
    <w:rsid w:val="008D5F0F"/>
    <w:rsid w:val="008E05A3"/>
    <w:rsid w:val="008E45AE"/>
    <w:rsid w:val="008E5A16"/>
    <w:rsid w:val="008F56C8"/>
    <w:rsid w:val="008F62AD"/>
    <w:rsid w:val="008F698C"/>
    <w:rsid w:val="008F79F5"/>
    <w:rsid w:val="00901FEF"/>
    <w:rsid w:val="0090234C"/>
    <w:rsid w:val="00902609"/>
    <w:rsid w:val="00903C51"/>
    <w:rsid w:val="00903D51"/>
    <w:rsid w:val="00904C64"/>
    <w:rsid w:val="00906E67"/>
    <w:rsid w:val="0090727E"/>
    <w:rsid w:val="00917BA6"/>
    <w:rsid w:val="00920F11"/>
    <w:rsid w:val="009247D3"/>
    <w:rsid w:val="00925A19"/>
    <w:rsid w:val="00932C7B"/>
    <w:rsid w:val="00933924"/>
    <w:rsid w:val="009350B0"/>
    <w:rsid w:val="009403AB"/>
    <w:rsid w:val="00940875"/>
    <w:rsid w:val="0094239F"/>
    <w:rsid w:val="0094338D"/>
    <w:rsid w:val="00943725"/>
    <w:rsid w:val="00944624"/>
    <w:rsid w:val="00944AB8"/>
    <w:rsid w:val="0094669B"/>
    <w:rsid w:val="009511CE"/>
    <w:rsid w:val="00951988"/>
    <w:rsid w:val="00952B31"/>
    <w:rsid w:val="00956501"/>
    <w:rsid w:val="00957252"/>
    <w:rsid w:val="00961074"/>
    <w:rsid w:val="00963F08"/>
    <w:rsid w:val="00965B21"/>
    <w:rsid w:val="00965BD4"/>
    <w:rsid w:val="009750A6"/>
    <w:rsid w:val="00982B77"/>
    <w:rsid w:val="0098535B"/>
    <w:rsid w:val="009943E7"/>
    <w:rsid w:val="009957AF"/>
    <w:rsid w:val="00995F44"/>
    <w:rsid w:val="009A5CBF"/>
    <w:rsid w:val="009A6205"/>
    <w:rsid w:val="009B039E"/>
    <w:rsid w:val="009B1411"/>
    <w:rsid w:val="009B3B04"/>
    <w:rsid w:val="009B5EAB"/>
    <w:rsid w:val="009B678C"/>
    <w:rsid w:val="009B7DCF"/>
    <w:rsid w:val="009C56F3"/>
    <w:rsid w:val="009C7172"/>
    <w:rsid w:val="009D0D81"/>
    <w:rsid w:val="009D266C"/>
    <w:rsid w:val="009D4B87"/>
    <w:rsid w:val="009E1969"/>
    <w:rsid w:val="009E56CA"/>
    <w:rsid w:val="009F18CE"/>
    <w:rsid w:val="009F4CB8"/>
    <w:rsid w:val="009F558A"/>
    <w:rsid w:val="009F5625"/>
    <w:rsid w:val="00A012A5"/>
    <w:rsid w:val="00A05627"/>
    <w:rsid w:val="00A135BE"/>
    <w:rsid w:val="00A1616C"/>
    <w:rsid w:val="00A16CCF"/>
    <w:rsid w:val="00A20CC9"/>
    <w:rsid w:val="00A221F1"/>
    <w:rsid w:val="00A2485E"/>
    <w:rsid w:val="00A32B81"/>
    <w:rsid w:val="00A50630"/>
    <w:rsid w:val="00A5331A"/>
    <w:rsid w:val="00A62A21"/>
    <w:rsid w:val="00A65F91"/>
    <w:rsid w:val="00A66076"/>
    <w:rsid w:val="00A73E13"/>
    <w:rsid w:val="00A7631B"/>
    <w:rsid w:val="00A80135"/>
    <w:rsid w:val="00A8063B"/>
    <w:rsid w:val="00A82AD7"/>
    <w:rsid w:val="00A8381C"/>
    <w:rsid w:val="00A84CB2"/>
    <w:rsid w:val="00A861C5"/>
    <w:rsid w:val="00A87637"/>
    <w:rsid w:val="00A9339A"/>
    <w:rsid w:val="00AA0A20"/>
    <w:rsid w:val="00AA3E75"/>
    <w:rsid w:val="00AA5DB0"/>
    <w:rsid w:val="00AB11D4"/>
    <w:rsid w:val="00AB2166"/>
    <w:rsid w:val="00AB4666"/>
    <w:rsid w:val="00AB6F90"/>
    <w:rsid w:val="00AC022E"/>
    <w:rsid w:val="00AC134B"/>
    <w:rsid w:val="00AC1806"/>
    <w:rsid w:val="00AD3D1C"/>
    <w:rsid w:val="00AD4471"/>
    <w:rsid w:val="00AD57B2"/>
    <w:rsid w:val="00AD7923"/>
    <w:rsid w:val="00AE2F4F"/>
    <w:rsid w:val="00AE5B33"/>
    <w:rsid w:val="00AF3E13"/>
    <w:rsid w:val="00B02324"/>
    <w:rsid w:val="00B05121"/>
    <w:rsid w:val="00B0594B"/>
    <w:rsid w:val="00B154E3"/>
    <w:rsid w:val="00B22FEA"/>
    <w:rsid w:val="00B33348"/>
    <w:rsid w:val="00B3608A"/>
    <w:rsid w:val="00B37809"/>
    <w:rsid w:val="00B419E6"/>
    <w:rsid w:val="00B42DC7"/>
    <w:rsid w:val="00B4364C"/>
    <w:rsid w:val="00B63D1D"/>
    <w:rsid w:val="00B6438D"/>
    <w:rsid w:val="00B64488"/>
    <w:rsid w:val="00B659DC"/>
    <w:rsid w:val="00B662B2"/>
    <w:rsid w:val="00B67544"/>
    <w:rsid w:val="00B6763B"/>
    <w:rsid w:val="00B67C16"/>
    <w:rsid w:val="00B81192"/>
    <w:rsid w:val="00B921A8"/>
    <w:rsid w:val="00B96B60"/>
    <w:rsid w:val="00BA0988"/>
    <w:rsid w:val="00BA4B7B"/>
    <w:rsid w:val="00BB2896"/>
    <w:rsid w:val="00BB2A2A"/>
    <w:rsid w:val="00BB5455"/>
    <w:rsid w:val="00BB5BE4"/>
    <w:rsid w:val="00BC0ADA"/>
    <w:rsid w:val="00BC1844"/>
    <w:rsid w:val="00BC26E0"/>
    <w:rsid w:val="00BC2F33"/>
    <w:rsid w:val="00BD19AE"/>
    <w:rsid w:val="00BD1C77"/>
    <w:rsid w:val="00BD2D15"/>
    <w:rsid w:val="00BD3061"/>
    <w:rsid w:val="00BD7270"/>
    <w:rsid w:val="00BE0C36"/>
    <w:rsid w:val="00BE4F3F"/>
    <w:rsid w:val="00BE50FE"/>
    <w:rsid w:val="00BE5958"/>
    <w:rsid w:val="00BE7B63"/>
    <w:rsid w:val="00C00F0F"/>
    <w:rsid w:val="00C01187"/>
    <w:rsid w:val="00C01E1C"/>
    <w:rsid w:val="00C031B4"/>
    <w:rsid w:val="00C0325B"/>
    <w:rsid w:val="00C03AF7"/>
    <w:rsid w:val="00C10EBD"/>
    <w:rsid w:val="00C1697F"/>
    <w:rsid w:val="00C17E44"/>
    <w:rsid w:val="00C2195A"/>
    <w:rsid w:val="00C227A1"/>
    <w:rsid w:val="00C22AEA"/>
    <w:rsid w:val="00C27EF9"/>
    <w:rsid w:val="00C30671"/>
    <w:rsid w:val="00C312D8"/>
    <w:rsid w:val="00C31E03"/>
    <w:rsid w:val="00C366D1"/>
    <w:rsid w:val="00C44524"/>
    <w:rsid w:val="00C50613"/>
    <w:rsid w:val="00C51048"/>
    <w:rsid w:val="00C57F6A"/>
    <w:rsid w:val="00C60D69"/>
    <w:rsid w:val="00C7065D"/>
    <w:rsid w:val="00C72017"/>
    <w:rsid w:val="00C76063"/>
    <w:rsid w:val="00C762E5"/>
    <w:rsid w:val="00C815AA"/>
    <w:rsid w:val="00C90A78"/>
    <w:rsid w:val="00C91025"/>
    <w:rsid w:val="00C95AE2"/>
    <w:rsid w:val="00C96EBF"/>
    <w:rsid w:val="00C97012"/>
    <w:rsid w:val="00CA009F"/>
    <w:rsid w:val="00CA03CE"/>
    <w:rsid w:val="00CA3A46"/>
    <w:rsid w:val="00CA5289"/>
    <w:rsid w:val="00CB1F11"/>
    <w:rsid w:val="00CB2033"/>
    <w:rsid w:val="00CB2558"/>
    <w:rsid w:val="00CD0969"/>
    <w:rsid w:val="00CD3EE5"/>
    <w:rsid w:val="00CD5BFC"/>
    <w:rsid w:val="00CD5D90"/>
    <w:rsid w:val="00CE1952"/>
    <w:rsid w:val="00CE1C9D"/>
    <w:rsid w:val="00CE3702"/>
    <w:rsid w:val="00CE461E"/>
    <w:rsid w:val="00CE67E6"/>
    <w:rsid w:val="00CE7D08"/>
    <w:rsid w:val="00CF0904"/>
    <w:rsid w:val="00CF166A"/>
    <w:rsid w:val="00CF3373"/>
    <w:rsid w:val="00CF42A2"/>
    <w:rsid w:val="00CF6EF1"/>
    <w:rsid w:val="00D00D0A"/>
    <w:rsid w:val="00D0663A"/>
    <w:rsid w:val="00D102A7"/>
    <w:rsid w:val="00D11C61"/>
    <w:rsid w:val="00D15473"/>
    <w:rsid w:val="00D16C95"/>
    <w:rsid w:val="00D24718"/>
    <w:rsid w:val="00D3104F"/>
    <w:rsid w:val="00D33169"/>
    <w:rsid w:val="00D353F4"/>
    <w:rsid w:val="00D357B5"/>
    <w:rsid w:val="00D3639A"/>
    <w:rsid w:val="00D44404"/>
    <w:rsid w:val="00D4507E"/>
    <w:rsid w:val="00D50347"/>
    <w:rsid w:val="00D51937"/>
    <w:rsid w:val="00D56C4F"/>
    <w:rsid w:val="00D57C25"/>
    <w:rsid w:val="00D635AF"/>
    <w:rsid w:val="00D6376C"/>
    <w:rsid w:val="00D63793"/>
    <w:rsid w:val="00D726A7"/>
    <w:rsid w:val="00D77AF3"/>
    <w:rsid w:val="00D8025A"/>
    <w:rsid w:val="00D80BFF"/>
    <w:rsid w:val="00D810B6"/>
    <w:rsid w:val="00D8121F"/>
    <w:rsid w:val="00D86C32"/>
    <w:rsid w:val="00D90810"/>
    <w:rsid w:val="00D91A36"/>
    <w:rsid w:val="00D95A82"/>
    <w:rsid w:val="00DA00E5"/>
    <w:rsid w:val="00DA03A8"/>
    <w:rsid w:val="00DB0D77"/>
    <w:rsid w:val="00DB6D67"/>
    <w:rsid w:val="00DB7F29"/>
    <w:rsid w:val="00DC085C"/>
    <w:rsid w:val="00DC2093"/>
    <w:rsid w:val="00DC3E8B"/>
    <w:rsid w:val="00DC5C22"/>
    <w:rsid w:val="00DC7043"/>
    <w:rsid w:val="00DD20E1"/>
    <w:rsid w:val="00DD26F8"/>
    <w:rsid w:val="00DD34D7"/>
    <w:rsid w:val="00DD75A3"/>
    <w:rsid w:val="00DD76D7"/>
    <w:rsid w:val="00DE247F"/>
    <w:rsid w:val="00DE5E8F"/>
    <w:rsid w:val="00DF6E3F"/>
    <w:rsid w:val="00E00690"/>
    <w:rsid w:val="00E01C09"/>
    <w:rsid w:val="00E15BF5"/>
    <w:rsid w:val="00E2261C"/>
    <w:rsid w:val="00E25CAB"/>
    <w:rsid w:val="00E32171"/>
    <w:rsid w:val="00E3280F"/>
    <w:rsid w:val="00E32971"/>
    <w:rsid w:val="00E32A7C"/>
    <w:rsid w:val="00E526A4"/>
    <w:rsid w:val="00E53BE7"/>
    <w:rsid w:val="00E5668F"/>
    <w:rsid w:val="00E60A06"/>
    <w:rsid w:val="00E60DDF"/>
    <w:rsid w:val="00E61CD2"/>
    <w:rsid w:val="00E67E48"/>
    <w:rsid w:val="00E71F32"/>
    <w:rsid w:val="00E736FC"/>
    <w:rsid w:val="00E81663"/>
    <w:rsid w:val="00E81CC5"/>
    <w:rsid w:val="00E85678"/>
    <w:rsid w:val="00E87D90"/>
    <w:rsid w:val="00E906E7"/>
    <w:rsid w:val="00E90D06"/>
    <w:rsid w:val="00E9155E"/>
    <w:rsid w:val="00E977B9"/>
    <w:rsid w:val="00EA15B2"/>
    <w:rsid w:val="00EA50D4"/>
    <w:rsid w:val="00EB2CDB"/>
    <w:rsid w:val="00EB41E9"/>
    <w:rsid w:val="00EB6A88"/>
    <w:rsid w:val="00EC482F"/>
    <w:rsid w:val="00ED12C3"/>
    <w:rsid w:val="00ED3AC7"/>
    <w:rsid w:val="00ED735E"/>
    <w:rsid w:val="00EE3AA8"/>
    <w:rsid w:val="00EE3DAA"/>
    <w:rsid w:val="00EE3F12"/>
    <w:rsid w:val="00EE47FF"/>
    <w:rsid w:val="00EE7911"/>
    <w:rsid w:val="00EF2384"/>
    <w:rsid w:val="00EF5920"/>
    <w:rsid w:val="00EF7578"/>
    <w:rsid w:val="00EF785A"/>
    <w:rsid w:val="00F01ABB"/>
    <w:rsid w:val="00F05CE1"/>
    <w:rsid w:val="00F10FA1"/>
    <w:rsid w:val="00F124EA"/>
    <w:rsid w:val="00F13CD1"/>
    <w:rsid w:val="00F258CA"/>
    <w:rsid w:val="00F26D1A"/>
    <w:rsid w:val="00F32FE3"/>
    <w:rsid w:val="00F3441E"/>
    <w:rsid w:val="00F36D09"/>
    <w:rsid w:val="00F37C87"/>
    <w:rsid w:val="00F40E38"/>
    <w:rsid w:val="00F40F99"/>
    <w:rsid w:val="00F4116E"/>
    <w:rsid w:val="00F43FF3"/>
    <w:rsid w:val="00F5124B"/>
    <w:rsid w:val="00F515CD"/>
    <w:rsid w:val="00F529D7"/>
    <w:rsid w:val="00F60050"/>
    <w:rsid w:val="00F66286"/>
    <w:rsid w:val="00F71A6A"/>
    <w:rsid w:val="00F73D18"/>
    <w:rsid w:val="00F81140"/>
    <w:rsid w:val="00F82E8F"/>
    <w:rsid w:val="00F9622F"/>
    <w:rsid w:val="00F96EB4"/>
    <w:rsid w:val="00FA448A"/>
    <w:rsid w:val="00FA5768"/>
    <w:rsid w:val="00FB1622"/>
    <w:rsid w:val="00FC1827"/>
    <w:rsid w:val="00FC6650"/>
    <w:rsid w:val="00FD3E2F"/>
    <w:rsid w:val="00FD6B9A"/>
    <w:rsid w:val="00FD6C9D"/>
    <w:rsid w:val="00FE17EA"/>
    <w:rsid w:val="00FE6E31"/>
    <w:rsid w:val="00FF10F2"/>
    <w:rsid w:val="00FF1192"/>
    <w:rsid w:val="00FF1FC9"/>
    <w:rsid w:val="00FF4FC6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3A1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3A1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3A1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3A1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43A1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43A1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8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D8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D87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D87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D8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D87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D87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D87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87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uiPriority w:val="99"/>
    <w:rsid w:val="009B039E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9B039E"/>
  </w:style>
  <w:style w:type="paragraph" w:customStyle="1" w:styleId="OpiH1">
    <w:name w:val="Opi_H_1."/>
    <w:basedOn w:val="OpiHA"/>
    <w:next w:val="OpiPara"/>
    <w:uiPriority w:val="99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3D87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uiPriority w:val="99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uiPriority w:val="99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9B039E"/>
    <w:rPr>
      <w:b/>
    </w:rPr>
  </w:style>
  <w:style w:type="paragraph" w:customStyle="1" w:styleId="JuList">
    <w:name w:val="Ju_List"/>
    <w:basedOn w:val="JuPara"/>
    <w:uiPriority w:val="99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4843A1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B039E"/>
  </w:style>
  <w:style w:type="paragraph" w:customStyle="1" w:styleId="OpiTranslation">
    <w:name w:val="Opi_Translation"/>
    <w:basedOn w:val="OpiHHead"/>
    <w:next w:val="OpiPara"/>
    <w:uiPriority w:val="99"/>
    <w:rsid w:val="009B039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B039E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D87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B039E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3D87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B039E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B039E"/>
    <w:pPr>
      <w:ind w:left="346" w:firstLine="0"/>
    </w:pPr>
  </w:style>
  <w:style w:type="paragraph" w:customStyle="1" w:styleId="JuListi">
    <w:name w:val="Ju_List_i"/>
    <w:basedOn w:val="JuLista"/>
    <w:uiPriority w:val="99"/>
    <w:rsid w:val="009B039E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4843A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843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D87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B039E"/>
    <w:pPr>
      <w:jc w:val="right"/>
    </w:pPr>
  </w:style>
  <w:style w:type="paragraph" w:customStyle="1" w:styleId="JuHeader">
    <w:name w:val="Ju_Header"/>
    <w:basedOn w:val="Header"/>
    <w:uiPriority w:val="99"/>
    <w:rsid w:val="009B039E"/>
  </w:style>
  <w:style w:type="paragraph" w:customStyle="1" w:styleId="DecHTitle">
    <w:name w:val="Dec_H_Title"/>
    <w:basedOn w:val="Normal"/>
    <w:uiPriority w:val="99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B039E"/>
    <w:rPr>
      <w:sz w:val="24"/>
    </w:rPr>
  </w:style>
  <w:style w:type="paragraph" w:customStyle="1" w:styleId="DecList">
    <w:name w:val="Dec_List"/>
    <w:basedOn w:val="Normal"/>
    <w:uiPriority w:val="99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B039E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87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D87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B039E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B039E"/>
    <w:pPr>
      <w:spacing w:after="120"/>
    </w:pPr>
  </w:style>
  <w:style w:type="paragraph" w:customStyle="1" w:styleId="SuSubject">
    <w:name w:val="Su_Subject"/>
    <w:basedOn w:val="SuSummary"/>
    <w:uiPriority w:val="99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B039E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B039E"/>
  </w:style>
  <w:style w:type="paragraph" w:customStyle="1" w:styleId="OpiQuotSub">
    <w:name w:val="Opi_Quot_Sub"/>
    <w:basedOn w:val="JuQuotSub"/>
    <w:uiPriority w:val="99"/>
    <w:rsid w:val="009B039E"/>
  </w:style>
  <w:style w:type="character" w:customStyle="1" w:styleId="JuSignedChar">
    <w:name w:val="Ju_Signed Char"/>
    <w:basedOn w:val="DefaultParagraphFont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uiPriority w:val="99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F73D18"/>
    <w:rPr>
      <w:rFonts w:cs="Times New Roman"/>
      <w:sz w:val="24"/>
      <w:lang w:val="en-GB" w:eastAsia="fr-FR" w:bidi="ar-SA"/>
    </w:rPr>
  </w:style>
  <w:style w:type="character" w:styleId="Hyperlink">
    <w:name w:val="Hyperlink"/>
    <w:basedOn w:val="DefaultParagraphFont"/>
    <w:uiPriority w:val="99"/>
    <w:rsid w:val="009D266C"/>
    <w:rPr>
      <w:rFonts w:cs="Times New Roman"/>
      <w:color w:val="0000FF"/>
      <w:u w:val="single"/>
    </w:rPr>
  </w:style>
  <w:style w:type="character" w:customStyle="1" w:styleId="JuNames">
    <w:name w:val="Ju_Names"/>
    <w:basedOn w:val="DefaultParagraphFont"/>
    <w:uiPriority w:val="99"/>
    <w:rsid w:val="009D266C"/>
    <w:rPr>
      <w:rFonts w:ascii="Times New Roman" w:hAnsi="Times New Roman" w:cs="Times New Roman"/>
      <w:smallCaps/>
      <w:noProof/>
      <w:sz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3A1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3A1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3A1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3A1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43A1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43A1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8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D8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D87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D87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D8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D87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D87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D87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87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uiPriority w:val="99"/>
    <w:rsid w:val="009B039E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9B039E"/>
  </w:style>
  <w:style w:type="paragraph" w:customStyle="1" w:styleId="OpiH1">
    <w:name w:val="Opi_H_1."/>
    <w:basedOn w:val="OpiHA"/>
    <w:next w:val="OpiPara"/>
    <w:uiPriority w:val="99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3D87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uiPriority w:val="99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uiPriority w:val="99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9B039E"/>
    <w:rPr>
      <w:b/>
    </w:rPr>
  </w:style>
  <w:style w:type="paragraph" w:customStyle="1" w:styleId="JuList">
    <w:name w:val="Ju_List"/>
    <w:basedOn w:val="JuPara"/>
    <w:uiPriority w:val="99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4843A1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B039E"/>
  </w:style>
  <w:style w:type="paragraph" w:customStyle="1" w:styleId="OpiTranslation">
    <w:name w:val="Opi_Translation"/>
    <w:basedOn w:val="OpiHHead"/>
    <w:next w:val="OpiPara"/>
    <w:uiPriority w:val="99"/>
    <w:rsid w:val="009B039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B039E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D87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B039E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3D87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B039E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B039E"/>
    <w:pPr>
      <w:ind w:left="346" w:firstLine="0"/>
    </w:pPr>
  </w:style>
  <w:style w:type="paragraph" w:customStyle="1" w:styleId="JuListi">
    <w:name w:val="Ju_List_i"/>
    <w:basedOn w:val="JuLista"/>
    <w:uiPriority w:val="99"/>
    <w:rsid w:val="009B039E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4843A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843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D87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B039E"/>
    <w:pPr>
      <w:jc w:val="right"/>
    </w:pPr>
  </w:style>
  <w:style w:type="paragraph" w:customStyle="1" w:styleId="JuHeader">
    <w:name w:val="Ju_Header"/>
    <w:basedOn w:val="Header"/>
    <w:uiPriority w:val="99"/>
    <w:rsid w:val="009B039E"/>
  </w:style>
  <w:style w:type="paragraph" w:customStyle="1" w:styleId="DecHTitle">
    <w:name w:val="Dec_H_Title"/>
    <w:basedOn w:val="Normal"/>
    <w:uiPriority w:val="99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B039E"/>
    <w:rPr>
      <w:sz w:val="24"/>
    </w:rPr>
  </w:style>
  <w:style w:type="paragraph" w:customStyle="1" w:styleId="DecList">
    <w:name w:val="Dec_List"/>
    <w:basedOn w:val="Normal"/>
    <w:uiPriority w:val="99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B039E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87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D87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B039E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B039E"/>
    <w:pPr>
      <w:spacing w:after="120"/>
    </w:pPr>
  </w:style>
  <w:style w:type="paragraph" w:customStyle="1" w:styleId="SuSubject">
    <w:name w:val="Su_Subject"/>
    <w:basedOn w:val="SuSummary"/>
    <w:uiPriority w:val="99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B039E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B039E"/>
  </w:style>
  <w:style w:type="paragraph" w:customStyle="1" w:styleId="OpiQuotSub">
    <w:name w:val="Opi_Quot_Sub"/>
    <w:basedOn w:val="JuQuotSub"/>
    <w:uiPriority w:val="99"/>
    <w:rsid w:val="009B039E"/>
  </w:style>
  <w:style w:type="character" w:customStyle="1" w:styleId="JuSignedChar">
    <w:name w:val="Ju_Signed Char"/>
    <w:basedOn w:val="DefaultParagraphFont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uiPriority w:val="99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F73D18"/>
    <w:rPr>
      <w:rFonts w:cs="Times New Roman"/>
      <w:sz w:val="24"/>
      <w:lang w:val="en-GB" w:eastAsia="fr-FR" w:bidi="ar-SA"/>
    </w:rPr>
  </w:style>
  <w:style w:type="character" w:styleId="Hyperlink">
    <w:name w:val="Hyperlink"/>
    <w:basedOn w:val="DefaultParagraphFont"/>
    <w:uiPriority w:val="99"/>
    <w:rsid w:val="009D266C"/>
    <w:rPr>
      <w:rFonts w:cs="Times New Roman"/>
      <w:color w:val="0000FF"/>
      <w:u w:val="single"/>
    </w:rPr>
  </w:style>
  <w:style w:type="character" w:customStyle="1" w:styleId="JuNames">
    <w:name w:val="Ju_Names"/>
    <w:basedOn w:val="DefaultParagraphFont"/>
    <w:uiPriority w:val="99"/>
    <w:rsid w:val="009D266C"/>
    <w:rPr>
      <w:rFonts w:ascii="Times New Roman" w:hAnsi="Times New Roman" w:cs="Times New Roman"/>
      <w:smallCaps/>
      <w:noProof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9C8B-8CBF-474A-9A9E-72D8911C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37297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2010-10-11T11:56:00Z</cp:lastPrinted>
  <dcterms:created xsi:type="dcterms:W3CDTF">2016-01-13T11:53:00Z</dcterms:created>
  <dcterms:modified xsi:type="dcterms:W3CDTF">2016-01-13T11:53:00Z</dcterms:modified>
  <cp:category>ECHR Template</cp:category>
</cp:coreProperties>
</file>