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65" w:rsidRPr="00C65E7C" w:rsidRDefault="00C65E7C" w:rsidP="00171565">
      <w:pPr>
        <w:tabs>
          <w:tab w:val="left" w:pos="5670"/>
        </w:tabs>
        <w:jc w:val="center"/>
        <w:rPr>
          <w:b/>
          <w:lang w:val="bg-BG"/>
        </w:rPr>
      </w:pPr>
      <w:r w:rsidRPr="00C65E7C">
        <w:rPr>
          <w:b/>
          <w:lang w:val="bg-BG"/>
        </w:rPr>
        <w:t>ЕВРОПЕЙСКИ СЪД ПО ПРАВАТА НА ЧОВЕКА</w:t>
      </w:r>
    </w:p>
    <w:p w:rsidR="00171565" w:rsidRPr="00C65E7C" w:rsidRDefault="00171565" w:rsidP="00171565">
      <w:pPr>
        <w:tabs>
          <w:tab w:val="left" w:pos="5670"/>
        </w:tabs>
        <w:jc w:val="center"/>
        <w:rPr>
          <w:b/>
          <w:lang w:val="bg-BG"/>
        </w:rPr>
      </w:pPr>
    </w:p>
    <w:p w:rsidR="00F71A6A" w:rsidRPr="00C65E7C" w:rsidRDefault="00F71A6A" w:rsidP="00171565">
      <w:pPr>
        <w:tabs>
          <w:tab w:val="left" w:pos="5670"/>
        </w:tabs>
        <w:jc w:val="center"/>
        <w:rPr>
          <w:b/>
          <w:lang w:val="bg-BG"/>
        </w:rPr>
      </w:pPr>
    </w:p>
    <w:p w:rsidR="00F71A6A" w:rsidRPr="00F406ED" w:rsidRDefault="00944446">
      <w:pPr>
        <w:jc w:val="center"/>
        <w:rPr>
          <w:lang w:val="bg-BG"/>
        </w:rPr>
      </w:pPr>
      <w:r w:rsidRPr="00F406ED">
        <w:rPr>
          <w:lang w:val="bg-BG"/>
        </w:rPr>
        <w:t>ПЕТО ОТДЕЛЕНИЕ</w:t>
      </w:r>
    </w:p>
    <w:p w:rsidR="00171565" w:rsidRPr="00F406ED" w:rsidRDefault="00171565">
      <w:pPr>
        <w:jc w:val="center"/>
        <w:rPr>
          <w:lang w:val="bg-BG"/>
        </w:rPr>
      </w:pPr>
    </w:p>
    <w:p w:rsidR="00171565" w:rsidRPr="00F406ED" w:rsidRDefault="00171565">
      <w:pPr>
        <w:jc w:val="center"/>
        <w:rPr>
          <w:lang w:val="bg-BG"/>
        </w:rPr>
      </w:pPr>
    </w:p>
    <w:p w:rsidR="00171565" w:rsidRPr="00F406ED" w:rsidRDefault="00171565" w:rsidP="00C65E7C">
      <w:pPr>
        <w:rPr>
          <w:lang w:val="bg-BG"/>
        </w:rPr>
      </w:pPr>
    </w:p>
    <w:p w:rsidR="00F71A6A" w:rsidRPr="00F406ED" w:rsidRDefault="00E11A3E">
      <w:pPr>
        <w:jc w:val="center"/>
        <w:rPr>
          <w:b/>
          <w:lang w:val="bg-BG"/>
        </w:rPr>
      </w:pPr>
      <w:r w:rsidRPr="00F406ED">
        <w:rPr>
          <w:b/>
          <w:lang w:val="bg-BG"/>
        </w:rPr>
        <w:t xml:space="preserve">ДЕЛО </w:t>
      </w:r>
      <w:r w:rsidR="00C65E7C">
        <w:rPr>
          <w:b/>
          <w:lang w:val="bg-BG"/>
        </w:rPr>
        <w:t>„</w:t>
      </w:r>
      <w:r w:rsidRPr="00F406ED">
        <w:rPr>
          <w:b/>
          <w:lang w:val="bg-BG"/>
        </w:rPr>
        <w:t>КАРАНДЖА срещу БЪЛГАРИЯ</w:t>
      </w:r>
      <w:r w:rsidR="00C65E7C">
        <w:rPr>
          <w:b/>
          <w:lang w:val="bg-BG"/>
        </w:rPr>
        <w:t>“</w:t>
      </w:r>
    </w:p>
    <w:p w:rsidR="00F71A6A" w:rsidRPr="00F406ED" w:rsidRDefault="00F71A6A">
      <w:pPr>
        <w:jc w:val="center"/>
        <w:rPr>
          <w:lang w:val="bg-BG"/>
        </w:rPr>
      </w:pPr>
    </w:p>
    <w:p w:rsidR="00F71A6A" w:rsidRPr="00F406ED" w:rsidRDefault="00F71A6A">
      <w:pPr>
        <w:jc w:val="center"/>
        <w:rPr>
          <w:i/>
          <w:lang w:val="bg-BG"/>
        </w:rPr>
      </w:pPr>
      <w:r w:rsidRPr="00F406ED">
        <w:rPr>
          <w:i/>
          <w:lang w:val="bg-BG"/>
        </w:rPr>
        <w:t>(</w:t>
      </w:r>
      <w:r w:rsidR="00E11A3E" w:rsidRPr="00F406ED">
        <w:rPr>
          <w:i/>
          <w:lang w:val="bg-BG"/>
        </w:rPr>
        <w:t xml:space="preserve">Жалба № </w:t>
      </w:r>
      <w:r w:rsidR="001E2DDF" w:rsidRPr="00F406ED">
        <w:rPr>
          <w:i/>
          <w:lang w:val="bg-BG"/>
        </w:rPr>
        <w:t>69180/01</w:t>
      </w:r>
      <w:r w:rsidRPr="00F406ED">
        <w:rPr>
          <w:i/>
          <w:lang w:val="bg-BG"/>
        </w:rPr>
        <w:t>)</w:t>
      </w: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C65E7C">
      <w:pPr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E11A3E" w:rsidP="00171565">
      <w:pPr>
        <w:jc w:val="center"/>
        <w:rPr>
          <w:lang w:val="bg-BG"/>
        </w:rPr>
      </w:pPr>
      <w:r w:rsidRPr="00F406ED">
        <w:rPr>
          <w:lang w:val="bg-BG"/>
        </w:rPr>
        <w:t>РЕШЕНИЕ</w:t>
      </w: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E11A3E" w:rsidP="00171565">
      <w:pPr>
        <w:jc w:val="center"/>
        <w:rPr>
          <w:lang w:val="bg-BG"/>
        </w:rPr>
      </w:pPr>
      <w:r w:rsidRPr="00F406ED">
        <w:rPr>
          <w:lang w:val="bg-BG"/>
        </w:rPr>
        <w:t>СТРАСБУРГ</w:t>
      </w:r>
    </w:p>
    <w:p w:rsidR="00171565" w:rsidRPr="00F406ED" w:rsidRDefault="00171565" w:rsidP="00171565">
      <w:pPr>
        <w:jc w:val="center"/>
        <w:rPr>
          <w:lang w:val="bg-BG"/>
        </w:rPr>
      </w:pPr>
    </w:p>
    <w:p w:rsidR="00171565" w:rsidRPr="00F406ED" w:rsidRDefault="00171565" w:rsidP="00171565">
      <w:pPr>
        <w:jc w:val="center"/>
        <w:rPr>
          <w:lang w:val="bg-BG"/>
        </w:rPr>
      </w:pPr>
      <w:r w:rsidRPr="00F406ED">
        <w:rPr>
          <w:lang w:val="bg-BG"/>
        </w:rPr>
        <w:t xml:space="preserve">7 </w:t>
      </w:r>
      <w:r w:rsidR="00E11A3E" w:rsidRPr="00F406ED">
        <w:rPr>
          <w:lang w:val="bg-BG"/>
        </w:rPr>
        <w:t>октомври</w:t>
      </w:r>
      <w:r w:rsidRPr="00F406ED">
        <w:rPr>
          <w:lang w:val="bg-BG"/>
        </w:rPr>
        <w:t xml:space="preserve"> 2010</w:t>
      </w:r>
      <w:r w:rsidR="00F406ED" w:rsidRPr="00F406ED">
        <w:rPr>
          <w:lang w:val="bg-BG"/>
        </w:rPr>
        <w:t> г.</w:t>
      </w:r>
    </w:p>
    <w:p w:rsidR="00171565" w:rsidRPr="00F406ED" w:rsidRDefault="00171565" w:rsidP="00171565">
      <w:pPr>
        <w:jc w:val="center"/>
        <w:rPr>
          <w:lang w:val="bg-BG"/>
        </w:rPr>
      </w:pPr>
    </w:p>
    <w:p w:rsidR="00C71647" w:rsidRPr="00F406ED" w:rsidRDefault="00E11A3E" w:rsidP="00C71647">
      <w:pPr>
        <w:jc w:val="center"/>
        <w:rPr>
          <w:b/>
          <w:color w:val="FF0000"/>
          <w:szCs w:val="24"/>
          <w:u w:val="single"/>
          <w:lang w:val="bg-BG"/>
        </w:rPr>
      </w:pPr>
      <w:bookmarkStart w:id="0" w:name="OLE_LINK1"/>
      <w:bookmarkStart w:id="1" w:name="OLE_LINK2"/>
      <w:bookmarkStart w:id="2" w:name="OLE_LINK14"/>
      <w:bookmarkStart w:id="3" w:name="OLE_LINK15"/>
      <w:bookmarkStart w:id="4" w:name="OLE_LINK34"/>
      <w:bookmarkStart w:id="5" w:name="OLE_LINK36"/>
      <w:r w:rsidRPr="00F406ED">
        <w:rPr>
          <w:b/>
          <w:color w:val="FF0000"/>
          <w:szCs w:val="24"/>
          <w:u w:val="single"/>
          <w:lang w:val="bg-BG"/>
        </w:rPr>
        <w:t>ОКОНЧАТЕЛНО</w:t>
      </w:r>
    </w:p>
    <w:p w:rsidR="00C71647" w:rsidRPr="00F406ED" w:rsidRDefault="00C71647" w:rsidP="00C71647">
      <w:pPr>
        <w:jc w:val="center"/>
        <w:rPr>
          <w:b/>
          <w:color w:val="FF0000"/>
          <w:szCs w:val="24"/>
          <w:u w:val="single"/>
          <w:lang w:val="bg-BG"/>
        </w:rPr>
      </w:pPr>
    </w:p>
    <w:p w:rsidR="00C71647" w:rsidRPr="00F406ED" w:rsidRDefault="00C71647" w:rsidP="00C71647">
      <w:pPr>
        <w:jc w:val="center"/>
        <w:rPr>
          <w:i/>
          <w:color w:val="FF0000"/>
          <w:szCs w:val="24"/>
          <w:lang w:val="bg-BG"/>
        </w:rPr>
      </w:pPr>
      <w:r w:rsidRPr="00F406ED">
        <w:rPr>
          <w:i/>
          <w:color w:val="FF0000"/>
          <w:szCs w:val="24"/>
          <w:lang w:val="bg-BG"/>
        </w:rPr>
        <w:t>07/01/2011</w:t>
      </w:r>
    </w:p>
    <w:p w:rsidR="00C71647" w:rsidRPr="00F406ED" w:rsidRDefault="00C71647" w:rsidP="00C71647">
      <w:pPr>
        <w:jc w:val="center"/>
        <w:rPr>
          <w:i/>
          <w:color w:val="FF0000"/>
          <w:szCs w:val="24"/>
          <w:lang w:val="bg-BG"/>
        </w:rPr>
      </w:pPr>
    </w:p>
    <w:p w:rsidR="00C71647" w:rsidRPr="00F406ED" w:rsidRDefault="00E11A3E" w:rsidP="00C71647">
      <w:pPr>
        <w:rPr>
          <w:i/>
          <w:color w:val="000000"/>
          <w:szCs w:val="24"/>
          <w:lang w:val="bg-BG"/>
        </w:rPr>
      </w:pPr>
      <w:r w:rsidRPr="00F406ED">
        <w:rPr>
          <w:i/>
          <w:color w:val="000000"/>
          <w:szCs w:val="24"/>
          <w:lang w:val="bg-BG"/>
        </w:rPr>
        <w:t>Решението става окончателно при обстоятелствата по член 44, § 2 на Конвенцията. Може да бъде предмет на редакторска преработка.</w:t>
      </w:r>
    </w:p>
    <w:bookmarkEnd w:id="0"/>
    <w:bookmarkEnd w:id="1"/>
    <w:bookmarkEnd w:id="2"/>
    <w:bookmarkEnd w:id="3"/>
    <w:bookmarkEnd w:id="4"/>
    <w:bookmarkEnd w:id="5"/>
    <w:p w:rsidR="00171565" w:rsidRPr="00F406ED" w:rsidRDefault="00171565" w:rsidP="00B921A8">
      <w:pPr>
        <w:pStyle w:val="JuCase"/>
        <w:rPr>
          <w:lang w:val="bg-BG"/>
        </w:rPr>
        <w:sectPr w:rsidR="00171565" w:rsidRPr="00F406ED" w:rsidSect="00171565">
          <w:headerReference w:type="default" r:id="rId9"/>
          <w:footerReference w:type="default" r:id="rId10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254"/>
        </w:sectPr>
      </w:pPr>
    </w:p>
    <w:p w:rsidR="00F71A6A" w:rsidRPr="00F406ED" w:rsidRDefault="00E11A3E" w:rsidP="00995C31">
      <w:pPr>
        <w:pStyle w:val="JuCase"/>
        <w:outlineLvl w:val="0"/>
        <w:rPr>
          <w:lang w:val="bg-BG"/>
        </w:rPr>
      </w:pPr>
      <w:r w:rsidRPr="00F406ED">
        <w:rPr>
          <w:lang w:val="bg-BG"/>
        </w:rPr>
        <w:t xml:space="preserve">По делото </w:t>
      </w:r>
      <w:r w:rsidRPr="00F406ED">
        <w:rPr>
          <w:b w:val="0"/>
          <w:lang w:val="bg-BG"/>
        </w:rPr>
        <w:t>„Каранджа срещу България</w:t>
      </w:r>
      <w:r w:rsidR="00F406ED" w:rsidRPr="00F406ED">
        <w:rPr>
          <w:b w:val="0"/>
          <w:lang w:val="bg-BG"/>
        </w:rPr>
        <w:t>“</w:t>
      </w:r>
      <w:r w:rsidRPr="00F406ED">
        <w:rPr>
          <w:b w:val="0"/>
          <w:lang w:val="bg-BG"/>
        </w:rPr>
        <w:t>,</w:t>
      </w:r>
    </w:p>
    <w:p w:rsidR="00E11A3E" w:rsidRPr="00F406ED" w:rsidRDefault="00E11A3E" w:rsidP="00E11A3E">
      <w:pPr>
        <w:ind w:firstLine="284"/>
        <w:rPr>
          <w:lang w:val="bg-BG"/>
        </w:rPr>
      </w:pPr>
      <w:r w:rsidRPr="00F406ED">
        <w:rPr>
          <w:lang w:val="bg-BG"/>
        </w:rPr>
        <w:t>Европейският съд по правата на човека (Пето отделение), на заседание в състав:</w:t>
      </w:r>
    </w:p>
    <w:p w:rsidR="002B4892" w:rsidRPr="00F406ED" w:rsidRDefault="00E11A3E" w:rsidP="00E11A3E">
      <w:pPr>
        <w:pStyle w:val="JuJudges"/>
        <w:rPr>
          <w:rStyle w:val="JuJudgesChar"/>
          <w:lang w:val="bg-BG"/>
        </w:rPr>
      </w:pPr>
      <w:r w:rsidRPr="00F406ED">
        <w:rPr>
          <w:rStyle w:val="JuJudgesChar"/>
          <w:lang w:val="bg-BG"/>
        </w:rPr>
        <w:tab/>
      </w:r>
      <w:r w:rsidR="00462ACA" w:rsidRPr="00F406ED">
        <w:rPr>
          <w:lang w:val="bg-BG"/>
        </w:rPr>
        <w:t>Пеер Лоренцен</w:t>
      </w:r>
      <w:r w:rsidR="00462ACA" w:rsidRPr="00F406ED">
        <w:rPr>
          <w:rStyle w:val="JuJudgesChar"/>
          <w:lang w:val="bg-BG"/>
        </w:rPr>
        <w:t>,</w:t>
      </w:r>
      <w:r w:rsidR="00462ACA">
        <w:rPr>
          <w:rStyle w:val="JuJudgesChar"/>
          <w:lang w:val="bg-BG"/>
        </w:rPr>
        <w:t xml:space="preserve"> </w:t>
      </w:r>
      <w:r w:rsidR="00462ACA" w:rsidRPr="00F406ED">
        <w:rPr>
          <w:rStyle w:val="JuJudgesChar"/>
          <w:i/>
          <w:lang w:val="bg-BG"/>
        </w:rPr>
        <w:t>Председател</w:t>
      </w:r>
      <w:r w:rsidR="00462ACA" w:rsidRPr="00F406ED">
        <w:rPr>
          <w:rStyle w:val="JuJudgesChar"/>
          <w:lang w:val="bg-BG"/>
        </w:rPr>
        <w:t>,</w:t>
      </w:r>
      <w:r w:rsidR="00462ACA" w:rsidRPr="00F406ED">
        <w:rPr>
          <w:rStyle w:val="JuJudgesChar"/>
          <w:lang w:val="bg-BG"/>
        </w:rPr>
        <w:br/>
      </w:r>
      <w:r w:rsidR="00462ACA" w:rsidRPr="00F406ED">
        <w:rPr>
          <w:rStyle w:val="JuJudgesChar"/>
          <w:lang w:val="bg-BG"/>
        </w:rPr>
        <w:tab/>
        <w:t>Ренате Йегер,</w:t>
      </w:r>
      <w:r w:rsidR="00462ACA" w:rsidRPr="00F406ED">
        <w:rPr>
          <w:rStyle w:val="JuJudgesChar"/>
          <w:i/>
          <w:lang w:val="bg-BG"/>
        </w:rPr>
        <w:br/>
      </w:r>
      <w:r w:rsidR="00462ACA" w:rsidRPr="00F406ED">
        <w:rPr>
          <w:rStyle w:val="JuJudgesChar"/>
          <w:lang w:val="bg-BG"/>
        </w:rPr>
        <w:tab/>
        <w:t>Райт Марусте,</w:t>
      </w:r>
      <w:r w:rsidR="00462ACA" w:rsidRPr="00F406ED">
        <w:rPr>
          <w:rStyle w:val="JuJudgesChar"/>
          <w:i/>
          <w:lang w:val="bg-BG"/>
        </w:rPr>
        <w:br/>
      </w:r>
      <w:r w:rsidR="00462ACA" w:rsidRPr="00F406ED">
        <w:rPr>
          <w:rStyle w:val="JuJudgesChar"/>
          <w:lang w:val="bg-BG"/>
        </w:rPr>
        <w:tab/>
        <w:t>Марк Вилиджър</w:t>
      </w:r>
      <w:r w:rsidR="00462ACA" w:rsidRPr="00F406ED">
        <w:rPr>
          <w:rStyle w:val="JuJudgesChar"/>
          <w:i/>
          <w:lang w:val="bg-BG"/>
        </w:rPr>
        <w:br/>
      </w:r>
      <w:r w:rsidR="002B4892" w:rsidRPr="00F406ED">
        <w:rPr>
          <w:rStyle w:val="JuJudgesChar"/>
          <w:lang w:val="bg-BG"/>
        </w:rPr>
        <w:tab/>
      </w:r>
      <w:r w:rsidRPr="00F406ED">
        <w:rPr>
          <w:rStyle w:val="JuJudgesChar"/>
          <w:lang w:val="bg-BG"/>
        </w:rPr>
        <w:t>Изабел Беро-Лефевр,</w:t>
      </w:r>
      <w:r w:rsidRPr="00F406ED">
        <w:rPr>
          <w:rStyle w:val="JuJudgesChar"/>
          <w:i/>
          <w:lang w:val="bg-BG"/>
        </w:rPr>
        <w:br/>
      </w:r>
      <w:r w:rsidRPr="00F406ED">
        <w:rPr>
          <w:rStyle w:val="JuJudgesChar"/>
          <w:lang w:val="bg-BG"/>
        </w:rPr>
        <w:tab/>
      </w:r>
      <w:r w:rsidRPr="00F406ED">
        <w:rPr>
          <w:lang w:val="bg-BG"/>
        </w:rPr>
        <w:t>Миряна Лазарова Трайковска</w:t>
      </w:r>
      <w:r w:rsidRPr="00F406ED">
        <w:rPr>
          <w:rStyle w:val="JuJudgesChar"/>
          <w:lang w:val="bg-BG"/>
        </w:rPr>
        <w:t>,</w:t>
      </w:r>
    </w:p>
    <w:p w:rsidR="00E11A3E" w:rsidRPr="00F406ED" w:rsidRDefault="00E11A3E" w:rsidP="00E11A3E">
      <w:pPr>
        <w:pStyle w:val="JuJudges"/>
        <w:rPr>
          <w:lang w:val="bg-BG"/>
        </w:rPr>
      </w:pPr>
      <w:r w:rsidRPr="00F406ED">
        <w:rPr>
          <w:rStyle w:val="JuJudgesChar"/>
          <w:lang w:val="bg-BG"/>
        </w:rPr>
        <w:tab/>
      </w:r>
      <w:r w:rsidR="002B4892" w:rsidRPr="00F406ED">
        <w:rPr>
          <w:rStyle w:val="JuJudgesChar"/>
          <w:lang w:val="bg-BG"/>
        </w:rPr>
        <w:t>Здравка Калайджиева</w:t>
      </w:r>
      <w:r w:rsidRPr="00F406ED">
        <w:rPr>
          <w:rStyle w:val="JuJudgesChar"/>
          <w:lang w:val="bg-BG"/>
        </w:rPr>
        <w:t>,</w:t>
      </w:r>
      <w:r w:rsidRPr="00F406ED">
        <w:rPr>
          <w:rStyle w:val="JuJudgesChar"/>
          <w:i/>
          <w:lang w:val="bg-BG"/>
        </w:rPr>
        <w:t xml:space="preserve"> съди</w:t>
      </w:r>
      <w:r w:rsidR="002B4892" w:rsidRPr="00F406ED">
        <w:rPr>
          <w:rStyle w:val="JuJudgesChar"/>
          <w:i/>
          <w:lang w:val="bg-BG"/>
        </w:rPr>
        <w:t>и</w:t>
      </w:r>
      <w:r w:rsidRPr="00F406ED">
        <w:rPr>
          <w:rStyle w:val="JuJudgesChar"/>
          <w:lang w:val="bg-BG"/>
        </w:rPr>
        <w:t>,</w:t>
      </w:r>
      <w:r w:rsidRPr="00F406ED">
        <w:rPr>
          <w:rStyle w:val="JuJudgesChar"/>
          <w:lang w:val="bg-BG"/>
        </w:rPr>
        <w:br/>
      </w:r>
      <w:r w:rsidR="00C65E7C">
        <w:rPr>
          <w:lang w:val="bg-BG"/>
        </w:rPr>
        <w:t xml:space="preserve">         </w:t>
      </w:r>
      <w:bookmarkStart w:id="6" w:name="_GoBack"/>
      <w:bookmarkEnd w:id="6"/>
      <w:r w:rsidRPr="00F406ED">
        <w:rPr>
          <w:lang w:val="bg-BG"/>
        </w:rPr>
        <w:t xml:space="preserve">и </w:t>
      </w:r>
      <w:proofErr w:type="spellStart"/>
      <w:r w:rsidRPr="00F406ED">
        <w:rPr>
          <w:lang w:val="bg-BG"/>
        </w:rPr>
        <w:t>Клаудия</w:t>
      </w:r>
      <w:proofErr w:type="spellEnd"/>
      <w:r w:rsidRPr="00F406ED">
        <w:rPr>
          <w:lang w:val="bg-BG"/>
        </w:rPr>
        <w:t xml:space="preserve"> </w:t>
      </w:r>
      <w:proofErr w:type="spellStart"/>
      <w:r w:rsidRPr="00F406ED">
        <w:rPr>
          <w:lang w:val="bg-BG"/>
        </w:rPr>
        <w:t>Вестердийк</w:t>
      </w:r>
      <w:proofErr w:type="spellEnd"/>
      <w:r w:rsidRPr="00F406ED">
        <w:rPr>
          <w:rStyle w:val="JuSignedChar"/>
          <w:lang w:val="bg-BG"/>
        </w:rPr>
        <w:t xml:space="preserve">, </w:t>
      </w:r>
      <w:r w:rsidRPr="00F406ED">
        <w:rPr>
          <w:i/>
          <w:lang w:val="bg-BG"/>
        </w:rPr>
        <w:t>Секретар на отделението</w:t>
      </w:r>
      <w:r w:rsidRPr="00F406ED">
        <w:rPr>
          <w:lang w:val="bg-BG"/>
        </w:rPr>
        <w:t>,</w:t>
      </w:r>
    </w:p>
    <w:p w:rsidR="00E11A3E" w:rsidRPr="00F406ED" w:rsidRDefault="00E11A3E" w:rsidP="00E11A3E">
      <w:pPr>
        <w:pStyle w:val="JuPara"/>
        <w:rPr>
          <w:lang w:val="bg-BG"/>
        </w:rPr>
      </w:pPr>
      <w:r w:rsidRPr="00F406ED">
        <w:rPr>
          <w:lang w:val="bg-BG"/>
        </w:rPr>
        <w:t xml:space="preserve">След като заседава при закрити врата на 14 </w:t>
      </w:r>
      <w:r w:rsidR="002B4892" w:rsidRPr="00F406ED">
        <w:rPr>
          <w:lang w:val="bg-BG"/>
        </w:rPr>
        <w:t>септ</w:t>
      </w:r>
      <w:r w:rsidRPr="00F406ED">
        <w:rPr>
          <w:lang w:val="bg-BG"/>
        </w:rPr>
        <w:t>ември 2010</w:t>
      </w:r>
      <w:r w:rsidR="00F406ED" w:rsidRPr="00F406ED">
        <w:rPr>
          <w:lang w:val="bg-BG"/>
        </w:rPr>
        <w:t> г.</w:t>
      </w:r>
      <w:r w:rsidRPr="00F406ED">
        <w:rPr>
          <w:lang w:val="bg-BG"/>
        </w:rPr>
        <w:t>,</w:t>
      </w:r>
    </w:p>
    <w:p w:rsidR="00E11A3E" w:rsidRPr="00F406ED" w:rsidRDefault="00E11A3E" w:rsidP="00E11A3E">
      <w:pPr>
        <w:pStyle w:val="JuPara"/>
        <w:rPr>
          <w:lang w:val="bg-BG"/>
        </w:rPr>
      </w:pPr>
      <w:r w:rsidRPr="00F406ED">
        <w:rPr>
          <w:lang w:val="bg-BG"/>
        </w:rPr>
        <w:t>постанови следното решение, прието на указаната по-горе дата:</w:t>
      </w:r>
    </w:p>
    <w:p w:rsidR="002B4892" w:rsidRPr="00F406ED" w:rsidRDefault="002B4892" w:rsidP="002B4892">
      <w:pPr>
        <w:pStyle w:val="JuHHead"/>
        <w:rPr>
          <w:lang w:val="bg-BG"/>
        </w:rPr>
      </w:pPr>
      <w:r w:rsidRPr="00F406ED">
        <w:rPr>
          <w:bCs/>
          <w:lang w:val="bg-BG"/>
        </w:rPr>
        <w:t>ПРОЦЕДУРА</w:t>
      </w:r>
    </w:p>
    <w:p w:rsidR="00F71A6A" w:rsidRPr="00F406ED" w:rsidRDefault="00FB1D5F" w:rsidP="00AE2F4F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</w:t>
      </w:r>
      <w:r w:rsidRPr="00F406ED">
        <w:rPr>
          <w:lang w:val="bg-BG"/>
        </w:rPr>
        <w:fldChar w:fldCharType="end"/>
      </w:r>
      <w:r w:rsidR="00F71A6A" w:rsidRPr="00F406ED">
        <w:rPr>
          <w:lang w:val="bg-BG"/>
        </w:rPr>
        <w:t>.  </w:t>
      </w:r>
      <w:r w:rsidR="002B4892" w:rsidRPr="00F406ED">
        <w:rPr>
          <w:lang w:val="bg-BG"/>
        </w:rPr>
        <w:t>Делото е заведено по жалба (№ </w:t>
      </w:r>
      <w:r w:rsidR="001E2DDF" w:rsidRPr="00F406ED">
        <w:rPr>
          <w:lang w:val="bg-BG"/>
        </w:rPr>
        <w:t>69180/01)</w:t>
      </w:r>
      <w:r w:rsidR="00F406ED" w:rsidRPr="00F406ED">
        <w:rPr>
          <w:lang w:val="bg-BG"/>
        </w:rPr>
        <w:t xml:space="preserve"> </w:t>
      </w:r>
      <w:r w:rsidR="002B4892" w:rsidRPr="00F406ED">
        <w:rPr>
          <w:lang w:val="bg-BG"/>
        </w:rPr>
        <w:t xml:space="preserve">срещу Република България, подадена в Съда на основание </w:t>
      </w:r>
      <w:r w:rsidR="00F406ED" w:rsidRPr="00F406ED">
        <w:rPr>
          <w:lang w:val="bg-BG"/>
        </w:rPr>
        <w:t xml:space="preserve">на </w:t>
      </w:r>
      <w:r w:rsidR="002B4892" w:rsidRPr="00F406ED">
        <w:rPr>
          <w:lang w:val="bg-BG"/>
        </w:rPr>
        <w:t>член 34 от Конвенцията за защита на правата на човека и основните свободи („Конвенцията</w:t>
      </w:r>
      <w:r w:rsidR="00F406ED" w:rsidRPr="00F406ED">
        <w:rPr>
          <w:lang w:val="bg-BG"/>
        </w:rPr>
        <w:t>“</w:t>
      </w:r>
      <w:r w:rsidR="002B4892" w:rsidRPr="00F406ED">
        <w:rPr>
          <w:lang w:val="bg-BG"/>
        </w:rPr>
        <w:t>) от българската гражданка</w:t>
      </w:r>
      <w:r w:rsidR="001E2DDF" w:rsidRPr="00F406ED">
        <w:rPr>
          <w:lang w:val="bg-BG"/>
        </w:rPr>
        <w:t xml:space="preserve">, </w:t>
      </w:r>
      <w:r w:rsidR="007B3D58" w:rsidRPr="00F406ED">
        <w:rPr>
          <w:lang w:val="bg-BG"/>
        </w:rPr>
        <w:t>г-ж</w:t>
      </w:r>
      <w:r w:rsidR="002B4892" w:rsidRPr="00F406ED">
        <w:rPr>
          <w:lang w:val="bg-BG"/>
        </w:rPr>
        <w:t xml:space="preserve">а Надежда Младенова Каранджа </w:t>
      </w:r>
      <w:r w:rsidR="001E2DDF" w:rsidRPr="00F406ED">
        <w:rPr>
          <w:lang w:val="bg-BG"/>
        </w:rPr>
        <w:t>(</w:t>
      </w:r>
      <w:r w:rsidR="00F406ED" w:rsidRPr="00F406ED">
        <w:rPr>
          <w:lang w:val="bg-BG"/>
        </w:rPr>
        <w:t>„</w:t>
      </w:r>
      <w:r w:rsidR="002B4892" w:rsidRPr="00F406ED">
        <w:rPr>
          <w:lang w:val="bg-BG"/>
        </w:rPr>
        <w:t>жалбоподателката</w:t>
      </w:r>
      <w:r w:rsidR="001524D4">
        <w:rPr>
          <w:lang w:val="bg-BG"/>
        </w:rPr>
        <w:t>“</w:t>
      </w:r>
      <w:r w:rsidR="001E2DDF" w:rsidRPr="00F406ED">
        <w:rPr>
          <w:lang w:val="bg-BG"/>
        </w:rPr>
        <w:t xml:space="preserve">), </w:t>
      </w:r>
      <w:r w:rsidR="002B4892" w:rsidRPr="00F406ED">
        <w:rPr>
          <w:lang w:val="bg-BG"/>
        </w:rPr>
        <w:t>на</w:t>
      </w:r>
      <w:r w:rsidR="001E2DDF" w:rsidRPr="00F406ED">
        <w:rPr>
          <w:lang w:val="bg-BG"/>
        </w:rPr>
        <w:t xml:space="preserve"> 11 </w:t>
      </w:r>
      <w:r w:rsidR="002B4892" w:rsidRPr="00F406ED">
        <w:rPr>
          <w:lang w:val="bg-BG"/>
        </w:rPr>
        <w:t>април</w:t>
      </w:r>
      <w:r w:rsidR="001E2DDF" w:rsidRPr="00F406ED">
        <w:rPr>
          <w:lang w:val="bg-BG"/>
        </w:rPr>
        <w:t xml:space="preserve"> 2001</w:t>
      </w:r>
      <w:r w:rsidR="00F406ED" w:rsidRPr="00F406ED">
        <w:rPr>
          <w:lang w:val="bg-BG"/>
        </w:rPr>
        <w:t> г.</w:t>
      </w:r>
    </w:p>
    <w:p w:rsidR="001E2DDF" w:rsidRPr="00F406ED" w:rsidRDefault="00FB1D5F" w:rsidP="00B8119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</w:t>
      </w:r>
      <w:r w:rsidRPr="00F406ED">
        <w:rPr>
          <w:lang w:val="bg-BG"/>
        </w:rPr>
        <w:fldChar w:fldCharType="end"/>
      </w:r>
      <w:r w:rsidR="00F71A6A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2B4892" w:rsidRPr="00F406ED">
        <w:rPr>
          <w:lang w:val="bg-BG"/>
        </w:rPr>
        <w:t>е представлявана от г-н Й. Грозев</w:t>
      </w:r>
      <w:r w:rsidR="001E2DDF" w:rsidRPr="00F406ED">
        <w:rPr>
          <w:lang w:val="bg-BG"/>
        </w:rPr>
        <w:t xml:space="preserve">, </w:t>
      </w:r>
      <w:r w:rsidR="002B4892" w:rsidRPr="00F406ED">
        <w:rPr>
          <w:lang w:val="bg-BG"/>
        </w:rPr>
        <w:t>адвокат</w:t>
      </w:r>
      <w:r w:rsidR="00F406ED" w:rsidRPr="00F406ED">
        <w:rPr>
          <w:lang w:val="bg-BG"/>
        </w:rPr>
        <w:t>, практикуващ</w:t>
      </w:r>
      <w:r w:rsidR="002B4892" w:rsidRPr="00F406ED">
        <w:rPr>
          <w:lang w:val="bg-BG"/>
        </w:rPr>
        <w:t xml:space="preserve"> в София</w:t>
      </w:r>
      <w:r w:rsidR="001E2DDF" w:rsidRPr="00F406ED">
        <w:rPr>
          <w:lang w:val="bg-BG"/>
        </w:rPr>
        <w:t xml:space="preserve">. </w:t>
      </w:r>
      <w:r w:rsidR="002B4892" w:rsidRPr="00F406ED">
        <w:rPr>
          <w:lang w:val="bg-BG"/>
        </w:rPr>
        <w:t>Българското правителство („Правителството</w:t>
      </w:r>
      <w:r w:rsidR="00F406ED" w:rsidRPr="00F406ED">
        <w:rPr>
          <w:lang w:val="bg-BG"/>
        </w:rPr>
        <w:t>“</w:t>
      </w:r>
      <w:r w:rsidR="002B4892" w:rsidRPr="00F406ED">
        <w:rPr>
          <w:lang w:val="bg-BG"/>
        </w:rPr>
        <w:t>) е представлявано от неговия Агент</w:t>
      </w:r>
      <w:r w:rsidR="00F71A6A" w:rsidRPr="00F406ED">
        <w:rPr>
          <w:lang w:val="bg-BG"/>
        </w:rPr>
        <w:t xml:space="preserve">, </w:t>
      </w:r>
      <w:r w:rsidR="002B4892" w:rsidRPr="00F406ED">
        <w:rPr>
          <w:lang w:val="bg-BG"/>
        </w:rPr>
        <w:t>г-жа М. Коцева</w:t>
      </w:r>
      <w:r w:rsidR="00F406ED" w:rsidRPr="00F406ED">
        <w:rPr>
          <w:lang w:val="bg-BG"/>
        </w:rPr>
        <w:t>,</w:t>
      </w:r>
      <w:r w:rsidR="002B4892" w:rsidRPr="00F406ED">
        <w:rPr>
          <w:lang w:val="bg-BG"/>
        </w:rPr>
        <w:t xml:space="preserve"> от Министерство на правосъдието</w:t>
      </w:r>
      <w:r w:rsidR="00F71A6A" w:rsidRPr="00F406ED">
        <w:rPr>
          <w:lang w:val="bg-BG"/>
        </w:rPr>
        <w:t>.</w:t>
      </w:r>
    </w:p>
    <w:p w:rsidR="003A140A" w:rsidRPr="00F406ED" w:rsidRDefault="00FB1D5F" w:rsidP="00B8119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</w:t>
      </w:r>
      <w:r w:rsidRPr="00F406ED">
        <w:rPr>
          <w:lang w:val="bg-BG"/>
        </w:rPr>
        <w:fldChar w:fldCharType="end"/>
      </w:r>
      <w:r w:rsidR="001E2DDF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2B4892" w:rsidRPr="00F406ED">
        <w:rPr>
          <w:lang w:val="bg-BG"/>
        </w:rPr>
        <w:t>твърди, че синът й е бил убит от полицията в резултат от несъразмерна употреба на сила</w:t>
      </w:r>
      <w:r w:rsidR="003A140A" w:rsidRPr="00F406ED">
        <w:rPr>
          <w:lang w:val="bg-BG"/>
        </w:rPr>
        <w:t xml:space="preserve">, </w:t>
      </w:r>
      <w:r w:rsidR="002B4892" w:rsidRPr="00F406ED">
        <w:rPr>
          <w:lang w:val="bg-BG"/>
        </w:rPr>
        <w:t>че последвалото разследване не е било ефективно и че тя не е имала ефективни правни средства за защита в тази връзка.</w:t>
      </w:r>
    </w:p>
    <w:p w:rsidR="00F71A6A" w:rsidRPr="00F406ED" w:rsidRDefault="00FB1D5F" w:rsidP="00D33169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</w:t>
      </w:r>
      <w:r w:rsidRPr="00F406ED">
        <w:rPr>
          <w:lang w:val="bg-BG"/>
        </w:rPr>
        <w:fldChar w:fldCharType="end"/>
      </w:r>
      <w:r w:rsidR="00F71A6A" w:rsidRPr="00F406ED">
        <w:rPr>
          <w:lang w:val="bg-BG"/>
        </w:rPr>
        <w:t>.</w:t>
      </w:r>
      <w:r w:rsidR="002B4892" w:rsidRPr="00F406ED">
        <w:rPr>
          <w:lang w:val="bg-BG"/>
        </w:rPr>
        <w:t xml:space="preserve">  На </w:t>
      </w:r>
      <w:r w:rsidR="003A140A" w:rsidRPr="00F406ED">
        <w:rPr>
          <w:lang w:val="bg-BG"/>
        </w:rPr>
        <w:t xml:space="preserve">9 </w:t>
      </w:r>
      <w:r w:rsidR="002B4892" w:rsidRPr="00F406ED">
        <w:rPr>
          <w:lang w:val="bg-BG"/>
        </w:rPr>
        <w:t>септември</w:t>
      </w:r>
      <w:r w:rsidR="003A140A" w:rsidRPr="00F406ED">
        <w:rPr>
          <w:lang w:val="bg-BG"/>
        </w:rPr>
        <w:t xml:space="preserve"> 2005</w:t>
      </w:r>
      <w:r w:rsidR="00F406ED" w:rsidRPr="00F406ED">
        <w:rPr>
          <w:lang w:val="bg-BG"/>
        </w:rPr>
        <w:t xml:space="preserve"> г. </w:t>
      </w:r>
      <w:r w:rsidR="002B4892" w:rsidRPr="00F406ED">
        <w:rPr>
          <w:lang w:val="bg-BG"/>
        </w:rPr>
        <w:t>Председателят на първо отделение решава да съобщи за жалбата на Правителството</w:t>
      </w:r>
      <w:r w:rsidR="003A140A" w:rsidRPr="00F406ED">
        <w:rPr>
          <w:lang w:val="bg-BG"/>
        </w:rPr>
        <w:t xml:space="preserve">. </w:t>
      </w:r>
      <w:r w:rsidR="002B4892" w:rsidRPr="00F406ED">
        <w:rPr>
          <w:lang w:val="bg-BG"/>
        </w:rPr>
        <w:t xml:space="preserve">Освен това е взето решение едновременно да бъдат разгледани допустимостта и основателността на жалбата </w:t>
      </w:r>
      <w:r w:rsidR="003A140A" w:rsidRPr="00F406ED">
        <w:rPr>
          <w:lang w:val="bg-BG"/>
        </w:rPr>
        <w:t>(</w:t>
      </w:r>
      <w:r w:rsidR="00EF6301" w:rsidRPr="00F406ED">
        <w:rPr>
          <w:lang w:val="bg-BG"/>
        </w:rPr>
        <w:t>Член 29 § 3 от Конвенцията</w:t>
      </w:r>
      <w:r w:rsidR="003A140A" w:rsidRPr="00F406ED">
        <w:rPr>
          <w:lang w:val="bg-BG"/>
        </w:rPr>
        <w:t xml:space="preserve">). </w:t>
      </w:r>
      <w:r w:rsidR="00EF6301" w:rsidRPr="00F406ED">
        <w:rPr>
          <w:lang w:val="bg-BG"/>
        </w:rPr>
        <w:t xml:space="preserve">На </w:t>
      </w:r>
      <w:r w:rsidR="003A140A" w:rsidRPr="00F406ED">
        <w:rPr>
          <w:lang w:val="bg-BG"/>
        </w:rPr>
        <w:t xml:space="preserve">1 </w:t>
      </w:r>
      <w:r w:rsidR="002B4892" w:rsidRPr="00F406ED">
        <w:rPr>
          <w:lang w:val="bg-BG"/>
        </w:rPr>
        <w:t>април</w:t>
      </w:r>
      <w:r w:rsidR="003A140A" w:rsidRPr="00F406ED">
        <w:rPr>
          <w:lang w:val="bg-BG"/>
        </w:rPr>
        <w:t xml:space="preserve"> 2006</w:t>
      </w:r>
      <w:r w:rsidR="00F406ED" w:rsidRPr="00F406ED">
        <w:rPr>
          <w:lang w:val="bg-BG"/>
        </w:rPr>
        <w:t> г.</w:t>
      </w:r>
      <w:r w:rsidR="00EF6301" w:rsidRPr="00F406ED">
        <w:rPr>
          <w:lang w:val="bg-BG"/>
        </w:rPr>
        <w:t xml:space="preserve"> делото е прехвърлено на новосъставеното Пето отделение </w:t>
      </w:r>
      <w:r w:rsidR="003A140A" w:rsidRPr="00F406ED">
        <w:rPr>
          <w:lang w:val="bg-BG"/>
        </w:rPr>
        <w:t>(</w:t>
      </w:r>
      <w:r w:rsidR="00EF6301" w:rsidRPr="00F406ED">
        <w:rPr>
          <w:lang w:val="bg-BG"/>
        </w:rPr>
        <w:t>Член </w:t>
      </w:r>
      <w:r w:rsidR="003A140A" w:rsidRPr="00F406ED">
        <w:rPr>
          <w:lang w:val="bg-BG"/>
        </w:rPr>
        <w:t xml:space="preserve">25 § 5 </w:t>
      </w:r>
      <w:r w:rsidR="00EF6301" w:rsidRPr="00F406ED">
        <w:rPr>
          <w:lang w:val="bg-BG"/>
        </w:rPr>
        <w:t>и Член </w:t>
      </w:r>
      <w:r w:rsidR="003A140A" w:rsidRPr="00F406ED">
        <w:rPr>
          <w:lang w:val="bg-BG"/>
        </w:rPr>
        <w:t xml:space="preserve">52 § 1 </w:t>
      </w:r>
      <w:r w:rsidR="00EF6301" w:rsidRPr="00F406ED">
        <w:rPr>
          <w:lang w:val="bg-BG"/>
        </w:rPr>
        <w:t>от Правилника на съда</w:t>
      </w:r>
      <w:r w:rsidR="003A140A" w:rsidRPr="00F406ED">
        <w:rPr>
          <w:lang w:val="bg-BG"/>
        </w:rPr>
        <w:t>).</w:t>
      </w:r>
    </w:p>
    <w:p w:rsidR="00F71A6A" w:rsidRPr="00F406ED" w:rsidRDefault="00EF6301" w:rsidP="00995C31">
      <w:pPr>
        <w:pStyle w:val="JuHHead"/>
        <w:outlineLvl w:val="0"/>
        <w:rPr>
          <w:lang w:val="bg-BG"/>
        </w:rPr>
      </w:pPr>
      <w:r w:rsidRPr="00F406ED">
        <w:rPr>
          <w:lang w:val="bg-BG"/>
        </w:rPr>
        <w:t>ОТНОСНО ФАКТИТЕ</w:t>
      </w:r>
    </w:p>
    <w:p w:rsidR="00D353F4" w:rsidRPr="00F406ED" w:rsidRDefault="007352DD" w:rsidP="00995C31">
      <w:pPr>
        <w:pStyle w:val="JuHIRoman"/>
        <w:outlineLvl w:val="1"/>
        <w:rPr>
          <w:lang w:val="bg-BG"/>
        </w:rPr>
      </w:pPr>
      <w:r w:rsidRPr="00F406ED">
        <w:rPr>
          <w:lang w:val="bg-BG"/>
        </w:rPr>
        <w:t>I.  </w:t>
      </w:r>
      <w:r w:rsidR="00EF6301" w:rsidRPr="00F406ED">
        <w:rPr>
          <w:lang w:val="bg-BG"/>
        </w:rPr>
        <w:t>ОБСТОЯТЕЛСТВА ПО ДЕЛОТО</w:t>
      </w:r>
    </w:p>
    <w:p w:rsidR="00F71A6A" w:rsidRPr="00F406ED" w:rsidRDefault="00FB1D5F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</w:t>
      </w:r>
      <w:r w:rsidRPr="00F406ED">
        <w:rPr>
          <w:lang w:val="bg-BG"/>
        </w:rPr>
        <w:fldChar w:fldCharType="end"/>
      </w:r>
      <w:r w:rsidR="00F71A6A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EF6301" w:rsidRPr="00F406ED">
        <w:rPr>
          <w:lang w:val="bg-BG"/>
        </w:rPr>
        <w:t>е родена</w:t>
      </w:r>
      <w:r w:rsidR="00F406ED" w:rsidRPr="00F406ED">
        <w:rPr>
          <w:lang w:val="bg-BG"/>
        </w:rPr>
        <w:t xml:space="preserve"> </w:t>
      </w:r>
      <w:r w:rsidR="00EF6301" w:rsidRPr="00F406ED">
        <w:rPr>
          <w:lang w:val="bg-BG"/>
        </w:rPr>
        <w:t xml:space="preserve">през </w:t>
      </w:r>
      <w:r w:rsidR="001E2DDF" w:rsidRPr="00F406ED">
        <w:rPr>
          <w:lang w:val="bg-BG"/>
        </w:rPr>
        <w:t>1947</w:t>
      </w:r>
      <w:r w:rsidR="00F406ED" w:rsidRPr="00F406ED">
        <w:rPr>
          <w:lang w:val="bg-BG"/>
        </w:rPr>
        <w:t> г.</w:t>
      </w:r>
      <w:r w:rsidR="00EF6301" w:rsidRPr="00F406ED">
        <w:rPr>
          <w:lang w:val="bg-BG"/>
        </w:rPr>
        <w:t xml:space="preserve"> и живее в София</w:t>
      </w:r>
      <w:r w:rsidR="00095587" w:rsidRPr="00F406ED">
        <w:rPr>
          <w:lang w:val="bg-BG"/>
        </w:rPr>
        <w:t xml:space="preserve">. </w:t>
      </w:r>
      <w:r w:rsidR="00EF6301" w:rsidRPr="00F406ED">
        <w:rPr>
          <w:lang w:val="bg-BG"/>
        </w:rPr>
        <w:t>Тя се омъжва за гражданин</w:t>
      </w:r>
      <w:r w:rsidR="00B7247C" w:rsidRPr="00F406ED">
        <w:rPr>
          <w:lang w:val="bg-BG"/>
        </w:rPr>
        <w:t>а</w:t>
      </w:r>
      <w:r w:rsidR="00EF6301" w:rsidRPr="00F406ED">
        <w:rPr>
          <w:lang w:val="bg-BG"/>
        </w:rPr>
        <w:t xml:space="preserve"> на Кения</w:t>
      </w:r>
      <w:r w:rsidR="00095587" w:rsidRPr="00F406ED">
        <w:rPr>
          <w:lang w:val="bg-BG"/>
        </w:rPr>
        <w:t xml:space="preserve">, </w:t>
      </w:r>
      <w:r w:rsidR="00EF6301" w:rsidRPr="00F406ED">
        <w:rPr>
          <w:lang w:val="bg-BG"/>
        </w:rPr>
        <w:t>г-н Робърт</w:t>
      </w:r>
      <w:r w:rsidR="00F406ED" w:rsidRPr="00F406ED">
        <w:rPr>
          <w:lang w:val="bg-BG"/>
        </w:rPr>
        <w:t xml:space="preserve"> </w:t>
      </w:r>
      <w:r w:rsidR="002B4892" w:rsidRPr="00F406ED">
        <w:rPr>
          <w:lang w:val="bg-BG"/>
        </w:rPr>
        <w:t>Каранджа</w:t>
      </w:r>
      <w:r w:rsidR="00095587"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който умира през </w:t>
      </w:r>
      <w:r w:rsidR="00095587" w:rsidRPr="00F406ED">
        <w:rPr>
          <w:lang w:val="bg-BG"/>
        </w:rPr>
        <w:t>1993</w:t>
      </w:r>
      <w:r w:rsidR="00F406ED" w:rsidRPr="00F406ED">
        <w:rPr>
          <w:lang w:val="bg-BG"/>
        </w:rPr>
        <w:t> г.</w:t>
      </w:r>
      <w:r w:rsidR="00095587" w:rsidRPr="00F406ED">
        <w:rPr>
          <w:lang w:val="bg-BG"/>
        </w:rPr>
        <w:t xml:space="preserve"> </w:t>
      </w:r>
      <w:r w:rsidR="00EF6301" w:rsidRPr="00F406ED">
        <w:rPr>
          <w:lang w:val="bg-BG"/>
        </w:rPr>
        <w:t xml:space="preserve">През </w:t>
      </w:r>
      <w:r w:rsidR="00095587" w:rsidRPr="00F406ED">
        <w:rPr>
          <w:lang w:val="bg-BG"/>
        </w:rPr>
        <w:t>1977</w:t>
      </w:r>
      <w:r w:rsidR="00F406ED" w:rsidRPr="00F406ED">
        <w:rPr>
          <w:lang w:val="bg-BG"/>
        </w:rPr>
        <w:t> г.</w:t>
      </w:r>
      <w:r w:rsidR="00EF6301" w:rsidRPr="00F406ED">
        <w:rPr>
          <w:lang w:val="bg-BG"/>
        </w:rPr>
        <w:t xml:space="preserve"> им се ражда син</w:t>
      </w:r>
      <w:r w:rsidR="00A82510"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г-н Питър Робърт </w:t>
      </w:r>
      <w:r w:rsidR="002B4892" w:rsidRPr="00F406ED">
        <w:rPr>
          <w:lang w:val="bg-BG"/>
        </w:rPr>
        <w:t>Каранджа</w:t>
      </w:r>
      <w:r w:rsidR="009B1525"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който умира на </w:t>
      </w:r>
      <w:r w:rsidR="001A7073" w:rsidRPr="00F406ED">
        <w:rPr>
          <w:lang w:val="bg-BG"/>
        </w:rPr>
        <w:t xml:space="preserve">7 </w:t>
      </w:r>
      <w:r w:rsidR="00EF6301" w:rsidRPr="00F406ED">
        <w:rPr>
          <w:lang w:val="bg-BG"/>
        </w:rPr>
        <w:t xml:space="preserve">юни </w:t>
      </w:r>
      <w:r w:rsidR="001A7073" w:rsidRPr="00F406ED">
        <w:rPr>
          <w:lang w:val="bg-BG"/>
        </w:rPr>
        <w:t>1997</w:t>
      </w:r>
      <w:r w:rsidR="00F406ED" w:rsidRPr="00F406ED">
        <w:rPr>
          <w:lang w:val="bg-BG"/>
        </w:rPr>
        <w:t> г.,</w:t>
      </w:r>
      <w:r w:rsidR="00EF6301" w:rsidRPr="00F406ED">
        <w:rPr>
          <w:lang w:val="bg-BG"/>
        </w:rPr>
        <w:t xml:space="preserve"> след като е прострелян от полицията на </w:t>
      </w:r>
      <w:r w:rsidR="00280445" w:rsidRPr="00F406ED">
        <w:rPr>
          <w:lang w:val="bg-BG"/>
        </w:rPr>
        <w:t>5</w:t>
      </w:r>
      <w:r w:rsidR="00EF6301" w:rsidRPr="00F406ED">
        <w:rPr>
          <w:lang w:val="bg-BG"/>
        </w:rPr>
        <w:t>юни 1997</w:t>
      </w:r>
      <w:r w:rsidR="00F406ED" w:rsidRPr="00F406ED">
        <w:rPr>
          <w:lang w:val="bg-BG"/>
        </w:rPr>
        <w:t> г.</w:t>
      </w:r>
    </w:p>
    <w:p w:rsidR="00280445" w:rsidRPr="00F406ED" w:rsidRDefault="00280445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A.  </w:t>
      </w:r>
      <w:r w:rsidR="00EF6301" w:rsidRPr="00F406ED">
        <w:rPr>
          <w:lang w:val="bg-BG"/>
        </w:rPr>
        <w:t xml:space="preserve">Обстоятелства около прострелването на г-н </w:t>
      </w:r>
      <w:r w:rsidR="002B4892" w:rsidRPr="00F406ED">
        <w:rPr>
          <w:lang w:val="bg-BG"/>
        </w:rPr>
        <w:t>Каранджа</w:t>
      </w:r>
    </w:p>
    <w:bookmarkStart w:id="7" w:name="charges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8044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</w:t>
      </w:r>
      <w:r w:rsidRPr="00F406ED">
        <w:rPr>
          <w:lang w:val="bg-BG"/>
        </w:rPr>
        <w:fldChar w:fldCharType="end"/>
      </w:r>
      <w:bookmarkEnd w:id="7"/>
      <w:r w:rsidR="00280445" w:rsidRPr="00F406ED">
        <w:rPr>
          <w:lang w:val="bg-BG"/>
        </w:rPr>
        <w:t>.  </w:t>
      </w:r>
      <w:r w:rsidR="00914B5B" w:rsidRPr="00F406ED">
        <w:rPr>
          <w:lang w:val="bg-BG"/>
        </w:rPr>
        <w:t xml:space="preserve">Срещу г-н Каранджа са образувани две групи наказателни производства на неуточнени дати през </w:t>
      </w:r>
      <w:r w:rsidR="00CB5114" w:rsidRPr="00F406ED">
        <w:rPr>
          <w:lang w:val="bg-BG"/>
        </w:rPr>
        <w:t>1995</w:t>
      </w:r>
      <w:r w:rsidR="00F406ED" w:rsidRPr="00F406ED">
        <w:rPr>
          <w:lang w:val="bg-BG"/>
        </w:rPr>
        <w:t> г.</w:t>
      </w:r>
      <w:r w:rsidR="006E505D" w:rsidRPr="00F406ED">
        <w:rPr>
          <w:lang w:val="bg-BG"/>
        </w:rPr>
        <w:t xml:space="preserve"> </w:t>
      </w:r>
      <w:r w:rsidR="00914B5B" w:rsidRPr="00F406ED">
        <w:rPr>
          <w:lang w:val="bg-BG"/>
        </w:rPr>
        <w:t xml:space="preserve">В първата група той е обвинен, заедно с две други лица, в нахлуване с взлом в автомобил на </w:t>
      </w:r>
      <w:r w:rsidR="007B5801" w:rsidRPr="00F406ED">
        <w:rPr>
          <w:lang w:val="bg-BG"/>
        </w:rPr>
        <w:t xml:space="preserve">15 </w:t>
      </w:r>
      <w:r w:rsidR="00914B5B" w:rsidRPr="00F406ED">
        <w:rPr>
          <w:lang w:val="bg-BG"/>
        </w:rPr>
        <w:t>декември</w:t>
      </w:r>
      <w:r w:rsidR="007B5801" w:rsidRPr="00F406ED">
        <w:rPr>
          <w:lang w:val="bg-BG"/>
        </w:rPr>
        <w:t xml:space="preserve"> 1994</w:t>
      </w:r>
      <w:r w:rsidR="00F406ED" w:rsidRPr="00F406ED">
        <w:rPr>
          <w:lang w:val="bg-BG"/>
        </w:rPr>
        <w:t xml:space="preserve"> г. </w:t>
      </w:r>
      <w:r w:rsidR="00A22992" w:rsidRPr="00F406ED">
        <w:rPr>
          <w:lang w:val="bg-BG"/>
        </w:rPr>
        <w:t xml:space="preserve">и кражба на </w:t>
      </w:r>
      <w:r w:rsidR="006E505D" w:rsidRPr="00F406ED">
        <w:rPr>
          <w:lang w:val="bg-BG"/>
        </w:rPr>
        <w:t xml:space="preserve">706 </w:t>
      </w:r>
      <w:r w:rsidR="00A22992" w:rsidRPr="00F406ED">
        <w:rPr>
          <w:lang w:val="bg-BG"/>
        </w:rPr>
        <w:t xml:space="preserve">чифта чорапи на обща стойност от </w:t>
      </w:r>
      <w:r w:rsidR="006E505D" w:rsidRPr="00F406ED">
        <w:rPr>
          <w:lang w:val="bg-BG"/>
        </w:rPr>
        <w:t>15</w:t>
      </w:r>
      <w:r w:rsidR="00F406ED" w:rsidRPr="00F406ED">
        <w:rPr>
          <w:lang w:val="bg-BG"/>
        </w:rPr>
        <w:t> </w:t>
      </w:r>
      <w:r w:rsidR="006E505D" w:rsidRPr="00F406ED">
        <w:rPr>
          <w:lang w:val="bg-BG"/>
        </w:rPr>
        <w:t xml:space="preserve">120 </w:t>
      </w:r>
      <w:r w:rsidR="00A22992" w:rsidRPr="00F406ED">
        <w:rPr>
          <w:lang w:val="bg-BG"/>
        </w:rPr>
        <w:t xml:space="preserve">български лева </w:t>
      </w:r>
      <w:r w:rsidR="006E505D" w:rsidRPr="00F406ED">
        <w:rPr>
          <w:lang w:val="bg-BG"/>
        </w:rPr>
        <w:t>(</w:t>
      </w:r>
      <w:r w:rsidR="00F406ED" w:rsidRPr="00F406ED">
        <w:rPr>
          <w:lang w:val="bg-BG"/>
        </w:rPr>
        <w:t xml:space="preserve"> </w:t>
      </w:r>
      <w:r w:rsidR="00A22992" w:rsidRPr="00F406ED">
        <w:rPr>
          <w:lang w:val="bg-BG"/>
        </w:rPr>
        <w:t>равностойн</w:t>
      </w:r>
      <w:r w:rsidR="00F406ED" w:rsidRPr="00F406ED">
        <w:rPr>
          <w:lang w:val="bg-BG"/>
        </w:rPr>
        <w:t>и</w:t>
      </w:r>
      <w:r w:rsidR="00A22992" w:rsidRPr="00F406ED">
        <w:rPr>
          <w:lang w:val="bg-BG"/>
        </w:rPr>
        <w:t xml:space="preserve"> към съответния момент </w:t>
      </w:r>
      <w:r w:rsidR="00F406ED" w:rsidRPr="00F406ED">
        <w:rPr>
          <w:lang w:val="bg-BG"/>
        </w:rPr>
        <w:t xml:space="preserve">на </w:t>
      </w:r>
      <w:r w:rsidR="00A22992" w:rsidRPr="00F406ED">
        <w:rPr>
          <w:lang w:val="bg-BG"/>
        </w:rPr>
        <w:t xml:space="preserve">приблизително </w:t>
      </w:r>
      <w:r w:rsidR="00621933" w:rsidRPr="00F406ED">
        <w:rPr>
          <w:lang w:val="bg-BG"/>
        </w:rPr>
        <w:t>1</w:t>
      </w:r>
      <w:r w:rsidR="00F406ED" w:rsidRPr="00F406ED">
        <w:rPr>
          <w:lang w:val="bg-BG"/>
        </w:rPr>
        <w:t> </w:t>
      </w:r>
      <w:r w:rsidR="00621933" w:rsidRPr="00F406ED">
        <w:rPr>
          <w:lang w:val="bg-BG"/>
        </w:rPr>
        <w:t xml:space="preserve">000 </w:t>
      </w:r>
      <w:r w:rsidR="00A22992" w:rsidRPr="00F406ED">
        <w:rPr>
          <w:lang w:val="bg-BG"/>
        </w:rPr>
        <w:t>щатски долара</w:t>
      </w:r>
      <w:r w:rsidR="006E505D" w:rsidRPr="00F406ED">
        <w:rPr>
          <w:lang w:val="bg-BG"/>
        </w:rPr>
        <w:t>)</w:t>
      </w:r>
      <w:r w:rsidR="00621933" w:rsidRPr="00F406ED">
        <w:rPr>
          <w:lang w:val="bg-BG"/>
        </w:rPr>
        <w:t xml:space="preserve">. </w:t>
      </w:r>
      <w:r w:rsidR="00A22992" w:rsidRPr="00F406ED">
        <w:rPr>
          <w:lang w:val="bg-BG"/>
        </w:rPr>
        <w:t xml:space="preserve">Във втората група той е обвинен в шофиране на автомобил </w:t>
      </w:r>
      <w:r w:rsidR="00F406ED" w:rsidRPr="00F406ED">
        <w:rPr>
          <w:lang w:val="bg-BG"/>
        </w:rPr>
        <w:t xml:space="preserve">на 10 октомври 1995 г. </w:t>
      </w:r>
      <w:r w:rsidR="00A22992" w:rsidRPr="00F406ED">
        <w:rPr>
          <w:lang w:val="bg-BG"/>
        </w:rPr>
        <w:t>без валидно свидетелство за правоспособност</w:t>
      </w:r>
      <w:r w:rsidR="00F406ED" w:rsidRPr="00F406ED">
        <w:rPr>
          <w:lang w:val="bg-BG"/>
        </w:rPr>
        <w:t>.</w:t>
      </w:r>
      <w:r w:rsidR="00A22992" w:rsidRPr="00F406ED">
        <w:rPr>
          <w:lang w:val="bg-BG"/>
        </w:rPr>
        <w:t>Той не е осъждан за други престъпления и няма индикация, че срещу него са повдигани други обвинения</w:t>
      </w:r>
      <w:r w:rsidR="003C0169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A22992" w:rsidRPr="00F406ED">
        <w:rPr>
          <w:lang w:val="bg-BG"/>
        </w:rPr>
        <w:t>На</w:t>
      </w:r>
      <w:r w:rsidR="00F406ED" w:rsidRPr="00F406ED">
        <w:rPr>
          <w:lang w:val="bg-BG"/>
        </w:rPr>
        <w:t xml:space="preserve"> </w:t>
      </w:r>
      <w:r w:rsidR="00280445" w:rsidRPr="00F406ED">
        <w:rPr>
          <w:lang w:val="bg-BG"/>
        </w:rPr>
        <w:t xml:space="preserve">18 </w:t>
      </w:r>
      <w:r w:rsidR="00914B5B" w:rsidRPr="00F406ED">
        <w:rPr>
          <w:lang w:val="bg-BG"/>
        </w:rPr>
        <w:t>декември</w:t>
      </w:r>
      <w:r w:rsidR="00280445" w:rsidRPr="00F406ED">
        <w:rPr>
          <w:lang w:val="bg-BG"/>
        </w:rPr>
        <w:t xml:space="preserve"> 1996</w:t>
      </w:r>
      <w:r w:rsidR="00F406ED" w:rsidRPr="00F406ED">
        <w:rPr>
          <w:lang w:val="bg-BG"/>
        </w:rPr>
        <w:t xml:space="preserve"> г. </w:t>
      </w:r>
      <w:r w:rsidR="00A22992" w:rsidRPr="00F406ED">
        <w:rPr>
          <w:lang w:val="bg-BG"/>
        </w:rPr>
        <w:t>Софийски районен съд</w:t>
      </w:r>
      <w:r w:rsidR="00F406ED" w:rsidRPr="00F406ED">
        <w:rPr>
          <w:lang w:val="bg-BG"/>
        </w:rPr>
        <w:t xml:space="preserve"> </w:t>
      </w:r>
      <w:r w:rsidR="00A22992" w:rsidRPr="00F406ED">
        <w:rPr>
          <w:lang w:val="bg-BG"/>
        </w:rPr>
        <w:t>отменя предсрочното освобождаване на</w:t>
      </w:r>
      <w:r w:rsidR="00F406ED" w:rsidRPr="00F406ED">
        <w:rPr>
          <w:lang w:val="bg-BG"/>
        </w:rPr>
        <w:t xml:space="preserve">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A22992" w:rsidRPr="00F406ED">
        <w:rPr>
          <w:lang w:val="bg-BG"/>
        </w:rPr>
        <w:t xml:space="preserve"> под гаранция и му налага предварително задържане под стража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A22992" w:rsidRPr="00F406ED">
        <w:rPr>
          <w:lang w:val="bg-BG"/>
        </w:rPr>
        <w:t>В резултат от това той е обявен за издирване от полицията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A22992" w:rsidRPr="00F406ED">
        <w:rPr>
          <w:lang w:val="bg-BG"/>
        </w:rPr>
        <w:t>Г</w:t>
      </w:r>
      <w:r w:rsidR="00EF6301" w:rsidRPr="00F406ED">
        <w:rPr>
          <w:lang w:val="bg-BG"/>
        </w:rPr>
        <w:t xml:space="preserve">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A22992" w:rsidRPr="00F406ED">
        <w:rPr>
          <w:lang w:val="bg-BG"/>
        </w:rPr>
        <w:t xml:space="preserve">е арестуван на </w:t>
      </w:r>
      <w:r w:rsidR="00280445" w:rsidRPr="00F406ED">
        <w:rPr>
          <w:lang w:val="bg-BG"/>
        </w:rPr>
        <w:t xml:space="preserve">5 </w:t>
      </w:r>
      <w:r w:rsidR="00A22992" w:rsidRPr="00F406ED">
        <w:rPr>
          <w:lang w:val="bg-BG"/>
        </w:rPr>
        <w:t xml:space="preserve">юни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 xml:space="preserve"> г. </w:t>
      </w:r>
      <w:r w:rsidR="00A80F0B" w:rsidRPr="00F406ED">
        <w:rPr>
          <w:lang w:val="bg-BG"/>
        </w:rPr>
        <w:t xml:space="preserve">Той е </w:t>
      </w:r>
      <w:r w:rsidR="00B7247C" w:rsidRPr="00F406ED">
        <w:rPr>
          <w:lang w:val="bg-BG"/>
        </w:rPr>
        <w:t>настанен</w:t>
      </w:r>
      <w:r w:rsidR="00A80F0B" w:rsidRPr="00F406ED">
        <w:rPr>
          <w:lang w:val="bg-BG"/>
        </w:rPr>
        <w:t xml:space="preserve"> в килия в </w:t>
      </w:r>
      <w:r w:rsidR="00F406ED" w:rsidRPr="00F406ED">
        <w:rPr>
          <w:lang w:val="bg-BG"/>
        </w:rPr>
        <w:t xml:space="preserve">Трето </w:t>
      </w:r>
      <w:r w:rsidR="00A80F0B" w:rsidRPr="00F406ED">
        <w:rPr>
          <w:lang w:val="bg-BG"/>
        </w:rPr>
        <w:t>районно полицейско управление в София</w:t>
      </w:r>
      <w:r w:rsidR="0035544E" w:rsidRPr="00F406ED">
        <w:rPr>
          <w:lang w:val="bg-BG"/>
        </w:rPr>
        <w:t xml:space="preserve">. </w:t>
      </w:r>
      <w:r w:rsidR="00A80F0B" w:rsidRPr="00F406ED">
        <w:rPr>
          <w:lang w:val="bg-BG"/>
        </w:rPr>
        <w:t>След 19:00 ч. полицията се опитва да го прехвърли в затвора в Бобов дол</w:t>
      </w:r>
      <w:r w:rsidR="002A0867" w:rsidRPr="00F406ED">
        <w:rPr>
          <w:lang w:val="bg-BG"/>
        </w:rPr>
        <w:t xml:space="preserve">. </w:t>
      </w:r>
      <w:r w:rsidR="00A80F0B" w:rsidRPr="00F406ED">
        <w:rPr>
          <w:lang w:val="bg-BG"/>
        </w:rPr>
        <w:t>Ескортът обаче отказва да го поеме, тъй като е късно и в около 20:00 ч. той е върнат в полицейското управление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 xml:space="preserve">Дежурните служители </w:t>
      </w:r>
      <w:r w:rsidR="000E449D" w:rsidRPr="00F406ED">
        <w:rPr>
          <w:lang w:val="bg-BG"/>
        </w:rPr>
        <w:t xml:space="preserve">– </w:t>
      </w:r>
      <w:r w:rsidR="00A80F0B" w:rsidRPr="00F406ED">
        <w:rPr>
          <w:lang w:val="bg-BG"/>
        </w:rPr>
        <w:t xml:space="preserve">гл. </w:t>
      </w:r>
      <w:r w:rsidR="00F406ED" w:rsidRPr="00F406ED">
        <w:rPr>
          <w:lang w:val="bg-BG"/>
        </w:rPr>
        <w:t>сержант Г.</w:t>
      </w:r>
      <w:r w:rsidR="00A80F0B" w:rsidRPr="00F406ED">
        <w:rPr>
          <w:lang w:val="bg-BG"/>
        </w:rPr>
        <w:t>П</w:t>
      </w:r>
      <w:r w:rsidR="000E449D" w:rsidRPr="00F406ED">
        <w:rPr>
          <w:lang w:val="bg-BG"/>
        </w:rPr>
        <w:t xml:space="preserve">. </w:t>
      </w:r>
      <w:r w:rsidR="00A80F0B" w:rsidRPr="00F406ED">
        <w:rPr>
          <w:lang w:val="bg-BG"/>
        </w:rPr>
        <w:t xml:space="preserve">и капитан В.С. </w:t>
      </w:r>
      <w:r w:rsidR="0035544E" w:rsidRPr="00F406ED">
        <w:rPr>
          <w:lang w:val="bg-BG"/>
        </w:rPr>
        <w:t xml:space="preserve">– </w:t>
      </w:r>
      <w:r w:rsidR="00A80F0B" w:rsidRPr="00F406ED">
        <w:rPr>
          <w:lang w:val="bg-BG"/>
        </w:rPr>
        <w:t xml:space="preserve">настаняват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в килия на третия етаж на управлението</w:t>
      </w:r>
      <w:r w:rsidR="000E449D" w:rsidRPr="00F406ED">
        <w:rPr>
          <w:lang w:val="bg-BG"/>
        </w:rPr>
        <w:t xml:space="preserve">. </w:t>
      </w:r>
      <w:r w:rsidR="00A80F0B" w:rsidRPr="00F406ED">
        <w:rPr>
          <w:lang w:val="bg-BG"/>
        </w:rPr>
        <w:t>Главният сержант го претърсва</w:t>
      </w:r>
      <w:r w:rsidR="000E449D" w:rsidRPr="00F406ED">
        <w:rPr>
          <w:lang w:val="bg-BG"/>
        </w:rPr>
        <w:t xml:space="preserve">, </w:t>
      </w:r>
      <w:r w:rsidR="00A80F0B" w:rsidRPr="00F406ED">
        <w:rPr>
          <w:lang w:val="bg-BG"/>
        </w:rPr>
        <w:t xml:space="preserve">но не му поставя белезници, тъй като той изглежда </w:t>
      </w:r>
      <w:r w:rsidR="00427AA9" w:rsidRPr="00F406ED">
        <w:rPr>
          <w:lang w:val="bg-BG"/>
        </w:rPr>
        <w:t>„спокоен и не буйства</w:t>
      </w:r>
      <w:r w:rsidR="00F406ED" w:rsidRPr="00F406ED">
        <w:rPr>
          <w:lang w:val="bg-BG"/>
        </w:rPr>
        <w:t>“</w:t>
      </w:r>
      <w:r w:rsidR="001F3C32" w:rsidRPr="00F406ED">
        <w:rPr>
          <w:lang w:val="bg-BG"/>
        </w:rPr>
        <w:t xml:space="preserve">. </w:t>
      </w:r>
      <w:r w:rsidR="00A80F0B" w:rsidRPr="00F406ED">
        <w:rPr>
          <w:lang w:val="bg-BG"/>
        </w:rPr>
        <w:t xml:space="preserve">Връзките за обувки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A80F0B" w:rsidRPr="00F406ED">
        <w:rPr>
          <w:lang w:val="bg-BG"/>
        </w:rPr>
        <w:t xml:space="preserve"> са свалени и вратата на килията е затворена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9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A80F0B" w:rsidRPr="00F406ED">
        <w:rPr>
          <w:lang w:val="bg-BG"/>
        </w:rPr>
        <w:t>В около 20:</w:t>
      </w:r>
      <w:r w:rsidR="00280445" w:rsidRPr="00F406ED">
        <w:rPr>
          <w:lang w:val="bg-BG"/>
        </w:rPr>
        <w:t>30</w:t>
      </w:r>
      <w:r w:rsidR="00F406ED" w:rsidRPr="00F406ED">
        <w:rPr>
          <w:lang w:val="bg-BG"/>
        </w:rPr>
        <w:t xml:space="preserve"> ч.</w:t>
      </w:r>
      <w:r w:rsidR="00280445" w:rsidRPr="00F406ED">
        <w:rPr>
          <w:lang w:val="bg-BG"/>
        </w:rPr>
        <w:t xml:space="preserve">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успява да отвори вратата на килията</w:t>
      </w:r>
      <w:r w:rsidR="00280445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очевидно като напъва една от веригите, които я държат затворена</w:t>
      </w:r>
      <w:r w:rsidR="000E449D" w:rsidRPr="00F406ED">
        <w:rPr>
          <w:lang w:val="bg-BG"/>
        </w:rPr>
        <w:t xml:space="preserve">, </w:t>
      </w:r>
      <w:r w:rsidR="00337E46" w:rsidRPr="00F406ED">
        <w:rPr>
          <w:lang w:val="bg-BG"/>
        </w:rPr>
        <w:t>блъсва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Г.П.с нея и се спуска по стълбите, след което напуска сградата</w:t>
      </w:r>
      <w:r w:rsidR="00280445" w:rsidRPr="00F406ED">
        <w:rPr>
          <w:lang w:val="bg-BG"/>
        </w:rPr>
        <w:t xml:space="preserve">. </w:t>
      </w:r>
      <w:r w:rsidR="00A80F0B" w:rsidRPr="00F406ED">
        <w:rPr>
          <w:lang w:val="bg-BG"/>
        </w:rPr>
        <w:t>Озовал се навън, той продължава да тича по улиците около полицейското управление</w:t>
      </w:r>
      <w:r w:rsidR="00280445" w:rsidRPr="00F406ED">
        <w:rPr>
          <w:lang w:val="bg-BG"/>
        </w:rPr>
        <w:t xml:space="preserve">. </w:t>
      </w:r>
      <w:r w:rsidR="00A80F0B" w:rsidRPr="00F406ED">
        <w:rPr>
          <w:lang w:val="bg-BG"/>
        </w:rPr>
        <w:t>Главният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се впуска след него</w:t>
      </w:r>
      <w:r w:rsidR="00280445" w:rsidRPr="00F406ED">
        <w:rPr>
          <w:lang w:val="bg-BG"/>
        </w:rPr>
        <w:t>.</w:t>
      </w:r>
    </w:p>
    <w:p w:rsidR="00280445" w:rsidRPr="00F406ED" w:rsidRDefault="00FB1D5F" w:rsidP="001F3C3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10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A80F0B" w:rsidRPr="00F406ED">
        <w:rPr>
          <w:lang w:val="bg-BG"/>
        </w:rPr>
        <w:t>Свидетели на бягството от полицейското управление са майор Н.К.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и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капитан В.С.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 xml:space="preserve">Нито те обаче, нито някой друг </w:t>
      </w:r>
      <w:r w:rsidR="00337E46" w:rsidRPr="00F406ED">
        <w:rPr>
          <w:lang w:val="bg-BG"/>
        </w:rPr>
        <w:t xml:space="preserve">служител </w:t>
      </w:r>
      <w:r w:rsidR="00A80F0B" w:rsidRPr="00F406ED">
        <w:rPr>
          <w:lang w:val="bg-BG"/>
        </w:rPr>
        <w:t>помага на главен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в преследването</w:t>
      </w:r>
      <w:r w:rsidR="003E6208" w:rsidRPr="00F406ED">
        <w:rPr>
          <w:lang w:val="bg-BG"/>
        </w:rPr>
        <w:t>.</w:t>
      </w:r>
    </w:p>
    <w:bookmarkStart w:id="8" w:name="warning_shots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11</w:t>
      </w:r>
      <w:r w:rsidRPr="00F406ED">
        <w:rPr>
          <w:lang w:val="bg-BG"/>
        </w:rPr>
        <w:fldChar w:fldCharType="end"/>
      </w:r>
      <w:bookmarkEnd w:id="8"/>
      <w:r w:rsidR="00FE66F2" w:rsidRPr="00F406ED">
        <w:rPr>
          <w:lang w:val="bg-BG"/>
        </w:rPr>
        <w:t>.  </w:t>
      </w:r>
      <w:r w:rsidR="000E7ADA" w:rsidRPr="00F406ED">
        <w:rPr>
          <w:lang w:val="bg-BG"/>
        </w:rPr>
        <w:t>Преследването продължава по улица „Пиротска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 xml:space="preserve">. </w:t>
      </w:r>
      <w:r w:rsidR="000E7ADA" w:rsidRPr="00F406ED">
        <w:rPr>
          <w:lang w:val="bg-BG"/>
        </w:rPr>
        <w:t xml:space="preserve">Когато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достига пресечката с булевард „Константин Величков</w:t>
      </w:r>
      <w:r w:rsidR="00F406ED" w:rsidRPr="00F406ED">
        <w:rPr>
          <w:lang w:val="bg-BG"/>
        </w:rPr>
        <w:t>“</w:t>
      </w:r>
      <w:r w:rsidR="008312D1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където се опитва да пресече</w:t>
      </w:r>
      <w:r w:rsidR="00280445" w:rsidRPr="00F406ED">
        <w:rPr>
          <w:lang w:val="bg-BG"/>
        </w:rPr>
        <w:t xml:space="preserve">, </w:t>
      </w:r>
      <w:r w:rsidR="000E7ADA" w:rsidRPr="00F406ED">
        <w:rPr>
          <w:lang w:val="bg-BG"/>
        </w:rPr>
        <w:t xml:space="preserve">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280445" w:rsidRPr="00F406ED">
        <w:rPr>
          <w:lang w:val="bg-BG"/>
        </w:rPr>
        <w:t xml:space="preserve">, </w:t>
      </w:r>
      <w:r w:rsidR="00337E46" w:rsidRPr="00F406ED">
        <w:rPr>
          <w:lang w:val="bg-BG"/>
        </w:rPr>
        <w:t>според по-късно</w:t>
      </w:r>
      <w:r w:rsidR="00F406ED" w:rsidRPr="00F406ED">
        <w:rPr>
          <w:lang w:val="bg-BG"/>
        </w:rPr>
        <w:t xml:space="preserve"> </w:t>
      </w:r>
      <w:r w:rsidR="00337E46" w:rsidRPr="00F406ED">
        <w:rPr>
          <w:lang w:val="bg-BG"/>
        </w:rPr>
        <w:t>дадените от него обяснения</w:t>
      </w:r>
      <w:r w:rsidR="00280445" w:rsidRPr="00F406ED">
        <w:rPr>
          <w:lang w:val="bg-BG"/>
        </w:rPr>
        <w:t>,</w:t>
      </w:r>
      <w:r w:rsidR="00F406ED" w:rsidRPr="00F406ED">
        <w:rPr>
          <w:lang w:val="bg-BG"/>
        </w:rPr>
        <w:t xml:space="preserve"> изважда</w:t>
      </w:r>
      <w:r w:rsidR="000E7ADA" w:rsidRPr="00F406ED">
        <w:rPr>
          <w:lang w:val="bg-BG"/>
        </w:rPr>
        <w:t xml:space="preserve"> своя пистолет и отправя предупредителен изстрел във въздуха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Г</w:t>
      </w:r>
      <w:r w:rsidR="00EF6301" w:rsidRPr="00F406ED">
        <w:rPr>
          <w:lang w:val="bg-BG"/>
        </w:rPr>
        <w:t xml:space="preserve">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не спира</w:t>
      </w:r>
      <w:r w:rsidR="00280445" w:rsidRPr="00F406ED">
        <w:rPr>
          <w:lang w:val="bg-BG"/>
        </w:rPr>
        <w:t xml:space="preserve">, </w:t>
      </w:r>
      <w:r w:rsidR="00F406ED" w:rsidRPr="00F406ED">
        <w:rPr>
          <w:lang w:val="bg-BG"/>
        </w:rPr>
        <w:t>ловко из</w:t>
      </w:r>
      <w:r w:rsidR="000E7ADA" w:rsidRPr="00F406ED">
        <w:rPr>
          <w:lang w:val="bg-BG"/>
        </w:rPr>
        <w:t xml:space="preserve">бягва </w:t>
      </w:r>
      <w:r w:rsidR="00F406ED" w:rsidRPr="00F406ED">
        <w:rPr>
          <w:lang w:val="bg-BG"/>
        </w:rPr>
        <w:t>уличния трафик</w:t>
      </w:r>
      <w:r w:rsidR="00280445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пресича булеварда и продължава да тича към центъра на града</w:t>
      </w:r>
      <w:r w:rsidR="00280445" w:rsidRPr="00F406ED">
        <w:rPr>
          <w:lang w:val="bg-BG"/>
        </w:rPr>
        <w:t xml:space="preserve">. </w:t>
      </w:r>
      <w:r w:rsidR="00A80F0B" w:rsidRPr="00F406ED">
        <w:rPr>
          <w:lang w:val="bg-BG"/>
        </w:rPr>
        <w:t>Главен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0E7ADA" w:rsidRPr="00F406ED">
        <w:rPr>
          <w:lang w:val="bg-BG"/>
        </w:rPr>
        <w:t>продължава преследването и тича по улица „Пиротска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 xml:space="preserve">. </w:t>
      </w:r>
      <w:r w:rsidR="000E7ADA" w:rsidRPr="00F406ED">
        <w:rPr>
          <w:lang w:val="bg-BG"/>
        </w:rPr>
        <w:t xml:space="preserve">Според </w:t>
      </w:r>
      <w:r w:rsidR="00337E46" w:rsidRPr="00F406ED">
        <w:rPr>
          <w:lang w:val="bg-BG"/>
        </w:rPr>
        <w:t>по-късно</w:t>
      </w:r>
      <w:r w:rsidR="00F406ED" w:rsidRPr="00F406ED">
        <w:rPr>
          <w:lang w:val="bg-BG"/>
        </w:rPr>
        <w:t xml:space="preserve"> </w:t>
      </w:r>
      <w:r w:rsidR="00337E46" w:rsidRPr="00F406ED">
        <w:rPr>
          <w:lang w:val="bg-BG"/>
        </w:rPr>
        <w:t>дадените от него обяснения</w:t>
      </w:r>
      <w:r w:rsidR="00280445" w:rsidRPr="00F406ED">
        <w:rPr>
          <w:lang w:val="bg-BG"/>
        </w:rPr>
        <w:t xml:space="preserve">, </w:t>
      </w:r>
      <w:r w:rsidR="000E7ADA" w:rsidRPr="00F406ED">
        <w:rPr>
          <w:lang w:val="bg-BG"/>
        </w:rPr>
        <w:t xml:space="preserve">той продължава да вика след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да спре и произвежда още два предупредителни изстрела във въздуха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След това г</w:t>
      </w:r>
      <w:r w:rsidR="00EF6301" w:rsidRPr="00F406ED">
        <w:rPr>
          <w:lang w:val="bg-BG"/>
        </w:rPr>
        <w:t xml:space="preserve">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свива по улица „Зайчар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последван от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0E7ADA" w:rsidRPr="00F406ED">
        <w:rPr>
          <w:lang w:val="bg-BG"/>
        </w:rPr>
        <w:t>, който тича след него по средата на улицата</w:t>
      </w:r>
      <w:r w:rsidR="00280445" w:rsidRPr="00F406ED">
        <w:rPr>
          <w:lang w:val="bg-BG"/>
        </w:rPr>
        <w:t>.</w:t>
      </w:r>
    </w:p>
    <w:bookmarkStart w:id="9" w:name="patrol_car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12</w:t>
      </w:r>
      <w:r w:rsidRPr="00F406ED">
        <w:rPr>
          <w:lang w:val="bg-BG"/>
        </w:rPr>
        <w:fldChar w:fldCharType="end"/>
      </w:r>
      <w:bookmarkEnd w:id="9"/>
      <w:r w:rsidR="00FE66F2" w:rsidRPr="00F406ED">
        <w:rPr>
          <w:lang w:val="bg-BG"/>
        </w:rPr>
        <w:t>.  </w:t>
      </w:r>
      <w:r w:rsidR="000E7ADA" w:rsidRPr="00F406ED">
        <w:rPr>
          <w:lang w:val="bg-BG"/>
        </w:rPr>
        <w:t>Преди да завие по улица „Зайчар</w:t>
      </w:r>
      <w:r w:rsidR="00F406ED" w:rsidRPr="00F406ED">
        <w:rPr>
          <w:lang w:val="bg-BG"/>
        </w:rPr>
        <w:t xml:space="preserve">“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е забелязан от двама служители</w:t>
      </w:r>
      <w:r w:rsidR="00201438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главни</w:t>
      </w:r>
      <w:r w:rsidR="00A80F0B" w:rsidRPr="00F406ED">
        <w:rPr>
          <w:lang w:val="bg-BG"/>
        </w:rPr>
        <w:t xml:space="preserve"> сержант</w:t>
      </w:r>
      <w:r w:rsidR="000E7ADA" w:rsidRPr="00F406ED">
        <w:rPr>
          <w:lang w:val="bg-BG"/>
        </w:rPr>
        <w:t>и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И</w:t>
      </w:r>
      <w:r w:rsidR="00201438" w:rsidRPr="00F406ED">
        <w:rPr>
          <w:lang w:val="bg-BG"/>
        </w:rPr>
        <w:t>.</w:t>
      </w:r>
      <w:r w:rsidR="000E7ADA" w:rsidRPr="00F406ED">
        <w:rPr>
          <w:lang w:val="bg-BG"/>
        </w:rPr>
        <w:t>И</w:t>
      </w:r>
      <w:r w:rsidR="00201438" w:rsidRPr="00F406ED">
        <w:rPr>
          <w:lang w:val="bg-BG"/>
        </w:rPr>
        <w:t xml:space="preserve">. </w:t>
      </w:r>
      <w:r w:rsidR="000E7ADA" w:rsidRPr="00F406ED">
        <w:rPr>
          <w:lang w:val="bg-BG"/>
        </w:rPr>
        <w:t xml:space="preserve">и </w:t>
      </w:r>
      <w:r w:rsidR="001911B4" w:rsidRPr="00F406ED">
        <w:rPr>
          <w:lang w:val="bg-BG"/>
        </w:rPr>
        <w:t>T.</w:t>
      </w:r>
      <w:r w:rsidR="000E7ADA" w:rsidRPr="00F406ED">
        <w:rPr>
          <w:lang w:val="bg-BG"/>
        </w:rPr>
        <w:t>Б</w:t>
      </w:r>
      <w:r w:rsidR="001911B4" w:rsidRPr="00F406ED">
        <w:rPr>
          <w:lang w:val="bg-BG"/>
        </w:rPr>
        <w:t>.</w:t>
      </w:r>
      <w:r w:rsidR="00201438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които са в патрулна кола, движеща се в обратната посока</w:t>
      </w:r>
      <w:r w:rsidR="00F351D5" w:rsidRPr="00F406ED">
        <w:rPr>
          <w:lang w:val="bg-BG"/>
        </w:rPr>
        <w:t xml:space="preserve">. </w:t>
      </w:r>
      <w:r w:rsidR="000E7ADA" w:rsidRPr="00F406ED">
        <w:rPr>
          <w:lang w:val="bg-BG"/>
        </w:rPr>
        <w:t xml:space="preserve">По-късно служителите заявяват, че са видели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да тича към тях и след това да завива по улица „Зайчар</w:t>
      </w:r>
      <w:r w:rsidR="00F406ED" w:rsidRPr="00F406ED">
        <w:rPr>
          <w:lang w:val="bg-BG"/>
        </w:rPr>
        <w:t>“</w:t>
      </w:r>
      <w:r w:rsidR="00604107" w:rsidRPr="00F406ED">
        <w:rPr>
          <w:lang w:val="bg-BG"/>
        </w:rPr>
        <w:t xml:space="preserve">. </w:t>
      </w:r>
      <w:r w:rsidR="000E7ADA" w:rsidRPr="00F406ED">
        <w:rPr>
          <w:lang w:val="bg-BG"/>
        </w:rPr>
        <w:t>Освен това те посочват, че са видели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0E7ADA" w:rsidRPr="00F406ED">
        <w:rPr>
          <w:lang w:val="bg-BG"/>
        </w:rPr>
        <w:t>да тича след него</w:t>
      </w:r>
      <w:r w:rsidR="00280445" w:rsidRPr="00F406ED">
        <w:rPr>
          <w:lang w:val="bg-BG"/>
        </w:rPr>
        <w:t xml:space="preserve">, </w:t>
      </w:r>
      <w:r w:rsidR="000E7ADA" w:rsidRPr="00F406ED">
        <w:rPr>
          <w:lang w:val="bg-BG"/>
        </w:rPr>
        <w:t>викайки му да спре</w:t>
      </w:r>
      <w:r w:rsidR="00F406ED" w:rsidRPr="00F406ED">
        <w:rPr>
          <w:lang w:val="bg-BG"/>
        </w:rPr>
        <w:t>,</w:t>
      </w:r>
      <w:r w:rsidR="000E7ADA" w:rsidRPr="00F406ED">
        <w:rPr>
          <w:lang w:val="bg-BG"/>
        </w:rPr>
        <w:t xml:space="preserve"> </w:t>
      </w:r>
      <w:r w:rsidR="00F406ED" w:rsidRPr="00F406ED">
        <w:rPr>
          <w:lang w:val="bg-BG"/>
        </w:rPr>
        <w:t xml:space="preserve">както и </w:t>
      </w:r>
      <w:r w:rsidR="000E7ADA" w:rsidRPr="00F406ED">
        <w:rPr>
          <w:lang w:val="bg-BG"/>
        </w:rPr>
        <w:t>да произвежда два или три изстрела във въздуха</w:t>
      </w:r>
      <w:r w:rsidR="00280445" w:rsidRPr="00F406ED">
        <w:rPr>
          <w:lang w:val="bg-BG"/>
        </w:rPr>
        <w:t xml:space="preserve">. </w:t>
      </w:r>
      <w:r w:rsidR="000E7ADA" w:rsidRPr="00F406ED">
        <w:rPr>
          <w:lang w:val="bg-BG"/>
        </w:rPr>
        <w:t>Патрулната кола тръгва след тях двамата по улица „Зайчар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>.</w:t>
      </w:r>
    </w:p>
    <w:bookmarkStart w:id="10" w:name="other_officers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13</w:t>
      </w:r>
      <w:r w:rsidRPr="00F406ED">
        <w:rPr>
          <w:lang w:val="bg-BG"/>
        </w:rPr>
        <w:fldChar w:fldCharType="end"/>
      </w:r>
      <w:bookmarkEnd w:id="10"/>
      <w:r w:rsidR="00FE66F2" w:rsidRPr="00F406ED">
        <w:rPr>
          <w:lang w:val="bg-BG"/>
        </w:rPr>
        <w:t>.  </w:t>
      </w:r>
      <w:r w:rsidR="003C3392" w:rsidRPr="00F406ED">
        <w:rPr>
          <w:lang w:val="bg-BG"/>
        </w:rPr>
        <w:t>Някъде по това време свидетел на преследването става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3C3392" w:rsidRPr="00F406ED">
        <w:rPr>
          <w:lang w:val="bg-BG"/>
        </w:rPr>
        <w:t>А</w:t>
      </w:r>
      <w:r w:rsidR="00794F59" w:rsidRPr="00F406ED">
        <w:rPr>
          <w:lang w:val="bg-BG"/>
        </w:rPr>
        <w:t>.</w:t>
      </w:r>
      <w:r w:rsidR="003C3392" w:rsidRPr="00F406ED">
        <w:rPr>
          <w:lang w:val="bg-BG"/>
        </w:rPr>
        <w:t>В</w:t>
      </w:r>
      <w:r w:rsidR="00280445" w:rsidRPr="00F406ED">
        <w:rPr>
          <w:lang w:val="bg-BG"/>
        </w:rPr>
        <w:t>.</w:t>
      </w:r>
      <w:r w:rsidR="003C3392" w:rsidRPr="00F406ED">
        <w:rPr>
          <w:lang w:val="bg-BG"/>
        </w:rPr>
        <w:t>, който отива към полицейското управление, за да поеме своето нощно патрулно дежурство и от лейтенант</w:t>
      </w:r>
      <w:r w:rsidR="00F406ED" w:rsidRPr="00F406ED">
        <w:rPr>
          <w:lang w:val="bg-BG"/>
        </w:rPr>
        <w:t>  Г.</w:t>
      </w:r>
      <w:r w:rsidR="003C3392" w:rsidRPr="00F406ED">
        <w:rPr>
          <w:lang w:val="bg-BG"/>
        </w:rPr>
        <w:t>Г.,</w:t>
      </w:r>
      <w:r w:rsidR="00F406ED" w:rsidRPr="00F406ED">
        <w:rPr>
          <w:lang w:val="bg-BG"/>
        </w:rPr>
        <w:t xml:space="preserve"> </w:t>
      </w:r>
      <w:r w:rsidR="003C3392" w:rsidRPr="00F406ED">
        <w:rPr>
          <w:lang w:val="bg-BG"/>
        </w:rPr>
        <w:t xml:space="preserve">който </w:t>
      </w:r>
      <w:r w:rsidR="00F406ED" w:rsidRPr="00F406ED">
        <w:rPr>
          <w:lang w:val="bg-BG"/>
        </w:rPr>
        <w:t xml:space="preserve">е отивал </w:t>
      </w:r>
      <w:r w:rsidR="003C3392" w:rsidRPr="00F406ED">
        <w:rPr>
          <w:lang w:val="bg-BG"/>
        </w:rPr>
        <w:t>да поеме нощно дежурство в друго полицейско управление</w:t>
      </w:r>
      <w:r w:rsidR="00062C97" w:rsidRPr="00F406ED">
        <w:rPr>
          <w:lang w:val="bg-BG"/>
        </w:rPr>
        <w:t xml:space="preserve">. </w:t>
      </w:r>
      <w:r w:rsidR="00005AA2" w:rsidRPr="00F406ED">
        <w:rPr>
          <w:lang w:val="bg-BG"/>
        </w:rPr>
        <w:t xml:space="preserve">Никой от тях не се присъединява към преследването, а вместо това двамата мъже се отправят към полицейското управление, за да съобщят за </w:t>
      </w:r>
      <w:r w:rsidR="00337E46" w:rsidRPr="00F406ED">
        <w:rPr>
          <w:lang w:val="bg-BG"/>
        </w:rPr>
        <w:t>случващото се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14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005AA2" w:rsidRPr="00F406ED">
        <w:rPr>
          <w:lang w:val="bg-BG"/>
        </w:rPr>
        <w:t>Преследването продължава по улица „Зайчар</w:t>
      </w:r>
      <w:r w:rsidR="00F406ED" w:rsidRPr="00F406ED">
        <w:rPr>
          <w:lang w:val="bg-BG"/>
        </w:rPr>
        <w:t>“,</w:t>
      </w:r>
      <w:r w:rsidR="00005AA2" w:rsidRPr="00F406ED">
        <w:rPr>
          <w:lang w:val="bg-BG"/>
        </w:rPr>
        <w:t xml:space="preserve"> като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05AA2" w:rsidRPr="00F406ED">
        <w:rPr>
          <w:lang w:val="bg-BG"/>
        </w:rPr>
        <w:t>е преследван от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005AA2" w:rsidRPr="00F406ED">
        <w:rPr>
          <w:lang w:val="bg-BG"/>
        </w:rPr>
        <w:t>и патрулния автомобил</w:t>
      </w:r>
      <w:r w:rsidR="00201438" w:rsidRPr="00F406ED">
        <w:rPr>
          <w:lang w:val="bg-BG"/>
        </w:rPr>
        <w:t xml:space="preserve">. </w:t>
      </w:r>
      <w:r w:rsidR="00005AA2" w:rsidRPr="00F406ED">
        <w:rPr>
          <w:lang w:val="bg-BG"/>
        </w:rPr>
        <w:t>Не е ясно дали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005AA2" w:rsidRPr="00F406ED">
        <w:rPr>
          <w:lang w:val="bg-BG"/>
        </w:rPr>
        <w:t>е знаел, че зад него има патрулна кола, тъй като последната очевидно не е била с включена сирена и примигващи светлини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15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005AA2" w:rsidRPr="00F406ED">
        <w:rPr>
          <w:lang w:val="bg-BG"/>
        </w:rPr>
        <w:t xml:space="preserve">Когато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достига пресечката с улица „Найчо Цанов</w:t>
      </w:r>
      <w:r w:rsidR="00F406ED" w:rsidRPr="00F406ED">
        <w:rPr>
          <w:lang w:val="bg-BG"/>
        </w:rPr>
        <w:t>“</w:t>
      </w:r>
      <w:r w:rsidR="00385063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където са започнали изкопни работи за бъдещото метро на града</w:t>
      </w:r>
      <w:r w:rsidR="00DE3A07" w:rsidRPr="00F406ED">
        <w:rPr>
          <w:lang w:val="bg-BG"/>
        </w:rPr>
        <w:t xml:space="preserve">, </w:t>
      </w:r>
      <w:r w:rsidR="000F0EED" w:rsidRPr="00F406ED">
        <w:rPr>
          <w:lang w:val="bg-BG"/>
        </w:rPr>
        <w:t xml:space="preserve">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 xml:space="preserve">произвежда изстрел </w:t>
      </w:r>
      <w:r w:rsidR="000E1570" w:rsidRPr="00F406ED">
        <w:rPr>
          <w:lang w:val="bg-BG"/>
        </w:rPr>
        <w:t>към него</w:t>
      </w:r>
      <w:r w:rsidR="00605B5B" w:rsidRPr="00F406ED">
        <w:rPr>
          <w:lang w:val="bg-BG"/>
        </w:rPr>
        <w:t xml:space="preserve">. </w:t>
      </w:r>
      <w:r w:rsidR="000F0EED" w:rsidRPr="00F406ED">
        <w:rPr>
          <w:lang w:val="bg-BG"/>
        </w:rPr>
        <w:t xml:space="preserve">Куршумът уцелва задната част на главата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0F0EED" w:rsidRPr="00F406ED">
        <w:rPr>
          <w:lang w:val="bg-BG"/>
        </w:rPr>
        <w:t xml:space="preserve"> и той пад</w:t>
      </w:r>
      <w:r w:rsidR="000E1570" w:rsidRPr="00F406ED">
        <w:rPr>
          <w:lang w:val="bg-BG"/>
        </w:rPr>
        <w:t>а</w:t>
      </w:r>
      <w:r w:rsidR="000F0EED" w:rsidRPr="00F406ED">
        <w:rPr>
          <w:lang w:val="bg-BG"/>
        </w:rPr>
        <w:t xml:space="preserve"> на земята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отива при него, следван отблизо от капитан Т.М. и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И</w:t>
      </w:r>
      <w:r w:rsidR="00DA309F" w:rsidRPr="00F406ED">
        <w:rPr>
          <w:lang w:val="bg-BG"/>
        </w:rPr>
        <w:t>.</w:t>
      </w:r>
      <w:r w:rsidR="000F0EED" w:rsidRPr="00F406ED">
        <w:rPr>
          <w:lang w:val="bg-BG"/>
        </w:rPr>
        <w:t>И</w:t>
      </w:r>
      <w:r w:rsidR="00DA309F" w:rsidRPr="00F406ED">
        <w:rPr>
          <w:lang w:val="bg-BG"/>
        </w:rPr>
        <w:t>.</w:t>
      </w:r>
      <w:r w:rsidR="00280445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 xml:space="preserve">които след това се връщат в патрулния автомобил и докладват </w:t>
      </w:r>
      <w:r w:rsidR="00F406ED" w:rsidRPr="00F406ED">
        <w:rPr>
          <w:lang w:val="bg-BG"/>
        </w:rPr>
        <w:t xml:space="preserve">за </w:t>
      </w:r>
      <w:r w:rsidR="000F0EED" w:rsidRPr="00F406ED">
        <w:rPr>
          <w:lang w:val="bg-BG"/>
        </w:rPr>
        <w:t>случилото се</w:t>
      </w:r>
      <w:r w:rsidR="00F406ED" w:rsidRPr="00F406ED">
        <w:rPr>
          <w:lang w:val="bg-BG"/>
        </w:rPr>
        <w:t>,</w:t>
      </w:r>
      <w:r w:rsidR="000F0EED" w:rsidRPr="00F406ED">
        <w:rPr>
          <w:lang w:val="bg-BG"/>
        </w:rPr>
        <w:t xml:space="preserve"> преди да се върнат, за да </w:t>
      </w:r>
      <w:r w:rsidR="00F406ED" w:rsidRPr="00F406ED">
        <w:rPr>
          <w:lang w:val="bg-BG"/>
        </w:rPr>
        <w:t>охраняват</w:t>
      </w:r>
      <w:r w:rsidR="000F0EED" w:rsidRPr="00F406ED">
        <w:rPr>
          <w:lang w:val="bg-BG"/>
        </w:rPr>
        <w:t xml:space="preserve"> местопроизшествието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 xml:space="preserve">Няколко минувачи също се събират около тялото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16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0F0EED" w:rsidRPr="00F406ED">
        <w:rPr>
          <w:lang w:val="bg-BG"/>
        </w:rPr>
        <w:t xml:space="preserve">Няколко минути след стрелбата пристига полицейска кола и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 xml:space="preserve">е </w:t>
      </w:r>
      <w:r w:rsidR="00F406ED" w:rsidRPr="00F406ED">
        <w:rPr>
          <w:lang w:val="bg-BG"/>
        </w:rPr>
        <w:t>о</w:t>
      </w:r>
      <w:r w:rsidR="001524D4">
        <w:rPr>
          <w:lang w:val="bg-BG"/>
        </w:rPr>
        <w:t>т</w:t>
      </w:r>
      <w:r w:rsidR="00F406ED" w:rsidRPr="00F406ED">
        <w:rPr>
          <w:lang w:val="bg-BG"/>
        </w:rPr>
        <w:t>каран</w:t>
      </w:r>
      <w:r w:rsidR="000F0EED" w:rsidRPr="00F406ED">
        <w:rPr>
          <w:lang w:val="bg-BG"/>
        </w:rPr>
        <w:t xml:space="preserve"> в спешното отделение на болница „Пирогов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 xml:space="preserve">. </w:t>
      </w:r>
      <w:r w:rsidR="000F0EED" w:rsidRPr="00F406ED">
        <w:rPr>
          <w:lang w:val="bg-BG"/>
        </w:rPr>
        <w:t>Той пристига там в безсъзнание в 20:</w:t>
      </w:r>
      <w:r w:rsidR="00280445" w:rsidRPr="00F406ED">
        <w:rPr>
          <w:lang w:val="bg-BG"/>
        </w:rPr>
        <w:t>45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ч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0F0EED" w:rsidRPr="00F406ED">
        <w:rPr>
          <w:lang w:val="bg-BG"/>
        </w:rPr>
        <w:t>Независимо от проведената спешна мозъчна операция</w:t>
      </w:r>
      <w:r w:rsidR="00280445" w:rsidRPr="00F406ED">
        <w:rPr>
          <w:lang w:val="bg-BG"/>
        </w:rPr>
        <w:t xml:space="preserve">, </w:t>
      </w:r>
      <w:r w:rsidR="000F0EED" w:rsidRPr="00F406ED">
        <w:rPr>
          <w:lang w:val="bg-BG"/>
        </w:rPr>
        <w:t>то</w:t>
      </w:r>
      <w:r w:rsidR="000E1570" w:rsidRPr="00F406ED">
        <w:rPr>
          <w:lang w:val="bg-BG"/>
        </w:rPr>
        <w:t>й</w:t>
      </w:r>
      <w:r w:rsidR="000F0EED" w:rsidRPr="00F406ED">
        <w:rPr>
          <w:lang w:val="bg-BG"/>
        </w:rPr>
        <w:t xml:space="preserve"> умира ден и половина по-късно</w:t>
      </w:r>
      <w:r w:rsidR="00F406ED" w:rsidRPr="00F406ED">
        <w:rPr>
          <w:lang w:val="bg-BG"/>
        </w:rPr>
        <w:t>,</w:t>
      </w:r>
      <w:r w:rsidR="000F0EED" w:rsidRPr="00F406ED">
        <w:rPr>
          <w:lang w:val="bg-BG"/>
        </w:rPr>
        <w:t xml:space="preserve"> в </w:t>
      </w:r>
      <w:r w:rsidR="000E70FD" w:rsidRPr="00F406ED">
        <w:rPr>
          <w:lang w:val="bg-BG"/>
        </w:rPr>
        <w:t>10</w:t>
      </w:r>
      <w:r w:rsidR="00F406ED" w:rsidRPr="00F406ED">
        <w:rPr>
          <w:lang w:val="bg-BG"/>
        </w:rPr>
        <w:t xml:space="preserve">:00 </w:t>
      </w:r>
      <w:r w:rsidR="000F0EED" w:rsidRPr="00F406ED">
        <w:rPr>
          <w:lang w:val="bg-BG"/>
        </w:rPr>
        <w:t xml:space="preserve">ч. на </w:t>
      </w:r>
      <w:r w:rsidR="00280445" w:rsidRPr="00F406ED">
        <w:rPr>
          <w:lang w:val="bg-BG"/>
        </w:rPr>
        <w:t xml:space="preserve">7 </w:t>
      </w:r>
      <w:r w:rsidR="000F0EED" w:rsidRPr="00F406ED">
        <w:rPr>
          <w:lang w:val="bg-BG"/>
        </w:rPr>
        <w:t xml:space="preserve">юни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</w:p>
    <w:p w:rsidR="00280445" w:rsidRPr="00F406ED" w:rsidRDefault="00005AA2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Б</w:t>
      </w:r>
      <w:r w:rsidR="00280445" w:rsidRPr="00F406ED">
        <w:rPr>
          <w:lang w:val="bg-BG"/>
        </w:rPr>
        <w:t>.  </w:t>
      </w:r>
      <w:r w:rsidRPr="00F406ED">
        <w:rPr>
          <w:lang w:val="bg-BG"/>
        </w:rPr>
        <w:t>Разследването</w:t>
      </w:r>
    </w:p>
    <w:bookmarkStart w:id="11" w:name="inspection_scene"/>
    <w:p w:rsidR="00EC6FDF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EC6F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17</w:t>
      </w:r>
      <w:r w:rsidRPr="00F406ED">
        <w:rPr>
          <w:lang w:val="bg-BG"/>
        </w:rPr>
        <w:fldChar w:fldCharType="end"/>
      </w:r>
      <w:bookmarkEnd w:id="11"/>
      <w:r w:rsidR="00EC6FDF" w:rsidRPr="00F406ED">
        <w:rPr>
          <w:lang w:val="bg-BG"/>
        </w:rPr>
        <w:t>.  </w:t>
      </w:r>
      <w:r w:rsidR="00D70D7F" w:rsidRPr="00F406ED">
        <w:rPr>
          <w:lang w:val="bg-BG"/>
        </w:rPr>
        <w:t>След като е уведомен за инцидента</w:t>
      </w:r>
      <w:r w:rsidR="00EC6FDF" w:rsidRPr="00F406ED">
        <w:rPr>
          <w:lang w:val="bg-BG"/>
        </w:rPr>
        <w:t xml:space="preserve">, </w:t>
      </w:r>
      <w:r w:rsidR="00D70D7F" w:rsidRPr="00F406ED">
        <w:rPr>
          <w:lang w:val="bg-BG"/>
        </w:rPr>
        <w:t xml:space="preserve">между </w:t>
      </w:r>
      <w:r w:rsidR="000F0EED" w:rsidRPr="00F406ED">
        <w:rPr>
          <w:lang w:val="bg-BG"/>
        </w:rPr>
        <w:t>21:</w:t>
      </w:r>
      <w:r w:rsidR="00EC6FDF" w:rsidRPr="00F406ED">
        <w:rPr>
          <w:lang w:val="bg-BG"/>
        </w:rPr>
        <w:t>15</w:t>
      </w:r>
      <w:r w:rsidR="000F0EED" w:rsidRPr="00F406ED">
        <w:rPr>
          <w:lang w:val="bg-BG"/>
        </w:rPr>
        <w:t xml:space="preserve"> ч. </w:t>
      </w:r>
      <w:r w:rsidR="00D70D7F" w:rsidRPr="00F406ED">
        <w:rPr>
          <w:lang w:val="bg-BG"/>
        </w:rPr>
        <w:t xml:space="preserve">и </w:t>
      </w:r>
      <w:r w:rsidR="000F0EED" w:rsidRPr="00F406ED">
        <w:rPr>
          <w:lang w:val="bg-BG"/>
        </w:rPr>
        <w:t>21:</w:t>
      </w:r>
      <w:r w:rsidR="0006561F" w:rsidRPr="00F406ED">
        <w:rPr>
          <w:lang w:val="bg-BG"/>
        </w:rPr>
        <w:t>28</w:t>
      </w:r>
      <w:r w:rsidR="000F0EED" w:rsidRPr="00F406ED">
        <w:rPr>
          <w:lang w:val="bg-BG"/>
        </w:rPr>
        <w:t xml:space="preserve"> ч. на </w:t>
      </w:r>
      <w:r w:rsidR="00EC6FDF" w:rsidRPr="00F406ED">
        <w:rPr>
          <w:lang w:val="bg-BG"/>
        </w:rPr>
        <w:t xml:space="preserve">5 </w:t>
      </w:r>
      <w:r w:rsidR="000F0EED" w:rsidRPr="00F406ED">
        <w:rPr>
          <w:lang w:val="bg-BG"/>
        </w:rPr>
        <w:t>ю</w:t>
      </w:r>
      <w:r w:rsidR="00EF6301" w:rsidRPr="00F406ED">
        <w:rPr>
          <w:lang w:val="bg-BG"/>
        </w:rPr>
        <w:t>ни</w:t>
      </w:r>
      <w:r w:rsidR="00F406ED" w:rsidRPr="00F406ED">
        <w:rPr>
          <w:lang w:val="bg-BG"/>
        </w:rPr>
        <w:t xml:space="preserve">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 xml:space="preserve"> г., </w:t>
      </w:r>
      <w:r w:rsidR="00D70D7F" w:rsidRPr="00F406ED">
        <w:rPr>
          <w:lang w:val="bg-BG"/>
        </w:rPr>
        <w:t xml:space="preserve">дежурен следовател от Софийска следствена служба преглежда мястото на стрелбата и килията, в която е държан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CB47C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Той съставя скица и прави снимки</w:t>
      </w:r>
      <w:r w:rsidR="00B4429B" w:rsidRPr="00F406ED">
        <w:rPr>
          <w:lang w:val="bg-BG"/>
        </w:rPr>
        <w:t xml:space="preserve">, </w:t>
      </w:r>
      <w:r w:rsidR="00D70D7F" w:rsidRPr="00F406ED">
        <w:rPr>
          <w:lang w:val="bg-BG"/>
        </w:rPr>
        <w:t xml:space="preserve">но </w:t>
      </w:r>
      <w:r w:rsidR="000E1570" w:rsidRPr="00F406ED">
        <w:rPr>
          <w:lang w:val="bg-BG"/>
        </w:rPr>
        <w:t xml:space="preserve">не </w:t>
      </w:r>
      <w:r w:rsidR="00D70D7F" w:rsidRPr="00F406ED">
        <w:rPr>
          <w:lang w:val="bg-BG"/>
        </w:rPr>
        <w:t xml:space="preserve">се опитва да установи разстоянието между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 xml:space="preserve">и 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E277CD">
        <w:rPr>
          <w:lang w:val="bg-BG"/>
        </w:rPr>
        <w:t xml:space="preserve"> </w:t>
      </w:r>
      <w:r w:rsidR="00D70D7F" w:rsidRPr="00F406ED">
        <w:rPr>
          <w:lang w:val="bg-BG"/>
        </w:rPr>
        <w:t>в момента на стрелбата</w:t>
      </w:r>
      <w:r w:rsidR="00B4429B" w:rsidRPr="00F406ED">
        <w:rPr>
          <w:lang w:val="bg-BG"/>
        </w:rPr>
        <w:t xml:space="preserve">. </w:t>
      </w:r>
      <w:r w:rsidR="00D70D7F" w:rsidRPr="00F406ED">
        <w:rPr>
          <w:lang w:val="bg-BG"/>
        </w:rPr>
        <w:t>Той изземва</w:t>
      </w:r>
      <w:r w:rsidR="00442F57" w:rsidRPr="00F406ED">
        <w:rPr>
          <w:lang w:val="bg-BG"/>
        </w:rPr>
        <w:t>:</w:t>
      </w:r>
      <w:r w:rsidR="00DC6252" w:rsidRPr="00F406ED">
        <w:rPr>
          <w:lang w:val="bg-BG"/>
        </w:rPr>
        <w:t xml:space="preserve"> a)</w:t>
      </w:r>
      <w:r w:rsidR="00D70D7F" w:rsidRPr="00F406ED">
        <w:rPr>
          <w:lang w:val="bg-BG"/>
        </w:rPr>
        <w:t> </w:t>
      </w:r>
      <w:r w:rsidR="00586CD2" w:rsidRPr="00F406ED">
        <w:rPr>
          <w:lang w:val="bg-BG"/>
        </w:rPr>
        <w:t>изпраз</w:t>
      </w:r>
      <w:r w:rsidR="00AF7E0A" w:rsidRPr="00F406ED">
        <w:rPr>
          <w:lang w:val="bg-BG"/>
        </w:rPr>
        <w:t>н</w:t>
      </w:r>
      <w:r w:rsidR="00586CD2" w:rsidRPr="00F406ED">
        <w:rPr>
          <w:lang w:val="bg-BG"/>
        </w:rPr>
        <w:t>ен</w:t>
      </w:r>
      <w:r w:rsidR="00D70D7F" w:rsidRPr="00F406ED">
        <w:rPr>
          <w:lang w:val="bg-BG"/>
        </w:rPr>
        <w:t xml:space="preserve"> пълнител, намерен на неуточнено място на улица „Зайчар</w:t>
      </w:r>
      <w:r w:rsidR="00F406ED" w:rsidRPr="00F406ED">
        <w:rPr>
          <w:lang w:val="bg-BG"/>
        </w:rPr>
        <w:t>“</w:t>
      </w:r>
      <w:r w:rsidR="00D70D7F" w:rsidRPr="00F406ED">
        <w:rPr>
          <w:lang w:val="bg-BG"/>
        </w:rPr>
        <w:t xml:space="preserve"> от капитан </w:t>
      </w:r>
      <w:r w:rsidR="00484475" w:rsidRPr="00F406ED">
        <w:rPr>
          <w:lang w:val="bg-BG"/>
        </w:rPr>
        <w:t>T.M.</w:t>
      </w:r>
      <w:r w:rsidR="00D70D7F" w:rsidRPr="00F406ED">
        <w:rPr>
          <w:lang w:val="bg-BG"/>
        </w:rPr>
        <w:t>, който седял със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сина си в кафене близо до мястото на инцидента</w:t>
      </w:r>
      <w:r w:rsidR="00442F57" w:rsidRPr="00F406ED">
        <w:rPr>
          <w:lang w:val="bg-BG"/>
        </w:rPr>
        <w:t>;</w:t>
      </w:r>
      <w:r w:rsidR="00DC6252" w:rsidRPr="00F406ED">
        <w:rPr>
          <w:lang w:val="bg-BG"/>
        </w:rPr>
        <w:t xml:space="preserve"> </w:t>
      </w:r>
      <w:r w:rsidR="00D70D7F" w:rsidRPr="00F406ED">
        <w:rPr>
          <w:lang w:val="bg-BG"/>
        </w:rPr>
        <w:t>б</w:t>
      </w:r>
      <w:r w:rsidR="00DC6252" w:rsidRPr="00F406ED">
        <w:rPr>
          <w:lang w:val="bg-BG"/>
        </w:rPr>
        <w:t>)</w:t>
      </w:r>
      <w:r w:rsidR="00D70D7F" w:rsidRPr="00F406ED">
        <w:rPr>
          <w:lang w:val="bg-BG"/>
        </w:rPr>
        <w:t> напоени с ацетон тампони от ръцете на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A838A3" w:rsidRPr="00F406ED">
        <w:rPr>
          <w:lang w:val="bg-BG"/>
        </w:rPr>
        <w:t>;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в</w:t>
      </w:r>
      <w:r w:rsidR="00DC6252" w:rsidRPr="00F406ED">
        <w:rPr>
          <w:lang w:val="bg-BG"/>
        </w:rPr>
        <w:t>)</w:t>
      </w:r>
      <w:r w:rsidR="00D70D7F" w:rsidRPr="00F406ED">
        <w:rPr>
          <w:lang w:val="bg-BG"/>
        </w:rPr>
        <w:t> белезници от килията</w:t>
      </w:r>
      <w:r w:rsidR="00442F57" w:rsidRPr="00F406ED">
        <w:rPr>
          <w:lang w:val="bg-BG"/>
        </w:rPr>
        <w:t>;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и г</w:t>
      </w:r>
      <w:r w:rsidR="00DC6252" w:rsidRPr="00F406ED">
        <w:rPr>
          <w:lang w:val="bg-BG"/>
        </w:rPr>
        <w:t>)</w:t>
      </w:r>
      <w:r w:rsidR="00D70D7F" w:rsidRPr="00F406ED">
        <w:rPr>
          <w:lang w:val="bg-BG"/>
        </w:rPr>
        <w:t> счупената верига от вратата на килията</w:t>
      </w:r>
      <w:r w:rsidR="00416D23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 xml:space="preserve">След това той разпитва капитан </w:t>
      </w:r>
      <w:r w:rsidR="00E81231" w:rsidRPr="00F406ED">
        <w:rPr>
          <w:lang w:val="bg-BG"/>
        </w:rPr>
        <w:t>T.M.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и разпорежда експертиза на оръжието на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 xml:space="preserve">Сержантът дава писмено обяснение, в което казва, че се е целел в краката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71098D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18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D70D7F" w:rsidRPr="00F406ED">
        <w:rPr>
          <w:lang w:val="bg-BG"/>
        </w:rPr>
        <w:t>На</w:t>
      </w:r>
      <w:r w:rsidR="00BB0915" w:rsidRPr="00F406ED">
        <w:rPr>
          <w:lang w:val="bg-BG"/>
        </w:rPr>
        <w:t xml:space="preserve"> 6 </w:t>
      </w:r>
      <w:r w:rsidR="00D70D7F" w:rsidRPr="00F406ED">
        <w:rPr>
          <w:lang w:val="bg-BG"/>
        </w:rPr>
        <w:t>ю</w:t>
      </w:r>
      <w:r w:rsidR="00EF6301" w:rsidRPr="00F406ED">
        <w:rPr>
          <w:lang w:val="bg-BG"/>
        </w:rPr>
        <w:t>ни1997</w:t>
      </w:r>
      <w:r w:rsidR="00F406ED" w:rsidRPr="00F406ED">
        <w:rPr>
          <w:lang w:val="bg-BG"/>
        </w:rPr>
        <w:t xml:space="preserve"> г. </w:t>
      </w:r>
      <w:r w:rsidR="00D70D7F" w:rsidRPr="00F406ED">
        <w:rPr>
          <w:lang w:val="bg-BG"/>
        </w:rPr>
        <w:t>е взета кръвна проба от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Последващ тест установява отсъствието на алкохол или други упойващи вещества в кръвта му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19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D70D7F" w:rsidRPr="00F406ED">
        <w:rPr>
          <w:lang w:val="bg-BG"/>
        </w:rPr>
        <w:t>На</w:t>
      </w:r>
      <w:r w:rsidR="00280445" w:rsidRPr="00F406ED">
        <w:rPr>
          <w:lang w:val="bg-BG"/>
        </w:rPr>
        <w:t xml:space="preserve"> 9 </w:t>
      </w:r>
      <w:r w:rsidR="00C64A14" w:rsidRPr="00F406ED">
        <w:rPr>
          <w:lang w:val="bg-BG"/>
        </w:rPr>
        <w:t xml:space="preserve">юни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 специалист по съдебна медицина</w:t>
      </w:r>
      <w:r w:rsidR="00D70D7F" w:rsidRPr="00F406ED">
        <w:rPr>
          <w:lang w:val="bg-BG"/>
        </w:rPr>
        <w:t xml:space="preserve"> извършва аутопсия на тялото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>Той установява, че причината за смъртта е „огнестрелна рана на главата и мозъчно увреждане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D70D7F" w:rsidRPr="00F406ED">
        <w:rPr>
          <w:lang w:val="bg-BG"/>
        </w:rPr>
        <w:t xml:space="preserve">Освен това </w:t>
      </w:r>
      <w:r w:rsidR="00F406ED" w:rsidRPr="00F406ED">
        <w:rPr>
          <w:lang w:val="bg-BG"/>
        </w:rPr>
        <w:t xml:space="preserve">в </w:t>
      </w:r>
      <w:r w:rsidR="00D70D7F" w:rsidRPr="00F406ED">
        <w:rPr>
          <w:lang w:val="bg-BG"/>
        </w:rPr>
        <w:t>доклад</w:t>
      </w:r>
      <w:r w:rsidR="00F406ED" w:rsidRPr="00F406ED">
        <w:rPr>
          <w:lang w:val="bg-BG"/>
        </w:rPr>
        <w:t>а се</w:t>
      </w:r>
      <w:r w:rsidR="00D70D7F" w:rsidRPr="00F406ED">
        <w:rPr>
          <w:lang w:val="bg-BG"/>
        </w:rPr>
        <w:t xml:space="preserve"> отбелязва, че има охлузвания на лицето и коленето му</w:t>
      </w:r>
      <w:r w:rsidR="00280445" w:rsidRPr="00F406ED">
        <w:rPr>
          <w:lang w:val="bg-BG"/>
        </w:rPr>
        <w:t xml:space="preserve">, </w:t>
      </w:r>
      <w:r w:rsidR="00F818B8" w:rsidRPr="00F406ED">
        <w:rPr>
          <w:lang w:val="bg-BG"/>
        </w:rPr>
        <w:t xml:space="preserve">което </w:t>
      </w:r>
      <w:r w:rsidR="00F406ED" w:rsidRPr="00F406ED">
        <w:rPr>
          <w:lang w:val="bg-BG"/>
        </w:rPr>
        <w:t>се отдава</w:t>
      </w:r>
      <w:r w:rsidR="00F818B8" w:rsidRPr="00F406ED">
        <w:rPr>
          <w:lang w:val="bg-BG"/>
        </w:rPr>
        <w:t xml:space="preserve"> на падането му</w:t>
      </w:r>
      <w:r w:rsidR="00A838A3" w:rsidRPr="00F406ED">
        <w:rPr>
          <w:lang w:val="bg-BG"/>
        </w:rPr>
        <w:t xml:space="preserve">, </w:t>
      </w:r>
      <w:r w:rsidR="00F818B8" w:rsidRPr="00F406ED">
        <w:rPr>
          <w:lang w:val="bg-BG"/>
        </w:rPr>
        <w:t>първо по лице</w:t>
      </w:r>
      <w:r w:rsidR="00A838A3" w:rsidRPr="00F406ED">
        <w:rPr>
          <w:lang w:val="bg-BG"/>
        </w:rPr>
        <w:t xml:space="preserve">, </w:t>
      </w:r>
      <w:r w:rsidR="00F818B8" w:rsidRPr="00F406ED">
        <w:rPr>
          <w:lang w:val="bg-BG"/>
        </w:rPr>
        <w:t>след като е прострелян</w:t>
      </w:r>
      <w:r w:rsidR="00280445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20</w:t>
      </w:r>
      <w:r w:rsidRPr="00F406ED">
        <w:rPr>
          <w:lang w:val="bg-BG"/>
        </w:rPr>
        <w:fldChar w:fldCharType="end"/>
      </w:r>
      <w:r w:rsidR="00FE66F2" w:rsidRPr="00F406ED">
        <w:rPr>
          <w:lang w:val="bg-BG"/>
        </w:rPr>
        <w:t>.  </w:t>
      </w:r>
      <w:r w:rsidR="00F818B8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16 </w:t>
      </w:r>
      <w:r w:rsidR="00F406ED" w:rsidRPr="00F406ED">
        <w:rPr>
          <w:lang w:val="bg-BG"/>
        </w:rPr>
        <w:t xml:space="preserve">юни1997 г. </w:t>
      </w:r>
      <w:r w:rsidR="00F818B8" w:rsidRPr="00F406ED">
        <w:rPr>
          <w:lang w:val="bg-BG"/>
        </w:rPr>
        <w:t xml:space="preserve">Софийска районна военна прокуратура отказва да образува предварително разследване </w:t>
      </w:r>
      <w:r w:rsidR="00F406ED" w:rsidRPr="00F406ED">
        <w:rPr>
          <w:lang w:val="bg-BG"/>
        </w:rPr>
        <w:t>на</w:t>
      </w:r>
      <w:r w:rsidR="00F818B8" w:rsidRPr="00F406ED">
        <w:rPr>
          <w:lang w:val="bg-BG"/>
        </w:rPr>
        <w:t xml:space="preserve"> инцидента</w:t>
      </w:r>
      <w:r w:rsidR="00413E9A" w:rsidRPr="00F406ED">
        <w:rPr>
          <w:lang w:val="bg-BG"/>
        </w:rPr>
        <w:t xml:space="preserve">, </w:t>
      </w:r>
      <w:r w:rsidR="00F818B8" w:rsidRPr="00F406ED">
        <w:rPr>
          <w:lang w:val="bg-BG"/>
        </w:rPr>
        <w:t>като констатира, че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F818B8" w:rsidRPr="00F406ED">
        <w:rPr>
          <w:lang w:val="bg-BG"/>
        </w:rPr>
        <w:t>е действал в съответствие с член </w:t>
      </w:r>
      <w:r w:rsidR="00C64A14" w:rsidRPr="00F406ED">
        <w:rPr>
          <w:lang w:val="bg-BG"/>
        </w:rPr>
        <w:t>42, ал.</w:t>
      </w:r>
      <w:r w:rsidR="00F406ED" w:rsidRPr="00F406ED">
        <w:rPr>
          <w:lang w:val="bg-BG"/>
        </w:rPr>
        <w:t xml:space="preserve"> </w:t>
      </w:r>
      <w:r w:rsidR="00C64A14" w:rsidRPr="00F406ED">
        <w:rPr>
          <w:lang w:val="bg-BG"/>
        </w:rPr>
        <w:t>1, т.</w:t>
      </w:r>
      <w:r w:rsidR="00F406ED" w:rsidRPr="00F406ED">
        <w:rPr>
          <w:lang w:val="bg-BG"/>
        </w:rPr>
        <w:t xml:space="preserve"> </w:t>
      </w:r>
      <w:r w:rsidR="00C64A14" w:rsidRPr="00F406ED">
        <w:rPr>
          <w:lang w:val="bg-BG"/>
        </w:rPr>
        <w:t>5</w:t>
      </w:r>
      <w:r w:rsidR="00F406ED" w:rsidRPr="00F406ED">
        <w:rPr>
          <w:lang w:val="bg-BG"/>
        </w:rPr>
        <w:t xml:space="preserve"> </w:t>
      </w:r>
      <w:r w:rsidR="00F818B8" w:rsidRPr="00F406ED">
        <w:rPr>
          <w:lang w:val="bg-BG"/>
        </w:rPr>
        <w:t xml:space="preserve">от Закона за </w:t>
      </w:r>
      <w:r w:rsidR="00222AA8" w:rsidRPr="00F406ED">
        <w:rPr>
          <w:lang w:val="bg-BG"/>
        </w:rPr>
        <w:t xml:space="preserve">националната </w:t>
      </w:r>
      <w:r w:rsidR="00F818B8" w:rsidRPr="00F406ED">
        <w:rPr>
          <w:lang w:val="bg-BG"/>
        </w:rPr>
        <w:t xml:space="preserve">полиция от </w:t>
      </w:r>
      <w:r w:rsidR="00413E9A" w:rsidRPr="00F406ED">
        <w:rPr>
          <w:lang w:val="bg-BG"/>
        </w:rPr>
        <w:t>1993</w:t>
      </w:r>
      <w:r w:rsidR="00F406ED" w:rsidRPr="00F406ED">
        <w:rPr>
          <w:lang w:val="bg-BG"/>
        </w:rPr>
        <w:t> г.</w:t>
      </w:r>
      <w:r w:rsidR="00F818B8" w:rsidRPr="00F406ED">
        <w:rPr>
          <w:lang w:val="bg-BG"/>
        </w:rPr>
        <w:t xml:space="preserve"> </w:t>
      </w:r>
      <w:r w:rsidR="00413E9A" w:rsidRPr="00F406ED">
        <w:rPr>
          <w:lang w:val="bg-BG"/>
        </w:rPr>
        <w:t>(</w:t>
      </w:r>
      <w:r w:rsidR="00F818B8" w:rsidRPr="00F406ED">
        <w:rPr>
          <w:lang w:val="bg-BG"/>
        </w:rPr>
        <w:t xml:space="preserve">виж параграф </w:t>
      </w:r>
      <w:r w:rsidRPr="00F406ED">
        <w:rPr>
          <w:lang w:val="bg-BG"/>
        </w:rPr>
        <w:fldChar w:fldCharType="begin"/>
      </w:r>
      <w:r w:rsidR="00413E9A" w:rsidRPr="00F406ED">
        <w:rPr>
          <w:lang w:val="bg-BG"/>
        </w:rPr>
        <w:instrText xml:space="preserve"> REF RDL_section_42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44</w:t>
      </w:r>
      <w:r w:rsidRPr="00F406ED">
        <w:rPr>
          <w:lang w:val="bg-BG"/>
        </w:rPr>
        <w:fldChar w:fldCharType="end"/>
      </w:r>
      <w:r w:rsidR="00F406ED" w:rsidRPr="00F406ED">
        <w:rPr>
          <w:lang w:val="bg-BG"/>
        </w:rPr>
        <w:t xml:space="preserve"> </w:t>
      </w:r>
      <w:r w:rsidR="00F818B8" w:rsidRPr="00F406ED">
        <w:rPr>
          <w:lang w:val="bg-BG"/>
        </w:rPr>
        <w:t>по-долу</w:t>
      </w:r>
      <w:r w:rsidR="00413E9A" w:rsidRPr="00F406ED">
        <w:rPr>
          <w:lang w:val="bg-BG"/>
        </w:rPr>
        <w:t xml:space="preserve">). </w:t>
      </w:r>
      <w:r w:rsidR="00222AA8" w:rsidRPr="00F406ED">
        <w:rPr>
          <w:lang w:val="bg-BG"/>
        </w:rPr>
        <w:t>Той използвал огнестрелното си оръжие</w:t>
      </w:r>
      <w:r w:rsidR="00F406ED" w:rsidRPr="00F406ED">
        <w:rPr>
          <w:lang w:val="bg-BG"/>
        </w:rPr>
        <w:t>,</w:t>
      </w:r>
      <w:r w:rsidR="00222AA8" w:rsidRPr="00F406ED">
        <w:rPr>
          <w:lang w:val="bg-BG"/>
        </w:rPr>
        <w:t xml:space="preserve"> след като е дал предупреждение, за да предотврати бягството на задържано лице</w:t>
      </w:r>
      <w:r w:rsidR="00413E9A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222AA8" w:rsidRPr="00F406ED">
        <w:rPr>
          <w:lang w:val="bg-BG"/>
        </w:rPr>
        <w:t>Поради това действието му не било престъпно</w:t>
      </w:r>
      <w:r w:rsidR="00F94FBE" w:rsidRPr="00F406ED">
        <w:rPr>
          <w:lang w:val="bg-BG"/>
        </w:rPr>
        <w:t>.</w:t>
      </w:r>
    </w:p>
    <w:bookmarkStart w:id="12" w:name="investigaton_opening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21</w:t>
      </w:r>
      <w:r w:rsidRPr="00F406ED">
        <w:rPr>
          <w:lang w:val="bg-BG"/>
        </w:rPr>
        <w:fldChar w:fldCharType="end"/>
      </w:r>
      <w:bookmarkEnd w:id="12"/>
      <w:r w:rsidR="00FE66F2" w:rsidRPr="00F406ED">
        <w:rPr>
          <w:lang w:val="bg-BG"/>
        </w:rPr>
        <w:t>.  </w:t>
      </w:r>
      <w:r w:rsidR="008E7BA7" w:rsidRPr="00F406ED">
        <w:rPr>
          <w:lang w:val="bg-BG"/>
        </w:rPr>
        <w:t xml:space="preserve">По молба на </w:t>
      </w:r>
      <w:r w:rsidR="002B4892" w:rsidRPr="00F406ED">
        <w:rPr>
          <w:lang w:val="bg-BG"/>
        </w:rPr>
        <w:t>жалбоподателката</w:t>
      </w:r>
      <w:r w:rsidR="00C4276D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24 </w:t>
      </w:r>
      <w:r w:rsidR="008E7BA7" w:rsidRPr="00F406ED">
        <w:rPr>
          <w:lang w:val="bg-BG"/>
        </w:rPr>
        <w:t>февруари</w:t>
      </w:r>
      <w:r w:rsidR="00280445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8E7BA7" w:rsidRPr="00F406ED">
        <w:rPr>
          <w:lang w:val="bg-BG"/>
        </w:rPr>
        <w:t xml:space="preserve"> Главната военна прокуратура отменя това решение, като констатира, че откриването на предварително производство при такива обстоятелства е задължително</w:t>
      </w:r>
      <w:r w:rsidR="002C6FDC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8E7BA7" w:rsidRPr="00F406ED">
        <w:rPr>
          <w:lang w:val="bg-BG"/>
        </w:rPr>
        <w:t>Съответно</w:t>
      </w:r>
      <w:r w:rsidR="00A93F46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4 </w:t>
      </w:r>
      <w:r w:rsidR="008E7BA7" w:rsidRPr="00F406ED">
        <w:rPr>
          <w:lang w:val="bg-BG"/>
        </w:rPr>
        <w:t>март</w:t>
      </w:r>
      <w:r w:rsidR="00280445" w:rsidRPr="00F406ED">
        <w:rPr>
          <w:lang w:val="bg-BG"/>
        </w:rPr>
        <w:t xml:space="preserve"> 1998</w:t>
      </w:r>
      <w:r w:rsidR="008E7BA7" w:rsidRPr="00F406ED">
        <w:rPr>
          <w:lang w:val="bg-BG"/>
        </w:rPr>
        <w:t> г</w:t>
      </w:r>
      <w:r w:rsidR="00F406ED" w:rsidRPr="00F406ED">
        <w:rPr>
          <w:lang w:val="bg-BG"/>
        </w:rPr>
        <w:t>.</w:t>
      </w:r>
      <w:r w:rsidR="008E7BA7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8B225E" w:rsidRPr="00F406ED">
        <w:rPr>
          <w:lang w:val="bg-BG"/>
        </w:rPr>
        <w:t>Софийска военно-окръжна прокуратура</w:t>
      </w:r>
      <w:r w:rsidR="008E7BA7" w:rsidRPr="00F406ED">
        <w:rPr>
          <w:lang w:val="bg-BG"/>
        </w:rPr>
        <w:t xml:space="preserve"> открива разследване и на </w:t>
      </w:r>
      <w:r w:rsidR="00A27CA5" w:rsidRPr="00F406ED">
        <w:rPr>
          <w:lang w:val="bg-BG"/>
        </w:rPr>
        <w:t xml:space="preserve">6 </w:t>
      </w:r>
      <w:r w:rsidR="008E7BA7" w:rsidRPr="00F406ED">
        <w:rPr>
          <w:lang w:val="bg-BG"/>
        </w:rPr>
        <w:t>март</w:t>
      </w:r>
      <w:r w:rsidR="00A27CA5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8E7BA7" w:rsidRPr="00F406ED">
        <w:rPr>
          <w:lang w:val="bg-BG"/>
        </w:rPr>
        <w:t xml:space="preserve"> изпраща преписката по делото</w:t>
      </w:r>
      <w:r w:rsidR="00F406ED" w:rsidRPr="00F406ED">
        <w:rPr>
          <w:lang w:val="bg-BG"/>
        </w:rPr>
        <w:t xml:space="preserve"> </w:t>
      </w:r>
      <w:r w:rsidR="008E7BA7" w:rsidRPr="00F406ED">
        <w:rPr>
          <w:lang w:val="bg-BG"/>
        </w:rPr>
        <w:t>на военен следовател</w:t>
      </w:r>
      <w:r w:rsidR="00280445" w:rsidRPr="00F406ED">
        <w:rPr>
          <w:lang w:val="bg-BG"/>
        </w:rPr>
        <w:t>.</w:t>
      </w:r>
    </w:p>
    <w:bookmarkStart w:id="13" w:name="interviews"/>
    <w:p w:rsidR="00B63BB4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CD273C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22</w:t>
      </w:r>
      <w:r w:rsidRPr="00F406ED">
        <w:rPr>
          <w:lang w:val="bg-BG"/>
        </w:rPr>
        <w:fldChar w:fldCharType="end"/>
      </w:r>
      <w:bookmarkEnd w:id="13"/>
      <w:r w:rsidR="00CD273C" w:rsidRPr="00F406ED">
        <w:rPr>
          <w:lang w:val="bg-BG"/>
        </w:rPr>
        <w:t>.  </w:t>
      </w:r>
      <w:r w:rsidR="008E7BA7" w:rsidRPr="00F406ED">
        <w:rPr>
          <w:lang w:val="bg-BG"/>
        </w:rPr>
        <w:t>На</w:t>
      </w:r>
      <w:r w:rsidR="00CD273C" w:rsidRPr="00F406ED">
        <w:rPr>
          <w:lang w:val="bg-BG"/>
        </w:rPr>
        <w:t xml:space="preserve"> 7</w:t>
      </w:r>
      <w:r w:rsidR="00D759D6" w:rsidRPr="00F406ED">
        <w:rPr>
          <w:lang w:val="bg-BG"/>
        </w:rPr>
        <w:t xml:space="preserve">, </w:t>
      </w:r>
      <w:r w:rsidR="007C041D" w:rsidRPr="00F406ED">
        <w:rPr>
          <w:lang w:val="bg-BG"/>
        </w:rPr>
        <w:t xml:space="preserve">13, 27 </w:t>
      </w:r>
      <w:r w:rsidR="008E7BA7" w:rsidRPr="00F406ED">
        <w:rPr>
          <w:lang w:val="bg-BG"/>
        </w:rPr>
        <w:t xml:space="preserve">и </w:t>
      </w:r>
      <w:r w:rsidR="00D759D6" w:rsidRPr="00F406ED">
        <w:rPr>
          <w:lang w:val="bg-BG"/>
        </w:rPr>
        <w:t xml:space="preserve">28 </w:t>
      </w:r>
      <w:r w:rsidR="002B4892" w:rsidRPr="00F406ED">
        <w:rPr>
          <w:lang w:val="bg-BG"/>
        </w:rPr>
        <w:t>април</w:t>
      </w:r>
      <w:r w:rsidR="002974EE" w:rsidRPr="00F406ED">
        <w:rPr>
          <w:lang w:val="bg-BG"/>
        </w:rPr>
        <w:t xml:space="preserve">, </w:t>
      </w:r>
      <w:r w:rsidR="00C44D71" w:rsidRPr="00F406ED">
        <w:rPr>
          <w:lang w:val="bg-BG"/>
        </w:rPr>
        <w:t xml:space="preserve">25 </w:t>
      </w:r>
      <w:r w:rsidR="008E7BA7" w:rsidRPr="00F406ED">
        <w:rPr>
          <w:lang w:val="bg-BG"/>
        </w:rPr>
        <w:t xml:space="preserve">май и </w:t>
      </w:r>
      <w:r w:rsidR="002974EE" w:rsidRPr="00F406ED">
        <w:rPr>
          <w:lang w:val="bg-BG"/>
        </w:rPr>
        <w:t xml:space="preserve">4 </w:t>
      </w:r>
      <w:r w:rsidR="008E7BA7" w:rsidRPr="00F406ED">
        <w:rPr>
          <w:lang w:val="bg-BG"/>
        </w:rPr>
        <w:t xml:space="preserve">юни </w:t>
      </w:r>
      <w:r w:rsidR="00CD273C" w:rsidRPr="00F406ED">
        <w:rPr>
          <w:lang w:val="bg-BG"/>
        </w:rPr>
        <w:t>1998</w:t>
      </w:r>
      <w:r w:rsidR="00F406ED" w:rsidRPr="00F406ED">
        <w:rPr>
          <w:lang w:val="bg-BG"/>
        </w:rPr>
        <w:t> г.</w:t>
      </w:r>
      <w:r w:rsidR="008E7BA7" w:rsidRPr="00F406ED">
        <w:rPr>
          <w:lang w:val="bg-BG"/>
        </w:rPr>
        <w:t xml:space="preserve"> следователят разпитва капитани </w:t>
      </w:r>
      <w:r w:rsidR="00B63BB4" w:rsidRPr="00F406ED">
        <w:rPr>
          <w:lang w:val="bg-BG"/>
        </w:rPr>
        <w:t>T.M.</w:t>
      </w:r>
      <w:r w:rsidR="00F406ED" w:rsidRPr="00F406ED">
        <w:rPr>
          <w:lang w:val="bg-BG"/>
        </w:rPr>
        <w:t xml:space="preserve"> </w:t>
      </w:r>
      <w:r w:rsidR="008E7BA7" w:rsidRPr="00F406ED">
        <w:rPr>
          <w:lang w:val="bg-BG"/>
        </w:rPr>
        <w:t>и В</w:t>
      </w:r>
      <w:r w:rsidR="00B63BB4" w:rsidRPr="00F406ED">
        <w:rPr>
          <w:lang w:val="bg-BG"/>
        </w:rPr>
        <w:t>.</w:t>
      </w:r>
      <w:r w:rsidR="008E7BA7" w:rsidRPr="00F406ED">
        <w:rPr>
          <w:lang w:val="bg-BG"/>
        </w:rPr>
        <w:t>С</w:t>
      </w:r>
      <w:r w:rsidR="00B63BB4" w:rsidRPr="00F406ED">
        <w:rPr>
          <w:lang w:val="bg-BG"/>
        </w:rPr>
        <w:t>.</w:t>
      </w:r>
      <w:r w:rsidR="0097104E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8E7BA7" w:rsidRPr="00F406ED">
        <w:rPr>
          <w:lang w:val="bg-BG"/>
        </w:rPr>
        <w:t xml:space="preserve">майор </w:t>
      </w:r>
      <w:r w:rsidR="00A80F0B" w:rsidRPr="00F406ED">
        <w:rPr>
          <w:lang w:val="bg-BG"/>
        </w:rPr>
        <w:t>Н.К.</w:t>
      </w:r>
      <w:r w:rsidR="007F6AB3" w:rsidRPr="00F406ED">
        <w:rPr>
          <w:lang w:val="bg-BG"/>
        </w:rPr>
        <w:t xml:space="preserve">, </w:t>
      </w:r>
      <w:r w:rsidR="008E7BA7" w:rsidRPr="00F406ED">
        <w:rPr>
          <w:lang w:val="bg-BG"/>
        </w:rPr>
        <w:t>двама други служители от полицейското управление</w:t>
      </w:r>
      <w:r w:rsidR="0097104E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главни </w:t>
      </w:r>
      <w:r w:rsidR="00A80F0B" w:rsidRPr="00F406ED">
        <w:rPr>
          <w:lang w:val="bg-BG"/>
        </w:rPr>
        <w:t>сержант</w:t>
      </w:r>
      <w:r w:rsidR="008E7BA7" w:rsidRPr="00F406ED">
        <w:rPr>
          <w:lang w:val="bg-BG"/>
        </w:rPr>
        <w:t>и</w:t>
      </w:r>
      <w:r w:rsidR="00F406ED" w:rsidRPr="00F406ED">
        <w:rPr>
          <w:lang w:val="bg-BG"/>
        </w:rPr>
        <w:t xml:space="preserve"> </w:t>
      </w:r>
      <w:r w:rsidR="008E7BA7" w:rsidRPr="00F406ED">
        <w:rPr>
          <w:lang w:val="bg-BG"/>
        </w:rPr>
        <w:t>И</w:t>
      </w:r>
      <w:r w:rsidR="00552BD8" w:rsidRPr="00F406ED">
        <w:rPr>
          <w:lang w:val="bg-BG"/>
        </w:rPr>
        <w:t>.</w:t>
      </w:r>
      <w:r w:rsidR="008E7BA7" w:rsidRPr="00F406ED">
        <w:rPr>
          <w:lang w:val="bg-BG"/>
        </w:rPr>
        <w:t>И</w:t>
      </w:r>
      <w:r w:rsidR="00552BD8" w:rsidRPr="00F406ED">
        <w:rPr>
          <w:lang w:val="bg-BG"/>
        </w:rPr>
        <w:t>.</w:t>
      </w:r>
      <w:r w:rsidR="00FF1D61" w:rsidRPr="00F406ED">
        <w:rPr>
          <w:lang w:val="bg-BG"/>
        </w:rPr>
        <w:t xml:space="preserve">, </w:t>
      </w:r>
      <w:r w:rsidR="008E7BA7" w:rsidRPr="00F406ED">
        <w:rPr>
          <w:lang w:val="bg-BG"/>
        </w:rPr>
        <w:t>Т</w:t>
      </w:r>
      <w:r w:rsidR="00552BD8" w:rsidRPr="00F406ED">
        <w:rPr>
          <w:lang w:val="bg-BG"/>
        </w:rPr>
        <w:t>.</w:t>
      </w:r>
      <w:r w:rsidR="008E7BA7" w:rsidRPr="00F406ED">
        <w:rPr>
          <w:lang w:val="bg-BG"/>
        </w:rPr>
        <w:t>Б</w:t>
      </w:r>
      <w:r w:rsidR="00552BD8" w:rsidRPr="00F406ED">
        <w:rPr>
          <w:lang w:val="bg-BG"/>
        </w:rPr>
        <w:t>.</w:t>
      </w:r>
      <w:r w:rsidR="008E7BA7" w:rsidRPr="00F406ED">
        <w:rPr>
          <w:lang w:val="bg-BG"/>
        </w:rPr>
        <w:t xml:space="preserve"> и А</w:t>
      </w:r>
      <w:r w:rsidR="000E0571" w:rsidRPr="00F406ED">
        <w:rPr>
          <w:lang w:val="bg-BG"/>
        </w:rPr>
        <w:t>.</w:t>
      </w:r>
      <w:r w:rsidR="008E7BA7" w:rsidRPr="00F406ED">
        <w:rPr>
          <w:lang w:val="bg-BG"/>
        </w:rPr>
        <w:t>В</w:t>
      </w:r>
      <w:r w:rsidR="000E0571" w:rsidRPr="00F406ED">
        <w:rPr>
          <w:lang w:val="bg-BG"/>
        </w:rPr>
        <w:t xml:space="preserve">., </w:t>
      </w:r>
      <w:r w:rsidR="008E7BA7" w:rsidRPr="00F406ED">
        <w:rPr>
          <w:lang w:val="bg-BG"/>
        </w:rPr>
        <w:t>двама цивилни, жив</w:t>
      </w:r>
      <w:r w:rsidR="00F406ED" w:rsidRPr="00F406ED">
        <w:rPr>
          <w:lang w:val="bg-BG"/>
        </w:rPr>
        <w:t>ее</w:t>
      </w:r>
      <w:r w:rsidR="008E7BA7" w:rsidRPr="00F406ED">
        <w:rPr>
          <w:lang w:val="bg-BG"/>
        </w:rPr>
        <w:t>щи на улица „Зайчар</w:t>
      </w:r>
      <w:r w:rsidR="00F406ED" w:rsidRPr="00F406ED">
        <w:rPr>
          <w:lang w:val="bg-BG"/>
        </w:rPr>
        <w:t>“</w:t>
      </w:r>
      <w:r w:rsidR="008E7BA7" w:rsidRPr="00F406ED">
        <w:rPr>
          <w:lang w:val="bg-BG"/>
        </w:rPr>
        <w:t>, които не са бил</w:t>
      </w:r>
      <w:r w:rsidR="008B225E" w:rsidRPr="00F406ED">
        <w:rPr>
          <w:lang w:val="bg-BG"/>
        </w:rPr>
        <w:t>и</w:t>
      </w:r>
      <w:r w:rsidR="008E7BA7" w:rsidRPr="00F406ED">
        <w:rPr>
          <w:lang w:val="bg-BG"/>
        </w:rPr>
        <w:t xml:space="preserve"> свидетели на преследването или стрелбата</w:t>
      </w:r>
      <w:r w:rsidR="00D51369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лейтенант </w:t>
      </w:r>
      <w:r w:rsidR="00F406ED" w:rsidRPr="00F406ED">
        <w:rPr>
          <w:lang w:val="bg-BG"/>
        </w:rPr>
        <w:t> Г.</w:t>
      </w:r>
      <w:r w:rsidR="003C3392" w:rsidRPr="00F406ED">
        <w:rPr>
          <w:lang w:val="bg-BG"/>
        </w:rPr>
        <w:t>Г.</w:t>
      </w:r>
      <w:r w:rsidR="008E7BA7" w:rsidRPr="00F406ED">
        <w:rPr>
          <w:lang w:val="bg-BG"/>
        </w:rPr>
        <w:t xml:space="preserve"> и 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Г</w:t>
      </w:r>
      <w:r w:rsidR="00A80F0B" w:rsidRPr="00F406ED">
        <w:rPr>
          <w:lang w:val="bg-BG"/>
        </w:rPr>
        <w:t>.П.</w:t>
      </w:r>
      <w:r w:rsidR="008E7BA7" w:rsidRPr="00F406ED">
        <w:rPr>
          <w:lang w:val="bg-BG"/>
        </w:rPr>
        <w:t>, който казва, че когато е произвел фаталния изстрел</w:t>
      </w:r>
      <w:r w:rsidR="00F406ED" w:rsidRPr="00F406ED">
        <w:rPr>
          <w:lang w:val="bg-BG"/>
        </w:rPr>
        <w:t>,</w:t>
      </w:r>
      <w:r w:rsidR="008E7BA7" w:rsidRPr="00F406ED">
        <w:rPr>
          <w:lang w:val="bg-BG"/>
        </w:rPr>
        <w:t xml:space="preserve"> намерението му е било да </w:t>
      </w:r>
      <w:r w:rsidR="00F406ED" w:rsidRPr="00F406ED">
        <w:rPr>
          <w:lang w:val="bg-BG"/>
        </w:rPr>
        <w:t>се при</w:t>
      </w:r>
      <w:r w:rsidR="008E7BA7" w:rsidRPr="00F406ED">
        <w:rPr>
          <w:lang w:val="bg-BG"/>
        </w:rPr>
        <w:t xml:space="preserve">цели ниско и евентуално да рани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8E7BA7" w:rsidRPr="00F406ED">
        <w:rPr>
          <w:lang w:val="bg-BG"/>
        </w:rPr>
        <w:t xml:space="preserve"> в коленете</w:t>
      </w:r>
      <w:r w:rsidR="00F9078B" w:rsidRPr="00F406ED">
        <w:rPr>
          <w:lang w:val="bg-BG"/>
        </w:rPr>
        <w:t>.</w:t>
      </w:r>
    </w:p>
    <w:p w:rsidR="00D85028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D85028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23</w:t>
      </w:r>
      <w:r w:rsidRPr="00F406ED">
        <w:rPr>
          <w:lang w:val="bg-BG"/>
        </w:rPr>
        <w:fldChar w:fldCharType="end"/>
      </w:r>
      <w:r w:rsidR="00D85028" w:rsidRPr="00F406ED">
        <w:rPr>
          <w:lang w:val="bg-BG"/>
        </w:rPr>
        <w:t>.  </w:t>
      </w:r>
      <w:r w:rsidR="008E7BA7" w:rsidRPr="00F406ED">
        <w:rPr>
          <w:lang w:val="bg-BG"/>
        </w:rPr>
        <w:t>Междувременно</w:t>
      </w:r>
      <w:r w:rsidR="00A0065A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на </w:t>
      </w:r>
      <w:r w:rsidR="00D85028" w:rsidRPr="00F406ED">
        <w:rPr>
          <w:lang w:val="bg-BG"/>
        </w:rPr>
        <w:t>5</w:t>
      </w:r>
      <w:r w:rsidR="008E7BA7" w:rsidRPr="00F406ED">
        <w:rPr>
          <w:lang w:val="bg-BG"/>
        </w:rPr>
        <w:t xml:space="preserve"> май </w:t>
      </w:r>
      <w:r w:rsidR="00D85028" w:rsidRPr="00F406ED">
        <w:rPr>
          <w:lang w:val="bg-BG"/>
        </w:rPr>
        <w:t>1998</w:t>
      </w:r>
      <w:r w:rsidR="00F406ED" w:rsidRPr="00F406ED">
        <w:rPr>
          <w:lang w:val="bg-BG"/>
        </w:rPr>
        <w:t> г.</w:t>
      </w:r>
      <w:r w:rsidR="008E7BA7" w:rsidRPr="00F406ED">
        <w:rPr>
          <w:lang w:val="bg-BG"/>
        </w:rPr>
        <w:t xml:space="preserve"> следователят иска от </w:t>
      </w:r>
      <w:r w:rsidR="00F406ED" w:rsidRPr="00F406ED">
        <w:rPr>
          <w:lang w:val="bg-BG"/>
        </w:rPr>
        <w:t xml:space="preserve">специалист по съдебна медицина </w:t>
      </w:r>
      <w:r w:rsidR="008E7BA7" w:rsidRPr="00F406ED">
        <w:rPr>
          <w:lang w:val="bg-BG"/>
        </w:rPr>
        <w:t xml:space="preserve">да определи причината за смъртта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D85028" w:rsidRPr="00F406ED">
        <w:rPr>
          <w:lang w:val="bg-BG"/>
        </w:rPr>
        <w:t xml:space="preserve">, </w:t>
      </w:r>
      <w:r w:rsidR="008E7BA7" w:rsidRPr="00F406ED">
        <w:rPr>
          <w:lang w:val="bg-BG"/>
        </w:rPr>
        <w:t xml:space="preserve">наличието на каквито и да </w:t>
      </w:r>
      <w:r w:rsidR="00E277CD">
        <w:rPr>
          <w:lang w:val="bg-BG"/>
        </w:rPr>
        <w:t>било</w:t>
      </w:r>
      <w:r w:rsidR="008E7BA7" w:rsidRPr="00F406ED">
        <w:rPr>
          <w:lang w:val="bg-BG"/>
        </w:rPr>
        <w:t xml:space="preserve"> наранявания по неговото тяло</w:t>
      </w:r>
      <w:r w:rsidR="00D85028" w:rsidRPr="00F406ED">
        <w:rPr>
          <w:lang w:val="bg-BG"/>
        </w:rPr>
        <w:t xml:space="preserve">, </w:t>
      </w:r>
      <w:r w:rsidR="008E7BA7" w:rsidRPr="00F406ED">
        <w:rPr>
          <w:lang w:val="bg-BG"/>
        </w:rPr>
        <w:t>разстоянието, от което е произведен изстрелът</w:t>
      </w:r>
      <w:r w:rsidR="00E277CD">
        <w:rPr>
          <w:lang w:val="bg-BG"/>
        </w:rPr>
        <w:t>,</w:t>
      </w:r>
      <w:r w:rsidR="008E7BA7" w:rsidRPr="00F406ED">
        <w:rPr>
          <w:lang w:val="bg-BG"/>
        </w:rPr>
        <w:t xml:space="preserve"> и наличието на каквито и да </w:t>
      </w:r>
      <w:r w:rsidR="00F406ED" w:rsidRPr="00F406ED">
        <w:rPr>
          <w:lang w:val="bg-BG"/>
        </w:rPr>
        <w:t>било</w:t>
      </w:r>
      <w:r w:rsidR="008E7BA7" w:rsidRPr="00F406ED">
        <w:rPr>
          <w:lang w:val="bg-BG"/>
        </w:rPr>
        <w:t xml:space="preserve"> белези от белезници</w:t>
      </w:r>
      <w:r w:rsidR="00D85028" w:rsidRPr="00F406ED">
        <w:rPr>
          <w:lang w:val="bg-BG"/>
        </w:rPr>
        <w:t xml:space="preserve">. </w:t>
      </w:r>
      <w:r w:rsidR="007E0DA7" w:rsidRPr="00F406ED">
        <w:rPr>
          <w:lang w:val="bg-BG"/>
        </w:rPr>
        <w:t xml:space="preserve">В своя </w:t>
      </w:r>
      <w:r w:rsidR="00E277CD">
        <w:rPr>
          <w:lang w:val="bg-BG"/>
        </w:rPr>
        <w:t xml:space="preserve">доклад </w:t>
      </w:r>
      <w:r w:rsidR="00F406ED" w:rsidRPr="00F406ED">
        <w:rPr>
          <w:lang w:val="bg-BG"/>
        </w:rPr>
        <w:t>специалист</w:t>
      </w:r>
      <w:r w:rsidR="00E277CD">
        <w:rPr>
          <w:lang w:val="bg-BG"/>
        </w:rPr>
        <w:t>ът</w:t>
      </w:r>
      <w:r w:rsidR="00F406ED" w:rsidRPr="00F406ED">
        <w:rPr>
          <w:lang w:val="bg-BG"/>
        </w:rPr>
        <w:t xml:space="preserve"> по съдебна медицина </w:t>
      </w:r>
      <w:r w:rsidR="007E0DA7" w:rsidRPr="00F406ED">
        <w:rPr>
          <w:lang w:val="bg-BG"/>
        </w:rPr>
        <w:t xml:space="preserve">посочва, че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7E0DA7" w:rsidRPr="00F406ED">
        <w:rPr>
          <w:lang w:val="bg-BG"/>
        </w:rPr>
        <w:t>е починал от огнестрелна рана в задната част на главата, която е довела до фатално увреждане на мозъка му</w:t>
      </w:r>
      <w:r w:rsidR="005C356D" w:rsidRPr="00F406ED">
        <w:rPr>
          <w:lang w:val="bg-BG"/>
        </w:rPr>
        <w:t xml:space="preserve">. </w:t>
      </w:r>
      <w:r w:rsidR="007E0DA7" w:rsidRPr="00F406ED">
        <w:rPr>
          <w:lang w:val="bg-BG"/>
        </w:rPr>
        <w:t>Останалите му наранявания се охлузвания, които може да са настъпили при падането му на земята</w:t>
      </w:r>
      <w:r w:rsidR="005C356D" w:rsidRPr="00F406ED">
        <w:rPr>
          <w:lang w:val="bg-BG"/>
        </w:rPr>
        <w:t>.</w:t>
      </w:r>
      <w:r w:rsidR="00F406ED" w:rsidRPr="00F406ED">
        <w:rPr>
          <w:lang w:val="bg-BG"/>
        </w:rPr>
        <w:t xml:space="preserve"> Н</w:t>
      </w:r>
      <w:r w:rsidR="007E0DA7" w:rsidRPr="00F406ED">
        <w:rPr>
          <w:lang w:val="bg-BG"/>
        </w:rPr>
        <w:t>е е възможно да се определи разстоянието, от което е произведен изстрелът, тъй като хирургичната операция е заличила всички следи по главата му</w:t>
      </w:r>
      <w:r w:rsidR="00E915A7" w:rsidRPr="00F406ED">
        <w:rPr>
          <w:lang w:val="bg-BG"/>
        </w:rPr>
        <w:t xml:space="preserve">. </w:t>
      </w:r>
      <w:r w:rsidR="007E0DA7" w:rsidRPr="00F406ED">
        <w:rPr>
          <w:lang w:val="bg-BG"/>
        </w:rPr>
        <w:t>Фактът обаче, че лекарите не са отбелязали остатъци от барут около раната</w:t>
      </w:r>
      <w:r w:rsidR="00ED36EF">
        <w:rPr>
          <w:lang w:val="bg-BG"/>
        </w:rPr>
        <w:t>,</w:t>
      </w:r>
      <w:r w:rsidR="007E0DA7" w:rsidRPr="00F406ED">
        <w:rPr>
          <w:lang w:val="bg-BG"/>
        </w:rPr>
        <w:t xml:space="preserve"> може да бъде тълкуван като означаващ, че изстрелът не е произведен от близко разстояние</w:t>
      </w:r>
      <w:r w:rsidR="00E915A7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7E0DA7" w:rsidRPr="00F406ED">
        <w:rPr>
          <w:lang w:val="bg-BG"/>
        </w:rPr>
        <w:t>Няма ясни белези от белезници</w:t>
      </w:r>
      <w:r w:rsidR="00506D37" w:rsidRPr="00F406ED">
        <w:rPr>
          <w:lang w:val="bg-BG"/>
        </w:rPr>
        <w:t>.</w:t>
      </w:r>
    </w:p>
    <w:bookmarkStart w:id="14" w:name="swab_and_handgun_tests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36CB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24</w:t>
      </w:r>
      <w:r w:rsidRPr="00F406ED">
        <w:rPr>
          <w:lang w:val="bg-BG"/>
        </w:rPr>
        <w:fldChar w:fldCharType="end"/>
      </w:r>
      <w:bookmarkEnd w:id="14"/>
      <w:r w:rsidR="00F36CBF" w:rsidRPr="00F406ED">
        <w:rPr>
          <w:lang w:val="bg-BG"/>
        </w:rPr>
        <w:t>.  </w:t>
      </w:r>
      <w:r w:rsidR="007E0DA7" w:rsidRPr="00F406ED">
        <w:rPr>
          <w:lang w:val="bg-BG"/>
        </w:rPr>
        <w:t>На</w:t>
      </w:r>
      <w:r w:rsidR="00B804EC" w:rsidRPr="00F406ED">
        <w:rPr>
          <w:lang w:val="bg-BG"/>
        </w:rPr>
        <w:t xml:space="preserve"> 6</w:t>
      </w:r>
      <w:r w:rsidR="008E7BA7" w:rsidRPr="00F406ED">
        <w:rPr>
          <w:lang w:val="bg-BG"/>
        </w:rPr>
        <w:t xml:space="preserve"> май </w:t>
      </w:r>
      <w:r w:rsidR="00B804EC" w:rsidRPr="00F406ED">
        <w:rPr>
          <w:lang w:val="bg-BG"/>
        </w:rPr>
        <w:t>1998</w:t>
      </w:r>
      <w:r w:rsidR="00F406ED" w:rsidRPr="00F406ED">
        <w:rPr>
          <w:lang w:val="bg-BG"/>
        </w:rPr>
        <w:t> г.</w:t>
      </w:r>
      <w:r w:rsidR="00ED36EF">
        <w:rPr>
          <w:lang w:val="bg-BG"/>
        </w:rPr>
        <w:t xml:space="preserve"> </w:t>
      </w:r>
      <w:r w:rsidR="007E0DA7" w:rsidRPr="00F406ED">
        <w:rPr>
          <w:lang w:val="bg-BG"/>
        </w:rPr>
        <w:t>следователят</w:t>
      </w:r>
      <w:r w:rsidR="0071751B">
        <w:rPr>
          <w:lang w:val="bg-BG"/>
        </w:rPr>
        <w:t xml:space="preserve"> </w:t>
      </w:r>
      <w:r w:rsidR="007E0DA7" w:rsidRPr="00F406ED">
        <w:rPr>
          <w:lang w:val="bg-BG"/>
        </w:rPr>
        <w:t xml:space="preserve">отправя запитване към </w:t>
      </w:r>
      <w:r w:rsidR="00ED36EF">
        <w:rPr>
          <w:lang w:val="bg-BG"/>
        </w:rPr>
        <w:t>специалистите по съдебна медицина</w:t>
      </w:r>
      <w:r w:rsidR="007E0DA7" w:rsidRPr="00F406ED">
        <w:rPr>
          <w:lang w:val="bg-BG"/>
        </w:rPr>
        <w:t xml:space="preserve"> дали тампон</w:t>
      </w:r>
      <w:r w:rsidR="00C55D35">
        <w:rPr>
          <w:lang w:val="bg-BG"/>
        </w:rPr>
        <w:t xml:space="preserve">ната проба </w:t>
      </w:r>
      <w:r w:rsidR="007E0DA7" w:rsidRPr="00F406ED">
        <w:rPr>
          <w:lang w:val="bg-BG"/>
        </w:rPr>
        <w:t xml:space="preserve">от дланите на 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7E0DA7" w:rsidRPr="00F406ED">
        <w:rPr>
          <w:lang w:val="bg-BG"/>
        </w:rPr>
        <w:t>съдържат остатъци от барут и дали изпразненият пълнител, предаден от капитан </w:t>
      </w:r>
      <w:r w:rsidR="00F36CBF" w:rsidRPr="00F406ED">
        <w:rPr>
          <w:lang w:val="bg-BG"/>
        </w:rPr>
        <w:t>T.M.</w:t>
      </w:r>
      <w:r w:rsidR="00312FC5">
        <w:rPr>
          <w:lang w:val="bg-BG"/>
        </w:rPr>
        <w:t>,</w:t>
      </w:r>
      <w:r w:rsidR="00F36CBF" w:rsidRPr="00F406ED">
        <w:rPr>
          <w:lang w:val="bg-BG"/>
        </w:rPr>
        <w:t xml:space="preserve"> </w:t>
      </w:r>
      <w:r w:rsidR="007E0DA7" w:rsidRPr="00F406ED">
        <w:rPr>
          <w:lang w:val="bg-BG"/>
        </w:rPr>
        <w:t>е от пистолета на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C55D35">
        <w:rPr>
          <w:lang w:val="bg-BG"/>
        </w:rPr>
        <w:t>Тампонната проба</w:t>
      </w:r>
      <w:r w:rsidR="005B636C" w:rsidRPr="00F406ED">
        <w:rPr>
          <w:lang w:val="bg-BG"/>
        </w:rPr>
        <w:t xml:space="preserve">, </w:t>
      </w:r>
      <w:r w:rsidR="007E0DA7" w:rsidRPr="00F406ED">
        <w:rPr>
          <w:lang w:val="bg-BG"/>
        </w:rPr>
        <w:t>извършен</w:t>
      </w:r>
      <w:r w:rsidR="00C55D35">
        <w:rPr>
          <w:lang w:val="bg-BG"/>
        </w:rPr>
        <w:t>а</w:t>
      </w:r>
      <w:r w:rsidR="007E0DA7" w:rsidRPr="00F406ED">
        <w:rPr>
          <w:lang w:val="bg-BG"/>
        </w:rPr>
        <w:t xml:space="preserve"> на </w:t>
      </w:r>
      <w:r w:rsidR="00CE4576" w:rsidRPr="00F406ED">
        <w:rPr>
          <w:lang w:val="bg-BG"/>
        </w:rPr>
        <w:t>25</w:t>
      </w:r>
      <w:r w:rsidR="008E7BA7" w:rsidRPr="00F406ED">
        <w:rPr>
          <w:lang w:val="bg-BG"/>
        </w:rPr>
        <w:t xml:space="preserve"> май </w:t>
      </w:r>
      <w:r w:rsidR="00CE4576" w:rsidRPr="00F406ED">
        <w:rPr>
          <w:lang w:val="bg-BG"/>
        </w:rPr>
        <w:t>1998</w:t>
      </w:r>
      <w:r w:rsidR="00F406ED" w:rsidRPr="00F406ED">
        <w:rPr>
          <w:lang w:val="bg-BG"/>
        </w:rPr>
        <w:t> г.</w:t>
      </w:r>
      <w:r w:rsidR="005B636C" w:rsidRPr="00F406ED">
        <w:rPr>
          <w:lang w:val="bg-BG"/>
        </w:rPr>
        <w:t xml:space="preserve">, </w:t>
      </w:r>
      <w:r w:rsidR="007E0DA7" w:rsidRPr="00F406ED">
        <w:rPr>
          <w:lang w:val="bg-BG"/>
        </w:rPr>
        <w:t>не установява наличие на остатъци от барут по тампоните</w:t>
      </w:r>
      <w:r w:rsidR="00CE4576" w:rsidRPr="00F406ED">
        <w:rPr>
          <w:lang w:val="bg-BG"/>
        </w:rPr>
        <w:t>.</w:t>
      </w:r>
      <w:r w:rsidR="00312FC5">
        <w:rPr>
          <w:lang w:val="bg-BG"/>
        </w:rPr>
        <w:t xml:space="preserve"> </w:t>
      </w:r>
      <w:r w:rsidR="007E0DA7" w:rsidRPr="00F406ED">
        <w:rPr>
          <w:lang w:val="bg-BG"/>
        </w:rPr>
        <w:t xml:space="preserve">Тестът на оръжието, извършен на </w:t>
      </w:r>
      <w:r w:rsidR="00F36CBF" w:rsidRPr="00F406ED">
        <w:rPr>
          <w:lang w:val="bg-BG"/>
        </w:rPr>
        <w:t>28</w:t>
      </w:r>
      <w:r w:rsidR="008E7BA7" w:rsidRPr="00F406ED">
        <w:rPr>
          <w:lang w:val="bg-BG"/>
        </w:rPr>
        <w:t xml:space="preserve"> май </w:t>
      </w:r>
      <w:r w:rsidR="00F36CBF" w:rsidRPr="00F406ED">
        <w:rPr>
          <w:lang w:val="bg-BG"/>
        </w:rPr>
        <w:t>1998</w:t>
      </w:r>
      <w:r w:rsidR="00F406ED" w:rsidRPr="00F406ED">
        <w:rPr>
          <w:lang w:val="bg-BG"/>
        </w:rPr>
        <w:t> г.</w:t>
      </w:r>
      <w:r w:rsidR="00F36CBF" w:rsidRPr="00F406ED">
        <w:rPr>
          <w:lang w:val="bg-BG"/>
        </w:rPr>
        <w:t xml:space="preserve">, </w:t>
      </w:r>
      <w:r w:rsidR="007E0DA7" w:rsidRPr="00F406ED">
        <w:rPr>
          <w:lang w:val="bg-BG"/>
        </w:rPr>
        <w:t>установява, че пълнителят е от пистолета на глав</w:t>
      </w:r>
      <w:r w:rsidR="00A80F0B" w:rsidRPr="00F406ED">
        <w:rPr>
          <w:lang w:val="bg-BG"/>
        </w:rPr>
        <w:t>н</w:t>
      </w:r>
      <w:r w:rsidR="007E0DA7" w:rsidRPr="00F406ED">
        <w:rPr>
          <w:lang w:val="bg-BG"/>
        </w:rPr>
        <w:t>ия</w:t>
      </w:r>
      <w:r w:rsidR="00A80F0B" w:rsidRPr="00F406ED">
        <w:rPr>
          <w:lang w:val="bg-BG"/>
        </w:rPr>
        <w:t xml:space="preserve"> сержант</w:t>
      </w:r>
      <w:r w:rsidR="00F36CBF" w:rsidRPr="00F406ED">
        <w:rPr>
          <w:lang w:val="bg-BG"/>
        </w:rPr>
        <w:t>.</w:t>
      </w:r>
    </w:p>
    <w:bookmarkStart w:id="15" w:name="discontinuance_31_August_1998"/>
    <w:p w:rsidR="00411E88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25</w:t>
      </w:r>
      <w:r w:rsidRPr="00F406ED">
        <w:rPr>
          <w:lang w:val="bg-BG"/>
        </w:rPr>
        <w:fldChar w:fldCharType="end"/>
      </w:r>
      <w:bookmarkEnd w:id="15"/>
      <w:r w:rsidR="00FE66F2" w:rsidRPr="00F406ED">
        <w:rPr>
          <w:lang w:val="bg-BG"/>
        </w:rPr>
        <w:t>.  </w:t>
      </w:r>
      <w:r w:rsidR="00E06AB1" w:rsidRPr="00F406ED">
        <w:rPr>
          <w:lang w:val="bg-BG"/>
        </w:rPr>
        <w:t>След като приключва работата си по делото</w:t>
      </w:r>
      <w:r w:rsidR="00411E88" w:rsidRPr="00F406ED">
        <w:rPr>
          <w:lang w:val="bg-BG"/>
        </w:rPr>
        <w:t xml:space="preserve">, </w:t>
      </w:r>
      <w:r w:rsidR="00E06AB1" w:rsidRPr="00F406ED">
        <w:rPr>
          <w:lang w:val="bg-BG"/>
        </w:rPr>
        <w:t xml:space="preserve">на </w:t>
      </w:r>
      <w:r w:rsidR="00411E88" w:rsidRPr="00F406ED">
        <w:rPr>
          <w:lang w:val="bg-BG"/>
        </w:rPr>
        <w:t xml:space="preserve">31 </w:t>
      </w:r>
      <w:r w:rsidR="00E06AB1" w:rsidRPr="00F406ED">
        <w:rPr>
          <w:lang w:val="bg-BG"/>
        </w:rPr>
        <w:t>август</w:t>
      </w:r>
      <w:r w:rsidR="00411E88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E06AB1" w:rsidRPr="00F406ED">
        <w:rPr>
          <w:lang w:val="bg-BG"/>
        </w:rPr>
        <w:t xml:space="preserve"> следователят предлага прекратяване на разследването</w:t>
      </w:r>
      <w:r w:rsidR="00411E88" w:rsidRPr="00F406ED">
        <w:rPr>
          <w:lang w:val="bg-BG"/>
        </w:rPr>
        <w:t>.</w:t>
      </w:r>
      <w:r w:rsidR="00312FC5">
        <w:rPr>
          <w:lang w:val="bg-BG"/>
        </w:rPr>
        <w:t xml:space="preserve"> </w:t>
      </w:r>
      <w:r w:rsidR="00E06AB1" w:rsidRPr="00F406ED">
        <w:rPr>
          <w:lang w:val="bg-BG"/>
        </w:rPr>
        <w:t>Според него</w:t>
      </w:r>
      <w:r w:rsidR="008B2567" w:rsidRPr="00F406ED">
        <w:rPr>
          <w:lang w:val="bg-BG"/>
        </w:rPr>
        <w:t xml:space="preserve"> </w:t>
      </w:r>
      <w:r w:rsidR="00E06AB1" w:rsidRPr="00F406ED">
        <w:rPr>
          <w:lang w:val="bg-BG"/>
        </w:rPr>
        <w:t xml:space="preserve">главен </w:t>
      </w:r>
      <w:r w:rsidR="00A80F0B" w:rsidRPr="00F406ED">
        <w:rPr>
          <w:lang w:val="bg-BG"/>
        </w:rPr>
        <w:t>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DA6B5E" w:rsidRPr="00F406ED">
        <w:rPr>
          <w:lang w:val="bg-BG"/>
        </w:rPr>
        <w:t xml:space="preserve">, </w:t>
      </w:r>
      <w:r w:rsidR="00E06AB1" w:rsidRPr="00F406ED">
        <w:rPr>
          <w:lang w:val="bg-BG"/>
        </w:rPr>
        <w:t>използвайки своето огнестрелно оръжие</w:t>
      </w:r>
      <w:r w:rsidR="00DA6B5E" w:rsidRPr="00F406ED">
        <w:rPr>
          <w:lang w:val="bg-BG"/>
        </w:rPr>
        <w:t>,</w:t>
      </w:r>
      <w:r w:rsidR="00ED36EF">
        <w:rPr>
          <w:lang w:val="bg-BG"/>
        </w:rPr>
        <w:t xml:space="preserve"> </w:t>
      </w:r>
      <w:r w:rsidR="00E06AB1" w:rsidRPr="00F406ED">
        <w:rPr>
          <w:lang w:val="bg-BG"/>
        </w:rPr>
        <w:t>е спазил стриктно своите задължения</w:t>
      </w:r>
      <w:r w:rsidR="008B2567" w:rsidRPr="00F406ED">
        <w:rPr>
          <w:lang w:val="bg-BG"/>
        </w:rPr>
        <w:t xml:space="preserve">. </w:t>
      </w:r>
      <w:r w:rsidR="00E06AB1" w:rsidRPr="00F406ED">
        <w:rPr>
          <w:lang w:val="bg-BG"/>
        </w:rPr>
        <w:t xml:space="preserve">Решението му да </w:t>
      </w:r>
      <w:r w:rsidR="00F406ED" w:rsidRPr="00F406ED">
        <w:rPr>
          <w:lang w:val="bg-BG"/>
        </w:rPr>
        <w:t xml:space="preserve">направи </w:t>
      </w:r>
      <w:r w:rsidR="00E06AB1" w:rsidRPr="00F406ED">
        <w:rPr>
          <w:lang w:val="bg-BG"/>
        </w:rPr>
        <w:t>това е в съответствие с член </w:t>
      </w:r>
      <w:r w:rsidR="00C64A14" w:rsidRPr="00F406ED">
        <w:rPr>
          <w:lang w:val="bg-BG"/>
        </w:rPr>
        <w:t>42, ал.</w:t>
      </w:r>
      <w:r w:rsidR="00F406ED" w:rsidRPr="00F406ED">
        <w:rPr>
          <w:lang w:val="bg-BG"/>
        </w:rPr>
        <w:t xml:space="preserve"> </w:t>
      </w:r>
      <w:r w:rsidR="008B2567" w:rsidRPr="00F406ED">
        <w:rPr>
          <w:lang w:val="bg-BG"/>
        </w:rPr>
        <w:t>1</w:t>
      </w:r>
      <w:r w:rsidR="00C64A14" w:rsidRPr="00F406ED">
        <w:rPr>
          <w:lang w:val="bg-BG"/>
        </w:rPr>
        <w:t>, т.</w:t>
      </w:r>
      <w:r w:rsidR="00F406ED" w:rsidRPr="00F406ED">
        <w:rPr>
          <w:lang w:val="bg-BG"/>
        </w:rPr>
        <w:t xml:space="preserve"> </w:t>
      </w:r>
      <w:r w:rsidR="008B2567" w:rsidRPr="00F406ED">
        <w:rPr>
          <w:lang w:val="bg-BG"/>
        </w:rPr>
        <w:t xml:space="preserve">5 </w:t>
      </w:r>
      <w:r w:rsidR="00E06AB1" w:rsidRPr="00F406ED">
        <w:rPr>
          <w:lang w:val="bg-BG"/>
        </w:rPr>
        <w:t xml:space="preserve">от Закона за националната полиция от </w:t>
      </w:r>
      <w:r w:rsidR="008B2567" w:rsidRPr="00F406ED">
        <w:rPr>
          <w:lang w:val="bg-BG"/>
        </w:rPr>
        <w:t>1993</w:t>
      </w:r>
      <w:r w:rsidR="00F406ED" w:rsidRPr="00F406ED">
        <w:rPr>
          <w:lang w:val="bg-BG"/>
        </w:rPr>
        <w:t> г.</w:t>
      </w:r>
      <w:r w:rsidR="00E06AB1" w:rsidRPr="00F406ED">
        <w:rPr>
          <w:lang w:val="bg-BG"/>
        </w:rPr>
        <w:t xml:space="preserve"> </w:t>
      </w:r>
      <w:r w:rsidR="008B2567" w:rsidRPr="00F406ED">
        <w:rPr>
          <w:lang w:val="bg-BG"/>
        </w:rPr>
        <w:t>(</w:t>
      </w:r>
      <w:r w:rsidR="00E06AB1" w:rsidRPr="00F406ED">
        <w:rPr>
          <w:lang w:val="bg-BG"/>
        </w:rPr>
        <w:t xml:space="preserve">виж параграф </w:t>
      </w:r>
      <w:r w:rsidRPr="00F406ED">
        <w:rPr>
          <w:lang w:val="bg-BG"/>
        </w:rPr>
        <w:fldChar w:fldCharType="begin"/>
      </w:r>
      <w:r w:rsidR="008B2567" w:rsidRPr="00F406ED">
        <w:rPr>
          <w:lang w:val="bg-BG"/>
        </w:rPr>
        <w:instrText xml:space="preserve"> REF RDL_section_42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44</w:t>
      </w:r>
      <w:r w:rsidRPr="00F406ED">
        <w:rPr>
          <w:lang w:val="bg-BG"/>
        </w:rPr>
        <w:fldChar w:fldCharType="end"/>
      </w:r>
      <w:r w:rsidR="00312FC5">
        <w:rPr>
          <w:lang w:val="bg-BG"/>
        </w:rPr>
        <w:t xml:space="preserve"> </w:t>
      </w:r>
      <w:r w:rsidR="00E06AB1" w:rsidRPr="00F406ED">
        <w:rPr>
          <w:lang w:val="bg-BG"/>
        </w:rPr>
        <w:t>по-</w:t>
      </w:r>
      <w:r w:rsidR="00312FC5">
        <w:rPr>
          <w:lang w:val="bg-BG"/>
        </w:rPr>
        <w:t>долу</w:t>
      </w:r>
      <w:r w:rsidR="008B2567" w:rsidRPr="00F406ED">
        <w:rPr>
          <w:lang w:val="bg-BG"/>
        </w:rPr>
        <w:t xml:space="preserve">), </w:t>
      </w:r>
      <w:r w:rsidR="00E06AB1" w:rsidRPr="00F406ED">
        <w:rPr>
          <w:lang w:val="bg-BG"/>
        </w:rPr>
        <w:t xml:space="preserve">тъй като просто не е разполагал с други средства да спре бягството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8B2567" w:rsidRPr="00F406ED">
        <w:rPr>
          <w:lang w:val="bg-BG"/>
        </w:rPr>
        <w:t xml:space="preserve">. </w:t>
      </w:r>
      <w:r w:rsidR="00E06AB1" w:rsidRPr="00F406ED">
        <w:rPr>
          <w:lang w:val="bg-BG"/>
        </w:rPr>
        <w:t xml:space="preserve">Предшестващото решение на сержанта да не слага белезници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71751B">
        <w:rPr>
          <w:lang w:val="bg-BG"/>
        </w:rPr>
        <w:t xml:space="preserve"> </w:t>
      </w:r>
      <w:r w:rsidR="00E06AB1" w:rsidRPr="00F406ED">
        <w:rPr>
          <w:lang w:val="bg-BG"/>
        </w:rPr>
        <w:t>също е в съответствие с относимите указания</w:t>
      </w:r>
      <w:r w:rsidR="008B2567" w:rsidRPr="00F406ED">
        <w:rPr>
          <w:lang w:val="bg-BG"/>
        </w:rPr>
        <w:t>.</w:t>
      </w:r>
    </w:p>
    <w:bookmarkStart w:id="16" w:name="decision_29_September_1998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26</w:t>
      </w:r>
      <w:r w:rsidRPr="00F406ED">
        <w:rPr>
          <w:lang w:val="bg-BG"/>
        </w:rPr>
        <w:fldChar w:fldCharType="end"/>
      </w:r>
      <w:bookmarkEnd w:id="16"/>
      <w:r w:rsidR="00FE66F2" w:rsidRPr="00F406ED">
        <w:rPr>
          <w:lang w:val="bg-BG"/>
        </w:rPr>
        <w:t>.  </w:t>
      </w:r>
      <w:r w:rsidR="00E06AB1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29 </w:t>
      </w:r>
      <w:r w:rsidR="002B4892" w:rsidRPr="00F406ED">
        <w:rPr>
          <w:lang w:val="bg-BG"/>
        </w:rPr>
        <w:t>септември</w:t>
      </w:r>
      <w:r w:rsidR="00280445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E06AB1" w:rsidRPr="00F406ED">
        <w:rPr>
          <w:lang w:val="bg-BG"/>
        </w:rPr>
        <w:t xml:space="preserve"> </w:t>
      </w:r>
      <w:r w:rsidR="008B225E" w:rsidRPr="00F406ED">
        <w:rPr>
          <w:lang w:val="bg-BG"/>
        </w:rPr>
        <w:t>Софийска военно-окръжна прокуратура</w:t>
      </w:r>
      <w:r w:rsidR="00E06AB1" w:rsidRPr="00F406ED">
        <w:rPr>
          <w:lang w:val="bg-BG"/>
        </w:rPr>
        <w:t xml:space="preserve"> установява, че </w:t>
      </w:r>
      <w:r w:rsidR="007E0DA7" w:rsidRPr="00F406ED">
        <w:rPr>
          <w:lang w:val="bg-BG"/>
        </w:rPr>
        <w:t>следователят</w:t>
      </w:r>
      <w:r w:rsidR="0071751B">
        <w:rPr>
          <w:lang w:val="bg-BG"/>
        </w:rPr>
        <w:t xml:space="preserve"> </w:t>
      </w:r>
      <w:r w:rsidR="00E06AB1" w:rsidRPr="00F406ED">
        <w:rPr>
          <w:lang w:val="bg-BG"/>
        </w:rPr>
        <w:t>не се е опитал да</w:t>
      </w:r>
      <w:r w:rsidR="0071751B">
        <w:rPr>
          <w:lang w:val="bg-BG"/>
        </w:rPr>
        <w:t xml:space="preserve"> </w:t>
      </w:r>
      <w:r w:rsidR="00E06AB1" w:rsidRPr="00F406ED">
        <w:rPr>
          <w:lang w:val="bg-BG"/>
        </w:rPr>
        <w:t xml:space="preserve">установи самоличността на най-близкия роднина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E06AB1" w:rsidRPr="00F406ED">
        <w:rPr>
          <w:lang w:val="bg-BG"/>
        </w:rPr>
        <w:t>, за да му даде възможност да се запознае с преписката и да заведе, ако желае, граждански искове</w:t>
      </w:r>
      <w:r w:rsidR="00385861" w:rsidRPr="00F406ED">
        <w:rPr>
          <w:lang w:val="bg-BG"/>
        </w:rPr>
        <w:t xml:space="preserve">. </w:t>
      </w:r>
      <w:r w:rsidR="00E06AB1" w:rsidRPr="00F406ED">
        <w:rPr>
          <w:lang w:val="bg-BG"/>
        </w:rPr>
        <w:t>Тя връща делото на следователя</w:t>
      </w:r>
      <w:r w:rsidR="00024CCC" w:rsidRPr="00F406ED">
        <w:rPr>
          <w:lang w:val="bg-BG"/>
        </w:rPr>
        <w:t xml:space="preserve">, </w:t>
      </w:r>
      <w:r w:rsidR="00E06AB1" w:rsidRPr="00F406ED">
        <w:rPr>
          <w:lang w:val="bg-BG"/>
        </w:rPr>
        <w:t>като му дава указания да отстрани този пропуск</w:t>
      </w:r>
      <w:r w:rsidR="00385861" w:rsidRPr="00F406ED">
        <w:rPr>
          <w:lang w:val="bg-BG"/>
        </w:rPr>
        <w:t>.</w:t>
      </w:r>
    </w:p>
    <w:bookmarkStart w:id="17" w:name="decision_21_December_1998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27</w:t>
      </w:r>
      <w:r w:rsidRPr="00F406ED">
        <w:rPr>
          <w:lang w:val="bg-BG"/>
        </w:rPr>
        <w:fldChar w:fldCharType="end"/>
      </w:r>
      <w:bookmarkEnd w:id="17"/>
      <w:r w:rsidR="00FE66F2" w:rsidRPr="00F406ED">
        <w:rPr>
          <w:lang w:val="bg-BG"/>
        </w:rPr>
        <w:t>.  </w:t>
      </w:r>
      <w:r w:rsidR="00B74C61">
        <w:rPr>
          <w:lang w:val="bg-BG"/>
        </w:rPr>
        <w:t>Въпреки че</w:t>
      </w:r>
      <w:r w:rsidR="003D50A7" w:rsidRPr="00F406ED">
        <w:rPr>
          <w:lang w:val="bg-BG"/>
        </w:rPr>
        <w:t xml:space="preserve"> </w:t>
      </w:r>
      <w:r w:rsidR="007E0DA7" w:rsidRPr="00F406ED">
        <w:rPr>
          <w:lang w:val="bg-BG"/>
        </w:rPr>
        <w:t>следователят</w:t>
      </w:r>
      <w:r w:rsidR="00F406ED" w:rsidRPr="00F406ED">
        <w:rPr>
          <w:lang w:val="bg-BG"/>
        </w:rPr>
        <w:t xml:space="preserve"> </w:t>
      </w:r>
      <w:r w:rsidR="003D50A7" w:rsidRPr="00F406ED">
        <w:rPr>
          <w:lang w:val="bg-BG"/>
        </w:rPr>
        <w:t xml:space="preserve">не спазва тези указания, на </w:t>
      </w:r>
      <w:r w:rsidR="00280445" w:rsidRPr="00F406ED">
        <w:rPr>
          <w:lang w:val="bg-BG"/>
        </w:rPr>
        <w:t xml:space="preserve">21 </w:t>
      </w:r>
      <w:r w:rsidR="00914B5B" w:rsidRPr="00F406ED">
        <w:rPr>
          <w:lang w:val="bg-BG"/>
        </w:rPr>
        <w:t>декември</w:t>
      </w:r>
      <w:r w:rsidR="00280445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3D50A7" w:rsidRPr="00F406ED">
        <w:rPr>
          <w:lang w:val="bg-BG"/>
        </w:rPr>
        <w:t xml:space="preserve"> </w:t>
      </w:r>
      <w:r w:rsidR="008B225E" w:rsidRPr="00F406ED">
        <w:rPr>
          <w:lang w:val="bg-BG"/>
        </w:rPr>
        <w:t>Софийска военно-окръжна прокуратура</w:t>
      </w:r>
      <w:r w:rsidR="003D50A7" w:rsidRPr="00F406ED">
        <w:rPr>
          <w:lang w:val="bg-BG"/>
        </w:rPr>
        <w:t xml:space="preserve"> решава да прекрати разследването</w:t>
      </w:r>
      <w:r w:rsidR="00B74C61">
        <w:rPr>
          <w:lang w:val="bg-BG"/>
        </w:rPr>
        <w:t>,</w:t>
      </w:r>
      <w:r w:rsidR="003D50A7" w:rsidRPr="00F406ED">
        <w:rPr>
          <w:lang w:val="bg-BG"/>
        </w:rPr>
        <w:t xml:space="preserve"> като повтаря мотивите, представени от следователя на </w:t>
      </w:r>
      <w:r w:rsidR="00C94243" w:rsidRPr="00F406ED">
        <w:rPr>
          <w:lang w:val="bg-BG"/>
        </w:rPr>
        <w:t xml:space="preserve">31 </w:t>
      </w:r>
      <w:r w:rsidR="00E06AB1" w:rsidRPr="00F406ED">
        <w:rPr>
          <w:lang w:val="bg-BG"/>
        </w:rPr>
        <w:t>август</w:t>
      </w:r>
      <w:r w:rsidR="00C94243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3D50A7" w:rsidRPr="00F406ED">
        <w:rPr>
          <w:lang w:val="bg-BG"/>
        </w:rPr>
        <w:t xml:space="preserve"> почти дословно</w:t>
      </w:r>
      <w:r w:rsidR="00C94243" w:rsidRPr="00F406ED">
        <w:rPr>
          <w:lang w:val="bg-BG"/>
        </w:rPr>
        <w:t>.</w:t>
      </w:r>
    </w:p>
    <w:p w:rsidR="009E2123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28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>.</w:t>
      </w:r>
      <w:r w:rsidR="00B74C61" w:rsidRPr="00F406ED">
        <w:rPr>
          <w:lang w:val="bg-BG"/>
        </w:rPr>
        <w:t>  </w:t>
      </w:r>
      <w:r w:rsidR="006606DB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22 </w:t>
      </w:r>
      <w:r w:rsidR="006606DB" w:rsidRPr="00F406ED">
        <w:rPr>
          <w:lang w:val="bg-BG"/>
        </w:rPr>
        <w:t>юли</w:t>
      </w:r>
      <w:r w:rsidR="00280445" w:rsidRPr="00F406ED">
        <w:rPr>
          <w:lang w:val="bg-BG"/>
        </w:rPr>
        <w:t xml:space="preserve"> 1999</w:t>
      </w:r>
      <w:r w:rsidR="00F406ED" w:rsidRPr="00F406ED">
        <w:rPr>
          <w:lang w:val="bg-BG"/>
        </w:rPr>
        <w:t> г.</w:t>
      </w:r>
      <w:r w:rsidR="00B74C61">
        <w:rPr>
          <w:lang w:val="bg-BG"/>
        </w:rPr>
        <w:t xml:space="preserve">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6606DB" w:rsidRPr="00F406ED">
        <w:rPr>
          <w:lang w:val="bg-BG"/>
        </w:rPr>
        <w:t xml:space="preserve">подава жалба пред </w:t>
      </w:r>
      <w:r w:rsidR="008B225E" w:rsidRPr="00F406ED">
        <w:rPr>
          <w:lang w:val="bg-BG"/>
        </w:rPr>
        <w:t>Военно-апелативна</w:t>
      </w:r>
      <w:r w:rsidR="006606DB" w:rsidRPr="00F406ED">
        <w:rPr>
          <w:lang w:val="bg-BG"/>
        </w:rPr>
        <w:t xml:space="preserve"> прокуратура</w:t>
      </w:r>
      <w:r w:rsidR="00280445" w:rsidRPr="00F406ED">
        <w:rPr>
          <w:lang w:val="bg-BG"/>
        </w:rPr>
        <w:t xml:space="preserve">. </w:t>
      </w:r>
      <w:r w:rsidR="006606DB" w:rsidRPr="00F406ED">
        <w:rPr>
          <w:lang w:val="bg-BG"/>
        </w:rPr>
        <w:t>Тя посочва, че разследването не е събрало доказателства за счупването на веригата на вратата на килията и начина, по който е била отворена вратата</w:t>
      </w:r>
      <w:r w:rsidR="00A86C80" w:rsidRPr="00F406ED">
        <w:rPr>
          <w:lang w:val="bg-BG"/>
        </w:rPr>
        <w:t xml:space="preserve">. </w:t>
      </w:r>
      <w:r w:rsidR="006606DB" w:rsidRPr="00F406ED">
        <w:rPr>
          <w:lang w:val="bg-BG"/>
        </w:rPr>
        <w:t xml:space="preserve">Тя се оплаква, че единствените разпитани свидетели са полицейски служители и че не е получен медицински доклад от </w:t>
      </w:r>
      <w:r w:rsidR="00F406ED" w:rsidRPr="00F406ED">
        <w:rPr>
          <w:lang w:val="bg-BG"/>
        </w:rPr>
        <w:t>специалист по съдебна медицина</w:t>
      </w:r>
      <w:r w:rsidR="006606DB" w:rsidRPr="00F406ED">
        <w:rPr>
          <w:lang w:val="bg-BG"/>
        </w:rPr>
        <w:t xml:space="preserve">, който да оцени различните увреждания, претърпени от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280445" w:rsidRPr="00F406ED">
        <w:rPr>
          <w:lang w:val="bg-BG"/>
        </w:rPr>
        <w:t xml:space="preserve">. </w:t>
      </w:r>
      <w:r w:rsidR="006606DB" w:rsidRPr="00F406ED">
        <w:rPr>
          <w:lang w:val="bg-BG"/>
        </w:rPr>
        <w:t xml:space="preserve">Освен това тя претендира наличието на противоречия в констатациите на следствието, тъй като то заключава, че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6606DB" w:rsidRPr="00F406ED">
        <w:rPr>
          <w:lang w:val="bg-BG"/>
        </w:rPr>
        <w:t xml:space="preserve">е избягал от килията без помощта на </w:t>
      </w:r>
      <w:r w:rsidR="001128C5">
        <w:rPr>
          <w:lang w:val="bg-BG"/>
        </w:rPr>
        <w:t>каквито и да било</w:t>
      </w:r>
      <w:r w:rsidR="006606DB" w:rsidRPr="00F406ED">
        <w:rPr>
          <w:lang w:val="bg-BG"/>
        </w:rPr>
        <w:t xml:space="preserve"> инструменти</w:t>
      </w:r>
      <w:r w:rsidR="00280445" w:rsidRPr="00F406ED">
        <w:rPr>
          <w:lang w:val="bg-BG"/>
        </w:rPr>
        <w:t xml:space="preserve">. </w:t>
      </w:r>
      <w:r w:rsidR="006606DB" w:rsidRPr="00F406ED">
        <w:rPr>
          <w:lang w:val="bg-BG"/>
        </w:rPr>
        <w:t>Накрая тя се оплаква, че не е била допусната да прегледа преписката по делото</w:t>
      </w:r>
      <w:r w:rsidR="009E2123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29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>.</w:t>
      </w:r>
      <w:r w:rsidR="00B74C61" w:rsidRPr="00F406ED">
        <w:rPr>
          <w:lang w:val="bg-BG"/>
        </w:rPr>
        <w:t>  </w:t>
      </w:r>
      <w:r w:rsidR="006606DB" w:rsidRPr="00F406ED">
        <w:rPr>
          <w:lang w:val="bg-BG"/>
        </w:rPr>
        <w:t xml:space="preserve">На </w:t>
      </w:r>
      <w:r w:rsidR="00280445" w:rsidRPr="00F406ED">
        <w:rPr>
          <w:lang w:val="bg-BG"/>
        </w:rPr>
        <w:t xml:space="preserve">23 </w:t>
      </w:r>
      <w:r w:rsidR="00914B5B" w:rsidRPr="00F406ED">
        <w:rPr>
          <w:lang w:val="bg-BG"/>
        </w:rPr>
        <w:t>декември</w:t>
      </w:r>
      <w:r w:rsidR="00280445" w:rsidRPr="00F406ED">
        <w:rPr>
          <w:lang w:val="bg-BG"/>
        </w:rPr>
        <w:t xml:space="preserve"> 199</w:t>
      </w:r>
      <w:r w:rsidR="004F3E90" w:rsidRPr="00F406ED">
        <w:rPr>
          <w:lang w:val="bg-BG"/>
        </w:rPr>
        <w:t>9</w:t>
      </w:r>
      <w:r w:rsidR="00F406ED" w:rsidRPr="00F406ED">
        <w:rPr>
          <w:lang w:val="bg-BG"/>
        </w:rPr>
        <w:t xml:space="preserve"> г. </w:t>
      </w:r>
      <w:r w:rsidR="008B225E" w:rsidRPr="00F406ED">
        <w:rPr>
          <w:lang w:val="bg-BG"/>
        </w:rPr>
        <w:t>Военно-апелативна</w:t>
      </w:r>
      <w:r w:rsidR="006606DB" w:rsidRPr="00F406ED">
        <w:rPr>
          <w:lang w:val="bg-BG"/>
        </w:rPr>
        <w:t xml:space="preserve"> прокуратура</w:t>
      </w:r>
      <w:r w:rsidR="0071751B">
        <w:rPr>
          <w:lang w:val="bg-BG"/>
        </w:rPr>
        <w:t xml:space="preserve"> </w:t>
      </w:r>
      <w:r w:rsidR="006606DB" w:rsidRPr="00F406ED">
        <w:rPr>
          <w:lang w:val="bg-BG"/>
        </w:rPr>
        <w:t>потвърждава прекратяването</w:t>
      </w:r>
      <w:r w:rsidR="00A86C80" w:rsidRPr="00F406ED">
        <w:rPr>
          <w:lang w:val="bg-BG"/>
        </w:rPr>
        <w:t xml:space="preserve">. </w:t>
      </w:r>
      <w:r w:rsidR="00497072" w:rsidRPr="00F406ED">
        <w:rPr>
          <w:lang w:val="bg-BG"/>
        </w:rPr>
        <w:t xml:space="preserve">Тя посочва, че </w:t>
      </w:r>
      <w:r w:rsidR="007E0DA7" w:rsidRPr="00F406ED">
        <w:rPr>
          <w:lang w:val="bg-BG"/>
        </w:rPr>
        <w:t>следователят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 xml:space="preserve">е извършил възстановка на бягството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497072" w:rsidRPr="00F406ED">
        <w:rPr>
          <w:lang w:val="bg-BG"/>
        </w:rPr>
        <w:t xml:space="preserve"> и е установил, че е възможно веригата да бъде разхлабена и вратата да бъде отворена по посочения от него начин</w:t>
      </w:r>
      <w:r w:rsidR="00CC4D37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 xml:space="preserve">Медицинският доклад на </w:t>
      </w:r>
      <w:r w:rsidR="00F406ED" w:rsidRPr="00F406ED">
        <w:rPr>
          <w:lang w:val="bg-BG"/>
        </w:rPr>
        <w:t>специалиста по съдебна медицина</w:t>
      </w:r>
      <w:r w:rsidR="00497072" w:rsidRPr="00F406ED">
        <w:rPr>
          <w:lang w:val="bg-BG"/>
        </w:rPr>
        <w:t xml:space="preserve"> е изяснил уврежданията, довели до смъртта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2C606C">
        <w:rPr>
          <w:lang w:val="bg-BG"/>
        </w:rPr>
        <w:t>,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>и разстоянието, от което е произведен изстрелът</w:t>
      </w:r>
      <w:r w:rsidR="00A4553B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>не е посочила други очевидци, чи</w:t>
      </w:r>
      <w:r w:rsidR="002C606C">
        <w:rPr>
          <w:lang w:val="bg-BG"/>
        </w:rPr>
        <w:t>и</w:t>
      </w:r>
      <w:r w:rsidR="00497072" w:rsidRPr="00F406ED">
        <w:rPr>
          <w:lang w:val="bg-BG"/>
        </w:rPr>
        <w:t>то разпит би желала</w:t>
      </w:r>
      <w:r w:rsidR="0075746C" w:rsidRPr="00F406ED">
        <w:rPr>
          <w:lang w:val="bg-BG"/>
        </w:rPr>
        <w:t xml:space="preserve">. </w:t>
      </w:r>
      <w:r w:rsidR="00497072" w:rsidRPr="00F406ED">
        <w:rPr>
          <w:lang w:val="bg-BG"/>
        </w:rPr>
        <w:t>Действително, тя не е получила възможност да прегледа преписката по делото</w:t>
      </w:r>
      <w:r w:rsidR="0075746C" w:rsidRPr="00F406ED">
        <w:rPr>
          <w:lang w:val="bg-BG"/>
        </w:rPr>
        <w:t xml:space="preserve">, </w:t>
      </w:r>
      <w:r w:rsidR="00497072" w:rsidRPr="00F406ED">
        <w:rPr>
          <w:lang w:val="bg-BG"/>
        </w:rPr>
        <w:t>но в случая това не е представлявало проблем, тъй като е била информирана за прекратяването и е могла да го обжалва</w:t>
      </w:r>
      <w:r w:rsidR="0075746C" w:rsidRPr="00F406ED">
        <w:rPr>
          <w:lang w:val="bg-BG"/>
        </w:rPr>
        <w:t>.</w:t>
      </w:r>
    </w:p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30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 xml:space="preserve">. На </w:t>
      </w:r>
      <w:r w:rsidR="00280445" w:rsidRPr="00F406ED">
        <w:rPr>
          <w:lang w:val="bg-BG"/>
        </w:rPr>
        <w:t xml:space="preserve">5 </w:t>
      </w:r>
      <w:r w:rsidR="002B4892" w:rsidRPr="00F406ED">
        <w:rPr>
          <w:lang w:val="bg-BG"/>
        </w:rPr>
        <w:t>април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подава жалба пред Върховна касационна прокуратура</w:t>
      </w:r>
      <w:r w:rsidR="00F406ED" w:rsidRPr="00F406ED">
        <w:rPr>
          <w:lang w:val="bg-BG"/>
        </w:rPr>
        <w:t>,</w:t>
      </w:r>
      <w:r w:rsidR="00497072" w:rsidRPr="00F406ED">
        <w:rPr>
          <w:lang w:val="bg-BG"/>
        </w:rPr>
        <w:t xml:space="preserve"> като повтаря доводите, представени в предходната й жалба</w:t>
      </w:r>
      <w:r w:rsidR="00EF1E0F" w:rsidRPr="00F406ED">
        <w:rPr>
          <w:lang w:val="bg-BG"/>
        </w:rPr>
        <w:t>.</w:t>
      </w:r>
    </w:p>
    <w:bookmarkStart w:id="18" w:name="decision_2_June_2000"/>
    <w:p w:rsidR="001F2466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31</w:t>
      </w:r>
      <w:r w:rsidRPr="00F406ED">
        <w:rPr>
          <w:lang w:val="bg-BG"/>
        </w:rPr>
        <w:fldChar w:fldCharType="end"/>
      </w:r>
      <w:bookmarkEnd w:id="18"/>
      <w:r w:rsidR="006606DB" w:rsidRPr="00F406ED">
        <w:rPr>
          <w:lang w:val="bg-BG"/>
        </w:rPr>
        <w:t xml:space="preserve">. На </w:t>
      </w:r>
      <w:r w:rsidR="00500DBA" w:rsidRPr="00F406ED">
        <w:rPr>
          <w:lang w:val="bg-BG"/>
        </w:rPr>
        <w:t xml:space="preserve">2 </w:t>
      </w:r>
      <w:r w:rsidR="00F406ED" w:rsidRPr="00F406ED">
        <w:rPr>
          <w:lang w:val="bg-BG"/>
        </w:rPr>
        <w:t xml:space="preserve">юни 2000 г. </w:t>
      </w:r>
      <w:r w:rsidR="00497072" w:rsidRPr="00F406ED">
        <w:rPr>
          <w:lang w:val="bg-BG"/>
        </w:rPr>
        <w:t>Върховна касационна прокуратура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отменя прекратяването</w:t>
      </w:r>
      <w:r w:rsidR="00F406ED" w:rsidRPr="00F406ED">
        <w:rPr>
          <w:lang w:val="bg-BG"/>
        </w:rPr>
        <w:t>,</w:t>
      </w:r>
      <w:r w:rsidR="00497072" w:rsidRPr="00F406ED">
        <w:rPr>
          <w:lang w:val="bg-BG"/>
        </w:rPr>
        <w:t xml:space="preserve"> като </w:t>
      </w:r>
      <w:r w:rsidR="0012545B">
        <w:rPr>
          <w:lang w:val="bg-BG"/>
        </w:rPr>
        <w:t>се позовава на</w:t>
      </w:r>
      <w:r w:rsidR="00497072" w:rsidRPr="00F406ED">
        <w:rPr>
          <w:lang w:val="bg-BG"/>
        </w:rPr>
        <w:t xml:space="preserve"> неспазването от следователя на указанията да установи най-близкия родственик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C76596" w:rsidRPr="00F406ED">
        <w:rPr>
          <w:lang w:val="bg-BG"/>
        </w:rPr>
        <w:t xml:space="preserve">– </w:t>
      </w:r>
      <w:r w:rsidR="002B4892" w:rsidRPr="00F406ED">
        <w:rPr>
          <w:lang w:val="bg-BG"/>
        </w:rPr>
        <w:t>жалбоподателката</w:t>
      </w:r>
      <w:r w:rsidR="00C76596" w:rsidRPr="00F406ED">
        <w:rPr>
          <w:lang w:val="bg-BG"/>
        </w:rPr>
        <w:t xml:space="preserve"> – </w:t>
      </w:r>
      <w:r w:rsidR="00497072" w:rsidRPr="00F406ED">
        <w:rPr>
          <w:lang w:val="bg-BG"/>
        </w:rPr>
        <w:t>и да й даде възможност да се запознае с преписката по делото и да заведе граждански иск</w:t>
      </w:r>
      <w:r w:rsidR="001F2466" w:rsidRPr="00F406ED">
        <w:rPr>
          <w:lang w:val="bg-BG"/>
        </w:rPr>
        <w:t xml:space="preserve">, </w:t>
      </w:r>
      <w:r w:rsidR="00497072" w:rsidRPr="00F406ED">
        <w:rPr>
          <w:lang w:val="bg-BG"/>
        </w:rPr>
        <w:t>ако желае</w:t>
      </w:r>
      <w:r w:rsidR="001F2466" w:rsidRPr="00F406ED">
        <w:rPr>
          <w:lang w:val="bg-BG"/>
        </w:rPr>
        <w:t>.</w:t>
      </w:r>
    </w:p>
    <w:p w:rsidR="00707880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707880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32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 xml:space="preserve">. На </w:t>
      </w:r>
      <w:r w:rsidR="00707880" w:rsidRPr="00F406ED">
        <w:rPr>
          <w:lang w:val="bg-BG"/>
        </w:rPr>
        <w:t xml:space="preserve">19 </w:t>
      </w:r>
      <w:r w:rsidR="00F406ED" w:rsidRPr="00F406ED">
        <w:rPr>
          <w:lang w:val="bg-BG"/>
        </w:rPr>
        <w:t xml:space="preserve">юни2000 г. </w:t>
      </w:r>
      <w:r w:rsidR="00497072" w:rsidRPr="00F406ED">
        <w:rPr>
          <w:lang w:val="bg-BG"/>
        </w:rPr>
        <w:t>делото е прехвърлено на друг следовател</w:t>
      </w:r>
      <w:r w:rsidR="00707880" w:rsidRPr="00F406ED">
        <w:rPr>
          <w:lang w:val="bg-BG"/>
        </w:rPr>
        <w:t xml:space="preserve">. </w:t>
      </w:r>
      <w:r w:rsidR="00497072" w:rsidRPr="00F406ED">
        <w:rPr>
          <w:lang w:val="bg-BG"/>
        </w:rPr>
        <w:t xml:space="preserve">На </w:t>
      </w:r>
      <w:r w:rsidR="00707880" w:rsidRPr="00F406ED">
        <w:rPr>
          <w:lang w:val="bg-BG"/>
        </w:rPr>
        <w:t>3 </w:t>
      </w:r>
      <w:r w:rsidR="006606DB" w:rsidRPr="00F406ED">
        <w:rPr>
          <w:lang w:val="bg-BG"/>
        </w:rPr>
        <w:t>юли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497072" w:rsidRPr="00F406ED">
        <w:rPr>
          <w:lang w:val="bg-BG"/>
        </w:rPr>
        <w:t xml:space="preserve">той разпитва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 xml:space="preserve">в дома й и й </w:t>
      </w:r>
      <w:r w:rsidR="008B225E" w:rsidRPr="00F406ED">
        <w:rPr>
          <w:lang w:val="bg-BG"/>
        </w:rPr>
        <w:t>позволява</w:t>
      </w:r>
      <w:r w:rsidR="00497072" w:rsidRPr="00F406ED">
        <w:rPr>
          <w:lang w:val="bg-BG"/>
        </w:rPr>
        <w:t xml:space="preserve"> да се запознае с преписката по делото</w:t>
      </w:r>
      <w:r w:rsidR="003B392E" w:rsidRPr="00F406ED">
        <w:rPr>
          <w:lang w:val="bg-BG"/>
        </w:rPr>
        <w:t>.</w:t>
      </w:r>
    </w:p>
    <w:bookmarkStart w:id="19" w:name="proposal_18_July_2000"/>
    <w:p w:rsidR="001A37F7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A37F7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33</w:t>
      </w:r>
      <w:r w:rsidRPr="00F406ED">
        <w:rPr>
          <w:lang w:val="bg-BG"/>
        </w:rPr>
        <w:fldChar w:fldCharType="end"/>
      </w:r>
      <w:bookmarkEnd w:id="19"/>
      <w:r w:rsidR="006606DB" w:rsidRPr="00F406ED">
        <w:rPr>
          <w:lang w:val="bg-BG"/>
        </w:rPr>
        <w:t xml:space="preserve">. На </w:t>
      </w:r>
      <w:r w:rsidR="001A37F7" w:rsidRPr="00F406ED">
        <w:rPr>
          <w:lang w:val="bg-BG"/>
        </w:rPr>
        <w:t xml:space="preserve">18 </w:t>
      </w:r>
      <w:r w:rsidR="006606DB" w:rsidRPr="00F406ED">
        <w:rPr>
          <w:lang w:val="bg-BG"/>
        </w:rPr>
        <w:t>юли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7E0DA7" w:rsidRPr="00F406ED">
        <w:rPr>
          <w:lang w:val="bg-BG"/>
        </w:rPr>
        <w:t>следователят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предлага прекратяване на разследването</w:t>
      </w:r>
      <w:r w:rsidR="0012545B">
        <w:rPr>
          <w:lang w:val="bg-BG"/>
        </w:rPr>
        <w:t>,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 xml:space="preserve">като представя същите мотиви като представените от предишния следовател на </w:t>
      </w:r>
      <w:r w:rsidR="001A37F7" w:rsidRPr="00F406ED">
        <w:rPr>
          <w:lang w:val="bg-BG"/>
        </w:rPr>
        <w:t xml:space="preserve">31 </w:t>
      </w:r>
      <w:r w:rsidR="00E06AB1" w:rsidRPr="00F406ED">
        <w:rPr>
          <w:lang w:val="bg-BG"/>
        </w:rPr>
        <w:t>август</w:t>
      </w:r>
      <w:r w:rsidR="001A37F7" w:rsidRPr="00F406ED">
        <w:rPr>
          <w:lang w:val="bg-BG"/>
        </w:rPr>
        <w:t xml:space="preserve"> 1998</w:t>
      </w:r>
      <w:r w:rsidR="00F406ED" w:rsidRPr="00F406ED">
        <w:rPr>
          <w:lang w:val="bg-BG"/>
        </w:rPr>
        <w:t> г.</w:t>
      </w:r>
      <w:r w:rsidR="00FB57E3" w:rsidRPr="00F406ED">
        <w:rPr>
          <w:lang w:val="bg-BG"/>
        </w:rPr>
        <w:t xml:space="preserve"> (</w:t>
      </w:r>
      <w:r w:rsidR="00497072" w:rsidRPr="00F406ED">
        <w:rPr>
          <w:lang w:val="bg-BG"/>
        </w:rPr>
        <w:t xml:space="preserve">виж параграф </w:t>
      </w:r>
      <w:r w:rsidRPr="00F406ED">
        <w:rPr>
          <w:lang w:val="bg-BG"/>
        </w:rPr>
        <w:fldChar w:fldCharType="begin"/>
      </w:r>
      <w:r w:rsidR="00FB57E3" w:rsidRPr="00F406ED">
        <w:rPr>
          <w:lang w:val="bg-BG"/>
        </w:rPr>
        <w:instrText xml:space="preserve"> REF discontinuance_31_August_1998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25</w:t>
      </w:r>
      <w:r w:rsidRPr="00F406ED">
        <w:rPr>
          <w:lang w:val="bg-BG"/>
        </w:rPr>
        <w:fldChar w:fldCharType="end"/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по-горе</w:t>
      </w:r>
      <w:r w:rsidR="00FB57E3" w:rsidRPr="00F406ED">
        <w:rPr>
          <w:lang w:val="bg-BG"/>
        </w:rPr>
        <w:t>)</w:t>
      </w:r>
      <w:r w:rsidR="001A37F7" w:rsidRPr="00F406ED">
        <w:rPr>
          <w:lang w:val="bg-BG"/>
        </w:rPr>
        <w:t>.</w:t>
      </w:r>
    </w:p>
    <w:bookmarkStart w:id="20" w:name="decision_24_July_2000"/>
    <w:p w:rsidR="002F1B48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F1B48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34</w:t>
      </w:r>
      <w:r w:rsidRPr="00F406ED">
        <w:rPr>
          <w:lang w:val="bg-BG"/>
        </w:rPr>
        <w:fldChar w:fldCharType="end"/>
      </w:r>
      <w:bookmarkEnd w:id="20"/>
      <w:r w:rsidR="006606DB" w:rsidRPr="00F406ED">
        <w:rPr>
          <w:lang w:val="bg-BG"/>
        </w:rPr>
        <w:t xml:space="preserve">. На </w:t>
      </w:r>
      <w:r w:rsidR="002F1B48" w:rsidRPr="00F406ED">
        <w:rPr>
          <w:lang w:val="bg-BG"/>
        </w:rPr>
        <w:t xml:space="preserve">24 </w:t>
      </w:r>
      <w:r w:rsidR="006606DB" w:rsidRPr="00F406ED">
        <w:rPr>
          <w:lang w:val="bg-BG"/>
        </w:rPr>
        <w:t>юли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8B225E" w:rsidRPr="00F406ED">
        <w:rPr>
          <w:lang w:val="bg-BG"/>
        </w:rPr>
        <w:t>Софийска военно-окръжна прокуратура</w:t>
      </w:r>
      <w:r w:rsidR="00497072" w:rsidRPr="00F406ED">
        <w:rPr>
          <w:lang w:val="bg-BG"/>
        </w:rPr>
        <w:t xml:space="preserve"> връща делото на </w:t>
      </w:r>
      <w:r w:rsidR="007E0DA7" w:rsidRPr="00F406ED">
        <w:rPr>
          <w:lang w:val="bg-BG"/>
        </w:rPr>
        <w:t>следова</w:t>
      </w:r>
      <w:r w:rsidR="00497072" w:rsidRPr="00F406ED">
        <w:rPr>
          <w:lang w:val="bg-BG"/>
        </w:rPr>
        <w:t>теля</w:t>
      </w:r>
      <w:r w:rsidR="002F1B48" w:rsidRPr="00F406ED">
        <w:rPr>
          <w:lang w:val="bg-BG"/>
        </w:rPr>
        <w:t xml:space="preserve">. </w:t>
      </w:r>
      <w:r w:rsidR="00497072" w:rsidRPr="00F406ED">
        <w:rPr>
          <w:lang w:val="bg-BG"/>
        </w:rPr>
        <w:t xml:space="preserve">Тя отбелязва, че той е разпитал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497072" w:rsidRPr="00F406ED">
        <w:rPr>
          <w:lang w:val="bg-BG"/>
        </w:rPr>
        <w:t>в отсъствието на нейния адвокат</w:t>
      </w:r>
      <w:r w:rsidR="002F1B48" w:rsidRPr="00F406ED">
        <w:rPr>
          <w:lang w:val="bg-BG"/>
        </w:rPr>
        <w:t>.</w:t>
      </w:r>
    </w:p>
    <w:p w:rsidR="003A4CD1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4CD1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35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>.</w:t>
      </w:r>
      <w:r w:rsidR="00563F94" w:rsidRPr="00F406ED">
        <w:rPr>
          <w:lang w:val="bg-BG"/>
        </w:rPr>
        <w:t> </w:t>
      </w:r>
      <w:r w:rsidR="006606DB" w:rsidRPr="00F406ED">
        <w:rPr>
          <w:lang w:val="bg-BG"/>
        </w:rPr>
        <w:t xml:space="preserve">На </w:t>
      </w:r>
      <w:r w:rsidR="003A4CD1" w:rsidRPr="00F406ED">
        <w:rPr>
          <w:lang w:val="bg-BG"/>
        </w:rPr>
        <w:t xml:space="preserve">14 </w:t>
      </w:r>
      <w:r w:rsidR="002B4892" w:rsidRPr="00F406ED">
        <w:rPr>
          <w:lang w:val="bg-BG"/>
        </w:rPr>
        <w:t>септември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7E0DA7" w:rsidRPr="00F406ED">
        <w:rPr>
          <w:lang w:val="bg-BG"/>
        </w:rPr>
        <w:t>следователят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 xml:space="preserve">разпитва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>в дома й</w:t>
      </w:r>
      <w:r w:rsidR="00E154F9" w:rsidRPr="00F406ED">
        <w:rPr>
          <w:lang w:val="bg-BG"/>
        </w:rPr>
        <w:t xml:space="preserve">, </w:t>
      </w:r>
      <w:r w:rsidR="00B26D73" w:rsidRPr="00F406ED">
        <w:rPr>
          <w:lang w:val="bg-BG"/>
        </w:rPr>
        <w:t>в присъствието на нейния наскоро нает адвокат</w:t>
      </w:r>
      <w:r w:rsidR="0012545B">
        <w:rPr>
          <w:lang w:val="bg-BG"/>
        </w:rPr>
        <w:t>,</w:t>
      </w:r>
      <w:r w:rsidR="00B26D73" w:rsidRPr="00F406ED">
        <w:rPr>
          <w:lang w:val="bg-BG"/>
        </w:rPr>
        <w:t xml:space="preserve"> и им дава възможност да се запознаят с преписката по делото</w:t>
      </w:r>
      <w:r w:rsidR="00E154F9" w:rsidRPr="00F406ED">
        <w:rPr>
          <w:lang w:val="bg-BG"/>
        </w:rPr>
        <w:t>.</w:t>
      </w:r>
    </w:p>
    <w:bookmarkStart w:id="21" w:name="proposal_29_September_2000"/>
    <w:p w:rsidR="003E1F42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6E4443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36</w:t>
      </w:r>
      <w:r w:rsidRPr="00F406ED">
        <w:rPr>
          <w:lang w:val="bg-BG"/>
        </w:rPr>
        <w:fldChar w:fldCharType="end"/>
      </w:r>
      <w:bookmarkEnd w:id="21"/>
      <w:r w:rsidR="006606DB" w:rsidRPr="00F406ED">
        <w:rPr>
          <w:lang w:val="bg-BG"/>
        </w:rPr>
        <w:t xml:space="preserve">. На </w:t>
      </w:r>
      <w:r w:rsidR="005C2A09" w:rsidRPr="00F406ED">
        <w:rPr>
          <w:lang w:val="bg-BG"/>
        </w:rPr>
        <w:t xml:space="preserve">29 </w:t>
      </w:r>
      <w:r w:rsidR="002B4892" w:rsidRPr="00F406ED">
        <w:rPr>
          <w:lang w:val="bg-BG"/>
        </w:rPr>
        <w:t>септември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7E0DA7" w:rsidRPr="00F406ED">
        <w:rPr>
          <w:lang w:val="bg-BG"/>
        </w:rPr>
        <w:t>следователят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>предлага прекратяване на разследването</w:t>
      </w:r>
      <w:r w:rsidR="003E1F42" w:rsidRPr="00F406ED">
        <w:rPr>
          <w:lang w:val="bg-BG"/>
        </w:rPr>
        <w:t xml:space="preserve">, </w:t>
      </w:r>
      <w:r w:rsidR="00B26D73" w:rsidRPr="00F406ED">
        <w:rPr>
          <w:lang w:val="bg-BG"/>
        </w:rPr>
        <w:t xml:space="preserve">като представя абсолютно същите мотиви както преди това </w:t>
      </w:r>
      <w:r w:rsidR="004A2C9D" w:rsidRPr="00F406ED">
        <w:rPr>
          <w:lang w:val="bg-BG"/>
        </w:rPr>
        <w:t>(</w:t>
      </w:r>
      <w:r w:rsidR="00B26D73" w:rsidRPr="00F406ED">
        <w:rPr>
          <w:lang w:val="bg-BG"/>
        </w:rPr>
        <w:t xml:space="preserve">виж параграф </w:t>
      </w:r>
      <w:r w:rsidRPr="00F406ED">
        <w:rPr>
          <w:lang w:val="bg-BG"/>
        </w:rPr>
        <w:fldChar w:fldCharType="begin"/>
      </w:r>
      <w:r w:rsidR="004A2C9D" w:rsidRPr="00F406ED">
        <w:rPr>
          <w:lang w:val="bg-BG"/>
        </w:rPr>
        <w:instrText xml:space="preserve"> REF proposal_18_July_2000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33</w:t>
      </w:r>
      <w:r w:rsidRPr="00F406ED">
        <w:rPr>
          <w:lang w:val="bg-BG"/>
        </w:rPr>
        <w:fldChar w:fldCharType="end"/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>по-горе</w:t>
      </w:r>
      <w:r w:rsidR="004A2C9D" w:rsidRPr="00F406ED">
        <w:rPr>
          <w:lang w:val="bg-BG"/>
        </w:rPr>
        <w:t>)</w:t>
      </w:r>
      <w:r w:rsidR="003E1F42" w:rsidRPr="00F406ED">
        <w:rPr>
          <w:lang w:val="bg-BG"/>
        </w:rPr>
        <w:t>.</w:t>
      </w:r>
    </w:p>
    <w:bookmarkStart w:id="22" w:name="decision_4_October_2000"/>
    <w:p w:rsidR="001A4483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453B3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37</w:t>
      </w:r>
      <w:r w:rsidRPr="00F406ED">
        <w:rPr>
          <w:lang w:val="bg-BG"/>
        </w:rPr>
        <w:fldChar w:fldCharType="end"/>
      </w:r>
      <w:bookmarkEnd w:id="22"/>
      <w:r w:rsidR="006606DB" w:rsidRPr="00F406ED">
        <w:rPr>
          <w:lang w:val="bg-BG"/>
        </w:rPr>
        <w:t xml:space="preserve">. На </w:t>
      </w:r>
      <w:r w:rsidR="00453B32" w:rsidRPr="00F406ED">
        <w:rPr>
          <w:lang w:val="bg-BG"/>
        </w:rPr>
        <w:t xml:space="preserve">4 </w:t>
      </w:r>
      <w:r w:rsidR="00A22992" w:rsidRPr="00F406ED">
        <w:rPr>
          <w:lang w:val="bg-BG"/>
        </w:rPr>
        <w:t>октомври</w:t>
      </w:r>
      <w:r w:rsidR="0012545B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8B225E" w:rsidRPr="00F406ED">
        <w:rPr>
          <w:lang w:val="bg-BG"/>
        </w:rPr>
        <w:t>Софийска военно-окръжна прокуратура</w:t>
      </w:r>
      <w:r w:rsidR="00B26D73" w:rsidRPr="00F406ED">
        <w:rPr>
          <w:lang w:val="bg-BG"/>
        </w:rPr>
        <w:t xml:space="preserve"> връща делото на следователя</w:t>
      </w:r>
      <w:r w:rsidR="00453B32" w:rsidRPr="00F406ED">
        <w:rPr>
          <w:lang w:val="bg-BG"/>
        </w:rPr>
        <w:t xml:space="preserve">. </w:t>
      </w:r>
      <w:r w:rsidR="00B26D73" w:rsidRPr="00F406ED">
        <w:rPr>
          <w:lang w:val="bg-BG"/>
        </w:rPr>
        <w:t>Тя посочва, че той не е дал на</w:t>
      </w:r>
      <w:r w:rsidR="0071751B">
        <w:rPr>
          <w:lang w:val="bg-BG"/>
        </w:rPr>
        <w:t xml:space="preserve"> </w:t>
      </w:r>
      <w:r w:rsidR="002B4892" w:rsidRPr="00F406ED">
        <w:rPr>
          <w:lang w:val="bg-BG"/>
        </w:rPr>
        <w:t>жалбоподателката</w:t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 xml:space="preserve">и </w:t>
      </w:r>
      <w:r w:rsidR="0012545B">
        <w:rPr>
          <w:lang w:val="bg-BG"/>
        </w:rPr>
        <w:t xml:space="preserve">на </w:t>
      </w:r>
      <w:r w:rsidR="00B26D73" w:rsidRPr="00F406ED">
        <w:rPr>
          <w:lang w:val="bg-BG"/>
        </w:rPr>
        <w:t>нейния адвокат надлежна възможност да се запознаят с преписката по делото</w:t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 xml:space="preserve">и да направят </w:t>
      </w:r>
      <w:r w:rsidR="0012545B">
        <w:rPr>
          <w:lang w:val="bg-BG"/>
        </w:rPr>
        <w:t>каквито и да било</w:t>
      </w:r>
      <w:r w:rsidR="00B26D73" w:rsidRPr="00F406ED">
        <w:rPr>
          <w:lang w:val="bg-BG"/>
        </w:rPr>
        <w:t xml:space="preserve"> възражения</w:t>
      </w:r>
      <w:r w:rsidR="00453B32" w:rsidRPr="00F406ED">
        <w:rPr>
          <w:lang w:val="bg-BG"/>
        </w:rPr>
        <w:t>.</w:t>
      </w:r>
    </w:p>
    <w:bookmarkStart w:id="23" w:name="objection"/>
    <w:p w:rsidR="00280445" w:rsidRPr="00F406ED" w:rsidRDefault="00FB1D5F" w:rsidP="00555B90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38</w:t>
      </w:r>
      <w:r w:rsidRPr="00F406ED">
        <w:rPr>
          <w:lang w:val="bg-BG"/>
        </w:rPr>
        <w:fldChar w:fldCharType="end"/>
      </w:r>
      <w:bookmarkEnd w:id="23"/>
      <w:r w:rsidR="00FE66F2" w:rsidRPr="00F406ED">
        <w:rPr>
          <w:lang w:val="bg-BG"/>
        </w:rPr>
        <w:t>.  </w:t>
      </w:r>
      <w:r w:rsidR="00B26D73" w:rsidRPr="00F406ED">
        <w:rPr>
          <w:lang w:val="bg-BG"/>
        </w:rPr>
        <w:t>Адвокатът на ж</w:t>
      </w:r>
      <w:r w:rsidR="002B4892" w:rsidRPr="00F406ED">
        <w:rPr>
          <w:lang w:val="bg-BG"/>
        </w:rPr>
        <w:t>албоподателката</w:t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>получава възможност да прегледа преписката по делото</w:t>
      </w:r>
      <w:r w:rsidR="0071751B">
        <w:rPr>
          <w:lang w:val="bg-BG"/>
        </w:rPr>
        <w:t xml:space="preserve"> </w:t>
      </w:r>
      <w:r w:rsidR="00B26D73" w:rsidRPr="00F406ED">
        <w:rPr>
          <w:lang w:val="bg-BG"/>
        </w:rPr>
        <w:t xml:space="preserve">на </w:t>
      </w:r>
      <w:r w:rsidR="001A4483" w:rsidRPr="00F406ED">
        <w:rPr>
          <w:lang w:val="bg-BG"/>
        </w:rPr>
        <w:t>11 </w:t>
      </w:r>
      <w:r w:rsidR="00A22992" w:rsidRPr="00F406ED">
        <w:rPr>
          <w:lang w:val="bg-BG"/>
        </w:rPr>
        <w:t>октомври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B26D73" w:rsidRPr="00F406ED">
        <w:rPr>
          <w:lang w:val="bg-BG"/>
        </w:rPr>
        <w:t>Още същия ден той внася възражение</w:t>
      </w:r>
      <w:r w:rsidR="00F07D54">
        <w:rPr>
          <w:lang w:val="bg-BG"/>
        </w:rPr>
        <w:t>,</w:t>
      </w:r>
      <w:r w:rsidR="00B26D73" w:rsidRPr="00F406ED">
        <w:rPr>
          <w:lang w:val="bg-BG"/>
        </w:rPr>
        <w:t xml:space="preserve"> като посочва, че съществени следствени действия </w:t>
      </w:r>
      <w:r w:rsidR="00E563A6" w:rsidRPr="00F406ED">
        <w:rPr>
          <w:lang w:val="bg-BG"/>
        </w:rPr>
        <w:t xml:space="preserve">– </w:t>
      </w:r>
      <w:r w:rsidR="00B26D73" w:rsidRPr="00F406ED">
        <w:rPr>
          <w:lang w:val="bg-BG"/>
        </w:rPr>
        <w:t xml:space="preserve">като разпит на свидетели и възлагане на медицинска експертиза </w:t>
      </w:r>
      <w:r w:rsidR="00E563A6" w:rsidRPr="00F406ED">
        <w:rPr>
          <w:lang w:val="bg-BG"/>
        </w:rPr>
        <w:t xml:space="preserve">– </w:t>
      </w:r>
      <w:r w:rsidR="00B26D73" w:rsidRPr="00F406ED">
        <w:rPr>
          <w:lang w:val="bg-BG"/>
        </w:rPr>
        <w:t>са били предприети повече от година след злополуката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>Освен това е шокиращо, че независимо от малк</w:t>
      </w:r>
      <w:r w:rsidR="00F07D54">
        <w:rPr>
          <w:lang w:val="bg-BG"/>
        </w:rPr>
        <w:t>ия район</w:t>
      </w:r>
      <w:r w:rsidR="00B26D73" w:rsidRPr="00F406ED">
        <w:rPr>
          <w:lang w:val="bg-BG"/>
        </w:rPr>
        <w:t>, в ко</w:t>
      </w:r>
      <w:r w:rsidR="00F07D54">
        <w:rPr>
          <w:lang w:val="bg-BG"/>
        </w:rPr>
        <w:t>й</w:t>
      </w:r>
      <w:r w:rsidR="00B26D73" w:rsidRPr="00F406ED">
        <w:rPr>
          <w:lang w:val="bg-BG"/>
        </w:rPr>
        <w:t>то е протекло преследването</w:t>
      </w:r>
      <w:r w:rsidR="00F07D54">
        <w:rPr>
          <w:lang w:val="bg-BG"/>
        </w:rPr>
        <w:t>,</w:t>
      </w:r>
      <w:r w:rsidR="00B26D73" w:rsidRPr="00F406ED">
        <w:rPr>
          <w:lang w:val="bg-BG"/>
        </w:rPr>
        <w:t xml:space="preserve"> и </w:t>
      </w:r>
      <w:r w:rsidR="00F07D54">
        <w:rPr>
          <w:lang w:val="bg-BG"/>
        </w:rPr>
        <w:t>множеството</w:t>
      </w:r>
      <w:r w:rsidR="00B26D73" w:rsidRPr="00F406ED">
        <w:rPr>
          <w:lang w:val="bg-BG"/>
        </w:rPr>
        <w:t xml:space="preserve"> произведени изстрели</w:t>
      </w:r>
      <w:r w:rsidR="00F07D54">
        <w:rPr>
          <w:lang w:val="bg-BG"/>
        </w:rPr>
        <w:t>,</w:t>
      </w:r>
      <w:r w:rsidR="00B26D73" w:rsidRPr="00F406ED">
        <w:rPr>
          <w:lang w:val="bg-BG"/>
        </w:rPr>
        <w:t xml:space="preserve"> е намерен само един пълнител</w:t>
      </w:r>
      <w:r w:rsidR="002804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>Позициите на другите служители, намиращи се в близост до местопроизшествието, не са изяснени</w:t>
      </w:r>
      <w:r w:rsidR="00897EE4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 xml:space="preserve">което води до невъзможност да се определи дали е било възможно да бъде задържан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>без употреба на огнестрелни оръжия</w:t>
      </w:r>
      <w:r w:rsidR="00897EE4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 xml:space="preserve">Тъй като съгласно приложимото право огнестрелни оръжия могат да бъдат използвани </w:t>
      </w:r>
      <w:r w:rsidR="00F07D54">
        <w:rPr>
          <w:lang w:val="bg-BG"/>
        </w:rPr>
        <w:t>единствено</w:t>
      </w:r>
      <w:r w:rsidR="00B26D73" w:rsidRPr="00F406ED">
        <w:rPr>
          <w:lang w:val="bg-BG"/>
        </w:rPr>
        <w:t xml:space="preserve"> „като крайн</w:t>
      </w:r>
      <w:r w:rsidR="00563F94" w:rsidRPr="00F406ED">
        <w:rPr>
          <w:lang w:val="bg-BG"/>
        </w:rPr>
        <w:t>а</w:t>
      </w:r>
      <w:r w:rsidR="00F406ED" w:rsidRPr="00F406ED">
        <w:rPr>
          <w:lang w:val="bg-BG"/>
        </w:rPr>
        <w:t xml:space="preserve"> </w:t>
      </w:r>
      <w:r w:rsidR="00563F94" w:rsidRPr="00F406ED">
        <w:rPr>
          <w:lang w:val="bg-BG"/>
        </w:rPr>
        <w:t>мярка</w:t>
      </w:r>
      <w:r w:rsidR="00F406ED" w:rsidRPr="00F406ED">
        <w:rPr>
          <w:lang w:val="bg-BG"/>
        </w:rPr>
        <w:t>“</w:t>
      </w:r>
      <w:r w:rsidR="00280445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 xml:space="preserve">от съществено значение </w:t>
      </w:r>
      <w:r w:rsidR="00F07D54">
        <w:rPr>
          <w:lang w:val="bg-BG"/>
        </w:rPr>
        <w:t xml:space="preserve">е </w:t>
      </w:r>
      <w:r w:rsidR="00F07D54" w:rsidRPr="00F406ED">
        <w:rPr>
          <w:lang w:val="bg-BG"/>
        </w:rPr>
        <w:t>тези факти</w:t>
      </w:r>
      <w:r w:rsidR="00F07D54">
        <w:rPr>
          <w:lang w:val="bg-BG"/>
        </w:rPr>
        <w:t xml:space="preserve"> </w:t>
      </w:r>
      <w:r w:rsidR="00B26D73" w:rsidRPr="00F406ED">
        <w:rPr>
          <w:lang w:val="bg-BG"/>
        </w:rPr>
        <w:t>да бъдат изяснени</w:t>
      </w:r>
      <w:r w:rsidR="00D82AF6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F07D54">
        <w:rPr>
          <w:lang w:val="bg-BG"/>
        </w:rPr>
        <w:t>Налице са</w:t>
      </w:r>
      <w:r w:rsidR="00B26D73" w:rsidRPr="00F406ED">
        <w:rPr>
          <w:lang w:val="bg-BG"/>
        </w:rPr>
        <w:t xml:space="preserve"> и противоречия в констатациите на разследването</w:t>
      </w:r>
      <w:r w:rsidR="000E20C9" w:rsidRPr="00F406ED">
        <w:rPr>
          <w:lang w:val="bg-BG"/>
        </w:rPr>
        <w:t xml:space="preserve">, </w:t>
      </w:r>
      <w:r w:rsidR="00B26D73" w:rsidRPr="00F406ED">
        <w:rPr>
          <w:lang w:val="bg-BG"/>
        </w:rPr>
        <w:t>като основното е допускането, че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 w:rsidRPr="00F406ED">
        <w:rPr>
          <w:lang w:val="bg-BG"/>
        </w:rPr>
        <w:t xml:space="preserve"> </w:t>
      </w:r>
      <w:r w:rsidR="00B26D73" w:rsidRPr="00F406ED">
        <w:rPr>
          <w:lang w:val="bg-BG"/>
        </w:rPr>
        <w:t>е произвел няколко предупредителни изстрела и фаталния изстрел</w:t>
      </w:r>
      <w:r w:rsidR="00F07D54">
        <w:rPr>
          <w:lang w:val="bg-BG"/>
        </w:rPr>
        <w:t>, както</w:t>
      </w:r>
      <w:r w:rsidR="00B26D73" w:rsidRPr="00F406ED">
        <w:rPr>
          <w:lang w:val="bg-BG"/>
        </w:rPr>
        <w:t xml:space="preserve"> и факт</w:t>
      </w:r>
      <w:r w:rsidR="00F07D54">
        <w:rPr>
          <w:lang w:val="bg-BG"/>
        </w:rPr>
        <w:t>ът</w:t>
      </w:r>
      <w:r w:rsidR="00B26D73" w:rsidRPr="00F406ED">
        <w:rPr>
          <w:lang w:val="bg-BG"/>
        </w:rPr>
        <w:t xml:space="preserve">, че </w:t>
      </w:r>
      <w:r w:rsidR="00C55D35">
        <w:rPr>
          <w:lang w:val="bg-BG"/>
        </w:rPr>
        <w:t>тампонната проба</w:t>
      </w:r>
      <w:r w:rsidR="00B26D73" w:rsidRPr="00F406ED">
        <w:rPr>
          <w:lang w:val="bg-BG"/>
        </w:rPr>
        <w:t xml:space="preserve"> се е оказал</w:t>
      </w:r>
      <w:r w:rsidR="00C55D35">
        <w:rPr>
          <w:lang w:val="bg-BG"/>
        </w:rPr>
        <w:t>а</w:t>
      </w:r>
      <w:r w:rsidR="00B26D73" w:rsidRPr="00F406ED">
        <w:rPr>
          <w:lang w:val="bg-BG"/>
        </w:rPr>
        <w:t xml:space="preserve"> отрицател</w:t>
      </w:r>
      <w:r w:rsidR="00C55D35">
        <w:rPr>
          <w:lang w:val="bg-BG"/>
        </w:rPr>
        <w:t>на</w:t>
      </w:r>
      <w:r w:rsidR="00280445" w:rsidRPr="00F406ED">
        <w:rPr>
          <w:lang w:val="bg-BG"/>
        </w:rPr>
        <w:t>.</w:t>
      </w:r>
    </w:p>
    <w:p w:rsidR="007310FD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7310FD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39</w:t>
      </w:r>
      <w:r w:rsidRPr="00F406ED">
        <w:rPr>
          <w:lang w:val="bg-BG"/>
        </w:rPr>
        <w:fldChar w:fldCharType="end"/>
      </w:r>
      <w:r w:rsidR="006606DB" w:rsidRPr="00F406ED">
        <w:rPr>
          <w:lang w:val="bg-BG"/>
        </w:rPr>
        <w:t xml:space="preserve">. </w:t>
      </w:r>
      <w:r w:rsidR="00BB2BD0" w:rsidRPr="00F406ED">
        <w:rPr>
          <w:lang w:val="bg-BG"/>
        </w:rPr>
        <w:t xml:space="preserve">Същия ден </w:t>
      </w:r>
      <w:r w:rsidR="007E0DA7" w:rsidRPr="00F406ED">
        <w:rPr>
          <w:lang w:val="bg-BG"/>
        </w:rPr>
        <w:t>следователят</w:t>
      </w:r>
      <w:r w:rsidR="00F07D54">
        <w:rPr>
          <w:lang w:val="bg-BG"/>
        </w:rPr>
        <w:t xml:space="preserve"> </w:t>
      </w:r>
      <w:r w:rsidR="00BB2BD0" w:rsidRPr="00F406ED">
        <w:rPr>
          <w:lang w:val="bg-BG"/>
        </w:rPr>
        <w:t>отхвърля възражението, посочвайки, че забавянето не е по вина на разследващите органи</w:t>
      </w:r>
      <w:r w:rsidR="005E3C8B" w:rsidRPr="00F406ED">
        <w:rPr>
          <w:lang w:val="bg-BG"/>
        </w:rPr>
        <w:t xml:space="preserve">; </w:t>
      </w:r>
      <w:r w:rsidR="004825B6" w:rsidRPr="00F406ED">
        <w:rPr>
          <w:lang w:val="bg-BG"/>
        </w:rPr>
        <w:t xml:space="preserve">те са започнали работа по делото скоро след като органите на </w:t>
      </w:r>
      <w:r w:rsidR="00563F94" w:rsidRPr="00F406ED">
        <w:rPr>
          <w:lang w:val="bg-BG"/>
        </w:rPr>
        <w:t xml:space="preserve">прокуратурата </w:t>
      </w:r>
      <w:r w:rsidR="004825B6" w:rsidRPr="00F406ED">
        <w:rPr>
          <w:lang w:val="bg-BG"/>
        </w:rPr>
        <w:t>образуват производството</w:t>
      </w:r>
      <w:r w:rsidR="005F2745" w:rsidRPr="00F406ED">
        <w:rPr>
          <w:lang w:val="bg-BG"/>
        </w:rPr>
        <w:t xml:space="preserve">, </w:t>
      </w:r>
      <w:r w:rsidR="004825B6" w:rsidRPr="00F406ED">
        <w:rPr>
          <w:lang w:val="bg-BG"/>
        </w:rPr>
        <w:t>приели са всички предходни следствени действия</w:t>
      </w:r>
      <w:r w:rsidR="005F2745" w:rsidRPr="00F406ED">
        <w:rPr>
          <w:lang w:val="bg-BG"/>
        </w:rPr>
        <w:t xml:space="preserve">, </w:t>
      </w:r>
      <w:r w:rsidR="004825B6" w:rsidRPr="00F406ED">
        <w:rPr>
          <w:lang w:val="bg-BG"/>
        </w:rPr>
        <w:t>провели са разпити и са предприели допълнителни следствени стъпки за изясняване на фактите</w:t>
      </w:r>
      <w:r w:rsidR="005F2745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4825B6" w:rsidRPr="00F406ED">
        <w:rPr>
          <w:lang w:val="bg-BG"/>
        </w:rPr>
        <w:t xml:space="preserve">Огнестрелни оръжия са използвани като крайно средство за арестуването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CE4E41" w:rsidRPr="00F406ED">
        <w:rPr>
          <w:lang w:val="bg-BG"/>
        </w:rPr>
        <w:t>.</w:t>
      </w:r>
    </w:p>
    <w:bookmarkStart w:id="24" w:name="proposal_12_October_2000"/>
    <w:p w:rsidR="000E0886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149E6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40</w:t>
      </w:r>
      <w:r w:rsidRPr="00F406ED">
        <w:rPr>
          <w:lang w:val="bg-BG"/>
        </w:rPr>
        <w:fldChar w:fldCharType="end"/>
      </w:r>
      <w:bookmarkEnd w:id="24"/>
      <w:r w:rsidR="006606DB" w:rsidRPr="00F406ED">
        <w:rPr>
          <w:lang w:val="bg-BG"/>
        </w:rPr>
        <w:t>.</w:t>
      </w:r>
      <w:r w:rsidR="00563F94" w:rsidRPr="00F406ED">
        <w:rPr>
          <w:lang w:val="bg-BG"/>
        </w:rPr>
        <w:t> </w:t>
      </w:r>
      <w:r w:rsidR="006606DB" w:rsidRPr="00F406ED">
        <w:rPr>
          <w:lang w:val="bg-BG"/>
        </w:rPr>
        <w:t xml:space="preserve">На </w:t>
      </w:r>
      <w:r w:rsidR="002149E6" w:rsidRPr="00F406ED">
        <w:rPr>
          <w:lang w:val="bg-BG"/>
        </w:rPr>
        <w:t xml:space="preserve">12 </w:t>
      </w:r>
      <w:r w:rsidR="00A22992" w:rsidRPr="00F406ED">
        <w:rPr>
          <w:lang w:val="bg-BG"/>
        </w:rPr>
        <w:t>октомври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7E0DA7" w:rsidRPr="00F406ED">
        <w:rPr>
          <w:lang w:val="bg-BG"/>
        </w:rPr>
        <w:t>следователят</w:t>
      </w:r>
      <w:r w:rsidR="00F406ED" w:rsidRPr="00F406ED">
        <w:rPr>
          <w:lang w:val="bg-BG"/>
        </w:rPr>
        <w:t xml:space="preserve"> </w:t>
      </w:r>
      <w:r w:rsidR="004825B6" w:rsidRPr="00F406ED">
        <w:rPr>
          <w:lang w:val="bg-BG"/>
        </w:rPr>
        <w:t>отново предлага прекратяване на разследването</w:t>
      </w:r>
      <w:r w:rsidR="0071751B">
        <w:rPr>
          <w:lang w:val="bg-BG"/>
        </w:rPr>
        <w:t xml:space="preserve">, </w:t>
      </w:r>
      <w:r w:rsidR="004825B6" w:rsidRPr="00F406ED">
        <w:rPr>
          <w:lang w:val="bg-BG"/>
        </w:rPr>
        <w:t xml:space="preserve">като представя абсолютно същите мотиви както по-рано </w:t>
      </w:r>
      <w:r w:rsidR="004A2C9D" w:rsidRPr="00F406ED">
        <w:rPr>
          <w:lang w:val="bg-BG"/>
        </w:rPr>
        <w:t>(</w:t>
      </w:r>
      <w:r w:rsidR="004825B6" w:rsidRPr="00F406ED">
        <w:rPr>
          <w:lang w:val="bg-BG"/>
        </w:rPr>
        <w:t>виж параграф</w:t>
      </w:r>
      <w:r w:rsidR="0071751B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4A2C9D" w:rsidRPr="00F406ED">
        <w:rPr>
          <w:lang w:val="bg-BG"/>
        </w:rPr>
        <w:instrText xml:space="preserve"> REF proposal_29_September_2000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36</w:t>
      </w:r>
      <w:r w:rsidRPr="00F406ED">
        <w:rPr>
          <w:lang w:val="bg-BG"/>
        </w:rPr>
        <w:fldChar w:fldCharType="end"/>
      </w:r>
      <w:r w:rsidR="0071751B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4A2C9D" w:rsidRPr="00F406ED">
        <w:rPr>
          <w:lang w:val="bg-BG"/>
        </w:rPr>
        <w:t>)</w:t>
      </w:r>
      <w:r w:rsidR="002C59B9" w:rsidRPr="00F406ED">
        <w:rPr>
          <w:lang w:val="bg-BG"/>
        </w:rPr>
        <w:t>.</w:t>
      </w:r>
    </w:p>
    <w:bookmarkStart w:id="25" w:name="decision_24_October_2000"/>
    <w:p w:rsidR="0028044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FE66F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41</w:t>
      </w:r>
      <w:r w:rsidRPr="00F406ED">
        <w:rPr>
          <w:lang w:val="bg-BG"/>
        </w:rPr>
        <w:fldChar w:fldCharType="end"/>
      </w:r>
      <w:bookmarkEnd w:id="25"/>
      <w:r w:rsidR="006606DB" w:rsidRPr="00F406ED">
        <w:rPr>
          <w:lang w:val="bg-BG"/>
        </w:rPr>
        <w:t xml:space="preserve">. На </w:t>
      </w:r>
      <w:r w:rsidR="00AD2C0F" w:rsidRPr="00F406ED">
        <w:rPr>
          <w:lang w:val="bg-BG"/>
        </w:rPr>
        <w:t xml:space="preserve">24 </w:t>
      </w:r>
      <w:r w:rsidR="00A22992" w:rsidRPr="00F406ED">
        <w:rPr>
          <w:lang w:val="bg-BG"/>
        </w:rPr>
        <w:t>октомври</w:t>
      </w:r>
      <w:r w:rsidR="00F406ED" w:rsidRPr="00F406ED">
        <w:rPr>
          <w:lang w:val="bg-BG"/>
        </w:rPr>
        <w:t xml:space="preserve">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> г.</w:t>
      </w:r>
      <w:r w:rsidR="008B225E" w:rsidRPr="00F406ED">
        <w:rPr>
          <w:lang w:val="bg-BG"/>
        </w:rPr>
        <w:t>Софийска военно-окръжна прокуратура</w:t>
      </w:r>
      <w:r w:rsidR="004825B6" w:rsidRPr="00F406ED">
        <w:rPr>
          <w:lang w:val="bg-BG"/>
        </w:rPr>
        <w:t xml:space="preserve"> решава да прекрати разследването като повтаря мотивите, представени от следователя почти дословно</w:t>
      </w:r>
      <w:r w:rsidR="00225D7C">
        <w:rPr>
          <w:lang w:val="bg-BG"/>
        </w:rPr>
        <w:t xml:space="preserve"> </w:t>
      </w:r>
      <w:r w:rsidR="004825B6" w:rsidRPr="00F406ED">
        <w:rPr>
          <w:lang w:val="bg-BG"/>
        </w:rPr>
        <w:t>и добавя, че случаят попада в приложното поле на член </w:t>
      </w:r>
      <w:r w:rsidR="000E69A2" w:rsidRPr="00F406ED">
        <w:rPr>
          <w:lang w:val="bg-BG"/>
        </w:rPr>
        <w:t xml:space="preserve">12a </w:t>
      </w:r>
      <w:r w:rsidR="004825B6" w:rsidRPr="00F406ED">
        <w:rPr>
          <w:lang w:val="bg-BG"/>
        </w:rPr>
        <w:t xml:space="preserve">от Наказателния кодекс </w:t>
      </w:r>
      <w:r w:rsidR="000E69A2" w:rsidRPr="00F406ED">
        <w:rPr>
          <w:lang w:val="bg-BG"/>
        </w:rPr>
        <w:t>(</w:t>
      </w:r>
      <w:r w:rsidR="004825B6" w:rsidRPr="00F406ED">
        <w:rPr>
          <w:lang w:val="bg-BG"/>
        </w:rPr>
        <w:t>виж параграф</w:t>
      </w:r>
      <w:r w:rsidR="00F406ED" w:rsidRPr="00F406ED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0E69A2" w:rsidRPr="00F406ED">
        <w:rPr>
          <w:lang w:val="bg-BG"/>
        </w:rPr>
        <w:instrText xml:space="preserve"> REF RDL_Article_12a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46</w:t>
      </w:r>
      <w:r w:rsidRPr="00F406ED">
        <w:rPr>
          <w:lang w:val="bg-BG"/>
        </w:rPr>
        <w:fldChar w:fldCharType="end"/>
      </w:r>
      <w:r w:rsidR="00F406ED" w:rsidRPr="00F406ED">
        <w:rPr>
          <w:lang w:val="bg-BG"/>
        </w:rPr>
        <w:t xml:space="preserve"> </w:t>
      </w:r>
      <w:r w:rsidR="004825B6" w:rsidRPr="00F406ED">
        <w:rPr>
          <w:lang w:val="bg-BG"/>
        </w:rPr>
        <w:t>по-долу</w:t>
      </w:r>
      <w:r w:rsidR="000E69A2" w:rsidRPr="00F406ED">
        <w:rPr>
          <w:lang w:val="bg-BG"/>
        </w:rPr>
        <w:t>).</w:t>
      </w:r>
    </w:p>
    <w:bookmarkStart w:id="26" w:name="decision_16_November_2000"/>
    <w:p w:rsidR="00B22F95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D93D8D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42</w:t>
      </w:r>
      <w:r w:rsidRPr="00F406ED">
        <w:rPr>
          <w:lang w:val="bg-BG"/>
        </w:rPr>
        <w:fldChar w:fldCharType="end"/>
      </w:r>
      <w:bookmarkEnd w:id="26"/>
      <w:r w:rsidR="006606DB" w:rsidRPr="00F406ED">
        <w:rPr>
          <w:lang w:val="bg-BG"/>
        </w:rPr>
        <w:t>.</w:t>
      </w:r>
      <w:r w:rsidR="009A4841" w:rsidRPr="00F406ED">
        <w:rPr>
          <w:lang w:val="bg-BG"/>
        </w:rPr>
        <w:t>  </w:t>
      </w:r>
      <w:r w:rsidR="006606DB" w:rsidRPr="00F406ED">
        <w:rPr>
          <w:lang w:val="bg-BG"/>
        </w:rPr>
        <w:t xml:space="preserve">На </w:t>
      </w:r>
      <w:r w:rsidR="00D93D8D" w:rsidRPr="00F406ED">
        <w:rPr>
          <w:lang w:val="bg-BG"/>
        </w:rPr>
        <w:t xml:space="preserve">16 </w:t>
      </w:r>
      <w:r w:rsidR="004825B6" w:rsidRPr="00F406ED">
        <w:rPr>
          <w:lang w:val="bg-BG"/>
        </w:rPr>
        <w:t xml:space="preserve">ноември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 xml:space="preserve"> г. </w:t>
      </w:r>
      <w:r w:rsidR="008B225E" w:rsidRPr="00F406ED">
        <w:rPr>
          <w:lang w:val="bg-BG"/>
        </w:rPr>
        <w:t>Военно-апелативна</w:t>
      </w:r>
      <w:r w:rsidR="004825B6" w:rsidRPr="00F406ED">
        <w:rPr>
          <w:lang w:val="bg-BG"/>
        </w:rPr>
        <w:t xml:space="preserve"> прокуратура </w:t>
      </w:r>
      <w:r w:rsidR="009A4841" w:rsidRPr="00F406ED">
        <w:rPr>
          <w:lang w:val="bg-BG"/>
        </w:rPr>
        <w:t xml:space="preserve">потвърждава прекратяването, като повтаря почти дословно мотивите, представени от </w:t>
      </w:r>
      <w:r w:rsidR="008B225E" w:rsidRPr="00F406ED">
        <w:rPr>
          <w:lang w:val="bg-BG"/>
        </w:rPr>
        <w:t>Софийска военно-окръжна прокуратура</w:t>
      </w:r>
      <w:r w:rsidR="00B22F95" w:rsidRPr="00F406ED">
        <w:rPr>
          <w:lang w:val="bg-BG"/>
        </w:rPr>
        <w:t>.</w:t>
      </w:r>
    </w:p>
    <w:bookmarkStart w:id="27" w:name="decision_21_November_2000"/>
    <w:p w:rsidR="00D93D8D" w:rsidRPr="00F406ED" w:rsidRDefault="00FB1D5F" w:rsidP="0028044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22F9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bookmarkEnd w:id="27"/>
      <w:r w:rsidR="00B22F95" w:rsidRPr="00F406ED">
        <w:rPr>
          <w:lang w:val="bg-BG"/>
        </w:rPr>
        <w:t>.  </w:t>
      </w:r>
      <w:r w:rsidR="009A4841" w:rsidRPr="00F406ED">
        <w:rPr>
          <w:lang w:val="bg-BG"/>
        </w:rPr>
        <w:t xml:space="preserve">В окончателно решение от </w:t>
      </w:r>
      <w:r w:rsidR="00B22F95" w:rsidRPr="00F406ED">
        <w:rPr>
          <w:lang w:val="bg-BG"/>
        </w:rPr>
        <w:t xml:space="preserve">21 </w:t>
      </w:r>
      <w:r w:rsidR="00F406ED" w:rsidRPr="00F406ED">
        <w:rPr>
          <w:lang w:val="bg-BG"/>
        </w:rPr>
        <w:t xml:space="preserve">ноември 2000 г. </w:t>
      </w:r>
      <w:r w:rsidR="009A4841" w:rsidRPr="00F406ED">
        <w:rPr>
          <w:lang w:val="bg-BG"/>
        </w:rPr>
        <w:t>Военно</w:t>
      </w:r>
      <w:r w:rsidR="00563F94" w:rsidRPr="00F406ED">
        <w:rPr>
          <w:lang w:val="bg-BG"/>
        </w:rPr>
        <w:t>-</w:t>
      </w:r>
      <w:r w:rsidR="009A4841" w:rsidRPr="00F406ED">
        <w:rPr>
          <w:lang w:val="bg-BG"/>
        </w:rPr>
        <w:t>апелативният съд също потвърждава прекратяването</w:t>
      </w:r>
      <w:r w:rsidR="00B22F95" w:rsidRPr="00F406ED">
        <w:rPr>
          <w:lang w:val="bg-BG"/>
        </w:rPr>
        <w:t>.</w:t>
      </w:r>
      <w:r w:rsidR="00225D7C">
        <w:rPr>
          <w:lang w:val="bg-BG"/>
        </w:rPr>
        <w:t xml:space="preserve"> </w:t>
      </w:r>
      <w:r w:rsidR="009A4841" w:rsidRPr="00F406ED">
        <w:rPr>
          <w:lang w:val="bg-BG"/>
        </w:rPr>
        <w:t>Той напълно споделя заключението на органите на прокуратурата, че действията на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9A4841" w:rsidRPr="00F406ED">
        <w:rPr>
          <w:lang w:val="bg-BG"/>
        </w:rPr>
        <w:t xml:space="preserve"> са в съответствие с член </w:t>
      </w:r>
      <w:r w:rsidR="00B87A0C" w:rsidRPr="00F406ED">
        <w:rPr>
          <w:lang w:val="bg-BG"/>
        </w:rPr>
        <w:t>42</w:t>
      </w:r>
      <w:r w:rsidR="00C64A14" w:rsidRPr="00F406ED">
        <w:rPr>
          <w:lang w:val="bg-BG"/>
        </w:rPr>
        <w:t>, ал.</w:t>
      </w:r>
      <w:r w:rsidR="00F406ED" w:rsidRPr="00F406ED">
        <w:rPr>
          <w:lang w:val="bg-BG"/>
        </w:rPr>
        <w:t xml:space="preserve"> </w:t>
      </w:r>
      <w:r w:rsidR="00B87A0C" w:rsidRPr="00F406ED">
        <w:rPr>
          <w:lang w:val="bg-BG"/>
        </w:rPr>
        <w:t>1</w:t>
      </w:r>
      <w:r w:rsidR="00C64A14" w:rsidRPr="00F406ED">
        <w:rPr>
          <w:lang w:val="bg-BG"/>
        </w:rPr>
        <w:t>, т.</w:t>
      </w:r>
      <w:r w:rsidR="00F406ED" w:rsidRPr="00F406ED">
        <w:rPr>
          <w:lang w:val="bg-BG"/>
        </w:rPr>
        <w:t xml:space="preserve"> </w:t>
      </w:r>
      <w:r w:rsidR="00B87A0C" w:rsidRPr="00F406ED">
        <w:rPr>
          <w:lang w:val="bg-BG"/>
        </w:rPr>
        <w:t xml:space="preserve">5 </w:t>
      </w:r>
      <w:r w:rsidR="009A4841" w:rsidRPr="00F406ED">
        <w:rPr>
          <w:lang w:val="bg-BG"/>
        </w:rPr>
        <w:t xml:space="preserve">от Закона за националната полиция от </w:t>
      </w:r>
      <w:r w:rsidR="00B87A0C" w:rsidRPr="00F406ED">
        <w:rPr>
          <w:lang w:val="bg-BG"/>
        </w:rPr>
        <w:t>1993</w:t>
      </w:r>
      <w:r w:rsidR="00F406ED" w:rsidRPr="00F406ED">
        <w:rPr>
          <w:lang w:val="bg-BG"/>
        </w:rPr>
        <w:t> г.</w:t>
      </w:r>
      <w:r w:rsidR="009A4841" w:rsidRPr="00F406ED">
        <w:rPr>
          <w:lang w:val="bg-BG"/>
        </w:rPr>
        <w:t xml:space="preserve"> и попадат в приложното поле на член </w:t>
      </w:r>
      <w:r w:rsidR="00823A48" w:rsidRPr="00F406ED">
        <w:rPr>
          <w:lang w:val="bg-BG"/>
        </w:rPr>
        <w:t xml:space="preserve">12a </w:t>
      </w:r>
      <w:r w:rsidR="009A4841" w:rsidRPr="00F406ED">
        <w:rPr>
          <w:lang w:val="bg-BG"/>
        </w:rPr>
        <w:t xml:space="preserve">от Наказателния кодекс </w:t>
      </w:r>
      <w:r w:rsidR="006E45CA" w:rsidRPr="00F406ED">
        <w:rPr>
          <w:lang w:val="bg-BG"/>
        </w:rPr>
        <w:t>(</w:t>
      </w:r>
      <w:r w:rsidR="004825B6" w:rsidRPr="00F406ED">
        <w:rPr>
          <w:lang w:val="bg-BG"/>
        </w:rPr>
        <w:t>виж параграф</w:t>
      </w:r>
      <w:r w:rsidR="009A4841" w:rsidRPr="00F406ED">
        <w:rPr>
          <w:lang w:val="bg-BG"/>
        </w:rPr>
        <w:t>и</w:t>
      </w:r>
      <w:r w:rsidR="00F406ED" w:rsidRPr="00F406ED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6E45CA" w:rsidRPr="00F406ED">
        <w:rPr>
          <w:lang w:val="bg-BG"/>
        </w:rPr>
        <w:instrText xml:space="preserve"> REF RDL_section_42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44</w:t>
      </w:r>
      <w:r w:rsidRPr="00F406ED">
        <w:rPr>
          <w:lang w:val="bg-BG"/>
        </w:rPr>
        <w:fldChar w:fldCharType="end"/>
      </w:r>
      <w:r w:rsidR="00F406ED" w:rsidRPr="00F406ED">
        <w:rPr>
          <w:lang w:val="bg-BG"/>
        </w:rPr>
        <w:t xml:space="preserve"> </w:t>
      </w:r>
      <w:r w:rsidR="009A4841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6E45CA" w:rsidRPr="00F406ED">
        <w:rPr>
          <w:lang w:val="bg-BG"/>
        </w:rPr>
        <w:instrText xml:space="preserve"> REF RDL_Article_12a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46</w:t>
      </w:r>
      <w:r w:rsidRPr="00F406ED">
        <w:rPr>
          <w:lang w:val="bg-BG"/>
        </w:rPr>
        <w:fldChar w:fldCharType="end"/>
      </w:r>
      <w:r w:rsidR="00F406ED" w:rsidRPr="00F406ED">
        <w:rPr>
          <w:lang w:val="bg-BG"/>
        </w:rPr>
        <w:t xml:space="preserve"> </w:t>
      </w:r>
      <w:r w:rsidR="004825B6" w:rsidRPr="00F406ED">
        <w:rPr>
          <w:lang w:val="bg-BG"/>
        </w:rPr>
        <w:t>по-долу</w:t>
      </w:r>
      <w:r w:rsidR="006E45CA" w:rsidRPr="00F406ED">
        <w:rPr>
          <w:lang w:val="bg-BG"/>
        </w:rPr>
        <w:t>)</w:t>
      </w:r>
      <w:r w:rsidR="00823A48" w:rsidRPr="00F406ED">
        <w:rPr>
          <w:lang w:val="bg-BG"/>
        </w:rPr>
        <w:t xml:space="preserve">. </w:t>
      </w:r>
      <w:r w:rsidR="009A4841" w:rsidRPr="00F406ED">
        <w:rPr>
          <w:lang w:val="bg-BG"/>
        </w:rPr>
        <w:t xml:space="preserve">Освен това отбелязва, че сержантът се е целел в краката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F406ED" w:rsidRPr="00F406ED">
        <w:rPr>
          <w:lang w:val="bg-BG"/>
        </w:rPr>
        <w:t xml:space="preserve"> </w:t>
      </w:r>
      <w:r w:rsidR="009A4841" w:rsidRPr="00F406ED">
        <w:rPr>
          <w:lang w:val="bg-BG"/>
        </w:rPr>
        <w:t xml:space="preserve">и го е прострелял в задната част на главата </w:t>
      </w:r>
      <w:r w:rsidR="00F406ED" w:rsidRPr="00F406ED">
        <w:rPr>
          <w:lang w:val="bg-BG"/>
        </w:rPr>
        <w:t>единствено</w:t>
      </w:r>
      <w:r w:rsidR="009A4841" w:rsidRPr="00F406ED">
        <w:rPr>
          <w:lang w:val="bg-BG"/>
        </w:rPr>
        <w:t xml:space="preserve"> заради увеличаващото се разстояние между тях и скоростта на преследването</w:t>
      </w:r>
      <w:r w:rsidR="006756C4" w:rsidRPr="00F406ED">
        <w:rPr>
          <w:lang w:val="bg-BG"/>
        </w:rPr>
        <w:t>.</w:t>
      </w:r>
    </w:p>
    <w:p w:rsidR="007352DD" w:rsidRPr="00F406ED" w:rsidRDefault="007352DD" w:rsidP="00995C31">
      <w:pPr>
        <w:pStyle w:val="JuHIRoman"/>
        <w:outlineLvl w:val="1"/>
        <w:rPr>
          <w:lang w:val="bg-BG"/>
        </w:rPr>
      </w:pPr>
      <w:r w:rsidRPr="00F406ED">
        <w:rPr>
          <w:lang w:val="bg-BG"/>
        </w:rPr>
        <w:t>II.  </w:t>
      </w:r>
      <w:r w:rsidR="009A4841" w:rsidRPr="00F406ED">
        <w:rPr>
          <w:lang w:val="bg-BG"/>
        </w:rPr>
        <w:t>РЕЛЕВАНТНО ВЪТРЕШНО ПРАВО</w:t>
      </w:r>
    </w:p>
    <w:p w:rsidR="003A140A" w:rsidRPr="00F406ED" w:rsidRDefault="003A140A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A.  </w:t>
      </w:r>
      <w:r w:rsidR="009A4841" w:rsidRPr="00F406ED">
        <w:rPr>
          <w:lang w:val="bg-BG"/>
        </w:rPr>
        <w:t>Използване на огнестрелно оръжие от полицията</w:t>
      </w:r>
    </w:p>
    <w:bookmarkStart w:id="28" w:name="RDL_section_42"/>
    <w:p w:rsidR="00E66975" w:rsidRPr="00F406ED" w:rsidRDefault="00FB1D5F" w:rsidP="00E66975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E6697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44</w:t>
      </w:r>
      <w:r w:rsidRPr="00F406ED">
        <w:rPr>
          <w:lang w:val="bg-BG"/>
        </w:rPr>
        <w:fldChar w:fldCharType="end"/>
      </w:r>
      <w:bookmarkEnd w:id="28"/>
      <w:r w:rsidR="00E66975" w:rsidRPr="00F406ED">
        <w:rPr>
          <w:lang w:val="bg-BG"/>
        </w:rPr>
        <w:t>.  </w:t>
      </w:r>
      <w:r w:rsidR="00835DBB" w:rsidRPr="00F406ED">
        <w:rPr>
          <w:lang w:val="bg-BG"/>
        </w:rPr>
        <w:t>Член </w:t>
      </w:r>
      <w:r w:rsidR="00E66975" w:rsidRPr="00F406ED">
        <w:rPr>
          <w:lang w:val="bg-BG"/>
        </w:rPr>
        <w:t xml:space="preserve">42 </w:t>
      </w:r>
      <w:r w:rsidR="00835DBB" w:rsidRPr="00F406ED">
        <w:rPr>
          <w:lang w:val="bg-BG"/>
        </w:rPr>
        <w:t xml:space="preserve">от </w:t>
      </w:r>
      <w:r w:rsidR="003211A1" w:rsidRPr="00F406ED">
        <w:rPr>
          <w:lang w:val="bg-BG"/>
        </w:rPr>
        <w:t xml:space="preserve">Закона за националната полиция от </w:t>
      </w:r>
      <w:r w:rsidR="00E66975" w:rsidRPr="00F406ED">
        <w:rPr>
          <w:lang w:val="bg-BG"/>
        </w:rPr>
        <w:t>1993</w:t>
      </w:r>
      <w:r w:rsidR="00F406ED" w:rsidRPr="00F406ED">
        <w:rPr>
          <w:lang w:val="bg-BG"/>
        </w:rPr>
        <w:t> г.</w:t>
      </w:r>
      <w:r w:rsidR="00E66975" w:rsidRPr="00F406ED">
        <w:rPr>
          <w:lang w:val="bg-BG"/>
        </w:rPr>
        <w:t xml:space="preserve">, </w:t>
      </w:r>
      <w:r w:rsidR="003211A1" w:rsidRPr="00F406ED">
        <w:rPr>
          <w:lang w:val="bg-BG"/>
        </w:rPr>
        <w:t>в редакцията му към процесния период</w:t>
      </w:r>
      <w:r w:rsidR="00E66975" w:rsidRPr="00F406ED">
        <w:rPr>
          <w:lang w:val="bg-BG"/>
        </w:rPr>
        <w:t xml:space="preserve">, </w:t>
      </w:r>
      <w:r w:rsidR="003211A1" w:rsidRPr="00F406ED">
        <w:rPr>
          <w:lang w:val="bg-BG"/>
        </w:rPr>
        <w:t>предвижда</w:t>
      </w:r>
      <w:r w:rsidR="00E66975" w:rsidRPr="00F406ED">
        <w:rPr>
          <w:lang w:val="bg-BG"/>
        </w:rPr>
        <w:t xml:space="preserve">, </w:t>
      </w:r>
      <w:r w:rsidR="003211A1" w:rsidRPr="00F406ED">
        <w:rPr>
          <w:lang w:val="bg-BG"/>
        </w:rPr>
        <w:t>в релевантната си част</w:t>
      </w:r>
      <w:r w:rsidR="00E66975" w:rsidRPr="00F406ED">
        <w:rPr>
          <w:lang w:val="bg-BG"/>
        </w:rPr>
        <w:t>:</w:t>
      </w:r>
    </w:p>
    <w:p w:rsidR="006B5E07" w:rsidRPr="00F406ED" w:rsidRDefault="003211A1" w:rsidP="006B5E07">
      <w:pPr>
        <w:pStyle w:val="JuQuot"/>
        <w:rPr>
          <w:lang w:val="bg-BG"/>
        </w:rPr>
      </w:pPr>
      <w:r w:rsidRPr="00F406ED">
        <w:rPr>
          <w:lang w:val="bg-BG"/>
        </w:rPr>
        <w:t>„</w:t>
      </w:r>
      <w:r w:rsidR="006B5E07" w:rsidRPr="00F406ED">
        <w:rPr>
          <w:lang w:val="bg-BG"/>
        </w:rPr>
        <w:t>(1)  </w:t>
      </w:r>
      <w:r w:rsidR="00C64A14" w:rsidRPr="00F406ED">
        <w:rPr>
          <w:lang w:val="bg-BG"/>
        </w:rPr>
        <w:t>Полицейските органи могат да използват оръжие като крайна мярка</w:t>
      </w:r>
      <w:r w:rsidR="006B5E07" w:rsidRPr="00F406ED">
        <w:rPr>
          <w:lang w:val="bg-BG"/>
        </w:rPr>
        <w:t>:</w:t>
      </w:r>
    </w:p>
    <w:p w:rsidR="006B5E07" w:rsidRPr="00F406ED" w:rsidRDefault="006B5E07" w:rsidP="006B5E07">
      <w:pPr>
        <w:pStyle w:val="JuQuotSub"/>
        <w:rPr>
          <w:lang w:val="bg-BG"/>
        </w:rPr>
      </w:pPr>
      <w:r w:rsidRPr="00F406ED">
        <w:rPr>
          <w:lang w:val="bg-BG"/>
        </w:rPr>
        <w:t>...</w:t>
      </w:r>
    </w:p>
    <w:p w:rsidR="006B5E07" w:rsidRPr="00F406ED" w:rsidRDefault="006B5E07" w:rsidP="006B5E07">
      <w:pPr>
        <w:pStyle w:val="JuQuotSub"/>
        <w:rPr>
          <w:lang w:val="bg-BG"/>
        </w:rPr>
      </w:pPr>
      <w:r w:rsidRPr="00F406ED">
        <w:rPr>
          <w:lang w:val="bg-BG"/>
        </w:rPr>
        <w:t>5.  </w:t>
      </w:r>
      <w:r w:rsidR="00C64A14" w:rsidRPr="00F406ED">
        <w:rPr>
          <w:lang w:val="bg-BG"/>
        </w:rPr>
        <w:t xml:space="preserve"> след предупреждение за предотвратяване бягство на лице, задържано по съответния ред за извършено престъпление от общ характер</w:t>
      </w:r>
      <w:r w:rsidRPr="00F406ED">
        <w:rPr>
          <w:lang w:val="bg-BG"/>
        </w:rPr>
        <w:t>.</w:t>
      </w:r>
    </w:p>
    <w:p w:rsidR="006B5E07" w:rsidRPr="00F406ED" w:rsidRDefault="006B5E07" w:rsidP="006B5E07">
      <w:pPr>
        <w:pStyle w:val="JuQuot"/>
        <w:rPr>
          <w:lang w:val="bg-BG"/>
        </w:rPr>
      </w:pPr>
      <w:r w:rsidRPr="00F406ED">
        <w:rPr>
          <w:lang w:val="bg-BG"/>
        </w:rPr>
        <w:t>(2)  </w:t>
      </w:r>
      <w:r w:rsidR="00C64A14" w:rsidRPr="00F406ED">
        <w:rPr>
          <w:lang w:val="bg-BG"/>
        </w:rPr>
        <w:t>Полицейските органи при използване на оръжие са длъжни по възможност да пазят живота на лицето, срещу което е насочено</w:t>
      </w:r>
      <w:r w:rsidR="00F406ED" w:rsidRPr="00F406ED">
        <w:rPr>
          <w:lang w:val="bg-BG"/>
        </w:rPr>
        <w:t>...“</w:t>
      </w:r>
    </w:p>
    <w:bookmarkStart w:id="29" w:name="RDL_section_80_section_74"/>
    <w:p w:rsidR="003A140A" w:rsidRPr="00F406ED" w:rsidRDefault="00FB1D5F" w:rsidP="003A140A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140A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45</w:t>
      </w:r>
      <w:r w:rsidRPr="00F406ED">
        <w:rPr>
          <w:lang w:val="bg-BG"/>
        </w:rPr>
        <w:fldChar w:fldCharType="end"/>
      </w:r>
      <w:bookmarkEnd w:id="29"/>
      <w:r w:rsidR="003A140A" w:rsidRPr="00F406ED">
        <w:rPr>
          <w:lang w:val="bg-BG"/>
        </w:rPr>
        <w:t>.  </w:t>
      </w:r>
      <w:r w:rsidR="00C64A14" w:rsidRPr="00F406ED">
        <w:rPr>
          <w:lang w:val="bg-BG"/>
        </w:rPr>
        <w:t>Формулировката на член </w:t>
      </w:r>
      <w:r w:rsidR="006B5E07" w:rsidRPr="00F406ED">
        <w:rPr>
          <w:lang w:val="bg-BG"/>
        </w:rPr>
        <w:t>80</w:t>
      </w:r>
      <w:r w:rsidR="00C64A14" w:rsidRPr="00F406ED">
        <w:rPr>
          <w:lang w:val="bg-BG"/>
        </w:rPr>
        <w:t>, ал.</w:t>
      </w:r>
      <w:r w:rsidR="00F406ED" w:rsidRPr="00F406ED">
        <w:rPr>
          <w:lang w:val="bg-BG"/>
        </w:rPr>
        <w:t xml:space="preserve"> </w:t>
      </w:r>
      <w:r w:rsidR="006B5E07" w:rsidRPr="00F406ED">
        <w:rPr>
          <w:lang w:val="bg-BG"/>
        </w:rPr>
        <w:t>1</w:t>
      </w:r>
      <w:r w:rsidR="00C64A14" w:rsidRPr="00F406ED">
        <w:rPr>
          <w:lang w:val="bg-BG"/>
        </w:rPr>
        <w:t>, т.</w:t>
      </w:r>
      <w:r w:rsidR="00F406ED" w:rsidRPr="00F406ED">
        <w:rPr>
          <w:lang w:val="bg-BG"/>
        </w:rPr>
        <w:t xml:space="preserve"> </w:t>
      </w:r>
      <w:r w:rsidR="006B5E07" w:rsidRPr="00F406ED">
        <w:rPr>
          <w:lang w:val="bg-BG"/>
        </w:rPr>
        <w:t>5</w:t>
      </w:r>
      <w:r w:rsidR="00C64A14" w:rsidRPr="00F406ED">
        <w:rPr>
          <w:lang w:val="bg-BG"/>
        </w:rPr>
        <w:t xml:space="preserve"> и ал.</w:t>
      </w:r>
      <w:r w:rsidR="00F406ED" w:rsidRPr="00F406ED">
        <w:rPr>
          <w:lang w:val="bg-BG"/>
        </w:rPr>
        <w:t xml:space="preserve"> </w:t>
      </w:r>
      <w:r w:rsidR="006B5E07" w:rsidRPr="00F406ED">
        <w:rPr>
          <w:lang w:val="bg-BG"/>
        </w:rPr>
        <w:t xml:space="preserve">2 </w:t>
      </w:r>
      <w:r w:rsidR="00C64A14" w:rsidRPr="00F406ED">
        <w:rPr>
          <w:lang w:val="bg-BG"/>
        </w:rPr>
        <w:t>от Закона за министерство</w:t>
      </w:r>
      <w:r w:rsidR="00B57EB4" w:rsidRPr="00F406ED">
        <w:rPr>
          <w:lang w:val="bg-BG"/>
        </w:rPr>
        <w:t>то</w:t>
      </w:r>
      <w:r w:rsidR="00C64A14" w:rsidRPr="00F406ED">
        <w:rPr>
          <w:lang w:val="bg-BG"/>
        </w:rPr>
        <w:t xml:space="preserve"> на вътрешните работи от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  <w:r w:rsidR="006B5E07" w:rsidRPr="00F406ED">
        <w:rPr>
          <w:lang w:val="bg-BG"/>
        </w:rPr>
        <w:t xml:space="preserve">, </w:t>
      </w:r>
      <w:r w:rsidR="00C64A14" w:rsidRPr="00F406ED">
        <w:rPr>
          <w:lang w:val="bg-BG"/>
        </w:rPr>
        <w:t xml:space="preserve">който заменя посочената </w:t>
      </w:r>
      <w:r w:rsidR="004825B6" w:rsidRPr="00F406ED">
        <w:rPr>
          <w:lang w:val="bg-BG"/>
        </w:rPr>
        <w:t>по-горе</w:t>
      </w:r>
      <w:r w:rsidR="00F406ED" w:rsidRPr="00F406ED">
        <w:rPr>
          <w:lang w:val="bg-BG"/>
        </w:rPr>
        <w:t xml:space="preserve"> </w:t>
      </w:r>
      <w:r w:rsidR="00C64A14" w:rsidRPr="00F406ED">
        <w:rPr>
          <w:lang w:val="bg-BG"/>
        </w:rPr>
        <w:t xml:space="preserve">разпоредба през </w:t>
      </w:r>
      <w:r w:rsidR="00914B5B" w:rsidRPr="00F406ED">
        <w:rPr>
          <w:lang w:val="bg-BG"/>
        </w:rPr>
        <w:t>декември</w:t>
      </w:r>
      <w:r w:rsidR="0071751B">
        <w:rPr>
          <w:lang w:val="bg-BG"/>
        </w:rPr>
        <w:t xml:space="preserve">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  <w:r w:rsidR="006B5E07" w:rsidRPr="00F406ED">
        <w:rPr>
          <w:lang w:val="bg-BG"/>
        </w:rPr>
        <w:t xml:space="preserve">, </w:t>
      </w:r>
      <w:r w:rsidR="00C64A14" w:rsidRPr="00F406ED">
        <w:rPr>
          <w:lang w:val="bg-BG"/>
        </w:rPr>
        <w:t>е идентична</w:t>
      </w:r>
      <w:r w:rsidR="006B5E07" w:rsidRPr="00F406ED">
        <w:rPr>
          <w:lang w:val="bg-BG"/>
        </w:rPr>
        <w:t xml:space="preserve">. </w:t>
      </w:r>
      <w:r w:rsidR="00B57EB4" w:rsidRPr="00F406ED">
        <w:rPr>
          <w:lang w:val="bg-BG"/>
        </w:rPr>
        <w:t>Формулировката на член </w:t>
      </w:r>
      <w:r w:rsidR="003A140A" w:rsidRPr="00F406ED">
        <w:rPr>
          <w:lang w:val="bg-BG"/>
        </w:rPr>
        <w:t>74</w:t>
      </w:r>
      <w:r w:rsidR="00B57EB4" w:rsidRPr="00F406ED">
        <w:rPr>
          <w:lang w:val="bg-BG"/>
        </w:rPr>
        <w:t>, ал.</w:t>
      </w:r>
      <w:r w:rsidR="00F406ED" w:rsidRPr="00F406ED">
        <w:rPr>
          <w:lang w:val="bg-BG"/>
        </w:rPr>
        <w:t xml:space="preserve"> </w:t>
      </w:r>
      <w:r w:rsidR="003A140A" w:rsidRPr="00F406ED">
        <w:rPr>
          <w:lang w:val="bg-BG"/>
        </w:rPr>
        <w:t>1</w:t>
      </w:r>
      <w:r w:rsidR="00B57EB4" w:rsidRPr="00F406ED">
        <w:rPr>
          <w:lang w:val="bg-BG"/>
        </w:rPr>
        <w:t>, т.</w:t>
      </w:r>
      <w:r w:rsidR="00F406ED" w:rsidRPr="00F406ED">
        <w:rPr>
          <w:lang w:val="bg-BG"/>
        </w:rPr>
        <w:t xml:space="preserve"> </w:t>
      </w:r>
      <w:r w:rsidR="00C5341C" w:rsidRPr="00F406ED">
        <w:rPr>
          <w:lang w:val="bg-BG"/>
        </w:rPr>
        <w:t>4</w:t>
      </w:r>
      <w:r w:rsidR="00225D7C">
        <w:rPr>
          <w:lang w:val="bg-BG"/>
        </w:rPr>
        <w:t xml:space="preserve"> </w:t>
      </w:r>
      <w:r w:rsidR="00B57EB4" w:rsidRPr="00F406ED">
        <w:rPr>
          <w:lang w:val="bg-BG"/>
        </w:rPr>
        <w:t>и ал.</w:t>
      </w:r>
      <w:r w:rsidR="0071751B">
        <w:rPr>
          <w:lang w:val="bg-BG"/>
        </w:rPr>
        <w:t xml:space="preserve"> </w:t>
      </w:r>
      <w:r w:rsidR="00952CC0" w:rsidRPr="00F406ED">
        <w:rPr>
          <w:lang w:val="bg-BG"/>
        </w:rPr>
        <w:t xml:space="preserve">2 </w:t>
      </w:r>
      <w:r w:rsidR="00B57EB4" w:rsidRPr="00F406ED">
        <w:rPr>
          <w:lang w:val="bg-BG"/>
        </w:rPr>
        <w:t xml:space="preserve">от Закона за министерството на вътрешните работи от </w:t>
      </w:r>
      <w:r w:rsidR="003A140A" w:rsidRPr="00F406ED">
        <w:rPr>
          <w:lang w:val="bg-BG"/>
        </w:rPr>
        <w:t>2006</w:t>
      </w:r>
      <w:r w:rsidR="00F406ED" w:rsidRPr="00F406ED">
        <w:rPr>
          <w:lang w:val="bg-BG"/>
        </w:rPr>
        <w:t> г.</w:t>
      </w:r>
      <w:r w:rsidR="00B57EB4" w:rsidRPr="00F406ED">
        <w:rPr>
          <w:lang w:val="bg-BG"/>
        </w:rPr>
        <w:t xml:space="preserve">, който </w:t>
      </w:r>
      <w:r w:rsidR="00D05F5B">
        <w:rPr>
          <w:lang w:val="bg-BG"/>
        </w:rPr>
        <w:t xml:space="preserve">е </w:t>
      </w:r>
      <w:r w:rsidR="00B57EB4" w:rsidRPr="00F406ED">
        <w:rPr>
          <w:lang w:val="bg-BG"/>
        </w:rPr>
        <w:t>в сила</w:t>
      </w:r>
      <w:r w:rsidR="00D05F5B">
        <w:rPr>
          <w:lang w:val="bg-BG"/>
        </w:rPr>
        <w:t xml:space="preserve"> </w:t>
      </w:r>
      <w:r w:rsidR="00D05F5B" w:rsidRPr="00F406ED">
        <w:rPr>
          <w:lang w:val="bg-BG"/>
        </w:rPr>
        <w:t>понастоящем</w:t>
      </w:r>
      <w:r w:rsidR="003A140A" w:rsidRPr="00F406ED">
        <w:rPr>
          <w:lang w:val="bg-BG"/>
        </w:rPr>
        <w:t xml:space="preserve">, </w:t>
      </w:r>
      <w:r w:rsidR="00B57EB4" w:rsidRPr="00F406ED">
        <w:rPr>
          <w:lang w:val="bg-BG"/>
        </w:rPr>
        <w:t>възпроизвежда буквално тази на член 80, ал.</w:t>
      </w:r>
      <w:r w:rsidR="00F406ED" w:rsidRPr="00F406ED">
        <w:rPr>
          <w:lang w:val="bg-BG"/>
        </w:rPr>
        <w:t xml:space="preserve"> </w:t>
      </w:r>
      <w:r w:rsidR="00B57EB4" w:rsidRPr="00F406ED">
        <w:rPr>
          <w:lang w:val="bg-BG"/>
        </w:rPr>
        <w:t>1, т</w:t>
      </w:r>
      <w:r w:rsidR="00F406ED" w:rsidRPr="00F406ED">
        <w:rPr>
          <w:lang w:val="bg-BG"/>
        </w:rPr>
        <w:t xml:space="preserve"> </w:t>
      </w:r>
      <w:r w:rsidR="00B57EB4" w:rsidRPr="00F406ED">
        <w:rPr>
          <w:lang w:val="bg-BG"/>
        </w:rPr>
        <w:t>.5 и ал.</w:t>
      </w:r>
      <w:r w:rsidR="00F406ED" w:rsidRPr="00F406ED">
        <w:rPr>
          <w:lang w:val="bg-BG"/>
        </w:rPr>
        <w:t xml:space="preserve"> </w:t>
      </w:r>
      <w:r w:rsidR="00B57EB4" w:rsidRPr="00F406ED">
        <w:rPr>
          <w:lang w:val="bg-BG"/>
        </w:rPr>
        <w:t xml:space="preserve">2 от Закона от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</w:p>
    <w:p w:rsidR="003A140A" w:rsidRPr="00F406ED" w:rsidRDefault="0018356F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Б</w:t>
      </w:r>
      <w:r w:rsidR="003A140A" w:rsidRPr="00F406ED">
        <w:rPr>
          <w:lang w:val="bg-BG"/>
        </w:rPr>
        <w:t>.  </w:t>
      </w:r>
      <w:r w:rsidRPr="00F406ED">
        <w:rPr>
          <w:lang w:val="bg-BG"/>
        </w:rPr>
        <w:t>Относими разпоредби на Наказателния кодекс</w:t>
      </w:r>
    </w:p>
    <w:bookmarkStart w:id="30" w:name="RDL_Article_12a"/>
    <w:p w:rsidR="003A140A" w:rsidRPr="00F406ED" w:rsidRDefault="00FB1D5F" w:rsidP="003A140A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140A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46</w:t>
      </w:r>
      <w:r w:rsidRPr="00F406ED">
        <w:rPr>
          <w:lang w:val="bg-BG"/>
        </w:rPr>
        <w:fldChar w:fldCharType="end"/>
      </w:r>
      <w:bookmarkEnd w:id="30"/>
      <w:r w:rsidR="003A140A" w:rsidRPr="00F406ED">
        <w:rPr>
          <w:lang w:val="bg-BG"/>
        </w:rPr>
        <w:t>.  </w:t>
      </w:r>
      <w:r w:rsidR="00AB5B26" w:rsidRPr="00F406ED">
        <w:rPr>
          <w:lang w:val="bg-BG"/>
        </w:rPr>
        <w:t>Член 12a, ал.</w:t>
      </w:r>
      <w:r w:rsidR="00F406ED" w:rsidRPr="00F406ED">
        <w:rPr>
          <w:lang w:val="bg-BG"/>
        </w:rPr>
        <w:t xml:space="preserve"> </w:t>
      </w:r>
      <w:r w:rsidR="003A140A" w:rsidRPr="00F406ED">
        <w:rPr>
          <w:lang w:val="bg-BG"/>
        </w:rPr>
        <w:t xml:space="preserve">1 </w:t>
      </w:r>
      <w:r w:rsidR="00AB5B26" w:rsidRPr="00F406ED">
        <w:rPr>
          <w:lang w:val="bg-BG"/>
        </w:rPr>
        <w:t xml:space="preserve">от Наказателния кодекс от </w:t>
      </w:r>
      <w:r w:rsidR="003A140A" w:rsidRPr="00F406ED">
        <w:rPr>
          <w:lang w:val="bg-BG"/>
        </w:rPr>
        <w:t>1968</w:t>
      </w:r>
      <w:r w:rsidR="00F406ED" w:rsidRPr="00F406ED">
        <w:rPr>
          <w:lang w:val="bg-BG"/>
        </w:rPr>
        <w:t> г.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 xml:space="preserve">добавен през </w:t>
      </w:r>
      <w:r w:rsidR="00E06AB1" w:rsidRPr="00F406ED">
        <w:rPr>
          <w:lang w:val="bg-BG"/>
        </w:rPr>
        <w:t>август</w:t>
      </w:r>
      <w:r w:rsidR="009A5393">
        <w:rPr>
          <w:lang w:val="bg-BG"/>
        </w:rPr>
        <w:t xml:space="preserve">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>предвижда, че причиняването на вреда на дадено лице по време на извършване на арест на същото за престъпление, не е наказуемо, когато не са налице други средства за осъщест</w:t>
      </w:r>
      <w:r w:rsidR="00D75703" w:rsidRPr="00F406ED">
        <w:rPr>
          <w:lang w:val="bg-BG"/>
        </w:rPr>
        <w:t>в</w:t>
      </w:r>
      <w:r w:rsidR="00AB5B26" w:rsidRPr="00F406ED">
        <w:rPr>
          <w:lang w:val="bg-BG"/>
        </w:rPr>
        <w:t>яване на ареста и принудата е необходима и законна</w:t>
      </w:r>
      <w:r w:rsidR="003A140A" w:rsidRPr="00F406ED">
        <w:rPr>
          <w:lang w:val="bg-BG"/>
        </w:rPr>
        <w:t xml:space="preserve">. </w:t>
      </w:r>
      <w:r w:rsidR="00AB5B26" w:rsidRPr="00F406ED">
        <w:rPr>
          <w:lang w:val="bg-BG"/>
        </w:rPr>
        <w:t>Съгласно член </w:t>
      </w:r>
      <w:r w:rsidR="003A140A" w:rsidRPr="00F406ED">
        <w:rPr>
          <w:lang w:val="bg-BG"/>
        </w:rPr>
        <w:t>12a</w:t>
      </w:r>
      <w:r w:rsidR="00AB5B26" w:rsidRPr="00F406ED">
        <w:rPr>
          <w:lang w:val="bg-BG"/>
        </w:rPr>
        <w:t>,</w:t>
      </w:r>
      <w:r w:rsidR="00F406ED" w:rsidRPr="00F406ED">
        <w:rPr>
          <w:lang w:val="bg-BG"/>
        </w:rPr>
        <w:t xml:space="preserve"> </w:t>
      </w:r>
      <w:r w:rsidR="00AB5B26" w:rsidRPr="00F406ED">
        <w:rPr>
          <w:lang w:val="bg-BG"/>
        </w:rPr>
        <w:t>ал.</w:t>
      </w:r>
      <w:r w:rsidR="00F406ED" w:rsidRPr="00F406ED">
        <w:rPr>
          <w:lang w:val="bg-BG"/>
        </w:rPr>
        <w:t xml:space="preserve"> </w:t>
      </w:r>
      <w:r w:rsidR="003A140A" w:rsidRPr="00F406ED">
        <w:rPr>
          <w:lang w:val="bg-BG"/>
        </w:rPr>
        <w:t xml:space="preserve">2, </w:t>
      </w:r>
      <w:r w:rsidR="00AB5B26" w:rsidRPr="00F406ED">
        <w:rPr>
          <w:lang w:val="bg-BG"/>
        </w:rPr>
        <w:t>използваната сила не е необходима, когато е очевидно несъразмерна на характера на престъплението, извършено от арестуваното лице</w:t>
      </w:r>
      <w:r w:rsidR="00D05F5B">
        <w:rPr>
          <w:lang w:val="bg-BG"/>
        </w:rPr>
        <w:t>,</w:t>
      </w:r>
      <w:r w:rsidR="00AB5B26" w:rsidRPr="00F406ED">
        <w:rPr>
          <w:lang w:val="bg-BG"/>
        </w:rPr>
        <w:t xml:space="preserve"> или последвалата вреда е, сама по себе си, прекомерна и ненужна</w:t>
      </w:r>
      <w:r w:rsidR="003A140A" w:rsidRPr="00F406ED">
        <w:rPr>
          <w:lang w:val="bg-BG"/>
        </w:rPr>
        <w:t>.</w:t>
      </w:r>
    </w:p>
    <w:p w:rsidR="003A140A" w:rsidRPr="00F406ED" w:rsidRDefault="00835DBB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В</w:t>
      </w:r>
      <w:r w:rsidR="003A140A" w:rsidRPr="00F406ED">
        <w:rPr>
          <w:lang w:val="bg-BG"/>
        </w:rPr>
        <w:t>.  </w:t>
      </w:r>
      <w:r w:rsidRPr="00F406ED">
        <w:rPr>
          <w:lang w:val="bg-BG"/>
        </w:rPr>
        <w:t>Прекратяване на предварителното разследване</w:t>
      </w:r>
    </w:p>
    <w:bookmarkStart w:id="31" w:name="RDL_Article_237_one"/>
    <w:p w:rsidR="003A140A" w:rsidRPr="00F406ED" w:rsidRDefault="00FB1D5F" w:rsidP="003A140A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140A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47</w:t>
      </w:r>
      <w:r w:rsidRPr="00F406ED">
        <w:rPr>
          <w:lang w:val="bg-BG"/>
        </w:rPr>
        <w:fldChar w:fldCharType="end"/>
      </w:r>
      <w:bookmarkEnd w:id="31"/>
      <w:r w:rsidR="003A140A" w:rsidRPr="00F406ED">
        <w:rPr>
          <w:lang w:val="bg-BG"/>
        </w:rPr>
        <w:t>.  </w:t>
      </w:r>
      <w:r w:rsidR="00AB5B26" w:rsidRPr="00F406ED">
        <w:rPr>
          <w:lang w:val="bg-BG"/>
        </w:rPr>
        <w:t>Съгласно член </w:t>
      </w:r>
      <w:r w:rsidR="003A140A" w:rsidRPr="00F406ED">
        <w:rPr>
          <w:lang w:val="bg-BG"/>
        </w:rPr>
        <w:t xml:space="preserve">237 </w:t>
      </w:r>
      <w:r w:rsidR="00AB5B26" w:rsidRPr="00F406ED">
        <w:rPr>
          <w:lang w:val="bg-BG"/>
        </w:rPr>
        <w:t xml:space="preserve">от Наказателно-процесуалния кодекс от </w:t>
      </w:r>
      <w:r w:rsidR="003A140A" w:rsidRPr="00F406ED">
        <w:rPr>
          <w:lang w:val="bg-BG"/>
        </w:rPr>
        <w:t>1974</w:t>
      </w:r>
      <w:r w:rsidR="00F406ED" w:rsidRPr="00F406ED">
        <w:rPr>
          <w:lang w:val="bg-BG"/>
        </w:rPr>
        <w:t> г.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 xml:space="preserve">в сила до </w:t>
      </w:r>
      <w:r w:rsidR="003A140A" w:rsidRPr="00F406ED">
        <w:rPr>
          <w:lang w:val="bg-BG"/>
        </w:rPr>
        <w:t xml:space="preserve">31 </w:t>
      </w:r>
      <w:r w:rsidR="00914B5B" w:rsidRPr="00F406ED">
        <w:rPr>
          <w:lang w:val="bg-BG"/>
        </w:rPr>
        <w:t>декември</w:t>
      </w:r>
      <w:r w:rsidR="003A140A" w:rsidRPr="00F406ED">
        <w:rPr>
          <w:lang w:val="bg-BG"/>
        </w:rPr>
        <w:t xml:space="preserve"> 1999</w:t>
      </w:r>
      <w:r w:rsidR="00F406ED" w:rsidRPr="00F406ED">
        <w:rPr>
          <w:lang w:val="bg-BG"/>
        </w:rPr>
        <w:t> г.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>прекратяването на предварително разследване може да бъде оспорено пред по-висш</w:t>
      </w:r>
      <w:r w:rsidR="00272006">
        <w:rPr>
          <w:lang w:val="bg-BG"/>
        </w:rPr>
        <w:t>естоящ</w:t>
      </w:r>
      <w:r w:rsidR="00AB5B26" w:rsidRPr="00F406ED">
        <w:rPr>
          <w:lang w:val="bg-BG"/>
        </w:rPr>
        <w:t xml:space="preserve"> прокурор</w:t>
      </w:r>
      <w:r w:rsidR="003A140A" w:rsidRPr="00F406ED">
        <w:rPr>
          <w:lang w:val="bg-BG"/>
        </w:rPr>
        <w:t>.</w:t>
      </w:r>
    </w:p>
    <w:bookmarkStart w:id="32" w:name="RDL_Article_237_two"/>
    <w:p w:rsidR="003A140A" w:rsidRPr="00F406ED" w:rsidRDefault="00FB1D5F" w:rsidP="003A140A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140A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48</w:t>
      </w:r>
      <w:r w:rsidRPr="00F406ED">
        <w:rPr>
          <w:lang w:val="bg-BG"/>
        </w:rPr>
        <w:fldChar w:fldCharType="end"/>
      </w:r>
      <w:bookmarkEnd w:id="32"/>
      <w:r w:rsidR="006606DB" w:rsidRPr="00F406ED">
        <w:rPr>
          <w:lang w:val="bg-BG"/>
        </w:rPr>
        <w:t xml:space="preserve">. На </w:t>
      </w:r>
      <w:r w:rsidR="003A140A" w:rsidRPr="00F406ED">
        <w:rPr>
          <w:lang w:val="bg-BG"/>
        </w:rPr>
        <w:t xml:space="preserve">1 </w:t>
      </w:r>
      <w:r w:rsidR="00D75703" w:rsidRPr="00F406ED">
        <w:rPr>
          <w:lang w:val="bg-BG"/>
        </w:rPr>
        <w:t>януари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> г.</w:t>
      </w:r>
      <w:r w:rsidR="00272006">
        <w:rPr>
          <w:lang w:val="bg-BG"/>
        </w:rPr>
        <w:t xml:space="preserve"> </w:t>
      </w:r>
      <w:r w:rsidR="00AB5B26" w:rsidRPr="00F406ED">
        <w:rPr>
          <w:lang w:val="bg-BG"/>
        </w:rPr>
        <w:t>този член е изменен така, че вече предвижда система за автоматичен контрол върху прекратяването</w:t>
      </w:r>
      <w:r w:rsidR="003A140A" w:rsidRPr="00F406ED">
        <w:rPr>
          <w:lang w:val="bg-BG"/>
        </w:rPr>
        <w:t xml:space="preserve">: </w:t>
      </w:r>
      <w:r w:rsidR="00AB5B26" w:rsidRPr="00F406ED">
        <w:rPr>
          <w:lang w:val="bg-BG"/>
        </w:rPr>
        <w:t>след прекратяването прокурорът трябва да изпрати преписката и решението си на непосредствено по-висшестоящата прокуратура, която би могла да потвърди, измени или отмени същото</w:t>
      </w:r>
      <w:r w:rsidR="003A140A" w:rsidRPr="00F406ED">
        <w:rPr>
          <w:lang w:val="bg-BG"/>
        </w:rPr>
        <w:t xml:space="preserve">. </w:t>
      </w:r>
      <w:r w:rsidR="00AB5B26" w:rsidRPr="00F406ED">
        <w:rPr>
          <w:lang w:val="bg-BG"/>
        </w:rPr>
        <w:t>Ако тя потвърди решението, трябва да препрати преписката на надлежния съд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>който трябва да разгледа въпроса в разпоредително заседание</w:t>
      </w:r>
      <w:r w:rsidR="003A140A" w:rsidRPr="00F406ED">
        <w:rPr>
          <w:lang w:val="bg-BG"/>
        </w:rPr>
        <w:t xml:space="preserve">. </w:t>
      </w:r>
      <w:r w:rsidR="00AB5B26" w:rsidRPr="00F406ED">
        <w:rPr>
          <w:lang w:val="bg-BG"/>
        </w:rPr>
        <w:t>Решението на съда е окончателно</w:t>
      </w:r>
      <w:r w:rsidR="003A140A" w:rsidRPr="00F406ED">
        <w:rPr>
          <w:lang w:val="bg-BG"/>
        </w:rPr>
        <w:t xml:space="preserve">. </w:t>
      </w:r>
      <w:r w:rsidR="00492AA4">
        <w:rPr>
          <w:lang w:val="bg-BG"/>
        </w:rPr>
        <w:t>Не са предвидени</w:t>
      </w:r>
      <w:r w:rsidR="00AB5B26" w:rsidRPr="00F406ED">
        <w:rPr>
          <w:lang w:val="bg-BG"/>
        </w:rPr>
        <w:t xml:space="preserve"> разпоредби относно уведомяване на заинтересуваните за прекратяването</w:t>
      </w:r>
      <w:r w:rsidR="003A140A" w:rsidRPr="00F406ED">
        <w:rPr>
          <w:lang w:val="bg-BG"/>
        </w:rPr>
        <w:t>.</w:t>
      </w:r>
    </w:p>
    <w:bookmarkStart w:id="33" w:name="RDL_Article_237_three"/>
    <w:p w:rsidR="003A140A" w:rsidRPr="00F406ED" w:rsidRDefault="00FB1D5F" w:rsidP="003A140A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3A140A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49</w:t>
      </w:r>
      <w:r w:rsidRPr="00F406ED">
        <w:rPr>
          <w:lang w:val="bg-BG"/>
        </w:rPr>
        <w:fldChar w:fldCharType="end"/>
      </w:r>
      <w:bookmarkEnd w:id="33"/>
      <w:r w:rsidR="003A140A" w:rsidRPr="00F406ED">
        <w:rPr>
          <w:lang w:val="bg-BG"/>
        </w:rPr>
        <w:t>.  </w:t>
      </w:r>
      <w:r w:rsidR="00AB5B26" w:rsidRPr="00F406ED">
        <w:rPr>
          <w:lang w:val="bg-BG"/>
        </w:rPr>
        <w:t xml:space="preserve">След допълнително изменение на този член през </w:t>
      </w:r>
      <w:r w:rsidR="008E7BA7" w:rsidRPr="00F406ED">
        <w:rPr>
          <w:lang w:val="bg-BG"/>
        </w:rPr>
        <w:t xml:space="preserve">май </w:t>
      </w:r>
      <w:r w:rsidR="003A140A" w:rsidRPr="00F406ED">
        <w:rPr>
          <w:lang w:val="bg-BG"/>
        </w:rPr>
        <w:t>2001</w:t>
      </w:r>
      <w:r w:rsidR="00F406ED" w:rsidRPr="00F406ED">
        <w:rPr>
          <w:lang w:val="bg-BG"/>
        </w:rPr>
        <w:t> г.</w:t>
      </w:r>
      <w:r w:rsidR="003A140A" w:rsidRPr="00F406ED">
        <w:rPr>
          <w:lang w:val="bg-BG"/>
        </w:rPr>
        <w:t xml:space="preserve">, </w:t>
      </w:r>
      <w:r w:rsidR="00AB5B26" w:rsidRPr="00F406ED">
        <w:rPr>
          <w:lang w:val="bg-BG"/>
        </w:rPr>
        <w:t>прекратяването на предварителни разследвания става предмет на съдебен надзор</w:t>
      </w:r>
      <w:r w:rsidR="003A140A" w:rsidRPr="00F406ED">
        <w:rPr>
          <w:lang w:val="bg-BG"/>
        </w:rPr>
        <w:t xml:space="preserve">. </w:t>
      </w:r>
      <w:r w:rsidR="00AB5B26" w:rsidRPr="00F406ED">
        <w:rPr>
          <w:lang w:val="bg-BG"/>
        </w:rPr>
        <w:t xml:space="preserve">Наказателно-процесуалният кодекс от </w:t>
      </w:r>
      <w:r w:rsidR="003A140A" w:rsidRPr="00F406ED">
        <w:rPr>
          <w:lang w:val="bg-BG"/>
        </w:rPr>
        <w:t>2005</w:t>
      </w:r>
      <w:r w:rsidR="00F406ED" w:rsidRPr="00F406ED">
        <w:rPr>
          <w:lang w:val="bg-BG"/>
        </w:rPr>
        <w:t> г.</w:t>
      </w:r>
      <w:r w:rsidR="00AB5B26" w:rsidRPr="00F406ED">
        <w:rPr>
          <w:lang w:val="bg-BG"/>
        </w:rPr>
        <w:t xml:space="preserve"> запазва това положение в член </w:t>
      </w:r>
      <w:r w:rsidR="003A140A" w:rsidRPr="00F406ED">
        <w:rPr>
          <w:lang w:val="bg-BG"/>
        </w:rPr>
        <w:t xml:space="preserve"> 243</w:t>
      </w:r>
      <w:r w:rsidR="00AB5B26" w:rsidRPr="00F406ED">
        <w:rPr>
          <w:lang w:val="bg-BG"/>
        </w:rPr>
        <w:t>, ал.</w:t>
      </w:r>
      <w:r w:rsidR="009A5393">
        <w:rPr>
          <w:lang w:val="bg-BG"/>
        </w:rPr>
        <w:t xml:space="preserve"> </w:t>
      </w:r>
      <w:r w:rsidR="003A140A" w:rsidRPr="00F406ED">
        <w:rPr>
          <w:lang w:val="bg-BG"/>
        </w:rPr>
        <w:t>3</w:t>
      </w:r>
      <w:r w:rsidR="003A140A" w:rsidRPr="00F406ED">
        <w:rPr>
          <w:lang w:val="bg-BG"/>
        </w:rPr>
        <w:noBreakHyphen/>
        <w:t>7.</w:t>
      </w:r>
    </w:p>
    <w:p w:rsidR="00F71A6A" w:rsidRPr="00F406ED" w:rsidRDefault="00AB5B26" w:rsidP="00995C31">
      <w:pPr>
        <w:pStyle w:val="JuHHead"/>
        <w:outlineLvl w:val="0"/>
        <w:rPr>
          <w:lang w:val="bg-BG"/>
        </w:rPr>
      </w:pPr>
      <w:r w:rsidRPr="00F406ED">
        <w:rPr>
          <w:lang w:val="bg-BG"/>
        </w:rPr>
        <w:t>ПРАВНИ ИЗВОДИ</w:t>
      </w:r>
    </w:p>
    <w:p w:rsidR="00EA5868" w:rsidRPr="00F406ED" w:rsidRDefault="00EA5868" w:rsidP="00995C31">
      <w:pPr>
        <w:pStyle w:val="JuHIRoman"/>
        <w:outlineLvl w:val="1"/>
        <w:rPr>
          <w:lang w:val="bg-BG"/>
        </w:rPr>
      </w:pPr>
      <w:r w:rsidRPr="00F406ED">
        <w:rPr>
          <w:lang w:val="bg-BG"/>
        </w:rPr>
        <w:t>I.  </w:t>
      </w:r>
      <w:r w:rsidR="00AB5B26" w:rsidRPr="00F406ED">
        <w:rPr>
          <w:lang w:val="bg-BG"/>
        </w:rPr>
        <w:t>ТВЪРДЕНИ НАРУШЕНИЯ НА ЧЛЕН 2 ОТ КОНВЕНЦИЯТА</w:t>
      </w:r>
    </w:p>
    <w:p w:rsidR="00A84DEE" w:rsidRPr="00F406ED" w:rsidRDefault="00FB1D5F" w:rsidP="0018224B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165C6B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50</w:t>
      </w:r>
      <w:r w:rsidRPr="00F406ED">
        <w:rPr>
          <w:lang w:val="bg-BG"/>
        </w:rPr>
        <w:fldChar w:fldCharType="end"/>
      </w:r>
      <w:r w:rsidR="00165C6B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340252" w:rsidRPr="00F406ED">
        <w:rPr>
          <w:lang w:val="bg-BG"/>
        </w:rPr>
        <w:t>се оплаква, че синът й</w:t>
      </w:r>
      <w:r w:rsidR="00377FD6"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377FD6" w:rsidRPr="00F406ED">
        <w:rPr>
          <w:lang w:val="bg-BG"/>
        </w:rPr>
        <w:t xml:space="preserve">, </w:t>
      </w:r>
      <w:r w:rsidR="00340252" w:rsidRPr="00F406ED">
        <w:rPr>
          <w:lang w:val="bg-BG"/>
        </w:rPr>
        <w:t>е бил убит от полицейските органи при обстоятелства, при които това не е било абсолютно необходимо</w:t>
      </w:r>
      <w:r w:rsidR="00A84DEE" w:rsidRPr="00F406ED">
        <w:rPr>
          <w:lang w:val="bg-BG"/>
        </w:rPr>
        <w:t xml:space="preserve">. </w:t>
      </w:r>
      <w:r w:rsidR="00340252" w:rsidRPr="00F406ED">
        <w:rPr>
          <w:lang w:val="bg-BG"/>
        </w:rPr>
        <w:t>Освен това тя се оплаква, че органите не са провели ефективно разследване по делото</w:t>
      </w:r>
      <w:r w:rsidR="00A84DEE" w:rsidRPr="00F406ED">
        <w:rPr>
          <w:lang w:val="bg-BG"/>
        </w:rPr>
        <w:t xml:space="preserve">. </w:t>
      </w:r>
      <w:r w:rsidR="00340252" w:rsidRPr="00F406ED">
        <w:rPr>
          <w:lang w:val="bg-BG"/>
        </w:rPr>
        <w:t>Тя се позовава на член </w:t>
      </w:r>
      <w:r w:rsidR="00A84DEE" w:rsidRPr="00F406ED">
        <w:rPr>
          <w:lang w:val="bg-BG"/>
        </w:rPr>
        <w:t xml:space="preserve">2 </w:t>
      </w:r>
      <w:r w:rsidR="00340252" w:rsidRPr="00F406ED">
        <w:rPr>
          <w:lang w:val="bg-BG"/>
        </w:rPr>
        <w:t>от Конвенцията</w:t>
      </w:r>
      <w:r w:rsidR="00A84DEE" w:rsidRPr="00F406ED">
        <w:rPr>
          <w:lang w:val="bg-BG"/>
        </w:rPr>
        <w:t xml:space="preserve">, </w:t>
      </w:r>
      <w:r w:rsidR="00340252" w:rsidRPr="00F406ED">
        <w:rPr>
          <w:lang w:val="bg-BG"/>
        </w:rPr>
        <w:t>който предвижда следното в своята релевантна част</w:t>
      </w:r>
      <w:r w:rsidR="00A84DEE" w:rsidRPr="00F406ED">
        <w:rPr>
          <w:lang w:val="bg-BG"/>
        </w:rPr>
        <w:t>:</w:t>
      </w:r>
    </w:p>
    <w:p w:rsidR="00A84DEE" w:rsidRPr="00F406ED" w:rsidRDefault="00F406ED" w:rsidP="00A84DEE">
      <w:pPr>
        <w:pStyle w:val="JuQuot"/>
        <w:rPr>
          <w:lang w:val="bg-BG"/>
        </w:rPr>
      </w:pPr>
      <w:r w:rsidRPr="00F406ED">
        <w:rPr>
          <w:lang w:val="bg-BG"/>
        </w:rPr>
        <w:t>„</w:t>
      </w:r>
      <w:r w:rsidR="00A84DEE" w:rsidRPr="00F406ED">
        <w:rPr>
          <w:lang w:val="bg-BG"/>
        </w:rPr>
        <w:t>1.  </w:t>
      </w:r>
      <w:r w:rsidR="001918CC" w:rsidRPr="00F406ED">
        <w:rPr>
          <w:lang w:val="bg-BG"/>
        </w:rPr>
        <w:t xml:space="preserve">Правото на живот на всеки се защищава от закона. Никой не може да бъде умишлено лишен от живот, освен в изпълнение на съдебна присъда за извършено престъпление, за което такова наказание е предвидено в закона. </w:t>
      </w:r>
    </w:p>
    <w:p w:rsidR="00A84DEE" w:rsidRPr="00F406ED" w:rsidRDefault="00A84DEE" w:rsidP="00A84DEE">
      <w:pPr>
        <w:pStyle w:val="JuQuot"/>
        <w:rPr>
          <w:lang w:val="bg-BG"/>
        </w:rPr>
      </w:pPr>
      <w:r w:rsidRPr="00F406ED">
        <w:rPr>
          <w:lang w:val="bg-BG"/>
        </w:rPr>
        <w:t>2.  </w:t>
      </w:r>
      <w:r w:rsidR="001918CC" w:rsidRPr="00F406ED">
        <w:rPr>
          <w:lang w:val="bg-BG"/>
        </w:rPr>
        <w:t>Лишаването от живот не се разглежда като противоречащо на разпоредбите на този член, когато то е резултат от употреба на сила, призната за абсолютно необходима:</w:t>
      </w:r>
    </w:p>
    <w:p w:rsidR="00A84DEE" w:rsidRPr="00F406ED" w:rsidRDefault="00A84DEE" w:rsidP="00A84DEE">
      <w:pPr>
        <w:pStyle w:val="JuQuot"/>
        <w:rPr>
          <w:lang w:val="bg-BG"/>
        </w:rPr>
      </w:pPr>
      <w:r w:rsidRPr="00F406ED">
        <w:rPr>
          <w:lang w:val="bg-BG"/>
        </w:rPr>
        <w:t>...</w:t>
      </w:r>
    </w:p>
    <w:p w:rsidR="00803A28" w:rsidRPr="00F406ED" w:rsidRDefault="00803A28">
      <w:pPr>
        <w:pStyle w:val="JuQuot"/>
        <w:rPr>
          <w:lang w:val="bg-BG"/>
        </w:rPr>
      </w:pPr>
      <w:r w:rsidRPr="00F406ED">
        <w:rPr>
          <w:lang w:val="bg-BG"/>
        </w:rPr>
        <w:t xml:space="preserve">(b)  ... </w:t>
      </w:r>
      <w:r w:rsidR="001918CC" w:rsidRPr="00F406ED">
        <w:rPr>
          <w:lang w:val="bg-BG"/>
        </w:rPr>
        <w:t>при предотвратяване на бягството на лице, законно лишено от свобода</w:t>
      </w:r>
      <w:r w:rsidR="00F406ED" w:rsidRPr="00F406ED">
        <w:rPr>
          <w:lang w:val="bg-BG"/>
        </w:rPr>
        <w:t>; ...“</w:t>
      </w:r>
    </w:p>
    <w:p w:rsidR="00A84DEE" w:rsidRPr="00F406ED" w:rsidRDefault="00A84DEE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A.  </w:t>
      </w:r>
      <w:r w:rsidR="001918CC" w:rsidRPr="00F406ED">
        <w:rPr>
          <w:lang w:val="bg-BG"/>
        </w:rPr>
        <w:t>Доводи на страните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C96E3D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51</w:t>
      </w:r>
      <w:r w:rsidRPr="00F406ED">
        <w:rPr>
          <w:lang w:val="bg-BG"/>
        </w:rPr>
        <w:fldChar w:fldCharType="end"/>
      </w:r>
      <w:r w:rsidR="00C96E3D" w:rsidRPr="00F406ED">
        <w:rPr>
          <w:lang w:val="bg-BG"/>
        </w:rPr>
        <w:t>.  </w:t>
      </w:r>
      <w:r w:rsidR="002B4892" w:rsidRPr="00F406ED">
        <w:rPr>
          <w:lang w:val="bg-BG"/>
        </w:rPr>
        <w:t>Правителството</w:t>
      </w:r>
      <w:r w:rsidR="00F406ED" w:rsidRPr="00F406ED">
        <w:rPr>
          <w:lang w:val="bg-BG"/>
        </w:rPr>
        <w:t xml:space="preserve"> </w:t>
      </w:r>
      <w:r w:rsidR="001918CC" w:rsidRPr="00F406ED">
        <w:rPr>
          <w:lang w:val="bg-BG"/>
        </w:rPr>
        <w:t>посочва, че оставя на Съда да прецени обосноваността на оплакванията</w:t>
      </w:r>
      <w:r w:rsidR="00712A48" w:rsidRPr="00F406ED">
        <w:rPr>
          <w:lang w:val="bg-BG"/>
        </w:rPr>
        <w:t>.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52</w:t>
      </w:r>
      <w:r w:rsidRPr="00F406ED">
        <w:rPr>
          <w:lang w:val="bg-BG"/>
        </w:rPr>
        <w:fldChar w:fldCharType="end"/>
      </w:r>
      <w:r w:rsidR="00A84DEE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1918CC" w:rsidRPr="00F406ED">
        <w:rPr>
          <w:lang w:val="bg-BG"/>
        </w:rPr>
        <w:t>твърди, че начинът, по който българското право урежда използването на огнестрелни оръжия от полицията</w:t>
      </w:r>
      <w:r w:rsidR="00C444B8">
        <w:rPr>
          <w:lang w:val="bg-BG"/>
        </w:rPr>
        <w:t>,</w:t>
      </w:r>
      <w:r w:rsidR="001918CC" w:rsidRPr="00F406ED">
        <w:rPr>
          <w:lang w:val="bg-BG"/>
        </w:rPr>
        <w:t xml:space="preserve"> явно не </w:t>
      </w:r>
      <w:r w:rsidR="00C444B8">
        <w:rPr>
          <w:lang w:val="bg-BG"/>
        </w:rPr>
        <w:t>съответства на</w:t>
      </w:r>
      <w:r w:rsidR="001918CC" w:rsidRPr="00F406ED">
        <w:rPr>
          <w:lang w:val="bg-BG"/>
        </w:rPr>
        <w:t xml:space="preserve"> практиката на Съда, тъй като то позволява на полицейските органи да използва</w:t>
      </w:r>
      <w:r w:rsidR="00C444B8">
        <w:rPr>
          <w:lang w:val="bg-BG"/>
        </w:rPr>
        <w:t>т</w:t>
      </w:r>
      <w:r w:rsidR="001918CC" w:rsidRPr="00F406ED">
        <w:rPr>
          <w:lang w:val="bg-BG"/>
        </w:rPr>
        <w:t xml:space="preserve"> огнестрелни оръжия при ареста на лица, заподозрени в извършването на дори по-дребни</w:t>
      </w:r>
      <w:r w:rsidR="008B6332" w:rsidRPr="00F406ED">
        <w:rPr>
          <w:lang w:val="bg-BG"/>
        </w:rPr>
        <w:t xml:space="preserve">, </w:t>
      </w:r>
      <w:r w:rsidR="001918CC" w:rsidRPr="00F406ED">
        <w:rPr>
          <w:lang w:val="bg-BG"/>
        </w:rPr>
        <w:t>несвързани с насилие</w:t>
      </w:r>
      <w:r w:rsidR="00C444B8">
        <w:rPr>
          <w:lang w:val="bg-BG"/>
        </w:rPr>
        <w:t>,</w:t>
      </w:r>
      <w:r w:rsidR="001918CC" w:rsidRPr="00F406ED">
        <w:rPr>
          <w:lang w:val="bg-BG"/>
        </w:rPr>
        <w:t xml:space="preserve"> престъпления</w:t>
      </w:r>
      <w:r w:rsidR="006F024F" w:rsidRPr="00F406ED">
        <w:rPr>
          <w:lang w:val="bg-BG"/>
        </w:rPr>
        <w:t>.</w:t>
      </w:r>
      <w:r w:rsidR="009A5393">
        <w:rPr>
          <w:lang w:val="bg-BG"/>
        </w:rPr>
        <w:t xml:space="preserve"> </w:t>
      </w:r>
      <w:r w:rsidR="001918CC" w:rsidRPr="00F406ED">
        <w:rPr>
          <w:lang w:val="bg-BG"/>
        </w:rPr>
        <w:t>Въпреки че съдът е констатирал, че законът не отговаря на изискванията на член </w:t>
      </w:r>
      <w:r w:rsidR="00465A09" w:rsidRPr="00F406ED">
        <w:rPr>
          <w:lang w:val="bg-BG"/>
        </w:rPr>
        <w:t>2</w:t>
      </w:r>
      <w:r w:rsidR="00CC6E22" w:rsidRPr="00F406ED">
        <w:rPr>
          <w:lang w:val="bg-BG"/>
        </w:rPr>
        <w:t xml:space="preserve">, </w:t>
      </w:r>
      <w:r w:rsidR="001918CC" w:rsidRPr="00F406ED">
        <w:rPr>
          <w:lang w:val="bg-BG"/>
        </w:rPr>
        <w:t xml:space="preserve">през </w:t>
      </w:r>
      <w:r w:rsidR="00CC6E22" w:rsidRPr="00F406ED">
        <w:rPr>
          <w:lang w:val="bg-BG"/>
        </w:rPr>
        <w:t>2006</w:t>
      </w:r>
      <w:r w:rsidR="00F406ED" w:rsidRPr="00F406ED">
        <w:rPr>
          <w:lang w:val="bg-BG"/>
        </w:rPr>
        <w:t> г.</w:t>
      </w:r>
      <w:r w:rsidR="001918CC" w:rsidRPr="00F406ED">
        <w:rPr>
          <w:lang w:val="bg-BG"/>
        </w:rPr>
        <w:t xml:space="preserve"> законодателят въвежда идентични разпоредби</w:t>
      </w:r>
      <w:r w:rsidR="00CC6E22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1918CC" w:rsidRPr="00F406ED">
        <w:rPr>
          <w:lang w:val="bg-BG"/>
        </w:rPr>
        <w:t xml:space="preserve">Освен това тя твърди, че използването на огнестрелни оръжия за </w:t>
      </w:r>
      <w:r w:rsidR="00B61E2C">
        <w:rPr>
          <w:lang w:val="bg-BG"/>
        </w:rPr>
        <w:t>задържане</w:t>
      </w:r>
      <w:r w:rsidR="001918CC" w:rsidRPr="00F406ED">
        <w:rPr>
          <w:lang w:val="bg-BG"/>
        </w:rPr>
        <w:t xml:space="preserve"> и арест на сина й </w:t>
      </w:r>
      <w:r w:rsidR="004532A6" w:rsidRPr="00F406ED">
        <w:rPr>
          <w:lang w:val="bg-BG"/>
        </w:rPr>
        <w:t xml:space="preserve">– </w:t>
      </w:r>
      <w:r w:rsidR="001918CC" w:rsidRPr="00F406ED">
        <w:rPr>
          <w:lang w:val="bg-BG"/>
        </w:rPr>
        <w:t>който е заподозрян в две дребни престъпления</w:t>
      </w:r>
      <w:r w:rsidR="00457354" w:rsidRPr="00F406ED">
        <w:rPr>
          <w:lang w:val="bg-BG"/>
        </w:rPr>
        <w:t xml:space="preserve">, </w:t>
      </w:r>
      <w:r w:rsidR="001918CC" w:rsidRPr="00F406ED">
        <w:rPr>
          <w:lang w:val="bg-BG"/>
        </w:rPr>
        <w:t>ни</w:t>
      </w:r>
      <w:r w:rsidR="00B61E2C">
        <w:rPr>
          <w:lang w:val="bg-BG"/>
        </w:rPr>
        <w:t>то едно от</w:t>
      </w:r>
      <w:r w:rsidR="001918CC" w:rsidRPr="00F406ED">
        <w:rPr>
          <w:lang w:val="bg-BG"/>
        </w:rPr>
        <w:t xml:space="preserve"> които не предполага дори най-малък риск от насилствено поведение от негова страна </w:t>
      </w:r>
      <w:r w:rsidR="004532A6" w:rsidRPr="00F406ED">
        <w:rPr>
          <w:lang w:val="bg-BG"/>
        </w:rPr>
        <w:t xml:space="preserve">– </w:t>
      </w:r>
      <w:r w:rsidR="001918CC" w:rsidRPr="00F406ED">
        <w:rPr>
          <w:lang w:val="bg-BG"/>
        </w:rPr>
        <w:t>е било очевидно неоснователно</w:t>
      </w:r>
      <w:r w:rsidR="00457354" w:rsidRPr="00F406ED">
        <w:rPr>
          <w:lang w:val="bg-BG"/>
        </w:rPr>
        <w:t>.</w:t>
      </w:r>
    </w:p>
    <w:p w:rsidR="00972380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972380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53</w:t>
      </w:r>
      <w:r w:rsidRPr="00F406ED">
        <w:rPr>
          <w:lang w:val="bg-BG"/>
        </w:rPr>
        <w:fldChar w:fldCharType="end"/>
      </w:r>
      <w:r w:rsidR="00972380" w:rsidRPr="00F406ED">
        <w:rPr>
          <w:lang w:val="bg-BG"/>
        </w:rPr>
        <w:t>.  </w:t>
      </w:r>
      <w:r w:rsidR="00786627" w:rsidRPr="00F406ED">
        <w:rPr>
          <w:lang w:val="bg-BG"/>
        </w:rPr>
        <w:t>Освен това ж</w:t>
      </w:r>
      <w:r w:rsidR="002B4892" w:rsidRPr="00F406ED">
        <w:rPr>
          <w:lang w:val="bg-BG"/>
        </w:rPr>
        <w:t>албоподателката</w:t>
      </w:r>
      <w:r w:rsidR="00F406ED" w:rsidRPr="00F406ED">
        <w:rPr>
          <w:lang w:val="bg-BG"/>
        </w:rPr>
        <w:t xml:space="preserve"> </w:t>
      </w:r>
      <w:r w:rsidR="00786627" w:rsidRPr="00F406ED">
        <w:rPr>
          <w:lang w:val="bg-BG"/>
        </w:rPr>
        <w:t>посочва, че разследването на смъртта на нейния син не е било ефективно</w:t>
      </w:r>
      <w:r w:rsidR="00CC0510" w:rsidRPr="00F406ED">
        <w:rPr>
          <w:lang w:val="bg-BG"/>
        </w:rPr>
        <w:t xml:space="preserve">. </w:t>
      </w:r>
      <w:r w:rsidR="00786627" w:rsidRPr="00F406ED">
        <w:rPr>
          <w:lang w:val="bg-BG"/>
        </w:rPr>
        <w:t>Въпреки съществуването на ясни доказателства, че полицейски служител е използвал огнестрелно оръжие срещу невъоръжено, лице, което не използва насилие и е било арестувано за дребно престъпление</w:t>
      </w:r>
      <w:r w:rsidR="00CC0510" w:rsidRPr="00F406ED">
        <w:rPr>
          <w:lang w:val="bg-BG"/>
        </w:rPr>
        <w:t xml:space="preserve">, </w:t>
      </w:r>
      <w:r w:rsidR="00786627" w:rsidRPr="00F406ED">
        <w:rPr>
          <w:lang w:val="bg-BG"/>
        </w:rPr>
        <w:t>властите отказват да преследват отговорните лица</w:t>
      </w:r>
      <w:r w:rsidR="00CC0510" w:rsidRPr="00F406ED">
        <w:rPr>
          <w:lang w:val="bg-BG"/>
        </w:rPr>
        <w:t>.</w:t>
      </w:r>
      <w:r w:rsidR="00F406ED" w:rsidRPr="00F406ED">
        <w:rPr>
          <w:lang w:val="bg-BG"/>
        </w:rPr>
        <w:t xml:space="preserve"> </w:t>
      </w:r>
      <w:r w:rsidR="00786627" w:rsidRPr="00F406ED">
        <w:rPr>
          <w:lang w:val="bg-BG"/>
        </w:rPr>
        <w:t>Освен това</w:t>
      </w:r>
      <w:r w:rsidR="00B35A20" w:rsidRPr="00F406ED">
        <w:rPr>
          <w:lang w:val="bg-BG"/>
        </w:rPr>
        <w:t xml:space="preserve">, </w:t>
      </w:r>
      <w:r w:rsidR="00786627" w:rsidRPr="00F406ED">
        <w:rPr>
          <w:lang w:val="bg-BG"/>
        </w:rPr>
        <w:t>разследването е претърпяло редица пропуски</w:t>
      </w:r>
      <w:r w:rsidR="00333770" w:rsidRPr="00F406ED">
        <w:rPr>
          <w:lang w:val="bg-BG"/>
        </w:rPr>
        <w:t xml:space="preserve">. </w:t>
      </w:r>
      <w:r w:rsidR="00786627" w:rsidRPr="00F406ED">
        <w:rPr>
          <w:lang w:val="bg-BG"/>
        </w:rPr>
        <w:t xml:space="preserve">То оставя </w:t>
      </w:r>
      <w:r w:rsidR="00A47295" w:rsidRPr="00F406ED">
        <w:rPr>
          <w:lang w:val="bg-BG"/>
        </w:rPr>
        <w:t>без отговор</w:t>
      </w:r>
      <w:r w:rsidR="00786627" w:rsidRPr="00F406ED">
        <w:rPr>
          <w:lang w:val="bg-BG"/>
        </w:rPr>
        <w:t xml:space="preserve"> несъответствие</w:t>
      </w:r>
      <w:r w:rsidR="009A3839">
        <w:rPr>
          <w:lang w:val="bg-BG"/>
        </w:rPr>
        <w:t>то</w:t>
      </w:r>
      <w:r w:rsidR="00786627" w:rsidRPr="00F406ED">
        <w:rPr>
          <w:lang w:val="bg-BG"/>
        </w:rPr>
        <w:t xml:space="preserve"> между </w:t>
      </w:r>
      <w:r w:rsidR="00F07D54">
        <w:rPr>
          <w:lang w:val="bg-BG"/>
        </w:rPr>
        <w:t>тампонните проби</w:t>
      </w:r>
      <w:r w:rsidR="00786627" w:rsidRPr="00F406ED">
        <w:rPr>
          <w:lang w:val="bg-BG"/>
        </w:rPr>
        <w:t xml:space="preserve"> и останалите доказателства и не установява разстоянието, от което е произведен изстрелът</w:t>
      </w:r>
      <w:r w:rsidR="00333770" w:rsidRPr="00F406ED">
        <w:rPr>
          <w:lang w:val="bg-BG"/>
        </w:rPr>
        <w:t xml:space="preserve">. </w:t>
      </w:r>
      <w:r w:rsidR="00786627" w:rsidRPr="00F406ED">
        <w:rPr>
          <w:lang w:val="bg-BG"/>
        </w:rPr>
        <w:t>Властите не са се опитали да установят самоличността на цивилните очевидци и не са се постарали да решат дали г</w:t>
      </w:r>
      <w:r w:rsidR="00A80F0B" w:rsidRPr="00F406ED">
        <w:rPr>
          <w:lang w:val="bg-BG"/>
        </w:rPr>
        <w:t>лавен сержант</w:t>
      </w:r>
      <w:r w:rsidR="00F406ED" w:rsidRPr="00F406ED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F406ED">
        <w:rPr>
          <w:lang w:val="bg-BG"/>
        </w:rPr>
        <w:t xml:space="preserve"> </w:t>
      </w:r>
      <w:r w:rsidR="00786627" w:rsidRPr="00F406ED">
        <w:rPr>
          <w:lang w:val="bg-BG"/>
        </w:rPr>
        <w:t>е бил надлежно обучен и инструктиран за използване на огнестрелно оръжие</w:t>
      </w:r>
      <w:r w:rsidR="002E5EA9" w:rsidRPr="00F406ED">
        <w:rPr>
          <w:lang w:val="bg-BG"/>
        </w:rPr>
        <w:t xml:space="preserve">. </w:t>
      </w:r>
      <w:r w:rsidR="009A3839">
        <w:rPr>
          <w:lang w:val="bg-BG"/>
        </w:rPr>
        <w:t xml:space="preserve">Освен </w:t>
      </w:r>
      <w:r w:rsidR="00786627" w:rsidRPr="00F406ED">
        <w:rPr>
          <w:lang w:val="bg-BG"/>
        </w:rPr>
        <w:t>това</w:t>
      </w:r>
      <w:r w:rsidR="00710AE0" w:rsidRPr="00F406ED">
        <w:rPr>
          <w:lang w:val="bg-BG"/>
        </w:rPr>
        <w:t xml:space="preserve"> </w:t>
      </w:r>
      <w:r w:rsidR="002B4892" w:rsidRPr="00F406ED">
        <w:rPr>
          <w:lang w:val="bg-BG"/>
        </w:rPr>
        <w:t>жалбоподателката</w:t>
      </w:r>
      <w:r w:rsidR="00F406ED" w:rsidRPr="00F406ED">
        <w:rPr>
          <w:lang w:val="bg-BG"/>
        </w:rPr>
        <w:t xml:space="preserve"> </w:t>
      </w:r>
      <w:r w:rsidR="00786627" w:rsidRPr="00F406ED">
        <w:rPr>
          <w:lang w:val="bg-BG"/>
        </w:rPr>
        <w:t xml:space="preserve">не е била надлежно включена </w:t>
      </w:r>
      <w:r w:rsidR="00A47295" w:rsidRPr="00F406ED">
        <w:rPr>
          <w:lang w:val="bg-BG"/>
        </w:rPr>
        <w:t xml:space="preserve">в разследването </w:t>
      </w:r>
      <w:r w:rsidR="00786627" w:rsidRPr="00F406ED">
        <w:rPr>
          <w:lang w:val="bg-BG"/>
        </w:rPr>
        <w:t xml:space="preserve">и държана </w:t>
      </w:r>
      <w:r w:rsidR="00364686" w:rsidRPr="00F406ED">
        <w:rPr>
          <w:lang w:val="bg-BG"/>
        </w:rPr>
        <w:t xml:space="preserve">в течение на </w:t>
      </w:r>
      <w:r w:rsidR="00A47295" w:rsidRPr="00F406ED">
        <w:rPr>
          <w:lang w:val="bg-BG"/>
        </w:rPr>
        <w:t>последното</w:t>
      </w:r>
      <w:r w:rsidR="00710AE0" w:rsidRPr="00F406ED">
        <w:rPr>
          <w:lang w:val="bg-BG"/>
        </w:rPr>
        <w:t>.</w:t>
      </w:r>
    </w:p>
    <w:p w:rsidR="00A84DEE" w:rsidRPr="00F406ED" w:rsidRDefault="00364686" w:rsidP="00995C31">
      <w:pPr>
        <w:pStyle w:val="JuHA"/>
        <w:outlineLvl w:val="2"/>
        <w:rPr>
          <w:lang w:val="bg-BG"/>
        </w:rPr>
      </w:pPr>
      <w:r w:rsidRPr="00F406ED">
        <w:rPr>
          <w:lang w:val="bg-BG"/>
        </w:rPr>
        <w:t>Б  Оценка на Съда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54</w:t>
      </w:r>
      <w:r w:rsidRPr="00F406ED">
        <w:rPr>
          <w:lang w:val="bg-BG"/>
        </w:rPr>
        <w:fldChar w:fldCharType="end"/>
      </w:r>
      <w:r w:rsidR="00A84DEE" w:rsidRPr="00F406ED">
        <w:rPr>
          <w:lang w:val="bg-BG"/>
        </w:rPr>
        <w:t>.  </w:t>
      </w:r>
      <w:r w:rsidR="00364686" w:rsidRPr="00F406ED">
        <w:rPr>
          <w:lang w:val="bg-BG"/>
        </w:rPr>
        <w:t>Съдът счита, че тази част от жалбата не е очевидно необоснована</w:t>
      </w:r>
      <w:r w:rsidR="00F406ED" w:rsidRPr="00F406ED">
        <w:rPr>
          <w:lang w:val="bg-BG"/>
        </w:rPr>
        <w:t xml:space="preserve"> </w:t>
      </w:r>
      <w:r w:rsidR="00364686" w:rsidRPr="00F406ED">
        <w:rPr>
          <w:lang w:val="bg-BG"/>
        </w:rPr>
        <w:t>по смисъла на член</w:t>
      </w:r>
      <w:r w:rsidR="00A84DEE" w:rsidRPr="00F406ED">
        <w:rPr>
          <w:lang w:val="bg-BG"/>
        </w:rPr>
        <w:t xml:space="preserve"> 35 § 3 </w:t>
      </w:r>
      <w:r w:rsidR="00364686" w:rsidRPr="00F406ED">
        <w:rPr>
          <w:lang w:val="bg-BG"/>
        </w:rPr>
        <w:t>от Конвенцията</w:t>
      </w:r>
      <w:r w:rsidR="00F406ED" w:rsidRPr="00F406ED">
        <w:rPr>
          <w:lang w:val="bg-BG"/>
        </w:rPr>
        <w:t xml:space="preserve"> </w:t>
      </w:r>
      <w:r w:rsidR="00364686" w:rsidRPr="00F406ED">
        <w:rPr>
          <w:lang w:val="bg-BG"/>
        </w:rPr>
        <w:t xml:space="preserve">или недопустима на </w:t>
      </w:r>
      <w:r w:rsidR="009A3839">
        <w:rPr>
          <w:lang w:val="bg-BG"/>
        </w:rPr>
        <w:t>каквото и да било</w:t>
      </w:r>
      <w:r w:rsidR="00364686" w:rsidRPr="00F406ED">
        <w:rPr>
          <w:lang w:val="bg-BG"/>
        </w:rPr>
        <w:t xml:space="preserve"> друго основание</w:t>
      </w:r>
      <w:r w:rsidR="00A84DEE" w:rsidRPr="00F406ED">
        <w:rPr>
          <w:lang w:val="bg-BG"/>
        </w:rPr>
        <w:t xml:space="preserve">. </w:t>
      </w:r>
      <w:r w:rsidR="00364686" w:rsidRPr="00F406ED">
        <w:rPr>
          <w:lang w:val="bg-BG"/>
        </w:rPr>
        <w:t>Поради това тя трябва да бъде обявена за допустима</w:t>
      </w:r>
      <w:r w:rsidR="00A84DEE" w:rsidRPr="00F406ED">
        <w:rPr>
          <w:lang w:val="bg-BG"/>
        </w:rPr>
        <w:t>.</w:t>
      </w:r>
    </w:p>
    <w:p w:rsidR="00A84DEE" w:rsidRPr="00F406ED" w:rsidRDefault="00A84DEE" w:rsidP="00995C31">
      <w:pPr>
        <w:pStyle w:val="JuH1"/>
        <w:outlineLvl w:val="3"/>
        <w:rPr>
          <w:lang w:val="bg-BG"/>
        </w:rPr>
      </w:pPr>
      <w:r w:rsidRPr="00F406ED">
        <w:rPr>
          <w:lang w:val="bg-BG"/>
        </w:rPr>
        <w:t>1.  </w:t>
      </w:r>
      <w:r w:rsidR="00364686" w:rsidRPr="00F406ED">
        <w:rPr>
          <w:lang w:val="bg-BG"/>
        </w:rPr>
        <w:t xml:space="preserve">Била ли е абсолютно необходима силата, използвана срещу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364686" w:rsidRPr="00F406ED">
        <w:rPr>
          <w:lang w:val="bg-BG"/>
        </w:rPr>
        <w:t>?</w:t>
      </w:r>
    </w:p>
    <w:p w:rsidR="00A84DEE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55</w:t>
      </w:r>
      <w:r w:rsidRPr="00F406ED">
        <w:rPr>
          <w:lang w:val="bg-BG"/>
        </w:rPr>
        <w:fldChar w:fldCharType="end"/>
      </w:r>
      <w:r w:rsidR="00A84DEE" w:rsidRPr="00F406ED">
        <w:rPr>
          <w:lang w:val="bg-BG"/>
        </w:rPr>
        <w:t>.  </w:t>
      </w:r>
      <w:r w:rsidR="00461428" w:rsidRPr="00F406ED">
        <w:rPr>
          <w:lang w:val="bg-BG"/>
        </w:rPr>
        <w:t>При обстоятелствата по настоящото дело</w:t>
      </w:r>
      <w:r w:rsidR="00A84DEE" w:rsidRPr="00F406ED">
        <w:rPr>
          <w:lang w:val="bg-BG"/>
        </w:rPr>
        <w:t xml:space="preserve"> </w:t>
      </w:r>
      <w:r w:rsidR="00461428" w:rsidRPr="00F406ED">
        <w:rPr>
          <w:lang w:val="bg-BG"/>
        </w:rPr>
        <w:t xml:space="preserve">Съдът е готов да приеме, че служителят, прострелял </w:t>
      </w:r>
      <w:r w:rsidR="002B4892" w:rsidRPr="00F07DFB">
        <w:rPr>
          <w:highlight w:val="yellow"/>
          <w:lang w:val="bg-BG"/>
        </w:rPr>
        <w:t>жалбоподателката</w:t>
      </w:r>
      <w:r w:rsidR="00461428" w:rsidRPr="00F406ED">
        <w:rPr>
          <w:lang w:val="bg-BG"/>
        </w:rPr>
        <w:t>, е използвал сила, за да предотврати бягството му</w:t>
      </w:r>
      <w:r w:rsidR="00A84DEE" w:rsidRPr="00F406ED">
        <w:rPr>
          <w:lang w:val="bg-BG"/>
        </w:rPr>
        <w:t xml:space="preserve">. </w:t>
      </w:r>
      <w:r w:rsidR="00461428" w:rsidRPr="00F406ED">
        <w:rPr>
          <w:lang w:val="bg-BG"/>
        </w:rPr>
        <w:t>Поради това той ще разгледа делото по член </w:t>
      </w:r>
      <w:r w:rsidR="00A84DEE" w:rsidRPr="00F406ED">
        <w:rPr>
          <w:lang w:val="bg-BG"/>
        </w:rPr>
        <w:t xml:space="preserve">2 § 2 (b), </w:t>
      </w:r>
      <w:r w:rsidR="00461428" w:rsidRPr="00F406ED">
        <w:rPr>
          <w:lang w:val="bg-BG"/>
        </w:rPr>
        <w:t>ко</w:t>
      </w:r>
      <w:r w:rsidR="00944E0C" w:rsidRPr="00F406ED">
        <w:rPr>
          <w:lang w:val="bg-BG"/>
        </w:rPr>
        <w:t>я</w:t>
      </w:r>
      <w:r w:rsidR="00461428" w:rsidRPr="00F406ED">
        <w:rPr>
          <w:lang w:val="bg-BG"/>
        </w:rPr>
        <w:t xml:space="preserve">то </w:t>
      </w:r>
      <w:r w:rsidR="00944E0C" w:rsidRPr="00F406ED">
        <w:rPr>
          <w:lang w:val="bg-BG"/>
        </w:rPr>
        <w:t xml:space="preserve">разпоредба </w:t>
      </w:r>
      <w:r w:rsidR="00461428" w:rsidRPr="00F406ED">
        <w:rPr>
          <w:lang w:val="bg-BG"/>
        </w:rPr>
        <w:t>разрешава използването на сила, която не надхвърля абсолютно необходимото за „предотвратяване на бягството на лице, законно лишено от свобода</w:t>
      </w:r>
      <w:r w:rsidR="00F406ED" w:rsidRPr="00F406ED">
        <w:rPr>
          <w:lang w:val="bg-BG"/>
        </w:rPr>
        <w:t>“</w:t>
      </w:r>
      <w:r w:rsidR="00A84DEE" w:rsidRPr="00F406ED">
        <w:rPr>
          <w:lang w:val="bg-BG"/>
        </w:rPr>
        <w:t xml:space="preserve">. </w:t>
      </w:r>
      <w:r w:rsidR="00461428" w:rsidRPr="00F406ED">
        <w:rPr>
          <w:lang w:val="bg-BG"/>
        </w:rPr>
        <w:t xml:space="preserve">Общите принципи, уреждащи такива </w:t>
      </w:r>
      <w:r w:rsidR="00F07DFB">
        <w:rPr>
          <w:lang w:val="bg-BG"/>
        </w:rPr>
        <w:t>положения</w:t>
      </w:r>
      <w:r w:rsidR="00461428" w:rsidRPr="00F406ED">
        <w:rPr>
          <w:lang w:val="bg-BG"/>
        </w:rPr>
        <w:t xml:space="preserve">, са обобщени в параграфи </w:t>
      </w:r>
      <w:r w:rsidR="00A84DEE" w:rsidRPr="00F406ED">
        <w:rPr>
          <w:lang w:val="bg-BG"/>
        </w:rPr>
        <w:t>93</w:t>
      </w:r>
      <w:r w:rsidR="00A84DEE" w:rsidRPr="00F406ED">
        <w:rPr>
          <w:lang w:val="bg-BG"/>
        </w:rPr>
        <w:noBreakHyphen/>
        <w:t xml:space="preserve">97 </w:t>
      </w:r>
      <w:r w:rsidR="00461428" w:rsidRPr="00F406ED">
        <w:rPr>
          <w:lang w:val="bg-BG"/>
        </w:rPr>
        <w:t xml:space="preserve">от решението на Съда по делото </w:t>
      </w:r>
      <w:r w:rsidR="00461428" w:rsidRPr="00F406ED">
        <w:rPr>
          <w:i/>
          <w:szCs w:val="24"/>
          <w:lang w:val="bg-BG" w:eastAsia="en-US"/>
        </w:rPr>
        <w:t xml:space="preserve">Начова и други </w:t>
      </w:r>
      <w:r w:rsidR="00E11A3E" w:rsidRPr="00F406ED">
        <w:rPr>
          <w:i/>
          <w:szCs w:val="24"/>
          <w:lang w:val="bg-BG" w:eastAsia="en-US"/>
        </w:rPr>
        <w:t>срещу България</w:t>
      </w:r>
      <w:r w:rsidR="00F07DFB">
        <w:rPr>
          <w:i/>
          <w:szCs w:val="24"/>
          <w:lang w:val="bg-BG" w:eastAsia="en-US"/>
        </w:rPr>
        <w:t xml:space="preserve"> </w:t>
      </w:r>
      <w:r w:rsidR="00A84DEE" w:rsidRPr="00F406ED">
        <w:rPr>
          <w:szCs w:val="24"/>
          <w:lang w:val="bg-BG" w:eastAsia="en-US"/>
        </w:rPr>
        <w:t xml:space="preserve">([GC], </w:t>
      </w:r>
      <w:r w:rsidR="00461428" w:rsidRPr="00F406ED">
        <w:rPr>
          <w:szCs w:val="24"/>
          <w:lang w:val="bg-BG" w:eastAsia="en-US"/>
        </w:rPr>
        <w:t>№№ </w:t>
      </w:r>
      <w:r w:rsidR="00A84DEE" w:rsidRPr="00F406ED">
        <w:rPr>
          <w:szCs w:val="24"/>
          <w:lang w:val="bg-BG" w:eastAsia="en-US"/>
        </w:rPr>
        <w:t xml:space="preserve">43577/98 </w:t>
      </w:r>
      <w:r w:rsidR="00461428" w:rsidRPr="00F406ED">
        <w:rPr>
          <w:szCs w:val="24"/>
          <w:lang w:val="bg-BG" w:eastAsia="en-US"/>
        </w:rPr>
        <w:t xml:space="preserve">и </w:t>
      </w:r>
      <w:r w:rsidR="00A84DEE" w:rsidRPr="00F406ED">
        <w:rPr>
          <w:szCs w:val="24"/>
          <w:lang w:val="bg-BG" w:eastAsia="en-US"/>
        </w:rPr>
        <w:t xml:space="preserve">43579/98, </w:t>
      </w:r>
      <w:r w:rsidR="00461428" w:rsidRPr="00F406ED">
        <w:rPr>
          <w:lang w:val="bg-BG" w:eastAsia="en-US"/>
        </w:rPr>
        <w:t>ЕСПЧ</w:t>
      </w:r>
      <w:r w:rsidR="00A84DEE" w:rsidRPr="00F406ED">
        <w:rPr>
          <w:lang w:val="bg-BG" w:eastAsia="en-US"/>
        </w:rPr>
        <w:t xml:space="preserve"> 2005</w:t>
      </w:r>
      <w:r w:rsidR="00A84DEE" w:rsidRPr="00F406ED">
        <w:rPr>
          <w:lang w:val="bg-BG" w:eastAsia="en-US"/>
        </w:rPr>
        <w:noBreakHyphen/>
        <w:t>VII).</w:t>
      </w:r>
    </w:p>
    <w:p w:rsidR="00A84DEE" w:rsidRPr="00F406ED" w:rsidRDefault="00A84DEE" w:rsidP="00995C31">
      <w:pPr>
        <w:pStyle w:val="JuHa0"/>
        <w:outlineLvl w:val="4"/>
        <w:rPr>
          <w:lang w:val="bg-BG" w:eastAsia="en-US"/>
        </w:rPr>
      </w:pPr>
      <w:r w:rsidRPr="00F406ED">
        <w:rPr>
          <w:lang w:val="bg-BG"/>
        </w:rPr>
        <w:t>(a)  </w:t>
      </w:r>
      <w:r w:rsidR="00461428" w:rsidRPr="00F406ED">
        <w:rPr>
          <w:lang w:val="bg-BG"/>
        </w:rPr>
        <w:t>Релевантна правна уредба</w:t>
      </w:r>
    </w:p>
    <w:bookmarkStart w:id="34" w:name="A2_rlf_1"/>
    <w:p w:rsidR="00273EFD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 w:eastAsia="en-US"/>
        </w:rPr>
        <w:fldChar w:fldCharType="begin"/>
      </w:r>
      <w:r w:rsidR="00A84DEE" w:rsidRPr="00F406ED">
        <w:rPr>
          <w:lang w:val="bg-BG" w:eastAsia="en-US"/>
        </w:rPr>
        <w:instrText xml:space="preserve"> SEQ level0 \*arabic </w:instrText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 w:eastAsia="en-US"/>
        </w:rPr>
        <w:t>56</w:t>
      </w:r>
      <w:r w:rsidRPr="00F406ED">
        <w:rPr>
          <w:lang w:val="bg-BG" w:eastAsia="en-US"/>
        </w:rPr>
        <w:fldChar w:fldCharType="end"/>
      </w:r>
      <w:bookmarkEnd w:id="34"/>
      <w:r w:rsidR="00A84DEE" w:rsidRPr="00F406ED">
        <w:rPr>
          <w:lang w:val="bg-BG" w:eastAsia="en-US"/>
        </w:rPr>
        <w:t>.  </w:t>
      </w:r>
      <w:r w:rsidR="00CE74ED" w:rsidRPr="00F406ED">
        <w:rPr>
          <w:lang w:val="bg-BG" w:eastAsia="en-US"/>
        </w:rPr>
        <w:t xml:space="preserve">В предишното подобно дело на </w:t>
      </w:r>
      <w:r w:rsidR="00CE74ED" w:rsidRPr="00F406ED">
        <w:rPr>
          <w:i/>
          <w:lang w:val="bg-BG" w:eastAsia="en-US"/>
        </w:rPr>
        <w:t>Цеков</w:t>
      </w:r>
      <w:r w:rsidR="00A84DEE" w:rsidRPr="00F406ED">
        <w:rPr>
          <w:lang w:val="bg-BG" w:eastAsia="en-US"/>
        </w:rPr>
        <w:t xml:space="preserve"> </w:t>
      </w:r>
      <w:r w:rsidR="00CE74ED" w:rsidRPr="00F406ED">
        <w:rPr>
          <w:lang w:val="bg-BG" w:eastAsia="en-US"/>
        </w:rPr>
        <w:t xml:space="preserve">Съдът отбелязва със загриженост, че член </w:t>
      </w:r>
      <w:r w:rsidR="00A84DEE" w:rsidRPr="00F406ED">
        <w:rPr>
          <w:lang w:val="bg-BG" w:eastAsia="en-US"/>
        </w:rPr>
        <w:t>42</w:t>
      </w:r>
      <w:r w:rsidR="00CE74ED" w:rsidRPr="00F406ED">
        <w:rPr>
          <w:lang w:val="bg-BG" w:eastAsia="en-US"/>
        </w:rPr>
        <w:t>, ал.</w:t>
      </w:r>
      <w:r w:rsidR="00803F52">
        <w:rPr>
          <w:lang w:val="bg-BG" w:eastAsia="en-US"/>
        </w:rPr>
        <w:t xml:space="preserve"> </w:t>
      </w:r>
      <w:r w:rsidR="00A84DEE" w:rsidRPr="00F406ED">
        <w:rPr>
          <w:lang w:val="bg-BG" w:eastAsia="en-US"/>
        </w:rPr>
        <w:t>1</w:t>
      </w:r>
      <w:r w:rsidR="00CE74ED" w:rsidRPr="00F406ED">
        <w:rPr>
          <w:lang w:val="bg-BG" w:eastAsia="en-US"/>
        </w:rPr>
        <w:t>, т.</w:t>
      </w:r>
      <w:r w:rsidR="00803F52">
        <w:rPr>
          <w:lang w:val="bg-BG" w:eastAsia="en-US"/>
        </w:rPr>
        <w:t xml:space="preserve"> </w:t>
      </w:r>
      <w:r w:rsidR="00A84DEE" w:rsidRPr="00F406ED">
        <w:rPr>
          <w:lang w:val="bg-BG" w:eastAsia="en-US"/>
        </w:rPr>
        <w:t xml:space="preserve">4 </w:t>
      </w:r>
      <w:r w:rsidR="00CE74ED" w:rsidRPr="00F406ED">
        <w:rPr>
          <w:lang w:val="bg-BG" w:eastAsia="en-US"/>
        </w:rPr>
        <w:t>от Закона за националната полиция от 1993</w:t>
      </w:r>
      <w:r w:rsidR="00F406ED" w:rsidRPr="00F406ED">
        <w:rPr>
          <w:lang w:val="bg-BG" w:eastAsia="en-US"/>
        </w:rPr>
        <w:t> г.</w:t>
      </w:r>
      <w:r w:rsidR="00803F52">
        <w:rPr>
          <w:lang w:val="bg-BG" w:eastAsia="en-US"/>
        </w:rPr>
        <w:t xml:space="preserve"> </w:t>
      </w:r>
      <w:r w:rsidR="00CE74ED" w:rsidRPr="00F406ED">
        <w:rPr>
          <w:lang w:val="bg-BG" w:eastAsia="en-US"/>
        </w:rPr>
        <w:t>позволява на органите на полицията да използват огнестрелно оръжие за из</w:t>
      </w:r>
      <w:r w:rsidR="008540CD" w:rsidRPr="00F406ED">
        <w:rPr>
          <w:lang w:val="bg-BG" w:eastAsia="en-US"/>
        </w:rPr>
        <w:t>вършването на арест, независимо</w:t>
      </w:r>
      <w:r w:rsidR="00CE74ED" w:rsidRPr="00F406ED">
        <w:rPr>
          <w:lang w:val="bg-BG" w:eastAsia="en-US"/>
        </w:rPr>
        <w:t xml:space="preserve"> от сериозността на престъплението, за извършването на което е заподозряно лицето</w:t>
      </w:r>
      <w:r w:rsidR="00803F52">
        <w:rPr>
          <w:lang w:val="bg-BG" w:eastAsia="en-US"/>
        </w:rPr>
        <w:t>,</w:t>
      </w:r>
      <w:r w:rsidR="00CE74ED" w:rsidRPr="00F406ED">
        <w:rPr>
          <w:lang w:val="bg-BG" w:eastAsia="en-US"/>
        </w:rPr>
        <w:t xml:space="preserve"> или опасността, която представлява то</w:t>
      </w:r>
      <w:r w:rsidR="00A84DEE" w:rsidRPr="00F406ED">
        <w:rPr>
          <w:lang w:val="bg-BG" w:eastAsia="en-US"/>
        </w:rPr>
        <w:t xml:space="preserve">. </w:t>
      </w:r>
      <w:r w:rsidR="00CE74ED" w:rsidRPr="00F406ED">
        <w:rPr>
          <w:lang w:val="bg-BG" w:eastAsia="en-US"/>
        </w:rPr>
        <w:t>Съгласно тази разпоредба</w:t>
      </w:r>
      <w:r w:rsidR="00A84DEE" w:rsidRPr="00F406ED">
        <w:rPr>
          <w:lang w:val="bg-BG" w:eastAsia="en-US"/>
        </w:rPr>
        <w:t xml:space="preserve">, </w:t>
      </w:r>
      <w:r w:rsidR="00CE74ED" w:rsidRPr="00F406ED">
        <w:rPr>
          <w:lang w:val="bg-BG" w:eastAsia="en-US"/>
        </w:rPr>
        <w:t>полицейските служители могат законно да стрелят по всяко лице, което не е спряло, след като е било предупредено</w:t>
      </w:r>
      <w:r w:rsidR="00803F52">
        <w:rPr>
          <w:lang w:val="bg-BG" w:eastAsia="en-US"/>
        </w:rPr>
        <w:t>,</w:t>
      </w:r>
      <w:r w:rsidR="00CE74ED" w:rsidRPr="00F406ED">
        <w:rPr>
          <w:lang w:val="bg-BG" w:eastAsia="en-US"/>
        </w:rPr>
        <w:t xml:space="preserve"> и едно просто предупреждение очевидно се оказва достатъчно за органите на </w:t>
      </w:r>
      <w:r w:rsidR="008B4EB4" w:rsidRPr="00F406ED">
        <w:rPr>
          <w:lang w:val="bg-BG" w:eastAsia="en-US"/>
        </w:rPr>
        <w:t xml:space="preserve">прокуратурата </w:t>
      </w:r>
      <w:r w:rsidR="00CE74ED" w:rsidRPr="00F406ED">
        <w:rPr>
          <w:lang w:val="bg-BG" w:eastAsia="en-US"/>
        </w:rPr>
        <w:t>и съдилищата да констатират, че използването на огнестрелно оръжие е било „крайна мярка</w:t>
      </w:r>
      <w:r w:rsidR="00803F52">
        <w:rPr>
          <w:lang w:val="bg-BG" w:eastAsia="en-US"/>
        </w:rPr>
        <w:t>“</w:t>
      </w:r>
      <w:r w:rsidR="00A84DEE" w:rsidRPr="00F406ED">
        <w:rPr>
          <w:lang w:val="bg-BG"/>
        </w:rPr>
        <w:t xml:space="preserve"> </w:t>
      </w:r>
      <w:r w:rsidR="00CE74ED" w:rsidRPr="00F406ED">
        <w:rPr>
          <w:lang w:val="bg-BG"/>
        </w:rPr>
        <w:t>по смисъла на разпоредбата</w:t>
      </w:r>
      <w:r w:rsidR="00A84DEE" w:rsidRPr="00F406ED">
        <w:rPr>
          <w:lang w:val="bg-BG"/>
        </w:rPr>
        <w:t xml:space="preserve">. </w:t>
      </w:r>
      <w:r w:rsidR="00CE74ED" w:rsidRPr="00F406ED">
        <w:rPr>
          <w:lang w:val="bg-BG"/>
        </w:rPr>
        <w:t xml:space="preserve">Освен това Съдът отбелязва, че до </w:t>
      </w:r>
      <w:r w:rsidR="00A84DEE" w:rsidRPr="00F406ED">
        <w:rPr>
          <w:lang w:val="bg-BG"/>
        </w:rPr>
        <w:t>2003</w:t>
      </w:r>
      <w:r w:rsidR="00F406ED" w:rsidRPr="00F406ED">
        <w:rPr>
          <w:lang w:val="bg-BG"/>
        </w:rPr>
        <w:t> г.</w:t>
      </w:r>
      <w:r w:rsidR="00803F52">
        <w:rPr>
          <w:lang w:val="bg-BG"/>
        </w:rPr>
        <w:t xml:space="preserve"> </w:t>
      </w:r>
      <w:r w:rsidR="00CE74ED" w:rsidRPr="00F406ED">
        <w:rPr>
          <w:lang w:val="bg-BG"/>
        </w:rPr>
        <w:t xml:space="preserve">формулировката на член </w:t>
      </w:r>
      <w:r w:rsidR="00A84DEE" w:rsidRPr="00F406ED">
        <w:rPr>
          <w:lang w:val="bg-BG"/>
        </w:rPr>
        <w:t>80</w:t>
      </w:r>
      <w:r w:rsidR="00CE74ED" w:rsidRPr="00F406ED">
        <w:rPr>
          <w:lang w:val="bg-BG"/>
        </w:rPr>
        <w:t>, ал.</w:t>
      </w:r>
      <w:r w:rsidR="009A5393">
        <w:rPr>
          <w:lang w:val="bg-BG"/>
        </w:rPr>
        <w:t xml:space="preserve"> </w:t>
      </w:r>
      <w:r w:rsidR="00A84DEE" w:rsidRPr="00F406ED">
        <w:rPr>
          <w:lang w:val="bg-BG"/>
        </w:rPr>
        <w:t>1</w:t>
      </w:r>
      <w:r w:rsidR="00CE74ED" w:rsidRPr="00F406ED">
        <w:rPr>
          <w:lang w:val="bg-BG"/>
        </w:rPr>
        <w:t>, т.</w:t>
      </w:r>
      <w:r w:rsidR="009A5393">
        <w:rPr>
          <w:lang w:val="bg-BG"/>
        </w:rPr>
        <w:t xml:space="preserve"> </w:t>
      </w:r>
      <w:r w:rsidR="00A84DEE" w:rsidRPr="00F406ED">
        <w:rPr>
          <w:lang w:val="bg-BG"/>
        </w:rPr>
        <w:t xml:space="preserve">4 </w:t>
      </w:r>
      <w:r w:rsidR="00CE74ED" w:rsidRPr="00F406ED">
        <w:rPr>
          <w:lang w:val="bg-BG"/>
        </w:rPr>
        <w:t xml:space="preserve">от Закона за министерството на вътрешните работи от </w:t>
      </w:r>
      <w:r w:rsidR="00EF6301" w:rsidRPr="00F406ED">
        <w:rPr>
          <w:lang w:val="bg-BG"/>
        </w:rPr>
        <w:t>1997</w:t>
      </w:r>
      <w:r w:rsidR="00F406ED" w:rsidRPr="00F406ED">
        <w:rPr>
          <w:lang w:val="bg-BG"/>
        </w:rPr>
        <w:t> г.</w:t>
      </w:r>
      <w:r w:rsidR="00803F52">
        <w:rPr>
          <w:lang w:val="bg-BG"/>
        </w:rPr>
        <w:t xml:space="preserve"> </w:t>
      </w:r>
      <w:r w:rsidR="00CE74ED" w:rsidRPr="00F406ED">
        <w:rPr>
          <w:lang w:val="bg-BG"/>
        </w:rPr>
        <w:t xml:space="preserve">остава идентична </w:t>
      </w:r>
      <w:r w:rsidR="00A84DEE" w:rsidRPr="00F406ED">
        <w:rPr>
          <w:lang w:val="bg-BG"/>
        </w:rPr>
        <w:t>(</w:t>
      </w:r>
      <w:r w:rsidR="00CE74ED" w:rsidRPr="00F406ED">
        <w:rPr>
          <w:lang w:val="bg-BG"/>
        </w:rPr>
        <w:t xml:space="preserve">виж </w:t>
      </w:r>
      <w:r w:rsidR="00CE74ED" w:rsidRPr="00F406ED">
        <w:rPr>
          <w:i/>
          <w:lang w:val="bg-BG" w:eastAsia="en-US"/>
        </w:rPr>
        <w:t xml:space="preserve">Цеков </w:t>
      </w:r>
      <w:r w:rsidR="00E11A3E" w:rsidRPr="00F406ED">
        <w:rPr>
          <w:i/>
          <w:lang w:val="bg-BG" w:eastAsia="en-US"/>
        </w:rPr>
        <w:t>срещу България</w:t>
      </w:r>
      <w:r w:rsidR="00273EFD" w:rsidRPr="00F406ED">
        <w:rPr>
          <w:lang w:val="bg-BG" w:eastAsia="en-US"/>
        </w:rPr>
        <w:t xml:space="preserve">, </w:t>
      </w:r>
      <w:r w:rsidR="00CE74ED" w:rsidRPr="00F406ED">
        <w:rPr>
          <w:lang w:val="bg-BG" w:eastAsia="en-US"/>
        </w:rPr>
        <w:t>№ </w:t>
      </w:r>
      <w:r w:rsidR="00273EFD" w:rsidRPr="00F406ED">
        <w:rPr>
          <w:lang w:val="bg-BG" w:eastAsia="en-US"/>
        </w:rPr>
        <w:t xml:space="preserve">45500/99, </w:t>
      </w:r>
      <w:r w:rsidR="00273EFD" w:rsidRPr="00F406ED">
        <w:rPr>
          <w:lang w:val="bg-BG"/>
        </w:rPr>
        <w:t xml:space="preserve">§§ 28, 29 </w:t>
      </w:r>
      <w:r w:rsidR="00CE74ED" w:rsidRPr="00F406ED">
        <w:rPr>
          <w:lang w:val="bg-BG"/>
        </w:rPr>
        <w:t xml:space="preserve">и </w:t>
      </w:r>
      <w:r w:rsidR="00273EFD" w:rsidRPr="00F406ED">
        <w:rPr>
          <w:lang w:val="bg-BG"/>
        </w:rPr>
        <w:t>54</w:t>
      </w:r>
      <w:r w:rsidR="00273EFD" w:rsidRPr="00F406ED">
        <w:rPr>
          <w:lang w:val="bg-BG" w:eastAsia="en-US"/>
        </w:rPr>
        <w:t xml:space="preserve">, 23 </w:t>
      </w:r>
      <w:r w:rsidR="008E7BA7" w:rsidRPr="00F406ED">
        <w:rPr>
          <w:lang w:val="bg-BG" w:eastAsia="en-US"/>
        </w:rPr>
        <w:t>февруари</w:t>
      </w:r>
      <w:r w:rsidR="00273EFD" w:rsidRPr="00F406ED">
        <w:rPr>
          <w:lang w:val="bg-BG" w:eastAsia="en-US"/>
        </w:rPr>
        <w:t xml:space="preserve"> 2006</w:t>
      </w:r>
      <w:r w:rsidR="00F406ED" w:rsidRPr="00F406ED">
        <w:rPr>
          <w:lang w:val="bg-BG" w:eastAsia="en-US"/>
        </w:rPr>
        <w:t> г.</w:t>
      </w:r>
      <w:r w:rsidR="00273EFD" w:rsidRPr="00F406ED">
        <w:rPr>
          <w:lang w:val="bg-BG" w:eastAsia="en-US"/>
        </w:rPr>
        <w:t>).</w:t>
      </w:r>
    </w:p>
    <w:p w:rsidR="004C1F91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 w:eastAsia="en-US"/>
        </w:rPr>
        <w:fldChar w:fldCharType="begin"/>
      </w:r>
      <w:r w:rsidR="000606F0" w:rsidRPr="00F406ED">
        <w:rPr>
          <w:lang w:val="bg-BG" w:eastAsia="en-US"/>
        </w:rPr>
        <w:instrText xml:space="preserve"> SEQ level0 \*arabic </w:instrText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 w:eastAsia="en-US"/>
        </w:rPr>
        <w:t>57</w:t>
      </w:r>
      <w:r w:rsidRPr="00F406ED">
        <w:rPr>
          <w:lang w:val="bg-BG" w:eastAsia="en-US"/>
        </w:rPr>
        <w:fldChar w:fldCharType="end"/>
      </w:r>
      <w:r w:rsidR="000606F0" w:rsidRPr="00F406ED">
        <w:rPr>
          <w:lang w:val="bg-BG" w:eastAsia="en-US"/>
        </w:rPr>
        <w:t>.  </w:t>
      </w:r>
      <w:r w:rsidR="00C046FF" w:rsidRPr="00F406ED">
        <w:rPr>
          <w:lang w:val="bg-BG" w:eastAsia="en-US"/>
        </w:rPr>
        <w:t xml:space="preserve">В настоящия случай разпоредбата, уреждаща действията на служителя, прострелял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C046FF" w:rsidRPr="00F406ED">
        <w:rPr>
          <w:lang w:val="bg-BG" w:eastAsia="en-US"/>
        </w:rPr>
        <w:t>, е член </w:t>
      </w:r>
      <w:r w:rsidR="00C64A14" w:rsidRPr="00F406ED">
        <w:rPr>
          <w:lang w:val="bg-BG" w:eastAsia="en-US"/>
        </w:rPr>
        <w:t>42, ал.</w:t>
      </w:r>
      <w:r w:rsidR="009A5393">
        <w:rPr>
          <w:lang w:val="bg-BG" w:eastAsia="en-US"/>
        </w:rPr>
        <w:t xml:space="preserve"> </w:t>
      </w:r>
      <w:r w:rsidR="00C64A14" w:rsidRPr="00F406ED">
        <w:rPr>
          <w:lang w:val="bg-BG" w:eastAsia="en-US"/>
        </w:rPr>
        <w:t>1, т.</w:t>
      </w:r>
      <w:r w:rsidR="009A5393">
        <w:rPr>
          <w:lang w:val="bg-BG" w:eastAsia="en-US"/>
        </w:rPr>
        <w:t xml:space="preserve"> </w:t>
      </w:r>
      <w:r w:rsidR="00C64A14" w:rsidRPr="00F406ED">
        <w:rPr>
          <w:lang w:val="bg-BG" w:eastAsia="en-US"/>
        </w:rPr>
        <w:t>5</w:t>
      </w:r>
      <w:r w:rsidR="00803F52">
        <w:rPr>
          <w:lang w:val="bg-BG" w:eastAsia="en-US"/>
        </w:rPr>
        <w:t xml:space="preserve"> </w:t>
      </w:r>
      <w:r w:rsidR="00CE74ED" w:rsidRPr="00F406ED">
        <w:rPr>
          <w:lang w:val="bg-BG" w:eastAsia="en-US"/>
        </w:rPr>
        <w:t>от Закона за националната полиция от 1993</w:t>
      </w:r>
      <w:r w:rsidR="00F406ED" w:rsidRPr="00F406ED">
        <w:rPr>
          <w:lang w:val="bg-BG" w:eastAsia="en-US"/>
        </w:rPr>
        <w:t> г.</w:t>
      </w:r>
      <w:r w:rsidR="000606F0" w:rsidRPr="00F406ED">
        <w:rPr>
          <w:lang w:val="bg-BG" w:eastAsia="en-US"/>
        </w:rPr>
        <w:t xml:space="preserve">, </w:t>
      </w:r>
      <w:r w:rsidR="00C046FF" w:rsidRPr="00F406ED">
        <w:rPr>
          <w:lang w:val="bg-BG" w:eastAsia="en-US"/>
        </w:rPr>
        <w:t xml:space="preserve">която позволява на органите на полицията да използват огнестрелно оръжие, за да предотвратят </w:t>
      </w:r>
      <w:r w:rsidR="00C046FF" w:rsidRPr="00F406ED">
        <w:rPr>
          <w:lang w:val="bg-BG"/>
        </w:rPr>
        <w:t xml:space="preserve">бягството на лице, което е задържано за извършване на престъпление от общ характер </w:t>
      </w:r>
      <w:r w:rsidR="00507388" w:rsidRPr="00F406ED">
        <w:rPr>
          <w:lang w:val="bg-BG" w:eastAsia="en-US"/>
        </w:rPr>
        <w:t>(</w:t>
      </w:r>
      <w:r w:rsidR="004825B6" w:rsidRPr="00F406ED">
        <w:rPr>
          <w:lang w:val="bg-BG" w:eastAsia="en-US"/>
        </w:rPr>
        <w:t>виж параграф</w:t>
      </w:r>
      <w:r w:rsidR="00C046FF" w:rsidRPr="00F406ED">
        <w:rPr>
          <w:lang w:val="bg-BG" w:eastAsia="en-US"/>
        </w:rPr>
        <w:t>и</w:t>
      </w:r>
      <w:r w:rsidR="009A5393">
        <w:rPr>
          <w:lang w:val="bg-BG" w:eastAsia="en-US"/>
        </w:rPr>
        <w:t xml:space="preserve"> </w:t>
      </w:r>
      <w:r w:rsidRPr="00F406ED">
        <w:rPr>
          <w:lang w:val="bg-BG" w:eastAsia="en-US"/>
        </w:rPr>
        <w:fldChar w:fldCharType="begin"/>
      </w:r>
      <w:r w:rsidR="00507388" w:rsidRPr="00F406ED">
        <w:rPr>
          <w:lang w:val="bg-BG" w:eastAsia="en-US"/>
        </w:rPr>
        <w:instrText xml:space="preserve"> REF discontinuance_31_August_1998 \h </w:instrText>
      </w:r>
      <w:r w:rsidRPr="00F406ED">
        <w:rPr>
          <w:lang w:val="bg-BG" w:eastAsia="en-US"/>
        </w:rPr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/>
        </w:rPr>
        <w:t>25</w:t>
      </w:r>
      <w:r w:rsidRPr="00F406ED">
        <w:rPr>
          <w:lang w:val="bg-BG" w:eastAsia="en-US"/>
        </w:rPr>
        <w:fldChar w:fldCharType="end"/>
      </w:r>
      <w:r w:rsidR="009A5393">
        <w:rPr>
          <w:lang w:val="bg-BG" w:eastAsia="en-US"/>
        </w:rPr>
        <w:t xml:space="preserve"> </w:t>
      </w:r>
      <w:r w:rsidR="00C046FF" w:rsidRPr="00F406ED">
        <w:rPr>
          <w:lang w:val="bg-BG" w:eastAsia="en-US"/>
        </w:rPr>
        <w:t xml:space="preserve">и </w:t>
      </w:r>
      <w:r w:rsidRPr="00F406ED">
        <w:rPr>
          <w:lang w:val="bg-BG" w:eastAsia="en-US"/>
        </w:rPr>
        <w:fldChar w:fldCharType="begin"/>
      </w:r>
      <w:r w:rsidR="00507388" w:rsidRPr="00F406ED">
        <w:rPr>
          <w:lang w:val="bg-BG" w:eastAsia="en-US"/>
        </w:rPr>
        <w:instrText xml:space="preserve"> REF RDL_section_42 \h </w:instrText>
      </w:r>
      <w:r w:rsidRPr="00F406ED">
        <w:rPr>
          <w:lang w:val="bg-BG" w:eastAsia="en-US"/>
        </w:rPr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/>
        </w:rPr>
        <w:t>44</w:t>
      </w:r>
      <w:r w:rsidRPr="00F406ED">
        <w:rPr>
          <w:lang w:val="bg-BG" w:eastAsia="en-US"/>
        </w:rPr>
        <w:fldChar w:fldCharType="end"/>
      </w:r>
      <w:r w:rsidR="009A5393">
        <w:rPr>
          <w:lang w:val="bg-BG" w:eastAsia="en-US"/>
        </w:rPr>
        <w:t xml:space="preserve"> </w:t>
      </w:r>
      <w:r w:rsidR="004825B6" w:rsidRPr="00F406ED">
        <w:rPr>
          <w:lang w:val="bg-BG" w:eastAsia="en-US"/>
        </w:rPr>
        <w:t>по-горе</w:t>
      </w:r>
      <w:r w:rsidR="00507388" w:rsidRPr="00F406ED">
        <w:rPr>
          <w:lang w:val="bg-BG" w:eastAsia="en-US"/>
        </w:rPr>
        <w:t>)</w:t>
      </w:r>
      <w:r w:rsidR="0056383A" w:rsidRPr="00F406ED">
        <w:rPr>
          <w:lang w:val="bg-BG"/>
        </w:rPr>
        <w:t>.</w:t>
      </w:r>
      <w:r w:rsidR="00F406ED">
        <w:rPr>
          <w:lang w:val="bg-BG"/>
        </w:rPr>
        <w:t xml:space="preserve"> </w:t>
      </w:r>
      <w:r w:rsidR="008B4EB4" w:rsidRPr="00F406ED">
        <w:rPr>
          <w:lang w:val="bg-BG"/>
        </w:rPr>
        <w:t xml:space="preserve">Точно както и </w:t>
      </w:r>
      <w:r w:rsidR="00E05665" w:rsidRPr="00F406ED">
        <w:rPr>
          <w:lang w:val="bg-BG"/>
        </w:rPr>
        <w:t>член </w:t>
      </w:r>
      <w:r w:rsidR="007C4277" w:rsidRPr="00F406ED">
        <w:rPr>
          <w:lang w:val="bg-BG"/>
        </w:rPr>
        <w:t>42</w:t>
      </w:r>
      <w:r w:rsidR="00E05665" w:rsidRPr="00F406ED">
        <w:rPr>
          <w:lang w:val="bg-BG"/>
        </w:rPr>
        <w:t>, ал.</w:t>
      </w:r>
      <w:r w:rsidR="009A5393">
        <w:rPr>
          <w:lang w:val="bg-BG"/>
        </w:rPr>
        <w:t xml:space="preserve"> </w:t>
      </w:r>
      <w:r w:rsidR="007C4277" w:rsidRPr="00F406ED">
        <w:rPr>
          <w:lang w:val="bg-BG"/>
        </w:rPr>
        <w:t>1</w:t>
      </w:r>
      <w:r w:rsidR="00E05665" w:rsidRPr="00F406ED">
        <w:rPr>
          <w:lang w:val="bg-BG"/>
        </w:rPr>
        <w:t>, т.</w:t>
      </w:r>
      <w:r w:rsidR="009A5393">
        <w:rPr>
          <w:lang w:val="bg-BG"/>
        </w:rPr>
        <w:t xml:space="preserve"> </w:t>
      </w:r>
      <w:r w:rsidR="007C4277" w:rsidRPr="00F406ED">
        <w:rPr>
          <w:lang w:val="bg-BG"/>
        </w:rPr>
        <w:t xml:space="preserve">4, </w:t>
      </w:r>
      <w:r w:rsidR="00E05665" w:rsidRPr="00F406ED">
        <w:rPr>
          <w:lang w:val="bg-BG"/>
        </w:rPr>
        <w:t>тя третира като напълно ирелевантни сериозността на престъплението, за което е задържано под стража лицето</w:t>
      </w:r>
      <w:r w:rsidR="00BE5302">
        <w:rPr>
          <w:lang w:val="bg-BG"/>
        </w:rPr>
        <w:t>,</w:t>
      </w:r>
      <w:r w:rsidR="00E05665" w:rsidRPr="00F406ED">
        <w:rPr>
          <w:lang w:val="bg-BG"/>
        </w:rPr>
        <w:t xml:space="preserve"> или опасността, която представлява то</w:t>
      </w:r>
      <w:r w:rsidR="007C4277" w:rsidRPr="00F406ED">
        <w:rPr>
          <w:lang w:val="bg-BG"/>
        </w:rPr>
        <w:t>.</w:t>
      </w:r>
      <w:r w:rsidR="00E05665" w:rsidRPr="00F406ED">
        <w:rPr>
          <w:lang w:val="bg-BG"/>
        </w:rPr>
        <w:t xml:space="preserve">Освен това един прочит на решенията на военните следствени и прокурорски органи и на военния съд показва, че те очевидно считат, че устно предупреждение </w:t>
      </w:r>
      <w:r w:rsidR="00E05665" w:rsidRPr="00F406ED">
        <w:rPr>
          <w:lang w:val="bg-BG" w:eastAsia="en-US"/>
        </w:rPr>
        <w:t>и произвеждане на предупредителни изстрели са достатъчни, за да бъде констатирано, че използването на огнестрелни оръжия е „крайна мярка</w:t>
      </w:r>
      <w:r w:rsidR="00F406ED">
        <w:rPr>
          <w:lang w:val="bg-BG"/>
        </w:rPr>
        <w:t>“</w:t>
      </w:r>
      <w:r w:rsidR="0056383A" w:rsidRPr="00F406ED">
        <w:rPr>
          <w:lang w:val="bg-BG"/>
        </w:rPr>
        <w:t xml:space="preserve"> </w:t>
      </w:r>
      <w:r w:rsidR="00E05665" w:rsidRPr="00F406ED">
        <w:rPr>
          <w:lang w:val="bg-BG"/>
        </w:rPr>
        <w:t xml:space="preserve">по смисъла на разпоредбата </w:t>
      </w:r>
      <w:r w:rsidR="0056383A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F406ED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discontinuance_31_August_1998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25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decision_21_December_1998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27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proposal_18_July_2000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33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proposal_29_September_2000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36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proposal_12_October_2000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40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decision_24_October_2000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41</w:t>
      </w:r>
      <w:r w:rsidRPr="00F406ED">
        <w:rPr>
          <w:lang w:val="bg-BG"/>
        </w:rPr>
        <w:fldChar w:fldCharType="end"/>
      </w:r>
      <w:r w:rsidR="0002410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decision_16_November_2000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42</w:t>
      </w:r>
      <w:r w:rsidRPr="00F406ED">
        <w:rPr>
          <w:lang w:val="bg-BG"/>
        </w:rPr>
        <w:fldChar w:fldCharType="end"/>
      </w:r>
      <w:r w:rsidR="00BE5302">
        <w:rPr>
          <w:lang w:val="bg-BG"/>
        </w:rPr>
        <w:t xml:space="preserve"> </w:t>
      </w:r>
      <w:r w:rsidR="00525428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024109" w:rsidRPr="00F406ED">
        <w:rPr>
          <w:lang w:val="bg-BG"/>
        </w:rPr>
        <w:instrText xml:space="preserve"> REF decision_21_November_2000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r w:rsidR="00BE5302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56383A" w:rsidRPr="00F406ED">
        <w:rPr>
          <w:lang w:val="bg-BG"/>
        </w:rPr>
        <w:t>).</w:t>
      </w:r>
      <w:r w:rsidR="00F406ED">
        <w:rPr>
          <w:lang w:val="bg-BG"/>
        </w:rPr>
        <w:t xml:space="preserve"> </w:t>
      </w:r>
      <w:r w:rsidR="00525428" w:rsidRPr="00F406ED">
        <w:rPr>
          <w:lang w:val="bg-BG"/>
        </w:rPr>
        <w:t>Въпреки това, фактът, че едно лице, което иначе не изглежда опасно</w:t>
      </w:r>
      <w:r w:rsidR="00B65E2E" w:rsidRPr="00F406ED">
        <w:rPr>
          <w:lang w:val="bg-BG"/>
        </w:rPr>
        <w:t>,</w:t>
      </w:r>
      <w:r w:rsidR="00525428" w:rsidRPr="00F406ED">
        <w:rPr>
          <w:lang w:val="bg-BG"/>
        </w:rPr>
        <w:t xml:space="preserve"> не се е подчинило на устно предупреждение или не е спряло след произвеждането на предупредителни изстрели, не може да служи като основание за употребата на смъртоносна сила срещу него </w:t>
      </w:r>
      <w:r w:rsidR="004C1F91" w:rsidRPr="00F406ED">
        <w:rPr>
          <w:lang w:val="bg-BG"/>
        </w:rPr>
        <w:t>(</w:t>
      </w:r>
      <w:r w:rsidR="00525428" w:rsidRPr="00F406ED">
        <w:rPr>
          <w:lang w:val="bg-BG"/>
        </w:rPr>
        <w:t xml:space="preserve">виж </w:t>
      </w:r>
      <w:proofErr w:type="spellStart"/>
      <w:r w:rsidR="004C1F91" w:rsidRPr="00F406ED">
        <w:rPr>
          <w:i/>
          <w:lang w:val="bg-BG" w:eastAsia="en-US"/>
        </w:rPr>
        <w:t>Kakoulli</w:t>
      </w:r>
      <w:proofErr w:type="spellEnd"/>
      <w:r w:rsidR="004C1F91" w:rsidRPr="00F406ED">
        <w:rPr>
          <w:i/>
          <w:lang w:val="bg-BG" w:eastAsia="en-US"/>
        </w:rPr>
        <w:t xml:space="preserve"> v.</w:t>
      </w:r>
      <w:proofErr w:type="spellStart"/>
      <w:r w:rsidR="004C1F91" w:rsidRPr="00F406ED">
        <w:rPr>
          <w:i/>
          <w:lang w:val="bg-BG" w:eastAsia="en-US"/>
        </w:rPr>
        <w:t>Turkey</w:t>
      </w:r>
      <w:proofErr w:type="spellEnd"/>
      <w:r w:rsidR="004C1F91" w:rsidRPr="00F406ED">
        <w:rPr>
          <w:lang w:val="bg-BG" w:eastAsia="en-US"/>
        </w:rPr>
        <w:t xml:space="preserve">, </w:t>
      </w:r>
      <w:proofErr w:type="spellStart"/>
      <w:r w:rsidR="004C1F91" w:rsidRPr="00F406ED">
        <w:rPr>
          <w:lang w:val="bg-BG" w:eastAsia="en-US"/>
        </w:rPr>
        <w:t>no</w:t>
      </w:r>
      <w:proofErr w:type="spellEnd"/>
      <w:r w:rsidR="004C1F91" w:rsidRPr="00F406ED">
        <w:rPr>
          <w:lang w:val="bg-BG" w:eastAsia="en-US"/>
        </w:rPr>
        <w:t>.</w:t>
      </w:r>
      <w:r w:rsidR="00570744">
        <w:rPr>
          <w:lang w:val="bg-BG" w:eastAsia="en-US"/>
        </w:rPr>
        <w:t xml:space="preserve"> </w:t>
      </w:r>
      <w:r w:rsidR="004C1F91" w:rsidRPr="00F406ED">
        <w:rPr>
          <w:lang w:val="bg-BG" w:eastAsia="en-US"/>
        </w:rPr>
        <w:t xml:space="preserve">38595/97, § 118 </w:t>
      </w:r>
      <w:r w:rsidR="00525428" w:rsidRPr="00F406ED">
        <w:rPr>
          <w:lang w:val="bg-BG" w:eastAsia="en-US"/>
        </w:rPr>
        <w:t xml:space="preserve">и </w:t>
      </w:r>
      <w:r w:rsidR="004C1F91" w:rsidRPr="00F406ED">
        <w:rPr>
          <w:lang w:val="bg-BG" w:eastAsia="en-US"/>
        </w:rPr>
        <w:t>119, 22</w:t>
      </w:r>
      <w:r w:rsidR="00C51B68" w:rsidRPr="00F406ED">
        <w:rPr>
          <w:lang w:val="bg-BG" w:eastAsia="en-US"/>
        </w:rPr>
        <w:t> </w:t>
      </w:r>
      <w:r w:rsidR="00525428" w:rsidRPr="00F406ED">
        <w:rPr>
          <w:lang w:val="bg-BG" w:eastAsia="en-US"/>
        </w:rPr>
        <w:t xml:space="preserve">ноември </w:t>
      </w:r>
      <w:r w:rsidR="004C1F91" w:rsidRPr="00F406ED">
        <w:rPr>
          <w:lang w:val="bg-BG" w:eastAsia="en-US"/>
        </w:rPr>
        <w:t>2005</w:t>
      </w:r>
      <w:r w:rsidR="00F406ED" w:rsidRPr="00F406ED">
        <w:rPr>
          <w:lang w:val="bg-BG" w:eastAsia="en-US"/>
        </w:rPr>
        <w:t> г.</w:t>
      </w:r>
      <w:r w:rsidR="004C1F91" w:rsidRPr="00F406ED">
        <w:rPr>
          <w:lang w:val="bg-BG"/>
        </w:rPr>
        <w:t>).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63434C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58</w:t>
      </w:r>
      <w:r w:rsidRPr="00F406ED">
        <w:rPr>
          <w:lang w:val="bg-BG"/>
        </w:rPr>
        <w:fldChar w:fldCharType="end"/>
      </w:r>
      <w:r w:rsidR="0063434C" w:rsidRPr="00F406ED">
        <w:rPr>
          <w:lang w:val="bg-BG"/>
        </w:rPr>
        <w:t>.  </w:t>
      </w:r>
      <w:r w:rsidR="00373C62" w:rsidRPr="00F406ED">
        <w:rPr>
          <w:lang w:val="bg-BG"/>
        </w:rPr>
        <w:t>Вярно е, че</w:t>
      </w:r>
      <w:r w:rsidR="00F406ED">
        <w:rPr>
          <w:lang w:val="bg-BG"/>
        </w:rPr>
        <w:t>,</w:t>
      </w:r>
      <w:r w:rsidR="00373C62" w:rsidRPr="00F406ED">
        <w:rPr>
          <w:lang w:val="bg-BG"/>
        </w:rPr>
        <w:t xml:space="preserve"> за разлика от </w:t>
      </w:r>
      <w:r w:rsidR="00570744">
        <w:rPr>
          <w:lang w:val="bg-BG"/>
        </w:rPr>
        <w:t>положението</w:t>
      </w:r>
      <w:r w:rsidR="00373C62" w:rsidRPr="00F406ED">
        <w:rPr>
          <w:lang w:val="bg-BG"/>
        </w:rPr>
        <w:t xml:space="preserve"> по делото </w:t>
      </w:r>
      <w:r w:rsidR="00373C62" w:rsidRPr="00F406ED">
        <w:rPr>
          <w:i/>
          <w:lang w:val="bg-BG"/>
        </w:rPr>
        <w:t xml:space="preserve">Цеков </w:t>
      </w:r>
      <w:r w:rsidR="00A84DEE" w:rsidRPr="00F406ED">
        <w:rPr>
          <w:lang w:val="bg-BG"/>
        </w:rPr>
        <w:t>(</w:t>
      </w:r>
      <w:r w:rsidR="00373C62" w:rsidRPr="00F406ED">
        <w:rPr>
          <w:lang w:val="bg-BG"/>
        </w:rPr>
        <w:t>пак там</w:t>
      </w:r>
      <w:r w:rsidR="00A84DEE" w:rsidRPr="00F406ED">
        <w:rPr>
          <w:lang w:val="bg-BG"/>
        </w:rPr>
        <w:t>, §</w:t>
      </w:r>
      <w:r w:rsidR="00373C62" w:rsidRPr="00F406ED">
        <w:rPr>
          <w:lang w:val="bg-BG"/>
        </w:rPr>
        <w:t> </w:t>
      </w:r>
      <w:r w:rsidR="00A84DEE" w:rsidRPr="00F406ED">
        <w:rPr>
          <w:lang w:val="bg-BG"/>
        </w:rPr>
        <w:t>55),</w:t>
      </w:r>
      <w:r w:rsidR="00F406ED">
        <w:rPr>
          <w:lang w:val="bg-BG"/>
        </w:rPr>
        <w:t xml:space="preserve"> </w:t>
      </w:r>
      <w:r w:rsidR="00373C62" w:rsidRPr="00F406ED">
        <w:rPr>
          <w:lang w:val="bg-BG"/>
        </w:rPr>
        <w:t xml:space="preserve">в настоящото дело органите на военната прокуратура </w:t>
      </w:r>
      <w:r w:rsidR="00976276" w:rsidRPr="00F406ED">
        <w:rPr>
          <w:lang w:val="bg-BG"/>
        </w:rPr>
        <w:t>и военният съд се позовават на новия член </w:t>
      </w:r>
      <w:r w:rsidR="00B825B6" w:rsidRPr="00F406ED">
        <w:rPr>
          <w:lang w:val="bg-BG"/>
        </w:rPr>
        <w:t xml:space="preserve">12a </w:t>
      </w:r>
      <w:r w:rsidR="00976276" w:rsidRPr="00F406ED">
        <w:rPr>
          <w:lang w:val="bg-BG"/>
        </w:rPr>
        <w:t xml:space="preserve">от Наказателния кодекс, който определя </w:t>
      </w:r>
      <w:r w:rsidR="00570744">
        <w:rPr>
          <w:lang w:val="bg-BG"/>
        </w:rPr>
        <w:t>положенията</w:t>
      </w:r>
      <w:r w:rsidR="00976276" w:rsidRPr="00F406ED">
        <w:rPr>
          <w:lang w:val="bg-BG"/>
        </w:rPr>
        <w:t xml:space="preserve">, в които е допустимо да бъдат причинявани вреди, за да се осъществи арест </w:t>
      </w:r>
      <w:r w:rsidR="00B825B6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F406ED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0B7234" w:rsidRPr="00F406ED">
        <w:rPr>
          <w:lang w:val="bg-BG"/>
        </w:rPr>
        <w:instrText xml:space="preserve"> REF decision_24_October_2000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41</w:t>
      </w:r>
      <w:r w:rsidRPr="00F406ED">
        <w:rPr>
          <w:lang w:val="bg-BG"/>
        </w:rPr>
        <w:fldChar w:fldCharType="end"/>
      </w:r>
      <w:r w:rsidR="000B7234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B7234" w:rsidRPr="00F406ED">
        <w:rPr>
          <w:lang w:val="bg-BG"/>
        </w:rPr>
        <w:instrText xml:space="preserve"> REF decision_16_November_2000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42</w:t>
      </w:r>
      <w:r w:rsidRPr="00F406ED">
        <w:rPr>
          <w:lang w:val="bg-BG"/>
        </w:rPr>
        <w:fldChar w:fldCharType="end"/>
      </w:r>
      <w:r w:rsidR="000B7234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0B7234" w:rsidRPr="00F406ED">
        <w:rPr>
          <w:lang w:val="bg-BG"/>
        </w:rPr>
        <w:instrText xml:space="preserve"> REF decision_21_November_2000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r w:rsidR="00570744">
        <w:rPr>
          <w:lang w:val="bg-BG"/>
        </w:rPr>
        <w:t xml:space="preserve"> </w:t>
      </w:r>
      <w:r w:rsidR="00976276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B825B6" w:rsidRPr="00F406ED">
        <w:rPr>
          <w:lang w:val="bg-BG"/>
        </w:rPr>
        <w:instrText xml:space="preserve"> REF RDL_Article_12a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46</w:t>
      </w:r>
      <w:r w:rsidRPr="00F406ED">
        <w:rPr>
          <w:lang w:val="bg-BG"/>
        </w:rPr>
        <w:fldChar w:fldCharType="end"/>
      </w:r>
      <w:r w:rsidR="00F406ED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B825B6" w:rsidRPr="00F406ED">
        <w:rPr>
          <w:lang w:val="bg-BG"/>
        </w:rPr>
        <w:t>) (</w:t>
      </w:r>
      <w:r w:rsidR="00976276" w:rsidRPr="00F406ED">
        <w:rPr>
          <w:lang w:val="bg-BG"/>
        </w:rPr>
        <w:t>въпреки че той влиза в сила два месеца след злополуката</w:t>
      </w:r>
      <w:r w:rsidR="00B825B6" w:rsidRPr="00F406ED">
        <w:rPr>
          <w:lang w:val="bg-BG"/>
        </w:rPr>
        <w:t>).</w:t>
      </w:r>
      <w:r w:rsidR="00F406ED">
        <w:rPr>
          <w:lang w:val="bg-BG"/>
        </w:rPr>
        <w:t xml:space="preserve"> </w:t>
      </w:r>
      <w:r w:rsidR="00976276" w:rsidRPr="00F406ED">
        <w:rPr>
          <w:lang w:val="bg-BG"/>
        </w:rPr>
        <w:t>Без обаче да обяснят защо</w:t>
      </w:r>
      <w:r w:rsidR="00570744">
        <w:rPr>
          <w:lang w:val="bg-BG"/>
        </w:rPr>
        <w:t>,</w:t>
      </w:r>
      <w:r w:rsidR="00976276" w:rsidRPr="00F406ED">
        <w:rPr>
          <w:lang w:val="bg-BG"/>
        </w:rPr>
        <w:t xml:space="preserve"> и в очевидно противоречие </w:t>
      </w:r>
      <w:r w:rsidR="00F72EED" w:rsidRPr="00F406ED">
        <w:rPr>
          <w:lang w:val="bg-BG"/>
        </w:rPr>
        <w:t>с обикновения смисъл на текста на разпоредбата</w:t>
      </w:r>
      <w:r w:rsidR="00AA08EA" w:rsidRPr="00F406ED">
        <w:rPr>
          <w:lang w:val="bg-BG"/>
        </w:rPr>
        <w:t>,</w:t>
      </w:r>
      <w:r w:rsidR="00570744">
        <w:rPr>
          <w:lang w:val="bg-BG"/>
        </w:rPr>
        <w:t xml:space="preserve"> </w:t>
      </w:r>
      <w:r w:rsidR="00F72EED" w:rsidRPr="00F406ED">
        <w:rPr>
          <w:lang w:val="bg-BG"/>
        </w:rPr>
        <w:t>те го тълкуват като позволяващ на органите на полицията да използват огнестрелно оръжие за арест на задържано лице, което се опитва да избяга</w:t>
      </w:r>
      <w:r w:rsidR="00A84DEE" w:rsidRPr="00F406ED">
        <w:rPr>
          <w:lang w:val="bg-BG"/>
        </w:rPr>
        <w:t>.</w:t>
      </w:r>
      <w:r w:rsidR="00570744">
        <w:rPr>
          <w:lang w:val="bg-BG"/>
        </w:rPr>
        <w:t xml:space="preserve"> </w:t>
      </w:r>
      <w:r w:rsidR="00F72EED" w:rsidRPr="00F406ED">
        <w:rPr>
          <w:lang w:val="bg-BG"/>
        </w:rPr>
        <w:t>Ролята на Съда не е да поставя под въпрос точността на това тълкувание</w:t>
      </w:r>
      <w:r w:rsidR="00A84DEE" w:rsidRPr="00F406ED">
        <w:rPr>
          <w:lang w:val="bg-BG"/>
        </w:rPr>
        <w:t xml:space="preserve">; </w:t>
      </w:r>
      <w:r w:rsidR="00F72EED" w:rsidRPr="00F406ED">
        <w:rPr>
          <w:lang w:val="bg-BG"/>
        </w:rPr>
        <w:t xml:space="preserve">той трябва да основе своята проверка на разпоредбите на вътрешното право по начина, по който са прилагани от националните органи на властта </w:t>
      </w:r>
      <w:r w:rsidR="00A84DEE" w:rsidRPr="00F406ED">
        <w:rPr>
          <w:lang w:val="bg-BG"/>
        </w:rPr>
        <w:t>(</w:t>
      </w:r>
      <w:r w:rsidR="00F72EED" w:rsidRPr="00F406ED">
        <w:rPr>
          <w:lang w:val="bg-BG"/>
        </w:rPr>
        <w:t>виж</w:t>
      </w:r>
      <w:r w:rsidR="00A84DEE" w:rsidRPr="00F406ED">
        <w:rPr>
          <w:lang w:val="bg-BG"/>
        </w:rPr>
        <w:t xml:space="preserve">, </w:t>
      </w:r>
      <w:proofErr w:type="spellStart"/>
      <w:r w:rsidR="00A84DEE" w:rsidRPr="00F406ED">
        <w:rPr>
          <w:i/>
          <w:lang w:val="bg-BG"/>
        </w:rPr>
        <w:t>mutatis</w:t>
      </w:r>
      <w:proofErr w:type="spellEnd"/>
      <w:r w:rsidR="00A84DEE" w:rsidRPr="00F406ED">
        <w:rPr>
          <w:i/>
          <w:lang w:val="bg-BG"/>
        </w:rPr>
        <w:t xml:space="preserve"> </w:t>
      </w:r>
      <w:proofErr w:type="spellStart"/>
      <w:r w:rsidR="00A84DEE" w:rsidRPr="00F406ED">
        <w:rPr>
          <w:i/>
          <w:lang w:val="bg-BG"/>
        </w:rPr>
        <w:t>mutandis</w:t>
      </w:r>
      <w:proofErr w:type="spellEnd"/>
      <w:r w:rsidR="00A84DEE" w:rsidRPr="00F406ED">
        <w:rPr>
          <w:lang w:val="bg-BG"/>
        </w:rPr>
        <w:t xml:space="preserve">, </w:t>
      </w:r>
      <w:proofErr w:type="spellStart"/>
      <w:r w:rsidR="00A84DEE" w:rsidRPr="00F406ED">
        <w:rPr>
          <w:i/>
          <w:lang w:val="bg-BG" w:eastAsia="en-US"/>
        </w:rPr>
        <w:t>Minelli</w:t>
      </w:r>
      <w:proofErr w:type="spellEnd"/>
      <w:r w:rsidR="00A84DEE" w:rsidRPr="00F406ED">
        <w:rPr>
          <w:i/>
          <w:lang w:val="bg-BG" w:eastAsia="en-US"/>
        </w:rPr>
        <w:t xml:space="preserve"> v.</w:t>
      </w:r>
      <w:proofErr w:type="spellStart"/>
      <w:r w:rsidR="00A84DEE" w:rsidRPr="00F406ED">
        <w:rPr>
          <w:i/>
          <w:lang w:val="bg-BG" w:eastAsia="en-US"/>
        </w:rPr>
        <w:t>Switzerland</w:t>
      </w:r>
      <w:proofErr w:type="spellEnd"/>
      <w:r w:rsidR="00A84DEE" w:rsidRPr="00F406ED">
        <w:rPr>
          <w:lang w:val="bg-BG" w:eastAsia="en-US"/>
        </w:rPr>
        <w:t>, 25</w:t>
      </w:r>
      <w:r w:rsidR="008E7BA7" w:rsidRPr="00F406ED">
        <w:rPr>
          <w:lang w:val="bg-BG" w:eastAsia="en-US"/>
        </w:rPr>
        <w:t>март</w:t>
      </w:r>
      <w:r w:rsidR="00A84DEE" w:rsidRPr="00F406ED">
        <w:rPr>
          <w:lang w:val="bg-BG" w:eastAsia="en-US"/>
        </w:rPr>
        <w:t xml:space="preserve"> 1983</w:t>
      </w:r>
      <w:r w:rsidR="00F406ED" w:rsidRPr="00F406ED">
        <w:rPr>
          <w:lang w:val="bg-BG" w:eastAsia="en-US"/>
        </w:rPr>
        <w:t> г.</w:t>
      </w:r>
      <w:r w:rsidR="00A84DEE" w:rsidRPr="00F406ED">
        <w:rPr>
          <w:lang w:val="bg-BG" w:eastAsia="en-US"/>
        </w:rPr>
        <w:t xml:space="preserve">, § 35, </w:t>
      </w:r>
      <w:r w:rsidR="00F72EED" w:rsidRPr="00F406ED">
        <w:rPr>
          <w:lang w:val="bg-BG" w:eastAsia="en-US"/>
        </w:rPr>
        <w:t>Серия </w:t>
      </w:r>
      <w:r w:rsidR="00A84DEE" w:rsidRPr="00F406ED">
        <w:rPr>
          <w:lang w:val="bg-BG" w:eastAsia="en-US"/>
        </w:rPr>
        <w:t xml:space="preserve">A </w:t>
      </w:r>
      <w:r w:rsidR="00F72EED" w:rsidRPr="00F406ED">
        <w:rPr>
          <w:lang w:val="bg-BG" w:eastAsia="en-US"/>
        </w:rPr>
        <w:t>№ </w:t>
      </w:r>
      <w:r w:rsidR="00A84DEE" w:rsidRPr="00F406ED">
        <w:rPr>
          <w:lang w:val="bg-BG" w:eastAsia="en-US"/>
        </w:rPr>
        <w:t xml:space="preserve">62, </w:t>
      </w:r>
      <w:proofErr w:type="spellStart"/>
      <w:r w:rsidR="00F72EED" w:rsidRPr="00F406ED">
        <w:rPr>
          <w:lang w:val="bg-BG" w:eastAsia="en-US"/>
        </w:rPr>
        <w:t>и</w:t>
      </w:r>
      <w:r w:rsidR="00A84DEE" w:rsidRPr="00F406ED">
        <w:rPr>
          <w:i/>
          <w:lang w:val="bg-BG" w:eastAsia="en-US"/>
        </w:rPr>
        <w:t>Vasilescu</w:t>
      </w:r>
      <w:proofErr w:type="spellEnd"/>
      <w:r w:rsidR="00A84DEE" w:rsidRPr="00F406ED">
        <w:rPr>
          <w:i/>
          <w:lang w:val="bg-BG" w:eastAsia="en-US"/>
        </w:rPr>
        <w:t xml:space="preserve"> v.</w:t>
      </w:r>
      <w:r w:rsidR="00E7008B" w:rsidRPr="00F406ED">
        <w:rPr>
          <w:i/>
          <w:lang w:val="bg-BG" w:eastAsia="en-US"/>
        </w:rPr>
        <w:t> </w:t>
      </w:r>
      <w:proofErr w:type="spellStart"/>
      <w:r w:rsidR="00A84DEE" w:rsidRPr="00F406ED">
        <w:rPr>
          <w:i/>
          <w:lang w:val="bg-BG" w:eastAsia="en-US"/>
        </w:rPr>
        <w:t>Romania</w:t>
      </w:r>
      <w:proofErr w:type="spellEnd"/>
      <w:r w:rsidR="00A84DEE" w:rsidRPr="00F406ED">
        <w:rPr>
          <w:lang w:val="bg-BG" w:eastAsia="en-US"/>
        </w:rPr>
        <w:t>, 22</w:t>
      </w:r>
      <w:r w:rsidR="008E7BA7" w:rsidRPr="00F406ED">
        <w:rPr>
          <w:lang w:val="bg-BG" w:eastAsia="en-US"/>
        </w:rPr>
        <w:t xml:space="preserve"> май </w:t>
      </w:r>
      <w:r w:rsidR="00A84DEE" w:rsidRPr="00F406ED">
        <w:rPr>
          <w:lang w:val="bg-BG" w:eastAsia="en-US"/>
        </w:rPr>
        <w:t>1998</w:t>
      </w:r>
      <w:r w:rsidR="00F406ED" w:rsidRPr="00F406ED">
        <w:rPr>
          <w:lang w:val="bg-BG" w:eastAsia="en-US"/>
        </w:rPr>
        <w:t> г.</w:t>
      </w:r>
      <w:r w:rsidR="00A84DEE" w:rsidRPr="00F406ED">
        <w:rPr>
          <w:lang w:val="bg-BG" w:eastAsia="en-US"/>
        </w:rPr>
        <w:t xml:space="preserve">, § 39, </w:t>
      </w:r>
      <w:proofErr w:type="spellStart"/>
      <w:r w:rsidR="00A84DEE" w:rsidRPr="00F406ED">
        <w:rPr>
          <w:i/>
          <w:lang w:val="bg-BG" w:eastAsia="en-US"/>
        </w:rPr>
        <w:t>Reports</w:t>
      </w:r>
      <w:proofErr w:type="spellEnd"/>
      <w:r w:rsidR="00A84DEE" w:rsidRPr="00F406ED">
        <w:rPr>
          <w:i/>
          <w:lang w:val="bg-BG" w:eastAsia="en-US"/>
        </w:rPr>
        <w:t xml:space="preserve"> of </w:t>
      </w:r>
      <w:proofErr w:type="spellStart"/>
      <w:r w:rsidR="00A84DEE" w:rsidRPr="00F406ED">
        <w:rPr>
          <w:i/>
          <w:lang w:val="bg-BG" w:eastAsia="en-US"/>
        </w:rPr>
        <w:t>Judgments</w:t>
      </w:r>
      <w:proofErr w:type="spellEnd"/>
      <w:r w:rsidR="00A84DEE" w:rsidRPr="00F406ED">
        <w:rPr>
          <w:i/>
          <w:lang w:val="bg-BG" w:eastAsia="en-US"/>
        </w:rPr>
        <w:t xml:space="preserve"> </w:t>
      </w:r>
      <w:proofErr w:type="spellStart"/>
      <w:r w:rsidR="00A84DEE" w:rsidRPr="00F406ED">
        <w:rPr>
          <w:i/>
          <w:lang w:val="bg-BG" w:eastAsia="en-US"/>
        </w:rPr>
        <w:t>and</w:t>
      </w:r>
      <w:proofErr w:type="spellEnd"/>
      <w:r w:rsidR="00A84DEE" w:rsidRPr="00F406ED">
        <w:rPr>
          <w:i/>
          <w:lang w:val="bg-BG" w:eastAsia="en-US"/>
        </w:rPr>
        <w:t xml:space="preserve"> </w:t>
      </w:r>
      <w:proofErr w:type="spellStart"/>
      <w:r w:rsidR="00A84DEE" w:rsidRPr="00F406ED">
        <w:rPr>
          <w:i/>
          <w:lang w:val="bg-BG" w:eastAsia="en-US"/>
        </w:rPr>
        <w:t>Decisions</w:t>
      </w:r>
      <w:proofErr w:type="spellEnd"/>
      <w:r w:rsidR="00A84DEE" w:rsidRPr="00F406ED">
        <w:rPr>
          <w:lang w:val="bg-BG" w:eastAsia="en-US"/>
        </w:rPr>
        <w:t xml:space="preserve"> 1998</w:t>
      </w:r>
      <w:r w:rsidR="00A84DEE" w:rsidRPr="00F406ED">
        <w:rPr>
          <w:lang w:val="bg-BG" w:eastAsia="en-US"/>
        </w:rPr>
        <w:noBreakHyphen/>
        <w:t>III</w:t>
      </w:r>
      <w:r w:rsidR="00A84DEE" w:rsidRPr="00F406ED">
        <w:rPr>
          <w:lang w:val="bg-BG"/>
        </w:rPr>
        <w:t>).</w:t>
      </w:r>
    </w:p>
    <w:bookmarkStart w:id="35" w:name="A2_rlf_3"/>
    <w:p w:rsidR="00A47622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59</w:t>
      </w:r>
      <w:r w:rsidRPr="00F406ED">
        <w:rPr>
          <w:lang w:val="bg-BG"/>
        </w:rPr>
        <w:fldChar w:fldCharType="end"/>
      </w:r>
      <w:bookmarkEnd w:id="35"/>
      <w:r w:rsidR="00A84DEE" w:rsidRPr="00F406ED">
        <w:rPr>
          <w:lang w:val="bg-BG"/>
        </w:rPr>
        <w:t>.  </w:t>
      </w:r>
      <w:r w:rsidR="000C65DF" w:rsidRPr="00F406ED">
        <w:rPr>
          <w:lang w:val="bg-BG"/>
        </w:rPr>
        <w:t>С оглед на предходното</w:t>
      </w:r>
      <w:r w:rsidR="00A84DEE" w:rsidRPr="00F406ED">
        <w:rPr>
          <w:lang w:val="bg-BG"/>
        </w:rPr>
        <w:t xml:space="preserve"> </w:t>
      </w:r>
      <w:r w:rsidR="000C65DF" w:rsidRPr="00F406ED">
        <w:rPr>
          <w:lang w:val="bg-BG"/>
        </w:rPr>
        <w:t xml:space="preserve">Съдът не може да не потвърди заключението, до което е </w:t>
      </w:r>
      <w:r w:rsidR="00F21941">
        <w:rPr>
          <w:lang w:val="bg-BG"/>
        </w:rPr>
        <w:t>до</w:t>
      </w:r>
      <w:r w:rsidR="000C65DF" w:rsidRPr="00F406ED">
        <w:rPr>
          <w:lang w:val="bg-BG"/>
        </w:rPr>
        <w:t xml:space="preserve">стигнал в </w:t>
      </w:r>
      <w:r w:rsidR="00F21941">
        <w:rPr>
          <w:lang w:val="bg-BG"/>
        </w:rPr>
        <w:t xml:space="preserve">делото </w:t>
      </w:r>
      <w:r w:rsidR="000C65DF" w:rsidRPr="00F406ED">
        <w:rPr>
          <w:i/>
          <w:lang w:val="bg-BG"/>
        </w:rPr>
        <w:t>Цеков</w:t>
      </w:r>
      <w:r w:rsidR="00A84DEE" w:rsidRPr="00F406ED">
        <w:rPr>
          <w:lang w:val="bg-BG"/>
        </w:rPr>
        <w:t xml:space="preserve">: </w:t>
      </w:r>
      <w:r w:rsidR="000C65DF" w:rsidRPr="00F406ED">
        <w:rPr>
          <w:lang w:val="bg-BG"/>
        </w:rPr>
        <w:t>правните разпоредби, уреждащи употребата на огнестрелно оръжие от органите на полицията по отношение на лица, които се опитват да избягат от арест</w:t>
      </w:r>
      <w:r w:rsidR="00A84DEE" w:rsidRPr="00F406ED">
        <w:rPr>
          <w:lang w:val="bg-BG"/>
        </w:rPr>
        <w:t xml:space="preserve">, </w:t>
      </w:r>
      <w:r w:rsidR="000C65DF" w:rsidRPr="00F406ED">
        <w:rPr>
          <w:lang w:val="bg-BG"/>
        </w:rPr>
        <w:t>както са тълкувани и прилагани в настоящия случай</w:t>
      </w:r>
      <w:r w:rsidR="00A84DEE" w:rsidRPr="00F406ED">
        <w:rPr>
          <w:lang w:val="bg-BG"/>
        </w:rPr>
        <w:t xml:space="preserve">, </w:t>
      </w:r>
      <w:r w:rsidR="000C65DF" w:rsidRPr="00F406ED">
        <w:rPr>
          <w:lang w:val="bg-BG"/>
        </w:rPr>
        <w:t xml:space="preserve">са по същността си недостатъчни за защита на съответните лица от неоснователни и произволни накърнявания на тяхното право на живот </w:t>
      </w:r>
      <w:r w:rsidR="00A84DEE" w:rsidRPr="00F406ED">
        <w:rPr>
          <w:lang w:val="bg-BG"/>
        </w:rPr>
        <w:t>(</w:t>
      </w:r>
      <w:r w:rsidR="000C65DF" w:rsidRPr="00F406ED">
        <w:rPr>
          <w:lang w:val="bg-BG"/>
        </w:rPr>
        <w:t>виж</w:t>
      </w:r>
      <w:r w:rsidR="00F035CB" w:rsidRPr="00F406ED">
        <w:rPr>
          <w:lang w:val="bg-BG"/>
        </w:rPr>
        <w:t xml:space="preserve">, </w:t>
      </w:r>
      <w:r w:rsidR="00F035CB" w:rsidRPr="00F406ED">
        <w:rPr>
          <w:i/>
          <w:lang w:val="bg-BG"/>
        </w:rPr>
        <w:t>mutatis mutandis</w:t>
      </w:r>
      <w:r w:rsidR="00F035CB" w:rsidRPr="00F406ED">
        <w:rPr>
          <w:lang w:val="bg-BG"/>
        </w:rPr>
        <w:t xml:space="preserve">, </w:t>
      </w:r>
      <w:r w:rsidR="000C65DF" w:rsidRPr="00F406ED">
        <w:rPr>
          <w:i/>
          <w:lang w:val="bg-BG"/>
        </w:rPr>
        <w:t>Цеков</w:t>
      </w:r>
      <w:r w:rsidR="00A84DEE" w:rsidRPr="00F406ED">
        <w:rPr>
          <w:lang w:val="bg-BG"/>
        </w:rPr>
        <w:t xml:space="preserve">, </w:t>
      </w:r>
      <w:r w:rsidR="000C65DF" w:rsidRPr="00F406ED">
        <w:rPr>
          <w:lang w:val="bg-BG"/>
        </w:rPr>
        <w:t>цитирано</w:t>
      </w:r>
      <w:r w:rsidR="00FA5AF9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 xml:space="preserve">, § 56, </w:t>
      </w:r>
      <w:r w:rsidR="000C65DF" w:rsidRPr="00F406ED">
        <w:rPr>
          <w:lang w:val="bg-BG"/>
        </w:rPr>
        <w:t>и</w:t>
      </w:r>
      <w:r w:rsidR="00FA5AF9">
        <w:rPr>
          <w:lang w:val="bg-BG"/>
        </w:rPr>
        <w:t xml:space="preserve"> </w:t>
      </w:r>
      <w:r w:rsidR="000C65DF" w:rsidRPr="00F406ED">
        <w:rPr>
          <w:i/>
          <w:lang w:val="bg-BG"/>
        </w:rPr>
        <w:t>Начова и други</w:t>
      </w:r>
      <w:r w:rsidR="00A84DEE" w:rsidRPr="00F406ED">
        <w:rPr>
          <w:lang w:val="bg-BG"/>
        </w:rPr>
        <w:t xml:space="preserve">, </w:t>
      </w:r>
      <w:r w:rsidR="000C65DF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 xml:space="preserve">, §§ 99 </w:t>
      </w:r>
      <w:r w:rsidR="000C65DF" w:rsidRPr="00F406ED">
        <w:rPr>
          <w:lang w:val="bg-BG"/>
        </w:rPr>
        <w:t xml:space="preserve">и </w:t>
      </w:r>
      <w:r w:rsidR="00A84DEE" w:rsidRPr="00F406ED">
        <w:rPr>
          <w:lang w:val="bg-BG"/>
        </w:rPr>
        <w:t xml:space="preserve">100, </w:t>
      </w:r>
      <w:r w:rsidR="000C65DF" w:rsidRPr="00F406ED">
        <w:rPr>
          <w:lang w:val="bg-BG"/>
        </w:rPr>
        <w:t>по отношение на употребата на огнестрелно оръжие от военната полиция</w:t>
      </w:r>
      <w:r w:rsidR="00A84DEE" w:rsidRPr="00F406ED">
        <w:rPr>
          <w:lang w:val="bg-BG"/>
        </w:rPr>
        <w:t>).</w:t>
      </w:r>
      <w:r w:rsidR="00F406ED">
        <w:rPr>
          <w:lang w:val="bg-BG"/>
        </w:rPr>
        <w:t xml:space="preserve"> </w:t>
      </w:r>
      <w:r w:rsidR="000C65DF" w:rsidRPr="00F406ED">
        <w:rPr>
          <w:lang w:val="bg-BG"/>
        </w:rPr>
        <w:t xml:space="preserve">Както Съдът обяснява в </w:t>
      </w:r>
      <w:r w:rsidR="000C65DF" w:rsidRPr="00F406ED">
        <w:rPr>
          <w:i/>
          <w:lang w:val="bg-BG"/>
        </w:rPr>
        <w:t>Начова и други</w:t>
      </w:r>
      <w:r w:rsidR="00A47622" w:rsidRPr="00F406ED">
        <w:rPr>
          <w:lang w:val="bg-BG"/>
        </w:rPr>
        <w:t xml:space="preserve">, </w:t>
      </w:r>
      <w:r w:rsidR="000C65DF" w:rsidRPr="00F406ED">
        <w:rPr>
          <w:lang w:val="bg-BG"/>
        </w:rPr>
        <w:t>законната цел на извършването на законосъобразен арест може да оправдае застрашаването на човешки живот единствено при обстоятелства на абсолютна необходимост</w:t>
      </w:r>
      <w:r w:rsidR="00A47622" w:rsidRPr="00F406ED">
        <w:rPr>
          <w:lang w:val="bg-BG"/>
        </w:rPr>
        <w:t xml:space="preserve">; </w:t>
      </w:r>
      <w:r w:rsidR="000C65DF" w:rsidRPr="00F406ED">
        <w:rPr>
          <w:lang w:val="bg-BG"/>
        </w:rPr>
        <w:t xml:space="preserve">такава необходимост не е налице, когато се знае, че лицето, което трябва да бъде арестувано, не представлява заплаха за живота или </w:t>
      </w:r>
      <w:r w:rsidR="00842977" w:rsidRPr="00F406ED">
        <w:rPr>
          <w:lang w:val="bg-BG"/>
        </w:rPr>
        <w:t>телесната неприкосновеност</w:t>
      </w:r>
      <w:r w:rsidR="006F60DF">
        <w:rPr>
          <w:lang w:val="bg-BG"/>
        </w:rPr>
        <w:t>,</w:t>
      </w:r>
      <w:r w:rsidR="00842977" w:rsidRPr="00F406ED">
        <w:rPr>
          <w:lang w:val="bg-BG"/>
        </w:rPr>
        <w:t xml:space="preserve"> </w:t>
      </w:r>
      <w:r w:rsidR="000C65DF" w:rsidRPr="00F406ED">
        <w:rPr>
          <w:lang w:val="bg-BG"/>
        </w:rPr>
        <w:t>и не е заподозряно в извършването на насилствено престъпление</w:t>
      </w:r>
      <w:r w:rsidR="00A47622" w:rsidRPr="00F406ED">
        <w:rPr>
          <w:lang w:val="bg-BG"/>
        </w:rPr>
        <w:t xml:space="preserve">, </w:t>
      </w:r>
      <w:r w:rsidR="000C65DF" w:rsidRPr="00F406ED">
        <w:rPr>
          <w:lang w:val="bg-BG"/>
        </w:rPr>
        <w:t>дори ако неизползването на смъртоносна сила може да доведе до загубване на възможността да бъде арестуван беглецът</w:t>
      </w:r>
      <w:r w:rsidR="00A47622" w:rsidRPr="00F406ED">
        <w:rPr>
          <w:lang w:val="bg-BG"/>
        </w:rPr>
        <w:t xml:space="preserve">. </w:t>
      </w:r>
      <w:r w:rsidR="00842977" w:rsidRPr="00F406ED">
        <w:rPr>
          <w:lang w:val="bg-BG"/>
        </w:rPr>
        <w:t>Принципът на строга съразмерност, който е присъщ за член </w:t>
      </w:r>
      <w:r w:rsidR="00A47622" w:rsidRPr="00F406ED">
        <w:rPr>
          <w:lang w:val="bg-BG"/>
        </w:rPr>
        <w:t>2</w:t>
      </w:r>
      <w:r w:rsidR="00842977" w:rsidRPr="00F406ED">
        <w:rPr>
          <w:lang w:val="bg-BG"/>
        </w:rPr>
        <w:t xml:space="preserve">, изисква националната правна рамка, уреждаща операциите по арест, да </w:t>
      </w:r>
      <w:r w:rsidR="00353D29" w:rsidRPr="00F406ED">
        <w:rPr>
          <w:lang w:val="bg-BG"/>
        </w:rPr>
        <w:t>предвижда употреба на огнестрелно оръжие в зависимост от внимателн</w:t>
      </w:r>
      <w:r w:rsidR="003259A8" w:rsidRPr="00F406ED">
        <w:rPr>
          <w:lang w:val="bg-BG"/>
        </w:rPr>
        <w:t>а</w:t>
      </w:r>
      <w:r w:rsidR="00353D29" w:rsidRPr="00F406ED">
        <w:rPr>
          <w:lang w:val="bg-BG"/>
        </w:rPr>
        <w:t xml:space="preserve"> преценка на конкретните обстоятелства и</w:t>
      </w:r>
      <w:r w:rsidR="00A47622" w:rsidRPr="00F406ED">
        <w:rPr>
          <w:lang w:val="bg-BG"/>
        </w:rPr>
        <w:t xml:space="preserve"> </w:t>
      </w:r>
      <w:r w:rsidR="00353D29" w:rsidRPr="00F406ED">
        <w:rPr>
          <w:lang w:val="bg-BG"/>
        </w:rPr>
        <w:t>по-специално</w:t>
      </w:r>
      <w:r w:rsidR="00A47622" w:rsidRPr="00F406ED">
        <w:rPr>
          <w:lang w:val="bg-BG"/>
        </w:rPr>
        <w:t xml:space="preserve">, </w:t>
      </w:r>
      <w:r w:rsidR="00353D29" w:rsidRPr="00F406ED">
        <w:rPr>
          <w:lang w:val="bg-BG"/>
        </w:rPr>
        <w:t xml:space="preserve">в зависимост от оценката на </w:t>
      </w:r>
      <w:r w:rsidR="006F60DF">
        <w:rPr>
          <w:lang w:val="bg-BG"/>
        </w:rPr>
        <w:t xml:space="preserve">естеството </w:t>
      </w:r>
      <w:r w:rsidR="00353D29" w:rsidRPr="00F406ED">
        <w:rPr>
          <w:lang w:val="bg-BG"/>
        </w:rPr>
        <w:t>на престъплението, извършено от беглеца</w:t>
      </w:r>
      <w:r w:rsidR="006F60DF">
        <w:rPr>
          <w:lang w:val="bg-BG"/>
        </w:rPr>
        <w:t>,</w:t>
      </w:r>
      <w:r w:rsidR="00353D29" w:rsidRPr="00F406ED">
        <w:rPr>
          <w:lang w:val="bg-BG"/>
        </w:rPr>
        <w:t xml:space="preserve"> и на опасността, която той представлява</w:t>
      </w:r>
      <w:r w:rsidR="00A47622" w:rsidRPr="00F406ED">
        <w:rPr>
          <w:lang w:val="bg-BG"/>
        </w:rPr>
        <w:t xml:space="preserve">. </w:t>
      </w:r>
      <w:r w:rsidR="00353D29" w:rsidRPr="00F406ED">
        <w:rPr>
          <w:lang w:val="bg-BG"/>
        </w:rPr>
        <w:t>Освен това</w:t>
      </w:r>
      <w:r w:rsidR="00A47622" w:rsidRPr="00F406ED">
        <w:rPr>
          <w:lang w:val="bg-BG"/>
        </w:rPr>
        <w:t xml:space="preserve"> </w:t>
      </w:r>
      <w:r w:rsidR="00353D29" w:rsidRPr="00F406ED">
        <w:rPr>
          <w:lang w:val="bg-BG"/>
        </w:rPr>
        <w:t>вътрешното право, уреждащо полицейските действия, трябва да осигури система от адекватни и ефективни предпазни мерки срещу произвол и злоупотреба със сила и дори срещу злополуки, които могат да бъдат избегнати</w:t>
      </w:r>
      <w:r w:rsidR="00A47622" w:rsidRPr="00F406ED">
        <w:rPr>
          <w:lang w:val="bg-BG"/>
        </w:rPr>
        <w:t xml:space="preserve">. </w:t>
      </w:r>
      <w:r w:rsidR="00353D29" w:rsidRPr="00F406ED">
        <w:rPr>
          <w:lang w:val="bg-BG"/>
        </w:rPr>
        <w:t>По-специално служителите на правоприлагащите органи трябва да бъдат обучени да преценяват дали е или не е налице абсолютна необходимост от употреба на огнестрелно оръжие</w:t>
      </w:r>
      <w:r w:rsidR="00A47622" w:rsidRPr="00F406ED">
        <w:rPr>
          <w:lang w:val="bg-BG"/>
        </w:rPr>
        <w:t xml:space="preserve"> </w:t>
      </w:r>
      <w:r w:rsidR="00353D29" w:rsidRPr="00F406ED">
        <w:rPr>
          <w:lang w:val="bg-BG"/>
        </w:rPr>
        <w:t>не само въз основа на буквата на съответната нормативна уредба</w:t>
      </w:r>
      <w:r w:rsidR="00A47622" w:rsidRPr="00F406ED">
        <w:rPr>
          <w:lang w:val="bg-BG"/>
        </w:rPr>
        <w:t xml:space="preserve">, </w:t>
      </w:r>
      <w:r w:rsidR="00353D29" w:rsidRPr="00F406ED">
        <w:rPr>
          <w:lang w:val="bg-BG"/>
        </w:rPr>
        <w:t xml:space="preserve">но и като се отчете съответно водещото значение на зачитането на човешкия живот като основна ценност </w:t>
      </w:r>
      <w:r w:rsidR="00A47622" w:rsidRPr="00F406ED">
        <w:rPr>
          <w:lang w:val="bg-BG"/>
        </w:rPr>
        <w:t>(</w:t>
      </w:r>
      <w:r w:rsidR="00353D29" w:rsidRPr="00F406ED">
        <w:rPr>
          <w:lang w:val="bg-BG"/>
        </w:rPr>
        <w:t xml:space="preserve">виж </w:t>
      </w:r>
      <w:r w:rsidR="000C65DF" w:rsidRPr="00F406ED">
        <w:rPr>
          <w:i/>
          <w:lang w:val="bg-BG"/>
        </w:rPr>
        <w:t>Начова и други</w:t>
      </w:r>
      <w:r w:rsidR="00A47622" w:rsidRPr="00F406ED">
        <w:rPr>
          <w:lang w:val="bg-BG"/>
        </w:rPr>
        <w:t xml:space="preserve">, </w:t>
      </w:r>
      <w:r w:rsidR="00353D29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A47622" w:rsidRPr="00F406ED">
        <w:rPr>
          <w:lang w:val="bg-BG"/>
        </w:rPr>
        <w:t>, §§ 94</w:t>
      </w:r>
      <w:r w:rsidR="00A47622" w:rsidRPr="00F406ED">
        <w:rPr>
          <w:lang w:val="bg-BG"/>
        </w:rPr>
        <w:noBreakHyphen/>
        <w:t xml:space="preserve">97, </w:t>
      </w:r>
      <w:r w:rsidR="00353D29" w:rsidRPr="00F406ED">
        <w:rPr>
          <w:lang w:val="bg-BG"/>
        </w:rPr>
        <w:t>с последващи препратки</w:t>
      </w:r>
      <w:r w:rsidR="00A47622" w:rsidRPr="00F406ED">
        <w:rPr>
          <w:lang w:val="bg-BG"/>
        </w:rPr>
        <w:t>).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4762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60</w:t>
      </w:r>
      <w:r w:rsidRPr="00F406ED">
        <w:rPr>
          <w:lang w:val="bg-BG"/>
        </w:rPr>
        <w:fldChar w:fldCharType="end"/>
      </w:r>
      <w:r w:rsidR="00A47622" w:rsidRPr="00F406ED">
        <w:rPr>
          <w:lang w:val="bg-BG"/>
        </w:rPr>
        <w:t>.  </w:t>
      </w:r>
      <w:r w:rsidR="00353D29" w:rsidRPr="00F406ED">
        <w:rPr>
          <w:lang w:val="bg-BG"/>
        </w:rPr>
        <w:t>Съдът отбелязва със загриженост, че идентични разпоредб</w:t>
      </w:r>
      <w:r w:rsidR="002F6929">
        <w:rPr>
          <w:lang w:val="bg-BG"/>
        </w:rPr>
        <w:t xml:space="preserve">и продължават да са в сила и към момента </w:t>
      </w:r>
      <w:r w:rsidR="0075358D" w:rsidRPr="00F406ED">
        <w:rPr>
          <w:lang w:val="bg-BG"/>
        </w:rPr>
        <w:t>(</w:t>
      </w:r>
      <w:r w:rsidR="004825B6" w:rsidRPr="00F406ED">
        <w:rPr>
          <w:lang w:val="bg-BG"/>
        </w:rPr>
        <w:t>виж параграф</w:t>
      </w:r>
      <w:r w:rsidR="00367521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75358D" w:rsidRPr="00F406ED">
        <w:rPr>
          <w:lang w:val="bg-BG"/>
        </w:rPr>
        <w:instrText xml:space="preserve"> REF RDL_section_80_section_74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45</w:t>
      </w:r>
      <w:r w:rsidRPr="00F406ED">
        <w:rPr>
          <w:lang w:val="bg-BG"/>
        </w:rPr>
        <w:fldChar w:fldCharType="end"/>
      </w:r>
      <w:r w:rsidR="00367521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75358D" w:rsidRPr="00F406ED">
        <w:rPr>
          <w:lang w:val="bg-BG"/>
        </w:rPr>
        <w:t>).</w:t>
      </w:r>
    </w:p>
    <w:p w:rsidR="00A84DEE" w:rsidRPr="00F406ED" w:rsidRDefault="00A84DEE" w:rsidP="00995C31">
      <w:pPr>
        <w:pStyle w:val="JuHa0"/>
        <w:outlineLvl w:val="4"/>
        <w:rPr>
          <w:lang w:val="bg-BG" w:eastAsia="en-US"/>
        </w:rPr>
      </w:pPr>
      <w:r w:rsidRPr="00F406ED">
        <w:rPr>
          <w:lang w:val="bg-BG"/>
        </w:rPr>
        <w:t>(</w:t>
      </w:r>
      <w:r w:rsidR="00353D29" w:rsidRPr="00F406ED">
        <w:rPr>
          <w:lang w:val="bg-BG"/>
        </w:rPr>
        <w:t>б</w:t>
      </w:r>
      <w:r w:rsidRPr="00F406ED">
        <w:rPr>
          <w:lang w:val="bg-BG"/>
        </w:rPr>
        <w:t>)  </w:t>
      </w:r>
      <w:r w:rsidR="00353D29" w:rsidRPr="00F406ED">
        <w:rPr>
          <w:lang w:val="bg-BG"/>
        </w:rPr>
        <w:t>Действията на полицията</w:t>
      </w:r>
    </w:p>
    <w:bookmarkStart w:id="36" w:name="A2_aao_1"/>
    <w:p w:rsidR="00A84DEE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 w:eastAsia="en-US"/>
        </w:rPr>
        <w:fldChar w:fldCharType="begin"/>
      </w:r>
      <w:r w:rsidR="00A84DEE" w:rsidRPr="00F406ED">
        <w:rPr>
          <w:lang w:val="bg-BG" w:eastAsia="en-US"/>
        </w:rPr>
        <w:instrText xml:space="preserve"> SEQ level0 \*arabic </w:instrText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 w:eastAsia="en-US"/>
        </w:rPr>
        <w:t>61</w:t>
      </w:r>
      <w:r w:rsidRPr="00F406ED">
        <w:rPr>
          <w:lang w:val="bg-BG" w:eastAsia="en-US"/>
        </w:rPr>
        <w:fldChar w:fldCharType="end"/>
      </w:r>
      <w:bookmarkEnd w:id="36"/>
      <w:r w:rsidR="00A84DEE" w:rsidRPr="00F406ED">
        <w:rPr>
          <w:lang w:val="bg-BG" w:eastAsia="en-US"/>
        </w:rPr>
        <w:t>.  </w:t>
      </w:r>
      <w:r w:rsidR="002F6929">
        <w:rPr>
          <w:lang w:val="bg-BG" w:eastAsia="en-US"/>
        </w:rPr>
        <w:t>Въпреки че</w:t>
      </w:r>
      <w:r w:rsidR="00497AB8" w:rsidRPr="00F406ED">
        <w:rPr>
          <w:lang w:val="bg-BG" w:eastAsia="en-US"/>
        </w:rPr>
        <w:t xml:space="preserve"> </w:t>
      </w:r>
      <w:r w:rsidR="00353D29" w:rsidRPr="00F406ED">
        <w:rPr>
          <w:lang w:val="bg-BG" w:eastAsia="en-US"/>
        </w:rPr>
        <w:t>Съдът</w:t>
      </w:r>
      <w:r w:rsidR="00FA5AF9">
        <w:rPr>
          <w:lang w:val="bg-BG" w:eastAsia="en-US"/>
        </w:rPr>
        <w:t xml:space="preserve"> </w:t>
      </w:r>
      <w:r w:rsidR="00497AB8" w:rsidRPr="00F406ED">
        <w:rPr>
          <w:lang w:val="bg-BG" w:eastAsia="en-US"/>
        </w:rPr>
        <w:t xml:space="preserve">приема, че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367521">
        <w:rPr>
          <w:lang w:val="bg-BG" w:eastAsia="en-US"/>
        </w:rPr>
        <w:t xml:space="preserve"> </w:t>
      </w:r>
      <w:r w:rsidR="0053736F" w:rsidRPr="00F406ED">
        <w:rPr>
          <w:lang w:val="bg-BG" w:eastAsia="en-US"/>
        </w:rPr>
        <w:t>се е опитвал да избяга от законно задържане под стража</w:t>
      </w:r>
      <w:r w:rsidR="00DC5486" w:rsidRPr="00F406ED">
        <w:rPr>
          <w:lang w:val="bg-BG" w:eastAsia="en-US"/>
        </w:rPr>
        <w:t xml:space="preserve">, </w:t>
      </w:r>
      <w:r w:rsidR="0053736F" w:rsidRPr="00F406ED">
        <w:rPr>
          <w:lang w:val="bg-BG" w:eastAsia="en-US"/>
        </w:rPr>
        <w:t>той отбелязва, че никога не е посочвано, че</w:t>
      </w:r>
      <w:r w:rsidR="003259A8" w:rsidRPr="00F406ED">
        <w:rPr>
          <w:lang w:val="bg-BG" w:eastAsia="en-US"/>
        </w:rPr>
        <w:t xml:space="preserve"> органите на</w:t>
      </w:r>
      <w:r w:rsidR="0053736F" w:rsidRPr="00F406ED">
        <w:rPr>
          <w:lang w:val="bg-BG" w:eastAsia="en-US"/>
        </w:rPr>
        <w:t xml:space="preserve"> полицията </w:t>
      </w:r>
      <w:r w:rsidR="003259A8" w:rsidRPr="00F406ED">
        <w:rPr>
          <w:lang w:val="bg-BG" w:eastAsia="en-US"/>
        </w:rPr>
        <w:t>са имали причини да считат</w:t>
      </w:r>
      <w:r w:rsidR="0053736F" w:rsidRPr="00F406ED">
        <w:rPr>
          <w:lang w:val="bg-BG" w:eastAsia="en-US"/>
        </w:rPr>
        <w:t>, че той е извършил насилствено престъпление</w:t>
      </w:r>
      <w:r w:rsidR="00A84DEE" w:rsidRPr="00F406ED">
        <w:rPr>
          <w:lang w:val="bg-BG" w:eastAsia="en-US"/>
        </w:rPr>
        <w:t xml:space="preserve">, </w:t>
      </w:r>
      <w:r w:rsidR="0053736F" w:rsidRPr="00F406ED">
        <w:rPr>
          <w:lang w:val="bg-BG" w:eastAsia="en-US"/>
        </w:rPr>
        <w:t>че е опасен</w:t>
      </w:r>
      <w:r w:rsidR="00A117D1">
        <w:rPr>
          <w:lang w:val="bg-BG" w:eastAsia="en-US"/>
        </w:rPr>
        <w:t>,</w:t>
      </w:r>
      <w:r w:rsidR="0053736F" w:rsidRPr="00F406ED">
        <w:rPr>
          <w:lang w:val="bg-BG" w:eastAsia="en-US"/>
        </w:rPr>
        <w:t xml:space="preserve"> или</w:t>
      </w:r>
      <w:r w:rsidR="00A117D1">
        <w:rPr>
          <w:lang w:val="bg-BG" w:eastAsia="en-US"/>
        </w:rPr>
        <w:t xml:space="preserve"> </w:t>
      </w:r>
      <w:r w:rsidR="0053736F" w:rsidRPr="00F406ED">
        <w:rPr>
          <w:lang w:val="bg-BG" w:eastAsia="en-US"/>
        </w:rPr>
        <w:t xml:space="preserve">че, ако не му бъде </w:t>
      </w:r>
      <w:proofErr w:type="spellStart"/>
      <w:r w:rsidR="0053736F" w:rsidRPr="00F406ED">
        <w:rPr>
          <w:lang w:val="bg-BG" w:eastAsia="en-US"/>
        </w:rPr>
        <w:t>попречено</w:t>
      </w:r>
      <w:proofErr w:type="spellEnd"/>
      <w:r w:rsidR="0053736F" w:rsidRPr="00F406ED">
        <w:rPr>
          <w:lang w:val="bg-BG" w:eastAsia="en-US"/>
        </w:rPr>
        <w:t xml:space="preserve"> да избяга, би представлявал опасност за тях или трети лица </w:t>
      </w:r>
      <w:r w:rsidR="00A84DEE" w:rsidRPr="00F406ED">
        <w:rPr>
          <w:lang w:val="bg-BG" w:eastAsia="en-US"/>
        </w:rPr>
        <w:t>(</w:t>
      </w:r>
      <w:r w:rsidR="0053736F" w:rsidRPr="00F406ED">
        <w:rPr>
          <w:lang w:val="bg-BG" w:eastAsia="en-US"/>
        </w:rPr>
        <w:t>виж</w:t>
      </w:r>
      <w:r w:rsidR="003307D8" w:rsidRPr="00F406ED">
        <w:rPr>
          <w:lang w:val="bg-BG" w:eastAsia="en-US"/>
        </w:rPr>
        <w:t xml:space="preserve">, </w:t>
      </w:r>
      <w:r w:rsidR="0053736F" w:rsidRPr="00F406ED">
        <w:rPr>
          <w:lang w:val="bg-BG" w:eastAsia="en-US"/>
        </w:rPr>
        <w:t>за сравнение</w:t>
      </w:r>
      <w:r w:rsidR="003307D8" w:rsidRPr="00F406ED">
        <w:rPr>
          <w:lang w:val="bg-BG" w:eastAsia="en-US"/>
        </w:rPr>
        <w:t xml:space="preserve">, </w:t>
      </w:r>
      <w:proofErr w:type="spellStart"/>
      <w:r w:rsidR="005317BC" w:rsidRPr="00F406ED">
        <w:rPr>
          <w:i/>
          <w:lang w:val="bg-BG" w:eastAsia="en-US"/>
        </w:rPr>
        <w:t>mutatis</w:t>
      </w:r>
      <w:proofErr w:type="spellEnd"/>
      <w:r w:rsidR="005317BC" w:rsidRPr="00F406ED">
        <w:rPr>
          <w:i/>
          <w:lang w:val="bg-BG" w:eastAsia="en-US"/>
        </w:rPr>
        <w:t xml:space="preserve"> </w:t>
      </w:r>
      <w:proofErr w:type="spellStart"/>
      <w:r w:rsidR="005317BC" w:rsidRPr="00F406ED">
        <w:rPr>
          <w:i/>
          <w:lang w:val="bg-BG" w:eastAsia="en-US"/>
        </w:rPr>
        <w:t>mutandis</w:t>
      </w:r>
      <w:proofErr w:type="spellEnd"/>
      <w:r w:rsidR="005317BC" w:rsidRPr="00F406ED">
        <w:rPr>
          <w:lang w:val="bg-BG" w:eastAsia="en-US"/>
        </w:rPr>
        <w:t xml:space="preserve">, </w:t>
      </w:r>
      <w:proofErr w:type="spellStart"/>
      <w:r w:rsidR="00A84DEE" w:rsidRPr="00F406ED">
        <w:rPr>
          <w:i/>
          <w:lang w:val="bg-BG" w:eastAsia="en-US"/>
        </w:rPr>
        <w:t>Juozaitienė</w:t>
      </w:r>
      <w:proofErr w:type="spellEnd"/>
      <w:r w:rsidR="00A84DEE" w:rsidRPr="00F406ED">
        <w:rPr>
          <w:i/>
          <w:lang w:val="bg-BG" w:eastAsia="en-US"/>
        </w:rPr>
        <w:t xml:space="preserve"> </w:t>
      </w:r>
      <w:proofErr w:type="spellStart"/>
      <w:r w:rsidR="00A84DEE" w:rsidRPr="00F406ED">
        <w:rPr>
          <w:i/>
          <w:lang w:val="bg-BG" w:eastAsia="en-US"/>
        </w:rPr>
        <w:t>and</w:t>
      </w:r>
      <w:proofErr w:type="spellEnd"/>
      <w:r w:rsidR="00A84DEE" w:rsidRPr="00F406ED">
        <w:rPr>
          <w:i/>
          <w:lang w:val="bg-BG" w:eastAsia="en-US"/>
        </w:rPr>
        <w:t xml:space="preserve"> </w:t>
      </w:r>
      <w:proofErr w:type="spellStart"/>
      <w:r w:rsidR="00A84DEE" w:rsidRPr="00F406ED">
        <w:rPr>
          <w:i/>
          <w:lang w:val="bg-BG" w:eastAsia="en-US"/>
        </w:rPr>
        <w:t>Bikulčiusv</w:t>
      </w:r>
      <w:proofErr w:type="spellEnd"/>
      <w:r w:rsidR="00A84DEE" w:rsidRPr="00F406ED">
        <w:rPr>
          <w:i/>
          <w:lang w:val="bg-BG" w:eastAsia="en-US"/>
        </w:rPr>
        <w:t>.</w:t>
      </w:r>
      <w:r w:rsidR="0054315F" w:rsidRPr="00F406ED">
        <w:rPr>
          <w:i/>
          <w:lang w:val="bg-BG" w:eastAsia="en-US"/>
        </w:rPr>
        <w:t> </w:t>
      </w:r>
      <w:proofErr w:type="spellStart"/>
      <w:r w:rsidR="00A84DEE" w:rsidRPr="00F406ED">
        <w:rPr>
          <w:i/>
          <w:lang w:val="bg-BG" w:eastAsia="en-US"/>
        </w:rPr>
        <w:t>Lithuania</w:t>
      </w:r>
      <w:proofErr w:type="spellEnd"/>
      <w:r w:rsidR="00A84DEE" w:rsidRPr="00F406ED">
        <w:rPr>
          <w:lang w:val="bg-BG" w:eastAsia="en-US"/>
        </w:rPr>
        <w:t xml:space="preserve">, </w:t>
      </w:r>
      <w:proofErr w:type="spellStart"/>
      <w:r w:rsidR="00A84DEE" w:rsidRPr="00F406ED">
        <w:rPr>
          <w:lang w:val="bg-BG" w:eastAsia="en-US"/>
        </w:rPr>
        <w:t>n</w:t>
      </w:r>
      <w:r w:rsidR="00A84DEE" w:rsidRPr="00F406ED">
        <w:rPr>
          <w:rFonts w:ascii="Times New (W1)" w:hAnsi="Times New (W1)"/>
          <w:lang w:val="bg-BG" w:eastAsia="en-US"/>
        </w:rPr>
        <w:t>os</w:t>
      </w:r>
      <w:proofErr w:type="spellEnd"/>
      <w:r w:rsidR="00A84DEE" w:rsidRPr="00F406ED">
        <w:rPr>
          <w:rFonts w:ascii="Times New (W1)" w:hAnsi="Times New (W1)"/>
          <w:lang w:val="bg-BG" w:eastAsia="en-US"/>
        </w:rPr>
        <w:t>.</w:t>
      </w:r>
      <w:r w:rsidR="00A84DEE" w:rsidRPr="00F406ED">
        <w:rPr>
          <w:lang w:val="bg-BG" w:eastAsia="en-US"/>
        </w:rPr>
        <w:t xml:space="preserve">70659/01 </w:t>
      </w:r>
      <w:r w:rsidR="0053736F" w:rsidRPr="00F406ED">
        <w:rPr>
          <w:lang w:val="bg-BG" w:eastAsia="en-US"/>
        </w:rPr>
        <w:t xml:space="preserve">и </w:t>
      </w:r>
      <w:r w:rsidR="00A84DEE" w:rsidRPr="00F406ED">
        <w:rPr>
          <w:lang w:val="bg-BG" w:eastAsia="en-US"/>
        </w:rPr>
        <w:t xml:space="preserve">74371/01, §§ 79 </w:t>
      </w:r>
      <w:r w:rsidR="0053736F" w:rsidRPr="00F406ED">
        <w:rPr>
          <w:lang w:val="bg-BG" w:eastAsia="en-US"/>
        </w:rPr>
        <w:t xml:space="preserve">и </w:t>
      </w:r>
      <w:r w:rsidR="00A84DEE" w:rsidRPr="00F406ED">
        <w:rPr>
          <w:lang w:val="bg-BG" w:eastAsia="en-US"/>
        </w:rPr>
        <w:t xml:space="preserve">80, 24 </w:t>
      </w:r>
      <w:r w:rsidR="002B4892" w:rsidRPr="00F406ED">
        <w:rPr>
          <w:lang w:val="bg-BG" w:eastAsia="en-US"/>
        </w:rPr>
        <w:t>април</w:t>
      </w:r>
      <w:r w:rsidR="00A84DEE" w:rsidRPr="00F406ED">
        <w:rPr>
          <w:lang w:val="bg-BG" w:eastAsia="en-US"/>
        </w:rPr>
        <w:t xml:space="preserve"> 2008</w:t>
      </w:r>
      <w:r w:rsidR="00F406ED" w:rsidRPr="00F406ED">
        <w:rPr>
          <w:lang w:val="bg-BG" w:eastAsia="en-US"/>
        </w:rPr>
        <w:t> г.</w:t>
      </w:r>
      <w:r w:rsidR="00A84DEE" w:rsidRPr="00F406ED">
        <w:rPr>
          <w:lang w:val="bg-BG" w:eastAsia="en-US"/>
        </w:rPr>
        <w:t>).</w:t>
      </w:r>
      <w:r w:rsidR="00A117D1">
        <w:rPr>
          <w:lang w:val="bg-BG" w:eastAsia="en-US"/>
        </w:rPr>
        <w:t xml:space="preserve"> </w:t>
      </w:r>
      <w:r w:rsidR="00353D29" w:rsidRPr="00F406ED">
        <w:rPr>
          <w:lang w:val="bg-BG" w:eastAsia="en-US"/>
        </w:rPr>
        <w:t>Съдът</w:t>
      </w:r>
      <w:r w:rsidR="00367521">
        <w:rPr>
          <w:lang w:val="bg-BG" w:eastAsia="en-US"/>
        </w:rPr>
        <w:t xml:space="preserve"> </w:t>
      </w:r>
      <w:r w:rsidR="0053736F" w:rsidRPr="00F406ED">
        <w:rPr>
          <w:lang w:val="bg-BG" w:eastAsia="en-US"/>
        </w:rPr>
        <w:t xml:space="preserve">не подминава факта, че </w:t>
      </w:r>
      <w:r w:rsidR="00EF6301" w:rsidRPr="00F406ED">
        <w:rPr>
          <w:lang w:val="bg-BG" w:eastAsia="en-US"/>
        </w:rPr>
        <w:t xml:space="preserve">г-н </w:t>
      </w:r>
      <w:proofErr w:type="spellStart"/>
      <w:r w:rsidR="002B4892" w:rsidRPr="00F406ED">
        <w:rPr>
          <w:lang w:val="bg-BG" w:eastAsia="en-US"/>
        </w:rPr>
        <w:t>Каранджа</w:t>
      </w:r>
      <w:r w:rsidR="0053736F" w:rsidRPr="00F406ED">
        <w:rPr>
          <w:lang w:val="bg-BG" w:eastAsia="en-US"/>
        </w:rPr>
        <w:t>е</w:t>
      </w:r>
      <w:proofErr w:type="spellEnd"/>
      <w:r w:rsidR="0053736F" w:rsidRPr="00F406ED">
        <w:rPr>
          <w:lang w:val="bg-BG" w:eastAsia="en-US"/>
        </w:rPr>
        <w:t xml:space="preserve"> убит по време на непланирана операция, която е породила събития, на които органите на полицията е трябвало да реагират бързо и без предварителна подготовка и разбира, че задълженията на властите по член </w:t>
      </w:r>
      <w:r w:rsidR="00A84DEE" w:rsidRPr="00F406ED">
        <w:rPr>
          <w:lang w:val="bg-BG" w:eastAsia="en-US"/>
        </w:rPr>
        <w:t xml:space="preserve">2 </w:t>
      </w:r>
      <w:r w:rsidR="0053736F" w:rsidRPr="00F406ED">
        <w:rPr>
          <w:lang w:val="bg-BG" w:eastAsia="en-US"/>
        </w:rPr>
        <w:t xml:space="preserve">трябва да бъдат тълкувани по начин, който не им налага непосилно бреме </w:t>
      </w:r>
      <w:r w:rsidR="00A84DEE" w:rsidRPr="00F406ED">
        <w:rPr>
          <w:lang w:val="bg-BG" w:eastAsia="en-US"/>
        </w:rPr>
        <w:t>(</w:t>
      </w:r>
      <w:r w:rsidR="0053736F" w:rsidRPr="00F406ED">
        <w:rPr>
          <w:lang w:val="bg-BG" w:eastAsia="en-US"/>
        </w:rPr>
        <w:t xml:space="preserve">виж </w:t>
      </w:r>
      <w:r w:rsidR="000C65DF" w:rsidRPr="00F406ED">
        <w:rPr>
          <w:i/>
          <w:lang w:val="bg-BG" w:eastAsia="en-US"/>
        </w:rPr>
        <w:t>Цеков</w:t>
      </w:r>
      <w:r w:rsidR="00A84DEE" w:rsidRPr="00F406ED">
        <w:rPr>
          <w:lang w:val="bg-BG" w:eastAsia="en-US"/>
        </w:rPr>
        <w:t xml:space="preserve">, </w:t>
      </w:r>
      <w:r w:rsidR="0053736F" w:rsidRPr="00F406ED">
        <w:rPr>
          <w:lang w:val="bg-BG" w:eastAsia="en-US"/>
        </w:rPr>
        <w:t xml:space="preserve">цитирано </w:t>
      </w:r>
      <w:r w:rsidR="004825B6" w:rsidRPr="00F406ED">
        <w:rPr>
          <w:lang w:val="bg-BG" w:eastAsia="en-US"/>
        </w:rPr>
        <w:t>по-горе</w:t>
      </w:r>
      <w:r w:rsidR="00A84DEE" w:rsidRPr="00F406ED">
        <w:rPr>
          <w:lang w:val="bg-BG" w:eastAsia="en-US"/>
        </w:rPr>
        <w:t xml:space="preserve"> §</w:t>
      </w:r>
      <w:r w:rsidR="00514328" w:rsidRPr="00F406ED">
        <w:rPr>
          <w:lang w:val="bg-BG" w:eastAsia="en-US"/>
        </w:rPr>
        <w:t> </w:t>
      </w:r>
      <w:r w:rsidR="00A84DEE" w:rsidRPr="00F406ED">
        <w:rPr>
          <w:lang w:val="bg-BG" w:eastAsia="en-US"/>
        </w:rPr>
        <w:t xml:space="preserve">61, </w:t>
      </w:r>
      <w:r w:rsidR="00353D29" w:rsidRPr="00F406ED">
        <w:rPr>
          <w:lang w:val="bg-BG" w:eastAsia="en-US"/>
        </w:rPr>
        <w:t>с последващи препратки</w:t>
      </w:r>
      <w:r w:rsidR="00A84DEE" w:rsidRPr="00F406ED">
        <w:rPr>
          <w:lang w:val="bg-BG" w:eastAsia="en-US"/>
        </w:rPr>
        <w:t xml:space="preserve">). </w:t>
      </w:r>
      <w:r w:rsidR="009A1736" w:rsidRPr="00F406ED">
        <w:rPr>
          <w:lang w:val="bg-BG" w:eastAsia="en-US"/>
        </w:rPr>
        <w:t>Въпреки това</w:t>
      </w:r>
      <w:r w:rsidR="00A84DEE" w:rsidRPr="00F406ED">
        <w:rPr>
          <w:lang w:val="bg-BG" w:eastAsia="en-US"/>
        </w:rPr>
        <w:t xml:space="preserve"> </w:t>
      </w:r>
      <w:r w:rsidR="009A1736" w:rsidRPr="00F406ED">
        <w:rPr>
          <w:lang w:val="bg-BG" w:eastAsia="en-US"/>
        </w:rPr>
        <w:t xml:space="preserve">той не може да приеме, че при обстоятелствата по настоящото дело полицията е могла разумно да счита, че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F96CAB" w:rsidRPr="00F406ED">
        <w:rPr>
          <w:lang w:val="bg-BG" w:eastAsia="en-US"/>
        </w:rPr>
        <w:t xml:space="preserve"> – </w:t>
      </w:r>
      <w:r w:rsidR="009A1736" w:rsidRPr="00F406ED">
        <w:rPr>
          <w:lang w:val="bg-BG" w:eastAsia="en-US"/>
        </w:rPr>
        <w:t>който е бил задържан във връзка с две ненасилствени престъпления</w:t>
      </w:r>
      <w:r w:rsidR="00A87444" w:rsidRPr="00F406ED">
        <w:rPr>
          <w:lang w:val="bg-BG" w:eastAsia="en-US"/>
        </w:rPr>
        <w:t xml:space="preserve">, </w:t>
      </w:r>
      <w:r w:rsidR="009A1736" w:rsidRPr="00F406ED">
        <w:rPr>
          <w:lang w:val="bg-BG" w:eastAsia="en-US"/>
        </w:rPr>
        <w:t>първото от които е извършил още като непълнолетен</w:t>
      </w:r>
      <w:r w:rsidR="00522568">
        <w:rPr>
          <w:lang w:val="bg-BG" w:eastAsia="en-US"/>
        </w:rPr>
        <w:t xml:space="preserve"> </w:t>
      </w:r>
      <w:r w:rsidR="005B5AED" w:rsidRPr="00F406ED">
        <w:rPr>
          <w:lang w:val="bg-BG" w:eastAsia="en-US"/>
        </w:rPr>
        <w:t>(</w:t>
      </w:r>
      <w:r w:rsidR="004825B6" w:rsidRPr="00F406ED">
        <w:rPr>
          <w:lang w:val="bg-BG" w:eastAsia="en-US"/>
        </w:rPr>
        <w:t>виж параграф</w:t>
      </w:r>
      <w:r w:rsidR="00522568">
        <w:rPr>
          <w:lang w:val="bg-BG" w:eastAsia="en-US"/>
        </w:rPr>
        <w:t xml:space="preserve"> </w:t>
      </w:r>
      <w:r w:rsidRPr="00F406ED">
        <w:rPr>
          <w:lang w:val="bg-BG" w:eastAsia="en-US"/>
        </w:rPr>
        <w:fldChar w:fldCharType="begin"/>
      </w:r>
      <w:r w:rsidR="00932B0F" w:rsidRPr="00F406ED">
        <w:rPr>
          <w:lang w:val="bg-BG" w:eastAsia="en-US"/>
        </w:rPr>
        <w:instrText xml:space="preserve"> REF charges \h </w:instrText>
      </w:r>
      <w:r w:rsidRPr="00F406ED">
        <w:rPr>
          <w:lang w:val="bg-BG" w:eastAsia="en-US"/>
        </w:rPr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/>
        </w:rPr>
        <w:t>6</w:t>
      </w:r>
      <w:r w:rsidRPr="00F406ED">
        <w:rPr>
          <w:lang w:val="bg-BG" w:eastAsia="en-US"/>
        </w:rPr>
        <w:fldChar w:fldCharType="end"/>
      </w:r>
      <w:r w:rsidR="00522568">
        <w:rPr>
          <w:lang w:val="bg-BG" w:eastAsia="en-US"/>
        </w:rPr>
        <w:t xml:space="preserve"> </w:t>
      </w:r>
      <w:r w:rsidR="004825B6" w:rsidRPr="00F406ED">
        <w:rPr>
          <w:lang w:val="bg-BG" w:eastAsia="en-US"/>
        </w:rPr>
        <w:t>по-горе</w:t>
      </w:r>
      <w:r w:rsidR="005B5AED" w:rsidRPr="00F406ED">
        <w:rPr>
          <w:lang w:val="bg-BG" w:eastAsia="en-US"/>
        </w:rPr>
        <w:t xml:space="preserve">) </w:t>
      </w:r>
      <w:r w:rsidR="00F96CAB" w:rsidRPr="00F406ED">
        <w:rPr>
          <w:lang w:val="bg-BG" w:eastAsia="en-US"/>
        </w:rPr>
        <w:t xml:space="preserve">– </w:t>
      </w:r>
      <w:r w:rsidR="009A1736" w:rsidRPr="00F406ED">
        <w:rPr>
          <w:lang w:val="bg-BG" w:eastAsia="en-US"/>
        </w:rPr>
        <w:t>е опасен и че е трябвало да използва огнестрелно оръжие, за да го спре</w:t>
      </w:r>
      <w:r w:rsidR="00A84DEE" w:rsidRPr="00F406ED">
        <w:rPr>
          <w:lang w:val="bg-BG" w:eastAsia="en-US"/>
        </w:rPr>
        <w:t xml:space="preserve">. </w:t>
      </w:r>
      <w:r w:rsidR="00353D29" w:rsidRPr="00F406ED">
        <w:rPr>
          <w:lang w:val="bg-BG" w:eastAsia="en-US"/>
        </w:rPr>
        <w:t>Съдът</w:t>
      </w:r>
      <w:r w:rsidR="00367521">
        <w:rPr>
          <w:lang w:val="bg-BG" w:eastAsia="en-US"/>
        </w:rPr>
        <w:t xml:space="preserve"> </w:t>
      </w:r>
      <w:r w:rsidR="009A1736" w:rsidRPr="00F406ED">
        <w:rPr>
          <w:lang w:val="bg-BG" w:eastAsia="en-US"/>
        </w:rPr>
        <w:t>счита, че, при тези обстоятелства всяко прибягване към потенциално смъртоносна сила, се забранява от член </w:t>
      </w:r>
      <w:r w:rsidR="00A84DEE" w:rsidRPr="00F406ED">
        <w:rPr>
          <w:lang w:val="bg-BG" w:eastAsia="en-US"/>
        </w:rPr>
        <w:t xml:space="preserve">2, </w:t>
      </w:r>
      <w:r w:rsidR="009A1736" w:rsidRPr="00F406ED">
        <w:rPr>
          <w:lang w:val="bg-BG" w:eastAsia="en-US"/>
        </w:rPr>
        <w:t xml:space="preserve">независимо от риска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367521">
        <w:rPr>
          <w:lang w:val="bg-BG" w:eastAsia="en-US"/>
        </w:rPr>
        <w:t xml:space="preserve"> </w:t>
      </w:r>
      <w:r w:rsidR="009A1736" w:rsidRPr="00F406ED">
        <w:rPr>
          <w:lang w:val="bg-BG" w:eastAsia="en-US"/>
        </w:rPr>
        <w:t>да избяга</w:t>
      </w:r>
      <w:r w:rsidR="00A84DEE" w:rsidRPr="00F406ED">
        <w:rPr>
          <w:lang w:val="bg-BG" w:eastAsia="en-US"/>
        </w:rPr>
        <w:t xml:space="preserve">. </w:t>
      </w:r>
      <w:r w:rsidR="009A1736" w:rsidRPr="00F406ED">
        <w:rPr>
          <w:lang w:val="bg-BG" w:eastAsia="en-US"/>
        </w:rPr>
        <w:t>Прибягването към тази сила не може да бъде считано за „абсолютно необходимо</w:t>
      </w:r>
      <w:r w:rsidR="00FA5AF9">
        <w:rPr>
          <w:lang w:val="bg-BG" w:eastAsia="en-US"/>
        </w:rPr>
        <w:t>“</w:t>
      </w:r>
      <w:r w:rsidR="009A1736" w:rsidRPr="00F406ED">
        <w:rPr>
          <w:lang w:val="bg-BG" w:eastAsia="en-US"/>
        </w:rPr>
        <w:t>, когато се знае, че лицето, което трябва да бъде възпрепятствано от бягство, не представлява заплаха за живота или телесната неприкосновеност и не е заподозряно в извършването на насилствено престъпление</w:t>
      </w:r>
      <w:r w:rsidR="00A84DEE" w:rsidRPr="00F406ED">
        <w:rPr>
          <w:lang w:val="bg-BG" w:eastAsia="en-US"/>
        </w:rPr>
        <w:t xml:space="preserve"> (</w:t>
      </w:r>
      <w:r w:rsidR="009A1736" w:rsidRPr="00F406ED">
        <w:rPr>
          <w:lang w:val="bg-BG" w:eastAsia="en-US"/>
        </w:rPr>
        <w:t xml:space="preserve">виж </w:t>
      </w:r>
      <w:r w:rsidR="000C65DF" w:rsidRPr="00F406ED">
        <w:rPr>
          <w:i/>
          <w:lang w:val="bg-BG" w:eastAsia="en-US"/>
        </w:rPr>
        <w:t>Начова и други</w:t>
      </w:r>
      <w:r w:rsidR="00A84DEE" w:rsidRPr="00F406ED">
        <w:rPr>
          <w:lang w:val="bg-BG" w:eastAsia="en-US"/>
        </w:rPr>
        <w:t xml:space="preserve">, § 107, </w:t>
      </w:r>
      <w:r w:rsidR="009A1736" w:rsidRPr="00F406ED">
        <w:rPr>
          <w:lang w:val="bg-BG" w:eastAsia="en-US"/>
        </w:rPr>
        <w:t xml:space="preserve">и </w:t>
      </w:r>
      <w:r w:rsidR="000C65DF" w:rsidRPr="00F406ED">
        <w:rPr>
          <w:i/>
          <w:lang w:val="bg-BG" w:eastAsia="en-US"/>
        </w:rPr>
        <w:t>Цеков</w:t>
      </w:r>
      <w:r w:rsidR="00A84DEE" w:rsidRPr="00F406ED">
        <w:rPr>
          <w:lang w:val="bg-BG" w:eastAsia="en-US"/>
        </w:rPr>
        <w:t xml:space="preserve">, §§ 63 </w:t>
      </w:r>
      <w:r w:rsidR="009A1736" w:rsidRPr="00F406ED">
        <w:rPr>
          <w:lang w:val="bg-BG" w:eastAsia="en-US"/>
        </w:rPr>
        <w:t xml:space="preserve">и </w:t>
      </w:r>
      <w:r w:rsidR="00A84DEE" w:rsidRPr="00F406ED">
        <w:rPr>
          <w:lang w:val="bg-BG" w:eastAsia="en-US"/>
        </w:rPr>
        <w:t xml:space="preserve">64, </w:t>
      </w:r>
      <w:r w:rsidR="009A1736" w:rsidRPr="00F406ED">
        <w:rPr>
          <w:lang w:val="bg-BG" w:eastAsia="en-US"/>
        </w:rPr>
        <w:t xml:space="preserve">и двете цитирани </w:t>
      </w:r>
      <w:r w:rsidR="004825B6" w:rsidRPr="00F406ED">
        <w:rPr>
          <w:lang w:val="bg-BG" w:eastAsia="en-US"/>
        </w:rPr>
        <w:t>по-горе</w:t>
      </w:r>
      <w:r w:rsidR="00A84DEE" w:rsidRPr="00F406ED">
        <w:rPr>
          <w:lang w:val="bg-BG" w:eastAsia="en-US"/>
        </w:rPr>
        <w:t>).</w:t>
      </w:r>
    </w:p>
    <w:bookmarkStart w:id="37" w:name="A2_aao_2"/>
    <w:p w:rsidR="00A84DEE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 w:eastAsia="en-US"/>
        </w:rPr>
        <w:fldChar w:fldCharType="begin"/>
      </w:r>
      <w:r w:rsidR="00A84DEE" w:rsidRPr="00F406ED">
        <w:rPr>
          <w:lang w:val="bg-BG" w:eastAsia="en-US"/>
        </w:rPr>
        <w:instrText xml:space="preserve"> SEQ level0 \*arabic </w:instrText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 w:eastAsia="en-US"/>
        </w:rPr>
        <w:t>62</w:t>
      </w:r>
      <w:r w:rsidRPr="00F406ED">
        <w:rPr>
          <w:lang w:val="bg-BG" w:eastAsia="en-US"/>
        </w:rPr>
        <w:fldChar w:fldCharType="end"/>
      </w:r>
      <w:bookmarkEnd w:id="37"/>
      <w:r w:rsidR="00A84DEE" w:rsidRPr="00F406ED">
        <w:rPr>
          <w:lang w:val="bg-BG" w:eastAsia="en-US"/>
        </w:rPr>
        <w:t>.  </w:t>
      </w:r>
      <w:r w:rsidR="002C0014" w:rsidRPr="00F406ED">
        <w:rPr>
          <w:lang w:val="bg-BG" w:eastAsia="en-US"/>
        </w:rPr>
        <w:t>Освен това</w:t>
      </w:r>
      <w:r w:rsidR="00A84DEE" w:rsidRPr="00F406ED">
        <w:rPr>
          <w:lang w:val="bg-BG" w:eastAsia="en-US"/>
        </w:rPr>
        <w:t xml:space="preserve">, </w:t>
      </w:r>
      <w:r w:rsidR="002C0014" w:rsidRPr="00F406ED">
        <w:rPr>
          <w:lang w:val="bg-BG" w:eastAsia="en-US"/>
        </w:rPr>
        <w:t xml:space="preserve">наличните доказателства </w:t>
      </w:r>
      <w:r w:rsidR="00A84DEE" w:rsidRPr="00F406ED">
        <w:rPr>
          <w:lang w:val="bg-BG" w:eastAsia="en-US"/>
        </w:rPr>
        <w:t xml:space="preserve">– </w:t>
      </w:r>
      <w:r w:rsidR="002C0014" w:rsidRPr="00F406ED">
        <w:rPr>
          <w:lang w:val="bg-BG" w:eastAsia="en-US"/>
        </w:rPr>
        <w:t xml:space="preserve">основно присъствието в близост до местопроизшествието на патрулна кола и на други служители, които не са участвали в преследването </w:t>
      </w:r>
      <w:r w:rsidR="00A84DEE" w:rsidRPr="00F406ED">
        <w:rPr>
          <w:lang w:val="bg-BG" w:eastAsia="en-US"/>
        </w:rPr>
        <w:t>(</w:t>
      </w:r>
      <w:r w:rsidR="004825B6" w:rsidRPr="00F406ED">
        <w:rPr>
          <w:lang w:val="bg-BG" w:eastAsia="en-US"/>
        </w:rPr>
        <w:t xml:space="preserve">виж </w:t>
      </w:r>
      <w:r w:rsidR="00E05665" w:rsidRPr="00F406ED">
        <w:rPr>
          <w:lang w:val="bg-BG" w:eastAsia="en-US"/>
        </w:rPr>
        <w:t>параграфи</w:t>
      </w:r>
      <w:r w:rsidR="00FA5AF9">
        <w:rPr>
          <w:lang w:val="bg-BG" w:eastAsia="en-US"/>
        </w:rPr>
        <w:t xml:space="preserve"> </w:t>
      </w:r>
      <w:r w:rsidRPr="00F406ED">
        <w:rPr>
          <w:lang w:val="bg-BG" w:eastAsia="en-US"/>
        </w:rPr>
        <w:fldChar w:fldCharType="begin"/>
      </w:r>
      <w:r w:rsidR="00D05761" w:rsidRPr="00F406ED">
        <w:rPr>
          <w:lang w:val="bg-BG" w:eastAsia="en-US"/>
        </w:rPr>
        <w:instrText xml:space="preserve"> REF patrol_car \h </w:instrText>
      </w:r>
      <w:r w:rsidRPr="00F406ED">
        <w:rPr>
          <w:lang w:val="bg-BG" w:eastAsia="en-US"/>
        </w:rPr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/>
        </w:rPr>
        <w:t>12</w:t>
      </w:r>
      <w:r w:rsidRPr="00F406ED">
        <w:rPr>
          <w:lang w:val="bg-BG" w:eastAsia="en-US"/>
        </w:rPr>
        <w:fldChar w:fldCharType="end"/>
      </w:r>
      <w:r w:rsidR="00FA5AF9">
        <w:rPr>
          <w:lang w:val="bg-BG" w:eastAsia="en-US"/>
        </w:rPr>
        <w:t xml:space="preserve"> </w:t>
      </w:r>
      <w:r w:rsidR="002C0014" w:rsidRPr="00F406ED">
        <w:rPr>
          <w:lang w:val="bg-BG" w:eastAsia="en-US"/>
        </w:rPr>
        <w:t xml:space="preserve">и </w:t>
      </w:r>
      <w:r w:rsidRPr="00F406ED">
        <w:rPr>
          <w:lang w:val="bg-BG" w:eastAsia="en-US"/>
        </w:rPr>
        <w:fldChar w:fldCharType="begin"/>
      </w:r>
      <w:r w:rsidR="00D05761" w:rsidRPr="00F406ED">
        <w:rPr>
          <w:lang w:val="bg-BG" w:eastAsia="en-US"/>
        </w:rPr>
        <w:instrText xml:space="preserve"> REF other_officers \h </w:instrText>
      </w:r>
      <w:r w:rsidRPr="00F406ED">
        <w:rPr>
          <w:lang w:val="bg-BG" w:eastAsia="en-US"/>
        </w:rPr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/>
        </w:rPr>
        <w:t>13</w:t>
      </w:r>
      <w:r w:rsidRPr="00F406ED">
        <w:rPr>
          <w:lang w:val="bg-BG" w:eastAsia="en-US"/>
        </w:rPr>
        <w:fldChar w:fldCharType="end"/>
      </w:r>
      <w:r w:rsidR="00FA5AF9">
        <w:rPr>
          <w:lang w:val="bg-BG" w:eastAsia="en-US"/>
        </w:rPr>
        <w:t xml:space="preserve"> </w:t>
      </w:r>
      <w:r w:rsidR="004825B6" w:rsidRPr="00F406ED">
        <w:rPr>
          <w:lang w:val="bg-BG" w:eastAsia="en-US"/>
        </w:rPr>
        <w:t>по-горе</w:t>
      </w:r>
      <w:r w:rsidR="00A84DEE" w:rsidRPr="00F406ED">
        <w:rPr>
          <w:lang w:val="bg-BG" w:eastAsia="en-US"/>
        </w:rPr>
        <w:t xml:space="preserve">) – </w:t>
      </w:r>
      <w:r w:rsidR="002C0014" w:rsidRPr="00F406ED">
        <w:rPr>
          <w:lang w:val="bg-BG" w:eastAsia="en-US"/>
        </w:rPr>
        <w:t xml:space="preserve">предполага, че полицията е могла да се опита да възпрепятства бягството на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367521">
        <w:rPr>
          <w:lang w:val="bg-BG" w:eastAsia="en-US"/>
        </w:rPr>
        <w:t xml:space="preserve">, </w:t>
      </w:r>
      <w:r w:rsidR="002C0014" w:rsidRPr="00F406ED">
        <w:rPr>
          <w:lang w:val="bg-BG" w:eastAsia="en-US"/>
        </w:rPr>
        <w:t>без да използва огнестрелно оръжие</w:t>
      </w:r>
      <w:r w:rsidR="00A84DEE" w:rsidRPr="00F406ED">
        <w:rPr>
          <w:lang w:val="bg-BG" w:eastAsia="en-US"/>
        </w:rPr>
        <w:t>.</w:t>
      </w:r>
    </w:p>
    <w:p w:rsidR="00A84DEE" w:rsidRPr="00F406ED" w:rsidRDefault="002C0014" w:rsidP="00995C31">
      <w:pPr>
        <w:pStyle w:val="JuHa0"/>
        <w:outlineLvl w:val="4"/>
        <w:rPr>
          <w:lang w:val="bg-BG" w:eastAsia="en-US"/>
        </w:rPr>
      </w:pPr>
      <w:r w:rsidRPr="00F406ED">
        <w:rPr>
          <w:lang w:val="bg-BG"/>
        </w:rPr>
        <w:t>(в</w:t>
      </w:r>
      <w:r w:rsidR="00A84DEE" w:rsidRPr="00F406ED">
        <w:rPr>
          <w:lang w:val="bg-BG"/>
        </w:rPr>
        <w:t>)  </w:t>
      </w:r>
      <w:r w:rsidRPr="00F406ED">
        <w:rPr>
          <w:lang w:val="bg-BG"/>
        </w:rPr>
        <w:t>Заключение на Съда</w:t>
      </w:r>
    </w:p>
    <w:bookmarkStart w:id="38" w:name="A2_conc_subst"/>
    <w:p w:rsidR="00A84DEE" w:rsidRPr="00F406ED" w:rsidRDefault="00FB1D5F" w:rsidP="00A84DEE">
      <w:pPr>
        <w:pStyle w:val="JuPara"/>
        <w:rPr>
          <w:lang w:val="bg-BG" w:eastAsia="en-US"/>
        </w:rPr>
      </w:pPr>
      <w:r w:rsidRPr="00F406ED">
        <w:rPr>
          <w:lang w:val="bg-BG" w:eastAsia="en-US"/>
        </w:rPr>
        <w:fldChar w:fldCharType="begin"/>
      </w:r>
      <w:r w:rsidR="00A84DEE" w:rsidRPr="00F406ED">
        <w:rPr>
          <w:lang w:val="bg-BG" w:eastAsia="en-US"/>
        </w:rPr>
        <w:instrText xml:space="preserve"> SEQ level0 \*arabic </w:instrText>
      </w:r>
      <w:r w:rsidRPr="00F406ED">
        <w:rPr>
          <w:lang w:val="bg-BG" w:eastAsia="en-US"/>
        </w:rPr>
        <w:fldChar w:fldCharType="separate"/>
      </w:r>
      <w:r w:rsidR="00EF6301" w:rsidRPr="00F406ED">
        <w:rPr>
          <w:noProof/>
          <w:lang w:val="bg-BG" w:eastAsia="en-US"/>
        </w:rPr>
        <w:t>63</w:t>
      </w:r>
      <w:r w:rsidRPr="00F406ED">
        <w:rPr>
          <w:lang w:val="bg-BG" w:eastAsia="en-US"/>
        </w:rPr>
        <w:fldChar w:fldCharType="end"/>
      </w:r>
      <w:bookmarkEnd w:id="38"/>
      <w:r w:rsidR="00A84DEE" w:rsidRPr="00F406ED">
        <w:rPr>
          <w:lang w:val="bg-BG" w:eastAsia="en-US"/>
        </w:rPr>
        <w:t>.  </w:t>
      </w:r>
      <w:r w:rsidR="00D91DEC" w:rsidRPr="00F406ED">
        <w:rPr>
          <w:lang w:val="bg-BG" w:eastAsia="en-US"/>
        </w:rPr>
        <w:t>В заключение</w:t>
      </w:r>
      <w:r w:rsidR="00A84DEE" w:rsidRPr="00F406ED">
        <w:rPr>
          <w:lang w:val="bg-BG" w:eastAsia="en-US"/>
        </w:rPr>
        <w:t xml:space="preserve">, </w:t>
      </w:r>
      <w:r w:rsidR="00353D29" w:rsidRPr="00F406ED">
        <w:rPr>
          <w:lang w:val="bg-BG" w:eastAsia="en-US"/>
        </w:rPr>
        <w:t>Съдът</w:t>
      </w:r>
      <w:r w:rsidR="00367521">
        <w:rPr>
          <w:lang w:val="bg-BG" w:eastAsia="en-US"/>
        </w:rPr>
        <w:t xml:space="preserve"> </w:t>
      </w:r>
      <w:r w:rsidR="00D91DEC" w:rsidRPr="00F406ED">
        <w:rPr>
          <w:lang w:val="bg-BG" w:eastAsia="en-US"/>
        </w:rPr>
        <w:t>счита, че държавата</w:t>
      </w:r>
      <w:r w:rsidR="003413FB">
        <w:rPr>
          <w:lang w:val="bg-BG" w:eastAsia="en-US"/>
        </w:rPr>
        <w:t xml:space="preserve"> </w:t>
      </w:r>
      <w:r w:rsidR="00D91DEC" w:rsidRPr="00F406ED">
        <w:rPr>
          <w:lang w:val="bg-BG" w:eastAsia="en-US"/>
        </w:rPr>
        <w:t>ответник не е спазила своите задължения по член </w:t>
      </w:r>
      <w:r w:rsidR="00A84DEE" w:rsidRPr="00F406ED">
        <w:rPr>
          <w:lang w:val="bg-BG" w:eastAsia="en-US"/>
        </w:rPr>
        <w:t xml:space="preserve">2 </w:t>
      </w:r>
      <w:r w:rsidR="00364686" w:rsidRPr="00F406ED">
        <w:rPr>
          <w:lang w:val="bg-BG" w:eastAsia="en-US"/>
        </w:rPr>
        <w:t>от Конвенцията</w:t>
      </w:r>
      <w:r w:rsidR="00367521">
        <w:rPr>
          <w:lang w:val="bg-BG" w:eastAsia="en-US"/>
        </w:rPr>
        <w:t xml:space="preserve"> </w:t>
      </w:r>
      <w:r w:rsidR="00D91DEC" w:rsidRPr="00F406ED">
        <w:rPr>
          <w:lang w:val="bg-BG" w:eastAsia="en-US"/>
        </w:rPr>
        <w:t>поради това, че правните разпоредби, уреждащи употребата на огнестрелно оръжие от органите на полицията, са неправилни</w:t>
      </w:r>
      <w:r w:rsidR="003413FB">
        <w:rPr>
          <w:lang w:val="bg-BG" w:eastAsia="en-US"/>
        </w:rPr>
        <w:t>,</w:t>
      </w:r>
      <w:r w:rsidR="00D91DEC" w:rsidRPr="00F406ED">
        <w:rPr>
          <w:lang w:val="bg-BG" w:eastAsia="en-US"/>
        </w:rPr>
        <w:t xml:space="preserve"> и поради това, че </w:t>
      </w:r>
      <w:r w:rsidR="00EF6301" w:rsidRPr="00F406ED">
        <w:rPr>
          <w:lang w:val="bg-BG" w:eastAsia="en-US"/>
        </w:rPr>
        <w:t xml:space="preserve">г-н </w:t>
      </w:r>
      <w:r w:rsidR="002B4892" w:rsidRPr="00F406ED">
        <w:rPr>
          <w:lang w:val="bg-BG" w:eastAsia="en-US"/>
        </w:rPr>
        <w:t>Каранджа</w:t>
      </w:r>
      <w:r w:rsidR="00367521">
        <w:rPr>
          <w:lang w:val="bg-BG" w:eastAsia="en-US"/>
        </w:rPr>
        <w:t xml:space="preserve"> </w:t>
      </w:r>
      <w:r w:rsidR="00D91DEC" w:rsidRPr="00F406ED">
        <w:rPr>
          <w:lang w:val="bg-BG" w:eastAsia="en-US"/>
        </w:rPr>
        <w:t>е застрелян при обстоятелства, при които употребата на огнестрелно оръжие е несъвместима с тази разпоредба</w:t>
      </w:r>
      <w:r w:rsidR="00A84DEE" w:rsidRPr="00F406ED">
        <w:rPr>
          <w:lang w:val="bg-BG" w:eastAsia="en-US"/>
        </w:rPr>
        <w:t>.</w:t>
      </w:r>
    </w:p>
    <w:p w:rsidR="00A84DEE" w:rsidRPr="00F406ED" w:rsidRDefault="00A84DEE" w:rsidP="00995C31">
      <w:pPr>
        <w:pStyle w:val="JuH1"/>
        <w:outlineLvl w:val="3"/>
        <w:rPr>
          <w:lang w:val="bg-BG"/>
        </w:rPr>
      </w:pPr>
      <w:r w:rsidRPr="00F406ED">
        <w:rPr>
          <w:lang w:val="bg-BG"/>
        </w:rPr>
        <w:t>2.  </w:t>
      </w:r>
      <w:r w:rsidR="00D91DEC" w:rsidRPr="00F406ED">
        <w:rPr>
          <w:lang w:val="bg-BG"/>
        </w:rPr>
        <w:t>Било ли е ефективно разследването?</w:t>
      </w:r>
    </w:p>
    <w:bookmarkStart w:id="39" w:name="A2_i_1"/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64</w:t>
      </w:r>
      <w:r w:rsidRPr="00F406ED">
        <w:rPr>
          <w:lang w:val="bg-BG"/>
        </w:rPr>
        <w:fldChar w:fldCharType="end"/>
      </w:r>
      <w:bookmarkEnd w:id="39"/>
      <w:r w:rsidR="00A84DEE" w:rsidRPr="00F406ED">
        <w:rPr>
          <w:lang w:val="bg-BG"/>
        </w:rPr>
        <w:t>.  </w:t>
      </w:r>
      <w:r w:rsidR="006D0BDF" w:rsidRPr="00F406ED">
        <w:rPr>
          <w:lang w:val="bg-BG"/>
        </w:rPr>
        <w:t xml:space="preserve">Съответните принципи, които уреждат задължението за разследване на употребата на смъртоносна сила от представители на държавата, са обобщени в параграфи </w:t>
      </w:r>
      <w:r w:rsidR="00A84DEE" w:rsidRPr="00F406ED">
        <w:rPr>
          <w:lang w:val="bg-BG"/>
        </w:rPr>
        <w:t>110</w:t>
      </w:r>
      <w:r w:rsidR="00A84DEE" w:rsidRPr="00F406ED">
        <w:rPr>
          <w:lang w:val="bg-BG"/>
        </w:rPr>
        <w:noBreakHyphen/>
        <w:t xml:space="preserve">13 </w:t>
      </w:r>
      <w:r w:rsidR="006D0BDF" w:rsidRPr="00F406ED">
        <w:rPr>
          <w:lang w:val="bg-BG"/>
        </w:rPr>
        <w:t xml:space="preserve">от решението на Съда по делото </w:t>
      </w:r>
      <w:r w:rsidR="000C65DF" w:rsidRPr="00F406ED">
        <w:rPr>
          <w:i/>
          <w:lang w:val="bg-BG"/>
        </w:rPr>
        <w:t>Начова и други</w:t>
      </w:r>
      <w:r w:rsidR="00A84DEE" w:rsidRPr="00F406ED">
        <w:rPr>
          <w:lang w:val="bg-BG"/>
        </w:rPr>
        <w:t xml:space="preserve"> (</w:t>
      </w:r>
      <w:r w:rsidR="006D0BDF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>).</w:t>
      </w:r>
    </w:p>
    <w:bookmarkStart w:id="40" w:name="A2_i_2"/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65</w:t>
      </w:r>
      <w:r w:rsidRPr="00F406ED">
        <w:rPr>
          <w:lang w:val="bg-BG"/>
        </w:rPr>
        <w:fldChar w:fldCharType="end"/>
      </w:r>
      <w:bookmarkEnd w:id="40"/>
      <w:r w:rsidR="00A84DEE" w:rsidRPr="00F406ED">
        <w:rPr>
          <w:lang w:val="bg-BG"/>
        </w:rPr>
        <w:t>.  </w:t>
      </w:r>
      <w:r w:rsidR="006D0BDF" w:rsidRPr="00F406ED">
        <w:rPr>
          <w:lang w:val="bg-BG"/>
        </w:rPr>
        <w:t>Първото нещо, което следва да бъде отбелязано в настоящото дело, е, че разследването се ограничава до законността на поведението на г</w:t>
      </w:r>
      <w:r w:rsidR="00A80F0B" w:rsidRPr="00F406ED">
        <w:rPr>
          <w:lang w:val="bg-BG"/>
        </w:rPr>
        <w:t>лавен сержант</w:t>
      </w:r>
      <w:r w:rsidR="00367521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6D0BDF" w:rsidRPr="00F406ED">
        <w:rPr>
          <w:lang w:val="bg-BG"/>
        </w:rPr>
        <w:t xml:space="preserve"> в </w:t>
      </w:r>
      <w:r w:rsidR="00FA5AF9">
        <w:rPr>
          <w:lang w:val="bg-BG"/>
        </w:rPr>
        <w:t>контекста</w:t>
      </w:r>
      <w:r w:rsidR="006D0BDF" w:rsidRPr="00F406ED">
        <w:rPr>
          <w:lang w:val="bg-BG"/>
        </w:rPr>
        <w:t xml:space="preserve"> на член </w:t>
      </w:r>
      <w:r w:rsidR="00C64A14" w:rsidRPr="00F406ED">
        <w:rPr>
          <w:lang w:val="bg-BG"/>
        </w:rPr>
        <w:t>42, ал.</w:t>
      </w:r>
      <w:r w:rsidR="00FA5AF9">
        <w:rPr>
          <w:lang w:val="bg-BG"/>
        </w:rPr>
        <w:t xml:space="preserve"> </w:t>
      </w:r>
      <w:r w:rsidR="00C64A14" w:rsidRPr="00F406ED">
        <w:rPr>
          <w:lang w:val="bg-BG"/>
        </w:rPr>
        <w:t>1, т.</w:t>
      </w:r>
      <w:r w:rsidR="00FA5AF9">
        <w:rPr>
          <w:lang w:val="bg-BG"/>
        </w:rPr>
        <w:t xml:space="preserve"> </w:t>
      </w:r>
      <w:r w:rsidR="00C64A14" w:rsidRPr="00F406ED">
        <w:rPr>
          <w:lang w:val="bg-BG"/>
        </w:rPr>
        <w:t>5</w:t>
      </w:r>
      <w:r w:rsidR="00FA5AF9">
        <w:rPr>
          <w:lang w:val="bg-BG"/>
        </w:rPr>
        <w:t xml:space="preserve"> </w:t>
      </w:r>
      <w:r w:rsidR="00CE74ED" w:rsidRPr="00F406ED">
        <w:rPr>
          <w:lang w:val="bg-BG"/>
        </w:rPr>
        <w:t>от Закона за националната полиция от 1993</w:t>
      </w:r>
      <w:r w:rsidR="00F406ED" w:rsidRPr="00F406ED">
        <w:rPr>
          <w:lang w:val="bg-BG"/>
        </w:rPr>
        <w:t> г.</w:t>
      </w:r>
      <w:r w:rsidR="00A84DEE" w:rsidRPr="00F406ED">
        <w:rPr>
          <w:lang w:val="bg-BG"/>
        </w:rPr>
        <w:t xml:space="preserve">, </w:t>
      </w:r>
      <w:r w:rsidR="006D0BDF" w:rsidRPr="00F406ED">
        <w:rPr>
          <w:lang w:val="bg-BG"/>
        </w:rPr>
        <w:t xml:space="preserve">съгласно тълкуването, което се прави от военните следствени и прокурорски органи и военния съд </w:t>
      </w:r>
      <w:r w:rsidR="00A84DEE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FA5AF9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discontinuance_31_August_1998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25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decision_21_December_1998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27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proposal_18_July_2000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33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proposal_29_September_2000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36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proposal_12_October_2000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40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decision_24_October_2000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41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decision_16_November_2000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42</w:t>
      </w:r>
      <w:r w:rsidRPr="00F406ED">
        <w:rPr>
          <w:lang w:val="bg-BG"/>
        </w:rPr>
        <w:fldChar w:fldCharType="end"/>
      </w:r>
      <w:r w:rsidR="003413FB">
        <w:rPr>
          <w:lang w:val="bg-BG"/>
        </w:rPr>
        <w:t xml:space="preserve"> </w:t>
      </w:r>
      <w:r w:rsidR="006D0BDF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decision_21_November_2000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r w:rsidR="00FA5AF9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 xml:space="preserve">). </w:t>
      </w:r>
      <w:r w:rsidR="006D0BDF" w:rsidRPr="00F406ED">
        <w:rPr>
          <w:lang w:val="bg-BG"/>
        </w:rPr>
        <w:t>Като се позовават на строгата буква на тази разпоредба и на своето тълкувание на член </w:t>
      </w:r>
      <w:r w:rsidR="00A84DEE" w:rsidRPr="00F406ED">
        <w:rPr>
          <w:lang w:val="bg-BG"/>
        </w:rPr>
        <w:t xml:space="preserve">12a </w:t>
      </w:r>
      <w:r w:rsidR="006D0BDF" w:rsidRPr="00F406ED">
        <w:rPr>
          <w:lang w:val="bg-BG"/>
        </w:rPr>
        <w:t xml:space="preserve">от Наказателния кодекс </w:t>
      </w:r>
      <w:r w:rsidR="00A84DEE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FA5AF9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decision_24_October_2000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41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decision_16_November_2000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42</w:t>
      </w:r>
      <w:r w:rsidRPr="00F406ED">
        <w:rPr>
          <w:lang w:val="bg-BG"/>
        </w:rPr>
        <w:fldChar w:fldCharType="end"/>
      </w:r>
      <w:r w:rsidR="00763EF9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decision_21_November_2000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r w:rsidR="00FA5AF9">
        <w:rPr>
          <w:lang w:val="bg-BG"/>
        </w:rPr>
        <w:t xml:space="preserve"> </w:t>
      </w:r>
      <w:r w:rsidR="006D0BDF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763EF9" w:rsidRPr="00F406ED">
        <w:rPr>
          <w:lang w:val="bg-BG"/>
        </w:rPr>
        <w:instrText xml:space="preserve"> REF RDL_Article_12a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46</w:t>
      </w:r>
      <w:r w:rsidRPr="00F406ED">
        <w:rPr>
          <w:lang w:val="bg-BG"/>
        </w:rPr>
        <w:fldChar w:fldCharType="end"/>
      </w:r>
      <w:r w:rsidR="00FA5AF9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 xml:space="preserve">), </w:t>
      </w:r>
      <w:r w:rsidR="006D0BDF" w:rsidRPr="00F406ED">
        <w:rPr>
          <w:lang w:val="bg-BG"/>
        </w:rPr>
        <w:t>военните следствени и прокурорски органи и военният съд пренебрегват обстоятелства, които са от много голямо значение, като фактите, че сержантът не е имал причина да с</w:t>
      </w:r>
      <w:r w:rsidR="003413FB">
        <w:rPr>
          <w:lang w:val="bg-BG"/>
        </w:rPr>
        <w:t>чита</w:t>
      </w:r>
      <w:r w:rsidR="006D0BDF" w:rsidRPr="00F406ED">
        <w:rPr>
          <w:lang w:val="bg-BG"/>
        </w:rPr>
        <w:t xml:space="preserve">, че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367521">
        <w:rPr>
          <w:lang w:val="bg-BG"/>
        </w:rPr>
        <w:t xml:space="preserve"> </w:t>
      </w:r>
      <w:r w:rsidR="006D0BDF" w:rsidRPr="00F406ED">
        <w:rPr>
          <w:lang w:val="bg-BG"/>
        </w:rPr>
        <w:t>представлява заплаха за когото и да било</w:t>
      </w:r>
      <w:r w:rsidR="00A84DEE" w:rsidRPr="00F406ED">
        <w:rPr>
          <w:lang w:val="bg-BG"/>
        </w:rPr>
        <w:t>,</w:t>
      </w:r>
      <w:r w:rsidR="003413FB">
        <w:rPr>
          <w:lang w:val="bg-BG"/>
        </w:rPr>
        <w:t xml:space="preserve"> </w:t>
      </w:r>
      <w:r w:rsidR="006D0BDF" w:rsidRPr="00F406ED">
        <w:rPr>
          <w:lang w:val="bg-BG"/>
        </w:rPr>
        <w:t xml:space="preserve">че може да са съществували други начини да се попречи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367521">
        <w:rPr>
          <w:lang w:val="bg-BG"/>
        </w:rPr>
        <w:t xml:space="preserve"> </w:t>
      </w:r>
      <w:r w:rsidR="006D0BDF" w:rsidRPr="00F406ED">
        <w:rPr>
          <w:lang w:val="bg-BG"/>
        </w:rPr>
        <w:t>да избяга и че е спорно дали сержантът изобщо е имал право да използва огнестрелно оръжие, за да предотврати бягството му</w:t>
      </w:r>
      <w:r w:rsidR="00A84DEE" w:rsidRPr="00F406ED">
        <w:rPr>
          <w:lang w:val="bg-BG"/>
        </w:rPr>
        <w:t xml:space="preserve">. </w:t>
      </w:r>
      <w:r w:rsidR="006D0BDF" w:rsidRPr="00F406ED">
        <w:rPr>
          <w:lang w:val="bg-BG"/>
        </w:rPr>
        <w:t>Този подход не отговаря на изискванията на член </w:t>
      </w:r>
      <w:r w:rsidR="00A84DEE" w:rsidRPr="00F406ED">
        <w:rPr>
          <w:lang w:val="bg-BG"/>
        </w:rPr>
        <w:t>2 (</w:t>
      </w:r>
      <w:r w:rsidR="006D0BDF" w:rsidRPr="00F406ED">
        <w:rPr>
          <w:lang w:val="bg-BG"/>
        </w:rPr>
        <w:t xml:space="preserve">виж </w:t>
      </w:r>
      <w:r w:rsidR="000C65DF" w:rsidRPr="00F406ED">
        <w:rPr>
          <w:i/>
          <w:lang w:val="bg-BG"/>
        </w:rPr>
        <w:t>Начова и други</w:t>
      </w:r>
      <w:r w:rsidR="00A84DEE" w:rsidRPr="00F406ED">
        <w:rPr>
          <w:lang w:val="bg-BG"/>
        </w:rPr>
        <w:t xml:space="preserve">, § 114, </w:t>
      </w:r>
      <w:r w:rsidR="006D0BDF" w:rsidRPr="00F406ED">
        <w:rPr>
          <w:lang w:val="bg-BG"/>
        </w:rPr>
        <w:t xml:space="preserve">и </w:t>
      </w:r>
      <w:r w:rsidR="000C65DF" w:rsidRPr="00F406ED">
        <w:rPr>
          <w:i/>
          <w:lang w:val="bg-BG"/>
        </w:rPr>
        <w:t>Цеков</w:t>
      </w:r>
      <w:r w:rsidR="00A84DEE" w:rsidRPr="00F406ED">
        <w:rPr>
          <w:lang w:val="bg-BG"/>
        </w:rPr>
        <w:t xml:space="preserve">, §71, </w:t>
      </w:r>
      <w:r w:rsidR="006D0BDF" w:rsidRPr="00F406ED">
        <w:rPr>
          <w:lang w:val="bg-BG"/>
        </w:rPr>
        <w:t xml:space="preserve">и двете цитирани </w:t>
      </w:r>
      <w:r w:rsidR="004825B6" w:rsidRPr="00F406ED">
        <w:rPr>
          <w:lang w:val="bg-BG"/>
        </w:rPr>
        <w:t>по-горе</w:t>
      </w:r>
      <w:r w:rsidR="00A84DEE" w:rsidRPr="00F406ED">
        <w:rPr>
          <w:lang w:val="bg-BG"/>
        </w:rPr>
        <w:t xml:space="preserve">, </w:t>
      </w:r>
      <w:r w:rsidR="006D0BDF" w:rsidRPr="00F406ED">
        <w:rPr>
          <w:lang w:val="bg-BG"/>
        </w:rPr>
        <w:t>както и</w:t>
      </w:r>
      <w:r w:rsidR="00A84DEE" w:rsidRPr="00F406ED">
        <w:rPr>
          <w:lang w:val="bg-BG"/>
        </w:rPr>
        <w:t xml:space="preserve">, </w:t>
      </w:r>
      <w:r w:rsidR="00A84DEE" w:rsidRPr="00F406ED">
        <w:rPr>
          <w:i/>
          <w:lang w:val="bg-BG"/>
        </w:rPr>
        <w:t>mutatis mutandis</w:t>
      </w:r>
      <w:r w:rsidR="00A84DEE" w:rsidRPr="00F406ED">
        <w:rPr>
          <w:lang w:val="bg-BG"/>
        </w:rPr>
        <w:t xml:space="preserve">, </w:t>
      </w:r>
      <w:r w:rsidR="006D0BDF" w:rsidRPr="00F406ED">
        <w:rPr>
          <w:i/>
          <w:szCs w:val="24"/>
          <w:lang w:val="bg-BG" w:eastAsia="en-US"/>
        </w:rPr>
        <w:t>Иван Василев</w:t>
      </w:r>
      <w:r w:rsidR="00367521">
        <w:rPr>
          <w:i/>
          <w:szCs w:val="24"/>
          <w:lang w:val="bg-BG" w:eastAsia="en-US"/>
        </w:rPr>
        <w:t xml:space="preserve"> </w:t>
      </w:r>
      <w:r w:rsidR="00E11A3E" w:rsidRPr="00F406ED">
        <w:rPr>
          <w:i/>
          <w:szCs w:val="24"/>
          <w:lang w:val="bg-BG" w:eastAsia="en-US"/>
        </w:rPr>
        <w:t>срещу България</w:t>
      </w:r>
      <w:r w:rsidR="00A84DEE" w:rsidRPr="00F406ED">
        <w:rPr>
          <w:szCs w:val="24"/>
          <w:lang w:val="bg-BG" w:eastAsia="en-US"/>
        </w:rPr>
        <w:t xml:space="preserve">, </w:t>
      </w:r>
      <w:r w:rsidR="006D0BDF" w:rsidRPr="00F406ED">
        <w:rPr>
          <w:szCs w:val="24"/>
          <w:lang w:val="bg-BG" w:eastAsia="en-US"/>
        </w:rPr>
        <w:t>№ </w:t>
      </w:r>
      <w:r w:rsidR="00A84DEE" w:rsidRPr="00F406ED">
        <w:rPr>
          <w:szCs w:val="24"/>
          <w:lang w:val="bg-BG" w:eastAsia="en-US"/>
        </w:rPr>
        <w:t>48130/99, §§ 77</w:t>
      </w:r>
      <w:r w:rsidR="00A84DEE" w:rsidRPr="00F406ED">
        <w:rPr>
          <w:szCs w:val="24"/>
          <w:lang w:val="bg-BG" w:eastAsia="en-US"/>
        </w:rPr>
        <w:noBreakHyphen/>
        <w:t xml:space="preserve">79, 12 </w:t>
      </w:r>
      <w:r w:rsidR="002B4892" w:rsidRPr="00F406ED">
        <w:rPr>
          <w:szCs w:val="24"/>
          <w:lang w:val="bg-BG" w:eastAsia="en-US"/>
        </w:rPr>
        <w:t>април</w:t>
      </w:r>
      <w:r w:rsidR="00A84DEE" w:rsidRPr="00F406ED">
        <w:rPr>
          <w:szCs w:val="24"/>
          <w:lang w:val="bg-BG" w:eastAsia="en-US"/>
        </w:rPr>
        <w:t xml:space="preserve"> 2007</w:t>
      </w:r>
      <w:r w:rsidR="00F406ED" w:rsidRPr="00F406ED">
        <w:rPr>
          <w:szCs w:val="24"/>
          <w:lang w:val="bg-BG" w:eastAsia="en-US"/>
        </w:rPr>
        <w:t> г.</w:t>
      </w:r>
      <w:r w:rsidR="00A84DEE" w:rsidRPr="00F406ED">
        <w:rPr>
          <w:lang w:val="bg-BG"/>
        </w:rPr>
        <w:t>).</w:t>
      </w:r>
    </w:p>
    <w:p w:rsidR="004B7EE7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0B2871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66</w:t>
      </w:r>
      <w:r w:rsidRPr="00F406ED">
        <w:rPr>
          <w:lang w:val="bg-BG"/>
        </w:rPr>
        <w:fldChar w:fldCharType="end"/>
      </w:r>
      <w:r w:rsidR="000B2871" w:rsidRPr="00F406ED">
        <w:rPr>
          <w:lang w:val="bg-BG"/>
        </w:rPr>
        <w:t>.  </w:t>
      </w:r>
      <w:r w:rsidR="006D0BDF" w:rsidRPr="00F406ED">
        <w:rPr>
          <w:lang w:val="bg-BG"/>
        </w:rPr>
        <w:t xml:space="preserve">Освен това </w:t>
      </w:r>
      <w:r w:rsidR="00353D29" w:rsidRPr="00F406ED">
        <w:rPr>
          <w:lang w:val="bg-BG"/>
        </w:rPr>
        <w:t>Съдът</w:t>
      </w:r>
      <w:r w:rsidR="00367521">
        <w:rPr>
          <w:lang w:val="bg-BG"/>
        </w:rPr>
        <w:t xml:space="preserve"> </w:t>
      </w:r>
      <w:r w:rsidR="006D0BDF" w:rsidRPr="00F406ED">
        <w:rPr>
          <w:lang w:val="bg-BG"/>
        </w:rPr>
        <w:t xml:space="preserve">отбелязва, че </w:t>
      </w:r>
      <w:r w:rsidR="00F55215" w:rsidRPr="00F406ED">
        <w:rPr>
          <w:lang w:val="bg-BG"/>
        </w:rPr>
        <w:t>независимо от своевременната първоначална реакция на разследващите органи</w:t>
      </w:r>
      <w:r w:rsidR="009A17AF" w:rsidRPr="00F406ED">
        <w:rPr>
          <w:lang w:val="bg-BG"/>
        </w:rPr>
        <w:t xml:space="preserve">, </w:t>
      </w:r>
      <w:r w:rsidR="00F55215" w:rsidRPr="00F406ED">
        <w:rPr>
          <w:lang w:val="bg-BG"/>
        </w:rPr>
        <w:t>след това тря</w:t>
      </w:r>
      <w:r w:rsidR="003259A8" w:rsidRPr="00F406ED">
        <w:rPr>
          <w:lang w:val="bg-BG"/>
        </w:rPr>
        <w:t>бва</w:t>
      </w:r>
      <w:r w:rsidR="00F55215" w:rsidRPr="00F406ED">
        <w:rPr>
          <w:lang w:val="bg-BG"/>
        </w:rPr>
        <w:t xml:space="preserve">т повече от десет месеца, за да се задвижи официалното разследване </w:t>
      </w:r>
      <w:r w:rsidR="009A17AF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2B7656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061F49" w:rsidRPr="00F406ED">
        <w:rPr>
          <w:lang w:val="bg-BG"/>
        </w:rPr>
        <w:instrText xml:space="preserve"> REF inspection_scene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17</w:t>
      </w:r>
      <w:r w:rsidRPr="00F406ED">
        <w:rPr>
          <w:lang w:val="bg-BG"/>
        </w:rPr>
        <w:fldChar w:fldCharType="end"/>
      </w:r>
      <w:r w:rsidR="002B7656">
        <w:rPr>
          <w:lang w:val="bg-BG"/>
        </w:rPr>
        <w:t xml:space="preserve"> </w:t>
      </w:r>
      <w:r w:rsidR="00F55215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C3044F" w:rsidRPr="00F406ED">
        <w:rPr>
          <w:lang w:val="bg-BG"/>
        </w:rPr>
        <w:instrText xml:space="preserve"> REF investigaton_opening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21</w:t>
      </w:r>
      <w:r w:rsidRPr="00F406ED">
        <w:rPr>
          <w:lang w:val="bg-BG"/>
        </w:rPr>
        <w:fldChar w:fldCharType="end"/>
      </w:r>
      <w:r w:rsidR="002B7656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9A17AF" w:rsidRPr="00F406ED">
        <w:rPr>
          <w:lang w:val="bg-BG"/>
        </w:rPr>
        <w:t>)</w:t>
      </w:r>
      <w:r w:rsidR="003259A8" w:rsidRPr="00F406ED">
        <w:rPr>
          <w:lang w:val="bg-BG"/>
        </w:rPr>
        <w:t xml:space="preserve">. </w:t>
      </w:r>
      <w:r w:rsidR="00F55215" w:rsidRPr="00F406ED">
        <w:rPr>
          <w:lang w:val="bg-BG"/>
        </w:rPr>
        <w:t>Не изглежда да са положени някакви специални усилия за установяване на цивилните очевидци и за снемане на обяснения от тях или за намиране на изпра</w:t>
      </w:r>
      <w:r w:rsidR="003259A8" w:rsidRPr="00F406ED">
        <w:rPr>
          <w:lang w:val="bg-BG"/>
        </w:rPr>
        <w:t>з</w:t>
      </w:r>
      <w:r w:rsidR="00F55215" w:rsidRPr="00F406ED">
        <w:rPr>
          <w:lang w:val="bg-BG"/>
        </w:rPr>
        <w:t>нени пълнители от всички изстрели, произведени от г</w:t>
      </w:r>
      <w:r w:rsidR="00A80F0B" w:rsidRPr="00F406ED">
        <w:rPr>
          <w:lang w:val="bg-BG"/>
        </w:rPr>
        <w:t>лавен сержант</w:t>
      </w:r>
      <w:r w:rsidR="00367521">
        <w:rPr>
          <w:lang w:val="bg-BG"/>
        </w:rPr>
        <w:t xml:space="preserve"> </w:t>
      </w:r>
      <w:r w:rsidR="00A80F0B" w:rsidRPr="00F406ED">
        <w:rPr>
          <w:lang w:val="bg-BG"/>
        </w:rPr>
        <w:t>Г.П.</w:t>
      </w:r>
      <w:r w:rsidR="00367521">
        <w:rPr>
          <w:lang w:val="bg-BG"/>
        </w:rPr>
        <w:t xml:space="preserve"> </w:t>
      </w:r>
      <w:r w:rsidR="00F55215" w:rsidRPr="00F406ED">
        <w:rPr>
          <w:lang w:val="bg-BG"/>
        </w:rPr>
        <w:t>Без информацията, която би могла да бъде събрана с тези стъпки</w:t>
      </w:r>
      <w:r w:rsidR="004B7EE7" w:rsidRPr="00F406ED">
        <w:rPr>
          <w:lang w:val="bg-BG"/>
        </w:rPr>
        <w:t>,</w:t>
      </w:r>
      <w:r w:rsidR="002B7656">
        <w:rPr>
          <w:lang w:val="bg-BG"/>
        </w:rPr>
        <w:t xml:space="preserve"> </w:t>
      </w:r>
      <w:r w:rsidR="00F55215" w:rsidRPr="00F406ED">
        <w:rPr>
          <w:lang w:val="bg-BG"/>
        </w:rPr>
        <w:t>не е възможно да се провери описанието на събитията, дадено от сержанта</w:t>
      </w:r>
      <w:r w:rsidR="00F00A5E" w:rsidRPr="00F406ED">
        <w:rPr>
          <w:lang w:val="bg-BG"/>
        </w:rPr>
        <w:t xml:space="preserve">, </w:t>
      </w:r>
      <w:r w:rsidR="00F55215" w:rsidRPr="00F406ED">
        <w:rPr>
          <w:lang w:val="bg-BG"/>
        </w:rPr>
        <w:t>което е най-важно с оглед на противоречието, от една страна, между твърдението му</w:t>
      </w:r>
      <w:r w:rsidR="00D639D9" w:rsidRPr="00F406ED">
        <w:rPr>
          <w:lang w:val="bg-BG"/>
        </w:rPr>
        <w:t xml:space="preserve">, </w:t>
      </w:r>
      <w:r w:rsidR="00F55215" w:rsidRPr="00F406ED">
        <w:rPr>
          <w:lang w:val="bg-BG"/>
        </w:rPr>
        <w:t>че е стрелял няколко пъти</w:t>
      </w:r>
      <w:r w:rsidR="00D549B1" w:rsidRPr="00F406ED">
        <w:rPr>
          <w:lang w:val="bg-BG"/>
        </w:rPr>
        <w:t xml:space="preserve">, </w:t>
      </w:r>
      <w:r w:rsidR="00F55215" w:rsidRPr="00F406ED">
        <w:rPr>
          <w:lang w:val="bg-BG"/>
        </w:rPr>
        <w:t>потвърдено от теста на неговото оръжие и</w:t>
      </w:r>
      <w:r w:rsidR="00D639D9" w:rsidRPr="00F406ED">
        <w:rPr>
          <w:lang w:val="bg-BG"/>
        </w:rPr>
        <w:t xml:space="preserve">, </w:t>
      </w:r>
      <w:r w:rsidR="00F55215" w:rsidRPr="00F406ED">
        <w:rPr>
          <w:lang w:val="bg-BG"/>
        </w:rPr>
        <w:t>от друга страна</w:t>
      </w:r>
      <w:r w:rsidR="00D639D9" w:rsidRPr="00F406ED">
        <w:rPr>
          <w:lang w:val="bg-BG"/>
        </w:rPr>
        <w:t xml:space="preserve">, </w:t>
      </w:r>
      <w:r w:rsidR="00F55215" w:rsidRPr="00F406ED">
        <w:rPr>
          <w:lang w:val="bg-BG"/>
        </w:rPr>
        <w:t xml:space="preserve">факта, че тестът за остатъци от изстрели се оказва отрицателен </w:t>
      </w:r>
      <w:r w:rsidR="00F00A5E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A04E83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B80B5F" w:rsidRPr="00F406ED">
        <w:rPr>
          <w:lang w:val="bg-BG"/>
        </w:rPr>
        <w:instrText xml:space="preserve"> REF warning_shots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11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F55215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A530C9" w:rsidRPr="00F406ED">
        <w:rPr>
          <w:lang w:val="bg-BG"/>
        </w:rPr>
        <w:instrText xml:space="preserve"> REF swab_and_handgun_tests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24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F00A5E" w:rsidRPr="00F406ED">
        <w:rPr>
          <w:lang w:val="bg-BG"/>
        </w:rPr>
        <w:t>).</w:t>
      </w:r>
      <w:r w:rsidR="00796152">
        <w:rPr>
          <w:lang w:val="bg-BG"/>
        </w:rPr>
        <w:t xml:space="preserve"> </w:t>
      </w:r>
      <w:r w:rsidR="003B55AA" w:rsidRPr="00F406ED">
        <w:rPr>
          <w:lang w:val="bg-BG"/>
        </w:rPr>
        <w:t>Властите</w:t>
      </w:r>
      <w:r w:rsidR="00F55215" w:rsidRPr="00F406ED">
        <w:rPr>
          <w:lang w:val="bg-BG"/>
        </w:rPr>
        <w:t xml:space="preserve"> не се опитват и да установят </w:t>
      </w:r>
      <w:r w:rsidR="00F615F8" w:rsidRPr="00F406ED">
        <w:rPr>
          <w:lang w:val="bg-BG"/>
        </w:rPr>
        <w:t xml:space="preserve">– </w:t>
      </w:r>
      <w:r w:rsidR="00F55215" w:rsidRPr="00F406ED">
        <w:rPr>
          <w:lang w:val="bg-BG"/>
        </w:rPr>
        <w:t xml:space="preserve">чрез балистичен тест или с други средства </w:t>
      </w:r>
      <w:r w:rsidR="00F615F8" w:rsidRPr="00F406ED">
        <w:rPr>
          <w:lang w:val="bg-BG"/>
        </w:rPr>
        <w:t xml:space="preserve">– </w:t>
      </w:r>
      <w:r w:rsidR="004C6FDD" w:rsidRPr="00F406ED">
        <w:rPr>
          <w:lang w:val="bg-BG"/>
        </w:rPr>
        <w:t xml:space="preserve">точните позиции на сержанта и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4C6FDD" w:rsidRPr="00F406ED">
        <w:rPr>
          <w:lang w:val="bg-BG"/>
        </w:rPr>
        <w:t xml:space="preserve"> в момента на стрелбата</w:t>
      </w:r>
      <w:r w:rsidR="00546FE6" w:rsidRPr="00F406ED">
        <w:rPr>
          <w:lang w:val="bg-BG"/>
        </w:rPr>
        <w:t xml:space="preserve">. </w:t>
      </w:r>
      <w:r w:rsidR="00FB6940" w:rsidRPr="00F406ED">
        <w:rPr>
          <w:lang w:val="bg-BG"/>
        </w:rPr>
        <w:t>Така става невъзможно да се определи защо</w:t>
      </w:r>
      <w:r w:rsidR="00F615F8" w:rsidRPr="00F406ED">
        <w:rPr>
          <w:lang w:val="bg-BG"/>
        </w:rPr>
        <w:t xml:space="preserve">, </w:t>
      </w:r>
      <w:r w:rsidR="00FB6940" w:rsidRPr="00F406ED">
        <w:rPr>
          <w:lang w:val="bg-BG"/>
        </w:rPr>
        <w:t xml:space="preserve">ако сержантът се е целел в коленете на </w:t>
      </w:r>
      <w:r w:rsidR="00EF6301" w:rsidRPr="00F406ED">
        <w:rPr>
          <w:lang w:val="bg-BG"/>
        </w:rPr>
        <w:t xml:space="preserve">г-н </w:t>
      </w:r>
      <w:proofErr w:type="spellStart"/>
      <w:r w:rsidR="002B4892" w:rsidRPr="00F406ED">
        <w:rPr>
          <w:lang w:val="bg-BG"/>
        </w:rPr>
        <w:t>Каранджа</w:t>
      </w:r>
      <w:proofErr w:type="spellEnd"/>
      <w:r w:rsidR="002B7656">
        <w:rPr>
          <w:lang w:val="bg-BG"/>
        </w:rPr>
        <w:t xml:space="preserve"> </w:t>
      </w:r>
      <w:r w:rsidR="00B001F9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A04E83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B001F9" w:rsidRPr="00F406ED">
        <w:rPr>
          <w:lang w:val="bg-BG"/>
        </w:rPr>
        <w:instrText xml:space="preserve"> REF inspection_scene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17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proofErr w:type="spellStart"/>
      <w:r w:rsidR="00B001F9" w:rsidRPr="00F406ED">
        <w:rPr>
          <w:i/>
          <w:lang w:val="bg-BG"/>
        </w:rPr>
        <w:t>in</w:t>
      </w:r>
      <w:proofErr w:type="spellEnd"/>
      <w:r w:rsidR="00B001F9" w:rsidRPr="00F406ED">
        <w:rPr>
          <w:i/>
          <w:lang w:val="bg-BG"/>
        </w:rPr>
        <w:t xml:space="preserve"> </w:t>
      </w:r>
      <w:proofErr w:type="spellStart"/>
      <w:r w:rsidR="00B001F9" w:rsidRPr="00F406ED">
        <w:rPr>
          <w:i/>
          <w:lang w:val="bg-BG"/>
        </w:rPr>
        <w:t>fine</w:t>
      </w:r>
      <w:proofErr w:type="spellEnd"/>
      <w:r w:rsidR="00367521">
        <w:rPr>
          <w:i/>
          <w:lang w:val="bg-BG"/>
        </w:rPr>
        <w:t xml:space="preserve"> </w:t>
      </w:r>
      <w:r w:rsidR="00FB6940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B001F9" w:rsidRPr="00F406ED">
        <w:rPr>
          <w:lang w:val="bg-BG"/>
        </w:rPr>
        <w:instrText xml:space="preserve"> REF interviews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22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B001F9" w:rsidRPr="00F406ED">
        <w:rPr>
          <w:lang w:val="bg-BG"/>
        </w:rPr>
        <w:t>)</w:t>
      </w:r>
      <w:r w:rsidR="00F615F8" w:rsidRPr="00F406ED">
        <w:rPr>
          <w:lang w:val="bg-BG"/>
        </w:rPr>
        <w:t xml:space="preserve">, </w:t>
      </w:r>
      <w:r w:rsidR="00FB6940" w:rsidRPr="00F406ED">
        <w:rPr>
          <w:lang w:val="bg-BG"/>
        </w:rPr>
        <w:t>в крайна сметка е стрелял в задната част на главата</w:t>
      </w:r>
      <w:r w:rsidR="00F615F8" w:rsidRPr="00F406ED">
        <w:rPr>
          <w:lang w:val="bg-BG"/>
        </w:rPr>
        <w:t xml:space="preserve">. </w:t>
      </w:r>
      <w:r w:rsidR="00FB6940" w:rsidRPr="00F406ED">
        <w:rPr>
          <w:lang w:val="bg-BG"/>
        </w:rPr>
        <w:t>Този важен въпрос е разгледан, при това много накратко</w:t>
      </w:r>
      <w:r w:rsidR="00F615F8" w:rsidRPr="00F406ED">
        <w:rPr>
          <w:lang w:val="bg-BG"/>
        </w:rPr>
        <w:t xml:space="preserve">, </w:t>
      </w:r>
      <w:r w:rsidR="00FB6940" w:rsidRPr="00F406ED">
        <w:rPr>
          <w:lang w:val="bg-BG"/>
        </w:rPr>
        <w:t xml:space="preserve">в решението на военния съд </w:t>
      </w:r>
      <w:r w:rsidR="00F615F8" w:rsidRPr="00F406ED">
        <w:rPr>
          <w:lang w:val="bg-BG"/>
        </w:rPr>
        <w:t>(</w:t>
      </w:r>
      <w:r w:rsidR="004825B6" w:rsidRPr="00F406ED">
        <w:rPr>
          <w:lang w:val="bg-BG"/>
        </w:rPr>
        <w:t>виж параграф</w:t>
      </w:r>
      <w:r w:rsidR="00A04E83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F615F8" w:rsidRPr="00F406ED">
        <w:rPr>
          <w:lang w:val="bg-BG"/>
        </w:rPr>
        <w:instrText xml:space="preserve"> REF decision_21_November_2000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43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F615F8" w:rsidRPr="00F406ED">
        <w:rPr>
          <w:lang w:val="bg-BG"/>
        </w:rPr>
        <w:t>).</w:t>
      </w:r>
      <w:r w:rsidR="002B7656">
        <w:rPr>
          <w:lang w:val="bg-BG"/>
        </w:rPr>
        <w:t xml:space="preserve"> </w:t>
      </w:r>
      <w:r w:rsidR="00FB6940" w:rsidRPr="00F406ED">
        <w:rPr>
          <w:lang w:val="bg-BG"/>
        </w:rPr>
        <w:t>Накрая</w:t>
      </w:r>
      <w:r w:rsidR="00BC4B08" w:rsidRPr="00F406ED">
        <w:rPr>
          <w:lang w:val="bg-BG"/>
        </w:rPr>
        <w:t xml:space="preserve">, </w:t>
      </w:r>
      <w:r w:rsidR="00FB6940" w:rsidRPr="00F406ED">
        <w:rPr>
          <w:lang w:val="bg-BG"/>
        </w:rPr>
        <w:t xml:space="preserve">не изглежда да са предприети каквито </w:t>
      </w:r>
      <w:r w:rsidR="00E277CD">
        <w:rPr>
          <w:lang w:val="bg-BG"/>
        </w:rPr>
        <w:t>и да било</w:t>
      </w:r>
      <w:r w:rsidR="00FB6940" w:rsidRPr="00F406ED">
        <w:rPr>
          <w:lang w:val="bg-BG"/>
        </w:rPr>
        <w:t xml:space="preserve"> мерки за предотвратяване на възможностите за тайно споразумение между замесените служители </w:t>
      </w:r>
      <w:r w:rsidR="00BC4B08" w:rsidRPr="00F406ED">
        <w:rPr>
          <w:lang w:val="bg-BG"/>
        </w:rPr>
        <w:t>(</w:t>
      </w:r>
      <w:r w:rsidR="00FB6940" w:rsidRPr="00F406ED">
        <w:rPr>
          <w:lang w:val="bg-BG"/>
        </w:rPr>
        <w:t xml:space="preserve">виж </w:t>
      </w:r>
      <w:proofErr w:type="spellStart"/>
      <w:r w:rsidR="00BC4B08" w:rsidRPr="00F406ED">
        <w:rPr>
          <w:i/>
          <w:lang w:val="bg-BG" w:eastAsia="en-US"/>
        </w:rPr>
        <w:t>Ramsahai</w:t>
      </w:r>
      <w:proofErr w:type="spellEnd"/>
      <w:r w:rsidR="00BC4B08" w:rsidRPr="00F406ED">
        <w:rPr>
          <w:i/>
          <w:lang w:val="bg-BG" w:eastAsia="en-US"/>
        </w:rPr>
        <w:t xml:space="preserve"> </w:t>
      </w:r>
      <w:proofErr w:type="spellStart"/>
      <w:r w:rsidR="00BC4B08" w:rsidRPr="00F406ED">
        <w:rPr>
          <w:i/>
          <w:lang w:val="bg-BG" w:eastAsia="en-US"/>
        </w:rPr>
        <w:t>and</w:t>
      </w:r>
      <w:proofErr w:type="spellEnd"/>
      <w:r w:rsidR="00BC4B08" w:rsidRPr="00F406ED">
        <w:rPr>
          <w:i/>
          <w:lang w:val="bg-BG" w:eastAsia="en-US"/>
        </w:rPr>
        <w:t xml:space="preserve"> </w:t>
      </w:r>
      <w:proofErr w:type="spellStart"/>
      <w:r w:rsidR="00BC4B08" w:rsidRPr="00F406ED">
        <w:rPr>
          <w:i/>
          <w:lang w:val="bg-BG" w:eastAsia="en-US"/>
        </w:rPr>
        <w:t>Others</w:t>
      </w:r>
      <w:proofErr w:type="spellEnd"/>
      <w:r w:rsidR="00BC4B08" w:rsidRPr="00F406ED">
        <w:rPr>
          <w:i/>
          <w:lang w:val="bg-BG" w:eastAsia="en-US"/>
        </w:rPr>
        <w:t xml:space="preserve"> v. </w:t>
      </w:r>
      <w:proofErr w:type="spellStart"/>
      <w:r w:rsidR="00BC4B08" w:rsidRPr="00F406ED">
        <w:rPr>
          <w:i/>
          <w:lang w:val="bg-BG" w:eastAsia="en-US"/>
        </w:rPr>
        <w:t>the</w:t>
      </w:r>
      <w:proofErr w:type="spellEnd"/>
      <w:r w:rsidR="00BC4B08" w:rsidRPr="00F406ED">
        <w:rPr>
          <w:i/>
          <w:lang w:val="bg-BG" w:eastAsia="en-US"/>
        </w:rPr>
        <w:t xml:space="preserve"> </w:t>
      </w:r>
      <w:proofErr w:type="spellStart"/>
      <w:r w:rsidR="00BC4B08" w:rsidRPr="00F406ED">
        <w:rPr>
          <w:i/>
          <w:lang w:val="bg-BG" w:eastAsia="en-US"/>
        </w:rPr>
        <w:t>Netherlands</w:t>
      </w:r>
      <w:proofErr w:type="spellEnd"/>
      <w:r w:rsidR="00BC4B08" w:rsidRPr="00F406ED">
        <w:rPr>
          <w:lang w:val="bg-BG" w:eastAsia="en-US"/>
        </w:rPr>
        <w:t xml:space="preserve"> [GC], </w:t>
      </w:r>
      <w:proofErr w:type="spellStart"/>
      <w:r w:rsidR="00BC4B08" w:rsidRPr="00F406ED">
        <w:rPr>
          <w:lang w:val="bg-BG" w:eastAsia="en-US"/>
        </w:rPr>
        <w:t>no</w:t>
      </w:r>
      <w:proofErr w:type="spellEnd"/>
      <w:r w:rsidR="00BC4B08" w:rsidRPr="00F406ED">
        <w:rPr>
          <w:lang w:val="bg-BG" w:eastAsia="en-US"/>
        </w:rPr>
        <w:t>.</w:t>
      </w:r>
      <w:r w:rsidR="0054315F" w:rsidRPr="00F406ED">
        <w:rPr>
          <w:lang w:val="bg-BG" w:eastAsia="en-US"/>
        </w:rPr>
        <w:t> </w:t>
      </w:r>
      <w:r w:rsidR="00BC4B08" w:rsidRPr="00F406ED">
        <w:rPr>
          <w:lang w:val="bg-BG" w:eastAsia="en-US"/>
        </w:rPr>
        <w:t>52391/99, § 330, ECHR 2007</w:t>
      </w:r>
      <w:r w:rsidR="00BC4B08" w:rsidRPr="00F406ED">
        <w:rPr>
          <w:lang w:val="bg-BG" w:eastAsia="en-US"/>
        </w:rPr>
        <w:noBreakHyphen/>
        <w:t>...</w:t>
      </w:r>
      <w:r w:rsidR="00BC4B08" w:rsidRPr="00F406ED">
        <w:rPr>
          <w:lang w:val="bg-BG"/>
        </w:rPr>
        <w:t xml:space="preserve">). </w:t>
      </w:r>
      <w:r w:rsidR="00FB6940" w:rsidRPr="00F406ED">
        <w:rPr>
          <w:lang w:val="bg-BG"/>
        </w:rPr>
        <w:t xml:space="preserve">На този фон </w:t>
      </w:r>
      <w:r w:rsidR="00353D29" w:rsidRPr="00F406ED">
        <w:rPr>
          <w:lang w:val="bg-BG"/>
        </w:rPr>
        <w:t>Съдът</w:t>
      </w:r>
      <w:r w:rsidR="00367521">
        <w:rPr>
          <w:lang w:val="bg-BG"/>
        </w:rPr>
        <w:t xml:space="preserve"> </w:t>
      </w:r>
      <w:r w:rsidR="00FB6940" w:rsidRPr="00F406ED">
        <w:rPr>
          <w:lang w:val="bg-BG"/>
        </w:rPr>
        <w:t xml:space="preserve">може само да повтори, че своевременният и ефективен отговор на властите при разследването на употребата на смъртоносна сила е от съществено значение за поддържането на </w:t>
      </w:r>
      <w:r w:rsidR="009E7646">
        <w:rPr>
          <w:lang w:val="bg-BG"/>
        </w:rPr>
        <w:t>доверие в обществото в това, че</w:t>
      </w:r>
      <w:r w:rsidR="00A6182B">
        <w:rPr>
          <w:lang w:val="bg-BG"/>
        </w:rPr>
        <w:t xml:space="preserve"> се </w:t>
      </w:r>
      <w:r w:rsidR="00FB6940" w:rsidRPr="00F406ED">
        <w:rPr>
          <w:lang w:val="bg-BG"/>
        </w:rPr>
        <w:t xml:space="preserve">придържат към </w:t>
      </w:r>
      <w:r w:rsidR="00892C7B" w:rsidRPr="00F406ED">
        <w:rPr>
          <w:lang w:val="bg-BG"/>
        </w:rPr>
        <w:t xml:space="preserve">върховенството на закона </w:t>
      </w:r>
      <w:r w:rsidR="003B55AA" w:rsidRPr="00F406ED">
        <w:rPr>
          <w:lang w:val="bg-BG"/>
        </w:rPr>
        <w:t xml:space="preserve">и </w:t>
      </w:r>
      <w:r w:rsidR="00892C7B" w:rsidRPr="00F406ED">
        <w:rPr>
          <w:lang w:val="bg-BG"/>
        </w:rPr>
        <w:t>при предотвратява</w:t>
      </w:r>
      <w:r w:rsidR="009E7646">
        <w:rPr>
          <w:lang w:val="bg-BG"/>
        </w:rPr>
        <w:t>т</w:t>
      </w:r>
      <w:r w:rsidR="00892C7B" w:rsidRPr="00F406ED">
        <w:rPr>
          <w:lang w:val="bg-BG"/>
        </w:rPr>
        <w:t xml:space="preserve"> </w:t>
      </w:r>
      <w:r w:rsidR="00D91DAA">
        <w:rPr>
          <w:lang w:val="bg-BG"/>
        </w:rPr>
        <w:t>каквато и да било</w:t>
      </w:r>
      <w:r w:rsidR="00892C7B" w:rsidRPr="00F406ED">
        <w:rPr>
          <w:lang w:val="bg-BG"/>
        </w:rPr>
        <w:t xml:space="preserve"> поява на тайни споразумения за незаконни действия или търпимост към такива </w:t>
      </w:r>
      <w:r w:rsidR="004B7EE7" w:rsidRPr="00F406ED">
        <w:rPr>
          <w:lang w:val="bg-BG"/>
        </w:rPr>
        <w:t>(</w:t>
      </w:r>
      <w:r w:rsidR="00892C7B" w:rsidRPr="00F406ED">
        <w:rPr>
          <w:lang w:val="bg-BG"/>
        </w:rPr>
        <w:t xml:space="preserve">виж </w:t>
      </w:r>
      <w:r w:rsidR="000C65DF" w:rsidRPr="00F406ED">
        <w:rPr>
          <w:i/>
          <w:lang w:val="bg-BG"/>
        </w:rPr>
        <w:t>Начова и други</w:t>
      </w:r>
      <w:r w:rsidR="004B7EE7" w:rsidRPr="00F406ED">
        <w:rPr>
          <w:lang w:val="bg-BG"/>
        </w:rPr>
        <w:t xml:space="preserve">, </w:t>
      </w:r>
      <w:r w:rsidR="00892C7B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4B7EE7" w:rsidRPr="00F406ED">
        <w:rPr>
          <w:lang w:val="bg-BG"/>
        </w:rPr>
        <w:t>, §118)</w:t>
      </w:r>
      <w:r w:rsidR="00BA5FBD" w:rsidRPr="00F406ED">
        <w:rPr>
          <w:lang w:val="bg-BG"/>
        </w:rPr>
        <w:t>.</w:t>
      </w:r>
    </w:p>
    <w:p w:rsidR="00056DC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41D99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67</w:t>
      </w:r>
      <w:r w:rsidRPr="00F406ED">
        <w:rPr>
          <w:lang w:val="bg-BG"/>
        </w:rPr>
        <w:fldChar w:fldCharType="end"/>
      </w:r>
      <w:r w:rsidR="00B41D99" w:rsidRPr="00F406ED">
        <w:rPr>
          <w:lang w:val="bg-BG"/>
        </w:rPr>
        <w:t>.  </w:t>
      </w:r>
      <w:r w:rsidR="00C04694" w:rsidRPr="00F406ED">
        <w:rPr>
          <w:lang w:val="bg-BG"/>
        </w:rPr>
        <w:t xml:space="preserve">Освен това </w:t>
      </w:r>
      <w:r w:rsidR="00353D29" w:rsidRPr="00F406ED">
        <w:rPr>
          <w:lang w:val="bg-BG"/>
        </w:rPr>
        <w:t>Съдът</w:t>
      </w:r>
      <w:r w:rsidR="00D91DAA">
        <w:rPr>
          <w:lang w:val="bg-BG"/>
        </w:rPr>
        <w:t xml:space="preserve"> </w:t>
      </w:r>
      <w:r w:rsidR="00C04694" w:rsidRPr="00F406ED">
        <w:rPr>
          <w:lang w:val="bg-BG"/>
        </w:rPr>
        <w:t xml:space="preserve">отбелязва, че в продължение на повече от две години разследващите органи не запознават по надлежния ред </w:t>
      </w:r>
      <w:r w:rsidR="002B4892" w:rsidRPr="00F406ED">
        <w:rPr>
          <w:lang w:val="bg-BG"/>
        </w:rPr>
        <w:t>жалбоподателката</w:t>
      </w:r>
      <w:r w:rsidR="00D91DAA">
        <w:rPr>
          <w:lang w:val="bg-BG"/>
        </w:rPr>
        <w:t xml:space="preserve"> </w:t>
      </w:r>
      <w:r w:rsidR="00C04694" w:rsidRPr="00F406ED">
        <w:rPr>
          <w:lang w:val="bg-BG"/>
        </w:rPr>
        <w:t xml:space="preserve">с резултатите от разследването </w:t>
      </w:r>
      <w:r w:rsidR="005071CA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504BE4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D0191C" w:rsidRPr="00F406ED">
        <w:rPr>
          <w:lang w:val="bg-BG"/>
        </w:rPr>
        <w:instrText xml:space="preserve"> REF decision_29_September_1998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26</w:t>
      </w:r>
      <w:r w:rsidRPr="00F406ED">
        <w:rPr>
          <w:lang w:val="bg-BG"/>
        </w:rPr>
        <w:fldChar w:fldCharType="end"/>
      </w:r>
      <w:r w:rsidR="00D0191C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D0191C" w:rsidRPr="00F406ED">
        <w:rPr>
          <w:lang w:val="bg-BG"/>
        </w:rPr>
        <w:instrText xml:space="preserve"> REF decision_21_December_1998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27</w:t>
      </w:r>
      <w:r w:rsidRPr="00F406ED">
        <w:rPr>
          <w:lang w:val="bg-BG"/>
        </w:rPr>
        <w:fldChar w:fldCharType="end"/>
      </w:r>
      <w:r w:rsidR="00846600" w:rsidRPr="00F406ED">
        <w:rPr>
          <w:lang w:val="bg-BG"/>
        </w:rPr>
        <w:t>,</w:t>
      </w:r>
      <w:r w:rsidRPr="00F406ED">
        <w:rPr>
          <w:lang w:val="bg-BG"/>
        </w:rPr>
        <w:fldChar w:fldCharType="begin"/>
      </w:r>
      <w:r w:rsidR="00FA423B" w:rsidRPr="00F406ED">
        <w:rPr>
          <w:lang w:val="bg-BG"/>
        </w:rPr>
        <w:instrText xml:space="preserve"> REF decision_2_June_2000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31</w:t>
      </w:r>
      <w:r w:rsidRPr="00F406ED">
        <w:rPr>
          <w:lang w:val="bg-BG"/>
        </w:rPr>
        <w:fldChar w:fldCharType="end"/>
      </w:r>
      <w:r w:rsidR="00FA423B" w:rsidRPr="00F406ED">
        <w:rPr>
          <w:lang w:val="bg-BG"/>
        </w:rPr>
        <w:t xml:space="preserve">, </w:t>
      </w:r>
      <w:r w:rsidRPr="00F406ED">
        <w:rPr>
          <w:lang w:val="bg-BG"/>
        </w:rPr>
        <w:fldChar w:fldCharType="begin"/>
      </w:r>
      <w:r w:rsidR="00FA423B" w:rsidRPr="00F406ED">
        <w:rPr>
          <w:lang w:val="bg-BG"/>
        </w:rPr>
        <w:instrText xml:space="preserve"> REF decision_24_July_2000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34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C04694" w:rsidRPr="00F406ED">
        <w:rPr>
          <w:lang w:val="bg-BG"/>
        </w:rPr>
        <w:t xml:space="preserve">и </w:t>
      </w:r>
      <w:r w:rsidRPr="00F406ED">
        <w:rPr>
          <w:lang w:val="bg-BG"/>
        </w:rPr>
        <w:fldChar w:fldCharType="begin"/>
      </w:r>
      <w:r w:rsidR="00FA423B" w:rsidRPr="00F406ED">
        <w:rPr>
          <w:lang w:val="bg-BG"/>
        </w:rPr>
        <w:instrText xml:space="preserve"> REF decision_4_October_2000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37</w:t>
      </w:r>
      <w:r w:rsidRPr="00F406ED">
        <w:rPr>
          <w:lang w:val="bg-BG"/>
        </w:rPr>
        <w:fldChar w:fldCharType="end"/>
      </w:r>
      <w:r w:rsidR="00D91DAA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5071CA" w:rsidRPr="00F406ED">
        <w:rPr>
          <w:lang w:val="bg-BG"/>
        </w:rPr>
        <w:t>)</w:t>
      </w:r>
      <w:r w:rsidR="00A04E83">
        <w:rPr>
          <w:lang w:val="bg-BG"/>
        </w:rPr>
        <w:t xml:space="preserve"> </w:t>
      </w:r>
      <w:r w:rsidR="00C04694" w:rsidRPr="00F406ED">
        <w:rPr>
          <w:lang w:val="bg-BG"/>
        </w:rPr>
        <w:t>и че</w:t>
      </w:r>
      <w:r w:rsidR="0021728C" w:rsidRPr="00F406ED">
        <w:rPr>
          <w:lang w:val="bg-BG"/>
        </w:rPr>
        <w:t xml:space="preserve">, </w:t>
      </w:r>
      <w:r w:rsidR="00C04694" w:rsidRPr="00F406ED">
        <w:rPr>
          <w:lang w:val="bg-BG"/>
        </w:rPr>
        <w:t xml:space="preserve">в резултат от автоматичната система за преразглеждане на прекратяването, която е в сила между януари </w:t>
      </w:r>
      <w:r w:rsidR="00497072" w:rsidRPr="00F406ED">
        <w:rPr>
          <w:lang w:val="bg-BG"/>
        </w:rPr>
        <w:t>2000</w:t>
      </w:r>
      <w:r w:rsidR="00F406ED" w:rsidRPr="00F406ED">
        <w:rPr>
          <w:lang w:val="bg-BG"/>
        </w:rPr>
        <w:t> г.</w:t>
      </w:r>
      <w:r w:rsidR="00A04E83">
        <w:rPr>
          <w:lang w:val="bg-BG"/>
        </w:rPr>
        <w:t xml:space="preserve"> </w:t>
      </w:r>
      <w:r w:rsidR="00C04694" w:rsidRPr="00F406ED">
        <w:rPr>
          <w:lang w:val="bg-BG"/>
        </w:rPr>
        <w:t xml:space="preserve">и </w:t>
      </w:r>
      <w:r w:rsidR="008E7BA7" w:rsidRPr="00F406ED">
        <w:rPr>
          <w:lang w:val="bg-BG"/>
        </w:rPr>
        <w:t xml:space="preserve">май </w:t>
      </w:r>
      <w:r w:rsidR="0021728C" w:rsidRPr="00F406ED">
        <w:rPr>
          <w:lang w:val="bg-BG"/>
        </w:rPr>
        <w:t>2001</w:t>
      </w:r>
      <w:r w:rsidR="00F406ED" w:rsidRPr="00F406ED">
        <w:rPr>
          <w:lang w:val="bg-BG"/>
        </w:rPr>
        <w:t> г.</w:t>
      </w:r>
      <w:r w:rsidR="005E53D1" w:rsidRPr="00F406ED">
        <w:rPr>
          <w:lang w:val="bg-BG"/>
        </w:rPr>
        <w:t xml:space="preserve"> 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A04E83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5E53D1" w:rsidRPr="00F406ED">
        <w:rPr>
          <w:lang w:val="bg-BG"/>
        </w:rPr>
        <w:instrText xml:space="preserve"> REF RDL_Article_237_one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47</w:t>
      </w:r>
      <w:r w:rsidRPr="00F406ED">
        <w:rPr>
          <w:lang w:val="bg-BG"/>
        </w:rPr>
        <w:fldChar w:fldCharType="end"/>
      </w:r>
      <w:r w:rsidR="005E53D1" w:rsidRPr="00F406ED">
        <w:rPr>
          <w:lang w:val="bg-BG"/>
        </w:rPr>
        <w:noBreakHyphen/>
      </w:r>
      <w:r w:rsidRPr="00F406ED">
        <w:rPr>
          <w:lang w:val="bg-BG"/>
        </w:rPr>
        <w:fldChar w:fldCharType="begin"/>
      </w:r>
      <w:r w:rsidR="005E53D1" w:rsidRPr="00F406ED">
        <w:rPr>
          <w:lang w:val="bg-BG"/>
        </w:rPr>
        <w:instrText xml:space="preserve"> REF RDL_Article_237_three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49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5E53D1" w:rsidRPr="00F406ED">
        <w:rPr>
          <w:lang w:val="bg-BG"/>
        </w:rPr>
        <w:t>)</w:t>
      </w:r>
      <w:r w:rsidR="0021728C" w:rsidRPr="00F406ED">
        <w:rPr>
          <w:lang w:val="bg-BG"/>
        </w:rPr>
        <w:t xml:space="preserve">, </w:t>
      </w:r>
      <w:proofErr w:type="spellStart"/>
      <w:r w:rsidR="002B4892" w:rsidRPr="00F406ED">
        <w:rPr>
          <w:lang w:val="bg-BG"/>
        </w:rPr>
        <w:t>жалбоподателката</w:t>
      </w:r>
      <w:proofErr w:type="spellEnd"/>
      <w:r w:rsidR="00367521">
        <w:rPr>
          <w:lang w:val="bg-BG"/>
        </w:rPr>
        <w:t xml:space="preserve"> </w:t>
      </w:r>
      <w:r w:rsidR="00C04694" w:rsidRPr="00F406ED">
        <w:rPr>
          <w:lang w:val="bg-BG"/>
        </w:rPr>
        <w:t xml:space="preserve">в крайна сметка не е била в състояние ефективно да оспори констатациите на разследването </w:t>
      </w:r>
      <w:r w:rsidR="00024D23" w:rsidRPr="00F406ED">
        <w:rPr>
          <w:lang w:val="bg-BG"/>
        </w:rPr>
        <w:t>(</w:t>
      </w:r>
      <w:r w:rsidR="00C04694" w:rsidRPr="00F406ED">
        <w:rPr>
          <w:lang w:val="bg-BG"/>
        </w:rPr>
        <w:t>виж</w:t>
      </w:r>
      <w:r w:rsidR="000C2BC6" w:rsidRPr="00F406ED">
        <w:rPr>
          <w:lang w:val="bg-BG"/>
        </w:rPr>
        <w:t xml:space="preserve">, </w:t>
      </w:r>
      <w:r w:rsidR="00103103" w:rsidRPr="00F406ED">
        <w:rPr>
          <w:lang w:val="bg-BG"/>
        </w:rPr>
        <w:t>за разлика</w:t>
      </w:r>
      <w:r w:rsidR="00C04694" w:rsidRPr="00F406ED">
        <w:rPr>
          <w:lang w:val="bg-BG"/>
        </w:rPr>
        <w:t xml:space="preserve"> от това</w:t>
      </w:r>
      <w:r w:rsidR="00504BE4">
        <w:rPr>
          <w:lang w:val="bg-BG"/>
        </w:rPr>
        <w:t xml:space="preserve"> </w:t>
      </w:r>
      <w:r w:rsidR="000C2BC6" w:rsidRPr="00F406ED">
        <w:rPr>
          <w:lang w:val="bg-BG"/>
        </w:rPr>
        <w:t>,</w:t>
      </w:r>
      <w:proofErr w:type="spellStart"/>
      <w:r w:rsidR="00024D23" w:rsidRPr="00F406ED">
        <w:rPr>
          <w:i/>
          <w:lang w:val="bg-BG" w:eastAsia="en-US"/>
        </w:rPr>
        <w:t>McShane</w:t>
      </w:r>
      <w:proofErr w:type="spellEnd"/>
      <w:r w:rsidR="00024D23" w:rsidRPr="00F406ED">
        <w:rPr>
          <w:i/>
          <w:lang w:val="bg-BG" w:eastAsia="en-US"/>
        </w:rPr>
        <w:t xml:space="preserve"> v. </w:t>
      </w:r>
      <w:proofErr w:type="spellStart"/>
      <w:r w:rsidR="00024D23" w:rsidRPr="00F406ED">
        <w:rPr>
          <w:i/>
          <w:lang w:val="bg-BG" w:eastAsia="en-US"/>
        </w:rPr>
        <w:t>the</w:t>
      </w:r>
      <w:proofErr w:type="spellEnd"/>
      <w:r w:rsidR="00024D23" w:rsidRPr="00F406ED">
        <w:rPr>
          <w:i/>
          <w:lang w:val="bg-BG" w:eastAsia="en-US"/>
        </w:rPr>
        <w:t xml:space="preserve"> </w:t>
      </w:r>
      <w:proofErr w:type="spellStart"/>
      <w:r w:rsidR="00024D23" w:rsidRPr="00F406ED">
        <w:rPr>
          <w:i/>
          <w:lang w:val="bg-BG" w:eastAsia="en-US"/>
        </w:rPr>
        <w:t>United</w:t>
      </w:r>
      <w:proofErr w:type="spellEnd"/>
      <w:r w:rsidR="00024D23" w:rsidRPr="00F406ED">
        <w:rPr>
          <w:i/>
          <w:lang w:val="bg-BG" w:eastAsia="en-US"/>
        </w:rPr>
        <w:t xml:space="preserve"> </w:t>
      </w:r>
      <w:proofErr w:type="spellStart"/>
      <w:r w:rsidR="00024D23" w:rsidRPr="00F406ED">
        <w:rPr>
          <w:i/>
          <w:lang w:val="bg-BG" w:eastAsia="en-US"/>
        </w:rPr>
        <w:t>Kingdom</w:t>
      </w:r>
      <w:proofErr w:type="spellEnd"/>
      <w:r w:rsidR="00024D23" w:rsidRPr="00F406ED">
        <w:rPr>
          <w:lang w:val="bg-BG" w:eastAsia="en-US"/>
        </w:rPr>
        <w:t xml:space="preserve">, </w:t>
      </w:r>
      <w:proofErr w:type="spellStart"/>
      <w:r w:rsidR="00024D23" w:rsidRPr="00F406ED">
        <w:rPr>
          <w:lang w:val="bg-BG" w:eastAsia="en-US"/>
        </w:rPr>
        <w:t>no</w:t>
      </w:r>
      <w:proofErr w:type="spellEnd"/>
      <w:r w:rsidR="00024D23" w:rsidRPr="00F406ED">
        <w:rPr>
          <w:lang w:val="bg-BG" w:eastAsia="en-US"/>
        </w:rPr>
        <w:t>.</w:t>
      </w:r>
      <w:r w:rsidR="00A04E83">
        <w:rPr>
          <w:lang w:val="bg-BG" w:eastAsia="en-US"/>
        </w:rPr>
        <w:t xml:space="preserve"> </w:t>
      </w:r>
      <w:r w:rsidR="00024D23" w:rsidRPr="00F406ED">
        <w:rPr>
          <w:lang w:val="bg-BG" w:eastAsia="en-US"/>
        </w:rPr>
        <w:t>43290/98, §118, 28</w:t>
      </w:r>
      <w:r w:rsidR="008E7BA7" w:rsidRPr="00F406ED">
        <w:rPr>
          <w:lang w:val="bg-BG" w:eastAsia="en-US"/>
        </w:rPr>
        <w:t xml:space="preserve"> май </w:t>
      </w:r>
      <w:r w:rsidR="00024D23" w:rsidRPr="00F406ED">
        <w:rPr>
          <w:lang w:val="bg-BG" w:eastAsia="en-US"/>
        </w:rPr>
        <w:t>2002</w:t>
      </w:r>
      <w:r w:rsidR="00F406ED" w:rsidRPr="00F406ED">
        <w:rPr>
          <w:lang w:val="bg-BG" w:eastAsia="en-US"/>
        </w:rPr>
        <w:t> г.</w:t>
      </w:r>
      <w:r w:rsidR="00024D23" w:rsidRPr="00F406ED">
        <w:rPr>
          <w:lang w:val="bg-BG"/>
        </w:rPr>
        <w:t>)</w:t>
      </w:r>
      <w:r w:rsidR="0021728C" w:rsidRPr="00F406ED">
        <w:rPr>
          <w:lang w:val="bg-BG"/>
        </w:rPr>
        <w:t xml:space="preserve">. </w:t>
      </w:r>
      <w:r w:rsidR="00C04694" w:rsidRPr="00F406ED">
        <w:rPr>
          <w:lang w:val="bg-BG"/>
        </w:rPr>
        <w:t>Възможността да бъдат подадени възражения пред следователя е явно недостатъчна в това отноше</w:t>
      </w:r>
      <w:r w:rsidR="004E06BC" w:rsidRPr="00F406ED">
        <w:rPr>
          <w:lang w:val="bg-BG"/>
        </w:rPr>
        <w:t xml:space="preserve">ние, тъй като самият следовател е лицето, което им отговаря и тъй като те не променят изобщо крайното му предложение към органите на прокуратурата </w:t>
      </w:r>
      <w:r w:rsidR="0004732E" w:rsidRPr="00F406ED">
        <w:rPr>
          <w:lang w:val="bg-BG"/>
        </w:rPr>
        <w:t>(</w:t>
      </w:r>
      <w:r w:rsidR="004825B6" w:rsidRPr="00F406ED">
        <w:rPr>
          <w:lang w:val="bg-BG"/>
        </w:rPr>
        <w:t xml:space="preserve">виж </w:t>
      </w:r>
      <w:r w:rsidR="00E05665" w:rsidRPr="00F406ED">
        <w:rPr>
          <w:lang w:val="bg-BG"/>
        </w:rPr>
        <w:t>параграфи</w:t>
      </w:r>
      <w:r w:rsidR="00A04E83">
        <w:rPr>
          <w:lang w:val="bg-BG"/>
        </w:rPr>
        <w:t xml:space="preserve"> </w:t>
      </w:r>
      <w:r w:rsidRPr="00F406ED">
        <w:rPr>
          <w:lang w:val="bg-BG"/>
        </w:rPr>
        <w:fldChar w:fldCharType="begin"/>
      </w:r>
      <w:r w:rsidR="00127EBB" w:rsidRPr="00F406ED">
        <w:rPr>
          <w:lang w:val="bg-BG"/>
        </w:rPr>
        <w:instrText xml:space="preserve"> REF objection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38</w:t>
      </w:r>
      <w:r w:rsidRPr="00F406ED">
        <w:rPr>
          <w:lang w:val="bg-BG"/>
        </w:rPr>
        <w:fldChar w:fldCharType="end"/>
      </w:r>
      <w:r w:rsidR="00127EBB" w:rsidRPr="00F406ED">
        <w:rPr>
          <w:lang w:val="bg-BG"/>
        </w:rPr>
        <w:noBreakHyphen/>
      </w:r>
      <w:r w:rsidRPr="00F406ED">
        <w:rPr>
          <w:lang w:val="bg-BG"/>
        </w:rPr>
        <w:fldChar w:fldCharType="begin"/>
      </w:r>
      <w:r w:rsidR="00160612" w:rsidRPr="00F406ED">
        <w:rPr>
          <w:lang w:val="bg-BG"/>
        </w:rPr>
        <w:instrText xml:space="preserve"> REF proposal_12_October_2000 \h </w:instrText>
      </w:r>
      <w:r w:rsidRPr="00F406ED">
        <w:rPr>
          <w:lang w:val="bg-BG"/>
        </w:rPr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40</w:t>
      </w:r>
      <w:r w:rsidRPr="00F406ED">
        <w:rPr>
          <w:lang w:val="bg-BG"/>
        </w:rPr>
        <w:fldChar w:fldCharType="end"/>
      </w:r>
      <w:r w:rsidR="00A04E83">
        <w:rPr>
          <w:lang w:val="bg-BG"/>
        </w:rPr>
        <w:t xml:space="preserve"> </w:t>
      </w:r>
      <w:r w:rsidR="004825B6" w:rsidRPr="00F406ED">
        <w:rPr>
          <w:lang w:val="bg-BG"/>
        </w:rPr>
        <w:t>по-горе</w:t>
      </w:r>
      <w:r w:rsidR="0004732E" w:rsidRPr="00F406ED">
        <w:rPr>
          <w:lang w:val="bg-BG"/>
        </w:rPr>
        <w:t>)</w:t>
      </w:r>
      <w:r w:rsidR="008C7791" w:rsidRPr="00F406ED">
        <w:rPr>
          <w:lang w:val="bg-BG"/>
        </w:rPr>
        <w:t>.</w:t>
      </w:r>
      <w:r w:rsidR="00A04E83">
        <w:rPr>
          <w:lang w:val="bg-BG"/>
        </w:rPr>
        <w:t xml:space="preserve"> </w:t>
      </w:r>
      <w:r w:rsidR="004E06BC" w:rsidRPr="00F406ED">
        <w:rPr>
          <w:lang w:val="bg-BG"/>
        </w:rPr>
        <w:t xml:space="preserve">При тези обстоятелства и с оглед на </w:t>
      </w:r>
      <w:r w:rsidR="00103103" w:rsidRPr="00F406ED">
        <w:rPr>
          <w:lang w:val="bg-BG"/>
        </w:rPr>
        <w:t>прекия</w:t>
      </w:r>
      <w:r w:rsidR="004E06BC" w:rsidRPr="00F406ED">
        <w:rPr>
          <w:lang w:val="bg-BG"/>
        </w:rPr>
        <w:t xml:space="preserve"> и личен интерес на 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4E06BC" w:rsidRPr="00F406ED">
        <w:rPr>
          <w:lang w:val="bg-BG"/>
        </w:rPr>
        <w:t>от предмета на разследването</w:t>
      </w:r>
      <w:r w:rsidR="00056DCE" w:rsidRPr="00F406ED">
        <w:rPr>
          <w:lang w:val="bg-BG"/>
        </w:rPr>
        <w:t xml:space="preserve">, 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4E06BC" w:rsidRPr="00F406ED">
        <w:rPr>
          <w:lang w:val="bg-BG"/>
        </w:rPr>
        <w:t>счита, че тя не може да се счита за включена в производството в степента, необходима за защитата на нейните законни интереси</w:t>
      </w:r>
      <w:r w:rsidR="00056DCE" w:rsidRPr="00F406ED">
        <w:rPr>
          <w:lang w:val="bg-BG"/>
        </w:rPr>
        <w:t>.</w:t>
      </w:r>
    </w:p>
    <w:bookmarkStart w:id="41" w:name="A2_i_3"/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68</w:t>
      </w:r>
      <w:r w:rsidRPr="00F406ED">
        <w:rPr>
          <w:lang w:val="bg-BG"/>
        </w:rPr>
        <w:fldChar w:fldCharType="end"/>
      </w:r>
      <w:bookmarkEnd w:id="41"/>
      <w:r w:rsidR="00A84DEE" w:rsidRPr="00F406ED">
        <w:rPr>
          <w:lang w:val="bg-BG"/>
        </w:rPr>
        <w:t>.  </w:t>
      </w:r>
      <w:r w:rsidR="004E06BC" w:rsidRPr="00F406ED">
        <w:rPr>
          <w:lang w:val="bg-BG"/>
        </w:rPr>
        <w:t>С оглед на предходното</w:t>
      </w:r>
      <w:r w:rsidR="002A6B6D" w:rsidRPr="00F406ED">
        <w:rPr>
          <w:lang w:val="bg-BG"/>
        </w:rPr>
        <w:t xml:space="preserve"> 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4E06BC" w:rsidRPr="00F406ED">
        <w:rPr>
          <w:lang w:val="bg-BG"/>
        </w:rPr>
        <w:t xml:space="preserve">заключава, че разследването на смъртта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504BE4">
        <w:rPr>
          <w:lang w:val="bg-BG"/>
        </w:rPr>
        <w:t xml:space="preserve"> </w:t>
      </w:r>
      <w:r w:rsidR="004E06BC" w:rsidRPr="00F406ED">
        <w:rPr>
          <w:lang w:val="bg-BG"/>
        </w:rPr>
        <w:t>не отговаря на изискванията на член </w:t>
      </w:r>
      <w:r w:rsidR="00757E03" w:rsidRPr="00F406ED">
        <w:rPr>
          <w:lang w:val="bg-BG"/>
        </w:rPr>
        <w:t xml:space="preserve">2 </w:t>
      </w:r>
      <w:r w:rsidR="00364686" w:rsidRPr="00F406ED">
        <w:rPr>
          <w:lang w:val="bg-BG"/>
        </w:rPr>
        <w:t>от Конвенцията</w:t>
      </w:r>
      <w:r w:rsidR="002A6B6D" w:rsidRPr="00F406ED">
        <w:rPr>
          <w:lang w:val="bg-BG"/>
        </w:rPr>
        <w:t>.</w:t>
      </w:r>
      <w:r w:rsidR="00A04E83">
        <w:rPr>
          <w:lang w:val="bg-BG"/>
        </w:rPr>
        <w:t xml:space="preserve"> </w:t>
      </w:r>
      <w:r w:rsidR="004E06BC" w:rsidRPr="00F406ED">
        <w:rPr>
          <w:lang w:val="bg-BG"/>
        </w:rPr>
        <w:t>Поради това е налице нарушение на тази разпоредба</w:t>
      </w:r>
      <w:r w:rsidR="00757E03" w:rsidRPr="00F406ED">
        <w:rPr>
          <w:lang w:val="bg-BG"/>
        </w:rPr>
        <w:t>.</w:t>
      </w:r>
    </w:p>
    <w:p w:rsidR="00A84DEE" w:rsidRPr="00F406ED" w:rsidRDefault="00A84DEE" w:rsidP="00995C31">
      <w:pPr>
        <w:pStyle w:val="JuHIRoman"/>
        <w:outlineLvl w:val="1"/>
        <w:rPr>
          <w:lang w:val="bg-BG"/>
        </w:rPr>
      </w:pPr>
      <w:r w:rsidRPr="00F406ED">
        <w:rPr>
          <w:lang w:val="bg-BG"/>
        </w:rPr>
        <w:t>II.  </w:t>
      </w:r>
      <w:r w:rsidR="00022970" w:rsidRPr="00F406ED">
        <w:rPr>
          <w:lang w:val="bg-BG"/>
        </w:rPr>
        <w:t>ТВЪРДЯНО НАРУШЕНИЕ НА ЧЛЕН 13 ОТ КОНВЕНЦИЯТА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A84DE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69</w:t>
      </w:r>
      <w:r w:rsidRPr="00F406ED">
        <w:rPr>
          <w:lang w:val="bg-BG"/>
        </w:rPr>
        <w:fldChar w:fldCharType="end"/>
      </w:r>
      <w:r w:rsidR="00A84DEE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022970" w:rsidRPr="00F406ED">
        <w:rPr>
          <w:lang w:val="bg-BG"/>
        </w:rPr>
        <w:t xml:space="preserve">се оплаква, че не е имала ефективно вътрешно правно средство </w:t>
      </w:r>
      <w:r w:rsidR="00103103" w:rsidRPr="00F406ED">
        <w:rPr>
          <w:lang w:val="bg-BG"/>
        </w:rPr>
        <w:t>з</w:t>
      </w:r>
      <w:r w:rsidR="00022970" w:rsidRPr="00F406ED">
        <w:rPr>
          <w:lang w:val="bg-BG"/>
        </w:rPr>
        <w:t>а защита срещу нарушенията на член </w:t>
      </w:r>
      <w:r w:rsidR="00A84DEE" w:rsidRPr="00F406ED">
        <w:rPr>
          <w:lang w:val="bg-BG"/>
        </w:rPr>
        <w:t xml:space="preserve">2. </w:t>
      </w:r>
      <w:r w:rsidR="00022970" w:rsidRPr="00F406ED">
        <w:rPr>
          <w:lang w:val="bg-BG"/>
        </w:rPr>
        <w:t>Тя се позовава на член </w:t>
      </w:r>
      <w:r w:rsidR="00A84DEE" w:rsidRPr="00F406ED">
        <w:rPr>
          <w:lang w:val="bg-BG"/>
        </w:rPr>
        <w:t xml:space="preserve">13 </w:t>
      </w:r>
      <w:r w:rsidR="00364686" w:rsidRPr="00F406ED">
        <w:rPr>
          <w:lang w:val="bg-BG"/>
        </w:rPr>
        <w:t>от Конвенцията</w:t>
      </w:r>
      <w:r w:rsidR="00A84DEE" w:rsidRPr="00F406ED">
        <w:rPr>
          <w:lang w:val="bg-BG"/>
        </w:rPr>
        <w:t xml:space="preserve">, </w:t>
      </w:r>
      <w:r w:rsidR="00022970" w:rsidRPr="00F406ED">
        <w:rPr>
          <w:lang w:val="bg-BG"/>
        </w:rPr>
        <w:t>който предвижда следното</w:t>
      </w:r>
      <w:r w:rsidR="00A84DEE" w:rsidRPr="00F406ED">
        <w:rPr>
          <w:lang w:val="bg-BG"/>
        </w:rPr>
        <w:t>:</w:t>
      </w:r>
    </w:p>
    <w:p w:rsidR="00A84DEE" w:rsidRPr="00F406ED" w:rsidRDefault="00C50069" w:rsidP="00A84DEE">
      <w:pPr>
        <w:pStyle w:val="JuQuot"/>
        <w:rPr>
          <w:lang w:val="bg-BG"/>
        </w:rPr>
      </w:pPr>
      <w:r w:rsidRPr="00F406ED">
        <w:rPr>
          <w:lang w:val="bg-BG"/>
        </w:rPr>
        <w:t xml:space="preserve">„Всеки,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</w:t>
      </w:r>
      <w:proofErr w:type="spellStart"/>
      <w:r w:rsidRPr="00F406ED">
        <w:rPr>
          <w:lang w:val="bg-BG"/>
        </w:rPr>
        <w:t>действуващи</w:t>
      </w:r>
      <w:proofErr w:type="spellEnd"/>
      <w:r w:rsidRPr="00F406ED">
        <w:rPr>
          <w:lang w:val="bg-BG"/>
        </w:rPr>
        <w:t xml:space="preserve"> при упражняване на служебни функции.</w:t>
      </w:r>
      <w:r w:rsidR="00A84DEE" w:rsidRPr="00F406ED">
        <w:rPr>
          <w:lang w:val="bg-BG"/>
        </w:rPr>
        <w:t>”</w:t>
      </w:r>
    </w:p>
    <w:p w:rsidR="00E94C97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E94C97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70</w:t>
      </w:r>
      <w:r w:rsidRPr="00F406ED">
        <w:rPr>
          <w:lang w:val="bg-BG"/>
        </w:rPr>
        <w:fldChar w:fldCharType="end"/>
      </w:r>
      <w:r w:rsidR="00E94C97" w:rsidRPr="00F406ED">
        <w:rPr>
          <w:lang w:val="bg-BG"/>
        </w:rPr>
        <w:t>.  </w:t>
      </w:r>
      <w:r w:rsidR="002B4892" w:rsidRPr="00F406ED">
        <w:rPr>
          <w:lang w:val="bg-BG"/>
        </w:rPr>
        <w:t>Правителството</w:t>
      </w:r>
      <w:r w:rsidR="00504BE4">
        <w:rPr>
          <w:lang w:val="bg-BG"/>
        </w:rPr>
        <w:t xml:space="preserve"> </w:t>
      </w:r>
      <w:r w:rsidR="00C50069" w:rsidRPr="00F406ED">
        <w:rPr>
          <w:lang w:val="bg-BG"/>
        </w:rPr>
        <w:t>заявява, че оставя на Съда да прецени обосноваността на оплакванията</w:t>
      </w:r>
      <w:r w:rsidR="00E94C97" w:rsidRPr="00F406ED">
        <w:rPr>
          <w:lang w:val="bg-BG"/>
        </w:rPr>
        <w:t>.</w:t>
      </w:r>
    </w:p>
    <w:p w:rsidR="002F4631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8044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71</w:t>
      </w:r>
      <w:r w:rsidRPr="00F406ED">
        <w:rPr>
          <w:lang w:val="bg-BG"/>
        </w:rPr>
        <w:fldChar w:fldCharType="end"/>
      </w:r>
      <w:r w:rsidR="00280445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C50069" w:rsidRPr="00F406ED">
        <w:rPr>
          <w:lang w:val="bg-BG"/>
        </w:rPr>
        <w:t xml:space="preserve">твърди, че неадекватността на разследването на смъртта на сина й я е лишило от каквото </w:t>
      </w:r>
      <w:r w:rsidR="00E277CD">
        <w:rPr>
          <w:lang w:val="bg-BG"/>
        </w:rPr>
        <w:t>и да било</w:t>
      </w:r>
      <w:r w:rsidR="00C50069" w:rsidRPr="00F406ED">
        <w:rPr>
          <w:lang w:val="bg-BG"/>
        </w:rPr>
        <w:t xml:space="preserve"> ефективно правно средство за защита в това отношение</w:t>
      </w:r>
      <w:r w:rsidR="002F4631" w:rsidRPr="00F406ED">
        <w:rPr>
          <w:lang w:val="bg-BG"/>
        </w:rPr>
        <w:t>.</w:t>
      </w:r>
    </w:p>
    <w:p w:rsidR="00A84DEE" w:rsidRPr="00F406ED" w:rsidRDefault="00FB1D5F" w:rsidP="00A84DEE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8044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72</w:t>
      </w:r>
      <w:r w:rsidRPr="00F406ED">
        <w:rPr>
          <w:lang w:val="bg-BG"/>
        </w:rPr>
        <w:fldChar w:fldCharType="end"/>
      </w:r>
      <w:r w:rsidR="00280445" w:rsidRPr="00F406ED">
        <w:rPr>
          <w:lang w:val="bg-BG"/>
        </w:rPr>
        <w:t>.  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8C4864" w:rsidRPr="00F406ED">
        <w:rPr>
          <w:lang w:val="bg-BG"/>
        </w:rPr>
        <w:t>счита, че това оплакване е свързано с разгледаните по-горе и поради трябва също да бъде обявено за допустимо</w:t>
      </w:r>
      <w:r w:rsidR="00280445" w:rsidRPr="00F406ED">
        <w:rPr>
          <w:lang w:val="bg-BG"/>
        </w:rPr>
        <w:t xml:space="preserve">. </w:t>
      </w:r>
      <w:r w:rsidR="008C4864" w:rsidRPr="00F406ED">
        <w:rPr>
          <w:lang w:val="bg-BG"/>
        </w:rPr>
        <w:t>Въпреки това, ка</w:t>
      </w:r>
      <w:r w:rsidR="00C42BD6" w:rsidRPr="00F406ED">
        <w:rPr>
          <w:lang w:val="bg-BG"/>
        </w:rPr>
        <w:t>т</w:t>
      </w:r>
      <w:r w:rsidR="008C4864" w:rsidRPr="00F406ED">
        <w:rPr>
          <w:lang w:val="bg-BG"/>
        </w:rPr>
        <w:t>о има предвид причините, поради които е констатирал нарушение на процедурните задължения на държавата по член </w:t>
      </w:r>
      <w:r w:rsidR="00280445" w:rsidRPr="00F406ED">
        <w:rPr>
          <w:lang w:val="bg-BG"/>
        </w:rPr>
        <w:t xml:space="preserve">2, 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8C4864" w:rsidRPr="00F406ED">
        <w:rPr>
          <w:lang w:val="bg-BG"/>
        </w:rPr>
        <w:t>счита, че не е необходимо да изследва дали е налице и нарушение на член </w:t>
      </w:r>
      <w:r w:rsidR="00280445" w:rsidRPr="00F406ED">
        <w:rPr>
          <w:lang w:val="bg-BG"/>
        </w:rPr>
        <w:t>13 (</w:t>
      </w:r>
      <w:r w:rsidR="008C4864" w:rsidRPr="00F406ED">
        <w:rPr>
          <w:lang w:val="bg-BG"/>
        </w:rPr>
        <w:t>виж</w:t>
      </w:r>
      <w:r w:rsidR="00280445" w:rsidRPr="00F406ED">
        <w:rPr>
          <w:lang w:val="bg-BG"/>
        </w:rPr>
        <w:t xml:space="preserve">, </w:t>
      </w:r>
      <w:r w:rsidR="008C4864" w:rsidRPr="00F406ED">
        <w:rPr>
          <w:lang w:val="bg-BG"/>
        </w:rPr>
        <w:t>наред с други източници</w:t>
      </w:r>
      <w:r w:rsidR="00280445" w:rsidRPr="00F406ED">
        <w:rPr>
          <w:lang w:val="bg-BG"/>
        </w:rPr>
        <w:t xml:space="preserve">, </w:t>
      </w:r>
      <w:r w:rsidR="000C65DF" w:rsidRPr="00F406ED">
        <w:rPr>
          <w:i/>
          <w:szCs w:val="24"/>
          <w:lang w:val="bg-BG" w:eastAsia="en-US"/>
        </w:rPr>
        <w:t>Начова и други</w:t>
      </w:r>
      <w:r w:rsidR="00280445" w:rsidRPr="00F406ED">
        <w:rPr>
          <w:szCs w:val="24"/>
          <w:lang w:val="bg-BG" w:eastAsia="en-US"/>
        </w:rPr>
        <w:t xml:space="preserve">, </w:t>
      </w:r>
      <w:r w:rsidR="008C4864" w:rsidRPr="00F406ED">
        <w:rPr>
          <w:szCs w:val="24"/>
          <w:lang w:val="bg-BG" w:eastAsia="en-US"/>
        </w:rPr>
        <w:t xml:space="preserve">цитирано </w:t>
      </w:r>
      <w:r w:rsidR="004825B6" w:rsidRPr="00F406ED">
        <w:rPr>
          <w:szCs w:val="24"/>
          <w:lang w:val="bg-BG" w:eastAsia="en-US"/>
        </w:rPr>
        <w:t>по-горе</w:t>
      </w:r>
      <w:r w:rsidR="00280445" w:rsidRPr="00F406ED">
        <w:rPr>
          <w:szCs w:val="24"/>
          <w:lang w:val="bg-BG" w:eastAsia="en-US"/>
        </w:rPr>
        <w:t>, § 123</w:t>
      </w:r>
      <w:r w:rsidR="00280445" w:rsidRPr="00F406ED">
        <w:rPr>
          <w:lang w:val="bg-BG"/>
        </w:rPr>
        <w:t>).</w:t>
      </w:r>
    </w:p>
    <w:p w:rsidR="00F71A6A" w:rsidRPr="00F406ED" w:rsidRDefault="00A84DEE" w:rsidP="00995C31">
      <w:pPr>
        <w:pStyle w:val="JuHIRoman"/>
        <w:outlineLvl w:val="1"/>
        <w:rPr>
          <w:lang w:val="bg-BG"/>
        </w:rPr>
      </w:pPr>
      <w:r w:rsidRPr="00F406ED">
        <w:rPr>
          <w:lang w:val="bg-BG"/>
        </w:rPr>
        <w:t>III</w:t>
      </w:r>
      <w:r w:rsidR="00F71A6A" w:rsidRPr="00F406ED">
        <w:rPr>
          <w:lang w:val="bg-BG"/>
        </w:rPr>
        <w:t>.  </w:t>
      </w:r>
      <w:r w:rsidR="008C4864" w:rsidRPr="00F406ED">
        <w:rPr>
          <w:lang w:val="bg-BG"/>
        </w:rPr>
        <w:t>ПРИЛАГАНЕ НА ЧЛЕН 41 ОТ КОНВЕНЦИЯТА</w:t>
      </w:r>
    </w:p>
    <w:p w:rsidR="00F71A6A" w:rsidRPr="00F406ED" w:rsidRDefault="00FB1D5F">
      <w:pPr>
        <w:pStyle w:val="JuPara"/>
        <w:keepNext/>
        <w:keepLines/>
        <w:rPr>
          <w:lang w:val="bg-BG"/>
        </w:rPr>
      </w:pPr>
      <w:r w:rsidRPr="00F406ED">
        <w:rPr>
          <w:lang w:val="bg-BG"/>
        </w:rPr>
        <w:fldChar w:fldCharType="begin"/>
      </w:r>
      <w:r w:rsidR="001E2DDF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73</w:t>
      </w:r>
      <w:r w:rsidRPr="00F406ED">
        <w:rPr>
          <w:lang w:val="bg-BG"/>
        </w:rPr>
        <w:fldChar w:fldCharType="end"/>
      </w:r>
      <w:r w:rsidR="00F71A6A" w:rsidRPr="00F406ED">
        <w:rPr>
          <w:lang w:val="bg-BG"/>
        </w:rPr>
        <w:t>.  </w:t>
      </w:r>
      <w:r w:rsidR="00E7045F" w:rsidRPr="00F406ED">
        <w:rPr>
          <w:lang w:val="bg-BG"/>
        </w:rPr>
        <w:t>Член 41 от Конвенцията предвижда</w:t>
      </w:r>
      <w:r w:rsidR="00F71A6A" w:rsidRPr="00F406ED">
        <w:rPr>
          <w:lang w:val="bg-BG"/>
        </w:rPr>
        <w:t>:</w:t>
      </w:r>
    </w:p>
    <w:p w:rsidR="00F71A6A" w:rsidRPr="00F406ED" w:rsidRDefault="00E7045F">
      <w:pPr>
        <w:pStyle w:val="JuQuot"/>
        <w:keepNext/>
        <w:keepLines/>
        <w:rPr>
          <w:lang w:val="bg-BG"/>
        </w:rPr>
      </w:pPr>
      <w:r w:rsidRPr="00F406ED">
        <w:rPr>
          <w:lang w:val="bg-BG"/>
        </w:rPr>
        <w:t xml:space="preserve">„Ако Съдът установи, че е имало нарушение на Конвенцията или на Протоколите към нея и ако вътрешното право на съответната </w:t>
      </w:r>
      <w:proofErr w:type="spellStart"/>
      <w:r w:rsidRPr="00F406ED">
        <w:rPr>
          <w:lang w:val="bg-BG"/>
        </w:rPr>
        <w:t>Βисокодоговаряща</w:t>
      </w:r>
      <w:proofErr w:type="spellEnd"/>
      <w:r w:rsidRPr="00F406ED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F71A6A" w:rsidRPr="00F406ED" w:rsidRDefault="00F71A6A" w:rsidP="00995C31">
      <w:pPr>
        <w:pStyle w:val="JuHA"/>
        <w:keepLines w:val="0"/>
        <w:outlineLvl w:val="2"/>
        <w:rPr>
          <w:lang w:val="bg-BG"/>
        </w:rPr>
      </w:pPr>
      <w:r w:rsidRPr="00F406ED">
        <w:rPr>
          <w:lang w:val="bg-BG"/>
        </w:rPr>
        <w:t>A.  </w:t>
      </w:r>
      <w:r w:rsidR="00E7045F" w:rsidRPr="00F406ED">
        <w:rPr>
          <w:lang w:val="bg-BG"/>
        </w:rPr>
        <w:t>Материални вреди</w:t>
      </w:r>
      <w:r w:rsidR="00504BE4">
        <w:rPr>
          <w:lang w:val="bg-BG"/>
        </w:rPr>
        <w:t xml:space="preserve"> </w:t>
      </w:r>
    </w:p>
    <w:p w:rsidR="001D2224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7231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74</w:t>
      </w:r>
      <w:r w:rsidRPr="00F406ED">
        <w:rPr>
          <w:lang w:val="bg-BG"/>
        </w:rPr>
        <w:fldChar w:fldCharType="end"/>
      </w:r>
      <w:r w:rsidR="00B72312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E7045F" w:rsidRPr="00F406ED">
        <w:rPr>
          <w:lang w:val="bg-BG"/>
        </w:rPr>
        <w:t xml:space="preserve">претендира </w:t>
      </w:r>
      <w:r w:rsidR="007C5887" w:rsidRPr="00F406ED">
        <w:rPr>
          <w:lang w:val="bg-BG"/>
        </w:rPr>
        <w:t>10</w:t>
      </w:r>
      <w:r w:rsidR="00504BE4">
        <w:rPr>
          <w:lang w:val="bg-BG"/>
        </w:rPr>
        <w:t> </w:t>
      </w:r>
      <w:r w:rsidR="007C5887" w:rsidRPr="00F406ED">
        <w:rPr>
          <w:lang w:val="bg-BG"/>
        </w:rPr>
        <w:t xml:space="preserve">000 </w:t>
      </w:r>
      <w:r w:rsidR="00E7045F" w:rsidRPr="00F406ED">
        <w:rPr>
          <w:lang w:val="bg-BG"/>
        </w:rPr>
        <w:t xml:space="preserve">евро </w:t>
      </w:r>
      <w:r w:rsidR="007F3A2E" w:rsidRPr="00F406ED">
        <w:rPr>
          <w:lang w:val="bg-BG"/>
        </w:rPr>
        <w:t xml:space="preserve">(EUR) </w:t>
      </w:r>
      <w:r w:rsidR="00E7045F" w:rsidRPr="00F406ED">
        <w:rPr>
          <w:lang w:val="bg-BG"/>
        </w:rPr>
        <w:t>за материални вреди</w:t>
      </w:r>
      <w:r w:rsidR="0018762E" w:rsidRPr="00F406ED">
        <w:rPr>
          <w:lang w:val="bg-BG"/>
        </w:rPr>
        <w:t xml:space="preserve">. </w:t>
      </w:r>
      <w:r w:rsidR="00C954E1" w:rsidRPr="00F406ED">
        <w:rPr>
          <w:lang w:val="bg-BG"/>
        </w:rPr>
        <w:t xml:space="preserve">Тя твърди, че – тъй като е </w:t>
      </w:r>
      <w:proofErr w:type="spellStart"/>
      <w:r w:rsidR="00C954E1" w:rsidRPr="00F406ED">
        <w:rPr>
          <w:lang w:val="bg-BG"/>
        </w:rPr>
        <w:t>инвалидизирана</w:t>
      </w:r>
      <w:proofErr w:type="spellEnd"/>
      <w:r w:rsidR="00C954E1" w:rsidRPr="00F406ED">
        <w:rPr>
          <w:lang w:val="bg-BG"/>
        </w:rPr>
        <w:t xml:space="preserve"> и е затруднена да се грижи за себе си</w:t>
      </w:r>
      <w:r w:rsidR="000F205B" w:rsidRPr="00F406ED">
        <w:rPr>
          <w:lang w:val="bg-BG"/>
        </w:rPr>
        <w:t xml:space="preserve">, </w:t>
      </w:r>
      <w:r w:rsidR="00C954E1" w:rsidRPr="00F406ED">
        <w:rPr>
          <w:lang w:val="bg-BG"/>
        </w:rPr>
        <w:t>се нуждае от финансово и лично съдействие за ежедневните си нужди</w:t>
      </w:r>
      <w:r w:rsidR="000F205B" w:rsidRPr="00F406ED">
        <w:rPr>
          <w:lang w:val="bg-BG"/>
        </w:rPr>
        <w:t>.</w:t>
      </w:r>
      <w:r w:rsidR="006D77E5">
        <w:rPr>
          <w:lang w:val="bg-BG"/>
        </w:rPr>
        <w:t xml:space="preserve"> </w:t>
      </w:r>
      <w:r w:rsidR="00AF3D13" w:rsidRPr="00F406ED">
        <w:rPr>
          <w:lang w:val="bg-BG"/>
        </w:rPr>
        <w:t xml:space="preserve">Смъртта на нейния син </w:t>
      </w:r>
      <w:r w:rsidR="006D77E5">
        <w:rPr>
          <w:lang w:val="bg-BG"/>
        </w:rPr>
        <w:t xml:space="preserve">обаче </w:t>
      </w:r>
      <w:r w:rsidR="00AF3D13" w:rsidRPr="00F406ED">
        <w:rPr>
          <w:lang w:val="bg-BG"/>
        </w:rPr>
        <w:t>едва на двадесет-годишна възраст</w:t>
      </w:r>
      <w:r w:rsidR="00CC451E" w:rsidRPr="00F406ED">
        <w:rPr>
          <w:lang w:val="bg-BG"/>
        </w:rPr>
        <w:t xml:space="preserve">, </w:t>
      </w:r>
      <w:r w:rsidR="00AF3D13" w:rsidRPr="00F406ED">
        <w:rPr>
          <w:lang w:val="bg-BG"/>
        </w:rPr>
        <w:t>когато е започвал работа и е щял да я издържа</w:t>
      </w:r>
      <w:r w:rsidR="00CC451E" w:rsidRPr="00F406ED">
        <w:rPr>
          <w:lang w:val="bg-BG"/>
        </w:rPr>
        <w:t xml:space="preserve">, </w:t>
      </w:r>
      <w:r w:rsidR="00AF3D13" w:rsidRPr="00F406ED">
        <w:rPr>
          <w:lang w:val="bg-BG"/>
        </w:rPr>
        <w:t>я лишава от тази помощ</w:t>
      </w:r>
      <w:r w:rsidR="00CC451E" w:rsidRPr="00F406ED">
        <w:rPr>
          <w:lang w:val="bg-BG"/>
        </w:rPr>
        <w:t>.</w:t>
      </w:r>
      <w:r w:rsidR="006D77E5">
        <w:rPr>
          <w:lang w:val="bg-BG"/>
        </w:rPr>
        <w:t xml:space="preserve"> </w:t>
      </w:r>
      <w:r w:rsidR="004A0E60" w:rsidRPr="00F406ED">
        <w:rPr>
          <w:lang w:val="bg-BG"/>
        </w:rPr>
        <w:t>При конкретните обстоятелства тя не е била в състояние да осигури документи, за да подкрепи иска си</w:t>
      </w:r>
      <w:r w:rsidR="002222BD" w:rsidRPr="00F406ED">
        <w:rPr>
          <w:lang w:val="bg-BG"/>
        </w:rPr>
        <w:t>.</w:t>
      </w:r>
      <w:r w:rsidR="006D77E5">
        <w:rPr>
          <w:lang w:val="bg-BG"/>
        </w:rPr>
        <w:t xml:space="preserve"> </w:t>
      </w:r>
      <w:r w:rsidR="004D39D6" w:rsidRPr="00F406ED">
        <w:rPr>
          <w:lang w:val="bg-BG"/>
        </w:rPr>
        <w:t>Въпреки това би било несправедливо да се приеме, че един син не би помагал на своята болна майка</w:t>
      </w:r>
      <w:r w:rsidR="00A40D74" w:rsidRPr="00F406ED">
        <w:rPr>
          <w:lang w:val="bg-BG"/>
        </w:rPr>
        <w:t>.</w:t>
      </w:r>
      <w:r w:rsidR="006D77E5">
        <w:rPr>
          <w:lang w:val="bg-BG"/>
        </w:rPr>
        <w:t xml:space="preserve"> </w:t>
      </w:r>
      <w:r w:rsidR="004D39D6" w:rsidRPr="00F406ED">
        <w:rPr>
          <w:lang w:val="bg-BG"/>
        </w:rPr>
        <w:t>Поради това ж</w:t>
      </w:r>
      <w:r w:rsidR="002B4892" w:rsidRPr="00F406ED">
        <w:rPr>
          <w:lang w:val="bg-BG"/>
        </w:rPr>
        <w:t>албоподателката</w:t>
      </w:r>
      <w:r w:rsidR="00504BE4">
        <w:rPr>
          <w:lang w:val="bg-BG"/>
        </w:rPr>
        <w:t xml:space="preserve"> </w:t>
      </w:r>
      <w:r w:rsidR="004D39D6" w:rsidRPr="00F406ED">
        <w:rPr>
          <w:lang w:val="bg-BG"/>
        </w:rPr>
        <w:t>моли Съда да се произнесе по иска й по справедливост</w:t>
      </w:r>
      <w:r w:rsidR="00D32032" w:rsidRPr="00F406ED">
        <w:rPr>
          <w:lang w:val="bg-BG"/>
        </w:rPr>
        <w:t>.</w:t>
      </w:r>
      <w:r w:rsidR="009A301F">
        <w:rPr>
          <w:lang w:val="bg-BG"/>
        </w:rPr>
        <w:t xml:space="preserve"> </w:t>
      </w:r>
      <w:r w:rsidR="00700165" w:rsidRPr="00F406ED">
        <w:rPr>
          <w:lang w:val="bg-BG"/>
        </w:rPr>
        <w:t xml:space="preserve">Алтернативно, тя приканва Съда да присъди за загубата на доход </w:t>
      </w:r>
      <w:r w:rsidR="00B706E7" w:rsidRPr="00F406ED">
        <w:rPr>
          <w:lang w:val="bg-BG"/>
        </w:rPr>
        <w:t>30</w:t>
      </w:r>
      <w:r w:rsidR="009E43DC">
        <w:rPr>
          <w:lang w:val="bg-BG"/>
        </w:rPr>
        <w:t> </w:t>
      </w:r>
      <w:r w:rsidR="00B706E7" w:rsidRPr="00F406ED">
        <w:rPr>
          <w:lang w:val="bg-BG"/>
        </w:rPr>
        <w:t xml:space="preserve">% </w:t>
      </w:r>
      <w:r w:rsidR="00700165" w:rsidRPr="00F406ED">
        <w:rPr>
          <w:lang w:val="bg-BG"/>
        </w:rPr>
        <w:t xml:space="preserve">от средната заплата, която синът й би получавал за петнадесет години  </w:t>
      </w:r>
      <w:r w:rsidR="00B706E7" w:rsidRPr="00F406ED">
        <w:rPr>
          <w:lang w:val="bg-BG"/>
        </w:rPr>
        <w:t xml:space="preserve">– </w:t>
      </w:r>
      <w:r w:rsidR="00700165" w:rsidRPr="00F406ED">
        <w:rPr>
          <w:lang w:val="bg-BG"/>
        </w:rPr>
        <w:t>периодът, през който тя би могла разумно да очаква да получава финансово съдействие от него</w:t>
      </w:r>
      <w:r w:rsidR="00B706E7" w:rsidRPr="00F406ED">
        <w:rPr>
          <w:lang w:val="bg-BG"/>
        </w:rPr>
        <w:t>.</w:t>
      </w:r>
      <w:r w:rsidR="00F721AA" w:rsidRPr="00F406ED">
        <w:rPr>
          <w:lang w:val="bg-BG"/>
        </w:rPr>
        <w:t>Според официалната статистика</w:t>
      </w:r>
      <w:r w:rsidR="00A63A95" w:rsidRPr="00F406ED">
        <w:rPr>
          <w:lang w:val="bg-BG"/>
        </w:rPr>
        <w:t xml:space="preserve">, </w:t>
      </w:r>
      <w:r w:rsidR="00F721AA" w:rsidRPr="00F406ED">
        <w:rPr>
          <w:lang w:val="bg-BG"/>
        </w:rPr>
        <w:t xml:space="preserve">средната месечна заплата в България е била </w:t>
      </w:r>
      <w:r w:rsidR="00AA1140" w:rsidRPr="00F406ED">
        <w:rPr>
          <w:lang w:val="bg-BG"/>
        </w:rPr>
        <w:t xml:space="preserve">460 </w:t>
      </w:r>
      <w:r w:rsidR="00F721AA" w:rsidRPr="00F406ED">
        <w:rPr>
          <w:lang w:val="bg-BG"/>
        </w:rPr>
        <w:t>български лева, което</w:t>
      </w:r>
      <w:r w:rsidR="00391EDC" w:rsidRPr="00F406ED">
        <w:rPr>
          <w:lang w:val="bg-BG"/>
        </w:rPr>
        <w:t xml:space="preserve">, </w:t>
      </w:r>
      <w:r w:rsidR="00F721AA" w:rsidRPr="00F406ED">
        <w:rPr>
          <w:lang w:val="bg-BG"/>
        </w:rPr>
        <w:t xml:space="preserve">според </w:t>
      </w:r>
      <w:r w:rsidR="002B4892" w:rsidRPr="00F406ED">
        <w:rPr>
          <w:lang w:val="bg-BG"/>
        </w:rPr>
        <w:t>жалбоподателката</w:t>
      </w:r>
      <w:r w:rsidR="00391EDC" w:rsidRPr="00F406ED">
        <w:rPr>
          <w:lang w:val="bg-BG"/>
        </w:rPr>
        <w:t xml:space="preserve">, </w:t>
      </w:r>
      <w:r w:rsidR="00F721AA" w:rsidRPr="00F406ED">
        <w:rPr>
          <w:lang w:val="bg-BG"/>
        </w:rPr>
        <w:t xml:space="preserve">е равностойността на </w:t>
      </w:r>
      <w:r w:rsidR="00391EDC" w:rsidRPr="00F406ED">
        <w:rPr>
          <w:lang w:val="bg-BG"/>
        </w:rPr>
        <w:t>230</w:t>
      </w:r>
      <w:r w:rsidR="00F721AA" w:rsidRPr="00F406ED">
        <w:rPr>
          <w:lang w:val="bg-BG"/>
        </w:rPr>
        <w:t> евро</w:t>
      </w:r>
      <w:r w:rsidR="00391EDC" w:rsidRPr="00F406ED">
        <w:rPr>
          <w:lang w:val="bg-BG"/>
        </w:rPr>
        <w:t xml:space="preserve">. </w:t>
      </w:r>
      <w:r w:rsidR="00F721AA" w:rsidRPr="00F406ED">
        <w:rPr>
          <w:lang w:val="bg-BG"/>
        </w:rPr>
        <w:t xml:space="preserve">Получената сума за петнадесет години е </w:t>
      </w:r>
      <w:r w:rsidR="00391EDC" w:rsidRPr="00F406ED">
        <w:rPr>
          <w:lang w:val="bg-BG"/>
        </w:rPr>
        <w:t>12</w:t>
      </w:r>
      <w:r w:rsidR="009A301F">
        <w:rPr>
          <w:lang w:val="bg-BG"/>
        </w:rPr>
        <w:t> </w:t>
      </w:r>
      <w:r w:rsidR="00391EDC" w:rsidRPr="00F406ED">
        <w:rPr>
          <w:lang w:val="bg-BG"/>
        </w:rPr>
        <w:t>420</w:t>
      </w:r>
      <w:r w:rsidR="00F721AA" w:rsidRPr="00F406ED">
        <w:rPr>
          <w:lang w:val="bg-BG"/>
        </w:rPr>
        <w:t> евро</w:t>
      </w:r>
      <w:r w:rsidR="00391EDC" w:rsidRPr="00F406ED">
        <w:rPr>
          <w:lang w:val="bg-BG"/>
        </w:rPr>
        <w:t>.</w:t>
      </w:r>
    </w:p>
    <w:p w:rsidR="00B72312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EA3958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75</w:t>
      </w:r>
      <w:r w:rsidRPr="00F406ED">
        <w:rPr>
          <w:lang w:val="bg-BG"/>
        </w:rPr>
        <w:fldChar w:fldCharType="end"/>
      </w:r>
      <w:r w:rsidR="00EA3958" w:rsidRPr="00F406ED">
        <w:rPr>
          <w:lang w:val="bg-BG"/>
        </w:rPr>
        <w:t>.  </w:t>
      </w:r>
      <w:r w:rsidR="002B4892" w:rsidRPr="00F406ED">
        <w:rPr>
          <w:lang w:val="bg-BG"/>
        </w:rPr>
        <w:t>Правителството</w:t>
      </w:r>
      <w:r w:rsidR="00504BE4">
        <w:rPr>
          <w:lang w:val="bg-BG"/>
        </w:rPr>
        <w:t xml:space="preserve"> </w:t>
      </w:r>
      <w:r w:rsidR="00F721AA" w:rsidRPr="00F406ED">
        <w:rPr>
          <w:lang w:val="bg-BG"/>
        </w:rPr>
        <w:t xml:space="preserve">не представя коментар по иска на </w:t>
      </w:r>
      <w:r w:rsidR="002B4892" w:rsidRPr="00F406ED">
        <w:rPr>
          <w:lang w:val="bg-BG"/>
        </w:rPr>
        <w:t>жалбоподателката</w:t>
      </w:r>
      <w:r w:rsidR="00280445" w:rsidRPr="00F406ED">
        <w:rPr>
          <w:lang w:val="bg-BG"/>
        </w:rPr>
        <w:t>.</w:t>
      </w:r>
    </w:p>
    <w:p w:rsidR="0039343F" w:rsidRPr="00F406ED" w:rsidRDefault="00FB1D5F" w:rsidP="0039343F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7231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76</w:t>
      </w:r>
      <w:r w:rsidRPr="00F406ED">
        <w:rPr>
          <w:lang w:val="bg-BG"/>
        </w:rPr>
        <w:fldChar w:fldCharType="end"/>
      </w:r>
      <w:r w:rsidR="00B72312" w:rsidRPr="00F406ED">
        <w:rPr>
          <w:lang w:val="bg-BG"/>
        </w:rPr>
        <w:t>.  </w:t>
      </w:r>
      <w:r w:rsidR="008C50C6" w:rsidRPr="00F406ED">
        <w:rPr>
          <w:lang w:val="bg-BG"/>
        </w:rPr>
        <w:t>Съгласно утвърдената практика на Съда</w:t>
      </w:r>
      <w:r w:rsidR="00504BE4">
        <w:rPr>
          <w:lang w:val="bg-BG"/>
        </w:rPr>
        <w:t xml:space="preserve"> </w:t>
      </w:r>
      <w:r w:rsidR="008C50C6" w:rsidRPr="00F406ED">
        <w:rPr>
          <w:lang w:val="bg-BG"/>
        </w:rPr>
        <w:t xml:space="preserve">трябва да има ясна причинно-следствена връзка между вредите, </w:t>
      </w:r>
      <w:proofErr w:type="spellStart"/>
      <w:r w:rsidR="008C50C6" w:rsidRPr="00F406ED">
        <w:rPr>
          <w:lang w:val="bg-BG"/>
        </w:rPr>
        <w:t>претендирани</w:t>
      </w:r>
      <w:proofErr w:type="spellEnd"/>
      <w:r w:rsidR="008C50C6" w:rsidRPr="00F406ED">
        <w:rPr>
          <w:lang w:val="bg-BG"/>
        </w:rPr>
        <w:t xml:space="preserve"> от жалбоподателя и установеното нарушение или нарушения</w:t>
      </w:r>
      <w:r w:rsidR="00904D67" w:rsidRPr="00F406ED">
        <w:rPr>
          <w:lang w:val="bg-BG"/>
        </w:rPr>
        <w:t>.</w:t>
      </w:r>
      <w:r w:rsidR="009E43DC">
        <w:rPr>
          <w:lang w:val="bg-BG"/>
        </w:rPr>
        <w:t xml:space="preserve"> </w:t>
      </w:r>
      <w:r w:rsidR="00443B1A" w:rsidRPr="00F406ED">
        <w:rPr>
          <w:lang w:val="bg-BG"/>
        </w:rPr>
        <w:t>Това може</w:t>
      </w:r>
      <w:r w:rsidR="00904D67" w:rsidRPr="00F406ED">
        <w:rPr>
          <w:lang w:val="bg-BG"/>
        </w:rPr>
        <w:t xml:space="preserve">, </w:t>
      </w:r>
      <w:r w:rsidR="00443B1A" w:rsidRPr="00F406ED">
        <w:rPr>
          <w:lang w:val="bg-BG"/>
        </w:rPr>
        <w:t>в подходящи случаи</w:t>
      </w:r>
      <w:r w:rsidR="00904D67" w:rsidRPr="00F406ED">
        <w:rPr>
          <w:lang w:val="bg-BG"/>
        </w:rPr>
        <w:t xml:space="preserve">, </w:t>
      </w:r>
      <w:r w:rsidR="00443B1A" w:rsidRPr="00F406ED">
        <w:rPr>
          <w:lang w:val="bg-BG"/>
        </w:rPr>
        <w:t xml:space="preserve">да включва обезщетение за загуба на приходи </w:t>
      </w:r>
      <w:r w:rsidR="00904D67" w:rsidRPr="00F406ED">
        <w:rPr>
          <w:lang w:val="bg-BG"/>
        </w:rPr>
        <w:t>(</w:t>
      </w:r>
      <w:r w:rsidR="00443B1A" w:rsidRPr="00F406ED">
        <w:rPr>
          <w:lang w:val="bg-BG"/>
        </w:rPr>
        <w:t>виж</w:t>
      </w:r>
      <w:r w:rsidR="007B5A2C" w:rsidRPr="00F406ED">
        <w:rPr>
          <w:lang w:val="bg-BG"/>
        </w:rPr>
        <w:t xml:space="preserve">, </w:t>
      </w:r>
      <w:r w:rsidR="00443B1A" w:rsidRPr="00F406ED">
        <w:rPr>
          <w:lang w:val="bg-BG"/>
        </w:rPr>
        <w:t>наред с други източници</w:t>
      </w:r>
      <w:r w:rsidR="007B5A2C" w:rsidRPr="00F406ED">
        <w:rPr>
          <w:lang w:val="bg-BG"/>
        </w:rPr>
        <w:t xml:space="preserve">, </w:t>
      </w:r>
      <w:r w:rsidR="00443B1A" w:rsidRPr="00F406ED">
        <w:rPr>
          <w:i/>
          <w:lang w:val="bg-BG" w:eastAsia="en-US"/>
        </w:rPr>
        <w:t>Ангелова и Илиев</w:t>
      </w:r>
      <w:r w:rsidR="00504BE4">
        <w:rPr>
          <w:i/>
          <w:lang w:val="bg-BG" w:eastAsia="en-US"/>
        </w:rPr>
        <w:t xml:space="preserve"> </w:t>
      </w:r>
      <w:r w:rsidR="00E11A3E" w:rsidRPr="00F406ED">
        <w:rPr>
          <w:i/>
          <w:lang w:val="bg-BG" w:eastAsia="en-US"/>
        </w:rPr>
        <w:t>срещу България</w:t>
      </w:r>
      <w:r w:rsidR="007B5A2C" w:rsidRPr="00F406ED">
        <w:rPr>
          <w:lang w:val="bg-BG" w:eastAsia="en-US"/>
        </w:rPr>
        <w:t xml:space="preserve">, </w:t>
      </w:r>
      <w:r w:rsidR="00443B1A" w:rsidRPr="00F406ED">
        <w:rPr>
          <w:lang w:val="bg-BG" w:eastAsia="en-US"/>
        </w:rPr>
        <w:t>№</w:t>
      </w:r>
      <w:r w:rsidR="007B5A2C" w:rsidRPr="00F406ED">
        <w:rPr>
          <w:lang w:val="bg-BG" w:eastAsia="en-US"/>
        </w:rPr>
        <w:t xml:space="preserve"> 55523/00, § 125</w:t>
      </w:r>
      <w:r w:rsidR="00197FAB" w:rsidRPr="00F406ED">
        <w:rPr>
          <w:i/>
          <w:lang w:val="bg-BG" w:eastAsia="en-US"/>
        </w:rPr>
        <w:t xml:space="preserve">in </w:t>
      </w:r>
      <w:proofErr w:type="spellStart"/>
      <w:r w:rsidR="00197FAB" w:rsidRPr="00F406ED">
        <w:rPr>
          <w:i/>
          <w:lang w:val="bg-BG" w:eastAsia="en-US"/>
        </w:rPr>
        <w:t>limine</w:t>
      </w:r>
      <w:proofErr w:type="spellEnd"/>
      <w:r w:rsidR="000E0886" w:rsidRPr="00F406ED">
        <w:rPr>
          <w:lang w:val="bg-BG" w:eastAsia="en-US"/>
        </w:rPr>
        <w:t xml:space="preserve">, </w:t>
      </w:r>
      <w:r w:rsidR="00443B1A" w:rsidRPr="00F406ED">
        <w:rPr>
          <w:lang w:val="bg-BG" w:eastAsia="en-US"/>
        </w:rPr>
        <w:t>ЕСПЧ</w:t>
      </w:r>
      <w:r w:rsidR="000E0886" w:rsidRPr="00F406ED">
        <w:rPr>
          <w:lang w:val="bg-BG" w:eastAsia="en-US"/>
        </w:rPr>
        <w:t> </w:t>
      </w:r>
      <w:r w:rsidR="007B5A2C" w:rsidRPr="00F406ED">
        <w:rPr>
          <w:lang w:val="bg-BG" w:eastAsia="en-US"/>
        </w:rPr>
        <w:t>2007</w:t>
      </w:r>
      <w:r w:rsidR="007B5A2C" w:rsidRPr="00F406ED">
        <w:rPr>
          <w:lang w:val="bg-BG" w:eastAsia="en-US"/>
        </w:rPr>
        <w:noBreakHyphen/>
        <w:t>IX</w:t>
      </w:r>
      <w:r w:rsidR="003B6D38" w:rsidRPr="00F406ED">
        <w:rPr>
          <w:lang w:val="bg-BG" w:eastAsia="en-US"/>
        </w:rPr>
        <w:t xml:space="preserve">, </w:t>
      </w:r>
      <w:r w:rsidR="00443B1A" w:rsidRPr="00F406ED">
        <w:rPr>
          <w:lang w:val="bg-BG" w:eastAsia="en-US"/>
        </w:rPr>
        <w:t xml:space="preserve">и </w:t>
      </w:r>
      <w:r w:rsidR="00443B1A" w:rsidRPr="00F406ED">
        <w:rPr>
          <w:i/>
          <w:lang w:val="bg-BG" w:eastAsia="en-US"/>
        </w:rPr>
        <w:t xml:space="preserve">Николова и Величкова </w:t>
      </w:r>
      <w:r w:rsidR="00E11A3E" w:rsidRPr="00F406ED">
        <w:rPr>
          <w:i/>
          <w:lang w:val="bg-BG" w:eastAsia="en-US"/>
        </w:rPr>
        <w:t>срещу България</w:t>
      </w:r>
      <w:r w:rsidR="000E0886" w:rsidRPr="00F406ED">
        <w:rPr>
          <w:lang w:val="bg-BG" w:eastAsia="en-US"/>
        </w:rPr>
        <w:t xml:space="preserve">, </w:t>
      </w:r>
      <w:r w:rsidR="00443B1A" w:rsidRPr="00F406ED">
        <w:rPr>
          <w:lang w:val="bg-BG" w:eastAsia="en-US"/>
        </w:rPr>
        <w:t>№ </w:t>
      </w:r>
      <w:r w:rsidR="000E0886" w:rsidRPr="00F406ED">
        <w:rPr>
          <w:lang w:val="bg-BG" w:eastAsia="en-US"/>
        </w:rPr>
        <w:t>7888/03, § </w:t>
      </w:r>
      <w:r w:rsidR="003B6D38" w:rsidRPr="00F406ED">
        <w:rPr>
          <w:lang w:val="bg-BG" w:eastAsia="en-US"/>
        </w:rPr>
        <w:t xml:space="preserve">82 </w:t>
      </w:r>
      <w:proofErr w:type="spellStart"/>
      <w:r w:rsidR="003B6D38" w:rsidRPr="00F406ED">
        <w:rPr>
          <w:i/>
          <w:lang w:val="bg-BG" w:eastAsia="en-US"/>
        </w:rPr>
        <w:t>in</w:t>
      </w:r>
      <w:proofErr w:type="spellEnd"/>
      <w:r w:rsidR="003B6D38" w:rsidRPr="00F406ED">
        <w:rPr>
          <w:i/>
          <w:lang w:val="bg-BG" w:eastAsia="en-US"/>
        </w:rPr>
        <w:t xml:space="preserve"> </w:t>
      </w:r>
      <w:proofErr w:type="spellStart"/>
      <w:r w:rsidR="003B6D38" w:rsidRPr="00F406ED">
        <w:rPr>
          <w:i/>
          <w:lang w:val="bg-BG" w:eastAsia="en-US"/>
        </w:rPr>
        <w:t>limine</w:t>
      </w:r>
      <w:proofErr w:type="spellEnd"/>
      <w:r w:rsidR="003B6D38" w:rsidRPr="00F406ED">
        <w:rPr>
          <w:lang w:val="bg-BG" w:eastAsia="en-US"/>
        </w:rPr>
        <w:t xml:space="preserve">, 20 </w:t>
      </w:r>
      <w:r w:rsidR="00914B5B" w:rsidRPr="00F406ED">
        <w:rPr>
          <w:lang w:val="bg-BG" w:eastAsia="en-US"/>
        </w:rPr>
        <w:t>декември</w:t>
      </w:r>
      <w:r w:rsidR="003B6D38" w:rsidRPr="00F406ED">
        <w:rPr>
          <w:lang w:val="bg-BG" w:eastAsia="en-US"/>
        </w:rPr>
        <w:t xml:space="preserve"> 2007</w:t>
      </w:r>
      <w:r w:rsidR="00F406ED" w:rsidRPr="00F406ED">
        <w:rPr>
          <w:lang w:val="bg-BG" w:eastAsia="en-US"/>
        </w:rPr>
        <w:t> г.</w:t>
      </w:r>
      <w:r w:rsidR="003B6D38" w:rsidRPr="00F406ED">
        <w:rPr>
          <w:lang w:val="bg-BG" w:eastAsia="en-US"/>
        </w:rPr>
        <w:t xml:space="preserve">). </w:t>
      </w:r>
      <w:r w:rsidR="00443B1A" w:rsidRPr="00F406ED">
        <w:rPr>
          <w:lang w:val="bg-BG" w:eastAsia="en-US"/>
        </w:rPr>
        <w:t>В настоящия случай</w:t>
      </w:r>
      <w:r w:rsidR="00852F57" w:rsidRPr="00F406ED">
        <w:rPr>
          <w:lang w:val="bg-BG" w:eastAsia="en-US"/>
        </w:rPr>
        <w:t xml:space="preserve"> </w:t>
      </w:r>
      <w:r w:rsidR="00353D29" w:rsidRPr="00F406ED">
        <w:rPr>
          <w:lang w:val="bg-BG" w:eastAsia="en-US"/>
        </w:rPr>
        <w:t>Съдът</w:t>
      </w:r>
      <w:r w:rsidR="00504BE4">
        <w:rPr>
          <w:lang w:val="bg-BG" w:eastAsia="en-US"/>
        </w:rPr>
        <w:t xml:space="preserve"> </w:t>
      </w:r>
      <w:r w:rsidR="00443B1A" w:rsidRPr="00F406ED">
        <w:rPr>
          <w:lang w:val="bg-BG"/>
        </w:rPr>
        <w:t>е установил, че властите носят отговорност съгласно член </w:t>
      </w:r>
      <w:r w:rsidR="00904D67" w:rsidRPr="00F406ED">
        <w:rPr>
          <w:lang w:val="bg-BG"/>
        </w:rPr>
        <w:t xml:space="preserve">2 </w:t>
      </w:r>
      <w:r w:rsidR="00443B1A" w:rsidRPr="00F406ED">
        <w:rPr>
          <w:lang w:val="bg-BG"/>
        </w:rPr>
        <w:t xml:space="preserve">за смъртта на сина на </w:t>
      </w:r>
      <w:r w:rsidR="002B4892" w:rsidRPr="00F406ED">
        <w:rPr>
          <w:lang w:val="bg-BG"/>
        </w:rPr>
        <w:t>жалбоподателката</w:t>
      </w:r>
      <w:r w:rsidR="00904D67" w:rsidRPr="00F406ED">
        <w:rPr>
          <w:lang w:val="bg-BG"/>
        </w:rPr>
        <w:t xml:space="preserve">. </w:t>
      </w:r>
      <w:r w:rsidR="00443B1A" w:rsidRPr="00F406ED">
        <w:rPr>
          <w:lang w:val="bg-BG"/>
        </w:rPr>
        <w:t xml:space="preserve">Освен това той отбелязва, че твърдението й, че синът й би я издържал финансово, не се оспорва от </w:t>
      </w:r>
      <w:r w:rsidR="002B4892" w:rsidRPr="00F406ED">
        <w:rPr>
          <w:lang w:val="bg-BG"/>
        </w:rPr>
        <w:t>Правителството</w:t>
      </w:r>
      <w:r w:rsidR="00904D67" w:rsidRPr="00F406ED">
        <w:rPr>
          <w:lang w:val="bg-BG"/>
        </w:rPr>
        <w:t xml:space="preserve">. </w:t>
      </w:r>
      <w:r w:rsidR="00443B1A" w:rsidRPr="00F406ED">
        <w:rPr>
          <w:lang w:val="bg-BG"/>
        </w:rPr>
        <w:t>При тези обстоятелства</w:t>
      </w:r>
      <w:r w:rsidR="00FD3F98">
        <w:rPr>
          <w:lang w:val="bg-BG"/>
        </w:rPr>
        <w:t xml:space="preserve"> </w:t>
      </w:r>
      <w:r w:rsidR="00353D29" w:rsidRPr="00F406ED">
        <w:rPr>
          <w:lang w:val="bg-BG"/>
        </w:rPr>
        <w:t>Съдът</w:t>
      </w:r>
      <w:r w:rsidR="00FD3F98">
        <w:rPr>
          <w:lang w:val="bg-BG"/>
        </w:rPr>
        <w:t xml:space="preserve"> </w:t>
      </w:r>
      <w:r w:rsidR="00443B1A" w:rsidRPr="00F406ED">
        <w:rPr>
          <w:lang w:val="bg-BG"/>
        </w:rPr>
        <w:t>не вижда причина да се съмнява в съществуването на достатъчна причинно-следствена връзка между нарушението на член </w:t>
      </w:r>
      <w:r w:rsidR="00904D67" w:rsidRPr="00F406ED">
        <w:rPr>
          <w:lang w:val="bg-BG"/>
        </w:rPr>
        <w:t xml:space="preserve">2 </w:t>
      </w:r>
      <w:r w:rsidR="00443B1A" w:rsidRPr="00F406ED">
        <w:rPr>
          <w:lang w:val="bg-BG"/>
        </w:rPr>
        <w:t xml:space="preserve">и загубата на финансова издръжка от </w:t>
      </w:r>
      <w:r w:rsidR="002B4892" w:rsidRPr="00F406ED">
        <w:rPr>
          <w:lang w:val="bg-BG"/>
        </w:rPr>
        <w:t>жалбоподателката</w:t>
      </w:r>
      <w:r w:rsidR="00956EE0" w:rsidRPr="00F406ED">
        <w:rPr>
          <w:lang w:val="bg-BG"/>
        </w:rPr>
        <w:t xml:space="preserve"> (</w:t>
      </w:r>
      <w:r w:rsidR="00443B1A" w:rsidRPr="00F406ED">
        <w:rPr>
          <w:lang w:val="bg-BG"/>
        </w:rPr>
        <w:t xml:space="preserve">виж </w:t>
      </w:r>
      <w:r w:rsidR="000C65DF" w:rsidRPr="00F406ED">
        <w:rPr>
          <w:i/>
          <w:lang w:val="bg-BG"/>
        </w:rPr>
        <w:t>Начова и други</w:t>
      </w:r>
      <w:r w:rsidR="006668DF" w:rsidRPr="00F406ED">
        <w:rPr>
          <w:lang w:val="bg-BG"/>
        </w:rPr>
        <w:t xml:space="preserve">, </w:t>
      </w:r>
      <w:r w:rsidR="00443B1A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6668DF" w:rsidRPr="00F406ED">
        <w:rPr>
          <w:lang w:val="bg-BG"/>
        </w:rPr>
        <w:t xml:space="preserve">, § 171, </w:t>
      </w:r>
      <w:r w:rsidR="00443B1A" w:rsidRPr="00F406ED">
        <w:rPr>
          <w:lang w:val="bg-BG"/>
        </w:rPr>
        <w:t xml:space="preserve">и </w:t>
      </w:r>
      <w:proofErr w:type="spellStart"/>
      <w:r w:rsidR="007B5A2C" w:rsidRPr="00F406ED">
        <w:rPr>
          <w:i/>
          <w:lang w:val="bg-BG" w:eastAsia="en-US"/>
        </w:rPr>
        <w:t>Beker</w:t>
      </w:r>
      <w:proofErr w:type="spellEnd"/>
      <w:r w:rsidR="007B5A2C" w:rsidRPr="00F406ED">
        <w:rPr>
          <w:i/>
          <w:lang w:val="bg-BG" w:eastAsia="en-US"/>
        </w:rPr>
        <w:t xml:space="preserve"> v.</w:t>
      </w:r>
      <w:proofErr w:type="spellStart"/>
      <w:r w:rsidR="007B5A2C" w:rsidRPr="00F406ED">
        <w:rPr>
          <w:i/>
          <w:lang w:val="bg-BG" w:eastAsia="en-US"/>
        </w:rPr>
        <w:t>Turkey</w:t>
      </w:r>
      <w:proofErr w:type="spellEnd"/>
      <w:r w:rsidR="007B5A2C" w:rsidRPr="00F406ED">
        <w:rPr>
          <w:lang w:val="bg-BG" w:eastAsia="en-US"/>
        </w:rPr>
        <w:t xml:space="preserve">, </w:t>
      </w:r>
      <w:proofErr w:type="spellStart"/>
      <w:r w:rsidR="007B5A2C" w:rsidRPr="00F406ED">
        <w:rPr>
          <w:lang w:val="bg-BG" w:eastAsia="en-US"/>
        </w:rPr>
        <w:t>no</w:t>
      </w:r>
      <w:proofErr w:type="spellEnd"/>
      <w:r w:rsidR="007B5A2C" w:rsidRPr="00F406ED">
        <w:rPr>
          <w:lang w:val="bg-BG" w:eastAsia="en-US"/>
        </w:rPr>
        <w:t>.</w:t>
      </w:r>
      <w:r w:rsidR="00B73777" w:rsidRPr="00F406ED">
        <w:rPr>
          <w:lang w:val="bg-BG" w:eastAsia="en-US"/>
        </w:rPr>
        <w:t> </w:t>
      </w:r>
      <w:r w:rsidR="007B5A2C" w:rsidRPr="00F406ED">
        <w:rPr>
          <w:lang w:val="bg-BG" w:eastAsia="en-US"/>
        </w:rPr>
        <w:t xml:space="preserve">27866/03, </w:t>
      </w:r>
      <w:r w:rsidR="007B5A2C" w:rsidRPr="00F406ED">
        <w:rPr>
          <w:snapToGrid w:val="0"/>
          <w:lang w:val="bg-BG" w:eastAsia="en-US"/>
        </w:rPr>
        <w:t>§ 62, 24</w:t>
      </w:r>
      <w:r w:rsidR="008E7BA7" w:rsidRPr="00F406ED">
        <w:rPr>
          <w:snapToGrid w:val="0"/>
          <w:lang w:val="bg-BG" w:eastAsia="en-US"/>
        </w:rPr>
        <w:t>март</w:t>
      </w:r>
      <w:r w:rsidR="007B5A2C" w:rsidRPr="00F406ED">
        <w:rPr>
          <w:snapToGrid w:val="0"/>
          <w:lang w:val="bg-BG" w:eastAsia="en-US"/>
        </w:rPr>
        <w:t xml:space="preserve"> 2009</w:t>
      </w:r>
      <w:r w:rsidR="00F406ED" w:rsidRPr="00F406ED">
        <w:rPr>
          <w:snapToGrid w:val="0"/>
          <w:lang w:val="bg-BG" w:eastAsia="en-US"/>
        </w:rPr>
        <w:t> г.</w:t>
      </w:r>
      <w:r w:rsidR="00956EE0" w:rsidRPr="00F406ED">
        <w:rPr>
          <w:lang w:val="bg-BG"/>
        </w:rPr>
        <w:t>)</w:t>
      </w:r>
      <w:r w:rsidR="007B5A2C" w:rsidRPr="00F406ED">
        <w:rPr>
          <w:lang w:val="bg-BG"/>
        </w:rPr>
        <w:t>.</w:t>
      </w:r>
      <w:r w:rsidR="009E43DC">
        <w:rPr>
          <w:lang w:val="bg-BG"/>
        </w:rPr>
        <w:t xml:space="preserve"> Въпреки това не са налице</w:t>
      </w:r>
      <w:r w:rsidR="00443B1A" w:rsidRPr="00F406ED">
        <w:rPr>
          <w:lang w:val="bg-BG"/>
        </w:rPr>
        <w:t xml:space="preserve"> доказателства за действителния доход на </w:t>
      </w:r>
      <w:r w:rsidR="00EF6301" w:rsidRPr="00F406ED">
        <w:rPr>
          <w:lang w:val="bg-BG"/>
        </w:rPr>
        <w:t xml:space="preserve">г-н </w:t>
      </w:r>
      <w:r w:rsidR="002B4892" w:rsidRPr="00F406ED">
        <w:rPr>
          <w:lang w:val="bg-BG"/>
        </w:rPr>
        <w:t>Каранджа</w:t>
      </w:r>
      <w:r w:rsidR="004F6500" w:rsidRPr="00F406ED">
        <w:rPr>
          <w:lang w:val="bg-BG"/>
        </w:rPr>
        <w:t xml:space="preserve">, </w:t>
      </w:r>
      <w:r w:rsidR="00443B1A" w:rsidRPr="00F406ED">
        <w:rPr>
          <w:lang w:val="bg-BG"/>
        </w:rPr>
        <w:t xml:space="preserve">ако има такъв </w:t>
      </w:r>
      <w:r w:rsidR="004F6500" w:rsidRPr="00F406ED">
        <w:rPr>
          <w:lang w:val="bg-BG"/>
        </w:rPr>
        <w:t>(</w:t>
      </w:r>
      <w:r w:rsidR="00443B1A" w:rsidRPr="00F406ED">
        <w:rPr>
          <w:lang w:val="bg-BG"/>
        </w:rPr>
        <w:t xml:space="preserve">виж </w:t>
      </w:r>
      <w:proofErr w:type="spellStart"/>
      <w:r w:rsidR="004F6500" w:rsidRPr="00F406ED">
        <w:rPr>
          <w:i/>
          <w:lang w:val="bg-BG" w:eastAsia="en-US"/>
        </w:rPr>
        <w:t>Nehyet</w:t>
      </w:r>
      <w:proofErr w:type="spellEnd"/>
      <w:r w:rsidR="004F6500" w:rsidRPr="00F406ED">
        <w:rPr>
          <w:i/>
          <w:lang w:val="bg-BG" w:eastAsia="en-US"/>
        </w:rPr>
        <w:t xml:space="preserve"> </w:t>
      </w:r>
      <w:proofErr w:type="spellStart"/>
      <w:r w:rsidR="004F6500" w:rsidRPr="00F406ED">
        <w:rPr>
          <w:i/>
          <w:lang w:val="bg-BG" w:eastAsia="en-US"/>
        </w:rPr>
        <w:t>Günay</w:t>
      </w:r>
      <w:proofErr w:type="spellEnd"/>
      <w:r w:rsidR="004F6500" w:rsidRPr="00F406ED">
        <w:rPr>
          <w:i/>
          <w:lang w:val="bg-BG" w:eastAsia="en-US"/>
        </w:rPr>
        <w:t xml:space="preserve"> </w:t>
      </w:r>
      <w:proofErr w:type="spellStart"/>
      <w:r w:rsidR="004F6500" w:rsidRPr="00F406ED">
        <w:rPr>
          <w:i/>
          <w:lang w:val="bg-BG" w:eastAsia="en-US"/>
        </w:rPr>
        <w:t>and</w:t>
      </w:r>
      <w:proofErr w:type="spellEnd"/>
      <w:r w:rsidR="004F6500" w:rsidRPr="00F406ED">
        <w:rPr>
          <w:i/>
          <w:lang w:val="bg-BG" w:eastAsia="en-US"/>
        </w:rPr>
        <w:t xml:space="preserve"> </w:t>
      </w:r>
      <w:proofErr w:type="spellStart"/>
      <w:r w:rsidR="004F6500" w:rsidRPr="00F406ED">
        <w:rPr>
          <w:i/>
          <w:lang w:val="bg-BG" w:eastAsia="en-US"/>
        </w:rPr>
        <w:t>Others</w:t>
      </w:r>
      <w:proofErr w:type="spellEnd"/>
      <w:r w:rsidR="004F6500" w:rsidRPr="00F406ED">
        <w:rPr>
          <w:i/>
          <w:lang w:val="bg-BG" w:eastAsia="en-US"/>
        </w:rPr>
        <w:t xml:space="preserve"> v.</w:t>
      </w:r>
      <w:r w:rsidR="00B73777" w:rsidRPr="00F406ED">
        <w:rPr>
          <w:i/>
          <w:lang w:val="bg-BG" w:eastAsia="en-US"/>
        </w:rPr>
        <w:t> </w:t>
      </w:r>
      <w:proofErr w:type="spellStart"/>
      <w:r w:rsidR="004F6500" w:rsidRPr="00F406ED">
        <w:rPr>
          <w:i/>
          <w:lang w:val="bg-BG" w:eastAsia="en-US"/>
        </w:rPr>
        <w:t>Turkey</w:t>
      </w:r>
      <w:proofErr w:type="spellEnd"/>
      <w:r w:rsidR="004F6500" w:rsidRPr="00F406ED">
        <w:rPr>
          <w:lang w:val="bg-BG" w:eastAsia="en-US"/>
        </w:rPr>
        <w:t xml:space="preserve">, </w:t>
      </w:r>
      <w:proofErr w:type="spellStart"/>
      <w:r w:rsidR="004F6500" w:rsidRPr="00F406ED">
        <w:rPr>
          <w:lang w:val="bg-BG" w:eastAsia="en-US"/>
        </w:rPr>
        <w:t>no</w:t>
      </w:r>
      <w:proofErr w:type="spellEnd"/>
      <w:r w:rsidR="004F6500" w:rsidRPr="00F406ED">
        <w:rPr>
          <w:lang w:val="bg-BG" w:eastAsia="en-US"/>
        </w:rPr>
        <w:t xml:space="preserve">.51210/99, § 122, 21 </w:t>
      </w:r>
      <w:r w:rsidR="00A22992" w:rsidRPr="00F406ED">
        <w:rPr>
          <w:lang w:val="bg-BG" w:eastAsia="en-US"/>
        </w:rPr>
        <w:t>октомври</w:t>
      </w:r>
      <w:r w:rsidR="004F6500" w:rsidRPr="00F406ED">
        <w:rPr>
          <w:lang w:val="bg-BG" w:eastAsia="en-US"/>
        </w:rPr>
        <w:t xml:space="preserve"> 2008</w:t>
      </w:r>
      <w:r w:rsidR="00F406ED" w:rsidRPr="00F406ED">
        <w:rPr>
          <w:lang w:val="bg-BG" w:eastAsia="en-US"/>
        </w:rPr>
        <w:t> г.</w:t>
      </w:r>
      <w:r w:rsidR="004F6500" w:rsidRPr="00F406ED">
        <w:rPr>
          <w:lang w:val="bg-BG" w:eastAsia="en-US"/>
        </w:rPr>
        <w:t>)</w:t>
      </w:r>
      <w:r w:rsidR="009E43DC">
        <w:rPr>
          <w:lang w:val="bg-BG" w:eastAsia="en-US"/>
        </w:rPr>
        <w:t>,</w:t>
      </w:r>
      <w:r w:rsidR="00443B1A" w:rsidRPr="00F406ED">
        <w:rPr>
          <w:lang w:val="bg-BG" w:eastAsia="en-US"/>
        </w:rPr>
        <w:t xml:space="preserve"> </w:t>
      </w:r>
      <w:r w:rsidR="009E43DC">
        <w:rPr>
          <w:lang w:val="bg-BG" w:eastAsia="en-US"/>
        </w:rPr>
        <w:t>а</w:t>
      </w:r>
      <w:r w:rsidR="00443B1A" w:rsidRPr="00F406ED">
        <w:rPr>
          <w:lang w:val="bg-BG" w:eastAsia="en-US"/>
        </w:rPr>
        <w:t xml:space="preserve"> начин</w:t>
      </w:r>
      <w:r w:rsidR="009E43DC">
        <w:rPr>
          <w:lang w:val="bg-BG" w:eastAsia="en-US"/>
        </w:rPr>
        <w:t>ът</w:t>
      </w:r>
      <w:r w:rsidR="00443B1A" w:rsidRPr="00F406ED">
        <w:rPr>
          <w:lang w:val="bg-BG" w:eastAsia="en-US"/>
        </w:rPr>
        <w:t xml:space="preserve">, по който 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443B1A" w:rsidRPr="00F406ED">
        <w:rPr>
          <w:lang w:val="bg-BG"/>
        </w:rPr>
        <w:t>изчислява загубата на финансова издръжка изобщо не е точен</w:t>
      </w:r>
      <w:r w:rsidR="009E29AA" w:rsidRPr="00F406ED">
        <w:rPr>
          <w:lang w:val="bg-BG"/>
        </w:rPr>
        <w:t>.</w:t>
      </w:r>
      <w:r w:rsidR="009E43DC">
        <w:rPr>
          <w:lang w:val="bg-BG"/>
        </w:rPr>
        <w:t xml:space="preserve"> </w:t>
      </w:r>
      <w:r w:rsidR="00DF5B91" w:rsidRPr="00F406ED">
        <w:rPr>
          <w:lang w:val="bg-BG"/>
        </w:rPr>
        <w:t>Изчисленията, представени от нея, са основани на допускането, че синът й би имал стабилен доход в продължение на петнадесет години</w:t>
      </w:r>
      <w:r w:rsidR="00784D20" w:rsidRPr="00F406ED">
        <w:rPr>
          <w:lang w:val="bg-BG"/>
        </w:rPr>
        <w:t xml:space="preserve">. </w:t>
      </w:r>
      <w:r w:rsidR="00DF5B91" w:rsidRPr="00F406ED">
        <w:rPr>
          <w:lang w:val="bg-BG"/>
        </w:rPr>
        <w:t xml:space="preserve">Различни </w:t>
      </w:r>
      <w:r w:rsidR="002A5956" w:rsidRPr="00F406ED">
        <w:rPr>
          <w:lang w:val="bg-BG"/>
        </w:rPr>
        <w:t>събития</w:t>
      </w:r>
      <w:r w:rsidR="00774D8C" w:rsidRPr="00F406ED">
        <w:rPr>
          <w:lang w:val="bg-BG"/>
        </w:rPr>
        <w:t xml:space="preserve"> извън техния контрол</w:t>
      </w:r>
      <w:r w:rsidR="00784D20" w:rsidRPr="00F406ED">
        <w:rPr>
          <w:lang w:val="bg-BG"/>
        </w:rPr>
        <w:t xml:space="preserve">, </w:t>
      </w:r>
      <w:r w:rsidR="002A5956" w:rsidRPr="00F406ED">
        <w:rPr>
          <w:lang w:val="bg-BG"/>
        </w:rPr>
        <w:t xml:space="preserve">като безработица или неработоспособност, не са взети предвид </w:t>
      </w:r>
      <w:r w:rsidR="00784D20" w:rsidRPr="00F406ED">
        <w:rPr>
          <w:lang w:val="bg-BG"/>
        </w:rPr>
        <w:t>(</w:t>
      </w:r>
      <w:r w:rsidR="002A5956" w:rsidRPr="00F406ED">
        <w:rPr>
          <w:lang w:val="bg-BG"/>
        </w:rPr>
        <w:t xml:space="preserve">виж </w:t>
      </w:r>
      <w:proofErr w:type="spellStart"/>
      <w:r w:rsidR="002A5956" w:rsidRPr="00F406ED">
        <w:rPr>
          <w:i/>
          <w:lang w:val="bg-BG" w:eastAsia="en-US"/>
        </w:rPr>
        <w:t>Сангариева</w:t>
      </w:r>
      <w:proofErr w:type="spellEnd"/>
      <w:r w:rsidR="002A5956" w:rsidRPr="00F406ED">
        <w:rPr>
          <w:i/>
          <w:lang w:val="bg-BG" w:eastAsia="en-US"/>
        </w:rPr>
        <w:t xml:space="preserve"> и други срещу Русия</w:t>
      </w:r>
      <w:r w:rsidR="00784D20" w:rsidRPr="00F406ED">
        <w:rPr>
          <w:lang w:val="bg-BG" w:eastAsia="en-US"/>
        </w:rPr>
        <w:t xml:space="preserve">, </w:t>
      </w:r>
      <w:r w:rsidR="002A5956" w:rsidRPr="00F406ED">
        <w:rPr>
          <w:lang w:val="bg-BG" w:eastAsia="en-US"/>
        </w:rPr>
        <w:t>№ </w:t>
      </w:r>
      <w:r w:rsidR="00784D20" w:rsidRPr="00F406ED">
        <w:rPr>
          <w:lang w:val="bg-BG" w:eastAsia="en-US"/>
        </w:rPr>
        <w:t>1839/04, §128, 29</w:t>
      </w:r>
      <w:r w:rsidR="008E7BA7" w:rsidRPr="00F406ED">
        <w:rPr>
          <w:lang w:val="bg-BG" w:eastAsia="en-US"/>
        </w:rPr>
        <w:t xml:space="preserve"> май </w:t>
      </w:r>
      <w:r w:rsidR="00784D20" w:rsidRPr="00F406ED">
        <w:rPr>
          <w:lang w:val="bg-BG" w:eastAsia="en-US"/>
        </w:rPr>
        <w:t>2008</w:t>
      </w:r>
      <w:r w:rsidR="00F406ED" w:rsidRPr="00F406ED">
        <w:rPr>
          <w:lang w:val="bg-BG" w:eastAsia="en-US"/>
        </w:rPr>
        <w:t> г.</w:t>
      </w:r>
      <w:r w:rsidR="00784D20" w:rsidRPr="00F406ED">
        <w:rPr>
          <w:lang w:val="bg-BG"/>
        </w:rPr>
        <w:t>)</w:t>
      </w:r>
      <w:r w:rsidR="00860D62" w:rsidRPr="00F406ED">
        <w:rPr>
          <w:lang w:val="bg-BG"/>
        </w:rPr>
        <w:t xml:space="preserve">, </w:t>
      </w:r>
      <w:r w:rsidR="002A5956" w:rsidRPr="00F406ED">
        <w:rPr>
          <w:lang w:val="bg-BG"/>
        </w:rPr>
        <w:t xml:space="preserve">нито пък 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2A5956" w:rsidRPr="00F406ED">
        <w:rPr>
          <w:lang w:val="bg-BG"/>
        </w:rPr>
        <w:t xml:space="preserve">е представила доклад на </w:t>
      </w:r>
      <w:proofErr w:type="spellStart"/>
      <w:r w:rsidR="002A5956" w:rsidRPr="00F406ED">
        <w:rPr>
          <w:lang w:val="bg-BG"/>
        </w:rPr>
        <w:t>актюер</w:t>
      </w:r>
      <w:proofErr w:type="spellEnd"/>
      <w:r w:rsidR="009E29AA" w:rsidRPr="00F406ED">
        <w:rPr>
          <w:lang w:val="bg-BG"/>
        </w:rPr>
        <w:t xml:space="preserve">. </w:t>
      </w:r>
      <w:r w:rsidR="002A5956" w:rsidRPr="00F406ED">
        <w:rPr>
          <w:lang w:val="bg-BG"/>
        </w:rPr>
        <w:t xml:space="preserve">Поради това 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2A5956" w:rsidRPr="00F406ED">
        <w:rPr>
          <w:lang w:val="bg-BG"/>
        </w:rPr>
        <w:t xml:space="preserve">е задължен да разгледа нейния иск по справедливост </w:t>
      </w:r>
      <w:r w:rsidR="009E29AA" w:rsidRPr="00F406ED">
        <w:rPr>
          <w:lang w:val="bg-BG"/>
        </w:rPr>
        <w:t>(</w:t>
      </w:r>
      <w:r w:rsidR="002A5956" w:rsidRPr="00F406ED">
        <w:rPr>
          <w:lang w:val="bg-BG"/>
        </w:rPr>
        <w:t xml:space="preserve">виж </w:t>
      </w:r>
      <w:r w:rsidR="002A5956" w:rsidRPr="00F406ED">
        <w:rPr>
          <w:i/>
          <w:lang w:val="bg-BG" w:eastAsia="en-US"/>
        </w:rPr>
        <w:t xml:space="preserve">Великова </w:t>
      </w:r>
      <w:r w:rsidR="00E11A3E" w:rsidRPr="00F406ED">
        <w:rPr>
          <w:i/>
          <w:lang w:val="bg-BG" w:eastAsia="en-US"/>
        </w:rPr>
        <w:t>срещу България</w:t>
      </w:r>
      <w:r w:rsidR="009E29AA" w:rsidRPr="00F406ED">
        <w:rPr>
          <w:lang w:val="bg-BG" w:eastAsia="en-US"/>
        </w:rPr>
        <w:t xml:space="preserve">, </w:t>
      </w:r>
      <w:r w:rsidR="002A5956" w:rsidRPr="00F406ED">
        <w:rPr>
          <w:lang w:val="bg-BG" w:eastAsia="en-US"/>
        </w:rPr>
        <w:t>№ </w:t>
      </w:r>
      <w:r w:rsidR="009E29AA" w:rsidRPr="00F406ED">
        <w:rPr>
          <w:lang w:val="bg-BG" w:eastAsia="en-US"/>
        </w:rPr>
        <w:t xml:space="preserve">41488/98, § 102, </w:t>
      </w:r>
      <w:r w:rsidR="002A5956" w:rsidRPr="00F406ED">
        <w:rPr>
          <w:lang w:val="bg-BG" w:eastAsia="en-US"/>
        </w:rPr>
        <w:t>ЕСПЧ </w:t>
      </w:r>
      <w:r w:rsidR="00497072" w:rsidRPr="00F406ED">
        <w:rPr>
          <w:lang w:val="bg-BG" w:eastAsia="en-US"/>
        </w:rPr>
        <w:t>2000</w:t>
      </w:r>
      <w:r w:rsidR="00F406ED" w:rsidRPr="00F406ED">
        <w:rPr>
          <w:lang w:val="bg-BG" w:eastAsia="en-US"/>
        </w:rPr>
        <w:t> г.</w:t>
      </w:r>
      <w:r w:rsidR="009E29AA" w:rsidRPr="00F406ED">
        <w:rPr>
          <w:lang w:val="bg-BG" w:eastAsia="en-US"/>
        </w:rPr>
        <w:noBreakHyphen/>
        <w:t>VI</w:t>
      </w:r>
      <w:r w:rsidR="00A82F81" w:rsidRPr="00F406ED">
        <w:rPr>
          <w:lang w:val="bg-BG" w:eastAsia="en-US"/>
        </w:rPr>
        <w:t xml:space="preserve">, </w:t>
      </w:r>
      <w:r w:rsidR="002A5956" w:rsidRPr="00F406ED">
        <w:rPr>
          <w:lang w:val="bg-BG" w:eastAsia="en-US"/>
        </w:rPr>
        <w:t xml:space="preserve">и </w:t>
      </w:r>
      <w:r w:rsidR="002A5956" w:rsidRPr="00F406ED">
        <w:rPr>
          <w:i/>
          <w:lang w:val="bg-BG" w:eastAsia="en-US"/>
        </w:rPr>
        <w:t>Николова и Величкова</w:t>
      </w:r>
      <w:r w:rsidR="00A82F81" w:rsidRPr="00F406ED">
        <w:rPr>
          <w:lang w:val="bg-BG" w:eastAsia="en-US"/>
        </w:rPr>
        <w:t xml:space="preserve">, </w:t>
      </w:r>
      <w:r w:rsidR="002A5956" w:rsidRPr="00F406ED">
        <w:rPr>
          <w:lang w:val="bg-BG" w:eastAsia="en-US"/>
        </w:rPr>
        <w:t xml:space="preserve">цитирано </w:t>
      </w:r>
      <w:r w:rsidR="004825B6" w:rsidRPr="00F406ED">
        <w:rPr>
          <w:lang w:val="bg-BG" w:eastAsia="en-US"/>
        </w:rPr>
        <w:t>по-горе</w:t>
      </w:r>
      <w:r w:rsidR="00A82F81" w:rsidRPr="00F406ED">
        <w:rPr>
          <w:lang w:val="bg-BG" w:eastAsia="en-US"/>
        </w:rPr>
        <w:t xml:space="preserve">, </w:t>
      </w:r>
      <w:r w:rsidR="001D1F24" w:rsidRPr="00F406ED">
        <w:rPr>
          <w:lang w:val="bg-BG" w:eastAsia="en-US"/>
        </w:rPr>
        <w:t>§ 82</w:t>
      </w:r>
      <w:r w:rsidR="009E29AA" w:rsidRPr="00F406ED">
        <w:rPr>
          <w:lang w:val="bg-BG"/>
        </w:rPr>
        <w:t>).</w:t>
      </w:r>
      <w:r w:rsidR="007106BA">
        <w:rPr>
          <w:lang w:val="bg-BG"/>
        </w:rPr>
        <w:t xml:space="preserve"> </w:t>
      </w:r>
      <w:r w:rsidR="002A5956" w:rsidRPr="00F406ED">
        <w:rPr>
          <w:lang w:val="bg-BG"/>
        </w:rPr>
        <w:t>Действително</w:t>
      </w:r>
      <w:r w:rsidR="0039343F" w:rsidRPr="00F406ED">
        <w:rPr>
          <w:lang w:val="bg-BG"/>
        </w:rPr>
        <w:t xml:space="preserve">, </w:t>
      </w:r>
      <w:r w:rsidR="002A5956" w:rsidRPr="00F406ED">
        <w:rPr>
          <w:lang w:val="bg-BG"/>
        </w:rPr>
        <w:t xml:space="preserve">в случаи като настоящия, едно точно изчисление на сумите, необходими за пълно обезщетяване </w:t>
      </w:r>
      <w:r w:rsidR="0039343F" w:rsidRPr="00F406ED">
        <w:rPr>
          <w:lang w:val="bg-BG"/>
        </w:rPr>
        <w:t>(</w:t>
      </w:r>
      <w:proofErr w:type="spellStart"/>
      <w:r w:rsidR="0039343F" w:rsidRPr="00F406ED">
        <w:rPr>
          <w:i/>
          <w:lang w:val="bg-BG"/>
        </w:rPr>
        <w:t>restitutio</w:t>
      </w:r>
      <w:proofErr w:type="spellEnd"/>
      <w:r w:rsidR="0039343F" w:rsidRPr="00F406ED">
        <w:rPr>
          <w:i/>
          <w:lang w:val="bg-BG"/>
        </w:rPr>
        <w:t xml:space="preserve"> </w:t>
      </w:r>
      <w:proofErr w:type="spellStart"/>
      <w:r w:rsidR="0039343F" w:rsidRPr="00F406ED">
        <w:rPr>
          <w:i/>
          <w:lang w:val="bg-BG"/>
        </w:rPr>
        <w:t>in</w:t>
      </w:r>
      <w:proofErr w:type="spellEnd"/>
      <w:r w:rsidR="0039343F" w:rsidRPr="00F406ED">
        <w:rPr>
          <w:i/>
          <w:lang w:val="bg-BG"/>
        </w:rPr>
        <w:t xml:space="preserve"> </w:t>
      </w:r>
      <w:proofErr w:type="spellStart"/>
      <w:r w:rsidR="0039343F" w:rsidRPr="00F406ED">
        <w:rPr>
          <w:i/>
          <w:lang w:val="bg-BG"/>
        </w:rPr>
        <w:t>integrum</w:t>
      </w:r>
      <w:proofErr w:type="spellEnd"/>
      <w:r w:rsidR="0039343F" w:rsidRPr="00F406ED">
        <w:rPr>
          <w:lang w:val="bg-BG"/>
        </w:rPr>
        <w:t xml:space="preserve">) </w:t>
      </w:r>
      <w:r w:rsidR="002A5956" w:rsidRPr="00F406ED">
        <w:rPr>
          <w:lang w:val="bg-BG"/>
        </w:rPr>
        <w:t xml:space="preserve">на материални загуби, претърпени от </w:t>
      </w:r>
      <w:r w:rsidR="002B4892" w:rsidRPr="00F406ED">
        <w:rPr>
          <w:lang w:val="bg-BG"/>
        </w:rPr>
        <w:t>жалбоподателката</w:t>
      </w:r>
      <w:r w:rsidR="002A5956" w:rsidRPr="00F406ED">
        <w:rPr>
          <w:lang w:val="bg-BG"/>
        </w:rPr>
        <w:t xml:space="preserve">, може да бъде </w:t>
      </w:r>
      <w:r w:rsidR="00774D8C" w:rsidRPr="00F406ED">
        <w:rPr>
          <w:lang w:val="bg-BG"/>
        </w:rPr>
        <w:t>възпрепятствано</w:t>
      </w:r>
      <w:r w:rsidR="002A5956" w:rsidRPr="00F406ED">
        <w:rPr>
          <w:lang w:val="bg-BG"/>
        </w:rPr>
        <w:t xml:space="preserve"> от присъщо несигурния характер на вредите, произтичащи от нарушението</w:t>
      </w:r>
      <w:r w:rsidR="0039343F" w:rsidRPr="00F406ED">
        <w:rPr>
          <w:lang w:val="bg-BG"/>
        </w:rPr>
        <w:t xml:space="preserve">. </w:t>
      </w:r>
      <w:r w:rsidR="002A5956" w:rsidRPr="00F406ED">
        <w:rPr>
          <w:lang w:val="bg-BG"/>
        </w:rPr>
        <w:t>Въпросът, който трябва да бъде решен в тези дела, е равнището на справедливото обезщетение</w:t>
      </w:r>
      <w:r w:rsidR="00BE611D">
        <w:rPr>
          <w:lang w:val="bg-BG"/>
        </w:rPr>
        <w:t>,</w:t>
      </w:r>
      <w:r w:rsidR="002A5956" w:rsidRPr="00F406ED">
        <w:rPr>
          <w:lang w:val="bg-BG"/>
        </w:rPr>
        <w:t xml:space="preserve"> и той се решава от Съда по негова преценка</w:t>
      </w:r>
      <w:r w:rsidR="0039343F" w:rsidRPr="00F406ED">
        <w:rPr>
          <w:lang w:val="bg-BG"/>
        </w:rPr>
        <w:t xml:space="preserve">, </w:t>
      </w:r>
      <w:r w:rsidR="002A5956" w:rsidRPr="00F406ED">
        <w:rPr>
          <w:lang w:val="bg-BG"/>
        </w:rPr>
        <w:t xml:space="preserve">с оглед на това, което е справедливо </w:t>
      </w:r>
      <w:r w:rsidR="0039343F" w:rsidRPr="00F406ED">
        <w:rPr>
          <w:lang w:val="bg-BG"/>
        </w:rPr>
        <w:t>(</w:t>
      </w:r>
      <w:r w:rsidR="002A5956" w:rsidRPr="00F406ED">
        <w:rPr>
          <w:lang w:val="bg-BG"/>
        </w:rPr>
        <w:t xml:space="preserve">виж </w:t>
      </w:r>
      <w:r w:rsidR="000C65DF" w:rsidRPr="00F406ED">
        <w:rPr>
          <w:i/>
          <w:lang w:val="bg-BG"/>
        </w:rPr>
        <w:t>Начова и други</w:t>
      </w:r>
      <w:r w:rsidR="0039343F" w:rsidRPr="00F406ED">
        <w:rPr>
          <w:lang w:val="bg-BG"/>
        </w:rPr>
        <w:t xml:space="preserve">, </w:t>
      </w:r>
      <w:r w:rsidR="002A5956" w:rsidRPr="00F406ED">
        <w:rPr>
          <w:lang w:val="bg-BG"/>
        </w:rPr>
        <w:t xml:space="preserve">цитирано </w:t>
      </w:r>
      <w:r w:rsidR="004825B6" w:rsidRPr="00F406ED">
        <w:rPr>
          <w:lang w:val="bg-BG"/>
        </w:rPr>
        <w:t>по-горе</w:t>
      </w:r>
      <w:r w:rsidR="0039343F" w:rsidRPr="00F406ED">
        <w:rPr>
          <w:lang w:val="bg-BG"/>
        </w:rPr>
        <w:t xml:space="preserve">, § 171, </w:t>
      </w:r>
      <w:r w:rsidR="00353D29" w:rsidRPr="00F406ED">
        <w:rPr>
          <w:lang w:val="bg-BG"/>
        </w:rPr>
        <w:t>с последващи препратки</w:t>
      </w:r>
      <w:r w:rsidR="0039343F" w:rsidRPr="00F406ED">
        <w:rPr>
          <w:lang w:val="bg-BG"/>
        </w:rPr>
        <w:t>).</w:t>
      </w:r>
    </w:p>
    <w:p w:rsidR="00B72312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DA0E8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77</w:t>
      </w:r>
      <w:r w:rsidRPr="00F406ED">
        <w:rPr>
          <w:lang w:val="bg-BG"/>
        </w:rPr>
        <w:fldChar w:fldCharType="end"/>
      </w:r>
      <w:r w:rsidR="00DA0E85" w:rsidRPr="00F406ED">
        <w:rPr>
          <w:lang w:val="bg-BG"/>
        </w:rPr>
        <w:t>.  </w:t>
      </w:r>
      <w:r w:rsidR="009374AF" w:rsidRPr="00F406ED">
        <w:rPr>
          <w:lang w:val="bg-BG"/>
        </w:rPr>
        <w:t xml:space="preserve">С оглед на всички релевантни фактори, включително фактите, че жертвата е единствено дете на </w:t>
      </w:r>
      <w:r w:rsidR="002B4892" w:rsidRPr="00F406ED">
        <w:rPr>
          <w:lang w:val="bg-BG"/>
        </w:rPr>
        <w:t>жалбоподателката</w:t>
      </w:r>
      <w:r w:rsidR="002B315E" w:rsidRPr="00F406ED">
        <w:rPr>
          <w:lang w:val="bg-BG"/>
        </w:rPr>
        <w:t xml:space="preserve">, </w:t>
      </w:r>
      <w:r w:rsidR="009374AF" w:rsidRPr="00F406ED">
        <w:rPr>
          <w:lang w:val="bg-BG"/>
        </w:rPr>
        <w:t xml:space="preserve">че той е бил на двадесет години в момента на смъртта си  и че 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9374AF" w:rsidRPr="00F406ED">
        <w:rPr>
          <w:lang w:val="bg-BG"/>
        </w:rPr>
        <w:t xml:space="preserve">е вдовица и е </w:t>
      </w:r>
      <w:proofErr w:type="spellStart"/>
      <w:r w:rsidR="009374AF" w:rsidRPr="00F406ED">
        <w:rPr>
          <w:lang w:val="bg-BG"/>
        </w:rPr>
        <w:t>инвалидизирана</w:t>
      </w:r>
      <w:proofErr w:type="spellEnd"/>
      <w:r w:rsidR="0039343F" w:rsidRPr="00F406ED">
        <w:rPr>
          <w:lang w:val="bg-BG"/>
        </w:rPr>
        <w:t xml:space="preserve">, 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9374AF" w:rsidRPr="00F406ED">
        <w:rPr>
          <w:lang w:val="bg-BG"/>
        </w:rPr>
        <w:t>счит</w:t>
      </w:r>
      <w:r w:rsidR="00774D8C" w:rsidRPr="00F406ED">
        <w:rPr>
          <w:lang w:val="bg-BG"/>
        </w:rPr>
        <w:t>а</w:t>
      </w:r>
      <w:r w:rsidR="009374AF" w:rsidRPr="00F406ED">
        <w:rPr>
          <w:lang w:val="bg-BG"/>
        </w:rPr>
        <w:t xml:space="preserve"> за уместно да присъди </w:t>
      </w:r>
      <w:r w:rsidR="002B315E" w:rsidRPr="00F406ED">
        <w:rPr>
          <w:lang w:val="bg-BG"/>
        </w:rPr>
        <w:t>10</w:t>
      </w:r>
      <w:r w:rsidR="00504BE4">
        <w:rPr>
          <w:lang w:val="bg-BG"/>
        </w:rPr>
        <w:t> </w:t>
      </w:r>
      <w:r w:rsidR="0039343F" w:rsidRPr="00F406ED">
        <w:rPr>
          <w:lang w:val="bg-BG"/>
        </w:rPr>
        <w:t>000</w:t>
      </w:r>
      <w:r w:rsidR="00504BE4">
        <w:rPr>
          <w:lang w:val="bg-BG"/>
        </w:rPr>
        <w:t xml:space="preserve"> евро</w:t>
      </w:r>
      <w:r w:rsidR="0039199B" w:rsidRPr="00F406ED">
        <w:rPr>
          <w:lang w:val="bg-BG"/>
        </w:rPr>
        <w:t xml:space="preserve">, </w:t>
      </w:r>
      <w:r w:rsidR="009374AF" w:rsidRPr="00F406ED">
        <w:rPr>
          <w:lang w:val="bg-BG"/>
        </w:rPr>
        <w:t>плюс всякакви данъци, които биха могли да бъдат наложени върху горната сума</w:t>
      </w:r>
      <w:r w:rsidR="0039199B" w:rsidRPr="00F406ED">
        <w:rPr>
          <w:lang w:val="bg-BG"/>
        </w:rPr>
        <w:t>.</w:t>
      </w:r>
    </w:p>
    <w:p w:rsidR="00DD14DE" w:rsidRPr="00F406ED" w:rsidRDefault="00C52630" w:rsidP="00995C31">
      <w:pPr>
        <w:pStyle w:val="JuHA"/>
        <w:keepLines w:val="0"/>
        <w:outlineLvl w:val="2"/>
        <w:rPr>
          <w:lang w:val="bg-BG"/>
        </w:rPr>
      </w:pPr>
      <w:r w:rsidRPr="00F406ED">
        <w:rPr>
          <w:lang w:val="bg-BG"/>
        </w:rPr>
        <w:t>Б</w:t>
      </w:r>
      <w:r w:rsidR="00DD14DE" w:rsidRPr="00F406ED">
        <w:rPr>
          <w:lang w:val="bg-BG"/>
        </w:rPr>
        <w:t>.  </w:t>
      </w:r>
      <w:r w:rsidRPr="00F406ED">
        <w:rPr>
          <w:lang w:val="bg-BG"/>
        </w:rPr>
        <w:t>Нематериална вреди</w:t>
      </w:r>
    </w:p>
    <w:p w:rsidR="00DD14DE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DD14DE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78</w:t>
      </w:r>
      <w:r w:rsidRPr="00F406ED">
        <w:rPr>
          <w:lang w:val="bg-BG"/>
        </w:rPr>
        <w:fldChar w:fldCharType="end"/>
      </w:r>
      <w:r w:rsidR="00DD14DE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9374AF" w:rsidRPr="00F406ED">
        <w:rPr>
          <w:lang w:val="bg-BG"/>
        </w:rPr>
        <w:t>претендира</w:t>
      </w:r>
      <w:r w:rsidR="00DD14DE" w:rsidRPr="00F406ED">
        <w:rPr>
          <w:lang w:val="bg-BG"/>
        </w:rPr>
        <w:t xml:space="preserve"> 25</w:t>
      </w:r>
      <w:r w:rsidR="004D0A1F">
        <w:rPr>
          <w:lang w:val="bg-BG"/>
        </w:rPr>
        <w:t> </w:t>
      </w:r>
      <w:r w:rsidR="00DD14DE" w:rsidRPr="00F406ED">
        <w:rPr>
          <w:lang w:val="bg-BG"/>
        </w:rPr>
        <w:t xml:space="preserve">000 </w:t>
      </w:r>
      <w:r w:rsidR="004D0A1F">
        <w:rPr>
          <w:lang w:val="bg-BG"/>
        </w:rPr>
        <w:t xml:space="preserve">евро </w:t>
      </w:r>
      <w:r w:rsidR="009374AF" w:rsidRPr="00F406ED">
        <w:rPr>
          <w:lang w:val="bg-BG"/>
        </w:rPr>
        <w:t>за нематериални вреди</w:t>
      </w:r>
      <w:r w:rsidR="00DD14DE" w:rsidRPr="00F406ED">
        <w:rPr>
          <w:lang w:val="bg-BG"/>
        </w:rPr>
        <w:t xml:space="preserve">. </w:t>
      </w:r>
      <w:r w:rsidR="00E33E53" w:rsidRPr="00F406ED">
        <w:rPr>
          <w:lang w:val="bg-BG"/>
        </w:rPr>
        <w:t xml:space="preserve">Тя твърди, че смъртта на нейния </w:t>
      </w:r>
      <w:r w:rsidR="00774D8C" w:rsidRPr="00F406ED">
        <w:rPr>
          <w:lang w:val="bg-BG"/>
        </w:rPr>
        <w:t>син</w:t>
      </w:r>
      <w:r w:rsidR="00E33E53" w:rsidRPr="00F406ED">
        <w:rPr>
          <w:lang w:val="bg-BG"/>
        </w:rPr>
        <w:t xml:space="preserve"> й е причинила огромна болка и страдания, тъй като двамата са живе</w:t>
      </w:r>
      <w:r w:rsidR="00774D8C" w:rsidRPr="00F406ED">
        <w:rPr>
          <w:lang w:val="bg-BG"/>
        </w:rPr>
        <w:t>е</w:t>
      </w:r>
      <w:r w:rsidR="00E33E53" w:rsidRPr="00F406ED">
        <w:rPr>
          <w:lang w:val="bg-BG"/>
        </w:rPr>
        <w:t>ли заедно и в резултат</w:t>
      </w:r>
      <w:r w:rsidR="00504BE4">
        <w:rPr>
          <w:lang w:val="bg-BG"/>
        </w:rPr>
        <w:t xml:space="preserve"> </w:t>
      </w:r>
      <w:r w:rsidR="00E33E53" w:rsidRPr="00F406ED">
        <w:rPr>
          <w:lang w:val="bg-BG"/>
        </w:rPr>
        <w:t>от болестта й е била зависима от него – и финансово и за морална подкрепа</w:t>
      </w:r>
      <w:r w:rsidR="00DD14DE" w:rsidRPr="00F406ED">
        <w:rPr>
          <w:lang w:val="bg-BG"/>
        </w:rPr>
        <w:t xml:space="preserve">. </w:t>
      </w:r>
      <w:r w:rsidR="00E33E53" w:rsidRPr="00F406ED">
        <w:rPr>
          <w:lang w:val="bg-BG"/>
        </w:rPr>
        <w:t xml:space="preserve">Тя е претърпяла допълнителна </w:t>
      </w:r>
      <w:proofErr w:type="spellStart"/>
      <w:r w:rsidR="00E33E53" w:rsidRPr="00F406ED">
        <w:rPr>
          <w:lang w:val="bg-BG"/>
        </w:rPr>
        <w:t>фрустрация</w:t>
      </w:r>
      <w:proofErr w:type="spellEnd"/>
      <w:r w:rsidR="00E33E53" w:rsidRPr="00F406ED">
        <w:rPr>
          <w:lang w:val="bg-BG"/>
        </w:rPr>
        <w:t xml:space="preserve"> от начина, по който властите са провели своето разследване на смъртта и от порочния начин, по който българското право урежда употребата на огнестрелно оръжие от органите на полицията</w:t>
      </w:r>
      <w:r w:rsidR="00DD14DE" w:rsidRPr="00F406ED">
        <w:rPr>
          <w:lang w:val="bg-BG"/>
        </w:rPr>
        <w:t>.</w:t>
      </w:r>
    </w:p>
    <w:p w:rsidR="00630296" w:rsidRPr="00F406ED" w:rsidRDefault="00FB1D5F" w:rsidP="00630296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630296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79</w:t>
      </w:r>
      <w:r w:rsidRPr="00F406ED">
        <w:rPr>
          <w:lang w:val="bg-BG"/>
        </w:rPr>
        <w:fldChar w:fldCharType="end"/>
      </w:r>
      <w:r w:rsidR="00630296" w:rsidRPr="00F406ED">
        <w:rPr>
          <w:lang w:val="bg-BG"/>
        </w:rPr>
        <w:t>.  </w:t>
      </w:r>
      <w:r w:rsidR="002B4892" w:rsidRPr="00F406ED">
        <w:rPr>
          <w:lang w:val="bg-BG"/>
        </w:rPr>
        <w:t>Правителството</w:t>
      </w:r>
      <w:r w:rsidR="00504BE4">
        <w:rPr>
          <w:lang w:val="bg-BG"/>
        </w:rPr>
        <w:t xml:space="preserve"> </w:t>
      </w:r>
      <w:r w:rsidR="00E33E53" w:rsidRPr="00F406ED">
        <w:rPr>
          <w:lang w:val="bg-BG"/>
        </w:rPr>
        <w:t xml:space="preserve">не представя коментар по иска на </w:t>
      </w:r>
      <w:r w:rsidR="002B4892" w:rsidRPr="00F406ED">
        <w:rPr>
          <w:lang w:val="bg-BG"/>
        </w:rPr>
        <w:t>жалбоподателката</w:t>
      </w:r>
      <w:r w:rsidR="00630296" w:rsidRPr="00F406ED">
        <w:rPr>
          <w:lang w:val="bg-BG"/>
        </w:rPr>
        <w:t>.</w:t>
      </w:r>
    </w:p>
    <w:p w:rsidR="00630296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630296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80</w:t>
      </w:r>
      <w:r w:rsidRPr="00F406ED">
        <w:rPr>
          <w:lang w:val="bg-BG"/>
        </w:rPr>
        <w:fldChar w:fldCharType="end"/>
      </w:r>
      <w:r w:rsidR="00630296" w:rsidRPr="00F406ED">
        <w:rPr>
          <w:lang w:val="bg-BG"/>
        </w:rPr>
        <w:t>.  </w:t>
      </w:r>
      <w:r w:rsidR="00353D29" w:rsidRPr="00F406ED">
        <w:rPr>
          <w:lang w:val="bg-BG"/>
        </w:rPr>
        <w:t>Съдът</w:t>
      </w:r>
      <w:r w:rsidR="00504BE4">
        <w:rPr>
          <w:lang w:val="bg-BG"/>
        </w:rPr>
        <w:t xml:space="preserve"> </w:t>
      </w:r>
      <w:r w:rsidR="00E33E53" w:rsidRPr="00F406ED">
        <w:rPr>
          <w:lang w:val="bg-BG"/>
        </w:rPr>
        <w:t xml:space="preserve">счита, че </w:t>
      </w:r>
      <w:r w:rsidR="002B4892" w:rsidRPr="00F406ED">
        <w:rPr>
          <w:lang w:val="bg-BG"/>
        </w:rPr>
        <w:t>жалбоподателката</w:t>
      </w:r>
      <w:r w:rsidR="00504BE4">
        <w:rPr>
          <w:lang w:val="bg-BG"/>
        </w:rPr>
        <w:t xml:space="preserve"> </w:t>
      </w:r>
      <w:r w:rsidR="00E33E53" w:rsidRPr="00F406ED">
        <w:rPr>
          <w:lang w:val="bg-BG"/>
        </w:rPr>
        <w:t>трябва да е страдала много в резултат от сериозните нарушения на правата й по член </w:t>
      </w:r>
      <w:r w:rsidR="00630296" w:rsidRPr="00F406ED">
        <w:rPr>
          <w:lang w:val="bg-BG"/>
        </w:rPr>
        <w:t xml:space="preserve">2. </w:t>
      </w:r>
      <w:r w:rsidR="00E33E53" w:rsidRPr="00F406ED">
        <w:rPr>
          <w:lang w:val="bg-BG"/>
        </w:rPr>
        <w:t xml:space="preserve">Произнасяйки се на справедлива основа, съгласно изискванията на Член 41 от Конвенцията, той присъжда сумата, </w:t>
      </w:r>
      <w:proofErr w:type="spellStart"/>
      <w:r w:rsidR="00E33E53" w:rsidRPr="00F406ED">
        <w:rPr>
          <w:lang w:val="bg-BG"/>
        </w:rPr>
        <w:t>претендирана</w:t>
      </w:r>
      <w:proofErr w:type="spellEnd"/>
      <w:r w:rsidR="00E33E53" w:rsidRPr="00F406ED">
        <w:rPr>
          <w:lang w:val="bg-BG"/>
        </w:rPr>
        <w:t xml:space="preserve"> от нея </w:t>
      </w:r>
      <w:r w:rsidR="00630296" w:rsidRPr="00F406ED">
        <w:rPr>
          <w:lang w:val="bg-BG"/>
        </w:rPr>
        <w:t>– 25</w:t>
      </w:r>
      <w:r w:rsidR="004D0A1F">
        <w:rPr>
          <w:lang w:val="bg-BG"/>
        </w:rPr>
        <w:t> </w:t>
      </w:r>
      <w:r w:rsidR="00630296" w:rsidRPr="00F406ED">
        <w:rPr>
          <w:lang w:val="bg-BG"/>
        </w:rPr>
        <w:t>000</w:t>
      </w:r>
      <w:r w:rsidR="004D0A1F">
        <w:rPr>
          <w:lang w:val="bg-BG"/>
        </w:rPr>
        <w:t xml:space="preserve"> евро</w:t>
      </w:r>
      <w:r w:rsidR="00630296" w:rsidRPr="00F406ED">
        <w:rPr>
          <w:lang w:val="bg-BG"/>
        </w:rPr>
        <w:t xml:space="preserve">– </w:t>
      </w:r>
      <w:r w:rsidR="00774D8C" w:rsidRPr="00F406ED">
        <w:rPr>
          <w:lang w:val="bg-BG"/>
        </w:rPr>
        <w:t>в пълен размер</w:t>
      </w:r>
      <w:r w:rsidR="00630296" w:rsidRPr="00F406ED">
        <w:rPr>
          <w:lang w:val="bg-BG"/>
        </w:rPr>
        <w:t xml:space="preserve">. </w:t>
      </w:r>
      <w:r w:rsidR="00E33E53" w:rsidRPr="00F406ED">
        <w:rPr>
          <w:lang w:val="bg-BG"/>
        </w:rPr>
        <w:t>Към тази сума следва да се прибави всеки данък, който може да подлежи на начисляване върху нея</w:t>
      </w:r>
      <w:r w:rsidR="00630296" w:rsidRPr="00F406ED">
        <w:rPr>
          <w:lang w:val="bg-BG"/>
        </w:rPr>
        <w:t>.</w:t>
      </w:r>
    </w:p>
    <w:p w:rsidR="00F71A6A" w:rsidRPr="00F406ED" w:rsidRDefault="00E33E53" w:rsidP="00995C31">
      <w:pPr>
        <w:pStyle w:val="JuHA"/>
        <w:keepLines w:val="0"/>
        <w:outlineLvl w:val="2"/>
        <w:rPr>
          <w:lang w:val="bg-BG"/>
        </w:rPr>
      </w:pPr>
      <w:r w:rsidRPr="00F406ED">
        <w:rPr>
          <w:lang w:val="bg-BG"/>
        </w:rPr>
        <w:t>В</w:t>
      </w:r>
      <w:r w:rsidR="00F71A6A" w:rsidRPr="00F406ED">
        <w:rPr>
          <w:lang w:val="bg-BG"/>
        </w:rPr>
        <w:t>.  </w:t>
      </w:r>
      <w:r w:rsidR="00774D8C" w:rsidRPr="00F406ED">
        <w:rPr>
          <w:lang w:val="bg-BG"/>
        </w:rPr>
        <w:t>Разходи и разноски</w:t>
      </w:r>
    </w:p>
    <w:p w:rsidR="00B72312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7231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81</w:t>
      </w:r>
      <w:r w:rsidRPr="00F406ED">
        <w:rPr>
          <w:lang w:val="bg-BG"/>
        </w:rPr>
        <w:fldChar w:fldCharType="end"/>
      </w:r>
      <w:r w:rsidR="00B72312" w:rsidRPr="00F406ED">
        <w:rPr>
          <w:lang w:val="bg-BG"/>
        </w:rPr>
        <w:t>.  </w:t>
      </w:r>
      <w:r w:rsidR="002B4892" w:rsidRPr="00F406ED">
        <w:rPr>
          <w:lang w:val="bg-BG"/>
        </w:rPr>
        <w:t>Жалбоподателката</w:t>
      </w:r>
      <w:r w:rsidR="00A04E83">
        <w:rPr>
          <w:lang w:val="bg-BG"/>
        </w:rPr>
        <w:t xml:space="preserve"> </w:t>
      </w:r>
      <w:r w:rsidR="00E33E53" w:rsidRPr="00F406ED">
        <w:rPr>
          <w:lang w:val="bg-BG"/>
        </w:rPr>
        <w:t xml:space="preserve">иска възстановяване на </w:t>
      </w:r>
      <w:r w:rsidR="00B72312" w:rsidRPr="00F406ED">
        <w:rPr>
          <w:lang w:val="bg-BG"/>
        </w:rPr>
        <w:t>300</w:t>
      </w:r>
      <w:r w:rsidR="004D0A1F">
        <w:rPr>
          <w:lang w:val="bg-BG"/>
        </w:rPr>
        <w:t xml:space="preserve"> евро</w:t>
      </w:r>
      <w:r w:rsidR="00E33E53" w:rsidRPr="00F406ED">
        <w:rPr>
          <w:lang w:val="bg-BG"/>
        </w:rPr>
        <w:t xml:space="preserve">, платени </w:t>
      </w:r>
      <w:r w:rsidR="00161B45">
        <w:rPr>
          <w:lang w:val="bg-BG"/>
        </w:rPr>
        <w:t>като</w:t>
      </w:r>
      <w:r w:rsidR="00E33E53" w:rsidRPr="00F406ED">
        <w:rPr>
          <w:lang w:val="bg-BG"/>
        </w:rPr>
        <w:t xml:space="preserve"> </w:t>
      </w:r>
      <w:r w:rsidR="00161B45">
        <w:rPr>
          <w:lang w:val="bg-BG"/>
        </w:rPr>
        <w:t>хонорари</w:t>
      </w:r>
      <w:r w:rsidR="00E33E53" w:rsidRPr="00F406ED">
        <w:rPr>
          <w:lang w:val="bg-BG"/>
        </w:rPr>
        <w:t xml:space="preserve"> за работата</w:t>
      </w:r>
      <w:r w:rsidR="00A04E83">
        <w:rPr>
          <w:lang w:val="bg-BG"/>
        </w:rPr>
        <w:t xml:space="preserve"> </w:t>
      </w:r>
      <w:r w:rsidR="00E33E53" w:rsidRPr="00F406ED">
        <w:rPr>
          <w:lang w:val="bg-BG"/>
        </w:rPr>
        <w:t xml:space="preserve">на нейния адвокат в националното производство и на </w:t>
      </w:r>
      <w:r w:rsidR="00B72312" w:rsidRPr="00F406ED">
        <w:rPr>
          <w:lang w:val="bg-BG"/>
        </w:rPr>
        <w:t>3</w:t>
      </w:r>
      <w:r w:rsidR="004D0A1F">
        <w:rPr>
          <w:lang w:val="bg-BG"/>
        </w:rPr>
        <w:t> </w:t>
      </w:r>
      <w:r w:rsidR="00B72312" w:rsidRPr="00F406ED">
        <w:rPr>
          <w:lang w:val="bg-BG"/>
        </w:rPr>
        <w:t>400</w:t>
      </w:r>
      <w:r w:rsidR="004D0A1F">
        <w:rPr>
          <w:lang w:val="bg-BG"/>
        </w:rPr>
        <w:t xml:space="preserve"> евро</w:t>
      </w:r>
      <w:r w:rsidR="00E33E53" w:rsidRPr="00F406ED">
        <w:rPr>
          <w:lang w:val="bg-BG"/>
        </w:rPr>
        <w:t xml:space="preserve">, платени за възнаграждения за работата на същия адвокат в производството пред </w:t>
      </w:r>
      <w:r w:rsidR="00353D29" w:rsidRPr="00F406ED">
        <w:rPr>
          <w:lang w:val="bg-BG"/>
        </w:rPr>
        <w:t>Съд</w:t>
      </w:r>
      <w:r w:rsidR="00E33E53" w:rsidRPr="00F406ED">
        <w:rPr>
          <w:lang w:val="bg-BG"/>
        </w:rPr>
        <w:t>а</w:t>
      </w:r>
      <w:r w:rsidR="00B72312" w:rsidRPr="00F406ED">
        <w:rPr>
          <w:lang w:val="bg-BG"/>
        </w:rPr>
        <w:t>.</w:t>
      </w:r>
      <w:r w:rsidR="004D0A1F">
        <w:rPr>
          <w:lang w:val="bg-BG"/>
        </w:rPr>
        <w:t xml:space="preserve"> </w:t>
      </w:r>
      <w:r w:rsidR="00E33E53" w:rsidRPr="00F406ED">
        <w:rPr>
          <w:lang w:val="bg-BG"/>
        </w:rPr>
        <w:t>Тя иска всяка присъдена сума да бъде платена директно на нейния законен представител</w:t>
      </w:r>
      <w:r w:rsidR="00B72312" w:rsidRPr="00F406ED">
        <w:rPr>
          <w:lang w:val="bg-BG"/>
        </w:rPr>
        <w:t>.</w:t>
      </w:r>
    </w:p>
    <w:p w:rsidR="00B72312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7231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82</w:t>
      </w:r>
      <w:r w:rsidRPr="00F406ED">
        <w:rPr>
          <w:lang w:val="bg-BG"/>
        </w:rPr>
        <w:fldChar w:fldCharType="end"/>
      </w:r>
      <w:r w:rsidR="00B72312" w:rsidRPr="00F406ED">
        <w:rPr>
          <w:lang w:val="bg-BG"/>
        </w:rPr>
        <w:t>.  </w:t>
      </w:r>
      <w:r w:rsidR="00E33E53" w:rsidRPr="00F406ED">
        <w:rPr>
          <w:lang w:val="bg-BG"/>
        </w:rPr>
        <w:t>Правителството не представя коментар по иска на жалбоподателката</w:t>
      </w:r>
      <w:r w:rsidR="00B72312" w:rsidRPr="00F406ED">
        <w:rPr>
          <w:lang w:val="bg-BG"/>
        </w:rPr>
        <w:t>.</w:t>
      </w:r>
    </w:p>
    <w:p w:rsidR="00B72312" w:rsidRPr="00F406ED" w:rsidRDefault="00FB1D5F" w:rsidP="00B72312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B72312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83</w:t>
      </w:r>
      <w:r w:rsidRPr="00F406ED">
        <w:rPr>
          <w:lang w:val="bg-BG"/>
        </w:rPr>
        <w:fldChar w:fldCharType="end"/>
      </w:r>
      <w:r w:rsidR="00B72312" w:rsidRPr="00F406ED">
        <w:rPr>
          <w:lang w:val="bg-BG"/>
        </w:rPr>
        <w:t>.  </w:t>
      </w:r>
      <w:r w:rsidR="008C1B50" w:rsidRPr="00F406ED">
        <w:rPr>
          <w:lang w:val="bg-BG"/>
        </w:rPr>
        <w:t>Според практиката на Съда</w:t>
      </w:r>
      <w:r w:rsidR="00B72312" w:rsidRPr="00F406ED">
        <w:rPr>
          <w:lang w:val="bg-BG"/>
        </w:rPr>
        <w:t xml:space="preserve">, </w:t>
      </w:r>
      <w:r w:rsidR="008C1B50" w:rsidRPr="00F406ED">
        <w:rPr>
          <w:lang w:val="bg-BG"/>
        </w:rPr>
        <w:t>разходите и разноските могат да бъдат присъдени съгласно член </w:t>
      </w:r>
      <w:r w:rsidR="00B72312" w:rsidRPr="00F406ED">
        <w:rPr>
          <w:lang w:val="bg-BG"/>
        </w:rPr>
        <w:t>41</w:t>
      </w:r>
      <w:r w:rsidR="00292345">
        <w:rPr>
          <w:lang w:val="bg-BG"/>
        </w:rPr>
        <w:t xml:space="preserve"> единствено</w:t>
      </w:r>
      <w:r w:rsidR="008C1B50" w:rsidRPr="00F406ED">
        <w:rPr>
          <w:lang w:val="bg-BG"/>
        </w:rPr>
        <w:t xml:space="preserve"> ако бъде установено, че те са действително и по необходимост направени и са разумни като количество</w:t>
      </w:r>
      <w:r w:rsidR="00B72312" w:rsidRPr="00F406ED">
        <w:rPr>
          <w:lang w:val="bg-BG"/>
        </w:rPr>
        <w:t>.</w:t>
      </w:r>
      <w:r w:rsidR="00161B45">
        <w:rPr>
          <w:lang w:val="bg-BG"/>
        </w:rPr>
        <w:t xml:space="preserve"> </w:t>
      </w:r>
      <w:r w:rsidR="008C1B50" w:rsidRPr="00F406ED">
        <w:rPr>
          <w:lang w:val="bg-BG"/>
        </w:rPr>
        <w:t>В настоящия случай</w:t>
      </w:r>
      <w:r w:rsidR="00161B45">
        <w:rPr>
          <w:lang w:val="bg-BG"/>
        </w:rPr>
        <w:t>,</w:t>
      </w:r>
      <w:r w:rsidR="008C1B50" w:rsidRPr="00F406ED">
        <w:rPr>
          <w:lang w:val="bg-BG"/>
        </w:rPr>
        <w:t xml:space="preserve"> с оглед на информацията, с която разполага</w:t>
      </w:r>
      <w:r w:rsidR="00161B45">
        <w:rPr>
          <w:lang w:val="bg-BG"/>
        </w:rPr>
        <w:t>,</w:t>
      </w:r>
      <w:r w:rsidR="008C1B50" w:rsidRPr="00F406ED">
        <w:rPr>
          <w:lang w:val="bg-BG"/>
        </w:rPr>
        <w:t xml:space="preserve"> и посочените </w:t>
      </w:r>
      <w:r w:rsidR="004825B6" w:rsidRPr="00F406ED">
        <w:rPr>
          <w:lang w:val="bg-BG"/>
        </w:rPr>
        <w:t>по-горе</w:t>
      </w:r>
      <w:r w:rsidR="00A04E83">
        <w:rPr>
          <w:lang w:val="bg-BG"/>
        </w:rPr>
        <w:t xml:space="preserve"> </w:t>
      </w:r>
      <w:r w:rsidR="008C1B50" w:rsidRPr="00F406ED">
        <w:rPr>
          <w:lang w:val="bg-BG"/>
        </w:rPr>
        <w:t>критерии</w:t>
      </w:r>
      <w:r w:rsidR="00B72312" w:rsidRPr="00F406ED">
        <w:rPr>
          <w:lang w:val="bg-BG"/>
        </w:rPr>
        <w:t xml:space="preserve">, </w:t>
      </w:r>
      <w:r w:rsidR="00353D29" w:rsidRPr="00F406ED">
        <w:rPr>
          <w:lang w:val="bg-BG"/>
        </w:rPr>
        <w:t>Съдът</w:t>
      </w:r>
      <w:r w:rsidR="00A04E83">
        <w:rPr>
          <w:lang w:val="bg-BG"/>
        </w:rPr>
        <w:t xml:space="preserve"> </w:t>
      </w:r>
      <w:r w:rsidR="008C1B50" w:rsidRPr="00F406ED">
        <w:rPr>
          <w:lang w:val="bg-BG"/>
        </w:rPr>
        <w:t xml:space="preserve">счита за разумно да присъди на </w:t>
      </w:r>
      <w:r w:rsidR="002B4892" w:rsidRPr="00F406ED">
        <w:rPr>
          <w:lang w:val="bg-BG"/>
        </w:rPr>
        <w:t>жалбоподателката</w:t>
      </w:r>
      <w:r w:rsidR="00B72312" w:rsidRPr="00F406ED">
        <w:rPr>
          <w:lang w:val="bg-BG"/>
        </w:rPr>
        <w:t xml:space="preserve"> </w:t>
      </w:r>
      <w:r w:rsidR="003B77C0" w:rsidRPr="00F406ED">
        <w:rPr>
          <w:lang w:val="bg-BG"/>
        </w:rPr>
        <w:t>3</w:t>
      </w:r>
      <w:r w:rsidR="004D0A1F">
        <w:rPr>
          <w:lang w:val="bg-BG"/>
        </w:rPr>
        <w:t> </w:t>
      </w:r>
      <w:r w:rsidR="003B77C0" w:rsidRPr="00F406ED">
        <w:rPr>
          <w:lang w:val="bg-BG"/>
        </w:rPr>
        <w:t>300</w:t>
      </w:r>
      <w:r w:rsidR="004D0A1F">
        <w:rPr>
          <w:lang w:val="bg-BG"/>
        </w:rPr>
        <w:t xml:space="preserve"> евро</w:t>
      </w:r>
      <w:r w:rsidR="00B72312" w:rsidRPr="00F406ED">
        <w:rPr>
          <w:lang w:val="bg-BG"/>
        </w:rPr>
        <w:t xml:space="preserve">, </w:t>
      </w:r>
      <w:r w:rsidR="008C1B50" w:rsidRPr="00F406ED">
        <w:rPr>
          <w:lang w:val="bg-BG"/>
        </w:rPr>
        <w:t>плюс всякакви данъци, които биха могли да й бъдат наложени върху горната сума</w:t>
      </w:r>
      <w:r w:rsidR="00B72312" w:rsidRPr="00F406ED">
        <w:rPr>
          <w:lang w:val="bg-BG"/>
        </w:rPr>
        <w:t>.</w:t>
      </w:r>
      <w:r w:rsidR="00161B45">
        <w:rPr>
          <w:lang w:val="bg-BG"/>
        </w:rPr>
        <w:t xml:space="preserve"> </w:t>
      </w:r>
      <w:r w:rsidR="008C1B50" w:rsidRPr="00F406ED">
        <w:rPr>
          <w:lang w:val="bg-BG"/>
        </w:rPr>
        <w:t>Сумата следва да бъде платена по банковата сметка на законния представи</w:t>
      </w:r>
      <w:r w:rsidR="00A71BA5" w:rsidRPr="00F406ED">
        <w:rPr>
          <w:lang w:val="bg-BG"/>
        </w:rPr>
        <w:t>те</w:t>
      </w:r>
      <w:r w:rsidR="008C1B50" w:rsidRPr="00F406ED">
        <w:rPr>
          <w:lang w:val="bg-BG"/>
        </w:rPr>
        <w:t xml:space="preserve">л на </w:t>
      </w:r>
      <w:r w:rsidR="002B4892" w:rsidRPr="00F406ED">
        <w:rPr>
          <w:lang w:val="bg-BG"/>
        </w:rPr>
        <w:t>жалбоподателката</w:t>
      </w:r>
      <w:r w:rsidR="00B72312"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г-н </w:t>
      </w:r>
      <w:r w:rsidR="008C1B50" w:rsidRPr="00F406ED">
        <w:rPr>
          <w:lang w:val="bg-BG"/>
        </w:rPr>
        <w:t>Й</w:t>
      </w:r>
      <w:r w:rsidR="00B72312" w:rsidRPr="00F406ED">
        <w:rPr>
          <w:lang w:val="bg-BG"/>
        </w:rPr>
        <w:t xml:space="preserve">. </w:t>
      </w:r>
      <w:r w:rsidR="008C1B50" w:rsidRPr="00F406ED">
        <w:rPr>
          <w:lang w:val="bg-BG"/>
        </w:rPr>
        <w:t>Грозев</w:t>
      </w:r>
      <w:r w:rsidR="00B72312" w:rsidRPr="00F406ED">
        <w:rPr>
          <w:lang w:val="bg-BG"/>
        </w:rPr>
        <w:t>.</w:t>
      </w:r>
    </w:p>
    <w:p w:rsidR="00F71A6A" w:rsidRPr="00F406ED" w:rsidRDefault="004024F0" w:rsidP="00995C31">
      <w:pPr>
        <w:pStyle w:val="JuHA"/>
        <w:keepLines w:val="0"/>
        <w:outlineLvl w:val="2"/>
        <w:rPr>
          <w:lang w:val="bg-BG"/>
        </w:rPr>
      </w:pPr>
      <w:r w:rsidRPr="00F406ED">
        <w:rPr>
          <w:lang w:val="bg-BG"/>
        </w:rPr>
        <w:t>Г</w:t>
      </w:r>
      <w:r w:rsidR="00F71A6A" w:rsidRPr="00F406ED">
        <w:rPr>
          <w:lang w:val="bg-BG"/>
        </w:rPr>
        <w:t>.  </w:t>
      </w:r>
      <w:r w:rsidRPr="00F406ED">
        <w:rPr>
          <w:lang w:val="bg-BG"/>
        </w:rPr>
        <w:t>Лихва за забава</w:t>
      </w:r>
    </w:p>
    <w:p w:rsidR="00F71A6A" w:rsidRPr="00F406ED" w:rsidRDefault="00FB1D5F" w:rsidP="00106D16">
      <w:pPr>
        <w:pStyle w:val="JuPara"/>
        <w:rPr>
          <w:lang w:val="bg-BG"/>
        </w:rPr>
      </w:pPr>
      <w:r w:rsidRPr="00F406ED">
        <w:rPr>
          <w:lang w:val="bg-BG"/>
        </w:rPr>
        <w:fldChar w:fldCharType="begin"/>
      </w:r>
      <w:r w:rsidR="00280445" w:rsidRPr="00F406ED">
        <w:rPr>
          <w:lang w:val="bg-BG"/>
        </w:rPr>
        <w:instrText xml:space="preserve"> SEQ level0 \*arabic </w:instrText>
      </w:r>
      <w:r w:rsidRPr="00F406ED">
        <w:rPr>
          <w:lang w:val="bg-BG"/>
        </w:rPr>
        <w:fldChar w:fldCharType="separate"/>
      </w:r>
      <w:r w:rsidR="00EF6301" w:rsidRPr="00F406ED">
        <w:rPr>
          <w:noProof/>
          <w:lang w:val="bg-BG"/>
        </w:rPr>
        <w:t>84</w:t>
      </w:r>
      <w:r w:rsidRPr="00F406ED">
        <w:rPr>
          <w:lang w:val="bg-BG"/>
        </w:rPr>
        <w:fldChar w:fldCharType="end"/>
      </w:r>
      <w:r w:rsidR="00280445" w:rsidRPr="00F406ED">
        <w:rPr>
          <w:lang w:val="bg-BG"/>
        </w:rPr>
        <w:t>.  </w:t>
      </w:r>
      <w:r w:rsidR="004024F0" w:rsidRPr="00F406ED">
        <w:rPr>
          <w:lang w:val="bg-BG"/>
        </w:rPr>
        <w:t>Съдът намира за уместно, лихвата за просрочване да е базирана на пределната лихва по заеми</w:t>
      </w:r>
      <w:r w:rsidR="00025CE3">
        <w:rPr>
          <w:lang w:val="bg-BG"/>
        </w:rPr>
        <w:t>те</w:t>
      </w:r>
      <w:r w:rsidR="004024F0" w:rsidRPr="00F406ED">
        <w:rPr>
          <w:lang w:val="bg-BG"/>
        </w:rPr>
        <w:t xml:space="preserve"> на Централната европейска банка, към която следва да се добавят три процентни пункта.</w:t>
      </w:r>
    </w:p>
    <w:p w:rsidR="00F71A6A" w:rsidRPr="00F406ED" w:rsidRDefault="004024F0" w:rsidP="00995C31">
      <w:pPr>
        <w:pStyle w:val="JuHHead"/>
        <w:outlineLvl w:val="0"/>
        <w:rPr>
          <w:lang w:val="bg-BG"/>
        </w:rPr>
      </w:pPr>
      <w:r w:rsidRPr="00F406ED">
        <w:rPr>
          <w:lang w:val="bg-BG"/>
        </w:rPr>
        <w:t>ПО ТЕЗИ СЪОБРАЖЕНИЯ, СЪДЪТ ЕДИНОДУШНО</w:t>
      </w:r>
    </w:p>
    <w:p w:rsidR="00F71A6A" w:rsidRPr="00F406ED" w:rsidRDefault="00F71A6A">
      <w:pPr>
        <w:pStyle w:val="JuList"/>
        <w:rPr>
          <w:lang w:val="bg-BG"/>
        </w:rPr>
      </w:pPr>
      <w:r w:rsidRPr="00F406ED">
        <w:rPr>
          <w:lang w:val="bg-BG"/>
        </w:rPr>
        <w:t>1.  </w:t>
      </w:r>
      <w:r w:rsidR="004024F0" w:rsidRPr="00F406ED">
        <w:rPr>
          <w:i/>
          <w:lang w:val="bg-BG"/>
        </w:rPr>
        <w:t xml:space="preserve">Обявява </w:t>
      </w:r>
      <w:r w:rsidR="004024F0" w:rsidRPr="00F406ED">
        <w:rPr>
          <w:lang w:val="bg-BG"/>
        </w:rPr>
        <w:t>жалбата за допустима</w:t>
      </w:r>
      <w:r w:rsidRPr="00F406ED">
        <w:rPr>
          <w:lang w:val="bg-BG"/>
        </w:rPr>
        <w:t>;</w:t>
      </w:r>
    </w:p>
    <w:p w:rsidR="00F71A6A" w:rsidRPr="00F406ED" w:rsidRDefault="00F71A6A">
      <w:pPr>
        <w:pStyle w:val="JuList"/>
        <w:rPr>
          <w:lang w:val="bg-BG"/>
        </w:rPr>
      </w:pPr>
    </w:p>
    <w:p w:rsidR="00F71A6A" w:rsidRPr="00F406ED" w:rsidRDefault="00F71A6A">
      <w:pPr>
        <w:pStyle w:val="JuList"/>
        <w:rPr>
          <w:lang w:val="bg-BG"/>
        </w:rPr>
      </w:pPr>
      <w:r w:rsidRPr="00F406ED">
        <w:rPr>
          <w:lang w:val="bg-BG"/>
        </w:rPr>
        <w:t>2.  </w:t>
      </w:r>
      <w:r w:rsidR="004024F0" w:rsidRPr="00F406ED">
        <w:rPr>
          <w:i/>
          <w:lang w:val="bg-BG"/>
        </w:rPr>
        <w:t xml:space="preserve">Приема, </w:t>
      </w:r>
      <w:r w:rsidR="004024F0" w:rsidRPr="00F406ED">
        <w:rPr>
          <w:lang w:val="bg-BG"/>
        </w:rPr>
        <w:t>че е налице нарушение на</w:t>
      </w:r>
      <w:r w:rsidR="00A04E83">
        <w:rPr>
          <w:lang w:val="bg-BG"/>
        </w:rPr>
        <w:t xml:space="preserve"> </w:t>
      </w:r>
      <w:r w:rsidR="004024F0" w:rsidRPr="00F406ED">
        <w:rPr>
          <w:lang w:val="bg-BG"/>
        </w:rPr>
        <w:t xml:space="preserve">Член </w:t>
      </w:r>
      <w:r w:rsidR="0051392F" w:rsidRPr="00F406ED">
        <w:rPr>
          <w:lang w:val="bg-BG"/>
        </w:rPr>
        <w:t xml:space="preserve">2 </w:t>
      </w:r>
      <w:r w:rsidR="00364686" w:rsidRPr="00F406ED">
        <w:rPr>
          <w:lang w:val="bg-BG"/>
        </w:rPr>
        <w:t>от Конвенцията</w:t>
      </w:r>
      <w:r w:rsidR="00A04E83">
        <w:rPr>
          <w:lang w:val="bg-BG"/>
        </w:rPr>
        <w:t xml:space="preserve"> </w:t>
      </w:r>
      <w:r w:rsidR="004024F0" w:rsidRPr="00F406ED">
        <w:rPr>
          <w:lang w:val="bg-BG"/>
        </w:rPr>
        <w:t xml:space="preserve">по отношение на смъртта на сина на </w:t>
      </w:r>
      <w:r w:rsidR="002B4892" w:rsidRPr="00F406ED">
        <w:rPr>
          <w:lang w:val="bg-BG"/>
        </w:rPr>
        <w:t>жалбоподателката</w:t>
      </w:r>
      <w:r w:rsidR="0051392F" w:rsidRPr="00F406ED">
        <w:rPr>
          <w:lang w:val="bg-BG"/>
        </w:rPr>
        <w:t>;</w:t>
      </w:r>
    </w:p>
    <w:p w:rsidR="00F71A6A" w:rsidRPr="00F406ED" w:rsidRDefault="00F71A6A">
      <w:pPr>
        <w:pStyle w:val="JuList"/>
        <w:rPr>
          <w:lang w:val="bg-BG"/>
        </w:rPr>
      </w:pPr>
    </w:p>
    <w:p w:rsidR="0051392F" w:rsidRPr="00F406ED" w:rsidRDefault="0051392F" w:rsidP="0051392F">
      <w:pPr>
        <w:pStyle w:val="JuList"/>
        <w:rPr>
          <w:lang w:val="bg-BG"/>
        </w:rPr>
      </w:pPr>
      <w:r w:rsidRPr="00F406ED">
        <w:rPr>
          <w:lang w:val="bg-BG"/>
        </w:rPr>
        <w:t>3.  </w:t>
      </w:r>
      <w:r w:rsidR="004024F0" w:rsidRPr="00F406ED">
        <w:rPr>
          <w:i/>
          <w:lang w:val="bg-BG"/>
        </w:rPr>
        <w:t xml:space="preserve">Приема, </w:t>
      </w:r>
      <w:r w:rsidR="004024F0" w:rsidRPr="00F406ED">
        <w:rPr>
          <w:lang w:val="bg-BG"/>
        </w:rPr>
        <w:t>че е налице нарушение на</w:t>
      </w:r>
      <w:r w:rsidR="00A04E83">
        <w:rPr>
          <w:lang w:val="bg-BG"/>
        </w:rPr>
        <w:t xml:space="preserve"> </w:t>
      </w:r>
      <w:r w:rsidR="004024F0" w:rsidRPr="00F406ED">
        <w:rPr>
          <w:lang w:val="bg-BG"/>
        </w:rPr>
        <w:t xml:space="preserve">Член </w:t>
      </w:r>
      <w:r w:rsidRPr="00F406ED">
        <w:rPr>
          <w:lang w:val="bg-BG"/>
        </w:rPr>
        <w:t xml:space="preserve">2 </w:t>
      </w:r>
      <w:r w:rsidR="00364686" w:rsidRPr="00F406ED">
        <w:rPr>
          <w:lang w:val="bg-BG"/>
        </w:rPr>
        <w:t>от Конвенцията</w:t>
      </w:r>
      <w:r w:rsidR="00A04E83">
        <w:rPr>
          <w:lang w:val="bg-BG"/>
        </w:rPr>
        <w:t xml:space="preserve"> </w:t>
      </w:r>
      <w:r w:rsidR="004024F0" w:rsidRPr="00F406ED">
        <w:rPr>
          <w:lang w:val="bg-BG"/>
        </w:rPr>
        <w:t xml:space="preserve">по отношение на задължението на държавата-ответник да проведе ефективно разследване на обстоятелствата, при които синът на </w:t>
      </w:r>
      <w:r w:rsidR="002B4892" w:rsidRPr="00F406ED">
        <w:rPr>
          <w:lang w:val="bg-BG"/>
        </w:rPr>
        <w:t>жалбоподателката</w:t>
      </w:r>
      <w:r w:rsidR="004024F0" w:rsidRPr="00F406ED">
        <w:rPr>
          <w:lang w:val="bg-BG"/>
        </w:rPr>
        <w:t xml:space="preserve"> е загубил живота си</w:t>
      </w:r>
      <w:r w:rsidRPr="00F406ED">
        <w:rPr>
          <w:lang w:val="bg-BG"/>
        </w:rPr>
        <w:t>;</w:t>
      </w:r>
    </w:p>
    <w:p w:rsidR="00F71A6A" w:rsidRPr="00F406ED" w:rsidRDefault="00F71A6A">
      <w:pPr>
        <w:pStyle w:val="JuList"/>
        <w:rPr>
          <w:lang w:val="bg-BG"/>
        </w:rPr>
      </w:pPr>
    </w:p>
    <w:p w:rsidR="00B72312" w:rsidRPr="00F406ED" w:rsidRDefault="00B72312" w:rsidP="00B72312">
      <w:pPr>
        <w:pStyle w:val="JuList"/>
        <w:rPr>
          <w:lang w:val="bg-BG"/>
        </w:rPr>
      </w:pPr>
      <w:r w:rsidRPr="00F406ED">
        <w:rPr>
          <w:lang w:val="bg-BG"/>
        </w:rPr>
        <w:t>4.  </w:t>
      </w:r>
      <w:r w:rsidR="004024F0" w:rsidRPr="00F406ED">
        <w:rPr>
          <w:i/>
          <w:lang w:val="bg-BG"/>
        </w:rPr>
        <w:t xml:space="preserve">Приема, </w:t>
      </w:r>
      <w:r w:rsidR="004024F0" w:rsidRPr="00F406ED">
        <w:rPr>
          <w:lang w:val="bg-BG"/>
        </w:rPr>
        <w:t>че</w:t>
      </w:r>
      <w:r w:rsidR="00A04E83">
        <w:rPr>
          <w:lang w:val="bg-BG"/>
        </w:rPr>
        <w:t xml:space="preserve"> </w:t>
      </w:r>
      <w:r w:rsidR="004024F0" w:rsidRPr="00F406ED">
        <w:rPr>
          <w:lang w:val="bg-BG"/>
        </w:rPr>
        <w:t>няма необходимост да се разглежда оплакването по член </w:t>
      </w:r>
      <w:r w:rsidRPr="00F406ED">
        <w:rPr>
          <w:lang w:val="bg-BG"/>
        </w:rPr>
        <w:t xml:space="preserve">13 </w:t>
      </w:r>
      <w:r w:rsidR="00364686" w:rsidRPr="00F406ED">
        <w:rPr>
          <w:lang w:val="bg-BG"/>
        </w:rPr>
        <w:t>от Конвенцията</w:t>
      </w:r>
      <w:r w:rsidRPr="00F406ED">
        <w:rPr>
          <w:lang w:val="bg-BG"/>
        </w:rPr>
        <w:t>;</w:t>
      </w:r>
    </w:p>
    <w:p w:rsidR="00F71A6A" w:rsidRPr="00F406ED" w:rsidRDefault="00F71A6A">
      <w:pPr>
        <w:pStyle w:val="JuList"/>
        <w:rPr>
          <w:lang w:val="bg-BG"/>
        </w:rPr>
      </w:pPr>
    </w:p>
    <w:p w:rsidR="0051392F" w:rsidRPr="00F406ED" w:rsidRDefault="00B72312" w:rsidP="003029BB">
      <w:pPr>
        <w:pStyle w:val="JuList"/>
        <w:keepNext/>
        <w:rPr>
          <w:lang w:val="bg-BG"/>
        </w:rPr>
      </w:pPr>
      <w:r w:rsidRPr="00F406ED">
        <w:rPr>
          <w:lang w:val="bg-BG"/>
        </w:rPr>
        <w:t>5</w:t>
      </w:r>
      <w:r w:rsidR="0051392F" w:rsidRPr="00F406ED">
        <w:rPr>
          <w:lang w:val="bg-BG"/>
        </w:rPr>
        <w:t>.  </w:t>
      </w:r>
      <w:r w:rsidR="004024F0" w:rsidRPr="00F406ED">
        <w:rPr>
          <w:i/>
          <w:lang w:val="bg-BG"/>
        </w:rPr>
        <w:t>Приема,</w:t>
      </w:r>
    </w:p>
    <w:p w:rsidR="0051392F" w:rsidRPr="00F406ED" w:rsidRDefault="0051392F" w:rsidP="0051392F">
      <w:pPr>
        <w:pStyle w:val="JuLista"/>
        <w:rPr>
          <w:lang w:val="bg-BG"/>
        </w:rPr>
      </w:pPr>
      <w:r w:rsidRPr="00F406ED">
        <w:rPr>
          <w:lang w:val="bg-BG"/>
        </w:rPr>
        <w:t>(a)  </w:t>
      </w:r>
      <w:r w:rsidR="004024F0" w:rsidRPr="00F406ED">
        <w:rPr>
          <w:lang w:val="bg-BG"/>
        </w:rPr>
        <w:t>че държавата</w:t>
      </w:r>
      <w:r w:rsidR="00025CE3">
        <w:rPr>
          <w:lang w:val="bg-BG"/>
        </w:rPr>
        <w:t xml:space="preserve"> </w:t>
      </w:r>
      <w:r w:rsidR="004024F0" w:rsidRPr="00F406ED">
        <w:rPr>
          <w:lang w:val="bg-BG"/>
        </w:rPr>
        <w:t xml:space="preserve">ответник следва да плати на жалбоподателката, в срок от три месеца считано от датата, на която решението стане окончателно по смисъла на Член 44 § 2 от Конвенцията, следните суми, които се конвертират в български лева по курса, който е в сила </w:t>
      </w:r>
      <w:r w:rsidR="00462ACA">
        <w:rPr>
          <w:lang w:val="bg-BG"/>
        </w:rPr>
        <w:t>към</w:t>
      </w:r>
      <w:r w:rsidR="004024F0" w:rsidRPr="00F406ED">
        <w:rPr>
          <w:lang w:val="bg-BG"/>
        </w:rPr>
        <w:t xml:space="preserve"> датата на плащане:</w:t>
      </w:r>
    </w:p>
    <w:p w:rsidR="0051392F" w:rsidRPr="00F406ED" w:rsidRDefault="0051392F" w:rsidP="0051392F">
      <w:pPr>
        <w:pStyle w:val="JuListi"/>
        <w:rPr>
          <w:lang w:val="bg-BG"/>
        </w:rPr>
      </w:pPr>
      <w:r w:rsidRPr="00F406ED">
        <w:rPr>
          <w:lang w:val="bg-BG"/>
        </w:rPr>
        <w:t>(i)  </w:t>
      </w:r>
      <w:r w:rsidR="000D140C" w:rsidRPr="00F406ED">
        <w:rPr>
          <w:lang w:val="bg-BG"/>
        </w:rPr>
        <w:t>10</w:t>
      </w:r>
      <w:r w:rsidR="00025CE3">
        <w:rPr>
          <w:lang w:val="bg-BG"/>
        </w:rPr>
        <w:t> </w:t>
      </w:r>
      <w:r w:rsidR="002D64FB" w:rsidRPr="00F406ED">
        <w:rPr>
          <w:lang w:val="bg-BG"/>
        </w:rPr>
        <w:t xml:space="preserve">000 </w:t>
      </w:r>
      <w:r w:rsidR="00025CE3">
        <w:rPr>
          <w:lang w:val="bg-BG"/>
        </w:rPr>
        <w:t xml:space="preserve">евро </w:t>
      </w:r>
      <w:r w:rsidRPr="00F406ED">
        <w:rPr>
          <w:lang w:val="bg-BG"/>
        </w:rPr>
        <w:t>(</w:t>
      </w:r>
      <w:r w:rsidR="00734D9A" w:rsidRPr="00F406ED">
        <w:rPr>
          <w:lang w:val="bg-BG"/>
        </w:rPr>
        <w:t>десет хиляди евро</w:t>
      </w:r>
      <w:r w:rsidRPr="00F406ED">
        <w:rPr>
          <w:lang w:val="bg-BG"/>
        </w:rPr>
        <w:t xml:space="preserve">), </w:t>
      </w:r>
      <w:r w:rsidR="00734D9A" w:rsidRPr="00F406ED">
        <w:rPr>
          <w:lang w:val="bg-BG"/>
        </w:rPr>
        <w:t>плюс всякакви данъци, които биха могли да бъдат наложени върху тази сума, за имуществени вреди</w:t>
      </w:r>
      <w:r w:rsidRPr="00F406ED">
        <w:rPr>
          <w:lang w:val="bg-BG"/>
        </w:rPr>
        <w:t>;</w:t>
      </w:r>
    </w:p>
    <w:p w:rsidR="00B72312" w:rsidRPr="00F406ED" w:rsidRDefault="00B72312" w:rsidP="00B72312">
      <w:pPr>
        <w:pStyle w:val="JuListi"/>
        <w:rPr>
          <w:lang w:val="bg-BG"/>
        </w:rPr>
      </w:pPr>
      <w:r w:rsidRPr="00F406ED">
        <w:rPr>
          <w:lang w:val="bg-BG"/>
        </w:rPr>
        <w:t>(ii)  </w:t>
      </w:r>
      <w:r w:rsidR="005035FE" w:rsidRPr="00F406ED">
        <w:rPr>
          <w:lang w:val="bg-BG"/>
        </w:rPr>
        <w:t>25</w:t>
      </w:r>
      <w:r w:rsidR="00025CE3">
        <w:rPr>
          <w:lang w:val="bg-BG"/>
        </w:rPr>
        <w:t> </w:t>
      </w:r>
      <w:r w:rsidR="005035FE" w:rsidRPr="00F406ED">
        <w:rPr>
          <w:lang w:val="bg-BG"/>
        </w:rPr>
        <w:t xml:space="preserve">000 </w:t>
      </w:r>
      <w:r w:rsidR="00025CE3">
        <w:rPr>
          <w:lang w:val="bg-BG"/>
        </w:rPr>
        <w:t xml:space="preserve">евро </w:t>
      </w:r>
      <w:r w:rsidRPr="00F406ED">
        <w:rPr>
          <w:lang w:val="bg-BG"/>
        </w:rPr>
        <w:t>(</w:t>
      </w:r>
      <w:r w:rsidR="00734D9A" w:rsidRPr="00F406ED">
        <w:rPr>
          <w:lang w:val="bg-BG"/>
        </w:rPr>
        <w:t>двадесет и пет хиляди евро</w:t>
      </w:r>
      <w:r w:rsidRPr="00F406ED">
        <w:rPr>
          <w:lang w:val="bg-BG"/>
        </w:rPr>
        <w:t xml:space="preserve">), </w:t>
      </w:r>
      <w:r w:rsidR="00734D9A" w:rsidRPr="00F406ED">
        <w:rPr>
          <w:lang w:val="bg-BG"/>
        </w:rPr>
        <w:t>плюс всякакви данъци, които биха могли да бъдат наложени върху тази сума, за неимуществени вреди</w:t>
      </w:r>
      <w:r w:rsidRPr="00F406ED">
        <w:rPr>
          <w:lang w:val="bg-BG"/>
        </w:rPr>
        <w:t>;</w:t>
      </w:r>
    </w:p>
    <w:p w:rsidR="0051392F" w:rsidRPr="00F406ED" w:rsidRDefault="0051392F" w:rsidP="0051392F">
      <w:pPr>
        <w:pStyle w:val="JuListi"/>
        <w:rPr>
          <w:lang w:val="bg-BG"/>
        </w:rPr>
      </w:pPr>
      <w:r w:rsidRPr="00F406ED">
        <w:rPr>
          <w:lang w:val="bg-BG"/>
        </w:rPr>
        <w:t>(ii</w:t>
      </w:r>
      <w:r w:rsidR="00B72312" w:rsidRPr="00F406ED">
        <w:rPr>
          <w:lang w:val="bg-BG"/>
        </w:rPr>
        <w:t>i</w:t>
      </w:r>
      <w:r w:rsidRPr="00F406ED">
        <w:rPr>
          <w:lang w:val="bg-BG"/>
        </w:rPr>
        <w:t>)  </w:t>
      </w:r>
      <w:r w:rsidR="00244055" w:rsidRPr="00F406ED">
        <w:rPr>
          <w:lang w:val="bg-BG"/>
        </w:rPr>
        <w:t>3</w:t>
      </w:r>
      <w:r w:rsidR="00025CE3">
        <w:rPr>
          <w:lang w:val="bg-BG"/>
        </w:rPr>
        <w:t> </w:t>
      </w:r>
      <w:r w:rsidR="00244055" w:rsidRPr="00F406ED">
        <w:rPr>
          <w:lang w:val="bg-BG"/>
        </w:rPr>
        <w:t xml:space="preserve">300 </w:t>
      </w:r>
      <w:r w:rsidR="00025CE3">
        <w:rPr>
          <w:lang w:val="bg-BG"/>
        </w:rPr>
        <w:t xml:space="preserve">евро </w:t>
      </w:r>
      <w:r w:rsidRPr="00F406ED">
        <w:rPr>
          <w:lang w:val="bg-BG"/>
        </w:rPr>
        <w:t>(</w:t>
      </w:r>
      <w:r w:rsidR="00734D9A" w:rsidRPr="00F406ED">
        <w:rPr>
          <w:lang w:val="bg-BG"/>
        </w:rPr>
        <w:t>три хиляди и триста евро</w:t>
      </w:r>
      <w:r w:rsidRPr="00F406ED">
        <w:rPr>
          <w:lang w:val="bg-BG"/>
        </w:rPr>
        <w:t xml:space="preserve">), </w:t>
      </w:r>
      <w:r w:rsidR="00734D9A" w:rsidRPr="00F406ED">
        <w:rPr>
          <w:lang w:val="bg-BG"/>
        </w:rPr>
        <w:t>плюс всякакви данъци, които биха могли да бъдат наложени на жалбоподателката</w:t>
      </w:r>
      <w:r w:rsidR="00A04E83">
        <w:rPr>
          <w:lang w:val="bg-BG"/>
        </w:rPr>
        <w:t xml:space="preserve"> </w:t>
      </w:r>
      <w:r w:rsidR="00734D9A" w:rsidRPr="00F406ED">
        <w:rPr>
          <w:lang w:val="bg-BG"/>
        </w:rPr>
        <w:t>върху тази сума, за разходи и разноски</w:t>
      </w:r>
      <w:r w:rsidRPr="00F406ED">
        <w:rPr>
          <w:lang w:val="bg-BG"/>
        </w:rPr>
        <w:t xml:space="preserve">, </w:t>
      </w:r>
      <w:r w:rsidR="00734D9A" w:rsidRPr="00F406ED">
        <w:rPr>
          <w:lang w:val="bg-BG"/>
        </w:rPr>
        <w:t xml:space="preserve">който подлежат на плащане в банковата сметка на законния представител на </w:t>
      </w:r>
      <w:r w:rsidR="002B4892" w:rsidRPr="00F406ED">
        <w:rPr>
          <w:lang w:val="bg-BG"/>
        </w:rPr>
        <w:t>жалбоподателката</w:t>
      </w:r>
      <w:r w:rsidRPr="00F406ED">
        <w:rPr>
          <w:lang w:val="bg-BG"/>
        </w:rPr>
        <w:t xml:space="preserve">, </w:t>
      </w:r>
      <w:r w:rsidR="00EF6301" w:rsidRPr="00F406ED">
        <w:rPr>
          <w:lang w:val="bg-BG"/>
        </w:rPr>
        <w:t xml:space="preserve">г-н </w:t>
      </w:r>
      <w:r w:rsidR="00734D9A" w:rsidRPr="00F406ED">
        <w:rPr>
          <w:lang w:val="bg-BG"/>
        </w:rPr>
        <w:t>Й</w:t>
      </w:r>
      <w:r w:rsidR="00B72312" w:rsidRPr="00F406ED">
        <w:rPr>
          <w:lang w:val="bg-BG"/>
        </w:rPr>
        <w:t xml:space="preserve">. </w:t>
      </w:r>
      <w:r w:rsidR="00734D9A" w:rsidRPr="00F406ED">
        <w:rPr>
          <w:lang w:val="bg-BG"/>
        </w:rPr>
        <w:t>Грозев</w:t>
      </w:r>
      <w:r w:rsidRPr="00F406ED">
        <w:rPr>
          <w:lang w:val="bg-BG"/>
        </w:rPr>
        <w:t>;</w:t>
      </w:r>
    </w:p>
    <w:p w:rsidR="0051392F" w:rsidRPr="00F406ED" w:rsidRDefault="0051392F" w:rsidP="0051392F">
      <w:pPr>
        <w:pStyle w:val="JuLista"/>
        <w:rPr>
          <w:lang w:val="bg-BG"/>
        </w:rPr>
      </w:pPr>
      <w:r w:rsidRPr="00F406ED">
        <w:rPr>
          <w:lang w:val="bg-BG"/>
        </w:rPr>
        <w:t>(b)  </w:t>
      </w:r>
      <w:r w:rsidR="00734D9A" w:rsidRPr="00F406ED">
        <w:rPr>
          <w:lang w:val="bg-BG"/>
        </w:rPr>
        <w:t xml:space="preserve">че от изтичането на гореспоменатите три месеца до плащането се дължи обикновена лихва върху горните суми в размер, равен на пределната лихва по заеми на Централната европейска банка за периода на </w:t>
      </w:r>
      <w:proofErr w:type="spellStart"/>
      <w:r w:rsidR="00734D9A" w:rsidRPr="00F406ED">
        <w:rPr>
          <w:lang w:val="bg-BG"/>
        </w:rPr>
        <w:t>просрочие</w:t>
      </w:r>
      <w:proofErr w:type="spellEnd"/>
      <w:r w:rsidR="00734D9A" w:rsidRPr="00F406ED">
        <w:rPr>
          <w:lang w:val="bg-BG"/>
        </w:rPr>
        <w:t xml:space="preserve"> плюс три процентни пункта</w:t>
      </w:r>
      <w:r w:rsidRPr="00F406ED">
        <w:rPr>
          <w:lang w:val="bg-BG"/>
        </w:rPr>
        <w:t>;</w:t>
      </w:r>
    </w:p>
    <w:p w:rsidR="00F71A6A" w:rsidRPr="00F406ED" w:rsidRDefault="00F71A6A">
      <w:pPr>
        <w:pStyle w:val="JuList"/>
        <w:rPr>
          <w:lang w:val="bg-BG"/>
        </w:rPr>
      </w:pPr>
    </w:p>
    <w:p w:rsidR="00F71A6A" w:rsidRPr="00F406ED" w:rsidRDefault="00B72312">
      <w:pPr>
        <w:pStyle w:val="JuList"/>
        <w:rPr>
          <w:lang w:val="bg-BG"/>
        </w:rPr>
      </w:pPr>
      <w:r w:rsidRPr="00F406ED">
        <w:rPr>
          <w:lang w:val="bg-BG"/>
        </w:rPr>
        <w:t>6</w:t>
      </w:r>
      <w:r w:rsidR="00F71A6A" w:rsidRPr="00F406ED">
        <w:rPr>
          <w:lang w:val="bg-BG"/>
        </w:rPr>
        <w:t>.  </w:t>
      </w:r>
      <w:r w:rsidR="00734D9A" w:rsidRPr="00F406ED">
        <w:rPr>
          <w:i/>
          <w:lang w:val="bg-BG"/>
        </w:rPr>
        <w:t xml:space="preserve">Отхвърля </w:t>
      </w:r>
      <w:r w:rsidR="00734D9A" w:rsidRPr="00F406ED">
        <w:rPr>
          <w:lang w:val="bg-BG"/>
        </w:rPr>
        <w:t>останалата част от претенцията на жалбоподателя за справедливо обезщетение</w:t>
      </w:r>
      <w:r w:rsidR="00F71A6A" w:rsidRPr="00F406ED">
        <w:rPr>
          <w:lang w:val="bg-BG"/>
        </w:rPr>
        <w:t>.</w:t>
      </w:r>
    </w:p>
    <w:p w:rsidR="00325C2B" w:rsidRPr="00F406ED" w:rsidRDefault="00734D9A" w:rsidP="000D140C">
      <w:pPr>
        <w:pStyle w:val="JuParaLast"/>
        <w:keepNext/>
        <w:rPr>
          <w:lang w:val="bg-BG"/>
        </w:rPr>
      </w:pPr>
      <w:r w:rsidRPr="00F406ED">
        <w:rPr>
          <w:lang w:val="bg-BG"/>
        </w:rPr>
        <w:t>Изготвено на английски език и съобщено писмено на 7 октомври 2010</w:t>
      </w:r>
      <w:r w:rsidR="00F406ED" w:rsidRPr="00F406ED">
        <w:rPr>
          <w:lang w:val="bg-BG"/>
        </w:rPr>
        <w:t> г.</w:t>
      </w:r>
      <w:r w:rsidRPr="00F406ED">
        <w:rPr>
          <w:lang w:val="bg-BG"/>
        </w:rPr>
        <w:t>, в съответствие с член 77 §§ 2 и 3 от Правилника на Съда.</w:t>
      </w:r>
    </w:p>
    <w:p w:rsidR="00E76A1A" w:rsidRPr="00F406ED" w:rsidRDefault="00325C2B" w:rsidP="00E76A1A">
      <w:pPr>
        <w:pStyle w:val="JuSigned"/>
        <w:keepNext/>
        <w:keepLines/>
        <w:rPr>
          <w:lang w:val="bg-BG"/>
        </w:rPr>
      </w:pPr>
      <w:r w:rsidRPr="00F406ED">
        <w:rPr>
          <w:lang w:val="bg-BG"/>
        </w:rPr>
        <w:tab/>
      </w:r>
      <w:r w:rsidR="00E76A1A" w:rsidRPr="00F406ED">
        <w:rPr>
          <w:lang w:val="bg-BG"/>
        </w:rPr>
        <w:t>Клаудия Вестердийк</w:t>
      </w:r>
      <w:r w:rsidR="00E76A1A" w:rsidRPr="00F406ED">
        <w:rPr>
          <w:lang w:val="bg-BG"/>
        </w:rPr>
        <w:tab/>
        <w:t>Пеер Лоренцен</w:t>
      </w:r>
      <w:r w:rsidR="00E76A1A" w:rsidRPr="00F406ED">
        <w:rPr>
          <w:lang w:val="bg-BG"/>
        </w:rPr>
        <w:br/>
      </w:r>
      <w:r w:rsidR="00E76A1A" w:rsidRPr="00F406ED">
        <w:rPr>
          <w:lang w:val="bg-BG"/>
        </w:rPr>
        <w:tab/>
      </w:r>
      <w:r w:rsidR="00E76A1A" w:rsidRPr="00F406ED">
        <w:rPr>
          <w:iCs/>
          <w:lang w:val="bg-BG"/>
        </w:rPr>
        <w:t>Секретар</w:t>
      </w:r>
      <w:r w:rsidR="00E76A1A" w:rsidRPr="00F406ED">
        <w:rPr>
          <w:lang w:val="bg-BG"/>
        </w:rPr>
        <w:tab/>
        <w:t>Председател</w:t>
      </w:r>
    </w:p>
    <w:sectPr w:rsidR="00E76A1A" w:rsidRPr="00F406ED" w:rsidSect="008F42C3">
      <w:headerReference w:type="even" r:id="rId11"/>
      <w:headerReference w:type="default" r:id="rId12"/>
      <w:footerReference w:type="default" r:id="rId13"/>
      <w:footnotePr>
        <w:numRestart w:val="eachPage"/>
      </w:footnotePr>
      <w:pgSz w:w="11906" w:h="16838" w:code="9"/>
      <w:pgMar w:top="2274" w:right="2274" w:bottom="2516" w:left="2274" w:header="1701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AF" w:rsidRDefault="00F963AF">
      <w:r>
        <w:separator/>
      </w:r>
    </w:p>
  </w:endnote>
  <w:endnote w:type="continuationSeparator" w:id="0">
    <w:p w:rsidR="00F963AF" w:rsidRDefault="00F9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D4" w:rsidRPr="00150BFA" w:rsidRDefault="001524D4" w:rsidP="002B315E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85800" cy="419100"/>
          <wp:effectExtent l="0" t="0" r="0" b="0"/>
          <wp:docPr id="6" name="Picture 6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4D4" w:rsidRDefault="00152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D4" w:rsidRDefault="00152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AF" w:rsidRDefault="00F963AF">
      <w:r>
        <w:separator/>
      </w:r>
    </w:p>
  </w:footnote>
  <w:footnote w:type="continuationSeparator" w:id="0">
    <w:p w:rsidR="00F963AF" w:rsidRDefault="00F9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D4" w:rsidRPr="00C00F0F" w:rsidRDefault="001524D4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9150"/>
          <wp:effectExtent l="0" t="0" r="0" b="0"/>
          <wp:docPr id="5" name="Picture 5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4D4" w:rsidRPr="00171565" w:rsidRDefault="001524D4" w:rsidP="0017156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D4" w:rsidRDefault="001524D4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  <w:r>
      <w:tab/>
    </w:r>
    <w:r w:rsidRPr="00E11A3E">
      <w:rPr>
        <w:lang w:val="bg-BG"/>
      </w:rPr>
      <w:t xml:space="preserve">РЕШЕНИЕ по делото </w:t>
    </w:r>
    <w:r>
      <w:rPr>
        <w:lang w:val="bg-BG"/>
      </w:rPr>
      <w:t xml:space="preserve">КАРАНДЖА </w:t>
    </w:r>
    <w:proofErr w:type="spellStart"/>
    <w:r w:rsidRPr="00E11A3E">
      <w:rPr>
        <w:lang w:val="bg-BG"/>
      </w:rPr>
      <w:t>срещуБЪЛГАРИЯ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4D4" w:rsidRDefault="001524D4">
    <w:pPr>
      <w:pStyle w:val="JuHeader"/>
    </w:pPr>
    <w:r>
      <w:tab/>
    </w:r>
    <w:r w:rsidRPr="00E11A3E">
      <w:rPr>
        <w:lang w:val="bg-BG"/>
      </w:rPr>
      <w:t xml:space="preserve">РЕШЕНИЕ по делото </w:t>
    </w:r>
    <w:r>
      <w:rPr>
        <w:lang w:val="bg-BG"/>
      </w:rPr>
      <w:t xml:space="preserve">КАРАНДЖА </w:t>
    </w:r>
    <w:proofErr w:type="spellStart"/>
    <w:r w:rsidRPr="00E11A3E">
      <w:rPr>
        <w:lang w:val="bg-BG"/>
      </w:rPr>
      <w:t>срещуБЪЛГАРИЯ</w:t>
    </w:r>
    <w:proofErr w:type="spellEnd"/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ETRANSMISSION" w:val=" "/>
    <w:docVar w:name="L4_1Annex" w:val="0"/>
    <w:docVar w:name="L4_1Anonymity" w:val="0"/>
    <w:docVar w:name="SignForeName" w:val="0"/>
  </w:docVars>
  <w:rsids>
    <w:rsidRoot w:val="001E2DDF"/>
    <w:rsid w:val="00000452"/>
    <w:rsid w:val="00005AA2"/>
    <w:rsid w:val="00006DC0"/>
    <w:rsid w:val="00010EF4"/>
    <w:rsid w:val="00017034"/>
    <w:rsid w:val="00022970"/>
    <w:rsid w:val="00024109"/>
    <w:rsid w:val="00024CCC"/>
    <w:rsid w:val="00024D23"/>
    <w:rsid w:val="000259F0"/>
    <w:rsid w:val="00025CE3"/>
    <w:rsid w:val="00031CC6"/>
    <w:rsid w:val="0003408F"/>
    <w:rsid w:val="0003679E"/>
    <w:rsid w:val="00041B1E"/>
    <w:rsid w:val="00042150"/>
    <w:rsid w:val="00045031"/>
    <w:rsid w:val="00045941"/>
    <w:rsid w:val="0004630C"/>
    <w:rsid w:val="0004732E"/>
    <w:rsid w:val="00055AC1"/>
    <w:rsid w:val="00055DDB"/>
    <w:rsid w:val="00055E7D"/>
    <w:rsid w:val="0005631C"/>
    <w:rsid w:val="00056DCE"/>
    <w:rsid w:val="000606F0"/>
    <w:rsid w:val="00061DCE"/>
    <w:rsid w:val="00061F49"/>
    <w:rsid w:val="00062C97"/>
    <w:rsid w:val="0006561F"/>
    <w:rsid w:val="000668CD"/>
    <w:rsid w:val="0006789E"/>
    <w:rsid w:val="00070E06"/>
    <w:rsid w:val="000726F6"/>
    <w:rsid w:val="00073F94"/>
    <w:rsid w:val="00076962"/>
    <w:rsid w:val="00076A67"/>
    <w:rsid w:val="00077AB0"/>
    <w:rsid w:val="0008331F"/>
    <w:rsid w:val="00085837"/>
    <w:rsid w:val="00085B3A"/>
    <w:rsid w:val="00086B9E"/>
    <w:rsid w:val="00090C82"/>
    <w:rsid w:val="00095587"/>
    <w:rsid w:val="00095B5B"/>
    <w:rsid w:val="00097A42"/>
    <w:rsid w:val="000A4EE9"/>
    <w:rsid w:val="000A6B10"/>
    <w:rsid w:val="000A7B41"/>
    <w:rsid w:val="000B2871"/>
    <w:rsid w:val="000B303F"/>
    <w:rsid w:val="000B40DE"/>
    <w:rsid w:val="000B7234"/>
    <w:rsid w:val="000C2BC6"/>
    <w:rsid w:val="000C43BA"/>
    <w:rsid w:val="000C5DAC"/>
    <w:rsid w:val="000C65DF"/>
    <w:rsid w:val="000C69B5"/>
    <w:rsid w:val="000C724D"/>
    <w:rsid w:val="000D0C34"/>
    <w:rsid w:val="000D140C"/>
    <w:rsid w:val="000D3189"/>
    <w:rsid w:val="000D33E5"/>
    <w:rsid w:val="000D6108"/>
    <w:rsid w:val="000D7501"/>
    <w:rsid w:val="000E0571"/>
    <w:rsid w:val="000E0886"/>
    <w:rsid w:val="000E1449"/>
    <w:rsid w:val="000E1570"/>
    <w:rsid w:val="000E20C9"/>
    <w:rsid w:val="000E368D"/>
    <w:rsid w:val="000E449D"/>
    <w:rsid w:val="000E69A2"/>
    <w:rsid w:val="000E70FD"/>
    <w:rsid w:val="000E7ADA"/>
    <w:rsid w:val="000F0EED"/>
    <w:rsid w:val="000F1632"/>
    <w:rsid w:val="000F205B"/>
    <w:rsid w:val="000F30F5"/>
    <w:rsid w:val="000F5799"/>
    <w:rsid w:val="000F699D"/>
    <w:rsid w:val="00100985"/>
    <w:rsid w:val="00103103"/>
    <w:rsid w:val="00104AD1"/>
    <w:rsid w:val="00106D16"/>
    <w:rsid w:val="001128C5"/>
    <w:rsid w:val="00113E5B"/>
    <w:rsid w:val="00115305"/>
    <w:rsid w:val="0011665B"/>
    <w:rsid w:val="001174BF"/>
    <w:rsid w:val="0012545B"/>
    <w:rsid w:val="00126213"/>
    <w:rsid w:val="00127EBB"/>
    <w:rsid w:val="00132120"/>
    <w:rsid w:val="00132F14"/>
    <w:rsid w:val="00135ADC"/>
    <w:rsid w:val="00136178"/>
    <w:rsid w:val="00137C12"/>
    <w:rsid w:val="0014503D"/>
    <w:rsid w:val="0014707A"/>
    <w:rsid w:val="00150678"/>
    <w:rsid w:val="001524D4"/>
    <w:rsid w:val="00152BDA"/>
    <w:rsid w:val="00160507"/>
    <w:rsid w:val="00160612"/>
    <w:rsid w:val="00161B45"/>
    <w:rsid w:val="00165C56"/>
    <w:rsid w:val="00165C6B"/>
    <w:rsid w:val="00166D98"/>
    <w:rsid w:val="00171565"/>
    <w:rsid w:val="00177574"/>
    <w:rsid w:val="001802AC"/>
    <w:rsid w:val="001804BF"/>
    <w:rsid w:val="001812B2"/>
    <w:rsid w:val="00181E6F"/>
    <w:rsid w:val="0018224B"/>
    <w:rsid w:val="0018356F"/>
    <w:rsid w:val="00183D80"/>
    <w:rsid w:val="0018762E"/>
    <w:rsid w:val="00190942"/>
    <w:rsid w:val="001911B4"/>
    <w:rsid w:val="001918CC"/>
    <w:rsid w:val="001936B1"/>
    <w:rsid w:val="001966D3"/>
    <w:rsid w:val="00196F1F"/>
    <w:rsid w:val="00197C29"/>
    <w:rsid w:val="00197FAB"/>
    <w:rsid w:val="001A05C7"/>
    <w:rsid w:val="001A0EBE"/>
    <w:rsid w:val="001A267C"/>
    <w:rsid w:val="001A37F7"/>
    <w:rsid w:val="001A4483"/>
    <w:rsid w:val="001A7073"/>
    <w:rsid w:val="001B16EB"/>
    <w:rsid w:val="001B4CB9"/>
    <w:rsid w:val="001B6162"/>
    <w:rsid w:val="001B62B1"/>
    <w:rsid w:val="001B74F7"/>
    <w:rsid w:val="001C1D1C"/>
    <w:rsid w:val="001C2A38"/>
    <w:rsid w:val="001C2E94"/>
    <w:rsid w:val="001D1F24"/>
    <w:rsid w:val="001D2224"/>
    <w:rsid w:val="001D6B83"/>
    <w:rsid w:val="001D6C7F"/>
    <w:rsid w:val="001D7A83"/>
    <w:rsid w:val="001E13A3"/>
    <w:rsid w:val="001E2DDF"/>
    <w:rsid w:val="001E3A0A"/>
    <w:rsid w:val="001E450A"/>
    <w:rsid w:val="001E5DBC"/>
    <w:rsid w:val="001E5FD5"/>
    <w:rsid w:val="001F076C"/>
    <w:rsid w:val="001F2466"/>
    <w:rsid w:val="001F2606"/>
    <w:rsid w:val="001F3C32"/>
    <w:rsid w:val="001F3DF0"/>
    <w:rsid w:val="001F45C3"/>
    <w:rsid w:val="001F4E2C"/>
    <w:rsid w:val="001F5586"/>
    <w:rsid w:val="00201438"/>
    <w:rsid w:val="00203B10"/>
    <w:rsid w:val="00204876"/>
    <w:rsid w:val="00205544"/>
    <w:rsid w:val="00207525"/>
    <w:rsid w:val="00213D61"/>
    <w:rsid w:val="002143BC"/>
    <w:rsid w:val="002149E6"/>
    <w:rsid w:val="00214CE5"/>
    <w:rsid w:val="0021728C"/>
    <w:rsid w:val="002222BD"/>
    <w:rsid w:val="00222AA8"/>
    <w:rsid w:val="002230AD"/>
    <w:rsid w:val="00223A0A"/>
    <w:rsid w:val="00224A74"/>
    <w:rsid w:val="00225D7C"/>
    <w:rsid w:val="002266CD"/>
    <w:rsid w:val="002314B4"/>
    <w:rsid w:val="0023288A"/>
    <w:rsid w:val="00242909"/>
    <w:rsid w:val="00244055"/>
    <w:rsid w:val="00247681"/>
    <w:rsid w:val="00247B0A"/>
    <w:rsid w:val="00252B31"/>
    <w:rsid w:val="00260120"/>
    <w:rsid w:val="00271A43"/>
    <w:rsid w:val="00272006"/>
    <w:rsid w:val="00273EFD"/>
    <w:rsid w:val="00276BDB"/>
    <w:rsid w:val="00280445"/>
    <w:rsid w:val="002839E2"/>
    <w:rsid w:val="00291152"/>
    <w:rsid w:val="00292345"/>
    <w:rsid w:val="002974EE"/>
    <w:rsid w:val="00297855"/>
    <w:rsid w:val="00297EA2"/>
    <w:rsid w:val="002A0867"/>
    <w:rsid w:val="002A0AB8"/>
    <w:rsid w:val="002A4511"/>
    <w:rsid w:val="002A5956"/>
    <w:rsid w:val="002A6B6D"/>
    <w:rsid w:val="002A7718"/>
    <w:rsid w:val="002B171D"/>
    <w:rsid w:val="002B23DA"/>
    <w:rsid w:val="002B315E"/>
    <w:rsid w:val="002B4751"/>
    <w:rsid w:val="002B4892"/>
    <w:rsid w:val="002B5FD1"/>
    <w:rsid w:val="002B61AB"/>
    <w:rsid w:val="002B7656"/>
    <w:rsid w:val="002B795B"/>
    <w:rsid w:val="002C0014"/>
    <w:rsid w:val="002C59B9"/>
    <w:rsid w:val="002C606C"/>
    <w:rsid w:val="002C6FDC"/>
    <w:rsid w:val="002D42A6"/>
    <w:rsid w:val="002D4575"/>
    <w:rsid w:val="002D64FB"/>
    <w:rsid w:val="002E3B22"/>
    <w:rsid w:val="002E4158"/>
    <w:rsid w:val="002E5804"/>
    <w:rsid w:val="002E5EA9"/>
    <w:rsid w:val="002E7213"/>
    <w:rsid w:val="002F1B48"/>
    <w:rsid w:val="002F4631"/>
    <w:rsid w:val="002F6929"/>
    <w:rsid w:val="002F6FE9"/>
    <w:rsid w:val="003029BB"/>
    <w:rsid w:val="0030326A"/>
    <w:rsid w:val="00306308"/>
    <w:rsid w:val="00310DAA"/>
    <w:rsid w:val="00312FC5"/>
    <w:rsid w:val="0031369A"/>
    <w:rsid w:val="0031573C"/>
    <w:rsid w:val="0032093A"/>
    <w:rsid w:val="00320E2D"/>
    <w:rsid w:val="003211A1"/>
    <w:rsid w:val="003221BD"/>
    <w:rsid w:val="00322A5E"/>
    <w:rsid w:val="00322F9D"/>
    <w:rsid w:val="003259A8"/>
    <w:rsid w:val="00325C2B"/>
    <w:rsid w:val="003307D8"/>
    <w:rsid w:val="00332547"/>
    <w:rsid w:val="00333770"/>
    <w:rsid w:val="00336887"/>
    <w:rsid w:val="00337600"/>
    <w:rsid w:val="00337E46"/>
    <w:rsid w:val="00340252"/>
    <w:rsid w:val="003413FB"/>
    <w:rsid w:val="00341CFF"/>
    <w:rsid w:val="00343851"/>
    <w:rsid w:val="0035103C"/>
    <w:rsid w:val="00353D29"/>
    <w:rsid w:val="0035544E"/>
    <w:rsid w:val="00360391"/>
    <w:rsid w:val="00364686"/>
    <w:rsid w:val="00367521"/>
    <w:rsid w:val="00367F19"/>
    <w:rsid w:val="00371277"/>
    <w:rsid w:val="00372B45"/>
    <w:rsid w:val="00373905"/>
    <w:rsid w:val="00373C62"/>
    <w:rsid w:val="00376C04"/>
    <w:rsid w:val="00377346"/>
    <w:rsid w:val="00377FD6"/>
    <w:rsid w:val="00380100"/>
    <w:rsid w:val="003809C4"/>
    <w:rsid w:val="00381C11"/>
    <w:rsid w:val="00385063"/>
    <w:rsid w:val="00385861"/>
    <w:rsid w:val="00386A4A"/>
    <w:rsid w:val="00386AFA"/>
    <w:rsid w:val="003871A9"/>
    <w:rsid w:val="0039199B"/>
    <w:rsid w:val="00391EDC"/>
    <w:rsid w:val="0039343F"/>
    <w:rsid w:val="003947D3"/>
    <w:rsid w:val="003A140A"/>
    <w:rsid w:val="003A4BFC"/>
    <w:rsid w:val="003A4CD1"/>
    <w:rsid w:val="003A739A"/>
    <w:rsid w:val="003B0D29"/>
    <w:rsid w:val="003B2B61"/>
    <w:rsid w:val="003B392E"/>
    <w:rsid w:val="003B55AA"/>
    <w:rsid w:val="003B57BD"/>
    <w:rsid w:val="003B6D38"/>
    <w:rsid w:val="003B74D0"/>
    <w:rsid w:val="003B77C0"/>
    <w:rsid w:val="003C0169"/>
    <w:rsid w:val="003C09D2"/>
    <w:rsid w:val="003C3392"/>
    <w:rsid w:val="003C6942"/>
    <w:rsid w:val="003D1143"/>
    <w:rsid w:val="003D3BC1"/>
    <w:rsid w:val="003D50A7"/>
    <w:rsid w:val="003D6295"/>
    <w:rsid w:val="003D7D1D"/>
    <w:rsid w:val="003E0095"/>
    <w:rsid w:val="003E152F"/>
    <w:rsid w:val="003E1F42"/>
    <w:rsid w:val="003E2006"/>
    <w:rsid w:val="003E240B"/>
    <w:rsid w:val="003E2FF6"/>
    <w:rsid w:val="003E319C"/>
    <w:rsid w:val="003E59DA"/>
    <w:rsid w:val="003E6208"/>
    <w:rsid w:val="003F0D4A"/>
    <w:rsid w:val="003F111E"/>
    <w:rsid w:val="003F3BFD"/>
    <w:rsid w:val="003F49BE"/>
    <w:rsid w:val="00401945"/>
    <w:rsid w:val="004024F0"/>
    <w:rsid w:val="0040263F"/>
    <w:rsid w:val="00402AB4"/>
    <w:rsid w:val="004076AE"/>
    <w:rsid w:val="00410479"/>
    <w:rsid w:val="00411E88"/>
    <w:rsid w:val="004121E0"/>
    <w:rsid w:val="00413E9A"/>
    <w:rsid w:val="00416D23"/>
    <w:rsid w:val="00426BD7"/>
    <w:rsid w:val="0042768B"/>
    <w:rsid w:val="00427AA9"/>
    <w:rsid w:val="004355FA"/>
    <w:rsid w:val="004375CF"/>
    <w:rsid w:val="00437664"/>
    <w:rsid w:val="00442C09"/>
    <w:rsid w:val="00442F57"/>
    <w:rsid w:val="00443B1A"/>
    <w:rsid w:val="004532A6"/>
    <w:rsid w:val="00453B32"/>
    <w:rsid w:val="00457354"/>
    <w:rsid w:val="00457A18"/>
    <w:rsid w:val="00460339"/>
    <w:rsid w:val="00460FAD"/>
    <w:rsid w:val="00461428"/>
    <w:rsid w:val="00462ACA"/>
    <w:rsid w:val="00465A09"/>
    <w:rsid w:val="00466276"/>
    <w:rsid w:val="00467107"/>
    <w:rsid w:val="00473440"/>
    <w:rsid w:val="00474CAC"/>
    <w:rsid w:val="004779D7"/>
    <w:rsid w:val="00481CEB"/>
    <w:rsid w:val="00481E4E"/>
    <w:rsid w:val="004825B6"/>
    <w:rsid w:val="004840D3"/>
    <w:rsid w:val="00484475"/>
    <w:rsid w:val="00485A6F"/>
    <w:rsid w:val="00486FC4"/>
    <w:rsid w:val="00492AA4"/>
    <w:rsid w:val="00493D70"/>
    <w:rsid w:val="00497072"/>
    <w:rsid w:val="00497AB8"/>
    <w:rsid w:val="004A0E60"/>
    <w:rsid w:val="004A1840"/>
    <w:rsid w:val="004A2C9D"/>
    <w:rsid w:val="004A72BF"/>
    <w:rsid w:val="004B1663"/>
    <w:rsid w:val="004B6288"/>
    <w:rsid w:val="004B7EE7"/>
    <w:rsid w:val="004C1F91"/>
    <w:rsid w:val="004C4F49"/>
    <w:rsid w:val="004C6FDD"/>
    <w:rsid w:val="004D0A1F"/>
    <w:rsid w:val="004D39D6"/>
    <w:rsid w:val="004D4AAF"/>
    <w:rsid w:val="004E06BC"/>
    <w:rsid w:val="004E3400"/>
    <w:rsid w:val="004E3BA2"/>
    <w:rsid w:val="004E569B"/>
    <w:rsid w:val="004E5DFC"/>
    <w:rsid w:val="004E6912"/>
    <w:rsid w:val="004F3E90"/>
    <w:rsid w:val="004F6500"/>
    <w:rsid w:val="005007B5"/>
    <w:rsid w:val="00500DBA"/>
    <w:rsid w:val="0050356E"/>
    <w:rsid w:val="005035FE"/>
    <w:rsid w:val="00504AC9"/>
    <w:rsid w:val="00504BE4"/>
    <w:rsid w:val="00506D37"/>
    <w:rsid w:val="005071CA"/>
    <w:rsid w:val="00507388"/>
    <w:rsid w:val="00507E7D"/>
    <w:rsid w:val="00507EF4"/>
    <w:rsid w:val="0051392F"/>
    <w:rsid w:val="00514328"/>
    <w:rsid w:val="00516EBF"/>
    <w:rsid w:val="00522362"/>
    <w:rsid w:val="00522568"/>
    <w:rsid w:val="00523BF0"/>
    <w:rsid w:val="00523FC8"/>
    <w:rsid w:val="00525428"/>
    <w:rsid w:val="005264BF"/>
    <w:rsid w:val="00530436"/>
    <w:rsid w:val="005317BC"/>
    <w:rsid w:val="00533354"/>
    <w:rsid w:val="0053736F"/>
    <w:rsid w:val="00537A50"/>
    <w:rsid w:val="00537E33"/>
    <w:rsid w:val="0054009F"/>
    <w:rsid w:val="00540A7A"/>
    <w:rsid w:val="005419B6"/>
    <w:rsid w:val="0054315F"/>
    <w:rsid w:val="005449AC"/>
    <w:rsid w:val="00545157"/>
    <w:rsid w:val="00546F49"/>
    <w:rsid w:val="00546FE6"/>
    <w:rsid w:val="005511DA"/>
    <w:rsid w:val="00552BD8"/>
    <w:rsid w:val="005542AA"/>
    <w:rsid w:val="00555B90"/>
    <w:rsid w:val="0056383A"/>
    <w:rsid w:val="00563F94"/>
    <w:rsid w:val="0056719A"/>
    <w:rsid w:val="0056771C"/>
    <w:rsid w:val="00570744"/>
    <w:rsid w:val="00576258"/>
    <w:rsid w:val="005777BA"/>
    <w:rsid w:val="00577E6A"/>
    <w:rsid w:val="005808FA"/>
    <w:rsid w:val="00580BD5"/>
    <w:rsid w:val="00586CD2"/>
    <w:rsid w:val="00586E8C"/>
    <w:rsid w:val="00587901"/>
    <w:rsid w:val="00590E40"/>
    <w:rsid w:val="005919B9"/>
    <w:rsid w:val="00594503"/>
    <w:rsid w:val="005A277A"/>
    <w:rsid w:val="005A533B"/>
    <w:rsid w:val="005B16A8"/>
    <w:rsid w:val="005B4233"/>
    <w:rsid w:val="005B5AED"/>
    <w:rsid w:val="005B636C"/>
    <w:rsid w:val="005B6882"/>
    <w:rsid w:val="005C03E2"/>
    <w:rsid w:val="005C042D"/>
    <w:rsid w:val="005C1929"/>
    <w:rsid w:val="005C2A09"/>
    <w:rsid w:val="005C356D"/>
    <w:rsid w:val="005C5E3D"/>
    <w:rsid w:val="005D096E"/>
    <w:rsid w:val="005D1CE8"/>
    <w:rsid w:val="005D2CB8"/>
    <w:rsid w:val="005D6582"/>
    <w:rsid w:val="005E0894"/>
    <w:rsid w:val="005E1846"/>
    <w:rsid w:val="005E384F"/>
    <w:rsid w:val="005E3C8B"/>
    <w:rsid w:val="005E4EB7"/>
    <w:rsid w:val="005E53D1"/>
    <w:rsid w:val="005F24FE"/>
    <w:rsid w:val="005F2745"/>
    <w:rsid w:val="005F49FE"/>
    <w:rsid w:val="005F76C4"/>
    <w:rsid w:val="005F7A10"/>
    <w:rsid w:val="00601CBB"/>
    <w:rsid w:val="00603BA6"/>
    <w:rsid w:val="00604107"/>
    <w:rsid w:val="00605B5B"/>
    <w:rsid w:val="00610D41"/>
    <w:rsid w:val="00610F05"/>
    <w:rsid w:val="006111FF"/>
    <w:rsid w:val="00612F1C"/>
    <w:rsid w:val="0061416D"/>
    <w:rsid w:val="00614DA0"/>
    <w:rsid w:val="0061553C"/>
    <w:rsid w:val="00615E01"/>
    <w:rsid w:val="00621933"/>
    <w:rsid w:val="00623329"/>
    <w:rsid w:val="00624541"/>
    <w:rsid w:val="00624B09"/>
    <w:rsid w:val="00626EE3"/>
    <w:rsid w:val="0062787C"/>
    <w:rsid w:val="00630296"/>
    <w:rsid w:val="00630298"/>
    <w:rsid w:val="0063434C"/>
    <w:rsid w:val="0063509C"/>
    <w:rsid w:val="00635A1C"/>
    <w:rsid w:val="00636F0C"/>
    <w:rsid w:val="00640B82"/>
    <w:rsid w:val="006419F3"/>
    <w:rsid w:val="00641DFF"/>
    <w:rsid w:val="00641E1D"/>
    <w:rsid w:val="00642B9B"/>
    <w:rsid w:val="00644E87"/>
    <w:rsid w:val="006454CF"/>
    <w:rsid w:val="00653A9D"/>
    <w:rsid w:val="00655126"/>
    <w:rsid w:val="006551C9"/>
    <w:rsid w:val="006606DB"/>
    <w:rsid w:val="00664497"/>
    <w:rsid w:val="0066490B"/>
    <w:rsid w:val="006668DF"/>
    <w:rsid w:val="00667021"/>
    <w:rsid w:val="0066707C"/>
    <w:rsid w:val="00670CDE"/>
    <w:rsid w:val="0067166A"/>
    <w:rsid w:val="006756C4"/>
    <w:rsid w:val="00676EAF"/>
    <w:rsid w:val="00680381"/>
    <w:rsid w:val="00681504"/>
    <w:rsid w:val="006820AE"/>
    <w:rsid w:val="006821E2"/>
    <w:rsid w:val="0068272B"/>
    <w:rsid w:val="0069117A"/>
    <w:rsid w:val="00694F2C"/>
    <w:rsid w:val="0069695C"/>
    <w:rsid w:val="00697F14"/>
    <w:rsid w:val="006A0383"/>
    <w:rsid w:val="006A0B91"/>
    <w:rsid w:val="006A1DC2"/>
    <w:rsid w:val="006A26D8"/>
    <w:rsid w:val="006A6DB1"/>
    <w:rsid w:val="006A7886"/>
    <w:rsid w:val="006B5E07"/>
    <w:rsid w:val="006B5EA5"/>
    <w:rsid w:val="006C2B52"/>
    <w:rsid w:val="006C35C5"/>
    <w:rsid w:val="006C5393"/>
    <w:rsid w:val="006C5641"/>
    <w:rsid w:val="006C7F45"/>
    <w:rsid w:val="006D023B"/>
    <w:rsid w:val="006D08B1"/>
    <w:rsid w:val="006D0BDF"/>
    <w:rsid w:val="006D3ECD"/>
    <w:rsid w:val="006D77E5"/>
    <w:rsid w:val="006E4443"/>
    <w:rsid w:val="006E45CA"/>
    <w:rsid w:val="006E505D"/>
    <w:rsid w:val="006E5458"/>
    <w:rsid w:val="006F024F"/>
    <w:rsid w:val="006F104D"/>
    <w:rsid w:val="006F18AE"/>
    <w:rsid w:val="006F2A58"/>
    <w:rsid w:val="006F60DF"/>
    <w:rsid w:val="00700165"/>
    <w:rsid w:val="00704E28"/>
    <w:rsid w:val="00705F96"/>
    <w:rsid w:val="00707880"/>
    <w:rsid w:val="007106BA"/>
    <w:rsid w:val="0071098D"/>
    <w:rsid w:val="00710AE0"/>
    <w:rsid w:val="00712A48"/>
    <w:rsid w:val="00713641"/>
    <w:rsid w:val="007156E0"/>
    <w:rsid w:val="007165A5"/>
    <w:rsid w:val="007166F4"/>
    <w:rsid w:val="0071751B"/>
    <w:rsid w:val="007206C8"/>
    <w:rsid w:val="00724039"/>
    <w:rsid w:val="0072527F"/>
    <w:rsid w:val="00725686"/>
    <w:rsid w:val="00730053"/>
    <w:rsid w:val="007302A7"/>
    <w:rsid w:val="00730433"/>
    <w:rsid w:val="00730D75"/>
    <w:rsid w:val="007310FD"/>
    <w:rsid w:val="007335C0"/>
    <w:rsid w:val="00733D7E"/>
    <w:rsid w:val="00734D9A"/>
    <w:rsid w:val="007352DD"/>
    <w:rsid w:val="007362C4"/>
    <w:rsid w:val="007379C5"/>
    <w:rsid w:val="007508DB"/>
    <w:rsid w:val="00750E5E"/>
    <w:rsid w:val="007512D8"/>
    <w:rsid w:val="00752A52"/>
    <w:rsid w:val="0075358D"/>
    <w:rsid w:val="00753A00"/>
    <w:rsid w:val="00753A55"/>
    <w:rsid w:val="00754254"/>
    <w:rsid w:val="00756D5B"/>
    <w:rsid w:val="0075703E"/>
    <w:rsid w:val="0075746C"/>
    <w:rsid w:val="0075767F"/>
    <w:rsid w:val="00757DBD"/>
    <w:rsid w:val="00757E03"/>
    <w:rsid w:val="00763EF9"/>
    <w:rsid w:val="00774D8C"/>
    <w:rsid w:val="00776D15"/>
    <w:rsid w:val="00777A55"/>
    <w:rsid w:val="007801C8"/>
    <w:rsid w:val="00780E78"/>
    <w:rsid w:val="0078163F"/>
    <w:rsid w:val="007827E7"/>
    <w:rsid w:val="0078373E"/>
    <w:rsid w:val="00784D20"/>
    <w:rsid w:val="00785417"/>
    <w:rsid w:val="00786627"/>
    <w:rsid w:val="007907FD"/>
    <w:rsid w:val="0079187F"/>
    <w:rsid w:val="00794F59"/>
    <w:rsid w:val="00796152"/>
    <w:rsid w:val="007A1F9D"/>
    <w:rsid w:val="007A2F7A"/>
    <w:rsid w:val="007A4078"/>
    <w:rsid w:val="007A6DBA"/>
    <w:rsid w:val="007B213E"/>
    <w:rsid w:val="007B3D58"/>
    <w:rsid w:val="007B48BD"/>
    <w:rsid w:val="007B55A8"/>
    <w:rsid w:val="007B5801"/>
    <w:rsid w:val="007B5A2C"/>
    <w:rsid w:val="007C041D"/>
    <w:rsid w:val="007C1CE3"/>
    <w:rsid w:val="007C30A9"/>
    <w:rsid w:val="007C4277"/>
    <w:rsid w:val="007C5887"/>
    <w:rsid w:val="007C5E11"/>
    <w:rsid w:val="007C5E26"/>
    <w:rsid w:val="007C5FAC"/>
    <w:rsid w:val="007D0D75"/>
    <w:rsid w:val="007D1996"/>
    <w:rsid w:val="007D481C"/>
    <w:rsid w:val="007D4A63"/>
    <w:rsid w:val="007D5ECA"/>
    <w:rsid w:val="007D7E35"/>
    <w:rsid w:val="007E0DA7"/>
    <w:rsid w:val="007E443B"/>
    <w:rsid w:val="007E521E"/>
    <w:rsid w:val="007F2D41"/>
    <w:rsid w:val="007F3A2E"/>
    <w:rsid w:val="007F51EC"/>
    <w:rsid w:val="007F6AB3"/>
    <w:rsid w:val="008013EB"/>
    <w:rsid w:val="00801546"/>
    <w:rsid w:val="00801826"/>
    <w:rsid w:val="00803A28"/>
    <w:rsid w:val="00803F52"/>
    <w:rsid w:val="0080561D"/>
    <w:rsid w:val="00806A21"/>
    <w:rsid w:val="00806E5F"/>
    <w:rsid w:val="00811305"/>
    <w:rsid w:val="008127F7"/>
    <w:rsid w:val="00822DDF"/>
    <w:rsid w:val="00823A3B"/>
    <w:rsid w:val="00823A48"/>
    <w:rsid w:val="008250B6"/>
    <w:rsid w:val="0083083E"/>
    <w:rsid w:val="008312D1"/>
    <w:rsid w:val="00835CD8"/>
    <w:rsid w:val="00835DBB"/>
    <w:rsid w:val="00842977"/>
    <w:rsid w:val="008432F5"/>
    <w:rsid w:val="0084407E"/>
    <w:rsid w:val="00846600"/>
    <w:rsid w:val="00846856"/>
    <w:rsid w:val="00846901"/>
    <w:rsid w:val="00850836"/>
    <w:rsid w:val="0085178C"/>
    <w:rsid w:val="00852F57"/>
    <w:rsid w:val="00853345"/>
    <w:rsid w:val="008540CD"/>
    <w:rsid w:val="008548C8"/>
    <w:rsid w:val="00855F16"/>
    <w:rsid w:val="00857171"/>
    <w:rsid w:val="00860D62"/>
    <w:rsid w:val="00862D47"/>
    <w:rsid w:val="008654B5"/>
    <w:rsid w:val="00865C64"/>
    <w:rsid w:val="00872ECD"/>
    <w:rsid w:val="00875230"/>
    <w:rsid w:val="0088089E"/>
    <w:rsid w:val="0088122B"/>
    <w:rsid w:val="0088315D"/>
    <w:rsid w:val="00886BB5"/>
    <w:rsid w:val="00891262"/>
    <w:rsid w:val="00892308"/>
    <w:rsid w:val="00892C7B"/>
    <w:rsid w:val="00897EE4"/>
    <w:rsid w:val="008A0066"/>
    <w:rsid w:val="008A1287"/>
    <w:rsid w:val="008B05B4"/>
    <w:rsid w:val="008B151A"/>
    <w:rsid w:val="008B225E"/>
    <w:rsid w:val="008B2567"/>
    <w:rsid w:val="008B3D15"/>
    <w:rsid w:val="008B48E0"/>
    <w:rsid w:val="008B4EB4"/>
    <w:rsid w:val="008B6332"/>
    <w:rsid w:val="008B67B6"/>
    <w:rsid w:val="008C076F"/>
    <w:rsid w:val="008C1B50"/>
    <w:rsid w:val="008C2E16"/>
    <w:rsid w:val="008C4864"/>
    <w:rsid w:val="008C50C6"/>
    <w:rsid w:val="008C6F68"/>
    <w:rsid w:val="008C7791"/>
    <w:rsid w:val="008D5AF7"/>
    <w:rsid w:val="008E05A3"/>
    <w:rsid w:val="008E3D69"/>
    <w:rsid w:val="008E4BAC"/>
    <w:rsid w:val="008E7BA7"/>
    <w:rsid w:val="008F2D3C"/>
    <w:rsid w:val="008F404E"/>
    <w:rsid w:val="008F42C3"/>
    <w:rsid w:val="00902065"/>
    <w:rsid w:val="00904D67"/>
    <w:rsid w:val="00914B5B"/>
    <w:rsid w:val="0092075F"/>
    <w:rsid w:val="00921A37"/>
    <w:rsid w:val="00923B53"/>
    <w:rsid w:val="00927B15"/>
    <w:rsid w:val="00932088"/>
    <w:rsid w:val="00932B0F"/>
    <w:rsid w:val="00933CDE"/>
    <w:rsid w:val="00933D95"/>
    <w:rsid w:val="00936A69"/>
    <w:rsid w:val="00936C10"/>
    <w:rsid w:val="009374AF"/>
    <w:rsid w:val="009410AF"/>
    <w:rsid w:val="0094239F"/>
    <w:rsid w:val="00944446"/>
    <w:rsid w:val="00944E0C"/>
    <w:rsid w:val="00946C06"/>
    <w:rsid w:val="009513FC"/>
    <w:rsid w:val="00952CC0"/>
    <w:rsid w:val="00954BB4"/>
    <w:rsid w:val="009560A4"/>
    <w:rsid w:val="00956501"/>
    <w:rsid w:val="00956EE0"/>
    <w:rsid w:val="00964207"/>
    <w:rsid w:val="00965BD4"/>
    <w:rsid w:val="00970F4B"/>
    <w:rsid w:val="0097104E"/>
    <w:rsid w:val="00972380"/>
    <w:rsid w:val="00972A76"/>
    <w:rsid w:val="00976276"/>
    <w:rsid w:val="00984E64"/>
    <w:rsid w:val="0098535B"/>
    <w:rsid w:val="00995C31"/>
    <w:rsid w:val="00995F44"/>
    <w:rsid w:val="0099761C"/>
    <w:rsid w:val="00997FE7"/>
    <w:rsid w:val="009A04DF"/>
    <w:rsid w:val="009A1736"/>
    <w:rsid w:val="009A17AF"/>
    <w:rsid w:val="009A197A"/>
    <w:rsid w:val="009A1ED4"/>
    <w:rsid w:val="009A20B3"/>
    <w:rsid w:val="009A301F"/>
    <w:rsid w:val="009A3839"/>
    <w:rsid w:val="009A4841"/>
    <w:rsid w:val="009A5393"/>
    <w:rsid w:val="009A69C0"/>
    <w:rsid w:val="009B039E"/>
    <w:rsid w:val="009B1525"/>
    <w:rsid w:val="009B6215"/>
    <w:rsid w:val="009C1051"/>
    <w:rsid w:val="009C13C5"/>
    <w:rsid w:val="009C1965"/>
    <w:rsid w:val="009C6158"/>
    <w:rsid w:val="009D5519"/>
    <w:rsid w:val="009D7253"/>
    <w:rsid w:val="009E2123"/>
    <w:rsid w:val="009E29AA"/>
    <w:rsid w:val="009E300C"/>
    <w:rsid w:val="009E41F6"/>
    <w:rsid w:val="009E43DC"/>
    <w:rsid w:val="009E7646"/>
    <w:rsid w:val="009F5625"/>
    <w:rsid w:val="009F59CF"/>
    <w:rsid w:val="00A0065A"/>
    <w:rsid w:val="00A012A5"/>
    <w:rsid w:val="00A046A5"/>
    <w:rsid w:val="00A04E83"/>
    <w:rsid w:val="00A05F52"/>
    <w:rsid w:val="00A117D1"/>
    <w:rsid w:val="00A12850"/>
    <w:rsid w:val="00A14E77"/>
    <w:rsid w:val="00A2068E"/>
    <w:rsid w:val="00A20A7A"/>
    <w:rsid w:val="00A22992"/>
    <w:rsid w:val="00A2547B"/>
    <w:rsid w:val="00A27CA5"/>
    <w:rsid w:val="00A308DC"/>
    <w:rsid w:val="00A32B81"/>
    <w:rsid w:val="00A3508E"/>
    <w:rsid w:val="00A36580"/>
    <w:rsid w:val="00A40D74"/>
    <w:rsid w:val="00A41806"/>
    <w:rsid w:val="00A4553B"/>
    <w:rsid w:val="00A47295"/>
    <w:rsid w:val="00A47622"/>
    <w:rsid w:val="00A47F74"/>
    <w:rsid w:val="00A519F1"/>
    <w:rsid w:val="00A51F61"/>
    <w:rsid w:val="00A530C9"/>
    <w:rsid w:val="00A5331A"/>
    <w:rsid w:val="00A545BE"/>
    <w:rsid w:val="00A54E9C"/>
    <w:rsid w:val="00A56E67"/>
    <w:rsid w:val="00A60278"/>
    <w:rsid w:val="00A6182B"/>
    <w:rsid w:val="00A61B24"/>
    <w:rsid w:val="00A63A95"/>
    <w:rsid w:val="00A63C44"/>
    <w:rsid w:val="00A64A9B"/>
    <w:rsid w:val="00A65208"/>
    <w:rsid w:val="00A65445"/>
    <w:rsid w:val="00A66958"/>
    <w:rsid w:val="00A6747A"/>
    <w:rsid w:val="00A712F4"/>
    <w:rsid w:val="00A71BA5"/>
    <w:rsid w:val="00A729E9"/>
    <w:rsid w:val="00A762B6"/>
    <w:rsid w:val="00A7734E"/>
    <w:rsid w:val="00A77DF3"/>
    <w:rsid w:val="00A80F0B"/>
    <w:rsid w:val="00A80FE2"/>
    <w:rsid w:val="00A82510"/>
    <w:rsid w:val="00A82F81"/>
    <w:rsid w:val="00A838A3"/>
    <w:rsid w:val="00A84DEE"/>
    <w:rsid w:val="00A86C80"/>
    <w:rsid w:val="00A871E7"/>
    <w:rsid w:val="00A87444"/>
    <w:rsid w:val="00A93F46"/>
    <w:rsid w:val="00A94156"/>
    <w:rsid w:val="00AA08EA"/>
    <w:rsid w:val="00AA1140"/>
    <w:rsid w:val="00AA5A5C"/>
    <w:rsid w:val="00AB0495"/>
    <w:rsid w:val="00AB2166"/>
    <w:rsid w:val="00AB244E"/>
    <w:rsid w:val="00AB5B26"/>
    <w:rsid w:val="00AB7AD8"/>
    <w:rsid w:val="00AB7F46"/>
    <w:rsid w:val="00AC1D17"/>
    <w:rsid w:val="00AC21B1"/>
    <w:rsid w:val="00AC4CA8"/>
    <w:rsid w:val="00AC61A3"/>
    <w:rsid w:val="00AD2C0F"/>
    <w:rsid w:val="00AD363A"/>
    <w:rsid w:val="00AD57B2"/>
    <w:rsid w:val="00AE0EEE"/>
    <w:rsid w:val="00AE2F4F"/>
    <w:rsid w:val="00AE2FF4"/>
    <w:rsid w:val="00AE34E4"/>
    <w:rsid w:val="00AE53AD"/>
    <w:rsid w:val="00AF2B0E"/>
    <w:rsid w:val="00AF3D13"/>
    <w:rsid w:val="00AF7E0A"/>
    <w:rsid w:val="00B001F9"/>
    <w:rsid w:val="00B02180"/>
    <w:rsid w:val="00B0225B"/>
    <w:rsid w:val="00B0557E"/>
    <w:rsid w:val="00B0594B"/>
    <w:rsid w:val="00B05D7E"/>
    <w:rsid w:val="00B06105"/>
    <w:rsid w:val="00B06EC6"/>
    <w:rsid w:val="00B12BF9"/>
    <w:rsid w:val="00B137E2"/>
    <w:rsid w:val="00B13888"/>
    <w:rsid w:val="00B16E69"/>
    <w:rsid w:val="00B20E8D"/>
    <w:rsid w:val="00B21553"/>
    <w:rsid w:val="00B21FD8"/>
    <w:rsid w:val="00B22F95"/>
    <w:rsid w:val="00B23C2A"/>
    <w:rsid w:val="00B26D73"/>
    <w:rsid w:val="00B3538F"/>
    <w:rsid w:val="00B35A20"/>
    <w:rsid w:val="00B36375"/>
    <w:rsid w:val="00B41D99"/>
    <w:rsid w:val="00B4429B"/>
    <w:rsid w:val="00B5177A"/>
    <w:rsid w:val="00B57EB4"/>
    <w:rsid w:val="00B60207"/>
    <w:rsid w:val="00B6108C"/>
    <w:rsid w:val="00B61E2C"/>
    <w:rsid w:val="00B635A4"/>
    <w:rsid w:val="00B6367A"/>
    <w:rsid w:val="00B63BB4"/>
    <w:rsid w:val="00B64488"/>
    <w:rsid w:val="00B65805"/>
    <w:rsid w:val="00B65E2E"/>
    <w:rsid w:val="00B662B2"/>
    <w:rsid w:val="00B670D0"/>
    <w:rsid w:val="00B6763B"/>
    <w:rsid w:val="00B706E7"/>
    <w:rsid w:val="00B72312"/>
    <w:rsid w:val="00B7247C"/>
    <w:rsid w:val="00B73777"/>
    <w:rsid w:val="00B74C61"/>
    <w:rsid w:val="00B75DFF"/>
    <w:rsid w:val="00B76AD6"/>
    <w:rsid w:val="00B76FF4"/>
    <w:rsid w:val="00B77789"/>
    <w:rsid w:val="00B804EC"/>
    <w:rsid w:val="00B80B5F"/>
    <w:rsid w:val="00B81192"/>
    <w:rsid w:val="00B825B6"/>
    <w:rsid w:val="00B83AFA"/>
    <w:rsid w:val="00B85D6A"/>
    <w:rsid w:val="00B86DBA"/>
    <w:rsid w:val="00B87A0C"/>
    <w:rsid w:val="00B921A8"/>
    <w:rsid w:val="00B93CF6"/>
    <w:rsid w:val="00BA1342"/>
    <w:rsid w:val="00BA19CB"/>
    <w:rsid w:val="00BA2644"/>
    <w:rsid w:val="00BA2E48"/>
    <w:rsid w:val="00BA5FBD"/>
    <w:rsid w:val="00BA74CF"/>
    <w:rsid w:val="00BB0915"/>
    <w:rsid w:val="00BB2BD0"/>
    <w:rsid w:val="00BB3745"/>
    <w:rsid w:val="00BB3E72"/>
    <w:rsid w:val="00BC13C0"/>
    <w:rsid w:val="00BC38F4"/>
    <w:rsid w:val="00BC4B08"/>
    <w:rsid w:val="00BC4EB4"/>
    <w:rsid w:val="00BC7E99"/>
    <w:rsid w:val="00BD09B1"/>
    <w:rsid w:val="00BD19AE"/>
    <w:rsid w:val="00BE50FE"/>
    <w:rsid w:val="00BE5302"/>
    <w:rsid w:val="00BE5717"/>
    <w:rsid w:val="00BE5958"/>
    <w:rsid w:val="00BE5F1F"/>
    <w:rsid w:val="00BE611D"/>
    <w:rsid w:val="00BF0F63"/>
    <w:rsid w:val="00BF22DF"/>
    <w:rsid w:val="00BF4C46"/>
    <w:rsid w:val="00C01B54"/>
    <w:rsid w:val="00C01E1C"/>
    <w:rsid w:val="00C04694"/>
    <w:rsid w:val="00C046FF"/>
    <w:rsid w:val="00C06C38"/>
    <w:rsid w:val="00C1366E"/>
    <w:rsid w:val="00C225EE"/>
    <w:rsid w:val="00C24CD7"/>
    <w:rsid w:val="00C25715"/>
    <w:rsid w:val="00C2717A"/>
    <w:rsid w:val="00C27EF9"/>
    <w:rsid w:val="00C3044F"/>
    <w:rsid w:val="00C305FC"/>
    <w:rsid w:val="00C30671"/>
    <w:rsid w:val="00C32DC6"/>
    <w:rsid w:val="00C361D8"/>
    <w:rsid w:val="00C41270"/>
    <w:rsid w:val="00C4276D"/>
    <w:rsid w:val="00C42BD6"/>
    <w:rsid w:val="00C434F6"/>
    <w:rsid w:val="00C444B8"/>
    <w:rsid w:val="00C447B0"/>
    <w:rsid w:val="00C44D71"/>
    <w:rsid w:val="00C50069"/>
    <w:rsid w:val="00C51B68"/>
    <w:rsid w:val="00C52630"/>
    <w:rsid w:val="00C5341C"/>
    <w:rsid w:val="00C55D35"/>
    <w:rsid w:val="00C6356C"/>
    <w:rsid w:val="00C64A14"/>
    <w:rsid w:val="00C64EBA"/>
    <w:rsid w:val="00C65E7C"/>
    <w:rsid w:val="00C70DBA"/>
    <w:rsid w:val="00C71647"/>
    <w:rsid w:val="00C7403B"/>
    <w:rsid w:val="00C76542"/>
    <w:rsid w:val="00C76596"/>
    <w:rsid w:val="00C770C3"/>
    <w:rsid w:val="00C8371C"/>
    <w:rsid w:val="00C842FA"/>
    <w:rsid w:val="00C86D92"/>
    <w:rsid w:val="00C90767"/>
    <w:rsid w:val="00C915B6"/>
    <w:rsid w:val="00C91C55"/>
    <w:rsid w:val="00C932CA"/>
    <w:rsid w:val="00C94243"/>
    <w:rsid w:val="00C954E1"/>
    <w:rsid w:val="00C96E3D"/>
    <w:rsid w:val="00C96EBF"/>
    <w:rsid w:val="00C974A2"/>
    <w:rsid w:val="00CA0093"/>
    <w:rsid w:val="00CA21F8"/>
    <w:rsid w:val="00CA35CD"/>
    <w:rsid w:val="00CA4050"/>
    <w:rsid w:val="00CA485D"/>
    <w:rsid w:val="00CA7D82"/>
    <w:rsid w:val="00CB47C5"/>
    <w:rsid w:val="00CB5114"/>
    <w:rsid w:val="00CB5933"/>
    <w:rsid w:val="00CB5D59"/>
    <w:rsid w:val="00CC0510"/>
    <w:rsid w:val="00CC1BE8"/>
    <w:rsid w:val="00CC23E4"/>
    <w:rsid w:val="00CC3483"/>
    <w:rsid w:val="00CC451E"/>
    <w:rsid w:val="00CC4D37"/>
    <w:rsid w:val="00CC6E22"/>
    <w:rsid w:val="00CC71F8"/>
    <w:rsid w:val="00CD03DB"/>
    <w:rsid w:val="00CD273C"/>
    <w:rsid w:val="00CD5D90"/>
    <w:rsid w:val="00CD69F3"/>
    <w:rsid w:val="00CD7D79"/>
    <w:rsid w:val="00CD7FEB"/>
    <w:rsid w:val="00CE1C9D"/>
    <w:rsid w:val="00CE4576"/>
    <w:rsid w:val="00CE4E41"/>
    <w:rsid w:val="00CE74ED"/>
    <w:rsid w:val="00CF07A7"/>
    <w:rsid w:val="00CF2879"/>
    <w:rsid w:val="00CF3779"/>
    <w:rsid w:val="00CF608A"/>
    <w:rsid w:val="00CF662A"/>
    <w:rsid w:val="00CF6869"/>
    <w:rsid w:val="00D0191C"/>
    <w:rsid w:val="00D05761"/>
    <w:rsid w:val="00D05F5B"/>
    <w:rsid w:val="00D06EC4"/>
    <w:rsid w:val="00D07FB4"/>
    <w:rsid w:val="00D102A7"/>
    <w:rsid w:val="00D11699"/>
    <w:rsid w:val="00D128CD"/>
    <w:rsid w:val="00D14C2C"/>
    <w:rsid w:val="00D15473"/>
    <w:rsid w:val="00D219B2"/>
    <w:rsid w:val="00D2452F"/>
    <w:rsid w:val="00D27390"/>
    <w:rsid w:val="00D31BD5"/>
    <w:rsid w:val="00D32032"/>
    <w:rsid w:val="00D32CB5"/>
    <w:rsid w:val="00D33169"/>
    <w:rsid w:val="00D342F6"/>
    <w:rsid w:val="00D353F4"/>
    <w:rsid w:val="00D357B5"/>
    <w:rsid w:val="00D3672A"/>
    <w:rsid w:val="00D41FA7"/>
    <w:rsid w:val="00D4206A"/>
    <w:rsid w:val="00D46D8E"/>
    <w:rsid w:val="00D51369"/>
    <w:rsid w:val="00D515A8"/>
    <w:rsid w:val="00D517A1"/>
    <w:rsid w:val="00D549B1"/>
    <w:rsid w:val="00D5509F"/>
    <w:rsid w:val="00D63793"/>
    <w:rsid w:val="00D63969"/>
    <w:rsid w:val="00D639D9"/>
    <w:rsid w:val="00D65C3E"/>
    <w:rsid w:val="00D66A1D"/>
    <w:rsid w:val="00D70D7F"/>
    <w:rsid w:val="00D75703"/>
    <w:rsid w:val="00D759D6"/>
    <w:rsid w:val="00D82AF6"/>
    <w:rsid w:val="00D85028"/>
    <w:rsid w:val="00D86BB3"/>
    <w:rsid w:val="00D90810"/>
    <w:rsid w:val="00D90A38"/>
    <w:rsid w:val="00D91DAA"/>
    <w:rsid w:val="00D91DEC"/>
    <w:rsid w:val="00D92284"/>
    <w:rsid w:val="00D93D8D"/>
    <w:rsid w:val="00DA0E85"/>
    <w:rsid w:val="00DA309F"/>
    <w:rsid w:val="00DA6B5E"/>
    <w:rsid w:val="00DA7455"/>
    <w:rsid w:val="00DB05ED"/>
    <w:rsid w:val="00DB361E"/>
    <w:rsid w:val="00DB66EA"/>
    <w:rsid w:val="00DB6D67"/>
    <w:rsid w:val="00DB790A"/>
    <w:rsid w:val="00DB7D3C"/>
    <w:rsid w:val="00DC2093"/>
    <w:rsid w:val="00DC5486"/>
    <w:rsid w:val="00DC5C22"/>
    <w:rsid w:val="00DC6252"/>
    <w:rsid w:val="00DC7CBA"/>
    <w:rsid w:val="00DD14DE"/>
    <w:rsid w:val="00DD394A"/>
    <w:rsid w:val="00DD7028"/>
    <w:rsid w:val="00DE3A07"/>
    <w:rsid w:val="00DE3FAB"/>
    <w:rsid w:val="00DE4313"/>
    <w:rsid w:val="00DE5E8F"/>
    <w:rsid w:val="00DF262B"/>
    <w:rsid w:val="00DF5B91"/>
    <w:rsid w:val="00DF648D"/>
    <w:rsid w:val="00DF7610"/>
    <w:rsid w:val="00DF79D9"/>
    <w:rsid w:val="00E0090C"/>
    <w:rsid w:val="00E0138F"/>
    <w:rsid w:val="00E031E9"/>
    <w:rsid w:val="00E05665"/>
    <w:rsid w:val="00E0688A"/>
    <w:rsid w:val="00E06AB1"/>
    <w:rsid w:val="00E11A3E"/>
    <w:rsid w:val="00E13F89"/>
    <w:rsid w:val="00E154F9"/>
    <w:rsid w:val="00E16652"/>
    <w:rsid w:val="00E277CD"/>
    <w:rsid w:val="00E32971"/>
    <w:rsid w:val="00E33E53"/>
    <w:rsid w:val="00E368AA"/>
    <w:rsid w:val="00E45EAA"/>
    <w:rsid w:val="00E464FD"/>
    <w:rsid w:val="00E505AC"/>
    <w:rsid w:val="00E51E16"/>
    <w:rsid w:val="00E526A4"/>
    <w:rsid w:val="00E52F41"/>
    <w:rsid w:val="00E54C65"/>
    <w:rsid w:val="00E563A6"/>
    <w:rsid w:val="00E631E3"/>
    <w:rsid w:val="00E64D67"/>
    <w:rsid w:val="00E66975"/>
    <w:rsid w:val="00E7008B"/>
    <w:rsid w:val="00E7045F"/>
    <w:rsid w:val="00E74834"/>
    <w:rsid w:val="00E76A1A"/>
    <w:rsid w:val="00E77E55"/>
    <w:rsid w:val="00E81231"/>
    <w:rsid w:val="00E81663"/>
    <w:rsid w:val="00E8229A"/>
    <w:rsid w:val="00E84B45"/>
    <w:rsid w:val="00E915A7"/>
    <w:rsid w:val="00E94C97"/>
    <w:rsid w:val="00EA0AED"/>
    <w:rsid w:val="00EA22FA"/>
    <w:rsid w:val="00EA3958"/>
    <w:rsid w:val="00EA5868"/>
    <w:rsid w:val="00EB077B"/>
    <w:rsid w:val="00EB24C8"/>
    <w:rsid w:val="00EB34E4"/>
    <w:rsid w:val="00EB41E9"/>
    <w:rsid w:val="00EC6FDF"/>
    <w:rsid w:val="00EC7225"/>
    <w:rsid w:val="00EC7E89"/>
    <w:rsid w:val="00ED0B66"/>
    <w:rsid w:val="00ED12C3"/>
    <w:rsid w:val="00ED1EED"/>
    <w:rsid w:val="00ED36EF"/>
    <w:rsid w:val="00ED3AC7"/>
    <w:rsid w:val="00ED49D8"/>
    <w:rsid w:val="00ED5787"/>
    <w:rsid w:val="00ED58EA"/>
    <w:rsid w:val="00ED6313"/>
    <w:rsid w:val="00ED7B99"/>
    <w:rsid w:val="00EE1616"/>
    <w:rsid w:val="00EE2D91"/>
    <w:rsid w:val="00EE47FF"/>
    <w:rsid w:val="00EE7911"/>
    <w:rsid w:val="00EF1E0F"/>
    <w:rsid w:val="00EF2384"/>
    <w:rsid w:val="00EF2617"/>
    <w:rsid w:val="00EF6301"/>
    <w:rsid w:val="00F00A5E"/>
    <w:rsid w:val="00F02B1B"/>
    <w:rsid w:val="00F03159"/>
    <w:rsid w:val="00F035CB"/>
    <w:rsid w:val="00F06263"/>
    <w:rsid w:val="00F07D54"/>
    <w:rsid w:val="00F07DFB"/>
    <w:rsid w:val="00F10535"/>
    <w:rsid w:val="00F157FC"/>
    <w:rsid w:val="00F20954"/>
    <w:rsid w:val="00F21941"/>
    <w:rsid w:val="00F22D5F"/>
    <w:rsid w:val="00F23AC7"/>
    <w:rsid w:val="00F24A26"/>
    <w:rsid w:val="00F24AF7"/>
    <w:rsid w:val="00F25DC4"/>
    <w:rsid w:val="00F26317"/>
    <w:rsid w:val="00F30D8B"/>
    <w:rsid w:val="00F337A7"/>
    <w:rsid w:val="00F351D5"/>
    <w:rsid w:val="00F36CBF"/>
    <w:rsid w:val="00F37C63"/>
    <w:rsid w:val="00F406ED"/>
    <w:rsid w:val="00F43796"/>
    <w:rsid w:val="00F438BC"/>
    <w:rsid w:val="00F43FF3"/>
    <w:rsid w:val="00F5124B"/>
    <w:rsid w:val="00F53D27"/>
    <w:rsid w:val="00F55215"/>
    <w:rsid w:val="00F615F8"/>
    <w:rsid w:val="00F61D52"/>
    <w:rsid w:val="00F64EC9"/>
    <w:rsid w:val="00F71094"/>
    <w:rsid w:val="00F71A6A"/>
    <w:rsid w:val="00F721AA"/>
    <w:rsid w:val="00F72EED"/>
    <w:rsid w:val="00F73D18"/>
    <w:rsid w:val="00F74A88"/>
    <w:rsid w:val="00F77E41"/>
    <w:rsid w:val="00F804E7"/>
    <w:rsid w:val="00F818B8"/>
    <w:rsid w:val="00F82DD7"/>
    <w:rsid w:val="00F86152"/>
    <w:rsid w:val="00F87777"/>
    <w:rsid w:val="00F9078B"/>
    <w:rsid w:val="00F922A2"/>
    <w:rsid w:val="00F94FBE"/>
    <w:rsid w:val="00F956CF"/>
    <w:rsid w:val="00F963AF"/>
    <w:rsid w:val="00F96CAB"/>
    <w:rsid w:val="00F96E9E"/>
    <w:rsid w:val="00F976D3"/>
    <w:rsid w:val="00FA3E67"/>
    <w:rsid w:val="00FA423B"/>
    <w:rsid w:val="00FA4491"/>
    <w:rsid w:val="00FA5AF9"/>
    <w:rsid w:val="00FA61AD"/>
    <w:rsid w:val="00FB1D5F"/>
    <w:rsid w:val="00FB26CF"/>
    <w:rsid w:val="00FB3CEE"/>
    <w:rsid w:val="00FB4892"/>
    <w:rsid w:val="00FB49F8"/>
    <w:rsid w:val="00FB57E3"/>
    <w:rsid w:val="00FB6940"/>
    <w:rsid w:val="00FB6D14"/>
    <w:rsid w:val="00FC1665"/>
    <w:rsid w:val="00FC1DB1"/>
    <w:rsid w:val="00FC20AD"/>
    <w:rsid w:val="00FC24D5"/>
    <w:rsid w:val="00FC41AF"/>
    <w:rsid w:val="00FC692A"/>
    <w:rsid w:val="00FD3F98"/>
    <w:rsid w:val="00FE0966"/>
    <w:rsid w:val="00FE268F"/>
    <w:rsid w:val="00FE47AA"/>
    <w:rsid w:val="00FE6489"/>
    <w:rsid w:val="00FE66F2"/>
    <w:rsid w:val="00FE6E31"/>
    <w:rsid w:val="00FF1D61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rsid w:val="00B921A8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customStyle="1" w:styleId="JuSignedChar">
    <w:name w:val="Ju_Signed Char"/>
    <w:basedOn w:val="DefaultParagraphFont"/>
    <w:link w:val="JuSigned"/>
    <w:rsid w:val="000726F6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rsid w:val="00B921A8"/>
    <w:rPr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F73D18"/>
    <w:rPr>
      <w:sz w:val="24"/>
      <w:lang w:val="en-GB" w:eastAsia="fr-FR" w:bidi="ar-SA"/>
    </w:rPr>
  </w:style>
  <w:style w:type="character" w:styleId="Hyperlink">
    <w:name w:val="Hyperlink"/>
    <w:basedOn w:val="DefaultParagraphFont"/>
    <w:rsid w:val="001E2DDF"/>
    <w:rPr>
      <w:color w:val="0000FF"/>
      <w:u w:val="single"/>
    </w:rPr>
  </w:style>
  <w:style w:type="paragraph" w:styleId="DocumentMap">
    <w:name w:val="Document Map"/>
    <w:basedOn w:val="Normal"/>
    <w:semiHidden/>
    <w:rsid w:val="004355FA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rsid w:val="009B039E"/>
  </w:style>
  <w:style w:type="paragraph" w:customStyle="1" w:styleId="OpiH1">
    <w:name w:val="Opi_H_1."/>
    <w:basedOn w:val="OpiHA"/>
    <w:next w:val="OpiPara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rsid w:val="00B921A8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9B039E"/>
    <w:rPr>
      <w:b/>
    </w:rPr>
  </w:style>
  <w:style w:type="paragraph" w:customStyle="1" w:styleId="JuList">
    <w:name w:val="Ju_List"/>
    <w:basedOn w:val="JuPara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B039E"/>
  </w:style>
  <w:style w:type="paragraph" w:customStyle="1" w:styleId="OpiTranslation">
    <w:name w:val="Opi_Translation"/>
    <w:basedOn w:val="OpiHHead"/>
    <w:next w:val="OpiPara"/>
    <w:rsid w:val="009B039E"/>
    <w:rPr>
      <w:sz w:val="24"/>
    </w:rPr>
  </w:style>
  <w:style w:type="paragraph" w:styleId="FootnoteText">
    <w:name w:val="footnote text"/>
    <w:basedOn w:val="Normal"/>
    <w:semiHidden/>
    <w:rsid w:val="009B039E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B039E"/>
    <w:rPr>
      <w:vertAlign w:val="superscript"/>
    </w:rPr>
  </w:style>
  <w:style w:type="paragraph" w:customStyle="1" w:styleId="JuHi">
    <w:name w:val="Ju_H_i"/>
    <w:basedOn w:val="JuHa0"/>
    <w:next w:val="JuPara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B039E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B039E"/>
    <w:rPr>
      <w:sz w:val="18"/>
    </w:rPr>
  </w:style>
  <w:style w:type="paragraph" w:customStyle="1" w:styleId="JuH">
    <w:name w:val="Ju_H_–"/>
    <w:basedOn w:val="JuHalpha"/>
    <w:next w:val="JuPara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9B039E"/>
    <w:pPr>
      <w:ind w:left="346" w:firstLine="0"/>
    </w:pPr>
  </w:style>
  <w:style w:type="paragraph" w:customStyle="1" w:styleId="JuListi">
    <w:name w:val="Ju_List_i"/>
    <w:basedOn w:val="JuLista"/>
    <w:rsid w:val="009B039E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9B039E"/>
    <w:pPr>
      <w:jc w:val="right"/>
    </w:pPr>
  </w:style>
  <w:style w:type="paragraph" w:customStyle="1" w:styleId="JuHeader">
    <w:name w:val="Ju_Header"/>
    <w:basedOn w:val="Header"/>
    <w:rsid w:val="009B039E"/>
  </w:style>
  <w:style w:type="paragraph" w:customStyle="1" w:styleId="DecHTitle">
    <w:name w:val="Dec_H_Title"/>
    <w:basedOn w:val="Normal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B039E"/>
    <w:rPr>
      <w:sz w:val="24"/>
    </w:rPr>
  </w:style>
  <w:style w:type="paragraph" w:customStyle="1" w:styleId="DecList">
    <w:name w:val="Dec_List"/>
    <w:basedOn w:val="Normal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9B039E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paragraph" w:customStyle="1" w:styleId="PJuPara">
    <w:name w:val="P_Ju_Para"/>
    <w:basedOn w:val="Normal"/>
    <w:rsid w:val="009B039E"/>
    <w:pPr>
      <w:ind w:firstLine="284"/>
      <w:jc w:val="both"/>
    </w:pPr>
  </w:style>
  <w:style w:type="paragraph" w:customStyle="1" w:styleId="PJuQuot">
    <w:name w:val="P_Ju_Quot"/>
    <w:basedOn w:val="Normal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B039E"/>
    <w:pPr>
      <w:spacing w:after="120"/>
    </w:pPr>
  </w:style>
  <w:style w:type="paragraph" w:customStyle="1" w:styleId="SuSubject">
    <w:name w:val="Su_Subject"/>
    <w:basedOn w:val="SuSummary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B039E"/>
    <w:pPr>
      <w:spacing w:line="288" w:lineRule="auto"/>
    </w:pPr>
  </w:style>
  <w:style w:type="paragraph" w:customStyle="1" w:styleId="PTextIntro">
    <w:name w:val="P_Text_Intro"/>
    <w:basedOn w:val="Normal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B039E"/>
  </w:style>
  <w:style w:type="paragraph" w:customStyle="1" w:styleId="OpiQuotSub">
    <w:name w:val="Opi_Quot_Sub"/>
    <w:basedOn w:val="JuQuotSub"/>
    <w:rsid w:val="009B039E"/>
  </w:style>
  <w:style w:type="character" w:customStyle="1" w:styleId="JuSignedChar">
    <w:name w:val="Ju_Signed Char"/>
    <w:basedOn w:val="DefaultParagraphFont"/>
    <w:link w:val="JuSigned"/>
    <w:rsid w:val="000726F6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rsid w:val="00B921A8"/>
    <w:rPr>
      <w:b/>
      <w:sz w:val="24"/>
      <w:lang w:val="en-GB" w:eastAsia="fr-FR" w:bidi="ar-SA"/>
    </w:rPr>
  </w:style>
  <w:style w:type="character" w:customStyle="1" w:styleId="JuParaCar">
    <w:name w:val="Ju_Para Car"/>
    <w:basedOn w:val="DefaultParagraphFont"/>
    <w:rsid w:val="00F73D18"/>
    <w:rPr>
      <w:sz w:val="24"/>
      <w:lang w:val="en-GB" w:eastAsia="fr-FR" w:bidi="ar-SA"/>
    </w:rPr>
  </w:style>
  <w:style w:type="character" w:styleId="Hyperlink">
    <w:name w:val="Hyperlink"/>
    <w:basedOn w:val="DefaultParagraphFont"/>
    <w:rsid w:val="001E2DDF"/>
    <w:rPr>
      <w:color w:val="0000FF"/>
      <w:u w:val="single"/>
    </w:rPr>
  </w:style>
  <w:style w:type="paragraph" w:styleId="DocumentMap">
    <w:name w:val="Document Map"/>
    <w:basedOn w:val="Normal"/>
    <w:semiHidden/>
    <w:rsid w:val="004355FA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11D5A-DB21-4870-BD9B-26B61659B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5C353-4460-453D-BBFC-B36A3DBC2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7438</Words>
  <Characters>42400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49739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2010-09-20T14:29:00Z</cp:lastPrinted>
  <dcterms:created xsi:type="dcterms:W3CDTF">2016-01-22T10:06:00Z</dcterms:created>
  <dcterms:modified xsi:type="dcterms:W3CDTF">2016-01-22T10:06:00Z</dcterms:modified>
  <cp:category>ECHR Template</cp:category>
</cp:coreProperties>
</file>